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00BF9E">
      <w:pPr>
        <w:spacing w:before="120" w:beforeLines="50" w:afterLines="0" w:line="360" w:lineRule="auto"/>
        <w:jc w:val="center"/>
        <w:rPr>
          <w:rFonts w:hint="eastAsia" w:ascii="宋体" w:hAnsi="宋体" w:eastAsia="宋体" w:cs="宋体"/>
          <w:sz w:val="52"/>
          <w:szCs w:val="24"/>
        </w:rPr>
      </w:pPr>
      <w:bookmarkStart w:id="667" w:name="_GoBack"/>
      <w:bookmarkEnd w:id="667"/>
    </w:p>
    <w:p w14:paraId="11F5A5C1">
      <w:pPr>
        <w:snapToGrid w:val="0"/>
        <w:spacing w:before="120" w:beforeLines="50" w:afterLines="0" w:line="360" w:lineRule="auto"/>
        <w:jc w:val="center"/>
        <w:rPr>
          <w:rFonts w:hint="eastAsia" w:ascii="宋体" w:hAnsi="宋体" w:eastAsia="宋体" w:cs="宋体"/>
          <w:sz w:val="44"/>
          <w:szCs w:val="44"/>
        </w:rPr>
      </w:pPr>
      <w:r>
        <w:rPr>
          <w:rFonts w:hint="eastAsia" w:ascii="宋体" w:hAnsi="宋体" w:eastAsia="宋体" w:cs="宋体"/>
          <w:sz w:val="72"/>
          <w:szCs w:val="72"/>
        </w:rPr>
        <w:t>竞争性谈判文件</w:t>
      </w:r>
    </w:p>
    <w:p w14:paraId="623389B0">
      <w:pPr>
        <w:snapToGrid w:val="0"/>
        <w:spacing w:before="50" w:beforeLines="0" w:after="120" w:afterLines="0" w:line="360" w:lineRule="auto"/>
        <w:ind w:left="1506" w:hanging="1506" w:hangingChars="500"/>
        <w:jc w:val="center"/>
        <w:rPr>
          <w:rFonts w:hint="eastAsia" w:ascii="宋体" w:hAnsi="宋体" w:eastAsia="宋体" w:cs="宋体"/>
          <w:b/>
          <w:color w:val="auto"/>
          <w:kern w:val="0"/>
          <w:sz w:val="30"/>
          <w:szCs w:val="30"/>
        </w:rPr>
      </w:pPr>
      <w:bookmarkStart w:id="0" w:name="_Toc20882"/>
      <w:r>
        <w:rPr>
          <w:rFonts w:hint="eastAsia" w:ascii="宋体" w:hAnsi="宋体" w:eastAsia="宋体" w:cs="宋体"/>
          <w:b/>
          <w:color w:val="auto"/>
          <w:kern w:val="0"/>
          <w:sz w:val="30"/>
          <w:szCs w:val="30"/>
        </w:rPr>
        <w:t>（全流程电子化评标）</w:t>
      </w:r>
      <w:bookmarkEnd w:id="0"/>
    </w:p>
    <w:p w14:paraId="505F76FD">
      <w:pPr>
        <w:snapToGrid w:val="0"/>
        <w:spacing w:before="50" w:beforeLines="0" w:after="120" w:afterLines="0" w:line="360" w:lineRule="auto"/>
        <w:ind w:left="1506" w:hanging="1506" w:hangingChars="500"/>
        <w:jc w:val="center"/>
        <w:rPr>
          <w:rFonts w:hint="eastAsia" w:ascii="宋体" w:hAnsi="宋体" w:eastAsia="宋体" w:cs="宋体"/>
          <w:b/>
          <w:color w:val="auto"/>
          <w:kern w:val="0"/>
          <w:sz w:val="30"/>
          <w:szCs w:val="30"/>
        </w:rPr>
      </w:pPr>
    </w:p>
    <w:p w14:paraId="656ECAED">
      <w:pPr>
        <w:snapToGrid w:val="0"/>
        <w:spacing w:before="50" w:beforeLines="0" w:after="120" w:afterLines="0" w:line="360" w:lineRule="auto"/>
        <w:ind w:left="1506" w:hanging="1506" w:hangingChars="500"/>
        <w:jc w:val="center"/>
        <w:rPr>
          <w:rFonts w:hint="eastAsia" w:ascii="宋体" w:hAnsi="宋体" w:eastAsia="宋体" w:cs="宋体"/>
          <w:b/>
          <w:color w:val="auto"/>
          <w:kern w:val="0"/>
          <w:sz w:val="30"/>
          <w:szCs w:val="30"/>
        </w:rPr>
      </w:pPr>
    </w:p>
    <w:p w14:paraId="6CECB3B1">
      <w:pPr>
        <w:snapToGrid w:val="0"/>
        <w:spacing w:before="50" w:beforeLines="0" w:after="120" w:afterLines="0" w:line="360" w:lineRule="auto"/>
        <w:ind w:left="1506" w:hanging="1506" w:hangingChars="500"/>
        <w:jc w:val="center"/>
        <w:rPr>
          <w:rFonts w:hint="eastAsia" w:ascii="宋体" w:hAnsi="宋体" w:eastAsia="宋体" w:cs="宋体"/>
          <w:b/>
          <w:color w:val="auto"/>
          <w:kern w:val="0"/>
          <w:sz w:val="30"/>
          <w:szCs w:val="30"/>
        </w:rPr>
      </w:pPr>
    </w:p>
    <w:p w14:paraId="13AF6C41">
      <w:pPr>
        <w:snapToGrid w:val="0"/>
        <w:spacing w:before="50" w:beforeLines="0" w:after="120" w:afterLines="0" w:line="360" w:lineRule="auto"/>
        <w:ind w:left="1506" w:hanging="1506" w:hangingChars="500"/>
        <w:jc w:val="center"/>
        <w:rPr>
          <w:rFonts w:hint="eastAsia" w:ascii="宋体" w:hAnsi="宋体" w:eastAsia="宋体" w:cs="宋体"/>
          <w:b/>
          <w:color w:val="auto"/>
          <w:kern w:val="0"/>
          <w:sz w:val="30"/>
          <w:szCs w:val="30"/>
        </w:rPr>
      </w:pPr>
    </w:p>
    <w:p w14:paraId="7775500D">
      <w:pPr>
        <w:snapToGrid w:val="0"/>
        <w:spacing w:before="50" w:beforeLines="0" w:after="120" w:afterLines="0" w:line="360" w:lineRule="auto"/>
        <w:ind w:left="1506" w:hanging="1506" w:hangingChars="500"/>
        <w:jc w:val="center"/>
        <w:rPr>
          <w:rFonts w:hint="eastAsia" w:ascii="宋体" w:hAnsi="宋体" w:eastAsia="宋体" w:cs="宋体"/>
          <w:b/>
          <w:color w:val="auto"/>
          <w:kern w:val="0"/>
          <w:sz w:val="30"/>
          <w:szCs w:val="30"/>
        </w:rPr>
      </w:pPr>
    </w:p>
    <w:p w14:paraId="7D8E5DC9">
      <w:pPr>
        <w:snapToGrid w:val="0"/>
        <w:spacing w:before="50" w:beforeLines="0" w:after="120" w:afterLines="0" w:line="360" w:lineRule="auto"/>
        <w:ind w:left="1506" w:hanging="1506" w:hangingChars="500"/>
        <w:jc w:val="center"/>
        <w:rPr>
          <w:rFonts w:hint="eastAsia" w:ascii="宋体" w:hAnsi="宋体" w:eastAsia="宋体" w:cs="宋体"/>
          <w:b/>
          <w:color w:val="auto"/>
          <w:kern w:val="0"/>
          <w:sz w:val="30"/>
          <w:szCs w:val="30"/>
        </w:rPr>
      </w:pPr>
    </w:p>
    <w:p w14:paraId="4B8C0137">
      <w:pPr>
        <w:spacing w:beforeLines="0" w:afterLines="0"/>
        <w:rPr>
          <w:rFonts w:hint="eastAsia" w:ascii="宋体" w:hAnsi="宋体" w:eastAsia="宋体" w:cs="宋体"/>
          <w:sz w:val="21"/>
          <w:szCs w:val="24"/>
        </w:rPr>
      </w:pPr>
    </w:p>
    <w:p w14:paraId="1EEA9A4B">
      <w:pPr>
        <w:snapToGrid w:val="0"/>
        <w:spacing w:before="50" w:beforeLines="0" w:after="120" w:afterLines="0" w:line="360" w:lineRule="auto"/>
        <w:ind w:left="1260" w:leftChars="600" w:right="0" w:rightChars="0" w:firstLine="0" w:firstLineChars="0"/>
        <w:jc w:val="left"/>
        <w:rPr>
          <w:rFonts w:hint="eastAsia" w:ascii="宋体" w:hAnsi="宋体" w:eastAsia="宋体" w:cs="宋体"/>
          <w:kern w:val="0"/>
          <w:sz w:val="30"/>
          <w:szCs w:val="30"/>
        </w:rPr>
      </w:pPr>
      <w:r>
        <w:rPr>
          <w:rFonts w:hint="eastAsia" w:ascii="宋体" w:hAnsi="宋体" w:eastAsia="宋体" w:cs="宋体"/>
          <w:kern w:val="0"/>
          <w:sz w:val="30"/>
          <w:szCs w:val="30"/>
        </w:rPr>
        <w:t>项目名称：2026年安石镇禁山村委根竹塘至禁山村道路硬化工程</w:t>
      </w:r>
    </w:p>
    <w:p w14:paraId="21805AD4">
      <w:pPr>
        <w:snapToGrid w:val="0"/>
        <w:spacing w:before="120" w:beforeLines="50" w:afterLines="0" w:line="360" w:lineRule="auto"/>
        <w:ind w:left="1260" w:leftChars="600" w:right="0" w:rightChars="0" w:firstLine="0" w:firstLineChars="0"/>
        <w:jc w:val="left"/>
        <w:rPr>
          <w:rFonts w:hint="eastAsia" w:ascii="宋体" w:hAnsi="宋体" w:eastAsia="宋体" w:cs="宋体"/>
          <w:w w:val="95"/>
          <w:kern w:val="0"/>
          <w:sz w:val="30"/>
          <w:szCs w:val="30"/>
          <w:u w:val="single"/>
        </w:rPr>
      </w:pPr>
      <w:r>
        <w:rPr>
          <w:rFonts w:hint="eastAsia" w:ascii="宋体" w:hAnsi="宋体" w:eastAsia="宋体" w:cs="宋体"/>
          <w:w w:val="95"/>
          <w:sz w:val="30"/>
          <w:szCs w:val="30"/>
        </w:rPr>
        <w:t>项目</w:t>
      </w:r>
      <w:r>
        <w:rPr>
          <w:rFonts w:hint="eastAsia" w:ascii="宋体" w:hAnsi="宋体" w:eastAsia="宋体" w:cs="宋体"/>
          <w:sz w:val="30"/>
          <w:szCs w:val="30"/>
        </w:rPr>
        <w:t>编号</w:t>
      </w:r>
      <w:r>
        <w:rPr>
          <w:rFonts w:hint="eastAsia" w:ascii="宋体" w:hAnsi="宋体" w:eastAsia="宋体" w:cs="宋体"/>
          <w:w w:val="95"/>
          <w:sz w:val="30"/>
          <w:szCs w:val="30"/>
        </w:rPr>
        <w:t>：</w:t>
      </w:r>
      <w:r>
        <w:rPr>
          <w:rFonts w:hint="eastAsia" w:ascii="宋体" w:hAnsi="宋体" w:eastAsia="宋体" w:cs="宋体"/>
          <w:w w:val="95"/>
          <w:kern w:val="0"/>
          <w:sz w:val="30"/>
          <w:szCs w:val="30"/>
          <w:u w:val="single"/>
        </w:rPr>
        <w:t>QZZC2026-J2-220058-GXXH</w:t>
      </w:r>
    </w:p>
    <w:p w14:paraId="595C1648">
      <w:pPr>
        <w:snapToGrid w:val="0"/>
        <w:spacing w:before="50" w:beforeLines="0" w:after="120" w:afterLines="0" w:line="360" w:lineRule="auto"/>
        <w:ind w:left="1260" w:leftChars="600" w:right="0" w:rightChars="0" w:firstLine="0" w:firstLineChars="0"/>
        <w:jc w:val="left"/>
        <w:rPr>
          <w:rFonts w:hint="eastAsia" w:ascii="宋体" w:hAnsi="宋体" w:eastAsia="宋体" w:cs="宋体"/>
          <w:w w:val="95"/>
          <w:kern w:val="0"/>
          <w:sz w:val="30"/>
          <w:szCs w:val="30"/>
        </w:rPr>
      </w:pPr>
      <w:r>
        <w:rPr>
          <w:rFonts w:hint="eastAsia" w:ascii="宋体" w:hAnsi="宋体" w:eastAsia="宋体" w:cs="宋体"/>
          <w:w w:val="95"/>
          <w:kern w:val="0"/>
          <w:sz w:val="30"/>
          <w:szCs w:val="30"/>
        </w:rPr>
        <w:t>采 购 人： 中国共产党浦北县委员会统一战线工作部</w:t>
      </w:r>
    </w:p>
    <w:p w14:paraId="7128D840">
      <w:pPr>
        <w:snapToGrid w:val="0"/>
        <w:spacing w:before="50" w:beforeLines="0" w:after="120" w:afterLines="0" w:line="360" w:lineRule="auto"/>
        <w:ind w:left="1260" w:leftChars="600" w:right="0" w:rightChars="0" w:firstLine="0" w:firstLineChars="0"/>
        <w:jc w:val="left"/>
        <w:rPr>
          <w:rFonts w:hint="eastAsia" w:ascii="宋体" w:hAnsi="宋体" w:eastAsia="宋体" w:cs="宋体"/>
          <w:w w:val="95"/>
          <w:kern w:val="0"/>
          <w:sz w:val="30"/>
          <w:szCs w:val="30"/>
        </w:rPr>
      </w:pPr>
      <w:r>
        <w:rPr>
          <w:rFonts w:hint="eastAsia" w:ascii="宋体" w:hAnsi="宋体" w:eastAsia="宋体" w:cs="宋体"/>
          <w:w w:val="95"/>
          <w:kern w:val="0"/>
          <w:sz w:val="30"/>
          <w:szCs w:val="30"/>
        </w:rPr>
        <w:t>采购代理机构：广西鑫泓项目管理有限公司</w:t>
      </w:r>
    </w:p>
    <w:p w14:paraId="2132A15C">
      <w:pPr>
        <w:spacing w:beforeLines="0" w:afterLines="0" w:line="360" w:lineRule="auto"/>
        <w:jc w:val="center"/>
        <w:rPr>
          <w:rFonts w:hint="eastAsia" w:ascii="宋体" w:hAnsi="宋体" w:eastAsia="宋体" w:cs="宋体"/>
          <w:b/>
          <w:sz w:val="30"/>
          <w:szCs w:val="30"/>
        </w:rPr>
      </w:pPr>
    </w:p>
    <w:p w14:paraId="46B10822">
      <w:pPr>
        <w:spacing w:beforeLines="0" w:afterLines="0" w:line="360" w:lineRule="auto"/>
        <w:jc w:val="center"/>
        <w:rPr>
          <w:rFonts w:hint="eastAsia" w:ascii="宋体" w:hAnsi="宋体" w:eastAsia="宋体" w:cs="宋体"/>
          <w:sz w:val="30"/>
          <w:szCs w:val="30"/>
        </w:rPr>
      </w:pPr>
      <w:r>
        <w:rPr>
          <w:rFonts w:hint="eastAsia" w:ascii="宋体" w:hAnsi="宋体" w:eastAsia="宋体" w:cs="宋体"/>
          <w:sz w:val="30"/>
          <w:szCs w:val="30"/>
        </w:rPr>
        <w:t>2026年5月21日</w:t>
      </w:r>
    </w:p>
    <w:p w14:paraId="3BC0EF55">
      <w:pPr>
        <w:spacing w:beforeLines="0" w:afterLines="0" w:line="360" w:lineRule="auto"/>
        <w:rPr>
          <w:rFonts w:hint="eastAsia" w:ascii="宋体" w:hAnsi="宋体" w:eastAsia="宋体" w:cs="宋体"/>
          <w:b/>
          <w:sz w:val="32"/>
          <w:szCs w:val="24"/>
        </w:rPr>
        <w:sectPr>
          <w:headerReference r:id="rId3" w:type="default"/>
          <w:footerReference r:id="rId4" w:type="default"/>
          <w:pgSz w:w="11906" w:h="16838"/>
          <w:pgMar w:top="1440" w:right="1077" w:bottom="1440" w:left="1077" w:header="851" w:footer="992" w:gutter="0"/>
          <w:lnNumType w:countBy="0" w:distance="360"/>
          <w:pgNumType w:start="1"/>
          <w:cols w:space="720" w:num="1"/>
          <w:titlePg/>
          <w:docGrid w:type="lines" w:linePitch="312" w:charSpace="0"/>
        </w:sectPr>
      </w:pPr>
    </w:p>
    <w:p w14:paraId="1A366825">
      <w:pPr>
        <w:pStyle w:val="3"/>
        <w:rPr>
          <w:rFonts w:hint="eastAsia" w:ascii="宋体" w:hAnsi="宋体" w:eastAsia="宋体" w:cs="宋体"/>
          <w:b/>
          <w:color w:val="auto"/>
          <w:w w:val="95"/>
          <w:sz w:val="32"/>
          <w:szCs w:val="32"/>
          <w:highlight w:val="none"/>
        </w:rPr>
      </w:pPr>
    </w:p>
    <w:p w14:paraId="0B5F410D">
      <w:pPr>
        <w:pStyle w:val="3"/>
        <w:rPr>
          <w:rFonts w:hint="eastAsia" w:ascii="宋体" w:hAnsi="宋体" w:eastAsia="宋体" w:cs="宋体"/>
          <w:b/>
          <w:color w:val="auto"/>
          <w:w w:val="95"/>
          <w:sz w:val="32"/>
          <w:szCs w:val="32"/>
          <w:highlight w:val="none"/>
        </w:rPr>
      </w:pPr>
    </w:p>
    <w:p w14:paraId="3946CF1F">
      <w:pPr>
        <w:spacing w:line="360" w:lineRule="auto"/>
        <w:jc w:val="center"/>
        <w:rPr>
          <w:rFonts w:hint="eastAsia" w:ascii="宋体" w:hAnsi="宋体" w:eastAsia="宋体" w:cs="宋体"/>
          <w:b/>
          <w:color w:val="auto"/>
          <w:sz w:val="44"/>
          <w:szCs w:val="44"/>
          <w:highlight w:val="none"/>
        </w:rPr>
      </w:pPr>
      <w:r>
        <w:rPr>
          <w:rFonts w:hint="eastAsia" w:ascii="宋体" w:hAnsi="宋体" w:eastAsia="宋体" w:cs="宋体"/>
          <w:b/>
          <w:color w:val="auto"/>
          <w:sz w:val="44"/>
          <w:szCs w:val="44"/>
          <w:highlight w:val="none"/>
        </w:rPr>
        <w:t>目  录</w:t>
      </w:r>
    </w:p>
    <w:p w14:paraId="68CCCDFF">
      <w:pPr>
        <w:spacing w:line="400" w:lineRule="exact"/>
        <w:jc w:val="center"/>
        <w:rPr>
          <w:rFonts w:hint="eastAsia" w:ascii="宋体" w:hAnsi="宋体" w:eastAsia="宋体" w:cs="宋体"/>
          <w:b/>
          <w:color w:val="auto"/>
          <w:sz w:val="44"/>
          <w:szCs w:val="44"/>
          <w:highlight w:val="none"/>
        </w:rPr>
      </w:pPr>
    </w:p>
    <w:p w14:paraId="4393CF79">
      <w:pPr>
        <w:pStyle w:val="21"/>
        <w:keepNext w:val="0"/>
        <w:keepLines w:val="0"/>
        <w:pageBreakBefore w:val="0"/>
        <w:widowControl w:val="0"/>
        <w:tabs>
          <w:tab w:val="right" w:leader="dot" w:pos="9638"/>
        </w:tabs>
        <w:kinsoku/>
        <w:wordWrap/>
        <w:overflowPunct/>
        <w:topLinePunct w:val="0"/>
        <w:autoSpaceDE/>
        <w:autoSpaceDN/>
        <w:bidi w:val="0"/>
        <w:adjustRightInd/>
        <w:spacing w:line="552" w:lineRule="auto"/>
        <w:textAlignment w:val="auto"/>
        <w:rPr>
          <w:rFonts w:hint="eastAsia" w:ascii="宋体" w:hAnsi="宋体" w:eastAsia="宋体" w:cs="宋体"/>
          <w:sz w:val="28"/>
          <w:szCs w:val="28"/>
          <w:u w:val="thick"/>
        </w:rPr>
      </w:pPr>
      <w:r>
        <w:rPr>
          <w:rFonts w:hint="eastAsia" w:ascii="宋体" w:hAnsi="宋体" w:eastAsia="宋体" w:cs="宋体"/>
          <w:b/>
          <w:color w:val="auto"/>
          <w:sz w:val="28"/>
          <w:szCs w:val="28"/>
          <w:highlight w:val="none"/>
          <w:u w:val="thick"/>
        </w:rPr>
        <w:fldChar w:fldCharType="begin"/>
      </w:r>
      <w:r>
        <w:rPr>
          <w:rFonts w:hint="eastAsia" w:ascii="宋体" w:hAnsi="宋体" w:eastAsia="宋体" w:cs="宋体"/>
          <w:b/>
          <w:color w:val="auto"/>
          <w:sz w:val="28"/>
          <w:szCs w:val="28"/>
          <w:highlight w:val="none"/>
          <w:u w:val="thick"/>
        </w:rPr>
        <w:instrText xml:space="preserve"> TOC \o "1-3" \h \z \u </w:instrText>
      </w:r>
      <w:r>
        <w:rPr>
          <w:rFonts w:hint="eastAsia" w:ascii="宋体" w:hAnsi="宋体" w:eastAsia="宋体" w:cs="宋体"/>
          <w:b/>
          <w:color w:val="auto"/>
          <w:sz w:val="28"/>
          <w:szCs w:val="28"/>
          <w:highlight w:val="none"/>
          <w:u w:val="thick"/>
        </w:rPr>
        <w:fldChar w:fldCharType="separate"/>
      </w:r>
      <w:r>
        <w:rPr>
          <w:rFonts w:hint="eastAsia" w:ascii="宋体" w:hAnsi="宋体" w:eastAsia="宋体" w:cs="宋体"/>
          <w:color w:val="auto"/>
          <w:sz w:val="28"/>
          <w:szCs w:val="28"/>
          <w:highlight w:val="none"/>
          <w:u w:val="thick"/>
        </w:rPr>
        <w:fldChar w:fldCharType="begin"/>
      </w:r>
      <w:r>
        <w:rPr>
          <w:rFonts w:hint="eastAsia" w:ascii="宋体" w:hAnsi="宋体" w:eastAsia="宋体" w:cs="宋体"/>
          <w:sz w:val="28"/>
          <w:szCs w:val="28"/>
          <w:highlight w:val="none"/>
          <w:u w:val="thick"/>
        </w:rPr>
        <w:instrText xml:space="preserve"> HYPERLINK \l _Toc19201 </w:instrText>
      </w:r>
      <w:r>
        <w:rPr>
          <w:rFonts w:hint="eastAsia" w:ascii="宋体" w:hAnsi="宋体" w:eastAsia="宋体" w:cs="宋体"/>
          <w:sz w:val="28"/>
          <w:szCs w:val="28"/>
          <w:highlight w:val="none"/>
          <w:u w:val="thick"/>
        </w:rPr>
        <w:fldChar w:fldCharType="separate"/>
      </w:r>
      <w:r>
        <w:rPr>
          <w:rFonts w:hint="eastAsia" w:ascii="宋体" w:hAnsi="宋体" w:eastAsia="宋体" w:cs="宋体"/>
          <w:sz w:val="28"/>
          <w:szCs w:val="28"/>
          <w:highlight w:val="none"/>
          <w:u w:val="thick"/>
        </w:rPr>
        <w:t>第一章 竞争性谈判公告</w:t>
      </w:r>
      <w:r>
        <w:rPr>
          <w:rFonts w:hint="eastAsia" w:ascii="宋体" w:hAnsi="宋体" w:eastAsia="宋体" w:cs="宋体"/>
          <w:sz w:val="28"/>
          <w:szCs w:val="28"/>
          <w:u w:val="thick"/>
        </w:rPr>
        <w:tab/>
      </w:r>
      <w:r>
        <w:rPr>
          <w:rFonts w:hint="eastAsia" w:ascii="宋体" w:hAnsi="宋体" w:eastAsia="宋体" w:cs="宋体"/>
          <w:sz w:val="28"/>
          <w:szCs w:val="28"/>
          <w:u w:val="thick"/>
        </w:rPr>
        <w:fldChar w:fldCharType="begin"/>
      </w:r>
      <w:r>
        <w:rPr>
          <w:rFonts w:hint="eastAsia" w:ascii="宋体" w:hAnsi="宋体" w:eastAsia="宋体" w:cs="宋体"/>
          <w:sz w:val="28"/>
          <w:szCs w:val="28"/>
          <w:u w:val="thick"/>
        </w:rPr>
        <w:instrText xml:space="preserve"> PAGEREF _Toc19201 \h </w:instrText>
      </w:r>
      <w:r>
        <w:rPr>
          <w:rFonts w:hint="eastAsia" w:ascii="宋体" w:hAnsi="宋体" w:eastAsia="宋体" w:cs="宋体"/>
          <w:sz w:val="28"/>
          <w:szCs w:val="28"/>
          <w:u w:val="thick"/>
        </w:rPr>
        <w:fldChar w:fldCharType="separate"/>
      </w:r>
      <w:r>
        <w:rPr>
          <w:rFonts w:hint="eastAsia" w:ascii="宋体" w:hAnsi="宋体" w:eastAsia="宋体" w:cs="宋体"/>
          <w:sz w:val="28"/>
          <w:szCs w:val="28"/>
          <w:u w:val="thick"/>
        </w:rPr>
        <w:t>1</w:t>
      </w:r>
      <w:r>
        <w:rPr>
          <w:rFonts w:hint="eastAsia" w:ascii="宋体" w:hAnsi="宋体" w:eastAsia="宋体" w:cs="宋体"/>
          <w:sz w:val="28"/>
          <w:szCs w:val="28"/>
          <w:u w:val="thick"/>
        </w:rPr>
        <w:fldChar w:fldCharType="end"/>
      </w:r>
      <w:r>
        <w:rPr>
          <w:rFonts w:hint="eastAsia" w:ascii="宋体" w:hAnsi="宋体" w:eastAsia="宋体" w:cs="宋体"/>
          <w:color w:val="auto"/>
          <w:sz w:val="28"/>
          <w:szCs w:val="28"/>
          <w:highlight w:val="none"/>
          <w:u w:val="thick"/>
        </w:rPr>
        <w:fldChar w:fldCharType="end"/>
      </w:r>
    </w:p>
    <w:p w14:paraId="3C3CCF94">
      <w:pPr>
        <w:pStyle w:val="21"/>
        <w:keepNext w:val="0"/>
        <w:keepLines w:val="0"/>
        <w:pageBreakBefore w:val="0"/>
        <w:widowControl w:val="0"/>
        <w:tabs>
          <w:tab w:val="right" w:leader="dot" w:pos="9638"/>
        </w:tabs>
        <w:kinsoku/>
        <w:wordWrap/>
        <w:overflowPunct/>
        <w:topLinePunct w:val="0"/>
        <w:autoSpaceDE/>
        <w:autoSpaceDN/>
        <w:bidi w:val="0"/>
        <w:adjustRightInd/>
        <w:spacing w:line="552" w:lineRule="auto"/>
        <w:textAlignment w:val="auto"/>
        <w:rPr>
          <w:rFonts w:hint="eastAsia" w:ascii="宋体" w:hAnsi="宋体" w:eastAsia="宋体" w:cs="宋体"/>
          <w:sz w:val="28"/>
          <w:szCs w:val="28"/>
          <w:u w:val="thick"/>
        </w:rPr>
      </w:pPr>
      <w:r>
        <w:rPr>
          <w:rFonts w:hint="eastAsia" w:ascii="宋体" w:hAnsi="宋体" w:eastAsia="宋体" w:cs="宋体"/>
          <w:color w:val="auto"/>
          <w:sz w:val="28"/>
          <w:szCs w:val="28"/>
          <w:highlight w:val="none"/>
          <w:u w:val="thick"/>
        </w:rPr>
        <w:fldChar w:fldCharType="begin"/>
      </w:r>
      <w:r>
        <w:rPr>
          <w:rFonts w:hint="eastAsia" w:ascii="宋体" w:hAnsi="宋体" w:eastAsia="宋体" w:cs="宋体"/>
          <w:sz w:val="28"/>
          <w:szCs w:val="28"/>
          <w:highlight w:val="none"/>
          <w:u w:val="thick"/>
        </w:rPr>
        <w:instrText xml:space="preserve"> HYPERLINK \l _Toc1548 </w:instrText>
      </w:r>
      <w:r>
        <w:rPr>
          <w:rFonts w:hint="eastAsia" w:ascii="宋体" w:hAnsi="宋体" w:eastAsia="宋体" w:cs="宋体"/>
          <w:sz w:val="28"/>
          <w:szCs w:val="28"/>
          <w:highlight w:val="none"/>
          <w:u w:val="thick"/>
        </w:rPr>
        <w:fldChar w:fldCharType="separate"/>
      </w:r>
      <w:r>
        <w:rPr>
          <w:rFonts w:hint="eastAsia" w:ascii="宋体" w:hAnsi="宋体" w:eastAsia="宋体" w:cs="宋体"/>
          <w:sz w:val="28"/>
          <w:szCs w:val="28"/>
          <w:highlight w:val="none"/>
          <w:u w:val="thick"/>
        </w:rPr>
        <w:t>第二章 供应商须知</w:t>
      </w:r>
      <w:r>
        <w:rPr>
          <w:rFonts w:hint="eastAsia" w:ascii="宋体" w:hAnsi="宋体" w:eastAsia="宋体" w:cs="宋体"/>
          <w:sz w:val="28"/>
          <w:szCs w:val="28"/>
          <w:u w:val="thick"/>
        </w:rPr>
        <w:tab/>
      </w:r>
      <w:r>
        <w:rPr>
          <w:rFonts w:hint="eastAsia" w:ascii="宋体" w:hAnsi="宋体" w:eastAsia="宋体" w:cs="宋体"/>
          <w:sz w:val="28"/>
          <w:szCs w:val="28"/>
          <w:u w:val="thick"/>
        </w:rPr>
        <w:fldChar w:fldCharType="begin"/>
      </w:r>
      <w:r>
        <w:rPr>
          <w:rFonts w:hint="eastAsia" w:ascii="宋体" w:hAnsi="宋体" w:eastAsia="宋体" w:cs="宋体"/>
          <w:sz w:val="28"/>
          <w:szCs w:val="28"/>
          <w:u w:val="thick"/>
        </w:rPr>
        <w:instrText xml:space="preserve"> PAGEREF _Toc1548 \h </w:instrText>
      </w:r>
      <w:r>
        <w:rPr>
          <w:rFonts w:hint="eastAsia" w:ascii="宋体" w:hAnsi="宋体" w:eastAsia="宋体" w:cs="宋体"/>
          <w:sz w:val="28"/>
          <w:szCs w:val="28"/>
          <w:u w:val="thick"/>
        </w:rPr>
        <w:fldChar w:fldCharType="separate"/>
      </w:r>
      <w:r>
        <w:rPr>
          <w:rFonts w:hint="eastAsia" w:ascii="宋体" w:hAnsi="宋体" w:eastAsia="宋体" w:cs="宋体"/>
          <w:sz w:val="28"/>
          <w:szCs w:val="28"/>
          <w:u w:val="thick"/>
        </w:rPr>
        <w:t>5</w:t>
      </w:r>
      <w:r>
        <w:rPr>
          <w:rFonts w:hint="eastAsia" w:ascii="宋体" w:hAnsi="宋体" w:eastAsia="宋体" w:cs="宋体"/>
          <w:sz w:val="28"/>
          <w:szCs w:val="28"/>
          <w:u w:val="thick"/>
        </w:rPr>
        <w:fldChar w:fldCharType="end"/>
      </w:r>
      <w:r>
        <w:rPr>
          <w:rFonts w:hint="eastAsia" w:ascii="宋体" w:hAnsi="宋体" w:eastAsia="宋体" w:cs="宋体"/>
          <w:color w:val="auto"/>
          <w:sz w:val="28"/>
          <w:szCs w:val="28"/>
          <w:highlight w:val="none"/>
          <w:u w:val="thick"/>
        </w:rPr>
        <w:fldChar w:fldCharType="end"/>
      </w:r>
    </w:p>
    <w:p w14:paraId="240973BF">
      <w:pPr>
        <w:pStyle w:val="21"/>
        <w:keepNext w:val="0"/>
        <w:keepLines w:val="0"/>
        <w:pageBreakBefore w:val="0"/>
        <w:widowControl w:val="0"/>
        <w:tabs>
          <w:tab w:val="right" w:leader="dot" w:pos="9638"/>
        </w:tabs>
        <w:kinsoku/>
        <w:wordWrap/>
        <w:overflowPunct/>
        <w:topLinePunct w:val="0"/>
        <w:autoSpaceDE/>
        <w:autoSpaceDN/>
        <w:bidi w:val="0"/>
        <w:adjustRightInd/>
        <w:spacing w:line="552" w:lineRule="auto"/>
        <w:textAlignment w:val="auto"/>
        <w:rPr>
          <w:rFonts w:hint="eastAsia" w:ascii="宋体" w:hAnsi="宋体" w:eastAsia="宋体" w:cs="宋体"/>
          <w:sz w:val="28"/>
          <w:szCs w:val="28"/>
          <w:u w:val="thick"/>
        </w:rPr>
      </w:pPr>
      <w:r>
        <w:rPr>
          <w:rFonts w:hint="eastAsia" w:ascii="宋体" w:hAnsi="宋体" w:eastAsia="宋体" w:cs="宋体"/>
          <w:color w:val="auto"/>
          <w:sz w:val="28"/>
          <w:szCs w:val="28"/>
          <w:highlight w:val="none"/>
          <w:u w:val="thick"/>
        </w:rPr>
        <w:fldChar w:fldCharType="begin"/>
      </w:r>
      <w:r>
        <w:rPr>
          <w:rFonts w:hint="eastAsia" w:ascii="宋体" w:hAnsi="宋体" w:eastAsia="宋体" w:cs="宋体"/>
          <w:sz w:val="28"/>
          <w:szCs w:val="28"/>
          <w:highlight w:val="none"/>
          <w:u w:val="thick"/>
        </w:rPr>
        <w:instrText xml:space="preserve"> HYPERLINK \l _Toc13290 </w:instrText>
      </w:r>
      <w:r>
        <w:rPr>
          <w:rFonts w:hint="eastAsia" w:ascii="宋体" w:hAnsi="宋体" w:eastAsia="宋体" w:cs="宋体"/>
          <w:sz w:val="28"/>
          <w:szCs w:val="28"/>
          <w:highlight w:val="none"/>
          <w:u w:val="thick"/>
        </w:rPr>
        <w:fldChar w:fldCharType="separate"/>
      </w:r>
      <w:r>
        <w:rPr>
          <w:rFonts w:hint="eastAsia" w:ascii="宋体" w:hAnsi="宋体" w:eastAsia="宋体" w:cs="宋体"/>
          <w:sz w:val="28"/>
          <w:szCs w:val="28"/>
          <w:highlight w:val="none"/>
          <w:u w:val="thick"/>
        </w:rPr>
        <w:t>第三章 采购需求</w:t>
      </w:r>
      <w:r>
        <w:rPr>
          <w:rFonts w:hint="eastAsia" w:ascii="宋体" w:hAnsi="宋体" w:eastAsia="宋体" w:cs="宋体"/>
          <w:sz w:val="28"/>
          <w:szCs w:val="28"/>
          <w:u w:val="thick"/>
        </w:rPr>
        <w:tab/>
      </w:r>
      <w:r>
        <w:rPr>
          <w:rFonts w:hint="eastAsia" w:ascii="宋体" w:hAnsi="宋体" w:eastAsia="宋体" w:cs="宋体"/>
          <w:sz w:val="28"/>
          <w:szCs w:val="28"/>
          <w:u w:val="thick"/>
        </w:rPr>
        <w:fldChar w:fldCharType="begin"/>
      </w:r>
      <w:r>
        <w:rPr>
          <w:rFonts w:hint="eastAsia" w:ascii="宋体" w:hAnsi="宋体" w:eastAsia="宋体" w:cs="宋体"/>
          <w:sz w:val="28"/>
          <w:szCs w:val="28"/>
          <w:u w:val="thick"/>
        </w:rPr>
        <w:instrText xml:space="preserve"> PAGEREF _Toc13290 \h </w:instrText>
      </w:r>
      <w:r>
        <w:rPr>
          <w:rFonts w:hint="eastAsia" w:ascii="宋体" w:hAnsi="宋体" w:eastAsia="宋体" w:cs="宋体"/>
          <w:sz w:val="28"/>
          <w:szCs w:val="28"/>
          <w:u w:val="thick"/>
        </w:rPr>
        <w:fldChar w:fldCharType="separate"/>
      </w:r>
      <w:r>
        <w:rPr>
          <w:rFonts w:hint="eastAsia" w:ascii="宋体" w:hAnsi="宋体" w:eastAsia="宋体" w:cs="宋体"/>
          <w:sz w:val="28"/>
          <w:szCs w:val="28"/>
          <w:u w:val="thick"/>
        </w:rPr>
        <w:t>20</w:t>
      </w:r>
      <w:r>
        <w:rPr>
          <w:rFonts w:hint="eastAsia" w:ascii="宋体" w:hAnsi="宋体" w:eastAsia="宋体" w:cs="宋体"/>
          <w:sz w:val="28"/>
          <w:szCs w:val="28"/>
          <w:u w:val="thick"/>
        </w:rPr>
        <w:fldChar w:fldCharType="end"/>
      </w:r>
      <w:r>
        <w:rPr>
          <w:rFonts w:hint="eastAsia" w:ascii="宋体" w:hAnsi="宋体" w:eastAsia="宋体" w:cs="宋体"/>
          <w:color w:val="auto"/>
          <w:sz w:val="28"/>
          <w:szCs w:val="28"/>
          <w:highlight w:val="none"/>
          <w:u w:val="thick"/>
        </w:rPr>
        <w:fldChar w:fldCharType="end"/>
      </w:r>
    </w:p>
    <w:p w14:paraId="2E5C8E18">
      <w:pPr>
        <w:pStyle w:val="21"/>
        <w:keepNext w:val="0"/>
        <w:keepLines w:val="0"/>
        <w:pageBreakBefore w:val="0"/>
        <w:widowControl w:val="0"/>
        <w:tabs>
          <w:tab w:val="right" w:leader="dot" w:pos="9638"/>
        </w:tabs>
        <w:kinsoku/>
        <w:wordWrap/>
        <w:overflowPunct/>
        <w:topLinePunct w:val="0"/>
        <w:autoSpaceDE/>
        <w:autoSpaceDN/>
        <w:bidi w:val="0"/>
        <w:adjustRightInd/>
        <w:spacing w:line="552" w:lineRule="auto"/>
        <w:textAlignment w:val="auto"/>
        <w:rPr>
          <w:rFonts w:hint="eastAsia" w:ascii="宋体" w:hAnsi="宋体" w:eastAsia="宋体" w:cs="宋体"/>
          <w:sz w:val="28"/>
          <w:szCs w:val="28"/>
          <w:u w:val="thick"/>
        </w:rPr>
      </w:pPr>
      <w:r>
        <w:rPr>
          <w:rFonts w:hint="eastAsia" w:ascii="宋体" w:hAnsi="宋体" w:eastAsia="宋体" w:cs="宋体"/>
          <w:color w:val="auto"/>
          <w:sz w:val="28"/>
          <w:szCs w:val="28"/>
          <w:highlight w:val="none"/>
          <w:u w:val="thick"/>
        </w:rPr>
        <w:fldChar w:fldCharType="begin"/>
      </w:r>
      <w:r>
        <w:rPr>
          <w:rFonts w:hint="eastAsia" w:ascii="宋体" w:hAnsi="宋体" w:eastAsia="宋体" w:cs="宋体"/>
          <w:sz w:val="28"/>
          <w:szCs w:val="28"/>
          <w:highlight w:val="none"/>
          <w:u w:val="thick"/>
        </w:rPr>
        <w:instrText xml:space="preserve"> HYPERLINK \l _Toc18113 </w:instrText>
      </w:r>
      <w:r>
        <w:rPr>
          <w:rFonts w:hint="eastAsia" w:ascii="宋体" w:hAnsi="宋体" w:eastAsia="宋体" w:cs="宋体"/>
          <w:sz w:val="28"/>
          <w:szCs w:val="28"/>
          <w:highlight w:val="none"/>
          <w:u w:val="thick"/>
        </w:rPr>
        <w:fldChar w:fldCharType="separate"/>
      </w:r>
      <w:r>
        <w:rPr>
          <w:rFonts w:hint="eastAsia" w:ascii="宋体" w:hAnsi="宋体" w:eastAsia="宋体" w:cs="宋体"/>
          <w:sz w:val="28"/>
          <w:szCs w:val="28"/>
          <w:highlight w:val="none"/>
          <w:u w:val="thick"/>
        </w:rPr>
        <w:t>第四章  评审程序和评定成交的标准</w:t>
      </w:r>
      <w:r>
        <w:rPr>
          <w:rFonts w:hint="eastAsia" w:ascii="宋体" w:hAnsi="宋体" w:eastAsia="宋体" w:cs="宋体"/>
          <w:sz w:val="28"/>
          <w:szCs w:val="28"/>
          <w:u w:val="thick"/>
        </w:rPr>
        <w:tab/>
      </w:r>
      <w:r>
        <w:rPr>
          <w:rFonts w:hint="eastAsia" w:ascii="宋体" w:hAnsi="宋体" w:eastAsia="宋体" w:cs="宋体"/>
          <w:sz w:val="28"/>
          <w:szCs w:val="28"/>
          <w:u w:val="thick"/>
        </w:rPr>
        <w:fldChar w:fldCharType="begin"/>
      </w:r>
      <w:r>
        <w:rPr>
          <w:rFonts w:hint="eastAsia" w:ascii="宋体" w:hAnsi="宋体" w:eastAsia="宋体" w:cs="宋体"/>
          <w:sz w:val="28"/>
          <w:szCs w:val="28"/>
          <w:u w:val="thick"/>
        </w:rPr>
        <w:instrText xml:space="preserve"> PAGEREF _Toc18113 \h </w:instrText>
      </w:r>
      <w:r>
        <w:rPr>
          <w:rFonts w:hint="eastAsia" w:ascii="宋体" w:hAnsi="宋体" w:eastAsia="宋体" w:cs="宋体"/>
          <w:sz w:val="28"/>
          <w:szCs w:val="28"/>
          <w:u w:val="thick"/>
        </w:rPr>
        <w:fldChar w:fldCharType="separate"/>
      </w:r>
      <w:r>
        <w:rPr>
          <w:rFonts w:hint="eastAsia" w:ascii="宋体" w:hAnsi="宋体" w:eastAsia="宋体" w:cs="宋体"/>
          <w:sz w:val="28"/>
          <w:szCs w:val="28"/>
          <w:u w:val="thick"/>
        </w:rPr>
        <w:t>24</w:t>
      </w:r>
      <w:r>
        <w:rPr>
          <w:rFonts w:hint="eastAsia" w:ascii="宋体" w:hAnsi="宋体" w:eastAsia="宋体" w:cs="宋体"/>
          <w:sz w:val="28"/>
          <w:szCs w:val="28"/>
          <w:u w:val="thick"/>
        </w:rPr>
        <w:fldChar w:fldCharType="end"/>
      </w:r>
      <w:r>
        <w:rPr>
          <w:rFonts w:hint="eastAsia" w:ascii="宋体" w:hAnsi="宋体" w:eastAsia="宋体" w:cs="宋体"/>
          <w:color w:val="auto"/>
          <w:sz w:val="28"/>
          <w:szCs w:val="28"/>
          <w:highlight w:val="none"/>
          <w:u w:val="thick"/>
        </w:rPr>
        <w:fldChar w:fldCharType="end"/>
      </w:r>
    </w:p>
    <w:p w14:paraId="06C3D309">
      <w:pPr>
        <w:pStyle w:val="21"/>
        <w:keepNext w:val="0"/>
        <w:keepLines w:val="0"/>
        <w:pageBreakBefore w:val="0"/>
        <w:widowControl w:val="0"/>
        <w:tabs>
          <w:tab w:val="right" w:leader="dot" w:pos="9638"/>
        </w:tabs>
        <w:kinsoku/>
        <w:wordWrap/>
        <w:overflowPunct/>
        <w:topLinePunct w:val="0"/>
        <w:autoSpaceDE/>
        <w:autoSpaceDN/>
        <w:bidi w:val="0"/>
        <w:adjustRightInd/>
        <w:spacing w:line="552" w:lineRule="auto"/>
        <w:textAlignment w:val="auto"/>
        <w:rPr>
          <w:rFonts w:hint="eastAsia" w:ascii="宋体" w:hAnsi="宋体" w:eastAsia="宋体" w:cs="宋体"/>
          <w:sz w:val="28"/>
          <w:szCs w:val="28"/>
          <w:u w:val="thick"/>
        </w:rPr>
      </w:pPr>
      <w:r>
        <w:rPr>
          <w:rFonts w:hint="eastAsia" w:ascii="宋体" w:hAnsi="宋体" w:eastAsia="宋体" w:cs="宋体"/>
          <w:color w:val="auto"/>
          <w:sz w:val="28"/>
          <w:szCs w:val="28"/>
          <w:highlight w:val="none"/>
          <w:u w:val="thick"/>
        </w:rPr>
        <w:fldChar w:fldCharType="begin"/>
      </w:r>
      <w:r>
        <w:rPr>
          <w:rFonts w:hint="eastAsia" w:ascii="宋体" w:hAnsi="宋体" w:eastAsia="宋体" w:cs="宋体"/>
          <w:sz w:val="28"/>
          <w:szCs w:val="28"/>
          <w:highlight w:val="none"/>
          <w:u w:val="thick"/>
        </w:rPr>
        <w:instrText xml:space="preserve"> HYPERLINK \l _Toc19609 </w:instrText>
      </w:r>
      <w:r>
        <w:rPr>
          <w:rFonts w:hint="eastAsia" w:ascii="宋体" w:hAnsi="宋体" w:eastAsia="宋体" w:cs="宋体"/>
          <w:sz w:val="28"/>
          <w:szCs w:val="28"/>
          <w:highlight w:val="none"/>
          <w:u w:val="thick"/>
        </w:rPr>
        <w:fldChar w:fldCharType="separate"/>
      </w:r>
      <w:r>
        <w:rPr>
          <w:rFonts w:hint="eastAsia" w:ascii="宋体" w:hAnsi="宋体" w:eastAsia="宋体" w:cs="宋体"/>
          <w:sz w:val="28"/>
          <w:szCs w:val="28"/>
          <w:highlight w:val="none"/>
          <w:u w:val="thick"/>
        </w:rPr>
        <w:t>第五章 响应文件格式</w:t>
      </w:r>
      <w:r>
        <w:rPr>
          <w:rFonts w:hint="eastAsia" w:ascii="宋体" w:hAnsi="宋体" w:eastAsia="宋体" w:cs="宋体"/>
          <w:sz w:val="28"/>
          <w:szCs w:val="28"/>
          <w:u w:val="thick"/>
        </w:rPr>
        <w:tab/>
      </w:r>
      <w:r>
        <w:rPr>
          <w:rFonts w:hint="eastAsia" w:ascii="宋体" w:hAnsi="宋体" w:eastAsia="宋体" w:cs="宋体"/>
          <w:sz w:val="28"/>
          <w:szCs w:val="28"/>
          <w:u w:val="thick"/>
        </w:rPr>
        <w:fldChar w:fldCharType="begin"/>
      </w:r>
      <w:r>
        <w:rPr>
          <w:rFonts w:hint="eastAsia" w:ascii="宋体" w:hAnsi="宋体" w:eastAsia="宋体" w:cs="宋体"/>
          <w:sz w:val="28"/>
          <w:szCs w:val="28"/>
          <w:u w:val="thick"/>
        </w:rPr>
        <w:instrText xml:space="preserve"> PAGEREF _Toc19609 \h </w:instrText>
      </w:r>
      <w:r>
        <w:rPr>
          <w:rFonts w:hint="eastAsia" w:ascii="宋体" w:hAnsi="宋体" w:eastAsia="宋体" w:cs="宋体"/>
          <w:sz w:val="28"/>
          <w:szCs w:val="28"/>
          <w:u w:val="thick"/>
        </w:rPr>
        <w:fldChar w:fldCharType="separate"/>
      </w:r>
      <w:r>
        <w:rPr>
          <w:rFonts w:hint="eastAsia" w:ascii="宋体" w:hAnsi="宋体" w:eastAsia="宋体" w:cs="宋体"/>
          <w:sz w:val="28"/>
          <w:szCs w:val="28"/>
          <w:u w:val="thick"/>
        </w:rPr>
        <w:t>30</w:t>
      </w:r>
      <w:r>
        <w:rPr>
          <w:rFonts w:hint="eastAsia" w:ascii="宋体" w:hAnsi="宋体" w:eastAsia="宋体" w:cs="宋体"/>
          <w:sz w:val="28"/>
          <w:szCs w:val="28"/>
          <w:u w:val="thick"/>
        </w:rPr>
        <w:fldChar w:fldCharType="end"/>
      </w:r>
      <w:r>
        <w:rPr>
          <w:rFonts w:hint="eastAsia" w:ascii="宋体" w:hAnsi="宋体" w:eastAsia="宋体" w:cs="宋体"/>
          <w:color w:val="auto"/>
          <w:sz w:val="28"/>
          <w:szCs w:val="28"/>
          <w:highlight w:val="none"/>
          <w:u w:val="thick"/>
        </w:rPr>
        <w:fldChar w:fldCharType="end"/>
      </w:r>
    </w:p>
    <w:p w14:paraId="4A918624">
      <w:pPr>
        <w:pStyle w:val="21"/>
        <w:keepNext w:val="0"/>
        <w:keepLines w:val="0"/>
        <w:pageBreakBefore w:val="0"/>
        <w:widowControl w:val="0"/>
        <w:tabs>
          <w:tab w:val="right" w:leader="dot" w:pos="9638"/>
        </w:tabs>
        <w:kinsoku/>
        <w:wordWrap/>
        <w:overflowPunct/>
        <w:topLinePunct w:val="0"/>
        <w:autoSpaceDE/>
        <w:autoSpaceDN/>
        <w:bidi w:val="0"/>
        <w:adjustRightInd/>
        <w:spacing w:line="552" w:lineRule="auto"/>
        <w:textAlignment w:val="auto"/>
        <w:rPr>
          <w:rFonts w:hint="eastAsia" w:ascii="宋体" w:hAnsi="宋体" w:eastAsia="宋体" w:cs="宋体"/>
          <w:sz w:val="28"/>
          <w:szCs w:val="28"/>
          <w:u w:val="thick"/>
        </w:rPr>
      </w:pPr>
      <w:r>
        <w:rPr>
          <w:rFonts w:hint="eastAsia" w:ascii="宋体" w:hAnsi="宋体" w:eastAsia="宋体" w:cs="宋体"/>
          <w:color w:val="auto"/>
          <w:sz w:val="28"/>
          <w:szCs w:val="28"/>
          <w:highlight w:val="none"/>
          <w:u w:val="thick"/>
        </w:rPr>
        <w:fldChar w:fldCharType="begin"/>
      </w:r>
      <w:r>
        <w:rPr>
          <w:rFonts w:hint="eastAsia" w:ascii="宋体" w:hAnsi="宋体" w:eastAsia="宋体" w:cs="宋体"/>
          <w:sz w:val="28"/>
          <w:szCs w:val="28"/>
          <w:highlight w:val="none"/>
          <w:u w:val="thick"/>
        </w:rPr>
        <w:instrText xml:space="preserve"> HYPERLINK \l _Toc10765 </w:instrText>
      </w:r>
      <w:r>
        <w:rPr>
          <w:rFonts w:hint="eastAsia" w:ascii="宋体" w:hAnsi="宋体" w:eastAsia="宋体" w:cs="宋体"/>
          <w:sz w:val="28"/>
          <w:szCs w:val="28"/>
          <w:highlight w:val="none"/>
          <w:u w:val="thick"/>
        </w:rPr>
        <w:fldChar w:fldCharType="separate"/>
      </w:r>
      <w:r>
        <w:rPr>
          <w:rFonts w:hint="eastAsia" w:ascii="宋体" w:hAnsi="宋体" w:eastAsia="宋体" w:cs="宋体"/>
          <w:sz w:val="28"/>
          <w:szCs w:val="28"/>
          <w:highlight w:val="none"/>
          <w:u w:val="thick"/>
        </w:rPr>
        <w:t>第六章 合同文本</w:t>
      </w:r>
      <w:r>
        <w:rPr>
          <w:rFonts w:hint="eastAsia" w:ascii="宋体" w:hAnsi="宋体" w:eastAsia="宋体" w:cs="宋体"/>
          <w:sz w:val="28"/>
          <w:szCs w:val="28"/>
          <w:u w:val="thick"/>
        </w:rPr>
        <w:tab/>
      </w:r>
      <w:r>
        <w:rPr>
          <w:rFonts w:hint="eastAsia" w:ascii="宋体" w:hAnsi="宋体" w:eastAsia="宋体" w:cs="宋体"/>
          <w:sz w:val="28"/>
          <w:szCs w:val="28"/>
          <w:u w:val="thick"/>
        </w:rPr>
        <w:fldChar w:fldCharType="begin"/>
      </w:r>
      <w:r>
        <w:rPr>
          <w:rFonts w:hint="eastAsia" w:ascii="宋体" w:hAnsi="宋体" w:eastAsia="宋体" w:cs="宋体"/>
          <w:sz w:val="28"/>
          <w:szCs w:val="28"/>
          <w:u w:val="thick"/>
        </w:rPr>
        <w:instrText xml:space="preserve"> PAGEREF _Toc10765 \h </w:instrText>
      </w:r>
      <w:r>
        <w:rPr>
          <w:rFonts w:hint="eastAsia" w:ascii="宋体" w:hAnsi="宋体" w:eastAsia="宋体" w:cs="宋体"/>
          <w:sz w:val="28"/>
          <w:szCs w:val="28"/>
          <w:u w:val="thick"/>
        </w:rPr>
        <w:fldChar w:fldCharType="separate"/>
      </w:r>
      <w:r>
        <w:rPr>
          <w:rFonts w:hint="eastAsia" w:ascii="宋体" w:hAnsi="宋体" w:eastAsia="宋体" w:cs="宋体"/>
          <w:sz w:val="28"/>
          <w:szCs w:val="28"/>
          <w:u w:val="thick"/>
        </w:rPr>
        <w:t>59</w:t>
      </w:r>
      <w:r>
        <w:rPr>
          <w:rFonts w:hint="eastAsia" w:ascii="宋体" w:hAnsi="宋体" w:eastAsia="宋体" w:cs="宋体"/>
          <w:sz w:val="28"/>
          <w:szCs w:val="28"/>
          <w:u w:val="thick"/>
        </w:rPr>
        <w:fldChar w:fldCharType="end"/>
      </w:r>
      <w:r>
        <w:rPr>
          <w:rFonts w:hint="eastAsia" w:ascii="宋体" w:hAnsi="宋体" w:eastAsia="宋体" w:cs="宋体"/>
          <w:color w:val="auto"/>
          <w:sz w:val="28"/>
          <w:szCs w:val="28"/>
          <w:highlight w:val="none"/>
          <w:u w:val="thick"/>
        </w:rPr>
        <w:fldChar w:fldCharType="end"/>
      </w:r>
    </w:p>
    <w:p w14:paraId="3BF13DF0">
      <w:pPr>
        <w:pStyle w:val="21"/>
        <w:keepNext w:val="0"/>
        <w:keepLines w:val="0"/>
        <w:pageBreakBefore w:val="0"/>
        <w:widowControl w:val="0"/>
        <w:tabs>
          <w:tab w:val="right" w:leader="dot" w:pos="9638"/>
        </w:tabs>
        <w:kinsoku/>
        <w:wordWrap/>
        <w:overflowPunct/>
        <w:topLinePunct w:val="0"/>
        <w:autoSpaceDE/>
        <w:autoSpaceDN/>
        <w:bidi w:val="0"/>
        <w:adjustRightInd/>
        <w:spacing w:line="552" w:lineRule="auto"/>
        <w:textAlignment w:val="auto"/>
        <w:rPr>
          <w:rFonts w:hint="eastAsia" w:ascii="宋体" w:hAnsi="宋体" w:eastAsia="宋体" w:cs="宋体"/>
          <w:sz w:val="28"/>
          <w:szCs w:val="28"/>
          <w:u w:val="thick"/>
          <w:lang w:val="en-US" w:eastAsia="zh-CN"/>
        </w:rPr>
      </w:pPr>
      <w:r>
        <w:rPr>
          <w:rFonts w:hint="eastAsia" w:ascii="宋体" w:hAnsi="宋体" w:eastAsia="宋体" w:cs="宋体"/>
          <w:color w:val="auto"/>
          <w:sz w:val="28"/>
          <w:szCs w:val="28"/>
          <w:highlight w:val="none"/>
          <w:u w:val="thick"/>
        </w:rPr>
        <w:fldChar w:fldCharType="begin"/>
      </w:r>
      <w:r>
        <w:rPr>
          <w:rFonts w:hint="eastAsia" w:ascii="宋体" w:hAnsi="宋体" w:eastAsia="宋体" w:cs="宋体"/>
          <w:sz w:val="28"/>
          <w:szCs w:val="28"/>
          <w:highlight w:val="none"/>
          <w:u w:val="thick"/>
        </w:rPr>
        <w:instrText xml:space="preserve"> HYPERLINK \l _Toc16868 </w:instrText>
      </w:r>
      <w:r>
        <w:rPr>
          <w:rFonts w:hint="eastAsia" w:ascii="宋体" w:hAnsi="宋体" w:eastAsia="宋体" w:cs="宋体"/>
          <w:sz w:val="28"/>
          <w:szCs w:val="28"/>
          <w:highlight w:val="none"/>
          <w:u w:val="thick"/>
        </w:rPr>
        <w:fldChar w:fldCharType="separate"/>
      </w:r>
      <w:r>
        <w:rPr>
          <w:rFonts w:hint="eastAsia" w:ascii="宋体" w:hAnsi="宋体" w:eastAsia="宋体" w:cs="宋体"/>
          <w:sz w:val="28"/>
          <w:szCs w:val="28"/>
          <w:highlight w:val="none"/>
          <w:u w:val="thick"/>
        </w:rPr>
        <w:t>第七章 质疑、投诉材料格式</w:t>
      </w:r>
      <w:r>
        <w:rPr>
          <w:rFonts w:hint="eastAsia" w:ascii="宋体" w:hAnsi="宋体" w:eastAsia="宋体" w:cs="宋体"/>
          <w:sz w:val="28"/>
          <w:szCs w:val="28"/>
          <w:u w:val="thick"/>
        </w:rPr>
        <w:tab/>
      </w:r>
      <w:r>
        <w:rPr>
          <w:rFonts w:hint="eastAsia" w:ascii="宋体" w:hAnsi="宋体" w:eastAsia="宋体" w:cs="宋体"/>
          <w:sz w:val="28"/>
          <w:szCs w:val="28"/>
          <w:u w:val="thick"/>
        </w:rPr>
        <w:fldChar w:fldCharType="begin"/>
      </w:r>
      <w:r>
        <w:rPr>
          <w:rFonts w:hint="eastAsia" w:ascii="宋体" w:hAnsi="宋体" w:eastAsia="宋体" w:cs="宋体"/>
          <w:sz w:val="28"/>
          <w:szCs w:val="28"/>
          <w:u w:val="thick"/>
        </w:rPr>
        <w:instrText xml:space="preserve"> PAGEREF _Toc16868 \h </w:instrText>
      </w:r>
      <w:r>
        <w:rPr>
          <w:rFonts w:hint="eastAsia" w:ascii="宋体" w:hAnsi="宋体" w:eastAsia="宋体" w:cs="宋体"/>
          <w:sz w:val="28"/>
          <w:szCs w:val="28"/>
          <w:u w:val="thick"/>
        </w:rPr>
        <w:fldChar w:fldCharType="separate"/>
      </w:r>
      <w:r>
        <w:rPr>
          <w:rFonts w:hint="eastAsia" w:ascii="宋体" w:hAnsi="宋体" w:eastAsia="宋体" w:cs="宋体"/>
          <w:sz w:val="28"/>
          <w:szCs w:val="28"/>
          <w:u w:val="thick"/>
        </w:rPr>
        <w:t>132</w:t>
      </w:r>
      <w:r>
        <w:rPr>
          <w:rFonts w:hint="eastAsia" w:ascii="宋体" w:hAnsi="宋体" w:eastAsia="宋体" w:cs="宋体"/>
          <w:sz w:val="28"/>
          <w:szCs w:val="28"/>
          <w:u w:val="thick"/>
        </w:rPr>
        <w:fldChar w:fldCharType="end"/>
      </w:r>
      <w:r>
        <w:rPr>
          <w:rFonts w:hint="eastAsia" w:ascii="宋体" w:hAnsi="宋体" w:eastAsia="宋体" w:cs="宋体"/>
          <w:color w:val="auto"/>
          <w:sz w:val="28"/>
          <w:szCs w:val="28"/>
          <w:highlight w:val="none"/>
          <w:u w:val="thick"/>
        </w:rPr>
        <w:fldChar w:fldCharType="end"/>
      </w:r>
      <w:r>
        <w:rPr>
          <w:rFonts w:hint="eastAsia" w:ascii="宋体" w:hAnsi="宋体" w:eastAsia="宋体" w:cs="宋体"/>
          <w:color w:val="auto"/>
          <w:sz w:val="28"/>
          <w:szCs w:val="28"/>
          <w:highlight w:val="none"/>
          <w:u w:val="thick"/>
          <w:lang w:val="en-US" w:eastAsia="zh-CN"/>
        </w:rPr>
        <w:tab/>
      </w:r>
    </w:p>
    <w:p w14:paraId="7E5E69EC">
      <w:pPr>
        <w:pStyle w:val="22"/>
        <w:keepNext w:val="0"/>
        <w:keepLines w:val="0"/>
        <w:pageBreakBefore w:val="0"/>
        <w:widowControl w:val="0"/>
        <w:tabs>
          <w:tab w:val="right" w:leader="dot" w:pos="8931"/>
          <w:tab w:val="clear" w:pos="8296"/>
        </w:tabs>
        <w:kinsoku/>
        <w:wordWrap/>
        <w:overflowPunct/>
        <w:topLinePunct w:val="0"/>
        <w:autoSpaceDE/>
        <w:autoSpaceDN/>
        <w:bidi w:val="0"/>
        <w:adjustRightInd/>
        <w:snapToGrid w:val="0"/>
        <w:spacing w:line="552" w:lineRule="auto"/>
        <w:ind w:left="0" w:leftChars="0"/>
        <w:textAlignment w:val="auto"/>
        <w:rPr>
          <w:rFonts w:hint="eastAsia" w:ascii="宋体" w:hAnsi="宋体" w:eastAsia="宋体" w:cs="宋体"/>
          <w:b/>
          <w:color w:val="auto"/>
          <w:sz w:val="24"/>
          <w:highlight w:val="none"/>
        </w:rPr>
      </w:pPr>
      <w:r>
        <w:rPr>
          <w:rFonts w:hint="eastAsia" w:ascii="宋体" w:hAnsi="宋体" w:eastAsia="宋体" w:cs="宋体"/>
          <w:color w:val="auto"/>
          <w:sz w:val="28"/>
          <w:szCs w:val="28"/>
          <w:highlight w:val="none"/>
          <w:u w:val="thick"/>
        </w:rPr>
        <w:fldChar w:fldCharType="end"/>
      </w:r>
    </w:p>
    <w:p w14:paraId="1BAF512C">
      <w:pPr>
        <w:spacing w:line="400" w:lineRule="exact"/>
        <w:jc w:val="left"/>
        <w:rPr>
          <w:rFonts w:hint="eastAsia" w:ascii="宋体" w:hAnsi="宋体" w:eastAsia="宋体" w:cs="宋体"/>
          <w:b/>
          <w:color w:val="auto"/>
          <w:sz w:val="32"/>
          <w:szCs w:val="32"/>
          <w:highlight w:val="none"/>
        </w:rPr>
      </w:pPr>
    </w:p>
    <w:p w14:paraId="6C431863">
      <w:pPr>
        <w:spacing w:line="400" w:lineRule="exact"/>
        <w:jc w:val="center"/>
        <w:rPr>
          <w:rFonts w:hint="eastAsia" w:ascii="宋体" w:hAnsi="宋体" w:eastAsia="宋体" w:cs="宋体"/>
          <w:b/>
          <w:color w:val="auto"/>
          <w:sz w:val="32"/>
          <w:szCs w:val="32"/>
          <w:highlight w:val="none"/>
        </w:rPr>
      </w:pPr>
    </w:p>
    <w:p w14:paraId="67012963">
      <w:pPr>
        <w:spacing w:line="400" w:lineRule="exact"/>
        <w:jc w:val="center"/>
        <w:rPr>
          <w:rFonts w:hint="eastAsia" w:ascii="宋体" w:hAnsi="宋体" w:eastAsia="宋体" w:cs="宋体"/>
          <w:b/>
          <w:color w:val="auto"/>
          <w:sz w:val="32"/>
          <w:szCs w:val="32"/>
          <w:highlight w:val="none"/>
        </w:rPr>
      </w:pPr>
    </w:p>
    <w:p w14:paraId="589A16F7">
      <w:pPr>
        <w:spacing w:line="400" w:lineRule="exact"/>
        <w:jc w:val="center"/>
        <w:rPr>
          <w:rFonts w:hint="eastAsia" w:ascii="宋体" w:hAnsi="宋体" w:eastAsia="宋体" w:cs="宋体"/>
          <w:b/>
          <w:color w:val="auto"/>
          <w:sz w:val="32"/>
          <w:szCs w:val="32"/>
          <w:highlight w:val="none"/>
        </w:rPr>
      </w:pPr>
    </w:p>
    <w:p w14:paraId="798FF551">
      <w:pPr>
        <w:spacing w:line="400" w:lineRule="exact"/>
        <w:jc w:val="center"/>
        <w:rPr>
          <w:rFonts w:hint="eastAsia" w:ascii="宋体" w:hAnsi="宋体" w:eastAsia="宋体" w:cs="宋体"/>
          <w:b/>
          <w:color w:val="auto"/>
          <w:sz w:val="32"/>
          <w:szCs w:val="32"/>
          <w:highlight w:val="none"/>
        </w:rPr>
      </w:pPr>
    </w:p>
    <w:p w14:paraId="204051C6">
      <w:pPr>
        <w:spacing w:line="400" w:lineRule="exact"/>
        <w:rPr>
          <w:rFonts w:hint="eastAsia" w:ascii="宋体" w:hAnsi="宋体" w:eastAsia="宋体" w:cs="宋体"/>
          <w:b/>
          <w:color w:val="auto"/>
          <w:sz w:val="32"/>
          <w:szCs w:val="32"/>
          <w:highlight w:val="none"/>
        </w:rPr>
        <w:sectPr>
          <w:pgSz w:w="11906" w:h="16838"/>
          <w:pgMar w:top="1134" w:right="1134" w:bottom="1134" w:left="1134" w:header="851" w:footer="992" w:gutter="0"/>
          <w:pgNumType w:start="0"/>
          <w:cols w:space="720" w:num="1"/>
          <w:titlePg/>
          <w:docGrid w:type="lines" w:linePitch="312" w:charSpace="0"/>
        </w:sectPr>
      </w:pPr>
    </w:p>
    <w:p w14:paraId="28A8AFA2">
      <w:pPr>
        <w:pStyle w:val="4"/>
        <w:spacing w:before="0" w:after="0" w:line="360" w:lineRule="auto"/>
        <w:jc w:val="center"/>
        <w:rPr>
          <w:rFonts w:hint="eastAsia" w:ascii="宋体" w:hAnsi="宋体" w:eastAsia="宋体" w:cs="宋体"/>
          <w:color w:val="auto"/>
          <w:highlight w:val="none"/>
        </w:rPr>
      </w:pPr>
      <w:bookmarkStart w:id="1" w:name="_Toc19201"/>
      <w:bookmarkStart w:id="2" w:name="_Toc32279"/>
      <w:bookmarkStart w:id="3" w:name="_Toc12321"/>
      <w:r>
        <w:rPr>
          <w:rFonts w:hint="eastAsia" w:ascii="宋体" w:hAnsi="宋体" w:eastAsia="宋体" w:cs="宋体"/>
          <w:color w:val="auto"/>
          <w:highlight w:val="none"/>
        </w:rPr>
        <w:t>第一章 竞争性谈判公告</w:t>
      </w:r>
      <w:bookmarkEnd w:id="1"/>
      <w:bookmarkEnd w:id="2"/>
      <w:bookmarkEnd w:id="3"/>
    </w:p>
    <w:p w14:paraId="6FDDFA9C">
      <w:pPr>
        <w:snapToGrid w:val="0"/>
        <w:spacing w:before="156" w:beforeLines="50" w:line="360" w:lineRule="auto"/>
        <w:jc w:val="center"/>
        <w:rPr>
          <w:rFonts w:hint="eastAsia" w:ascii="宋体" w:hAnsi="宋体" w:eastAsia="宋体" w:cs="宋体"/>
          <w:b/>
          <w:bCs w:val="0"/>
          <w:color w:val="auto"/>
          <w:sz w:val="28"/>
          <w:szCs w:val="28"/>
          <w:highlight w:val="none"/>
          <w:lang w:eastAsia="zh-CN"/>
        </w:rPr>
      </w:pPr>
      <w:r>
        <w:rPr>
          <w:rFonts w:hint="eastAsia" w:ascii="宋体" w:hAnsi="宋体" w:eastAsia="宋体" w:cs="宋体"/>
          <w:b/>
          <w:bCs w:val="0"/>
          <w:color w:val="auto"/>
          <w:sz w:val="28"/>
          <w:szCs w:val="28"/>
          <w:highlight w:val="none"/>
          <w:lang w:val="en-US" w:eastAsia="zh-CN"/>
        </w:rPr>
        <w:t>广西鑫泓项目管理有限公司关于</w:t>
      </w:r>
      <w:r>
        <w:rPr>
          <w:rFonts w:hint="eastAsia" w:ascii="宋体" w:hAnsi="宋体" w:eastAsia="宋体" w:cs="宋体"/>
          <w:b/>
          <w:bCs w:val="0"/>
          <w:color w:val="auto"/>
          <w:sz w:val="28"/>
          <w:szCs w:val="28"/>
          <w:highlight w:val="none"/>
          <w:lang w:eastAsia="zh-CN"/>
        </w:rPr>
        <w:t>2026年安石镇禁山村委根竹塘至禁山村道路硬化工程（QZZC2026-J2-220058-GXXH）</w:t>
      </w:r>
    </w:p>
    <w:p w14:paraId="6BA2C70C">
      <w:pPr>
        <w:snapToGrid w:val="0"/>
        <w:spacing w:before="156" w:beforeLines="50" w:line="360" w:lineRule="auto"/>
        <w:jc w:val="center"/>
        <w:rPr>
          <w:rFonts w:hint="eastAsia" w:ascii="宋体" w:hAnsi="宋体" w:eastAsia="宋体" w:cs="宋体"/>
          <w:b/>
          <w:bCs w:val="0"/>
          <w:color w:val="auto"/>
          <w:sz w:val="28"/>
          <w:szCs w:val="28"/>
          <w:highlight w:val="none"/>
          <w:lang w:val="en-US" w:eastAsia="zh-CN"/>
        </w:rPr>
      </w:pPr>
      <w:r>
        <w:rPr>
          <w:rFonts w:hint="eastAsia" w:ascii="宋体" w:hAnsi="宋体" w:eastAsia="宋体" w:cs="宋体"/>
          <w:b/>
          <w:bCs w:val="0"/>
          <w:color w:val="auto"/>
          <w:sz w:val="28"/>
          <w:szCs w:val="28"/>
          <w:highlight w:val="none"/>
          <w:lang w:val="en-US" w:eastAsia="zh-CN"/>
        </w:rPr>
        <w:t>竞争性谈判公告</w:t>
      </w:r>
    </w:p>
    <w:p w14:paraId="2D792E4C">
      <w:pPr>
        <w:rPr>
          <w:rFonts w:hint="eastAsia" w:ascii="宋体" w:hAnsi="宋体" w:eastAsia="宋体" w:cs="宋体"/>
        </w:rPr>
      </w:pPr>
    </w:p>
    <w:p w14:paraId="10D5CFDD">
      <w:pPr>
        <w:pBdr>
          <w:top w:val="single" w:color="auto" w:sz="4" w:space="1"/>
          <w:left w:val="single" w:color="auto" w:sz="4" w:space="4"/>
          <w:bottom w:val="single" w:color="auto" w:sz="4" w:space="1"/>
          <w:right w:val="single" w:color="auto" w:sz="4" w:space="4"/>
        </w:pBdr>
        <w:spacing w:line="360" w:lineRule="auto"/>
        <w:ind w:firstLine="420" w:firstLineChars="200"/>
        <w:rPr>
          <w:rFonts w:hint="eastAsia" w:ascii="宋体" w:hAnsi="宋体" w:eastAsia="宋体" w:cs="宋体"/>
          <w:color w:val="auto"/>
          <w:szCs w:val="21"/>
          <w:highlight w:val="none"/>
        </w:rPr>
      </w:pPr>
      <w:bookmarkStart w:id="4" w:name="_Hlk37430271"/>
      <w:r>
        <w:rPr>
          <w:rFonts w:hint="eastAsia" w:ascii="宋体" w:hAnsi="宋体" w:eastAsia="宋体" w:cs="宋体"/>
          <w:color w:val="auto"/>
          <w:szCs w:val="21"/>
          <w:highlight w:val="none"/>
        </w:rPr>
        <w:t>项目概况</w:t>
      </w:r>
    </w:p>
    <w:p w14:paraId="10700F8B">
      <w:pPr>
        <w:pBdr>
          <w:top w:val="single" w:color="auto" w:sz="4" w:space="1"/>
          <w:left w:val="single" w:color="auto" w:sz="4" w:space="4"/>
          <w:bottom w:val="single" w:color="auto" w:sz="4" w:space="1"/>
          <w:right w:val="single" w:color="auto" w:sz="4" w:space="4"/>
        </w:pBd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u w:val="single"/>
          <w:lang w:eastAsia="zh-CN"/>
        </w:rPr>
        <w:t>2026年安石镇禁山村委根竹塘至禁山村道路硬化工程</w:t>
      </w:r>
      <w:r>
        <w:rPr>
          <w:rFonts w:hint="eastAsia" w:ascii="宋体" w:hAnsi="宋体" w:eastAsia="宋体" w:cs="宋体"/>
          <w:color w:val="auto"/>
          <w:szCs w:val="21"/>
          <w:highlight w:val="none"/>
        </w:rPr>
        <w:t>采购项目的潜在供应商应在政采云平台（https://www.zcygov.cn/）获取（下载）竞争性谈判文件，并于</w:t>
      </w:r>
      <w:r>
        <w:rPr>
          <w:rFonts w:hint="eastAsia" w:ascii="宋体" w:hAnsi="宋体" w:eastAsia="宋体" w:cs="宋体"/>
          <w:color w:val="auto"/>
          <w:szCs w:val="21"/>
          <w:highlight w:val="none"/>
          <w:lang w:eastAsia="zh-CN"/>
        </w:rPr>
        <w:t>2026年5月27日</w:t>
      </w:r>
      <w:r>
        <w:rPr>
          <w:rFonts w:hint="eastAsia" w:ascii="宋体" w:hAnsi="宋体" w:eastAsia="宋体" w:cs="宋体"/>
          <w:color w:val="auto"/>
          <w:szCs w:val="21"/>
          <w:highlight w:val="none"/>
          <w:lang w:val="en-US" w:eastAsia="zh-CN"/>
        </w:rPr>
        <w:t>14</w:t>
      </w:r>
      <w:r>
        <w:rPr>
          <w:rFonts w:hint="eastAsia" w:ascii="宋体" w:hAnsi="宋体" w:eastAsia="宋体" w:cs="宋体"/>
          <w:color w:val="auto"/>
          <w:szCs w:val="21"/>
          <w:highlight w:val="none"/>
        </w:rPr>
        <w:t xml:space="preserve">时 </w:t>
      </w:r>
      <w:r>
        <w:rPr>
          <w:rFonts w:hint="eastAsia" w:ascii="宋体" w:hAnsi="宋体" w:eastAsia="宋体" w:cs="宋体"/>
          <w:color w:val="auto"/>
          <w:szCs w:val="21"/>
          <w:highlight w:val="none"/>
          <w:lang w:val="en-US" w:eastAsia="zh-CN"/>
        </w:rPr>
        <w:t>30</w:t>
      </w:r>
      <w:r>
        <w:rPr>
          <w:rFonts w:hint="eastAsia" w:ascii="宋体" w:hAnsi="宋体" w:eastAsia="宋体" w:cs="宋体"/>
          <w:color w:val="auto"/>
          <w:szCs w:val="21"/>
          <w:highlight w:val="none"/>
        </w:rPr>
        <w:t xml:space="preserve"> 分（北京时间）前提交响应文件。</w:t>
      </w:r>
    </w:p>
    <w:p w14:paraId="56E6221C">
      <w:pPr>
        <w:spacing w:line="360" w:lineRule="auto"/>
        <w:rPr>
          <w:rFonts w:hint="eastAsia" w:ascii="宋体" w:hAnsi="宋体" w:eastAsia="宋体" w:cs="宋体"/>
          <w:color w:val="auto"/>
          <w:szCs w:val="21"/>
          <w:highlight w:val="none"/>
        </w:rPr>
      </w:pPr>
    </w:p>
    <w:p w14:paraId="471143E8">
      <w:pPr>
        <w:spacing w:line="360" w:lineRule="auto"/>
        <w:ind w:firstLine="361" w:firstLineChars="150"/>
        <w:rPr>
          <w:rFonts w:hint="eastAsia" w:ascii="宋体" w:hAnsi="宋体" w:eastAsia="宋体" w:cs="宋体"/>
          <w:b/>
          <w:bCs/>
          <w:color w:val="auto"/>
          <w:sz w:val="24"/>
          <w:highlight w:val="none"/>
        </w:rPr>
      </w:pPr>
      <w:bookmarkStart w:id="5" w:name="_Toc35393636"/>
      <w:bookmarkStart w:id="6" w:name="_Toc71366047"/>
      <w:bookmarkStart w:id="7" w:name="_Toc35393805"/>
      <w:bookmarkStart w:id="8" w:name="_Toc71365369"/>
      <w:bookmarkStart w:id="9" w:name="_Toc28359095"/>
      <w:bookmarkStart w:id="10" w:name="_Toc28359018"/>
      <w:r>
        <w:rPr>
          <w:rFonts w:hint="eastAsia" w:ascii="宋体" w:hAnsi="宋体" w:eastAsia="宋体" w:cs="宋体"/>
          <w:b/>
          <w:bCs/>
          <w:color w:val="auto"/>
          <w:sz w:val="24"/>
          <w:highlight w:val="none"/>
        </w:rPr>
        <w:t>一、项目基本情况</w:t>
      </w:r>
    </w:p>
    <w:p w14:paraId="1E68F74C">
      <w:pPr>
        <w:spacing w:line="360" w:lineRule="auto"/>
        <w:ind w:firstLine="420" w:firstLineChars="200"/>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项目编号：</w:t>
      </w:r>
      <w:r>
        <w:rPr>
          <w:rFonts w:hint="eastAsia" w:ascii="宋体" w:hAnsi="宋体" w:eastAsia="宋体" w:cs="宋体"/>
          <w:color w:val="auto"/>
          <w:szCs w:val="21"/>
          <w:highlight w:val="none"/>
          <w:lang w:eastAsia="zh-CN"/>
        </w:rPr>
        <w:t>QZZC2026-J2-220058-GXXH</w:t>
      </w:r>
    </w:p>
    <w:p w14:paraId="01ACF450">
      <w:pPr>
        <w:spacing w:line="360" w:lineRule="auto"/>
        <w:ind w:firstLine="420" w:firstLineChars="200"/>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项目名称：</w:t>
      </w:r>
      <w:r>
        <w:rPr>
          <w:rFonts w:hint="eastAsia" w:ascii="宋体" w:hAnsi="宋体" w:eastAsia="宋体" w:cs="宋体"/>
          <w:color w:val="auto"/>
          <w:szCs w:val="21"/>
          <w:highlight w:val="none"/>
          <w:lang w:eastAsia="zh-CN"/>
        </w:rPr>
        <w:t>2026年安石镇禁山村委根竹塘至禁山村道路硬化工程</w:t>
      </w:r>
    </w:p>
    <w:p w14:paraId="6734B9A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采购方式：</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 xml:space="preserve">竞争性谈判 </w:t>
      </w:r>
      <w:r>
        <w:rPr>
          <w:rFonts w:hint="eastAsia" w:ascii="宋体" w:hAnsi="宋体" w:eastAsia="宋体" w:cs="宋体"/>
          <w:color w:val="auto"/>
          <w:sz w:val="21"/>
          <w:szCs w:val="21"/>
          <w:highlight w:val="none"/>
          <w:lang w:val="en-US" w:eastAsia="zh-CN"/>
        </w:rPr>
        <w:t xml:space="preserve"> </w:t>
      </w:r>
    </w:p>
    <w:p w14:paraId="1AC25143">
      <w:pPr>
        <w:spacing w:line="360" w:lineRule="auto"/>
        <w:ind w:firstLine="420" w:firstLineChars="200"/>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预算金额：</w:t>
      </w:r>
      <w:r>
        <w:rPr>
          <w:rFonts w:hint="eastAsia" w:ascii="宋体" w:hAnsi="宋体" w:eastAsia="宋体" w:cs="宋体"/>
          <w:spacing w:val="-2"/>
          <w:lang w:eastAsia="zh-CN"/>
        </w:rPr>
        <w:t>717219.59</w:t>
      </w:r>
      <w:r>
        <w:rPr>
          <w:rFonts w:hint="eastAsia" w:ascii="宋体" w:hAnsi="宋体" w:eastAsia="宋体" w:cs="宋体"/>
          <w:color w:val="auto"/>
          <w:szCs w:val="21"/>
          <w:highlight w:val="none"/>
          <w:lang w:eastAsia="zh-CN"/>
        </w:rPr>
        <w:t>元</w:t>
      </w:r>
    </w:p>
    <w:p w14:paraId="5A768C26">
      <w:pPr>
        <w:spacing w:line="360" w:lineRule="auto"/>
        <w:ind w:firstLine="420" w:firstLineChars="200"/>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最高限价：</w:t>
      </w:r>
      <w:r>
        <w:rPr>
          <w:rFonts w:hint="eastAsia" w:ascii="宋体" w:hAnsi="宋体" w:eastAsia="宋体" w:cs="宋体"/>
          <w:color w:val="auto"/>
          <w:szCs w:val="21"/>
          <w:highlight w:val="none"/>
          <w:lang w:eastAsia="zh-CN"/>
        </w:rPr>
        <w:t>717219.59元</w:t>
      </w:r>
    </w:p>
    <w:p w14:paraId="7126CED4">
      <w:pPr>
        <w:spacing w:line="360" w:lineRule="auto"/>
        <w:ind w:firstLine="420" w:firstLineChars="200"/>
        <w:rPr>
          <w:rFonts w:hint="eastAsia" w:ascii="宋体" w:hAnsi="宋体" w:eastAsia="宋体" w:cs="宋体"/>
          <w:i/>
          <w:color w:val="auto"/>
          <w:szCs w:val="21"/>
          <w:highlight w:val="none"/>
        </w:rPr>
      </w:pPr>
      <w:r>
        <w:rPr>
          <w:rFonts w:hint="eastAsia" w:ascii="宋体" w:hAnsi="宋体" w:eastAsia="宋体" w:cs="宋体"/>
          <w:color w:val="auto"/>
          <w:szCs w:val="21"/>
          <w:highlight w:val="none"/>
        </w:rPr>
        <w:t>采购</w:t>
      </w:r>
      <w:r>
        <w:rPr>
          <w:rFonts w:hint="eastAsia" w:ascii="宋体" w:hAnsi="宋体" w:eastAsia="宋体" w:cs="宋体"/>
          <w:color w:val="auto"/>
          <w:szCs w:val="21"/>
          <w:highlight w:val="none"/>
          <w:lang w:val="en-US" w:eastAsia="zh-CN"/>
        </w:rPr>
        <w:t>内容</w:t>
      </w:r>
      <w:r>
        <w:rPr>
          <w:rFonts w:hint="eastAsia" w:ascii="宋体" w:hAnsi="宋体" w:eastAsia="宋体" w:cs="宋体"/>
          <w:color w:val="auto"/>
          <w:szCs w:val="21"/>
          <w:highlight w:val="none"/>
        </w:rPr>
        <w:t>：</w:t>
      </w:r>
      <w:r>
        <w:rPr>
          <w:rFonts w:hint="eastAsia" w:ascii="宋体" w:hAnsi="宋体" w:eastAsia="宋体" w:cs="宋体"/>
          <w:color w:val="auto"/>
          <w:lang w:eastAsia="zh-CN"/>
        </w:rPr>
        <w:t>2026年安石镇禁山村委根竹塘至禁山村道路硬化工程，具体以工程量清单及图纸为准</w:t>
      </w:r>
      <w:r>
        <w:rPr>
          <w:rFonts w:hint="eastAsia" w:ascii="宋体" w:hAnsi="宋体" w:eastAsia="宋体" w:cs="宋体"/>
          <w:color w:val="auto"/>
          <w:szCs w:val="21"/>
          <w:highlight w:val="none"/>
          <w:lang w:eastAsia="zh-CN"/>
        </w:rPr>
        <w:t>。</w:t>
      </w:r>
    </w:p>
    <w:p w14:paraId="2D837F1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工期</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120日历天</w:t>
      </w:r>
      <w:r>
        <w:rPr>
          <w:rFonts w:hint="eastAsia" w:ascii="宋体" w:hAnsi="宋体" w:eastAsia="宋体" w:cs="宋体"/>
          <w:color w:val="auto"/>
          <w:szCs w:val="21"/>
          <w:highlight w:val="none"/>
        </w:rPr>
        <w:t>。</w:t>
      </w:r>
    </w:p>
    <w:p w14:paraId="498FD97D">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本项目是否接受联合体</w:t>
      </w:r>
      <w:r>
        <w:rPr>
          <w:rFonts w:hint="eastAsia" w:ascii="宋体" w:hAnsi="宋体" w:eastAsia="宋体" w:cs="宋体"/>
          <w:color w:val="auto"/>
          <w:szCs w:val="21"/>
          <w:highlight w:val="none"/>
          <w:lang w:val="en-US" w:eastAsia="zh-CN"/>
        </w:rPr>
        <w:t>竞标</w:t>
      </w:r>
      <w:r>
        <w:rPr>
          <w:rFonts w:hint="eastAsia" w:ascii="宋体" w:hAnsi="宋体" w:eastAsia="宋体" w:cs="宋体"/>
          <w:color w:val="auto"/>
          <w:szCs w:val="21"/>
          <w:highlight w:val="none"/>
        </w:rPr>
        <w:t>：否。</w:t>
      </w:r>
    </w:p>
    <w:p w14:paraId="002F3F9F">
      <w:pPr>
        <w:spacing w:line="360" w:lineRule="auto"/>
        <w:ind w:firstLine="361" w:firstLineChars="15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二、申请人的资格条件：</w:t>
      </w:r>
    </w:p>
    <w:p w14:paraId="42B481A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1、满足《中华人民共和国政府采购法》第二十二条规定；</w:t>
      </w:r>
    </w:p>
    <w:p w14:paraId="7BF151E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2、落实政府采购政策需满足的资格要求：</w:t>
      </w:r>
    </w:p>
    <w:p w14:paraId="38628799">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sym w:font="Wingdings 2" w:char="0052"/>
      </w:r>
      <w:r>
        <w:rPr>
          <w:rFonts w:hint="eastAsia" w:ascii="宋体" w:hAnsi="宋体" w:eastAsia="宋体" w:cs="宋体"/>
          <w:color w:val="auto"/>
          <w:szCs w:val="21"/>
          <w:highlight w:val="none"/>
        </w:rPr>
        <w:t>专门面向中小企业采购的项目（供应商应为</w:t>
      </w:r>
      <w:r>
        <w:rPr>
          <w:rFonts w:hint="eastAsia" w:ascii="宋体" w:hAnsi="宋体" w:eastAsia="宋体" w:cs="宋体"/>
          <w:color w:val="auto"/>
          <w:szCs w:val="21"/>
          <w:highlight w:val="none"/>
          <w:lang w:eastAsia="zh-CN"/>
        </w:rPr>
        <w:t>中</w:t>
      </w:r>
      <w:r>
        <w:rPr>
          <w:rFonts w:hint="eastAsia" w:ascii="宋体" w:hAnsi="宋体" w:eastAsia="宋体" w:cs="宋体"/>
          <w:color w:val="auto"/>
          <w:szCs w:val="21"/>
          <w:highlight w:val="none"/>
        </w:rPr>
        <w:t>小微企业、监狱企业、残疾人福利性单位)</w:t>
      </w:r>
    </w:p>
    <w:p w14:paraId="5D7A750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sym w:font="Wingdings 2" w:char="00A3"/>
      </w:r>
      <w:r>
        <w:rPr>
          <w:rFonts w:hint="eastAsia" w:ascii="宋体" w:hAnsi="宋体" w:eastAsia="宋体" w:cs="宋体"/>
          <w:color w:val="auto"/>
          <w:szCs w:val="21"/>
          <w:highlight w:val="none"/>
        </w:rPr>
        <w:t>非专门面向中小企业采购的项目</w:t>
      </w:r>
    </w:p>
    <w:p w14:paraId="47395F83">
      <w:pPr>
        <w:spacing w:line="360" w:lineRule="auto"/>
        <w:ind w:firstLine="420" w:firstLineChars="20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3、本项目的特定资格要求：</w:t>
      </w:r>
      <w:r>
        <w:rPr>
          <w:rFonts w:hint="eastAsia" w:ascii="宋体" w:hAnsi="宋体" w:eastAsia="宋体" w:cs="宋体"/>
          <w:color w:val="auto"/>
          <w:szCs w:val="21"/>
          <w:highlight w:val="none"/>
          <w:u w:val="single"/>
          <w:lang w:val="en-US" w:eastAsia="zh-CN"/>
        </w:rPr>
        <w:t>供应商</w:t>
      </w:r>
      <w:r>
        <w:rPr>
          <w:rFonts w:hint="eastAsia" w:ascii="宋体" w:hAnsi="宋体" w:eastAsia="宋体" w:cs="宋体"/>
          <w:color w:val="auto"/>
          <w:szCs w:val="21"/>
          <w:highlight w:val="none"/>
          <w:u w:val="single"/>
        </w:rPr>
        <w:t>须具备公路工程施工总承包三级(含三级)以上资质，</w:t>
      </w:r>
      <w:r>
        <w:rPr>
          <w:rFonts w:hint="eastAsia" w:ascii="宋体" w:hAnsi="宋体" w:eastAsia="宋体" w:cs="宋体"/>
          <w:color w:val="auto"/>
          <w:szCs w:val="21"/>
          <w:highlight w:val="none"/>
          <w:u w:val="single"/>
          <w:lang w:eastAsia="zh-CN"/>
        </w:rPr>
        <w:t>且</w:t>
      </w:r>
      <w:r>
        <w:rPr>
          <w:rFonts w:hint="eastAsia" w:ascii="宋体" w:hAnsi="宋体" w:eastAsia="宋体" w:cs="宋体"/>
          <w:color w:val="auto"/>
          <w:szCs w:val="21"/>
          <w:highlight w:val="none"/>
          <w:u w:val="single"/>
        </w:rPr>
        <w:t>具备省级及以上建设行政主管部门颁发的安全生产许可证。并在人员、设备、资金等方面具有相应的施工能力；拟投入本工程的项目经理必须具有公路工程专业贰级以上（含贰级）注册建造师资格及安全生产考核合格证（B证），为供应商的在岗人员，且未担任其他在建项目或已中标未开工项目或已列为项目第一中标候选人项目的项目经理</w:t>
      </w:r>
      <w:r>
        <w:rPr>
          <w:rFonts w:hint="eastAsia" w:ascii="宋体" w:hAnsi="宋体" w:eastAsia="宋体" w:cs="宋体"/>
          <w:color w:val="auto"/>
          <w:szCs w:val="21"/>
          <w:highlight w:val="none"/>
          <w:u w:val="single"/>
          <w:lang w:eastAsia="zh-CN"/>
        </w:rPr>
        <w:t>。</w:t>
      </w:r>
    </w:p>
    <w:p w14:paraId="3173C631">
      <w:pPr>
        <w:spacing w:line="360" w:lineRule="auto"/>
        <w:ind w:firstLine="361" w:firstLineChars="15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三、获取竞争性谈判文件</w:t>
      </w:r>
    </w:p>
    <w:p w14:paraId="7ECA2CF1">
      <w:pPr>
        <w:spacing w:line="360" w:lineRule="auto"/>
        <w:ind w:firstLine="420" w:firstLineChars="200"/>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时间：</w:t>
      </w:r>
      <w:r>
        <w:rPr>
          <w:rFonts w:hint="eastAsia" w:ascii="宋体" w:hAnsi="宋体" w:eastAsia="宋体" w:cs="宋体"/>
          <w:bCs/>
          <w:color w:val="auto"/>
          <w:kern w:val="0"/>
          <w:szCs w:val="21"/>
          <w:highlight w:val="none"/>
          <w:lang w:val="en-US" w:eastAsia="zh-CN"/>
        </w:rPr>
        <w:t>2026年5月21日</w:t>
      </w:r>
      <w:r>
        <w:rPr>
          <w:rFonts w:hint="eastAsia" w:ascii="宋体" w:hAnsi="宋体" w:eastAsia="宋体" w:cs="宋体"/>
          <w:bCs/>
          <w:color w:val="auto"/>
          <w:kern w:val="0"/>
          <w:szCs w:val="21"/>
          <w:highlight w:val="none"/>
        </w:rPr>
        <w:t>至</w:t>
      </w:r>
      <w:r>
        <w:rPr>
          <w:rFonts w:hint="eastAsia" w:ascii="宋体" w:hAnsi="宋体" w:eastAsia="宋体" w:cs="宋体"/>
          <w:bCs/>
          <w:color w:val="auto"/>
          <w:kern w:val="0"/>
          <w:szCs w:val="21"/>
          <w:highlight w:val="none"/>
          <w:lang w:eastAsia="zh-CN"/>
        </w:rPr>
        <w:t>2026年</w:t>
      </w:r>
      <w:r>
        <w:rPr>
          <w:rFonts w:hint="eastAsia" w:ascii="宋体" w:hAnsi="宋体" w:eastAsia="宋体" w:cs="宋体"/>
          <w:bCs/>
          <w:color w:val="auto"/>
          <w:kern w:val="0"/>
          <w:szCs w:val="21"/>
          <w:highlight w:val="none"/>
          <w:lang w:val="en-US" w:eastAsia="zh-CN"/>
        </w:rPr>
        <w:t>5月26日</w:t>
      </w:r>
      <w:r>
        <w:rPr>
          <w:rFonts w:hint="eastAsia" w:ascii="宋体" w:hAnsi="宋体" w:eastAsia="宋体" w:cs="宋体"/>
          <w:bCs/>
          <w:color w:val="auto"/>
          <w:kern w:val="0"/>
          <w:szCs w:val="21"/>
          <w:highlight w:val="none"/>
        </w:rPr>
        <w:t>，每天上午8</w:t>
      </w:r>
      <w:r>
        <w:rPr>
          <w:rFonts w:hint="eastAsia" w:ascii="宋体" w:hAnsi="宋体" w:eastAsia="宋体" w:cs="宋体"/>
          <w:bCs/>
          <w:color w:val="auto"/>
          <w:kern w:val="0"/>
          <w:szCs w:val="21"/>
          <w:highlight w:val="none"/>
          <w:lang w:eastAsia="zh-CN"/>
        </w:rPr>
        <w:t>：</w:t>
      </w:r>
      <w:r>
        <w:rPr>
          <w:rFonts w:hint="eastAsia" w:ascii="宋体" w:hAnsi="宋体" w:eastAsia="宋体" w:cs="宋体"/>
          <w:bCs/>
          <w:color w:val="auto"/>
          <w:kern w:val="0"/>
          <w:szCs w:val="21"/>
          <w:highlight w:val="none"/>
        </w:rPr>
        <w:t>00至12</w:t>
      </w:r>
      <w:r>
        <w:rPr>
          <w:rFonts w:hint="eastAsia" w:ascii="宋体" w:hAnsi="宋体" w:eastAsia="宋体" w:cs="宋体"/>
          <w:bCs/>
          <w:color w:val="auto"/>
          <w:kern w:val="0"/>
          <w:szCs w:val="21"/>
          <w:highlight w:val="none"/>
          <w:lang w:eastAsia="zh-CN"/>
        </w:rPr>
        <w:t>：</w:t>
      </w:r>
      <w:r>
        <w:rPr>
          <w:rFonts w:hint="eastAsia" w:ascii="宋体" w:hAnsi="宋体" w:eastAsia="宋体" w:cs="宋体"/>
          <w:bCs/>
          <w:color w:val="auto"/>
          <w:kern w:val="0"/>
          <w:szCs w:val="21"/>
          <w:highlight w:val="none"/>
        </w:rPr>
        <w:t>00，下午</w:t>
      </w:r>
      <w:r>
        <w:rPr>
          <w:rFonts w:hint="eastAsia" w:ascii="宋体" w:hAnsi="宋体" w:eastAsia="宋体" w:cs="宋体"/>
          <w:bCs/>
          <w:color w:val="auto"/>
          <w:kern w:val="0"/>
          <w:szCs w:val="21"/>
          <w:highlight w:val="none"/>
          <w:lang w:val="en-US" w:eastAsia="zh-CN"/>
        </w:rPr>
        <w:t>15</w:t>
      </w:r>
      <w:r>
        <w:rPr>
          <w:rFonts w:hint="eastAsia" w:ascii="宋体" w:hAnsi="宋体" w:eastAsia="宋体" w:cs="宋体"/>
          <w:bCs/>
          <w:color w:val="auto"/>
          <w:kern w:val="0"/>
          <w:szCs w:val="21"/>
          <w:highlight w:val="none"/>
          <w:lang w:eastAsia="zh-CN"/>
        </w:rPr>
        <w:t>：</w:t>
      </w:r>
      <w:r>
        <w:rPr>
          <w:rFonts w:hint="eastAsia" w:ascii="宋体" w:hAnsi="宋体" w:eastAsia="宋体" w:cs="宋体"/>
          <w:bCs/>
          <w:color w:val="auto"/>
          <w:kern w:val="0"/>
          <w:szCs w:val="21"/>
          <w:highlight w:val="none"/>
        </w:rPr>
        <w:t>00至</w:t>
      </w:r>
      <w:r>
        <w:rPr>
          <w:rFonts w:hint="eastAsia" w:ascii="宋体" w:hAnsi="宋体" w:eastAsia="宋体" w:cs="宋体"/>
          <w:bCs/>
          <w:color w:val="auto"/>
          <w:kern w:val="0"/>
          <w:szCs w:val="21"/>
          <w:highlight w:val="none"/>
          <w:lang w:val="en-US" w:eastAsia="zh-CN"/>
        </w:rPr>
        <w:t>18</w:t>
      </w:r>
      <w:r>
        <w:rPr>
          <w:rFonts w:hint="eastAsia" w:ascii="宋体" w:hAnsi="宋体" w:eastAsia="宋体" w:cs="宋体"/>
          <w:bCs/>
          <w:color w:val="auto"/>
          <w:kern w:val="0"/>
          <w:szCs w:val="21"/>
          <w:highlight w:val="none"/>
          <w:lang w:eastAsia="zh-CN"/>
        </w:rPr>
        <w:t>：</w:t>
      </w:r>
      <w:r>
        <w:rPr>
          <w:rFonts w:hint="eastAsia" w:ascii="宋体" w:hAnsi="宋体" w:eastAsia="宋体" w:cs="宋体"/>
          <w:bCs/>
          <w:color w:val="auto"/>
          <w:kern w:val="0"/>
          <w:szCs w:val="21"/>
          <w:highlight w:val="none"/>
          <w:lang w:val="en-US" w:eastAsia="zh-CN"/>
        </w:rPr>
        <w:t>00</w:t>
      </w:r>
      <w:r>
        <w:rPr>
          <w:rFonts w:hint="eastAsia" w:ascii="宋体" w:hAnsi="宋体" w:eastAsia="宋体" w:cs="宋体"/>
          <w:bCs/>
          <w:color w:val="auto"/>
          <w:kern w:val="0"/>
          <w:szCs w:val="21"/>
          <w:highlight w:val="none"/>
        </w:rPr>
        <w:t>（北京时间，法定节假日除外）。</w:t>
      </w:r>
    </w:p>
    <w:p w14:paraId="03FE3020">
      <w:pPr>
        <w:spacing w:line="360" w:lineRule="auto"/>
        <w:ind w:firstLine="420" w:firstLineChars="200"/>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地点：“政采云”平台（http：//www.zcygov.cn）。</w:t>
      </w:r>
    </w:p>
    <w:p w14:paraId="07AA9A6C">
      <w:pPr>
        <w:spacing w:line="360" w:lineRule="auto"/>
        <w:ind w:firstLine="420" w:firstLineChars="200"/>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方式：网上下载。本项目不发放纸质文件，供应商应自行在</w:t>
      </w:r>
      <w:r>
        <w:rPr>
          <w:rFonts w:hint="eastAsia" w:ascii="宋体" w:hAnsi="宋体" w:eastAsia="宋体" w:cs="宋体"/>
          <w:bCs/>
          <w:color w:val="auto"/>
          <w:kern w:val="0"/>
          <w:szCs w:val="21"/>
          <w:highlight w:val="none"/>
        </w:rPr>
        <w:fldChar w:fldCharType="begin"/>
      </w:r>
      <w:r>
        <w:rPr>
          <w:rFonts w:hint="eastAsia" w:ascii="宋体" w:hAnsi="宋体" w:eastAsia="宋体" w:cs="宋体"/>
          <w:bCs/>
          <w:color w:val="auto"/>
          <w:kern w:val="0"/>
          <w:szCs w:val="21"/>
          <w:highlight w:val="none"/>
        </w:rPr>
        <w:instrText xml:space="preserve"> HYPERLINK "" </w:instrText>
      </w:r>
      <w:r>
        <w:rPr>
          <w:rFonts w:hint="eastAsia" w:ascii="宋体" w:hAnsi="宋体" w:eastAsia="宋体" w:cs="宋体"/>
          <w:bCs/>
          <w:color w:val="auto"/>
          <w:kern w:val="0"/>
          <w:szCs w:val="21"/>
          <w:highlight w:val="none"/>
        </w:rPr>
        <w:fldChar w:fldCharType="separate"/>
      </w:r>
      <w:r>
        <w:rPr>
          <w:rFonts w:hint="eastAsia" w:ascii="宋体" w:hAnsi="宋体" w:eastAsia="宋体" w:cs="宋体"/>
          <w:bCs/>
          <w:color w:val="auto"/>
          <w:kern w:val="0"/>
          <w:szCs w:val="21"/>
          <w:highlight w:val="none"/>
        </w:rPr>
        <w:fldChar w:fldCharType="end"/>
      </w:r>
      <w:r>
        <w:rPr>
          <w:rFonts w:hint="eastAsia" w:ascii="宋体" w:hAnsi="宋体" w:eastAsia="宋体" w:cs="宋体"/>
          <w:bCs/>
          <w:color w:val="auto"/>
          <w:kern w:val="0"/>
          <w:szCs w:val="21"/>
          <w:highlight w:val="none"/>
        </w:rPr>
        <w:t>“政采云”平台（http：//www.zcygov.cn）下载竞争性谈判文件（操作路径：登录“政采云”平台-项目采购-获取采购文件-找到本项目-点击“申请获取采购文件”），电子响应文件制作需要基于“政采云”平台获取的竞争性谈判文件编制。</w:t>
      </w:r>
    </w:p>
    <w:p w14:paraId="4F55BD3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bCs/>
          <w:color w:val="auto"/>
          <w:kern w:val="0"/>
          <w:szCs w:val="21"/>
          <w:highlight w:val="none"/>
        </w:rPr>
        <w:t>售价：0元。</w:t>
      </w:r>
    </w:p>
    <w:p w14:paraId="23C70ACB">
      <w:pPr>
        <w:spacing w:line="360" w:lineRule="auto"/>
        <w:ind w:firstLine="361" w:firstLineChars="15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四、响应文件提交</w:t>
      </w:r>
    </w:p>
    <w:p w14:paraId="006FE52C">
      <w:pPr>
        <w:spacing w:line="360" w:lineRule="auto"/>
        <w:ind w:left="422"/>
        <w:rPr>
          <w:rFonts w:hint="eastAsia" w:ascii="宋体" w:hAnsi="宋体" w:eastAsia="宋体" w:cs="宋体"/>
          <w:bCs/>
          <w:color w:val="auto"/>
          <w:szCs w:val="21"/>
          <w:highlight w:val="none"/>
          <w:u w:val="single"/>
        </w:rPr>
      </w:pPr>
      <w:r>
        <w:rPr>
          <w:rFonts w:hint="eastAsia" w:ascii="宋体" w:hAnsi="宋体" w:eastAsia="宋体" w:cs="宋体"/>
          <w:color w:val="auto"/>
          <w:szCs w:val="21"/>
          <w:highlight w:val="none"/>
        </w:rPr>
        <w:t>1、首次响应文件提交截止时间</w:t>
      </w:r>
      <w:r>
        <w:rPr>
          <w:rFonts w:hint="eastAsia" w:ascii="宋体" w:hAnsi="宋体" w:eastAsia="宋体" w:cs="宋体"/>
          <w:color w:val="auto"/>
          <w:szCs w:val="21"/>
          <w:highlight w:val="none"/>
          <w:u w:val="single"/>
        </w:rPr>
        <w:t>：</w:t>
      </w:r>
      <w:r>
        <w:rPr>
          <w:rFonts w:hint="eastAsia" w:ascii="宋体" w:hAnsi="宋体" w:eastAsia="宋体" w:cs="宋体"/>
          <w:color w:val="auto"/>
          <w:szCs w:val="21"/>
          <w:highlight w:val="none"/>
          <w:u w:val="single"/>
          <w:lang w:eastAsia="zh-CN"/>
        </w:rPr>
        <w:t>2026年</w:t>
      </w:r>
      <w:r>
        <w:rPr>
          <w:rFonts w:hint="eastAsia" w:ascii="宋体" w:hAnsi="宋体" w:eastAsia="宋体" w:cs="宋体"/>
          <w:color w:val="auto"/>
          <w:szCs w:val="21"/>
          <w:highlight w:val="none"/>
          <w:u w:val="single"/>
          <w:lang w:val="en-US" w:eastAsia="zh-CN"/>
        </w:rPr>
        <w:t>5月27日14</w:t>
      </w:r>
      <w:r>
        <w:rPr>
          <w:rFonts w:hint="eastAsia" w:ascii="宋体" w:hAnsi="宋体" w:eastAsia="宋体" w:cs="宋体"/>
          <w:color w:val="auto"/>
          <w:szCs w:val="21"/>
          <w:highlight w:val="none"/>
          <w:u w:val="single"/>
        </w:rPr>
        <w:t>时</w:t>
      </w:r>
      <w:r>
        <w:rPr>
          <w:rFonts w:hint="eastAsia" w:ascii="宋体" w:hAnsi="宋体" w:eastAsia="宋体" w:cs="宋体"/>
          <w:color w:val="auto"/>
          <w:szCs w:val="21"/>
          <w:highlight w:val="none"/>
          <w:u w:val="single"/>
          <w:lang w:val="en-US" w:eastAsia="zh-CN"/>
        </w:rPr>
        <w:t>30</w:t>
      </w:r>
      <w:r>
        <w:rPr>
          <w:rFonts w:hint="eastAsia" w:ascii="宋体" w:hAnsi="宋体" w:eastAsia="宋体" w:cs="宋体"/>
          <w:color w:val="auto"/>
          <w:szCs w:val="21"/>
          <w:highlight w:val="none"/>
          <w:u w:val="single"/>
        </w:rPr>
        <w:t>分（北京时间）</w:t>
      </w:r>
    </w:p>
    <w:p w14:paraId="2016B9CA">
      <w:pPr>
        <w:spacing w:line="360" w:lineRule="auto"/>
        <w:ind w:left="422"/>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rPr>
        <w:t>2、地点：</w:t>
      </w:r>
      <w:r>
        <w:rPr>
          <w:rFonts w:hint="eastAsia" w:ascii="宋体" w:hAnsi="宋体" w:eastAsia="宋体" w:cs="宋体"/>
          <w:color w:val="auto"/>
          <w:szCs w:val="21"/>
          <w:highlight w:val="none"/>
          <w:lang w:bidi="ar"/>
        </w:rPr>
        <w:t>通过“政采云”平台在线提交。</w:t>
      </w:r>
    </w:p>
    <w:p w14:paraId="0248F07B">
      <w:pPr>
        <w:widowControl/>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响应文件提交方式：本项目为全流程电子化项目，通过“政采云”平台（http：//www.zcygov.cn）实行在线电子响应，供应商应先安装“政采云电子交易客户端”（请自行前往“政采云”平台进行下载），并按照本项目采购文件和“政采云”平台的要求编制、加密后在</w:t>
      </w:r>
      <w:r>
        <w:rPr>
          <w:rFonts w:hint="eastAsia" w:ascii="宋体" w:hAnsi="宋体" w:eastAsia="宋体" w:cs="宋体"/>
          <w:color w:val="auto"/>
          <w:szCs w:val="21"/>
          <w:highlight w:val="none"/>
          <w:lang w:val="en-US" w:eastAsia="zh-CN"/>
        </w:rPr>
        <w:t>竞</w:t>
      </w:r>
      <w:r>
        <w:rPr>
          <w:rFonts w:hint="eastAsia" w:ascii="宋体" w:hAnsi="宋体" w:eastAsia="宋体" w:cs="宋体"/>
          <w:color w:val="auto"/>
          <w:szCs w:val="21"/>
          <w:highlight w:val="none"/>
        </w:rPr>
        <w:t>标截止时间前通过网络上传至“政采云”平台，</w:t>
      </w:r>
      <w:r>
        <w:rPr>
          <w:rFonts w:hint="eastAsia" w:ascii="宋体" w:hAnsi="宋体" w:eastAsia="宋体" w:cs="宋体"/>
          <w:b/>
          <w:color w:val="auto"/>
          <w:szCs w:val="21"/>
          <w:highlight w:val="none"/>
        </w:rPr>
        <w:t>供应商在“政采云”平台提交电子版响应文件时，请填写参加远程采购活动经办人联系方式</w:t>
      </w:r>
      <w:r>
        <w:rPr>
          <w:rFonts w:hint="eastAsia" w:ascii="宋体" w:hAnsi="宋体" w:eastAsia="宋体" w:cs="宋体"/>
          <w:color w:val="auto"/>
          <w:szCs w:val="21"/>
          <w:highlight w:val="none"/>
        </w:rPr>
        <w:t>。</w:t>
      </w:r>
    </w:p>
    <w:p w14:paraId="027DF564">
      <w:pPr>
        <w:widowControl/>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未进行网上注册并办理数字证书（CA认证）的供应商将无法参与本项目政府采购活动，潜在供应商应当在投标截止时间前，完成电子交易平台上的CA数字证书办理）及响应文件的提交。完成CA数字证书办理预计7日左右，供应商只需办理其中一家CA数字证书及签章。</w:t>
      </w:r>
    </w:p>
    <w:p w14:paraId="7EEB1AD5">
      <w:pPr>
        <w:widowControl/>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（3）为确保网上操作合法、有效和安全，请供应商确保在电子响应过程中能够对相关数据电文进行加密和使用电子签章，妥善保管CA数字证书并使用有效的CA数字证书参与整个采购活动。</w:t>
      </w:r>
    </w:p>
    <w:p w14:paraId="74104A17">
      <w:pPr>
        <w:spacing w:line="360" w:lineRule="auto"/>
        <w:ind w:firstLine="420" w:firstLineChars="200"/>
        <w:rPr>
          <w:rFonts w:hint="eastAsia" w:ascii="宋体" w:hAnsi="宋体" w:eastAsia="宋体" w:cs="宋体"/>
          <w:bCs/>
          <w:color w:val="auto"/>
          <w:szCs w:val="21"/>
          <w:highlight w:val="none"/>
          <w:u w:val="single"/>
        </w:rPr>
      </w:pPr>
      <w:r>
        <w:rPr>
          <w:rFonts w:hint="eastAsia" w:ascii="宋体" w:hAnsi="宋体" w:eastAsia="宋体" w:cs="宋体"/>
          <w:bCs/>
          <w:color w:val="auto"/>
          <w:szCs w:val="21"/>
          <w:highlight w:val="none"/>
          <w:u w:val="single"/>
        </w:rPr>
        <w:t>注：供应商应当在首次响应文件提交截止时间前完成电子响应文件的上传、递交，响应文件提交截止时间前可以补充、修改或者撤回响应文件。补充或者修改响应文件的，应当先行撤回原文件，补充、修改后重新上传、递交。响应截止时间前未完成上传、递交的，视为撤回响应文件。响应文件提交截止时间以后上传递交的响应文件的，“政采云”平台将予以拒收。</w:t>
      </w:r>
    </w:p>
    <w:p w14:paraId="215043C4">
      <w:pPr>
        <w:snapToGrid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3、CA证书在线解密：首次响应文件开启时，须要供应商携带制作响应文件时用来加密的有效数字证书（CA认证）登录“政采云”平台电子开标大厅现场按规定时间对加密的响应文件进行解密，否则后果自负。</w:t>
      </w:r>
    </w:p>
    <w:p w14:paraId="47D60056">
      <w:pPr>
        <w:snapToGrid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4、供应商需要在具备有摄像头及语音功能且互联网网络状况良好的电脑登录“政采云”平台远程开标大厅参与本次</w:t>
      </w:r>
      <w:r>
        <w:rPr>
          <w:rFonts w:hint="eastAsia" w:ascii="宋体" w:hAnsi="宋体" w:eastAsia="宋体" w:cs="宋体"/>
          <w:color w:val="auto"/>
          <w:kern w:val="0"/>
          <w:szCs w:val="21"/>
          <w:highlight w:val="none"/>
          <w:lang w:val="en-US" w:eastAsia="zh-CN"/>
        </w:rPr>
        <w:t>谈判</w:t>
      </w:r>
      <w:r>
        <w:rPr>
          <w:rFonts w:hint="eastAsia" w:ascii="宋体" w:hAnsi="宋体" w:eastAsia="宋体" w:cs="宋体"/>
          <w:color w:val="auto"/>
          <w:kern w:val="0"/>
          <w:szCs w:val="21"/>
          <w:highlight w:val="none"/>
        </w:rPr>
        <w:t>，否则后果自负。</w:t>
      </w:r>
    </w:p>
    <w:p w14:paraId="1E67D8D3">
      <w:pPr>
        <w:spacing w:line="360" w:lineRule="auto"/>
        <w:ind w:firstLine="361" w:firstLineChars="15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五、开启</w:t>
      </w:r>
    </w:p>
    <w:p w14:paraId="24DB81CA">
      <w:pPr>
        <w:spacing w:line="276" w:lineRule="auto"/>
        <w:ind w:firstLine="420" w:firstLineChars="200"/>
        <w:rPr>
          <w:rFonts w:hint="eastAsia" w:ascii="宋体" w:hAnsi="宋体" w:eastAsia="宋体" w:cs="宋体"/>
          <w:bCs/>
          <w:color w:val="auto"/>
          <w:szCs w:val="21"/>
          <w:highlight w:val="none"/>
          <w:u w:val="single"/>
        </w:rPr>
      </w:pPr>
      <w:r>
        <w:rPr>
          <w:rFonts w:hint="eastAsia" w:ascii="宋体" w:hAnsi="宋体" w:eastAsia="宋体" w:cs="宋体"/>
          <w:color w:val="auto"/>
          <w:szCs w:val="21"/>
          <w:highlight w:val="none"/>
        </w:rPr>
        <w:t>1、首次响应文件开启时间：</w:t>
      </w:r>
      <w:r>
        <w:rPr>
          <w:rFonts w:hint="eastAsia" w:ascii="宋体" w:hAnsi="宋体" w:eastAsia="宋体" w:cs="宋体"/>
          <w:bCs/>
          <w:color w:val="auto"/>
          <w:kern w:val="0"/>
          <w:szCs w:val="21"/>
          <w:highlight w:val="none"/>
          <w:u w:val="single"/>
          <w:lang w:eastAsia="zh-CN"/>
        </w:rPr>
        <w:t>2026年</w:t>
      </w:r>
      <w:r>
        <w:rPr>
          <w:rFonts w:hint="eastAsia" w:ascii="宋体" w:hAnsi="宋体" w:eastAsia="宋体" w:cs="宋体"/>
          <w:bCs/>
          <w:color w:val="auto"/>
          <w:kern w:val="0"/>
          <w:szCs w:val="21"/>
          <w:highlight w:val="none"/>
          <w:u w:val="single"/>
          <w:lang w:val="en-US" w:eastAsia="zh-CN"/>
        </w:rPr>
        <w:t>5月27日14</w:t>
      </w:r>
      <w:r>
        <w:rPr>
          <w:rFonts w:hint="eastAsia" w:ascii="宋体" w:hAnsi="宋体" w:eastAsia="宋体" w:cs="宋体"/>
          <w:bCs/>
          <w:color w:val="auto"/>
          <w:kern w:val="0"/>
          <w:szCs w:val="21"/>
          <w:highlight w:val="none"/>
          <w:u w:val="single"/>
          <w:lang w:eastAsia="zh-CN"/>
        </w:rPr>
        <w:t>时</w:t>
      </w:r>
      <w:r>
        <w:rPr>
          <w:rFonts w:hint="eastAsia" w:ascii="宋体" w:hAnsi="宋体" w:eastAsia="宋体" w:cs="宋体"/>
          <w:bCs/>
          <w:color w:val="auto"/>
          <w:kern w:val="0"/>
          <w:szCs w:val="21"/>
          <w:highlight w:val="none"/>
          <w:u w:val="single"/>
          <w:lang w:val="en-US" w:eastAsia="zh-CN"/>
        </w:rPr>
        <w:t>30</w:t>
      </w:r>
      <w:r>
        <w:rPr>
          <w:rFonts w:hint="eastAsia" w:ascii="宋体" w:hAnsi="宋体" w:eastAsia="宋体" w:cs="宋体"/>
          <w:bCs/>
          <w:color w:val="auto"/>
          <w:kern w:val="0"/>
          <w:szCs w:val="21"/>
          <w:highlight w:val="none"/>
          <w:u w:val="single"/>
          <w:lang w:eastAsia="zh-CN"/>
        </w:rPr>
        <w:t>分</w:t>
      </w:r>
      <w:r>
        <w:rPr>
          <w:rFonts w:hint="eastAsia" w:ascii="宋体" w:hAnsi="宋体" w:eastAsia="宋体" w:cs="宋体"/>
          <w:bCs/>
          <w:color w:val="auto"/>
          <w:kern w:val="0"/>
          <w:szCs w:val="21"/>
          <w:highlight w:val="none"/>
          <w:u w:val="single"/>
        </w:rPr>
        <w:t>（北京时间）</w:t>
      </w:r>
    </w:p>
    <w:p w14:paraId="18E0F813">
      <w:pPr>
        <w:spacing w:line="276"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2、地点：</w:t>
      </w:r>
      <w:r>
        <w:rPr>
          <w:rFonts w:hint="eastAsia" w:ascii="宋体" w:hAnsi="宋体" w:eastAsia="宋体" w:cs="宋体"/>
          <w:color w:val="auto"/>
          <w:szCs w:val="21"/>
          <w:highlight w:val="none"/>
          <w:lang w:bidi="ar"/>
        </w:rPr>
        <w:t>本项目将在“政采云”平台电子开标大厅解密、开启。</w:t>
      </w:r>
    </w:p>
    <w:p w14:paraId="5BC55E71">
      <w:pPr>
        <w:spacing w:line="360" w:lineRule="auto"/>
        <w:ind w:firstLine="361" w:firstLineChars="15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六、公告期限</w:t>
      </w:r>
    </w:p>
    <w:p w14:paraId="42A46B95">
      <w:pPr>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自本公告发布之日起3个工作日。</w:t>
      </w:r>
    </w:p>
    <w:p w14:paraId="1F4DC75B">
      <w:pPr>
        <w:spacing w:line="360" w:lineRule="auto"/>
        <w:ind w:firstLine="361" w:firstLineChars="15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七、其他补充事宜</w:t>
      </w:r>
    </w:p>
    <w:p w14:paraId="067D85EF">
      <w:pPr>
        <w:widowControl/>
        <w:spacing w:line="360" w:lineRule="auto"/>
        <w:ind w:firstLine="420" w:firstLineChars="200"/>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1、竞标保证金（人民币）：本项目不收取谈判保证金。</w:t>
      </w:r>
    </w:p>
    <w:p w14:paraId="4C32BA74">
      <w:pPr>
        <w:wordWrap w:val="0"/>
        <w:spacing w:line="360" w:lineRule="auto"/>
        <w:ind w:firstLine="420" w:firstLineChars="200"/>
        <w:jc w:val="left"/>
        <w:rPr>
          <w:rFonts w:hint="eastAsia" w:ascii="宋体" w:hAnsi="宋体" w:eastAsia="宋体" w:cs="宋体"/>
          <w:color w:val="auto"/>
          <w:szCs w:val="21"/>
          <w:highlight w:val="none"/>
          <w:lang w:bidi="ar"/>
        </w:rPr>
      </w:pPr>
      <w:r>
        <w:rPr>
          <w:rFonts w:hint="eastAsia" w:ascii="宋体" w:hAnsi="宋体" w:eastAsia="宋体" w:cs="宋体"/>
          <w:color w:val="auto"/>
          <w:kern w:val="0"/>
          <w:szCs w:val="21"/>
          <w:lang w:val="en-US" w:eastAsia="zh-CN"/>
        </w:rPr>
        <w:t>2、</w:t>
      </w:r>
      <w:r>
        <w:rPr>
          <w:rFonts w:hint="eastAsia" w:ascii="宋体" w:hAnsi="宋体" w:eastAsia="宋体" w:cs="宋体"/>
          <w:color w:val="auto"/>
          <w:kern w:val="0"/>
          <w:szCs w:val="21"/>
        </w:rPr>
        <w:t>采购意向公开链接：</w:t>
      </w:r>
      <w:r>
        <w:rPr>
          <w:rFonts w:hint="eastAsia" w:ascii="宋体" w:hAnsi="宋体" w:eastAsia="宋体" w:cs="宋体"/>
          <w:color w:val="auto"/>
          <w:kern w:val="0"/>
          <w:szCs w:val="21"/>
        </w:rPr>
        <w:fldChar w:fldCharType="begin"/>
      </w:r>
      <w:r>
        <w:rPr>
          <w:rFonts w:hint="eastAsia" w:ascii="宋体" w:hAnsi="宋体" w:eastAsia="宋体" w:cs="宋体"/>
          <w:color w:val="auto"/>
          <w:kern w:val="0"/>
          <w:szCs w:val="21"/>
        </w:rPr>
        <w:instrText xml:space="preserve"> HYPERLINK "https://zfcg.gxzf.gov.cn/luban/detail?parentId=66485&amp;articleId=ann_DQYGXUCLqptN4PCDdveqW9D5ndTMr3NGt5TILBJnhQo=&amp;utm=web-micro-app-back-front.105f53a2.cPlanInfo.2.26d9277054b711f1973127280b07968d" </w:instrText>
      </w:r>
      <w:r>
        <w:rPr>
          <w:rFonts w:hint="eastAsia" w:ascii="宋体" w:hAnsi="宋体" w:eastAsia="宋体" w:cs="宋体"/>
          <w:color w:val="auto"/>
          <w:kern w:val="0"/>
          <w:szCs w:val="21"/>
        </w:rPr>
        <w:fldChar w:fldCharType="separate"/>
      </w:r>
      <w:r>
        <w:rPr>
          <w:rFonts w:hint="eastAsia" w:ascii="宋体" w:hAnsi="宋体" w:eastAsia="宋体" w:cs="宋体"/>
          <w:color w:val="auto"/>
          <w:kern w:val="0"/>
          <w:szCs w:val="21"/>
        </w:rPr>
        <w:t>https://zfcg.gxzf.gov.cn/luban/detail?parentId=66485&amp;articleId=ann_DQYGXUCLqptN4PCDdveqW9D5ndTMr3NGt5TILBJnhQo=&amp;utm=web-micro-app-back-front.105f53a2.cPlanInfo.2.26d9277054b711f1973127280b07968d</w:t>
      </w:r>
      <w:r>
        <w:rPr>
          <w:rFonts w:hint="eastAsia" w:ascii="宋体" w:hAnsi="宋体" w:eastAsia="宋体" w:cs="宋体"/>
          <w:color w:val="auto"/>
          <w:kern w:val="0"/>
          <w:szCs w:val="21"/>
        </w:rPr>
        <w:fldChar w:fldCharType="end"/>
      </w:r>
    </w:p>
    <w:p w14:paraId="3B058768">
      <w:pPr>
        <w:widowControl/>
        <w:spacing w:line="360" w:lineRule="auto"/>
        <w:ind w:firstLine="420" w:firstLineChars="200"/>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val="en-US" w:eastAsia="zh-CN" w:bidi="ar"/>
        </w:rPr>
        <w:t>3</w:t>
      </w:r>
      <w:r>
        <w:rPr>
          <w:rFonts w:hint="eastAsia" w:ascii="宋体" w:hAnsi="宋体" w:eastAsia="宋体" w:cs="宋体"/>
          <w:color w:val="auto"/>
          <w:szCs w:val="21"/>
          <w:highlight w:val="none"/>
          <w:lang w:bidi="ar"/>
        </w:rPr>
        <w:t>、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14:paraId="032AD957">
      <w:pPr>
        <w:widowControl/>
        <w:spacing w:line="360" w:lineRule="auto"/>
        <w:ind w:firstLine="420" w:firstLineChars="200"/>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val="en-US" w:eastAsia="zh-CN" w:bidi="ar"/>
        </w:rPr>
        <w:t>4</w:t>
      </w:r>
      <w:r>
        <w:rPr>
          <w:rFonts w:hint="eastAsia" w:ascii="宋体" w:hAnsi="宋体" w:eastAsia="宋体" w:cs="宋体"/>
          <w:color w:val="auto"/>
          <w:szCs w:val="21"/>
          <w:highlight w:val="none"/>
          <w:lang w:bidi="ar"/>
        </w:rPr>
        <w:t>、根据财政部《关于在政府采购活动中查询及使用信用记录有关问题的通知》（财库〔2016〕125号）的规定，对在“信用中国”网站(www.creditchina.gov.cn) 、中国政府采购网(www.ccgp.gov.cn)被列入失信被执行人、重大税收违法案件当事人名单、政府采购严重违法失信行为记录名单及其他不符合《中华人民共和国政府采购法》第二十二条规定条件的供应商，不得参与政府采购活动。</w:t>
      </w:r>
    </w:p>
    <w:p w14:paraId="3CE0C7A0">
      <w:pPr>
        <w:widowControl/>
        <w:spacing w:line="360" w:lineRule="auto"/>
        <w:ind w:firstLine="420" w:firstLineChars="200"/>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val="en-US" w:eastAsia="zh-CN" w:bidi="ar"/>
        </w:rPr>
        <w:t>5</w:t>
      </w:r>
      <w:r>
        <w:rPr>
          <w:rFonts w:hint="eastAsia" w:ascii="宋体" w:hAnsi="宋体" w:eastAsia="宋体" w:cs="宋体"/>
          <w:color w:val="auto"/>
          <w:szCs w:val="21"/>
          <w:highlight w:val="none"/>
          <w:lang w:bidi="ar"/>
        </w:rPr>
        <w:t>、网上查询地址：中国政府采购网（http://www.ccgp.gov.cn/）、广西政府采购网（http://zfcg.gxzf.gov.cn/）、</w:t>
      </w:r>
      <w:r>
        <w:rPr>
          <w:rFonts w:hint="eastAsia" w:ascii="宋体" w:hAnsi="宋体" w:eastAsia="宋体" w:cs="宋体"/>
          <w:color w:val="auto"/>
          <w:szCs w:val="21"/>
          <w:highlight w:val="none"/>
          <w:lang w:eastAsia="zh-CN" w:bidi="ar"/>
        </w:rPr>
        <w:t>http：//ggzy.jgswj.gxzf.gov.cn/pbggzy/[全国公共资源交易平台（广西.浦北）]</w:t>
      </w:r>
      <w:r>
        <w:rPr>
          <w:rFonts w:hint="eastAsia" w:ascii="宋体" w:hAnsi="宋体" w:eastAsia="宋体" w:cs="宋体"/>
          <w:color w:val="auto"/>
          <w:szCs w:val="21"/>
          <w:highlight w:val="none"/>
          <w:lang w:bidi="ar"/>
        </w:rPr>
        <w:t>。</w:t>
      </w:r>
    </w:p>
    <w:p w14:paraId="3E0C4E00">
      <w:pPr>
        <w:widowControl/>
        <w:spacing w:line="360" w:lineRule="auto"/>
        <w:ind w:firstLine="420" w:firstLineChars="200"/>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val="en-US" w:eastAsia="zh-CN" w:bidi="ar"/>
        </w:rPr>
        <w:t>6</w:t>
      </w:r>
      <w:r>
        <w:rPr>
          <w:rFonts w:hint="eastAsia" w:ascii="宋体" w:hAnsi="宋体" w:eastAsia="宋体" w:cs="宋体"/>
          <w:color w:val="auto"/>
          <w:szCs w:val="21"/>
          <w:highlight w:val="none"/>
          <w:lang w:bidi="ar"/>
        </w:rPr>
        <w:t>、本项目需要落实的政府采购政策：</w:t>
      </w:r>
    </w:p>
    <w:p w14:paraId="7C99FC1A">
      <w:pPr>
        <w:widowControl/>
        <w:spacing w:line="360" w:lineRule="auto"/>
        <w:ind w:firstLine="420" w:firstLineChars="200"/>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（1）政府采购促进中小企业发展。</w:t>
      </w:r>
    </w:p>
    <w:p w14:paraId="04486EC4">
      <w:pPr>
        <w:widowControl/>
        <w:spacing w:line="360" w:lineRule="auto"/>
        <w:ind w:firstLine="420" w:firstLineChars="200"/>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（2）政府采购支持采用本国产品的政策。</w:t>
      </w:r>
    </w:p>
    <w:p w14:paraId="724D2311">
      <w:pPr>
        <w:widowControl/>
        <w:spacing w:line="360" w:lineRule="auto"/>
        <w:ind w:firstLine="420" w:firstLineChars="200"/>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（3）政府采购促进残疾人就业政策。</w:t>
      </w:r>
    </w:p>
    <w:p w14:paraId="33C89880">
      <w:pPr>
        <w:widowControl/>
        <w:spacing w:line="360" w:lineRule="auto"/>
        <w:ind w:firstLine="420" w:firstLineChars="200"/>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（4）政府采购支持监狱企业发展。</w:t>
      </w:r>
    </w:p>
    <w:p w14:paraId="744D63B0">
      <w:pPr>
        <w:widowControl/>
        <w:spacing w:line="360" w:lineRule="auto"/>
        <w:ind w:firstLine="420" w:firstLineChars="200"/>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（5）扶持不发达地区和少数民族地区政策</w:t>
      </w:r>
    </w:p>
    <w:p w14:paraId="647DAEA8">
      <w:pPr>
        <w:spacing w:line="360" w:lineRule="auto"/>
        <w:ind w:firstLine="420" w:firstLineChars="200"/>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7、供应商认为采购文件使自己的权益受到损害的，可以自获取采购文件之日或者采购文件公告期限届满之日（公告期限届满后获取采购文件的，以公告期限届满之日为准）起7个工作日内以书面形式一次性向采购人和采购代理机构提出同一环节的质疑。否则，逾期的质疑采购人及招标代理机构可不予接受。质疑供应商对采购人、采购代理机构的答复不满意或者采购人、采购代理机构未在规定的时间内作出答复的，可以在答复期满后十五个工作日内向同级政府采购监督管理部门投诉。</w:t>
      </w:r>
    </w:p>
    <w:p w14:paraId="0FEA4E1F">
      <w:pPr>
        <w:spacing w:line="360" w:lineRule="auto"/>
        <w:ind w:firstLine="420" w:firstLineChars="200"/>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8、本项目采用远程异地评标，评标主场设在浦北县公共资源交易中心【浦北县城金浦新区越秀路133号(政务中心西向县总工会楼三楼)】，分会场设在南宁市高新区科园大道东四路7号远信大厦2516室。</w:t>
      </w:r>
    </w:p>
    <w:p w14:paraId="731E81D1">
      <w:pPr>
        <w:spacing w:line="360" w:lineRule="auto"/>
        <w:ind w:firstLine="420" w:firstLineChars="200"/>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 xml:space="preserve">9、若对项目采购电子交易系统操作有疑问，可登录“政采云”平台（https://www.zcygov.cn/），点击右侧咨询小采，获取采小蜜智能服务管家帮助，或拨打政采云服务热线95763 获取热线服务帮助。 </w:t>
      </w:r>
    </w:p>
    <w:p w14:paraId="669060F9">
      <w:pPr>
        <w:spacing w:line="360" w:lineRule="auto"/>
        <w:ind w:firstLine="361" w:firstLineChars="15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八、凡对本次采购提出询问，请按以下方式联系。</w:t>
      </w:r>
      <w:bookmarkEnd w:id="5"/>
      <w:bookmarkEnd w:id="6"/>
      <w:bookmarkEnd w:id="7"/>
      <w:bookmarkEnd w:id="8"/>
      <w:bookmarkEnd w:id="9"/>
      <w:bookmarkEnd w:id="10"/>
      <w:bookmarkStart w:id="11" w:name="_Toc28359019"/>
      <w:bookmarkStart w:id="12" w:name="_Toc28359096"/>
      <w:bookmarkStart w:id="13" w:name="_Toc35393806"/>
      <w:bookmarkStart w:id="14" w:name="_Toc35393637"/>
    </w:p>
    <w:p w14:paraId="7DBA2546">
      <w:pPr>
        <w:spacing w:line="360" w:lineRule="auto"/>
        <w:ind w:firstLine="567" w:firstLineChars="27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1.采购人信息</w:t>
      </w:r>
    </w:p>
    <w:p w14:paraId="20649ED0">
      <w:pPr>
        <w:spacing w:line="360" w:lineRule="auto"/>
        <w:ind w:firstLine="567" w:firstLineChars="270"/>
        <w:jc w:val="lef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名 称：</w:t>
      </w:r>
      <w:r>
        <w:rPr>
          <w:rFonts w:hint="eastAsia" w:ascii="宋体" w:hAnsi="宋体" w:eastAsia="宋体" w:cs="宋体"/>
          <w:color w:val="auto"/>
          <w:szCs w:val="21"/>
          <w:highlight w:val="none"/>
          <w:lang w:eastAsia="zh-CN"/>
        </w:rPr>
        <w:t>中国共产党浦北县委员会统一战线工作部</w:t>
      </w:r>
    </w:p>
    <w:p w14:paraId="6FF5A6C8">
      <w:pPr>
        <w:spacing w:line="360" w:lineRule="auto"/>
        <w:ind w:firstLine="567" w:firstLineChars="270"/>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rPr>
        <w:t>地址：</w:t>
      </w:r>
      <w:r>
        <w:rPr>
          <w:rFonts w:hint="eastAsia" w:ascii="宋体" w:hAnsi="宋体" w:eastAsia="宋体" w:cs="宋体"/>
          <w:color w:val="auto"/>
          <w:szCs w:val="21"/>
          <w:highlight w:val="none"/>
          <w:lang w:eastAsia="zh-CN"/>
        </w:rPr>
        <w:t>广西浦北县金浦大道投资大厦七楼</w:t>
      </w:r>
    </w:p>
    <w:p w14:paraId="2530992B">
      <w:pPr>
        <w:spacing w:line="360" w:lineRule="auto"/>
        <w:ind w:firstLine="567" w:firstLineChars="270"/>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rPr>
        <w:t>联系</w:t>
      </w:r>
      <w:r>
        <w:rPr>
          <w:rFonts w:hint="eastAsia" w:ascii="宋体" w:hAnsi="宋体" w:eastAsia="宋体" w:cs="宋体"/>
          <w:color w:val="auto"/>
          <w:szCs w:val="21"/>
          <w:highlight w:val="none"/>
          <w:lang w:eastAsia="zh-CN"/>
        </w:rPr>
        <w:t>人</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刘朝来</w:t>
      </w:r>
      <w:r>
        <w:rPr>
          <w:rFonts w:hint="eastAsia" w:ascii="宋体" w:hAnsi="宋体" w:eastAsia="宋体" w:cs="宋体"/>
          <w:color w:val="auto"/>
          <w:szCs w:val="21"/>
          <w:highlight w:val="none"/>
        </w:rPr>
        <w:t>，电话：</w:t>
      </w:r>
      <w:bookmarkStart w:id="15" w:name="_Toc28359009"/>
      <w:bookmarkStart w:id="16" w:name="_Toc28359086"/>
      <w:r>
        <w:rPr>
          <w:rFonts w:hint="eastAsia" w:ascii="宋体" w:hAnsi="宋体" w:eastAsia="宋体" w:cs="宋体"/>
          <w:color w:val="auto"/>
          <w:szCs w:val="21"/>
          <w:highlight w:val="none"/>
          <w:lang w:val="en-US" w:eastAsia="zh-CN"/>
        </w:rPr>
        <w:t>0777-8310967</w:t>
      </w:r>
    </w:p>
    <w:p w14:paraId="6FC29CD9">
      <w:pPr>
        <w:spacing w:line="360" w:lineRule="auto"/>
        <w:ind w:firstLine="567" w:firstLineChars="27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2.采购代理机构信息</w:t>
      </w:r>
      <w:bookmarkEnd w:id="15"/>
      <w:bookmarkEnd w:id="16"/>
    </w:p>
    <w:p w14:paraId="21194E17">
      <w:pPr>
        <w:spacing w:line="360" w:lineRule="auto"/>
        <w:ind w:firstLine="567" w:firstLineChars="270"/>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名 称：</w:t>
      </w:r>
      <w:r>
        <w:rPr>
          <w:rFonts w:hint="eastAsia" w:ascii="宋体" w:hAnsi="宋体" w:eastAsia="宋体" w:cs="宋体"/>
          <w:color w:val="auto"/>
          <w:szCs w:val="21"/>
          <w:highlight w:val="none"/>
          <w:lang w:eastAsia="zh-CN"/>
        </w:rPr>
        <w:t>广西鑫泓项目管理有限公司</w:t>
      </w:r>
    </w:p>
    <w:p w14:paraId="64CFF75F">
      <w:pPr>
        <w:spacing w:line="360" w:lineRule="auto"/>
        <w:ind w:firstLine="567" w:firstLineChars="270"/>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地　址：</w:t>
      </w:r>
      <w:r>
        <w:rPr>
          <w:rFonts w:hint="eastAsia" w:ascii="宋体" w:hAnsi="宋体" w:eastAsia="宋体" w:cs="宋体"/>
          <w:color w:val="auto"/>
          <w:szCs w:val="21"/>
          <w:highlight w:val="none"/>
          <w:lang w:eastAsia="zh-CN"/>
        </w:rPr>
        <w:t>钦州市永福东大街190号北投凤景湾2号楼2单元705房</w:t>
      </w:r>
    </w:p>
    <w:p w14:paraId="0E536873">
      <w:pPr>
        <w:spacing w:line="360" w:lineRule="auto"/>
        <w:ind w:firstLine="567" w:firstLineChars="27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rPr>
        <w:t>联系方式：</w:t>
      </w:r>
      <w:bookmarkStart w:id="17" w:name="_Toc28359087"/>
      <w:bookmarkStart w:id="18" w:name="_Toc28359010"/>
      <w:r>
        <w:rPr>
          <w:rFonts w:hint="eastAsia" w:ascii="宋体" w:hAnsi="宋体" w:eastAsia="宋体" w:cs="宋体"/>
          <w:color w:val="auto"/>
          <w:szCs w:val="21"/>
          <w:highlight w:val="none"/>
          <w:lang w:val="en-US" w:eastAsia="zh-CN"/>
        </w:rPr>
        <w:t>黄建桦</w:t>
      </w:r>
      <w:r>
        <w:rPr>
          <w:rFonts w:hint="eastAsia" w:ascii="宋体" w:hAnsi="宋体" w:eastAsia="宋体" w:cs="宋体"/>
          <w:color w:val="auto"/>
          <w:szCs w:val="21"/>
          <w:highlight w:val="none"/>
        </w:rPr>
        <w:t>，电话：</w:t>
      </w:r>
      <w:r>
        <w:rPr>
          <w:rFonts w:hint="eastAsia" w:ascii="宋体" w:hAnsi="宋体" w:eastAsia="宋体" w:cs="宋体"/>
          <w:color w:val="auto"/>
          <w:szCs w:val="21"/>
          <w:highlight w:val="none"/>
          <w:lang w:eastAsia="zh-CN"/>
        </w:rPr>
        <w:t>0777-2563669</w:t>
      </w:r>
    </w:p>
    <w:p w14:paraId="19C2A631">
      <w:pPr>
        <w:spacing w:line="360" w:lineRule="auto"/>
        <w:ind w:firstLine="567" w:firstLineChars="27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3.项目联系方式</w:t>
      </w:r>
      <w:bookmarkEnd w:id="17"/>
      <w:bookmarkEnd w:id="18"/>
    </w:p>
    <w:p w14:paraId="2D9785FB">
      <w:pPr>
        <w:pStyle w:val="16"/>
        <w:spacing w:line="360" w:lineRule="auto"/>
        <w:ind w:firstLine="567" w:firstLineChars="270"/>
        <w:rPr>
          <w:rFonts w:hint="eastAsia" w:ascii="宋体" w:hAnsi="宋体" w:eastAsia="宋体" w:cs="宋体"/>
          <w:color w:val="auto"/>
          <w:sz w:val="21"/>
          <w:highlight w:val="none"/>
          <w:lang w:val="en-US"/>
        </w:rPr>
      </w:pPr>
      <w:r>
        <w:rPr>
          <w:rFonts w:hint="eastAsia" w:ascii="宋体" w:hAnsi="宋体" w:eastAsia="宋体" w:cs="宋体"/>
          <w:color w:val="auto"/>
          <w:sz w:val="21"/>
          <w:highlight w:val="none"/>
        </w:rPr>
        <w:t>项目联系人：</w:t>
      </w:r>
      <w:r>
        <w:rPr>
          <w:rFonts w:hint="eastAsia" w:ascii="宋体" w:hAnsi="宋体" w:eastAsia="宋体" w:cs="宋体"/>
          <w:color w:val="auto"/>
          <w:szCs w:val="21"/>
          <w:highlight w:val="none"/>
          <w:lang w:val="en-US" w:eastAsia="zh-CN"/>
        </w:rPr>
        <w:t>黄建桦</w:t>
      </w:r>
    </w:p>
    <w:p w14:paraId="31EE2162">
      <w:pPr>
        <w:spacing w:line="360" w:lineRule="auto"/>
        <w:ind w:firstLine="567" w:firstLineChars="27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rPr>
        <w:t>电　话：</w:t>
      </w:r>
      <w:r>
        <w:rPr>
          <w:rFonts w:hint="eastAsia" w:ascii="宋体" w:hAnsi="宋体" w:eastAsia="宋体" w:cs="宋体"/>
          <w:color w:val="auto"/>
          <w:szCs w:val="21"/>
          <w:highlight w:val="none"/>
          <w:lang w:val="en-US" w:eastAsia="zh-CN"/>
        </w:rPr>
        <w:t>0777-2563669</w:t>
      </w:r>
    </w:p>
    <w:p w14:paraId="513DA6E3">
      <w:pPr>
        <w:spacing w:line="360" w:lineRule="auto"/>
        <w:rPr>
          <w:rFonts w:hint="eastAsia" w:ascii="宋体" w:hAnsi="宋体" w:eastAsia="宋体" w:cs="宋体"/>
          <w:color w:val="auto"/>
          <w:szCs w:val="21"/>
          <w:highlight w:val="none"/>
        </w:rPr>
      </w:pPr>
    </w:p>
    <w:p w14:paraId="4776F908">
      <w:pPr>
        <w:spacing w:line="380" w:lineRule="exact"/>
        <w:rPr>
          <w:rFonts w:hint="eastAsia" w:ascii="宋体" w:hAnsi="宋体" w:eastAsia="宋体" w:cs="宋体"/>
          <w:color w:val="auto"/>
          <w:szCs w:val="21"/>
          <w:highlight w:val="none"/>
        </w:rPr>
      </w:pPr>
    </w:p>
    <w:p w14:paraId="418AF933">
      <w:pPr>
        <w:spacing w:line="380" w:lineRule="exact"/>
        <w:rPr>
          <w:rFonts w:hint="eastAsia" w:ascii="宋体" w:hAnsi="宋体" w:eastAsia="宋体" w:cs="宋体"/>
          <w:color w:val="auto"/>
          <w:szCs w:val="21"/>
          <w:highlight w:val="none"/>
        </w:rPr>
      </w:pPr>
    </w:p>
    <w:p w14:paraId="6F9EB648">
      <w:pPr>
        <w:spacing w:line="380" w:lineRule="exact"/>
        <w:ind w:firstLine="5775" w:firstLineChars="2750"/>
        <w:jc w:val="righ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广西鑫泓项目管理有限公司</w:t>
      </w:r>
    </w:p>
    <w:p w14:paraId="411FA7EA">
      <w:pPr>
        <w:spacing w:line="360" w:lineRule="auto"/>
        <w:ind w:firstLine="6195" w:firstLineChars="2950"/>
        <w:jc w:val="right"/>
        <w:rPr>
          <w:rFonts w:hint="eastAsia" w:ascii="宋体" w:hAnsi="宋体" w:eastAsia="宋体" w:cs="宋体"/>
          <w:color w:val="auto"/>
          <w:highlight w:val="none"/>
        </w:rPr>
      </w:pPr>
      <w:r>
        <w:rPr>
          <w:rFonts w:hint="eastAsia" w:ascii="宋体" w:hAnsi="宋体" w:eastAsia="宋体" w:cs="宋体"/>
          <w:color w:val="auto"/>
          <w:highlight w:val="none"/>
          <w:lang w:eastAsia="zh-CN"/>
        </w:rPr>
        <w:t>2026年</w:t>
      </w:r>
      <w:bookmarkEnd w:id="11"/>
      <w:bookmarkEnd w:id="12"/>
      <w:bookmarkEnd w:id="13"/>
      <w:bookmarkEnd w:id="14"/>
      <w:r>
        <w:rPr>
          <w:rFonts w:hint="eastAsia" w:ascii="宋体" w:hAnsi="宋体" w:eastAsia="宋体" w:cs="宋体"/>
          <w:color w:val="auto"/>
          <w:highlight w:val="none"/>
          <w:lang w:val="en-US" w:eastAsia="zh-CN"/>
        </w:rPr>
        <w:t>5月21日</w:t>
      </w:r>
    </w:p>
    <w:p w14:paraId="5554CC25">
      <w:pPr>
        <w:pStyle w:val="3"/>
        <w:rPr>
          <w:rFonts w:hint="eastAsia" w:ascii="宋体" w:hAnsi="宋体" w:eastAsia="宋体" w:cs="宋体"/>
          <w:color w:val="auto"/>
          <w:highlight w:val="none"/>
        </w:rPr>
      </w:pPr>
    </w:p>
    <w:p w14:paraId="5DF60AA1">
      <w:pPr>
        <w:pStyle w:val="3"/>
        <w:rPr>
          <w:rFonts w:hint="eastAsia" w:ascii="宋体" w:hAnsi="宋体" w:eastAsia="宋体" w:cs="宋体"/>
          <w:color w:val="auto"/>
          <w:highlight w:val="none"/>
        </w:rPr>
      </w:pPr>
    </w:p>
    <w:p w14:paraId="48F13C3C">
      <w:pPr>
        <w:pStyle w:val="3"/>
        <w:rPr>
          <w:rFonts w:hint="eastAsia" w:ascii="宋体" w:hAnsi="宋体" w:eastAsia="宋体" w:cs="宋体"/>
          <w:color w:val="auto"/>
          <w:highlight w:val="none"/>
        </w:rPr>
      </w:pPr>
    </w:p>
    <w:p w14:paraId="3B991C58">
      <w:pPr>
        <w:pStyle w:val="3"/>
        <w:rPr>
          <w:rFonts w:hint="eastAsia" w:ascii="宋体" w:hAnsi="宋体" w:eastAsia="宋体" w:cs="宋体"/>
          <w:color w:val="auto"/>
          <w:highlight w:val="none"/>
        </w:rPr>
      </w:pPr>
    </w:p>
    <w:p w14:paraId="3C035633">
      <w:pPr>
        <w:pStyle w:val="3"/>
        <w:rPr>
          <w:rFonts w:hint="eastAsia" w:ascii="宋体" w:hAnsi="宋体" w:eastAsia="宋体" w:cs="宋体"/>
          <w:color w:val="auto"/>
          <w:highlight w:val="none"/>
        </w:rPr>
      </w:pPr>
    </w:p>
    <w:p w14:paraId="71DE8460">
      <w:pPr>
        <w:pStyle w:val="3"/>
        <w:rPr>
          <w:rFonts w:hint="eastAsia" w:ascii="宋体" w:hAnsi="宋体" w:eastAsia="宋体" w:cs="宋体"/>
          <w:color w:val="auto"/>
          <w:highlight w:val="none"/>
        </w:rPr>
      </w:pPr>
    </w:p>
    <w:p w14:paraId="2B195AA9">
      <w:pPr>
        <w:pStyle w:val="3"/>
        <w:rPr>
          <w:rFonts w:hint="eastAsia" w:ascii="宋体" w:hAnsi="宋体" w:eastAsia="宋体" w:cs="宋体"/>
          <w:color w:val="auto"/>
          <w:highlight w:val="none"/>
        </w:rPr>
      </w:pPr>
    </w:p>
    <w:p w14:paraId="46511DDD">
      <w:pPr>
        <w:pStyle w:val="4"/>
        <w:jc w:val="center"/>
        <w:rPr>
          <w:rFonts w:hint="eastAsia" w:ascii="宋体" w:hAnsi="宋体" w:eastAsia="宋体" w:cs="宋体"/>
        </w:rPr>
      </w:pPr>
      <w:r>
        <w:rPr>
          <w:rFonts w:hint="eastAsia" w:ascii="宋体" w:hAnsi="宋体" w:eastAsia="宋体" w:cs="宋体"/>
          <w:color w:val="auto"/>
          <w:highlight w:val="none"/>
        </w:rPr>
        <w:br w:type="page"/>
      </w:r>
      <w:bookmarkEnd w:id="4"/>
      <w:bookmarkStart w:id="19" w:name="_Toc13717"/>
      <w:bookmarkStart w:id="20" w:name="_Toc19799"/>
      <w:bookmarkStart w:id="21" w:name="_Toc1548"/>
      <w:r>
        <w:rPr>
          <w:rFonts w:hint="eastAsia" w:ascii="宋体" w:hAnsi="宋体" w:eastAsia="宋体" w:cs="宋体"/>
          <w:color w:val="auto"/>
          <w:highlight w:val="none"/>
        </w:rPr>
        <w:t>第二章 供应商须知</w:t>
      </w:r>
      <w:bookmarkEnd w:id="19"/>
      <w:bookmarkEnd w:id="20"/>
      <w:bookmarkEnd w:id="21"/>
    </w:p>
    <w:p w14:paraId="04C97D02">
      <w:pPr>
        <w:spacing w:line="400" w:lineRule="exact"/>
        <w:jc w:val="center"/>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供应商须知前附表</w:t>
      </w:r>
    </w:p>
    <w:p w14:paraId="2D54033E">
      <w:pPr>
        <w:spacing w:line="400" w:lineRule="exact"/>
        <w:jc w:val="center"/>
        <w:rPr>
          <w:rFonts w:hint="eastAsia" w:ascii="宋体" w:hAnsi="宋体" w:eastAsia="宋体" w:cs="宋体"/>
          <w:b/>
          <w:color w:val="auto"/>
          <w:sz w:val="32"/>
          <w:szCs w:val="32"/>
          <w:highlight w:val="none"/>
        </w:rPr>
      </w:pPr>
    </w:p>
    <w:tbl>
      <w:tblPr>
        <w:tblStyle w:val="23"/>
        <w:tblW w:w="968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92"/>
        <w:gridCol w:w="8695"/>
      </w:tblGrid>
      <w:tr w14:paraId="15EC51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0"/>
            <w:vAlign w:val="top"/>
          </w:tcPr>
          <w:p w14:paraId="6C6683AF">
            <w:pPr>
              <w:spacing w:line="360" w:lineRule="auto"/>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条款号</w:t>
            </w:r>
          </w:p>
        </w:tc>
        <w:tc>
          <w:tcPr>
            <w:tcW w:w="8695" w:type="dxa"/>
            <w:noWrap w:val="0"/>
            <w:vAlign w:val="top"/>
          </w:tcPr>
          <w:p w14:paraId="6BB2CF19">
            <w:pPr>
              <w:spacing w:line="360" w:lineRule="auto"/>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内    容</w:t>
            </w:r>
          </w:p>
        </w:tc>
      </w:tr>
      <w:tr w14:paraId="65D681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0"/>
            <w:vAlign w:val="center"/>
          </w:tcPr>
          <w:p w14:paraId="2CE3C786">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w:t>
            </w:r>
          </w:p>
        </w:tc>
        <w:tc>
          <w:tcPr>
            <w:tcW w:w="8695" w:type="dxa"/>
            <w:noWrap w:val="0"/>
            <w:vAlign w:val="center"/>
          </w:tcPr>
          <w:p w14:paraId="2F5CC4C7">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供应商的资格条件：详见竞争性谈判公告</w:t>
            </w:r>
          </w:p>
        </w:tc>
      </w:tr>
      <w:tr w14:paraId="70AF01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0"/>
            <w:vAlign w:val="center"/>
          </w:tcPr>
          <w:p w14:paraId="1C193A3A">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5.1</w:t>
            </w:r>
          </w:p>
        </w:tc>
        <w:tc>
          <w:tcPr>
            <w:tcW w:w="8695" w:type="dxa"/>
            <w:noWrap w:val="0"/>
            <w:vAlign w:val="center"/>
          </w:tcPr>
          <w:p w14:paraId="39C5E6F1">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是否接受联合体竞标: 不允许联合体投标。</w:t>
            </w:r>
          </w:p>
        </w:tc>
      </w:tr>
      <w:tr w14:paraId="2DE4AC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0"/>
            <w:vAlign w:val="center"/>
          </w:tcPr>
          <w:p w14:paraId="345129EB">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5.2</w:t>
            </w:r>
          </w:p>
        </w:tc>
        <w:tc>
          <w:tcPr>
            <w:tcW w:w="8695" w:type="dxa"/>
            <w:noWrap w:val="0"/>
            <w:vAlign w:val="center"/>
          </w:tcPr>
          <w:p w14:paraId="3A1DE519">
            <w:pPr>
              <w:spacing w:line="360" w:lineRule="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联合体竞标要求</w:t>
            </w:r>
            <w:r>
              <w:rPr>
                <w:rFonts w:hint="eastAsia" w:ascii="宋体" w:hAnsi="宋体" w:eastAsia="宋体" w:cs="宋体"/>
                <w:color w:val="auto"/>
                <w:szCs w:val="21"/>
                <w:highlight w:val="none"/>
                <w:lang w:eastAsia="zh-CN"/>
              </w:rPr>
              <w:t>：无</w:t>
            </w:r>
          </w:p>
        </w:tc>
      </w:tr>
      <w:tr w14:paraId="6F5CDE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0"/>
            <w:vAlign w:val="center"/>
          </w:tcPr>
          <w:p w14:paraId="72B88E3F">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6.2</w:t>
            </w:r>
          </w:p>
        </w:tc>
        <w:tc>
          <w:tcPr>
            <w:tcW w:w="8695" w:type="dxa"/>
            <w:noWrap w:val="0"/>
            <w:vAlign w:val="center"/>
          </w:tcPr>
          <w:p w14:paraId="3C99228B">
            <w:pPr>
              <w:pStyle w:val="11"/>
              <w:spacing w:line="400" w:lineRule="exact"/>
              <w:rPr>
                <w:rFonts w:hint="eastAsia" w:ascii="宋体" w:hAnsi="宋体" w:eastAsia="宋体" w:cs="宋体"/>
                <w:color w:val="auto"/>
                <w:szCs w:val="21"/>
                <w:highlight w:val="none"/>
                <w:u w:val="single"/>
                <w:lang w:val="en-US" w:eastAsia="zh-CN"/>
              </w:rPr>
            </w:pPr>
            <w:r>
              <w:rPr>
                <w:rFonts w:hint="eastAsia" w:ascii="宋体" w:hAnsi="宋体" w:eastAsia="宋体" w:cs="宋体"/>
                <w:color w:val="auto"/>
                <w:szCs w:val="21"/>
                <w:highlight w:val="none"/>
                <w:lang w:val="en-US" w:eastAsia="zh-CN"/>
              </w:rPr>
              <w:t>本项目不允许分包。</w:t>
            </w:r>
          </w:p>
        </w:tc>
      </w:tr>
      <w:tr w14:paraId="1DB7AB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0"/>
            <w:vAlign w:val="center"/>
          </w:tcPr>
          <w:p w14:paraId="48C9A3AF">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12.1.1</w:t>
            </w:r>
          </w:p>
        </w:tc>
        <w:tc>
          <w:tcPr>
            <w:tcW w:w="8695" w:type="dxa"/>
            <w:noWrap w:val="0"/>
            <w:vAlign w:val="center"/>
          </w:tcPr>
          <w:p w14:paraId="698B33ED">
            <w:pPr>
              <w:snapToGrid w:val="0"/>
              <w:spacing w:line="360" w:lineRule="auto"/>
              <w:jc w:val="left"/>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资格证明文件</w:t>
            </w:r>
          </w:p>
          <w:p w14:paraId="41CC7F50">
            <w:pPr>
              <w:snapToGrid w:val="0"/>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1、供应商为法人或者其他组织的，证明文件为其营业执照复印件（如营业执照或者事业单位法人证书或者执业许可证等）；供应商为自然人的，证明文件为其身份证复印件；（</w:t>
            </w:r>
            <w:r>
              <w:rPr>
                <w:rFonts w:hint="eastAsia" w:ascii="宋体" w:hAnsi="宋体" w:eastAsia="宋体" w:cs="宋体"/>
                <w:b/>
                <w:color w:val="auto"/>
                <w:szCs w:val="21"/>
                <w:highlight w:val="none"/>
              </w:rPr>
              <w:t>必须提供，否则响应文件按无效响应处理</w:t>
            </w:r>
            <w:r>
              <w:rPr>
                <w:rFonts w:hint="eastAsia" w:ascii="宋体" w:hAnsi="宋体" w:eastAsia="宋体" w:cs="宋体"/>
                <w:color w:val="auto"/>
                <w:szCs w:val="21"/>
                <w:highlight w:val="none"/>
              </w:rPr>
              <w:t>）</w:t>
            </w:r>
          </w:p>
          <w:p w14:paraId="2E9CBE3A">
            <w:pPr>
              <w:spacing w:line="360" w:lineRule="auto"/>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2、供应商依法缴纳税收的相关材料（</w:t>
            </w:r>
            <w:r>
              <w:rPr>
                <w:rFonts w:hint="eastAsia" w:ascii="宋体" w:hAnsi="宋体" w:eastAsia="宋体" w:cs="宋体"/>
                <w:color w:val="auto"/>
                <w:szCs w:val="21"/>
                <w:highlight w:val="none"/>
                <w:u w:val="single"/>
                <w:lang w:eastAsia="zh-CN"/>
              </w:rPr>
              <w:t>2026年1月至2026年5月内任意一个月</w:t>
            </w:r>
            <w:r>
              <w:rPr>
                <w:rFonts w:hint="eastAsia" w:ascii="宋体" w:hAnsi="宋体" w:eastAsia="宋体" w:cs="宋体"/>
                <w:color w:val="auto"/>
                <w:szCs w:val="21"/>
                <w:highlight w:val="none"/>
              </w:rPr>
              <w:t>的依法缴纳税收的凭据复印件；</w:t>
            </w:r>
            <w:r>
              <w:rPr>
                <w:rFonts w:hint="eastAsia" w:ascii="宋体" w:hAnsi="宋体" w:eastAsia="宋体" w:cs="宋体"/>
                <w:color w:val="auto"/>
                <w:highlight w:val="none"/>
              </w:rPr>
              <w:t>依法免税的，必须提供相应文件证明其依法免税。</w:t>
            </w:r>
            <w:r>
              <w:rPr>
                <w:rFonts w:hint="eastAsia" w:ascii="宋体" w:hAnsi="宋体" w:eastAsia="宋体" w:cs="宋体"/>
                <w:color w:val="auto"/>
                <w:szCs w:val="21"/>
                <w:highlight w:val="none"/>
              </w:rPr>
              <w:t>从成立之日起到响应文件提交截止时间止不足要求月数的，只需提供从成立之日起的依法缴纳税收</w:t>
            </w:r>
            <w:r>
              <w:rPr>
                <w:rFonts w:hint="eastAsia" w:ascii="宋体" w:hAnsi="宋体" w:eastAsia="宋体" w:cs="宋体"/>
                <w:color w:val="auto"/>
                <w:highlight w:val="none"/>
              </w:rPr>
              <w:t>相应证明文件</w:t>
            </w:r>
            <w:r>
              <w:rPr>
                <w:rFonts w:hint="eastAsia" w:ascii="宋体" w:hAnsi="宋体" w:eastAsia="宋体" w:cs="宋体"/>
                <w:color w:val="auto"/>
                <w:szCs w:val="21"/>
                <w:highlight w:val="none"/>
              </w:rPr>
              <w:t>）；（</w:t>
            </w:r>
            <w:r>
              <w:rPr>
                <w:rFonts w:hint="eastAsia" w:ascii="宋体" w:hAnsi="宋体" w:eastAsia="宋体" w:cs="宋体"/>
                <w:b/>
                <w:color w:val="auto"/>
                <w:szCs w:val="21"/>
                <w:highlight w:val="none"/>
              </w:rPr>
              <w:t>必须提供，否则响应文件按无效响应处理</w:t>
            </w:r>
            <w:r>
              <w:rPr>
                <w:rFonts w:hint="eastAsia" w:ascii="宋体" w:hAnsi="宋体" w:eastAsia="宋体" w:cs="宋体"/>
                <w:color w:val="auto"/>
                <w:szCs w:val="21"/>
                <w:highlight w:val="none"/>
              </w:rPr>
              <w:t>）</w:t>
            </w:r>
          </w:p>
          <w:p w14:paraId="5F889A9B">
            <w:pPr>
              <w:spacing w:line="360" w:lineRule="auto"/>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3、供应商依法缴纳社会保障资金的相关材料[</w:t>
            </w:r>
            <w:r>
              <w:rPr>
                <w:rFonts w:hint="eastAsia" w:ascii="宋体" w:hAnsi="宋体" w:eastAsia="宋体" w:cs="宋体"/>
                <w:color w:val="auto"/>
                <w:szCs w:val="21"/>
                <w:highlight w:val="none"/>
                <w:u w:val="single"/>
                <w:lang w:eastAsia="zh-CN"/>
              </w:rPr>
              <w:t>2026年1月至2026年5月内任意一个月</w:t>
            </w:r>
            <w:r>
              <w:rPr>
                <w:rFonts w:hint="eastAsia" w:ascii="宋体" w:hAnsi="宋体" w:eastAsia="宋体" w:cs="宋体"/>
                <w:color w:val="auto"/>
                <w:szCs w:val="21"/>
                <w:highlight w:val="none"/>
              </w:rPr>
              <w:t>的依法缴纳社会保障资金的缴费凭证（专用收据或者社会保险缴纳清单）复印件；</w:t>
            </w:r>
            <w:r>
              <w:rPr>
                <w:rFonts w:hint="eastAsia" w:ascii="宋体" w:hAnsi="宋体" w:eastAsia="宋体" w:cs="宋体"/>
                <w:color w:val="auto"/>
                <w:highlight w:val="none"/>
              </w:rPr>
              <w:t>依法不需要缴纳社会保障资金的，必须提供相应文件证明不需要缴纳社会保障资金。</w:t>
            </w:r>
            <w:r>
              <w:rPr>
                <w:rFonts w:hint="eastAsia" w:ascii="宋体" w:hAnsi="宋体" w:eastAsia="宋体" w:cs="宋体"/>
                <w:color w:val="auto"/>
                <w:szCs w:val="21"/>
                <w:highlight w:val="none"/>
              </w:rPr>
              <w:t>从成立之日起到响应文件提交截止时间止不足要求月数的只需提供从成立之日起的依法缴纳社会保障资金的</w:t>
            </w:r>
            <w:r>
              <w:rPr>
                <w:rFonts w:hint="eastAsia" w:ascii="宋体" w:hAnsi="宋体" w:eastAsia="宋体" w:cs="宋体"/>
                <w:color w:val="auto"/>
                <w:highlight w:val="none"/>
              </w:rPr>
              <w:t>相应证明文件</w:t>
            </w:r>
            <w:r>
              <w:rPr>
                <w:rFonts w:hint="eastAsia" w:ascii="宋体" w:hAnsi="宋体" w:eastAsia="宋体" w:cs="宋体"/>
                <w:color w:val="auto"/>
                <w:szCs w:val="21"/>
                <w:highlight w:val="none"/>
              </w:rPr>
              <w:t>]；（</w:t>
            </w:r>
            <w:r>
              <w:rPr>
                <w:rFonts w:hint="eastAsia" w:ascii="宋体" w:hAnsi="宋体" w:eastAsia="宋体" w:cs="宋体"/>
                <w:b/>
                <w:color w:val="auto"/>
                <w:szCs w:val="21"/>
                <w:highlight w:val="none"/>
              </w:rPr>
              <w:t>必须提供，否则响应文件按无效响应处理</w:t>
            </w:r>
            <w:r>
              <w:rPr>
                <w:rFonts w:hint="eastAsia" w:ascii="宋体" w:hAnsi="宋体" w:eastAsia="宋体" w:cs="宋体"/>
                <w:color w:val="auto"/>
                <w:szCs w:val="21"/>
                <w:highlight w:val="none"/>
              </w:rPr>
              <w:t>）</w:t>
            </w:r>
          </w:p>
          <w:p w14:paraId="1FD567E1">
            <w:pPr>
              <w:snapToGrid w:val="0"/>
              <w:spacing w:line="360" w:lineRule="auto"/>
              <w:jc w:val="left"/>
              <w:rPr>
                <w:rFonts w:hint="eastAsia" w:ascii="宋体" w:hAnsi="宋体" w:eastAsia="宋体" w:cs="宋体"/>
                <w:b/>
                <w:bCs/>
                <w:color w:val="auto"/>
                <w:szCs w:val="21"/>
                <w:highlight w:val="none"/>
                <w:u w:val="single"/>
              </w:rPr>
            </w:pPr>
            <w:r>
              <w:rPr>
                <w:rFonts w:hint="eastAsia" w:ascii="宋体" w:hAnsi="宋体" w:eastAsia="宋体" w:cs="宋体"/>
                <w:color w:val="auto"/>
                <w:szCs w:val="21"/>
                <w:highlight w:val="none"/>
              </w:rPr>
              <w:t>4</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u w:val="single"/>
              </w:rPr>
              <w:t>供应商财务状况报告：[2024年</w:t>
            </w:r>
            <w:r>
              <w:rPr>
                <w:rFonts w:hint="eastAsia" w:ascii="宋体" w:hAnsi="宋体" w:eastAsia="宋体" w:cs="宋体"/>
                <w:color w:val="auto"/>
                <w:szCs w:val="21"/>
                <w:highlight w:val="none"/>
                <w:u w:val="single"/>
                <w:lang w:eastAsia="zh-CN"/>
              </w:rPr>
              <w:t>或</w:t>
            </w:r>
            <w:r>
              <w:rPr>
                <w:rFonts w:hint="eastAsia" w:ascii="宋体" w:hAnsi="宋体" w:eastAsia="宋体" w:cs="宋体"/>
                <w:color w:val="auto"/>
                <w:szCs w:val="21"/>
                <w:highlight w:val="none"/>
                <w:u w:val="single"/>
                <w:lang w:val="en-US" w:eastAsia="zh-CN"/>
              </w:rPr>
              <w:t>2025年</w:t>
            </w:r>
            <w:r>
              <w:rPr>
                <w:rFonts w:hint="eastAsia" w:ascii="宋体" w:hAnsi="宋体" w:eastAsia="宋体" w:cs="宋体"/>
                <w:color w:val="auto"/>
                <w:szCs w:val="21"/>
                <w:highlight w:val="none"/>
                <w:u w:val="single"/>
              </w:rPr>
              <w:t>]财务状况报告复印件；供应商成立不满一年的应按提供首次响应文件提交截止时间上一个月的财务状况报告复印件；</w:t>
            </w:r>
            <w:r>
              <w:rPr>
                <w:rFonts w:hint="eastAsia" w:ascii="宋体" w:hAnsi="宋体" w:eastAsia="宋体" w:cs="宋体"/>
                <w:b/>
                <w:bCs/>
                <w:color w:val="auto"/>
                <w:szCs w:val="21"/>
                <w:highlight w:val="none"/>
                <w:u w:val="single"/>
              </w:rPr>
              <w:t>（必须提供，否则响应文件按无效响应处理）</w:t>
            </w:r>
          </w:p>
          <w:p w14:paraId="6DBE7E8B">
            <w:pPr>
              <w:snapToGrid w:val="0"/>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5、供应商直接控股、管理关系信息表（格式后附）；（</w:t>
            </w:r>
            <w:r>
              <w:rPr>
                <w:rFonts w:hint="eastAsia" w:ascii="宋体" w:hAnsi="宋体" w:eastAsia="宋体" w:cs="宋体"/>
                <w:b/>
                <w:color w:val="auto"/>
                <w:szCs w:val="21"/>
                <w:highlight w:val="none"/>
              </w:rPr>
              <w:t>必须提供，否则响应文件按无效响应处理</w:t>
            </w:r>
            <w:r>
              <w:rPr>
                <w:rFonts w:hint="eastAsia" w:ascii="宋体" w:hAnsi="宋体" w:eastAsia="宋体" w:cs="宋体"/>
                <w:color w:val="auto"/>
                <w:szCs w:val="21"/>
                <w:highlight w:val="none"/>
              </w:rPr>
              <w:t>）</w:t>
            </w:r>
          </w:p>
          <w:p w14:paraId="6CE8ECC2">
            <w:pPr>
              <w:snapToGrid w:val="0"/>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6、竞标声明（格式后附）；（</w:t>
            </w:r>
            <w:r>
              <w:rPr>
                <w:rFonts w:hint="eastAsia" w:ascii="宋体" w:hAnsi="宋体" w:eastAsia="宋体" w:cs="宋体"/>
                <w:b/>
                <w:color w:val="auto"/>
                <w:szCs w:val="21"/>
                <w:highlight w:val="none"/>
              </w:rPr>
              <w:t>必须提供，否则响应文件按无效响应处理</w:t>
            </w:r>
            <w:r>
              <w:rPr>
                <w:rFonts w:hint="eastAsia" w:ascii="宋体" w:hAnsi="宋体" w:eastAsia="宋体" w:cs="宋体"/>
                <w:color w:val="auto"/>
                <w:szCs w:val="21"/>
                <w:highlight w:val="none"/>
              </w:rPr>
              <w:t>）</w:t>
            </w:r>
          </w:p>
          <w:p w14:paraId="4861B8BE">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7、</w:t>
            </w:r>
            <w:r>
              <w:rPr>
                <w:rFonts w:hint="eastAsia" w:ascii="宋体" w:hAnsi="宋体" w:eastAsia="宋体" w:cs="宋体"/>
                <w:color w:val="auto"/>
                <w:szCs w:val="21"/>
                <w:highlight w:val="none"/>
                <w:lang w:eastAsia="zh-CN"/>
              </w:rPr>
              <w:t>供应商须</w:t>
            </w:r>
            <w:r>
              <w:rPr>
                <w:rFonts w:hint="eastAsia" w:ascii="宋体" w:hAnsi="宋体" w:eastAsia="宋体" w:cs="宋体"/>
                <w:color w:val="auto"/>
                <w:szCs w:val="21"/>
                <w:highlight w:val="none"/>
                <w:lang w:val="en-US" w:eastAsia="zh-CN"/>
              </w:rPr>
              <w:t>具备公路工程施工总承包三级(含三级)以上资质，且具备省级及以上建设行政主管部门颁发的安全生产许可证。并在人员、设备、资金等方面具有相应的施工能力；拟投入本工程的项目经理必须具有公路工程专业贰级以上（含贰级）注册建造师资格及安全生产考核合格证（B证），为供应商的在岗人员，且未担任其他在建项目或已中标未开工项目或已列为项目第一中标候选人项目的项目经</w:t>
            </w:r>
            <w:r>
              <w:rPr>
                <w:rFonts w:hint="eastAsia" w:ascii="宋体" w:hAnsi="宋体" w:eastAsia="宋体" w:cs="宋体"/>
                <w:color w:val="auto"/>
                <w:szCs w:val="21"/>
                <w:highlight w:val="none"/>
                <w:u w:val="none"/>
                <w:lang w:val="en-US" w:eastAsia="zh-CN"/>
              </w:rPr>
              <w:t>理</w:t>
            </w:r>
            <w:r>
              <w:rPr>
                <w:rFonts w:hint="eastAsia" w:ascii="宋体" w:hAnsi="宋体" w:eastAsia="宋体" w:cs="宋体"/>
                <w:color w:val="auto"/>
                <w:szCs w:val="21"/>
                <w:highlight w:val="none"/>
                <w:u w:val="none"/>
                <w:lang w:eastAsia="zh-CN"/>
              </w:rPr>
              <w:t>。</w:t>
            </w:r>
            <w:r>
              <w:rPr>
                <w:rFonts w:hint="eastAsia" w:ascii="宋体" w:hAnsi="宋体" w:eastAsia="宋体" w:cs="宋体"/>
                <w:color w:val="auto"/>
                <w:szCs w:val="21"/>
                <w:highlight w:val="none"/>
              </w:rPr>
              <w:t>（</w:t>
            </w:r>
            <w:r>
              <w:rPr>
                <w:rFonts w:hint="eastAsia" w:ascii="宋体" w:hAnsi="宋体" w:eastAsia="宋体" w:cs="宋体"/>
                <w:b/>
                <w:color w:val="auto"/>
                <w:szCs w:val="21"/>
                <w:highlight w:val="none"/>
              </w:rPr>
              <w:t>必须提供，否则响应文件按无效响应处理</w:t>
            </w:r>
            <w:r>
              <w:rPr>
                <w:rFonts w:hint="eastAsia" w:ascii="宋体" w:hAnsi="宋体" w:eastAsia="宋体" w:cs="宋体"/>
                <w:color w:val="auto"/>
                <w:szCs w:val="21"/>
                <w:highlight w:val="none"/>
              </w:rPr>
              <w:t>）</w:t>
            </w:r>
          </w:p>
          <w:p w14:paraId="2309F187">
            <w:pPr>
              <w:snapToGrid w:val="0"/>
              <w:spacing w:line="360" w:lineRule="auto"/>
              <w:jc w:val="left"/>
              <w:rPr>
                <w:rFonts w:hint="eastAsia" w:ascii="宋体" w:hAnsi="宋体" w:eastAsia="宋体" w:cs="宋体"/>
                <w:b/>
                <w:bCs/>
                <w:color w:val="auto"/>
                <w:szCs w:val="21"/>
                <w:highlight w:val="none"/>
              </w:rPr>
            </w:pPr>
            <w:r>
              <w:rPr>
                <w:rFonts w:hint="eastAsia" w:ascii="宋体" w:hAnsi="宋体" w:eastAsia="宋体" w:cs="宋体"/>
                <w:color w:val="auto"/>
                <w:szCs w:val="21"/>
                <w:highlight w:val="none"/>
              </w:rPr>
              <w:t>8.承诺书；</w:t>
            </w:r>
            <w:r>
              <w:rPr>
                <w:rFonts w:hint="eastAsia" w:ascii="宋体" w:hAnsi="宋体" w:eastAsia="宋体" w:cs="宋体"/>
                <w:b/>
                <w:bCs/>
                <w:color w:val="auto"/>
                <w:szCs w:val="21"/>
                <w:highlight w:val="none"/>
              </w:rPr>
              <w:t>（必须提供，否则响应文件按无效响应处理）</w:t>
            </w:r>
          </w:p>
          <w:p w14:paraId="6C28153B">
            <w:pPr>
              <w:snapToGrid w:val="0"/>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9、中小企业声明函或监狱企业由省级以上监狱管理局、戒毒管理局（含新疆生产建设兵团）出具的属于监狱企业的证明文件或残疾人福利性单位声明函（格式后附）；</w:t>
            </w:r>
            <w:r>
              <w:rPr>
                <w:rFonts w:hint="eastAsia" w:ascii="宋体" w:hAnsi="宋体" w:eastAsia="宋体" w:cs="宋体"/>
                <w:b/>
                <w:bCs/>
                <w:color w:val="auto"/>
                <w:szCs w:val="21"/>
                <w:highlight w:val="none"/>
              </w:rPr>
              <w:t>（必须提供，否则响应文件按无效响应处理）</w:t>
            </w:r>
          </w:p>
          <w:p w14:paraId="3EFCA4EE">
            <w:pPr>
              <w:snapToGrid w:val="0"/>
              <w:spacing w:line="360" w:lineRule="auto"/>
              <w:jc w:val="left"/>
              <w:rPr>
                <w:rFonts w:hint="eastAsia" w:ascii="宋体" w:hAnsi="宋体" w:eastAsia="宋体" w:cs="宋体"/>
                <w:b/>
                <w:color w:val="auto"/>
                <w:szCs w:val="21"/>
                <w:highlight w:val="none"/>
                <w:lang w:eastAsia="zh-CN"/>
              </w:rPr>
            </w:pPr>
            <w:r>
              <w:rPr>
                <w:rFonts w:hint="eastAsia" w:ascii="宋体" w:hAnsi="宋体" w:eastAsia="宋体" w:cs="宋体"/>
                <w:color w:val="auto"/>
                <w:szCs w:val="21"/>
                <w:highlight w:val="none"/>
              </w:rPr>
              <w:t>10、除谈判文件规定必须提供以外，供应商认为需要提供的其他证明材料；</w:t>
            </w:r>
            <w:r>
              <w:rPr>
                <w:rFonts w:hint="eastAsia" w:ascii="宋体" w:hAnsi="宋体" w:eastAsia="宋体" w:cs="宋体"/>
                <w:b/>
                <w:bCs/>
                <w:color w:val="auto"/>
                <w:szCs w:val="21"/>
                <w:highlight w:val="none"/>
                <w:lang w:eastAsia="zh-CN"/>
              </w:rPr>
              <w:t>（</w:t>
            </w:r>
            <w:r>
              <w:rPr>
                <w:rFonts w:hint="eastAsia" w:ascii="宋体" w:hAnsi="宋体" w:eastAsia="宋体" w:cs="宋体"/>
                <w:b/>
                <w:bCs/>
                <w:color w:val="auto"/>
                <w:szCs w:val="21"/>
                <w:highlight w:val="none"/>
                <w:lang w:val="en-US" w:eastAsia="zh-CN"/>
              </w:rPr>
              <w:t>如有，请提供</w:t>
            </w:r>
            <w:r>
              <w:rPr>
                <w:rFonts w:hint="eastAsia" w:ascii="宋体" w:hAnsi="宋体" w:eastAsia="宋体" w:cs="宋体"/>
                <w:b/>
                <w:bCs/>
                <w:color w:val="auto"/>
                <w:szCs w:val="21"/>
                <w:highlight w:val="none"/>
                <w:lang w:eastAsia="zh-CN"/>
              </w:rPr>
              <w:t>）</w:t>
            </w:r>
          </w:p>
          <w:p w14:paraId="2B7BC50A">
            <w:pPr>
              <w:snapToGrid w:val="0"/>
              <w:spacing w:line="360" w:lineRule="auto"/>
              <w:ind w:firstLine="422" w:firstLineChars="200"/>
              <w:jc w:val="left"/>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注：</w:t>
            </w:r>
          </w:p>
          <w:p w14:paraId="106F3DC3">
            <w:pPr>
              <w:snapToGrid w:val="0"/>
              <w:spacing w:line="360" w:lineRule="auto"/>
              <w:ind w:firstLine="413" w:firstLineChars="196"/>
              <w:jc w:val="left"/>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1.以上标明“必须提供”的材料属于复印件的，必须加盖供应商公章，否则响应文件按无效响应处理。</w:t>
            </w:r>
          </w:p>
          <w:p w14:paraId="03AD8B4A">
            <w:pPr>
              <w:snapToGrid w:val="0"/>
              <w:spacing w:line="360" w:lineRule="auto"/>
              <w:ind w:firstLine="422" w:firstLineChars="200"/>
              <w:jc w:val="left"/>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2.竞标声明必须由法定代表人在规定签章处逐一签字并加盖供应商公章，否则响应文件按无效响应处理。</w:t>
            </w:r>
          </w:p>
          <w:p w14:paraId="6336996D">
            <w:pPr>
              <w:snapToGrid w:val="0"/>
              <w:spacing w:line="360" w:lineRule="auto"/>
              <w:ind w:firstLine="422" w:firstLineChars="200"/>
              <w:jc w:val="left"/>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3.供应商直接控股、管理关系信息表必须由法定代表人或者委托代理人在规定签章处逐一签字并加盖供应商公章，否则响应文件按无效响应处理。</w:t>
            </w:r>
          </w:p>
          <w:p w14:paraId="02807967">
            <w:pPr>
              <w:snapToGrid w:val="0"/>
              <w:spacing w:line="360" w:lineRule="auto"/>
              <w:ind w:firstLine="422" w:firstLineChars="200"/>
              <w:jc w:val="left"/>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4.联合体竞标时，第1-5项资格证明文件联合体各方均必须分别提供，联合体各方分别盖章和签字，否则响应文件按无效响应处理。</w:t>
            </w:r>
          </w:p>
          <w:p w14:paraId="0160596E">
            <w:pPr>
              <w:snapToGrid w:val="0"/>
              <w:spacing w:line="360" w:lineRule="auto"/>
              <w:ind w:firstLine="422" w:firstLineChars="200"/>
              <w:jc w:val="left"/>
              <w:rPr>
                <w:rFonts w:hint="eastAsia" w:ascii="宋体" w:hAnsi="宋体" w:eastAsia="宋体" w:cs="宋体"/>
                <w:b/>
                <w:color w:val="auto"/>
                <w:szCs w:val="21"/>
                <w:highlight w:val="none"/>
              </w:rPr>
            </w:pPr>
            <w:r>
              <w:rPr>
                <w:rFonts w:hint="eastAsia" w:ascii="宋体" w:hAnsi="宋体" w:eastAsia="宋体" w:cs="宋体"/>
                <w:b/>
                <w:bCs/>
                <w:color w:val="auto"/>
                <w:szCs w:val="21"/>
                <w:highlight w:val="none"/>
              </w:rPr>
              <w:t>5.分公司参加竞标的，应当取得总公司授权</w:t>
            </w:r>
            <w:r>
              <w:rPr>
                <w:rFonts w:hint="eastAsia" w:ascii="宋体" w:hAnsi="宋体" w:eastAsia="宋体" w:cs="宋体"/>
                <w:b/>
                <w:color w:val="auto"/>
                <w:szCs w:val="21"/>
                <w:highlight w:val="none"/>
              </w:rPr>
              <w:t>，否则响应文件按无效响应处理。</w:t>
            </w:r>
          </w:p>
        </w:tc>
      </w:tr>
      <w:tr w14:paraId="6CFA98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0"/>
            <w:vAlign w:val="center"/>
          </w:tcPr>
          <w:p w14:paraId="3473E26E">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12.1.2</w:t>
            </w:r>
          </w:p>
        </w:tc>
        <w:tc>
          <w:tcPr>
            <w:tcW w:w="8695" w:type="dxa"/>
            <w:noWrap w:val="0"/>
            <w:vAlign w:val="center"/>
          </w:tcPr>
          <w:p w14:paraId="638D42B3">
            <w:pPr>
              <w:spacing w:line="360" w:lineRule="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商务文件组成</w:t>
            </w:r>
          </w:p>
          <w:p w14:paraId="223BD787">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1、无串通竞标行为的承诺函（格式后附）；（</w:t>
            </w:r>
            <w:r>
              <w:rPr>
                <w:rFonts w:hint="eastAsia" w:ascii="宋体" w:hAnsi="宋体" w:eastAsia="宋体" w:cs="宋体"/>
                <w:b/>
                <w:color w:val="auto"/>
                <w:szCs w:val="21"/>
                <w:highlight w:val="none"/>
              </w:rPr>
              <w:t>必须提供，否则响应文件按无效响应处理</w:t>
            </w:r>
            <w:r>
              <w:rPr>
                <w:rFonts w:hint="eastAsia" w:ascii="宋体" w:hAnsi="宋体" w:eastAsia="宋体" w:cs="宋体"/>
                <w:color w:val="auto"/>
                <w:szCs w:val="21"/>
                <w:highlight w:val="none"/>
              </w:rPr>
              <w:t>）</w:t>
            </w:r>
          </w:p>
          <w:p w14:paraId="40719543">
            <w:pPr>
              <w:snapToGrid w:val="0"/>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2、法定代表人身份证明及法定代表人有效身份证正反面复印件（格式后附）；（</w:t>
            </w:r>
            <w:r>
              <w:rPr>
                <w:rFonts w:hint="eastAsia" w:ascii="宋体" w:hAnsi="宋体" w:eastAsia="宋体" w:cs="宋体"/>
                <w:b/>
                <w:color w:val="auto"/>
                <w:szCs w:val="21"/>
                <w:highlight w:val="none"/>
              </w:rPr>
              <w:t>必须提供，否则响应文件按无效响应处理</w:t>
            </w:r>
            <w:r>
              <w:rPr>
                <w:rFonts w:hint="eastAsia" w:ascii="宋体" w:hAnsi="宋体" w:eastAsia="宋体" w:cs="宋体"/>
                <w:color w:val="auto"/>
                <w:szCs w:val="21"/>
                <w:highlight w:val="none"/>
              </w:rPr>
              <w:t>）</w:t>
            </w:r>
          </w:p>
          <w:p w14:paraId="6DFD64A1">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3、授权委托书及委托代理人有效身份证正反面复印件（格式后附）；（</w:t>
            </w:r>
            <w:r>
              <w:rPr>
                <w:rFonts w:hint="eastAsia" w:ascii="宋体" w:hAnsi="宋体" w:eastAsia="宋体" w:cs="宋体"/>
                <w:b/>
                <w:color w:val="auto"/>
                <w:szCs w:val="21"/>
                <w:highlight w:val="none"/>
              </w:rPr>
              <w:t>委托时必须提供，否则响应文件按无效响应处理</w:t>
            </w:r>
            <w:r>
              <w:rPr>
                <w:rFonts w:hint="eastAsia" w:ascii="宋体" w:hAnsi="宋体" w:eastAsia="宋体" w:cs="宋体"/>
                <w:color w:val="auto"/>
                <w:szCs w:val="21"/>
                <w:highlight w:val="none"/>
              </w:rPr>
              <w:t>）</w:t>
            </w:r>
          </w:p>
          <w:p w14:paraId="78B2DAD5">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4、商务要求偏离表（格式后附）；（</w:t>
            </w:r>
            <w:r>
              <w:rPr>
                <w:rFonts w:hint="eastAsia" w:ascii="宋体" w:hAnsi="宋体" w:eastAsia="宋体" w:cs="宋体"/>
                <w:b/>
                <w:color w:val="auto"/>
                <w:szCs w:val="21"/>
                <w:highlight w:val="none"/>
              </w:rPr>
              <w:t>必须提供，否则响应文件按无效响应处理</w:t>
            </w:r>
            <w:r>
              <w:rPr>
                <w:rFonts w:hint="eastAsia" w:ascii="宋体" w:hAnsi="宋体" w:eastAsia="宋体" w:cs="宋体"/>
                <w:color w:val="auto"/>
                <w:szCs w:val="21"/>
                <w:highlight w:val="none"/>
              </w:rPr>
              <w:t>）</w:t>
            </w:r>
          </w:p>
          <w:p w14:paraId="72FB10C7">
            <w:pPr>
              <w:spacing w:line="360" w:lineRule="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5</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竞标人情况介绍</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（如有，请提供）</w:t>
            </w:r>
          </w:p>
          <w:p w14:paraId="57A2D3EE">
            <w:pPr>
              <w:pStyle w:val="2"/>
              <w:rPr>
                <w:rFonts w:hint="default" w:eastAsia="宋体"/>
                <w:lang w:val="en-US" w:eastAsia="zh-CN"/>
              </w:rPr>
            </w:pPr>
            <w:r>
              <w:rPr>
                <w:rFonts w:hint="eastAsia" w:ascii="宋体" w:hAnsi="宋体" w:eastAsia="宋体" w:cs="宋体"/>
                <w:color w:val="auto"/>
                <w:szCs w:val="21"/>
                <w:highlight w:val="none"/>
                <w:lang w:val="en-US" w:eastAsia="zh-CN"/>
              </w:rPr>
              <w:t>6、商务要求需要提供的其他有关资料。（如有，请提供）</w:t>
            </w:r>
          </w:p>
          <w:p w14:paraId="23B2E3D4">
            <w:pPr>
              <w:spacing w:line="360" w:lineRule="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注：</w:t>
            </w:r>
          </w:p>
          <w:p w14:paraId="7769EC09">
            <w:pPr>
              <w:spacing w:line="360" w:lineRule="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1.法定代表人授权委托书必须由法定代表人及委托代理人签字，并加盖供应商公章，否则响应文件按无效响应处理。</w:t>
            </w:r>
          </w:p>
          <w:p w14:paraId="5DA29CD0">
            <w:pPr>
              <w:spacing w:line="360" w:lineRule="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2.以上标明“必须提供”的材料属于复印件的扫描件的，必须加盖供应商电子公章，否则响应文件按无效响应处理。</w:t>
            </w:r>
          </w:p>
          <w:p w14:paraId="0C270D63">
            <w:pPr>
              <w:spacing w:line="360" w:lineRule="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技术文件组成</w:t>
            </w:r>
          </w:p>
          <w:p w14:paraId="02E9D8E8">
            <w:pPr>
              <w:spacing w:line="360" w:lineRule="auto"/>
              <w:rPr>
                <w:rFonts w:hint="eastAsia" w:ascii="宋体" w:hAnsi="宋体" w:eastAsia="宋体" w:cs="宋体"/>
                <w:b/>
                <w:bCs/>
                <w:color w:val="auto"/>
                <w:szCs w:val="21"/>
                <w:highlight w:val="none"/>
              </w:rPr>
            </w:pPr>
            <w:r>
              <w:rPr>
                <w:rFonts w:hint="eastAsia" w:ascii="宋体" w:hAnsi="宋体" w:eastAsia="宋体" w:cs="宋体"/>
                <w:color w:val="auto"/>
                <w:szCs w:val="21"/>
                <w:highlight w:val="none"/>
              </w:rPr>
              <w:t>1、技术要求偏离表（格式后附）；（</w:t>
            </w:r>
            <w:r>
              <w:rPr>
                <w:rFonts w:hint="eastAsia" w:ascii="宋体" w:hAnsi="宋体" w:eastAsia="宋体" w:cs="宋体"/>
                <w:b/>
                <w:color w:val="auto"/>
                <w:szCs w:val="21"/>
                <w:highlight w:val="none"/>
              </w:rPr>
              <w:t>必须提供，否则响应文件按无效响应处理</w:t>
            </w:r>
            <w:r>
              <w:rPr>
                <w:rFonts w:hint="eastAsia" w:ascii="宋体" w:hAnsi="宋体" w:eastAsia="宋体" w:cs="宋体"/>
                <w:color w:val="auto"/>
                <w:szCs w:val="21"/>
                <w:highlight w:val="none"/>
              </w:rPr>
              <w:t>）</w:t>
            </w:r>
          </w:p>
          <w:p w14:paraId="73E68F36">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2、施工组织设计（包括但不限于：</w:t>
            </w:r>
            <w:r>
              <w:rPr>
                <w:rFonts w:hint="eastAsia" w:ascii="宋体" w:hAnsi="宋体" w:eastAsia="宋体" w:cs="宋体"/>
                <w:color w:val="auto"/>
                <w:szCs w:val="21"/>
                <w:highlight w:val="none"/>
                <w:lang w:eastAsia="zh-CN"/>
              </w:rPr>
              <w:t>施工总体部署、主要施工方法、质量安全保障措施、工期保证措施等，格式自拟）</w:t>
            </w:r>
            <w:r>
              <w:rPr>
                <w:rFonts w:hint="eastAsia" w:ascii="宋体" w:hAnsi="宋体" w:eastAsia="宋体" w:cs="宋体"/>
                <w:color w:val="auto"/>
                <w:szCs w:val="21"/>
                <w:highlight w:val="none"/>
              </w:rPr>
              <w:t>）；（</w:t>
            </w:r>
            <w:r>
              <w:rPr>
                <w:rFonts w:hint="eastAsia" w:ascii="宋体" w:hAnsi="宋体" w:eastAsia="宋体" w:cs="宋体"/>
                <w:b/>
                <w:color w:val="auto"/>
                <w:szCs w:val="21"/>
                <w:highlight w:val="none"/>
              </w:rPr>
              <w:t>必须提供，否则响应文件按无效响应处理</w:t>
            </w:r>
            <w:r>
              <w:rPr>
                <w:rFonts w:hint="eastAsia" w:ascii="宋体" w:hAnsi="宋体" w:eastAsia="宋体" w:cs="宋体"/>
                <w:color w:val="auto"/>
                <w:szCs w:val="21"/>
                <w:highlight w:val="none"/>
              </w:rPr>
              <w:t>）</w:t>
            </w:r>
          </w:p>
          <w:p w14:paraId="162AB637">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项目管理机构；</w:t>
            </w:r>
            <w:r>
              <w:rPr>
                <w:rFonts w:hint="eastAsia" w:ascii="宋体" w:hAnsi="宋体" w:eastAsia="宋体" w:cs="宋体"/>
                <w:b/>
                <w:bCs/>
                <w:color w:val="auto"/>
                <w:szCs w:val="21"/>
                <w:highlight w:val="none"/>
              </w:rPr>
              <w:t>（必须提供，否则响应文件按无效响应处理）</w:t>
            </w:r>
          </w:p>
          <w:p w14:paraId="7354C8E2">
            <w:pPr>
              <w:snapToGrid w:val="0"/>
              <w:spacing w:line="360" w:lineRule="auto"/>
              <w:jc w:val="left"/>
              <w:rPr>
                <w:rFonts w:hint="eastAsia" w:ascii="宋体" w:hAnsi="宋体" w:eastAsia="宋体" w:cs="宋体"/>
                <w:bCs/>
                <w:color w:val="auto"/>
                <w:szCs w:val="21"/>
                <w:highlight w:val="none"/>
                <w:lang w:eastAsia="zh-CN"/>
              </w:rPr>
            </w:pPr>
            <w:r>
              <w:rPr>
                <w:rFonts w:hint="eastAsia" w:ascii="宋体" w:hAnsi="宋体" w:eastAsia="宋体" w:cs="宋体"/>
                <w:color w:val="auto"/>
                <w:szCs w:val="21"/>
                <w:highlight w:val="none"/>
                <w:lang w:val="en-US" w:eastAsia="zh-CN"/>
              </w:rPr>
              <w:t>4</w:t>
            </w:r>
            <w:r>
              <w:rPr>
                <w:rFonts w:hint="eastAsia" w:ascii="宋体" w:hAnsi="宋体" w:eastAsia="宋体" w:cs="宋体"/>
                <w:bCs/>
                <w:color w:val="auto"/>
                <w:szCs w:val="21"/>
                <w:highlight w:val="none"/>
              </w:rPr>
              <w:t>、供应商认为需要提供的其他有关资料。</w:t>
            </w:r>
            <w:r>
              <w:rPr>
                <w:rFonts w:hint="eastAsia" w:ascii="宋体" w:hAnsi="宋体" w:eastAsia="宋体" w:cs="宋体"/>
                <w:b/>
                <w:bCs w:val="0"/>
                <w:color w:val="auto"/>
                <w:szCs w:val="21"/>
                <w:highlight w:val="none"/>
                <w:lang w:eastAsia="zh-CN"/>
              </w:rPr>
              <w:t>（</w:t>
            </w:r>
            <w:r>
              <w:rPr>
                <w:rFonts w:hint="eastAsia" w:ascii="宋体" w:hAnsi="宋体" w:eastAsia="宋体" w:cs="宋体"/>
                <w:b/>
                <w:bCs w:val="0"/>
                <w:color w:val="auto"/>
                <w:szCs w:val="21"/>
                <w:highlight w:val="none"/>
                <w:lang w:val="en-US" w:eastAsia="zh-CN"/>
              </w:rPr>
              <w:t>如有，请提供</w:t>
            </w:r>
            <w:r>
              <w:rPr>
                <w:rFonts w:hint="eastAsia" w:ascii="宋体" w:hAnsi="宋体" w:eastAsia="宋体" w:cs="宋体"/>
                <w:b/>
                <w:bCs w:val="0"/>
                <w:color w:val="auto"/>
                <w:szCs w:val="21"/>
                <w:highlight w:val="none"/>
                <w:lang w:eastAsia="zh-CN"/>
              </w:rPr>
              <w:t>）</w:t>
            </w:r>
          </w:p>
          <w:p w14:paraId="3A451635">
            <w:pPr>
              <w:snapToGrid w:val="0"/>
              <w:spacing w:line="360" w:lineRule="auto"/>
              <w:ind w:firstLine="422" w:firstLineChars="200"/>
              <w:jc w:val="left"/>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注：以上标明“必须提供”材料复印件的，必须加盖供应商公章，否则响应文件按无效响应处理。</w:t>
            </w:r>
          </w:p>
        </w:tc>
      </w:tr>
      <w:tr w14:paraId="417698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0"/>
            <w:vAlign w:val="center"/>
          </w:tcPr>
          <w:p w14:paraId="4C627F26">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12.1.3</w:t>
            </w:r>
          </w:p>
        </w:tc>
        <w:tc>
          <w:tcPr>
            <w:tcW w:w="8695" w:type="dxa"/>
            <w:noWrap w:val="0"/>
            <w:vAlign w:val="center"/>
          </w:tcPr>
          <w:p w14:paraId="4E26D4FC">
            <w:pPr>
              <w:snapToGrid w:val="0"/>
              <w:spacing w:line="360" w:lineRule="auto"/>
              <w:jc w:val="left"/>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报价文件组成</w:t>
            </w:r>
          </w:p>
          <w:p w14:paraId="58015EE6">
            <w:pPr>
              <w:tabs>
                <w:tab w:val="left" w:pos="459"/>
              </w:tabs>
              <w:snapToGrid w:val="0"/>
              <w:spacing w:line="360" w:lineRule="auto"/>
              <w:jc w:val="left"/>
              <w:rPr>
                <w:rFonts w:hint="eastAsia" w:ascii="宋体" w:hAnsi="宋体" w:eastAsia="宋体" w:cs="宋体"/>
                <w:b/>
                <w:color w:val="auto"/>
                <w:szCs w:val="21"/>
                <w:highlight w:val="none"/>
              </w:rPr>
            </w:pPr>
            <w:r>
              <w:rPr>
                <w:rFonts w:hint="eastAsia" w:ascii="宋体" w:hAnsi="宋体" w:eastAsia="宋体" w:cs="宋体"/>
                <w:color w:val="auto"/>
                <w:szCs w:val="21"/>
                <w:highlight w:val="none"/>
              </w:rPr>
              <w:t>1.响应函及响应函附录；</w:t>
            </w:r>
            <w:r>
              <w:rPr>
                <w:rFonts w:hint="eastAsia" w:ascii="宋体" w:hAnsi="宋体" w:eastAsia="宋体" w:cs="宋体"/>
                <w:b/>
                <w:color w:val="auto"/>
                <w:szCs w:val="21"/>
                <w:highlight w:val="none"/>
              </w:rPr>
              <w:t>（必须提供，否则作无效响应处理）</w:t>
            </w:r>
          </w:p>
          <w:p w14:paraId="06102018">
            <w:pPr>
              <w:tabs>
                <w:tab w:val="left" w:pos="459"/>
              </w:tabs>
              <w:snapToGrid w:val="0"/>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szCs w:val="21"/>
                <w:highlight w:val="none"/>
              </w:rPr>
              <w:t>已标价工程量清单。（</w:t>
            </w:r>
            <w:r>
              <w:rPr>
                <w:rFonts w:hint="eastAsia" w:ascii="宋体" w:hAnsi="宋体" w:eastAsia="宋体" w:cs="宋体"/>
                <w:b/>
                <w:color w:val="auto"/>
                <w:szCs w:val="21"/>
                <w:highlight w:val="none"/>
              </w:rPr>
              <w:t>必须提供，否则响应文件按无效响应处理</w:t>
            </w:r>
            <w:r>
              <w:rPr>
                <w:rFonts w:hint="eastAsia" w:ascii="宋体" w:hAnsi="宋体" w:eastAsia="宋体" w:cs="宋体"/>
                <w:color w:val="auto"/>
                <w:szCs w:val="21"/>
                <w:highlight w:val="none"/>
              </w:rPr>
              <w:t>）</w:t>
            </w:r>
          </w:p>
          <w:p w14:paraId="2434E765">
            <w:pPr>
              <w:snapToGrid w:val="0"/>
              <w:spacing w:line="360" w:lineRule="auto"/>
              <w:jc w:val="left"/>
              <w:rPr>
                <w:rFonts w:hint="eastAsia" w:ascii="宋体" w:hAnsi="宋体" w:eastAsia="宋体" w:cs="宋体"/>
                <w:b/>
                <w:color w:val="auto"/>
                <w:szCs w:val="21"/>
                <w:highlight w:val="none"/>
              </w:rPr>
            </w:pPr>
            <w:r>
              <w:rPr>
                <w:rFonts w:hint="eastAsia" w:ascii="宋体" w:hAnsi="宋体" w:eastAsia="宋体" w:cs="宋体"/>
                <w:b/>
                <w:bCs/>
                <w:color w:val="auto"/>
                <w:szCs w:val="21"/>
                <w:highlight w:val="none"/>
              </w:rPr>
              <w:t>注：上述材料必须在规定盖章处加盖供应商电子公章，否则</w:t>
            </w:r>
            <w:r>
              <w:rPr>
                <w:rFonts w:hint="eastAsia" w:ascii="宋体" w:hAnsi="宋体" w:eastAsia="宋体" w:cs="宋体"/>
                <w:b/>
                <w:color w:val="auto"/>
                <w:szCs w:val="21"/>
                <w:highlight w:val="none"/>
              </w:rPr>
              <w:t>作无效响应处理</w:t>
            </w:r>
            <w:r>
              <w:rPr>
                <w:rFonts w:hint="eastAsia" w:ascii="宋体" w:hAnsi="宋体" w:eastAsia="宋体" w:cs="宋体"/>
                <w:b/>
                <w:bCs/>
                <w:color w:val="auto"/>
                <w:szCs w:val="21"/>
                <w:highlight w:val="none"/>
              </w:rPr>
              <w:t>。</w:t>
            </w:r>
          </w:p>
        </w:tc>
      </w:tr>
      <w:tr w14:paraId="6C0B0C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0"/>
            <w:vAlign w:val="center"/>
          </w:tcPr>
          <w:p w14:paraId="58A66678">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12.2</w:t>
            </w:r>
          </w:p>
        </w:tc>
        <w:tc>
          <w:tcPr>
            <w:tcW w:w="8695" w:type="dxa"/>
            <w:noWrap w:val="0"/>
            <w:vAlign w:val="center"/>
          </w:tcPr>
          <w:p w14:paraId="02B1B755">
            <w:pPr>
              <w:snapToGrid w:val="0"/>
              <w:spacing w:line="360" w:lineRule="auto"/>
              <w:jc w:val="left"/>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响应文件电子版要求</w:t>
            </w:r>
          </w:p>
          <w:p w14:paraId="2383F3CE">
            <w:pPr>
              <w:snapToGrid w:val="0"/>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1.响应文件电子版要求：按照本采购文件“第五章 响应文件格式”编写（第五章未附格式的，由供应商自行拟定），不可涂改并在规定加盖公章处加盖电子公章，否则响应文件按无效响应处理。</w:t>
            </w:r>
          </w:p>
          <w:p w14:paraId="298F9EA3">
            <w:pPr>
              <w:snapToGrid w:val="0"/>
              <w:spacing w:line="360" w:lineRule="auto"/>
              <w:jc w:val="left"/>
              <w:rPr>
                <w:rFonts w:hint="eastAsia" w:ascii="宋体" w:hAnsi="宋体" w:eastAsia="宋体" w:cs="宋体"/>
                <w:b/>
                <w:bCs/>
                <w:color w:val="auto"/>
                <w:szCs w:val="21"/>
                <w:highlight w:val="none"/>
              </w:rPr>
            </w:pPr>
            <w:r>
              <w:rPr>
                <w:rFonts w:hint="eastAsia" w:ascii="宋体" w:hAnsi="宋体" w:eastAsia="宋体" w:cs="宋体"/>
                <w:color w:val="auto"/>
                <w:szCs w:val="21"/>
                <w:highlight w:val="none"/>
              </w:rPr>
              <w:t>2.响应文件电子版密封方式：电子响应文件通过平台有效CA加密后在“政采云”平台投送。（操作方式见公告附件“电子响应文件制作与投送教程” ）</w:t>
            </w:r>
          </w:p>
        </w:tc>
      </w:tr>
      <w:tr w14:paraId="7AD1C3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0"/>
            <w:vAlign w:val="center"/>
          </w:tcPr>
          <w:p w14:paraId="28F8B42E">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15.2</w:t>
            </w:r>
          </w:p>
        </w:tc>
        <w:tc>
          <w:tcPr>
            <w:tcW w:w="8695" w:type="dxa"/>
            <w:noWrap w:val="0"/>
            <w:vAlign w:val="center"/>
          </w:tcPr>
          <w:p w14:paraId="52FE5B92">
            <w:pPr>
              <w:snapToGrid w:val="0"/>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竞标报价是履行合同的最终价格，即满足全部采购需求所应提供的服务的价格；包括竞标服务的成本、运输（含保险）（如有）、技术服务、培训、税费等所有费用。</w:t>
            </w:r>
          </w:p>
          <w:p w14:paraId="0B2B2CD7">
            <w:pPr>
              <w:snapToGrid w:val="0"/>
              <w:spacing w:line="360" w:lineRule="auto"/>
              <w:jc w:val="left"/>
              <w:rPr>
                <w:rFonts w:hint="eastAsia" w:ascii="宋体" w:hAnsi="宋体" w:eastAsia="宋体" w:cs="宋体"/>
                <w:color w:val="auto"/>
                <w:szCs w:val="21"/>
                <w:highlight w:val="none"/>
              </w:rPr>
            </w:pPr>
            <w:r>
              <w:rPr>
                <w:rFonts w:hint="eastAsia" w:ascii="宋体" w:hAnsi="宋体" w:eastAsia="宋体" w:cs="宋体"/>
                <w:b/>
                <w:bCs/>
                <w:color w:val="auto"/>
                <w:szCs w:val="21"/>
                <w:highlight w:val="none"/>
              </w:rPr>
              <w:t>（采购需求另有约定的，从其约定。）</w:t>
            </w:r>
          </w:p>
        </w:tc>
      </w:tr>
      <w:tr w14:paraId="4EA846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0"/>
            <w:vAlign w:val="center"/>
          </w:tcPr>
          <w:p w14:paraId="6ACA3F60">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16.2</w:t>
            </w:r>
          </w:p>
        </w:tc>
        <w:tc>
          <w:tcPr>
            <w:tcW w:w="8695" w:type="dxa"/>
            <w:noWrap w:val="0"/>
            <w:vAlign w:val="center"/>
          </w:tcPr>
          <w:p w14:paraId="5DE83F42">
            <w:pPr>
              <w:pStyle w:val="9"/>
              <w:widowControl w:val="0"/>
              <w:tabs>
                <w:tab w:val="left" w:pos="720"/>
                <w:tab w:val="left" w:pos="840"/>
              </w:tabs>
              <w:snapToGrid w:val="0"/>
              <w:spacing w:afterLines="0" w:line="360" w:lineRule="auto"/>
              <w:ind w:left="283" w:hanging="283" w:hangingChars="135"/>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竞标有效期：首次响应文件提交截止之日起</w:t>
            </w:r>
            <w:r>
              <w:rPr>
                <w:rFonts w:hint="eastAsia" w:ascii="宋体" w:hAnsi="宋体" w:eastAsia="宋体" w:cs="宋体"/>
                <w:color w:val="auto"/>
                <w:kern w:val="2"/>
                <w:sz w:val="21"/>
                <w:szCs w:val="21"/>
                <w:highlight w:val="none"/>
                <w:lang w:val="en-US" w:eastAsia="zh-CN"/>
              </w:rPr>
              <w:t>9</w:t>
            </w:r>
            <w:r>
              <w:rPr>
                <w:rFonts w:hint="eastAsia" w:ascii="宋体" w:hAnsi="宋体" w:eastAsia="宋体" w:cs="宋体"/>
                <w:color w:val="auto"/>
                <w:kern w:val="2"/>
                <w:sz w:val="21"/>
                <w:szCs w:val="21"/>
                <w:highlight w:val="none"/>
              </w:rPr>
              <w:t xml:space="preserve">0日历天内。 </w:t>
            </w:r>
          </w:p>
        </w:tc>
      </w:tr>
      <w:tr w14:paraId="07AD6F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0"/>
            <w:vAlign w:val="center"/>
          </w:tcPr>
          <w:p w14:paraId="256FD551">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17.1</w:t>
            </w:r>
          </w:p>
        </w:tc>
        <w:tc>
          <w:tcPr>
            <w:tcW w:w="8695" w:type="dxa"/>
            <w:noWrap w:val="0"/>
            <w:vAlign w:val="center"/>
          </w:tcPr>
          <w:p w14:paraId="557A85D6">
            <w:pPr>
              <w:autoSpaceDE w:val="0"/>
              <w:autoSpaceDN w:val="0"/>
              <w:snapToGrid w:val="0"/>
              <w:spacing w:line="360" w:lineRule="auto"/>
              <w:textAlignment w:val="bottom"/>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本项目不收取竞标保证金。</w:t>
            </w:r>
          </w:p>
        </w:tc>
      </w:tr>
      <w:tr w14:paraId="6CA9CF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0"/>
            <w:vAlign w:val="center"/>
          </w:tcPr>
          <w:p w14:paraId="293DC345">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18.2</w:t>
            </w:r>
          </w:p>
        </w:tc>
        <w:tc>
          <w:tcPr>
            <w:tcW w:w="8695" w:type="dxa"/>
            <w:noWrap w:val="0"/>
            <w:vAlign w:val="center"/>
          </w:tcPr>
          <w:p w14:paraId="4EBF4538">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响应文件应按资格证明文件、商务技术文件、报价文件分别编制，</w:t>
            </w:r>
            <w:r>
              <w:rPr>
                <w:rFonts w:hint="eastAsia" w:ascii="宋体" w:hAnsi="宋体" w:eastAsia="宋体" w:cs="宋体"/>
                <w:color w:val="auto"/>
                <w:szCs w:val="21"/>
                <w:highlight w:val="none"/>
                <w:lang w:bidi="ar"/>
              </w:rPr>
              <w:t>并按“政采云”平台的要求编制、加密、上传。</w:t>
            </w:r>
          </w:p>
        </w:tc>
      </w:tr>
      <w:tr w14:paraId="7C0E08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0"/>
            <w:vAlign w:val="center"/>
          </w:tcPr>
          <w:p w14:paraId="1D165F19">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20.1</w:t>
            </w:r>
          </w:p>
        </w:tc>
        <w:tc>
          <w:tcPr>
            <w:tcW w:w="8695" w:type="dxa"/>
            <w:noWrap w:val="0"/>
            <w:vAlign w:val="center"/>
          </w:tcPr>
          <w:p w14:paraId="376DE1B5">
            <w:pPr>
              <w:spacing w:line="360" w:lineRule="auto"/>
              <w:contextualSpacing/>
              <w:jc w:val="left"/>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首次响应文件提交截止时间：详见竞争性谈判公告。</w:t>
            </w:r>
          </w:p>
          <w:p w14:paraId="38C307BB">
            <w:pPr>
              <w:spacing w:line="360" w:lineRule="auto"/>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首次响应文件提交地点：详见竞争性谈判公告。</w:t>
            </w:r>
          </w:p>
        </w:tc>
      </w:tr>
      <w:tr w14:paraId="319BAD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0"/>
            <w:vAlign w:val="center"/>
          </w:tcPr>
          <w:p w14:paraId="622A1ABA">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24.1</w:t>
            </w:r>
          </w:p>
        </w:tc>
        <w:tc>
          <w:tcPr>
            <w:tcW w:w="8695" w:type="dxa"/>
            <w:noWrap w:val="0"/>
            <w:vAlign w:val="center"/>
          </w:tcPr>
          <w:p w14:paraId="45E2534E">
            <w:pPr>
              <w:snapToGrid w:val="0"/>
              <w:spacing w:line="360" w:lineRule="auto"/>
              <w:jc w:val="left"/>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谈判小组的人数：3人。</w:t>
            </w:r>
          </w:p>
        </w:tc>
      </w:tr>
      <w:tr w14:paraId="3A579D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0"/>
            <w:vAlign w:val="center"/>
          </w:tcPr>
          <w:p w14:paraId="4EA31E90">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25.2</w:t>
            </w:r>
          </w:p>
        </w:tc>
        <w:tc>
          <w:tcPr>
            <w:tcW w:w="8695" w:type="dxa"/>
            <w:noWrap w:val="0"/>
            <w:vAlign w:val="center"/>
          </w:tcPr>
          <w:p w14:paraId="339C98AA">
            <w:pPr>
              <w:snapToGrid w:val="0"/>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采购代理机构将依托电子交易平台发起开始解密指令，</w:t>
            </w:r>
            <w:r>
              <w:rPr>
                <w:rFonts w:hint="eastAsia" w:ascii="宋体" w:hAnsi="宋体" w:eastAsia="宋体" w:cs="宋体"/>
                <w:b/>
                <w:color w:val="auto"/>
                <w:szCs w:val="21"/>
                <w:highlight w:val="none"/>
              </w:rPr>
              <w:t>供应商的法定代表人或其委托代理人须携带加密时所用的CA锁按平台提示和采购文件的规定登录到“政采云”平台电子开标大厅签到并在发起解密指令之时起30分钟内完成对电子响应文件在线解密。</w:t>
            </w:r>
            <w:r>
              <w:rPr>
                <w:rFonts w:hint="eastAsia" w:ascii="宋体" w:hAnsi="宋体" w:eastAsia="宋体" w:cs="宋体"/>
                <w:b/>
                <w:bCs/>
                <w:color w:val="auto"/>
                <w:szCs w:val="21"/>
                <w:highlight w:val="none"/>
              </w:rPr>
              <w:t>响应文件未按时解密的，视为响应文件无效。</w:t>
            </w:r>
          </w:p>
        </w:tc>
      </w:tr>
      <w:tr w14:paraId="4F48C5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4" w:hRule="atLeast"/>
          <w:jc w:val="center"/>
        </w:trPr>
        <w:tc>
          <w:tcPr>
            <w:tcW w:w="992" w:type="dxa"/>
            <w:vMerge w:val="restart"/>
            <w:noWrap w:val="0"/>
            <w:vAlign w:val="center"/>
          </w:tcPr>
          <w:p w14:paraId="27E43CED">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26</w:t>
            </w:r>
          </w:p>
        </w:tc>
        <w:tc>
          <w:tcPr>
            <w:tcW w:w="8695" w:type="dxa"/>
            <w:noWrap w:val="0"/>
            <w:vAlign w:val="center"/>
          </w:tcPr>
          <w:p w14:paraId="57EC48A9">
            <w:pPr>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商务要求评审中允许负偏离的条款数为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0</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项。</w:t>
            </w:r>
          </w:p>
          <w:p w14:paraId="660DB4A2">
            <w:pPr>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技术要求评审中允许负偏离的条款数为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0</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项。</w:t>
            </w:r>
          </w:p>
        </w:tc>
      </w:tr>
      <w:tr w14:paraId="78296D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Merge w:val="continue"/>
            <w:noWrap w:val="0"/>
            <w:vAlign w:val="center"/>
          </w:tcPr>
          <w:p w14:paraId="67B812F7">
            <w:pPr>
              <w:spacing w:line="360" w:lineRule="auto"/>
              <w:jc w:val="center"/>
              <w:rPr>
                <w:rFonts w:hint="eastAsia" w:ascii="宋体" w:hAnsi="宋体" w:eastAsia="宋体" w:cs="宋体"/>
                <w:color w:val="auto"/>
                <w:szCs w:val="21"/>
                <w:highlight w:val="none"/>
              </w:rPr>
            </w:pPr>
          </w:p>
        </w:tc>
        <w:tc>
          <w:tcPr>
            <w:tcW w:w="8695" w:type="dxa"/>
            <w:noWrap w:val="0"/>
            <w:vAlign w:val="center"/>
          </w:tcPr>
          <w:p w14:paraId="010E6152">
            <w:pPr>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谈判的顺序：按“政采云”系统的编号顺序。</w:t>
            </w:r>
          </w:p>
          <w:p w14:paraId="0FC19C32">
            <w:pPr>
              <w:snapToGrid w:val="0"/>
              <w:spacing w:line="360" w:lineRule="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符合谈判资格的供应商必须在接到谈判通知后规定时间内参加谈判，未在规定时间内参加谈判的视同放弃参加谈判权利，其响应文件按无效响应处理。</w:t>
            </w:r>
          </w:p>
          <w:p w14:paraId="1F23A62B">
            <w:pPr>
              <w:snapToGrid w:val="0"/>
              <w:spacing w:line="360" w:lineRule="auto"/>
              <w:rPr>
                <w:rFonts w:hint="eastAsia" w:ascii="宋体" w:hAnsi="宋体" w:eastAsia="宋体" w:cs="宋体"/>
                <w:color w:val="auto"/>
                <w:szCs w:val="21"/>
                <w:highlight w:val="none"/>
              </w:rPr>
            </w:pPr>
            <w:r>
              <w:rPr>
                <w:rFonts w:hint="eastAsia" w:ascii="宋体" w:hAnsi="宋体" w:eastAsia="宋体" w:cs="宋体"/>
                <w:bCs/>
                <w:color w:val="auto"/>
                <w:szCs w:val="21"/>
                <w:highlight w:val="none"/>
              </w:rPr>
              <w:t>参与谈判前，供应商法定代表人或者委托代理人必须向谈判小组出示本人有效证件原件[有效证件可以是身份证（含临时身份证明）或者护照的其中一项]。</w:t>
            </w:r>
          </w:p>
        </w:tc>
      </w:tr>
      <w:tr w14:paraId="0F2B9A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9" w:hRule="atLeast"/>
          <w:jc w:val="center"/>
        </w:trPr>
        <w:tc>
          <w:tcPr>
            <w:tcW w:w="992" w:type="dxa"/>
            <w:vMerge w:val="continue"/>
            <w:noWrap w:val="0"/>
            <w:vAlign w:val="center"/>
          </w:tcPr>
          <w:p w14:paraId="3A6F2EF0">
            <w:pPr>
              <w:spacing w:line="360" w:lineRule="auto"/>
              <w:jc w:val="center"/>
              <w:rPr>
                <w:rFonts w:hint="eastAsia" w:ascii="宋体" w:hAnsi="宋体" w:eastAsia="宋体" w:cs="宋体"/>
                <w:color w:val="auto"/>
                <w:szCs w:val="21"/>
                <w:highlight w:val="none"/>
              </w:rPr>
            </w:pPr>
          </w:p>
        </w:tc>
        <w:tc>
          <w:tcPr>
            <w:tcW w:w="8695" w:type="dxa"/>
            <w:noWrap w:val="0"/>
            <w:vAlign w:val="center"/>
          </w:tcPr>
          <w:p w14:paraId="7ABFD816">
            <w:pPr>
              <w:spacing w:line="360" w:lineRule="auto"/>
              <w:contextualSpacing/>
              <w:rPr>
                <w:rFonts w:hint="eastAsia" w:ascii="宋体" w:hAnsi="宋体" w:eastAsia="宋体" w:cs="宋体"/>
                <w:color w:val="auto"/>
                <w:szCs w:val="21"/>
                <w:highlight w:val="none"/>
              </w:rPr>
            </w:pPr>
            <w:r>
              <w:rPr>
                <w:rFonts w:hint="eastAsia" w:ascii="宋体" w:hAnsi="宋体" w:eastAsia="宋体" w:cs="宋体"/>
                <w:color w:val="auto"/>
                <w:szCs w:val="21"/>
                <w:highlight w:val="none"/>
              </w:rPr>
              <w:t>评审价相同时，按照最后报价由低到高顺序依次推荐；最后报价相同时，按以下原则确定成交候选人的顺序：</w:t>
            </w:r>
          </w:p>
          <w:p w14:paraId="7E7BA3D6">
            <w:pPr>
              <w:spacing w:line="360" w:lineRule="auto"/>
              <w:contextualSpacing/>
              <w:rPr>
                <w:rFonts w:hint="eastAsia" w:ascii="宋体" w:hAnsi="宋体" w:eastAsia="宋体" w:cs="宋体"/>
                <w:color w:val="auto"/>
                <w:szCs w:val="21"/>
                <w:highlight w:val="none"/>
              </w:rPr>
            </w:pPr>
            <w:r>
              <w:rPr>
                <w:rFonts w:hint="eastAsia" w:ascii="宋体" w:hAnsi="宋体" w:eastAsia="宋体" w:cs="宋体"/>
                <w:color w:val="auto"/>
                <w:szCs w:val="21"/>
                <w:highlight w:val="none"/>
              </w:rPr>
              <w:t>☑依次按带“▲”的实质性要求正偏离项数多的优先、均无正偏离或者正偏离项数一致时负偏离项数少的优先、质量保证期长优先、交货期短优先、故障响应时间短优先的顺序排列。</w:t>
            </w:r>
          </w:p>
          <w:p w14:paraId="5FAB9A1A">
            <w:pPr>
              <w:spacing w:line="360" w:lineRule="auto"/>
              <w:contextualSpacing/>
              <w:rPr>
                <w:rFonts w:hint="eastAsia" w:ascii="宋体" w:hAnsi="宋体" w:eastAsia="宋体" w:cs="宋体"/>
                <w:color w:val="auto"/>
                <w:szCs w:val="21"/>
                <w:highlight w:val="none"/>
              </w:rPr>
            </w:pPr>
            <w:r>
              <w:rPr>
                <w:rFonts w:hint="eastAsia" w:ascii="宋体" w:hAnsi="宋体" w:eastAsia="宋体" w:cs="宋体"/>
                <w:color w:val="auto"/>
                <w:szCs w:val="21"/>
                <w:highlight w:val="none"/>
              </w:rPr>
              <w:t>□由谈判小组推荐代表随机抽取。</w:t>
            </w:r>
          </w:p>
        </w:tc>
      </w:tr>
      <w:tr w14:paraId="059BB8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0"/>
            <w:vAlign w:val="center"/>
          </w:tcPr>
          <w:p w14:paraId="1FE473A8">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28.1</w:t>
            </w:r>
          </w:p>
        </w:tc>
        <w:tc>
          <w:tcPr>
            <w:tcW w:w="8695" w:type="dxa"/>
            <w:noWrap w:val="0"/>
            <w:vAlign w:val="center"/>
          </w:tcPr>
          <w:p w14:paraId="034D26F3">
            <w:pPr>
              <w:autoSpaceDE w:val="0"/>
              <w:autoSpaceDN w:val="0"/>
              <w:snapToGrid w:val="0"/>
              <w:spacing w:line="360" w:lineRule="auto"/>
              <w:textAlignment w:val="bottom"/>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本项目不收取履约保证金。</w:t>
            </w:r>
          </w:p>
          <w:p w14:paraId="33EED74E">
            <w:pPr>
              <w:spacing w:line="360" w:lineRule="auto"/>
              <w:contextualSpacing/>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备注：</w:t>
            </w:r>
            <w:r>
              <w:rPr>
                <w:rFonts w:hint="eastAsia" w:ascii="宋体" w:hAnsi="宋体" w:eastAsia="宋体" w:cs="宋体"/>
                <w:color w:val="auto"/>
                <w:szCs w:val="21"/>
                <w:highlight w:val="none"/>
              </w:rPr>
              <w:br w:type="textWrapping"/>
            </w:r>
            <w:r>
              <w:rPr>
                <w:rFonts w:hint="eastAsia" w:ascii="宋体" w:hAnsi="宋体" w:eastAsia="宋体" w:cs="宋体"/>
                <w:b/>
                <w:color w:val="auto"/>
                <w:szCs w:val="21"/>
                <w:highlight w:val="none"/>
              </w:rPr>
              <w:t xml:space="preserve">1. </w:t>
            </w:r>
            <w:bookmarkStart w:id="22" w:name="_Hlk54170335"/>
            <w:r>
              <w:rPr>
                <w:rFonts w:hint="eastAsia" w:ascii="宋体" w:hAnsi="宋体" w:eastAsia="宋体" w:cs="宋体"/>
                <w:b/>
                <w:color w:val="auto"/>
                <w:szCs w:val="21"/>
                <w:highlight w:val="none"/>
              </w:rPr>
              <w:t>根据《广西壮族自治区财政厅关于贯彻落实政府采购优化营商环境百日攻坚行动方案的通知》（桂财采〔2020〕49号）规定，鼓励采购人在与中小微企业签订政府采购合同时，减少或免于收取履约保证金，有必要收取履约保证金的，收取的履约保证金不得超过政府采购合同金额的5%。</w:t>
            </w:r>
            <w:bookmarkEnd w:id="22"/>
          </w:p>
          <w:p w14:paraId="222D61BE">
            <w:pPr>
              <w:spacing w:line="360" w:lineRule="auto"/>
              <w:contextualSpacing/>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2.履约保证金不足额缴纳的，或者金融、担保机构出具的保函额度不足的或者保函有效期低于合同履行期限（即签订采购合同之日起至履行完合同约定的权利及义务之日止）的，不予签订合同。</w:t>
            </w:r>
            <w:r>
              <w:rPr>
                <w:rFonts w:hint="eastAsia" w:ascii="宋体" w:hAnsi="宋体" w:eastAsia="宋体" w:cs="宋体"/>
                <w:b/>
                <w:color w:val="auto"/>
                <w:szCs w:val="21"/>
                <w:highlight w:val="none"/>
              </w:rPr>
              <w:br w:type="textWrapping"/>
            </w:r>
            <w:r>
              <w:rPr>
                <w:rFonts w:hint="eastAsia" w:ascii="宋体" w:hAnsi="宋体" w:eastAsia="宋体" w:cs="宋体"/>
                <w:b/>
                <w:color w:val="auto"/>
                <w:szCs w:val="21"/>
                <w:highlight w:val="none"/>
              </w:rPr>
              <w:t>3.采用金融、担保机构出具的保函的，必须为无条件保函，否则不予签订合同。</w:t>
            </w:r>
          </w:p>
          <w:p w14:paraId="7CCA84E8">
            <w:pPr>
              <w:snapToGrid w:val="0"/>
              <w:spacing w:line="360" w:lineRule="auto"/>
              <w:rPr>
                <w:rFonts w:hint="eastAsia" w:ascii="宋体" w:hAnsi="宋体" w:eastAsia="宋体" w:cs="宋体"/>
                <w:color w:val="auto"/>
                <w:szCs w:val="21"/>
                <w:highlight w:val="none"/>
              </w:rPr>
            </w:pPr>
            <w:r>
              <w:rPr>
                <w:rFonts w:hint="eastAsia" w:ascii="宋体" w:hAnsi="宋体" w:eastAsia="宋体" w:cs="宋体"/>
                <w:b/>
                <w:color w:val="auto"/>
                <w:szCs w:val="21"/>
                <w:highlight w:val="none"/>
              </w:rPr>
              <w:t>4.供应商为联合体的，由联合体任意一方按规定提交的履约保证金，视为有效履约保证金。</w:t>
            </w:r>
          </w:p>
        </w:tc>
      </w:tr>
      <w:tr w14:paraId="76D999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0"/>
            <w:vAlign w:val="center"/>
          </w:tcPr>
          <w:p w14:paraId="0E7BF80A">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29.1</w:t>
            </w:r>
          </w:p>
        </w:tc>
        <w:tc>
          <w:tcPr>
            <w:tcW w:w="8695" w:type="dxa"/>
            <w:noWrap w:val="0"/>
            <w:vAlign w:val="center"/>
          </w:tcPr>
          <w:p w14:paraId="7CD068F9">
            <w:pPr>
              <w:autoSpaceDE w:val="0"/>
              <w:autoSpaceDN w:val="0"/>
              <w:snapToGrid w:val="0"/>
              <w:spacing w:line="360" w:lineRule="auto"/>
              <w:textAlignment w:val="bottom"/>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签订合同携带的证明材料： </w:t>
            </w:r>
          </w:p>
          <w:p w14:paraId="2CE57C0C">
            <w:pPr>
              <w:autoSpaceDE w:val="0"/>
              <w:autoSpaceDN w:val="0"/>
              <w:snapToGrid w:val="0"/>
              <w:spacing w:line="360" w:lineRule="auto"/>
              <w:textAlignment w:val="bottom"/>
              <w:rPr>
                <w:rFonts w:hint="eastAsia" w:ascii="宋体" w:hAnsi="宋体" w:eastAsia="宋体" w:cs="宋体"/>
                <w:color w:val="auto"/>
                <w:szCs w:val="21"/>
                <w:highlight w:val="none"/>
              </w:rPr>
            </w:pPr>
            <w:r>
              <w:rPr>
                <w:rFonts w:hint="eastAsia" w:ascii="宋体" w:hAnsi="宋体" w:eastAsia="宋体" w:cs="宋体"/>
                <w:color w:val="auto"/>
                <w:szCs w:val="21"/>
                <w:highlight w:val="none"/>
              </w:rPr>
              <w:t>1、委托代理人负责签订合同的，须携带授权委托书及委托代理人身份证原件等其他资格证件。</w:t>
            </w:r>
          </w:p>
          <w:p w14:paraId="35BD33F0">
            <w:pPr>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2、法定代表人负责签订合同的，须携带法定代表人身份证明原件及身份证原件等其他证明材料。</w:t>
            </w:r>
          </w:p>
        </w:tc>
      </w:tr>
      <w:tr w14:paraId="7784E3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0"/>
            <w:vAlign w:val="center"/>
          </w:tcPr>
          <w:p w14:paraId="3D77EB28">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31.2</w:t>
            </w:r>
          </w:p>
        </w:tc>
        <w:tc>
          <w:tcPr>
            <w:tcW w:w="8695" w:type="dxa"/>
            <w:noWrap w:val="0"/>
            <w:vAlign w:val="center"/>
          </w:tcPr>
          <w:p w14:paraId="738D7165">
            <w:pPr>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接收质疑函方式：以纸质书面形式。</w:t>
            </w:r>
          </w:p>
          <w:p w14:paraId="4B56502D">
            <w:pPr>
              <w:pStyle w:val="16"/>
              <w:snapToGrid w:val="0"/>
              <w:spacing w:line="360" w:lineRule="auto"/>
              <w:rPr>
                <w:rFonts w:hint="eastAsia" w:ascii="宋体" w:hAnsi="宋体" w:eastAsia="宋体" w:cs="宋体"/>
                <w:color w:val="auto"/>
                <w:sz w:val="21"/>
                <w:highlight w:val="none"/>
                <w:lang w:val="en-US" w:eastAsia="zh-CN"/>
              </w:rPr>
            </w:pPr>
            <w:r>
              <w:rPr>
                <w:rFonts w:hint="eastAsia" w:ascii="宋体" w:hAnsi="宋体" w:eastAsia="宋体" w:cs="宋体"/>
                <w:color w:val="auto"/>
                <w:kern w:val="2"/>
                <w:sz w:val="21"/>
                <w:highlight w:val="none"/>
                <w:lang w:val="en-US" w:eastAsia="zh-CN"/>
              </w:rPr>
              <w:t>质疑联系部门及联系方式：</w:t>
            </w:r>
            <w:r>
              <w:rPr>
                <w:rFonts w:hint="eastAsia" w:ascii="宋体" w:hAnsi="宋体" w:eastAsia="宋体" w:cs="宋体"/>
                <w:color w:val="auto"/>
                <w:sz w:val="21"/>
                <w:highlight w:val="none"/>
                <w:lang w:val="en-US" w:eastAsia="zh-CN"/>
              </w:rPr>
              <w:t>广西鑫泓项目管理有限公司，联系电话：0777-2563669 ，通讯地址：钦州市永福东大街190号北投凤景湾2号楼2单元705房</w:t>
            </w:r>
          </w:p>
          <w:p w14:paraId="0888AF40">
            <w:pPr>
              <w:pStyle w:val="16"/>
              <w:snapToGrid w:val="0"/>
              <w:spacing w:line="360" w:lineRule="auto"/>
              <w:rPr>
                <w:rFonts w:hint="eastAsia" w:ascii="宋体" w:hAnsi="宋体" w:eastAsia="宋体" w:cs="宋体"/>
                <w:color w:val="auto"/>
                <w:sz w:val="21"/>
                <w:highlight w:val="none"/>
                <w:lang w:val="en-US" w:eastAsia="zh-CN"/>
              </w:rPr>
            </w:pPr>
            <w:r>
              <w:rPr>
                <w:rFonts w:hint="eastAsia" w:ascii="宋体" w:hAnsi="宋体" w:eastAsia="宋体" w:cs="宋体"/>
                <w:color w:val="auto"/>
                <w:sz w:val="21"/>
                <w:highlight w:val="none"/>
                <w:lang w:val="en-US" w:eastAsia="zh-CN"/>
              </w:rPr>
              <w:t>现场提交质疑办理业务时间：质疑期内每个工作日9时00分到12时00分，15时00分到18时00分。</w:t>
            </w:r>
          </w:p>
          <w:p w14:paraId="430FAFD8">
            <w:pPr>
              <w:snapToGrid w:val="0"/>
              <w:spacing w:line="380" w:lineRule="exact"/>
              <w:rPr>
                <w:rFonts w:hint="eastAsia" w:ascii="宋体" w:hAnsi="宋体" w:eastAsia="宋体" w:cs="宋体"/>
                <w:b w:val="0"/>
                <w:bCs w:val="0"/>
                <w:color w:val="auto"/>
                <w:kern w:val="0"/>
                <w:sz w:val="21"/>
                <w:szCs w:val="21"/>
                <w:highlight w:val="none"/>
                <w:lang w:val="en-US" w:eastAsia="zh-CN" w:bidi="ar-SA"/>
              </w:rPr>
            </w:pPr>
            <w:r>
              <w:rPr>
                <w:rFonts w:hint="eastAsia" w:ascii="宋体" w:hAnsi="宋体" w:eastAsia="宋体" w:cs="宋体"/>
                <w:b w:val="0"/>
                <w:bCs w:val="0"/>
                <w:color w:val="auto"/>
                <w:kern w:val="0"/>
                <w:sz w:val="21"/>
                <w:szCs w:val="21"/>
                <w:highlight w:val="none"/>
                <w:lang w:val="en-US" w:eastAsia="zh-CN" w:bidi="ar-SA"/>
              </w:rPr>
              <w:t>受理投诉方式：纸质方式受理，投诉书正、副本（经过质疑的事项才可投诉）。</w:t>
            </w:r>
          </w:p>
          <w:p w14:paraId="620A2267">
            <w:pPr>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名称：</w:t>
            </w:r>
            <w:r>
              <w:rPr>
                <w:rFonts w:hint="eastAsia" w:ascii="宋体" w:hAnsi="宋体" w:eastAsia="宋体" w:cs="宋体"/>
                <w:color w:val="auto"/>
                <w:szCs w:val="21"/>
                <w:highlight w:val="none"/>
                <w:lang w:eastAsia="zh-CN"/>
              </w:rPr>
              <w:t>浦北县政府采购监督管理办公室</w:t>
            </w:r>
            <w:r>
              <w:rPr>
                <w:rFonts w:hint="eastAsia" w:ascii="宋体" w:hAnsi="宋体" w:eastAsia="宋体" w:cs="宋体"/>
                <w:color w:val="auto"/>
                <w:szCs w:val="21"/>
                <w:highlight w:val="none"/>
              </w:rPr>
              <w:t xml:space="preserve"> </w:t>
            </w:r>
          </w:p>
          <w:p w14:paraId="281A1186">
            <w:pPr>
              <w:snapToGrid w:val="0"/>
              <w:spacing w:line="360" w:lineRule="auto"/>
              <w:rPr>
                <w:rFonts w:hint="eastAsia" w:ascii="宋体" w:hAnsi="宋体" w:eastAsia="宋体" w:cs="宋体"/>
                <w:highlight w:val="none"/>
                <w:lang w:val="en-US" w:eastAsia="zh-CN"/>
              </w:rPr>
            </w:pPr>
            <w:r>
              <w:rPr>
                <w:rFonts w:hint="eastAsia" w:ascii="宋体" w:hAnsi="宋体" w:eastAsia="宋体" w:cs="宋体"/>
                <w:color w:val="auto"/>
                <w:kern w:val="0"/>
                <w:szCs w:val="21"/>
                <w:highlight w:val="none"/>
              </w:rPr>
              <w:t>联系电话：</w:t>
            </w:r>
            <w:r>
              <w:rPr>
                <w:rFonts w:hint="eastAsia" w:ascii="宋体" w:hAnsi="宋体" w:eastAsia="宋体" w:cs="宋体"/>
                <w:color w:val="auto"/>
                <w:kern w:val="0"/>
                <w:szCs w:val="21"/>
                <w:highlight w:val="none"/>
                <w:lang w:eastAsia="zh-CN"/>
              </w:rPr>
              <w:t>0777-8314622</w:t>
            </w:r>
          </w:p>
        </w:tc>
      </w:tr>
      <w:tr w14:paraId="79714F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0"/>
            <w:vAlign w:val="center"/>
          </w:tcPr>
          <w:p w14:paraId="7DA33490">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32.1</w:t>
            </w:r>
          </w:p>
        </w:tc>
        <w:tc>
          <w:tcPr>
            <w:tcW w:w="8695" w:type="dxa"/>
            <w:noWrap w:val="0"/>
            <w:vAlign w:val="center"/>
          </w:tcPr>
          <w:p w14:paraId="1791E714">
            <w:pPr>
              <w:pStyle w:val="16"/>
              <w:snapToGrid w:val="0"/>
              <w:spacing w:line="360" w:lineRule="auto"/>
              <w:rPr>
                <w:rFonts w:hint="eastAsia" w:ascii="宋体" w:hAnsi="宋体" w:eastAsia="宋体" w:cs="宋体"/>
                <w:color w:val="auto"/>
                <w:sz w:val="21"/>
                <w:highlight w:val="none"/>
                <w:lang w:val="en-US" w:eastAsia="zh-CN"/>
              </w:rPr>
            </w:pPr>
            <w:r>
              <w:rPr>
                <w:rFonts w:hint="eastAsia" w:ascii="宋体" w:hAnsi="宋体" w:eastAsia="宋体" w:cs="宋体"/>
                <w:color w:val="auto"/>
                <w:sz w:val="21"/>
                <w:highlight w:val="none"/>
                <w:lang w:val="en-US" w:eastAsia="zh-CN"/>
              </w:rPr>
              <w:t>1. 是否收取采购代理费：</w:t>
            </w:r>
          </w:p>
          <w:p w14:paraId="1AE57C6C">
            <w:pPr>
              <w:pStyle w:val="16"/>
              <w:snapToGrid w:val="0"/>
              <w:spacing w:line="360" w:lineRule="auto"/>
              <w:rPr>
                <w:rFonts w:hint="eastAsia" w:ascii="宋体" w:hAnsi="宋体" w:eastAsia="宋体" w:cs="宋体"/>
                <w:color w:val="auto"/>
                <w:sz w:val="21"/>
                <w:highlight w:val="none"/>
                <w:lang w:val="en-US" w:eastAsia="zh-CN"/>
              </w:rPr>
            </w:pPr>
            <w:r>
              <w:rPr>
                <w:rFonts w:hint="eastAsia" w:ascii="宋体" w:hAnsi="宋体" w:eastAsia="宋体" w:cs="宋体"/>
                <w:color w:val="auto"/>
                <w:sz w:val="21"/>
                <w:highlight w:val="none"/>
                <w:lang w:val="en-US" w:eastAsia="zh-CN"/>
              </w:rPr>
              <w:sym w:font="Wingdings 2" w:char="0052"/>
            </w:r>
            <w:r>
              <w:rPr>
                <w:rFonts w:hint="eastAsia" w:ascii="宋体" w:hAnsi="宋体" w:eastAsia="宋体" w:cs="宋体"/>
                <w:color w:val="auto"/>
                <w:sz w:val="21"/>
                <w:highlight w:val="none"/>
                <w:lang w:val="en-US" w:eastAsia="zh-CN"/>
              </w:rPr>
              <w:t>是    □ 否</w:t>
            </w:r>
          </w:p>
          <w:p w14:paraId="31A9F7B7">
            <w:pPr>
              <w:pStyle w:val="16"/>
              <w:snapToGrid w:val="0"/>
              <w:spacing w:line="360" w:lineRule="auto"/>
              <w:rPr>
                <w:rFonts w:hint="eastAsia" w:ascii="宋体" w:hAnsi="宋体" w:eastAsia="宋体" w:cs="宋体"/>
                <w:color w:val="auto"/>
                <w:sz w:val="21"/>
                <w:highlight w:val="none"/>
                <w:lang w:val="en-US" w:eastAsia="zh-CN"/>
              </w:rPr>
            </w:pPr>
            <w:r>
              <w:rPr>
                <w:rFonts w:hint="eastAsia" w:ascii="宋体" w:hAnsi="宋体" w:eastAsia="宋体" w:cs="宋体"/>
                <w:color w:val="auto"/>
                <w:sz w:val="21"/>
                <w:highlight w:val="none"/>
                <w:lang w:val="en-US" w:eastAsia="zh-CN"/>
              </w:rPr>
              <w:t>2.采购代理费支付方式：</w:t>
            </w:r>
          </w:p>
          <w:p w14:paraId="5CC109FD">
            <w:pPr>
              <w:pStyle w:val="16"/>
              <w:snapToGrid w:val="0"/>
              <w:spacing w:line="360" w:lineRule="auto"/>
              <w:rPr>
                <w:rFonts w:hint="eastAsia" w:ascii="宋体" w:hAnsi="宋体" w:eastAsia="宋体" w:cs="宋体"/>
                <w:color w:val="auto"/>
                <w:sz w:val="21"/>
                <w:highlight w:val="none"/>
                <w:lang w:val="en-US" w:eastAsia="zh-CN"/>
              </w:rPr>
            </w:pPr>
            <w:r>
              <w:rPr>
                <w:rFonts w:hint="eastAsia" w:ascii="宋体" w:hAnsi="宋体" w:eastAsia="宋体" w:cs="宋体"/>
                <w:color w:val="auto"/>
                <w:sz w:val="21"/>
                <w:highlight w:val="none"/>
                <w:lang w:val="en-US" w:eastAsia="zh-CN"/>
              </w:rPr>
              <w:sym w:font="Wingdings 2" w:char="0052"/>
            </w:r>
            <w:r>
              <w:rPr>
                <w:rFonts w:hint="eastAsia" w:ascii="宋体" w:hAnsi="宋体" w:eastAsia="宋体" w:cs="宋体"/>
                <w:color w:val="auto"/>
                <w:sz w:val="21"/>
                <w:highlight w:val="none"/>
                <w:lang w:val="en-US" w:eastAsia="zh-CN"/>
              </w:rPr>
              <w:t>本项目代理费由成交供应商领取成交通知书前，一次性向采购代理机构支付。</w:t>
            </w:r>
          </w:p>
          <w:p w14:paraId="2D8DA80F">
            <w:pPr>
              <w:pStyle w:val="16"/>
              <w:snapToGrid w:val="0"/>
              <w:spacing w:line="360" w:lineRule="auto"/>
              <w:rPr>
                <w:rFonts w:hint="eastAsia" w:ascii="宋体" w:hAnsi="宋体" w:eastAsia="宋体" w:cs="宋体"/>
                <w:color w:val="auto"/>
                <w:sz w:val="21"/>
                <w:highlight w:val="none"/>
                <w:lang w:val="en-US" w:eastAsia="zh-CN"/>
              </w:rPr>
            </w:pPr>
            <w:r>
              <w:rPr>
                <w:rFonts w:hint="eastAsia" w:ascii="宋体" w:hAnsi="宋体" w:eastAsia="宋体" w:cs="宋体"/>
                <w:color w:val="auto"/>
                <w:sz w:val="21"/>
                <w:highlight w:val="none"/>
                <w:lang w:val="en-US" w:eastAsia="zh-CN"/>
              </w:rPr>
              <w:t>□采购人支付。</w:t>
            </w:r>
          </w:p>
          <w:p w14:paraId="7B1C771D">
            <w:pPr>
              <w:pStyle w:val="16"/>
              <w:snapToGrid w:val="0"/>
              <w:spacing w:line="360" w:lineRule="auto"/>
              <w:rPr>
                <w:rFonts w:hint="eastAsia" w:ascii="宋体" w:hAnsi="宋体" w:eastAsia="宋体" w:cs="宋体"/>
                <w:color w:val="auto"/>
                <w:sz w:val="21"/>
                <w:highlight w:val="none"/>
                <w:lang w:val="en-US" w:eastAsia="zh-CN"/>
              </w:rPr>
            </w:pPr>
            <w:r>
              <w:rPr>
                <w:rFonts w:hint="eastAsia" w:ascii="宋体" w:hAnsi="宋体" w:eastAsia="宋体" w:cs="宋体"/>
                <w:color w:val="auto"/>
                <w:sz w:val="21"/>
                <w:highlight w:val="none"/>
                <w:lang w:val="en-US" w:eastAsia="zh-CN"/>
              </w:rPr>
              <w:t>3.采购代理费收取标准：</w:t>
            </w:r>
          </w:p>
          <w:p w14:paraId="19FBA39B">
            <w:pPr>
              <w:pStyle w:val="16"/>
              <w:snapToGrid w:val="0"/>
              <w:spacing w:line="360" w:lineRule="auto"/>
              <w:rPr>
                <w:rFonts w:hint="eastAsia" w:ascii="宋体" w:hAnsi="宋体" w:eastAsia="宋体" w:cs="宋体"/>
                <w:color w:val="auto"/>
                <w:sz w:val="21"/>
                <w:highlight w:val="none"/>
                <w:lang w:val="en-US" w:eastAsia="zh-CN"/>
              </w:rPr>
            </w:pPr>
            <w:r>
              <w:rPr>
                <w:rFonts w:hint="eastAsia" w:ascii="宋体" w:hAnsi="宋体" w:eastAsia="宋体" w:cs="宋体"/>
                <w:color w:val="auto"/>
                <w:sz w:val="21"/>
                <w:highlight w:val="none"/>
                <w:lang w:val="en-US" w:eastAsia="zh-CN"/>
              </w:rPr>
              <w:t>本项目的采购代理服务费以成交金额为计费额，参照国家发展计划委员会计价格[2002]1980号《招标代理服务收费管理暂行办法》‘工程类’收费标准计算，由成交供应商在领取成交通知书前一次性向采购代理机构支付</w:t>
            </w:r>
          </w:p>
          <w:p w14:paraId="621E0DFB">
            <w:pPr>
              <w:pStyle w:val="16"/>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户名：</w:t>
            </w:r>
            <w:r>
              <w:rPr>
                <w:rFonts w:hint="eastAsia" w:ascii="宋体" w:hAnsi="宋体" w:eastAsia="宋体" w:cs="宋体"/>
                <w:color w:val="auto"/>
                <w:sz w:val="21"/>
                <w:szCs w:val="21"/>
                <w:highlight w:val="none"/>
                <w:lang w:val="en-US" w:eastAsia="zh-CN"/>
              </w:rPr>
              <w:t>广西鑫泓项目管理有限公司</w:t>
            </w:r>
          </w:p>
          <w:p w14:paraId="4CA3720D">
            <w:pPr>
              <w:pStyle w:val="16"/>
              <w:snapToGrid w:val="0"/>
              <w:spacing w:line="360" w:lineRule="auto"/>
              <w:ind w:firstLine="210" w:firstLineChars="1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开户行：</w:t>
            </w:r>
            <w:r>
              <w:rPr>
                <w:rFonts w:hint="eastAsia" w:ascii="宋体" w:hAnsi="宋体" w:eastAsia="宋体" w:cs="宋体"/>
                <w:color w:val="auto"/>
                <w:kern w:val="0"/>
                <w:sz w:val="21"/>
                <w:szCs w:val="21"/>
                <w:lang w:val="en-US" w:eastAsia="zh-CN"/>
              </w:rPr>
              <w:t>中国建设银行股份有限公司钦州永福东大街支行</w:t>
            </w:r>
          </w:p>
          <w:p w14:paraId="4D03928B">
            <w:pPr>
              <w:pStyle w:val="16"/>
              <w:snapToGrid w:val="0"/>
              <w:spacing w:line="360" w:lineRule="auto"/>
              <w:ind w:firstLine="210" w:firstLineChars="100"/>
              <w:rPr>
                <w:rFonts w:hint="eastAsia" w:ascii="宋体" w:hAnsi="宋体" w:eastAsia="宋体" w:cs="宋体"/>
                <w:color w:val="auto"/>
                <w:sz w:val="21"/>
                <w:highlight w:val="none"/>
                <w:lang w:val="en-US" w:eastAsia="zh-CN"/>
              </w:rPr>
            </w:pPr>
            <w:r>
              <w:rPr>
                <w:rFonts w:hint="eastAsia" w:ascii="宋体" w:hAnsi="宋体" w:eastAsia="宋体" w:cs="宋体"/>
                <w:color w:val="auto"/>
                <w:sz w:val="21"/>
                <w:szCs w:val="21"/>
                <w:highlight w:val="none"/>
              </w:rPr>
              <w:t>帐号：</w:t>
            </w:r>
            <w:r>
              <w:rPr>
                <w:rFonts w:hint="eastAsia" w:ascii="宋体" w:hAnsi="宋体" w:eastAsia="宋体" w:cs="宋体"/>
                <w:color w:val="auto"/>
                <w:sz w:val="21"/>
                <w:szCs w:val="21"/>
                <w:lang w:val="en-US" w:eastAsia="zh-CN"/>
              </w:rPr>
              <w:t>45050165986200001331</w:t>
            </w:r>
          </w:p>
        </w:tc>
      </w:tr>
      <w:tr w14:paraId="1777B8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0"/>
            <w:vAlign w:val="center"/>
          </w:tcPr>
          <w:p w14:paraId="6E8E1D31">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33.1</w:t>
            </w:r>
          </w:p>
        </w:tc>
        <w:tc>
          <w:tcPr>
            <w:tcW w:w="8695" w:type="dxa"/>
            <w:noWrap w:val="0"/>
            <w:vAlign w:val="center"/>
          </w:tcPr>
          <w:p w14:paraId="6480AB24">
            <w:pPr>
              <w:pStyle w:val="16"/>
              <w:snapToGrid w:val="0"/>
              <w:spacing w:line="360" w:lineRule="auto"/>
              <w:rPr>
                <w:rFonts w:hint="eastAsia" w:ascii="宋体" w:hAnsi="宋体" w:eastAsia="宋体" w:cs="宋体"/>
                <w:color w:val="auto"/>
                <w:sz w:val="21"/>
                <w:highlight w:val="none"/>
                <w:lang w:val="en-US" w:eastAsia="zh-CN"/>
              </w:rPr>
            </w:pPr>
            <w:r>
              <w:rPr>
                <w:rFonts w:hint="eastAsia" w:ascii="宋体" w:hAnsi="宋体" w:eastAsia="宋体" w:cs="宋体"/>
                <w:color w:val="auto"/>
                <w:sz w:val="21"/>
                <w:highlight w:val="none"/>
                <w:lang w:val="en-US" w:eastAsia="zh-CN"/>
              </w:rPr>
              <w:t>解释：构成本谈判文件的各个组成文件应互为解释，互为说明；除谈判文件中有特别规定外，仅适用于竞标阶段的规定，按更正公告（澄清公告）、竞争性谈判公告、供应商须知、采购需求、评审程序和评定成交的标准、响应文件格式、合同文本的先后顺序解释；同一组成文件中就同一事项的规定或约定不一致的，以编排顺序在后者为准；同一组成文件不同版本之间有不一致的，以形成时间在后者为准；更正公告（澄清公告）与同步更新的谈判文件不一致时以更正公告（澄清公告）为准。按本款前述规定仍不能形成结论的，由采购人或者采购代理机构负责解释。</w:t>
            </w:r>
          </w:p>
        </w:tc>
      </w:tr>
      <w:tr w14:paraId="721E88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0"/>
            <w:vAlign w:val="center"/>
          </w:tcPr>
          <w:p w14:paraId="1868B30F">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33.2</w:t>
            </w:r>
          </w:p>
        </w:tc>
        <w:tc>
          <w:tcPr>
            <w:tcW w:w="8695" w:type="dxa"/>
            <w:noWrap w:val="0"/>
            <w:vAlign w:val="center"/>
          </w:tcPr>
          <w:p w14:paraId="1096C14A">
            <w:pPr>
              <w:pStyle w:val="16"/>
              <w:snapToGrid w:val="0"/>
              <w:spacing w:line="360" w:lineRule="auto"/>
              <w:rPr>
                <w:rFonts w:hint="eastAsia" w:ascii="宋体" w:hAnsi="宋体" w:eastAsia="宋体" w:cs="宋体"/>
                <w:color w:val="auto"/>
                <w:sz w:val="21"/>
                <w:highlight w:val="none"/>
                <w:lang w:val="en-US" w:eastAsia="zh-CN"/>
              </w:rPr>
            </w:pPr>
            <w:r>
              <w:rPr>
                <w:rFonts w:hint="eastAsia" w:ascii="宋体" w:hAnsi="宋体" w:eastAsia="宋体" w:cs="宋体"/>
                <w:color w:val="auto"/>
                <w:sz w:val="21"/>
                <w:highlight w:val="none"/>
                <w:lang w:val="en-US" w:eastAsia="zh-CN"/>
              </w:rPr>
              <w:t>1.本谈判文件中描述供应商的“公章”是指根据我国对公章的管理规定，用供应商法定主体行为名称制作的印章（含电子印章），除本谈判文件有特殊规定外，供应商的财务章、部门章、分公司章、工会章、合同章、竞标专用章、业务专用章及银行的转账章、现金收讫章、现金付讫章等其他形式印章均不能代替公章。</w:t>
            </w:r>
          </w:p>
          <w:p w14:paraId="60960B9E">
            <w:pPr>
              <w:pStyle w:val="16"/>
              <w:snapToGrid w:val="0"/>
              <w:spacing w:line="360" w:lineRule="auto"/>
              <w:rPr>
                <w:rFonts w:hint="eastAsia" w:ascii="宋体" w:hAnsi="宋体" w:eastAsia="宋体" w:cs="宋体"/>
                <w:color w:val="auto"/>
                <w:sz w:val="21"/>
                <w:highlight w:val="none"/>
                <w:lang w:val="en-US" w:eastAsia="zh-CN"/>
              </w:rPr>
            </w:pPr>
            <w:r>
              <w:rPr>
                <w:rFonts w:hint="eastAsia" w:ascii="宋体" w:hAnsi="宋体" w:eastAsia="宋体" w:cs="宋体"/>
                <w:color w:val="auto"/>
                <w:sz w:val="21"/>
                <w:highlight w:val="none"/>
                <w:lang w:val="en-US" w:eastAsia="zh-CN"/>
              </w:rPr>
              <w:t>2.供应商为其他组织或者自然人时，本谈判文件规定的法定代表人指负责人或者自然人。本谈判文件所称负责人是指参加竞标的其他组织</w:t>
            </w:r>
            <w:r>
              <w:rPr>
                <w:rFonts w:hint="eastAsia" w:ascii="宋体" w:hAnsi="宋体" w:eastAsia="宋体" w:cs="宋体"/>
                <w:bCs/>
                <w:color w:val="auto"/>
                <w:sz w:val="21"/>
                <w:highlight w:val="none"/>
                <w:lang w:val="en-US" w:eastAsia="zh-CN"/>
              </w:rPr>
              <w:t>营业执照或者执业许可证等证照上</w:t>
            </w:r>
            <w:r>
              <w:rPr>
                <w:rFonts w:hint="eastAsia" w:ascii="宋体" w:hAnsi="宋体" w:eastAsia="宋体" w:cs="宋体"/>
                <w:color w:val="auto"/>
                <w:sz w:val="21"/>
                <w:highlight w:val="none"/>
                <w:lang w:val="en-US" w:eastAsia="zh-CN"/>
              </w:rPr>
              <w:t>的负责人，本谈判文件所称自然人指参与竞标的自然人本人，</w:t>
            </w:r>
            <w:r>
              <w:rPr>
                <w:rFonts w:hint="eastAsia" w:ascii="宋体" w:hAnsi="宋体" w:eastAsia="宋体" w:cs="宋体"/>
                <w:bCs/>
                <w:color w:val="auto"/>
                <w:sz w:val="21"/>
                <w:highlight w:val="none"/>
                <w:lang w:val="en-US" w:eastAsia="zh-CN"/>
              </w:rPr>
              <w:t>且应具备独立承担民事责任能力，自然人应当为年满18岁以上成年人（十六周岁以上的未成年人，以自己的劳动收入为主要生活来源的，视为完全民事行为能力人）。</w:t>
            </w:r>
          </w:p>
          <w:p w14:paraId="64D26DD0">
            <w:pPr>
              <w:pStyle w:val="16"/>
              <w:snapToGrid w:val="0"/>
              <w:spacing w:line="360" w:lineRule="auto"/>
              <w:rPr>
                <w:rFonts w:hint="eastAsia" w:ascii="宋体" w:hAnsi="宋体" w:eastAsia="宋体" w:cs="宋体"/>
                <w:color w:val="auto"/>
                <w:sz w:val="21"/>
                <w:highlight w:val="none"/>
                <w:lang w:val="en-US" w:eastAsia="zh-CN"/>
              </w:rPr>
            </w:pPr>
            <w:r>
              <w:rPr>
                <w:rFonts w:hint="eastAsia" w:ascii="宋体" w:hAnsi="宋体" w:eastAsia="宋体" w:cs="宋体"/>
                <w:color w:val="auto"/>
                <w:sz w:val="21"/>
                <w:highlight w:val="none"/>
                <w:lang w:val="en-US" w:eastAsia="zh-CN"/>
              </w:rPr>
              <w:t>3.本谈判文件中描述供应商的“签字”是指供应商的法定代表人或者委托代理人在文件规定签署处签名（含电子签名）的行为，私章、印鉴等其他形式均不能代替签字。</w:t>
            </w:r>
          </w:p>
          <w:p w14:paraId="4A53246B">
            <w:pPr>
              <w:pStyle w:val="16"/>
              <w:snapToGrid w:val="0"/>
              <w:spacing w:line="360" w:lineRule="auto"/>
              <w:rPr>
                <w:rFonts w:hint="eastAsia" w:ascii="宋体" w:hAnsi="宋体" w:eastAsia="宋体" w:cs="宋体"/>
                <w:color w:val="auto"/>
                <w:sz w:val="21"/>
                <w:highlight w:val="none"/>
                <w:lang w:val="en-US" w:eastAsia="zh-CN"/>
              </w:rPr>
            </w:pPr>
            <w:r>
              <w:rPr>
                <w:rFonts w:hint="eastAsia" w:ascii="宋体" w:hAnsi="宋体" w:eastAsia="宋体" w:cs="宋体"/>
                <w:color w:val="auto"/>
                <w:sz w:val="21"/>
                <w:highlight w:val="none"/>
                <w:lang w:val="en-US" w:eastAsia="zh-CN"/>
              </w:rPr>
              <w:t>4.自然人竞标的，谈判文件规定盖章的地方自然人可以加盖手指指印。</w:t>
            </w:r>
          </w:p>
          <w:p w14:paraId="48F10702">
            <w:pPr>
              <w:pStyle w:val="16"/>
              <w:snapToGrid w:val="0"/>
              <w:spacing w:line="360" w:lineRule="auto"/>
              <w:rPr>
                <w:rFonts w:hint="eastAsia" w:ascii="宋体" w:hAnsi="宋体" w:eastAsia="宋体" w:cs="宋体"/>
                <w:color w:val="auto"/>
                <w:sz w:val="21"/>
                <w:highlight w:val="none"/>
                <w:lang w:val="en-US" w:eastAsia="zh-CN"/>
              </w:rPr>
            </w:pPr>
            <w:r>
              <w:rPr>
                <w:rFonts w:hint="eastAsia" w:ascii="宋体" w:hAnsi="宋体" w:eastAsia="宋体" w:cs="宋体"/>
                <w:color w:val="auto"/>
                <w:sz w:val="21"/>
                <w:highlight w:val="none"/>
                <w:lang w:val="en-US" w:eastAsia="zh-CN"/>
              </w:rPr>
              <w:t>5、本谈判文件所称的“以上”“以下”“以内”“届满”，包括本数；所称的“不满”“超过”“以外”，不包括本数。</w:t>
            </w:r>
          </w:p>
        </w:tc>
      </w:tr>
    </w:tbl>
    <w:p w14:paraId="0F8F92B8">
      <w:pPr>
        <w:spacing w:line="400" w:lineRule="exact"/>
        <w:jc w:val="center"/>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br w:type="page"/>
      </w:r>
      <w:r>
        <w:rPr>
          <w:rFonts w:hint="eastAsia" w:ascii="宋体" w:hAnsi="宋体" w:eastAsia="宋体" w:cs="宋体"/>
          <w:b/>
          <w:color w:val="auto"/>
          <w:sz w:val="32"/>
          <w:szCs w:val="32"/>
          <w:highlight w:val="none"/>
        </w:rPr>
        <w:t>供应商须知正文</w:t>
      </w:r>
    </w:p>
    <w:p w14:paraId="593A8DD8">
      <w:pPr>
        <w:spacing w:line="400" w:lineRule="exact"/>
        <w:jc w:val="center"/>
        <w:rPr>
          <w:rFonts w:hint="eastAsia" w:ascii="宋体" w:hAnsi="宋体" w:eastAsia="宋体" w:cs="宋体"/>
          <w:b/>
          <w:color w:val="auto"/>
          <w:sz w:val="32"/>
          <w:szCs w:val="32"/>
          <w:highlight w:val="none"/>
        </w:rPr>
      </w:pPr>
    </w:p>
    <w:p w14:paraId="73A25BAD">
      <w:pPr>
        <w:spacing w:line="400" w:lineRule="exact"/>
        <w:jc w:val="center"/>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一、总则</w:t>
      </w:r>
    </w:p>
    <w:p w14:paraId="0CCE97AD">
      <w:pPr>
        <w:spacing w:line="400" w:lineRule="exact"/>
        <w:rPr>
          <w:rFonts w:hint="eastAsia" w:ascii="宋体" w:hAnsi="宋体" w:eastAsia="宋体" w:cs="宋体"/>
          <w:color w:val="auto"/>
          <w:szCs w:val="21"/>
          <w:highlight w:val="none"/>
        </w:rPr>
      </w:pPr>
    </w:p>
    <w:p w14:paraId="4EACF12F">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 适用范围</w:t>
      </w:r>
    </w:p>
    <w:p w14:paraId="3CB422F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1.1适用法律：本项目采购人、采购代理机构、供应商、谈判小组的相关行为均受《中华人民共和国政府采购法》《中华人民共和国政府采购法实施条例》《政府采购非招标采购方式管理办法》及本项目本级和上级财政部门政府采购有关规定的约束和保护。</w:t>
      </w:r>
    </w:p>
    <w:p w14:paraId="1CAF22A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1.2</w:t>
      </w:r>
      <w:r>
        <w:rPr>
          <w:rFonts w:hint="eastAsia" w:ascii="宋体" w:hAnsi="宋体" w:eastAsia="宋体" w:cs="宋体"/>
          <w:color w:val="auto"/>
          <w:spacing w:val="-6"/>
          <w:szCs w:val="21"/>
          <w:highlight w:val="none"/>
        </w:rPr>
        <w:t>本竞争性谈判文件（以下简称谈判文件）适用于本项目的所有采购程序和环节（法律、法规另有规定的，从其规定）。</w:t>
      </w:r>
    </w:p>
    <w:p w14:paraId="5F4E6D03">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 定义</w:t>
      </w:r>
    </w:p>
    <w:p w14:paraId="6C12EE1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2.1“采购人”是指依法进行采购的国家机关、事业单位、团体组织。</w:t>
      </w:r>
    </w:p>
    <w:p w14:paraId="04D325CB">
      <w:pPr>
        <w:spacing w:line="360" w:lineRule="auto"/>
        <w:ind w:firstLine="420" w:firstLineChars="200"/>
        <w:rPr>
          <w:rFonts w:hint="eastAsia" w:ascii="宋体" w:hAnsi="宋体" w:eastAsia="宋体" w:cs="宋体"/>
          <w:b/>
          <w:color w:val="auto"/>
          <w:szCs w:val="21"/>
          <w:highlight w:val="none"/>
        </w:rPr>
      </w:pPr>
      <w:r>
        <w:rPr>
          <w:rFonts w:hint="eastAsia" w:ascii="宋体" w:hAnsi="宋体" w:eastAsia="宋体" w:cs="宋体"/>
          <w:color w:val="auto"/>
          <w:szCs w:val="21"/>
          <w:highlight w:val="none"/>
        </w:rPr>
        <w:t>2.2“采购代理机构”</w:t>
      </w:r>
      <w:r>
        <w:rPr>
          <w:rFonts w:hint="eastAsia" w:ascii="宋体" w:hAnsi="宋体" w:eastAsia="宋体" w:cs="宋体"/>
          <w:bCs/>
          <w:color w:val="auto"/>
          <w:szCs w:val="21"/>
          <w:highlight w:val="none"/>
        </w:rPr>
        <w:t>是指政府采购集中采购机构和集中采购机构以外的采购代理机构。</w:t>
      </w:r>
    </w:p>
    <w:p w14:paraId="24E9BC3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2.3“供应商”是指向采购人提供货物、工程或者服务的法人、其他组织或者自然人。</w:t>
      </w:r>
    </w:p>
    <w:p w14:paraId="1C0FE4B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2.4“货物”是指各种形态和种类的物品，包括原材料、燃料、设备、产品等。</w:t>
      </w:r>
    </w:p>
    <w:p w14:paraId="12C4D73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2.5“竞标”是指按照本项目竞争性谈判公告或者邀请函规定的方式供应商获取谈判文件、提交响应文件并希望获得标的的行为。</w:t>
      </w:r>
    </w:p>
    <w:p w14:paraId="221D622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2.6“售后服务” 是指包含但不限于供应商须承担的备品备件、包装、运输、装卸、保险、货到就位以及安装、调试、培训、保修和其他类似的义务。</w:t>
      </w:r>
    </w:p>
    <w:p w14:paraId="4F13B09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2.7“书面形式”是指合同书、信件和数据电文（包括电报、电传、传真、电子数据交换和电子邮件）等可以有形地表现所载内容的形式。</w:t>
      </w:r>
    </w:p>
    <w:p w14:paraId="75DDD1C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2.8“响应文件”</w:t>
      </w:r>
      <w:r>
        <w:rPr>
          <w:rFonts w:hint="eastAsia" w:ascii="宋体" w:hAnsi="宋体" w:eastAsia="宋体" w:cs="宋体"/>
          <w:color w:val="auto"/>
          <w:spacing w:val="-6"/>
          <w:szCs w:val="21"/>
          <w:highlight w:val="none"/>
        </w:rPr>
        <w:t>是指：供应商根据本谈判文件要求，编制包含报价、技术和服务等所有内容的文件。</w:t>
      </w:r>
    </w:p>
    <w:p w14:paraId="5C12D70D">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2.9 “实质性要求”是指采购需求中带“▲”的条款或者不能负偏离的条款或者已经指明不满足按响应文件按无效响应处理的条款。</w:t>
      </w:r>
    </w:p>
    <w:p w14:paraId="5C0D0DD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2.10“正偏离”，是指响应文件对谈判文件“采购需求”中有关条款作出优于条款要求并有利于采购人的响应情形；</w:t>
      </w:r>
    </w:p>
    <w:p w14:paraId="455199F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2.11“负偏离”，是指响应文件对谈判文件“采购需求”中有关条款作出的响应不满足条款要求，导致采购人要求不能得到满足的情形。</w:t>
      </w:r>
    </w:p>
    <w:p w14:paraId="71B184A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2.12“允许负偏离的条款”是指采购需求中的不属于“实质性要求”的条款。</w:t>
      </w:r>
    </w:p>
    <w:p w14:paraId="3AE6299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2.13“首次报价”是指供应商提交的首次响应文件中的竞标报价。</w:t>
      </w:r>
    </w:p>
    <w:p w14:paraId="567012BD">
      <w:pPr>
        <w:spacing w:line="360" w:lineRule="auto"/>
        <w:ind w:firstLine="482" w:firstLineChars="200"/>
        <w:contextualSpacing/>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3. 供应商的资格条件</w:t>
      </w:r>
    </w:p>
    <w:p w14:paraId="71CDB4F2">
      <w:pPr>
        <w:spacing w:line="360" w:lineRule="auto"/>
        <w:ind w:firstLine="420" w:firstLineChars="200"/>
        <w:contextualSpacing/>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供应商的资格条件详见“供应商须知前附表”。</w:t>
      </w:r>
    </w:p>
    <w:p w14:paraId="40BAF5A3">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4. 竞标费用</w:t>
      </w:r>
    </w:p>
    <w:p w14:paraId="46615B9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竞标费用：供应商应承担参与本次采购活动有关的所有费用，包括但不限于获取谈判文件、勘查现场、编制和提交响应文件、参加谈判与应答、签订合同等，不论竞标结果如何，均应自行承担。</w:t>
      </w:r>
    </w:p>
    <w:p w14:paraId="7D2B704F">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5.联合体竞标</w:t>
      </w:r>
    </w:p>
    <w:p w14:paraId="361F594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5.1本项目是否接受联合体竞标，详见“供应商须知前附表”。</w:t>
      </w:r>
    </w:p>
    <w:p w14:paraId="5C9C625D">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5.2</w:t>
      </w:r>
      <w:r>
        <w:rPr>
          <w:rFonts w:hint="eastAsia" w:ascii="宋体" w:hAnsi="宋体" w:eastAsia="宋体" w:cs="宋体"/>
          <w:bCs/>
          <w:color w:val="auto"/>
          <w:szCs w:val="21"/>
          <w:highlight w:val="none"/>
        </w:rPr>
        <w:t>如接受联合体竞标，</w:t>
      </w:r>
      <w:r>
        <w:rPr>
          <w:rFonts w:hint="eastAsia" w:ascii="宋体" w:hAnsi="宋体" w:eastAsia="宋体" w:cs="宋体"/>
          <w:color w:val="auto"/>
          <w:szCs w:val="21"/>
          <w:highlight w:val="none"/>
        </w:rPr>
        <w:t>联合体竞标要求详见“供应商须知前附表”。</w:t>
      </w:r>
    </w:p>
    <w:p w14:paraId="6F6FEC4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5.3</w:t>
      </w:r>
      <w:bookmarkStart w:id="23" w:name="_Hlk65857072"/>
      <w:r>
        <w:rPr>
          <w:rFonts w:hint="eastAsia" w:ascii="宋体" w:hAnsi="宋体" w:eastAsia="宋体" w:cs="宋体"/>
          <w:color w:val="auto"/>
          <w:szCs w:val="21"/>
          <w:highlight w:val="none"/>
        </w:rPr>
        <w:t>根据《政府采购促进中小企业发展管理办法》（财库〔2020〕46号）第九条第二款的规定，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2%-3%的扣除，用扣除后的价格参加评审。</w:t>
      </w:r>
      <w:bookmarkEnd w:id="23"/>
    </w:p>
    <w:p w14:paraId="7FCA0570">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 xml:space="preserve">6.转包与分包             </w:t>
      </w:r>
    </w:p>
    <w:p w14:paraId="14E1D1A5">
      <w:pPr>
        <w:spacing w:line="360" w:lineRule="auto"/>
        <w:ind w:firstLine="420" w:firstLineChars="200"/>
        <w:rPr>
          <w:rFonts w:hint="eastAsia" w:ascii="宋体" w:hAnsi="宋体" w:eastAsia="宋体" w:cs="宋体"/>
          <w:color w:val="auto"/>
          <w:szCs w:val="21"/>
          <w:highlight w:val="none"/>
        </w:rPr>
      </w:pPr>
      <w:bookmarkStart w:id="24" w:name="_Toc29153"/>
      <w:bookmarkStart w:id="25" w:name="_Toc11043"/>
      <w:bookmarkStart w:id="26" w:name="_Toc254970673"/>
      <w:bookmarkStart w:id="27" w:name="_Toc254970532"/>
      <w:r>
        <w:rPr>
          <w:rFonts w:hint="eastAsia" w:ascii="宋体" w:hAnsi="宋体" w:eastAsia="宋体" w:cs="宋体"/>
          <w:color w:val="auto"/>
          <w:szCs w:val="21"/>
          <w:highlight w:val="none"/>
        </w:rPr>
        <w:t>6.1本项目不允许转包。</w:t>
      </w:r>
      <w:bookmarkEnd w:id="24"/>
      <w:bookmarkEnd w:id="25"/>
    </w:p>
    <w:p w14:paraId="225E597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w:t>
      </w:r>
      <w:bookmarkStart w:id="28" w:name="_Toc11061"/>
      <w:bookmarkStart w:id="29" w:name="_Toc11657"/>
      <w:r>
        <w:rPr>
          <w:rFonts w:hint="eastAsia" w:ascii="宋体" w:hAnsi="宋体" w:eastAsia="宋体" w:cs="宋体"/>
          <w:color w:val="auto"/>
          <w:szCs w:val="21"/>
          <w:highlight w:val="none"/>
        </w:rPr>
        <w:t>6.2本项目是否允许分包详见“供应商须知前附表”，本项目不允许违法分包。允许分包的非主体、非关键性工作，根据法律法规规定承担该工作需要行政许可的，如该工作由供应商自行承担，供应商应具备相应的行政许可，如供应商不具备相应的行政许可必须采用分包的方式，但分包供应商应具备相应行政许可。</w:t>
      </w:r>
      <w:bookmarkEnd w:id="28"/>
      <w:bookmarkEnd w:id="29"/>
    </w:p>
    <w:p w14:paraId="42F0FE4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w:t>
      </w:r>
      <w:bookmarkStart w:id="30" w:name="_Toc6058"/>
      <w:bookmarkStart w:id="31" w:name="_Toc30715"/>
      <w:r>
        <w:rPr>
          <w:rFonts w:hint="eastAsia" w:ascii="宋体" w:hAnsi="宋体" w:eastAsia="宋体" w:cs="宋体"/>
          <w:color w:val="auto"/>
          <w:szCs w:val="21"/>
          <w:highlight w:val="none"/>
        </w:rPr>
        <w:t>6.3供应商根据谈判文件的规定和采购项目的实际情况，拟在成交后将成交项目的非主体、非关键性工作分包的，应当在响应文件中载明分包承担主体，分包承担主体应当具备相应资质条件且不得再次分包。</w:t>
      </w:r>
      <w:bookmarkEnd w:id="30"/>
      <w:bookmarkEnd w:id="31"/>
    </w:p>
    <w:p w14:paraId="79718860">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7.特别说明</w:t>
      </w:r>
      <w:bookmarkEnd w:id="26"/>
      <w:bookmarkEnd w:id="27"/>
    </w:p>
    <w:p w14:paraId="561A3B4A">
      <w:pPr>
        <w:spacing w:line="360" w:lineRule="auto"/>
        <w:ind w:firstLine="420" w:firstLineChars="200"/>
        <w:rPr>
          <w:rFonts w:hint="eastAsia" w:ascii="宋体" w:hAnsi="宋体" w:eastAsia="宋体" w:cs="宋体"/>
          <w:color w:val="auto"/>
          <w:szCs w:val="21"/>
          <w:highlight w:val="none"/>
        </w:rPr>
      </w:pPr>
      <w:bookmarkStart w:id="32" w:name="_8.1提供相同品牌产品且通过资格审查、符合性审查的不同投标人参加同一合"/>
      <w:bookmarkEnd w:id="32"/>
      <w:r>
        <w:rPr>
          <w:rFonts w:hint="eastAsia" w:ascii="宋体" w:hAnsi="宋体" w:eastAsia="宋体" w:cs="宋体"/>
          <w:color w:val="auto"/>
          <w:szCs w:val="21"/>
          <w:highlight w:val="none"/>
        </w:rPr>
        <w:t>7.1如果本谈判文件要求提供供应商或制造商的资格、信誉、荣誉、业绩与企业认证等材料的，资格、信誉、荣誉、业绩与企业认证等必须为供应商或者制造商所拥有或自身获得 。</w:t>
      </w:r>
    </w:p>
    <w:p w14:paraId="3200342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7.2供应商应仔细阅读谈判文件的所有内容，按照谈判文件的要求提交响应文件，并对所提供的全部资料的真实性承担法律责任。</w:t>
      </w:r>
    </w:p>
    <w:p w14:paraId="2C3ED3F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7.3供应商在竞标活动中提供任何虚假材料,其响应文件按无效响应处理，并报监管部门查处；签订合同后发现的,成交供应商须依法赔偿采购人，且民事赔偿并不免除违法供应商的行政与刑事责任。</w:t>
      </w:r>
    </w:p>
    <w:p w14:paraId="5519E97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7.4在政府采购活动中，采购人员及相关人员与供应商有下列利害关系之一的，应当回避：</w:t>
      </w:r>
    </w:p>
    <w:p w14:paraId="3F47911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（1）参加采购活动前3年内与供应商存在劳动关系；</w:t>
      </w:r>
    </w:p>
    <w:p w14:paraId="171DB12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（2）参加采购活动前3年内担任供应商的董事、监事；</w:t>
      </w:r>
    </w:p>
    <w:p w14:paraId="195F80B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（3）参加采购活动前3年内是供应商的控股股东或者实际控制人；</w:t>
      </w:r>
    </w:p>
    <w:p w14:paraId="423183B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（4）与供应商的法定代表人或者负责人有夫妻、直系血亲、三代以内旁系血亲或者近姻亲关系；</w:t>
      </w:r>
    </w:p>
    <w:p w14:paraId="04EF58D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（5）与供应商有其他可能影响政府采购活动公平、公正进行的关系。</w:t>
      </w:r>
    </w:p>
    <w:p w14:paraId="0152E81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认为采购人员及相关人员与其他供应商有利害关系的，可以向采购人或者采购代理机构书面提出回避申请，并说明理由。采购人或者采购代理机构应当及时询问被申请回避人员，有利害关系的被申请回避人员应当回避。</w:t>
      </w:r>
    </w:p>
    <w:p w14:paraId="383FE6B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7.5有下列情形之一的视为供应商相互串通竞标，响应文件将被视为无效：</w:t>
      </w:r>
    </w:p>
    <w:p w14:paraId="5B411AD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（1）不同供应商的响应文件由同一单位或者个人编制；</w:t>
      </w:r>
    </w:p>
    <w:p w14:paraId="2253A79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（2）不同供应商委托同一单位或者个人办理竞标事宜；</w:t>
      </w:r>
    </w:p>
    <w:p w14:paraId="2EC11A3D">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（3）不同的供应商的响应文件载明的项目管理员为同一个人；</w:t>
      </w:r>
    </w:p>
    <w:p w14:paraId="28FF6BB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（4）不同供应商的响应文件异常一致或者报价呈规律性差异；</w:t>
      </w:r>
    </w:p>
    <w:p w14:paraId="465BA82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（5）不同供应商的响应文件相互混装；</w:t>
      </w:r>
    </w:p>
    <w:p w14:paraId="10C0D7C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（6）不同供应商的竞标保证金从同一单位或者个人账户转出。</w:t>
      </w:r>
    </w:p>
    <w:p w14:paraId="69D1248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7.6供应商有下列情形之一的，属于恶意串通行为</w:t>
      </w:r>
      <w:bookmarkStart w:id="33" w:name="_Hlk54682620"/>
      <w:r>
        <w:rPr>
          <w:rFonts w:hint="eastAsia" w:ascii="宋体" w:hAnsi="宋体" w:eastAsia="宋体" w:cs="宋体"/>
          <w:color w:val="auto"/>
          <w:szCs w:val="21"/>
          <w:highlight w:val="none"/>
        </w:rPr>
        <w:t>，将报同级监督管理部门</w:t>
      </w:r>
      <w:bookmarkEnd w:id="33"/>
      <w:r>
        <w:rPr>
          <w:rFonts w:hint="eastAsia" w:ascii="宋体" w:hAnsi="宋体" w:eastAsia="宋体" w:cs="宋体"/>
          <w:color w:val="auto"/>
          <w:szCs w:val="21"/>
          <w:highlight w:val="none"/>
        </w:rPr>
        <w:t>：</w:t>
      </w:r>
    </w:p>
    <w:p w14:paraId="7D10A0B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（1）供应商直接或者间接从采购人或者采购代理机构处获得其他供应商的相关信息并修改其响应文件；</w:t>
      </w:r>
    </w:p>
    <w:p w14:paraId="2295AD69">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（2）供应商按照采购人或者采购代理机构的授意撤换、修改响应文件；</w:t>
      </w:r>
    </w:p>
    <w:p w14:paraId="08E1521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（3）供应商之间协商报价、技术方案等响应文件或者响应文件的实质性内容；</w:t>
      </w:r>
    </w:p>
    <w:p w14:paraId="3AEA868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（4）属于同一集团、协会、商会等组织成员的供应商按照该组织要求协同参加政府采购活动；</w:t>
      </w:r>
    </w:p>
    <w:p w14:paraId="2841CBE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（5）供应商之间事先约定一致抬高或者压低报价,或者在政府采购活动中事先约定轮流以高价位或者低价位成交,或者事先约定由某一特定供应商成交,然后再参加竞标；</w:t>
      </w:r>
    </w:p>
    <w:p w14:paraId="0B5B49E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（6）供应商之间商定部分供应商放弃参加政府采购活动或者放弃成交；</w:t>
      </w:r>
    </w:p>
    <w:p w14:paraId="10AD580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（7）供应商与采购人或者采购代理机构之间、供应商相互之间，为谋求特定供应商成交或者排斥其他供应商的其他串通行为。</w:t>
      </w:r>
    </w:p>
    <w:p w14:paraId="715F73DC">
      <w:pPr>
        <w:spacing w:line="360" w:lineRule="auto"/>
        <w:ind w:left="1" w:firstLine="417" w:firstLineChars="199"/>
        <w:jc w:val="center"/>
        <w:rPr>
          <w:rFonts w:hint="eastAsia" w:ascii="宋体" w:hAnsi="宋体" w:eastAsia="宋体" w:cs="宋体"/>
          <w:color w:val="auto"/>
          <w:highlight w:val="none"/>
        </w:rPr>
      </w:pPr>
      <w:bookmarkStart w:id="34" w:name="_Toc254970534"/>
      <w:bookmarkStart w:id="35" w:name="_Toc254970675"/>
    </w:p>
    <w:p w14:paraId="44B0B542">
      <w:pPr>
        <w:spacing w:line="360" w:lineRule="auto"/>
        <w:jc w:val="center"/>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二、谈判文件</w:t>
      </w:r>
      <w:bookmarkEnd w:id="34"/>
      <w:bookmarkEnd w:id="35"/>
    </w:p>
    <w:p w14:paraId="4EA7229F">
      <w:pPr>
        <w:spacing w:line="360" w:lineRule="auto"/>
        <w:jc w:val="center"/>
        <w:rPr>
          <w:rFonts w:hint="eastAsia" w:ascii="宋体" w:hAnsi="宋体" w:eastAsia="宋体" w:cs="宋体"/>
          <w:color w:val="auto"/>
          <w:szCs w:val="21"/>
          <w:highlight w:val="none"/>
        </w:rPr>
      </w:pPr>
    </w:p>
    <w:p w14:paraId="204B8E77">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8.谈判文件的构成</w:t>
      </w:r>
    </w:p>
    <w:p w14:paraId="51DD76A0">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（1）竞争性谈判公告；</w:t>
      </w:r>
    </w:p>
    <w:p w14:paraId="7DFDD764">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（2）供应商须知； </w:t>
      </w:r>
    </w:p>
    <w:p w14:paraId="7915F2D2">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（3）采购需求；</w:t>
      </w:r>
    </w:p>
    <w:p w14:paraId="5429EDED">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（4）响应文件格式</w:t>
      </w:r>
    </w:p>
    <w:p w14:paraId="53E33527">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（5）合同文本；</w:t>
      </w:r>
    </w:p>
    <w:p w14:paraId="247B4654">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（6）评审程序和评定成交的标准；</w:t>
      </w:r>
    </w:p>
    <w:p w14:paraId="7CCFC0F5">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9.供应商的询问</w:t>
      </w:r>
    </w:p>
    <w:p w14:paraId="01F8DDE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应认真阅读谈判文件的采购需求，如供应商对谈判文件有疑问的，如要求采购人作出澄清或者修改的，供应商尽可能在提交首次响应文件截止之日前，以纸质书面形式向采购人、采购代理机构提出，否则，由此产生的后果由供应商自行负责。</w:t>
      </w:r>
    </w:p>
    <w:p w14:paraId="2770B109">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10.谈判文件的澄清和修改</w:t>
      </w:r>
    </w:p>
    <w:p w14:paraId="6A7B7D5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10.1提交首次响应文件截止之日前，采购人、采购代理机构或者谈判小组可以对已发出的谈判文件进行必要的澄清或者修改，澄清或者修改的内容作为谈判文件的组成部分。澄清或者修改将在原公告发布媒体上发布更正公告。澄清或者修改的内容可能影响响应文件编制的，采购人、采购代理机构或者谈判小组应当在提交首次响应文件截止之日3个工作日前，在原公告发布媒体上发布更正公告；不足3个工作日的，应当顺延提交首次响应文件截止之日。</w:t>
      </w:r>
    </w:p>
    <w:p w14:paraId="58260190">
      <w:pPr>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highlight w:val="none"/>
        </w:rPr>
        <w:t>10.2采购人和采购代理机构可以视采购具体情况，变更</w:t>
      </w:r>
      <w:r>
        <w:rPr>
          <w:rFonts w:hint="eastAsia" w:ascii="宋体" w:hAnsi="宋体" w:eastAsia="宋体" w:cs="宋体"/>
          <w:color w:val="auto"/>
          <w:szCs w:val="21"/>
          <w:highlight w:val="none"/>
        </w:rPr>
        <w:t>首次响应文件提交截止时间</w:t>
      </w:r>
      <w:r>
        <w:rPr>
          <w:rFonts w:hint="eastAsia" w:ascii="宋体" w:hAnsi="宋体" w:eastAsia="宋体" w:cs="宋体"/>
          <w:color w:val="auto"/>
          <w:highlight w:val="none"/>
        </w:rPr>
        <w:t>，并</w:t>
      </w:r>
      <w:r>
        <w:rPr>
          <w:rFonts w:hint="eastAsia" w:ascii="宋体" w:hAnsi="宋体" w:eastAsia="宋体" w:cs="宋体"/>
          <w:color w:val="auto"/>
          <w:szCs w:val="21"/>
          <w:highlight w:val="none"/>
        </w:rPr>
        <w:t>在原公告发布媒体上发布更正公告。</w:t>
      </w:r>
    </w:p>
    <w:p w14:paraId="7A7AE107">
      <w:pPr>
        <w:spacing w:line="40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10.3</w:t>
      </w:r>
      <w:r>
        <w:rPr>
          <w:rFonts w:hint="eastAsia" w:ascii="宋体" w:hAnsi="宋体" w:eastAsia="宋体" w:cs="宋体"/>
          <w:color w:val="auto"/>
          <w:szCs w:val="21"/>
          <w:highlight w:val="none"/>
        </w:rPr>
        <w:t>谈判文件澄清、答复、修改、补充的内容为谈判文件的组成部分。</w:t>
      </w:r>
      <w:r>
        <w:rPr>
          <w:rFonts w:hint="eastAsia" w:ascii="宋体" w:hAnsi="宋体" w:eastAsia="宋体" w:cs="宋体"/>
          <w:b/>
          <w:color w:val="auto"/>
          <w:szCs w:val="21"/>
          <w:highlight w:val="none"/>
        </w:rPr>
        <w:t>当谈判文件与谈判文件的澄清、答复、修改、补充通知就同一内容的表述不一致时，以最后发出的文件为准。</w:t>
      </w:r>
    </w:p>
    <w:p w14:paraId="619A6427">
      <w:pPr>
        <w:spacing w:line="400" w:lineRule="exact"/>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highlight w:val="none"/>
        </w:rPr>
        <w:t>10.4</w:t>
      </w:r>
      <w:r>
        <w:rPr>
          <w:rFonts w:hint="eastAsia" w:ascii="宋体" w:hAnsi="宋体" w:eastAsia="宋体" w:cs="宋体"/>
          <w:b/>
          <w:color w:val="auto"/>
          <w:szCs w:val="21"/>
          <w:highlight w:val="none"/>
        </w:rPr>
        <w:t>响应文件未按谈判文件的澄清、修改后的内容编制的，其响应文件作无效响应处理。</w:t>
      </w:r>
    </w:p>
    <w:p w14:paraId="447D40DC">
      <w:pPr>
        <w:spacing w:line="360" w:lineRule="auto"/>
        <w:ind w:firstLine="420" w:firstLineChars="200"/>
        <w:rPr>
          <w:rFonts w:hint="eastAsia" w:ascii="宋体" w:hAnsi="宋体" w:eastAsia="宋体" w:cs="宋体"/>
          <w:color w:val="auto"/>
          <w:szCs w:val="21"/>
          <w:highlight w:val="none"/>
        </w:rPr>
      </w:pPr>
    </w:p>
    <w:p w14:paraId="6348C118">
      <w:pPr>
        <w:spacing w:line="360" w:lineRule="auto"/>
        <w:rPr>
          <w:rFonts w:hint="eastAsia" w:ascii="宋体" w:hAnsi="宋体" w:eastAsia="宋体" w:cs="宋体"/>
          <w:color w:val="auto"/>
          <w:szCs w:val="21"/>
          <w:highlight w:val="none"/>
        </w:rPr>
      </w:pPr>
    </w:p>
    <w:p w14:paraId="7FF443DA">
      <w:pPr>
        <w:spacing w:line="360" w:lineRule="auto"/>
        <w:jc w:val="center"/>
        <w:rPr>
          <w:rFonts w:hint="eastAsia" w:ascii="宋体" w:hAnsi="宋体" w:eastAsia="宋体" w:cs="宋体"/>
          <w:b/>
          <w:color w:val="auto"/>
          <w:szCs w:val="21"/>
          <w:highlight w:val="none"/>
        </w:rPr>
      </w:pPr>
      <w:r>
        <w:rPr>
          <w:rFonts w:hint="eastAsia" w:ascii="宋体" w:hAnsi="宋体" w:eastAsia="宋体" w:cs="宋体"/>
          <w:b/>
          <w:color w:val="auto"/>
          <w:sz w:val="32"/>
          <w:szCs w:val="32"/>
          <w:highlight w:val="none"/>
        </w:rPr>
        <w:t>三、响应文件的编制</w:t>
      </w:r>
    </w:p>
    <w:p w14:paraId="75C92E13">
      <w:pPr>
        <w:spacing w:line="360" w:lineRule="auto"/>
        <w:rPr>
          <w:rFonts w:hint="eastAsia" w:ascii="宋体" w:hAnsi="宋体" w:eastAsia="宋体" w:cs="宋体"/>
          <w:color w:val="auto"/>
          <w:szCs w:val="21"/>
          <w:highlight w:val="none"/>
        </w:rPr>
      </w:pPr>
    </w:p>
    <w:p w14:paraId="09CE684D">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11.响应文件的编制原则</w:t>
      </w:r>
    </w:p>
    <w:p w14:paraId="5B11826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供应商必须按照谈判文件的要求编制响应文件，并对其提交的响应文件的真实性、合法性承担法律责任。响应文件必须对谈判文件作出实质性响应。</w:t>
      </w:r>
    </w:p>
    <w:p w14:paraId="678463C0">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12.响应文件的组成</w:t>
      </w:r>
    </w:p>
    <w:p w14:paraId="2B713B2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12.1响应文件由资格证明文件、报价商务技术文件两部分组成。</w:t>
      </w:r>
    </w:p>
    <w:p w14:paraId="0B284E58">
      <w:pPr>
        <w:spacing w:line="360" w:lineRule="auto"/>
        <w:ind w:left="840" w:leftChars="200" w:hanging="420" w:hanging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12.1.1资格证明文件：详见“供应商须知前附表”</w:t>
      </w:r>
    </w:p>
    <w:p w14:paraId="33579621">
      <w:pPr>
        <w:spacing w:line="360" w:lineRule="auto"/>
        <w:ind w:left="840" w:leftChars="200" w:hanging="420" w:hanging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12.1.2报价商务技术文件：详见“供应商须知前附表”</w:t>
      </w:r>
    </w:p>
    <w:p w14:paraId="1EC07316">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13.计量单位</w:t>
      </w:r>
    </w:p>
    <w:p w14:paraId="2489CAA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谈判文件已有明确规定的，使用谈判文件规定的计量单位；谈判文件没有规定的，应采用中华人民共和国法定计量单位，货币种类为人民币，否则视同未响应。</w:t>
      </w:r>
    </w:p>
    <w:p w14:paraId="0C5C02B5">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14.竞标的风险</w:t>
      </w:r>
    </w:p>
    <w:p w14:paraId="37E3C0D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供应商没有按照谈判文件要求提供全部资料，或者供应商没有对谈判文件在各方面作出实质性响应可能导致其响应文件按无效响应处理，是供应商应当考虑的风险。</w:t>
      </w:r>
    </w:p>
    <w:p w14:paraId="43990B80">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15.竞标报价</w:t>
      </w:r>
    </w:p>
    <w:p w14:paraId="4FEB94E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15.1竞标报价应按谈判文件中“竞标报价表”格式填写。</w:t>
      </w:r>
    </w:p>
    <w:p w14:paraId="7929C380">
      <w:pPr>
        <w:tabs>
          <w:tab w:val="left" w:pos="2492"/>
        </w:tabs>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15.2竞标报价的内容详见“供应商须知前附表”。</w:t>
      </w:r>
    </w:p>
    <w:p w14:paraId="165C5041">
      <w:pPr>
        <w:spacing w:line="360" w:lineRule="auto"/>
        <w:ind w:left="426" w:leftChars="203"/>
        <w:rPr>
          <w:rFonts w:hint="eastAsia" w:ascii="宋体" w:hAnsi="宋体" w:eastAsia="宋体" w:cs="宋体"/>
          <w:color w:val="auto"/>
          <w:szCs w:val="21"/>
          <w:highlight w:val="none"/>
        </w:rPr>
      </w:pPr>
      <w:r>
        <w:rPr>
          <w:rFonts w:hint="eastAsia" w:ascii="宋体" w:hAnsi="宋体" w:eastAsia="宋体" w:cs="宋体"/>
          <w:color w:val="auto"/>
          <w:szCs w:val="21"/>
          <w:highlight w:val="none"/>
        </w:rPr>
        <w:t>15.3竞标报价要求</w:t>
      </w:r>
    </w:p>
    <w:p w14:paraId="5C6668ED">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15.3.1供应商的竞标报价应符合以下要求，否则响应文件按无效响应处理：</w:t>
      </w:r>
    </w:p>
    <w:p w14:paraId="08E57AD5">
      <w:pPr>
        <w:spacing w:line="360" w:lineRule="auto"/>
        <w:ind w:left="420" w:left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（1）供应商必须就“采购需求”中所竞标的每个分标的全部内容分别作完整唯一总价报价，</w:t>
      </w:r>
    </w:p>
    <w:p w14:paraId="2B75A2BA">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不得存在漏项报价；</w:t>
      </w:r>
    </w:p>
    <w:p w14:paraId="411C5D8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（2）供应商必须就所竞标的分标的单项内容作唯一报价。</w:t>
      </w:r>
    </w:p>
    <w:p w14:paraId="333B3569">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15.3.2最后报价超过所竞标分标规定的采购预算金额或者最高限价的，其响应文件将按无效响应处理。</w:t>
      </w:r>
    </w:p>
    <w:p w14:paraId="4618F7CC">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16.竞标有效期</w:t>
      </w:r>
    </w:p>
    <w:p w14:paraId="1FA1C19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16.1竞标有效期是指为保证采购人有足够的时间在提交响应文件后完成评审、确定成交供应商、合同签订等工作而要求供应商提交的响应文件在一定时间内保持有效的期限。</w:t>
      </w:r>
    </w:p>
    <w:p w14:paraId="5EDA6B3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16.2 竞标有效期应由供应商按“供应商须知前附表”规定的期限作出响应。</w:t>
      </w:r>
    </w:p>
    <w:p w14:paraId="22D6175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16.3供应商的响应文件在竞标有效期内均保持有效。</w:t>
      </w:r>
    </w:p>
    <w:p w14:paraId="3BB1B950">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17.竞标保证金</w:t>
      </w:r>
    </w:p>
    <w:p w14:paraId="70B83599">
      <w:pPr>
        <w:spacing w:line="360" w:lineRule="auto"/>
        <w:ind w:left="420" w:left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17.1供应商须按“供应商须知前附表”的规定提交竞标保证金。</w:t>
      </w:r>
    </w:p>
    <w:p w14:paraId="275BCC6C">
      <w:pPr>
        <w:spacing w:line="360" w:lineRule="auto"/>
        <w:ind w:left="420" w:left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17.2竞标保证金的退还</w:t>
      </w:r>
    </w:p>
    <w:p w14:paraId="308F939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未</w:t>
      </w:r>
      <w:r>
        <w:rPr>
          <w:rFonts w:hint="eastAsia" w:ascii="宋体" w:hAnsi="宋体" w:eastAsia="宋体" w:cs="宋体"/>
          <w:color w:val="auto"/>
          <w:spacing w:val="-6"/>
          <w:szCs w:val="21"/>
          <w:highlight w:val="none"/>
        </w:rPr>
        <w:t>成交供应商的竞标保证金自成交通知书发出之日起5个工作日内退还</w:t>
      </w:r>
      <w:r>
        <w:rPr>
          <w:rFonts w:hint="eastAsia" w:ascii="宋体" w:hAnsi="宋体" w:eastAsia="宋体" w:cs="宋体"/>
          <w:color w:val="auto"/>
          <w:szCs w:val="21"/>
          <w:highlight w:val="none"/>
        </w:rPr>
        <w:t xml:space="preserve">；成交供应商的竞标保证金自签订合同之日起5个工作日内退还。 </w:t>
      </w:r>
    </w:p>
    <w:p w14:paraId="41FD293B">
      <w:pPr>
        <w:spacing w:line="360" w:lineRule="auto"/>
        <w:ind w:left="420" w:left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17.3竞标保证金不计息。</w:t>
      </w:r>
    </w:p>
    <w:p w14:paraId="3D031E4F">
      <w:pPr>
        <w:spacing w:line="360" w:lineRule="auto"/>
        <w:ind w:left="420" w:left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17.4供应商有下列情形之一的，竞标保证金将不予退还： </w:t>
      </w:r>
    </w:p>
    <w:p w14:paraId="331C0AFB">
      <w:pPr>
        <w:spacing w:line="360" w:lineRule="auto"/>
        <w:ind w:left="420" w:left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（1）供应商在提交首次响应文件截止时间后撤回响应文件的；</w:t>
      </w:r>
    </w:p>
    <w:p w14:paraId="271CA8E3">
      <w:pPr>
        <w:spacing w:line="360" w:lineRule="auto"/>
        <w:ind w:left="420" w:left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（2）未按规定提交履约保证金的；</w:t>
      </w:r>
    </w:p>
    <w:p w14:paraId="54D9FA8A">
      <w:pPr>
        <w:spacing w:line="360" w:lineRule="auto"/>
        <w:ind w:left="420" w:left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（3）供应商在响应文件中提供虚假材料的；</w:t>
      </w:r>
    </w:p>
    <w:p w14:paraId="0FE177BD">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（4）除因不可抗力或者谈判文件认可的情形以外，成交供应商不与采购人签订合同的；</w:t>
      </w:r>
    </w:p>
    <w:p w14:paraId="423F0059">
      <w:pPr>
        <w:spacing w:line="360" w:lineRule="auto"/>
        <w:ind w:left="420" w:left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（5）供应商与采购人、其他供应商或者采购代理机构恶意串通的；</w:t>
      </w:r>
    </w:p>
    <w:p w14:paraId="770001F2">
      <w:pPr>
        <w:spacing w:line="360" w:lineRule="auto"/>
        <w:ind w:left="420" w:left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（6）法律法规规定的其他情形。</w:t>
      </w:r>
    </w:p>
    <w:p w14:paraId="419B17AC">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18. 响应文件编制的要求</w:t>
      </w:r>
    </w:p>
    <w:p w14:paraId="2BBFC87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18.1供应商应按本谈判文件规定的格式和顺序编制、装订响应文件并标注页码，响应文件内容</w:t>
      </w:r>
      <w:r>
        <w:rPr>
          <w:rFonts w:hint="eastAsia" w:ascii="宋体" w:hAnsi="宋体" w:eastAsia="宋体" w:cs="宋体"/>
          <w:color w:val="auto"/>
          <w:spacing w:val="-6"/>
          <w:szCs w:val="21"/>
          <w:highlight w:val="none"/>
        </w:rPr>
        <w:t>不完整、编排混乱导致响应文件被误读、漏读或者查找不到相关内容的，</w:t>
      </w:r>
      <w:r>
        <w:rPr>
          <w:rFonts w:hint="eastAsia" w:ascii="宋体" w:hAnsi="宋体" w:eastAsia="宋体" w:cs="宋体"/>
          <w:color w:val="auto"/>
          <w:highlight w:val="none"/>
        </w:rPr>
        <w:t>由此引发的</w:t>
      </w:r>
      <w:r>
        <w:rPr>
          <w:rFonts w:hint="eastAsia" w:ascii="宋体" w:hAnsi="宋体" w:eastAsia="宋体" w:cs="宋体"/>
          <w:color w:val="auto"/>
          <w:spacing w:val="-6"/>
          <w:szCs w:val="21"/>
          <w:highlight w:val="none"/>
        </w:rPr>
        <w:t>后果由供应商承担。</w:t>
      </w:r>
    </w:p>
    <w:p w14:paraId="449DE33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18.2响应文件应按资格证明文件、报价商务技术文件分别编制电子文件，</w:t>
      </w:r>
      <w:r>
        <w:rPr>
          <w:rFonts w:hint="eastAsia" w:ascii="宋体" w:hAnsi="宋体" w:eastAsia="宋体" w:cs="宋体"/>
          <w:color w:val="auto"/>
          <w:szCs w:val="21"/>
          <w:highlight w:val="none"/>
          <w:lang w:bidi="ar"/>
        </w:rPr>
        <w:t>并按“政采云”平台的要求编制、加密、上传。</w:t>
      </w:r>
    </w:p>
    <w:p w14:paraId="3EBBF78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18.</w:t>
      </w:r>
      <w:bookmarkStart w:id="36" w:name="_Hlk65832699"/>
      <w:r>
        <w:rPr>
          <w:rFonts w:hint="eastAsia" w:ascii="宋体" w:hAnsi="宋体" w:eastAsia="宋体" w:cs="宋体"/>
          <w:color w:val="auto"/>
          <w:szCs w:val="21"/>
          <w:highlight w:val="none"/>
        </w:rPr>
        <w:t>3响应文件须由供应商在规定位置盖公章并签字</w:t>
      </w:r>
      <w:bookmarkStart w:id="37" w:name="_Hlk65832569"/>
      <w:r>
        <w:rPr>
          <w:rFonts w:hint="eastAsia" w:ascii="宋体" w:hAnsi="宋体" w:eastAsia="宋体" w:cs="宋体"/>
          <w:color w:val="auto"/>
          <w:szCs w:val="21"/>
          <w:highlight w:val="none"/>
        </w:rPr>
        <w:t>（具体以供应商须知前附表或响应文件格式规定为准）</w:t>
      </w:r>
      <w:bookmarkEnd w:id="36"/>
      <w:bookmarkEnd w:id="37"/>
      <w:r>
        <w:rPr>
          <w:rFonts w:hint="eastAsia" w:ascii="宋体" w:hAnsi="宋体" w:eastAsia="宋体" w:cs="宋体"/>
          <w:color w:val="auto"/>
          <w:szCs w:val="21"/>
          <w:highlight w:val="none"/>
        </w:rPr>
        <w:t>，否则其响应文件按无效响应处理。</w:t>
      </w:r>
    </w:p>
    <w:p w14:paraId="63A707C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18.4响应文件中标注的供应商名称应与营业执照（事业单位法人证书、执业许可证、自然人身份证）及公章一致，否则其响应文件按无效响应处理。</w:t>
      </w:r>
    </w:p>
    <w:p w14:paraId="07FE94D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18.5响应文件应尽量避免涂改、行间插字或者删除。如果出现上述情况，改动之处应由供应商的法定代表人或者其委托代理人签字或者加盖公章。响应文件因涂改、行间插字或者删除导致字迹潦草或者表达不清所引起的后果由供应商承担。</w:t>
      </w:r>
    </w:p>
    <w:p w14:paraId="5BD4E0BF">
      <w:pPr>
        <w:spacing w:line="360" w:lineRule="auto"/>
        <w:ind w:firstLine="480" w:firstLineChars="200"/>
        <w:rPr>
          <w:rFonts w:hint="eastAsia" w:ascii="宋体" w:hAnsi="宋体" w:eastAsia="宋体" w:cs="宋体"/>
          <w:b/>
          <w:bCs/>
          <w:color w:val="auto"/>
          <w:sz w:val="24"/>
          <w:highlight w:val="none"/>
        </w:rPr>
      </w:pPr>
      <w:r>
        <w:rPr>
          <w:rFonts w:hint="eastAsia" w:ascii="宋体" w:hAnsi="宋体" w:eastAsia="宋体" w:cs="宋体"/>
          <w:color w:val="auto"/>
          <w:sz w:val="24"/>
          <w:highlight w:val="none"/>
        </w:rPr>
        <w:t>19.响应文件的加密、解密</w:t>
      </w:r>
    </w:p>
    <w:p w14:paraId="3934B219">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19.1电子响应文件编制完成后，供应商应按“政采云”平台的要求进行加密，并在规定时间内解密，否则，由此产生的后果由供应商自行负责。</w:t>
      </w:r>
    </w:p>
    <w:p w14:paraId="3BFA6439">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20.响应文件的提交</w:t>
      </w:r>
    </w:p>
    <w:p w14:paraId="78B7162E">
      <w:pPr>
        <w:widowControl/>
        <w:spacing w:line="360" w:lineRule="auto"/>
        <w:ind w:firstLine="420" w:firstLineChars="200"/>
        <w:rPr>
          <w:rFonts w:hint="eastAsia" w:ascii="宋体" w:hAnsi="宋体" w:eastAsia="宋体" w:cs="宋体"/>
          <w:b/>
          <w:color w:val="auto"/>
          <w:szCs w:val="21"/>
          <w:highlight w:val="none"/>
          <w:lang w:bidi="ar"/>
        </w:rPr>
      </w:pPr>
      <w:r>
        <w:rPr>
          <w:rFonts w:hint="eastAsia" w:ascii="宋体" w:hAnsi="宋体" w:eastAsia="宋体" w:cs="宋体"/>
          <w:color w:val="auto"/>
          <w:szCs w:val="21"/>
          <w:highlight w:val="none"/>
        </w:rPr>
        <w:t>20.2</w:t>
      </w:r>
      <w:r>
        <w:rPr>
          <w:rFonts w:hint="eastAsia" w:ascii="宋体" w:hAnsi="宋体" w:eastAsia="宋体" w:cs="宋体"/>
          <w:color w:val="auto"/>
          <w:szCs w:val="21"/>
          <w:highlight w:val="none"/>
          <w:lang w:bidi="ar"/>
        </w:rPr>
        <w:t>本项目为全流程电子化政府采购项目，通过“政采云”平台（http：//www.zcygov.cn）实行在线电子竞标，供应商应先安装“政采云电子交易客户端”（请自行前往“政采云”平台进行下载），并按照本项目竞争性谈判文件和“政采云”平台的要求编制、加密后在首次响应文件提交截止时间前通过网络上传至“政采云”平台，</w:t>
      </w:r>
      <w:r>
        <w:rPr>
          <w:rFonts w:hint="eastAsia" w:ascii="宋体" w:hAnsi="宋体" w:eastAsia="宋体" w:cs="宋体"/>
          <w:b/>
          <w:color w:val="auto"/>
          <w:szCs w:val="21"/>
          <w:highlight w:val="none"/>
          <w:lang w:bidi="ar"/>
        </w:rPr>
        <w:t>供应商在“政采云”平台提交电子版响应文件时，请填写参加远程开标活动经办人联系方式。</w:t>
      </w:r>
    </w:p>
    <w:p w14:paraId="53BBC419">
      <w:pPr>
        <w:spacing w:line="360" w:lineRule="auto"/>
        <w:ind w:firstLine="420" w:firstLineChars="200"/>
        <w:rPr>
          <w:rFonts w:hint="eastAsia" w:ascii="宋体" w:hAnsi="宋体" w:eastAsia="宋体" w:cs="宋体"/>
          <w:bCs/>
          <w:color w:val="auto"/>
          <w:szCs w:val="21"/>
          <w:highlight w:val="none"/>
          <w:lang w:bidi="ar"/>
        </w:rPr>
      </w:pPr>
      <w:bookmarkStart w:id="38" w:name="_Toc30525"/>
      <w:bookmarkStart w:id="39" w:name="_Toc7445"/>
      <w:r>
        <w:rPr>
          <w:rFonts w:hint="eastAsia" w:ascii="宋体" w:hAnsi="宋体" w:eastAsia="宋体" w:cs="宋体"/>
          <w:bCs/>
          <w:color w:val="auto"/>
          <w:szCs w:val="21"/>
          <w:highlight w:val="none"/>
          <w:lang w:bidi="ar"/>
        </w:rPr>
        <w:t>2</w:t>
      </w:r>
      <w:r>
        <w:rPr>
          <w:rFonts w:hint="eastAsia" w:ascii="宋体" w:hAnsi="宋体" w:eastAsia="宋体" w:cs="宋体"/>
          <w:bCs/>
          <w:color w:val="auto"/>
          <w:szCs w:val="21"/>
          <w:highlight w:val="none"/>
          <w:lang w:eastAsia="zh-CN" w:bidi="ar"/>
        </w:rPr>
        <w:t>0</w:t>
      </w:r>
      <w:r>
        <w:rPr>
          <w:rFonts w:hint="eastAsia" w:ascii="宋体" w:hAnsi="宋体" w:eastAsia="宋体" w:cs="宋体"/>
          <w:bCs/>
          <w:color w:val="auto"/>
          <w:szCs w:val="21"/>
          <w:highlight w:val="none"/>
          <w:lang w:bidi="ar"/>
        </w:rPr>
        <w:t>.</w:t>
      </w:r>
      <w:r>
        <w:rPr>
          <w:rFonts w:hint="eastAsia" w:ascii="宋体" w:hAnsi="宋体" w:eastAsia="宋体" w:cs="宋体"/>
          <w:bCs/>
          <w:color w:val="auto"/>
          <w:szCs w:val="21"/>
          <w:highlight w:val="none"/>
          <w:lang w:eastAsia="zh-CN" w:bidi="ar"/>
        </w:rPr>
        <w:t>3</w:t>
      </w:r>
      <w:r>
        <w:rPr>
          <w:rFonts w:hint="eastAsia" w:ascii="宋体" w:hAnsi="宋体" w:eastAsia="宋体" w:cs="宋体"/>
          <w:bCs/>
          <w:color w:val="auto"/>
          <w:szCs w:val="21"/>
          <w:highlight w:val="none"/>
          <w:lang w:bidi="ar"/>
        </w:rPr>
        <w:t>未在规定时间内</w:t>
      </w:r>
      <w:r>
        <w:rPr>
          <w:rFonts w:hint="eastAsia" w:ascii="宋体" w:hAnsi="宋体" w:eastAsia="宋体" w:cs="宋体"/>
          <w:bCs/>
          <w:color w:val="auto"/>
          <w:szCs w:val="21"/>
          <w:highlight w:val="none"/>
          <w:lang w:eastAsia="zh-CN" w:bidi="ar"/>
        </w:rPr>
        <w:t>上传</w:t>
      </w:r>
      <w:r>
        <w:rPr>
          <w:rFonts w:hint="eastAsia" w:ascii="宋体" w:hAnsi="宋体" w:eastAsia="宋体" w:cs="宋体"/>
          <w:bCs/>
          <w:color w:val="auto"/>
          <w:szCs w:val="21"/>
          <w:highlight w:val="none"/>
          <w:lang w:bidi="ar"/>
        </w:rPr>
        <w:t>或者未按“政采云”平台的要求编制、加密的电子响应文件，“政采云”平台将拒收。</w:t>
      </w:r>
      <w:bookmarkEnd w:id="38"/>
      <w:bookmarkEnd w:id="39"/>
    </w:p>
    <w:p w14:paraId="597B671F">
      <w:pPr>
        <w:spacing w:line="360" w:lineRule="auto"/>
        <w:ind w:firstLine="420" w:firstLineChars="200"/>
        <w:rPr>
          <w:rFonts w:hint="eastAsia" w:ascii="宋体" w:hAnsi="宋体" w:eastAsia="宋体" w:cs="宋体"/>
          <w:bCs/>
          <w:color w:val="auto"/>
          <w:szCs w:val="21"/>
          <w:highlight w:val="none"/>
          <w:lang w:bidi="ar"/>
        </w:rPr>
      </w:pPr>
      <w:r>
        <w:rPr>
          <w:rFonts w:hint="eastAsia" w:ascii="宋体" w:hAnsi="宋体" w:eastAsia="宋体" w:cs="宋体"/>
          <w:bCs/>
          <w:color w:val="auto"/>
          <w:szCs w:val="21"/>
          <w:highlight w:val="none"/>
          <w:lang w:bidi="ar"/>
        </w:rPr>
        <w:t>20.4电子响应文件提交方式见“竞争性谈判公告”中“四、响应文件提交”。</w:t>
      </w:r>
    </w:p>
    <w:p w14:paraId="6240AF94">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21.首次响应文件的补充、修改与撤回</w:t>
      </w:r>
    </w:p>
    <w:p w14:paraId="79A2647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bCs/>
          <w:color w:val="auto"/>
          <w:szCs w:val="21"/>
          <w:highlight w:val="none"/>
          <w:lang w:bidi="ar"/>
        </w:rPr>
        <w:t>21.1供应商应当在首次响应文件提交截止时间前完成电子响应文件的上传、递交，首次响应文件提交截止时间前可以补充、修改或者撤回响应文件。补充或者修改响应文件的，应当先行撤回原文件，补充、修改后重新上传、递交。首次响应文件提交截止时间前未完成上传、递交的，视为撤回响应文件。首次响应文件提交截止时间以后上传递交的响应文件，“政采云”平台将予以拒收。</w:t>
      </w:r>
    </w:p>
    <w:p w14:paraId="593EC3D8">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22.首次响应文件的退回</w:t>
      </w:r>
    </w:p>
    <w:p w14:paraId="36D0D22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22.1在首次响应文件提交截止时间止提交响应文件的供应商不足3家时，采购代理机构将根据“政采云”平台的操作将电子版响应文件退回，除此之外采购人和采购代理机构对已提交的电子响应文件概不退回。</w:t>
      </w:r>
    </w:p>
    <w:p w14:paraId="57CE4BCD">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23. 截止时间后的撤回</w:t>
      </w:r>
    </w:p>
    <w:p w14:paraId="670FF63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23.1供应商在首次响应文件提交截止时间后书面通知采购人、采购代理机构书面撤回响应文件的，将根据本须知正文17.4的规定不予退还其竞标保证金。</w:t>
      </w:r>
    </w:p>
    <w:p w14:paraId="5ADCAC11">
      <w:pPr>
        <w:spacing w:line="360" w:lineRule="auto"/>
        <w:ind w:firstLine="420" w:firstLineChars="200"/>
        <w:rPr>
          <w:rFonts w:hint="eastAsia" w:ascii="宋体" w:hAnsi="宋体" w:eastAsia="宋体" w:cs="宋体"/>
          <w:color w:val="auto"/>
          <w:szCs w:val="21"/>
          <w:highlight w:val="none"/>
        </w:rPr>
      </w:pPr>
    </w:p>
    <w:p w14:paraId="10B9BB0C">
      <w:pPr>
        <w:spacing w:line="360" w:lineRule="auto"/>
        <w:jc w:val="center"/>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四、评审及谈判</w:t>
      </w:r>
    </w:p>
    <w:p w14:paraId="1F0A4817">
      <w:pPr>
        <w:spacing w:line="360" w:lineRule="auto"/>
        <w:ind w:left="420" w:firstLine="420"/>
        <w:rPr>
          <w:rFonts w:hint="eastAsia" w:ascii="宋体" w:hAnsi="宋体" w:eastAsia="宋体" w:cs="宋体"/>
          <w:color w:val="auto"/>
          <w:szCs w:val="21"/>
          <w:highlight w:val="none"/>
        </w:rPr>
      </w:pPr>
    </w:p>
    <w:p w14:paraId="04B907B3">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24.谈判小组成立</w:t>
      </w:r>
    </w:p>
    <w:p w14:paraId="5E70F82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24.1竞争性谈判小组成立：谈判小组由采购人代表和评审专家共3人以上单数组成，具体人数详见“供应商须知前附表”，其中评审专家人数不得少于竞争性谈判小组成员总数的2/3。采购人不得以评审专家身份参加本部门或者本单位采购项目的评审。采购代理机构人员不得参加本机构代理的采购项目的评审。达到公开招标数额标准的货物或者服务采购项目，或者达到招标规模标准的政府采购工程，竞争性谈判小组应当由5人以上单数组成。</w:t>
      </w:r>
    </w:p>
    <w:p w14:paraId="695D12CC">
      <w:pPr>
        <w:spacing w:line="360" w:lineRule="auto"/>
        <w:ind w:firstLine="420" w:firstLineChars="20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rPr>
        <w:t>24.2评审专家应当从政府采购评审专家库内相关专业的专家名单中随机抽取。技术复杂、专业性强的竞争性谈判采购项目，通过随机方式难以确定合适的评审专家的，经主管预算单位同意，可以自行选定评审专家。技术复杂、专业性强的竞争性谈判采购项目，评审专家中应当包含1名法律专家。</w:t>
      </w:r>
      <w:r>
        <w:rPr>
          <w:rFonts w:hint="eastAsia" w:ascii="宋体" w:hAnsi="宋体" w:eastAsia="宋体" w:cs="宋体"/>
          <w:color w:val="auto"/>
          <w:szCs w:val="21"/>
          <w:highlight w:val="none"/>
          <w:lang w:val="en-US" w:eastAsia="zh-CN"/>
        </w:rPr>
        <w:t xml:space="preserve"> </w:t>
      </w:r>
    </w:p>
    <w:p w14:paraId="71520174">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25. 首次响应文件的开启</w:t>
      </w:r>
    </w:p>
    <w:p w14:paraId="516ED42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25.1首次响应文件由谈判小组或者采购代理机构在“供应商须知前附表”规定的时间开启。</w:t>
      </w:r>
    </w:p>
    <w:p w14:paraId="21219F7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25.2 响应文件解密：采购代理机构将在“供应商须知前附表”规定的时间通过电子交易平台组织响应文件开启，采购代理机构将依托电子交易平台发起开始解密指令，</w:t>
      </w:r>
      <w:r>
        <w:rPr>
          <w:rFonts w:hint="eastAsia" w:ascii="宋体" w:hAnsi="宋体" w:eastAsia="宋体" w:cs="宋体"/>
          <w:b/>
          <w:color w:val="auto"/>
          <w:szCs w:val="21"/>
          <w:highlight w:val="none"/>
        </w:rPr>
        <w:t>供应商的法定代表人或其委托代理人须携带加密时所用的CA锁按平台提示和采购文件的规定登录到“政采云”平台电子开标大厅签到并在发起解密指令之时起30分钟内完成对电子响应文件在线解密。</w:t>
      </w:r>
      <w:r>
        <w:rPr>
          <w:rFonts w:hint="eastAsia" w:ascii="宋体" w:hAnsi="宋体" w:eastAsia="宋体" w:cs="宋体"/>
          <w:b/>
          <w:bCs/>
          <w:color w:val="auto"/>
          <w:szCs w:val="21"/>
          <w:highlight w:val="none"/>
        </w:rPr>
        <w:t>响应文件未按时解密的，视为响应文件无效。</w:t>
      </w:r>
      <w:r>
        <w:rPr>
          <w:rFonts w:hint="eastAsia" w:ascii="宋体" w:hAnsi="宋体" w:eastAsia="宋体" w:cs="宋体"/>
          <w:color w:val="auto"/>
          <w:szCs w:val="21"/>
          <w:highlight w:val="none"/>
        </w:rPr>
        <w:t>（解密异常情况处理：详见本章26.2电子交易活动的中止。）</w:t>
      </w:r>
    </w:p>
    <w:p w14:paraId="6125199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25.3成功解密响应文件的供应商不足3家的，不得谈判。</w:t>
      </w:r>
    </w:p>
    <w:p w14:paraId="1E7FBF73">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26. 评审程序和评定成交的标准</w:t>
      </w:r>
    </w:p>
    <w:p w14:paraId="3F53A13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26.1谈判小组按照“第四章  评审程序和评定成交的标准”规定的评审程序对响应文件进行评审，并按照评定成交的标准推荐成交候选供应商。</w:t>
      </w:r>
    </w:p>
    <w:p w14:paraId="2AE681F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26.2电子交易活动的中止。采购过程中出现以下情形，导致电子交易平台无法正常运行，或者无法保证电子交易的公平、公正和安全时，采购机构可中止电子交易活动：</w:t>
      </w:r>
    </w:p>
    <w:p w14:paraId="36B8CB9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（1）电子交易平台发生故障而无法登录访问的； </w:t>
      </w:r>
    </w:p>
    <w:p w14:paraId="784108FD">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（2）电子交易平台应用或数据库出现错误，不能进行正常操作的；</w:t>
      </w:r>
    </w:p>
    <w:p w14:paraId="4761909D">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（3）电子交易平台发现严重安全漏洞，有潜在泄密危险的；</w:t>
      </w:r>
    </w:p>
    <w:p w14:paraId="697E7B8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（4）病毒发作导致不能进行正常操作的； </w:t>
      </w:r>
    </w:p>
    <w:p w14:paraId="4E74386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（4）其他无法保证电子交易的公平、公正和安全的情况。</w:t>
      </w:r>
    </w:p>
    <w:p w14:paraId="6C9F7AF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26.3出现以上情形，不影响采购公平、公正性的，采购代理机构可以待上述情形消除后继续组织电子交易活动；影响或可能影响采购公平、公正性的，经采购代理机构确认后，应当重新采购。</w:t>
      </w:r>
    </w:p>
    <w:p w14:paraId="002D22EB">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27.确定成交供应商及结果公告</w:t>
      </w:r>
    </w:p>
    <w:p w14:paraId="49B437E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27.1 采购代理机构应当在评审结束后2个工作日内将评审报告送采购人确认。采购人应当在收到评审报告后5个工作日内，将评审报告提出的排名第一的成交候选人确定为成交供应商，也可以书面授权谈判小组直接确定成交供应商。采购人逾期未确定成交供应商且不提出异议的，视为确定评审报告提出的排名第一的成交候选人为成交供应商。</w:t>
      </w:r>
    </w:p>
    <w:p w14:paraId="788B9622">
      <w:pPr>
        <w:pStyle w:val="11"/>
        <w:spacing w:line="360" w:lineRule="auto"/>
        <w:ind w:firstLine="420" w:firstLineChars="200"/>
        <w:jc w:val="both"/>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27.2采购代理机构应当在成交供应商确定后2个工作日内，在省级以上财政部门指定的媒体上公告成交结果，同时向成交供应商发出成交通知书。</w:t>
      </w:r>
      <w:r>
        <w:rPr>
          <w:rFonts w:hint="eastAsia" w:ascii="宋体" w:hAnsi="宋体" w:eastAsia="宋体" w:cs="宋体"/>
          <w:b/>
          <w:color w:val="auto"/>
          <w:kern w:val="0"/>
          <w:szCs w:val="21"/>
          <w:highlight w:val="none"/>
        </w:rPr>
        <w:t>采购人或者采购代理机构发出成交通知书前，应当对成交供应商信用进行查询，对列入失信被执行人、重大税收违法案件当事人名单、政府采购严重违法失信行为记录名单及其他不符合《中华人民共和国政府采购法》第二十二条规定条件的供应商，取消其成交资格，并确定排名第二的成交候选人为成交供应商。</w:t>
      </w:r>
      <w:r>
        <w:rPr>
          <w:rFonts w:hint="eastAsia" w:ascii="宋体" w:hAnsi="宋体" w:eastAsia="宋体" w:cs="宋体"/>
          <w:color w:val="auto"/>
          <w:kern w:val="0"/>
          <w:szCs w:val="21"/>
          <w:highlight w:val="none"/>
        </w:rPr>
        <w:t>排名第二的成交候选人因上述规定的同样原因被取消成交资格的，采购人可以确定排名第三的成交候选人为成交供应商。以上信息查询记录及相关证据与谈判文件一并保存。</w:t>
      </w:r>
      <w:r>
        <w:rPr>
          <w:rFonts w:hint="eastAsia" w:ascii="宋体" w:hAnsi="宋体" w:eastAsia="宋体" w:cs="宋体"/>
          <w:color w:val="auto"/>
          <w:szCs w:val="21"/>
          <w:highlight w:val="none"/>
        </w:rPr>
        <w:t>成交供应商享受《政府采购促进中小企业发展管理办法》（财库〔2020〕46号）规定的中小企业扶持政策的，采购人、采购代理机构应当随成交结果公开成交供应商的《中小企业声明函》。</w:t>
      </w:r>
    </w:p>
    <w:p w14:paraId="15CA7976">
      <w:pPr>
        <w:pStyle w:val="11"/>
        <w:spacing w:line="360" w:lineRule="auto"/>
        <w:ind w:firstLine="420" w:firstLineChars="200"/>
        <w:jc w:val="both"/>
        <w:rPr>
          <w:rFonts w:hint="eastAsia" w:ascii="宋体" w:hAnsi="宋体" w:eastAsia="宋体" w:cs="宋体"/>
          <w:color w:val="auto"/>
          <w:szCs w:val="21"/>
          <w:highlight w:val="none"/>
        </w:rPr>
      </w:pPr>
      <w:r>
        <w:rPr>
          <w:rFonts w:hint="eastAsia" w:ascii="宋体" w:hAnsi="宋体" w:eastAsia="宋体" w:cs="宋体"/>
          <w:color w:val="auto"/>
          <w:szCs w:val="21"/>
          <w:highlight w:val="none"/>
        </w:rPr>
        <w:t>27.3出现下列情形之一的，采购人或者采购代理机构应当终止竞争性谈判采购活动，发布项目终止公告并说明原因，重新开展采购活动：</w:t>
      </w:r>
      <w:r>
        <w:rPr>
          <w:rFonts w:hint="eastAsia" w:ascii="宋体" w:hAnsi="宋体" w:eastAsia="宋体" w:cs="宋体"/>
          <w:color w:val="auto"/>
          <w:szCs w:val="21"/>
          <w:highlight w:val="none"/>
        </w:rPr>
        <w:br w:type="textWrapping"/>
      </w:r>
      <w:r>
        <w:rPr>
          <w:rFonts w:hint="eastAsia" w:ascii="宋体" w:hAnsi="宋体" w:eastAsia="宋体" w:cs="宋体"/>
          <w:color w:val="auto"/>
          <w:szCs w:val="21"/>
          <w:highlight w:val="none"/>
        </w:rPr>
        <w:t>　　（一）因情况变化，不再符合规定的竞争性谈判采购方式适用情形的；</w:t>
      </w:r>
      <w:r>
        <w:rPr>
          <w:rFonts w:hint="eastAsia" w:ascii="宋体" w:hAnsi="宋体" w:eastAsia="宋体" w:cs="宋体"/>
          <w:color w:val="auto"/>
          <w:szCs w:val="21"/>
          <w:highlight w:val="none"/>
        </w:rPr>
        <w:br w:type="textWrapping"/>
      </w:r>
      <w:r>
        <w:rPr>
          <w:rFonts w:hint="eastAsia" w:ascii="宋体" w:hAnsi="宋体" w:eastAsia="宋体" w:cs="宋体"/>
          <w:color w:val="auto"/>
          <w:szCs w:val="21"/>
          <w:highlight w:val="none"/>
        </w:rPr>
        <w:t>　　（二）出现影响采购公正的违法、违规行为的；</w:t>
      </w:r>
      <w:r>
        <w:rPr>
          <w:rFonts w:hint="eastAsia" w:ascii="宋体" w:hAnsi="宋体" w:eastAsia="宋体" w:cs="宋体"/>
          <w:color w:val="auto"/>
          <w:szCs w:val="21"/>
          <w:highlight w:val="none"/>
        </w:rPr>
        <w:br w:type="textWrapping"/>
      </w:r>
      <w:r>
        <w:rPr>
          <w:rFonts w:hint="eastAsia" w:ascii="宋体" w:hAnsi="宋体" w:eastAsia="宋体" w:cs="宋体"/>
          <w:color w:val="auto"/>
          <w:szCs w:val="21"/>
          <w:highlight w:val="none"/>
        </w:rPr>
        <w:t>　　（三）在采购过程中符合竞争要求的供应商或者报价未超过采购预算的供应商不足3家的，但“第四章 评审程序和评定成交的标准”第3.7条规定的情形除外。</w:t>
      </w:r>
    </w:p>
    <w:p w14:paraId="47975D56">
      <w:pPr>
        <w:pStyle w:val="11"/>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27.4在采购活动中因重大变故，采购任务取消的，采购人或者采购代理机构应当终止采购活动，通知所有参加采购活动的供应商。</w:t>
      </w:r>
    </w:p>
    <w:p w14:paraId="1B5A3BAD">
      <w:pPr>
        <w:pStyle w:val="11"/>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bCs/>
          <w:color w:val="auto"/>
          <w:szCs w:val="21"/>
          <w:highlight w:val="none"/>
        </w:rPr>
        <w:t>27.5</w:t>
      </w:r>
      <w:r>
        <w:rPr>
          <w:rFonts w:hint="eastAsia" w:ascii="宋体" w:hAnsi="宋体" w:eastAsia="宋体" w:cs="宋体"/>
          <w:color w:val="auto"/>
          <w:szCs w:val="21"/>
          <w:highlight w:val="none"/>
        </w:rPr>
        <w:t>成交供应商拒绝签订政府采购合同（包括但不限于放弃成交、因不可抗力不能履行合同而放弃签订合同），采购人可以按照评审报告推荐的成交候选人名单排序，确定下一候选人为成交供应商，也可以重新开展政府采购活动。拒绝签订政府采购合同的成交供应商不得参加对该项目重新开展的采购活动。</w:t>
      </w:r>
    </w:p>
    <w:p w14:paraId="0DD3D41A">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28.履约保证金</w:t>
      </w:r>
    </w:p>
    <w:p w14:paraId="3834ABA5">
      <w:pPr>
        <w:pStyle w:val="11"/>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szCs w:val="21"/>
          <w:highlight w:val="none"/>
        </w:rPr>
        <w:t>28.1履约保证金的金额、提交方式、退付的时间和条件详见 “供应商须知前附表”。成交供应商未按规定提交履约保证金的，视为拒绝</w:t>
      </w:r>
      <w:r>
        <w:rPr>
          <w:rFonts w:hint="eastAsia" w:ascii="宋体" w:hAnsi="宋体" w:eastAsia="宋体" w:cs="宋体"/>
          <w:color w:val="auto"/>
          <w:highlight w:val="none"/>
        </w:rPr>
        <w:t>与采购人</w:t>
      </w:r>
      <w:r>
        <w:rPr>
          <w:rFonts w:hint="eastAsia" w:ascii="宋体" w:hAnsi="宋体" w:eastAsia="宋体" w:cs="宋体"/>
          <w:color w:val="auto"/>
          <w:szCs w:val="21"/>
          <w:highlight w:val="none"/>
        </w:rPr>
        <w:t>签订合同。</w:t>
      </w:r>
    </w:p>
    <w:p w14:paraId="02073EC5">
      <w:pPr>
        <w:spacing w:line="360" w:lineRule="auto"/>
        <w:ind w:firstLine="424" w:firstLineChars="202"/>
        <w:rPr>
          <w:rFonts w:hint="eastAsia" w:ascii="宋体" w:hAnsi="宋体" w:eastAsia="宋体" w:cs="宋体"/>
          <w:color w:val="auto"/>
          <w:szCs w:val="21"/>
          <w:highlight w:val="none"/>
        </w:rPr>
      </w:pPr>
      <w:r>
        <w:rPr>
          <w:rFonts w:hint="eastAsia" w:ascii="宋体" w:hAnsi="宋体" w:eastAsia="宋体" w:cs="宋体"/>
          <w:color w:val="auto"/>
          <w:szCs w:val="21"/>
          <w:highlight w:val="none"/>
        </w:rPr>
        <w:t>28.2在履约保证金退还日期前，若成交供应商的开户名称、开户银行、帐号有变动的，请以书面形式通知履约保证金收取单位，否则由此产生的后果由成交供应商自负。</w:t>
      </w:r>
    </w:p>
    <w:p w14:paraId="5406F290">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29.签订合同</w:t>
      </w:r>
    </w:p>
    <w:p w14:paraId="5CCBBD9E">
      <w:pPr>
        <w:spacing w:line="360" w:lineRule="auto"/>
        <w:ind w:firstLine="424" w:firstLineChars="202"/>
        <w:rPr>
          <w:rFonts w:hint="eastAsia" w:ascii="宋体" w:hAnsi="宋体" w:eastAsia="宋体" w:cs="宋体"/>
          <w:color w:val="auto"/>
          <w:szCs w:val="21"/>
          <w:highlight w:val="none"/>
        </w:rPr>
      </w:pPr>
      <w:r>
        <w:rPr>
          <w:rFonts w:hint="eastAsia" w:ascii="宋体" w:hAnsi="宋体" w:eastAsia="宋体" w:cs="宋体"/>
          <w:color w:val="auto"/>
          <w:szCs w:val="21"/>
          <w:highlight w:val="none"/>
        </w:rPr>
        <w:t>29.1成交供应商在收到成交通知书（书面或电子）后，按“供应商须知前附表”规定向采购人出示相关证明材料，经采购人核验合格后方可签订合同（书面或电子）。如成交供应商为联合体的，联合体各方应当共同与采购人签订采购合同，就采购合同约定的事项对采购人承担连带责任。</w:t>
      </w:r>
    </w:p>
    <w:p w14:paraId="1FB41677">
      <w:pPr>
        <w:spacing w:line="360" w:lineRule="auto"/>
        <w:ind w:firstLine="424" w:firstLineChars="202"/>
        <w:rPr>
          <w:rFonts w:hint="eastAsia" w:ascii="宋体" w:hAnsi="宋体" w:eastAsia="宋体" w:cs="宋体"/>
          <w:color w:val="auto"/>
          <w:szCs w:val="21"/>
          <w:highlight w:val="none"/>
        </w:rPr>
      </w:pPr>
      <w:r>
        <w:rPr>
          <w:rFonts w:hint="eastAsia" w:ascii="宋体" w:hAnsi="宋体" w:eastAsia="宋体" w:cs="宋体"/>
          <w:color w:val="auto"/>
          <w:szCs w:val="21"/>
          <w:highlight w:val="none"/>
        </w:rPr>
        <w:t>29.2 签订合同时间：按成交通知书的规定与采购人签订政府采购合同（最长不能超过25日）。</w:t>
      </w:r>
    </w:p>
    <w:p w14:paraId="6961D0E0">
      <w:pPr>
        <w:spacing w:line="360" w:lineRule="auto"/>
        <w:ind w:firstLine="424" w:firstLineChars="202"/>
        <w:rPr>
          <w:rFonts w:hint="eastAsia" w:ascii="宋体" w:hAnsi="宋体" w:eastAsia="宋体" w:cs="宋体"/>
          <w:color w:val="auto"/>
          <w:szCs w:val="21"/>
          <w:highlight w:val="none"/>
        </w:rPr>
      </w:pPr>
      <w:r>
        <w:rPr>
          <w:rFonts w:hint="eastAsia" w:ascii="宋体" w:hAnsi="宋体" w:eastAsia="宋体" w:cs="宋体"/>
          <w:color w:val="auto"/>
          <w:szCs w:val="21"/>
          <w:highlight w:val="none"/>
        </w:rPr>
        <w:t>29.3成交供应商拒绝与采购人签订合同的，按照本须知正文第27.5条的规定执行。</w:t>
      </w:r>
    </w:p>
    <w:p w14:paraId="06EE4896">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30.政府采购合同公告</w:t>
      </w:r>
    </w:p>
    <w:p w14:paraId="42E4EFB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根据《中华人民共和国政府采购法实施条例》第五十条规定，采购人应当自政府采购合同签订之日起2个工作日内，将政府采购合同在省级以上人民政府财政部门指定的媒体上公告，但政府采购合同中涉及国家秘密、商业秘密的内容除外。</w:t>
      </w:r>
    </w:p>
    <w:p w14:paraId="509E306A">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31. 询问、质疑和投诉</w:t>
      </w:r>
    </w:p>
    <w:p w14:paraId="2455AD2D">
      <w:pPr>
        <w:pStyle w:val="10"/>
        <w:spacing w:after="120" w:line="360" w:lineRule="auto"/>
        <w:rPr>
          <w:rFonts w:hint="eastAsia" w:ascii="宋体" w:hAnsi="宋体" w:eastAsia="宋体" w:cs="宋体"/>
          <w:color w:val="auto"/>
          <w:szCs w:val="21"/>
          <w:highlight w:val="none"/>
        </w:rPr>
      </w:pPr>
      <w:r>
        <w:rPr>
          <w:rFonts w:hint="eastAsia" w:ascii="宋体" w:hAnsi="宋体" w:eastAsia="宋体" w:cs="宋体"/>
          <w:color w:val="auto"/>
          <w:highlight w:val="none"/>
        </w:rPr>
        <w:t>31.1供应商对政府采购活动事项有疑问的，可以向采购人、采购代理机构提出询问，采购人或者采购代理机构应当在3个工作日内对供应商依法提出的询问作出答复，</w:t>
      </w:r>
      <w:r>
        <w:rPr>
          <w:rFonts w:hint="eastAsia" w:ascii="宋体" w:hAnsi="宋体" w:eastAsia="宋体" w:cs="宋体"/>
          <w:color w:val="auto"/>
          <w:szCs w:val="21"/>
          <w:highlight w:val="none"/>
        </w:rPr>
        <w:t>但答复的内容不得涉及商业秘密。</w:t>
      </w:r>
    </w:p>
    <w:p w14:paraId="2104997B">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31.2供应商认为谈判文件、采购过程或者成交结果使自己的合法权益受到损害的，应当在知道或者应知其权益受到损害之日起7个工作日内，以纸质书面形式向采购人、采购代理机构提出质疑，</w:t>
      </w:r>
      <w:r>
        <w:rPr>
          <w:rFonts w:hint="eastAsia" w:ascii="宋体" w:hAnsi="宋体" w:eastAsia="宋体" w:cs="宋体"/>
          <w:color w:val="auto"/>
          <w:highlight w:val="none"/>
          <w:shd w:val="clear" w:color="auto" w:fill="FFFFFF"/>
        </w:rPr>
        <w:t>接收质疑函的方式、联系部门、联系电话和通讯地址等信息</w:t>
      </w:r>
      <w:r>
        <w:rPr>
          <w:rFonts w:hint="eastAsia" w:ascii="宋体" w:hAnsi="宋体" w:eastAsia="宋体" w:cs="宋体"/>
          <w:color w:val="auto"/>
          <w:szCs w:val="21"/>
          <w:highlight w:val="none"/>
        </w:rPr>
        <w:t>详见“供应商须知前附表”</w:t>
      </w:r>
      <w:r>
        <w:rPr>
          <w:rFonts w:hint="eastAsia" w:ascii="宋体" w:hAnsi="宋体" w:eastAsia="宋体" w:cs="宋体"/>
          <w:color w:val="auto"/>
          <w:highlight w:val="none"/>
        </w:rPr>
        <w:t>。具体质疑起算时间如下：</w:t>
      </w:r>
    </w:p>
    <w:p w14:paraId="1AB715F7">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（1）对可以质疑的谈判文件提出质疑的，为获取谈判文件之日；</w:t>
      </w:r>
    </w:p>
    <w:p w14:paraId="2CB80A6D">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（2）对采购过程提出质疑的，为各采购程序环节结束之日；</w:t>
      </w:r>
    </w:p>
    <w:p w14:paraId="536B92F3">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（3）对成交结果提出质疑的，为成交结果公告期限届满之日。</w:t>
      </w:r>
    </w:p>
    <w:p w14:paraId="26CA9D7C">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31.3供应商提出的询问或者质疑超出采购人对采购代理机构委托授权范围的，采购代理机构应当告知供应商向采购人提出。政府采购评审专家应当配合采购人或者采购代理机构答复供应商的询问和质疑。</w:t>
      </w:r>
    </w:p>
    <w:p w14:paraId="2DB317A6">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31.4供应商提出质疑应当提交质疑函和必要的证明材料，针对同一采购程序环节的质疑必须在法定质疑期内一次性提出。质疑函应当包括下列内容</w:t>
      </w:r>
      <w:r>
        <w:rPr>
          <w:rFonts w:hint="eastAsia" w:ascii="宋体" w:hAnsi="宋体" w:eastAsia="宋体" w:cs="宋体"/>
          <w:bCs/>
          <w:color w:val="auto"/>
          <w:highlight w:val="none"/>
        </w:rPr>
        <w:t>（质疑函格式后附）</w:t>
      </w:r>
      <w:r>
        <w:rPr>
          <w:rFonts w:hint="eastAsia" w:ascii="宋体" w:hAnsi="宋体" w:eastAsia="宋体" w:cs="宋体"/>
          <w:color w:val="auto"/>
          <w:highlight w:val="none"/>
        </w:rPr>
        <w:t>：</w:t>
      </w:r>
    </w:p>
    <w:p w14:paraId="046D1CFC">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（1）供应商的姓名或者名称、地址、邮编、联系人及联系电话；</w:t>
      </w:r>
    </w:p>
    <w:p w14:paraId="2A34CA5F">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（2）质疑项目的名称、编号；</w:t>
      </w:r>
    </w:p>
    <w:p w14:paraId="49DC17C4">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（3）具体、明确的质疑事项和与质疑事项相关的请求；</w:t>
      </w:r>
    </w:p>
    <w:p w14:paraId="3C4AAEFC">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（4）事实依据；</w:t>
      </w:r>
    </w:p>
    <w:p w14:paraId="0B7D9DA4">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（5）必要的法律依据；</w:t>
      </w:r>
    </w:p>
    <w:p w14:paraId="366C57AF">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（6）提出质疑的日期。</w:t>
      </w:r>
    </w:p>
    <w:p w14:paraId="7AC77645">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供应商为自然人的，应当由本人签字；供应商为法人或者其他组织的，应当由法定代表人、主要负责人，或者其委托代理人签字或者盖章，并加盖公章。</w:t>
      </w:r>
    </w:p>
    <w:p w14:paraId="0176E7C6">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31.5采购人、采购代理机构认为供应商质疑不成立，或者成立但未对成交结果构成影响的，继续开展采购活动；认为供应商质疑成立且影响或者可能影响成交结果的，按照下列情况处理：</w:t>
      </w:r>
    </w:p>
    <w:p w14:paraId="4900E5B3">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（1）对采购文件提出的质疑，依法通过澄清或者修改可以继续开展采购活动的，澄清或者修改采购文件后继续开展采购活动；否则应当修改采购文件后重新开展采购活动。</w:t>
      </w:r>
    </w:p>
    <w:p w14:paraId="11A23F57">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（2）对采购过程或者成交结果提出的质疑，合格供应商符合法定数量时，可以从合格的成交候选人中另行确定成交供应商的，应当依法另行确定成交供应商；否则应当重新开展采购活动。</w:t>
      </w:r>
    </w:p>
    <w:p w14:paraId="66EA1189">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质疑答复导致成交结果改变的，采购人或者采购代理机构应当将有关情况书面报告本级财政部门。</w:t>
      </w:r>
    </w:p>
    <w:p w14:paraId="05996292">
      <w:pPr>
        <w:spacing w:line="360" w:lineRule="auto"/>
        <w:ind w:firstLine="420" w:firstLineChars="200"/>
        <w:rPr>
          <w:rFonts w:hint="eastAsia" w:ascii="宋体" w:hAnsi="宋体" w:eastAsia="宋体" w:cs="宋体"/>
          <w:b/>
          <w:bCs/>
          <w:color w:val="auto"/>
          <w:szCs w:val="21"/>
          <w:highlight w:val="none"/>
        </w:rPr>
      </w:pPr>
      <w:r>
        <w:rPr>
          <w:rFonts w:hint="eastAsia" w:ascii="宋体" w:hAnsi="宋体" w:eastAsia="宋体" w:cs="宋体"/>
          <w:color w:val="auto"/>
          <w:highlight w:val="none"/>
        </w:rPr>
        <w:t>31.6质疑供应商对采购人、采购代理机构的答复不满意，或者采购人、采购代理机构未在规定时间内作出答复的，可以在答复期满后15个工作日内向《政府采购质疑和投诉办法》（财政部令第94号）第六条规定的财政部门提起投诉（投诉书格式后附）。</w:t>
      </w:r>
    </w:p>
    <w:p w14:paraId="434F3DBA">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32.其他内容</w:t>
      </w:r>
    </w:p>
    <w:p w14:paraId="7B6E40C7">
      <w:pPr>
        <w:tabs>
          <w:tab w:val="left" w:pos="2835"/>
        </w:tabs>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32.1代理服务费：代理服务收取标准及缴费账户详见“供应商须知前附表”。</w:t>
      </w:r>
    </w:p>
    <w:p w14:paraId="379B1D3A">
      <w:pPr>
        <w:spacing w:line="360" w:lineRule="auto"/>
        <w:ind w:firstLine="482" w:firstLineChars="200"/>
        <w:contextualSpacing/>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33. 需要补充的其他内容</w:t>
      </w:r>
    </w:p>
    <w:p w14:paraId="7F8F8116">
      <w:pPr>
        <w:pStyle w:val="16"/>
        <w:spacing w:line="360" w:lineRule="auto"/>
        <w:ind w:firstLine="420" w:firstLineChars="200"/>
        <w:contextualSpacing/>
        <w:rPr>
          <w:rFonts w:hint="eastAsia" w:ascii="宋体" w:hAnsi="宋体" w:eastAsia="宋体" w:cs="宋体"/>
          <w:color w:val="auto"/>
          <w:sz w:val="21"/>
          <w:highlight w:val="none"/>
        </w:rPr>
      </w:pPr>
      <w:r>
        <w:rPr>
          <w:rFonts w:hint="eastAsia" w:ascii="宋体" w:hAnsi="宋体" w:eastAsia="宋体" w:cs="宋体"/>
          <w:color w:val="auto"/>
          <w:sz w:val="21"/>
          <w:highlight w:val="none"/>
        </w:rPr>
        <w:t>33.1本谈判文件解释规则详见“供应商须知前附表”。</w:t>
      </w:r>
    </w:p>
    <w:p w14:paraId="55094261">
      <w:pPr>
        <w:spacing w:line="360" w:lineRule="auto"/>
        <w:ind w:firstLine="420" w:firstLineChars="200"/>
        <w:contextualSpacing/>
        <w:rPr>
          <w:rFonts w:hint="eastAsia" w:ascii="宋体" w:hAnsi="宋体" w:eastAsia="宋体" w:cs="宋体"/>
          <w:color w:val="auto"/>
          <w:highlight w:val="none"/>
        </w:rPr>
      </w:pPr>
      <w:r>
        <w:rPr>
          <w:rFonts w:hint="eastAsia" w:ascii="宋体" w:hAnsi="宋体" w:eastAsia="宋体" w:cs="宋体"/>
          <w:color w:val="auto"/>
          <w:kern w:val="0"/>
          <w:szCs w:val="21"/>
          <w:highlight w:val="none"/>
        </w:rPr>
        <w:t>33.2 其他事</w:t>
      </w:r>
      <w:r>
        <w:rPr>
          <w:rFonts w:hint="eastAsia" w:ascii="宋体" w:hAnsi="宋体" w:eastAsia="宋体" w:cs="宋体"/>
          <w:color w:val="auto"/>
          <w:highlight w:val="none"/>
        </w:rPr>
        <w:t>项详见“供应商须知前附表”。</w:t>
      </w:r>
    </w:p>
    <w:p w14:paraId="78DECB57">
      <w:pPr>
        <w:pStyle w:val="16"/>
        <w:spacing w:line="360" w:lineRule="auto"/>
        <w:ind w:firstLine="400" w:firstLineChars="200"/>
        <w:contextualSpacing/>
        <w:rPr>
          <w:rFonts w:hint="eastAsia" w:ascii="宋体" w:hAnsi="宋体" w:eastAsia="宋体" w:cs="宋体"/>
          <w:color w:val="auto"/>
          <w:sz w:val="21"/>
          <w:highlight w:val="none"/>
        </w:rPr>
      </w:pPr>
      <w:r>
        <w:rPr>
          <w:rFonts w:hint="eastAsia" w:ascii="宋体" w:hAnsi="宋体" w:eastAsia="宋体" w:cs="宋体"/>
          <w:color w:val="auto"/>
          <w:highlight w:val="none"/>
        </w:rPr>
        <w:t>33.3</w:t>
      </w:r>
      <w:bookmarkStart w:id="40" w:name="_Hlk65857140"/>
      <w:r>
        <w:rPr>
          <w:rFonts w:hint="eastAsia" w:ascii="宋体" w:hAnsi="宋体" w:eastAsia="宋体" w:cs="宋体"/>
          <w:color w:val="auto"/>
          <w:sz w:val="21"/>
          <w:highlight w:val="none"/>
        </w:rPr>
        <w:t>本谈判文件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在政府采购活动中，供应商提供的货物、工程或者服务符合下列情形的，享受本谈判文件规定的中小企业扶持政策：</w:t>
      </w:r>
    </w:p>
    <w:p w14:paraId="38B26B49">
      <w:pPr>
        <w:pStyle w:val="16"/>
        <w:spacing w:line="360" w:lineRule="auto"/>
        <w:ind w:firstLine="420" w:firstLineChars="200"/>
        <w:contextualSpacing/>
        <w:rPr>
          <w:rFonts w:hint="eastAsia" w:ascii="宋体" w:hAnsi="宋体" w:eastAsia="宋体" w:cs="宋体"/>
          <w:color w:val="auto"/>
          <w:sz w:val="21"/>
          <w:highlight w:val="none"/>
        </w:rPr>
      </w:pPr>
      <w:r>
        <w:rPr>
          <w:rFonts w:hint="eastAsia" w:ascii="宋体" w:hAnsi="宋体" w:eastAsia="宋体" w:cs="宋体"/>
          <w:color w:val="auto"/>
          <w:sz w:val="21"/>
          <w:highlight w:val="none"/>
        </w:rPr>
        <w:t>（1）在货物采购项目中，货物由中小企业制造，即货物由中小企业生产且使用该中小企业商号或者注册商标，不对其中涉及的工程承建商和服务的承接商作出要求；</w:t>
      </w:r>
    </w:p>
    <w:p w14:paraId="5FF3A854">
      <w:pPr>
        <w:pStyle w:val="16"/>
        <w:spacing w:line="360" w:lineRule="auto"/>
        <w:ind w:firstLine="420" w:firstLineChars="200"/>
        <w:contextualSpacing/>
        <w:rPr>
          <w:rFonts w:hint="eastAsia" w:ascii="宋体" w:hAnsi="宋体" w:eastAsia="宋体" w:cs="宋体"/>
          <w:color w:val="auto"/>
          <w:sz w:val="21"/>
          <w:highlight w:val="none"/>
        </w:rPr>
      </w:pPr>
      <w:r>
        <w:rPr>
          <w:rFonts w:hint="eastAsia" w:ascii="宋体" w:hAnsi="宋体" w:eastAsia="宋体" w:cs="宋体"/>
          <w:color w:val="auto"/>
          <w:sz w:val="21"/>
          <w:highlight w:val="none"/>
        </w:rPr>
        <w:t>（2）在工程采购项目中，工程由中小企业承建，即工程施工单位为中小企业，不对其中涉及的货物的制造商和服务的承接商作出要求；</w:t>
      </w:r>
    </w:p>
    <w:p w14:paraId="627DE09F">
      <w:pPr>
        <w:pStyle w:val="16"/>
        <w:spacing w:line="360" w:lineRule="auto"/>
        <w:ind w:firstLine="420" w:firstLineChars="200"/>
        <w:contextualSpacing/>
        <w:rPr>
          <w:rFonts w:hint="eastAsia" w:ascii="宋体" w:hAnsi="宋体" w:eastAsia="宋体" w:cs="宋体"/>
          <w:color w:val="auto"/>
          <w:sz w:val="21"/>
          <w:highlight w:val="none"/>
        </w:rPr>
      </w:pPr>
      <w:r>
        <w:rPr>
          <w:rFonts w:hint="eastAsia" w:ascii="宋体" w:hAnsi="宋体" w:eastAsia="宋体" w:cs="宋体"/>
          <w:color w:val="auto"/>
          <w:sz w:val="21"/>
          <w:highlight w:val="none"/>
        </w:rPr>
        <w:t>（3）在服务采购项目中，服务由中小企业承接，即提供服务的人员为中小企业依照《中华人民共和国劳动合同法》订立劳动合同的从业人员，不对其中涉及的货物的制造商和工程承建商作出要求。</w:t>
      </w:r>
    </w:p>
    <w:p w14:paraId="6120C4B3">
      <w:pPr>
        <w:pStyle w:val="16"/>
        <w:spacing w:line="360" w:lineRule="auto"/>
        <w:ind w:firstLine="420" w:firstLineChars="200"/>
        <w:contextualSpacing/>
        <w:rPr>
          <w:rFonts w:hint="eastAsia" w:ascii="宋体" w:hAnsi="宋体" w:eastAsia="宋体" w:cs="宋体"/>
          <w:color w:val="auto"/>
          <w:sz w:val="21"/>
          <w:highlight w:val="none"/>
        </w:rPr>
      </w:pPr>
      <w:r>
        <w:rPr>
          <w:rFonts w:hint="eastAsia" w:ascii="宋体" w:hAnsi="宋体" w:eastAsia="宋体" w:cs="宋体"/>
          <w:color w:val="auto"/>
          <w:sz w:val="21"/>
          <w:highlight w:val="none"/>
        </w:rPr>
        <w:t>在货物采购项目中，供应商提供的货物既有中小企业制造货物，也有大型企业制造货物的，不享受本谈判文件规定的中小企业扶持政策。以联合体形式参加政府采购活动，联合体各方均为中小企业的，联合体视同中小企业。其中，联合体各方均为小微企业的，联合体视同小微企业。</w:t>
      </w:r>
    </w:p>
    <w:p w14:paraId="03969696">
      <w:pPr>
        <w:spacing w:line="360" w:lineRule="auto"/>
        <w:ind w:firstLine="420" w:firstLineChars="200"/>
        <w:contextualSpacing/>
        <w:rPr>
          <w:rFonts w:hint="eastAsia" w:ascii="宋体" w:hAnsi="宋体" w:eastAsia="宋体" w:cs="宋体"/>
          <w:color w:val="auto"/>
          <w:highlight w:val="none"/>
        </w:rPr>
      </w:pPr>
      <w:r>
        <w:rPr>
          <w:rFonts w:hint="eastAsia" w:ascii="宋体" w:hAnsi="宋体" w:eastAsia="宋体" w:cs="宋体"/>
          <w:color w:val="auto"/>
          <w:highlight w:val="none"/>
        </w:rPr>
        <w:t>依据本谈判文件规定享受扶持政策获得政府采购合同的，小微企业不得将合同分包给大中型企业，中型企业不得将合同分包给大型企业。</w:t>
      </w:r>
      <w:bookmarkEnd w:id="40"/>
    </w:p>
    <w:p w14:paraId="57BE3FE9">
      <w:pPr>
        <w:pStyle w:val="16"/>
        <w:numPr>
          <w:ilvl w:val="0"/>
          <w:numId w:val="0"/>
        </w:numPr>
        <w:spacing w:line="360" w:lineRule="auto"/>
        <w:ind w:firstLine="402" w:firstLineChars="200"/>
        <w:textAlignment w:val="center"/>
        <w:rPr>
          <w:rFonts w:hint="eastAsia" w:ascii="宋体" w:hAnsi="宋体" w:eastAsia="宋体" w:cs="宋体"/>
        </w:rPr>
      </w:pPr>
      <w:r>
        <w:rPr>
          <w:rFonts w:hint="eastAsia" w:ascii="宋体" w:hAnsi="宋体" w:eastAsia="宋体" w:cs="宋体"/>
          <w:b/>
          <w:kern w:val="0"/>
          <w:sz w:val="20"/>
          <w:szCs w:val="21"/>
          <w:lang w:val="en-US" w:eastAsia="zh-CN" w:bidi="ar-SA"/>
        </w:rPr>
        <w:br w:type="page"/>
      </w:r>
    </w:p>
    <w:p w14:paraId="5066415D">
      <w:pPr>
        <w:pStyle w:val="4"/>
        <w:spacing w:line="360" w:lineRule="auto"/>
        <w:jc w:val="center"/>
        <w:rPr>
          <w:rFonts w:hint="eastAsia" w:ascii="宋体" w:hAnsi="宋体" w:eastAsia="宋体" w:cs="宋体"/>
          <w:color w:val="auto"/>
          <w:sz w:val="32"/>
          <w:szCs w:val="32"/>
          <w:highlight w:val="none"/>
        </w:rPr>
      </w:pPr>
      <w:bookmarkStart w:id="41" w:name="_Toc26837"/>
      <w:bookmarkStart w:id="42" w:name="_Toc27253"/>
      <w:bookmarkStart w:id="43" w:name="_Toc13290"/>
      <w:r>
        <w:rPr>
          <w:rFonts w:hint="eastAsia" w:ascii="宋体" w:hAnsi="宋体" w:eastAsia="宋体" w:cs="宋体"/>
          <w:color w:val="auto"/>
          <w:highlight w:val="none"/>
        </w:rPr>
        <w:t>第三章 采购需求</w:t>
      </w:r>
      <w:bookmarkEnd w:id="41"/>
      <w:bookmarkEnd w:id="42"/>
      <w:bookmarkEnd w:id="43"/>
    </w:p>
    <w:p w14:paraId="58E1A94D">
      <w:pPr>
        <w:spacing w:line="360" w:lineRule="auto"/>
        <w:jc w:val="left"/>
        <w:rPr>
          <w:rFonts w:hint="eastAsia" w:ascii="宋体" w:hAnsi="宋体" w:eastAsia="宋体" w:cs="宋体"/>
          <w:b/>
          <w:color w:val="auto"/>
          <w:szCs w:val="21"/>
          <w:highlight w:val="none"/>
        </w:rPr>
      </w:pPr>
      <w:bookmarkStart w:id="44" w:name="_Hlk48036094"/>
      <w:r>
        <w:rPr>
          <w:rFonts w:hint="eastAsia" w:ascii="宋体" w:hAnsi="宋体" w:eastAsia="宋体" w:cs="宋体"/>
          <w:b/>
          <w:color w:val="auto"/>
          <w:szCs w:val="21"/>
          <w:highlight w:val="none"/>
        </w:rPr>
        <w:t>说明：</w:t>
      </w:r>
    </w:p>
    <w:p w14:paraId="15838D58">
      <w:pPr>
        <w:spacing w:line="360" w:lineRule="auto"/>
        <w:ind w:firstLine="422" w:firstLineChars="200"/>
        <w:jc w:val="left"/>
        <w:rPr>
          <w:rFonts w:hint="eastAsia" w:ascii="宋体" w:hAnsi="宋体" w:eastAsia="宋体" w:cs="宋体"/>
          <w:b/>
          <w:bCs/>
          <w:color w:val="auto"/>
          <w:highlight w:val="none"/>
        </w:rPr>
      </w:pPr>
      <w:r>
        <w:rPr>
          <w:rFonts w:hint="eastAsia" w:ascii="宋体" w:hAnsi="宋体" w:eastAsia="宋体" w:cs="宋体"/>
          <w:b/>
          <w:bCs/>
          <w:color w:val="auto"/>
          <w:highlight w:val="none"/>
        </w:rPr>
        <w:t>1.为落实政府采购政策需满足的要求</w:t>
      </w:r>
    </w:p>
    <w:p w14:paraId="17A6B0E5">
      <w:pPr>
        <w:spacing w:line="360" w:lineRule="auto"/>
        <w:ind w:firstLine="422" w:firstLineChars="200"/>
        <w:jc w:val="left"/>
        <w:rPr>
          <w:rFonts w:hint="eastAsia" w:ascii="宋体" w:hAnsi="宋体" w:eastAsia="宋体" w:cs="宋体"/>
          <w:b/>
          <w:bCs/>
          <w:color w:val="auto"/>
          <w:highlight w:val="none"/>
        </w:rPr>
      </w:pPr>
      <w:r>
        <w:rPr>
          <w:rFonts w:hint="eastAsia" w:ascii="宋体" w:hAnsi="宋体" w:eastAsia="宋体" w:cs="宋体"/>
          <w:b/>
          <w:bCs/>
          <w:color w:val="auto"/>
          <w:highlight w:val="none"/>
        </w:rPr>
        <w:t>（1）本竞争性谈判采购文件所称中小企业必须符合《政府采购促进中小企业发展管理办法》（财库〔2020〕46号）的规定。</w:t>
      </w:r>
    </w:p>
    <w:p w14:paraId="5E2212D7">
      <w:pPr>
        <w:spacing w:line="360" w:lineRule="auto"/>
        <w:ind w:firstLine="422" w:firstLineChars="200"/>
        <w:jc w:val="left"/>
        <w:rPr>
          <w:rFonts w:hint="eastAsia" w:ascii="宋体" w:hAnsi="宋体" w:eastAsia="宋体" w:cs="宋体"/>
          <w:b/>
          <w:bCs/>
          <w:color w:val="auto"/>
          <w:highlight w:val="none"/>
        </w:rPr>
      </w:pPr>
      <w:r>
        <w:rPr>
          <w:rFonts w:hint="eastAsia" w:ascii="宋体" w:hAnsi="宋体" w:eastAsia="宋体" w:cs="宋体"/>
          <w:b/>
          <w:bCs/>
          <w:color w:val="auto"/>
          <w:highlight w:val="none"/>
        </w:rPr>
        <w:t>2.“实质性要求”是指采购需求中带“▲”的条款或者不能负偏离的条款或者已经指明不满足按响应文件作无效处理的条款。</w:t>
      </w:r>
    </w:p>
    <w:p w14:paraId="64D1E612">
      <w:pPr>
        <w:spacing w:line="360" w:lineRule="auto"/>
        <w:ind w:firstLine="422" w:firstLineChars="200"/>
        <w:jc w:val="left"/>
        <w:rPr>
          <w:rFonts w:hint="eastAsia" w:ascii="宋体" w:hAnsi="宋体" w:eastAsia="宋体" w:cs="宋体"/>
          <w:b/>
          <w:bCs/>
          <w:color w:val="auto"/>
          <w:highlight w:val="none"/>
        </w:rPr>
      </w:pPr>
      <w:r>
        <w:rPr>
          <w:rFonts w:hint="eastAsia" w:ascii="宋体" w:hAnsi="宋体" w:eastAsia="宋体" w:cs="宋体"/>
          <w:b/>
          <w:bCs/>
          <w:color w:val="auto"/>
          <w:highlight w:val="none"/>
        </w:rPr>
        <w:t>3.供应商必须自行为其竞标产品侵犯他人的知识产权或者专利成果的行为承担相应法律责任。</w:t>
      </w:r>
    </w:p>
    <w:p w14:paraId="1838E12A">
      <w:pPr>
        <w:spacing w:line="360" w:lineRule="auto"/>
        <w:ind w:firstLine="422" w:firstLineChars="200"/>
        <w:jc w:val="left"/>
        <w:rPr>
          <w:rFonts w:hint="eastAsia" w:ascii="宋体" w:hAnsi="宋体" w:eastAsia="宋体" w:cs="宋体"/>
          <w:bCs/>
          <w:color w:val="auto"/>
          <w:szCs w:val="21"/>
          <w:highlight w:val="none"/>
          <w:u w:val="single"/>
        </w:rPr>
      </w:pPr>
      <w:r>
        <w:rPr>
          <w:rFonts w:hint="eastAsia" w:ascii="宋体" w:hAnsi="宋体" w:eastAsia="宋体" w:cs="宋体"/>
          <w:b/>
          <w:color w:val="auto"/>
          <w:szCs w:val="21"/>
          <w:highlight w:val="none"/>
        </w:rPr>
        <w:t>4.本项目中小企业划分标准所属行业名称：建筑业。</w:t>
      </w:r>
    </w:p>
    <w:tbl>
      <w:tblPr>
        <w:tblStyle w:val="23"/>
        <w:tblW w:w="968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48"/>
        <w:gridCol w:w="977"/>
        <w:gridCol w:w="933"/>
        <w:gridCol w:w="7124"/>
      </w:tblGrid>
      <w:tr w14:paraId="26585D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24" w:hRule="atLeast"/>
          <w:jc w:val="center"/>
        </w:trPr>
        <w:tc>
          <w:tcPr>
            <w:tcW w:w="648" w:type="dxa"/>
            <w:noWrap w:val="0"/>
            <w:vAlign w:val="center"/>
          </w:tcPr>
          <w:p w14:paraId="007DEFEC">
            <w:pPr>
              <w:keepNext w:val="0"/>
              <w:keepLines w:val="0"/>
              <w:pageBreakBefore w:val="0"/>
              <w:widowControl w:val="0"/>
              <w:tabs>
                <w:tab w:val="left" w:pos="180"/>
                <w:tab w:val="left" w:pos="1620"/>
              </w:tabs>
              <w:kinsoku/>
              <w:wordWrap/>
              <w:overflowPunct/>
              <w:topLinePunct w:val="0"/>
              <w:autoSpaceDE/>
              <w:autoSpaceDN/>
              <w:bidi w:val="0"/>
              <w:spacing w:line="360" w:lineRule="auto"/>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序号</w:t>
            </w:r>
          </w:p>
        </w:tc>
        <w:tc>
          <w:tcPr>
            <w:tcW w:w="977" w:type="dxa"/>
            <w:noWrap w:val="0"/>
            <w:vAlign w:val="center"/>
          </w:tcPr>
          <w:p w14:paraId="4084BCD7">
            <w:pPr>
              <w:keepNext w:val="0"/>
              <w:keepLines w:val="0"/>
              <w:pageBreakBefore w:val="0"/>
              <w:widowControl w:val="0"/>
              <w:tabs>
                <w:tab w:val="left" w:pos="180"/>
                <w:tab w:val="left" w:pos="1620"/>
              </w:tabs>
              <w:kinsoku/>
              <w:wordWrap/>
              <w:overflowPunct/>
              <w:topLinePunct w:val="0"/>
              <w:autoSpaceDE/>
              <w:autoSpaceDN/>
              <w:bidi w:val="0"/>
              <w:spacing w:line="360" w:lineRule="auto"/>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标的的名称</w:t>
            </w:r>
          </w:p>
        </w:tc>
        <w:tc>
          <w:tcPr>
            <w:tcW w:w="933" w:type="dxa"/>
            <w:noWrap w:val="0"/>
            <w:vAlign w:val="center"/>
          </w:tcPr>
          <w:p w14:paraId="6C3E1636">
            <w:pPr>
              <w:keepNext w:val="0"/>
              <w:keepLines w:val="0"/>
              <w:pageBreakBefore w:val="0"/>
              <w:widowControl w:val="0"/>
              <w:tabs>
                <w:tab w:val="left" w:pos="180"/>
                <w:tab w:val="left" w:pos="1620"/>
              </w:tabs>
              <w:kinsoku/>
              <w:wordWrap/>
              <w:overflowPunct/>
              <w:topLinePunct w:val="0"/>
              <w:autoSpaceDE/>
              <w:autoSpaceDN/>
              <w:bidi w:val="0"/>
              <w:spacing w:line="360" w:lineRule="auto"/>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数量及单位</w:t>
            </w:r>
          </w:p>
        </w:tc>
        <w:tc>
          <w:tcPr>
            <w:tcW w:w="7124" w:type="dxa"/>
            <w:noWrap w:val="0"/>
            <w:vAlign w:val="center"/>
          </w:tcPr>
          <w:p w14:paraId="5CDA396D">
            <w:pPr>
              <w:keepNext w:val="0"/>
              <w:keepLines w:val="0"/>
              <w:pageBreakBefore w:val="0"/>
              <w:widowControl w:val="0"/>
              <w:tabs>
                <w:tab w:val="left" w:pos="180"/>
                <w:tab w:val="left" w:pos="1620"/>
              </w:tabs>
              <w:kinsoku/>
              <w:wordWrap/>
              <w:overflowPunct/>
              <w:topLinePunct w:val="0"/>
              <w:autoSpaceDE/>
              <w:autoSpaceDN/>
              <w:bidi w:val="0"/>
              <w:spacing w:line="360" w:lineRule="auto"/>
              <w:jc w:val="center"/>
              <w:textAlignment w:val="auto"/>
              <w:rPr>
                <w:rFonts w:hint="eastAsia" w:ascii="宋体" w:hAnsi="宋体" w:eastAsia="宋体" w:cs="宋体"/>
                <w:color w:val="auto"/>
                <w:szCs w:val="21"/>
                <w:highlight w:val="none"/>
              </w:rPr>
            </w:pPr>
            <w:r>
              <w:rPr>
                <w:rFonts w:hint="eastAsia" w:ascii="宋体" w:hAnsi="宋体" w:eastAsia="宋体" w:cs="宋体"/>
                <w:color w:val="auto"/>
                <w:kern w:val="0"/>
                <w:sz w:val="24"/>
                <w:szCs w:val="24"/>
                <w:highlight w:val="none"/>
                <w:lang w:eastAsia="zh-CN"/>
              </w:rPr>
              <w:t>技</w:t>
            </w:r>
            <w:r>
              <w:rPr>
                <w:rFonts w:hint="eastAsia" w:ascii="宋体" w:hAnsi="宋体" w:eastAsia="宋体" w:cs="宋体"/>
                <w:color w:val="auto"/>
                <w:kern w:val="0"/>
                <w:sz w:val="24"/>
                <w:szCs w:val="24"/>
                <w:highlight w:val="none"/>
                <w:lang w:val="en-US" w:eastAsia="zh-CN"/>
              </w:rPr>
              <w:t>术</w:t>
            </w:r>
            <w:r>
              <w:rPr>
                <w:rFonts w:hint="eastAsia" w:ascii="宋体" w:hAnsi="宋体" w:eastAsia="宋体" w:cs="宋体"/>
                <w:color w:val="auto"/>
                <w:kern w:val="0"/>
                <w:sz w:val="24"/>
                <w:szCs w:val="24"/>
                <w:highlight w:val="none"/>
              </w:rPr>
              <w:t>需求</w:t>
            </w:r>
          </w:p>
        </w:tc>
      </w:tr>
      <w:tr w14:paraId="5656F8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15" w:hRule="atLeast"/>
          <w:jc w:val="center"/>
        </w:trPr>
        <w:tc>
          <w:tcPr>
            <w:tcW w:w="648" w:type="dxa"/>
            <w:noWrap w:val="0"/>
            <w:vAlign w:val="center"/>
          </w:tcPr>
          <w:p w14:paraId="03611BCC">
            <w:pPr>
              <w:keepNext w:val="0"/>
              <w:keepLines w:val="0"/>
              <w:pageBreakBefore w:val="0"/>
              <w:widowControl w:val="0"/>
              <w:tabs>
                <w:tab w:val="left" w:pos="180"/>
                <w:tab w:val="left" w:pos="1620"/>
              </w:tabs>
              <w:kinsoku/>
              <w:wordWrap/>
              <w:overflowPunct/>
              <w:topLinePunct w:val="0"/>
              <w:autoSpaceDE/>
              <w:autoSpaceDN/>
              <w:bidi w:val="0"/>
              <w:spacing w:line="360" w:lineRule="auto"/>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977" w:type="dxa"/>
            <w:noWrap w:val="0"/>
            <w:vAlign w:val="center"/>
          </w:tcPr>
          <w:p w14:paraId="4273B312">
            <w:pPr>
              <w:keepNext w:val="0"/>
              <w:keepLines w:val="0"/>
              <w:pageBreakBefore w:val="0"/>
              <w:widowControl w:val="0"/>
              <w:tabs>
                <w:tab w:val="left" w:pos="180"/>
                <w:tab w:val="left" w:pos="1620"/>
              </w:tabs>
              <w:kinsoku/>
              <w:wordWrap/>
              <w:overflowPunct/>
              <w:topLinePunct w:val="0"/>
              <w:autoSpaceDE/>
              <w:autoSpaceDN/>
              <w:bidi w:val="0"/>
              <w:spacing w:line="360" w:lineRule="auto"/>
              <w:jc w:val="center"/>
              <w:textAlignment w:val="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2026年安石镇禁山村委根竹塘至禁山村道路硬化工程</w:t>
            </w:r>
          </w:p>
        </w:tc>
        <w:tc>
          <w:tcPr>
            <w:tcW w:w="933" w:type="dxa"/>
            <w:noWrap w:val="0"/>
            <w:vAlign w:val="center"/>
          </w:tcPr>
          <w:p w14:paraId="0713D49F">
            <w:pPr>
              <w:keepNext w:val="0"/>
              <w:keepLines w:val="0"/>
              <w:pageBreakBefore w:val="0"/>
              <w:widowControl w:val="0"/>
              <w:tabs>
                <w:tab w:val="left" w:pos="180"/>
                <w:tab w:val="left" w:pos="1620"/>
              </w:tabs>
              <w:kinsoku/>
              <w:wordWrap/>
              <w:overflowPunct/>
              <w:topLinePunct w:val="0"/>
              <w:autoSpaceDE/>
              <w:autoSpaceDN/>
              <w:bidi w:val="0"/>
              <w:spacing w:line="360" w:lineRule="auto"/>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1项</w:t>
            </w:r>
          </w:p>
        </w:tc>
        <w:tc>
          <w:tcPr>
            <w:tcW w:w="7124" w:type="dxa"/>
            <w:noWrap w:val="0"/>
            <w:vAlign w:val="center"/>
          </w:tcPr>
          <w:p w14:paraId="60FA8AD5">
            <w:pPr>
              <w:pStyle w:val="27"/>
              <w:keepNext w:val="0"/>
              <w:keepLines w:val="0"/>
              <w:pageBreakBefore w:val="0"/>
              <w:widowControl w:val="0"/>
              <w:numPr>
                <w:ilvl w:val="0"/>
                <w:numId w:val="0"/>
              </w:numPr>
              <w:kinsoku/>
              <w:wordWrap/>
              <w:overflowPunct/>
              <w:topLinePunct w:val="0"/>
              <w:autoSpaceDE/>
              <w:autoSpaceDN/>
              <w:bidi w:val="0"/>
              <w:spacing w:line="360" w:lineRule="auto"/>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1、工程内容：2026年安石镇禁山村委根竹塘至禁山村道路硬化工程，具体以工程量清单及图纸为准。</w:t>
            </w:r>
          </w:p>
          <w:p w14:paraId="7FBEE2C0">
            <w:pPr>
              <w:pStyle w:val="27"/>
              <w:keepNext w:val="0"/>
              <w:keepLines w:val="0"/>
              <w:pageBreakBefore w:val="0"/>
              <w:widowControl w:val="0"/>
              <w:numPr>
                <w:ilvl w:val="0"/>
                <w:numId w:val="0"/>
              </w:numPr>
              <w:kinsoku/>
              <w:wordWrap/>
              <w:overflowPunct/>
              <w:topLinePunct w:val="0"/>
              <w:autoSpaceDE/>
              <w:autoSpaceDN/>
              <w:bidi w:val="0"/>
              <w:spacing w:line="360" w:lineRule="auto"/>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2、工程建设地点：广西壮族自治区钦州市浦北县</w:t>
            </w:r>
          </w:p>
          <w:p w14:paraId="2CA68716">
            <w:pPr>
              <w:pStyle w:val="27"/>
              <w:keepNext w:val="0"/>
              <w:keepLines w:val="0"/>
              <w:pageBreakBefore w:val="0"/>
              <w:widowControl w:val="0"/>
              <w:numPr>
                <w:ilvl w:val="0"/>
                <w:numId w:val="0"/>
              </w:numPr>
              <w:kinsoku/>
              <w:wordWrap/>
              <w:overflowPunct/>
              <w:topLinePunct w:val="0"/>
              <w:autoSpaceDE/>
              <w:autoSpaceDN/>
              <w:bidi w:val="0"/>
              <w:spacing w:line="360" w:lineRule="auto"/>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▲3、工期：120日历天。</w:t>
            </w:r>
          </w:p>
          <w:p w14:paraId="6E0508CD">
            <w:pPr>
              <w:pStyle w:val="27"/>
              <w:keepNext w:val="0"/>
              <w:keepLines w:val="0"/>
              <w:pageBreakBefore w:val="0"/>
              <w:widowControl w:val="0"/>
              <w:numPr>
                <w:ilvl w:val="0"/>
                <w:numId w:val="0"/>
              </w:numPr>
              <w:kinsoku/>
              <w:wordWrap/>
              <w:overflowPunct/>
              <w:topLinePunct w:val="0"/>
              <w:autoSpaceDE/>
              <w:autoSpaceDN/>
              <w:bidi w:val="0"/>
              <w:spacing w:line="360" w:lineRule="auto"/>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▲4、安全要求：无安全生产责任事故。</w:t>
            </w:r>
          </w:p>
          <w:p w14:paraId="2626F334">
            <w:pPr>
              <w:pStyle w:val="27"/>
              <w:keepNext w:val="0"/>
              <w:keepLines w:val="0"/>
              <w:pageBreakBefore w:val="0"/>
              <w:widowControl w:val="0"/>
              <w:numPr>
                <w:ilvl w:val="0"/>
                <w:numId w:val="0"/>
              </w:numPr>
              <w:kinsoku/>
              <w:wordWrap/>
              <w:overflowPunct/>
              <w:topLinePunct w:val="0"/>
              <w:autoSpaceDE/>
              <w:autoSpaceDN/>
              <w:bidi w:val="0"/>
              <w:spacing w:line="360" w:lineRule="auto"/>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5、建设标准：执行国家现行的有关的工程建设标准、技术规范及强制性标准条文、以及施工图纸载明的其他有关规范标准。</w:t>
            </w:r>
          </w:p>
          <w:p w14:paraId="121A3C74">
            <w:pPr>
              <w:pStyle w:val="27"/>
              <w:keepNext w:val="0"/>
              <w:keepLines w:val="0"/>
              <w:pageBreakBefore w:val="0"/>
              <w:widowControl w:val="0"/>
              <w:numPr>
                <w:ilvl w:val="0"/>
                <w:numId w:val="0"/>
              </w:numPr>
              <w:kinsoku/>
              <w:wordWrap/>
              <w:overflowPunct/>
              <w:topLinePunct w:val="0"/>
              <w:autoSpaceDE/>
              <w:autoSpaceDN/>
              <w:bidi w:val="0"/>
              <w:spacing w:line="360" w:lineRule="auto"/>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6、质量要求：达到现行国家验收规范合格标准。</w:t>
            </w:r>
          </w:p>
          <w:p w14:paraId="78DC2426">
            <w:pPr>
              <w:pStyle w:val="27"/>
              <w:keepNext w:val="0"/>
              <w:keepLines w:val="0"/>
              <w:pageBreakBefore w:val="0"/>
              <w:widowControl w:val="0"/>
              <w:numPr>
                <w:ilvl w:val="0"/>
                <w:numId w:val="0"/>
              </w:numPr>
              <w:kinsoku/>
              <w:wordWrap/>
              <w:overflowPunct/>
              <w:topLinePunct w:val="0"/>
              <w:autoSpaceDE/>
              <w:autoSpaceDN/>
              <w:bidi w:val="0"/>
              <w:spacing w:line="360" w:lineRule="auto"/>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▲7、质保期：竣工验收后1年：</w:t>
            </w:r>
          </w:p>
          <w:p w14:paraId="0759DEBD">
            <w:pPr>
              <w:pStyle w:val="27"/>
              <w:keepNext w:val="0"/>
              <w:keepLines w:val="0"/>
              <w:pageBreakBefore w:val="0"/>
              <w:widowControl w:val="0"/>
              <w:numPr>
                <w:ilvl w:val="0"/>
                <w:numId w:val="0"/>
              </w:numPr>
              <w:kinsoku/>
              <w:wordWrap/>
              <w:overflowPunct/>
              <w:topLinePunct w:val="0"/>
              <w:autoSpaceDE/>
              <w:autoSpaceDN/>
              <w:bidi w:val="0"/>
              <w:spacing w:line="360" w:lineRule="auto"/>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▲8、付款方式：</w:t>
            </w:r>
          </w:p>
          <w:p w14:paraId="763657E8">
            <w:pPr>
              <w:pStyle w:val="27"/>
              <w:keepNext w:val="0"/>
              <w:keepLines w:val="0"/>
              <w:pageBreakBefore w:val="0"/>
              <w:widowControl w:val="0"/>
              <w:numPr>
                <w:ilvl w:val="0"/>
                <w:numId w:val="0"/>
              </w:numPr>
              <w:kinsoku/>
              <w:wordWrap/>
              <w:overflowPunct/>
              <w:topLinePunct w:val="0"/>
              <w:autoSpaceDE/>
              <w:autoSpaceDN/>
              <w:bidi w:val="0"/>
              <w:spacing w:line="360" w:lineRule="auto"/>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(1)预付款:工程预付款的总金额为签约合同价的30%(需按要求缴纳农民工保证金和开具相应的履约保函以及意外险、工伤险方可支付预付款)。</w:t>
            </w:r>
          </w:p>
          <w:p w14:paraId="28EEEB79">
            <w:pPr>
              <w:pStyle w:val="27"/>
              <w:keepNext w:val="0"/>
              <w:keepLines w:val="0"/>
              <w:pageBreakBefore w:val="0"/>
              <w:widowControl w:val="0"/>
              <w:numPr>
                <w:ilvl w:val="0"/>
                <w:numId w:val="0"/>
              </w:numPr>
              <w:kinsoku/>
              <w:wordWrap/>
              <w:overflowPunct/>
              <w:topLinePunct w:val="0"/>
              <w:autoSpaceDE/>
              <w:autoSpaceDN/>
              <w:bidi w:val="0"/>
              <w:spacing w:line="360" w:lineRule="auto"/>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每个付款周期按实际完成工程量的90%，依据监理报告支付工程进度款。工程完工验收达到质量要求，结算经浦北县有资质审计机构审定后，工程款支付至结算总价的97%(不得低于97%)。发包人按工程价款结算总额的3%，预留工程质量保证金。质量保证金待工程质量保修期满且无质量问题后按规</w:t>
            </w:r>
          </w:p>
        </w:tc>
      </w:tr>
      <w:bookmarkEnd w:id="44"/>
      <w:tr w14:paraId="7AD883C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682" w:type="dxa"/>
            <w:gridSpan w:val="4"/>
            <w:tcBorders>
              <w:top w:val="single" w:color="auto" w:sz="4" w:space="0"/>
              <w:left w:val="single" w:color="auto" w:sz="4" w:space="0"/>
              <w:bottom w:val="single" w:color="auto" w:sz="4" w:space="0"/>
              <w:right w:val="single" w:color="auto" w:sz="4" w:space="0"/>
            </w:tcBorders>
            <w:noWrap w:val="0"/>
            <w:vAlign w:val="top"/>
          </w:tcPr>
          <w:p w14:paraId="324EF5CE">
            <w:pPr>
              <w:keepNext w:val="0"/>
              <w:keepLines w:val="0"/>
              <w:pageBreakBefore w:val="0"/>
              <w:widowControl w:val="0"/>
              <w:kinsoku/>
              <w:wordWrap/>
              <w:overflowPunct/>
              <w:topLinePunct w:val="0"/>
              <w:autoSpaceDE/>
              <w:autoSpaceDN/>
              <w:bidi w:val="0"/>
              <w:spacing w:line="360" w:lineRule="auto"/>
              <w:textAlignment w:val="auto"/>
              <w:rPr>
                <w:rFonts w:hint="eastAsia" w:ascii="宋体" w:hAnsi="宋体" w:eastAsia="宋体" w:cs="宋体"/>
                <w:color w:val="auto"/>
                <w:szCs w:val="21"/>
                <w:highlight w:val="none"/>
              </w:rPr>
            </w:pPr>
            <w:r>
              <w:rPr>
                <w:rFonts w:hint="eastAsia" w:ascii="宋体" w:hAnsi="宋体" w:eastAsia="宋体" w:cs="宋体"/>
                <w:b/>
                <w:color w:val="auto"/>
                <w:szCs w:val="21"/>
                <w:highlight w:val="none"/>
              </w:rPr>
              <w:t>商务要求</w:t>
            </w:r>
          </w:p>
        </w:tc>
      </w:tr>
      <w:tr w14:paraId="5074CEA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682" w:type="dxa"/>
            <w:gridSpan w:val="4"/>
            <w:tcBorders>
              <w:top w:val="single" w:color="auto" w:sz="4" w:space="0"/>
              <w:left w:val="single" w:color="auto" w:sz="4" w:space="0"/>
              <w:bottom w:val="single" w:color="auto" w:sz="4" w:space="0"/>
              <w:right w:val="single" w:color="auto" w:sz="4" w:space="0"/>
            </w:tcBorders>
            <w:noWrap w:val="0"/>
            <w:vAlign w:val="center"/>
          </w:tcPr>
          <w:p w14:paraId="58CC6C86">
            <w:pPr>
              <w:keepNext w:val="0"/>
              <w:keepLines w:val="0"/>
              <w:pageBreakBefore w:val="0"/>
              <w:widowControl w:val="0"/>
              <w:numPr>
                <w:ilvl w:val="0"/>
                <w:numId w:val="0"/>
              </w:numPr>
              <w:kinsoku/>
              <w:wordWrap/>
              <w:overflowPunct/>
              <w:topLinePunct w:val="0"/>
              <w:autoSpaceDE/>
              <w:autoSpaceDN/>
              <w:bidi w:val="0"/>
              <w:spacing w:line="360" w:lineRule="auto"/>
              <w:ind w:leftChars="0"/>
              <w:textAlignment w:val="auto"/>
              <w:rPr>
                <w:rFonts w:hint="eastAsia" w:ascii="宋体" w:hAnsi="宋体" w:eastAsia="宋体" w:cs="宋体"/>
                <w:bCs/>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一、合同签订时间：</w:t>
            </w:r>
            <w:r>
              <w:rPr>
                <w:rFonts w:hint="eastAsia" w:ascii="宋体" w:hAnsi="宋体" w:eastAsia="宋体" w:cs="宋体"/>
                <w:color w:val="auto"/>
                <w:szCs w:val="21"/>
                <w:highlight w:val="none"/>
                <w:lang w:eastAsia="zh-CN"/>
              </w:rPr>
              <w:t>自成交通知书发出之日起25日内</w:t>
            </w:r>
            <w:r>
              <w:rPr>
                <w:rFonts w:hint="eastAsia" w:ascii="宋体" w:hAnsi="宋体" w:eastAsia="宋体" w:cs="宋体"/>
                <w:color w:val="auto"/>
                <w:szCs w:val="21"/>
                <w:highlight w:val="none"/>
              </w:rPr>
              <w:t>。</w:t>
            </w:r>
          </w:p>
          <w:p w14:paraId="2FD23B7F">
            <w:pPr>
              <w:keepNext w:val="0"/>
              <w:keepLines w:val="0"/>
              <w:pageBreakBefore w:val="0"/>
              <w:widowControl w:val="0"/>
              <w:numPr>
                <w:ilvl w:val="0"/>
                <w:numId w:val="0"/>
              </w:numPr>
              <w:kinsoku/>
              <w:wordWrap/>
              <w:overflowPunct/>
              <w:topLinePunct w:val="0"/>
              <w:autoSpaceDE/>
              <w:autoSpaceDN/>
              <w:bidi w:val="0"/>
              <w:spacing w:line="360" w:lineRule="auto"/>
              <w:ind w:leftChars="0"/>
              <w:textAlignment w:val="auto"/>
              <w:rPr>
                <w:rFonts w:hint="eastAsia" w:ascii="宋体" w:hAnsi="宋体" w:eastAsia="宋体" w:cs="宋体"/>
                <w:b w:val="0"/>
                <w:bCs/>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二、</w:t>
            </w:r>
            <w:r>
              <w:rPr>
                <w:rFonts w:hint="eastAsia" w:ascii="宋体" w:hAnsi="宋体" w:eastAsia="宋体" w:cs="宋体"/>
                <w:b w:val="0"/>
                <w:bCs/>
                <w:color w:val="auto"/>
                <w:szCs w:val="21"/>
                <w:highlight w:val="none"/>
              </w:rPr>
              <w:t>报价方式：</w:t>
            </w:r>
            <w:r>
              <w:rPr>
                <w:rFonts w:hint="eastAsia" w:ascii="宋体" w:hAnsi="宋体" w:eastAsia="宋体" w:cs="宋体"/>
                <w:b/>
                <w:bCs w:val="0"/>
                <w:color w:val="auto"/>
                <w:szCs w:val="21"/>
                <w:highlight w:val="none"/>
              </w:rPr>
              <w:t>采用工程量清单报价方式，供应商已标价工程量清单的项目编码、项目名称及项目特征描述、计量单位、工程量须与招标工程量清单一致的，否则竞标无效；</w:t>
            </w:r>
            <w:r>
              <w:rPr>
                <w:rFonts w:hint="eastAsia" w:ascii="宋体" w:hAnsi="宋体" w:eastAsia="宋体" w:cs="宋体"/>
                <w:b/>
                <w:bCs w:val="0"/>
                <w:color w:val="auto"/>
                <w:szCs w:val="21"/>
                <w:highlight w:val="none"/>
                <w:lang w:val="en-US" w:eastAsia="zh-CN"/>
              </w:rPr>
              <w:t>竞标</w:t>
            </w:r>
            <w:r>
              <w:rPr>
                <w:rFonts w:hint="eastAsia" w:ascii="宋体" w:hAnsi="宋体" w:eastAsia="宋体" w:cs="宋体"/>
                <w:b/>
                <w:bCs w:val="0"/>
                <w:color w:val="auto"/>
                <w:szCs w:val="21"/>
                <w:highlight w:val="none"/>
              </w:rPr>
              <w:t>报价不得高于最高限价,否则竞标无效。</w:t>
            </w:r>
            <w:r>
              <w:rPr>
                <w:rFonts w:hint="eastAsia" w:ascii="宋体" w:hAnsi="宋体" w:eastAsia="宋体" w:cs="宋体"/>
                <w:b w:val="0"/>
                <w:bCs/>
                <w:color w:val="auto"/>
                <w:szCs w:val="21"/>
                <w:highlight w:val="none"/>
              </w:rPr>
              <w:t>本项目采用二次报价方式，竞标人的最终报价如有变动，则必须以工程量清单报价表的格式编制提交，竞标人须提前做好相关准备并按时递交最终报价文件，否则</w:t>
            </w:r>
            <w:r>
              <w:rPr>
                <w:rFonts w:hint="eastAsia" w:ascii="宋体" w:hAnsi="宋体" w:eastAsia="宋体" w:cs="宋体"/>
                <w:b w:val="0"/>
                <w:bCs/>
                <w:color w:val="auto"/>
                <w:szCs w:val="21"/>
                <w:highlight w:val="none"/>
                <w:lang w:val="en-US" w:eastAsia="zh-CN"/>
              </w:rPr>
              <w:t>竞标</w:t>
            </w:r>
            <w:r>
              <w:rPr>
                <w:rFonts w:hint="eastAsia" w:ascii="宋体" w:hAnsi="宋体" w:eastAsia="宋体" w:cs="宋体"/>
                <w:b w:val="0"/>
                <w:bCs/>
                <w:color w:val="auto"/>
                <w:szCs w:val="21"/>
                <w:highlight w:val="none"/>
              </w:rPr>
              <w:t>无效。</w:t>
            </w:r>
          </w:p>
          <w:p w14:paraId="0018B276">
            <w:pPr>
              <w:keepNext w:val="0"/>
              <w:keepLines w:val="0"/>
              <w:pageBreakBefore w:val="0"/>
              <w:widowControl w:val="0"/>
              <w:numPr>
                <w:ilvl w:val="0"/>
                <w:numId w:val="0"/>
              </w:numPr>
              <w:kinsoku/>
              <w:wordWrap/>
              <w:overflowPunct/>
              <w:topLinePunct w:val="0"/>
              <w:autoSpaceDE/>
              <w:autoSpaceDN/>
              <w:bidi w:val="0"/>
              <w:spacing w:line="360" w:lineRule="auto"/>
              <w:ind w:leftChars="0"/>
              <w:textAlignment w:val="auto"/>
              <w:rPr>
                <w:rFonts w:hint="eastAsia" w:ascii="宋体" w:hAnsi="宋体" w:eastAsia="宋体" w:cs="宋体"/>
                <w:b/>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三、</w:t>
            </w:r>
            <w:r>
              <w:rPr>
                <w:rFonts w:hint="eastAsia" w:ascii="宋体" w:hAnsi="宋体" w:eastAsia="宋体" w:cs="宋体"/>
                <w:b/>
                <w:color w:val="auto"/>
                <w:szCs w:val="21"/>
                <w:highlight w:val="none"/>
                <w:lang w:val="en-US" w:eastAsia="zh-CN"/>
              </w:rPr>
              <w:t>项目实施要求</w:t>
            </w:r>
            <w:r>
              <w:rPr>
                <w:rFonts w:hint="eastAsia" w:ascii="宋体" w:hAnsi="宋体" w:eastAsia="宋体" w:cs="宋体"/>
                <w:b/>
                <w:color w:val="auto"/>
                <w:szCs w:val="21"/>
                <w:highlight w:val="none"/>
              </w:rPr>
              <w:t>：</w:t>
            </w:r>
          </w:p>
          <w:p w14:paraId="078B128B">
            <w:pPr>
              <w:keepNext w:val="0"/>
              <w:keepLines w:val="0"/>
              <w:pageBreakBefore w:val="0"/>
              <w:widowControl w:val="0"/>
              <w:kinsoku/>
              <w:wordWrap/>
              <w:overflowPunct/>
              <w:topLinePunct w:val="0"/>
              <w:autoSpaceDE/>
              <w:autoSpaceDN/>
              <w:bidi w:val="0"/>
              <w:spacing w:line="360" w:lineRule="auto"/>
              <w:ind w:firstLine="422" w:firstLineChars="200"/>
              <w:textAlignment w:val="auto"/>
              <w:rPr>
                <w:rFonts w:hint="eastAsia" w:ascii="宋体" w:hAnsi="宋体" w:eastAsia="宋体" w:cs="宋体"/>
                <w:color w:val="auto"/>
                <w:szCs w:val="21"/>
                <w:highlight w:val="none"/>
              </w:rPr>
            </w:pPr>
            <w:bookmarkStart w:id="45" w:name="_Toc47471602"/>
            <w:r>
              <w:rPr>
                <w:rFonts w:hint="eastAsia" w:ascii="宋体" w:hAnsi="宋体" w:eastAsia="宋体" w:cs="宋体"/>
                <w:b/>
                <w:bCs/>
                <w:color w:val="auto"/>
                <w:szCs w:val="21"/>
                <w:highlight w:val="none"/>
              </w:rPr>
              <w:t>实施地点：</w:t>
            </w:r>
            <w:r>
              <w:rPr>
                <w:rFonts w:hint="eastAsia" w:ascii="宋体" w:hAnsi="宋体" w:eastAsia="宋体" w:cs="宋体"/>
                <w:b w:val="0"/>
                <w:bCs w:val="0"/>
                <w:color w:val="auto"/>
                <w:szCs w:val="21"/>
                <w:highlight w:val="none"/>
                <w:lang w:eastAsia="zh-CN"/>
              </w:rPr>
              <w:t>中国共产党浦北县委员会统一战线工作部</w:t>
            </w:r>
            <w:r>
              <w:rPr>
                <w:rFonts w:hint="eastAsia" w:ascii="宋体" w:hAnsi="宋体" w:eastAsia="宋体" w:cs="宋体"/>
                <w:color w:val="auto"/>
                <w:spacing w:val="8"/>
                <w:kern w:val="0"/>
                <w:szCs w:val="21"/>
                <w:highlight w:val="none"/>
              </w:rPr>
              <w:t>采购人指定地点</w:t>
            </w:r>
          </w:p>
          <w:p w14:paraId="39022867">
            <w:pPr>
              <w:keepNext w:val="0"/>
              <w:keepLines w:val="0"/>
              <w:pageBreakBefore w:val="0"/>
              <w:widowControl w:val="0"/>
              <w:kinsoku/>
              <w:wordWrap/>
              <w:overflowPunct/>
              <w:topLinePunct w:val="0"/>
              <w:autoSpaceDE/>
              <w:autoSpaceDN/>
              <w:bidi w:val="0"/>
              <w:spacing w:line="360" w:lineRule="auto"/>
              <w:textAlignment w:val="auto"/>
              <w:rPr>
                <w:rFonts w:hint="eastAsia" w:ascii="宋体" w:hAnsi="宋体" w:eastAsia="宋体" w:cs="宋体"/>
                <w:b/>
                <w:bCs/>
                <w:color w:val="auto"/>
                <w:szCs w:val="21"/>
                <w:highlight w:val="none"/>
              </w:rPr>
            </w:pPr>
            <w:r>
              <w:rPr>
                <w:rFonts w:hint="eastAsia" w:ascii="宋体" w:hAnsi="宋体" w:eastAsia="宋体" w:cs="宋体"/>
                <w:color w:val="auto"/>
                <w:szCs w:val="21"/>
              </w:rPr>
              <w:t>▲</w:t>
            </w:r>
            <w:r>
              <w:rPr>
                <w:rFonts w:hint="eastAsia" w:ascii="宋体" w:hAnsi="宋体" w:eastAsia="宋体" w:cs="宋体"/>
                <w:b/>
                <w:bCs/>
                <w:color w:val="auto"/>
                <w:szCs w:val="21"/>
                <w:highlight w:val="none"/>
                <w:lang w:val="en-US" w:eastAsia="zh-CN"/>
              </w:rPr>
              <w:t>四</w:t>
            </w:r>
            <w:r>
              <w:rPr>
                <w:rFonts w:hint="eastAsia" w:ascii="宋体" w:hAnsi="宋体" w:eastAsia="宋体" w:cs="宋体"/>
                <w:b/>
                <w:bCs/>
                <w:color w:val="auto"/>
                <w:szCs w:val="21"/>
                <w:highlight w:val="none"/>
              </w:rPr>
              <w:t>、验收标准、规范：</w:t>
            </w:r>
          </w:p>
          <w:p w14:paraId="0EF9A202">
            <w:pPr>
              <w:keepNext w:val="0"/>
              <w:keepLines w:val="0"/>
              <w:pageBreakBefore w:val="0"/>
              <w:widowControl w:val="0"/>
              <w:kinsoku/>
              <w:wordWrap/>
              <w:overflowPunct/>
              <w:topLinePunct w:val="0"/>
              <w:autoSpaceDE/>
              <w:autoSpaceDN/>
              <w:bidi w:val="0"/>
              <w:spacing w:line="360" w:lineRule="auto"/>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1、根据采购单位的要求和国家现行的有关的工程建设标准、技术规范及强制性标准条文等有关规范标准。</w:t>
            </w:r>
          </w:p>
          <w:p w14:paraId="5E975794">
            <w:pPr>
              <w:keepNext w:val="0"/>
              <w:keepLines w:val="0"/>
              <w:pageBreakBefore w:val="0"/>
              <w:widowControl w:val="0"/>
              <w:kinsoku/>
              <w:wordWrap/>
              <w:overflowPunct/>
              <w:topLinePunct w:val="0"/>
              <w:autoSpaceDE/>
              <w:autoSpaceDN/>
              <w:bidi w:val="0"/>
              <w:spacing w:line="360" w:lineRule="auto"/>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2、验收过程中所产生的一切费用均由成交人承担。报价时应考虑相关费用。</w:t>
            </w:r>
          </w:p>
          <w:p w14:paraId="4BA087B8">
            <w:pPr>
              <w:keepNext w:val="0"/>
              <w:keepLines w:val="0"/>
              <w:pageBreakBefore w:val="0"/>
              <w:widowControl w:val="0"/>
              <w:kinsoku/>
              <w:wordWrap/>
              <w:overflowPunct/>
              <w:topLinePunct w:val="0"/>
              <w:autoSpaceDE/>
              <w:autoSpaceDN/>
              <w:bidi w:val="0"/>
              <w:spacing w:line="360" w:lineRule="auto"/>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成交人在涉及货物部分验收时由采购单位对照采购文件的功能目标及技术指标全面核对检验，对所有要求出具的证明文件的原件进行核查，如不符合采购文件的技术需求及要求以及提供虚假承诺的，按相关规定做退货处理及违约处理，成交人承担所有责任和费用，采购人保留进一步追究责任的权利。</w:t>
            </w:r>
          </w:p>
          <w:bookmarkEnd w:id="45"/>
          <w:p w14:paraId="0CFF175A">
            <w:pPr>
              <w:keepNext w:val="0"/>
              <w:keepLines w:val="0"/>
              <w:pageBreakBefore w:val="0"/>
              <w:widowControl w:val="0"/>
              <w:kinsoku/>
              <w:wordWrap/>
              <w:overflowPunct/>
              <w:topLinePunct w:val="0"/>
              <w:autoSpaceDE/>
              <w:autoSpaceDN/>
              <w:bidi w:val="0"/>
              <w:spacing w:line="360" w:lineRule="auto"/>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rPr>
              <w:t>▲</w:t>
            </w:r>
            <w:r>
              <w:rPr>
                <w:rFonts w:hint="eastAsia" w:ascii="宋体" w:hAnsi="宋体" w:eastAsia="宋体" w:cs="宋体"/>
                <w:b/>
                <w:bCs/>
                <w:color w:val="auto"/>
                <w:szCs w:val="21"/>
                <w:highlight w:val="none"/>
                <w:lang w:val="en-US" w:eastAsia="zh-CN"/>
              </w:rPr>
              <w:t>五、付款方式：</w:t>
            </w:r>
          </w:p>
          <w:p w14:paraId="4AC96298">
            <w:pPr>
              <w:keepNext w:val="0"/>
              <w:keepLines w:val="0"/>
              <w:pageBreakBefore w:val="0"/>
              <w:widowControl w:val="0"/>
              <w:numPr>
                <w:ilvl w:val="0"/>
                <w:numId w:val="0"/>
              </w:numPr>
              <w:kinsoku/>
              <w:wordWrap/>
              <w:overflowPunct/>
              <w:topLinePunct w:val="0"/>
              <w:autoSpaceDE/>
              <w:autoSpaceDN/>
              <w:bidi w:val="0"/>
              <w:spacing w:line="360" w:lineRule="auto"/>
              <w:ind w:lef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(1)预付款:工程预付款的总金额为签约合同价的30%(需按要求缴纳农民工保证金和开具相应的履约保函以及意外险、工伤险方可支付预付款)。</w:t>
            </w:r>
          </w:p>
          <w:p w14:paraId="1BC9C951">
            <w:pPr>
              <w:keepNext w:val="0"/>
              <w:keepLines w:val="0"/>
              <w:pageBreakBefore w:val="0"/>
              <w:widowControl w:val="0"/>
              <w:numPr>
                <w:ilvl w:val="0"/>
                <w:numId w:val="0"/>
              </w:numPr>
              <w:kinsoku/>
              <w:wordWrap/>
              <w:overflowPunct/>
              <w:topLinePunct w:val="0"/>
              <w:autoSpaceDE/>
              <w:autoSpaceDN/>
              <w:bidi w:val="0"/>
              <w:spacing w:line="360" w:lineRule="auto"/>
              <w:ind w:lef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每个付款周期按实际完成工程量的90%，依据监理报告支付工程进度款。工程完工验收达到质量要求，结算经浦北县有资质审计机构审定后，工程款支付至结算总价的97%(不得低于97%)。发包人按工程价款结算总额的3%，预留工程质量保证金。质量保证金待工程质量保修期满且无质量问题后按规定无息返还。</w:t>
            </w:r>
          </w:p>
          <w:p w14:paraId="4CF4ACE0">
            <w:pPr>
              <w:keepNext w:val="0"/>
              <w:keepLines w:val="0"/>
              <w:pageBreakBefore w:val="0"/>
              <w:widowControl w:val="0"/>
              <w:numPr>
                <w:ilvl w:val="0"/>
                <w:numId w:val="0"/>
              </w:numPr>
              <w:kinsoku/>
              <w:wordWrap/>
              <w:overflowPunct/>
              <w:topLinePunct w:val="0"/>
              <w:autoSpaceDE/>
              <w:autoSpaceDN/>
              <w:bidi w:val="0"/>
              <w:spacing w:line="360" w:lineRule="auto"/>
              <w:ind w:leftChars="0" w:firstLine="420" w:firstLineChars="200"/>
              <w:textAlignment w:val="auto"/>
              <w:rPr>
                <w:rFonts w:hint="eastAsia" w:ascii="宋体" w:hAnsi="宋体" w:eastAsia="宋体" w:cs="宋体"/>
                <w:b w:val="0"/>
                <w:bCs/>
                <w:color w:val="auto"/>
                <w:szCs w:val="21"/>
                <w:highlight w:val="none"/>
              </w:rPr>
            </w:pPr>
            <w:r>
              <w:rPr>
                <w:rFonts w:hint="eastAsia" w:ascii="宋体" w:hAnsi="宋体" w:eastAsia="宋体" w:cs="宋体"/>
                <w:color w:val="auto"/>
                <w:szCs w:val="21"/>
                <w:highlight w:val="none"/>
              </w:rPr>
              <w:t>(3)本项目农民工工资支付将严格按照国家及地方相关法律法规及合同约定执行，具体见合同条款。</w:t>
            </w:r>
          </w:p>
          <w:p w14:paraId="755C6659">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b/>
                <w:bCs/>
                <w:color w:val="auto"/>
                <w:szCs w:val="21"/>
                <w:highlight w:val="none"/>
                <w:lang w:val="en-US" w:eastAsia="zh-CN"/>
              </w:rPr>
            </w:pPr>
            <w:r>
              <w:rPr>
                <w:rFonts w:hint="eastAsia" w:ascii="宋体" w:hAnsi="宋体" w:eastAsia="宋体" w:cs="宋体"/>
                <w:b/>
                <w:bCs/>
                <w:color w:val="auto"/>
                <w:szCs w:val="21"/>
                <w:highlight w:val="none"/>
              </w:rPr>
              <w:t>▲</w:t>
            </w:r>
            <w:r>
              <w:rPr>
                <w:rFonts w:hint="eastAsia" w:ascii="宋体" w:hAnsi="宋体" w:eastAsia="宋体" w:cs="宋体"/>
                <w:b/>
                <w:bCs/>
                <w:color w:val="auto"/>
                <w:szCs w:val="21"/>
                <w:highlight w:val="none"/>
                <w:lang w:val="en-US" w:eastAsia="zh-CN"/>
              </w:rPr>
              <w:t>六、其他要求：</w:t>
            </w:r>
          </w:p>
          <w:p w14:paraId="04831868">
            <w:pPr>
              <w:keepNext w:val="0"/>
              <w:keepLines w:val="0"/>
              <w:pageBreakBefore w:val="0"/>
              <w:widowControl w:val="0"/>
              <w:kinsoku/>
              <w:wordWrap/>
              <w:overflowPunct/>
              <w:topLinePunct w:val="0"/>
              <w:autoSpaceDE/>
              <w:autoSpaceDN/>
              <w:bidi w:val="0"/>
              <w:adjustRightInd w:val="0"/>
              <w:snapToGrid w:val="0"/>
              <w:spacing w:line="360" w:lineRule="auto"/>
              <w:ind w:firstLine="210" w:firstLineChars="100"/>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 w:val="21"/>
                <w:szCs w:val="21"/>
                <w:highlight w:val="none"/>
                <w:u w:val="none"/>
                <w:lang w:val="en-US" w:eastAsia="zh-CN"/>
              </w:rPr>
              <w:t>为保证工程按质按量完工，供应商须在响应文件中提供承诺拟投入的项目经理、技术负责人、安全员等关键岗位人员，在施工期间按合同约定及国家相关法律法规要求到岗履职，供应商须在响应文件中自行提供承诺函。</w:t>
            </w:r>
            <w:r>
              <w:rPr>
                <w:rFonts w:hint="eastAsia" w:ascii="宋体" w:hAnsi="宋体" w:eastAsia="宋体" w:cs="宋体"/>
                <w:color w:val="auto"/>
                <w:szCs w:val="21"/>
                <w:highlight w:val="none"/>
                <w:lang w:val="en-US" w:eastAsia="zh-CN"/>
              </w:rPr>
              <w:t>（格式自拟，并加盖供应商CA签章）</w:t>
            </w:r>
          </w:p>
        </w:tc>
      </w:tr>
    </w:tbl>
    <w:p w14:paraId="1EA605A6">
      <w:pPr>
        <w:pStyle w:val="4"/>
        <w:rPr>
          <w:rFonts w:hint="eastAsia" w:ascii="宋体" w:hAnsi="宋体" w:eastAsia="宋体" w:cs="宋体"/>
          <w:color w:val="auto"/>
          <w:sz w:val="20"/>
          <w:szCs w:val="20"/>
          <w:highlight w:val="none"/>
        </w:rPr>
        <w:sectPr>
          <w:pgSz w:w="11910" w:h="16840"/>
          <w:pgMar w:top="1440" w:right="1080" w:bottom="1440" w:left="1080" w:header="0" w:footer="0" w:gutter="0"/>
          <w:cols w:space="720" w:num="1"/>
        </w:sectPr>
      </w:pPr>
    </w:p>
    <w:p w14:paraId="35EDF3B3">
      <w:pPr>
        <w:spacing w:beforeLines="0" w:afterLines="0" w:line="360" w:lineRule="auto"/>
        <w:jc w:val="center"/>
        <w:rPr>
          <w:rFonts w:hint="eastAsia" w:ascii="宋体" w:hAnsi="宋体" w:eastAsia="宋体" w:cs="宋体"/>
          <w:b/>
          <w:color w:val="auto"/>
          <w:sz w:val="32"/>
          <w:szCs w:val="32"/>
        </w:rPr>
      </w:pPr>
      <w:r>
        <w:rPr>
          <w:rFonts w:hint="eastAsia" w:ascii="宋体" w:hAnsi="宋体" w:eastAsia="宋体" w:cs="宋体"/>
          <w:b/>
          <w:color w:val="auto"/>
          <w:sz w:val="32"/>
          <w:szCs w:val="32"/>
        </w:rPr>
        <w:t>附件1：最后报价表（格式）</w:t>
      </w:r>
    </w:p>
    <w:p w14:paraId="2D221D87">
      <w:pPr>
        <w:spacing w:beforeLines="0" w:afterLines="0" w:line="440" w:lineRule="exact"/>
        <w:jc w:val="center"/>
        <w:rPr>
          <w:rFonts w:hint="eastAsia" w:ascii="宋体" w:hAnsi="宋体" w:eastAsia="宋体" w:cs="宋体"/>
          <w:color w:val="auto"/>
          <w:sz w:val="32"/>
          <w:szCs w:val="32"/>
        </w:rPr>
      </w:pPr>
    </w:p>
    <w:p w14:paraId="7F6E19DC">
      <w:pPr>
        <w:spacing w:beforeLines="0" w:afterLines="0"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单位：元</w:t>
      </w:r>
    </w:p>
    <w:tbl>
      <w:tblPr>
        <w:tblStyle w:val="23"/>
        <w:tblW w:w="0" w:type="auto"/>
        <w:jc w:val="righ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7"/>
        <w:gridCol w:w="2712"/>
        <w:gridCol w:w="1505"/>
        <w:gridCol w:w="3107"/>
        <w:gridCol w:w="1184"/>
      </w:tblGrid>
      <w:tr w14:paraId="677EFC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7" w:hRule="atLeast"/>
          <w:jc w:val="right"/>
        </w:trPr>
        <w:tc>
          <w:tcPr>
            <w:tcW w:w="58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59898B6">
            <w:pPr>
              <w:spacing w:beforeLines="0" w:afterLines="0"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序号</w:t>
            </w:r>
          </w:p>
        </w:tc>
        <w:tc>
          <w:tcPr>
            <w:tcW w:w="271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EE023FD">
            <w:pPr>
              <w:spacing w:beforeLines="0" w:afterLines="0"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标的名称</w:t>
            </w:r>
          </w:p>
        </w:tc>
        <w:tc>
          <w:tcPr>
            <w:tcW w:w="150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EEACB07">
            <w:pPr>
              <w:spacing w:beforeLines="0" w:afterLines="0"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数量及单位</w:t>
            </w:r>
          </w:p>
        </w:tc>
        <w:tc>
          <w:tcPr>
            <w:tcW w:w="310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18F93EE">
            <w:pPr>
              <w:spacing w:beforeLines="0" w:afterLines="0"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最后报价（元）</w:t>
            </w:r>
          </w:p>
        </w:tc>
        <w:tc>
          <w:tcPr>
            <w:tcW w:w="118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171DD85">
            <w:pPr>
              <w:spacing w:beforeLines="0" w:afterLines="0"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备注</w:t>
            </w:r>
          </w:p>
        </w:tc>
      </w:tr>
      <w:tr w14:paraId="135A14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7" w:hRule="atLeast"/>
          <w:jc w:val="right"/>
        </w:trPr>
        <w:tc>
          <w:tcPr>
            <w:tcW w:w="58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6487C6B">
            <w:pPr>
              <w:spacing w:beforeLines="0" w:afterLines="0"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1</w:t>
            </w:r>
          </w:p>
        </w:tc>
        <w:tc>
          <w:tcPr>
            <w:tcW w:w="271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45C6296">
            <w:pPr>
              <w:spacing w:beforeLines="0" w:afterLines="0" w:line="360" w:lineRule="auto"/>
              <w:jc w:val="center"/>
              <w:rPr>
                <w:rFonts w:hint="eastAsia" w:ascii="宋体" w:hAnsi="宋体" w:eastAsia="宋体" w:cs="宋体"/>
                <w:color w:val="auto"/>
                <w:sz w:val="24"/>
                <w:szCs w:val="24"/>
              </w:rPr>
            </w:pPr>
          </w:p>
        </w:tc>
        <w:tc>
          <w:tcPr>
            <w:tcW w:w="150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F9CC2C9">
            <w:pPr>
              <w:spacing w:beforeLines="0" w:afterLines="0" w:line="360" w:lineRule="auto"/>
              <w:jc w:val="center"/>
              <w:rPr>
                <w:rFonts w:hint="eastAsia" w:ascii="宋体" w:hAnsi="宋体" w:eastAsia="宋体" w:cs="宋体"/>
                <w:color w:val="auto"/>
                <w:sz w:val="24"/>
                <w:szCs w:val="24"/>
              </w:rPr>
            </w:pPr>
          </w:p>
        </w:tc>
        <w:tc>
          <w:tcPr>
            <w:tcW w:w="3107" w:type="dxa"/>
            <w:tcBorders>
              <w:top w:val="single" w:color="auto" w:sz="4" w:space="0"/>
              <w:left w:val="single" w:color="auto" w:sz="4" w:space="0"/>
              <w:bottom w:val="single" w:color="auto" w:sz="4" w:space="0"/>
              <w:right w:val="single" w:color="auto" w:sz="4" w:space="0"/>
              <w:tl2br w:val="nil"/>
              <w:tr2bl w:val="nil"/>
            </w:tcBorders>
            <w:noWrap w:val="0"/>
            <w:vAlign w:val="top"/>
          </w:tcPr>
          <w:p w14:paraId="68357C1C">
            <w:pPr>
              <w:spacing w:beforeLines="0" w:afterLines="0" w:line="360" w:lineRule="auto"/>
              <w:rPr>
                <w:rFonts w:hint="eastAsia" w:ascii="宋体" w:hAnsi="宋体" w:eastAsia="宋体" w:cs="宋体"/>
                <w:color w:val="auto"/>
                <w:sz w:val="24"/>
                <w:szCs w:val="24"/>
              </w:rPr>
            </w:pPr>
          </w:p>
        </w:tc>
        <w:tc>
          <w:tcPr>
            <w:tcW w:w="118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B9BEDB0">
            <w:pPr>
              <w:spacing w:beforeLines="0" w:afterLines="0" w:line="360" w:lineRule="auto"/>
              <w:rPr>
                <w:rFonts w:hint="eastAsia" w:ascii="宋体" w:hAnsi="宋体" w:eastAsia="宋体" w:cs="宋体"/>
                <w:color w:val="auto"/>
                <w:sz w:val="24"/>
                <w:szCs w:val="24"/>
              </w:rPr>
            </w:pPr>
          </w:p>
        </w:tc>
      </w:tr>
      <w:tr w14:paraId="3493CE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7" w:hRule="atLeast"/>
          <w:jc w:val="right"/>
        </w:trPr>
        <w:tc>
          <w:tcPr>
            <w:tcW w:w="58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5CFA006">
            <w:pPr>
              <w:spacing w:beforeLines="0" w:afterLines="0"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w:t>
            </w:r>
          </w:p>
        </w:tc>
        <w:tc>
          <w:tcPr>
            <w:tcW w:w="271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2C03A83">
            <w:pPr>
              <w:spacing w:beforeLines="0" w:afterLines="0" w:line="360" w:lineRule="auto"/>
              <w:jc w:val="center"/>
              <w:rPr>
                <w:rFonts w:hint="eastAsia" w:ascii="宋体" w:hAnsi="宋体" w:eastAsia="宋体" w:cs="宋体"/>
                <w:color w:val="auto"/>
                <w:sz w:val="24"/>
                <w:szCs w:val="24"/>
              </w:rPr>
            </w:pPr>
          </w:p>
        </w:tc>
        <w:tc>
          <w:tcPr>
            <w:tcW w:w="150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395C5E9">
            <w:pPr>
              <w:spacing w:beforeLines="0" w:afterLines="0" w:line="360" w:lineRule="auto"/>
              <w:jc w:val="center"/>
              <w:rPr>
                <w:rFonts w:hint="eastAsia" w:ascii="宋体" w:hAnsi="宋体" w:eastAsia="宋体" w:cs="宋体"/>
                <w:color w:val="auto"/>
                <w:sz w:val="24"/>
                <w:szCs w:val="24"/>
              </w:rPr>
            </w:pPr>
          </w:p>
        </w:tc>
        <w:tc>
          <w:tcPr>
            <w:tcW w:w="3107" w:type="dxa"/>
            <w:tcBorders>
              <w:top w:val="single" w:color="auto" w:sz="4" w:space="0"/>
              <w:left w:val="single" w:color="auto" w:sz="4" w:space="0"/>
              <w:bottom w:val="single" w:color="auto" w:sz="4" w:space="0"/>
              <w:right w:val="single" w:color="auto" w:sz="4" w:space="0"/>
              <w:tl2br w:val="nil"/>
              <w:tr2bl w:val="nil"/>
            </w:tcBorders>
            <w:noWrap w:val="0"/>
            <w:vAlign w:val="top"/>
          </w:tcPr>
          <w:p w14:paraId="5B352BA1">
            <w:pPr>
              <w:spacing w:beforeLines="0" w:afterLines="0" w:line="360" w:lineRule="auto"/>
              <w:rPr>
                <w:rFonts w:hint="eastAsia" w:ascii="宋体" w:hAnsi="宋体" w:eastAsia="宋体" w:cs="宋体"/>
                <w:color w:val="auto"/>
                <w:sz w:val="24"/>
                <w:szCs w:val="24"/>
              </w:rPr>
            </w:pPr>
          </w:p>
        </w:tc>
        <w:tc>
          <w:tcPr>
            <w:tcW w:w="118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FC70B97">
            <w:pPr>
              <w:spacing w:beforeLines="0" w:afterLines="0" w:line="360" w:lineRule="auto"/>
              <w:rPr>
                <w:rFonts w:hint="eastAsia" w:ascii="宋体" w:hAnsi="宋体" w:eastAsia="宋体" w:cs="宋体"/>
                <w:color w:val="auto"/>
                <w:sz w:val="24"/>
                <w:szCs w:val="24"/>
              </w:rPr>
            </w:pPr>
          </w:p>
        </w:tc>
      </w:tr>
      <w:tr w14:paraId="65F12E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7" w:hRule="atLeast"/>
          <w:jc w:val="right"/>
        </w:trPr>
        <w:tc>
          <w:tcPr>
            <w:tcW w:w="9095" w:type="dxa"/>
            <w:gridSpan w:val="5"/>
            <w:tcBorders>
              <w:top w:val="single" w:color="auto" w:sz="4" w:space="0"/>
              <w:left w:val="single" w:color="auto" w:sz="4" w:space="0"/>
              <w:bottom w:val="single" w:color="auto" w:sz="4" w:space="0"/>
              <w:right w:val="single" w:color="auto" w:sz="4" w:space="0"/>
              <w:tl2br w:val="nil"/>
              <w:tr2bl w:val="nil"/>
            </w:tcBorders>
            <w:noWrap w:val="0"/>
            <w:vAlign w:val="center"/>
          </w:tcPr>
          <w:p w14:paraId="6502242E">
            <w:pPr>
              <w:spacing w:beforeLines="0" w:afterLines="0"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合计金额（人民币）</w:t>
            </w:r>
            <w:r>
              <w:rPr>
                <w:rFonts w:hint="eastAsia" w:ascii="宋体" w:hAnsi="宋体" w:eastAsia="宋体" w:cs="宋体"/>
                <w:color w:val="auto"/>
                <w:sz w:val="24"/>
                <w:szCs w:val="24"/>
                <w:u w:val="single"/>
              </w:rPr>
              <w:t xml:space="preserve">大写：                      </w:t>
            </w:r>
            <w:r>
              <w:rPr>
                <w:rFonts w:hint="eastAsia" w:ascii="宋体" w:hAnsi="宋体" w:eastAsia="宋体" w:cs="宋体"/>
                <w:color w:val="auto"/>
                <w:sz w:val="24"/>
                <w:szCs w:val="24"/>
              </w:rPr>
              <w:t>（¥</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w:t>
            </w:r>
          </w:p>
        </w:tc>
      </w:tr>
    </w:tbl>
    <w:p w14:paraId="0C58C61A">
      <w:pPr>
        <w:spacing w:beforeLines="0" w:afterLines="0" w:line="360" w:lineRule="auto"/>
        <w:jc w:val="left"/>
        <w:rPr>
          <w:rFonts w:hint="eastAsia" w:ascii="宋体" w:hAnsi="宋体" w:eastAsia="宋体" w:cs="宋体"/>
          <w:color w:val="auto"/>
          <w:sz w:val="24"/>
          <w:szCs w:val="24"/>
        </w:rPr>
      </w:pPr>
      <w:r>
        <w:rPr>
          <w:rFonts w:hint="eastAsia" w:ascii="宋体" w:hAnsi="宋体" w:eastAsia="宋体" w:cs="宋体"/>
          <w:color w:val="auto"/>
          <w:sz w:val="24"/>
          <w:szCs w:val="24"/>
        </w:rPr>
        <w:t xml:space="preserve">注： </w:t>
      </w:r>
    </w:p>
    <w:p w14:paraId="4EFA0E71">
      <w:pPr>
        <w:spacing w:beforeLines="0" w:afterLines="0"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1. 供应商的最后报价表必须加盖供应商电子签章并由法定代表人或者委托代理人签字或者电子签名，</w:t>
      </w:r>
      <w:r>
        <w:rPr>
          <w:rFonts w:hint="eastAsia" w:ascii="宋体" w:hAnsi="宋体" w:eastAsia="宋体" w:cs="宋体"/>
          <w:b/>
          <w:color w:val="auto"/>
          <w:sz w:val="24"/>
          <w:szCs w:val="24"/>
        </w:rPr>
        <w:t>否则其响应文件按无效处理</w:t>
      </w:r>
      <w:r>
        <w:rPr>
          <w:rFonts w:hint="eastAsia" w:ascii="宋体" w:hAnsi="宋体" w:eastAsia="宋体" w:cs="宋体"/>
          <w:color w:val="auto"/>
          <w:sz w:val="24"/>
          <w:szCs w:val="24"/>
        </w:rPr>
        <w:t>。</w:t>
      </w:r>
    </w:p>
    <w:p w14:paraId="010A4093">
      <w:pPr>
        <w:spacing w:beforeLines="0" w:afterLines="0" w:line="360" w:lineRule="auto"/>
        <w:ind w:firstLine="480" w:firstLineChars="200"/>
        <w:jc w:val="left"/>
        <w:rPr>
          <w:rFonts w:hint="eastAsia" w:ascii="宋体" w:hAnsi="宋体" w:eastAsia="宋体" w:cs="宋体"/>
          <w:b/>
          <w:color w:val="auto"/>
          <w:sz w:val="24"/>
          <w:szCs w:val="24"/>
        </w:rPr>
      </w:pPr>
      <w:r>
        <w:rPr>
          <w:rFonts w:hint="eastAsia" w:ascii="宋体" w:hAnsi="宋体" w:eastAsia="宋体" w:cs="宋体"/>
          <w:color w:val="auto"/>
          <w:sz w:val="24"/>
          <w:szCs w:val="24"/>
        </w:rPr>
        <w:t>2. 最后报价一经涂改，应在涂改处加盖供应商公章或者加盖电子签章或者由法定代表人或者授权委托人签字（或者电子签名）</w:t>
      </w:r>
      <w:r>
        <w:rPr>
          <w:rFonts w:hint="eastAsia" w:ascii="宋体" w:hAnsi="宋体" w:eastAsia="宋体" w:cs="宋体"/>
          <w:b/>
          <w:color w:val="auto"/>
          <w:sz w:val="24"/>
          <w:szCs w:val="24"/>
        </w:rPr>
        <w:t>，否则其响应文件按无效处理。</w:t>
      </w:r>
    </w:p>
    <w:p w14:paraId="5BF942C0">
      <w:pPr>
        <w:spacing w:beforeLines="0" w:afterLines="0" w:line="360" w:lineRule="auto"/>
        <w:ind w:firstLine="643" w:firstLineChars="200"/>
        <w:jc w:val="left"/>
        <w:rPr>
          <w:rFonts w:hint="eastAsia" w:ascii="宋体" w:hAnsi="宋体" w:eastAsia="宋体" w:cs="宋体"/>
          <w:b/>
          <w:color w:val="auto"/>
          <w:sz w:val="32"/>
          <w:szCs w:val="32"/>
        </w:rPr>
      </w:pPr>
      <w:r>
        <w:rPr>
          <w:rFonts w:hint="eastAsia" w:ascii="宋体" w:hAnsi="宋体" w:eastAsia="宋体" w:cs="宋体"/>
          <w:b/>
          <w:color w:val="auto"/>
          <w:sz w:val="32"/>
          <w:szCs w:val="32"/>
        </w:rPr>
        <w:t>3.在广西政府采购云平台评审过程中，</w:t>
      </w:r>
      <w:r>
        <w:rPr>
          <w:rFonts w:hint="eastAsia" w:ascii="宋体" w:hAnsi="宋体" w:eastAsia="宋体" w:cs="宋体"/>
          <w:b/>
          <w:color w:val="auto"/>
          <w:sz w:val="32"/>
          <w:szCs w:val="32"/>
          <w:u w:val="single"/>
        </w:rPr>
        <w:t>供应商提交的最后报价与首次报价相比有调整的，必须同时上传相对应的“已标价的工程量清单”作为附件</w:t>
      </w:r>
      <w:r>
        <w:rPr>
          <w:rFonts w:hint="eastAsia" w:ascii="宋体" w:hAnsi="宋体" w:eastAsia="宋体" w:cs="宋体"/>
          <w:b/>
          <w:color w:val="auto"/>
          <w:sz w:val="32"/>
          <w:szCs w:val="32"/>
        </w:rPr>
        <w:t>，否则其响应文件按无效处理。</w:t>
      </w:r>
    </w:p>
    <w:p w14:paraId="215819CD">
      <w:pPr>
        <w:spacing w:beforeLines="0" w:afterLines="0" w:line="360" w:lineRule="auto"/>
        <w:ind w:right="-817" w:rightChars="-389"/>
        <w:rPr>
          <w:rFonts w:hint="eastAsia" w:ascii="宋体" w:hAnsi="宋体" w:eastAsia="宋体" w:cs="宋体"/>
          <w:color w:val="auto"/>
          <w:sz w:val="24"/>
          <w:szCs w:val="24"/>
        </w:rPr>
      </w:pPr>
    </w:p>
    <w:p w14:paraId="511398D7">
      <w:pPr>
        <w:spacing w:beforeLines="0" w:afterLines="0" w:line="360" w:lineRule="auto"/>
        <w:ind w:right="-817" w:rightChars="-389" w:firstLine="2640" w:firstLineChars="1100"/>
        <w:rPr>
          <w:rFonts w:hint="eastAsia" w:ascii="宋体" w:hAnsi="宋体" w:eastAsia="宋体" w:cs="宋体"/>
          <w:color w:val="auto"/>
          <w:sz w:val="24"/>
          <w:szCs w:val="24"/>
        </w:rPr>
      </w:pPr>
      <w:r>
        <w:rPr>
          <w:rFonts w:hint="eastAsia" w:ascii="宋体" w:hAnsi="宋体" w:eastAsia="宋体" w:cs="宋体"/>
          <w:color w:val="auto"/>
          <w:sz w:val="24"/>
          <w:szCs w:val="24"/>
        </w:rPr>
        <w:t xml:space="preserve">法定代表人或者委托代理人（签字或者电子签名）：                    </w:t>
      </w:r>
    </w:p>
    <w:p w14:paraId="6977B49A">
      <w:pPr>
        <w:spacing w:beforeLines="0" w:afterLines="0" w:line="360" w:lineRule="auto"/>
        <w:ind w:right="-817" w:rightChars="-389" w:firstLine="2640" w:firstLineChars="1100"/>
        <w:rPr>
          <w:rFonts w:hint="eastAsia" w:ascii="宋体" w:hAnsi="宋体" w:eastAsia="宋体" w:cs="宋体"/>
          <w:color w:val="auto"/>
          <w:sz w:val="24"/>
          <w:szCs w:val="24"/>
        </w:rPr>
      </w:pPr>
      <w:r>
        <w:rPr>
          <w:rFonts w:hint="eastAsia" w:ascii="宋体" w:hAnsi="宋体" w:eastAsia="宋体" w:cs="宋体"/>
          <w:color w:val="auto"/>
          <w:sz w:val="24"/>
          <w:szCs w:val="24"/>
        </w:rPr>
        <w:t xml:space="preserve">供应商（电子签章）：      </w:t>
      </w:r>
    </w:p>
    <w:p w14:paraId="36A61C01">
      <w:pPr>
        <w:spacing w:beforeLines="0" w:afterLines="0" w:line="360" w:lineRule="auto"/>
        <w:ind w:right="-817" w:rightChars="-389" w:firstLine="4080" w:firstLineChars="1700"/>
        <w:rPr>
          <w:rFonts w:hint="eastAsia" w:ascii="宋体" w:hAnsi="宋体" w:eastAsia="宋体" w:cs="宋体"/>
          <w:color w:val="auto"/>
          <w:sz w:val="24"/>
          <w:szCs w:val="24"/>
        </w:rPr>
      </w:pPr>
      <w:r>
        <w:rPr>
          <w:rFonts w:hint="eastAsia" w:ascii="宋体" w:hAnsi="宋体" w:eastAsia="宋体" w:cs="宋体"/>
          <w:color w:val="auto"/>
          <w:sz w:val="24"/>
          <w:szCs w:val="24"/>
        </w:rPr>
        <w:t>日期：   年   月   日</w:t>
      </w:r>
    </w:p>
    <w:p w14:paraId="1A775CFC">
      <w:pPr>
        <w:pStyle w:val="16"/>
        <w:spacing w:beforeLines="0" w:afterLines="0" w:line="360" w:lineRule="auto"/>
        <w:jc w:val="center"/>
        <w:outlineLvl w:val="0"/>
        <w:rPr>
          <w:rFonts w:hint="eastAsia" w:ascii="宋体" w:hAnsi="宋体" w:eastAsia="宋体" w:cs="宋体"/>
          <w:b/>
          <w:color w:val="auto"/>
          <w:kern w:val="0"/>
          <w:sz w:val="36"/>
          <w:szCs w:val="36"/>
        </w:rPr>
        <w:sectPr>
          <w:pgSz w:w="11906" w:h="16838"/>
          <w:pgMar w:top="1247" w:right="1417" w:bottom="1247" w:left="1417" w:header="851" w:footer="992" w:gutter="0"/>
          <w:lnNumType w:countBy="0" w:distance="360"/>
          <w:cols w:space="720" w:num="1"/>
          <w:docGrid w:type="lines" w:linePitch="312" w:charSpace="0"/>
        </w:sectPr>
      </w:pPr>
    </w:p>
    <w:p w14:paraId="01CF3B17">
      <w:pPr>
        <w:pStyle w:val="16"/>
        <w:jc w:val="left"/>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附件</w:t>
      </w:r>
      <w:r>
        <w:rPr>
          <w:rFonts w:hint="eastAsia" w:ascii="宋体" w:hAnsi="宋体" w:eastAsia="宋体" w:cs="宋体"/>
          <w:b/>
          <w:bCs/>
          <w:color w:val="auto"/>
          <w:sz w:val="32"/>
          <w:szCs w:val="32"/>
          <w:highlight w:val="none"/>
          <w:lang w:val="en-US" w:eastAsia="zh-CN"/>
        </w:rPr>
        <w:t>2</w:t>
      </w:r>
    </w:p>
    <w:p w14:paraId="069A49E7">
      <w:pPr>
        <w:spacing w:line="528" w:lineRule="exact"/>
        <w:ind w:firstLine="3614" w:firstLineChars="1000"/>
        <w:rPr>
          <w:rFonts w:hint="eastAsia" w:ascii="宋体" w:hAnsi="宋体" w:eastAsia="宋体" w:cs="宋体"/>
          <w:b/>
          <w:bCs/>
          <w:color w:val="auto"/>
          <w:sz w:val="36"/>
          <w:szCs w:val="36"/>
          <w:highlight w:val="none"/>
        </w:rPr>
      </w:pPr>
      <w:r>
        <w:rPr>
          <w:rFonts w:hint="eastAsia" w:ascii="宋体" w:hAnsi="宋体" w:eastAsia="宋体" w:cs="宋体"/>
          <w:b/>
          <w:bCs/>
          <w:color w:val="auto"/>
          <w:sz w:val="36"/>
          <w:szCs w:val="36"/>
          <w:highlight w:val="none"/>
        </w:rPr>
        <w:t>中小微企业划型标准</w:t>
      </w:r>
    </w:p>
    <w:tbl>
      <w:tblPr>
        <w:tblStyle w:val="23"/>
        <w:tblW w:w="9757" w:type="dxa"/>
        <w:tblInd w:w="250" w:type="dxa"/>
        <w:tblLayout w:type="fixed"/>
        <w:tblCellMar>
          <w:top w:w="0" w:type="dxa"/>
          <w:left w:w="108" w:type="dxa"/>
          <w:bottom w:w="0" w:type="dxa"/>
          <w:right w:w="108" w:type="dxa"/>
        </w:tblCellMar>
      </w:tblPr>
      <w:tblGrid>
        <w:gridCol w:w="2039"/>
        <w:gridCol w:w="2038"/>
        <w:gridCol w:w="874"/>
        <w:gridCol w:w="1893"/>
        <w:gridCol w:w="1748"/>
        <w:gridCol w:w="1165"/>
      </w:tblGrid>
      <w:tr w14:paraId="3B55B351">
        <w:tblPrEx>
          <w:tblCellMar>
            <w:top w:w="0" w:type="dxa"/>
            <w:left w:w="108" w:type="dxa"/>
            <w:bottom w:w="0" w:type="dxa"/>
            <w:right w:w="108" w:type="dxa"/>
          </w:tblCellMar>
        </w:tblPrEx>
        <w:trPr>
          <w:trHeight w:val="792" w:hRule="atLeast"/>
        </w:trPr>
        <w:tc>
          <w:tcPr>
            <w:tcW w:w="2039" w:type="dxa"/>
            <w:tcBorders>
              <w:top w:val="single" w:color="auto" w:sz="4" w:space="0"/>
              <w:left w:val="single" w:color="auto" w:sz="4" w:space="0"/>
              <w:bottom w:val="single" w:color="auto" w:sz="4" w:space="0"/>
              <w:right w:val="single" w:color="auto" w:sz="4" w:space="0"/>
            </w:tcBorders>
            <w:noWrap w:val="0"/>
            <w:vAlign w:val="center"/>
          </w:tcPr>
          <w:p w14:paraId="4F06061C">
            <w:pPr>
              <w:widowControl/>
              <w:jc w:val="left"/>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行业名称</w:t>
            </w:r>
          </w:p>
        </w:tc>
        <w:tc>
          <w:tcPr>
            <w:tcW w:w="2038" w:type="dxa"/>
            <w:tcBorders>
              <w:top w:val="single" w:color="auto" w:sz="4" w:space="0"/>
              <w:left w:val="nil"/>
              <w:bottom w:val="single" w:color="auto" w:sz="4" w:space="0"/>
              <w:right w:val="single" w:color="auto" w:sz="4" w:space="0"/>
            </w:tcBorders>
            <w:noWrap w:val="0"/>
            <w:vAlign w:val="center"/>
          </w:tcPr>
          <w:p w14:paraId="6584715B">
            <w:pPr>
              <w:widowControl/>
              <w:jc w:val="left"/>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指标名称</w:t>
            </w:r>
          </w:p>
        </w:tc>
        <w:tc>
          <w:tcPr>
            <w:tcW w:w="874" w:type="dxa"/>
            <w:tcBorders>
              <w:top w:val="single" w:color="auto" w:sz="4" w:space="0"/>
              <w:left w:val="nil"/>
              <w:bottom w:val="single" w:color="auto" w:sz="4" w:space="0"/>
              <w:right w:val="single" w:color="auto" w:sz="4" w:space="0"/>
            </w:tcBorders>
            <w:noWrap w:val="0"/>
            <w:vAlign w:val="center"/>
          </w:tcPr>
          <w:p w14:paraId="22D94FC5">
            <w:pPr>
              <w:widowControl/>
              <w:jc w:val="left"/>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计量单位</w:t>
            </w:r>
          </w:p>
        </w:tc>
        <w:tc>
          <w:tcPr>
            <w:tcW w:w="1893" w:type="dxa"/>
            <w:tcBorders>
              <w:top w:val="single" w:color="auto" w:sz="4" w:space="0"/>
              <w:left w:val="nil"/>
              <w:bottom w:val="single" w:color="auto" w:sz="4" w:space="0"/>
              <w:right w:val="single" w:color="auto" w:sz="4" w:space="0"/>
            </w:tcBorders>
            <w:noWrap w:val="0"/>
            <w:vAlign w:val="center"/>
          </w:tcPr>
          <w:p w14:paraId="7718B504">
            <w:pPr>
              <w:widowControl/>
              <w:jc w:val="left"/>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中型</w:t>
            </w:r>
          </w:p>
        </w:tc>
        <w:tc>
          <w:tcPr>
            <w:tcW w:w="1748" w:type="dxa"/>
            <w:tcBorders>
              <w:top w:val="single" w:color="auto" w:sz="4" w:space="0"/>
              <w:left w:val="nil"/>
              <w:bottom w:val="single" w:color="auto" w:sz="4" w:space="0"/>
              <w:right w:val="single" w:color="auto" w:sz="4" w:space="0"/>
            </w:tcBorders>
            <w:noWrap w:val="0"/>
            <w:vAlign w:val="center"/>
          </w:tcPr>
          <w:p w14:paraId="6D4AD030">
            <w:pPr>
              <w:widowControl/>
              <w:jc w:val="left"/>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小型</w:t>
            </w:r>
          </w:p>
        </w:tc>
        <w:tc>
          <w:tcPr>
            <w:tcW w:w="1165" w:type="dxa"/>
            <w:tcBorders>
              <w:top w:val="single" w:color="auto" w:sz="4" w:space="0"/>
              <w:left w:val="nil"/>
              <w:bottom w:val="single" w:color="auto" w:sz="4" w:space="0"/>
              <w:right w:val="single" w:color="auto" w:sz="4" w:space="0"/>
            </w:tcBorders>
            <w:noWrap w:val="0"/>
            <w:vAlign w:val="center"/>
          </w:tcPr>
          <w:p w14:paraId="0137114A">
            <w:pPr>
              <w:widowControl/>
              <w:jc w:val="left"/>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微型</w:t>
            </w:r>
          </w:p>
        </w:tc>
      </w:tr>
      <w:tr w14:paraId="6ED0A5AF">
        <w:tblPrEx>
          <w:tblCellMar>
            <w:top w:w="0" w:type="dxa"/>
            <w:left w:w="108" w:type="dxa"/>
            <w:bottom w:w="0" w:type="dxa"/>
            <w:right w:w="108" w:type="dxa"/>
          </w:tblCellMar>
        </w:tblPrEx>
        <w:trPr>
          <w:trHeight w:val="311" w:hRule="atLeast"/>
        </w:trPr>
        <w:tc>
          <w:tcPr>
            <w:tcW w:w="2039" w:type="dxa"/>
            <w:tcBorders>
              <w:top w:val="nil"/>
              <w:left w:val="single" w:color="auto" w:sz="4" w:space="0"/>
              <w:bottom w:val="single" w:color="auto" w:sz="4" w:space="0"/>
              <w:right w:val="single" w:color="auto" w:sz="4" w:space="0"/>
            </w:tcBorders>
            <w:noWrap w:val="0"/>
            <w:vAlign w:val="center"/>
          </w:tcPr>
          <w:p w14:paraId="1A52AB78">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农、林、牧、渔</w:t>
            </w:r>
          </w:p>
        </w:tc>
        <w:tc>
          <w:tcPr>
            <w:tcW w:w="2038" w:type="dxa"/>
            <w:tcBorders>
              <w:top w:val="nil"/>
              <w:left w:val="nil"/>
              <w:bottom w:val="single" w:color="auto" w:sz="4" w:space="0"/>
              <w:right w:val="single" w:color="auto" w:sz="4" w:space="0"/>
            </w:tcBorders>
            <w:noWrap w:val="0"/>
            <w:vAlign w:val="center"/>
          </w:tcPr>
          <w:p w14:paraId="457216EE">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74" w:type="dxa"/>
            <w:tcBorders>
              <w:top w:val="nil"/>
              <w:left w:val="nil"/>
              <w:bottom w:val="single" w:color="auto" w:sz="4" w:space="0"/>
              <w:right w:val="single" w:color="auto" w:sz="4" w:space="0"/>
            </w:tcBorders>
            <w:noWrap w:val="0"/>
            <w:vAlign w:val="center"/>
          </w:tcPr>
          <w:p w14:paraId="041C1973">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93" w:type="dxa"/>
            <w:tcBorders>
              <w:top w:val="nil"/>
              <w:left w:val="nil"/>
              <w:bottom w:val="single" w:color="auto" w:sz="4" w:space="0"/>
              <w:right w:val="single" w:color="auto" w:sz="4" w:space="0"/>
            </w:tcBorders>
            <w:noWrap w:val="0"/>
            <w:vAlign w:val="center"/>
          </w:tcPr>
          <w:p w14:paraId="2468FB27">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500≤Y＜20000</w:t>
            </w:r>
          </w:p>
        </w:tc>
        <w:tc>
          <w:tcPr>
            <w:tcW w:w="1748" w:type="dxa"/>
            <w:tcBorders>
              <w:top w:val="nil"/>
              <w:left w:val="nil"/>
              <w:bottom w:val="single" w:color="auto" w:sz="4" w:space="0"/>
              <w:right w:val="single" w:color="auto" w:sz="4" w:space="0"/>
            </w:tcBorders>
            <w:noWrap w:val="0"/>
            <w:vAlign w:val="center"/>
          </w:tcPr>
          <w:p w14:paraId="7028B4B2">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50≤Y＜500</w:t>
            </w:r>
          </w:p>
        </w:tc>
        <w:tc>
          <w:tcPr>
            <w:tcW w:w="1165" w:type="dxa"/>
            <w:tcBorders>
              <w:top w:val="nil"/>
              <w:left w:val="nil"/>
              <w:bottom w:val="single" w:color="auto" w:sz="4" w:space="0"/>
              <w:right w:val="single" w:color="auto" w:sz="4" w:space="0"/>
            </w:tcBorders>
            <w:noWrap w:val="0"/>
            <w:vAlign w:val="center"/>
          </w:tcPr>
          <w:p w14:paraId="03C0C248">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Y＜50</w:t>
            </w:r>
          </w:p>
        </w:tc>
      </w:tr>
      <w:tr w14:paraId="3FB01B70">
        <w:tblPrEx>
          <w:tblCellMar>
            <w:top w:w="0" w:type="dxa"/>
            <w:left w:w="108" w:type="dxa"/>
            <w:bottom w:w="0" w:type="dxa"/>
            <w:right w:w="108" w:type="dxa"/>
          </w:tblCellMar>
        </w:tblPrEx>
        <w:trPr>
          <w:trHeight w:val="311" w:hRule="atLeast"/>
        </w:trPr>
        <w:tc>
          <w:tcPr>
            <w:tcW w:w="2039" w:type="dxa"/>
            <w:vMerge w:val="restart"/>
            <w:tcBorders>
              <w:top w:val="nil"/>
              <w:left w:val="single" w:color="auto" w:sz="4" w:space="0"/>
              <w:bottom w:val="single" w:color="auto" w:sz="4" w:space="0"/>
              <w:right w:val="single" w:color="auto" w:sz="4" w:space="0"/>
            </w:tcBorders>
            <w:noWrap w:val="0"/>
            <w:vAlign w:val="center"/>
          </w:tcPr>
          <w:p w14:paraId="1C3EA74F">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工业</w:t>
            </w:r>
          </w:p>
        </w:tc>
        <w:tc>
          <w:tcPr>
            <w:tcW w:w="2038" w:type="dxa"/>
            <w:tcBorders>
              <w:top w:val="nil"/>
              <w:left w:val="nil"/>
              <w:bottom w:val="single" w:color="auto" w:sz="4" w:space="0"/>
              <w:right w:val="single" w:color="auto" w:sz="4" w:space="0"/>
            </w:tcBorders>
            <w:noWrap w:val="0"/>
            <w:vAlign w:val="center"/>
          </w:tcPr>
          <w:p w14:paraId="0123F29D">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874" w:type="dxa"/>
            <w:tcBorders>
              <w:top w:val="nil"/>
              <w:left w:val="nil"/>
              <w:bottom w:val="single" w:color="auto" w:sz="4" w:space="0"/>
              <w:right w:val="single" w:color="auto" w:sz="4" w:space="0"/>
            </w:tcBorders>
            <w:noWrap w:val="0"/>
            <w:vAlign w:val="center"/>
          </w:tcPr>
          <w:p w14:paraId="5857047A">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893" w:type="dxa"/>
            <w:tcBorders>
              <w:top w:val="nil"/>
              <w:left w:val="nil"/>
              <w:bottom w:val="single" w:color="auto" w:sz="4" w:space="0"/>
              <w:right w:val="single" w:color="auto" w:sz="4" w:space="0"/>
            </w:tcBorders>
            <w:noWrap w:val="0"/>
            <w:vAlign w:val="center"/>
          </w:tcPr>
          <w:p w14:paraId="4DD92533">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300≤X＜1000</w:t>
            </w:r>
          </w:p>
        </w:tc>
        <w:tc>
          <w:tcPr>
            <w:tcW w:w="1748" w:type="dxa"/>
            <w:tcBorders>
              <w:top w:val="nil"/>
              <w:left w:val="nil"/>
              <w:bottom w:val="single" w:color="auto" w:sz="4" w:space="0"/>
              <w:right w:val="single" w:color="auto" w:sz="4" w:space="0"/>
            </w:tcBorders>
            <w:noWrap w:val="0"/>
            <w:vAlign w:val="center"/>
          </w:tcPr>
          <w:p w14:paraId="1D394228">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20≤X＜300</w:t>
            </w:r>
          </w:p>
        </w:tc>
        <w:tc>
          <w:tcPr>
            <w:tcW w:w="1165" w:type="dxa"/>
            <w:tcBorders>
              <w:top w:val="nil"/>
              <w:left w:val="nil"/>
              <w:bottom w:val="single" w:color="auto" w:sz="4" w:space="0"/>
              <w:right w:val="single" w:color="auto" w:sz="4" w:space="0"/>
            </w:tcBorders>
            <w:noWrap w:val="0"/>
            <w:vAlign w:val="center"/>
          </w:tcPr>
          <w:p w14:paraId="300F9098">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X＜20</w:t>
            </w:r>
          </w:p>
        </w:tc>
      </w:tr>
      <w:tr w14:paraId="676037C0">
        <w:tblPrEx>
          <w:tblCellMar>
            <w:top w:w="0" w:type="dxa"/>
            <w:left w:w="108" w:type="dxa"/>
            <w:bottom w:w="0" w:type="dxa"/>
            <w:right w:w="108" w:type="dxa"/>
          </w:tblCellMar>
        </w:tblPrEx>
        <w:trPr>
          <w:trHeight w:val="311" w:hRule="atLeast"/>
        </w:trPr>
        <w:tc>
          <w:tcPr>
            <w:tcW w:w="2039" w:type="dxa"/>
            <w:vMerge w:val="continue"/>
            <w:tcBorders>
              <w:top w:val="nil"/>
              <w:left w:val="single" w:color="auto" w:sz="4" w:space="0"/>
              <w:bottom w:val="single" w:color="auto" w:sz="4" w:space="0"/>
              <w:right w:val="single" w:color="auto" w:sz="4" w:space="0"/>
            </w:tcBorders>
            <w:noWrap w:val="0"/>
            <w:vAlign w:val="center"/>
          </w:tcPr>
          <w:p w14:paraId="3FD44705">
            <w:pPr>
              <w:widowControl/>
              <w:jc w:val="center"/>
              <w:rPr>
                <w:rFonts w:hint="eastAsia" w:ascii="宋体" w:hAnsi="宋体" w:eastAsia="宋体" w:cs="宋体"/>
                <w:b/>
                <w:bCs/>
                <w:color w:val="auto"/>
                <w:kern w:val="0"/>
                <w:sz w:val="18"/>
                <w:szCs w:val="18"/>
                <w:highlight w:val="none"/>
              </w:rPr>
            </w:pPr>
          </w:p>
        </w:tc>
        <w:tc>
          <w:tcPr>
            <w:tcW w:w="2038" w:type="dxa"/>
            <w:tcBorders>
              <w:top w:val="nil"/>
              <w:left w:val="nil"/>
              <w:bottom w:val="single" w:color="auto" w:sz="4" w:space="0"/>
              <w:right w:val="single" w:color="auto" w:sz="4" w:space="0"/>
            </w:tcBorders>
            <w:noWrap w:val="0"/>
            <w:vAlign w:val="center"/>
          </w:tcPr>
          <w:p w14:paraId="627DF204">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74" w:type="dxa"/>
            <w:tcBorders>
              <w:top w:val="nil"/>
              <w:left w:val="nil"/>
              <w:bottom w:val="single" w:color="auto" w:sz="4" w:space="0"/>
              <w:right w:val="single" w:color="auto" w:sz="4" w:space="0"/>
            </w:tcBorders>
            <w:noWrap w:val="0"/>
            <w:vAlign w:val="center"/>
          </w:tcPr>
          <w:p w14:paraId="580C4CB1">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93" w:type="dxa"/>
            <w:tcBorders>
              <w:top w:val="nil"/>
              <w:left w:val="nil"/>
              <w:bottom w:val="single" w:color="auto" w:sz="4" w:space="0"/>
              <w:right w:val="single" w:color="auto" w:sz="4" w:space="0"/>
            </w:tcBorders>
            <w:noWrap w:val="0"/>
            <w:vAlign w:val="center"/>
          </w:tcPr>
          <w:p w14:paraId="725FDBCF">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2000≤Y＜40000</w:t>
            </w:r>
          </w:p>
        </w:tc>
        <w:tc>
          <w:tcPr>
            <w:tcW w:w="1748" w:type="dxa"/>
            <w:tcBorders>
              <w:top w:val="nil"/>
              <w:left w:val="nil"/>
              <w:bottom w:val="single" w:color="auto" w:sz="4" w:space="0"/>
              <w:right w:val="single" w:color="auto" w:sz="4" w:space="0"/>
            </w:tcBorders>
            <w:noWrap w:val="0"/>
            <w:vAlign w:val="center"/>
          </w:tcPr>
          <w:p w14:paraId="5E5F338D">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300≤Y＜2000</w:t>
            </w:r>
          </w:p>
        </w:tc>
        <w:tc>
          <w:tcPr>
            <w:tcW w:w="1165" w:type="dxa"/>
            <w:tcBorders>
              <w:top w:val="nil"/>
              <w:left w:val="nil"/>
              <w:bottom w:val="single" w:color="auto" w:sz="4" w:space="0"/>
              <w:right w:val="single" w:color="auto" w:sz="4" w:space="0"/>
            </w:tcBorders>
            <w:noWrap w:val="0"/>
            <w:vAlign w:val="center"/>
          </w:tcPr>
          <w:p w14:paraId="5E3BB5C6">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Y＜300</w:t>
            </w:r>
          </w:p>
        </w:tc>
      </w:tr>
      <w:tr w14:paraId="0B94EE1D">
        <w:tblPrEx>
          <w:tblCellMar>
            <w:top w:w="0" w:type="dxa"/>
            <w:left w:w="108" w:type="dxa"/>
            <w:bottom w:w="0" w:type="dxa"/>
            <w:right w:w="108" w:type="dxa"/>
          </w:tblCellMar>
        </w:tblPrEx>
        <w:trPr>
          <w:trHeight w:val="311" w:hRule="atLeast"/>
        </w:trPr>
        <w:tc>
          <w:tcPr>
            <w:tcW w:w="2039" w:type="dxa"/>
            <w:vMerge w:val="restart"/>
            <w:tcBorders>
              <w:top w:val="nil"/>
              <w:left w:val="single" w:color="auto" w:sz="4" w:space="0"/>
              <w:bottom w:val="single" w:color="auto" w:sz="4" w:space="0"/>
              <w:right w:val="single" w:color="auto" w:sz="4" w:space="0"/>
            </w:tcBorders>
            <w:noWrap w:val="0"/>
            <w:vAlign w:val="center"/>
          </w:tcPr>
          <w:p w14:paraId="3D317446">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建筑业</w:t>
            </w:r>
          </w:p>
        </w:tc>
        <w:tc>
          <w:tcPr>
            <w:tcW w:w="2038" w:type="dxa"/>
            <w:tcBorders>
              <w:top w:val="nil"/>
              <w:left w:val="nil"/>
              <w:bottom w:val="single" w:color="auto" w:sz="4" w:space="0"/>
              <w:right w:val="single" w:color="auto" w:sz="4" w:space="0"/>
            </w:tcBorders>
            <w:noWrap w:val="0"/>
            <w:vAlign w:val="center"/>
          </w:tcPr>
          <w:p w14:paraId="01713F23">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74" w:type="dxa"/>
            <w:tcBorders>
              <w:top w:val="nil"/>
              <w:left w:val="nil"/>
              <w:bottom w:val="single" w:color="auto" w:sz="4" w:space="0"/>
              <w:right w:val="single" w:color="auto" w:sz="4" w:space="0"/>
            </w:tcBorders>
            <w:noWrap w:val="0"/>
            <w:vAlign w:val="center"/>
          </w:tcPr>
          <w:p w14:paraId="165A3D3C">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93" w:type="dxa"/>
            <w:tcBorders>
              <w:top w:val="nil"/>
              <w:left w:val="nil"/>
              <w:bottom w:val="single" w:color="auto" w:sz="4" w:space="0"/>
              <w:right w:val="single" w:color="auto" w:sz="4" w:space="0"/>
            </w:tcBorders>
            <w:noWrap w:val="0"/>
            <w:vAlign w:val="center"/>
          </w:tcPr>
          <w:p w14:paraId="617B0E45">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6000≤Y＜80000</w:t>
            </w:r>
          </w:p>
        </w:tc>
        <w:tc>
          <w:tcPr>
            <w:tcW w:w="1748" w:type="dxa"/>
            <w:tcBorders>
              <w:top w:val="nil"/>
              <w:left w:val="nil"/>
              <w:bottom w:val="single" w:color="auto" w:sz="4" w:space="0"/>
              <w:right w:val="single" w:color="auto" w:sz="4" w:space="0"/>
            </w:tcBorders>
            <w:noWrap w:val="0"/>
            <w:vAlign w:val="center"/>
          </w:tcPr>
          <w:p w14:paraId="74CA0EC0">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300≤Y＜6000</w:t>
            </w:r>
          </w:p>
        </w:tc>
        <w:tc>
          <w:tcPr>
            <w:tcW w:w="1165" w:type="dxa"/>
            <w:tcBorders>
              <w:top w:val="nil"/>
              <w:left w:val="nil"/>
              <w:bottom w:val="single" w:color="auto" w:sz="4" w:space="0"/>
              <w:right w:val="single" w:color="auto" w:sz="4" w:space="0"/>
            </w:tcBorders>
            <w:noWrap w:val="0"/>
            <w:vAlign w:val="center"/>
          </w:tcPr>
          <w:p w14:paraId="576ADA27">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Y＜300</w:t>
            </w:r>
          </w:p>
        </w:tc>
      </w:tr>
      <w:tr w14:paraId="292E7DE3">
        <w:tblPrEx>
          <w:tblCellMar>
            <w:top w:w="0" w:type="dxa"/>
            <w:left w:w="108" w:type="dxa"/>
            <w:bottom w:w="0" w:type="dxa"/>
            <w:right w:w="108" w:type="dxa"/>
          </w:tblCellMar>
        </w:tblPrEx>
        <w:trPr>
          <w:trHeight w:val="311" w:hRule="atLeast"/>
        </w:trPr>
        <w:tc>
          <w:tcPr>
            <w:tcW w:w="2039" w:type="dxa"/>
            <w:vMerge w:val="continue"/>
            <w:tcBorders>
              <w:top w:val="nil"/>
              <w:left w:val="single" w:color="auto" w:sz="4" w:space="0"/>
              <w:bottom w:val="single" w:color="auto" w:sz="4" w:space="0"/>
              <w:right w:val="single" w:color="auto" w:sz="4" w:space="0"/>
            </w:tcBorders>
            <w:noWrap w:val="0"/>
            <w:vAlign w:val="center"/>
          </w:tcPr>
          <w:p w14:paraId="6C213424">
            <w:pPr>
              <w:widowControl/>
              <w:jc w:val="center"/>
              <w:rPr>
                <w:rFonts w:hint="eastAsia" w:ascii="宋体" w:hAnsi="宋体" w:eastAsia="宋体" w:cs="宋体"/>
                <w:b/>
                <w:bCs/>
                <w:color w:val="auto"/>
                <w:kern w:val="0"/>
                <w:sz w:val="18"/>
                <w:szCs w:val="18"/>
                <w:highlight w:val="none"/>
              </w:rPr>
            </w:pPr>
          </w:p>
        </w:tc>
        <w:tc>
          <w:tcPr>
            <w:tcW w:w="2038" w:type="dxa"/>
            <w:tcBorders>
              <w:top w:val="nil"/>
              <w:left w:val="nil"/>
              <w:bottom w:val="single" w:color="auto" w:sz="4" w:space="0"/>
              <w:right w:val="single" w:color="auto" w:sz="4" w:space="0"/>
            </w:tcBorders>
            <w:noWrap w:val="0"/>
            <w:vAlign w:val="center"/>
          </w:tcPr>
          <w:p w14:paraId="51D6896A">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资产总额（Z）</w:t>
            </w:r>
          </w:p>
        </w:tc>
        <w:tc>
          <w:tcPr>
            <w:tcW w:w="874" w:type="dxa"/>
            <w:tcBorders>
              <w:top w:val="nil"/>
              <w:left w:val="nil"/>
              <w:bottom w:val="single" w:color="auto" w:sz="4" w:space="0"/>
              <w:right w:val="single" w:color="auto" w:sz="4" w:space="0"/>
            </w:tcBorders>
            <w:noWrap w:val="0"/>
            <w:vAlign w:val="center"/>
          </w:tcPr>
          <w:p w14:paraId="1642E4A5">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93" w:type="dxa"/>
            <w:tcBorders>
              <w:top w:val="nil"/>
              <w:left w:val="nil"/>
              <w:bottom w:val="single" w:color="auto" w:sz="4" w:space="0"/>
              <w:right w:val="single" w:color="auto" w:sz="4" w:space="0"/>
            </w:tcBorders>
            <w:noWrap w:val="0"/>
            <w:vAlign w:val="center"/>
          </w:tcPr>
          <w:p w14:paraId="2AB86513">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5000≤Z＜80000</w:t>
            </w:r>
          </w:p>
        </w:tc>
        <w:tc>
          <w:tcPr>
            <w:tcW w:w="1748" w:type="dxa"/>
            <w:tcBorders>
              <w:top w:val="nil"/>
              <w:left w:val="nil"/>
              <w:bottom w:val="single" w:color="auto" w:sz="4" w:space="0"/>
              <w:right w:val="single" w:color="auto" w:sz="4" w:space="0"/>
            </w:tcBorders>
            <w:noWrap w:val="0"/>
            <w:vAlign w:val="center"/>
          </w:tcPr>
          <w:p w14:paraId="083B094E">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300≤Z＜5000</w:t>
            </w:r>
          </w:p>
        </w:tc>
        <w:tc>
          <w:tcPr>
            <w:tcW w:w="1165" w:type="dxa"/>
            <w:tcBorders>
              <w:top w:val="nil"/>
              <w:left w:val="nil"/>
              <w:bottom w:val="single" w:color="auto" w:sz="4" w:space="0"/>
              <w:right w:val="single" w:color="auto" w:sz="4" w:space="0"/>
            </w:tcBorders>
            <w:noWrap w:val="0"/>
            <w:vAlign w:val="center"/>
          </w:tcPr>
          <w:p w14:paraId="44020A03">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Z＜300</w:t>
            </w:r>
          </w:p>
        </w:tc>
      </w:tr>
      <w:tr w14:paraId="4BFBDC1C">
        <w:tblPrEx>
          <w:tblCellMar>
            <w:top w:w="0" w:type="dxa"/>
            <w:left w:w="108" w:type="dxa"/>
            <w:bottom w:w="0" w:type="dxa"/>
            <w:right w:w="108" w:type="dxa"/>
          </w:tblCellMar>
        </w:tblPrEx>
        <w:trPr>
          <w:trHeight w:val="311" w:hRule="atLeast"/>
        </w:trPr>
        <w:tc>
          <w:tcPr>
            <w:tcW w:w="2039" w:type="dxa"/>
            <w:vMerge w:val="restart"/>
            <w:tcBorders>
              <w:top w:val="nil"/>
              <w:left w:val="single" w:color="auto" w:sz="4" w:space="0"/>
              <w:bottom w:val="single" w:color="auto" w:sz="4" w:space="0"/>
              <w:right w:val="single" w:color="auto" w:sz="4" w:space="0"/>
            </w:tcBorders>
            <w:noWrap w:val="0"/>
            <w:vAlign w:val="center"/>
          </w:tcPr>
          <w:p w14:paraId="58DFE3B1">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批发业</w:t>
            </w:r>
          </w:p>
        </w:tc>
        <w:tc>
          <w:tcPr>
            <w:tcW w:w="2038" w:type="dxa"/>
            <w:tcBorders>
              <w:top w:val="nil"/>
              <w:left w:val="nil"/>
              <w:bottom w:val="single" w:color="auto" w:sz="4" w:space="0"/>
              <w:right w:val="single" w:color="auto" w:sz="4" w:space="0"/>
            </w:tcBorders>
            <w:noWrap w:val="0"/>
            <w:vAlign w:val="center"/>
          </w:tcPr>
          <w:p w14:paraId="6C676F35">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874" w:type="dxa"/>
            <w:tcBorders>
              <w:top w:val="nil"/>
              <w:left w:val="nil"/>
              <w:bottom w:val="single" w:color="auto" w:sz="4" w:space="0"/>
              <w:right w:val="single" w:color="auto" w:sz="4" w:space="0"/>
            </w:tcBorders>
            <w:noWrap w:val="0"/>
            <w:vAlign w:val="center"/>
          </w:tcPr>
          <w:p w14:paraId="1D7F352B">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893" w:type="dxa"/>
            <w:tcBorders>
              <w:top w:val="nil"/>
              <w:left w:val="nil"/>
              <w:bottom w:val="single" w:color="auto" w:sz="4" w:space="0"/>
              <w:right w:val="single" w:color="auto" w:sz="4" w:space="0"/>
            </w:tcBorders>
            <w:noWrap w:val="0"/>
            <w:vAlign w:val="center"/>
          </w:tcPr>
          <w:p w14:paraId="424A3D9D">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20≤X＜200</w:t>
            </w:r>
          </w:p>
        </w:tc>
        <w:tc>
          <w:tcPr>
            <w:tcW w:w="1748" w:type="dxa"/>
            <w:tcBorders>
              <w:top w:val="nil"/>
              <w:left w:val="nil"/>
              <w:bottom w:val="single" w:color="auto" w:sz="4" w:space="0"/>
              <w:right w:val="single" w:color="auto" w:sz="4" w:space="0"/>
            </w:tcBorders>
            <w:noWrap w:val="0"/>
            <w:vAlign w:val="center"/>
          </w:tcPr>
          <w:p w14:paraId="5793FDA8">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5≤X＜20</w:t>
            </w:r>
          </w:p>
        </w:tc>
        <w:tc>
          <w:tcPr>
            <w:tcW w:w="1165" w:type="dxa"/>
            <w:tcBorders>
              <w:top w:val="nil"/>
              <w:left w:val="nil"/>
              <w:bottom w:val="single" w:color="auto" w:sz="4" w:space="0"/>
              <w:right w:val="single" w:color="auto" w:sz="4" w:space="0"/>
            </w:tcBorders>
            <w:noWrap w:val="0"/>
            <w:vAlign w:val="center"/>
          </w:tcPr>
          <w:p w14:paraId="1F06D171">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X＜5</w:t>
            </w:r>
          </w:p>
        </w:tc>
      </w:tr>
      <w:tr w14:paraId="778C7DF0">
        <w:tblPrEx>
          <w:tblCellMar>
            <w:top w:w="0" w:type="dxa"/>
            <w:left w:w="108" w:type="dxa"/>
            <w:bottom w:w="0" w:type="dxa"/>
            <w:right w:w="108" w:type="dxa"/>
          </w:tblCellMar>
        </w:tblPrEx>
        <w:trPr>
          <w:trHeight w:val="311" w:hRule="atLeast"/>
        </w:trPr>
        <w:tc>
          <w:tcPr>
            <w:tcW w:w="2039" w:type="dxa"/>
            <w:vMerge w:val="continue"/>
            <w:tcBorders>
              <w:top w:val="nil"/>
              <w:left w:val="single" w:color="auto" w:sz="4" w:space="0"/>
              <w:bottom w:val="single" w:color="auto" w:sz="4" w:space="0"/>
              <w:right w:val="single" w:color="auto" w:sz="4" w:space="0"/>
            </w:tcBorders>
            <w:noWrap w:val="0"/>
            <w:vAlign w:val="center"/>
          </w:tcPr>
          <w:p w14:paraId="50CEAC4E">
            <w:pPr>
              <w:widowControl/>
              <w:jc w:val="center"/>
              <w:rPr>
                <w:rFonts w:hint="eastAsia" w:ascii="宋体" w:hAnsi="宋体" w:eastAsia="宋体" w:cs="宋体"/>
                <w:b/>
                <w:bCs/>
                <w:color w:val="auto"/>
                <w:kern w:val="0"/>
                <w:sz w:val="18"/>
                <w:szCs w:val="18"/>
                <w:highlight w:val="none"/>
              </w:rPr>
            </w:pPr>
          </w:p>
        </w:tc>
        <w:tc>
          <w:tcPr>
            <w:tcW w:w="2038" w:type="dxa"/>
            <w:tcBorders>
              <w:top w:val="nil"/>
              <w:left w:val="nil"/>
              <w:bottom w:val="single" w:color="auto" w:sz="4" w:space="0"/>
              <w:right w:val="single" w:color="auto" w:sz="4" w:space="0"/>
            </w:tcBorders>
            <w:noWrap w:val="0"/>
            <w:vAlign w:val="center"/>
          </w:tcPr>
          <w:p w14:paraId="79A0987F">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74" w:type="dxa"/>
            <w:tcBorders>
              <w:top w:val="nil"/>
              <w:left w:val="nil"/>
              <w:bottom w:val="single" w:color="auto" w:sz="4" w:space="0"/>
              <w:right w:val="single" w:color="auto" w:sz="4" w:space="0"/>
            </w:tcBorders>
            <w:noWrap w:val="0"/>
            <w:vAlign w:val="center"/>
          </w:tcPr>
          <w:p w14:paraId="2B5FC118">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93" w:type="dxa"/>
            <w:tcBorders>
              <w:top w:val="nil"/>
              <w:left w:val="nil"/>
              <w:bottom w:val="single" w:color="auto" w:sz="4" w:space="0"/>
              <w:right w:val="single" w:color="auto" w:sz="4" w:space="0"/>
            </w:tcBorders>
            <w:noWrap w:val="0"/>
            <w:vAlign w:val="center"/>
          </w:tcPr>
          <w:p w14:paraId="61BC8279">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5000≤Y＜40000</w:t>
            </w:r>
          </w:p>
        </w:tc>
        <w:tc>
          <w:tcPr>
            <w:tcW w:w="1748" w:type="dxa"/>
            <w:tcBorders>
              <w:top w:val="nil"/>
              <w:left w:val="nil"/>
              <w:bottom w:val="single" w:color="auto" w:sz="4" w:space="0"/>
              <w:right w:val="single" w:color="auto" w:sz="4" w:space="0"/>
            </w:tcBorders>
            <w:noWrap w:val="0"/>
            <w:vAlign w:val="center"/>
          </w:tcPr>
          <w:p w14:paraId="63221583">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1000≤Y＜5000</w:t>
            </w:r>
          </w:p>
        </w:tc>
        <w:tc>
          <w:tcPr>
            <w:tcW w:w="1165" w:type="dxa"/>
            <w:tcBorders>
              <w:top w:val="nil"/>
              <w:left w:val="nil"/>
              <w:bottom w:val="single" w:color="auto" w:sz="4" w:space="0"/>
              <w:right w:val="single" w:color="auto" w:sz="4" w:space="0"/>
            </w:tcBorders>
            <w:noWrap w:val="0"/>
            <w:vAlign w:val="center"/>
          </w:tcPr>
          <w:p w14:paraId="16262E04">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Y＜1000</w:t>
            </w:r>
          </w:p>
        </w:tc>
      </w:tr>
      <w:tr w14:paraId="0997DB28">
        <w:tblPrEx>
          <w:tblCellMar>
            <w:top w:w="0" w:type="dxa"/>
            <w:left w:w="108" w:type="dxa"/>
            <w:bottom w:w="0" w:type="dxa"/>
            <w:right w:w="108" w:type="dxa"/>
          </w:tblCellMar>
        </w:tblPrEx>
        <w:trPr>
          <w:trHeight w:val="311" w:hRule="atLeast"/>
        </w:trPr>
        <w:tc>
          <w:tcPr>
            <w:tcW w:w="2039" w:type="dxa"/>
            <w:vMerge w:val="restart"/>
            <w:tcBorders>
              <w:top w:val="nil"/>
              <w:left w:val="single" w:color="auto" w:sz="4" w:space="0"/>
              <w:bottom w:val="single" w:color="auto" w:sz="4" w:space="0"/>
              <w:right w:val="single" w:color="auto" w:sz="4" w:space="0"/>
            </w:tcBorders>
            <w:noWrap w:val="0"/>
            <w:vAlign w:val="center"/>
          </w:tcPr>
          <w:p w14:paraId="0AF4A876">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零售业</w:t>
            </w:r>
          </w:p>
        </w:tc>
        <w:tc>
          <w:tcPr>
            <w:tcW w:w="2038" w:type="dxa"/>
            <w:tcBorders>
              <w:top w:val="nil"/>
              <w:left w:val="nil"/>
              <w:bottom w:val="single" w:color="auto" w:sz="4" w:space="0"/>
              <w:right w:val="single" w:color="auto" w:sz="4" w:space="0"/>
            </w:tcBorders>
            <w:noWrap w:val="0"/>
            <w:vAlign w:val="center"/>
          </w:tcPr>
          <w:p w14:paraId="617D87B2">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874" w:type="dxa"/>
            <w:tcBorders>
              <w:top w:val="nil"/>
              <w:left w:val="nil"/>
              <w:bottom w:val="single" w:color="auto" w:sz="4" w:space="0"/>
              <w:right w:val="single" w:color="auto" w:sz="4" w:space="0"/>
            </w:tcBorders>
            <w:noWrap w:val="0"/>
            <w:vAlign w:val="center"/>
          </w:tcPr>
          <w:p w14:paraId="7DD1B544">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893" w:type="dxa"/>
            <w:tcBorders>
              <w:top w:val="nil"/>
              <w:left w:val="nil"/>
              <w:bottom w:val="single" w:color="auto" w:sz="4" w:space="0"/>
              <w:right w:val="single" w:color="auto" w:sz="4" w:space="0"/>
            </w:tcBorders>
            <w:noWrap w:val="0"/>
            <w:vAlign w:val="center"/>
          </w:tcPr>
          <w:p w14:paraId="3EEA05E2">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50≤X＜300</w:t>
            </w:r>
          </w:p>
        </w:tc>
        <w:tc>
          <w:tcPr>
            <w:tcW w:w="1748" w:type="dxa"/>
            <w:tcBorders>
              <w:top w:val="nil"/>
              <w:left w:val="nil"/>
              <w:bottom w:val="single" w:color="auto" w:sz="4" w:space="0"/>
              <w:right w:val="single" w:color="auto" w:sz="4" w:space="0"/>
            </w:tcBorders>
            <w:noWrap w:val="0"/>
            <w:vAlign w:val="center"/>
          </w:tcPr>
          <w:p w14:paraId="06126474">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10≤X＜50</w:t>
            </w:r>
          </w:p>
        </w:tc>
        <w:tc>
          <w:tcPr>
            <w:tcW w:w="1165" w:type="dxa"/>
            <w:tcBorders>
              <w:top w:val="nil"/>
              <w:left w:val="nil"/>
              <w:bottom w:val="single" w:color="auto" w:sz="4" w:space="0"/>
              <w:right w:val="single" w:color="auto" w:sz="4" w:space="0"/>
            </w:tcBorders>
            <w:noWrap w:val="0"/>
            <w:vAlign w:val="center"/>
          </w:tcPr>
          <w:p w14:paraId="51F68A2D">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X＜10</w:t>
            </w:r>
          </w:p>
        </w:tc>
      </w:tr>
      <w:tr w14:paraId="3D8A149B">
        <w:tblPrEx>
          <w:tblCellMar>
            <w:top w:w="0" w:type="dxa"/>
            <w:left w:w="108" w:type="dxa"/>
            <w:bottom w:w="0" w:type="dxa"/>
            <w:right w:w="108" w:type="dxa"/>
          </w:tblCellMar>
        </w:tblPrEx>
        <w:trPr>
          <w:trHeight w:val="311" w:hRule="atLeast"/>
        </w:trPr>
        <w:tc>
          <w:tcPr>
            <w:tcW w:w="2039" w:type="dxa"/>
            <w:vMerge w:val="continue"/>
            <w:tcBorders>
              <w:top w:val="nil"/>
              <w:left w:val="single" w:color="auto" w:sz="4" w:space="0"/>
              <w:bottom w:val="single" w:color="auto" w:sz="4" w:space="0"/>
              <w:right w:val="single" w:color="auto" w:sz="4" w:space="0"/>
            </w:tcBorders>
            <w:noWrap w:val="0"/>
            <w:vAlign w:val="center"/>
          </w:tcPr>
          <w:p w14:paraId="1BDD6234">
            <w:pPr>
              <w:widowControl/>
              <w:jc w:val="center"/>
              <w:rPr>
                <w:rFonts w:hint="eastAsia" w:ascii="宋体" w:hAnsi="宋体" w:eastAsia="宋体" w:cs="宋体"/>
                <w:b/>
                <w:bCs/>
                <w:color w:val="auto"/>
                <w:kern w:val="0"/>
                <w:sz w:val="18"/>
                <w:szCs w:val="18"/>
                <w:highlight w:val="none"/>
              </w:rPr>
            </w:pPr>
          </w:p>
        </w:tc>
        <w:tc>
          <w:tcPr>
            <w:tcW w:w="2038" w:type="dxa"/>
            <w:tcBorders>
              <w:top w:val="nil"/>
              <w:left w:val="nil"/>
              <w:bottom w:val="single" w:color="auto" w:sz="4" w:space="0"/>
              <w:right w:val="single" w:color="auto" w:sz="4" w:space="0"/>
            </w:tcBorders>
            <w:noWrap w:val="0"/>
            <w:vAlign w:val="center"/>
          </w:tcPr>
          <w:p w14:paraId="62089F96">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74" w:type="dxa"/>
            <w:tcBorders>
              <w:top w:val="nil"/>
              <w:left w:val="nil"/>
              <w:bottom w:val="single" w:color="auto" w:sz="4" w:space="0"/>
              <w:right w:val="single" w:color="auto" w:sz="4" w:space="0"/>
            </w:tcBorders>
            <w:noWrap w:val="0"/>
            <w:vAlign w:val="center"/>
          </w:tcPr>
          <w:p w14:paraId="395BD807">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93" w:type="dxa"/>
            <w:tcBorders>
              <w:top w:val="nil"/>
              <w:left w:val="nil"/>
              <w:bottom w:val="single" w:color="auto" w:sz="4" w:space="0"/>
              <w:right w:val="single" w:color="auto" w:sz="4" w:space="0"/>
            </w:tcBorders>
            <w:noWrap w:val="0"/>
            <w:vAlign w:val="center"/>
          </w:tcPr>
          <w:p w14:paraId="6F207A38">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500≤Y＜20000</w:t>
            </w:r>
          </w:p>
        </w:tc>
        <w:tc>
          <w:tcPr>
            <w:tcW w:w="1748" w:type="dxa"/>
            <w:tcBorders>
              <w:top w:val="nil"/>
              <w:left w:val="nil"/>
              <w:bottom w:val="single" w:color="auto" w:sz="4" w:space="0"/>
              <w:right w:val="single" w:color="auto" w:sz="4" w:space="0"/>
            </w:tcBorders>
            <w:noWrap w:val="0"/>
            <w:vAlign w:val="center"/>
          </w:tcPr>
          <w:p w14:paraId="3DAF2FEC">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100≤Y＜500</w:t>
            </w:r>
          </w:p>
        </w:tc>
        <w:tc>
          <w:tcPr>
            <w:tcW w:w="1165" w:type="dxa"/>
            <w:tcBorders>
              <w:top w:val="nil"/>
              <w:left w:val="nil"/>
              <w:bottom w:val="single" w:color="auto" w:sz="4" w:space="0"/>
              <w:right w:val="single" w:color="auto" w:sz="4" w:space="0"/>
            </w:tcBorders>
            <w:noWrap w:val="0"/>
            <w:vAlign w:val="center"/>
          </w:tcPr>
          <w:p w14:paraId="04FDE43B">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Y＜100</w:t>
            </w:r>
          </w:p>
        </w:tc>
      </w:tr>
      <w:tr w14:paraId="358FBB26">
        <w:tblPrEx>
          <w:tblCellMar>
            <w:top w:w="0" w:type="dxa"/>
            <w:left w:w="108" w:type="dxa"/>
            <w:bottom w:w="0" w:type="dxa"/>
            <w:right w:w="108" w:type="dxa"/>
          </w:tblCellMar>
        </w:tblPrEx>
        <w:trPr>
          <w:trHeight w:val="311" w:hRule="atLeast"/>
        </w:trPr>
        <w:tc>
          <w:tcPr>
            <w:tcW w:w="2039" w:type="dxa"/>
            <w:vMerge w:val="restart"/>
            <w:tcBorders>
              <w:top w:val="nil"/>
              <w:left w:val="single" w:color="auto" w:sz="4" w:space="0"/>
              <w:bottom w:val="single" w:color="auto" w:sz="4" w:space="0"/>
              <w:right w:val="single" w:color="auto" w:sz="4" w:space="0"/>
            </w:tcBorders>
            <w:noWrap w:val="0"/>
            <w:vAlign w:val="center"/>
          </w:tcPr>
          <w:p w14:paraId="1CBBBB79">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交通运输业</w:t>
            </w:r>
          </w:p>
        </w:tc>
        <w:tc>
          <w:tcPr>
            <w:tcW w:w="2038" w:type="dxa"/>
            <w:tcBorders>
              <w:top w:val="nil"/>
              <w:left w:val="nil"/>
              <w:bottom w:val="single" w:color="auto" w:sz="4" w:space="0"/>
              <w:right w:val="single" w:color="auto" w:sz="4" w:space="0"/>
            </w:tcBorders>
            <w:noWrap w:val="0"/>
            <w:vAlign w:val="center"/>
          </w:tcPr>
          <w:p w14:paraId="5746C4A5">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874" w:type="dxa"/>
            <w:tcBorders>
              <w:top w:val="nil"/>
              <w:left w:val="nil"/>
              <w:bottom w:val="single" w:color="auto" w:sz="4" w:space="0"/>
              <w:right w:val="single" w:color="auto" w:sz="4" w:space="0"/>
            </w:tcBorders>
            <w:noWrap w:val="0"/>
            <w:vAlign w:val="center"/>
          </w:tcPr>
          <w:p w14:paraId="099301BA">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893" w:type="dxa"/>
            <w:tcBorders>
              <w:top w:val="nil"/>
              <w:left w:val="nil"/>
              <w:bottom w:val="single" w:color="auto" w:sz="4" w:space="0"/>
              <w:right w:val="single" w:color="auto" w:sz="4" w:space="0"/>
            </w:tcBorders>
            <w:noWrap w:val="0"/>
            <w:vAlign w:val="center"/>
          </w:tcPr>
          <w:p w14:paraId="5E625E7F">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300≤X＜1000</w:t>
            </w:r>
          </w:p>
        </w:tc>
        <w:tc>
          <w:tcPr>
            <w:tcW w:w="1748" w:type="dxa"/>
            <w:tcBorders>
              <w:top w:val="nil"/>
              <w:left w:val="nil"/>
              <w:bottom w:val="single" w:color="auto" w:sz="4" w:space="0"/>
              <w:right w:val="single" w:color="auto" w:sz="4" w:space="0"/>
            </w:tcBorders>
            <w:noWrap w:val="0"/>
            <w:vAlign w:val="center"/>
          </w:tcPr>
          <w:p w14:paraId="14442281">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20≤X＜300</w:t>
            </w:r>
          </w:p>
        </w:tc>
        <w:tc>
          <w:tcPr>
            <w:tcW w:w="1165" w:type="dxa"/>
            <w:tcBorders>
              <w:top w:val="nil"/>
              <w:left w:val="nil"/>
              <w:bottom w:val="single" w:color="auto" w:sz="4" w:space="0"/>
              <w:right w:val="single" w:color="auto" w:sz="4" w:space="0"/>
            </w:tcBorders>
            <w:noWrap w:val="0"/>
            <w:vAlign w:val="center"/>
          </w:tcPr>
          <w:p w14:paraId="137E459D">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X＜20</w:t>
            </w:r>
          </w:p>
        </w:tc>
      </w:tr>
      <w:tr w14:paraId="486D7A29">
        <w:tblPrEx>
          <w:tblCellMar>
            <w:top w:w="0" w:type="dxa"/>
            <w:left w:w="108" w:type="dxa"/>
            <w:bottom w:w="0" w:type="dxa"/>
            <w:right w:w="108" w:type="dxa"/>
          </w:tblCellMar>
        </w:tblPrEx>
        <w:trPr>
          <w:trHeight w:val="311" w:hRule="atLeast"/>
        </w:trPr>
        <w:tc>
          <w:tcPr>
            <w:tcW w:w="2039" w:type="dxa"/>
            <w:vMerge w:val="continue"/>
            <w:tcBorders>
              <w:top w:val="nil"/>
              <w:left w:val="single" w:color="auto" w:sz="4" w:space="0"/>
              <w:bottom w:val="single" w:color="auto" w:sz="4" w:space="0"/>
              <w:right w:val="single" w:color="auto" w:sz="4" w:space="0"/>
            </w:tcBorders>
            <w:noWrap w:val="0"/>
            <w:vAlign w:val="center"/>
          </w:tcPr>
          <w:p w14:paraId="182974B2">
            <w:pPr>
              <w:widowControl/>
              <w:jc w:val="center"/>
              <w:rPr>
                <w:rFonts w:hint="eastAsia" w:ascii="宋体" w:hAnsi="宋体" w:eastAsia="宋体" w:cs="宋体"/>
                <w:b/>
                <w:bCs/>
                <w:color w:val="auto"/>
                <w:kern w:val="0"/>
                <w:sz w:val="18"/>
                <w:szCs w:val="18"/>
                <w:highlight w:val="none"/>
              </w:rPr>
            </w:pPr>
          </w:p>
        </w:tc>
        <w:tc>
          <w:tcPr>
            <w:tcW w:w="2038" w:type="dxa"/>
            <w:tcBorders>
              <w:top w:val="nil"/>
              <w:left w:val="nil"/>
              <w:bottom w:val="single" w:color="auto" w:sz="4" w:space="0"/>
              <w:right w:val="single" w:color="auto" w:sz="4" w:space="0"/>
            </w:tcBorders>
            <w:noWrap w:val="0"/>
            <w:vAlign w:val="center"/>
          </w:tcPr>
          <w:p w14:paraId="41942472">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74" w:type="dxa"/>
            <w:tcBorders>
              <w:top w:val="nil"/>
              <w:left w:val="nil"/>
              <w:bottom w:val="single" w:color="auto" w:sz="4" w:space="0"/>
              <w:right w:val="single" w:color="auto" w:sz="4" w:space="0"/>
            </w:tcBorders>
            <w:noWrap w:val="0"/>
            <w:vAlign w:val="center"/>
          </w:tcPr>
          <w:p w14:paraId="029E65C2">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93" w:type="dxa"/>
            <w:tcBorders>
              <w:top w:val="nil"/>
              <w:left w:val="nil"/>
              <w:bottom w:val="single" w:color="auto" w:sz="4" w:space="0"/>
              <w:right w:val="single" w:color="auto" w:sz="4" w:space="0"/>
            </w:tcBorders>
            <w:noWrap w:val="0"/>
            <w:vAlign w:val="center"/>
          </w:tcPr>
          <w:p w14:paraId="6FAC566B">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3000≤Y＜30000</w:t>
            </w:r>
          </w:p>
        </w:tc>
        <w:tc>
          <w:tcPr>
            <w:tcW w:w="1748" w:type="dxa"/>
            <w:tcBorders>
              <w:top w:val="nil"/>
              <w:left w:val="nil"/>
              <w:bottom w:val="single" w:color="auto" w:sz="4" w:space="0"/>
              <w:right w:val="single" w:color="auto" w:sz="4" w:space="0"/>
            </w:tcBorders>
            <w:noWrap w:val="0"/>
            <w:vAlign w:val="center"/>
          </w:tcPr>
          <w:p w14:paraId="3DEB4BDE">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200≤Y＜3000</w:t>
            </w:r>
          </w:p>
        </w:tc>
        <w:tc>
          <w:tcPr>
            <w:tcW w:w="1165" w:type="dxa"/>
            <w:tcBorders>
              <w:top w:val="nil"/>
              <w:left w:val="nil"/>
              <w:bottom w:val="single" w:color="auto" w:sz="4" w:space="0"/>
              <w:right w:val="single" w:color="auto" w:sz="4" w:space="0"/>
            </w:tcBorders>
            <w:noWrap w:val="0"/>
            <w:vAlign w:val="center"/>
          </w:tcPr>
          <w:p w14:paraId="539E96A9">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Y＜200</w:t>
            </w:r>
          </w:p>
        </w:tc>
      </w:tr>
      <w:tr w14:paraId="477D6E57">
        <w:tblPrEx>
          <w:tblCellMar>
            <w:top w:w="0" w:type="dxa"/>
            <w:left w:w="108" w:type="dxa"/>
            <w:bottom w:w="0" w:type="dxa"/>
            <w:right w:w="108" w:type="dxa"/>
          </w:tblCellMar>
        </w:tblPrEx>
        <w:trPr>
          <w:trHeight w:val="311" w:hRule="atLeast"/>
        </w:trPr>
        <w:tc>
          <w:tcPr>
            <w:tcW w:w="2039" w:type="dxa"/>
            <w:vMerge w:val="restart"/>
            <w:tcBorders>
              <w:top w:val="nil"/>
              <w:left w:val="single" w:color="auto" w:sz="4" w:space="0"/>
              <w:bottom w:val="single" w:color="auto" w:sz="4" w:space="0"/>
              <w:right w:val="single" w:color="auto" w:sz="4" w:space="0"/>
            </w:tcBorders>
            <w:noWrap w:val="0"/>
            <w:vAlign w:val="center"/>
          </w:tcPr>
          <w:p w14:paraId="0A4BC319">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仓储业</w:t>
            </w:r>
          </w:p>
        </w:tc>
        <w:tc>
          <w:tcPr>
            <w:tcW w:w="2038" w:type="dxa"/>
            <w:tcBorders>
              <w:top w:val="nil"/>
              <w:left w:val="nil"/>
              <w:bottom w:val="single" w:color="auto" w:sz="4" w:space="0"/>
              <w:right w:val="single" w:color="auto" w:sz="4" w:space="0"/>
            </w:tcBorders>
            <w:noWrap w:val="0"/>
            <w:vAlign w:val="center"/>
          </w:tcPr>
          <w:p w14:paraId="7EF58527">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874" w:type="dxa"/>
            <w:tcBorders>
              <w:top w:val="nil"/>
              <w:left w:val="nil"/>
              <w:bottom w:val="single" w:color="auto" w:sz="4" w:space="0"/>
              <w:right w:val="single" w:color="auto" w:sz="4" w:space="0"/>
            </w:tcBorders>
            <w:noWrap w:val="0"/>
            <w:vAlign w:val="center"/>
          </w:tcPr>
          <w:p w14:paraId="73F42D5E">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893" w:type="dxa"/>
            <w:tcBorders>
              <w:top w:val="nil"/>
              <w:left w:val="nil"/>
              <w:bottom w:val="single" w:color="auto" w:sz="4" w:space="0"/>
              <w:right w:val="single" w:color="auto" w:sz="4" w:space="0"/>
            </w:tcBorders>
            <w:noWrap w:val="0"/>
            <w:vAlign w:val="center"/>
          </w:tcPr>
          <w:p w14:paraId="47FB3179">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100≤X＜200</w:t>
            </w:r>
          </w:p>
        </w:tc>
        <w:tc>
          <w:tcPr>
            <w:tcW w:w="1748" w:type="dxa"/>
            <w:tcBorders>
              <w:top w:val="nil"/>
              <w:left w:val="nil"/>
              <w:bottom w:val="single" w:color="auto" w:sz="4" w:space="0"/>
              <w:right w:val="single" w:color="auto" w:sz="4" w:space="0"/>
            </w:tcBorders>
            <w:noWrap w:val="0"/>
            <w:vAlign w:val="center"/>
          </w:tcPr>
          <w:p w14:paraId="26B61F2C">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20≤X＜100</w:t>
            </w:r>
          </w:p>
        </w:tc>
        <w:tc>
          <w:tcPr>
            <w:tcW w:w="1165" w:type="dxa"/>
            <w:tcBorders>
              <w:top w:val="nil"/>
              <w:left w:val="nil"/>
              <w:bottom w:val="single" w:color="auto" w:sz="4" w:space="0"/>
              <w:right w:val="single" w:color="auto" w:sz="4" w:space="0"/>
            </w:tcBorders>
            <w:noWrap w:val="0"/>
            <w:vAlign w:val="center"/>
          </w:tcPr>
          <w:p w14:paraId="725E6610">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X＜20</w:t>
            </w:r>
          </w:p>
        </w:tc>
      </w:tr>
      <w:tr w14:paraId="608AD205">
        <w:tblPrEx>
          <w:tblCellMar>
            <w:top w:w="0" w:type="dxa"/>
            <w:left w:w="108" w:type="dxa"/>
            <w:bottom w:w="0" w:type="dxa"/>
            <w:right w:w="108" w:type="dxa"/>
          </w:tblCellMar>
        </w:tblPrEx>
        <w:trPr>
          <w:trHeight w:val="311" w:hRule="atLeast"/>
        </w:trPr>
        <w:tc>
          <w:tcPr>
            <w:tcW w:w="2039" w:type="dxa"/>
            <w:vMerge w:val="continue"/>
            <w:tcBorders>
              <w:top w:val="nil"/>
              <w:left w:val="single" w:color="auto" w:sz="4" w:space="0"/>
              <w:bottom w:val="single" w:color="auto" w:sz="4" w:space="0"/>
              <w:right w:val="single" w:color="auto" w:sz="4" w:space="0"/>
            </w:tcBorders>
            <w:noWrap w:val="0"/>
            <w:vAlign w:val="center"/>
          </w:tcPr>
          <w:p w14:paraId="3551D372">
            <w:pPr>
              <w:widowControl/>
              <w:jc w:val="center"/>
              <w:rPr>
                <w:rFonts w:hint="eastAsia" w:ascii="宋体" w:hAnsi="宋体" w:eastAsia="宋体" w:cs="宋体"/>
                <w:b/>
                <w:bCs/>
                <w:color w:val="auto"/>
                <w:kern w:val="0"/>
                <w:sz w:val="18"/>
                <w:szCs w:val="18"/>
                <w:highlight w:val="none"/>
              </w:rPr>
            </w:pPr>
          </w:p>
        </w:tc>
        <w:tc>
          <w:tcPr>
            <w:tcW w:w="2038" w:type="dxa"/>
            <w:tcBorders>
              <w:top w:val="nil"/>
              <w:left w:val="nil"/>
              <w:bottom w:val="single" w:color="auto" w:sz="4" w:space="0"/>
              <w:right w:val="single" w:color="auto" w:sz="4" w:space="0"/>
            </w:tcBorders>
            <w:noWrap w:val="0"/>
            <w:vAlign w:val="center"/>
          </w:tcPr>
          <w:p w14:paraId="262E0FA5">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74" w:type="dxa"/>
            <w:tcBorders>
              <w:top w:val="nil"/>
              <w:left w:val="nil"/>
              <w:bottom w:val="single" w:color="auto" w:sz="4" w:space="0"/>
              <w:right w:val="single" w:color="auto" w:sz="4" w:space="0"/>
            </w:tcBorders>
            <w:noWrap w:val="0"/>
            <w:vAlign w:val="center"/>
          </w:tcPr>
          <w:p w14:paraId="012FB2DD">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93" w:type="dxa"/>
            <w:tcBorders>
              <w:top w:val="nil"/>
              <w:left w:val="nil"/>
              <w:bottom w:val="single" w:color="auto" w:sz="4" w:space="0"/>
              <w:right w:val="single" w:color="auto" w:sz="4" w:space="0"/>
            </w:tcBorders>
            <w:noWrap w:val="0"/>
            <w:vAlign w:val="center"/>
          </w:tcPr>
          <w:p w14:paraId="468EA0E7">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1000≤Y＜30000</w:t>
            </w:r>
          </w:p>
        </w:tc>
        <w:tc>
          <w:tcPr>
            <w:tcW w:w="1748" w:type="dxa"/>
            <w:tcBorders>
              <w:top w:val="nil"/>
              <w:left w:val="nil"/>
              <w:bottom w:val="single" w:color="auto" w:sz="4" w:space="0"/>
              <w:right w:val="single" w:color="auto" w:sz="4" w:space="0"/>
            </w:tcBorders>
            <w:noWrap w:val="0"/>
            <w:vAlign w:val="center"/>
          </w:tcPr>
          <w:p w14:paraId="74E322E3">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100≤Y＜1000</w:t>
            </w:r>
          </w:p>
        </w:tc>
        <w:tc>
          <w:tcPr>
            <w:tcW w:w="1165" w:type="dxa"/>
            <w:tcBorders>
              <w:top w:val="nil"/>
              <w:left w:val="nil"/>
              <w:bottom w:val="single" w:color="auto" w:sz="4" w:space="0"/>
              <w:right w:val="single" w:color="auto" w:sz="4" w:space="0"/>
            </w:tcBorders>
            <w:noWrap w:val="0"/>
            <w:vAlign w:val="center"/>
          </w:tcPr>
          <w:p w14:paraId="0993D0D0">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Y＜100</w:t>
            </w:r>
          </w:p>
        </w:tc>
      </w:tr>
      <w:tr w14:paraId="598E7CAE">
        <w:tblPrEx>
          <w:tblCellMar>
            <w:top w:w="0" w:type="dxa"/>
            <w:left w:w="108" w:type="dxa"/>
            <w:bottom w:w="0" w:type="dxa"/>
            <w:right w:w="108" w:type="dxa"/>
          </w:tblCellMar>
        </w:tblPrEx>
        <w:trPr>
          <w:trHeight w:val="311" w:hRule="atLeast"/>
        </w:trPr>
        <w:tc>
          <w:tcPr>
            <w:tcW w:w="2039" w:type="dxa"/>
            <w:vMerge w:val="restart"/>
            <w:tcBorders>
              <w:top w:val="nil"/>
              <w:left w:val="single" w:color="auto" w:sz="4" w:space="0"/>
              <w:bottom w:val="single" w:color="auto" w:sz="4" w:space="0"/>
              <w:right w:val="single" w:color="auto" w:sz="4" w:space="0"/>
            </w:tcBorders>
            <w:noWrap w:val="0"/>
            <w:vAlign w:val="center"/>
          </w:tcPr>
          <w:p w14:paraId="74ED8710">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邮政业</w:t>
            </w:r>
          </w:p>
        </w:tc>
        <w:tc>
          <w:tcPr>
            <w:tcW w:w="2038" w:type="dxa"/>
            <w:tcBorders>
              <w:top w:val="nil"/>
              <w:left w:val="nil"/>
              <w:bottom w:val="single" w:color="auto" w:sz="4" w:space="0"/>
              <w:right w:val="single" w:color="auto" w:sz="4" w:space="0"/>
            </w:tcBorders>
            <w:noWrap w:val="0"/>
            <w:vAlign w:val="center"/>
          </w:tcPr>
          <w:p w14:paraId="0F6227A3">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874" w:type="dxa"/>
            <w:tcBorders>
              <w:top w:val="nil"/>
              <w:left w:val="nil"/>
              <w:bottom w:val="single" w:color="auto" w:sz="4" w:space="0"/>
              <w:right w:val="single" w:color="auto" w:sz="4" w:space="0"/>
            </w:tcBorders>
            <w:noWrap w:val="0"/>
            <w:vAlign w:val="center"/>
          </w:tcPr>
          <w:p w14:paraId="0ADB02D8">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893" w:type="dxa"/>
            <w:tcBorders>
              <w:top w:val="nil"/>
              <w:left w:val="nil"/>
              <w:bottom w:val="single" w:color="auto" w:sz="4" w:space="0"/>
              <w:right w:val="single" w:color="auto" w:sz="4" w:space="0"/>
            </w:tcBorders>
            <w:noWrap w:val="0"/>
            <w:vAlign w:val="center"/>
          </w:tcPr>
          <w:p w14:paraId="7C2E13E0">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300≤X＜1000</w:t>
            </w:r>
          </w:p>
        </w:tc>
        <w:tc>
          <w:tcPr>
            <w:tcW w:w="1748" w:type="dxa"/>
            <w:tcBorders>
              <w:top w:val="nil"/>
              <w:left w:val="nil"/>
              <w:bottom w:val="single" w:color="auto" w:sz="4" w:space="0"/>
              <w:right w:val="single" w:color="auto" w:sz="4" w:space="0"/>
            </w:tcBorders>
            <w:noWrap w:val="0"/>
            <w:vAlign w:val="center"/>
          </w:tcPr>
          <w:p w14:paraId="3C7AA62D">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20≤X＜300</w:t>
            </w:r>
          </w:p>
        </w:tc>
        <w:tc>
          <w:tcPr>
            <w:tcW w:w="1165" w:type="dxa"/>
            <w:tcBorders>
              <w:top w:val="nil"/>
              <w:left w:val="nil"/>
              <w:bottom w:val="single" w:color="auto" w:sz="4" w:space="0"/>
              <w:right w:val="single" w:color="auto" w:sz="4" w:space="0"/>
            </w:tcBorders>
            <w:noWrap w:val="0"/>
            <w:vAlign w:val="center"/>
          </w:tcPr>
          <w:p w14:paraId="30D276E0">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X＜20</w:t>
            </w:r>
          </w:p>
        </w:tc>
      </w:tr>
      <w:tr w14:paraId="2D621E8E">
        <w:tblPrEx>
          <w:tblCellMar>
            <w:top w:w="0" w:type="dxa"/>
            <w:left w:w="108" w:type="dxa"/>
            <w:bottom w:w="0" w:type="dxa"/>
            <w:right w:w="108" w:type="dxa"/>
          </w:tblCellMar>
        </w:tblPrEx>
        <w:trPr>
          <w:trHeight w:val="311" w:hRule="atLeast"/>
        </w:trPr>
        <w:tc>
          <w:tcPr>
            <w:tcW w:w="2039" w:type="dxa"/>
            <w:vMerge w:val="continue"/>
            <w:tcBorders>
              <w:top w:val="nil"/>
              <w:left w:val="single" w:color="auto" w:sz="4" w:space="0"/>
              <w:bottom w:val="single" w:color="auto" w:sz="4" w:space="0"/>
              <w:right w:val="single" w:color="auto" w:sz="4" w:space="0"/>
            </w:tcBorders>
            <w:noWrap w:val="0"/>
            <w:vAlign w:val="center"/>
          </w:tcPr>
          <w:p w14:paraId="58746609">
            <w:pPr>
              <w:widowControl/>
              <w:jc w:val="center"/>
              <w:rPr>
                <w:rFonts w:hint="eastAsia" w:ascii="宋体" w:hAnsi="宋体" w:eastAsia="宋体" w:cs="宋体"/>
                <w:b/>
                <w:bCs/>
                <w:color w:val="auto"/>
                <w:kern w:val="0"/>
                <w:sz w:val="18"/>
                <w:szCs w:val="18"/>
                <w:highlight w:val="none"/>
              </w:rPr>
            </w:pPr>
          </w:p>
        </w:tc>
        <w:tc>
          <w:tcPr>
            <w:tcW w:w="2038" w:type="dxa"/>
            <w:tcBorders>
              <w:top w:val="nil"/>
              <w:left w:val="nil"/>
              <w:bottom w:val="single" w:color="auto" w:sz="4" w:space="0"/>
              <w:right w:val="single" w:color="auto" w:sz="4" w:space="0"/>
            </w:tcBorders>
            <w:noWrap w:val="0"/>
            <w:vAlign w:val="center"/>
          </w:tcPr>
          <w:p w14:paraId="69B183B0">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74" w:type="dxa"/>
            <w:tcBorders>
              <w:top w:val="nil"/>
              <w:left w:val="nil"/>
              <w:bottom w:val="single" w:color="auto" w:sz="4" w:space="0"/>
              <w:right w:val="single" w:color="auto" w:sz="4" w:space="0"/>
            </w:tcBorders>
            <w:noWrap w:val="0"/>
            <w:vAlign w:val="center"/>
          </w:tcPr>
          <w:p w14:paraId="15455922">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93" w:type="dxa"/>
            <w:tcBorders>
              <w:top w:val="nil"/>
              <w:left w:val="nil"/>
              <w:bottom w:val="single" w:color="auto" w:sz="4" w:space="0"/>
              <w:right w:val="single" w:color="auto" w:sz="4" w:space="0"/>
            </w:tcBorders>
            <w:noWrap w:val="0"/>
            <w:vAlign w:val="center"/>
          </w:tcPr>
          <w:p w14:paraId="1E9669BB">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2000≤Y＜30000</w:t>
            </w:r>
          </w:p>
        </w:tc>
        <w:tc>
          <w:tcPr>
            <w:tcW w:w="1748" w:type="dxa"/>
            <w:tcBorders>
              <w:top w:val="nil"/>
              <w:left w:val="nil"/>
              <w:bottom w:val="single" w:color="auto" w:sz="4" w:space="0"/>
              <w:right w:val="single" w:color="auto" w:sz="4" w:space="0"/>
            </w:tcBorders>
            <w:noWrap w:val="0"/>
            <w:vAlign w:val="center"/>
          </w:tcPr>
          <w:p w14:paraId="0CE92F3B">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100≤Y＜2000</w:t>
            </w:r>
          </w:p>
        </w:tc>
        <w:tc>
          <w:tcPr>
            <w:tcW w:w="1165" w:type="dxa"/>
            <w:tcBorders>
              <w:top w:val="nil"/>
              <w:left w:val="nil"/>
              <w:bottom w:val="single" w:color="auto" w:sz="4" w:space="0"/>
              <w:right w:val="single" w:color="auto" w:sz="4" w:space="0"/>
            </w:tcBorders>
            <w:noWrap w:val="0"/>
            <w:vAlign w:val="center"/>
          </w:tcPr>
          <w:p w14:paraId="2FACE6BD">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Y＜100</w:t>
            </w:r>
          </w:p>
        </w:tc>
      </w:tr>
      <w:tr w14:paraId="1C0967A1">
        <w:tblPrEx>
          <w:tblCellMar>
            <w:top w:w="0" w:type="dxa"/>
            <w:left w:w="108" w:type="dxa"/>
            <w:bottom w:w="0" w:type="dxa"/>
            <w:right w:w="108" w:type="dxa"/>
          </w:tblCellMar>
        </w:tblPrEx>
        <w:trPr>
          <w:trHeight w:val="311" w:hRule="atLeast"/>
        </w:trPr>
        <w:tc>
          <w:tcPr>
            <w:tcW w:w="2039" w:type="dxa"/>
            <w:vMerge w:val="restart"/>
            <w:tcBorders>
              <w:top w:val="nil"/>
              <w:left w:val="single" w:color="auto" w:sz="4" w:space="0"/>
              <w:bottom w:val="single" w:color="auto" w:sz="4" w:space="0"/>
              <w:right w:val="single" w:color="auto" w:sz="4" w:space="0"/>
            </w:tcBorders>
            <w:noWrap w:val="0"/>
            <w:vAlign w:val="center"/>
          </w:tcPr>
          <w:p w14:paraId="7AC0C158">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住宿业</w:t>
            </w:r>
          </w:p>
        </w:tc>
        <w:tc>
          <w:tcPr>
            <w:tcW w:w="2038" w:type="dxa"/>
            <w:tcBorders>
              <w:top w:val="nil"/>
              <w:left w:val="nil"/>
              <w:bottom w:val="single" w:color="auto" w:sz="4" w:space="0"/>
              <w:right w:val="single" w:color="auto" w:sz="4" w:space="0"/>
            </w:tcBorders>
            <w:noWrap w:val="0"/>
            <w:vAlign w:val="center"/>
          </w:tcPr>
          <w:p w14:paraId="768D54B2">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874" w:type="dxa"/>
            <w:tcBorders>
              <w:top w:val="nil"/>
              <w:left w:val="nil"/>
              <w:bottom w:val="single" w:color="auto" w:sz="4" w:space="0"/>
              <w:right w:val="single" w:color="auto" w:sz="4" w:space="0"/>
            </w:tcBorders>
            <w:noWrap w:val="0"/>
            <w:vAlign w:val="center"/>
          </w:tcPr>
          <w:p w14:paraId="4E2C65EA">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893" w:type="dxa"/>
            <w:tcBorders>
              <w:top w:val="nil"/>
              <w:left w:val="nil"/>
              <w:bottom w:val="single" w:color="auto" w:sz="4" w:space="0"/>
              <w:right w:val="single" w:color="auto" w:sz="4" w:space="0"/>
            </w:tcBorders>
            <w:noWrap w:val="0"/>
            <w:vAlign w:val="center"/>
          </w:tcPr>
          <w:p w14:paraId="03AF9AA8">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100≤X＜300</w:t>
            </w:r>
          </w:p>
        </w:tc>
        <w:tc>
          <w:tcPr>
            <w:tcW w:w="1748" w:type="dxa"/>
            <w:tcBorders>
              <w:top w:val="nil"/>
              <w:left w:val="nil"/>
              <w:bottom w:val="single" w:color="auto" w:sz="4" w:space="0"/>
              <w:right w:val="single" w:color="auto" w:sz="4" w:space="0"/>
            </w:tcBorders>
            <w:noWrap w:val="0"/>
            <w:vAlign w:val="center"/>
          </w:tcPr>
          <w:p w14:paraId="04F70005">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10≤X＜100</w:t>
            </w:r>
          </w:p>
        </w:tc>
        <w:tc>
          <w:tcPr>
            <w:tcW w:w="1165" w:type="dxa"/>
            <w:tcBorders>
              <w:top w:val="nil"/>
              <w:left w:val="nil"/>
              <w:bottom w:val="single" w:color="auto" w:sz="4" w:space="0"/>
              <w:right w:val="single" w:color="auto" w:sz="4" w:space="0"/>
            </w:tcBorders>
            <w:noWrap w:val="0"/>
            <w:vAlign w:val="center"/>
          </w:tcPr>
          <w:p w14:paraId="72865261">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X＜10</w:t>
            </w:r>
          </w:p>
        </w:tc>
      </w:tr>
      <w:tr w14:paraId="32D2A04C">
        <w:tblPrEx>
          <w:tblCellMar>
            <w:top w:w="0" w:type="dxa"/>
            <w:left w:w="108" w:type="dxa"/>
            <w:bottom w:w="0" w:type="dxa"/>
            <w:right w:w="108" w:type="dxa"/>
          </w:tblCellMar>
        </w:tblPrEx>
        <w:trPr>
          <w:trHeight w:val="311" w:hRule="atLeast"/>
        </w:trPr>
        <w:tc>
          <w:tcPr>
            <w:tcW w:w="2039" w:type="dxa"/>
            <w:vMerge w:val="continue"/>
            <w:tcBorders>
              <w:top w:val="nil"/>
              <w:left w:val="single" w:color="auto" w:sz="4" w:space="0"/>
              <w:bottom w:val="single" w:color="auto" w:sz="4" w:space="0"/>
              <w:right w:val="single" w:color="auto" w:sz="4" w:space="0"/>
            </w:tcBorders>
            <w:noWrap w:val="0"/>
            <w:vAlign w:val="center"/>
          </w:tcPr>
          <w:p w14:paraId="6E80F68F">
            <w:pPr>
              <w:widowControl/>
              <w:jc w:val="center"/>
              <w:rPr>
                <w:rFonts w:hint="eastAsia" w:ascii="宋体" w:hAnsi="宋体" w:eastAsia="宋体" w:cs="宋体"/>
                <w:b/>
                <w:bCs/>
                <w:color w:val="auto"/>
                <w:kern w:val="0"/>
                <w:sz w:val="18"/>
                <w:szCs w:val="18"/>
                <w:highlight w:val="none"/>
              </w:rPr>
            </w:pPr>
          </w:p>
        </w:tc>
        <w:tc>
          <w:tcPr>
            <w:tcW w:w="2038" w:type="dxa"/>
            <w:tcBorders>
              <w:top w:val="nil"/>
              <w:left w:val="nil"/>
              <w:bottom w:val="single" w:color="auto" w:sz="4" w:space="0"/>
              <w:right w:val="single" w:color="auto" w:sz="4" w:space="0"/>
            </w:tcBorders>
            <w:noWrap w:val="0"/>
            <w:vAlign w:val="center"/>
          </w:tcPr>
          <w:p w14:paraId="2A4B25C5">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74" w:type="dxa"/>
            <w:tcBorders>
              <w:top w:val="nil"/>
              <w:left w:val="nil"/>
              <w:bottom w:val="single" w:color="auto" w:sz="4" w:space="0"/>
              <w:right w:val="single" w:color="auto" w:sz="4" w:space="0"/>
            </w:tcBorders>
            <w:noWrap w:val="0"/>
            <w:vAlign w:val="center"/>
          </w:tcPr>
          <w:p w14:paraId="7F54D32A">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93" w:type="dxa"/>
            <w:tcBorders>
              <w:top w:val="nil"/>
              <w:left w:val="nil"/>
              <w:bottom w:val="single" w:color="auto" w:sz="4" w:space="0"/>
              <w:right w:val="single" w:color="auto" w:sz="4" w:space="0"/>
            </w:tcBorders>
            <w:noWrap w:val="0"/>
            <w:vAlign w:val="center"/>
          </w:tcPr>
          <w:p w14:paraId="502D2FD0">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2000≤Y＜10000</w:t>
            </w:r>
          </w:p>
        </w:tc>
        <w:tc>
          <w:tcPr>
            <w:tcW w:w="1748" w:type="dxa"/>
            <w:tcBorders>
              <w:top w:val="nil"/>
              <w:left w:val="nil"/>
              <w:bottom w:val="single" w:color="auto" w:sz="4" w:space="0"/>
              <w:right w:val="single" w:color="auto" w:sz="4" w:space="0"/>
            </w:tcBorders>
            <w:noWrap w:val="0"/>
            <w:vAlign w:val="center"/>
          </w:tcPr>
          <w:p w14:paraId="7D6BA1D1">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100≤Y＜2000</w:t>
            </w:r>
          </w:p>
        </w:tc>
        <w:tc>
          <w:tcPr>
            <w:tcW w:w="1165" w:type="dxa"/>
            <w:tcBorders>
              <w:top w:val="nil"/>
              <w:left w:val="nil"/>
              <w:bottom w:val="single" w:color="auto" w:sz="4" w:space="0"/>
              <w:right w:val="single" w:color="auto" w:sz="4" w:space="0"/>
            </w:tcBorders>
            <w:noWrap w:val="0"/>
            <w:vAlign w:val="center"/>
          </w:tcPr>
          <w:p w14:paraId="60A6986E">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Y＜100</w:t>
            </w:r>
          </w:p>
        </w:tc>
      </w:tr>
      <w:tr w14:paraId="1AB28C42">
        <w:tblPrEx>
          <w:tblCellMar>
            <w:top w:w="0" w:type="dxa"/>
            <w:left w:w="108" w:type="dxa"/>
            <w:bottom w:w="0" w:type="dxa"/>
            <w:right w:w="108" w:type="dxa"/>
          </w:tblCellMar>
        </w:tblPrEx>
        <w:trPr>
          <w:trHeight w:val="311" w:hRule="atLeast"/>
        </w:trPr>
        <w:tc>
          <w:tcPr>
            <w:tcW w:w="2039" w:type="dxa"/>
            <w:vMerge w:val="restart"/>
            <w:tcBorders>
              <w:top w:val="nil"/>
              <w:left w:val="single" w:color="auto" w:sz="4" w:space="0"/>
              <w:bottom w:val="single" w:color="auto" w:sz="4" w:space="0"/>
              <w:right w:val="single" w:color="auto" w:sz="4" w:space="0"/>
            </w:tcBorders>
            <w:noWrap w:val="0"/>
            <w:vAlign w:val="center"/>
          </w:tcPr>
          <w:p w14:paraId="00DA444E">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餐饮业</w:t>
            </w:r>
          </w:p>
        </w:tc>
        <w:tc>
          <w:tcPr>
            <w:tcW w:w="2038" w:type="dxa"/>
            <w:tcBorders>
              <w:top w:val="nil"/>
              <w:left w:val="nil"/>
              <w:bottom w:val="single" w:color="auto" w:sz="4" w:space="0"/>
              <w:right w:val="single" w:color="auto" w:sz="4" w:space="0"/>
            </w:tcBorders>
            <w:noWrap w:val="0"/>
            <w:vAlign w:val="center"/>
          </w:tcPr>
          <w:p w14:paraId="0145B4F3">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874" w:type="dxa"/>
            <w:tcBorders>
              <w:top w:val="nil"/>
              <w:left w:val="nil"/>
              <w:bottom w:val="single" w:color="auto" w:sz="4" w:space="0"/>
              <w:right w:val="single" w:color="auto" w:sz="4" w:space="0"/>
            </w:tcBorders>
            <w:noWrap w:val="0"/>
            <w:vAlign w:val="center"/>
          </w:tcPr>
          <w:p w14:paraId="594DF799">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893" w:type="dxa"/>
            <w:tcBorders>
              <w:top w:val="nil"/>
              <w:left w:val="nil"/>
              <w:bottom w:val="single" w:color="auto" w:sz="4" w:space="0"/>
              <w:right w:val="single" w:color="auto" w:sz="4" w:space="0"/>
            </w:tcBorders>
            <w:noWrap w:val="0"/>
            <w:vAlign w:val="center"/>
          </w:tcPr>
          <w:p w14:paraId="1EEBF552">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100≤X＜300</w:t>
            </w:r>
          </w:p>
        </w:tc>
        <w:tc>
          <w:tcPr>
            <w:tcW w:w="1748" w:type="dxa"/>
            <w:tcBorders>
              <w:top w:val="nil"/>
              <w:left w:val="nil"/>
              <w:bottom w:val="single" w:color="auto" w:sz="4" w:space="0"/>
              <w:right w:val="single" w:color="auto" w:sz="4" w:space="0"/>
            </w:tcBorders>
            <w:noWrap w:val="0"/>
            <w:vAlign w:val="center"/>
          </w:tcPr>
          <w:p w14:paraId="6811AE38">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10≤X＜100</w:t>
            </w:r>
          </w:p>
        </w:tc>
        <w:tc>
          <w:tcPr>
            <w:tcW w:w="1165" w:type="dxa"/>
            <w:tcBorders>
              <w:top w:val="nil"/>
              <w:left w:val="nil"/>
              <w:bottom w:val="single" w:color="auto" w:sz="4" w:space="0"/>
              <w:right w:val="single" w:color="auto" w:sz="4" w:space="0"/>
            </w:tcBorders>
            <w:noWrap w:val="0"/>
            <w:vAlign w:val="center"/>
          </w:tcPr>
          <w:p w14:paraId="07D2DA85">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X＜10</w:t>
            </w:r>
          </w:p>
        </w:tc>
      </w:tr>
      <w:tr w14:paraId="06D5CAEB">
        <w:tblPrEx>
          <w:tblCellMar>
            <w:top w:w="0" w:type="dxa"/>
            <w:left w:w="108" w:type="dxa"/>
            <w:bottom w:w="0" w:type="dxa"/>
            <w:right w:w="108" w:type="dxa"/>
          </w:tblCellMar>
        </w:tblPrEx>
        <w:trPr>
          <w:trHeight w:val="311" w:hRule="atLeast"/>
        </w:trPr>
        <w:tc>
          <w:tcPr>
            <w:tcW w:w="2039" w:type="dxa"/>
            <w:vMerge w:val="continue"/>
            <w:tcBorders>
              <w:top w:val="nil"/>
              <w:left w:val="single" w:color="auto" w:sz="4" w:space="0"/>
              <w:bottom w:val="single" w:color="auto" w:sz="4" w:space="0"/>
              <w:right w:val="single" w:color="auto" w:sz="4" w:space="0"/>
            </w:tcBorders>
            <w:noWrap w:val="0"/>
            <w:vAlign w:val="center"/>
          </w:tcPr>
          <w:p w14:paraId="197CCF4A">
            <w:pPr>
              <w:widowControl/>
              <w:jc w:val="center"/>
              <w:rPr>
                <w:rFonts w:hint="eastAsia" w:ascii="宋体" w:hAnsi="宋体" w:eastAsia="宋体" w:cs="宋体"/>
                <w:b/>
                <w:bCs/>
                <w:color w:val="auto"/>
                <w:kern w:val="0"/>
                <w:sz w:val="18"/>
                <w:szCs w:val="18"/>
                <w:highlight w:val="none"/>
              </w:rPr>
            </w:pPr>
          </w:p>
        </w:tc>
        <w:tc>
          <w:tcPr>
            <w:tcW w:w="2038" w:type="dxa"/>
            <w:tcBorders>
              <w:top w:val="nil"/>
              <w:left w:val="nil"/>
              <w:bottom w:val="single" w:color="auto" w:sz="4" w:space="0"/>
              <w:right w:val="single" w:color="auto" w:sz="4" w:space="0"/>
            </w:tcBorders>
            <w:noWrap w:val="0"/>
            <w:vAlign w:val="center"/>
          </w:tcPr>
          <w:p w14:paraId="0EB2C6A8">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74" w:type="dxa"/>
            <w:tcBorders>
              <w:top w:val="nil"/>
              <w:left w:val="nil"/>
              <w:bottom w:val="single" w:color="auto" w:sz="4" w:space="0"/>
              <w:right w:val="single" w:color="auto" w:sz="4" w:space="0"/>
            </w:tcBorders>
            <w:noWrap w:val="0"/>
            <w:vAlign w:val="center"/>
          </w:tcPr>
          <w:p w14:paraId="10662E36">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93" w:type="dxa"/>
            <w:tcBorders>
              <w:top w:val="nil"/>
              <w:left w:val="nil"/>
              <w:bottom w:val="single" w:color="auto" w:sz="4" w:space="0"/>
              <w:right w:val="single" w:color="auto" w:sz="4" w:space="0"/>
            </w:tcBorders>
            <w:noWrap w:val="0"/>
            <w:vAlign w:val="center"/>
          </w:tcPr>
          <w:p w14:paraId="129DA055">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2000≤Y＜10000</w:t>
            </w:r>
          </w:p>
        </w:tc>
        <w:tc>
          <w:tcPr>
            <w:tcW w:w="1748" w:type="dxa"/>
            <w:tcBorders>
              <w:top w:val="nil"/>
              <w:left w:val="nil"/>
              <w:bottom w:val="single" w:color="auto" w:sz="4" w:space="0"/>
              <w:right w:val="single" w:color="auto" w:sz="4" w:space="0"/>
            </w:tcBorders>
            <w:noWrap w:val="0"/>
            <w:vAlign w:val="center"/>
          </w:tcPr>
          <w:p w14:paraId="47B4099B">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100≤Y＜2000</w:t>
            </w:r>
          </w:p>
        </w:tc>
        <w:tc>
          <w:tcPr>
            <w:tcW w:w="1165" w:type="dxa"/>
            <w:tcBorders>
              <w:top w:val="nil"/>
              <w:left w:val="nil"/>
              <w:bottom w:val="single" w:color="auto" w:sz="4" w:space="0"/>
              <w:right w:val="single" w:color="auto" w:sz="4" w:space="0"/>
            </w:tcBorders>
            <w:noWrap w:val="0"/>
            <w:vAlign w:val="center"/>
          </w:tcPr>
          <w:p w14:paraId="060E2DEA">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Y＜100</w:t>
            </w:r>
          </w:p>
        </w:tc>
      </w:tr>
      <w:tr w14:paraId="41A6A7FA">
        <w:tblPrEx>
          <w:tblCellMar>
            <w:top w:w="0" w:type="dxa"/>
            <w:left w:w="108" w:type="dxa"/>
            <w:bottom w:w="0" w:type="dxa"/>
            <w:right w:w="108" w:type="dxa"/>
          </w:tblCellMar>
        </w:tblPrEx>
        <w:trPr>
          <w:trHeight w:val="311" w:hRule="atLeast"/>
        </w:trPr>
        <w:tc>
          <w:tcPr>
            <w:tcW w:w="2039" w:type="dxa"/>
            <w:vMerge w:val="restart"/>
            <w:tcBorders>
              <w:top w:val="nil"/>
              <w:left w:val="single" w:color="auto" w:sz="4" w:space="0"/>
              <w:bottom w:val="single" w:color="auto" w:sz="4" w:space="0"/>
              <w:right w:val="single" w:color="auto" w:sz="4" w:space="0"/>
            </w:tcBorders>
            <w:noWrap w:val="0"/>
            <w:vAlign w:val="center"/>
          </w:tcPr>
          <w:p w14:paraId="0B9159FC">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信息传输业</w:t>
            </w:r>
          </w:p>
        </w:tc>
        <w:tc>
          <w:tcPr>
            <w:tcW w:w="2038" w:type="dxa"/>
            <w:tcBorders>
              <w:top w:val="nil"/>
              <w:left w:val="nil"/>
              <w:bottom w:val="single" w:color="auto" w:sz="4" w:space="0"/>
              <w:right w:val="single" w:color="auto" w:sz="4" w:space="0"/>
            </w:tcBorders>
            <w:noWrap w:val="0"/>
            <w:vAlign w:val="center"/>
          </w:tcPr>
          <w:p w14:paraId="49C93CCE">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874" w:type="dxa"/>
            <w:tcBorders>
              <w:top w:val="nil"/>
              <w:left w:val="nil"/>
              <w:bottom w:val="single" w:color="auto" w:sz="4" w:space="0"/>
              <w:right w:val="single" w:color="auto" w:sz="4" w:space="0"/>
            </w:tcBorders>
            <w:noWrap w:val="0"/>
            <w:vAlign w:val="center"/>
          </w:tcPr>
          <w:p w14:paraId="241014D1">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893" w:type="dxa"/>
            <w:tcBorders>
              <w:top w:val="nil"/>
              <w:left w:val="nil"/>
              <w:bottom w:val="single" w:color="auto" w:sz="4" w:space="0"/>
              <w:right w:val="single" w:color="auto" w:sz="4" w:space="0"/>
            </w:tcBorders>
            <w:noWrap w:val="0"/>
            <w:vAlign w:val="center"/>
          </w:tcPr>
          <w:p w14:paraId="051E6F00">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100≤X＜2000</w:t>
            </w:r>
          </w:p>
        </w:tc>
        <w:tc>
          <w:tcPr>
            <w:tcW w:w="1748" w:type="dxa"/>
            <w:tcBorders>
              <w:top w:val="nil"/>
              <w:left w:val="nil"/>
              <w:bottom w:val="single" w:color="auto" w:sz="4" w:space="0"/>
              <w:right w:val="single" w:color="auto" w:sz="4" w:space="0"/>
            </w:tcBorders>
            <w:noWrap w:val="0"/>
            <w:vAlign w:val="center"/>
          </w:tcPr>
          <w:p w14:paraId="5D22F011">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10≤X＜100</w:t>
            </w:r>
          </w:p>
        </w:tc>
        <w:tc>
          <w:tcPr>
            <w:tcW w:w="1165" w:type="dxa"/>
            <w:tcBorders>
              <w:top w:val="nil"/>
              <w:left w:val="nil"/>
              <w:bottom w:val="single" w:color="auto" w:sz="4" w:space="0"/>
              <w:right w:val="single" w:color="auto" w:sz="4" w:space="0"/>
            </w:tcBorders>
            <w:noWrap w:val="0"/>
            <w:vAlign w:val="center"/>
          </w:tcPr>
          <w:p w14:paraId="3EDB4522">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X＜10</w:t>
            </w:r>
          </w:p>
        </w:tc>
      </w:tr>
      <w:tr w14:paraId="627938B9">
        <w:tblPrEx>
          <w:tblCellMar>
            <w:top w:w="0" w:type="dxa"/>
            <w:left w:w="108" w:type="dxa"/>
            <w:bottom w:w="0" w:type="dxa"/>
            <w:right w:w="108" w:type="dxa"/>
          </w:tblCellMar>
        </w:tblPrEx>
        <w:trPr>
          <w:trHeight w:val="311" w:hRule="atLeast"/>
        </w:trPr>
        <w:tc>
          <w:tcPr>
            <w:tcW w:w="2039" w:type="dxa"/>
            <w:vMerge w:val="continue"/>
            <w:tcBorders>
              <w:top w:val="nil"/>
              <w:left w:val="single" w:color="auto" w:sz="4" w:space="0"/>
              <w:bottom w:val="single" w:color="auto" w:sz="4" w:space="0"/>
              <w:right w:val="single" w:color="auto" w:sz="4" w:space="0"/>
            </w:tcBorders>
            <w:noWrap w:val="0"/>
            <w:vAlign w:val="center"/>
          </w:tcPr>
          <w:p w14:paraId="05B1023F">
            <w:pPr>
              <w:widowControl/>
              <w:jc w:val="center"/>
              <w:rPr>
                <w:rFonts w:hint="eastAsia" w:ascii="宋体" w:hAnsi="宋体" w:eastAsia="宋体" w:cs="宋体"/>
                <w:b/>
                <w:bCs/>
                <w:color w:val="auto"/>
                <w:kern w:val="0"/>
                <w:sz w:val="18"/>
                <w:szCs w:val="18"/>
                <w:highlight w:val="none"/>
              </w:rPr>
            </w:pPr>
          </w:p>
        </w:tc>
        <w:tc>
          <w:tcPr>
            <w:tcW w:w="2038" w:type="dxa"/>
            <w:tcBorders>
              <w:top w:val="nil"/>
              <w:left w:val="nil"/>
              <w:bottom w:val="single" w:color="auto" w:sz="4" w:space="0"/>
              <w:right w:val="single" w:color="auto" w:sz="4" w:space="0"/>
            </w:tcBorders>
            <w:noWrap w:val="0"/>
            <w:vAlign w:val="center"/>
          </w:tcPr>
          <w:p w14:paraId="22AD7738">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74" w:type="dxa"/>
            <w:tcBorders>
              <w:top w:val="nil"/>
              <w:left w:val="nil"/>
              <w:bottom w:val="single" w:color="auto" w:sz="4" w:space="0"/>
              <w:right w:val="single" w:color="auto" w:sz="4" w:space="0"/>
            </w:tcBorders>
            <w:noWrap w:val="0"/>
            <w:vAlign w:val="center"/>
          </w:tcPr>
          <w:p w14:paraId="10706BE5">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93" w:type="dxa"/>
            <w:tcBorders>
              <w:top w:val="nil"/>
              <w:left w:val="nil"/>
              <w:bottom w:val="single" w:color="auto" w:sz="4" w:space="0"/>
              <w:right w:val="single" w:color="auto" w:sz="4" w:space="0"/>
            </w:tcBorders>
            <w:noWrap w:val="0"/>
            <w:vAlign w:val="center"/>
          </w:tcPr>
          <w:p w14:paraId="3C6A3EF3">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1000≤Y＜100000</w:t>
            </w:r>
          </w:p>
        </w:tc>
        <w:tc>
          <w:tcPr>
            <w:tcW w:w="1748" w:type="dxa"/>
            <w:tcBorders>
              <w:top w:val="nil"/>
              <w:left w:val="nil"/>
              <w:bottom w:val="single" w:color="auto" w:sz="4" w:space="0"/>
              <w:right w:val="single" w:color="auto" w:sz="4" w:space="0"/>
            </w:tcBorders>
            <w:noWrap w:val="0"/>
            <w:vAlign w:val="center"/>
          </w:tcPr>
          <w:p w14:paraId="39D07435">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100≤Y＜1000</w:t>
            </w:r>
          </w:p>
        </w:tc>
        <w:tc>
          <w:tcPr>
            <w:tcW w:w="1165" w:type="dxa"/>
            <w:tcBorders>
              <w:top w:val="nil"/>
              <w:left w:val="nil"/>
              <w:bottom w:val="single" w:color="auto" w:sz="4" w:space="0"/>
              <w:right w:val="single" w:color="auto" w:sz="4" w:space="0"/>
            </w:tcBorders>
            <w:noWrap w:val="0"/>
            <w:vAlign w:val="center"/>
          </w:tcPr>
          <w:p w14:paraId="4449F3FF">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Y＜100</w:t>
            </w:r>
          </w:p>
        </w:tc>
      </w:tr>
      <w:tr w14:paraId="559D07B3">
        <w:tblPrEx>
          <w:tblCellMar>
            <w:top w:w="0" w:type="dxa"/>
            <w:left w:w="108" w:type="dxa"/>
            <w:bottom w:w="0" w:type="dxa"/>
            <w:right w:w="108" w:type="dxa"/>
          </w:tblCellMar>
        </w:tblPrEx>
        <w:trPr>
          <w:trHeight w:val="311" w:hRule="atLeast"/>
        </w:trPr>
        <w:tc>
          <w:tcPr>
            <w:tcW w:w="2039" w:type="dxa"/>
            <w:vMerge w:val="restart"/>
            <w:tcBorders>
              <w:top w:val="nil"/>
              <w:left w:val="single" w:color="auto" w:sz="4" w:space="0"/>
              <w:bottom w:val="single" w:color="auto" w:sz="4" w:space="0"/>
              <w:right w:val="single" w:color="auto" w:sz="4" w:space="0"/>
            </w:tcBorders>
            <w:noWrap w:val="0"/>
            <w:vAlign w:val="center"/>
          </w:tcPr>
          <w:p w14:paraId="13546748">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软件和信息技术服务业</w:t>
            </w:r>
          </w:p>
        </w:tc>
        <w:tc>
          <w:tcPr>
            <w:tcW w:w="2038" w:type="dxa"/>
            <w:tcBorders>
              <w:top w:val="nil"/>
              <w:left w:val="nil"/>
              <w:bottom w:val="single" w:color="auto" w:sz="4" w:space="0"/>
              <w:right w:val="single" w:color="auto" w:sz="4" w:space="0"/>
            </w:tcBorders>
            <w:noWrap w:val="0"/>
            <w:vAlign w:val="center"/>
          </w:tcPr>
          <w:p w14:paraId="6F0A1032">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874" w:type="dxa"/>
            <w:tcBorders>
              <w:top w:val="nil"/>
              <w:left w:val="nil"/>
              <w:bottom w:val="single" w:color="auto" w:sz="4" w:space="0"/>
              <w:right w:val="single" w:color="auto" w:sz="4" w:space="0"/>
            </w:tcBorders>
            <w:noWrap w:val="0"/>
            <w:vAlign w:val="center"/>
          </w:tcPr>
          <w:p w14:paraId="3C85E52E">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893" w:type="dxa"/>
            <w:tcBorders>
              <w:top w:val="nil"/>
              <w:left w:val="nil"/>
              <w:bottom w:val="single" w:color="auto" w:sz="4" w:space="0"/>
              <w:right w:val="single" w:color="auto" w:sz="4" w:space="0"/>
            </w:tcBorders>
            <w:noWrap w:val="0"/>
            <w:vAlign w:val="center"/>
          </w:tcPr>
          <w:p w14:paraId="4AE6BED8">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100≤X＜300</w:t>
            </w:r>
          </w:p>
        </w:tc>
        <w:tc>
          <w:tcPr>
            <w:tcW w:w="1748" w:type="dxa"/>
            <w:tcBorders>
              <w:top w:val="nil"/>
              <w:left w:val="nil"/>
              <w:bottom w:val="single" w:color="auto" w:sz="4" w:space="0"/>
              <w:right w:val="single" w:color="auto" w:sz="4" w:space="0"/>
            </w:tcBorders>
            <w:noWrap w:val="0"/>
            <w:vAlign w:val="center"/>
          </w:tcPr>
          <w:p w14:paraId="05A4D2CE">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10≤X＜100</w:t>
            </w:r>
          </w:p>
        </w:tc>
        <w:tc>
          <w:tcPr>
            <w:tcW w:w="1165" w:type="dxa"/>
            <w:tcBorders>
              <w:top w:val="nil"/>
              <w:left w:val="nil"/>
              <w:bottom w:val="single" w:color="auto" w:sz="4" w:space="0"/>
              <w:right w:val="single" w:color="auto" w:sz="4" w:space="0"/>
            </w:tcBorders>
            <w:noWrap w:val="0"/>
            <w:vAlign w:val="center"/>
          </w:tcPr>
          <w:p w14:paraId="02F65522">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X＜10</w:t>
            </w:r>
          </w:p>
        </w:tc>
      </w:tr>
      <w:tr w14:paraId="55C7A640">
        <w:tblPrEx>
          <w:tblCellMar>
            <w:top w:w="0" w:type="dxa"/>
            <w:left w:w="108" w:type="dxa"/>
            <w:bottom w:w="0" w:type="dxa"/>
            <w:right w:w="108" w:type="dxa"/>
          </w:tblCellMar>
        </w:tblPrEx>
        <w:trPr>
          <w:trHeight w:val="311" w:hRule="atLeast"/>
        </w:trPr>
        <w:tc>
          <w:tcPr>
            <w:tcW w:w="2039" w:type="dxa"/>
            <w:vMerge w:val="continue"/>
            <w:tcBorders>
              <w:top w:val="nil"/>
              <w:left w:val="single" w:color="auto" w:sz="4" w:space="0"/>
              <w:bottom w:val="single" w:color="auto" w:sz="4" w:space="0"/>
              <w:right w:val="single" w:color="auto" w:sz="4" w:space="0"/>
            </w:tcBorders>
            <w:noWrap w:val="0"/>
            <w:vAlign w:val="center"/>
          </w:tcPr>
          <w:p w14:paraId="741C23C2">
            <w:pPr>
              <w:widowControl/>
              <w:jc w:val="center"/>
              <w:rPr>
                <w:rFonts w:hint="eastAsia" w:ascii="宋体" w:hAnsi="宋体" w:eastAsia="宋体" w:cs="宋体"/>
                <w:b/>
                <w:bCs/>
                <w:color w:val="auto"/>
                <w:kern w:val="0"/>
                <w:sz w:val="18"/>
                <w:szCs w:val="18"/>
                <w:highlight w:val="none"/>
              </w:rPr>
            </w:pPr>
          </w:p>
        </w:tc>
        <w:tc>
          <w:tcPr>
            <w:tcW w:w="2038" w:type="dxa"/>
            <w:tcBorders>
              <w:top w:val="nil"/>
              <w:left w:val="nil"/>
              <w:bottom w:val="single" w:color="auto" w:sz="4" w:space="0"/>
              <w:right w:val="single" w:color="auto" w:sz="4" w:space="0"/>
            </w:tcBorders>
            <w:noWrap w:val="0"/>
            <w:vAlign w:val="center"/>
          </w:tcPr>
          <w:p w14:paraId="21ADCB3F">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74" w:type="dxa"/>
            <w:tcBorders>
              <w:top w:val="nil"/>
              <w:left w:val="nil"/>
              <w:bottom w:val="single" w:color="auto" w:sz="4" w:space="0"/>
              <w:right w:val="single" w:color="auto" w:sz="4" w:space="0"/>
            </w:tcBorders>
            <w:noWrap w:val="0"/>
            <w:vAlign w:val="center"/>
          </w:tcPr>
          <w:p w14:paraId="22BB5468">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93" w:type="dxa"/>
            <w:tcBorders>
              <w:top w:val="nil"/>
              <w:left w:val="nil"/>
              <w:bottom w:val="single" w:color="auto" w:sz="4" w:space="0"/>
              <w:right w:val="single" w:color="auto" w:sz="4" w:space="0"/>
            </w:tcBorders>
            <w:noWrap w:val="0"/>
            <w:vAlign w:val="center"/>
          </w:tcPr>
          <w:p w14:paraId="798C16CA">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1000≤Y＜10000</w:t>
            </w:r>
          </w:p>
        </w:tc>
        <w:tc>
          <w:tcPr>
            <w:tcW w:w="1748" w:type="dxa"/>
            <w:tcBorders>
              <w:top w:val="nil"/>
              <w:left w:val="nil"/>
              <w:bottom w:val="single" w:color="auto" w:sz="4" w:space="0"/>
              <w:right w:val="single" w:color="auto" w:sz="4" w:space="0"/>
            </w:tcBorders>
            <w:noWrap w:val="0"/>
            <w:vAlign w:val="center"/>
          </w:tcPr>
          <w:p w14:paraId="2FFE2D4B">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50≤Y＜1000</w:t>
            </w:r>
          </w:p>
        </w:tc>
        <w:tc>
          <w:tcPr>
            <w:tcW w:w="1165" w:type="dxa"/>
            <w:tcBorders>
              <w:top w:val="nil"/>
              <w:left w:val="nil"/>
              <w:bottom w:val="single" w:color="auto" w:sz="4" w:space="0"/>
              <w:right w:val="single" w:color="auto" w:sz="4" w:space="0"/>
            </w:tcBorders>
            <w:noWrap w:val="0"/>
            <w:vAlign w:val="center"/>
          </w:tcPr>
          <w:p w14:paraId="29CECC43">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Y＜50</w:t>
            </w:r>
          </w:p>
        </w:tc>
      </w:tr>
      <w:tr w14:paraId="61D89094">
        <w:tblPrEx>
          <w:tblCellMar>
            <w:top w:w="0" w:type="dxa"/>
            <w:left w:w="108" w:type="dxa"/>
            <w:bottom w:w="0" w:type="dxa"/>
            <w:right w:w="108" w:type="dxa"/>
          </w:tblCellMar>
        </w:tblPrEx>
        <w:trPr>
          <w:trHeight w:val="311" w:hRule="atLeast"/>
        </w:trPr>
        <w:tc>
          <w:tcPr>
            <w:tcW w:w="2039" w:type="dxa"/>
            <w:vMerge w:val="restart"/>
            <w:tcBorders>
              <w:top w:val="nil"/>
              <w:left w:val="single" w:color="auto" w:sz="4" w:space="0"/>
              <w:bottom w:val="single" w:color="auto" w:sz="4" w:space="0"/>
              <w:right w:val="single" w:color="auto" w:sz="4" w:space="0"/>
            </w:tcBorders>
            <w:noWrap w:val="0"/>
            <w:vAlign w:val="center"/>
          </w:tcPr>
          <w:p w14:paraId="58F78224">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房地产开发经营</w:t>
            </w:r>
          </w:p>
        </w:tc>
        <w:tc>
          <w:tcPr>
            <w:tcW w:w="2038" w:type="dxa"/>
            <w:tcBorders>
              <w:top w:val="nil"/>
              <w:left w:val="nil"/>
              <w:bottom w:val="single" w:color="auto" w:sz="4" w:space="0"/>
              <w:right w:val="single" w:color="auto" w:sz="4" w:space="0"/>
            </w:tcBorders>
            <w:noWrap w:val="0"/>
            <w:vAlign w:val="center"/>
          </w:tcPr>
          <w:p w14:paraId="5AEFEDE5">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74" w:type="dxa"/>
            <w:tcBorders>
              <w:top w:val="nil"/>
              <w:left w:val="nil"/>
              <w:bottom w:val="single" w:color="auto" w:sz="4" w:space="0"/>
              <w:right w:val="single" w:color="auto" w:sz="4" w:space="0"/>
            </w:tcBorders>
            <w:noWrap w:val="0"/>
            <w:vAlign w:val="center"/>
          </w:tcPr>
          <w:p w14:paraId="05BE07DD">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93" w:type="dxa"/>
            <w:tcBorders>
              <w:top w:val="nil"/>
              <w:left w:val="nil"/>
              <w:bottom w:val="single" w:color="auto" w:sz="4" w:space="0"/>
              <w:right w:val="single" w:color="auto" w:sz="4" w:space="0"/>
            </w:tcBorders>
            <w:noWrap w:val="0"/>
            <w:vAlign w:val="center"/>
          </w:tcPr>
          <w:p w14:paraId="39C6017A">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1000≤Y＜200000</w:t>
            </w:r>
          </w:p>
        </w:tc>
        <w:tc>
          <w:tcPr>
            <w:tcW w:w="1748" w:type="dxa"/>
            <w:tcBorders>
              <w:top w:val="nil"/>
              <w:left w:val="nil"/>
              <w:bottom w:val="single" w:color="auto" w:sz="4" w:space="0"/>
              <w:right w:val="single" w:color="auto" w:sz="4" w:space="0"/>
            </w:tcBorders>
            <w:noWrap w:val="0"/>
            <w:vAlign w:val="center"/>
          </w:tcPr>
          <w:p w14:paraId="10FAB0F7">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100≤X＜1000</w:t>
            </w:r>
          </w:p>
        </w:tc>
        <w:tc>
          <w:tcPr>
            <w:tcW w:w="1165" w:type="dxa"/>
            <w:tcBorders>
              <w:top w:val="nil"/>
              <w:left w:val="nil"/>
              <w:bottom w:val="single" w:color="auto" w:sz="4" w:space="0"/>
              <w:right w:val="single" w:color="auto" w:sz="4" w:space="0"/>
            </w:tcBorders>
            <w:noWrap w:val="0"/>
            <w:vAlign w:val="center"/>
          </w:tcPr>
          <w:p w14:paraId="57662A8A">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X＜100</w:t>
            </w:r>
          </w:p>
        </w:tc>
      </w:tr>
      <w:tr w14:paraId="759DF50F">
        <w:tblPrEx>
          <w:tblCellMar>
            <w:top w:w="0" w:type="dxa"/>
            <w:left w:w="108" w:type="dxa"/>
            <w:bottom w:w="0" w:type="dxa"/>
            <w:right w:w="108" w:type="dxa"/>
          </w:tblCellMar>
        </w:tblPrEx>
        <w:trPr>
          <w:trHeight w:val="311" w:hRule="atLeast"/>
        </w:trPr>
        <w:tc>
          <w:tcPr>
            <w:tcW w:w="2039" w:type="dxa"/>
            <w:vMerge w:val="continue"/>
            <w:tcBorders>
              <w:top w:val="nil"/>
              <w:left w:val="single" w:color="auto" w:sz="4" w:space="0"/>
              <w:bottom w:val="single" w:color="auto" w:sz="4" w:space="0"/>
              <w:right w:val="single" w:color="auto" w:sz="4" w:space="0"/>
            </w:tcBorders>
            <w:noWrap w:val="0"/>
            <w:vAlign w:val="center"/>
          </w:tcPr>
          <w:p w14:paraId="5B14D517">
            <w:pPr>
              <w:widowControl/>
              <w:jc w:val="center"/>
              <w:rPr>
                <w:rFonts w:hint="eastAsia" w:ascii="宋体" w:hAnsi="宋体" w:eastAsia="宋体" w:cs="宋体"/>
                <w:b/>
                <w:bCs/>
                <w:color w:val="auto"/>
                <w:kern w:val="0"/>
                <w:sz w:val="18"/>
                <w:szCs w:val="18"/>
                <w:highlight w:val="none"/>
              </w:rPr>
            </w:pPr>
          </w:p>
        </w:tc>
        <w:tc>
          <w:tcPr>
            <w:tcW w:w="2038" w:type="dxa"/>
            <w:tcBorders>
              <w:top w:val="nil"/>
              <w:left w:val="nil"/>
              <w:bottom w:val="single" w:color="auto" w:sz="4" w:space="0"/>
              <w:right w:val="single" w:color="auto" w:sz="4" w:space="0"/>
            </w:tcBorders>
            <w:noWrap w:val="0"/>
            <w:vAlign w:val="center"/>
          </w:tcPr>
          <w:p w14:paraId="18657798">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资产总额（Z）</w:t>
            </w:r>
          </w:p>
        </w:tc>
        <w:tc>
          <w:tcPr>
            <w:tcW w:w="874" w:type="dxa"/>
            <w:tcBorders>
              <w:top w:val="nil"/>
              <w:left w:val="nil"/>
              <w:bottom w:val="single" w:color="auto" w:sz="4" w:space="0"/>
              <w:right w:val="single" w:color="auto" w:sz="4" w:space="0"/>
            </w:tcBorders>
            <w:noWrap w:val="0"/>
            <w:vAlign w:val="center"/>
          </w:tcPr>
          <w:p w14:paraId="34A5D191">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93" w:type="dxa"/>
            <w:tcBorders>
              <w:top w:val="nil"/>
              <w:left w:val="nil"/>
              <w:bottom w:val="single" w:color="auto" w:sz="4" w:space="0"/>
              <w:right w:val="single" w:color="auto" w:sz="4" w:space="0"/>
            </w:tcBorders>
            <w:noWrap w:val="0"/>
            <w:vAlign w:val="center"/>
          </w:tcPr>
          <w:p w14:paraId="07C9AFF1">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5000≤Z＜10000</w:t>
            </w:r>
          </w:p>
        </w:tc>
        <w:tc>
          <w:tcPr>
            <w:tcW w:w="1748" w:type="dxa"/>
            <w:tcBorders>
              <w:top w:val="nil"/>
              <w:left w:val="nil"/>
              <w:bottom w:val="single" w:color="auto" w:sz="4" w:space="0"/>
              <w:right w:val="single" w:color="auto" w:sz="4" w:space="0"/>
            </w:tcBorders>
            <w:noWrap w:val="0"/>
            <w:vAlign w:val="center"/>
          </w:tcPr>
          <w:p w14:paraId="0301FCE0">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2000≤Y＜5000</w:t>
            </w:r>
          </w:p>
        </w:tc>
        <w:tc>
          <w:tcPr>
            <w:tcW w:w="1165" w:type="dxa"/>
            <w:tcBorders>
              <w:top w:val="nil"/>
              <w:left w:val="nil"/>
              <w:bottom w:val="single" w:color="auto" w:sz="4" w:space="0"/>
              <w:right w:val="single" w:color="auto" w:sz="4" w:space="0"/>
            </w:tcBorders>
            <w:noWrap w:val="0"/>
            <w:vAlign w:val="center"/>
          </w:tcPr>
          <w:p w14:paraId="0B9C81AF">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Y＜2000</w:t>
            </w:r>
          </w:p>
        </w:tc>
      </w:tr>
      <w:tr w14:paraId="5091DEB5">
        <w:tblPrEx>
          <w:tblCellMar>
            <w:top w:w="0" w:type="dxa"/>
            <w:left w:w="108" w:type="dxa"/>
            <w:bottom w:w="0" w:type="dxa"/>
            <w:right w:w="108" w:type="dxa"/>
          </w:tblCellMar>
        </w:tblPrEx>
        <w:trPr>
          <w:trHeight w:val="311" w:hRule="atLeast"/>
        </w:trPr>
        <w:tc>
          <w:tcPr>
            <w:tcW w:w="2039" w:type="dxa"/>
            <w:vMerge w:val="restart"/>
            <w:tcBorders>
              <w:top w:val="nil"/>
              <w:left w:val="single" w:color="auto" w:sz="4" w:space="0"/>
              <w:bottom w:val="single" w:color="auto" w:sz="4" w:space="0"/>
              <w:right w:val="single" w:color="auto" w:sz="4" w:space="0"/>
            </w:tcBorders>
            <w:noWrap w:val="0"/>
            <w:vAlign w:val="center"/>
          </w:tcPr>
          <w:p w14:paraId="3D2C5DAC">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物业管理</w:t>
            </w:r>
          </w:p>
        </w:tc>
        <w:tc>
          <w:tcPr>
            <w:tcW w:w="2038" w:type="dxa"/>
            <w:tcBorders>
              <w:top w:val="nil"/>
              <w:left w:val="nil"/>
              <w:bottom w:val="single" w:color="auto" w:sz="4" w:space="0"/>
              <w:right w:val="single" w:color="auto" w:sz="4" w:space="0"/>
            </w:tcBorders>
            <w:noWrap w:val="0"/>
            <w:vAlign w:val="center"/>
          </w:tcPr>
          <w:p w14:paraId="7B82C5CA">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874" w:type="dxa"/>
            <w:tcBorders>
              <w:top w:val="nil"/>
              <w:left w:val="nil"/>
              <w:bottom w:val="single" w:color="auto" w:sz="4" w:space="0"/>
              <w:right w:val="single" w:color="auto" w:sz="4" w:space="0"/>
            </w:tcBorders>
            <w:noWrap w:val="0"/>
            <w:vAlign w:val="center"/>
          </w:tcPr>
          <w:p w14:paraId="77E6BF34">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893" w:type="dxa"/>
            <w:tcBorders>
              <w:top w:val="nil"/>
              <w:left w:val="nil"/>
              <w:bottom w:val="single" w:color="auto" w:sz="4" w:space="0"/>
              <w:right w:val="single" w:color="auto" w:sz="4" w:space="0"/>
            </w:tcBorders>
            <w:noWrap w:val="0"/>
            <w:vAlign w:val="center"/>
          </w:tcPr>
          <w:p w14:paraId="0CB8F24D">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300≤X＜1000</w:t>
            </w:r>
          </w:p>
        </w:tc>
        <w:tc>
          <w:tcPr>
            <w:tcW w:w="1748" w:type="dxa"/>
            <w:tcBorders>
              <w:top w:val="nil"/>
              <w:left w:val="nil"/>
              <w:bottom w:val="single" w:color="auto" w:sz="4" w:space="0"/>
              <w:right w:val="single" w:color="auto" w:sz="4" w:space="0"/>
            </w:tcBorders>
            <w:noWrap w:val="0"/>
            <w:vAlign w:val="center"/>
          </w:tcPr>
          <w:p w14:paraId="298C175A">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100≤X＜300</w:t>
            </w:r>
          </w:p>
        </w:tc>
        <w:tc>
          <w:tcPr>
            <w:tcW w:w="1165" w:type="dxa"/>
            <w:tcBorders>
              <w:top w:val="nil"/>
              <w:left w:val="nil"/>
              <w:bottom w:val="single" w:color="auto" w:sz="4" w:space="0"/>
              <w:right w:val="single" w:color="auto" w:sz="4" w:space="0"/>
            </w:tcBorders>
            <w:noWrap w:val="0"/>
            <w:vAlign w:val="center"/>
          </w:tcPr>
          <w:p w14:paraId="6551D8F2">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X＜100</w:t>
            </w:r>
          </w:p>
        </w:tc>
      </w:tr>
      <w:tr w14:paraId="4905AB40">
        <w:tblPrEx>
          <w:tblCellMar>
            <w:top w:w="0" w:type="dxa"/>
            <w:left w:w="108" w:type="dxa"/>
            <w:bottom w:w="0" w:type="dxa"/>
            <w:right w:w="108" w:type="dxa"/>
          </w:tblCellMar>
        </w:tblPrEx>
        <w:trPr>
          <w:trHeight w:val="311" w:hRule="atLeast"/>
        </w:trPr>
        <w:tc>
          <w:tcPr>
            <w:tcW w:w="2039" w:type="dxa"/>
            <w:vMerge w:val="continue"/>
            <w:tcBorders>
              <w:top w:val="nil"/>
              <w:left w:val="single" w:color="auto" w:sz="4" w:space="0"/>
              <w:bottom w:val="single" w:color="auto" w:sz="4" w:space="0"/>
              <w:right w:val="single" w:color="auto" w:sz="4" w:space="0"/>
            </w:tcBorders>
            <w:noWrap w:val="0"/>
            <w:vAlign w:val="center"/>
          </w:tcPr>
          <w:p w14:paraId="0C7D69AE">
            <w:pPr>
              <w:widowControl/>
              <w:jc w:val="center"/>
              <w:rPr>
                <w:rFonts w:hint="eastAsia" w:ascii="宋体" w:hAnsi="宋体" w:eastAsia="宋体" w:cs="宋体"/>
                <w:b/>
                <w:bCs/>
                <w:color w:val="auto"/>
                <w:kern w:val="0"/>
                <w:sz w:val="18"/>
                <w:szCs w:val="18"/>
                <w:highlight w:val="none"/>
              </w:rPr>
            </w:pPr>
          </w:p>
        </w:tc>
        <w:tc>
          <w:tcPr>
            <w:tcW w:w="2038" w:type="dxa"/>
            <w:tcBorders>
              <w:top w:val="nil"/>
              <w:left w:val="nil"/>
              <w:bottom w:val="single" w:color="auto" w:sz="4" w:space="0"/>
              <w:right w:val="single" w:color="auto" w:sz="4" w:space="0"/>
            </w:tcBorders>
            <w:noWrap w:val="0"/>
            <w:vAlign w:val="center"/>
          </w:tcPr>
          <w:p w14:paraId="448F8164">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74" w:type="dxa"/>
            <w:tcBorders>
              <w:top w:val="nil"/>
              <w:left w:val="nil"/>
              <w:bottom w:val="single" w:color="auto" w:sz="4" w:space="0"/>
              <w:right w:val="single" w:color="auto" w:sz="4" w:space="0"/>
            </w:tcBorders>
            <w:noWrap w:val="0"/>
            <w:vAlign w:val="center"/>
          </w:tcPr>
          <w:p w14:paraId="2AC93C26">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93" w:type="dxa"/>
            <w:tcBorders>
              <w:top w:val="nil"/>
              <w:left w:val="nil"/>
              <w:bottom w:val="single" w:color="auto" w:sz="4" w:space="0"/>
              <w:right w:val="single" w:color="auto" w:sz="4" w:space="0"/>
            </w:tcBorders>
            <w:noWrap w:val="0"/>
            <w:vAlign w:val="center"/>
          </w:tcPr>
          <w:p w14:paraId="35101A2F">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1000≤Y＜5000</w:t>
            </w:r>
          </w:p>
        </w:tc>
        <w:tc>
          <w:tcPr>
            <w:tcW w:w="1748" w:type="dxa"/>
            <w:tcBorders>
              <w:top w:val="nil"/>
              <w:left w:val="nil"/>
              <w:bottom w:val="single" w:color="auto" w:sz="4" w:space="0"/>
              <w:right w:val="single" w:color="auto" w:sz="4" w:space="0"/>
            </w:tcBorders>
            <w:noWrap w:val="0"/>
            <w:vAlign w:val="center"/>
          </w:tcPr>
          <w:p w14:paraId="747D3086">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500≤Y＜1000</w:t>
            </w:r>
          </w:p>
        </w:tc>
        <w:tc>
          <w:tcPr>
            <w:tcW w:w="1165" w:type="dxa"/>
            <w:tcBorders>
              <w:top w:val="nil"/>
              <w:left w:val="nil"/>
              <w:bottom w:val="single" w:color="auto" w:sz="4" w:space="0"/>
              <w:right w:val="single" w:color="auto" w:sz="4" w:space="0"/>
            </w:tcBorders>
            <w:noWrap w:val="0"/>
            <w:vAlign w:val="center"/>
          </w:tcPr>
          <w:p w14:paraId="1DD18E0F">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Y＜500</w:t>
            </w:r>
          </w:p>
        </w:tc>
      </w:tr>
      <w:tr w14:paraId="67A977EA">
        <w:tblPrEx>
          <w:tblCellMar>
            <w:top w:w="0" w:type="dxa"/>
            <w:left w:w="108" w:type="dxa"/>
            <w:bottom w:w="0" w:type="dxa"/>
            <w:right w:w="108" w:type="dxa"/>
          </w:tblCellMar>
        </w:tblPrEx>
        <w:trPr>
          <w:trHeight w:val="311" w:hRule="atLeast"/>
        </w:trPr>
        <w:tc>
          <w:tcPr>
            <w:tcW w:w="2039" w:type="dxa"/>
            <w:vMerge w:val="restart"/>
            <w:tcBorders>
              <w:top w:val="nil"/>
              <w:left w:val="single" w:color="auto" w:sz="4" w:space="0"/>
              <w:bottom w:val="single" w:color="auto" w:sz="4" w:space="0"/>
              <w:right w:val="single" w:color="auto" w:sz="4" w:space="0"/>
            </w:tcBorders>
            <w:noWrap w:val="0"/>
            <w:vAlign w:val="center"/>
          </w:tcPr>
          <w:p w14:paraId="22FF31EE">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租赁和商务服务业</w:t>
            </w:r>
          </w:p>
        </w:tc>
        <w:tc>
          <w:tcPr>
            <w:tcW w:w="2038" w:type="dxa"/>
            <w:tcBorders>
              <w:top w:val="nil"/>
              <w:left w:val="nil"/>
              <w:bottom w:val="single" w:color="auto" w:sz="4" w:space="0"/>
              <w:right w:val="single" w:color="auto" w:sz="4" w:space="0"/>
            </w:tcBorders>
            <w:noWrap w:val="0"/>
            <w:vAlign w:val="center"/>
          </w:tcPr>
          <w:p w14:paraId="052A25C2">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874" w:type="dxa"/>
            <w:tcBorders>
              <w:top w:val="nil"/>
              <w:left w:val="nil"/>
              <w:bottom w:val="single" w:color="auto" w:sz="4" w:space="0"/>
              <w:right w:val="single" w:color="auto" w:sz="4" w:space="0"/>
            </w:tcBorders>
            <w:noWrap w:val="0"/>
            <w:vAlign w:val="center"/>
          </w:tcPr>
          <w:p w14:paraId="607A2C90">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893" w:type="dxa"/>
            <w:tcBorders>
              <w:top w:val="nil"/>
              <w:left w:val="nil"/>
              <w:bottom w:val="single" w:color="auto" w:sz="4" w:space="0"/>
              <w:right w:val="single" w:color="auto" w:sz="4" w:space="0"/>
            </w:tcBorders>
            <w:noWrap w:val="0"/>
            <w:vAlign w:val="center"/>
          </w:tcPr>
          <w:p w14:paraId="6577987F">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100≤X＜300</w:t>
            </w:r>
          </w:p>
        </w:tc>
        <w:tc>
          <w:tcPr>
            <w:tcW w:w="1748" w:type="dxa"/>
            <w:tcBorders>
              <w:top w:val="nil"/>
              <w:left w:val="nil"/>
              <w:bottom w:val="single" w:color="auto" w:sz="4" w:space="0"/>
              <w:right w:val="single" w:color="auto" w:sz="4" w:space="0"/>
            </w:tcBorders>
            <w:noWrap w:val="0"/>
            <w:vAlign w:val="center"/>
          </w:tcPr>
          <w:p w14:paraId="777FF14A">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10≤X＜100</w:t>
            </w:r>
          </w:p>
        </w:tc>
        <w:tc>
          <w:tcPr>
            <w:tcW w:w="1165" w:type="dxa"/>
            <w:tcBorders>
              <w:top w:val="nil"/>
              <w:left w:val="nil"/>
              <w:bottom w:val="single" w:color="auto" w:sz="4" w:space="0"/>
              <w:right w:val="single" w:color="auto" w:sz="4" w:space="0"/>
            </w:tcBorders>
            <w:noWrap w:val="0"/>
            <w:vAlign w:val="center"/>
          </w:tcPr>
          <w:p w14:paraId="660C4DAA">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X＜10</w:t>
            </w:r>
          </w:p>
        </w:tc>
      </w:tr>
      <w:tr w14:paraId="2EF6CBD8">
        <w:tblPrEx>
          <w:tblCellMar>
            <w:top w:w="0" w:type="dxa"/>
            <w:left w:w="108" w:type="dxa"/>
            <w:bottom w:w="0" w:type="dxa"/>
            <w:right w:w="108" w:type="dxa"/>
          </w:tblCellMar>
        </w:tblPrEx>
        <w:trPr>
          <w:trHeight w:val="311" w:hRule="atLeast"/>
        </w:trPr>
        <w:tc>
          <w:tcPr>
            <w:tcW w:w="2039" w:type="dxa"/>
            <w:vMerge w:val="continue"/>
            <w:tcBorders>
              <w:top w:val="nil"/>
              <w:left w:val="single" w:color="auto" w:sz="4" w:space="0"/>
              <w:bottom w:val="single" w:color="auto" w:sz="4" w:space="0"/>
              <w:right w:val="single" w:color="auto" w:sz="4" w:space="0"/>
            </w:tcBorders>
            <w:noWrap w:val="0"/>
            <w:vAlign w:val="center"/>
          </w:tcPr>
          <w:p w14:paraId="5E774A66">
            <w:pPr>
              <w:widowControl/>
              <w:jc w:val="center"/>
              <w:rPr>
                <w:rFonts w:hint="eastAsia" w:ascii="宋体" w:hAnsi="宋体" w:eastAsia="宋体" w:cs="宋体"/>
                <w:b/>
                <w:bCs/>
                <w:color w:val="auto"/>
                <w:kern w:val="0"/>
                <w:sz w:val="18"/>
                <w:szCs w:val="18"/>
                <w:highlight w:val="none"/>
              </w:rPr>
            </w:pPr>
          </w:p>
        </w:tc>
        <w:tc>
          <w:tcPr>
            <w:tcW w:w="2038" w:type="dxa"/>
            <w:tcBorders>
              <w:top w:val="nil"/>
              <w:left w:val="nil"/>
              <w:bottom w:val="single" w:color="auto" w:sz="4" w:space="0"/>
              <w:right w:val="single" w:color="auto" w:sz="4" w:space="0"/>
            </w:tcBorders>
            <w:noWrap w:val="0"/>
            <w:vAlign w:val="center"/>
          </w:tcPr>
          <w:p w14:paraId="409337CB">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资产总额（Z）</w:t>
            </w:r>
          </w:p>
        </w:tc>
        <w:tc>
          <w:tcPr>
            <w:tcW w:w="874" w:type="dxa"/>
            <w:tcBorders>
              <w:top w:val="nil"/>
              <w:left w:val="nil"/>
              <w:bottom w:val="single" w:color="auto" w:sz="4" w:space="0"/>
              <w:right w:val="single" w:color="auto" w:sz="4" w:space="0"/>
            </w:tcBorders>
            <w:noWrap w:val="0"/>
            <w:vAlign w:val="center"/>
          </w:tcPr>
          <w:p w14:paraId="1AC9AE39">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93" w:type="dxa"/>
            <w:tcBorders>
              <w:top w:val="nil"/>
              <w:left w:val="nil"/>
              <w:bottom w:val="single" w:color="auto" w:sz="4" w:space="0"/>
              <w:right w:val="single" w:color="auto" w:sz="4" w:space="0"/>
            </w:tcBorders>
            <w:noWrap w:val="0"/>
            <w:vAlign w:val="center"/>
          </w:tcPr>
          <w:p w14:paraId="076059E2">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8000≤Z＜120000</w:t>
            </w:r>
          </w:p>
        </w:tc>
        <w:tc>
          <w:tcPr>
            <w:tcW w:w="1748" w:type="dxa"/>
            <w:tcBorders>
              <w:top w:val="nil"/>
              <w:left w:val="nil"/>
              <w:bottom w:val="single" w:color="auto" w:sz="4" w:space="0"/>
              <w:right w:val="single" w:color="auto" w:sz="4" w:space="0"/>
            </w:tcBorders>
            <w:noWrap w:val="0"/>
            <w:vAlign w:val="center"/>
          </w:tcPr>
          <w:p w14:paraId="7AAED3ED">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100≤Z＜8000</w:t>
            </w:r>
          </w:p>
        </w:tc>
        <w:tc>
          <w:tcPr>
            <w:tcW w:w="1165" w:type="dxa"/>
            <w:tcBorders>
              <w:top w:val="nil"/>
              <w:left w:val="nil"/>
              <w:bottom w:val="single" w:color="auto" w:sz="4" w:space="0"/>
              <w:right w:val="single" w:color="auto" w:sz="4" w:space="0"/>
            </w:tcBorders>
            <w:noWrap w:val="0"/>
            <w:vAlign w:val="center"/>
          </w:tcPr>
          <w:p w14:paraId="1925A4A2">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Y＜100</w:t>
            </w:r>
          </w:p>
        </w:tc>
      </w:tr>
      <w:tr w14:paraId="3709E8FC">
        <w:tblPrEx>
          <w:tblCellMar>
            <w:top w:w="0" w:type="dxa"/>
            <w:left w:w="108" w:type="dxa"/>
            <w:bottom w:w="0" w:type="dxa"/>
            <w:right w:w="108" w:type="dxa"/>
          </w:tblCellMar>
        </w:tblPrEx>
        <w:trPr>
          <w:trHeight w:val="334" w:hRule="atLeast"/>
        </w:trPr>
        <w:tc>
          <w:tcPr>
            <w:tcW w:w="2039" w:type="dxa"/>
            <w:tcBorders>
              <w:top w:val="nil"/>
              <w:left w:val="single" w:color="auto" w:sz="4" w:space="0"/>
              <w:bottom w:val="single" w:color="auto" w:sz="4" w:space="0"/>
              <w:right w:val="single" w:color="auto" w:sz="4" w:space="0"/>
            </w:tcBorders>
            <w:noWrap w:val="0"/>
            <w:vAlign w:val="center"/>
          </w:tcPr>
          <w:p w14:paraId="2DE62814">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其他未列明行业</w:t>
            </w:r>
          </w:p>
        </w:tc>
        <w:tc>
          <w:tcPr>
            <w:tcW w:w="2038" w:type="dxa"/>
            <w:tcBorders>
              <w:top w:val="nil"/>
              <w:left w:val="nil"/>
              <w:bottom w:val="single" w:color="auto" w:sz="4" w:space="0"/>
              <w:right w:val="single" w:color="auto" w:sz="4" w:space="0"/>
            </w:tcBorders>
            <w:noWrap w:val="0"/>
            <w:vAlign w:val="center"/>
          </w:tcPr>
          <w:p w14:paraId="7CBD67CA">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874" w:type="dxa"/>
            <w:tcBorders>
              <w:top w:val="nil"/>
              <w:left w:val="nil"/>
              <w:bottom w:val="single" w:color="auto" w:sz="4" w:space="0"/>
              <w:right w:val="single" w:color="auto" w:sz="4" w:space="0"/>
            </w:tcBorders>
            <w:noWrap w:val="0"/>
            <w:vAlign w:val="center"/>
          </w:tcPr>
          <w:p w14:paraId="26FCAE15">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893" w:type="dxa"/>
            <w:tcBorders>
              <w:top w:val="nil"/>
              <w:left w:val="nil"/>
              <w:bottom w:val="single" w:color="auto" w:sz="4" w:space="0"/>
              <w:right w:val="single" w:color="auto" w:sz="4" w:space="0"/>
            </w:tcBorders>
            <w:noWrap w:val="0"/>
            <w:vAlign w:val="center"/>
          </w:tcPr>
          <w:p w14:paraId="6F72B4B5">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100≤X＜300</w:t>
            </w:r>
          </w:p>
        </w:tc>
        <w:tc>
          <w:tcPr>
            <w:tcW w:w="1748" w:type="dxa"/>
            <w:tcBorders>
              <w:top w:val="nil"/>
              <w:left w:val="nil"/>
              <w:bottom w:val="single" w:color="auto" w:sz="4" w:space="0"/>
              <w:right w:val="single" w:color="auto" w:sz="4" w:space="0"/>
            </w:tcBorders>
            <w:noWrap w:val="0"/>
            <w:vAlign w:val="center"/>
          </w:tcPr>
          <w:p w14:paraId="455436BE">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10≤X＜100</w:t>
            </w:r>
          </w:p>
        </w:tc>
        <w:tc>
          <w:tcPr>
            <w:tcW w:w="1165" w:type="dxa"/>
            <w:tcBorders>
              <w:top w:val="nil"/>
              <w:left w:val="nil"/>
              <w:bottom w:val="single" w:color="auto" w:sz="4" w:space="0"/>
              <w:right w:val="single" w:color="auto" w:sz="4" w:space="0"/>
            </w:tcBorders>
            <w:noWrap w:val="0"/>
            <w:vAlign w:val="center"/>
          </w:tcPr>
          <w:p w14:paraId="3DB5A2FC">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X＜10</w:t>
            </w:r>
          </w:p>
        </w:tc>
      </w:tr>
    </w:tbl>
    <w:p w14:paraId="1CBADDE4">
      <w:pPr>
        <w:ind w:firstLine="525" w:firstLineChars="250"/>
        <w:rPr>
          <w:rFonts w:hint="eastAsia" w:ascii="宋体" w:hAnsi="宋体" w:eastAsia="宋体" w:cs="宋体"/>
          <w:color w:val="auto"/>
          <w:szCs w:val="21"/>
          <w:highlight w:val="none"/>
        </w:rPr>
      </w:pPr>
      <w:r>
        <w:rPr>
          <w:rFonts w:hint="eastAsia" w:ascii="宋体" w:hAnsi="宋体" w:eastAsia="宋体" w:cs="宋体"/>
          <w:color w:val="auto"/>
          <w:szCs w:val="21"/>
          <w:highlight w:val="none"/>
        </w:rPr>
        <w:t>说明：上述标准参照《关于印发中小企业划型标准规定的通知》（工信部联企业[2011]300号），大型、中型和小型企业须同时满足所列指标的下限，否则下划一档；微型企业只须满足所列指标中的一项即可。</w:t>
      </w:r>
    </w:p>
    <w:p w14:paraId="37A2F30E">
      <w:pPr>
        <w:pStyle w:val="4"/>
        <w:rPr>
          <w:rFonts w:hint="eastAsia" w:ascii="宋体" w:hAnsi="宋体" w:eastAsia="宋体" w:cs="宋体"/>
          <w:color w:val="auto"/>
          <w:sz w:val="20"/>
          <w:szCs w:val="20"/>
          <w:highlight w:val="none"/>
        </w:rPr>
        <w:sectPr>
          <w:pgSz w:w="11910" w:h="16840"/>
          <w:pgMar w:top="1440" w:right="1080" w:bottom="1440" w:left="1080" w:header="0" w:footer="0" w:gutter="0"/>
          <w:cols w:space="720" w:num="1"/>
        </w:sectPr>
      </w:pPr>
    </w:p>
    <w:p w14:paraId="08D34877">
      <w:pPr>
        <w:pStyle w:val="4"/>
        <w:jc w:val="center"/>
        <w:rPr>
          <w:rFonts w:hint="eastAsia" w:ascii="宋体" w:hAnsi="宋体" w:eastAsia="宋体" w:cs="宋体"/>
          <w:color w:val="auto"/>
          <w:highlight w:val="none"/>
        </w:rPr>
      </w:pPr>
      <w:bookmarkStart w:id="46" w:name="_Toc18113"/>
      <w:bookmarkStart w:id="47" w:name="_Toc25737"/>
      <w:bookmarkStart w:id="48" w:name="_Toc28537"/>
      <w:r>
        <w:rPr>
          <w:rFonts w:hint="eastAsia" w:ascii="宋体" w:hAnsi="宋体" w:eastAsia="宋体" w:cs="宋体"/>
          <w:color w:val="auto"/>
          <w:highlight w:val="none"/>
        </w:rPr>
        <w:t xml:space="preserve">第四章  </w:t>
      </w:r>
      <w:bookmarkStart w:id="49" w:name="_Hlk68601507"/>
      <w:r>
        <w:rPr>
          <w:rFonts w:hint="eastAsia" w:ascii="宋体" w:hAnsi="宋体" w:eastAsia="宋体" w:cs="宋体"/>
          <w:color w:val="auto"/>
          <w:highlight w:val="none"/>
        </w:rPr>
        <w:t>评审程序和评定成交的标准</w:t>
      </w:r>
      <w:bookmarkEnd w:id="46"/>
      <w:bookmarkEnd w:id="47"/>
      <w:bookmarkEnd w:id="48"/>
      <w:bookmarkEnd w:id="49"/>
    </w:p>
    <w:p w14:paraId="051862D3">
      <w:pPr>
        <w:spacing w:line="360" w:lineRule="auto"/>
        <w:jc w:val="center"/>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一、评审程序</w:t>
      </w:r>
    </w:p>
    <w:p w14:paraId="3F024CF2">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1.确认谈判文件</w:t>
      </w:r>
    </w:p>
    <w:p w14:paraId="5A51C4F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由谈判小组确认谈判文件。</w:t>
      </w:r>
    </w:p>
    <w:p w14:paraId="0F24069C">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2.资格审查</w:t>
      </w:r>
    </w:p>
    <w:p w14:paraId="5AC40042">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2.1响应文件开启后，谈判小组依法对供应商的资格证明文件进行审查。</w:t>
      </w:r>
    </w:p>
    <w:p w14:paraId="745F8C2E">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（1）查询渠道：“信用中国”网站（www.creditchina.gov.cn）、中国政府采购网（</w:t>
      </w: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HYPERLINK "http://www.ccgp.gov.cn" </w:instrText>
      </w:r>
      <w:r>
        <w:rPr>
          <w:rFonts w:hint="eastAsia" w:ascii="宋体" w:hAnsi="宋体" w:eastAsia="宋体" w:cs="宋体"/>
          <w:color w:val="auto"/>
          <w:szCs w:val="21"/>
          <w:highlight w:val="none"/>
        </w:rPr>
        <w:fldChar w:fldCharType="separate"/>
      </w:r>
      <w:r>
        <w:rPr>
          <w:rFonts w:hint="eastAsia" w:ascii="宋体" w:hAnsi="宋体" w:eastAsia="宋体" w:cs="宋体"/>
          <w:color w:val="auto"/>
          <w:highlight w:val="none"/>
        </w:rPr>
        <w:t>www.ccgp.gov.cn</w:t>
      </w:r>
      <w:r>
        <w:rPr>
          <w:rFonts w:hint="eastAsia" w:ascii="宋体" w:hAnsi="宋体" w:eastAsia="宋体" w:cs="宋体"/>
          <w:color w:val="auto"/>
          <w:szCs w:val="21"/>
          <w:highlight w:val="none"/>
        </w:rPr>
        <w:fldChar w:fldCharType="end"/>
      </w:r>
      <w:r>
        <w:rPr>
          <w:rFonts w:hint="eastAsia" w:ascii="宋体" w:hAnsi="宋体" w:eastAsia="宋体" w:cs="宋体"/>
          <w:color w:val="auto"/>
          <w:szCs w:val="21"/>
          <w:highlight w:val="none"/>
        </w:rPr>
        <w:t xml:space="preserve">） </w:t>
      </w:r>
    </w:p>
    <w:p w14:paraId="53B177DE">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（2）信用查询截止时点：资格审查结束前</w:t>
      </w:r>
    </w:p>
    <w:p w14:paraId="104A0435">
      <w:pPr>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（3）查询记录和证据留存方式：将查询网站中的查询记录截图并作为评审资料保存。</w:t>
      </w:r>
    </w:p>
    <w:p w14:paraId="26797DD5">
      <w:pPr>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（4）信用信息使用规则：信用信息使用规则：根据财政部《关于在政府采购活动中查询及使用信用记录有关问题的通知》（财库〔2016〕125号）的规定，对在“信用中国”网站(www.creditchina.gov.cn) 、中国政府采购网(www.ccgp.gov.cn)被列入失信被执行人、重大税收违法案件当事人名单、政府采购严重违法失信行为记录名单及其他不符合《中华人民共和国政府采购法》第二十二条规定条件的供应商，不得参与政府采购活动。</w:t>
      </w:r>
    </w:p>
    <w:p w14:paraId="5F5FD267">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2.2资格审查标准为本谈判文件中载明对供应商资格要求的条件。本项目资格审查采用合格制，凡符合谈判文件规定的供应商资格要求的供应商均通过资格审查。</w:t>
      </w:r>
    </w:p>
    <w:p w14:paraId="0DDCE79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2.3 供应商有下列情形之一的，资格审查不通过，其响应文件按无效响应处理：</w:t>
      </w:r>
    </w:p>
    <w:p w14:paraId="578CBA9E">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（1）不具备谈判文件中规定的资格要求的；</w:t>
      </w:r>
    </w:p>
    <w:p w14:paraId="00226FC3">
      <w:pPr>
        <w:spacing w:line="360" w:lineRule="auto"/>
        <w:ind w:firstLine="420" w:firstLineChars="200"/>
        <w:contextualSpacing/>
        <w:rPr>
          <w:rFonts w:hint="eastAsia" w:ascii="宋体" w:hAnsi="宋体" w:eastAsia="宋体" w:cs="宋体"/>
          <w:color w:val="auto"/>
          <w:szCs w:val="21"/>
          <w:highlight w:val="none"/>
        </w:rPr>
      </w:pPr>
      <w:r>
        <w:rPr>
          <w:rFonts w:hint="eastAsia" w:ascii="宋体" w:hAnsi="宋体" w:eastAsia="宋体" w:cs="宋体"/>
          <w:color w:val="auto"/>
          <w:szCs w:val="21"/>
          <w:highlight w:val="none"/>
        </w:rPr>
        <w:t>（2）响应文件中的资格证明文件缺少任一项“供应商须知前附表”资格证明文件规定的“必须提供”的文件资料的；</w:t>
      </w:r>
    </w:p>
    <w:p w14:paraId="29CB11C8">
      <w:pPr>
        <w:spacing w:line="360" w:lineRule="auto"/>
        <w:ind w:firstLine="420" w:firstLineChars="200"/>
        <w:contextualSpacing/>
        <w:rPr>
          <w:rFonts w:hint="eastAsia" w:ascii="宋体" w:hAnsi="宋体" w:eastAsia="宋体" w:cs="宋体"/>
          <w:color w:val="auto"/>
          <w:szCs w:val="21"/>
          <w:highlight w:val="none"/>
        </w:rPr>
      </w:pPr>
      <w:r>
        <w:rPr>
          <w:rFonts w:hint="eastAsia" w:ascii="宋体" w:hAnsi="宋体" w:eastAsia="宋体" w:cs="宋体"/>
          <w:color w:val="auto"/>
          <w:szCs w:val="21"/>
          <w:highlight w:val="none"/>
        </w:rPr>
        <w:t>（3）响应文件中的资格证明文件出现任一项不符合“供应商须知前附表”资格证明文件规定的“必须提供”的文件资料要求或者无效的；</w:t>
      </w:r>
    </w:p>
    <w:p w14:paraId="3878A54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（4）同一合同项下的不同供应商，单位负责人为同一人或者存在直接控股、管理关系的；为本项目提供过整体设计、规范编制或者项目管理、监理、检测等服务的供应商，再参加该采购项目的其他采购活动的。</w:t>
      </w:r>
    </w:p>
    <w:p w14:paraId="31C2BD4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2.4通过资格审查的合格供应商不足3家（本章3.7条规定除外）的，不得进入符合性审查环节，应当重新开展采购活动。</w:t>
      </w:r>
    </w:p>
    <w:p w14:paraId="68E4B274">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3.符合性审查</w:t>
      </w:r>
    </w:p>
    <w:p w14:paraId="169C6F8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3.1由谈判小组对资格审查的合格的供应商的响应文件进行竞标报价、商务、技术等实质性要求符合性审查，以确定其是否满足谈判文件的实质性要求。</w:t>
      </w:r>
    </w:p>
    <w:p w14:paraId="47DBB20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3.2谈判小组在对响应文件进行符合性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5E27838D">
      <w:pPr>
        <w:spacing w:line="360" w:lineRule="auto"/>
        <w:ind w:firstLine="420" w:firstLineChars="200"/>
        <w:rPr>
          <w:rFonts w:hint="eastAsia" w:ascii="宋体" w:hAnsi="宋体" w:eastAsia="宋体" w:cs="宋体"/>
          <w:color w:val="auto"/>
          <w:spacing w:val="-6"/>
          <w:szCs w:val="21"/>
          <w:highlight w:val="none"/>
        </w:rPr>
      </w:pPr>
      <w:r>
        <w:rPr>
          <w:rFonts w:hint="eastAsia" w:ascii="宋体" w:hAnsi="宋体" w:eastAsia="宋体" w:cs="宋体"/>
          <w:color w:val="auto"/>
          <w:szCs w:val="21"/>
          <w:highlight w:val="none"/>
        </w:rPr>
        <w:t>3.3谈判小组要求供应商澄清、说明或者更正响应文件应当以电子澄清函形式作出。供应商的澄清、说明或者更正应当以电子回函形式按照谈判小组的要求作出明确的澄清、说明或者更正，未按谈判小组的要求作出明确澄清、说明或者更正的供应商的响应文件将按照</w:t>
      </w:r>
      <w:r>
        <w:rPr>
          <w:rFonts w:hint="eastAsia" w:ascii="宋体" w:hAnsi="宋体" w:eastAsia="宋体" w:cs="宋体"/>
          <w:color w:val="auto"/>
          <w:highlight w:val="none"/>
        </w:rPr>
        <w:t>有利于采购人</w:t>
      </w:r>
      <w:r>
        <w:rPr>
          <w:rFonts w:hint="eastAsia" w:ascii="宋体" w:hAnsi="宋体" w:eastAsia="宋体" w:cs="宋体"/>
          <w:color w:val="auto"/>
          <w:szCs w:val="21"/>
          <w:highlight w:val="none"/>
        </w:rPr>
        <w:t>的原则由谈判小组进行判定。供应商的澄清、说明或者更正必须由法定代表人或者其委托代理人签字或者加盖供应商公章。</w:t>
      </w:r>
    </w:p>
    <w:p w14:paraId="2367995C">
      <w:pPr>
        <w:spacing w:line="360" w:lineRule="auto"/>
        <w:ind w:firstLine="396" w:firstLineChars="200"/>
        <w:rPr>
          <w:rFonts w:hint="eastAsia" w:ascii="宋体" w:hAnsi="宋体" w:eastAsia="宋体" w:cs="宋体"/>
          <w:color w:val="auto"/>
          <w:szCs w:val="21"/>
          <w:highlight w:val="none"/>
        </w:rPr>
      </w:pPr>
      <w:r>
        <w:rPr>
          <w:rFonts w:hint="eastAsia" w:ascii="宋体" w:hAnsi="宋体" w:eastAsia="宋体" w:cs="宋体"/>
          <w:color w:val="auto"/>
          <w:spacing w:val="-6"/>
          <w:szCs w:val="21"/>
          <w:highlight w:val="none"/>
        </w:rPr>
        <w:t>3.4</w:t>
      </w:r>
      <w:r>
        <w:rPr>
          <w:rFonts w:hint="eastAsia" w:ascii="宋体" w:hAnsi="宋体" w:eastAsia="宋体" w:cs="宋体"/>
          <w:color w:val="auto"/>
          <w:szCs w:val="21"/>
          <w:highlight w:val="none"/>
        </w:rPr>
        <w:t xml:space="preserve">首次响应文件报价出现前后不一致的，按照下列规定修正： </w:t>
      </w:r>
    </w:p>
    <w:p w14:paraId="71DC115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（1）响应文件中报价表内容与响应文件中相应内容不一致的，以报价表为准；</w:t>
      </w:r>
    </w:p>
    <w:p w14:paraId="63589D0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（2）大写金额和小写金额不一致的，以大写金额为准；</w:t>
      </w:r>
    </w:p>
    <w:p w14:paraId="029174A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（3）单价金额小数点或者百分比有明显错位的，以报价表的总价为准，并修改单价；</w:t>
      </w:r>
    </w:p>
    <w:p w14:paraId="1C993B3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（4）总价金额与按单价汇总金额不一致的，以单价金额计算结果为准。</w:t>
      </w:r>
    </w:p>
    <w:p w14:paraId="43AC7F9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同时出现两种以上不一致的，按照以上（1）-（4）规定的顺序逐条进行修正。修正后的报价经供应商确认后产生约束力，供应商不确认的，其响应文件按无效响应处理。</w:t>
      </w:r>
    </w:p>
    <w:p w14:paraId="1B333F0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3.5商务技术报价评审</w:t>
      </w:r>
    </w:p>
    <w:p w14:paraId="65324FE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在评审时，如发现下列情形之一的，将被视为响应文件无效响应处理：</w:t>
      </w:r>
    </w:p>
    <w:p w14:paraId="10E34E3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（1）商务技术评审</w:t>
      </w:r>
    </w:p>
    <w:p w14:paraId="6F210B8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1）响应文件未按谈判文件要求签署、盖章的；</w:t>
      </w:r>
    </w:p>
    <w:p w14:paraId="61EB08D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2）委托代理人未能出具有效身份证或者出具的身份证与授权委托书中的信息不符的； </w:t>
      </w:r>
    </w:p>
    <w:p w14:paraId="349E588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3）提交的竞标保证金无效的或者未按照谈判文件的规定提交竞标保证金；</w:t>
      </w:r>
    </w:p>
    <w:p w14:paraId="727FE78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4）响应文件中的报价商务技术文件出现任一项不符合“供应商须知前附表”中“必须提供”或者“委托时必须提供”文件资料要求的规定或者提供的报价商务技术文件无效。</w:t>
      </w:r>
    </w:p>
    <w:p w14:paraId="61FAD6C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5）商务条款中标“▲”的条款发生负偏离或者允许负偏离的条款数超过“供应商须知前附表”规定项数的；</w:t>
      </w:r>
    </w:p>
    <w:p w14:paraId="2F42423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6）未对竞标有效期作出响应或者响应文件承诺的竞标有效期不满足谈判文件要求；</w:t>
      </w:r>
    </w:p>
    <w:p w14:paraId="72B2CA7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7）响应文件的实质性内容未使用中文表述、使用计量单位不符合谈判文件要求的；</w:t>
      </w:r>
    </w:p>
    <w:p w14:paraId="594E781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8）响应文件中的文件资料因填写不齐全或者内容虚假或者出现其他情形而导致被谈判小组认定无效的；</w:t>
      </w:r>
    </w:p>
    <w:p w14:paraId="17E9007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9）响应文件含有采购人不能接受的附加条件的；</w:t>
      </w:r>
    </w:p>
    <w:p w14:paraId="6C342DC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10）属于“供应商须知正文”第7.5条的情形的；</w:t>
      </w:r>
    </w:p>
    <w:p w14:paraId="40FAA10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11）技术要求中标“▲”的条款发生负偏离或允许负偏离的条款数超过“供应商须知前附表”规定项数的；</w:t>
      </w:r>
    </w:p>
    <w:p w14:paraId="175A57ED">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12）虚假竞标，或者出现其他情形而导致被谈判小组认定无效的；</w:t>
      </w:r>
    </w:p>
    <w:p w14:paraId="374D3F5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13）</w:t>
      </w:r>
      <w:bookmarkStart w:id="50" w:name="_Hlk71704147"/>
      <w:r>
        <w:rPr>
          <w:rFonts w:hint="eastAsia" w:ascii="宋体" w:hAnsi="宋体" w:eastAsia="宋体" w:cs="宋体"/>
          <w:color w:val="auto"/>
          <w:szCs w:val="21"/>
          <w:highlight w:val="none"/>
        </w:rPr>
        <w:t>谈判文件未载明允许提供备选（替代）竞标方案或明确不允许提供备选（替代）竞标方案时，供应商提供了备选（替代）竞标方案的；</w:t>
      </w:r>
      <w:bookmarkEnd w:id="50"/>
    </w:p>
    <w:p w14:paraId="4FEEBC1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14）响应文件标注的项目名称或者项目编号与谈判文件标注的项目名称或者项目编号不一致的；</w:t>
      </w:r>
    </w:p>
    <w:p w14:paraId="4BB5C07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15）</w:t>
      </w:r>
      <w:r>
        <w:rPr>
          <w:rFonts w:hint="eastAsia" w:ascii="宋体" w:hAnsi="宋体" w:eastAsia="宋体" w:cs="宋体"/>
          <w:b/>
          <w:color w:val="auto"/>
          <w:szCs w:val="21"/>
          <w:highlight w:val="none"/>
        </w:rPr>
        <w:t>谈判文件明确不允许分包，响应文件拟分包的；</w:t>
      </w:r>
    </w:p>
    <w:p w14:paraId="7BE44D2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16）未响应谈判文件实质性要求；</w:t>
      </w:r>
    </w:p>
    <w:p w14:paraId="098A6B7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17）法律、法规和谈判文件规定的其他无效情形。</w:t>
      </w:r>
    </w:p>
    <w:p w14:paraId="5E14747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（2）报价评审</w:t>
      </w:r>
    </w:p>
    <w:p w14:paraId="6BAE536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1）响应文件未提供“供应商须知前附表” 报价商务技术文件中规定的“竞标报价表”的；</w:t>
      </w:r>
    </w:p>
    <w:p w14:paraId="3A26092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2）未采用人民币报价或者未按照谈判文件标明的币种报价的；</w:t>
      </w:r>
    </w:p>
    <w:p w14:paraId="385AB74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供应商未就所竞标分标进行报价或者存在漏项报价的；供应商未就所竞标分标的单项内容作唯一报价的；供应商未就所竞标分标的全部内容作完整唯一总价报价的；供应商响应文件中存在有选择、有条件报价的（谈判文件允许有备选方案或者其他约定的除外）；</w:t>
      </w:r>
    </w:p>
    <w:p w14:paraId="649AA1A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4）最后报价超过所竞标分标规定的采购预算金额或者最高限价的（如本项目公布了最高限价）； </w:t>
      </w:r>
    </w:p>
    <w:p w14:paraId="633538A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5）修正后的报价，供应商不确认的；或者经供应商确认修正后的最后报价超过所竞标分标规定的采购预算金额或者最高限价（如本项目公布了最高限价）；</w:t>
      </w:r>
    </w:p>
    <w:p w14:paraId="0C4815B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6）响应文件响应的标的数量及单位与竞争性谈判采购文件要求实质性不一致的。</w:t>
      </w:r>
    </w:p>
    <w:p w14:paraId="7BD4130D">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3.6谈判小组对响应文件进行评审，未实质性响应谈判文件的响应文件按无效响应处理。谈判小组应当将资格和符合性不通过的情况告知有关供应商。谈判小组从符合谈判文件规定的相应资格条件的供应商名单中确定不少于3家的供应商参加谈判。</w:t>
      </w:r>
    </w:p>
    <w:p w14:paraId="4407F41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3.7公开招标的货物、服务采购项目，招标过程中提交投标文件或者经评审实质性响应招标文件要求的供应商只有两家时，采购人、采购代理机构按照《政府采购非招标采购方式管理办法》（财政部74号令）第四条经本级财政部门批准后可以与该两家供应商进行竞争性谈判采购。</w:t>
      </w:r>
    </w:p>
    <w:p w14:paraId="134C322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3.8通过符合性审查的合格供应商不足3家的，不得进入谈判环节，应当重新开展采购活动。</w:t>
      </w:r>
    </w:p>
    <w:p w14:paraId="5876BFA4">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4.谈判程序</w:t>
      </w:r>
    </w:p>
    <w:p w14:paraId="2EE71DD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4.1谈判小组按照“供应商须知前附表”第26条确定的</w:t>
      </w:r>
      <w:r>
        <w:rPr>
          <w:rFonts w:hint="eastAsia" w:ascii="宋体" w:hAnsi="宋体" w:eastAsia="宋体" w:cs="宋体"/>
          <w:color w:val="auto"/>
          <w:szCs w:val="21"/>
          <w:highlight w:val="none"/>
        </w:rPr>
        <w:t>顺序，集中与单一供应商分别进行谈判，并给予所有参加谈判的供应商平等的谈判机会。符合谈判资格的供应商必须在接到谈判通知后规定时间内参加谈判，未在规定时间内参加谈判的视同放弃参加谈判权利，其响应文件按无效响应处理。</w:t>
      </w:r>
    </w:p>
    <w:p w14:paraId="6B1A267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4.2在谈判过程中，谈判小组可以根据谈判文件和谈判情况实质性变动采购需求中的技术、服务要求以及合同草案条款，但不得变动谈判文件中的其他内容，实质性变动的内容须经采购人代表确认。可能实质性变动的内容为采购需求中的技术、服务要求以及合同草案条款。</w:t>
      </w:r>
    </w:p>
    <w:p w14:paraId="15C3F7B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4.3对谈判文件作出的实质性变动是谈判文件的有效组成部分，谈判小组应当及时以电子谈判记录形式同时通知所有参加谈判的供应商。</w:t>
      </w:r>
    </w:p>
    <w:p w14:paraId="0F1520A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4.4供应商必须按照谈判文件的变动情况和谈判小组的要求以电子回函的形式重新提交响应文件，并由其法定代表人或者委托代理人签字或者加盖供应商公章。由委托代理人签字的，</w:t>
      </w:r>
      <w:r>
        <w:rPr>
          <w:rFonts w:hint="eastAsia" w:ascii="宋体" w:hAnsi="宋体" w:eastAsia="宋体" w:cs="宋体"/>
          <w:bCs/>
          <w:color w:val="auto"/>
          <w:szCs w:val="21"/>
          <w:highlight w:val="none"/>
        </w:rPr>
        <w:t>若委托代理人不是响应文件中授权的委托代理人时，必须同时出示有效的授权委托书原件</w:t>
      </w:r>
      <w:r>
        <w:rPr>
          <w:rFonts w:hint="eastAsia" w:ascii="宋体" w:hAnsi="宋体" w:eastAsia="宋体" w:cs="宋体"/>
          <w:color w:val="auto"/>
          <w:szCs w:val="21"/>
          <w:highlight w:val="none"/>
        </w:rPr>
        <w:t>。供应商为自然人的，必须由本人签字并附身份证明。参加谈判的供应商未在规定时间内以电子回函的形式重新提交响应文件的，视同退出谈判，其响应文件按无效响应处理。</w:t>
      </w:r>
    </w:p>
    <w:p w14:paraId="58D6DF6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4.5谈判中，谈判的任何一方不得透露与谈判有关的其他供应商的技术资料、价格和其他信息。</w:t>
      </w:r>
    </w:p>
    <w:p w14:paraId="700AB09A">
      <w:pPr>
        <w:tabs>
          <w:tab w:val="left" w:pos="2835"/>
        </w:tabs>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4.6对谈判过程提交的响应文件进行有效性、完整性和响应程度审查，通过审查的合格供应商不足3家的，采购人或者采购代理机构应当重新开展采购活动。</w:t>
      </w:r>
    </w:p>
    <w:p w14:paraId="3F820E4C">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5. 最后报价</w:t>
      </w:r>
    </w:p>
    <w:p w14:paraId="225662A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5.1谈判文件能够详细列明采购标的的技术、服务要求的，谈判结束后，谈判小组应当要求所有继续参加谈判的供应商在规定时间内以电子文件形式提交最后报价，提交最后报价的供应商不得少于3家，除本章第3.7条外，否则必须重新采购。</w:t>
      </w:r>
    </w:p>
    <w:p w14:paraId="446CA88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5.2谈判文件不能详细列明采购标的的技术、服务要求，需经谈判由供应商提供最后设计方案或者解决方案的，谈判结束后，谈判小组应当按照少数服从多数的原则投票推荐3家以上供应商的设计方案或者解决方案，并要求其在规定时间内以电子文件形式提交最后报价。</w:t>
      </w:r>
    </w:p>
    <w:p w14:paraId="7B7B3BB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5.3最后报价是供应商响应文件的有效组成部分。</w:t>
      </w:r>
    </w:p>
    <w:p w14:paraId="41AC1D7D">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5.4已经提交响应文件的供应商，在提交最后报价之前，可以根据谈判情况退出谈判。采购人、采购代理机构将退还退出谈判的供应商的保证金。</w:t>
      </w:r>
    </w:p>
    <w:p w14:paraId="0F9CA18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5.5供应商未在规定时间内提交最后报价的，视为退出谈判，其响应文件按无效响应处理。</w:t>
      </w:r>
    </w:p>
    <w:p w14:paraId="725B5CC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5.6谈判小组收齐某一分标最后报价后或达到规定时间后统一开启，谈判小组对最后报价进行有效性、完整性和响应程度的审查。</w:t>
      </w:r>
    </w:p>
    <w:p w14:paraId="4C90C6A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5.7响应文件首次及最后报价出现前后不一致的，按照本章第3.4条的规定修正。 </w:t>
      </w:r>
    </w:p>
    <w:p w14:paraId="20C262C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5.8经供应商确认修正后的最后报价作为评审及签订合同的依据。</w:t>
      </w:r>
    </w:p>
    <w:p w14:paraId="289B8919">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5.9供应商出现最后报价按无效响应处理或者响应文件按无效响应处理时</w:t>
      </w:r>
      <w:r>
        <w:rPr>
          <w:rFonts w:hint="eastAsia" w:ascii="宋体" w:hAnsi="宋体" w:eastAsia="宋体" w:cs="宋体"/>
          <w:color w:val="auto"/>
          <w:sz w:val="22"/>
          <w:szCs w:val="22"/>
          <w:highlight w:val="none"/>
        </w:rPr>
        <w:t>，谈判小组应当告知有关供应商</w:t>
      </w:r>
      <w:r>
        <w:rPr>
          <w:rFonts w:hint="eastAsia" w:ascii="宋体" w:hAnsi="宋体" w:eastAsia="宋体" w:cs="宋体"/>
          <w:color w:val="auto"/>
          <w:szCs w:val="21"/>
          <w:highlight w:val="none"/>
        </w:rPr>
        <w:t>。</w:t>
      </w:r>
    </w:p>
    <w:p w14:paraId="7901BA9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5.10最后报价结束后，谈判小组不得再与供应商进行任何形式的商谈。</w:t>
      </w:r>
    </w:p>
    <w:p w14:paraId="1232DBEB">
      <w:pPr>
        <w:spacing w:line="360" w:lineRule="auto"/>
        <w:ind w:firstLine="472" w:firstLineChars="196"/>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6. 最后报价政府采购政策性扣除</w:t>
      </w:r>
    </w:p>
    <w:p w14:paraId="1AC141F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6.1评标价为供应商的最后报价进行政策性扣除后的价格，评标价只是作为评审时使用。最终成交供应商的成交金额等于最后报价（如有修正，以确认修正后的最后报价为准）。</w:t>
      </w:r>
    </w:p>
    <w:p w14:paraId="7DC9635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6.2政策性扣除计算方法。</w:t>
      </w:r>
    </w:p>
    <w:p w14:paraId="0D07675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根据《政府采购促进中小企业发展管理办法》的规定，供应商属于《政府采购促进中小企业发展管理办法》规定的小微企业的，对竞标报价给予10%（工程项目为5%）的扣除，用扣除后的价格参加评审；大中型企业与小微企业组成联合体或者大中型企业向一家或者多家小微企业分包，且联合协议或者分包意向协议约定小微企业的合同份额占到合同总金额30%以上的，对联合体或者大中型企业的报价给予3%（工程项目为2%）的扣除，用扣除后的价格参加评审。符合上述规定对报价给予扣除的，扣除后的价格为评标价，即评标价=最后报价×（1 - 扣除比例）。</w:t>
      </w:r>
      <w:r>
        <w:rPr>
          <w:rFonts w:hint="eastAsia" w:ascii="宋体" w:hAnsi="宋体" w:eastAsia="宋体" w:cs="宋体"/>
          <w:b/>
          <w:bCs/>
          <w:color w:val="auto"/>
          <w:szCs w:val="21"/>
          <w:highlight w:val="none"/>
        </w:rPr>
        <w:t>本项目专门面向中小企业采购，不享受政府采购政策性扣除。</w:t>
      </w:r>
    </w:p>
    <w:p w14:paraId="70856909">
      <w:pPr>
        <w:spacing w:line="360" w:lineRule="auto"/>
        <w:ind w:firstLine="420" w:firstLineChars="200"/>
        <w:rPr>
          <w:rFonts w:hint="eastAsia" w:ascii="宋体" w:hAnsi="宋体" w:eastAsia="宋体" w:cs="宋体"/>
          <w:b/>
          <w:bCs/>
          <w:color w:val="auto"/>
          <w:szCs w:val="21"/>
          <w:highlight w:val="none"/>
        </w:rPr>
      </w:pPr>
      <w:r>
        <w:rPr>
          <w:rFonts w:hint="eastAsia" w:ascii="宋体" w:hAnsi="宋体" w:eastAsia="宋体" w:cs="宋体"/>
          <w:color w:val="auto"/>
          <w:szCs w:val="21"/>
          <w:highlight w:val="none"/>
        </w:rPr>
        <w:t>6.3按照《财政部、司法部关于政府采购支持监狱企业发展有关问题的通知》（财库〔2014〕68号）的规定，监狱企业视同小型、微型企业，享受预留份额、评审中价格扣除等促进中小企业发展的政府采购政策。监狱企业参加政府采购活动时，应当提供由省级以上监狱管理局、戒毒管理局（含新疆生产建设兵团）出具的属于监狱企业的证明文件。不重复享受政策。</w:t>
      </w:r>
      <w:r>
        <w:rPr>
          <w:rFonts w:hint="eastAsia" w:ascii="宋体" w:hAnsi="宋体" w:eastAsia="宋体" w:cs="宋体"/>
          <w:b/>
          <w:bCs/>
          <w:color w:val="auto"/>
          <w:szCs w:val="21"/>
          <w:highlight w:val="none"/>
        </w:rPr>
        <w:t>本项目专门面向中小企业采购，不享受政府采购政策性扣除。</w:t>
      </w:r>
    </w:p>
    <w:p w14:paraId="2CBD7FB5">
      <w:pPr>
        <w:spacing w:line="360" w:lineRule="auto"/>
        <w:ind w:firstLine="420" w:firstLineChars="200"/>
        <w:rPr>
          <w:rFonts w:hint="eastAsia" w:ascii="宋体" w:hAnsi="宋体" w:eastAsia="宋体" w:cs="宋体"/>
          <w:b/>
          <w:bCs/>
          <w:color w:val="auto"/>
          <w:highlight w:val="none"/>
        </w:rPr>
      </w:pPr>
      <w:r>
        <w:rPr>
          <w:rFonts w:hint="eastAsia" w:ascii="宋体" w:hAnsi="宋体" w:eastAsia="宋体" w:cs="宋体"/>
          <w:color w:val="auto"/>
          <w:szCs w:val="21"/>
          <w:highlight w:val="none"/>
        </w:rPr>
        <w:t>6.4按照《关于促进残疾人就业政府采购政策的通知》（财库〔2017〕141号）的规定，残疾人福利性单位视同小型、微型企业，享受预留份额、评审中价格扣除等</w:t>
      </w:r>
      <w:r>
        <w:rPr>
          <w:rFonts w:hint="eastAsia" w:ascii="宋体" w:hAnsi="宋体" w:eastAsia="宋体" w:cs="宋体"/>
          <w:color w:val="auto"/>
          <w:highlight w:val="none"/>
        </w:rPr>
        <w:t>促进中小企业发展的政府采购政策。残疾人福利性单位参加政府采购活动时，应当提供该通知规定的《残疾人福利性单位声明函》，并对声明的真实性负责。残疾人福利性单位属于小型、微型企业的，不重复享受政策。</w:t>
      </w:r>
      <w:r>
        <w:rPr>
          <w:rFonts w:hint="eastAsia" w:ascii="宋体" w:hAnsi="宋体" w:eastAsia="宋体" w:cs="宋体"/>
          <w:b/>
          <w:bCs/>
          <w:color w:val="auto"/>
          <w:highlight w:val="none"/>
        </w:rPr>
        <w:t>本项目专门面向中小企业采购，不享受政府采购政策性扣除。</w:t>
      </w:r>
    </w:p>
    <w:p w14:paraId="556E1336">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6.5除上述情况外，评标价＝最后报价。</w:t>
      </w:r>
    </w:p>
    <w:p w14:paraId="1CB2DE6B">
      <w:pPr>
        <w:spacing w:line="360" w:lineRule="auto"/>
        <w:ind w:firstLine="420" w:firstLineChars="200"/>
        <w:rPr>
          <w:rFonts w:hint="eastAsia" w:ascii="宋体" w:hAnsi="宋体" w:eastAsia="宋体" w:cs="宋体"/>
          <w:b/>
          <w:bCs/>
          <w:color w:val="auto"/>
          <w:highlight w:val="none"/>
        </w:rPr>
      </w:pPr>
      <w:r>
        <w:rPr>
          <w:rFonts w:hint="eastAsia" w:ascii="宋体" w:hAnsi="宋体" w:eastAsia="宋体" w:cs="宋体"/>
          <w:color w:val="auto"/>
          <w:highlight w:val="none"/>
        </w:rPr>
        <w:t>6.</w:t>
      </w:r>
      <w:r>
        <w:rPr>
          <w:rFonts w:hint="eastAsia" w:ascii="宋体" w:hAnsi="宋体" w:eastAsia="宋体" w:cs="宋体"/>
          <w:color w:val="auto"/>
          <w:highlight w:val="none"/>
          <w:lang w:val="en-US" w:eastAsia="zh-CN"/>
        </w:rPr>
        <w:t>6</w:t>
      </w:r>
      <w:r>
        <w:rPr>
          <w:rFonts w:hint="eastAsia" w:ascii="宋体" w:hAnsi="宋体" w:eastAsia="宋体" w:cs="宋体"/>
          <w:b/>
          <w:bCs/>
          <w:color w:val="auto"/>
          <w:highlight w:val="none"/>
        </w:rPr>
        <w:t>谈判小组认为，某谈判供应商的最终竞标报价明显低于其他实质性响应谈判文件的谈判供应商的最终报价，有可能影响产品质量或者不能诚信履约的，可要求其在评标现场合理的时间内提供书面说明，必要时提交相关证明材料；谈判供应商不能证明其报价合理性的，谈判小组可将其作为未实质性响应谈判文件处理。</w:t>
      </w:r>
    </w:p>
    <w:p w14:paraId="6B08E3C2">
      <w:pPr>
        <w:spacing w:line="360" w:lineRule="auto"/>
        <w:ind w:firstLine="420" w:firstLineChars="20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6.7谈判小组在评审中发出现下列情形之一的，应当启动异常低价投标审查程序：</w:t>
      </w:r>
    </w:p>
    <w:p w14:paraId="008F0A1E">
      <w:pPr>
        <w:spacing w:line="360" w:lineRule="auto"/>
        <w:ind w:firstLine="420" w:firstLineChars="20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 xml:space="preserve">①磋商报价低于全部通过资格及符合性审查供应商磋商报价平均值 65% 的，即磋商报价＜全部通过资格及符合性审查供应商磋商报价平均值×65% ； </w:t>
      </w:r>
    </w:p>
    <w:p w14:paraId="3666EE9F">
      <w:pPr>
        <w:spacing w:line="360" w:lineRule="auto"/>
        <w:ind w:firstLine="420" w:firstLineChars="20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 xml:space="preserve">②磋商报价低于通过符合性审查的次低报价供应商磋商报价 65% 的，即磋商报价＜通过资格及符合性审查的次低报价供应商磋商报价×65% ； </w:t>
      </w:r>
    </w:p>
    <w:p w14:paraId="718B45C8">
      <w:pPr>
        <w:spacing w:line="360" w:lineRule="auto"/>
        <w:ind w:firstLine="420" w:firstLineChars="20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 xml:space="preserve">③磋商报价低于采购项目最高限价65% 的，即磋商报价＜采购项目最高限价×65%； </w:t>
      </w:r>
    </w:p>
    <w:p w14:paraId="1FD6CF0B">
      <w:pPr>
        <w:spacing w:line="360" w:lineRule="auto"/>
        <w:ind w:firstLine="420" w:firstLineChars="20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④谈判小组基于专业判断，认为供应商报价过低，有可能影响产品质量或者不能诚信履约的其他情形。</w:t>
      </w:r>
    </w:p>
    <w:p w14:paraId="60C2933C">
      <w:pPr>
        <w:spacing w:line="360" w:lineRule="auto"/>
        <w:ind w:firstLine="420" w:firstLineChars="20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6.谈判小组启动异常低价投标审查后，属于前述第1项至第4项情形的，应当要求相关供应商在评审现场合理的时间内对磋商价格作出解释，提供项目具体成本测算等与报价合理性相关的书面说明及必要的证明材料，包括但不限于原材料成本、人工成本、制造费用等，给予相关供应商的合理时间一般不少于30分钟。其中，属于第③项情形，供应商已随响应文件一并提交相关书面说明及必要的证明材料的，可不再重复提交。</w:t>
      </w:r>
    </w:p>
    <w:p w14:paraId="1E411026">
      <w:pPr>
        <w:spacing w:line="360" w:lineRule="auto"/>
        <w:ind w:firstLine="420" w:firstLineChars="200"/>
        <w:rPr>
          <w:rFonts w:hint="eastAsia" w:ascii="宋体" w:hAnsi="宋体" w:eastAsia="宋体" w:cs="宋体"/>
          <w:b w:val="0"/>
          <w:bCs w:val="0"/>
          <w:color w:val="auto"/>
          <w:highlight w:val="none"/>
          <w:lang w:val="en-US" w:eastAsia="zh-CN"/>
        </w:rPr>
      </w:pPr>
      <w:r>
        <w:rPr>
          <w:rFonts w:hint="eastAsia" w:ascii="宋体" w:hAnsi="宋体" w:eastAsia="宋体" w:cs="宋体"/>
          <w:color w:val="auto"/>
          <w:highlight w:val="none"/>
          <w:lang w:val="en-US" w:eastAsia="zh-CN"/>
        </w:rPr>
        <w:t>谈判小组依据专业经验，参考同类项目中标（成交）价格、类似产品市场价格水平、行业人工费用标准、国家有关部门指导行业协会发布的行业平均成本等情况，对报价合理性进行判断。供应商不能提供书面说明、证明材</w:t>
      </w:r>
      <w:r>
        <w:rPr>
          <w:rFonts w:hint="eastAsia" w:ascii="宋体" w:hAnsi="宋体" w:eastAsia="宋体" w:cs="宋体"/>
          <w:b w:val="0"/>
          <w:bCs w:val="0"/>
          <w:color w:val="auto"/>
          <w:highlight w:val="none"/>
          <w:lang w:val="en-US" w:eastAsia="zh-CN"/>
        </w:rPr>
        <w:t>料，或者提供的书面说明、证明材料不能证明其报价合理性的，谈判小组应当将其作为无效竞标处理。</w:t>
      </w:r>
    </w:p>
    <w:p w14:paraId="198C3335">
      <w:pPr>
        <w:pStyle w:val="2"/>
        <w:rPr>
          <w:rFonts w:hint="eastAsia" w:ascii="宋体" w:hAnsi="宋体" w:eastAsia="宋体" w:cs="宋体"/>
          <w:lang w:val="en-US" w:eastAsia="zh-CN"/>
        </w:rPr>
      </w:pPr>
    </w:p>
    <w:p w14:paraId="0341B3DB">
      <w:pPr>
        <w:spacing w:line="360" w:lineRule="auto"/>
        <w:ind w:firstLine="420" w:firstLineChars="200"/>
        <w:rPr>
          <w:rFonts w:hint="eastAsia" w:ascii="宋体" w:hAnsi="宋体" w:eastAsia="宋体" w:cs="宋体"/>
          <w:color w:val="auto"/>
          <w:highlight w:val="none"/>
        </w:rPr>
      </w:pPr>
    </w:p>
    <w:p w14:paraId="1FF9B8DD">
      <w:pPr>
        <w:spacing w:line="360" w:lineRule="auto"/>
        <w:jc w:val="center"/>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二、评定成交的标准</w:t>
      </w:r>
    </w:p>
    <w:p w14:paraId="4F762C01">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7. 成交候选人推荐原则</w:t>
      </w:r>
    </w:p>
    <w:p w14:paraId="4C9B0D7B">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谈判小组应当从质量和服务均能满足谈判文件实质性响应要求的供应商中，按照评标价由低到高的顺序提出3名以上成交候选人（评标价相同时，按照最后报价由低到高顺序依次推荐；最后报价相同时，由谈判小组按“供应商须知前附表”第26条规定的顺序推荐）,并编写评审报告。</w:t>
      </w:r>
    </w:p>
    <w:p w14:paraId="5075CB55">
      <w:pPr>
        <w:bidi w:val="0"/>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1C70BEDE">
      <w:pPr>
        <w:rPr>
          <w:rFonts w:hint="eastAsia" w:ascii="宋体" w:hAnsi="宋体" w:eastAsia="宋体" w:cs="宋体"/>
          <w:color w:val="auto"/>
          <w:highlight w:val="none"/>
        </w:rPr>
      </w:pPr>
    </w:p>
    <w:p w14:paraId="0FFECA75">
      <w:pPr>
        <w:rPr>
          <w:rFonts w:hint="eastAsia" w:ascii="宋体" w:hAnsi="宋体" w:eastAsia="宋体" w:cs="宋体"/>
          <w:color w:val="auto"/>
          <w:highlight w:val="none"/>
        </w:rPr>
      </w:pPr>
    </w:p>
    <w:p w14:paraId="32F2E52B">
      <w:pPr>
        <w:rPr>
          <w:rFonts w:hint="eastAsia" w:ascii="宋体" w:hAnsi="宋体" w:eastAsia="宋体" w:cs="宋体"/>
          <w:color w:val="auto"/>
          <w:highlight w:val="none"/>
        </w:rPr>
      </w:pPr>
    </w:p>
    <w:p w14:paraId="5E735757">
      <w:pPr>
        <w:rPr>
          <w:rFonts w:hint="eastAsia" w:ascii="宋体" w:hAnsi="宋体" w:eastAsia="宋体" w:cs="宋体"/>
          <w:color w:val="auto"/>
          <w:highlight w:val="none"/>
        </w:rPr>
      </w:pPr>
    </w:p>
    <w:p w14:paraId="60FA967D">
      <w:pPr>
        <w:rPr>
          <w:rFonts w:hint="eastAsia" w:ascii="宋体" w:hAnsi="宋体" w:eastAsia="宋体" w:cs="宋体"/>
          <w:color w:val="auto"/>
          <w:highlight w:val="none"/>
        </w:rPr>
      </w:pPr>
    </w:p>
    <w:p w14:paraId="61182FE8">
      <w:pPr>
        <w:rPr>
          <w:rFonts w:hint="eastAsia" w:ascii="宋体" w:hAnsi="宋体" w:eastAsia="宋体" w:cs="宋体"/>
          <w:color w:val="auto"/>
          <w:highlight w:val="none"/>
        </w:rPr>
      </w:pPr>
    </w:p>
    <w:p w14:paraId="48BE8D15">
      <w:pPr>
        <w:rPr>
          <w:rFonts w:hint="eastAsia" w:ascii="宋体" w:hAnsi="宋体" w:eastAsia="宋体" w:cs="宋体"/>
          <w:color w:val="auto"/>
          <w:highlight w:val="none"/>
        </w:rPr>
      </w:pPr>
    </w:p>
    <w:p w14:paraId="14487EDA">
      <w:pPr>
        <w:pStyle w:val="2"/>
        <w:rPr>
          <w:rFonts w:hint="eastAsia" w:ascii="宋体" w:hAnsi="宋体" w:eastAsia="宋体" w:cs="宋体"/>
          <w:color w:val="auto"/>
          <w:highlight w:val="none"/>
        </w:rPr>
      </w:pPr>
    </w:p>
    <w:p w14:paraId="0D499A4B">
      <w:pPr>
        <w:pStyle w:val="3"/>
        <w:rPr>
          <w:rFonts w:hint="eastAsia" w:ascii="宋体" w:hAnsi="宋体" w:eastAsia="宋体" w:cs="宋体"/>
          <w:color w:val="auto"/>
          <w:highlight w:val="none"/>
        </w:rPr>
      </w:pPr>
    </w:p>
    <w:p w14:paraId="0FDAA868">
      <w:pPr>
        <w:pStyle w:val="3"/>
        <w:rPr>
          <w:rFonts w:hint="eastAsia" w:ascii="宋体" w:hAnsi="宋体" w:eastAsia="宋体" w:cs="宋体"/>
          <w:color w:val="auto"/>
          <w:highlight w:val="none"/>
        </w:rPr>
      </w:pPr>
    </w:p>
    <w:p w14:paraId="46DF53AA">
      <w:pPr>
        <w:pStyle w:val="3"/>
        <w:rPr>
          <w:rFonts w:hint="eastAsia" w:ascii="宋体" w:hAnsi="宋体" w:eastAsia="宋体" w:cs="宋体"/>
          <w:color w:val="auto"/>
          <w:highlight w:val="none"/>
        </w:rPr>
      </w:pPr>
    </w:p>
    <w:p w14:paraId="6A526B6C">
      <w:pPr>
        <w:pStyle w:val="3"/>
        <w:rPr>
          <w:rFonts w:hint="eastAsia" w:ascii="宋体" w:hAnsi="宋体" w:eastAsia="宋体" w:cs="宋体"/>
          <w:color w:val="auto"/>
          <w:highlight w:val="none"/>
        </w:rPr>
      </w:pPr>
    </w:p>
    <w:p w14:paraId="730AC1FD">
      <w:pPr>
        <w:pStyle w:val="3"/>
        <w:rPr>
          <w:rFonts w:hint="eastAsia" w:ascii="宋体" w:hAnsi="宋体" w:eastAsia="宋体" w:cs="宋体"/>
          <w:color w:val="auto"/>
          <w:highlight w:val="none"/>
        </w:rPr>
      </w:pPr>
    </w:p>
    <w:p w14:paraId="3F265E7C">
      <w:pPr>
        <w:pStyle w:val="3"/>
        <w:rPr>
          <w:rFonts w:hint="eastAsia" w:ascii="宋体" w:hAnsi="宋体" w:eastAsia="宋体" w:cs="宋体"/>
          <w:color w:val="auto"/>
          <w:highlight w:val="none"/>
        </w:rPr>
      </w:pPr>
    </w:p>
    <w:p w14:paraId="53BC8CF6">
      <w:pPr>
        <w:pStyle w:val="3"/>
        <w:rPr>
          <w:rFonts w:hint="eastAsia" w:ascii="宋体" w:hAnsi="宋体" w:eastAsia="宋体" w:cs="宋体"/>
          <w:color w:val="auto"/>
          <w:highlight w:val="none"/>
        </w:rPr>
      </w:pPr>
    </w:p>
    <w:p w14:paraId="0803935D">
      <w:pPr>
        <w:pStyle w:val="3"/>
        <w:rPr>
          <w:rFonts w:hint="eastAsia" w:ascii="宋体" w:hAnsi="宋体" w:eastAsia="宋体" w:cs="宋体"/>
          <w:color w:val="auto"/>
          <w:highlight w:val="none"/>
        </w:rPr>
      </w:pPr>
    </w:p>
    <w:p w14:paraId="0505266E">
      <w:pPr>
        <w:pStyle w:val="3"/>
        <w:rPr>
          <w:rFonts w:hint="eastAsia" w:ascii="宋体" w:hAnsi="宋体" w:eastAsia="宋体" w:cs="宋体"/>
          <w:color w:val="auto"/>
          <w:highlight w:val="none"/>
        </w:rPr>
      </w:pPr>
    </w:p>
    <w:p w14:paraId="0B12A825">
      <w:pPr>
        <w:pStyle w:val="3"/>
        <w:rPr>
          <w:rFonts w:hint="eastAsia" w:ascii="宋体" w:hAnsi="宋体" w:eastAsia="宋体" w:cs="宋体"/>
          <w:color w:val="auto"/>
          <w:highlight w:val="none"/>
        </w:rPr>
      </w:pPr>
    </w:p>
    <w:p w14:paraId="2D2E048F">
      <w:pPr>
        <w:rPr>
          <w:rFonts w:hint="eastAsia" w:ascii="宋体" w:hAnsi="宋体" w:eastAsia="宋体" w:cs="宋体"/>
          <w:color w:val="auto"/>
          <w:highlight w:val="none"/>
        </w:rPr>
      </w:pPr>
    </w:p>
    <w:p w14:paraId="14F18BAA">
      <w:pPr>
        <w:pStyle w:val="4"/>
        <w:jc w:val="center"/>
        <w:rPr>
          <w:rFonts w:hint="eastAsia" w:ascii="宋体" w:hAnsi="宋体" w:eastAsia="宋体" w:cs="宋体"/>
          <w:color w:val="auto"/>
          <w:highlight w:val="none"/>
        </w:rPr>
      </w:pPr>
      <w:bookmarkStart w:id="51" w:name="_Toc19609"/>
      <w:bookmarkStart w:id="52" w:name="_Toc15275"/>
      <w:bookmarkStart w:id="53" w:name="_Toc28534"/>
      <w:r>
        <w:rPr>
          <w:rFonts w:hint="eastAsia" w:ascii="宋体" w:hAnsi="宋体" w:eastAsia="宋体" w:cs="宋体"/>
          <w:color w:val="auto"/>
          <w:highlight w:val="none"/>
        </w:rPr>
        <w:t>第五章 响应文件格式</w:t>
      </w:r>
      <w:bookmarkEnd w:id="51"/>
      <w:bookmarkEnd w:id="52"/>
      <w:bookmarkEnd w:id="53"/>
    </w:p>
    <w:p w14:paraId="7C290B75">
      <w:pPr>
        <w:spacing w:line="240" w:lineRule="atLeast"/>
        <w:rPr>
          <w:rFonts w:hint="eastAsia" w:ascii="宋体" w:hAnsi="宋体" w:eastAsia="宋体" w:cs="宋体"/>
          <w:b/>
          <w:color w:val="auto"/>
          <w:sz w:val="32"/>
          <w:szCs w:val="32"/>
          <w:highlight w:val="none"/>
        </w:rPr>
      </w:pPr>
    </w:p>
    <w:p w14:paraId="68CE0A68">
      <w:pPr>
        <w:spacing w:line="240" w:lineRule="atLeast"/>
        <w:rPr>
          <w:rFonts w:hint="eastAsia" w:ascii="宋体" w:hAnsi="宋体" w:eastAsia="宋体" w:cs="宋体"/>
          <w:b/>
          <w:color w:val="auto"/>
          <w:sz w:val="32"/>
          <w:szCs w:val="32"/>
          <w:highlight w:val="none"/>
        </w:rPr>
      </w:pPr>
    </w:p>
    <w:p w14:paraId="16807188">
      <w:pPr>
        <w:spacing w:line="240" w:lineRule="atLeast"/>
        <w:rPr>
          <w:rFonts w:hint="eastAsia" w:ascii="宋体" w:hAnsi="宋体" w:eastAsia="宋体" w:cs="宋体"/>
          <w:b/>
          <w:color w:val="auto"/>
          <w:sz w:val="32"/>
          <w:szCs w:val="32"/>
          <w:highlight w:val="none"/>
        </w:rPr>
      </w:pPr>
    </w:p>
    <w:p w14:paraId="2A23C015">
      <w:pPr>
        <w:spacing w:line="240" w:lineRule="atLeast"/>
        <w:rPr>
          <w:rFonts w:hint="eastAsia" w:ascii="宋体" w:hAnsi="宋体" w:eastAsia="宋体" w:cs="宋体"/>
          <w:b/>
          <w:color w:val="auto"/>
          <w:sz w:val="32"/>
          <w:szCs w:val="32"/>
          <w:highlight w:val="none"/>
        </w:rPr>
      </w:pPr>
    </w:p>
    <w:p w14:paraId="6B5999C0">
      <w:pPr>
        <w:spacing w:line="240" w:lineRule="atLeast"/>
        <w:rPr>
          <w:rFonts w:hint="eastAsia" w:ascii="宋体" w:hAnsi="宋体" w:eastAsia="宋体" w:cs="宋体"/>
          <w:b/>
          <w:color w:val="auto"/>
          <w:sz w:val="32"/>
          <w:szCs w:val="32"/>
          <w:highlight w:val="none"/>
        </w:rPr>
      </w:pPr>
    </w:p>
    <w:p w14:paraId="0E5B1E0D">
      <w:pPr>
        <w:spacing w:line="240" w:lineRule="atLeast"/>
        <w:rPr>
          <w:rFonts w:hint="eastAsia" w:ascii="宋体" w:hAnsi="宋体" w:eastAsia="宋体" w:cs="宋体"/>
          <w:b/>
          <w:color w:val="auto"/>
          <w:sz w:val="32"/>
          <w:szCs w:val="32"/>
          <w:highlight w:val="none"/>
        </w:rPr>
      </w:pPr>
    </w:p>
    <w:p w14:paraId="0AF08CD8">
      <w:pPr>
        <w:spacing w:line="240" w:lineRule="atLeast"/>
        <w:rPr>
          <w:rFonts w:hint="eastAsia" w:ascii="宋体" w:hAnsi="宋体" w:eastAsia="宋体" w:cs="宋体"/>
          <w:b/>
          <w:color w:val="auto"/>
          <w:sz w:val="32"/>
          <w:szCs w:val="32"/>
          <w:highlight w:val="none"/>
        </w:rPr>
      </w:pPr>
    </w:p>
    <w:p w14:paraId="5D5E1B91">
      <w:pPr>
        <w:spacing w:line="240" w:lineRule="atLeast"/>
        <w:rPr>
          <w:rFonts w:hint="eastAsia" w:ascii="宋体" w:hAnsi="宋体" w:eastAsia="宋体" w:cs="宋体"/>
          <w:b/>
          <w:color w:val="auto"/>
          <w:sz w:val="32"/>
          <w:szCs w:val="32"/>
          <w:highlight w:val="none"/>
        </w:rPr>
      </w:pPr>
    </w:p>
    <w:p w14:paraId="4DCEDA29">
      <w:pPr>
        <w:spacing w:line="240" w:lineRule="atLeast"/>
        <w:rPr>
          <w:rFonts w:hint="eastAsia" w:ascii="宋体" w:hAnsi="宋体" w:eastAsia="宋体" w:cs="宋体"/>
          <w:b/>
          <w:color w:val="auto"/>
          <w:sz w:val="32"/>
          <w:szCs w:val="32"/>
          <w:highlight w:val="none"/>
        </w:rPr>
      </w:pPr>
    </w:p>
    <w:p w14:paraId="71BE4315">
      <w:pPr>
        <w:spacing w:line="240" w:lineRule="atLeast"/>
        <w:rPr>
          <w:rFonts w:hint="eastAsia" w:ascii="宋体" w:hAnsi="宋体" w:eastAsia="宋体" w:cs="宋体"/>
          <w:b/>
          <w:color w:val="auto"/>
          <w:sz w:val="32"/>
          <w:szCs w:val="32"/>
          <w:highlight w:val="none"/>
        </w:rPr>
      </w:pPr>
    </w:p>
    <w:p w14:paraId="79C051F1">
      <w:pPr>
        <w:spacing w:line="240" w:lineRule="atLeast"/>
        <w:rPr>
          <w:rFonts w:hint="eastAsia" w:ascii="宋体" w:hAnsi="宋体" w:eastAsia="宋体" w:cs="宋体"/>
          <w:b/>
          <w:color w:val="auto"/>
          <w:sz w:val="32"/>
          <w:szCs w:val="32"/>
          <w:highlight w:val="none"/>
        </w:rPr>
      </w:pPr>
    </w:p>
    <w:p w14:paraId="279592FE">
      <w:pPr>
        <w:spacing w:line="240" w:lineRule="atLeast"/>
        <w:rPr>
          <w:rFonts w:hint="eastAsia" w:ascii="宋体" w:hAnsi="宋体" w:eastAsia="宋体" w:cs="宋体"/>
          <w:b/>
          <w:color w:val="auto"/>
          <w:sz w:val="32"/>
          <w:szCs w:val="32"/>
          <w:highlight w:val="none"/>
        </w:rPr>
      </w:pPr>
    </w:p>
    <w:p w14:paraId="1548EF1A">
      <w:pPr>
        <w:spacing w:line="240" w:lineRule="atLeast"/>
        <w:rPr>
          <w:rFonts w:hint="eastAsia" w:ascii="宋体" w:hAnsi="宋体" w:eastAsia="宋体" w:cs="宋体"/>
          <w:b/>
          <w:color w:val="auto"/>
          <w:sz w:val="32"/>
          <w:szCs w:val="32"/>
          <w:highlight w:val="none"/>
        </w:rPr>
      </w:pPr>
    </w:p>
    <w:p w14:paraId="697AE5F5">
      <w:pPr>
        <w:spacing w:line="240" w:lineRule="atLeast"/>
        <w:rPr>
          <w:rFonts w:hint="eastAsia" w:ascii="宋体" w:hAnsi="宋体" w:eastAsia="宋体" w:cs="宋体"/>
          <w:b/>
          <w:color w:val="auto"/>
          <w:sz w:val="32"/>
          <w:szCs w:val="32"/>
          <w:highlight w:val="none"/>
        </w:rPr>
      </w:pPr>
    </w:p>
    <w:p w14:paraId="59FC715F">
      <w:pPr>
        <w:bidi w:val="0"/>
        <w:rPr>
          <w:rFonts w:hint="eastAsia" w:ascii="宋体" w:hAnsi="宋体" w:eastAsia="宋体" w:cs="宋体"/>
          <w:color w:val="auto"/>
          <w:highlight w:val="none"/>
        </w:rPr>
      </w:pPr>
    </w:p>
    <w:p w14:paraId="2C9D078E">
      <w:pPr>
        <w:spacing w:line="240" w:lineRule="atLeast"/>
        <w:rPr>
          <w:rFonts w:hint="eastAsia" w:ascii="宋体" w:hAnsi="宋体" w:eastAsia="宋体" w:cs="宋体"/>
          <w:b/>
          <w:color w:val="auto"/>
          <w:sz w:val="32"/>
          <w:szCs w:val="32"/>
          <w:highlight w:val="none"/>
        </w:rPr>
      </w:pPr>
      <w:bookmarkStart w:id="54" w:name="_Toc71365382"/>
      <w:bookmarkStart w:id="55" w:name="_Toc71366060"/>
      <w:r>
        <w:rPr>
          <w:rFonts w:hint="eastAsia" w:ascii="宋体" w:hAnsi="宋体" w:eastAsia="宋体" w:cs="宋体"/>
          <w:b/>
          <w:color w:val="auto"/>
          <w:sz w:val="32"/>
          <w:szCs w:val="32"/>
          <w:highlight w:val="none"/>
        </w:rPr>
        <w:br w:type="page"/>
      </w:r>
      <w:r>
        <w:rPr>
          <w:rFonts w:hint="eastAsia" w:ascii="宋体" w:hAnsi="宋体" w:eastAsia="宋体" w:cs="宋体"/>
          <w:b/>
          <w:color w:val="auto"/>
          <w:sz w:val="32"/>
          <w:szCs w:val="32"/>
          <w:highlight w:val="none"/>
        </w:rPr>
        <w:t>一、资格证明文件格式</w:t>
      </w:r>
      <w:bookmarkEnd w:id="54"/>
      <w:bookmarkEnd w:id="55"/>
    </w:p>
    <w:p w14:paraId="207234C9">
      <w:pPr>
        <w:snapToGrid w:val="0"/>
        <w:spacing w:before="120" w:beforeLines="50" w:after="50" w:line="360" w:lineRule="auto"/>
        <w:jc w:val="left"/>
        <w:rPr>
          <w:rFonts w:hint="eastAsia" w:ascii="宋体" w:hAnsi="宋体" w:eastAsia="宋体" w:cs="宋体"/>
          <w:b/>
          <w:color w:val="auto"/>
          <w:sz w:val="24"/>
          <w:highlight w:val="none"/>
        </w:rPr>
      </w:pPr>
      <w:r>
        <w:rPr>
          <w:rFonts w:hint="eastAsia" w:ascii="宋体" w:hAnsi="宋体" w:eastAsia="宋体" w:cs="宋体"/>
          <w:b/>
          <w:color w:val="auto"/>
          <w:sz w:val="32"/>
          <w:szCs w:val="32"/>
          <w:highlight w:val="none"/>
        </w:rPr>
        <w:t>1.资格证明文件封面格式：</w:t>
      </w:r>
      <w:r>
        <w:rPr>
          <w:rFonts w:hint="eastAsia" w:ascii="宋体" w:hAnsi="宋体" w:eastAsia="宋体" w:cs="宋体"/>
          <w:b/>
          <w:color w:val="auto"/>
          <w:sz w:val="24"/>
          <w:highlight w:val="none"/>
        </w:rPr>
        <w:t xml:space="preserve"> </w:t>
      </w:r>
    </w:p>
    <w:p w14:paraId="17EC3C6B">
      <w:pPr>
        <w:snapToGrid w:val="0"/>
        <w:spacing w:before="120" w:beforeLines="50" w:after="50"/>
        <w:rPr>
          <w:rFonts w:hint="eastAsia" w:ascii="宋体" w:hAnsi="宋体" w:eastAsia="宋体" w:cs="宋体"/>
          <w:bCs/>
          <w:color w:val="auto"/>
          <w:sz w:val="32"/>
          <w:szCs w:val="20"/>
          <w:highlight w:val="none"/>
        </w:rPr>
      </w:pPr>
      <w:r>
        <w:rPr>
          <w:rFonts w:hint="eastAsia" w:ascii="宋体" w:hAnsi="宋体" w:eastAsia="宋体" w:cs="宋体"/>
          <w:color w:val="auto"/>
          <w:sz w:val="24"/>
          <w:highlight w:val="none"/>
        </w:rPr>
        <w:t xml:space="preserve">                                                  </w:t>
      </w:r>
    </w:p>
    <w:p w14:paraId="7C788DE2">
      <w:pPr>
        <w:snapToGrid w:val="0"/>
        <w:spacing w:before="120" w:beforeLines="50" w:after="50"/>
        <w:jc w:val="center"/>
        <w:rPr>
          <w:rFonts w:hint="eastAsia" w:ascii="宋体" w:hAnsi="宋体" w:eastAsia="宋体" w:cs="宋体"/>
          <w:bCs/>
          <w:color w:val="auto"/>
          <w:sz w:val="44"/>
          <w:szCs w:val="44"/>
          <w:highlight w:val="none"/>
        </w:rPr>
      </w:pPr>
    </w:p>
    <w:p w14:paraId="65CEA72C">
      <w:pPr>
        <w:snapToGrid w:val="0"/>
        <w:spacing w:before="120" w:beforeLines="50" w:after="50"/>
        <w:jc w:val="center"/>
        <w:rPr>
          <w:rFonts w:hint="eastAsia" w:ascii="宋体" w:hAnsi="宋体" w:eastAsia="宋体" w:cs="宋体"/>
          <w:bCs/>
          <w:color w:val="auto"/>
          <w:sz w:val="84"/>
          <w:szCs w:val="84"/>
          <w:highlight w:val="none"/>
        </w:rPr>
      </w:pPr>
      <w:r>
        <w:rPr>
          <w:rFonts w:hint="eastAsia" w:ascii="宋体" w:hAnsi="宋体" w:eastAsia="宋体" w:cs="宋体"/>
          <w:bCs/>
          <w:color w:val="auto"/>
          <w:sz w:val="84"/>
          <w:szCs w:val="84"/>
          <w:highlight w:val="none"/>
        </w:rPr>
        <w:t>响  应  文  件</w:t>
      </w:r>
    </w:p>
    <w:p w14:paraId="7061CA5E">
      <w:pPr>
        <w:snapToGrid w:val="0"/>
        <w:spacing w:before="120" w:beforeLines="50" w:after="50"/>
        <w:rPr>
          <w:rFonts w:hint="eastAsia" w:ascii="宋体" w:hAnsi="宋体" w:eastAsia="宋体" w:cs="宋体"/>
          <w:color w:val="auto"/>
          <w:sz w:val="24"/>
          <w:szCs w:val="20"/>
          <w:highlight w:val="none"/>
        </w:rPr>
      </w:pPr>
    </w:p>
    <w:p w14:paraId="669FE2D8">
      <w:pPr>
        <w:snapToGrid w:val="0"/>
        <w:spacing w:before="120" w:beforeLines="50" w:after="50"/>
        <w:jc w:val="center"/>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资  格  证  明  文  件</w:t>
      </w:r>
    </w:p>
    <w:p w14:paraId="69EE37D8">
      <w:pPr>
        <w:snapToGrid w:val="0"/>
        <w:spacing w:before="120" w:beforeLines="50" w:after="50"/>
        <w:rPr>
          <w:rFonts w:hint="eastAsia" w:ascii="宋体" w:hAnsi="宋体" w:eastAsia="宋体" w:cs="宋体"/>
          <w:bCs/>
          <w:color w:val="auto"/>
          <w:sz w:val="24"/>
          <w:szCs w:val="20"/>
          <w:highlight w:val="none"/>
        </w:rPr>
      </w:pPr>
    </w:p>
    <w:p w14:paraId="684418CC">
      <w:pPr>
        <w:snapToGrid w:val="0"/>
        <w:spacing w:before="120" w:beforeLines="50" w:after="50"/>
        <w:rPr>
          <w:rFonts w:hint="eastAsia" w:ascii="宋体" w:hAnsi="宋体" w:eastAsia="宋体" w:cs="宋体"/>
          <w:bCs/>
          <w:color w:val="auto"/>
          <w:sz w:val="24"/>
          <w:szCs w:val="20"/>
          <w:highlight w:val="none"/>
        </w:rPr>
      </w:pPr>
    </w:p>
    <w:p w14:paraId="7996C005">
      <w:pPr>
        <w:snapToGrid w:val="0"/>
        <w:spacing w:before="120" w:beforeLines="50" w:after="50"/>
        <w:rPr>
          <w:rFonts w:hint="eastAsia" w:ascii="宋体" w:hAnsi="宋体" w:eastAsia="宋体" w:cs="宋体"/>
          <w:bCs/>
          <w:color w:val="auto"/>
          <w:sz w:val="24"/>
          <w:szCs w:val="20"/>
          <w:highlight w:val="none"/>
        </w:rPr>
      </w:pPr>
    </w:p>
    <w:p w14:paraId="5193D8C8">
      <w:pPr>
        <w:snapToGrid w:val="0"/>
        <w:spacing w:before="120" w:beforeLines="50" w:after="50"/>
        <w:rPr>
          <w:rFonts w:hint="eastAsia" w:ascii="宋体" w:hAnsi="宋体" w:eastAsia="宋体" w:cs="宋体"/>
          <w:bCs/>
          <w:color w:val="auto"/>
          <w:sz w:val="24"/>
          <w:szCs w:val="20"/>
          <w:highlight w:val="none"/>
        </w:rPr>
      </w:pPr>
    </w:p>
    <w:p w14:paraId="713B7CEA">
      <w:pPr>
        <w:snapToGrid w:val="0"/>
        <w:spacing w:before="120" w:beforeLines="50" w:after="50"/>
        <w:rPr>
          <w:rFonts w:hint="eastAsia" w:ascii="宋体" w:hAnsi="宋体" w:eastAsia="宋体" w:cs="宋体"/>
          <w:bCs/>
          <w:color w:val="auto"/>
          <w:sz w:val="24"/>
          <w:szCs w:val="20"/>
          <w:highlight w:val="none"/>
        </w:rPr>
      </w:pPr>
    </w:p>
    <w:p w14:paraId="328B3EB3">
      <w:pPr>
        <w:snapToGrid w:val="0"/>
        <w:spacing w:before="120" w:beforeLines="50" w:after="50"/>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项目名称：</w:t>
      </w:r>
    </w:p>
    <w:p w14:paraId="50A97AF3">
      <w:pPr>
        <w:snapToGrid w:val="0"/>
        <w:spacing w:before="120" w:beforeLines="50" w:after="50"/>
        <w:ind w:firstLine="720" w:firstLineChars="225"/>
        <w:rPr>
          <w:rFonts w:hint="eastAsia" w:ascii="宋体" w:hAnsi="宋体" w:eastAsia="宋体" w:cs="宋体"/>
          <w:bCs/>
          <w:color w:val="auto"/>
          <w:sz w:val="32"/>
          <w:szCs w:val="32"/>
          <w:highlight w:val="none"/>
        </w:rPr>
      </w:pPr>
    </w:p>
    <w:p w14:paraId="37D16221">
      <w:pPr>
        <w:snapToGrid w:val="0"/>
        <w:spacing w:before="120" w:beforeLines="50" w:after="50"/>
        <w:ind w:firstLine="720" w:firstLineChars="225"/>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项目编号：</w:t>
      </w:r>
    </w:p>
    <w:p w14:paraId="3E111724">
      <w:pPr>
        <w:snapToGrid w:val="0"/>
        <w:spacing w:before="120" w:beforeLines="50" w:after="50"/>
        <w:ind w:firstLine="720" w:firstLineChars="225"/>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 xml:space="preserve"> </w:t>
      </w:r>
    </w:p>
    <w:p w14:paraId="5D428C42">
      <w:pPr>
        <w:snapToGrid w:val="0"/>
        <w:spacing w:before="120" w:beforeLines="50" w:after="50"/>
        <w:ind w:firstLine="720" w:firstLineChars="225"/>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所竞分标：</w:t>
      </w:r>
    </w:p>
    <w:p w14:paraId="56A36796">
      <w:pPr>
        <w:snapToGrid w:val="0"/>
        <w:spacing w:before="120" w:beforeLines="50" w:after="50"/>
        <w:ind w:firstLine="720" w:firstLineChars="225"/>
        <w:rPr>
          <w:rFonts w:hint="eastAsia" w:ascii="宋体" w:hAnsi="宋体" w:eastAsia="宋体" w:cs="宋体"/>
          <w:bCs/>
          <w:color w:val="auto"/>
          <w:sz w:val="32"/>
          <w:szCs w:val="32"/>
          <w:highlight w:val="none"/>
        </w:rPr>
      </w:pPr>
    </w:p>
    <w:p w14:paraId="000CD297">
      <w:pPr>
        <w:pStyle w:val="10"/>
        <w:snapToGrid w:val="0"/>
        <w:spacing w:before="50" w:after="50"/>
        <w:ind w:firstLine="720" w:firstLineChars="225"/>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供应商名称：</w:t>
      </w:r>
    </w:p>
    <w:p w14:paraId="7C681051">
      <w:pPr>
        <w:snapToGrid w:val="0"/>
        <w:spacing w:before="120" w:beforeLines="50" w:after="50"/>
        <w:ind w:firstLine="640" w:firstLineChars="200"/>
        <w:rPr>
          <w:rFonts w:hint="eastAsia" w:ascii="宋体" w:hAnsi="宋体" w:eastAsia="宋体" w:cs="宋体"/>
          <w:bCs/>
          <w:color w:val="auto"/>
          <w:sz w:val="32"/>
          <w:szCs w:val="32"/>
          <w:highlight w:val="none"/>
        </w:rPr>
      </w:pPr>
    </w:p>
    <w:p w14:paraId="47E65B83">
      <w:pPr>
        <w:pStyle w:val="10"/>
        <w:snapToGrid w:val="0"/>
        <w:spacing w:before="50" w:after="50"/>
        <w:ind w:firstLine="720" w:firstLineChars="225"/>
        <w:rPr>
          <w:rFonts w:hint="eastAsia" w:ascii="宋体" w:hAnsi="宋体" w:eastAsia="宋体" w:cs="宋体"/>
          <w:bCs/>
          <w:color w:val="auto"/>
          <w:sz w:val="32"/>
          <w:szCs w:val="32"/>
          <w:highlight w:val="none"/>
        </w:rPr>
      </w:pPr>
    </w:p>
    <w:p w14:paraId="436C1D7D">
      <w:pPr>
        <w:pStyle w:val="10"/>
        <w:snapToGrid w:val="0"/>
        <w:spacing w:before="50" w:after="50"/>
        <w:ind w:firstLine="1280" w:firstLineChars="400"/>
        <w:rPr>
          <w:rFonts w:hint="eastAsia" w:ascii="宋体" w:hAnsi="宋体" w:eastAsia="宋体" w:cs="宋体"/>
          <w:bCs/>
          <w:color w:val="auto"/>
          <w:sz w:val="32"/>
          <w:szCs w:val="32"/>
          <w:highlight w:val="none"/>
        </w:rPr>
      </w:pPr>
    </w:p>
    <w:p w14:paraId="52D7AF87">
      <w:pPr>
        <w:snapToGrid w:val="0"/>
        <w:spacing w:before="120" w:beforeLines="50" w:after="50"/>
        <w:jc w:val="center"/>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年    月    日</w:t>
      </w:r>
    </w:p>
    <w:p w14:paraId="2D6A6C1D">
      <w:pPr>
        <w:snapToGrid w:val="0"/>
        <w:spacing w:before="120" w:beforeLines="50" w:after="50" w:line="360" w:lineRule="auto"/>
        <w:ind w:left="142"/>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br w:type="page"/>
      </w:r>
    </w:p>
    <w:p w14:paraId="62172348">
      <w:pPr>
        <w:snapToGrid w:val="0"/>
        <w:spacing w:before="120" w:beforeLines="50" w:after="50" w:line="360" w:lineRule="auto"/>
        <w:ind w:left="142"/>
        <w:jc w:val="left"/>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2.资格证明文件目录</w:t>
      </w:r>
    </w:p>
    <w:p w14:paraId="3252BD9F">
      <w:pPr>
        <w:snapToGrid w:val="0"/>
        <w:spacing w:before="120" w:beforeLines="50" w:after="50" w:line="360" w:lineRule="auto"/>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一、营业执照(或事业法人登记证或其他工商等登记证明材料)复印件（供应商为自然人的，须提供自然人的身份证明）…………………………………………………………………（页码）</w:t>
      </w:r>
    </w:p>
    <w:p w14:paraId="144917CC">
      <w:pPr>
        <w:snapToGrid w:val="0"/>
        <w:spacing w:before="120" w:beforeLines="50" w:after="50" w:line="360" w:lineRule="auto"/>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二、符合参与政府采购活动的资格条件依法缴纳税收、社会保障资金等方面的材料…（页码）</w:t>
      </w:r>
    </w:p>
    <w:p w14:paraId="67E57A94">
      <w:pPr>
        <w:snapToGrid w:val="0"/>
        <w:spacing w:before="120" w:beforeLines="50" w:after="50" w:line="360" w:lineRule="auto"/>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三、财务状况报告方面的材料………………………………………………………………（页码）</w:t>
      </w:r>
    </w:p>
    <w:p w14:paraId="0DFD329B">
      <w:pPr>
        <w:snapToGrid w:val="0"/>
        <w:spacing w:before="120" w:beforeLines="50" w:after="50" w:line="360" w:lineRule="auto"/>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四、供应商直接控股股东信息………………………………………………………………（页码）</w:t>
      </w:r>
    </w:p>
    <w:p w14:paraId="6D9ACA2F">
      <w:pPr>
        <w:snapToGrid w:val="0"/>
        <w:spacing w:before="120" w:beforeLines="50" w:after="50" w:line="360" w:lineRule="auto"/>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五、供应商直接关联关系信息表……………………………………………………………（页码）</w:t>
      </w:r>
    </w:p>
    <w:p w14:paraId="28F6A642">
      <w:pPr>
        <w:snapToGrid w:val="0"/>
        <w:spacing w:before="120" w:beforeLines="50" w:after="50" w:line="360" w:lineRule="auto"/>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六、资格声明函………………………………………………………………………………（页码）</w:t>
      </w:r>
    </w:p>
    <w:p w14:paraId="4C77A821">
      <w:pPr>
        <w:spacing w:line="360" w:lineRule="auto"/>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七、</w:t>
      </w:r>
      <w:r>
        <w:rPr>
          <w:rFonts w:hint="eastAsia" w:ascii="宋体" w:hAnsi="宋体" w:eastAsia="宋体" w:cs="宋体"/>
          <w:color w:val="auto"/>
          <w:sz w:val="24"/>
          <w:szCs w:val="20"/>
          <w:highlight w:val="none"/>
          <w:lang w:eastAsia="zh-CN"/>
        </w:rPr>
        <w:t>供应商须具备公路工程施工总承包三级(含三级)以上资质，且具备省级及以上建设行政主管部门颁发的安全生产许可证。并在人员、设备、资金等方面具有相应的施工能力；拟投入本工程的项目经理必须具有公路工程专业贰级以上（含贰级）注册建造师资格及安全生产考核合格证（B证），为供应商的在岗人员，且未担任其他在建项目或已中标未开工项目或已列为项目第一中标候选人项目的项目经理</w:t>
      </w:r>
      <w:r>
        <w:rPr>
          <w:rFonts w:hint="eastAsia" w:ascii="宋体" w:hAnsi="宋体" w:eastAsia="宋体" w:cs="宋体"/>
          <w:color w:val="auto"/>
          <w:sz w:val="24"/>
          <w:szCs w:val="20"/>
          <w:highlight w:val="none"/>
        </w:rPr>
        <w:t>………………………………………………………（页码）</w:t>
      </w:r>
    </w:p>
    <w:p w14:paraId="57892B93">
      <w:pPr>
        <w:snapToGrid w:val="0"/>
        <w:spacing w:before="120" w:beforeLines="50" w:after="50" w:line="360" w:lineRule="auto"/>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八、承诺书……………………………………………………………………………………（页码）</w:t>
      </w:r>
    </w:p>
    <w:p w14:paraId="444933CB">
      <w:pPr>
        <w:snapToGrid w:val="0"/>
        <w:spacing w:before="120" w:beforeLines="50" w:after="50" w:line="360" w:lineRule="auto"/>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九、中小企业声明函或残疾人福利性单位声明函或监狱企业证明………………………（页码）</w:t>
      </w:r>
    </w:p>
    <w:p w14:paraId="2C2B408A">
      <w:pPr>
        <w:snapToGrid w:val="0"/>
        <w:spacing w:before="120" w:beforeLines="50" w:after="50" w:line="360" w:lineRule="auto"/>
        <w:rPr>
          <w:rFonts w:hint="eastAsia" w:ascii="宋体" w:hAnsi="宋体" w:eastAsia="宋体" w:cs="宋体"/>
          <w:color w:val="auto"/>
          <w:sz w:val="24"/>
          <w:szCs w:val="20"/>
          <w:highlight w:val="none"/>
        </w:rPr>
      </w:pPr>
    </w:p>
    <w:p w14:paraId="726D91C5">
      <w:pPr>
        <w:snapToGrid w:val="0"/>
        <w:spacing w:before="120" w:beforeLines="50" w:after="50" w:line="360" w:lineRule="auto"/>
        <w:rPr>
          <w:rFonts w:hint="eastAsia" w:ascii="宋体" w:hAnsi="宋体" w:eastAsia="宋体" w:cs="宋体"/>
          <w:color w:val="auto"/>
          <w:sz w:val="24"/>
          <w:szCs w:val="20"/>
          <w:highlight w:val="none"/>
        </w:rPr>
      </w:pPr>
    </w:p>
    <w:p w14:paraId="6BB3A4C0">
      <w:pPr>
        <w:snapToGrid w:val="0"/>
        <w:spacing w:before="120" w:beforeLines="50" w:after="50" w:line="360" w:lineRule="auto"/>
        <w:rPr>
          <w:rFonts w:hint="eastAsia" w:ascii="宋体" w:hAnsi="宋体" w:eastAsia="宋体" w:cs="宋体"/>
          <w:b/>
          <w:bCs/>
          <w:color w:val="auto"/>
          <w:sz w:val="24"/>
          <w:szCs w:val="20"/>
          <w:highlight w:val="none"/>
        </w:rPr>
      </w:pPr>
      <w:r>
        <w:rPr>
          <w:rFonts w:hint="eastAsia" w:ascii="宋体" w:hAnsi="宋体" w:eastAsia="宋体" w:cs="宋体"/>
          <w:b/>
          <w:bCs/>
          <w:color w:val="auto"/>
          <w:sz w:val="24"/>
          <w:szCs w:val="20"/>
          <w:highlight w:val="none"/>
        </w:rPr>
        <w:t>注：以上目录是编制供应商响应文件的基本格式要求，各供应商可根据自身情况进一步细化。</w:t>
      </w:r>
    </w:p>
    <w:p w14:paraId="531B1D0D">
      <w:pPr>
        <w:snapToGrid w:val="0"/>
        <w:spacing w:before="120" w:beforeLines="50" w:after="50" w:line="360" w:lineRule="auto"/>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 xml:space="preserve"> </w:t>
      </w:r>
    </w:p>
    <w:p w14:paraId="0ECA52D3">
      <w:pPr>
        <w:spacing w:line="360" w:lineRule="auto"/>
        <w:rPr>
          <w:rFonts w:hint="eastAsia" w:ascii="宋体" w:hAnsi="宋体" w:eastAsia="宋体" w:cs="宋体"/>
          <w:color w:val="auto"/>
          <w:szCs w:val="21"/>
          <w:highlight w:val="none"/>
        </w:rPr>
      </w:pPr>
    </w:p>
    <w:p w14:paraId="7BC2A5E8">
      <w:pPr>
        <w:spacing w:line="360" w:lineRule="auto"/>
        <w:rPr>
          <w:rFonts w:hint="eastAsia" w:ascii="宋体" w:hAnsi="宋体" w:eastAsia="宋体" w:cs="宋体"/>
          <w:color w:val="auto"/>
          <w:szCs w:val="21"/>
          <w:highlight w:val="none"/>
        </w:rPr>
      </w:pPr>
    </w:p>
    <w:p w14:paraId="417DAFD8">
      <w:pPr>
        <w:spacing w:line="360" w:lineRule="auto"/>
        <w:rPr>
          <w:rFonts w:hint="eastAsia" w:ascii="宋体" w:hAnsi="宋体" w:eastAsia="宋体" w:cs="宋体"/>
          <w:color w:val="auto"/>
          <w:szCs w:val="21"/>
          <w:highlight w:val="none"/>
        </w:rPr>
      </w:pPr>
    </w:p>
    <w:p w14:paraId="1CD16843">
      <w:pPr>
        <w:spacing w:line="360" w:lineRule="auto"/>
        <w:rPr>
          <w:rFonts w:hint="eastAsia" w:ascii="宋体" w:hAnsi="宋体" w:eastAsia="宋体" w:cs="宋体"/>
          <w:color w:val="auto"/>
          <w:szCs w:val="21"/>
          <w:highlight w:val="none"/>
        </w:rPr>
      </w:pPr>
    </w:p>
    <w:p w14:paraId="2317DAEA">
      <w:pPr>
        <w:spacing w:line="300" w:lineRule="auto"/>
        <w:rPr>
          <w:rFonts w:hint="eastAsia" w:ascii="宋体" w:hAnsi="宋体" w:eastAsia="宋体" w:cs="宋体"/>
          <w:color w:val="auto"/>
          <w:szCs w:val="21"/>
          <w:highlight w:val="none"/>
        </w:rPr>
      </w:pPr>
    </w:p>
    <w:p w14:paraId="0590BFE6">
      <w:pPr>
        <w:spacing w:line="300" w:lineRule="auto"/>
        <w:rPr>
          <w:rFonts w:hint="eastAsia" w:ascii="宋体" w:hAnsi="宋体" w:eastAsia="宋体" w:cs="宋体"/>
          <w:color w:val="auto"/>
          <w:szCs w:val="21"/>
          <w:highlight w:val="none"/>
        </w:rPr>
      </w:pPr>
    </w:p>
    <w:p w14:paraId="3F5389F1">
      <w:pPr>
        <w:spacing w:line="300" w:lineRule="auto"/>
        <w:rPr>
          <w:rFonts w:hint="eastAsia" w:ascii="宋体" w:hAnsi="宋体" w:eastAsia="宋体" w:cs="宋体"/>
          <w:color w:val="auto"/>
          <w:szCs w:val="21"/>
          <w:highlight w:val="none"/>
        </w:rPr>
      </w:pPr>
    </w:p>
    <w:p w14:paraId="0944B6B5">
      <w:pPr>
        <w:spacing w:line="300" w:lineRule="auto"/>
        <w:rPr>
          <w:rFonts w:hint="eastAsia" w:ascii="宋体" w:hAnsi="宋体" w:eastAsia="宋体" w:cs="宋体"/>
          <w:color w:val="auto"/>
          <w:szCs w:val="21"/>
          <w:highlight w:val="none"/>
        </w:rPr>
      </w:pPr>
    </w:p>
    <w:p w14:paraId="5FD0C2F7">
      <w:pPr>
        <w:spacing w:line="300" w:lineRule="auto"/>
        <w:rPr>
          <w:rFonts w:hint="eastAsia" w:ascii="宋体" w:hAnsi="宋体" w:eastAsia="宋体" w:cs="宋体"/>
          <w:color w:val="auto"/>
          <w:szCs w:val="21"/>
          <w:highlight w:val="none"/>
        </w:rPr>
      </w:pPr>
    </w:p>
    <w:p w14:paraId="3BDD811C">
      <w:pPr>
        <w:spacing w:line="300" w:lineRule="auto"/>
        <w:rPr>
          <w:rFonts w:hint="eastAsia" w:ascii="宋体" w:hAnsi="宋体" w:eastAsia="宋体" w:cs="宋体"/>
          <w:color w:val="auto"/>
          <w:szCs w:val="21"/>
          <w:highlight w:val="none"/>
        </w:rPr>
      </w:pPr>
    </w:p>
    <w:p w14:paraId="61E24B26">
      <w:pPr>
        <w:spacing w:line="320" w:lineRule="exact"/>
        <w:jc w:val="left"/>
        <w:rPr>
          <w:rFonts w:hint="eastAsia" w:ascii="宋体" w:hAnsi="宋体" w:eastAsia="宋体" w:cs="宋体"/>
          <w:color w:val="auto"/>
          <w:szCs w:val="21"/>
          <w:highlight w:val="none"/>
        </w:rPr>
      </w:pPr>
    </w:p>
    <w:p w14:paraId="543BD0A2">
      <w:pPr>
        <w:pStyle w:val="16"/>
        <w:spacing w:line="360" w:lineRule="auto"/>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rPr>
        <w:t>一、营业执照复印件</w:t>
      </w:r>
    </w:p>
    <w:p w14:paraId="26623143">
      <w:pPr>
        <w:pStyle w:val="16"/>
        <w:spacing w:line="360" w:lineRule="auto"/>
        <w:ind w:firstLine="602" w:firstLineChars="200"/>
        <w:rPr>
          <w:rFonts w:hint="eastAsia" w:ascii="宋体" w:hAnsi="宋体" w:eastAsia="宋体" w:cs="宋体"/>
          <w:b/>
          <w:color w:val="auto"/>
          <w:sz w:val="30"/>
          <w:szCs w:val="30"/>
          <w:highlight w:val="none"/>
        </w:rPr>
      </w:pPr>
    </w:p>
    <w:p w14:paraId="78B9E824">
      <w:pPr>
        <w:pStyle w:val="17"/>
        <w:ind w:left="5250"/>
        <w:rPr>
          <w:rFonts w:hint="eastAsia" w:ascii="宋体" w:hAnsi="宋体" w:eastAsia="宋体" w:cs="宋体"/>
          <w:color w:val="auto"/>
          <w:highlight w:val="none"/>
        </w:rPr>
      </w:pPr>
    </w:p>
    <w:p w14:paraId="1DE4C806">
      <w:pPr>
        <w:autoSpaceDE w:val="0"/>
        <w:autoSpaceDN w:val="0"/>
        <w:spacing w:line="360" w:lineRule="auto"/>
        <w:ind w:left="4365" w:leftChars="1850" w:hanging="480" w:hanging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1998A53A">
      <w:pPr>
        <w:autoSpaceDE w:val="0"/>
        <w:autoSpaceDN w:val="0"/>
        <w:spacing w:line="360" w:lineRule="auto"/>
        <w:ind w:firstLine="6120" w:firstLineChars="2550"/>
        <w:rPr>
          <w:rFonts w:hint="eastAsia" w:ascii="宋体" w:hAnsi="宋体" w:eastAsia="宋体" w:cs="宋体"/>
          <w:b/>
          <w:bCs/>
          <w:color w:val="auto"/>
          <w:sz w:val="24"/>
          <w:highlight w:val="none"/>
        </w:rPr>
      </w:pPr>
      <w:r>
        <w:rPr>
          <w:rFonts w:hint="eastAsia" w:ascii="宋体" w:hAnsi="宋体" w:eastAsia="宋体" w:cs="宋体"/>
          <w:color w:val="auto"/>
          <w:kern w:val="0"/>
          <w:sz w:val="24"/>
          <w:highlight w:val="none"/>
          <w:lang w:val="zh-CN"/>
        </w:rPr>
        <w:t>日期： 年  月   日</w:t>
      </w:r>
    </w:p>
    <w:p w14:paraId="7AD682CB">
      <w:pPr>
        <w:snapToGrid w:val="0"/>
        <w:spacing w:before="120" w:beforeLines="50" w:after="50"/>
        <w:rPr>
          <w:rFonts w:hint="eastAsia" w:ascii="宋体" w:hAnsi="宋体" w:eastAsia="宋体" w:cs="宋体"/>
          <w:color w:val="auto"/>
          <w:sz w:val="24"/>
          <w:szCs w:val="20"/>
          <w:highlight w:val="none"/>
        </w:rPr>
      </w:pPr>
    </w:p>
    <w:p w14:paraId="2FC1B473">
      <w:pPr>
        <w:pStyle w:val="16"/>
        <w:spacing w:line="360" w:lineRule="auto"/>
        <w:ind w:firstLine="602" w:firstLineChars="200"/>
        <w:rPr>
          <w:rFonts w:hint="eastAsia" w:ascii="宋体" w:hAnsi="宋体" w:eastAsia="宋体" w:cs="宋体"/>
          <w:b/>
          <w:color w:val="auto"/>
          <w:sz w:val="30"/>
          <w:szCs w:val="30"/>
          <w:highlight w:val="none"/>
        </w:rPr>
      </w:pPr>
    </w:p>
    <w:p w14:paraId="3DF1ECDE">
      <w:pPr>
        <w:pStyle w:val="16"/>
        <w:spacing w:line="360" w:lineRule="auto"/>
        <w:ind w:firstLine="602" w:firstLineChars="200"/>
        <w:rPr>
          <w:rFonts w:hint="eastAsia" w:ascii="宋体" w:hAnsi="宋体" w:eastAsia="宋体" w:cs="宋体"/>
          <w:b/>
          <w:color w:val="auto"/>
          <w:sz w:val="30"/>
          <w:szCs w:val="30"/>
          <w:highlight w:val="none"/>
        </w:rPr>
      </w:pPr>
    </w:p>
    <w:p w14:paraId="1F8A3D64">
      <w:pPr>
        <w:pStyle w:val="16"/>
        <w:spacing w:line="360" w:lineRule="auto"/>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rPr>
        <w:t>二、符合参与政府采购活动的资格条件依法缴纳税收、社会保障资金等方面的材料</w:t>
      </w:r>
    </w:p>
    <w:p w14:paraId="35B233DA">
      <w:pPr>
        <w:spacing w:line="300" w:lineRule="auto"/>
        <w:rPr>
          <w:rFonts w:hint="eastAsia" w:ascii="宋体" w:hAnsi="宋体" w:eastAsia="宋体" w:cs="宋体"/>
          <w:color w:val="auto"/>
          <w:szCs w:val="21"/>
          <w:highlight w:val="none"/>
        </w:rPr>
      </w:pPr>
    </w:p>
    <w:p w14:paraId="100F07EE">
      <w:pPr>
        <w:autoSpaceDE w:val="0"/>
        <w:autoSpaceDN w:val="0"/>
        <w:spacing w:line="360" w:lineRule="auto"/>
        <w:ind w:left="4365" w:leftChars="1850" w:hanging="480" w:hanging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336059DB">
      <w:pPr>
        <w:autoSpaceDE w:val="0"/>
        <w:autoSpaceDN w:val="0"/>
        <w:spacing w:line="360" w:lineRule="auto"/>
        <w:ind w:firstLine="6120" w:firstLineChars="2550"/>
        <w:rPr>
          <w:rFonts w:hint="eastAsia" w:ascii="宋体" w:hAnsi="宋体" w:eastAsia="宋体" w:cs="宋体"/>
          <w:b/>
          <w:bCs/>
          <w:color w:val="auto"/>
          <w:sz w:val="24"/>
          <w:highlight w:val="none"/>
        </w:rPr>
      </w:pPr>
      <w:r>
        <w:rPr>
          <w:rFonts w:hint="eastAsia" w:ascii="宋体" w:hAnsi="宋体" w:eastAsia="宋体" w:cs="宋体"/>
          <w:color w:val="auto"/>
          <w:kern w:val="0"/>
          <w:sz w:val="24"/>
          <w:highlight w:val="none"/>
          <w:lang w:val="zh-CN"/>
        </w:rPr>
        <w:t>日期： 年  月   日</w:t>
      </w:r>
    </w:p>
    <w:p w14:paraId="45D1C6F3">
      <w:pPr>
        <w:spacing w:line="300" w:lineRule="auto"/>
        <w:rPr>
          <w:rFonts w:hint="eastAsia" w:ascii="宋体" w:hAnsi="宋体" w:eastAsia="宋体" w:cs="宋体"/>
          <w:color w:val="auto"/>
          <w:szCs w:val="21"/>
          <w:highlight w:val="none"/>
        </w:rPr>
      </w:pPr>
    </w:p>
    <w:p w14:paraId="2B2EC8CC">
      <w:pPr>
        <w:spacing w:line="300" w:lineRule="auto"/>
        <w:ind w:firstLine="596" w:firstLineChars="198"/>
        <w:rPr>
          <w:rFonts w:hint="eastAsia" w:ascii="宋体" w:hAnsi="宋体" w:eastAsia="宋体" w:cs="宋体"/>
          <w:b/>
          <w:color w:val="auto"/>
          <w:kern w:val="0"/>
          <w:sz w:val="30"/>
          <w:szCs w:val="30"/>
          <w:highlight w:val="none"/>
        </w:rPr>
      </w:pPr>
    </w:p>
    <w:p w14:paraId="5DCD042F">
      <w:pPr>
        <w:spacing w:line="300" w:lineRule="auto"/>
        <w:ind w:firstLine="596" w:firstLineChars="198"/>
        <w:rPr>
          <w:rFonts w:hint="eastAsia" w:ascii="宋体" w:hAnsi="宋体" w:eastAsia="宋体" w:cs="宋体"/>
          <w:b/>
          <w:color w:val="auto"/>
          <w:kern w:val="0"/>
          <w:sz w:val="30"/>
          <w:szCs w:val="30"/>
          <w:highlight w:val="none"/>
        </w:rPr>
      </w:pPr>
    </w:p>
    <w:p w14:paraId="219765C2">
      <w:pPr>
        <w:spacing w:line="300" w:lineRule="auto"/>
        <w:ind w:firstLine="596" w:firstLineChars="198"/>
        <w:rPr>
          <w:rFonts w:hint="eastAsia" w:ascii="宋体" w:hAnsi="宋体" w:eastAsia="宋体" w:cs="宋体"/>
          <w:b/>
          <w:color w:val="auto"/>
          <w:kern w:val="0"/>
          <w:sz w:val="30"/>
          <w:szCs w:val="30"/>
          <w:highlight w:val="none"/>
        </w:rPr>
      </w:pPr>
    </w:p>
    <w:p w14:paraId="2728919C">
      <w:pPr>
        <w:spacing w:line="300" w:lineRule="auto"/>
        <w:ind w:firstLine="596" w:firstLineChars="198"/>
        <w:rPr>
          <w:rFonts w:hint="eastAsia" w:ascii="宋体" w:hAnsi="宋体" w:eastAsia="宋体" w:cs="宋体"/>
          <w:b/>
          <w:color w:val="auto"/>
          <w:kern w:val="0"/>
          <w:sz w:val="30"/>
          <w:szCs w:val="30"/>
          <w:highlight w:val="none"/>
        </w:rPr>
      </w:pPr>
    </w:p>
    <w:p w14:paraId="07A8E66D">
      <w:pPr>
        <w:spacing w:line="300" w:lineRule="auto"/>
        <w:rPr>
          <w:rFonts w:hint="eastAsia" w:ascii="宋体" w:hAnsi="宋体" w:eastAsia="宋体" w:cs="宋体"/>
          <w:b/>
          <w:color w:val="auto"/>
          <w:kern w:val="0"/>
          <w:sz w:val="30"/>
          <w:szCs w:val="30"/>
          <w:highlight w:val="none"/>
        </w:rPr>
      </w:pPr>
      <w:r>
        <w:rPr>
          <w:rFonts w:hint="eastAsia" w:ascii="宋体" w:hAnsi="宋体" w:eastAsia="宋体" w:cs="宋体"/>
          <w:b/>
          <w:color w:val="auto"/>
          <w:kern w:val="0"/>
          <w:sz w:val="30"/>
          <w:szCs w:val="30"/>
          <w:highlight w:val="none"/>
        </w:rPr>
        <w:t>三、财务状况报告方面的材料</w:t>
      </w:r>
    </w:p>
    <w:p w14:paraId="7B67C04B">
      <w:pPr>
        <w:spacing w:line="300" w:lineRule="auto"/>
        <w:rPr>
          <w:rFonts w:hint="eastAsia" w:ascii="宋体" w:hAnsi="宋体" w:eastAsia="宋体" w:cs="宋体"/>
          <w:color w:val="auto"/>
          <w:szCs w:val="21"/>
          <w:highlight w:val="none"/>
        </w:rPr>
      </w:pPr>
    </w:p>
    <w:p w14:paraId="5BAFF585">
      <w:pPr>
        <w:autoSpaceDE w:val="0"/>
        <w:autoSpaceDN w:val="0"/>
        <w:spacing w:line="360" w:lineRule="auto"/>
        <w:ind w:left="4365" w:leftChars="1850" w:hanging="480" w:hanging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74E9AB3A">
      <w:pPr>
        <w:autoSpaceDE w:val="0"/>
        <w:autoSpaceDN w:val="0"/>
        <w:spacing w:line="360" w:lineRule="auto"/>
        <w:ind w:firstLine="6120" w:firstLineChars="2550"/>
        <w:rPr>
          <w:rFonts w:hint="eastAsia" w:ascii="宋体" w:hAnsi="宋体" w:eastAsia="宋体" w:cs="宋体"/>
          <w:b/>
          <w:bCs/>
          <w:color w:val="auto"/>
          <w:sz w:val="24"/>
          <w:highlight w:val="none"/>
        </w:rPr>
      </w:pPr>
      <w:r>
        <w:rPr>
          <w:rFonts w:hint="eastAsia" w:ascii="宋体" w:hAnsi="宋体" w:eastAsia="宋体" w:cs="宋体"/>
          <w:color w:val="auto"/>
          <w:kern w:val="0"/>
          <w:sz w:val="24"/>
          <w:highlight w:val="none"/>
          <w:lang w:val="zh-CN"/>
        </w:rPr>
        <w:t>日期： 年  月   日</w:t>
      </w:r>
    </w:p>
    <w:p w14:paraId="5AB0482E">
      <w:pPr>
        <w:spacing w:line="320" w:lineRule="exact"/>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w:t>
      </w:r>
    </w:p>
    <w:p w14:paraId="44E18635">
      <w:pPr>
        <w:snapToGrid w:val="0"/>
        <w:spacing w:before="120" w:beforeLines="50" w:after="50"/>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br w:type="page"/>
      </w:r>
      <w:r>
        <w:rPr>
          <w:rFonts w:hint="eastAsia" w:ascii="宋体" w:hAnsi="宋体" w:eastAsia="宋体" w:cs="宋体"/>
          <w:b/>
          <w:color w:val="auto"/>
          <w:sz w:val="32"/>
          <w:szCs w:val="32"/>
          <w:highlight w:val="none"/>
        </w:rPr>
        <w:t>四、供应商直接控股股东信息表</w:t>
      </w:r>
    </w:p>
    <w:p w14:paraId="4AD37251">
      <w:pPr>
        <w:snapToGrid w:val="0"/>
        <w:spacing w:before="120" w:beforeLines="50" w:after="50"/>
        <w:rPr>
          <w:rFonts w:hint="eastAsia" w:ascii="宋体" w:hAnsi="宋体" w:eastAsia="宋体" w:cs="宋体"/>
          <w:b/>
          <w:color w:val="auto"/>
          <w:sz w:val="32"/>
          <w:szCs w:val="32"/>
          <w:highlight w:val="none"/>
        </w:rPr>
      </w:pPr>
    </w:p>
    <w:p w14:paraId="7622DE36">
      <w:pPr>
        <w:snapToGrid w:val="0"/>
        <w:spacing w:before="50" w:after="120" w:afterLines="50"/>
        <w:rPr>
          <w:rFonts w:hint="eastAsia" w:ascii="宋体" w:hAnsi="宋体" w:eastAsia="宋体" w:cs="宋体"/>
          <w:b/>
          <w:color w:val="auto"/>
          <w:sz w:val="32"/>
          <w:szCs w:val="32"/>
          <w:highlight w:val="none"/>
        </w:rPr>
      </w:pPr>
    </w:p>
    <w:tbl>
      <w:tblPr>
        <w:tblStyle w:val="23"/>
        <w:tblW w:w="10147" w:type="dxa"/>
        <w:jc w:val="center"/>
        <w:shd w:val="clear" w:color="auto" w:fill="FBFBFB"/>
        <w:tblLayout w:type="fixed"/>
        <w:tblCellMar>
          <w:top w:w="0" w:type="dxa"/>
          <w:left w:w="0" w:type="dxa"/>
          <w:bottom w:w="0" w:type="dxa"/>
          <w:right w:w="0" w:type="dxa"/>
        </w:tblCellMar>
      </w:tblPr>
      <w:tblGrid>
        <w:gridCol w:w="880"/>
        <w:gridCol w:w="2655"/>
        <w:gridCol w:w="1455"/>
        <w:gridCol w:w="4287"/>
        <w:gridCol w:w="870"/>
      </w:tblGrid>
      <w:tr w14:paraId="40B9AC7B">
        <w:tblPrEx>
          <w:tblCellMar>
            <w:top w:w="0" w:type="dxa"/>
            <w:left w:w="0" w:type="dxa"/>
            <w:bottom w:w="0" w:type="dxa"/>
            <w:right w:w="0" w:type="dxa"/>
          </w:tblCellMar>
        </w:tblPrEx>
        <w:trPr>
          <w:tblHeader/>
          <w:jc w:val="center"/>
        </w:trPr>
        <w:tc>
          <w:tcPr>
            <w:tcW w:w="880"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0AAB98AD">
            <w:pPr>
              <w:widowControl/>
              <w:spacing w:line="360" w:lineRule="auto"/>
              <w:jc w:val="center"/>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rPr>
              <w:t>序号</w:t>
            </w:r>
          </w:p>
        </w:tc>
        <w:tc>
          <w:tcPr>
            <w:tcW w:w="2655"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0DD9B581">
            <w:pPr>
              <w:widowControl/>
              <w:spacing w:line="360" w:lineRule="auto"/>
              <w:jc w:val="center"/>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rPr>
              <w:t>直接控股股东名称</w:t>
            </w:r>
          </w:p>
        </w:tc>
        <w:tc>
          <w:tcPr>
            <w:tcW w:w="1455"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4AF451DE">
            <w:pPr>
              <w:widowControl/>
              <w:spacing w:line="360" w:lineRule="auto"/>
              <w:jc w:val="center"/>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rPr>
              <w:t>出资比例</w:t>
            </w:r>
          </w:p>
        </w:tc>
        <w:tc>
          <w:tcPr>
            <w:tcW w:w="4287"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77C582C1">
            <w:pPr>
              <w:widowControl/>
              <w:spacing w:line="360" w:lineRule="auto"/>
              <w:jc w:val="center"/>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rPr>
              <w:t>身份证号码或者统一社会信用代码</w:t>
            </w:r>
          </w:p>
        </w:tc>
        <w:tc>
          <w:tcPr>
            <w:tcW w:w="870"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511A3D87">
            <w:pPr>
              <w:widowControl/>
              <w:spacing w:line="360" w:lineRule="auto"/>
              <w:jc w:val="center"/>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rPr>
              <w:t>备注</w:t>
            </w:r>
          </w:p>
        </w:tc>
      </w:tr>
      <w:tr w14:paraId="70705798">
        <w:tblPrEx>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1ECC6B68">
            <w:pPr>
              <w:widowControl/>
              <w:spacing w:line="360" w:lineRule="auto"/>
              <w:jc w:val="center"/>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1</w:t>
            </w:r>
          </w:p>
        </w:tc>
        <w:tc>
          <w:tcPr>
            <w:tcW w:w="265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67B91AAA">
            <w:pPr>
              <w:widowControl/>
              <w:spacing w:line="360" w:lineRule="auto"/>
              <w:jc w:val="center"/>
              <w:rPr>
                <w:rFonts w:hint="eastAsia" w:ascii="宋体" w:hAnsi="宋体" w:eastAsia="宋体" w:cs="宋体"/>
                <w:color w:val="auto"/>
                <w:kern w:val="0"/>
                <w:sz w:val="28"/>
                <w:szCs w:val="28"/>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6CC9CB8B">
            <w:pPr>
              <w:widowControl/>
              <w:spacing w:line="360" w:lineRule="auto"/>
              <w:jc w:val="center"/>
              <w:rPr>
                <w:rFonts w:hint="eastAsia" w:ascii="宋体" w:hAnsi="宋体" w:eastAsia="宋体" w:cs="宋体"/>
                <w:color w:val="auto"/>
                <w:kern w:val="0"/>
                <w:sz w:val="28"/>
                <w:szCs w:val="28"/>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2ED8A794">
            <w:pPr>
              <w:widowControl/>
              <w:spacing w:line="360" w:lineRule="auto"/>
              <w:jc w:val="center"/>
              <w:rPr>
                <w:rFonts w:hint="eastAsia" w:ascii="宋体" w:hAnsi="宋体" w:eastAsia="宋体" w:cs="宋体"/>
                <w:color w:val="auto"/>
                <w:kern w:val="0"/>
                <w:sz w:val="28"/>
                <w:szCs w:val="28"/>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60E45F85">
            <w:pPr>
              <w:widowControl/>
              <w:spacing w:line="360" w:lineRule="auto"/>
              <w:jc w:val="center"/>
              <w:rPr>
                <w:rFonts w:hint="eastAsia" w:ascii="宋体" w:hAnsi="宋体" w:eastAsia="宋体" w:cs="宋体"/>
                <w:color w:val="auto"/>
                <w:kern w:val="0"/>
                <w:sz w:val="28"/>
                <w:szCs w:val="28"/>
                <w:highlight w:val="none"/>
              </w:rPr>
            </w:pPr>
          </w:p>
        </w:tc>
      </w:tr>
      <w:tr w14:paraId="59324824">
        <w:tblPrEx>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4078B177">
            <w:pPr>
              <w:widowControl/>
              <w:spacing w:line="360" w:lineRule="auto"/>
              <w:jc w:val="center"/>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2</w:t>
            </w:r>
          </w:p>
        </w:tc>
        <w:tc>
          <w:tcPr>
            <w:tcW w:w="265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4565D805">
            <w:pPr>
              <w:widowControl/>
              <w:spacing w:line="360" w:lineRule="auto"/>
              <w:jc w:val="center"/>
              <w:rPr>
                <w:rFonts w:hint="eastAsia" w:ascii="宋体" w:hAnsi="宋体" w:eastAsia="宋体" w:cs="宋体"/>
                <w:color w:val="auto"/>
                <w:kern w:val="0"/>
                <w:sz w:val="28"/>
                <w:szCs w:val="28"/>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2E9BDF00">
            <w:pPr>
              <w:widowControl/>
              <w:spacing w:line="360" w:lineRule="auto"/>
              <w:jc w:val="center"/>
              <w:rPr>
                <w:rFonts w:hint="eastAsia" w:ascii="宋体" w:hAnsi="宋体" w:eastAsia="宋体" w:cs="宋体"/>
                <w:color w:val="auto"/>
                <w:kern w:val="0"/>
                <w:sz w:val="28"/>
                <w:szCs w:val="28"/>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1D397A41">
            <w:pPr>
              <w:widowControl/>
              <w:spacing w:line="360" w:lineRule="auto"/>
              <w:jc w:val="center"/>
              <w:rPr>
                <w:rFonts w:hint="eastAsia" w:ascii="宋体" w:hAnsi="宋体" w:eastAsia="宋体" w:cs="宋体"/>
                <w:color w:val="auto"/>
                <w:kern w:val="0"/>
                <w:sz w:val="28"/>
                <w:szCs w:val="28"/>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2A9CB81B">
            <w:pPr>
              <w:widowControl/>
              <w:spacing w:line="360" w:lineRule="auto"/>
              <w:jc w:val="center"/>
              <w:rPr>
                <w:rFonts w:hint="eastAsia" w:ascii="宋体" w:hAnsi="宋体" w:eastAsia="宋体" w:cs="宋体"/>
                <w:color w:val="auto"/>
                <w:kern w:val="0"/>
                <w:sz w:val="28"/>
                <w:szCs w:val="28"/>
                <w:highlight w:val="none"/>
              </w:rPr>
            </w:pPr>
          </w:p>
        </w:tc>
      </w:tr>
      <w:tr w14:paraId="548E75F3">
        <w:tblPrEx>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6F162855">
            <w:pPr>
              <w:widowControl/>
              <w:spacing w:line="360" w:lineRule="auto"/>
              <w:jc w:val="center"/>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3</w:t>
            </w:r>
          </w:p>
        </w:tc>
        <w:tc>
          <w:tcPr>
            <w:tcW w:w="265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56546D17">
            <w:pPr>
              <w:widowControl/>
              <w:spacing w:line="360" w:lineRule="auto"/>
              <w:jc w:val="center"/>
              <w:rPr>
                <w:rFonts w:hint="eastAsia" w:ascii="宋体" w:hAnsi="宋体" w:eastAsia="宋体" w:cs="宋体"/>
                <w:color w:val="auto"/>
                <w:kern w:val="0"/>
                <w:sz w:val="28"/>
                <w:szCs w:val="28"/>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61669A20">
            <w:pPr>
              <w:widowControl/>
              <w:spacing w:line="360" w:lineRule="auto"/>
              <w:jc w:val="center"/>
              <w:rPr>
                <w:rFonts w:hint="eastAsia" w:ascii="宋体" w:hAnsi="宋体" w:eastAsia="宋体" w:cs="宋体"/>
                <w:color w:val="auto"/>
                <w:kern w:val="0"/>
                <w:sz w:val="28"/>
                <w:szCs w:val="28"/>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39F4B9CE">
            <w:pPr>
              <w:widowControl/>
              <w:spacing w:line="360" w:lineRule="auto"/>
              <w:jc w:val="center"/>
              <w:rPr>
                <w:rFonts w:hint="eastAsia" w:ascii="宋体" w:hAnsi="宋体" w:eastAsia="宋体" w:cs="宋体"/>
                <w:color w:val="auto"/>
                <w:kern w:val="0"/>
                <w:sz w:val="28"/>
                <w:szCs w:val="28"/>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4C7CF5AA">
            <w:pPr>
              <w:widowControl/>
              <w:spacing w:line="360" w:lineRule="auto"/>
              <w:jc w:val="center"/>
              <w:rPr>
                <w:rFonts w:hint="eastAsia" w:ascii="宋体" w:hAnsi="宋体" w:eastAsia="宋体" w:cs="宋体"/>
                <w:color w:val="auto"/>
                <w:kern w:val="0"/>
                <w:sz w:val="28"/>
                <w:szCs w:val="28"/>
                <w:highlight w:val="none"/>
              </w:rPr>
            </w:pPr>
          </w:p>
        </w:tc>
      </w:tr>
      <w:tr w14:paraId="52ED5D49">
        <w:tblPrEx>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33A545F5">
            <w:pPr>
              <w:widowControl/>
              <w:spacing w:line="360" w:lineRule="auto"/>
              <w:jc w:val="center"/>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w:t>
            </w:r>
          </w:p>
        </w:tc>
        <w:tc>
          <w:tcPr>
            <w:tcW w:w="265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176198A4">
            <w:pPr>
              <w:widowControl/>
              <w:spacing w:line="360" w:lineRule="auto"/>
              <w:jc w:val="center"/>
              <w:rPr>
                <w:rFonts w:hint="eastAsia" w:ascii="宋体" w:hAnsi="宋体" w:eastAsia="宋体" w:cs="宋体"/>
                <w:color w:val="auto"/>
                <w:kern w:val="0"/>
                <w:sz w:val="28"/>
                <w:szCs w:val="28"/>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138CFEE4">
            <w:pPr>
              <w:widowControl/>
              <w:spacing w:line="360" w:lineRule="auto"/>
              <w:jc w:val="center"/>
              <w:rPr>
                <w:rFonts w:hint="eastAsia" w:ascii="宋体" w:hAnsi="宋体" w:eastAsia="宋体" w:cs="宋体"/>
                <w:color w:val="auto"/>
                <w:kern w:val="0"/>
                <w:sz w:val="28"/>
                <w:szCs w:val="28"/>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3AB9B708">
            <w:pPr>
              <w:widowControl/>
              <w:spacing w:line="360" w:lineRule="auto"/>
              <w:jc w:val="center"/>
              <w:rPr>
                <w:rFonts w:hint="eastAsia" w:ascii="宋体" w:hAnsi="宋体" w:eastAsia="宋体" w:cs="宋体"/>
                <w:color w:val="auto"/>
                <w:kern w:val="0"/>
                <w:sz w:val="28"/>
                <w:szCs w:val="28"/>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40750AE7">
            <w:pPr>
              <w:widowControl/>
              <w:spacing w:line="360" w:lineRule="auto"/>
              <w:jc w:val="center"/>
              <w:rPr>
                <w:rFonts w:hint="eastAsia" w:ascii="宋体" w:hAnsi="宋体" w:eastAsia="宋体" w:cs="宋体"/>
                <w:color w:val="auto"/>
                <w:kern w:val="0"/>
                <w:sz w:val="28"/>
                <w:szCs w:val="28"/>
                <w:highlight w:val="none"/>
              </w:rPr>
            </w:pPr>
          </w:p>
        </w:tc>
      </w:tr>
    </w:tbl>
    <w:p w14:paraId="6C56268F">
      <w:pPr>
        <w:spacing w:line="360" w:lineRule="auto"/>
        <w:contextualSpacing/>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注：</w:t>
      </w:r>
    </w:p>
    <w:p w14:paraId="54644D17">
      <w:pPr>
        <w:spacing w:line="360" w:lineRule="auto"/>
        <w:ind w:firstLine="480" w:firstLineChars="200"/>
        <w:contextualSpacing/>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44F725E7">
      <w:pPr>
        <w:spacing w:line="360" w:lineRule="auto"/>
        <w:ind w:firstLine="480" w:firstLineChars="200"/>
        <w:contextualSpacing/>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2.本表所指的控股关系仅限于直接控股关系，不包括间接的控股关系。公司实际控制人与公司之间的关系不属于本表所指的直接控股关系。</w:t>
      </w:r>
    </w:p>
    <w:p w14:paraId="48F3BA6D">
      <w:pPr>
        <w:spacing w:line="360" w:lineRule="auto"/>
        <w:ind w:firstLine="480" w:firstLineChars="200"/>
        <w:contextualSpacing/>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3.供应商不存在直接控股股东的，则填“无”。</w:t>
      </w:r>
    </w:p>
    <w:p w14:paraId="42FB62B1">
      <w:pPr>
        <w:spacing w:line="360" w:lineRule="auto"/>
        <w:ind w:firstLine="420" w:firstLineChars="200"/>
        <w:contextualSpacing/>
        <w:jc w:val="left"/>
        <w:rPr>
          <w:rFonts w:hint="eastAsia" w:ascii="宋体" w:hAnsi="宋体" w:eastAsia="宋体" w:cs="宋体"/>
          <w:color w:val="auto"/>
          <w:szCs w:val="21"/>
          <w:highlight w:val="none"/>
        </w:rPr>
      </w:pPr>
    </w:p>
    <w:p w14:paraId="7F91F406">
      <w:pPr>
        <w:spacing w:line="360" w:lineRule="auto"/>
        <w:ind w:firstLine="560" w:firstLineChars="200"/>
        <w:contextualSpacing/>
        <w:jc w:val="left"/>
        <w:rPr>
          <w:rFonts w:hint="eastAsia" w:ascii="宋体" w:hAnsi="宋体" w:eastAsia="宋体" w:cs="宋体"/>
          <w:color w:val="auto"/>
          <w:sz w:val="28"/>
          <w:szCs w:val="28"/>
          <w:highlight w:val="none"/>
        </w:rPr>
      </w:pPr>
    </w:p>
    <w:p w14:paraId="03A5E374">
      <w:pPr>
        <w:spacing w:line="360" w:lineRule="auto"/>
        <w:ind w:right="480"/>
        <w:contextualSpacing/>
        <w:jc w:val="center"/>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 xml:space="preserve">        法定代表人或者委托代理人签字：</w:t>
      </w:r>
      <w:r>
        <w:rPr>
          <w:rFonts w:hint="eastAsia" w:ascii="宋体" w:hAnsi="宋体" w:eastAsia="宋体" w:cs="宋体"/>
          <w:color w:val="auto"/>
          <w:sz w:val="24"/>
          <w:highlight w:val="none"/>
          <w:u w:val="single"/>
        </w:rPr>
        <w:t xml:space="preserve">                    </w:t>
      </w:r>
    </w:p>
    <w:p w14:paraId="0FAAE7C5">
      <w:pPr>
        <w:spacing w:line="360" w:lineRule="auto"/>
        <w:ind w:right="480" w:firstLine="3360" w:firstLineChars="1400"/>
        <w:contextualSpacing/>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 xml:space="preserve">供应商（盖公章 ）： </w:t>
      </w:r>
      <w:r>
        <w:rPr>
          <w:rFonts w:hint="eastAsia" w:ascii="宋体" w:hAnsi="宋体" w:eastAsia="宋体" w:cs="宋体"/>
          <w:color w:val="auto"/>
          <w:sz w:val="24"/>
          <w:highlight w:val="none"/>
          <w:u w:val="single"/>
        </w:rPr>
        <w:t xml:space="preserve">                              </w:t>
      </w:r>
    </w:p>
    <w:p w14:paraId="041590F2">
      <w:pPr>
        <w:spacing w:line="360" w:lineRule="auto"/>
        <w:ind w:right="480" w:firstLine="5280" w:firstLineChars="2200"/>
        <w:contextualSpacing/>
        <w:rPr>
          <w:rFonts w:hint="eastAsia" w:ascii="宋体" w:hAnsi="宋体" w:eastAsia="宋体" w:cs="宋体"/>
          <w:color w:val="auto"/>
          <w:sz w:val="28"/>
          <w:szCs w:val="28"/>
          <w:highlight w:val="none"/>
        </w:rPr>
      </w:pPr>
      <w:r>
        <w:rPr>
          <w:rFonts w:hint="eastAsia" w:ascii="宋体" w:hAnsi="宋体" w:eastAsia="宋体" w:cs="宋体"/>
          <w:color w:val="auto"/>
          <w:sz w:val="24"/>
          <w:highlight w:val="none"/>
        </w:rPr>
        <w:t>年    月    日</w:t>
      </w:r>
    </w:p>
    <w:p w14:paraId="2F25F3A2">
      <w:pPr>
        <w:snapToGrid w:val="0"/>
        <w:jc w:val="cente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br w:type="page"/>
      </w:r>
    </w:p>
    <w:p w14:paraId="167DBF68">
      <w:pPr>
        <w:snapToGrid w:val="0"/>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五、供应商直接管理关系信息表</w:t>
      </w:r>
    </w:p>
    <w:p w14:paraId="625301A9">
      <w:pPr>
        <w:snapToGrid w:val="0"/>
        <w:jc w:val="center"/>
        <w:rPr>
          <w:rFonts w:hint="eastAsia" w:ascii="宋体" w:hAnsi="宋体" w:eastAsia="宋体" w:cs="宋体"/>
          <w:b/>
          <w:color w:val="auto"/>
          <w:sz w:val="32"/>
          <w:szCs w:val="32"/>
          <w:highlight w:val="none"/>
        </w:rPr>
      </w:pPr>
    </w:p>
    <w:tbl>
      <w:tblPr>
        <w:tblStyle w:val="23"/>
        <w:tblW w:w="9652" w:type="dxa"/>
        <w:jc w:val="center"/>
        <w:shd w:val="clear" w:color="auto" w:fill="FBFBFB"/>
        <w:tblLayout w:type="fixed"/>
        <w:tblCellMar>
          <w:top w:w="0" w:type="dxa"/>
          <w:left w:w="0" w:type="dxa"/>
          <w:bottom w:w="0" w:type="dxa"/>
          <w:right w:w="0" w:type="dxa"/>
        </w:tblCellMar>
      </w:tblPr>
      <w:tblGrid>
        <w:gridCol w:w="808"/>
        <w:gridCol w:w="3600"/>
        <w:gridCol w:w="3555"/>
        <w:gridCol w:w="1689"/>
      </w:tblGrid>
      <w:tr w14:paraId="788EAB2E">
        <w:tblPrEx>
          <w:tblCellMar>
            <w:top w:w="0" w:type="dxa"/>
            <w:left w:w="0" w:type="dxa"/>
            <w:bottom w:w="0" w:type="dxa"/>
            <w:right w:w="0" w:type="dxa"/>
          </w:tblCellMar>
        </w:tblPrEx>
        <w:trPr>
          <w:tblHeader/>
          <w:jc w:val="center"/>
        </w:trPr>
        <w:tc>
          <w:tcPr>
            <w:tcW w:w="808"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69A88F1D">
            <w:pPr>
              <w:widowControl/>
              <w:jc w:val="center"/>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rPr>
              <w:t>序号</w:t>
            </w:r>
          </w:p>
        </w:tc>
        <w:tc>
          <w:tcPr>
            <w:tcW w:w="3600"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62B0AB76">
            <w:pPr>
              <w:widowControl/>
              <w:jc w:val="center"/>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rPr>
              <w:t>直接管理关系单位名称</w:t>
            </w:r>
          </w:p>
        </w:tc>
        <w:tc>
          <w:tcPr>
            <w:tcW w:w="3555"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53B9F9A0">
            <w:pPr>
              <w:widowControl/>
              <w:jc w:val="center"/>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rPr>
              <w:t>统一社会信用代码</w:t>
            </w:r>
          </w:p>
        </w:tc>
        <w:tc>
          <w:tcPr>
            <w:tcW w:w="1689"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4E74ED77">
            <w:pPr>
              <w:widowControl/>
              <w:jc w:val="center"/>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rPr>
              <w:t>备注</w:t>
            </w:r>
          </w:p>
        </w:tc>
      </w:tr>
      <w:tr w14:paraId="43DB0BD1">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1E6F09DA">
            <w:pPr>
              <w:widowControl/>
              <w:wordWrap w:val="0"/>
              <w:spacing w:line="200" w:lineRule="atLeast"/>
              <w:jc w:val="center"/>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1</w:t>
            </w:r>
          </w:p>
        </w:tc>
        <w:tc>
          <w:tcPr>
            <w:tcW w:w="3600"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793AB445">
            <w:pPr>
              <w:widowControl/>
              <w:wordWrap w:val="0"/>
              <w:spacing w:line="200" w:lineRule="atLeast"/>
              <w:jc w:val="center"/>
              <w:rPr>
                <w:rFonts w:hint="eastAsia" w:ascii="宋体" w:hAnsi="宋体" w:eastAsia="宋体" w:cs="宋体"/>
                <w:color w:val="auto"/>
                <w:kern w:val="0"/>
                <w:sz w:val="28"/>
                <w:szCs w:val="28"/>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6C17EDFF">
            <w:pPr>
              <w:widowControl/>
              <w:wordWrap w:val="0"/>
              <w:spacing w:line="200" w:lineRule="atLeast"/>
              <w:jc w:val="center"/>
              <w:rPr>
                <w:rFonts w:hint="eastAsia" w:ascii="宋体" w:hAnsi="宋体" w:eastAsia="宋体" w:cs="宋体"/>
                <w:color w:val="auto"/>
                <w:kern w:val="0"/>
                <w:sz w:val="28"/>
                <w:szCs w:val="28"/>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4F2D5689">
            <w:pPr>
              <w:widowControl/>
              <w:wordWrap w:val="0"/>
              <w:spacing w:line="200" w:lineRule="atLeast"/>
              <w:jc w:val="center"/>
              <w:rPr>
                <w:rFonts w:hint="eastAsia" w:ascii="宋体" w:hAnsi="宋体" w:eastAsia="宋体" w:cs="宋体"/>
                <w:color w:val="auto"/>
                <w:kern w:val="0"/>
                <w:sz w:val="28"/>
                <w:szCs w:val="28"/>
                <w:highlight w:val="none"/>
              </w:rPr>
            </w:pPr>
          </w:p>
        </w:tc>
      </w:tr>
      <w:tr w14:paraId="44D94459">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4D5C3723">
            <w:pPr>
              <w:widowControl/>
              <w:wordWrap w:val="0"/>
              <w:spacing w:line="200" w:lineRule="atLeast"/>
              <w:jc w:val="center"/>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2</w:t>
            </w:r>
          </w:p>
        </w:tc>
        <w:tc>
          <w:tcPr>
            <w:tcW w:w="3600"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19776DE5">
            <w:pPr>
              <w:widowControl/>
              <w:wordWrap w:val="0"/>
              <w:spacing w:line="200" w:lineRule="atLeast"/>
              <w:jc w:val="center"/>
              <w:rPr>
                <w:rFonts w:hint="eastAsia" w:ascii="宋体" w:hAnsi="宋体" w:eastAsia="宋体" w:cs="宋体"/>
                <w:color w:val="auto"/>
                <w:kern w:val="0"/>
                <w:sz w:val="28"/>
                <w:szCs w:val="28"/>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0A43AE39">
            <w:pPr>
              <w:widowControl/>
              <w:wordWrap w:val="0"/>
              <w:spacing w:line="200" w:lineRule="atLeast"/>
              <w:jc w:val="center"/>
              <w:rPr>
                <w:rFonts w:hint="eastAsia" w:ascii="宋体" w:hAnsi="宋体" w:eastAsia="宋体" w:cs="宋体"/>
                <w:color w:val="auto"/>
                <w:kern w:val="0"/>
                <w:sz w:val="28"/>
                <w:szCs w:val="28"/>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595B3C7E">
            <w:pPr>
              <w:widowControl/>
              <w:wordWrap w:val="0"/>
              <w:spacing w:line="200" w:lineRule="atLeast"/>
              <w:jc w:val="center"/>
              <w:rPr>
                <w:rFonts w:hint="eastAsia" w:ascii="宋体" w:hAnsi="宋体" w:eastAsia="宋体" w:cs="宋体"/>
                <w:color w:val="auto"/>
                <w:kern w:val="0"/>
                <w:sz w:val="28"/>
                <w:szCs w:val="28"/>
                <w:highlight w:val="none"/>
              </w:rPr>
            </w:pPr>
          </w:p>
        </w:tc>
      </w:tr>
      <w:tr w14:paraId="470E7B45">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44783D68">
            <w:pPr>
              <w:widowControl/>
              <w:wordWrap w:val="0"/>
              <w:spacing w:line="200" w:lineRule="atLeast"/>
              <w:jc w:val="center"/>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3</w:t>
            </w:r>
          </w:p>
        </w:tc>
        <w:tc>
          <w:tcPr>
            <w:tcW w:w="3600"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101B8518">
            <w:pPr>
              <w:widowControl/>
              <w:wordWrap w:val="0"/>
              <w:spacing w:line="200" w:lineRule="atLeast"/>
              <w:jc w:val="center"/>
              <w:rPr>
                <w:rFonts w:hint="eastAsia" w:ascii="宋体" w:hAnsi="宋体" w:eastAsia="宋体" w:cs="宋体"/>
                <w:color w:val="auto"/>
                <w:kern w:val="0"/>
                <w:sz w:val="28"/>
                <w:szCs w:val="28"/>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4788B9AB">
            <w:pPr>
              <w:widowControl/>
              <w:wordWrap w:val="0"/>
              <w:spacing w:line="200" w:lineRule="atLeast"/>
              <w:jc w:val="center"/>
              <w:rPr>
                <w:rFonts w:hint="eastAsia" w:ascii="宋体" w:hAnsi="宋体" w:eastAsia="宋体" w:cs="宋体"/>
                <w:color w:val="auto"/>
                <w:kern w:val="0"/>
                <w:sz w:val="28"/>
                <w:szCs w:val="28"/>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57457823">
            <w:pPr>
              <w:widowControl/>
              <w:wordWrap w:val="0"/>
              <w:spacing w:line="200" w:lineRule="atLeast"/>
              <w:jc w:val="center"/>
              <w:rPr>
                <w:rFonts w:hint="eastAsia" w:ascii="宋体" w:hAnsi="宋体" w:eastAsia="宋体" w:cs="宋体"/>
                <w:color w:val="auto"/>
                <w:kern w:val="0"/>
                <w:sz w:val="28"/>
                <w:szCs w:val="28"/>
                <w:highlight w:val="none"/>
              </w:rPr>
            </w:pPr>
          </w:p>
        </w:tc>
      </w:tr>
      <w:tr w14:paraId="05AFC240">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6FFDB398">
            <w:pPr>
              <w:widowControl/>
              <w:wordWrap w:val="0"/>
              <w:spacing w:line="200" w:lineRule="atLeast"/>
              <w:jc w:val="center"/>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w:t>
            </w:r>
          </w:p>
        </w:tc>
        <w:tc>
          <w:tcPr>
            <w:tcW w:w="3600"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5B7E5FA2">
            <w:pPr>
              <w:widowControl/>
              <w:wordWrap w:val="0"/>
              <w:spacing w:line="200" w:lineRule="atLeast"/>
              <w:jc w:val="center"/>
              <w:rPr>
                <w:rFonts w:hint="eastAsia" w:ascii="宋体" w:hAnsi="宋体" w:eastAsia="宋体" w:cs="宋体"/>
                <w:color w:val="auto"/>
                <w:kern w:val="0"/>
                <w:sz w:val="28"/>
                <w:szCs w:val="28"/>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2B3D8F86">
            <w:pPr>
              <w:widowControl/>
              <w:wordWrap w:val="0"/>
              <w:spacing w:line="200" w:lineRule="atLeast"/>
              <w:jc w:val="center"/>
              <w:rPr>
                <w:rFonts w:hint="eastAsia" w:ascii="宋体" w:hAnsi="宋体" w:eastAsia="宋体" w:cs="宋体"/>
                <w:color w:val="auto"/>
                <w:kern w:val="0"/>
                <w:sz w:val="28"/>
                <w:szCs w:val="28"/>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19504CC1">
            <w:pPr>
              <w:widowControl/>
              <w:wordWrap w:val="0"/>
              <w:spacing w:line="200" w:lineRule="atLeast"/>
              <w:jc w:val="center"/>
              <w:rPr>
                <w:rFonts w:hint="eastAsia" w:ascii="宋体" w:hAnsi="宋体" w:eastAsia="宋体" w:cs="宋体"/>
                <w:color w:val="auto"/>
                <w:kern w:val="0"/>
                <w:sz w:val="28"/>
                <w:szCs w:val="28"/>
                <w:highlight w:val="none"/>
              </w:rPr>
            </w:pPr>
          </w:p>
        </w:tc>
      </w:tr>
    </w:tbl>
    <w:p w14:paraId="6764FA6B">
      <w:pPr>
        <w:spacing w:line="360" w:lineRule="auto"/>
        <w:contextualSpacing/>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注：</w:t>
      </w:r>
    </w:p>
    <w:p w14:paraId="19F235E5">
      <w:pPr>
        <w:spacing w:line="360" w:lineRule="auto"/>
        <w:ind w:firstLine="480" w:firstLineChars="200"/>
        <w:contextualSpacing/>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1.管理关系：是指不具有出资持股关系的其他单位之间存在的管理与被管理关系，如一些上下级关系的事业单位和团体组织。</w:t>
      </w:r>
    </w:p>
    <w:p w14:paraId="58A4146C">
      <w:pPr>
        <w:spacing w:line="360" w:lineRule="auto"/>
        <w:ind w:firstLine="480" w:firstLineChars="200"/>
        <w:contextualSpacing/>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r>
        <w:rPr>
          <w:rFonts w:hint="eastAsia" w:ascii="宋体" w:hAnsi="宋体" w:eastAsia="宋体" w:cs="宋体"/>
          <w:color w:val="auto"/>
          <w:spacing w:val="-6"/>
          <w:sz w:val="24"/>
          <w:highlight w:val="none"/>
        </w:rPr>
        <w:t>本表所指的管理关系仅限于直接管理关系，不包括间接的管理关系。</w:t>
      </w:r>
    </w:p>
    <w:p w14:paraId="7FAB04B9">
      <w:pPr>
        <w:spacing w:line="360" w:lineRule="auto"/>
        <w:ind w:firstLine="480" w:firstLineChars="200"/>
        <w:contextualSpacing/>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3.供应商不存在直接管理关系的，则填“无”。</w:t>
      </w:r>
    </w:p>
    <w:p w14:paraId="073577B5">
      <w:pPr>
        <w:spacing w:line="360" w:lineRule="auto"/>
        <w:contextualSpacing/>
        <w:jc w:val="left"/>
        <w:rPr>
          <w:rFonts w:hint="eastAsia" w:ascii="宋体" w:hAnsi="宋体" w:eastAsia="宋体" w:cs="宋体"/>
          <w:color w:val="auto"/>
          <w:sz w:val="28"/>
          <w:szCs w:val="28"/>
          <w:highlight w:val="none"/>
        </w:rPr>
      </w:pPr>
    </w:p>
    <w:p w14:paraId="450CC14C">
      <w:pPr>
        <w:spacing w:line="360" w:lineRule="auto"/>
        <w:contextualSpacing/>
        <w:jc w:val="left"/>
        <w:rPr>
          <w:rFonts w:hint="eastAsia" w:ascii="宋体" w:hAnsi="宋体" w:eastAsia="宋体" w:cs="宋体"/>
          <w:color w:val="auto"/>
          <w:sz w:val="28"/>
          <w:szCs w:val="28"/>
          <w:highlight w:val="none"/>
        </w:rPr>
      </w:pPr>
    </w:p>
    <w:p w14:paraId="0E22ECF0">
      <w:pPr>
        <w:spacing w:line="360" w:lineRule="auto"/>
        <w:contextualSpacing/>
        <w:jc w:val="left"/>
        <w:rPr>
          <w:rFonts w:hint="eastAsia" w:ascii="宋体" w:hAnsi="宋体" w:eastAsia="宋体" w:cs="宋体"/>
          <w:color w:val="auto"/>
          <w:sz w:val="28"/>
          <w:szCs w:val="28"/>
          <w:highlight w:val="none"/>
        </w:rPr>
      </w:pPr>
    </w:p>
    <w:p w14:paraId="21F0465E">
      <w:pPr>
        <w:spacing w:line="360" w:lineRule="auto"/>
        <w:contextualSpacing/>
        <w:jc w:val="left"/>
        <w:rPr>
          <w:rFonts w:hint="eastAsia" w:ascii="宋体" w:hAnsi="宋体" w:eastAsia="宋体" w:cs="宋体"/>
          <w:color w:val="auto"/>
          <w:sz w:val="28"/>
          <w:szCs w:val="28"/>
          <w:highlight w:val="none"/>
        </w:rPr>
      </w:pPr>
    </w:p>
    <w:p w14:paraId="591E1275">
      <w:pPr>
        <w:spacing w:line="360" w:lineRule="auto"/>
        <w:contextualSpacing/>
        <w:jc w:val="left"/>
        <w:rPr>
          <w:rFonts w:hint="eastAsia" w:ascii="宋体" w:hAnsi="宋体" w:eastAsia="宋体" w:cs="宋体"/>
          <w:color w:val="auto"/>
          <w:sz w:val="28"/>
          <w:szCs w:val="28"/>
          <w:highlight w:val="none"/>
        </w:rPr>
      </w:pPr>
    </w:p>
    <w:p w14:paraId="5DF5B1E6">
      <w:pPr>
        <w:spacing w:line="360" w:lineRule="auto"/>
        <w:contextualSpacing/>
        <w:jc w:val="left"/>
        <w:rPr>
          <w:rFonts w:hint="eastAsia" w:ascii="宋体" w:hAnsi="宋体" w:eastAsia="宋体" w:cs="宋体"/>
          <w:color w:val="auto"/>
          <w:sz w:val="28"/>
          <w:szCs w:val="28"/>
          <w:highlight w:val="none"/>
        </w:rPr>
      </w:pPr>
    </w:p>
    <w:p w14:paraId="72A5134E">
      <w:pPr>
        <w:spacing w:line="360" w:lineRule="auto"/>
        <w:ind w:right="480"/>
        <w:contextualSpacing/>
        <w:jc w:val="center"/>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 xml:space="preserve">              法定代表人或者委托代理人签字：</w:t>
      </w:r>
      <w:r>
        <w:rPr>
          <w:rFonts w:hint="eastAsia" w:ascii="宋体" w:hAnsi="宋体" w:eastAsia="宋体" w:cs="宋体"/>
          <w:color w:val="auto"/>
          <w:sz w:val="24"/>
          <w:highlight w:val="none"/>
          <w:u w:val="single"/>
        </w:rPr>
        <w:t xml:space="preserve">                   </w:t>
      </w:r>
    </w:p>
    <w:p w14:paraId="43A27AFC">
      <w:pPr>
        <w:spacing w:line="360" w:lineRule="auto"/>
        <w:ind w:right="480" w:firstLine="3720" w:firstLineChars="155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供应商（盖公章）：</w:t>
      </w:r>
      <w:r>
        <w:rPr>
          <w:rFonts w:hint="eastAsia" w:ascii="宋体" w:hAnsi="宋体" w:eastAsia="宋体" w:cs="宋体"/>
          <w:color w:val="auto"/>
          <w:sz w:val="24"/>
          <w:highlight w:val="none"/>
          <w:u w:val="single"/>
        </w:rPr>
        <w:t xml:space="preserve">                </w:t>
      </w:r>
    </w:p>
    <w:p w14:paraId="5A856682">
      <w:pPr>
        <w:spacing w:line="360" w:lineRule="auto"/>
        <w:ind w:right="480" w:firstLine="240" w:firstLineChars="100"/>
        <w:contextualSpacing/>
        <w:jc w:val="center"/>
        <w:rPr>
          <w:rFonts w:hint="eastAsia" w:ascii="宋体" w:hAnsi="宋体" w:eastAsia="宋体" w:cs="宋体"/>
          <w:color w:val="auto"/>
          <w:sz w:val="28"/>
          <w:szCs w:val="28"/>
          <w:highlight w:val="none"/>
        </w:rPr>
      </w:pPr>
      <w:r>
        <w:rPr>
          <w:rFonts w:hint="eastAsia" w:ascii="宋体" w:hAnsi="宋体" w:eastAsia="宋体" w:cs="宋体"/>
          <w:color w:val="auto"/>
          <w:sz w:val="24"/>
          <w:highlight w:val="none"/>
        </w:rPr>
        <w:t xml:space="preserve">                                        年    月    日</w:t>
      </w:r>
    </w:p>
    <w:p w14:paraId="35D95E8B">
      <w:pPr>
        <w:spacing w:line="320" w:lineRule="exact"/>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br w:type="page"/>
      </w:r>
    </w:p>
    <w:p w14:paraId="08564F6F">
      <w:pPr>
        <w:spacing w:line="320" w:lineRule="exact"/>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六、资格声明函</w:t>
      </w:r>
    </w:p>
    <w:p w14:paraId="67C6E661">
      <w:pPr>
        <w:spacing w:line="320" w:lineRule="exact"/>
        <w:jc w:val="center"/>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竞标声明</w:t>
      </w:r>
    </w:p>
    <w:p w14:paraId="44C148A6">
      <w:pPr>
        <w:spacing w:line="320" w:lineRule="exact"/>
        <w:jc w:val="center"/>
        <w:rPr>
          <w:rFonts w:hint="eastAsia" w:ascii="宋体" w:hAnsi="宋体" w:eastAsia="宋体" w:cs="宋体"/>
          <w:color w:val="auto"/>
          <w:sz w:val="24"/>
          <w:szCs w:val="20"/>
          <w:highlight w:val="none"/>
        </w:rPr>
      </w:pPr>
    </w:p>
    <w:p w14:paraId="2A4DE5B9">
      <w:pPr>
        <w:spacing w:line="360" w:lineRule="auto"/>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致：</w:t>
      </w:r>
      <w:r>
        <w:rPr>
          <w:rFonts w:hint="eastAsia" w:ascii="宋体" w:hAnsi="宋体" w:eastAsia="宋体" w:cs="宋体"/>
          <w:color w:val="auto"/>
          <w:sz w:val="24"/>
          <w:highlight w:val="none"/>
          <w:u w:val="single"/>
        </w:rPr>
        <w:t>（采购人名称）</w:t>
      </w:r>
      <w:r>
        <w:rPr>
          <w:rFonts w:hint="eastAsia" w:ascii="宋体" w:hAnsi="宋体" w:eastAsia="宋体" w:cs="宋体"/>
          <w:color w:val="auto"/>
          <w:sz w:val="24"/>
          <w:highlight w:val="none"/>
        </w:rPr>
        <w:t>：</w:t>
      </w:r>
    </w:p>
    <w:p w14:paraId="3271B127">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我方</w:t>
      </w:r>
      <w:r>
        <w:rPr>
          <w:rFonts w:hint="eastAsia" w:ascii="宋体" w:hAnsi="宋体" w:eastAsia="宋体" w:cs="宋体"/>
          <w:color w:val="auto"/>
          <w:sz w:val="24"/>
          <w:highlight w:val="none"/>
          <w:u w:val="single"/>
        </w:rPr>
        <w:t>（供应商名称）</w:t>
      </w:r>
      <w:r>
        <w:rPr>
          <w:rFonts w:hint="eastAsia" w:ascii="宋体" w:hAnsi="宋体" w:eastAsia="宋体" w:cs="宋体"/>
          <w:color w:val="auto"/>
          <w:sz w:val="24"/>
          <w:highlight w:val="none"/>
        </w:rPr>
        <w:t>系中华人民共和国合法供应商，经营地址</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w:t>
      </w:r>
    </w:p>
    <w:p w14:paraId="065C6F76">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我方愿意参加贵方组织的</w:t>
      </w:r>
      <w:r>
        <w:rPr>
          <w:rFonts w:hint="eastAsia" w:ascii="宋体" w:hAnsi="宋体" w:eastAsia="宋体" w:cs="宋体"/>
          <w:color w:val="auto"/>
          <w:sz w:val="24"/>
          <w:highlight w:val="none"/>
          <w:u w:val="single"/>
        </w:rPr>
        <w:t>（项目名称）</w:t>
      </w:r>
      <w:r>
        <w:rPr>
          <w:rFonts w:hint="eastAsia" w:ascii="宋体" w:hAnsi="宋体" w:eastAsia="宋体" w:cs="宋体"/>
          <w:color w:val="auto"/>
          <w:sz w:val="24"/>
          <w:highlight w:val="none"/>
        </w:rPr>
        <w:t>项目的竞标，为便于贵方公正、择优地确定成交供应商及其竞标产品和服务，我方就本次竞标有关事项郑重声明如下：</w:t>
      </w:r>
    </w:p>
    <w:p w14:paraId="53A940A0">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1.我方向贵方提交的所有响应文件、资料都是准确的和真实的。</w:t>
      </w:r>
    </w:p>
    <w:p w14:paraId="61AF7667">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2.我方不是为本次采购项目提供整体设计、规范编制或者项目管理、监理、检测等服务的供应商。</w:t>
      </w:r>
    </w:p>
    <w:p w14:paraId="526B09F3">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3.在此，我方宣布同意如下：</w:t>
      </w:r>
    </w:p>
    <w:p w14:paraId="724F8036">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（1）将按谈判文件的约定履行合同责任和义务；</w:t>
      </w:r>
    </w:p>
    <w:p w14:paraId="65C068AA">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（2）已详细审查全部谈判文件，包括补遗文件（如有）；</w:t>
      </w:r>
    </w:p>
    <w:p w14:paraId="1A2256CC">
      <w:pPr>
        <w:spacing w:line="360" w:lineRule="auto"/>
        <w:ind w:firstLine="480" w:firstLineChars="200"/>
        <w:contextualSpacing/>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（3）同意提供按照贵方可能要求的与谈判有关的一切数据或者资料</w:t>
      </w:r>
      <w:r>
        <w:rPr>
          <w:rFonts w:hint="eastAsia" w:ascii="宋体" w:hAnsi="宋体" w:eastAsia="宋体" w:cs="宋体"/>
          <w:color w:val="auto"/>
          <w:sz w:val="24"/>
          <w:highlight w:val="none"/>
          <w:lang w:eastAsia="zh-CN"/>
        </w:rPr>
        <w:t>。</w:t>
      </w:r>
    </w:p>
    <w:p w14:paraId="23B6079F">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4.我方承诺符合《中华人民共和国政府采购法》第二十二条规定：</w:t>
      </w:r>
    </w:p>
    <w:p w14:paraId="74F1219D">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（1）具有独立承担民事责任的能力；</w:t>
      </w:r>
    </w:p>
    <w:p w14:paraId="63409177">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（2）具有良好的商业信誉和健全的财务会计制度；</w:t>
      </w:r>
    </w:p>
    <w:p w14:paraId="062F788E">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（3）具有履行合同所必需的设备和专业技术能力；</w:t>
      </w:r>
    </w:p>
    <w:p w14:paraId="5576E94B">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（4）有依法缴纳税收和社会保障资金的良好记录；</w:t>
      </w:r>
    </w:p>
    <w:p w14:paraId="7F337066">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（5）参加政府采购活动前三年内，在经营活动中没有重大违法记录；</w:t>
      </w:r>
    </w:p>
    <w:p w14:paraId="3925D18D">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（6）法律、行政法规规定的其他条件。</w:t>
      </w:r>
    </w:p>
    <w:p w14:paraId="1BD152A4">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5.我方在此声明，我方在参加本项目的政府采购活动前三年内，在经营活动中没有重大违法记录（重大违法记录是指供应商因违法经营受到刑事处罚或者责令停产停业、吊销许可证或者执照、较大数额罚款等行政处罚），未被列入失信被执行人、重大税收违法案件当事人名单、政府采购严重违法失信行为记录名单，完全符合《中华人民共和国政府采购法》第二十二条规定的供应商资格条件，我方对此声明负全部法律责任。</w:t>
      </w:r>
    </w:p>
    <w:p w14:paraId="6DA7F1C1">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6.根据《中华人民共和国政府采购法实施条例》第五十条要求对政府采购合同进行公告，但政府采购合同中涉及国家秘密、商业秘密的内容除外。我方就对本次响应文件进行注明如下：（两项内容中必须选择一项）</w:t>
      </w:r>
    </w:p>
    <w:p w14:paraId="5D238CBA">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□我方本次响应文件</w:t>
      </w:r>
      <w:r>
        <w:rPr>
          <w:rFonts w:hint="eastAsia" w:ascii="宋体" w:hAnsi="宋体" w:eastAsia="宋体" w:cs="宋体"/>
          <w:color w:val="auto"/>
          <w:kern w:val="0"/>
          <w:sz w:val="24"/>
          <w:highlight w:val="none"/>
        </w:rPr>
        <w:t>内容中</w:t>
      </w:r>
      <w:r>
        <w:rPr>
          <w:rFonts w:hint="eastAsia" w:ascii="宋体" w:hAnsi="宋体" w:eastAsia="宋体" w:cs="宋体"/>
          <w:color w:val="auto"/>
          <w:sz w:val="24"/>
          <w:highlight w:val="none"/>
        </w:rPr>
        <w:t>未</w:t>
      </w:r>
      <w:r>
        <w:rPr>
          <w:rFonts w:hint="eastAsia" w:ascii="宋体" w:hAnsi="宋体" w:eastAsia="宋体" w:cs="宋体"/>
          <w:color w:val="auto"/>
          <w:kern w:val="0"/>
          <w:sz w:val="24"/>
          <w:highlight w:val="none"/>
        </w:rPr>
        <w:t>涉及商业秘密；</w:t>
      </w:r>
    </w:p>
    <w:p w14:paraId="6DC9B65E">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□我方本次响应文件</w:t>
      </w:r>
      <w:r>
        <w:rPr>
          <w:rFonts w:hint="eastAsia" w:ascii="宋体" w:hAnsi="宋体" w:eastAsia="宋体" w:cs="宋体"/>
          <w:color w:val="auto"/>
          <w:kern w:val="0"/>
          <w:sz w:val="24"/>
          <w:highlight w:val="none"/>
        </w:rPr>
        <w:t>涉及商业秘密的内容有：</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w:t>
      </w:r>
    </w:p>
    <w:p w14:paraId="4CA4AE68">
      <w:pPr>
        <w:pStyle w:val="16"/>
        <w:spacing w:line="360" w:lineRule="auto"/>
        <w:ind w:firstLine="480" w:firstLineChars="200"/>
        <w:contextualSpacing/>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7.与本谈判有关的一切正式往来信函请寄：</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邮政编号：</w:t>
      </w:r>
      <w:r>
        <w:rPr>
          <w:rFonts w:hint="eastAsia" w:ascii="宋体" w:hAnsi="宋体" w:eastAsia="宋体" w:cs="宋体"/>
          <w:color w:val="auto"/>
          <w:sz w:val="24"/>
          <w:szCs w:val="24"/>
          <w:highlight w:val="none"/>
          <w:u w:val="single"/>
        </w:rPr>
        <w:t xml:space="preserve">    </w:t>
      </w:r>
    </w:p>
    <w:p w14:paraId="40658EF0">
      <w:pPr>
        <w:pStyle w:val="16"/>
        <w:spacing w:line="360" w:lineRule="auto"/>
        <w:ind w:firstLine="480" w:firstLineChars="20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电话/传真：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电子函件：</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p>
    <w:p w14:paraId="16762CE2">
      <w:pPr>
        <w:pStyle w:val="14"/>
        <w:tabs>
          <w:tab w:val="left" w:pos="939"/>
        </w:tabs>
        <w:spacing w:line="360" w:lineRule="auto"/>
        <w:ind w:left="141" w:leftChars="67" w:firstLine="360" w:firstLineChars="150"/>
        <w:rPr>
          <w:rFonts w:hint="eastAsia" w:ascii="宋体" w:hAnsi="宋体" w:eastAsia="宋体" w:cs="宋体"/>
          <w:color w:val="auto"/>
          <w:sz w:val="24"/>
          <w:highlight w:val="none"/>
        </w:rPr>
      </w:pPr>
      <w:r>
        <w:rPr>
          <w:rFonts w:hint="eastAsia" w:ascii="宋体" w:hAnsi="宋体" w:eastAsia="宋体" w:cs="宋体"/>
          <w:color w:val="auto"/>
          <w:sz w:val="24"/>
          <w:highlight w:val="none"/>
        </w:rPr>
        <w:t>开户银行：</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帐号/行号：</w:t>
      </w:r>
      <w:r>
        <w:rPr>
          <w:rFonts w:hint="eastAsia" w:ascii="宋体" w:hAnsi="宋体" w:eastAsia="宋体" w:cs="宋体"/>
          <w:color w:val="auto"/>
          <w:sz w:val="24"/>
          <w:highlight w:val="none"/>
          <w:u w:val="single"/>
        </w:rPr>
        <w:t xml:space="preserve">           </w:t>
      </w:r>
    </w:p>
    <w:p w14:paraId="05D7073C">
      <w:pPr>
        <w:pStyle w:val="14"/>
        <w:tabs>
          <w:tab w:val="left" w:pos="939"/>
        </w:tabs>
        <w:spacing w:line="360" w:lineRule="auto"/>
        <w:ind w:left="141" w:leftChars="67" w:firstLine="360" w:firstLineChars="150"/>
        <w:rPr>
          <w:rFonts w:hint="eastAsia" w:ascii="宋体" w:hAnsi="宋体" w:eastAsia="宋体" w:cs="宋体"/>
          <w:color w:val="auto"/>
          <w:sz w:val="24"/>
          <w:highlight w:val="none"/>
        </w:rPr>
      </w:pPr>
      <w:r>
        <w:rPr>
          <w:rFonts w:hint="eastAsia" w:ascii="宋体" w:hAnsi="宋体" w:eastAsia="宋体" w:cs="宋体"/>
          <w:color w:val="auto"/>
          <w:sz w:val="24"/>
          <w:highlight w:val="none"/>
        </w:rPr>
        <w:t>8.以上事项如有虚假或者隐瞒，我方愿意承担一切后果，并不再寻求任何旨在减轻或者免除法律责任的辩解。</w:t>
      </w:r>
    </w:p>
    <w:p w14:paraId="4B99D0A5">
      <w:pPr>
        <w:pStyle w:val="14"/>
        <w:tabs>
          <w:tab w:val="left" w:pos="939"/>
        </w:tabs>
        <w:spacing w:line="360" w:lineRule="auto"/>
        <w:ind w:left="141" w:leftChars="67" w:firstLine="360" w:firstLineChars="150"/>
        <w:rPr>
          <w:rFonts w:hint="eastAsia" w:ascii="宋体" w:hAnsi="宋体" w:eastAsia="宋体" w:cs="宋体"/>
          <w:color w:val="auto"/>
          <w:szCs w:val="21"/>
          <w:highlight w:val="none"/>
        </w:rPr>
      </w:pPr>
      <w:r>
        <w:rPr>
          <w:rFonts w:hint="eastAsia" w:ascii="宋体" w:hAnsi="宋体" w:eastAsia="宋体" w:cs="宋体"/>
          <w:color w:val="auto"/>
          <w:sz w:val="24"/>
          <w:highlight w:val="none"/>
        </w:rPr>
        <w:t>特此承诺。</w:t>
      </w:r>
    </w:p>
    <w:p w14:paraId="1DE11847">
      <w:pPr>
        <w:spacing w:line="360" w:lineRule="auto"/>
        <w:contextualSpacing/>
        <w:jc w:val="left"/>
        <w:rPr>
          <w:rFonts w:hint="eastAsia" w:ascii="宋体" w:hAnsi="宋体" w:eastAsia="宋体" w:cs="宋体"/>
          <w:b/>
          <w:color w:val="auto"/>
          <w:sz w:val="24"/>
          <w:highlight w:val="none"/>
        </w:rPr>
      </w:pPr>
      <w:r>
        <w:rPr>
          <w:rFonts w:hint="eastAsia" w:ascii="宋体" w:hAnsi="宋体" w:eastAsia="宋体" w:cs="宋体"/>
          <w:b/>
          <w:color w:val="auto"/>
          <w:sz w:val="24"/>
          <w:highlight w:val="none"/>
        </w:rPr>
        <w:t xml:space="preserve">    注：如为联合体竞标，盖章处须加盖联合体各方公章并由联合体各方法定代表人分别签署，否则响应文件按无效响应处理。</w:t>
      </w:r>
    </w:p>
    <w:p w14:paraId="61DB9EFD">
      <w:pPr>
        <w:spacing w:line="360" w:lineRule="auto"/>
        <w:contextualSpacing/>
        <w:jc w:val="left"/>
        <w:rPr>
          <w:rFonts w:hint="eastAsia" w:ascii="宋体" w:hAnsi="宋体" w:eastAsia="宋体" w:cs="宋体"/>
          <w:color w:val="auto"/>
          <w:szCs w:val="21"/>
          <w:highlight w:val="none"/>
        </w:rPr>
      </w:pPr>
    </w:p>
    <w:p w14:paraId="49DCA3B9">
      <w:pPr>
        <w:spacing w:line="360" w:lineRule="auto"/>
        <w:ind w:firstLine="3780" w:firstLineChars="1800"/>
        <w:contextualSpacing/>
        <w:rPr>
          <w:rFonts w:hint="eastAsia" w:ascii="宋体" w:hAnsi="宋体" w:eastAsia="宋体" w:cs="宋体"/>
          <w:color w:val="auto"/>
          <w:highlight w:val="none"/>
        </w:rPr>
      </w:pPr>
      <w:r>
        <w:rPr>
          <w:rFonts w:hint="eastAsia" w:ascii="宋体" w:hAnsi="宋体" w:eastAsia="宋体" w:cs="宋体"/>
          <w:color w:val="auto"/>
          <w:highlight w:val="none"/>
        </w:rPr>
        <w:t>法定代表人（签字或者盖章）：</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 xml:space="preserve">                                     </w:t>
      </w:r>
    </w:p>
    <w:p w14:paraId="561ACD92">
      <w:pPr>
        <w:spacing w:line="360" w:lineRule="auto"/>
        <w:ind w:firstLine="3780" w:firstLineChars="1800"/>
        <w:contextualSpacing/>
        <w:rPr>
          <w:rFonts w:hint="eastAsia" w:ascii="宋体" w:hAnsi="宋体" w:eastAsia="宋体" w:cs="宋体"/>
          <w:color w:val="auto"/>
          <w:szCs w:val="21"/>
          <w:highlight w:val="none"/>
          <w:u w:val="single"/>
        </w:rPr>
      </w:pPr>
      <w:r>
        <w:rPr>
          <w:rFonts w:hint="eastAsia" w:ascii="宋体" w:hAnsi="宋体" w:eastAsia="宋体" w:cs="宋体"/>
          <w:color w:val="auto"/>
          <w:highlight w:val="none"/>
        </w:rPr>
        <w:t>供应商（盖公章）：</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 xml:space="preserve">       </w:t>
      </w:r>
      <w:r>
        <w:rPr>
          <w:rFonts w:hint="eastAsia" w:ascii="宋体" w:hAnsi="宋体" w:eastAsia="宋体" w:cs="宋体"/>
          <w:color w:val="auto"/>
          <w:szCs w:val="21"/>
          <w:highlight w:val="none"/>
        </w:rPr>
        <w:t xml:space="preserve">    </w:t>
      </w:r>
    </w:p>
    <w:p w14:paraId="5EC5C0A8">
      <w:pPr>
        <w:spacing w:line="360" w:lineRule="auto"/>
        <w:ind w:right="482" w:firstLine="210" w:firstLineChars="100"/>
        <w:contextualSpacing/>
        <w:jc w:val="center"/>
        <w:rPr>
          <w:rFonts w:hint="eastAsia" w:ascii="宋体" w:hAnsi="宋体" w:eastAsia="宋体" w:cs="宋体"/>
          <w:color w:val="auto"/>
          <w:highlight w:val="none"/>
        </w:rPr>
      </w:pPr>
      <w:r>
        <w:rPr>
          <w:rFonts w:hint="eastAsia" w:ascii="宋体" w:hAnsi="宋体" w:eastAsia="宋体" w:cs="宋体"/>
          <w:color w:val="auto"/>
          <w:szCs w:val="21"/>
          <w:highlight w:val="none"/>
        </w:rPr>
        <w:t xml:space="preserve">                                                        </w:t>
      </w:r>
      <w:r>
        <w:rPr>
          <w:rFonts w:hint="eastAsia" w:ascii="宋体" w:hAnsi="宋体" w:eastAsia="宋体" w:cs="宋体"/>
          <w:color w:val="auto"/>
          <w:highlight w:val="none"/>
        </w:rPr>
        <w:t xml:space="preserve"> 年    月    日 </w:t>
      </w:r>
    </w:p>
    <w:p w14:paraId="36DE6EED">
      <w:pPr>
        <w:spacing w:line="360" w:lineRule="auto"/>
        <w:ind w:right="482" w:firstLine="210" w:firstLineChars="100"/>
        <w:contextualSpacing/>
        <w:jc w:val="center"/>
        <w:rPr>
          <w:rFonts w:hint="eastAsia" w:ascii="宋体" w:hAnsi="宋体" w:eastAsia="宋体" w:cs="宋体"/>
          <w:color w:val="auto"/>
          <w:highlight w:val="none"/>
        </w:rPr>
      </w:pPr>
    </w:p>
    <w:p w14:paraId="4FE1DC47">
      <w:pPr>
        <w:spacing w:line="360" w:lineRule="auto"/>
        <w:ind w:right="482" w:firstLine="210" w:firstLineChars="100"/>
        <w:contextualSpacing/>
        <w:jc w:val="center"/>
        <w:rPr>
          <w:rFonts w:hint="eastAsia" w:ascii="宋体" w:hAnsi="宋体" w:eastAsia="宋体" w:cs="宋体"/>
          <w:color w:val="auto"/>
          <w:highlight w:val="none"/>
        </w:rPr>
      </w:pPr>
    </w:p>
    <w:p w14:paraId="75A6E542">
      <w:pPr>
        <w:spacing w:line="360" w:lineRule="auto"/>
        <w:ind w:right="482" w:firstLine="210" w:firstLineChars="100"/>
        <w:contextualSpacing/>
        <w:jc w:val="center"/>
        <w:rPr>
          <w:rFonts w:hint="eastAsia" w:ascii="宋体" w:hAnsi="宋体" w:eastAsia="宋体" w:cs="宋体"/>
          <w:color w:val="auto"/>
          <w:highlight w:val="none"/>
        </w:rPr>
      </w:pPr>
    </w:p>
    <w:p w14:paraId="777E3E21">
      <w:pPr>
        <w:spacing w:line="360" w:lineRule="auto"/>
        <w:ind w:right="482" w:firstLine="210" w:firstLineChars="100"/>
        <w:contextualSpacing/>
        <w:jc w:val="center"/>
        <w:rPr>
          <w:rFonts w:hint="eastAsia" w:ascii="宋体" w:hAnsi="宋体" w:eastAsia="宋体" w:cs="宋体"/>
          <w:color w:val="auto"/>
          <w:highlight w:val="none"/>
        </w:rPr>
      </w:pPr>
    </w:p>
    <w:p w14:paraId="3FC6E7D9">
      <w:pPr>
        <w:pStyle w:val="10"/>
        <w:overflowPunct w:val="0"/>
        <w:spacing w:line="360" w:lineRule="auto"/>
        <w:ind w:firstLine="0"/>
        <w:rPr>
          <w:rFonts w:hint="eastAsia" w:ascii="宋体" w:hAnsi="宋体" w:eastAsia="宋体" w:cs="宋体"/>
          <w:b/>
          <w:bCs w:val="0"/>
          <w:color w:val="auto"/>
          <w:sz w:val="28"/>
          <w:szCs w:val="28"/>
          <w:highlight w:val="none"/>
          <w:lang w:eastAsia="zh-CN"/>
        </w:rPr>
      </w:pPr>
      <w:r>
        <w:rPr>
          <w:rFonts w:hint="eastAsia" w:ascii="宋体" w:hAnsi="宋体" w:eastAsia="宋体" w:cs="宋体"/>
          <w:b/>
          <w:bCs w:val="0"/>
          <w:color w:val="auto"/>
          <w:kern w:val="0"/>
          <w:sz w:val="28"/>
          <w:szCs w:val="28"/>
          <w:highlight w:val="none"/>
        </w:rPr>
        <w:t>七、</w:t>
      </w:r>
      <w:r>
        <w:rPr>
          <w:rFonts w:hint="eastAsia" w:ascii="宋体" w:hAnsi="宋体" w:eastAsia="宋体" w:cs="宋体"/>
          <w:b/>
          <w:bCs w:val="0"/>
          <w:color w:val="auto"/>
          <w:kern w:val="0"/>
          <w:sz w:val="28"/>
          <w:szCs w:val="28"/>
          <w:highlight w:val="none"/>
          <w:lang w:eastAsia="zh-CN"/>
        </w:rPr>
        <w:t>供应商须具备公路工程施工总承包三级(含三级)以上资质，且具备省级及以上建设行政主管部门颁发的安全生产许可证。并在人员、设备、资金等方面具有相应的施工能力；拟投入本工程的项目经理必须具有公路工程专业贰级以上（含贰级）注册建造师资格及安全生产考核合格证（B证），为供应商的在岗人员，且未担任其他在建项目或已中标未开工项目或已列为项目第一中标候选人项目的项目经理。</w:t>
      </w:r>
    </w:p>
    <w:p w14:paraId="56AA4189">
      <w:pPr>
        <w:pStyle w:val="16"/>
        <w:spacing w:line="360" w:lineRule="auto"/>
        <w:jc w:val="center"/>
        <w:rPr>
          <w:rFonts w:hint="eastAsia" w:ascii="宋体" w:hAnsi="宋体" w:eastAsia="宋体" w:cs="宋体"/>
          <w:color w:val="auto"/>
          <w:kern w:val="2"/>
          <w:sz w:val="32"/>
          <w:szCs w:val="32"/>
          <w:highlight w:val="none"/>
        </w:rPr>
      </w:pPr>
    </w:p>
    <w:p w14:paraId="1B624BDE">
      <w:pPr>
        <w:autoSpaceDE w:val="0"/>
        <w:autoSpaceDN w:val="0"/>
        <w:adjustRightInd w:val="0"/>
        <w:spacing w:line="360" w:lineRule="auto"/>
        <w:jc w:val="left"/>
        <w:rPr>
          <w:rFonts w:hint="eastAsia" w:ascii="宋体" w:hAnsi="宋体" w:eastAsia="宋体" w:cs="宋体"/>
          <w:color w:val="auto"/>
          <w:kern w:val="0"/>
          <w:sz w:val="24"/>
          <w:highlight w:val="none"/>
        </w:rPr>
      </w:pPr>
    </w:p>
    <w:p w14:paraId="3966856C">
      <w:pPr>
        <w:autoSpaceDE w:val="0"/>
        <w:autoSpaceDN w:val="0"/>
        <w:adjustRightInd w:val="0"/>
        <w:spacing w:line="360" w:lineRule="auto"/>
        <w:jc w:val="left"/>
        <w:rPr>
          <w:rFonts w:hint="eastAsia" w:ascii="宋体" w:hAnsi="宋体" w:eastAsia="宋体" w:cs="宋体"/>
          <w:color w:val="auto"/>
          <w:kern w:val="0"/>
          <w:sz w:val="24"/>
          <w:highlight w:val="none"/>
        </w:rPr>
      </w:pPr>
    </w:p>
    <w:p w14:paraId="38893432">
      <w:pPr>
        <w:autoSpaceDE w:val="0"/>
        <w:autoSpaceDN w:val="0"/>
        <w:spacing w:line="360" w:lineRule="auto"/>
        <w:ind w:left="4365" w:leftChars="1850" w:hanging="480" w:hanging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58273172">
      <w:pPr>
        <w:autoSpaceDE w:val="0"/>
        <w:autoSpaceDN w:val="0"/>
        <w:spacing w:line="360" w:lineRule="auto"/>
        <w:ind w:firstLine="6120" w:firstLineChars="255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日期： 年  月   日</w:t>
      </w:r>
    </w:p>
    <w:p w14:paraId="1EA3110C">
      <w:pPr>
        <w:spacing w:line="360" w:lineRule="auto"/>
        <w:contextualSpacing/>
        <w:rPr>
          <w:rFonts w:hint="eastAsia" w:ascii="宋体" w:hAnsi="宋体" w:eastAsia="宋体" w:cs="宋体"/>
          <w:color w:val="auto"/>
          <w:sz w:val="24"/>
          <w:highlight w:val="none"/>
        </w:rPr>
      </w:pPr>
    </w:p>
    <w:p w14:paraId="5DD7F0F6">
      <w:pPr>
        <w:snapToGrid w:val="0"/>
        <w:spacing w:line="360" w:lineRule="auto"/>
        <w:rPr>
          <w:rFonts w:hint="eastAsia" w:ascii="宋体" w:hAnsi="宋体" w:eastAsia="宋体" w:cs="宋体"/>
          <w:b/>
          <w:color w:val="auto"/>
          <w:sz w:val="30"/>
          <w:szCs w:val="30"/>
          <w:highlight w:val="none"/>
        </w:rPr>
      </w:pPr>
    </w:p>
    <w:p w14:paraId="5CA05C68">
      <w:pPr>
        <w:snapToGrid w:val="0"/>
        <w:spacing w:line="360" w:lineRule="auto"/>
        <w:rPr>
          <w:rFonts w:hint="eastAsia" w:ascii="宋体" w:hAnsi="宋体" w:eastAsia="宋体" w:cs="宋体"/>
          <w:b/>
          <w:color w:val="auto"/>
          <w:sz w:val="30"/>
          <w:szCs w:val="30"/>
          <w:highlight w:val="none"/>
        </w:rPr>
      </w:pPr>
    </w:p>
    <w:p w14:paraId="75DD27B0">
      <w:pPr>
        <w:snapToGrid w:val="0"/>
        <w:spacing w:line="360" w:lineRule="auto"/>
        <w:rPr>
          <w:rFonts w:hint="eastAsia" w:ascii="宋体" w:hAnsi="宋体" w:eastAsia="宋体" w:cs="宋体"/>
          <w:b/>
          <w:color w:val="auto"/>
          <w:sz w:val="30"/>
          <w:szCs w:val="30"/>
          <w:highlight w:val="none"/>
        </w:rPr>
      </w:pPr>
    </w:p>
    <w:p w14:paraId="3551DD67">
      <w:pPr>
        <w:snapToGrid w:val="0"/>
        <w:spacing w:line="360" w:lineRule="auto"/>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rPr>
        <w:t>八、承诺书</w:t>
      </w:r>
    </w:p>
    <w:p w14:paraId="7A7482F9">
      <w:pPr>
        <w:pStyle w:val="3"/>
        <w:rPr>
          <w:rFonts w:hint="eastAsia" w:ascii="宋体" w:hAnsi="宋体" w:eastAsia="宋体" w:cs="宋体"/>
          <w:color w:val="auto"/>
          <w:highlight w:val="none"/>
          <w:lang w:val="zh-CN"/>
        </w:rPr>
      </w:pPr>
    </w:p>
    <w:p w14:paraId="0AD13E6E">
      <w:pPr>
        <w:pStyle w:val="28"/>
        <w:rPr>
          <w:rFonts w:hint="eastAsia" w:ascii="宋体" w:hAnsi="宋体" w:eastAsia="宋体" w:cs="宋体"/>
          <w:color w:val="auto"/>
          <w:highlight w:val="none"/>
          <w:lang w:eastAsia="zh-CN"/>
        </w:rPr>
      </w:pPr>
      <w:bookmarkStart w:id="56" w:name="_Toc5886"/>
      <w:bookmarkStart w:id="57" w:name="_Toc1258"/>
      <w:bookmarkStart w:id="58" w:name="_Toc25721"/>
      <w:bookmarkStart w:id="59" w:name="_Toc32536"/>
      <w:r>
        <w:rPr>
          <w:rFonts w:hint="eastAsia" w:ascii="宋体" w:hAnsi="宋体" w:eastAsia="宋体" w:cs="宋体"/>
          <w:color w:val="auto"/>
          <w:highlight w:val="none"/>
          <w:lang w:eastAsia="zh-CN"/>
        </w:rPr>
        <w:t>承诺书</w:t>
      </w:r>
      <w:bookmarkEnd w:id="56"/>
      <w:bookmarkEnd w:id="57"/>
      <w:bookmarkEnd w:id="58"/>
      <w:bookmarkEnd w:id="59"/>
    </w:p>
    <w:p w14:paraId="2054D6EF">
      <w:pPr>
        <w:pStyle w:val="31"/>
        <w:numPr>
          <w:ilvl w:val="0"/>
          <w:numId w:val="2"/>
        </w:numPr>
        <w:tabs>
          <w:tab w:val="left" w:pos="738"/>
        </w:tabs>
        <w:spacing w:line="354" w:lineRule="exact"/>
        <w:ind w:firstLine="420"/>
        <w:jc w:val="both"/>
        <w:rPr>
          <w:rFonts w:hint="eastAsia" w:ascii="宋体" w:hAnsi="宋体" w:eastAsia="宋体" w:cs="宋体"/>
          <w:color w:val="auto"/>
          <w:sz w:val="24"/>
          <w:szCs w:val="24"/>
          <w:highlight w:val="none"/>
        </w:rPr>
      </w:pPr>
      <w:bookmarkStart w:id="60" w:name="bookmark2186"/>
      <w:bookmarkEnd w:id="60"/>
      <w:r>
        <w:rPr>
          <w:rFonts w:hint="eastAsia" w:ascii="宋体" w:hAnsi="宋体" w:eastAsia="宋体" w:cs="宋体"/>
          <w:color w:val="auto"/>
          <w:sz w:val="24"/>
          <w:szCs w:val="24"/>
          <w:highlight w:val="none"/>
        </w:rPr>
        <w:t>成交后及时、足额存入农民工工资保证金的承诺</w:t>
      </w:r>
    </w:p>
    <w:p w14:paraId="39E25848">
      <w:pPr>
        <w:pStyle w:val="31"/>
        <w:spacing w:after="340" w:line="354" w:lineRule="exact"/>
        <w:ind w:firstLine="42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（本承诺不提供统一格式，由供应商自行编写）</w:t>
      </w:r>
    </w:p>
    <w:p w14:paraId="4C0A5C24">
      <w:pPr>
        <w:pStyle w:val="31"/>
        <w:tabs>
          <w:tab w:val="left" w:pos="6922"/>
          <w:tab w:val="left" w:pos="7550"/>
        </w:tabs>
        <w:spacing w:line="348" w:lineRule="exact"/>
        <w:ind w:left="3420" w:firstLine="20"/>
        <w:jc w:val="both"/>
        <w:rPr>
          <w:rFonts w:hint="eastAsia" w:ascii="宋体" w:hAnsi="宋体" w:eastAsia="宋体" w:cs="宋体"/>
          <w:color w:val="auto"/>
          <w:sz w:val="24"/>
          <w:szCs w:val="24"/>
          <w:highlight w:val="none"/>
        </w:rPr>
      </w:pPr>
      <w:bookmarkStart w:id="61" w:name="bookmark2187"/>
      <w:bookmarkEnd w:id="61"/>
      <w:r>
        <w:rPr>
          <w:rFonts w:hint="eastAsia" w:ascii="宋体" w:hAnsi="宋体" w:eastAsia="宋体" w:cs="宋体"/>
          <w:color w:val="auto"/>
          <w:sz w:val="24"/>
          <w:szCs w:val="24"/>
          <w:highlight w:val="none"/>
        </w:rPr>
        <w:t>供应商：</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（盖单位电子公章）</w:t>
      </w:r>
    </w:p>
    <w:p w14:paraId="5851AF98">
      <w:pPr>
        <w:pStyle w:val="31"/>
        <w:tabs>
          <w:tab w:val="left" w:pos="6922"/>
          <w:tab w:val="left" w:pos="7550"/>
        </w:tabs>
        <w:spacing w:line="348" w:lineRule="exact"/>
        <w:ind w:left="3420" w:firstLine="2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法定代表人或授权委托代理人：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（签字或电子签名）</w:t>
      </w:r>
    </w:p>
    <w:p w14:paraId="3983BE45">
      <w:pPr>
        <w:pStyle w:val="31"/>
        <w:tabs>
          <w:tab w:val="left" w:pos="6010"/>
          <w:tab w:val="left" w:pos="7066"/>
          <w:tab w:val="left" w:pos="8124"/>
        </w:tabs>
        <w:spacing w:after="260" w:line="348" w:lineRule="exact"/>
        <w:ind w:left="5160" w:firstLine="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p>
    <w:p w14:paraId="76B2FAB2">
      <w:pPr>
        <w:pStyle w:val="31"/>
        <w:numPr>
          <w:ilvl w:val="0"/>
          <w:numId w:val="2"/>
        </w:numPr>
        <w:tabs>
          <w:tab w:val="left" w:pos="754"/>
        </w:tabs>
        <w:spacing w:line="354" w:lineRule="exact"/>
        <w:ind w:firstLine="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依法足额支付农民工工资的承诺</w:t>
      </w:r>
    </w:p>
    <w:p w14:paraId="11297601">
      <w:pPr>
        <w:pStyle w:val="31"/>
        <w:spacing w:after="340" w:line="354" w:lineRule="exact"/>
        <w:ind w:firstLine="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（本承诺不提供统一格式，由供应商自行编写，承诺依法足额支付农民工工资）</w:t>
      </w:r>
    </w:p>
    <w:p w14:paraId="2F5F771D">
      <w:pPr>
        <w:pStyle w:val="31"/>
        <w:tabs>
          <w:tab w:val="left" w:pos="6922"/>
          <w:tab w:val="left" w:pos="7550"/>
        </w:tabs>
        <w:spacing w:line="348" w:lineRule="exact"/>
        <w:ind w:left="3420" w:firstLine="20"/>
        <w:jc w:val="both"/>
        <w:rPr>
          <w:rFonts w:hint="eastAsia" w:ascii="宋体" w:hAnsi="宋体" w:eastAsia="宋体" w:cs="宋体"/>
          <w:color w:val="auto"/>
          <w:sz w:val="24"/>
          <w:szCs w:val="24"/>
          <w:highlight w:val="none"/>
        </w:rPr>
      </w:pPr>
      <w:bookmarkStart w:id="62" w:name="bookmark2188"/>
      <w:bookmarkEnd w:id="62"/>
      <w:r>
        <w:rPr>
          <w:rFonts w:hint="eastAsia" w:ascii="宋体" w:hAnsi="宋体" w:eastAsia="宋体" w:cs="宋体"/>
          <w:color w:val="auto"/>
          <w:sz w:val="24"/>
          <w:szCs w:val="24"/>
          <w:highlight w:val="none"/>
        </w:rPr>
        <w:t>供应商：</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（盖单位电子公章）</w:t>
      </w:r>
    </w:p>
    <w:p w14:paraId="64117DF6">
      <w:pPr>
        <w:pStyle w:val="31"/>
        <w:tabs>
          <w:tab w:val="left" w:pos="6922"/>
          <w:tab w:val="left" w:pos="7550"/>
        </w:tabs>
        <w:spacing w:line="348" w:lineRule="exact"/>
        <w:ind w:left="3420" w:firstLine="2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法定代表人或授权委托代理人：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（签字或电子签名）</w:t>
      </w:r>
    </w:p>
    <w:p w14:paraId="0891E2F6">
      <w:pPr>
        <w:pStyle w:val="31"/>
        <w:tabs>
          <w:tab w:val="left" w:pos="6010"/>
          <w:tab w:val="left" w:pos="7066"/>
          <w:tab w:val="left" w:pos="8124"/>
        </w:tabs>
        <w:spacing w:after="260" w:line="348" w:lineRule="exact"/>
        <w:ind w:left="5160" w:firstLine="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p>
    <w:p w14:paraId="64555843">
      <w:pPr>
        <w:pStyle w:val="31"/>
        <w:numPr>
          <w:ilvl w:val="0"/>
          <w:numId w:val="2"/>
        </w:numPr>
        <w:tabs>
          <w:tab w:val="left" w:pos="754"/>
        </w:tabs>
        <w:spacing w:after="260" w:line="354" w:lineRule="exact"/>
        <w:ind w:firstLine="42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其他承诺书</w:t>
      </w:r>
    </w:p>
    <w:p w14:paraId="69F3493D">
      <w:pPr>
        <w:pStyle w:val="32"/>
        <w:jc w:val="center"/>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承诺书</w:t>
      </w:r>
    </w:p>
    <w:p w14:paraId="0D8CF750">
      <w:pPr>
        <w:pStyle w:val="31"/>
        <w:spacing w:after="340" w:line="350" w:lineRule="exact"/>
        <w:ind w:firstLine="44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现承诺我单位在本项目响应文件使用的证件、证书、业绩、公章、印章、签字、扫描件及有关答疑等材料均为真实、有效。如我单位提供上述的材料有变造、伪造等造假行为, 采购人和有关行政监督部门可以取消我单位</w:t>
      </w:r>
      <w:r>
        <w:rPr>
          <w:rFonts w:hint="eastAsia" w:ascii="宋体" w:hAnsi="宋体" w:eastAsia="宋体" w:cs="宋体"/>
          <w:color w:val="auto"/>
          <w:sz w:val="24"/>
          <w:szCs w:val="24"/>
          <w:highlight w:val="none"/>
          <w:lang w:val="en-US" w:eastAsia="zh-CN"/>
        </w:rPr>
        <w:t>竞标</w:t>
      </w:r>
      <w:r>
        <w:rPr>
          <w:rFonts w:hint="eastAsia" w:ascii="宋体" w:hAnsi="宋体" w:eastAsia="宋体" w:cs="宋体"/>
          <w:color w:val="auto"/>
          <w:sz w:val="24"/>
          <w:szCs w:val="24"/>
          <w:highlight w:val="none"/>
        </w:rPr>
        <w:t>资格或</w:t>
      </w:r>
      <w:r>
        <w:rPr>
          <w:rFonts w:hint="eastAsia" w:ascii="宋体" w:hAnsi="宋体" w:eastAsia="宋体" w:cs="宋体"/>
          <w:color w:val="auto"/>
          <w:sz w:val="24"/>
          <w:szCs w:val="24"/>
          <w:highlight w:val="none"/>
          <w:lang w:val="en-US" w:eastAsia="zh-CN"/>
        </w:rPr>
        <w:t>成交</w:t>
      </w:r>
      <w:r>
        <w:rPr>
          <w:rFonts w:hint="eastAsia" w:ascii="宋体" w:hAnsi="宋体" w:eastAsia="宋体" w:cs="宋体"/>
          <w:color w:val="auto"/>
          <w:sz w:val="24"/>
          <w:szCs w:val="24"/>
          <w:highlight w:val="none"/>
        </w:rPr>
        <w:t>资格。给采购人造成损失的, 依法承担赔偿责任；情节严重的，接受依法取消一年至三年内参加依法必须进行</w:t>
      </w:r>
      <w:r>
        <w:rPr>
          <w:rFonts w:hint="eastAsia" w:ascii="宋体" w:hAnsi="宋体" w:eastAsia="宋体" w:cs="宋体"/>
          <w:color w:val="auto"/>
          <w:sz w:val="24"/>
          <w:szCs w:val="24"/>
          <w:highlight w:val="none"/>
          <w:lang w:val="en-US" w:eastAsia="zh-CN"/>
        </w:rPr>
        <w:t>竞</w:t>
      </w:r>
      <w:r>
        <w:rPr>
          <w:rFonts w:hint="eastAsia" w:ascii="宋体" w:hAnsi="宋体" w:eastAsia="宋体" w:cs="宋体"/>
          <w:color w:val="auto"/>
          <w:sz w:val="24"/>
          <w:szCs w:val="24"/>
          <w:highlight w:val="none"/>
        </w:rPr>
        <w:t>标的工程项目的</w:t>
      </w:r>
      <w:r>
        <w:rPr>
          <w:rFonts w:hint="eastAsia" w:ascii="宋体" w:hAnsi="宋体" w:eastAsia="宋体" w:cs="宋体"/>
          <w:color w:val="auto"/>
          <w:sz w:val="24"/>
          <w:szCs w:val="24"/>
          <w:highlight w:val="none"/>
          <w:lang w:val="en-US" w:eastAsia="zh-CN"/>
        </w:rPr>
        <w:t>竞</w:t>
      </w:r>
      <w:r>
        <w:rPr>
          <w:rFonts w:hint="eastAsia" w:ascii="宋体" w:hAnsi="宋体" w:eastAsia="宋体" w:cs="宋体"/>
          <w:color w:val="auto"/>
          <w:sz w:val="24"/>
          <w:szCs w:val="24"/>
          <w:highlight w:val="none"/>
        </w:rPr>
        <w:t>标资格的处罚；构成犯罪的，接受依法追究刑事责任。</w:t>
      </w:r>
    </w:p>
    <w:p w14:paraId="7A7B26F3">
      <w:pPr>
        <w:pStyle w:val="31"/>
        <w:tabs>
          <w:tab w:val="left" w:pos="6922"/>
          <w:tab w:val="left" w:pos="7550"/>
        </w:tabs>
        <w:spacing w:line="348" w:lineRule="exact"/>
        <w:ind w:left="3420" w:firstLine="2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（盖单位电子公章）</w:t>
      </w:r>
    </w:p>
    <w:p w14:paraId="6965FC70">
      <w:pPr>
        <w:pStyle w:val="31"/>
        <w:tabs>
          <w:tab w:val="left" w:pos="6922"/>
          <w:tab w:val="left" w:pos="7550"/>
        </w:tabs>
        <w:spacing w:line="348" w:lineRule="exact"/>
        <w:ind w:left="3420" w:firstLine="2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法定代表人或授权委托代理人：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（签字或电子签名）</w:t>
      </w:r>
    </w:p>
    <w:p w14:paraId="34753A04">
      <w:pPr>
        <w:pStyle w:val="31"/>
        <w:tabs>
          <w:tab w:val="left" w:pos="6010"/>
          <w:tab w:val="left" w:pos="7066"/>
          <w:tab w:val="left" w:pos="8124"/>
        </w:tabs>
        <w:spacing w:after="260" w:line="348" w:lineRule="exact"/>
        <w:ind w:left="5160" w:firstLine="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p>
    <w:p w14:paraId="016C24FF">
      <w:pPr>
        <w:pStyle w:val="32"/>
        <w:jc w:val="center"/>
        <w:rPr>
          <w:rFonts w:hint="eastAsia" w:ascii="宋体" w:hAnsi="宋体" w:eastAsia="宋体" w:cs="宋体"/>
          <w:color w:val="auto"/>
          <w:highlight w:val="none"/>
          <w:lang w:eastAsia="zh-CN"/>
        </w:rPr>
        <w:sectPr>
          <w:pgSz w:w="11910" w:h="16840"/>
          <w:pgMar w:top="1440" w:right="1080" w:bottom="1440" w:left="1080" w:header="0" w:footer="0" w:gutter="0"/>
          <w:cols w:space="720" w:num="1"/>
        </w:sectPr>
      </w:pPr>
    </w:p>
    <w:p w14:paraId="58A76C67">
      <w:pPr>
        <w:pStyle w:val="16"/>
        <w:spacing w:line="500" w:lineRule="exact"/>
        <w:rPr>
          <w:rFonts w:hint="eastAsia" w:ascii="宋体" w:hAnsi="宋体" w:eastAsia="宋体" w:cs="宋体"/>
          <w:b/>
          <w:bCs/>
          <w:color w:val="auto"/>
          <w:sz w:val="30"/>
          <w:szCs w:val="30"/>
          <w:highlight w:val="none"/>
          <w:lang w:val="en-US" w:eastAsia="zh-CN"/>
        </w:rPr>
      </w:pPr>
    </w:p>
    <w:p w14:paraId="7B945D99">
      <w:pPr>
        <w:pStyle w:val="16"/>
        <w:spacing w:line="500" w:lineRule="exact"/>
        <w:rPr>
          <w:rFonts w:hint="eastAsia" w:ascii="宋体" w:hAnsi="宋体" w:eastAsia="宋体" w:cs="宋体"/>
          <w:b/>
          <w:bCs/>
          <w:color w:val="auto"/>
          <w:sz w:val="30"/>
          <w:szCs w:val="30"/>
          <w:highlight w:val="none"/>
          <w:lang w:val="en-US" w:eastAsia="zh-CN"/>
        </w:rPr>
      </w:pPr>
      <w:r>
        <w:rPr>
          <w:rFonts w:hint="eastAsia" w:ascii="宋体" w:hAnsi="宋体" w:eastAsia="宋体" w:cs="宋体"/>
          <w:b/>
          <w:bCs/>
          <w:color w:val="auto"/>
          <w:sz w:val="30"/>
          <w:szCs w:val="30"/>
          <w:highlight w:val="none"/>
          <w:lang w:val="en-US" w:eastAsia="zh-CN"/>
        </w:rPr>
        <w:t>九、中小企业声明函或残疾人福利性单位声明函或监狱企业证明</w:t>
      </w:r>
    </w:p>
    <w:p w14:paraId="212DF99A">
      <w:pPr>
        <w:spacing w:line="300" w:lineRule="auto"/>
        <w:ind w:firstLine="3840" w:firstLineChars="1200"/>
        <w:rPr>
          <w:rFonts w:hint="eastAsia" w:ascii="宋体" w:hAnsi="宋体" w:eastAsia="宋体" w:cs="宋体"/>
          <w:color w:val="auto"/>
          <w:sz w:val="32"/>
          <w:szCs w:val="32"/>
          <w:highlight w:val="none"/>
        </w:rPr>
      </w:pPr>
    </w:p>
    <w:p w14:paraId="4B26E5DA">
      <w:pPr>
        <w:spacing w:line="300" w:lineRule="auto"/>
        <w:ind w:firstLine="2200" w:firstLineChars="500"/>
        <w:rPr>
          <w:rFonts w:hint="eastAsia" w:ascii="宋体" w:hAnsi="宋体" w:eastAsia="宋体" w:cs="宋体"/>
          <w:sz w:val="44"/>
          <w:szCs w:val="44"/>
          <w:highlight w:val="none"/>
        </w:rPr>
      </w:pPr>
      <w:bookmarkStart w:id="63" w:name="_Toc21450"/>
      <w:r>
        <w:rPr>
          <w:rFonts w:hint="eastAsia" w:ascii="宋体" w:hAnsi="宋体" w:eastAsia="宋体" w:cs="宋体"/>
          <w:sz w:val="44"/>
          <w:szCs w:val="44"/>
          <w:highlight w:val="none"/>
        </w:rPr>
        <w:t>中小企业声明函（</w:t>
      </w:r>
      <w:r>
        <w:rPr>
          <w:rFonts w:hint="eastAsia" w:ascii="宋体" w:hAnsi="宋体" w:eastAsia="宋体" w:cs="宋体"/>
          <w:sz w:val="44"/>
          <w:szCs w:val="44"/>
          <w:highlight w:val="none"/>
          <w:lang w:eastAsia="zh-CN"/>
        </w:rPr>
        <w:t>工程</w:t>
      </w:r>
      <w:r>
        <w:rPr>
          <w:rFonts w:hint="eastAsia" w:ascii="宋体" w:hAnsi="宋体" w:eastAsia="宋体" w:cs="宋体"/>
          <w:sz w:val="44"/>
          <w:szCs w:val="44"/>
          <w:highlight w:val="none"/>
        </w:rPr>
        <w:t>）</w:t>
      </w:r>
    </w:p>
    <w:p w14:paraId="0B2E524E">
      <w:pPr>
        <w:pStyle w:val="2"/>
        <w:spacing w:after="0" w:line="360" w:lineRule="auto"/>
        <w:ind w:left="-426" w:right="142" w:firstLine="640"/>
        <w:contextualSpacing/>
        <w:rPr>
          <w:rFonts w:hint="eastAsia" w:ascii="宋体" w:hAnsi="宋体" w:eastAsia="宋体" w:cs="宋体"/>
          <w:sz w:val="24"/>
          <w:highlight w:val="none"/>
        </w:rPr>
      </w:pPr>
      <w:r>
        <w:rPr>
          <w:rFonts w:hint="eastAsia" w:ascii="宋体" w:hAnsi="宋体" w:eastAsia="宋体" w:cs="宋体"/>
          <w:sz w:val="24"/>
          <w:highlight w:val="none"/>
        </w:rPr>
        <w:t>本公司（联合体）郑重声明，根据《政府采购促进中小企业发展管理办法》（财库﹝2020﹞46号）的规定，本公司（联合体）参加</w:t>
      </w:r>
      <w:r>
        <w:rPr>
          <w:rFonts w:hint="eastAsia" w:ascii="宋体" w:hAnsi="宋体" w:eastAsia="宋体" w:cs="宋体"/>
          <w:sz w:val="24"/>
          <w:highlight w:val="none"/>
          <w:u w:val="single"/>
        </w:rPr>
        <w:t>（单位名称）</w:t>
      </w:r>
      <w:r>
        <w:rPr>
          <w:rFonts w:hint="eastAsia" w:ascii="宋体" w:hAnsi="宋体" w:eastAsia="宋体" w:cs="宋体"/>
          <w:sz w:val="24"/>
          <w:highlight w:val="none"/>
        </w:rPr>
        <w:t>的</w:t>
      </w:r>
      <w:r>
        <w:rPr>
          <w:rFonts w:hint="eastAsia" w:ascii="宋体" w:hAnsi="宋体" w:eastAsia="宋体" w:cs="宋体"/>
          <w:sz w:val="24"/>
          <w:highlight w:val="none"/>
          <w:u w:val="single"/>
        </w:rPr>
        <w:t>（项目名称）</w:t>
      </w:r>
      <w:r>
        <w:rPr>
          <w:rFonts w:hint="eastAsia" w:ascii="宋体" w:hAnsi="宋体" w:eastAsia="宋体" w:cs="宋体"/>
          <w:sz w:val="24"/>
          <w:highlight w:val="none"/>
        </w:rPr>
        <w:t>采购活动，提供的服务全部由符合政策要求的中小企业</w:t>
      </w:r>
      <w:r>
        <w:rPr>
          <w:rFonts w:hint="eastAsia" w:ascii="宋体" w:hAnsi="宋体" w:eastAsia="宋体" w:cs="宋体"/>
          <w:sz w:val="24"/>
          <w:highlight w:val="none"/>
          <w:lang w:eastAsia="zh-CN"/>
        </w:rPr>
        <w:t>承接（承建）</w:t>
      </w:r>
      <w:r>
        <w:rPr>
          <w:rFonts w:hint="eastAsia" w:ascii="宋体" w:hAnsi="宋体" w:eastAsia="宋体" w:cs="宋体"/>
          <w:sz w:val="24"/>
          <w:highlight w:val="none"/>
        </w:rPr>
        <w:t>。相关企业（含联合体中的中小企业、签订分包意向协议的中小企业）的具体情况如下：</w:t>
      </w:r>
    </w:p>
    <w:p w14:paraId="0C24F77A">
      <w:pPr>
        <w:tabs>
          <w:tab w:val="left" w:pos="1384"/>
          <w:tab w:val="left" w:pos="4562"/>
          <w:tab w:val="left" w:pos="6803"/>
        </w:tabs>
        <w:spacing w:line="360" w:lineRule="auto"/>
        <w:ind w:left="-426" w:right="-58" w:firstLine="655"/>
        <w:contextualSpacing/>
        <w:rPr>
          <w:rFonts w:hint="eastAsia" w:ascii="宋体" w:hAnsi="宋体" w:eastAsia="宋体" w:cs="宋体"/>
          <w:sz w:val="24"/>
          <w:highlight w:val="none"/>
        </w:rPr>
      </w:pPr>
      <w:r>
        <w:rPr>
          <w:rFonts w:hint="eastAsia" w:ascii="宋体" w:hAnsi="宋体" w:eastAsia="宋体" w:cs="宋体"/>
          <w:sz w:val="24"/>
          <w:highlight w:val="none"/>
        </w:rPr>
        <w:t>1.</w:t>
      </w:r>
      <w:r>
        <w:rPr>
          <w:rFonts w:hint="eastAsia" w:ascii="宋体" w:hAnsi="宋体" w:eastAsia="宋体" w:cs="宋体"/>
          <w:sz w:val="24"/>
          <w:highlight w:val="none"/>
          <w:u w:val="single"/>
        </w:rPr>
        <w:t>（标的名称）</w:t>
      </w:r>
      <w:r>
        <w:rPr>
          <w:rFonts w:hint="eastAsia" w:ascii="宋体" w:hAnsi="宋体" w:eastAsia="宋体" w:cs="宋体"/>
          <w:sz w:val="24"/>
          <w:highlight w:val="none"/>
        </w:rPr>
        <w:t>，属于</w:t>
      </w:r>
      <w:r>
        <w:rPr>
          <w:rFonts w:hint="eastAsia" w:ascii="宋体" w:hAnsi="宋体" w:eastAsia="宋体" w:cs="宋体"/>
          <w:sz w:val="24"/>
          <w:highlight w:val="none"/>
          <w:u w:val="single"/>
        </w:rPr>
        <w:t>（采购文件中明确的所属行业）</w:t>
      </w:r>
      <w:r>
        <w:rPr>
          <w:rFonts w:hint="eastAsia" w:ascii="宋体" w:hAnsi="宋体" w:eastAsia="宋体" w:cs="宋体"/>
          <w:sz w:val="24"/>
          <w:highlight w:val="none"/>
        </w:rPr>
        <w:t>行业；</w:t>
      </w:r>
      <w:r>
        <w:rPr>
          <w:rFonts w:hint="eastAsia" w:ascii="宋体" w:hAnsi="宋体" w:eastAsia="宋体" w:cs="宋体"/>
          <w:sz w:val="24"/>
          <w:highlight w:val="none"/>
          <w:lang w:eastAsia="zh-CN"/>
        </w:rPr>
        <w:t>承接（承建）企业</w:t>
      </w:r>
      <w:r>
        <w:rPr>
          <w:rFonts w:hint="eastAsia" w:ascii="宋体" w:hAnsi="宋体" w:eastAsia="宋体" w:cs="宋体"/>
          <w:sz w:val="24"/>
          <w:highlight w:val="none"/>
        </w:rPr>
        <w:t>为</w:t>
      </w:r>
      <w:r>
        <w:rPr>
          <w:rFonts w:hint="eastAsia" w:ascii="宋体" w:hAnsi="宋体" w:eastAsia="宋体" w:cs="宋体"/>
          <w:sz w:val="24"/>
          <w:highlight w:val="none"/>
          <w:u w:val="single"/>
        </w:rPr>
        <w:t>（企业名称）</w:t>
      </w:r>
      <w:r>
        <w:rPr>
          <w:rFonts w:hint="eastAsia" w:ascii="宋体" w:hAnsi="宋体" w:eastAsia="宋体" w:cs="宋体"/>
          <w:sz w:val="24"/>
          <w:highlight w:val="none"/>
        </w:rPr>
        <w:t>，从业人员</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人，营业收入为</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万元，资产总额为</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万元，属于</w:t>
      </w:r>
      <w:r>
        <w:rPr>
          <w:rFonts w:hint="eastAsia" w:ascii="宋体" w:hAnsi="宋体" w:eastAsia="宋体" w:cs="宋体"/>
          <w:sz w:val="24"/>
          <w:highlight w:val="none"/>
          <w:u w:val="single"/>
        </w:rPr>
        <w:t>（中型企业、小型企业、微型企业）</w:t>
      </w:r>
      <w:r>
        <w:rPr>
          <w:rFonts w:hint="eastAsia" w:ascii="宋体" w:hAnsi="宋体" w:eastAsia="宋体" w:cs="宋体"/>
          <w:sz w:val="24"/>
          <w:highlight w:val="none"/>
        </w:rPr>
        <w:t>；</w:t>
      </w:r>
    </w:p>
    <w:p w14:paraId="3554D7B8">
      <w:pPr>
        <w:tabs>
          <w:tab w:val="left" w:pos="1065"/>
          <w:tab w:val="left" w:pos="6477"/>
        </w:tabs>
        <w:spacing w:line="360" w:lineRule="auto"/>
        <w:ind w:left="-426" w:right="-58" w:firstLine="655"/>
        <w:contextualSpacing/>
        <w:rPr>
          <w:rFonts w:hint="eastAsia" w:ascii="宋体" w:hAnsi="宋体" w:eastAsia="宋体" w:cs="宋体"/>
          <w:sz w:val="24"/>
          <w:highlight w:val="none"/>
        </w:rPr>
      </w:pPr>
      <w:r>
        <w:rPr>
          <w:rFonts w:hint="eastAsia" w:ascii="宋体" w:hAnsi="宋体" w:eastAsia="宋体" w:cs="宋体"/>
          <w:sz w:val="24"/>
          <w:highlight w:val="none"/>
        </w:rPr>
        <w:t>2.</w:t>
      </w:r>
      <w:r>
        <w:rPr>
          <w:rFonts w:hint="eastAsia" w:ascii="宋体" w:hAnsi="宋体" w:eastAsia="宋体" w:cs="宋体"/>
          <w:sz w:val="24"/>
          <w:highlight w:val="none"/>
          <w:u w:val="single"/>
        </w:rPr>
        <w:t>（标的名称）</w:t>
      </w:r>
      <w:r>
        <w:rPr>
          <w:rFonts w:hint="eastAsia" w:ascii="宋体" w:hAnsi="宋体" w:eastAsia="宋体" w:cs="宋体"/>
          <w:sz w:val="24"/>
          <w:highlight w:val="none"/>
        </w:rPr>
        <w:t>，属于</w:t>
      </w:r>
      <w:r>
        <w:rPr>
          <w:rFonts w:hint="eastAsia" w:ascii="宋体" w:hAnsi="宋体" w:eastAsia="宋体" w:cs="宋体"/>
          <w:sz w:val="24"/>
          <w:highlight w:val="none"/>
          <w:u w:val="single"/>
        </w:rPr>
        <w:t>（采购文件中明确的所属行业）</w:t>
      </w:r>
      <w:r>
        <w:rPr>
          <w:rFonts w:hint="eastAsia" w:ascii="宋体" w:hAnsi="宋体" w:eastAsia="宋体" w:cs="宋体"/>
          <w:sz w:val="24"/>
          <w:highlight w:val="none"/>
        </w:rPr>
        <w:t>行业；</w:t>
      </w:r>
      <w:r>
        <w:rPr>
          <w:rFonts w:hint="eastAsia" w:ascii="宋体" w:hAnsi="宋体" w:eastAsia="宋体" w:cs="宋体"/>
          <w:sz w:val="24"/>
          <w:highlight w:val="none"/>
          <w:lang w:eastAsia="zh-CN"/>
        </w:rPr>
        <w:t>承接（承建）企业</w:t>
      </w:r>
      <w:r>
        <w:rPr>
          <w:rFonts w:hint="eastAsia" w:ascii="宋体" w:hAnsi="宋体" w:eastAsia="宋体" w:cs="宋体"/>
          <w:sz w:val="24"/>
          <w:highlight w:val="none"/>
        </w:rPr>
        <w:t>为</w:t>
      </w:r>
      <w:r>
        <w:rPr>
          <w:rFonts w:hint="eastAsia" w:ascii="宋体" w:hAnsi="宋体" w:eastAsia="宋体" w:cs="宋体"/>
          <w:sz w:val="24"/>
          <w:highlight w:val="none"/>
          <w:u w:val="single"/>
        </w:rPr>
        <w:t>（企业名称）</w:t>
      </w:r>
      <w:r>
        <w:rPr>
          <w:rFonts w:hint="eastAsia" w:ascii="宋体" w:hAnsi="宋体" w:eastAsia="宋体" w:cs="宋体"/>
          <w:sz w:val="24"/>
          <w:highlight w:val="none"/>
        </w:rPr>
        <w:t>，从业人员</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人，营业收入为</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万元，资产总额为</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万元，属于</w:t>
      </w:r>
      <w:r>
        <w:rPr>
          <w:rFonts w:hint="eastAsia" w:ascii="宋体" w:hAnsi="宋体" w:eastAsia="宋体" w:cs="宋体"/>
          <w:sz w:val="24"/>
          <w:highlight w:val="none"/>
          <w:u w:val="single"/>
        </w:rPr>
        <w:t>（中型企业、小型企业、微型企业）</w:t>
      </w:r>
      <w:r>
        <w:rPr>
          <w:rFonts w:hint="eastAsia" w:ascii="宋体" w:hAnsi="宋体" w:eastAsia="宋体" w:cs="宋体"/>
          <w:sz w:val="24"/>
          <w:highlight w:val="none"/>
        </w:rPr>
        <w:t>；</w:t>
      </w:r>
    </w:p>
    <w:p w14:paraId="2E2D711F">
      <w:pPr>
        <w:pStyle w:val="2"/>
        <w:spacing w:after="0" w:line="360" w:lineRule="auto"/>
        <w:ind w:left="142" w:right="142"/>
        <w:contextualSpacing/>
        <w:rPr>
          <w:rFonts w:hint="eastAsia" w:ascii="宋体" w:hAnsi="宋体" w:eastAsia="宋体" w:cs="宋体"/>
          <w:sz w:val="24"/>
          <w:highlight w:val="none"/>
        </w:rPr>
      </w:pPr>
      <w:r>
        <w:rPr>
          <w:rFonts w:hint="eastAsia" w:ascii="宋体" w:hAnsi="宋体" w:eastAsia="宋体" w:cs="宋体"/>
          <w:sz w:val="24"/>
          <w:highlight w:val="none"/>
        </w:rPr>
        <w:t xml:space="preserve">…… </w:t>
      </w:r>
    </w:p>
    <w:p w14:paraId="3BC4583A">
      <w:pPr>
        <w:pStyle w:val="2"/>
        <w:spacing w:after="0" w:line="360" w:lineRule="auto"/>
        <w:ind w:left="-405" w:leftChars="-193" w:right="142" w:firstLine="453" w:firstLineChars="189"/>
        <w:contextualSpacing/>
        <w:rPr>
          <w:rFonts w:hint="eastAsia" w:ascii="宋体" w:hAnsi="宋体" w:eastAsia="宋体" w:cs="宋体"/>
          <w:sz w:val="24"/>
          <w:highlight w:val="none"/>
        </w:rPr>
      </w:pPr>
      <w:r>
        <w:rPr>
          <w:rFonts w:hint="eastAsia" w:ascii="宋体" w:hAnsi="宋体" w:eastAsia="宋体" w:cs="宋体"/>
          <w:sz w:val="24"/>
          <w:highlight w:val="none"/>
        </w:rPr>
        <w:t>以上企业，不属于大企业的分支机构，不存在控股股东为大企业的情形，也不存在与大企业的负责人为同一人的情形。</w:t>
      </w:r>
    </w:p>
    <w:p w14:paraId="0D805A6E">
      <w:pPr>
        <w:pStyle w:val="2"/>
        <w:spacing w:after="0" w:line="360" w:lineRule="auto"/>
        <w:ind w:left="-426" w:right="142" w:firstLine="567"/>
        <w:contextualSpacing/>
        <w:rPr>
          <w:rFonts w:hint="eastAsia" w:ascii="宋体" w:hAnsi="宋体" w:eastAsia="宋体" w:cs="宋体"/>
          <w:sz w:val="24"/>
          <w:highlight w:val="none"/>
        </w:rPr>
      </w:pPr>
      <w:r>
        <w:rPr>
          <w:rFonts w:hint="eastAsia" w:ascii="宋体" w:hAnsi="宋体" w:eastAsia="宋体" w:cs="宋体"/>
          <w:sz w:val="24"/>
          <w:highlight w:val="none"/>
        </w:rPr>
        <w:t>本企业对上述声明内容的真实性负责。如有虚假，将依法承担相应责任。</w:t>
      </w:r>
    </w:p>
    <w:p w14:paraId="0576D58A">
      <w:pPr>
        <w:pStyle w:val="2"/>
        <w:spacing w:after="0" w:line="360" w:lineRule="auto"/>
        <w:ind w:left="3960" w:right="1808"/>
        <w:contextualSpacing/>
        <w:rPr>
          <w:rFonts w:hint="eastAsia" w:ascii="宋体" w:hAnsi="宋体" w:eastAsia="宋体" w:cs="宋体"/>
          <w:sz w:val="24"/>
          <w:highlight w:val="none"/>
        </w:rPr>
      </w:pPr>
    </w:p>
    <w:p w14:paraId="008B9412">
      <w:pPr>
        <w:autoSpaceDE w:val="0"/>
        <w:autoSpaceDN w:val="0"/>
        <w:spacing w:line="360" w:lineRule="auto"/>
        <w:ind w:left="4335" w:leftChars="1950" w:hanging="240" w:hangingChars="100"/>
        <w:rPr>
          <w:rFonts w:hint="eastAsia" w:ascii="宋体" w:hAnsi="宋体" w:eastAsia="宋体" w:cs="宋体"/>
          <w:kern w:val="0"/>
          <w:sz w:val="24"/>
          <w:highlight w:val="none"/>
        </w:rPr>
      </w:pPr>
      <w:r>
        <w:rPr>
          <w:rFonts w:hint="eastAsia" w:ascii="宋体" w:hAnsi="宋体" w:eastAsia="宋体" w:cs="宋体"/>
          <w:kern w:val="0"/>
          <w:sz w:val="24"/>
          <w:highlight w:val="none"/>
        </w:rPr>
        <w:t>供应商名称（电子签章）：</w:t>
      </w:r>
    </w:p>
    <w:p w14:paraId="1CABE322">
      <w:pPr>
        <w:autoSpaceDE w:val="0"/>
        <w:autoSpaceDN w:val="0"/>
        <w:spacing w:line="360" w:lineRule="auto"/>
        <w:ind w:firstLine="6480" w:firstLineChars="2700"/>
        <w:rPr>
          <w:rFonts w:hint="eastAsia" w:ascii="宋体" w:hAnsi="宋体" w:eastAsia="宋体" w:cs="宋体"/>
          <w:kern w:val="0"/>
          <w:sz w:val="24"/>
          <w:highlight w:val="none"/>
          <w:lang w:val="zh-CN"/>
        </w:rPr>
      </w:pPr>
      <w:r>
        <w:rPr>
          <w:rFonts w:hint="eastAsia" w:ascii="宋体" w:hAnsi="宋体" w:eastAsia="宋体" w:cs="宋体"/>
          <w:kern w:val="0"/>
          <w:sz w:val="24"/>
          <w:highlight w:val="none"/>
          <w:lang w:val="zh-CN"/>
        </w:rPr>
        <w:t>日期：  年  月   日</w:t>
      </w:r>
    </w:p>
    <w:p w14:paraId="651E799B">
      <w:pPr>
        <w:pStyle w:val="2"/>
        <w:spacing w:after="0" w:line="360" w:lineRule="auto"/>
        <w:ind w:left="3960" w:right="1808"/>
        <w:contextualSpacing/>
        <w:rPr>
          <w:rFonts w:hint="eastAsia" w:ascii="宋体" w:hAnsi="宋体" w:eastAsia="宋体" w:cs="宋体"/>
          <w:highlight w:val="none"/>
        </w:rPr>
      </w:pPr>
    </w:p>
    <w:p w14:paraId="3D983FC5">
      <w:pPr>
        <w:spacing w:line="360" w:lineRule="auto"/>
        <w:jc w:val="left"/>
        <w:rPr>
          <w:rFonts w:hint="eastAsia" w:ascii="宋体" w:hAnsi="宋体" w:eastAsia="宋体" w:cs="宋体"/>
          <w:kern w:val="0"/>
          <w:sz w:val="24"/>
          <w:highlight w:val="none"/>
        </w:rPr>
      </w:pPr>
      <w:r>
        <w:rPr>
          <w:rFonts w:hint="eastAsia" w:ascii="宋体" w:hAnsi="宋体" w:eastAsia="宋体" w:cs="宋体"/>
          <w:color w:val="000000"/>
          <w:sz w:val="24"/>
          <w:highlight w:val="none"/>
        </w:rPr>
        <w:t>注：享受《政府采购促进中小企业发展管理办法》（财库〔2020〕46号）规定的中小企业扶持政策的，采购人、采购代理机构应当随成交结果公开成交供应商的《中小企业声明函》。从业人员、营业收入、资产总额填报上一年度数据，无上一年度数据的新成立企业可不填报。</w:t>
      </w:r>
    </w:p>
    <w:p w14:paraId="36EF4CC5">
      <w:pPr>
        <w:widowControl/>
        <w:spacing w:line="360" w:lineRule="auto"/>
        <w:jc w:val="left"/>
        <w:rPr>
          <w:rFonts w:hint="eastAsia" w:ascii="宋体" w:hAnsi="宋体" w:eastAsia="宋体" w:cs="宋体"/>
          <w:b/>
          <w:bCs/>
          <w:sz w:val="32"/>
          <w:szCs w:val="32"/>
          <w:highlight w:val="none"/>
        </w:rPr>
        <w:sectPr>
          <w:pgSz w:w="11910" w:h="16840"/>
          <w:pgMar w:top="1340" w:right="1500" w:bottom="280" w:left="1680" w:header="720" w:footer="720" w:gutter="0"/>
          <w:cols w:space="720" w:num="1"/>
        </w:sectPr>
      </w:pPr>
    </w:p>
    <w:p w14:paraId="1FA6CE61">
      <w:pPr>
        <w:keepNext/>
        <w:keepLines/>
        <w:spacing w:line="416" w:lineRule="auto"/>
        <w:jc w:val="cente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残疾人福利性单位声明函</w:t>
      </w:r>
      <w:bookmarkEnd w:id="63"/>
    </w:p>
    <w:p w14:paraId="7E7870AC">
      <w:pPr>
        <w:spacing w:line="520" w:lineRule="exact"/>
        <w:rPr>
          <w:rFonts w:hint="eastAsia" w:ascii="宋体" w:hAnsi="宋体" w:eastAsia="宋体" w:cs="宋体"/>
          <w:color w:val="auto"/>
          <w:sz w:val="32"/>
          <w:szCs w:val="32"/>
          <w:highlight w:val="none"/>
        </w:rPr>
      </w:pPr>
    </w:p>
    <w:p w14:paraId="47CE35DD">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本单位郑重声明，根据《财政部 民政部 中国残疾人联合会关于促进残疾人就业政府采购政策的通知》（财库〔2017〕141号）的规定，本单位为符合条件的残疾人福利性单位，且本单位参加</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单位的</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项目采购活动由本单位提供服务。</w:t>
      </w:r>
    </w:p>
    <w:p w14:paraId="7866476F">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本单位对上述声明的真实性负责。如有虚假，将依法承担相应责任。</w:t>
      </w:r>
    </w:p>
    <w:p w14:paraId="3FC49D79">
      <w:pPr>
        <w:spacing w:line="360" w:lineRule="auto"/>
        <w:contextualSpacing/>
        <w:rPr>
          <w:rFonts w:hint="eastAsia" w:ascii="宋体" w:hAnsi="宋体" w:eastAsia="宋体" w:cs="宋体"/>
          <w:color w:val="auto"/>
          <w:sz w:val="24"/>
          <w:highlight w:val="none"/>
        </w:rPr>
      </w:pPr>
    </w:p>
    <w:p w14:paraId="1025CB32">
      <w:pPr>
        <w:spacing w:line="360" w:lineRule="auto"/>
        <w:contextualSpacing/>
        <w:rPr>
          <w:rFonts w:hint="eastAsia" w:ascii="宋体" w:hAnsi="宋体" w:eastAsia="宋体" w:cs="宋体"/>
          <w:color w:val="auto"/>
          <w:sz w:val="24"/>
          <w:highlight w:val="none"/>
        </w:rPr>
      </w:pPr>
    </w:p>
    <w:p w14:paraId="2901DC21">
      <w:pPr>
        <w:spacing w:line="360" w:lineRule="auto"/>
        <w:contextualSpacing/>
        <w:rPr>
          <w:rFonts w:hint="eastAsia" w:ascii="宋体" w:hAnsi="宋体" w:eastAsia="宋体" w:cs="宋体"/>
          <w:color w:val="auto"/>
          <w:sz w:val="24"/>
          <w:highlight w:val="none"/>
        </w:rPr>
      </w:pPr>
    </w:p>
    <w:p w14:paraId="7DE40AFF">
      <w:pPr>
        <w:spacing w:line="360" w:lineRule="auto"/>
        <w:ind w:firstLine="2400" w:firstLineChars="10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供应商名称（电子签章）：</w:t>
      </w:r>
    </w:p>
    <w:p w14:paraId="711A0D40">
      <w:pPr>
        <w:spacing w:line="360" w:lineRule="auto"/>
        <w:ind w:firstLine="4320" w:firstLineChars="18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日  期：    年   月   日</w:t>
      </w:r>
    </w:p>
    <w:p w14:paraId="5497015F">
      <w:pPr>
        <w:spacing w:line="360" w:lineRule="auto"/>
        <w:contextualSpacing/>
        <w:rPr>
          <w:rFonts w:hint="eastAsia" w:ascii="宋体" w:hAnsi="宋体" w:eastAsia="宋体" w:cs="宋体"/>
          <w:color w:val="auto"/>
          <w:sz w:val="24"/>
          <w:highlight w:val="none"/>
        </w:rPr>
      </w:pPr>
    </w:p>
    <w:p w14:paraId="5A69718B">
      <w:pPr>
        <w:spacing w:line="360" w:lineRule="auto"/>
        <w:contextualSpacing/>
        <w:rPr>
          <w:rFonts w:hint="eastAsia" w:ascii="宋体" w:hAnsi="宋体" w:eastAsia="宋体" w:cs="宋体"/>
          <w:color w:val="auto"/>
          <w:sz w:val="24"/>
          <w:highlight w:val="none"/>
        </w:rPr>
      </w:pPr>
    </w:p>
    <w:p w14:paraId="5F23AF20">
      <w:pPr>
        <w:spacing w:line="360" w:lineRule="auto"/>
        <w:contextualSpacing/>
        <w:rPr>
          <w:rFonts w:hint="eastAsia" w:ascii="宋体" w:hAnsi="宋体" w:eastAsia="宋体" w:cs="宋体"/>
          <w:color w:val="auto"/>
          <w:sz w:val="24"/>
          <w:highlight w:val="none"/>
        </w:rPr>
      </w:pPr>
    </w:p>
    <w:p w14:paraId="080319D1">
      <w:pPr>
        <w:spacing w:line="360" w:lineRule="auto"/>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注：请根据自己的真实情况出具《残疾人福利性单位声明函》。依法享受中小企业优惠政策的，采购人或者采购代理机构在公告成交结果时，同时公告其《残疾人福利性单位声明函》，接受社会监督。</w:t>
      </w:r>
    </w:p>
    <w:p w14:paraId="75FC8F40">
      <w:pPr>
        <w:spacing w:line="520" w:lineRule="exact"/>
        <w:jc w:val="center"/>
        <w:rPr>
          <w:rFonts w:hint="eastAsia" w:ascii="宋体" w:hAnsi="宋体" w:eastAsia="宋体" w:cs="宋体"/>
          <w:color w:val="auto"/>
          <w:sz w:val="24"/>
          <w:highlight w:val="none"/>
        </w:rPr>
      </w:pPr>
    </w:p>
    <w:p w14:paraId="32E4A064">
      <w:pPr>
        <w:spacing w:line="520" w:lineRule="exact"/>
        <w:jc w:val="center"/>
        <w:rPr>
          <w:rFonts w:hint="eastAsia" w:ascii="宋体" w:hAnsi="宋体" w:eastAsia="宋体" w:cs="宋体"/>
          <w:b/>
          <w:bCs/>
          <w:color w:val="auto"/>
          <w:sz w:val="32"/>
          <w:szCs w:val="32"/>
          <w:highlight w:val="none"/>
        </w:rPr>
      </w:pPr>
    </w:p>
    <w:p w14:paraId="623F0371">
      <w:pPr>
        <w:spacing w:line="520" w:lineRule="exact"/>
        <w:jc w:val="center"/>
        <w:rPr>
          <w:rFonts w:hint="eastAsia" w:ascii="宋体" w:hAnsi="宋体" w:eastAsia="宋体" w:cs="宋体"/>
          <w:b/>
          <w:bCs/>
          <w:color w:val="auto"/>
          <w:sz w:val="32"/>
          <w:szCs w:val="32"/>
          <w:highlight w:val="none"/>
        </w:rPr>
      </w:pPr>
    </w:p>
    <w:p w14:paraId="4664EDF6">
      <w:pPr>
        <w:spacing w:line="520" w:lineRule="exact"/>
        <w:jc w:val="center"/>
        <w:rPr>
          <w:rFonts w:hint="eastAsia" w:ascii="宋体" w:hAnsi="宋体" w:eastAsia="宋体" w:cs="宋体"/>
          <w:b/>
          <w:bCs/>
          <w:color w:val="auto"/>
          <w:sz w:val="32"/>
          <w:szCs w:val="32"/>
          <w:highlight w:val="none"/>
        </w:rPr>
      </w:pPr>
    </w:p>
    <w:p w14:paraId="5510472D">
      <w:pPr>
        <w:spacing w:line="520" w:lineRule="exact"/>
        <w:jc w:val="center"/>
        <w:rPr>
          <w:rFonts w:hint="eastAsia" w:ascii="宋体" w:hAnsi="宋体" w:eastAsia="宋体" w:cs="宋体"/>
          <w:b/>
          <w:bCs/>
          <w:color w:val="auto"/>
          <w:sz w:val="32"/>
          <w:szCs w:val="32"/>
          <w:highlight w:val="none"/>
        </w:rPr>
      </w:pPr>
    </w:p>
    <w:p w14:paraId="04D81BCE">
      <w:pPr>
        <w:spacing w:line="520" w:lineRule="exact"/>
        <w:jc w:val="center"/>
        <w:rPr>
          <w:rFonts w:hint="eastAsia" w:ascii="宋体" w:hAnsi="宋体" w:eastAsia="宋体" w:cs="宋体"/>
          <w:b/>
          <w:bCs/>
          <w:color w:val="auto"/>
          <w:sz w:val="32"/>
          <w:szCs w:val="32"/>
          <w:highlight w:val="none"/>
        </w:rPr>
      </w:pPr>
    </w:p>
    <w:p w14:paraId="011C6D1F">
      <w:pPr>
        <w:spacing w:line="520" w:lineRule="exact"/>
        <w:jc w:val="center"/>
        <w:rPr>
          <w:rFonts w:hint="eastAsia" w:ascii="宋体" w:hAnsi="宋体" w:eastAsia="宋体" w:cs="宋体"/>
          <w:b/>
          <w:bCs/>
          <w:color w:val="auto"/>
          <w:sz w:val="32"/>
          <w:szCs w:val="32"/>
          <w:highlight w:val="none"/>
        </w:rPr>
      </w:pPr>
    </w:p>
    <w:p w14:paraId="28AE7D01">
      <w:pPr>
        <w:spacing w:line="520" w:lineRule="exact"/>
        <w:jc w:val="center"/>
        <w:rPr>
          <w:rFonts w:hint="eastAsia" w:ascii="宋体" w:hAnsi="宋体" w:eastAsia="宋体" w:cs="宋体"/>
          <w:b/>
          <w:bCs/>
          <w:color w:val="auto"/>
          <w:sz w:val="32"/>
          <w:szCs w:val="32"/>
          <w:highlight w:val="none"/>
        </w:rPr>
      </w:pPr>
    </w:p>
    <w:p w14:paraId="29FC7319">
      <w:pPr>
        <w:spacing w:line="520" w:lineRule="exact"/>
        <w:jc w:val="center"/>
        <w:rPr>
          <w:rFonts w:hint="eastAsia" w:ascii="宋体" w:hAnsi="宋体" w:eastAsia="宋体" w:cs="宋体"/>
          <w:b/>
          <w:bCs/>
          <w:color w:val="auto"/>
          <w:sz w:val="32"/>
          <w:szCs w:val="32"/>
          <w:highlight w:val="none"/>
        </w:rPr>
      </w:pPr>
    </w:p>
    <w:p w14:paraId="160F0BAB">
      <w:pPr>
        <w:spacing w:line="520" w:lineRule="exact"/>
        <w:jc w:val="center"/>
        <w:rPr>
          <w:rFonts w:hint="eastAsia" w:ascii="宋体" w:hAnsi="宋体" w:eastAsia="宋体" w:cs="宋体"/>
          <w:b/>
          <w:bCs/>
          <w:color w:val="auto"/>
          <w:sz w:val="32"/>
          <w:szCs w:val="32"/>
          <w:highlight w:val="none"/>
        </w:rPr>
      </w:pPr>
    </w:p>
    <w:p w14:paraId="0C2EF20F">
      <w:pPr>
        <w:spacing w:line="520" w:lineRule="exact"/>
        <w:jc w:val="center"/>
        <w:rPr>
          <w:rFonts w:hint="eastAsia" w:ascii="宋体" w:hAnsi="宋体" w:eastAsia="宋体" w:cs="宋体"/>
          <w:b/>
          <w:bCs/>
          <w:color w:val="auto"/>
          <w:sz w:val="32"/>
          <w:szCs w:val="32"/>
          <w:highlight w:val="none"/>
        </w:rPr>
      </w:pPr>
    </w:p>
    <w:p w14:paraId="12389509">
      <w:pPr>
        <w:spacing w:line="520" w:lineRule="exact"/>
        <w:jc w:val="center"/>
        <w:rPr>
          <w:rFonts w:hint="eastAsia" w:ascii="宋体" w:hAnsi="宋体" w:eastAsia="宋体" w:cs="宋体"/>
          <w:b/>
          <w:bCs/>
          <w:color w:val="auto"/>
          <w:sz w:val="32"/>
          <w:szCs w:val="32"/>
          <w:highlight w:val="none"/>
        </w:rPr>
      </w:pPr>
    </w:p>
    <w:p w14:paraId="00279CE0">
      <w:pPr>
        <w:spacing w:line="520" w:lineRule="exact"/>
        <w:jc w:val="center"/>
        <w:rPr>
          <w:rFonts w:hint="eastAsia" w:ascii="宋体" w:hAnsi="宋体" w:eastAsia="宋体" w:cs="宋体"/>
          <w:b/>
          <w:bCs/>
          <w:color w:val="auto"/>
          <w:sz w:val="32"/>
          <w:szCs w:val="32"/>
          <w:highlight w:val="none"/>
        </w:rPr>
      </w:pPr>
    </w:p>
    <w:p w14:paraId="1DA1E8BA">
      <w:pPr>
        <w:spacing w:line="520" w:lineRule="exact"/>
        <w:jc w:val="cente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监狱企业证明</w:t>
      </w:r>
    </w:p>
    <w:p w14:paraId="11CA458D">
      <w:pPr>
        <w:spacing w:line="520" w:lineRule="exact"/>
        <w:ind w:firstLine="480" w:firstLineChars="200"/>
        <w:jc w:val="left"/>
        <w:rPr>
          <w:rFonts w:hint="eastAsia" w:ascii="宋体" w:hAnsi="宋体" w:eastAsia="宋体" w:cs="宋体"/>
          <w:color w:val="auto"/>
          <w:sz w:val="24"/>
          <w:highlight w:val="none"/>
        </w:rPr>
      </w:pPr>
    </w:p>
    <w:p w14:paraId="28661115">
      <w:pPr>
        <w:spacing w:line="520" w:lineRule="exact"/>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提供由省级以上监狱管理局、戒毒管理局（含新疆生产建设兵团）出具的属于监狱企业的证明文件。</w:t>
      </w:r>
    </w:p>
    <w:p w14:paraId="1877093B">
      <w:pPr>
        <w:spacing w:line="520" w:lineRule="exact"/>
        <w:jc w:val="center"/>
        <w:rPr>
          <w:rFonts w:hint="eastAsia" w:ascii="宋体" w:hAnsi="宋体" w:eastAsia="宋体" w:cs="宋体"/>
          <w:color w:val="auto"/>
          <w:sz w:val="24"/>
          <w:highlight w:val="none"/>
        </w:rPr>
      </w:pPr>
    </w:p>
    <w:p w14:paraId="1F3B5E5E">
      <w:pPr>
        <w:spacing w:line="360" w:lineRule="auto"/>
        <w:jc w:val="center"/>
        <w:rPr>
          <w:rFonts w:hint="eastAsia" w:ascii="宋体" w:hAnsi="宋体" w:eastAsia="宋体" w:cs="宋体"/>
          <w:b/>
          <w:bCs/>
          <w:color w:val="auto"/>
          <w:sz w:val="44"/>
          <w:szCs w:val="44"/>
          <w:highlight w:val="none"/>
        </w:rPr>
      </w:pPr>
    </w:p>
    <w:p w14:paraId="60BA1730">
      <w:pPr>
        <w:spacing w:line="360" w:lineRule="auto"/>
        <w:ind w:firstLine="4320" w:firstLineChars="18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供应商名称（电子签章）：</w:t>
      </w:r>
    </w:p>
    <w:p w14:paraId="72D6E7A1">
      <w:pPr>
        <w:spacing w:line="360" w:lineRule="auto"/>
        <w:ind w:firstLine="4320" w:firstLineChars="18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日  期：    年   月   日</w:t>
      </w:r>
    </w:p>
    <w:p w14:paraId="7F061638">
      <w:pPr>
        <w:spacing w:line="520" w:lineRule="exact"/>
        <w:jc w:val="center"/>
        <w:rPr>
          <w:rFonts w:hint="eastAsia" w:ascii="宋体" w:hAnsi="宋体" w:eastAsia="宋体" w:cs="宋体"/>
          <w:color w:val="auto"/>
          <w:sz w:val="24"/>
          <w:highlight w:val="none"/>
        </w:rPr>
      </w:pPr>
    </w:p>
    <w:p w14:paraId="3F5A3F89">
      <w:pPr>
        <w:spacing w:line="360" w:lineRule="auto"/>
        <w:jc w:val="center"/>
        <w:rPr>
          <w:rFonts w:hint="eastAsia" w:ascii="宋体" w:hAnsi="宋体" w:eastAsia="宋体" w:cs="宋体"/>
          <w:b/>
          <w:color w:val="auto"/>
          <w:sz w:val="30"/>
          <w:szCs w:val="30"/>
          <w:highlight w:val="none"/>
        </w:rPr>
      </w:pPr>
    </w:p>
    <w:p w14:paraId="36A76CE3">
      <w:pPr>
        <w:spacing w:line="360" w:lineRule="auto"/>
        <w:jc w:val="center"/>
        <w:rPr>
          <w:rFonts w:hint="eastAsia" w:ascii="宋体" w:hAnsi="宋体" w:eastAsia="宋体" w:cs="宋体"/>
          <w:b/>
          <w:color w:val="auto"/>
          <w:sz w:val="30"/>
          <w:szCs w:val="30"/>
          <w:highlight w:val="none"/>
        </w:rPr>
      </w:pPr>
    </w:p>
    <w:p w14:paraId="70CB6EF5">
      <w:pPr>
        <w:spacing w:line="360" w:lineRule="auto"/>
        <w:contextualSpacing/>
        <w:rPr>
          <w:rFonts w:hint="eastAsia" w:ascii="宋体" w:hAnsi="宋体" w:eastAsia="宋体" w:cs="宋体"/>
          <w:color w:val="auto"/>
          <w:sz w:val="24"/>
          <w:highlight w:val="none"/>
        </w:rPr>
      </w:pPr>
    </w:p>
    <w:p w14:paraId="10CFF52C">
      <w:pPr>
        <w:spacing w:line="360" w:lineRule="auto"/>
        <w:ind w:right="420"/>
        <w:contextualSpacing/>
        <w:jc w:val="left"/>
        <w:rPr>
          <w:rFonts w:hint="eastAsia" w:ascii="宋体" w:hAnsi="宋体" w:eastAsia="宋体" w:cs="宋体"/>
          <w:b/>
          <w:color w:val="auto"/>
          <w:sz w:val="32"/>
          <w:szCs w:val="32"/>
          <w:highlight w:val="none"/>
        </w:rPr>
      </w:pPr>
      <w:r>
        <w:rPr>
          <w:rFonts w:hint="eastAsia" w:ascii="宋体" w:hAnsi="宋体" w:eastAsia="宋体" w:cs="宋体"/>
          <w:color w:val="auto"/>
          <w:sz w:val="24"/>
          <w:highlight w:val="none"/>
        </w:rPr>
        <w:t>注：请根据自己的真实情况出具《监狱企业证明》。依法享受中小企业优惠政策的，采购人或者采购代理机构在公告成交结果时，同时公告其《监狱企业证明》，接受社会监督。</w:t>
      </w:r>
      <w:r>
        <w:rPr>
          <w:rFonts w:hint="eastAsia" w:ascii="宋体" w:hAnsi="宋体" w:eastAsia="宋体" w:cs="宋体"/>
          <w:color w:val="auto"/>
          <w:szCs w:val="21"/>
          <w:highlight w:val="none"/>
        </w:rPr>
        <w:br w:type="page"/>
      </w:r>
      <w:r>
        <w:rPr>
          <w:rFonts w:hint="eastAsia" w:ascii="宋体" w:hAnsi="宋体" w:eastAsia="宋体" w:cs="宋体"/>
          <w:b/>
          <w:bCs/>
          <w:color w:val="auto"/>
          <w:sz w:val="32"/>
          <w:szCs w:val="32"/>
          <w:highlight w:val="none"/>
        </w:rPr>
        <w:t>二、</w:t>
      </w:r>
      <w:r>
        <w:rPr>
          <w:rFonts w:hint="eastAsia" w:ascii="宋体" w:hAnsi="宋体" w:eastAsia="宋体" w:cs="宋体"/>
          <w:b/>
          <w:color w:val="auto"/>
          <w:sz w:val="32"/>
          <w:szCs w:val="32"/>
          <w:highlight w:val="none"/>
        </w:rPr>
        <w:t xml:space="preserve">商务技术文件格式 </w:t>
      </w:r>
    </w:p>
    <w:p w14:paraId="5E615A91">
      <w:pPr>
        <w:snapToGrid w:val="0"/>
        <w:spacing w:before="120" w:beforeLines="50" w:after="50" w:line="360" w:lineRule="auto"/>
        <w:jc w:val="left"/>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1.商务技术文件封面格式</w:t>
      </w:r>
    </w:p>
    <w:p w14:paraId="41CA2811">
      <w:pPr>
        <w:snapToGrid w:val="0"/>
        <w:spacing w:before="120" w:beforeLines="50" w:after="5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p>
    <w:p w14:paraId="63108F93">
      <w:pPr>
        <w:snapToGrid w:val="0"/>
        <w:spacing w:before="120" w:beforeLines="50" w:after="50"/>
        <w:rPr>
          <w:rFonts w:hint="eastAsia" w:ascii="宋体" w:hAnsi="宋体" w:eastAsia="宋体" w:cs="宋体"/>
          <w:color w:val="auto"/>
          <w:sz w:val="24"/>
          <w:highlight w:val="none"/>
        </w:rPr>
      </w:pPr>
    </w:p>
    <w:p w14:paraId="0010376C">
      <w:pPr>
        <w:snapToGrid w:val="0"/>
        <w:spacing w:before="120" w:beforeLines="50" w:after="50"/>
        <w:rPr>
          <w:rFonts w:hint="eastAsia" w:ascii="宋体" w:hAnsi="宋体" w:eastAsia="宋体" w:cs="宋体"/>
          <w:color w:val="auto"/>
          <w:sz w:val="24"/>
          <w:szCs w:val="20"/>
          <w:highlight w:val="none"/>
        </w:rPr>
      </w:pPr>
    </w:p>
    <w:p w14:paraId="62AF521C">
      <w:pPr>
        <w:snapToGrid w:val="0"/>
        <w:spacing w:before="120" w:beforeLines="50" w:after="50"/>
        <w:jc w:val="center"/>
        <w:rPr>
          <w:rFonts w:hint="eastAsia" w:ascii="宋体" w:hAnsi="宋体" w:eastAsia="宋体" w:cs="宋体"/>
          <w:bCs/>
          <w:color w:val="auto"/>
          <w:sz w:val="84"/>
          <w:szCs w:val="84"/>
          <w:highlight w:val="none"/>
        </w:rPr>
      </w:pPr>
      <w:r>
        <w:rPr>
          <w:rFonts w:hint="eastAsia" w:ascii="宋体" w:hAnsi="宋体" w:eastAsia="宋体" w:cs="宋体"/>
          <w:bCs/>
          <w:color w:val="auto"/>
          <w:sz w:val="84"/>
          <w:szCs w:val="84"/>
          <w:highlight w:val="none"/>
        </w:rPr>
        <w:t>响  应  文  件</w:t>
      </w:r>
    </w:p>
    <w:p w14:paraId="3E17D708">
      <w:pPr>
        <w:snapToGrid w:val="0"/>
        <w:spacing w:before="120" w:beforeLines="50" w:after="50"/>
        <w:rPr>
          <w:rFonts w:hint="eastAsia" w:ascii="宋体" w:hAnsi="宋体" w:eastAsia="宋体" w:cs="宋体"/>
          <w:color w:val="auto"/>
          <w:sz w:val="24"/>
          <w:szCs w:val="20"/>
          <w:highlight w:val="none"/>
        </w:rPr>
      </w:pPr>
    </w:p>
    <w:p w14:paraId="050A6FE9">
      <w:pPr>
        <w:snapToGrid w:val="0"/>
        <w:spacing w:before="120" w:beforeLines="50" w:after="50"/>
        <w:jc w:val="center"/>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 xml:space="preserve"> 商  务  技  术  文  件</w:t>
      </w:r>
    </w:p>
    <w:p w14:paraId="5966735A">
      <w:pPr>
        <w:snapToGrid w:val="0"/>
        <w:spacing w:before="120" w:beforeLines="50" w:after="50"/>
        <w:rPr>
          <w:rFonts w:hint="eastAsia" w:ascii="宋体" w:hAnsi="宋体" w:eastAsia="宋体" w:cs="宋体"/>
          <w:bCs/>
          <w:color w:val="auto"/>
          <w:sz w:val="24"/>
          <w:szCs w:val="20"/>
          <w:highlight w:val="none"/>
        </w:rPr>
      </w:pPr>
    </w:p>
    <w:p w14:paraId="107850F3">
      <w:pPr>
        <w:snapToGrid w:val="0"/>
        <w:spacing w:before="120" w:beforeLines="50" w:after="50"/>
        <w:rPr>
          <w:rFonts w:hint="eastAsia" w:ascii="宋体" w:hAnsi="宋体" w:eastAsia="宋体" w:cs="宋体"/>
          <w:bCs/>
          <w:color w:val="auto"/>
          <w:sz w:val="24"/>
          <w:szCs w:val="20"/>
          <w:highlight w:val="none"/>
        </w:rPr>
      </w:pPr>
    </w:p>
    <w:p w14:paraId="3347B806">
      <w:pPr>
        <w:snapToGrid w:val="0"/>
        <w:spacing w:before="120" w:beforeLines="50" w:after="50"/>
        <w:rPr>
          <w:rFonts w:hint="eastAsia" w:ascii="宋体" w:hAnsi="宋体" w:eastAsia="宋体" w:cs="宋体"/>
          <w:bCs/>
          <w:color w:val="auto"/>
          <w:sz w:val="24"/>
          <w:szCs w:val="20"/>
          <w:highlight w:val="none"/>
        </w:rPr>
      </w:pPr>
    </w:p>
    <w:p w14:paraId="0CBDFBD2">
      <w:pPr>
        <w:snapToGrid w:val="0"/>
        <w:spacing w:before="120" w:beforeLines="50" w:after="50"/>
        <w:rPr>
          <w:rFonts w:hint="eastAsia" w:ascii="宋体" w:hAnsi="宋体" w:eastAsia="宋体" w:cs="宋体"/>
          <w:bCs/>
          <w:color w:val="auto"/>
          <w:sz w:val="24"/>
          <w:szCs w:val="20"/>
          <w:highlight w:val="none"/>
        </w:rPr>
      </w:pPr>
    </w:p>
    <w:p w14:paraId="0F18B223">
      <w:pPr>
        <w:snapToGrid w:val="0"/>
        <w:spacing w:before="120" w:beforeLines="50" w:after="50"/>
        <w:rPr>
          <w:rFonts w:hint="eastAsia" w:ascii="宋体" w:hAnsi="宋体" w:eastAsia="宋体" w:cs="宋体"/>
          <w:bCs/>
          <w:color w:val="auto"/>
          <w:sz w:val="24"/>
          <w:szCs w:val="20"/>
          <w:highlight w:val="none"/>
        </w:rPr>
      </w:pPr>
    </w:p>
    <w:p w14:paraId="35174A56">
      <w:pPr>
        <w:snapToGrid w:val="0"/>
        <w:spacing w:before="120" w:beforeLines="50" w:after="50"/>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项目名称：</w:t>
      </w:r>
    </w:p>
    <w:p w14:paraId="1C5430D1">
      <w:pPr>
        <w:snapToGrid w:val="0"/>
        <w:spacing w:before="120" w:beforeLines="50" w:after="50"/>
        <w:ind w:firstLine="720" w:firstLineChars="225"/>
        <w:rPr>
          <w:rFonts w:hint="eastAsia" w:ascii="宋体" w:hAnsi="宋体" w:eastAsia="宋体" w:cs="宋体"/>
          <w:bCs/>
          <w:color w:val="auto"/>
          <w:sz w:val="32"/>
          <w:szCs w:val="32"/>
          <w:highlight w:val="none"/>
        </w:rPr>
      </w:pPr>
    </w:p>
    <w:p w14:paraId="59105771">
      <w:pPr>
        <w:snapToGrid w:val="0"/>
        <w:spacing w:before="120" w:beforeLines="50" w:after="50"/>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项目编号：</w:t>
      </w:r>
    </w:p>
    <w:p w14:paraId="03F88197">
      <w:pPr>
        <w:snapToGrid w:val="0"/>
        <w:spacing w:before="120" w:beforeLines="50" w:after="50"/>
        <w:ind w:firstLine="720" w:firstLineChars="225"/>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 xml:space="preserve"> </w:t>
      </w:r>
    </w:p>
    <w:p w14:paraId="1CDA30AA">
      <w:pPr>
        <w:snapToGrid w:val="0"/>
        <w:spacing w:before="120" w:beforeLines="50" w:after="50"/>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所竞分标：</w:t>
      </w:r>
    </w:p>
    <w:p w14:paraId="65000F1A">
      <w:pPr>
        <w:snapToGrid w:val="0"/>
        <w:spacing w:before="120" w:beforeLines="50" w:after="50"/>
        <w:ind w:firstLine="720" w:firstLineChars="225"/>
        <w:rPr>
          <w:rFonts w:hint="eastAsia" w:ascii="宋体" w:hAnsi="宋体" w:eastAsia="宋体" w:cs="宋体"/>
          <w:bCs/>
          <w:color w:val="auto"/>
          <w:sz w:val="32"/>
          <w:szCs w:val="32"/>
          <w:highlight w:val="none"/>
        </w:rPr>
      </w:pPr>
    </w:p>
    <w:p w14:paraId="0BDBF71C">
      <w:pPr>
        <w:pStyle w:val="10"/>
        <w:snapToGrid w:val="0"/>
        <w:spacing w:before="50" w:after="50"/>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供应商名称：</w:t>
      </w:r>
    </w:p>
    <w:p w14:paraId="13D6FABB">
      <w:pPr>
        <w:pStyle w:val="10"/>
        <w:snapToGrid w:val="0"/>
        <w:spacing w:before="50" w:after="50"/>
        <w:ind w:firstLine="640" w:firstLineChars="200"/>
        <w:rPr>
          <w:rFonts w:hint="eastAsia" w:ascii="宋体" w:hAnsi="宋体" w:eastAsia="宋体" w:cs="宋体"/>
          <w:bCs/>
          <w:color w:val="auto"/>
          <w:sz w:val="32"/>
          <w:szCs w:val="32"/>
          <w:highlight w:val="none"/>
        </w:rPr>
      </w:pPr>
    </w:p>
    <w:p w14:paraId="08BCF4F9">
      <w:pPr>
        <w:pStyle w:val="10"/>
        <w:snapToGrid w:val="0"/>
        <w:spacing w:before="50" w:after="50"/>
        <w:ind w:firstLine="0"/>
        <w:rPr>
          <w:rFonts w:hint="eastAsia" w:ascii="宋体" w:hAnsi="宋体" w:eastAsia="宋体" w:cs="宋体"/>
          <w:bCs/>
          <w:color w:val="auto"/>
          <w:sz w:val="32"/>
          <w:szCs w:val="32"/>
          <w:highlight w:val="none"/>
        </w:rPr>
      </w:pPr>
    </w:p>
    <w:p w14:paraId="36E06757">
      <w:pPr>
        <w:pStyle w:val="10"/>
        <w:snapToGrid w:val="0"/>
        <w:spacing w:before="50" w:after="50"/>
        <w:ind w:firstLine="1280" w:firstLineChars="400"/>
        <w:rPr>
          <w:rFonts w:hint="eastAsia" w:ascii="宋体" w:hAnsi="宋体" w:eastAsia="宋体" w:cs="宋体"/>
          <w:bCs/>
          <w:color w:val="auto"/>
          <w:sz w:val="32"/>
          <w:szCs w:val="32"/>
          <w:highlight w:val="none"/>
        </w:rPr>
      </w:pPr>
    </w:p>
    <w:p w14:paraId="4A208E8D">
      <w:pPr>
        <w:snapToGrid w:val="0"/>
        <w:spacing w:before="120" w:beforeLines="50" w:after="50"/>
        <w:jc w:val="center"/>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年    月    日</w:t>
      </w:r>
    </w:p>
    <w:p w14:paraId="18C8AAAB">
      <w:pPr>
        <w:snapToGrid w:val="0"/>
        <w:spacing w:before="120" w:beforeLines="50" w:after="50" w:line="360" w:lineRule="auto"/>
        <w:ind w:left="142"/>
        <w:jc w:val="left"/>
        <w:rPr>
          <w:rFonts w:hint="eastAsia" w:ascii="宋体" w:hAnsi="宋体" w:eastAsia="宋体" w:cs="宋体"/>
          <w:b/>
          <w:bCs/>
          <w:color w:val="auto"/>
          <w:sz w:val="24"/>
          <w:highlight w:val="none"/>
        </w:rPr>
      </w:pPr>
      <w:r>
        <w:rPr>
          <w:rFonts w:hint="eastAsia" w:ascii="宋体" w:hAnsi="宋体" w:eastAsia="宋体" w:cs="宋体"/>
          <w:color w:val="auto"/>
          <w:sz w:val="24"/>
          <w:highlight w:val="none"/>
        </w:rPr>
        <w:br w:type="page"/>
      </w:r>
      <w:r>
        <w:rPr>
          <w:rFonts w:hint="eastAsia" w:ascii="宋体" w:hAnsi="宋体" w:eastAsia="宋体" w:cs="宋体"/>
          <w:b/>
          <w:bCs/>
          <w:color w:val="auto"/>
          <w:sz w:val="32"/>
          <w:szCs w:val="32"/>
          <w:highlight w:val="none"/>
        </w:rPr>
        <w:t>2.商务技术文件目录</w:t>
      </w:r>
    </w:p>
    <w:p w14:paraId="4E3AC516">
      <w:pPr>
        <w:pStyle w:val="33"/>
        <w:spacing w:line="480" w:lineRule="auto"/>
        <w:rPr>
          <w:rFonts w:hint="eastAsia" w:ascii="宋体" w:hAnsi="宋体" w:eastAsia="宋体" w:cs="宋体"/>
          <w:color w:val="auto"/>
          <w:highlight w:val="none"/>
        </w:rPr>
      </w:pPr>
      <w:r>
        <w:rPr>
          <w:rFonts w:hint="eastAsia" w:ascii="宋体" w:hAnsi="宋体" w:eastAsia="宋体" w:cs="宋体"/>
          <w:color w:val="auto"/>
          <w:highlight w:val="none"/>
        </w:rPr>
        <w:t>一、无串标行为承诺函……………………………………………………………（页码）</w:t>
      </w:r>
    </w:p>
    <w:p w14:paraId="73A10EA9">
      <w:pPr>
        <w:pStyle w:val="33"/>
        <w:spacing w:line="480" w:lineRule="auto"/>
        <w:rPr>
          <w:rFonts w:hint="eastAsia" w:ascii="宋体" w:hAnsi="宋体" w:eastAsia="宋体" w:cs="宋体"/>
          <w:color w:val="auto"/>
          <w:highlight w:val="none"/>
        </w:rPr>
      </w:pPr>
      <w:r>
        <w:rPr>
          <w:rFonts w:hint="eastAsia" w:ascii="宋体" w:hAnsi="宋体" w:eastAsia="宋体" w:cs="宋体"/>
          <w:color w:val="auto"/>
          <w:highlight w:val="none"/>
        </w:rPr>
        <w:t>二、法定代表人身份证明及法定代表人有效身份证正反面复印件……………（页码）</w:t>
      </w:r>
    </w:p>
    <w:p w14:paraId="21701852">
      <w:pPr>
        <w:pStyle w:val="33"/>
        <w:spacing w:line="480" w:lineRule="auto"/>
        <w:rPr>
          <w:rFonts w:hint="eastAsia" w:ascii="宋体" w:hAnsi="宋体" w:eastAsia="宋体" w:cs="宋体"/>
          <w:color w:val="auto"/>
          <w:highlight w:val="none"/>
        </w:rPr>
      </w:pPr>
      <w:r>
        <w:rPr>
          <w:rFonts w:hint="eastAsia" w:ascii="宋体" w:hAnsi="宋体" w:eastAsia="宋体" w:cs="宋体"/>
          <w:color w:val="auto"/>
          <w:highlight w:val="none"/>
        </w:rPr>
        <w:t>三、法定代表人授权委托书（如有委托时）……………………………………（页码）</w:t>
      </w:r>
    </w:p>
    <w:p w14:paraId="59E6AF20">
      <w:pPr>
        <w:pStyle w:val="33"/>
        <w:spacing w:line="480" w:lineRule="auto"/>
        <w:rPr>
          <w:rFonts w:hint="eastAsia" w:ascii="宋体" w:hAnsi="宋体" w:eastAsia="宋体" w:cs="宋体"/>
          <w:color w:val="auto"/>
          <w:highlight w:val="none"/>
        </w:rPr>
      </w:pPr>
      <w:r>
        <w:rPr>
          <w:rFonts w:hint="eastAsia" w:ascii="宋体" w:hAnsi="宋体" w:eastAsia="宋体" w:cs="宋体"/>
          <w:color w:val="auto"/>
          <w:highlight w:val="none"/>
        </w:rPr>
        <w:t>四、</w:t>
      </w:r>
      <w:r>
        <w:rPr>
          <w:rFonts w:hint="eastAsia" w:ascii="宋体" w:hAnsi="宋体" w:eastAsia="宋体" w:cs="宋体"/>
          <w:color w:val="auto"/>
          <w:highlight w:val="none"/>
          <w:lang w:val="zh-CN"/>
        </w:rPr>
        <w:t>商务条款偏离表………………………………</w:t>
      </w:r>
      <w:r>
        <w:rPr>
          <w:rFonts w:hint="eastAsia" w:ascii="宋体" w:hAnsi="宋体" w:eastAsia="宋体" w:cs="宋体"/>
          <w:color w:val="auto"/>
          <w:highlight w:val="none"/>
        </w:rPr>
        <w:t>………………………………（页码）</w:t>
      </w:r>
    </w:p>
    <w:p w14:paraId="7B961FE5">
      <w:pPr>
        <w:pStyle w:val="33"/>
        <w:spacing w:line="480" w:lineRule="auto"/>
        <w:rPr>
          <w:rFonts w:hint="eastAsia" w:ascii="宋体" w:hAnsi="宋体" w:eastAsia="宋体" w:cs="宋体"/>
          <w:color w:val="auto"/>
          <w:highlight w:val="none"/>
        </w:rPr>
      </w:pPr>
      <w:bookmarkStart w:id="64" w:name="OLE_LINK6"/>
      <w:bookmarkStart w:id="65" w:name="OLE_LINK5"/>
      <w:bookmarkStart w:id="66" w:name="OLE_LINK7"/>
      <w:r>
        <w:rPr>
          <w:rFonts w:hint="eastAsia" w:ascii="宋体" w:hAnsi="宋体" w:eastAsia="宋体" w:cs="宋体"/>
          <w:color w:val="auto"/>
          <w:highlight w:val="none"/>
        </w:rPr>
        <w:t>五、竞标人情况介绍</w:t>
      </w:r>
      <w:r>
        <w:rPr>
          <w:rFonts w:hint="eastAsia" w:ascii="宋体" w:hAnsi="宋体" w:eastAsia="宋体" w:cs="宋体"/>
          <w:color w:val="auto"/>
          <w:highlight w:val="none"/>
          <w:lang w:val="zh-CN"/>
        </w:rPr>
        <w:t>………………………………</w:t>
      </w:r>
      <w:r>
        <w:rPr>
          <w:rFonts w:hint="eastAsia" w:ascii="宋体" w:hAnsi="宋体" w:eastAsia="宋体" w:cs="宋体"/>
          <w:color w:val="auto"/>
          <w:highlight w:val="none"/>
        </w:rPr>
        <w:t>………………………………（页码）</w:t>
      </w:r>
    </w:p>
    <w:p w14:paraId="0679090A">
      <w:pPr>
        <w:pStyle w:val="33"/>
        <w:spacing w:line="480" w:lineRule="auto"/>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六、</w:t>
      </w:r>
      <w:r>
        <w:rPr>
          <w:rFonts w:hint="eastAsia" w:ascii="宋体" w:hAnsi="宋体" w:eastAsia="宋体" w:cs="宋体"/>
          <w:color w:val="auto"/>
          <w:highlight w:val="none"/>
          <w:lang w:val="en-US" w:eastAsia="zh-CN"/>
        </w:rPr>
        <w:t>商务要求需要提供的其他有关资料…………………………………………（页码）</w:t>
      </w:r>
    </w:p>
    <w:bookmarkEnd w:id="64"/>
    <w:bookmarkEnd w:id="65"/>
    <w:bookmarkEnd w:id="66"/>
    <w:p w14:paraId="2F628E79">
      <w:pPr>
        <w:pStyle w:val="33"/>
        <w:spacing w:line="480" w:lineRule="auto"/>
        <w:rPr>
          <w:rFonts w:hint="eastAsia" w:ascii="宋体" w:hAnsi="宋体" w:eastAsia="宋体" w:cs="宋体"/>
          <w:color w:val="auto"/>
          <w:highlight w:val="none"/>
        </w:rPr>
      </w:pPr>
      <w:r>
        <w:rPr>
          <w:rFonts w:hint="eastAsia" w:ascii="宋体" w:hAnsi="宋体" w:eastAsia="宋体" w:cs="宋体"/>
          <w:color w:val="auto"/>
          <w:highlight w:val="none"/>
        </w:rPr>
        <w:t>七、技术需求偏离表………………………………………………………………（页码）</w:t>
      </w:r>
    </w:p>
    <w:p w14:paraId="00A817E9">
      <w:pPr>
        <w:pStyle w:val="33"/>
        <w:spacing w:line="480" w:lineRule="auto"/>
        <w:rPr>
          <w:rFonts w:hint="eastAsia" w:ascii="宋体" w:hAnsi="宋体" w:eastAsia="宋体" w:cs="宋体"/>
          <w:color w:val="auto"/>
          <w:highlight w:val="none"/>
        </w:rPr>
      </w:pPr>
      <w:r>
        <w:rPr>
          <w:rFonts w:hint="eastAsia" w:ascii="宋体" w:hAnsi="宋体" w:eastAsia="宋体" w:cs="宋体"/>
          <w:color w:val="auto"/>
          <w:highlight w:val="none"/>
        </w:rPr>
        <w:t>八、施工组织设计…………………………………………………………………（页码）</w:t>
      </w:r>
    </w:p>
    <w:p w14:paraId="708F7637">
      <w:pPr>
        <w:pStyle w:val="33"/>
        <w:spacing w:line="480" w:lineRule="auto"/>
        <w:rPr>
          <w:rFonts w:hint="eastAsia" w:ascii="宋体" w:hAnsi="宋体" w:eastAsia="宋体" w:cs="宋体"/>
          <w:color w:val="auto"/>
          <w:highlight w:val="none"/>
        </w:rPr>
      </w:pPr>
      <w:r>
        <w:rPr>
          <w:rFonts w:hint="eastAsia" w:ascii="宋体" w:hAnsi="宋体" w:eastAsia="宋体" w:cs="宋体"/>
          <w:color w:val="auto"/>
          <w:highlight w:val="none"/>
        </w:rPr>
        <w:t>九、项目管理机构………………………</w:t>
      </w:r>
      <w:r>
        <w:rPr>
          <w:rFonts w:hint="eastAsia" w:ascii="宋体" w:hAnsi="宋体" w:eastAsia="宋体" w:cs="宋体"/>
          <w:color w:val="auto"/>
          <w:highlight w:val="none"/>
          <w:lang w:val="zh-CN"/>
        </w:rPr>
        <w:t>………</w:t>
      </w:r>
      <w:r>
        <w:rPr>
          <w:rFonts w:hint="eastAsia" w:ascii="宋体" w:hAnsi="宋体" w:eastAsia="宋体" w:cs="宋体"/>
          <w:color w:val="auto"/>
          <w:highlight w:val="none"/>
        </w:rPr>
        <w:t>…………………………………（页码）</w:t>
      </w:r>
    </w:p>
    <w:p w14:paraId="2DEBFE65">
      <w:pPr>
        <w:pStyle w:val="33"/>
        <w:spacing w:line="480" w:lineRule="auto"/>
        <w:rPr>
          <w:rFonts w:hint="eastAsia" w:ascii="宋体" w:hAnsi="宋体" w:eastAsia="宋体" w:cs="宋体"/>
          <w:color w:val="auto"/>
          <w:highlight w:val="none"/>
        </w:rPr>
      </w:pPr>
      <w:r>
        <w:rPr>
          <w:rFonts w:hint="eastAsia" w:ascii="宋体" w:hAnsi="宋体" w:eastAsia="宋体" w:cs="宋体"/>
          <w:color w:val="auto"/>
          <w:highlight w:val="none"/>
          <w:lang w:eastAsia="zh-CN"/>
        </w:rPr>
        <w:t>十</w:t>
      </w:r>
      <w:r>
        <w:rPr>
          <w:rFonts w:hint="eastAsia" w:ascii="宋体" w:hAnsi="宋体" w:eastAsia="宋体" w:cs="宋体"/>
          <w:color w:val="auto"/>
          <w:highlight w:val="none"/>
        </w:rPr>
        <w:t>、</w:t>
      </w:r>
      <w:r>
        <w:rPr>
          <w:rFonts w:hint="eastAsia" w:ascii="宋体" w:hAnsi="宋体" w:eastAsia="宋体" w:cs="宋体"/>
          <w:color w:val="auto"/>
          <w:szCs w:val="21"/>
          <w:highlight w:val="none"/>
        </w:rPr>
        <w:t>供应商认为需要提供的其他有关资料</w:t>
      </w:r>
      <w:r>
        <w:rPr>
          <w:rFonts w:hint="eastAsia" w:ascii="宋体" w:hAnsi="宋体" w:eastAsia="宋体" w:cs="宋体"/>
          <w:color w:val="auto"/>
          <w:highlight w:val="none"/>
          <w:lang w:val="zh-CN"/>
        </w:rPr>
        <w:t>…………………</w:t>
      </w:r>
      <w:r>
        <w:rPr>
          <w:rFonts w:hint="eastAsia" w:ascii="宋体" w:hAnsi="宋体" w:eastAsia="宋体" w:cs="宋体"/>
          <w:color w:val="auto"/>
          <w:highlight w:val="none"/>
        </w:rPr>
        <w:t>………</w:t>
      </w:r>
      <w:r>
        <w:rPr>
          <w:rFonts w:hint="eastAsia" w:ascii="宋体" w:hAnsi="宋体" w:eastAsia="宋体" w:cs="宋体"/>
          <w:color w:val="auto"/>
          <w:highlight w:val="none"/>
          <w:lang w:val="zh-CN"/>
        </w:rPr>
        <w:t>…</w:t>
      </w:r>
      <w:r>
        <w:rPr>
          <w:rFonts w:hint="eastAsia" w:ascii="宋体" w:hAnsi="宋体" w:eastAsia="宋体" w:cs="宋体"/>
          <w:color w:val="auto"/>
          <w:highlight w:val="none"/>
        </w:rPr>
        <w:t>…………（页码）</w:t>
      </w:r>
    </w:p>
    <w:p w14:paraId="6DB70ECB">
      <w:pPr>
        <w:pStyle w:val="33"/>
        <w:spacing w:line="480" w:lineRule="auto"/>
        <w:rPr>
          <w:rFonts w:hint="eastAsia" w:ascii="宋体" w:hAnsi="宋体" w:eastAsia="宋体" w:cs="宋体"/>
          <w:color w:val="auto"/>
          <w:highlight w:val="none"/>
        </w:rPr>
      </w:pPr>
    </w:p>
    <w:p w14:paraId="5518E40E">
      <w:pPr>
        <w:spacing w:line="400" w:lineRule="exact"/>
        <w:rPr>
          <w:rFonts w:hint="eastAsia" w:ascii="宋体" w:hAnsi="宋体" w:eastAsia="宋体" w:cs="宋体"/>
          <w:color w:val="auto"/>
          <w:sz w:val="32"/>
          <w:szCs w:val="32"/>
          <w:highlight w:val="none"/>
        </w:rPr>
      </w:pPr>
      <w:r>
        <w:rPr>
          <w:rFonts w:hint="eastAsia" w:ascii="宋体" w:hAnsi="宋体" w:eastAsia="宋体" w:cs="宋体"/>
          <w:b/>
          <w:bCs/>
          <w:color w:val="auto"/>
          <w:sz w:val="24"/>
          <w:highlight w:val="none"/>
        </w:rPr>
        <w:t>注：以上目录是基本格式要求，各供应商可根据自身情况进一步向下增加内容或细化。</w:t>
      </w:r>
    </w:p>
    <w:p w14:paraId="5957072C">
      <w:pPr>
        <w:numPr>
          <w:ilvl w:val="0"/>
          <w:numId w:val="3"/>
        </w:numPr>
        <w:spacing w:line="520" w:lineRule="exact"/>
        <w:rPr>
          <w:rFonts w:hint="eastAsia" w:ascii="宋体" w:hAnsi="宋体" w:eastAsia="宋体" w:cs="宋体"/>
          <w:b/>
          <w:color w:val="auto"/>
          <w:sz w:val="30"/>
          <w:szCs w:val="30"/>
          <w:highlight w:val="none"/>
        </w:rPr>
      </w:pPr>
      <w:r>
        <w:rPr>
          <w:rFonts w:hint="eastAsia" w:ascii="宋体" w:hAnsi="宋体" w:eastAsia="宋体" w:cs="宋体"/>
          <w:color w:val="auto"/>
          <w:sz w:val="44"/>
          <w:szCs w:val="44"/>
          <w:highlight w:val="none"/>
        </w:rPr>
        <w:br w:type="page"/>
      </w:r>
      <w:r>
        <w:rPr>
          <w:rFonts w:hint="eastAsia" w:ascii="宋体" w:hAnsi="宋体" w:eastAsia="宋体" w:cs="宋体"/>
          <w:b/>
          <w:color w:val="auto"/>
          <w:sz w:val="30"/>
          <w:szCs w:val="30"/>
          <w:highlight w:val="none"/>
        </w:rPr>
        <w:t>无串通竞标行为的承诺函</w:t>
      </w:r>
    </w:p>
    <w:p w14:paraId="3550ACDF">
      <w:pPr>
        <w:spacing w:line="520" w:lineRule="exact"/>
        <w:rPr>
          <w:rFonts w:hint="eastAsia" w:ascii="宋体" w:hAnsi="宋体" w:eastAsia="宋体" w:cs="宋体"/>
          <w:b/>
          <w:color w:val="auto"/>
          <w:sz w:val="30"/>
          <w:szCs w:val="30"/>
          <w:highlight w:val="none"/>
        </w:rPr>
      </w:pPr>
    </w:p>
    <w:p w14:paraId="7A912248">
      <w:pPr>
        <w:spacing w:line="360" w:lineRule="auto"/>
        <w:jc w:val="center"/>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无串通竞标行为的承诺函</w:t>
      </w:r>
    </w:p>
    <w:p w14:paraId="7B09BD57">
      <w:pPr>
        <w:spacing w:line="360" w:lineRule="auto"/>
        <w:ind w:firstLine="482" w:firstLineChars="200"/>
        <w:contextualSpacing/>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一、我方承诺无下列相互串通竞标的情形：</w:t>
      </w:r>
    </w:p>
    <w:p w14:paraId="481FA4BF">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1.不同供应商的响应文件由同一单位或者个人编制；或者不同供应商报名的IP地址一致的；或者编制响应文件硬件设备CPU编号、硬盘编号、网卡地址一致的情况；</w:t>
      </w:r>
    </w:p>
    <w:p w14:paraId="30BD6D02">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2.不同供应商委托同一单位或者个人办理竞标事宜；</w:t>
      </w:r>
    </w:p>
    <w:p w14:paraId="5E54E473">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3.不同的供应商的响应文件载明的项目管理员为同一个人；</w:t>
      </w:r>
    </w:p>
    <w:p w14:paraId="473DABBF">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4.不</w:t>
      </w:r>
      <w:r>
        <w:rPr>
          <w:rFonts w:hint="eastAsia" w:ascii="宋体" w:hAnsi="宋体" w:eastAsia="宋体" w:cs="宋体"/>
          <w:color w:val="auto"/>
          <w:spacing w:val="-6"/>
          <w:sz w:val="24"/>
          <w:highlight w:val="none"/>
        </w:rPr>
        <w:t>同供应商的响应文件异常一致或者竞标报价呈规律性差异；</w:t>
      </w:r>
    </w:p>
    <w:p w14:paraId="189CB5EF">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5.不同供应商的响应文件相互混装；</w:t>
      </w:r>
    </w:p>
    <w:p w14:paraId="18D1C06C">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6.不同供应商的竞标保证金从同一单位或者个人账户转出。</w:t>
      </w:r>
    </w:p>
    <w:p w14:paraId="5BAC6178">
      <w:pPr>
        <w:spacing w:line="360" w:lineRule="auto"/>
        <w:ind w:firstLine="482" w:firstLineChars="200"/>
        <w:contextualSpacing/>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二、我方承诺无下列恶意串通的情形：</w:t>
      </w:r>
    </w:p>
    <w:p w14:paraId="02EF66E8">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1.供应商直接或者间接从采购人或者采购代理机构处获得其他供应商的相关信息并修改其响应文件；</w:t>
      </w:r>
    </w:p>
    <w:p w14:paraId="310B2A96">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2.供应商按照采购人或者采购代理机构的授意撤换、修改响应文件；</w:t>
      </w:r>
    </w:p>
    <w:p w14:paraId="7DD710E4">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3.供</w:t>
      </w:r>
      <w:r>
        <w:rPr>
          <w:rFonts w:hint="eastAsia" w:ascii="宋体" w:hAnsi="宋体" w:eastAsia="宋体" w:cs="宋体"/>
          <w:color w:val="auto"/>
          <w:spacing w:val="-6"/>
          <w:sz w:val="24"/>
          <w:highlight w:val="none"/>
        </w:rPr>
        <w:t>应商之间协商报价、技术方案等响应文件的实质性内容；</w:t>
      </w:r>
    </w:p>
    <w:p w14:paraId="33A73904">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4.属于同一集团、协会、商会等组织成员的供应商按照该组织要求协同参加政府采购活动；</w:t>
      </w:r>
    </w:p>
    <w:p w14:paraId="7E3C0B30">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5.供应商之间事先约定一致抬高或者压低竞标报价,或者在竞争性谈判项目中事先约定轮流以高价位或者低价位成交,或者事先约定由某一特定供应商成交,然后再参加竞标；</w:t>
      </w:r>
    </w:p>
    <w:p w14:paraId="7B60099F">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6.供应商之间商定部分供应商放弃参加政府采购活动或者放弃成交；</w:t>
      </w:r>
    </w:p>
    <w:p w14:paraId="6C891447">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7.供应商与采购人或者采购代理机构之间、供应商相互之间，为</w:t>
      </w:r>
      <w:r>
        <w:rPr>
          <w:rFonts w:hint="eastAsia" w:ascii="宋体" w:hAnsi="宋体" w:eastAsia="宋体" w:cs="宋体"/>
          <w:color w:val="auto"/>
          <w:spacing w:val="-6"/>
          <w:sz w:val="24"/>
          <w:highlight w:val="none"/>
        </w:rPr>
        <w:t>谋求特定供应商成交或者排斥其他供应商的其他串通行为。</w:t>
      </w:r>
    </w:p>
    <w:p w14:paraId="244F9C30">
      <w:pPr>
        <w:spacing w:line="360" w:lineRule="auto"/>
        <w:ind w:firstLine="480" w:firstLineChars="200"/>
        <w:contextualSpacing/>
        <w:rPr>
          <w:rFonts w:hint="eastAsia" w:ascii="宋体" w:hAnsi="宋体" w:eastAsia="宋体" w:cs="宋体"/>
          <w:color w:val="auto"/>
          <w:sz w:val="24"/>
          <w:highlight w:val="none"/>
        </w:rPr>
      </w:pPr>
    </w:p>
    <w:p w14:paraId="7B8E11A9">
      <w:pPr>
        <w:spacing w:line="360" w:lineRule="auto"/>
        <w:ind w:firstLine="482" w:firstLineChars="200"/>
        <w:contextualSpacing/>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以上情形一经核查属实，我方愿意承担一切后果，并不再寻求任何旨在减轻或者免除法律责任的辩解。</w:t>
      </w:r>
    </w:p>
    <w:p w14:paraId="06CEAD0C">
      <w:pPr>
        <w:spacing w:line="360" w:lineRule="auto"/>
        <w:ind w:firstLine="480" w:firstLineChars="200"/>
        <w:contextualSpacing/>
        <w:rPr>
          <w:rFonts w:hint="eastAsia" w:ascii="宋体" w:hAnsi="宋体" w:eastAsia="宋体" w:cs="宋体"/>
          <w:color w:val="auto"/>
          <w:sz w:val="24"/>
          <w:highlight w:val="none"/>
        </w:rPr>
      </w:pPr>
    </w:p>
    <w:p w14:paraId="1E2BF067">
      <w:pPr>
        <w:spacing w:line="360" w:lineRule="auto"/>
        <w:contextualSpacing/>
        <w:rPr>
          <w:rFonts w:hint="eastAsia" w:ascii="宋体" w:hAnsi="宋体" w:eastAsia="宋体" w:cs="宋体"/>
          <w:color w:val="auto"/>
          <w:sz w:val="24"/>
          <w:highlight w:val="none"/>
        </w:rPr>
      </w:pPr>
    </w:p>
    <w:p w14:paraId="5E988745">
      <w:pPr>
        <w:spacing w:line="360" w:lineRule="auto"/>
        <w:ind w:firstLine="3600" w:firstLineChars="15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供应商（盖公章 ）：</w:t>
      </w:r>
    </w:p>
    <w:p w14:paraId="4AE7E11E">
      <w:pPr>
        <w:spacing w:line="360" w:lineRule="auto"/>
        <w:ind w:firstLine="480" w:firstLineChars="200"/>
        <w:contextualSpacing/>
        <w:jc w:val="center"/>
        <w:rPr>
          <w:rFonts w:hint="eastAsia" w:ascii="宋体" w:hAnsi="宋体" w:eastAsia="宋体" w:cs="宋体"/>
          <w:color w:val="auto"/>
          <w:sz w:val="24"/>
          <w:highlight w:val="none"/>
        </w:rPr>
        <w:sectPr>
          <w:footerReference r:id="rId5" w:type="first"/>
          <w:pgSz w:w="11910" w:h="16840"/>
          <w:pgMar w:top="1134" w:right="1134" w:bottom="1134" w:left="1134" w:header="0" w:footer="0" w:gutter="0"/>
          <w:cols w:space="720" w:num="1"/>
          <w:docGrid w:linePitch="286" w:charSpace="0"/>
        </w:sectPr>
      </w:pPr>
      <w:r>
        <w:rPr>
          <w:rFonts w:hint="eastAsia" w:ascii="宋体" w:hAnsi="宋体" w:eastAsia="宋体" w:cs="宋体"/>
          <w:color w:val="auto"/>
          <w:sz w:val="24"/>
          <w:highlight w:val="none"/>
        </w:rPr>
        <w:t xml:space="preserve">                               年   月   日</w:t>
      </w:r>
    </w:p>
    <w:p w14:paraId="0007D087">
      <w:pPr>
        <w:spacing w:line="520" w:lineRule="exact"/>
        <w:jc w:val="left"/>
        <w:rPr>
          <w:rFonts w:hint="eastAsia" w:ascii="宋体" w:hAnsi="宋体" w:eastAsia="宋体" w:cs="宋体"/>
          <w:bCs/>
          <w:color w:val="auto"/>
          <w:sz w:val="44"/>
          <w:szCs w:val="44"/>
          <w:highlight w:val="none"/>
        </w:rPr>
      </w:pPr>
      <w:r>
        <w:rPr>
          <w:rFonts w:hint="eastAsia" w:ascii="宋体" w:hAnsi="宋体" w:eastAsia="宋体" w:cs="宋体"/>
          <w:b/>
          <w:color w:val="auto"/>
          <w:sz w:val="30"/>
          <w:szCs w:val="30"/>
          <w:highlight w:val="none"/>
        </w:rPr>
        <w:t>二、法定代表人身份证明及法定代表人有效身份证正反面复印件</w:t>
      </w:r>
    </w:p>
    <w:p w14:paraId="4342AE91">
      <w:pPr>
        <w:spacing w:line="520" w:lineRule="exact"/>
        <w:jc w:val="center"/>
        <w:rPr>
          <w:rFonts w:hint="eastAsia" w:ascii="宋体" w:hAnsi="宋体" w:eastAsia="宋体" w:cs="宋体"/>
          <w:bCs/>
          <w:color w:val="auto"/>
          <w:sz w:val="32"/>
          <w:szCs w:val="32"/>
          <w:highlight w:val="none"/>
        </w:rPr>
      </w:pPr>
    </w:p>
    <w:p w14:paraId="72C03943">
      <w:pPr>
        <w:spacing w:line="520" w:lineRule="exact"/>
        <w:jc w:val="center"/>
        <w:rPr>
          <w:rFonts w:hint="eastAsia" w:ascii="宋体" w:hAnsi="宋体" w:eastAsia="宋体" w:cs="宋体"/>
          <w:color w:val="auto"/>
          <w:sz w:val="32"/>
          <w:szCs w:val="32"/>
          <w:highlight w:val="none"/>
        </w:rPr>
      </w:pPr>
      <w:r>
        <w:rPr>
          <w:rFonts w:hint="eastAsia" w:ascii="宋体" w:hAnsi="宋体" w:eastAsia="宋体" w:cs="宋体"/>
          <w:bCs/>
          <w:color w:val="auto"/>
          <w:sz w:val="32"/>
          <w:szCs w:val="32"/>
          <w:highlight w:val="none"/>
        </w:rPr>
        <w:t>法定代表人证明书</w:t>
      </w:r>
    </w:p>
    <w:p w14:paraId="2CCD7A8F">
      <w:pPr>
        <w:spacing w:line="360" w:lineRule="auto"/>
        <w:ind w:left="540"/>
        <w:contextualSpacing/>
        <w:rPr>
          <w:rFonts w:hint="eastAsia" w:ascii="宋体" w:hAnsi="宋体" w:eastAsia="宋体" w:cs="宋体"/>
          <w:color w:val="auto"/>
          <w:sz w:val="32"/>
          <w:szCs w:val="32"/>
          <w:highlight w:val="none"/>
        </w:rPr>
      </w:pPr>
    </w:p>
    <w:p w14:paraId="56C99E99">
      <w:pPr>
        <w:spacing w:line="360" w:lineRule="auto"/>
        <w:ind w:left="54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供应商名称：</w:t>
      </w:r>
      <w:r>
        <w:rPr>
          <w:rFonts w:hint="eastAsia" w:ascii="宋体" w:hAnsi="宋体" w:eastAsia="宋体" w:cs="宋体"/>
          <w:color w:val="auto"/>
          <w:sz w:val="24"/>
          <w:highlight w:val="none"/>
          <w:u w:val="single"/>
        </w:rPr>
        <w:t xml:space="preserve">                                                       </w:t>
      </w:r>
    </w:p>
    <w:p w14:paraId="07DB3F95">
      <w:pPr>
        <w:spacing w:line="360" w:lineRule="auto"/>
        <w:ind w:left="54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地    址：</w:t>
      </w:r>
      <w:r>
        <w:rPr>
          <w:rFonts w:hint="eastAsia" w:ascii="宋体" w:hAnsi="宋体" w:eastAsia="宋体" w:cs="宋体"/>
          <w:color w:val="auto"/>
          <w:sz w:val="24"/>
          <w:highlight w:val="none"/>
          <w:u w:val="single"/>
        </w:rPr>
        <w:t xml:space="preserve">                                                       </w:t>
      </w:r>
    </w:p>
    <w:p w14:paraId="1F4F3B83">
      <w:pPr>
        <w:spacing w:line="360" w:lineRule="auto"/>
        <w:ind w:left="54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姓    名：</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性     别：</w:t>
      </w:r>
      <w:r>
        <w:rPr>
          <w:rFonts w:hint="eastAsia" w:ascii="宋体" w:hAnsi="宋体" w:eastAsia="宋体" w:cs="宋体"/>
          <w:color w:val="auto"/>
          <w:sz w:val="24"/>
          <w:highlight w:val="none"/>
          <w:u w:val="single"/>
        </w:rPr>
        <w:t xml:space="preserve">               </w:t>
      </w:r>
    </w:p>
    <w:p w14:paraId="7DCEFAB6">
      <w:pPr>
        <w:spacing w:line="360" w:lineRule="auto"/>
        <w:ind w:left="540"/>
        <w:contextualSpacing/>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年    龄：</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职     务：</w:t>
      </w:r>
      <w:r>
        <w:rPr>
          <w:rFonts w:hint="eastAsia" w:ascii="宋体" w:hAnsi="宋体" w:eastAsia="宋体" w:cs="宋体"/>
          <w:color w:val="auto"/>
          <w:sz w:val="24"/>
          <w:highlight w:val="none"/>
          <w:u w:val="single"/>
        </w:rPr>
        <w:t xml:space="preserve">               </w:t>
      </w:r>
    </w:p>
    <w:p w14:paraId="0A3B30D3">
      <w:pPr>
        <w:spacing w:line="360" w:lineRule="auto"/>
        <w:ind w:left="54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身份证号码：</w:t>
      </w:r>
      <w:r>
        <w:rPr>
          <w:rFonts w:hint="eastAsia" w:ascii="宋体" w:hAnsi="宋体" w:eastAsia="宋体" w:cs="宋体"/>
          <w:color w:val="auto"/>
          <w:sz w:val="24"/>
          <w:highlight w:val="none"/>
          <w:u w:val="single"/>
        </w:rPr>
        <w:t xml:space="preserve">                                       </w:t>
      </w:r>
    </w:p>
    <w:p w14:paraId="3D0F3F15">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系</w:t>
      </w:r>
      <w:r>
        <w:rPr>
          <w:rFonts w:hint="eastAsia" w:ascii="宋体" w:hAnsi="宋体" w:eastAsia="宋体" w:cs="宋体"/>
          <w:color w:val="auto"/>
          <w:sz w:val="24"/>
          <w:highlight w:val="none"/>
          <w:u w:val="single"/>
        </w:rPr>
        <w:t>（供应商名称）</w:t>
      </w:r>
      <w:r>
        <w:rPr>
          <w:rFonts w:hint="eastAsia" w:ascii="宋体" w:hAnsi="宋体" w:eastAsia="宋体" w:cs="宋体"/>
          <w:color w:val="auto"/>
          <w:sz w:val="24"/>
          <w:highlight w:val="none"/>
        </w:rPr>
        <w:t>的法定代表人。</w:t>
      </w:r>
    </w:p>
    <w:p w14:paraId="034BEE6F">
      <w:pPr>
        <w:spacing w:line="360" w:lineRule="auto"/>
        <w:ind w:left="54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特此证明。</w:t>
      </w:r>
    </w:p>
    <w:p w14:paraId="23449CD6">
      <w:pPr>
        <w:spacing w:line="360" w:lineRule="auto"/>
        <w:ind w:left="540"/>
        <w:contextualSpacing/>
        <w:rPr>
          <w:rFonts w:hint="eastAsia" w:ascii="宋体" w:hAnsi="宋体" w:eastAsia="宋体" w:cs="宋体"/>
          <w:color w:val="auto"/>
          <w:sz w:val="24"/>
          <w:highlight w:val="none"/>
        </w:rPr>
      </w:pPr>
    </w:p>
    <w:p w14:paraId="55629D13">
      <w:pPr>
        <w:spacing w:line="360" w:lineRule="auto"/>
        <w:ind w:left="540"/>
        <w:contextualSpacing/>
        <w:rPr>
          <w:rFonts w:hint="eastAsia" w:ascii="宋体" w:hAnsi="宋体" w:eastAsia="宋体" w:cs="宋体"/>
          <w:color w:val="auto"/>
          <w:sz w:val="24"/>
          <w:highlight w:val="none"/>
        </w:rPr>
      </w:pPr>
    </w:p>
    <w:p w14:paraId="0F476690">
      <w:pPr>
        <w:spacing w:line="360" w:lineRule="auto"/>
        <w:ind w:left="540"/>
        <w:contextualSpacing/>
        <w:rPr>
          <w:rFonts w:hint="eastAsia" w:ascii="宋体" w:hAnsi="宋体" w:eastAsia="宋体" w:cs="宋体"/>
          <w:color w:val="auto"/>
          <w:sz w:val="24"/>
          <w:highlight w:val="none"/>
        </w:rPr>
      </w:pPr>
    </w:p>
    <w:p w14:paraId="485A9788">
      <w:pPr>
        <w:spacing w:line="360" w:lineRule="auto"/>
        <w:ind w:left="54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附件：法定代表人有效身份证正反面复印件</w:t>
      </w:r>
    </w:p>
    <w:p w14:paraId="38EDEADD">
      <w:pPr>
        <w:spacing w:line="360" w:lineRule="auto"/>
        <w:ind w:left="540"/>
        <w:contextualSpacing/>
        <w:rPr>
          <w:rFonts w:hint="eastAsia" w:ascii="宋体" w:hAnsi="宋体" w:eastAsia="宋体" w:cs="宋体"/>
          <w:color w:val="auto"/>
          <w:sz w:val="24"/>
          <w:highlight w:val="none"/>
        </w:rPr>
      </w:pPr>
    </w:p>
    <w:p w14:paraId="1566212A">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52AC57E6">
      <w:pPr>
        <w:spacing w:line="360" w:lineRule="auto"/>
        <w:jc w:val="center"/>
        <w:rPr>
          <w:rFonts w:hint="eastAsia" w:ascii="宋体" w:hAnsi="宋体" w:eastAsia="宋体" w:cs="宋体"/>
          <w:b/>
          <w:color w:val="auto"/>
          <w:sz w:val="24"/>
          <w:highlight w:val="none"/>
        </w:rPr>
      </w:pPr>
      <w:r>
        <w:rPr>
          <w:rFonts w:hint="eastAsia" w:ascii="宋体" w:hAnsi="宋体" w:eastAsia="宋体" w:cs="宋体"/>
          <w:color w:val="auto"/>
          <w:kern w:val="0"/>
          <w:sz w:val="24"/>
          <w:highlight w:val="none"/>
          <w:lang w:val="zh-CN"/>
        </w:rPr>
        <w:t xml:space="preserve">                                                   日期： 年  月   日</w:t>
      </w:r>
    </w:p>
    <w:p w14:paraId="12FC2C53">
      <w:pPr>
        <w:spacing w:line="360" w:lineRule="auto"/>
        <w:jc w:val="left"/>
        <w:rPr>
          <w:rFonts w:hint="eastAsia" w:ascii="宋体" w:hAnsi="宋体" w:eastAsia="宋体" w:cs="宋体"/>
          <w:color w:val="auto"/>
          <w:sz w:val="24"/>
          <w:highlight w:val="none"/>
        </w:rPr>
      </w:pPr>
    </w:p>
    <w:p w14:paraId="18B87918">
      <w:pPr>
        <w:spacing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注：1.自然人竞标的无需提供，联合体竞标的只需牵头人出具。</w:t>
      </w:r>
    </w:p>
    <w:p w14:paraId="57E5E4D2">
      <w:pPr>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2.供应商为其他组织或者自然人时，本谈判文件规定的法定代表人指负责人或者自然人。本谈判文件所称负责人是指参加竞标的其他组织营业执照上的负责人，本谈判文件所称自然人指参与竞标的自然人本人。</w:t>
      </w:r>
    </w:p>
    <w:p w14:paraId="43F00A8F">
      <w:pPr>
        <w:widowControl/>
        <w:spacing w:line="360" w:lineRule="auto"/>
        <w:jc w:val="left"/>
        <w:rPr>
          <w:rFonts w:hint="eastAsia" w:ascii="宋体" w:hAnsi="宋体" w:eastAsia="宋体" w:cs="宋体"/>
          <w:color w:val="auto"/>
          <w:sz w:val="24"/>
          <w:highlight w:val="none"/>
        </w:rPr>
        <w:sectPr>
          <w:pgSz w:w="11910" w:h="16840"/>
          <w:pgMar w:top="1440" w:right="1080" w:bottom="1440" w:left="1080" w:header="0" w:footer="0" w:gutter="0"/>
          <w:cols w:space="720" w:num="1"/>
        </w:sectPr>
      </w:pPr>
    </w:p>
    <w:tbl>
      <w:tblPr>
        <w:tblStyle w:val="23"/>
        <w:tblpPr w:leftFromText="180" w:rightFromText="180" w:vertAnchor="text" w:horzAnchor="margin" w:tblpY="1169"/>
        <w:tblW w:w="97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40"/>
      </w:tblGrid>
      <w:tr w14:paraId="3C046C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6" w:hRule="atLeast"/>
        </w:trPr>
        <w:tc>
          <w:tcPr>
            <w:tcW w:w="9740" w:type="dxa"/>
            <w:tcBorders>
              <w:top w:val="single" w:color="auto" w:sz="4" w:space="0"/>
              <w:left w:val="single" w:color="auto" w:sz="4" w:space="0"/>
              <w:bottom w:val="single" w:color="auto" w:sz="4" w:space="0"/>
              <w:right w:val="single" w:color="auto" w:sz="4" w:space="0"/>
            </w:tcBorders>
            <w:noWrap w:val="0"/>
            <w:vAlign w:val="top"/>
          </w:tcPr>
          <w:p w14:paraId="7085BF59">
            <w:pPr>
              <w:spacing w:line="360" w:lineRule="auto"/>
              <w:rPr>
                <w:rFonts w:hint="eastAsia" w:ascii="宋体" w:hAnsi="宋体" w:eastAsia="宋体" w:cs="宋体"/>
                <w:b/>
                <w:color w:val="auto"/>
                <w:sz w:val="24"/>
                <w:highlight w:val="none"/>
              </w:rPr>
            </w:pPr>
          </w:p>
          <w:p w14:paraId="60AF1B78">
            <w:pPr>
              <w:spacing w:line="360" w:lineRule="auto"/>
              <w:rPr>
                <w:rFonts w:hint="eastAsia" w:ascii="宋体" w:hAnsi="宋体" w:eastAsia="宋体" w:cs="宋体"/>
                <w:b/>
                <w:color w:val="auto"/>
                <w:sz w:val="24"/>
                <w:highlight w:val="none"/>
              </w:rPr>
            </w:pPr>
            <w:r>
              <w:rPr>
                <w:rFonts w:hint="eastAsia" w:ascii="宋体" w:hAnsi="宋体" w:eastAsia="宋体" w:cs="宋体"/>
                <w:b/>
                <w:color w:val="auto"/>
                <w:sz w:val="24"/>
                <w:highlight w:val="none"/>
              </w:rPr>
              <w:t>法定代表身份证复印件粘帖处（正、反面）</w:t>
            </w:r>
          </w:p>
        </w:tc>
      </w:tr>
    </w:tbl>
    <w:p w14:paraId="296694AE">
      <w:pPr>
        <w:spacing w:line="360" w:lineRule="auto"/>
        <w:ind w:firstLine="482" w:firstLineChars="200"/>
        <w:jc w:val="left"/>
        <w:rPr>
          <w:rFonts w:hint="eastAsia" w:ascii="宋体" w:hAnsi="宋体" w:eastAsia="宋体" w:cs="宋体"/>
          <w:b/>
          <w:color w:val="auto"/>
          <w:sz w:val="32"/>
          <w:szCs w:val="32"/>
          <w:highlight w:val="none"/>
        </w:rPr>
      </w:pPr>
      <w:r>
        <w:rPr>
          <w:rFonts w:hint="eastAsia" w:ascii="宋体" w:hAnsi="宋体" w:eastAsia="宋体" w:cs="宋体"/>
          <w:b/>
          <w:color w:val="auto"/>
          <w:sz w:val="24"/>
          <w:highlight w:val="none"/>
        </w:rPr>
        <w:t>附件：</w:t>
      </w:r>
    </w:p>
    <w:p w14:paraId="14552373">
      <w:pPr>
        <w:spacing w:line="360" w:lineRule="auto"/>
        <w:ind w:firstLine="480" w:firstLineChars="200"/>
        <w:contextualSpacing/>
        <w:jc w:val="center"/>
        <w:rPr>
          <w:rFonts w:hint="eastAsia" w:ascii="宋体" w:hAnsi="宋体" w:eastAsia="宋体" w:cs="宋体"/>
          <w:color w:val="auto"/>
          <w:sz w:val="24"/>
          <w:highlight w:val="none"/>
        </w:rPr>
        <w:sectPr>
          <w:pgSz w:w="11910" w:h="16840"/>
          <w:pgMar w:top="1134" w:right="1134" w:bottom="1134" w:left="1134" w:header="850" w:footer="567" w:gutter="0"/>
          <w:cols w:space="720" w:num="1"/>
          <w:docGrid w:linePitch="286" w:charSpace="0"/>
        </w:sectPr>
      </w:pPr>
    </w:p>
    <w:p w14:paraId="690B1F31">
      <w:pPr>
        <w:snapToGrid w:val="0"/>
        <w:spacing w:line="360" w:lineRule="auto"/>
        <w:rPr>
          <w:rFonts w:hint="eastAsia" w:ascii="宋体" w:hAnsi="宋体" w:eastAsia="宋体" w:cs="宋体"/>
          <w:bCs/>
          <w:color w:val="auto"/>
          <w:sz w:val="44"/>
          <w:szCs w:val="44"/>
          <w:highlight w:val="none"/>
        </w:rPr>
      </w:pPr>
      <w:r>
        <w:rPr>
          <w:rFonts w:hint="eastAsia" w:ascii="宋体" w:hAnsi="宋体" w:eastAsia="宋体" w:cs="宋体"/>
          <w:b/>
          <w:color w:val="auto"/>
          <w:sz w:val="30"/>
          <w:szCs w:val="30"/>
          <w:highlight w:val="none"/>
        </w:rPr>
        <w:t>三、法定代表人授权委托书</w:t>
      </w:r>
    </w:p>
    <w:p w14:paraId="630285D8">
      <w:pPr>
        <w:snapToGrid w:val="0"/>
        <w:spacing w:line="360" w:lineRule="auto"/>
        <w:jc w:val="center"/>
        <w:rPr>
          <w:rFonts w:hint="eastAsia" w:ascii="宋体" w:hAnsi="宋体" w:eastAsia="宋体" w:cs="宋体"/>
          <w:b/>
          <w:color w:val="auto"/>
          <w:sz w:val="30"/>
          <w:szCs w:val="30"/>
          <w:highlight w:val="none"/>
        </w:rPr>
      </w:pPr>
    </w:p>
    <w:p w14:paraId="5F7C00F9">
      <w:pPr>
        <w:snapToGrid w:val="0"/>
        <w:spacing w:line="360" w:lineRule="auto"/>
        <w:jc w:val="center"/>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rPr>
        <w:t>授权委托书（如有委托时）</w:t>
      </w:r>
    </w:p>
    <w:p w14:paraId="390DA67E">
      <w:pPr>
        <w:spacing w:line="360" w:lineRule="auto"/>
        <w:rPr>
          <w:rFonts w:hint="eastAsia" w:ascii="宋体" w:hAnsi="宋体" w:eastAsia="宋体" w:cs="宋体"/>
          <w:color w:val="auto"/>
          <w:sz w:val="32"/>
          <w:szCs w:val="32"/>
          <w:highlight w:val="none"/>
        </w:rPr>
      </w:pPr>
    </w:p>
    <w:p w14:paraId="51282DAC">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致：</w:t>
      </w:r>
      <w:r>
        <w:rPr>
          <w:rFonts w:hint="eastAsia" w:ascii="宋体" w:hAnsi="宋体" w:eastAsia="宋体" w:cs="宋体"/>
          <w:color w:val="auto"/>
          <w:sz w:val="24"/>
          <w:highlight w:val="none"/>
          <w:u w:val="single"/>
        </w:rPr>
        <w:t>（采购人名称）</w:t>
      </w:r>
      <w:r>
        <w:rPr>
          <w:rFonts w:hint="eastAsia" w:ascii="宋体" w:hAnsi="宋体" w:eastAsia="宋体" w:cs="宋体"/>
          <w:color w:val="auto"/>
          <w:sz w:val="24"/>
          <w:highlight w:val="none"/>
        </w:rPr>
        <w:t>：</w:t>
      </w:r>
    </w:p>
    <w:p w14:paraId="12F3490B">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我</w:t>
      </w:r>
      <w:r>
        <w:rPr>
          <w:rFonts w:hint="eastAsia" w:ascii="宋体" w:hAnsi="宋体" w:eastAsia="宋体" w:cs="宋体"/>
          <w:color w:val="auto"/>
          <w:sz w:val="24"/>
          <w:highlight w:val="none"/>
          <w:u w:val="single"/>
        </w:rPr>
        <w:t xml:space="preserve">  （姓名）  </w:t>
      </w:r>
      <w:r>
        <w:rPr>
          <w:rFonts w:hint="eastAsia" w:ascii="宋体" w:hAnsi="宋体" w:eastAsia="宋体" w:cs="宋体"/>
          <w:color w:val="auto"/>
          <w:sz w:val="24"/>
          <w:highlight w:val="none"/>
        </w:rPr>
        <w:t>系</w:t>
      </w:r>
      <w:r>
        <w:rPr>
          <w:rFonts w:hint="eastAsia" w:ascii="宋体" w:hAnsi="宋体" w:eastAsia="宋体" w:cs="宋体"/>
          <w:color w:val="auto"/>
          <w:sz w:val="24"/>
          <w:highlight w:val="none"/>
          <w:u w:val="single"/>
        </w:rPr>
        <w:t xml:space="preserve">  （供应商名称）  </w:t>
      </w:r>
      <w:r>
        <w:rPr>
          <w:rFonts w:hint="eastAsia" w:ascii="宋体" w:hAnsi="宋体" w:eastAsia="宋体" w:cs="宋体"/>
          <w:color w:val="auto"/>
          <w:sz w:val="24"/>
          <w:highlight w:val="none"/>
        </w:rPr>
        <w:t>的（</w:t>
      </w:r>
      <w:r>
        <w:rPr>
          <w:rFonts w:hint="eastAsia" w:ascii="宋体" w:hAnsi="宋体" w:eastAsia="宋体" w:cs="宋体"/>
          <w:color w:val="auto"/>
          <w:sz w:val="24"/>
          <w:highlight w:val="none"/>
          <w:u w:val="single"/>
        </w:rPr>
        <w:t>□法定代表人/□负责人/□自然人本人</w:t>
      </w:r>
      <w:r>
        <w:rPr>
          <w:rFonts w:hint="eastAsia" w:ascii="宋体" w:hAnsi="宋体" w:eastAsia="宋体" w:cs="宋体"/>
          <w:color w:val="auto"/>
          <w:sz w:val="24"/>
          <w:highlight w:val="none"/>
        </w:rPr>
        <w:t>），现授权</w:t>
      </w:r>
      <w:r>
        <w:rPr>
          <w:rFonts w:hint="eastAsia" w:ascii="宋体" w:hAnsi="宋体" w:eastAsia="宋体" w:cs="宋体"/>
          <w:color w:val="auto"/>
          <w:sz w:val="24"/>
          <w:highlight w:val="none"/>
          <w:u w:val="single"/>
        </w:rPr>
        <w:t xml:space="preserve"> （姓名） </w:t>
      </w:r>
      <w:r>
        <w:rPr>
          <w:rFonts w:hint="eastAsia" w:ascii="宋体" w:hAnsi="宋体" w:eastAsia="宋体" w:cs="宋体"/>
          <w:color w:val="auto"/>
          <w:sz w:val="24"/>
          <w:highlight w:val="none"/>
        </w:rPr>
        <w:t>以我方的名义参加</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项目的竞标活动，并代表我方全权办理针对上述项目的所有采购程序和环节的具体事务和签署相关文件。</w:t>
      </w:r>
    </w:p>
    <w:p w14:paraId="36B1C39A">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我方对委托代理人的签字事项负全部责任。</w:t>
      </w:r>
    </w:p>
    <w:p w14:paraId="78DAD5DC">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本授权书有效期：</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年</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日 至</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年</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日止。委托代理人在授权书有效期内签署的所有文件不因授权的撤销而失效。</w:t>
      </w:r>
    </w:p>
    <w:p w14:paraId="381AD4E7">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委托代理人无转委托权，特此委托。</w:t>
      </w:r>
    </w:p>
    <w:p w14:paraId="64E2BE0A">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附：法定代表人身份证明书及委托代理人有效身份证正反面复印件</w:t>
      </w:r>
    </w:p>
    <w:p w14:paraId="3BF42DDF">
      <w:pPr>
        <w:spacing w:line="360" w:lineRule="auto"/>
        <w:rPr>
          <w:rFonts w:hint="eastAsia" w:ascii="宋体" w:hAnsi="宋体" w:eastAsia="宋体" w:cs="宋体"/>
          <w:color w:val="auto"/>
          <w:sz w:val="24"/>
          <w:highlight w:val="none"/>
        </w:rPr>
      </w:pPr>
    </w:p>
    <w:p w14:paraId="41EE2A63">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委托代理人（签字）：        法定代表人（签字）：                   </w:t>
      </w:r>
    </w:p>
    <w:p w14:paraId="109905B0">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委托代理人身份证号码：                             </w:t>
      </w:r>
    </w:p>
    <w:p w14:paraId="1411B834">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p>
    <w:p w14:paraId="778C74AA">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r>
        <w:rPr>
          <w:rFonts w:hint="eastAsia" w:ascii="宋体" w:hAnsi="宋体" w:eastAsia="宋体" w:cs="宋体"/>
          <w:color w:val="auto"/>
          <w:kern w:val="0"/>
          <w:sz w:val="24"/>
          <w:highlight w:val="none"/>
        </w:rPr>
        <w:t>供应商名称（电子签章）：</w:t>
      </w:r>
    </w:p>
    <w:p w14:paraId="398FD5B4">
      <w:pPr>
        <w:spacing w:line="360" w:lineRule="auto"/>
        <w:contextualSpacing/>
        <w:jc w:val="center"/>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val="zh-CN"/>
        </w:rPr>
        <w:t xml:space="preserve">                                                   日期： 年  月   日</w:t>
      </w:r>
    </w:p>
    <w:p w14:paraId="507C1F18">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注：1.法定代表人必须在授权委托书上签字，委托代理人必须在授权委托书上签字，</w:t>
      </w:r>
      <w:r>
        <w:rPr>
          <w:rFonts w:hint="eastAsia" w:ascii="宋体" w:hAnsi="宋体" w:eastAsia="宋体" w:cs="宋体"/>
          <w:b/>
          <w:color w:val="auto"/>
          <w:sz w:val="24"/>
          <w:highlight w:val="none"/>
        </w:rPr>
        <w:t>否则其响应文件按无效响应处理。</w:t>
      </w:r>
    </w:p>
    <w:p w14:paraId="1474F424">
      <w:pPr>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2.供应商为其他组织或者自然人时，本采购文件规定的法定代表人指负责人或者自然人。本采购文件所称负责人是指参加竞标的其他组织营业执照上的负责人，本采购文件所称自然人指参与竞标的自然人本人。</w:t>
      </w:r>
    </w:p>
    <w:p w14:paraId="6792FA80">
      <w:pPr>
        <w:spacing w:line="360" w:lineRule="auto"/>
        <w:ind w:firstLine="480" w:firstLineChars="200"/>
        <w:jc w:val="left"/>
        <w:rPr>
          <w:rFonts w:hint="eastAsia" w:ascii="宋体" w:hAnsi="宋体" w:eastAsia="宋体" w:cs="宋体"/>
          <w:color w:val="auto"/>
          <w:szCs w:val="21"/>
          <w:highlight w:val="none"/>
        </w:rPr>
      </w:pPr>
      <w:r>
        <w:rPr>
          <w:rFonts w:hint="eastAsia" w:ascii="宋体" w:hAnsi="宋体" w:eastAsia="宋体" w:cs="宋体"/>
          <w:color w:val="auto"/>
          <w:sz w:val="24"/>
          <w:highlight w:val="none"/>
        </w:rPr>
        <w:t>3.法人、其他组织竞标时“我方”是指“我单位”，自然人竞标时“我方”是指“本人”。</w:t>
      </w:r>
    </w:p>
    <w:p w14:paraId="60ACBC93">
      <w:pPr>
        <w:spacing w:line="360" w:lineRule="auto"/>
        <w:ind w:firstLine="480" w:firstLineChars="200"/>
        <w:contextualSpacing/>
        <w:jc w:val="center"/>
        <w:rPr>
          <w:rFonts w:hint="eastAsia" w:ascii="宋体" w:hAnsi="宋体" w:eastAsia="宋体" w:cs="宋体"/>
          <w:color w:val="auto"/>
          <w:sz w:val="24"/>
          <w:highlight w:val="none"/>
        </w:rPr>
      </w:pPr>
    </w:p>
    <w:p w14:paraId="0D85A73C">
      <w:pPr>
        <w:spacing w:line="360" w:lineRule="auto"/>
        <w:ind w:firstLine="480" w:firstLineChars="200"/>
        <w:contextualSpacing/>
        <w:jc w:val="center"/>
        <w:rPr>
          <w:rFonts w:hint="eastAsia" w:ascii="宋体" w:hAnsi="宋体" w:eastAsia="宋体" w:cs="宋体"/>
          <w:color w:val="auto"/>
          <w:sz w:val="24"/>
          <w:highlight w:val="none"/>
        </w:rPr>
      </w:pPr>
    </w:p>
    <w:p w14:paraId="208EBD19">
      <w:pPr>
        <w:spacing w:line="360" w:lineRule="auto"/>
        <w:ind w:firstLine="640" w:firstLineChars="200"/>
        <w:contextualSpacing/>
        <w:jc w:val="center"/>
        <w:rPr>
          <w:rFonts w:hint="eastAsia" w:ascii="宋体" w:hAnsi="宋体" w:eastAsia="宋体" w:cs="宋体"/>
          <w:color w:val="auto"/>
          <w:sz w:val="32"/>
          <w:szCs w:val="32"/>
          <w:highlight w:val="none"/>
        </w:rPr>
      </w:pPr>
    </w:p>
    <w:p w14:paraId="3770E4EF">
      <w:pPr>
        <w:tabs>
          <w:tab w:val="left" w:pos="3479"/>
        </w:tabs>
        <w:spacing w:line="520" w:lineRule="exact"/>
        <w:jc w:val="center"/>
        <w:rPr>
          <w:rFonts w:hint="eastAsia" w:ascii="宋体" w:hAnsi="宋体" w:eastAsia="宋体" w:cs="宋体"/>
          <w:bCs/>
          <w:color w:val="auto"/>
          <w:sz w:val="44"/>
          <w:szCs w:val="44"/>
          <w:highlight w:val="none"/>
        </w:rPr>
        <w:sectPr>
          <w:pgSz w:w="11910" w:h="16840"/>
          <w:pgMar w:top="1134" w:right="1134" w:bottom="1134" w:left="1134" w:header="0" w:footer="0" w:gutter="0"/>
          <w:cols w:space="720" w:num="1"/>
          <w:docGrid w:linePitch="286" w:charSpace="0"/>
        </w:sectPr>
      </w:pPr>
    </w:p>
    <w:p w14:paraId="5F1114F7">
      <w:pPr>
        <w:snapToGrid w:val="0"/>
        <w:spacing w:line="360" w:lineRule="auto"/>
        <w:rPr>
          <w:rFonts w:hint="eastAsia" w:ascii="宋体" w:hAnsi="宋体" w:eastAsia="宋体" w:cs="宋体"/>
          <w:b/>
          <w:bCs/>
          <w:color w:val="auto"/>
          <w:sz w:val="32"/>
          <w:szCs w:val="32"/>
          <w:highlight w:val="none"/>
        </w:rPr>
      </w:pPr>
      <w:r>
        <w:rPr>
          <w:rFonts w:hint="eastAsia" w:ascii="宋体" w:hAnsi="宋体" w:eastAsia="宋体" w:cs="宋体"/>
          <w:b/>
          <w:color w:val="auto"/>
          <w:sz w:val="30"/>
          <w:szCs w:val="30"/>
          <w:highlight w:val="none"/>
        </w:rPr>
        <w:t>四、商务条款偏离表</w:t>
      </w:r>
    </w:p>
    <w:p w14:paraId="20D009E7">
      <w:pPr>
        <w:spacing w:line="500" w:lineRule="exact"/>
        <w:jc w:val="center"/>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商务条款偏离表</w:t>
      </w:r>
    </w:p>
    <w:p w14:paraId="47E63436">
      <w:pPr>
        <w:pStyle w:val="3"/>
        <w:rPr>
          <w:rFonts w:hint="eastAsia" w:ascii="宋体" w:hAnsi="宋体" w:eastAsia="宋体" w:cs="宋体"/>
          <w:color w:val="auto"/>
          <w:highlight w:val="none"/>
        </w:rPr>
      </w:pPr>
    </w:p>
    <w:p w14:paraId="51C3CB73">
      <w:pPr>
        <w:spacing w:line="360" w:lineRule="auto"/>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分标号：</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（此处有分标时填写具体分标号，无分标时填写“无”）</w:t>
      </w:r>
    </w:p>
    <w:tbl>
      <w:tblPr>
        <w:tblStyle w:val="23"/>
        <w:tblpPr w:leftFromText="180" w:rightFromText="180" w:vertAnchor="text" w:horzAnchor="margin" w:tblpXSpec="center" w:tblpY="9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1"/>
        <w:gridCol w:w="3926"/>
        <w:gridCol w:w="3589"/>
        <w:gridCol w:w="1274"/>
      </w:tblGrid>
      <w:tr w14:paraId="783873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691" w:type="dxa"/>
            <w:tcBorders>
              <w:top w:val="single" w:color="auto" w:sz="4" w:space="0"/>
              <w:left w:val="single" w:color="auto" w:sz="4" w:space="0"/>
              <w:bottom w:val="single" w:color="auto" w:sz="4" w:space="0"/>
              <w:right w:val="single" w:color="auto" w:sz="4" w:space="0"/>
            </w:tcBorders>
            <w:noWrap w:val="0"/>
            <w:vAlign w:val="center"/>
          </w:tcPr>
          <w:p w14:paraId="4D30AA1C">
            <w:pPr>
              <w:spacing w:line="34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项号</w:t>
            </w:r>
          </w:p>
        </w:tc>
        <w:tc>
          <w:tcPr>
            <w:tcW w:w="3926" w:type="dxa"/>
            <w:tcBorders>
              <w:top w:val="single" w:color="auto" w:sz="4" w:space="0"/>
              <w:left w:val="single" w:color="auto" w:sz="4" w:space="0"/>
              <w:bottom w:val="single" w:color="auto" w:sz="4" w:space="0"/>
              <w:right w:val="single" w:color="auto" w:sz="4" w:space="0"/>
            </w:tcBorders>
            <w:noWrap w:val="0"/>
            <w:vAlign w:val="center"/>
          </w:tcPr>
          <w:p w14:paraId="3F85C199">
            <w:pPr>
              <w:spacing w:line="34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竞争性谈判采购文件的商务需求</w:t>
            </w:r>
          </w:p>
        </w:tc>
        <w:tc>
          <w:tcPr>
            <w:tcW w:w="3589" w:type="dxa"/>
            <w:tcBorders>
              <w:top w:val="single" w:color="auto" w:sz="4" w:space="0"/>
              <w:left w:val="single" w:color="auto" w:sz="4" w:space="0"/>
              <w:bottom w:val="single" w:color="auto" w:sz="4" w:space="0"/>
              <w:right w:val="single" w:color="auto" w:sz="4" w:space="0"/>
            </w:tcBorders>
            <w:noWrap w:val="0"/>
            <w:vAlign w:val="center"/>
          </w:tcPr>
          <w:p w14:paraId="045F1E96">
            <w:pPr>
              <w:spacing w:line="34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响应文件承诺的商务条款</w:t>
            </w:r>
          </w:p>
        </w:tc>
        <w:tc>
          <w:tcPr>
            <w:tcW w:w="1274" w:type="dxa"/>
            <w:tcBorders>
              <w:top w:val="single" w:color="auto" w:sz="4" w:space="0"/>
              <w:left w:val="single" w:color="auto" w:sz="4" w:space="0"/>
              <w:bottom w:val="single" w:color="auto" w:sz="4" w:space="0"/>
              <w:right w:val="single" w:color="auto" w:sz="4" w:space="0"/>
            </w:tcBorders>
            <w:noWrap w:val="0"/>
            <w:vAlign w:val="center"/>
          </w:tcPr>
          <w:p w14:paraId="17BFBD0C">
            <w:pPr>
              <w:spacing w:line="34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偏离说明</w:t>
            </w:r>
          </w:p>
        </w:tc>
      </w:tr>
      <w:tr w14:paraId="6B3EAA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 w:hRule="atLeast"/>
        </w:trPr>
        <w:tc>
          <w:tcPr>
            <w:tcW w:w="691" w:type="dxa"/>
            <w:tcBorders>
              <w:top w:val="single" w:color="auto" w:sz="4" w:space="0"/>
              <w:left w:val="single" w:color="auto" w:sz="4" w:space="0"/>
              <w:bottom w:val="single" w:color="auto" w:sz="4" w:space="0"/>
              <w:right w:val="single" w:color="auto" w:sz="4" w:space="0"/>
            </w:tcBorders>
            <w:noWrap w:val="0"/>
            <w:vAlign w:val="top"/>
          </w:tcPr>
          <w:p w14:paraId="75B514E8">
            <w:pPr>
              <w:spacing w:line="34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一</w:t>
            </w:r>
          </w:p>
        </w:tc>
        <w:tc>
          <w:tcPr>
            <w:tcW w:w="3926" w:type="dxa"/>
            <w:tcBorders>
              <w:top w:val="single" w:color="auto" w:sz="4" w:space="0"/>
              <w:left w:val="single" w:color="auto" w:sz="4" w:space="0"/>
              <w:bottom w:val="single" w:color="auto" w:sz="4" w:space="0"/>
              <w:right w:val="single" w:color="auto" w:sz="4" w:space="0"/>
            </w:tcBorders>
            <w:noWrap w:val="0"/>
            <w:vAlign w:val="top"/>
          </w:tcPr>
          <w:p w14:paraId="086FE49D">
            <w:pPr>
              <w:spacing w:line="34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1  ……</w:t>
            </w:r>
          </w:p>
          <w:p w14:paraId="73D0542B">
            <w:pPr>
              <w:spacing w:line="34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2  ……</w:t>
            </w:r>
          </w:p>
          <w:p w14:paraId="3E472CD9">
            <w:pPr>
              <w:spacing w:line="34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3  ……</w:t>
            </w:r>
          </w:p>
          <w:p w14:paraId="35F2C0E5">
            <w:pPr>
              <w:spacing w:line="34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w:t>
            </w:r>
          </w:p>
        </w:tc>
        <w:tc>
          <w:tcPr>
            <w:tcW w:w="3589" w:type="dxa"/>
            <w:tcBorders>
              <w:top w:val="single" w:color="auto" w:sz="4" w:space="0"/>
              <w:left w:val="single" w:color="auto" w:sz="4" w:space="0"/>
              <w:bottom w:val="single" w:color="auto" w:sz="4" w:space="0"/>
              <w:right w:val="single" w:color="auto" w:sz="4" w:space="0"/>
            </w:tcBorders>
            <w:noWrap w:val="0"/>
            <w:vAlign w:val="top"/>
          </w:tcPr>
          <w:p w14:paraId="7E656516">
            <w:pPr>
              <w:spacing w:line="34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1  ……</w:t>
            </w:r>
          </w:p>
          <w:p w14:paraId="5E02655A">
            <w:pPr>
              <w:spacing w:line="34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2  ……</w:t>
            </w:r>
          </w:p>
          <w:p w14:paraId="39F3132B">
            <w:pPr>
              <w:spacing w:line="34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3  ……</w:t>
            </w:r>
          </w:p>
          <w:p w14:paraId="7DD5606E">
            <w:pPr>
              <w:spacing w:line="34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w:t>
            </w:r>
          </w:p>
        </w:tc>
        <w:tc>
          <w:tcPr>
            <w:tcW w:w="1274" w:type="dxa"/>
            <w:tcBorders>
              <w:top w:val="single" w:color="auto" w:sz="4" w:space="0"/>
              <w:left w:val="single" w:color="auto" w:sz="4" w:space="0"/>
              <w:bottom w:val="single" w:color="auto" w:sz="4" w:space="0"/>
              <w:right w:val="single" w:color="auto" w:sz="4" w:space="0"/>
            </w:tcBorders>
            <w:noWrap w:val="0"/>
            <w:vAlign w:val="top"/>
          </w:tcPr>
          <w:p w14:paraId="793BB945">
            <w:pPr>
              <w:spacing w:line="300" w:lineRule="exact"/>
              <w:rPr>
                <w:rFonts w:hint="eastAsia" w:ascii="宋体" w:hAnsi="宋体" w:eastAsia="宋体" w:cs="宋体"/>
                <w:color w:val="auto"/>
                <w:sz w:val="24"/>
                <w:highlight w:val="none"/>
              </w:rPr>
            </w:pPr>
          </w:p>
        </w:tc>
      </w:tr>
      <w:tr w14:paraId="2BFA50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 w:hRule="atLeast"/>
        </w:trPr>
        <w:tc>
          <w:tcPr>
            <w:tcW w:w="691" w:type="dxa"/>
            <w:tcBorders>
              <w:top w:val="single" w:color="auto" w:sz="4" w:space="0"/>
              <w:left w:val="single" w:color="auto" w:sz="4" w:space="0"/>
              <w:bottom w:val="single" w:color="auto" w:sz="4" w:space="0"/>
              <w:right w:val="single" w:color="auto" w:sz="4" w:space="0"/>
            </w:tcBorders>
            <w:noWrap w:val="0"/>
            <w:vAlign w:val="top"/>
          </w:tcPr>
          <w:p w14:paraId="76EB674D">
            <w:pPr>
              <w:spacing w:line="34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二</w:t>
            </w:r>
          </w:p>
        </w:tc>
        <w:tc>
          <w:tcPr>
            <w:tcW w:w="3926" w:type="dxa"/>
            <w:tcBorders>
              <w:top w:val="single" w:color="auto" w:sz="4" w:space="0"/>
              <w:left w:val="single" w:color="auto" w:sz="4" w:space="0"/>
              <w:bottom w:val="single" w:color="auto" w:sz="4" w:space="0"/>
              <w:right w:val="single" w:color="auto" w:sz="4" w:space="0"/>
            </w:tcBorders>
            <w:noWrap w:val="0"/>
            <w:vAlign w:val="top"/>
          </w:tcPr>
          <w:p w14:paraId="3F1801ED">
            <w:pPr>
              <w:spacing w:line="34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1  ……</w:t>
            </w:r>
          </w:p>
          <w:p w14:paraId="4CA5CD22">
            <w:pPr>
              <w:spacing w:line="34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2  ……</w:t>
            </w:r>
          </w:p>
          <w:p w14:paraId="2A22C5D7">
            <w:pPr>
              <w:spacing w:line="34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3  ……</w:t>
            </w:r>
          </w:p>
          <w:p w14:paraId="059E8ABB">
            <w:pPr>
              <w:spacing w:line="34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w:t>
            </w:r>
          </w:p>
        </w:tc>
        <w:tc>
          <w:tcPr>
            <w:tcW w:w="3589" w:type="dxa"/>
            <w:tcBorders>
              <w:top w:val="single" w:color="auto" w:sz="4" w:space="0"/>
              <w:left w:val="single" w:color="auto" w:sz="4" w:space="0"/>
              <w:bottom w:val="single" w:color="auto" w:sz="4" w:space="0"/>
              <w:right w:val="single" w:color="auto" w:sz="4" w:space="0"/>
            </w:tcBorders>
            <w:noWrap w:val="0"/>
            <w:vAlign w:val="top"/>
          </w:tcPr>
          <w:p w14:paraId="4AB18714">
            <w:pPr>
              <w:spacing w:line="34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1  ……</w:t>
            </w:r>
          </w:p>
          <w:p w14:paraId="3C70450D">
            <w:pPr>
              <w:spacing w:line="34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2  ……</w:t>
            </w:r>
          </w:p>
          <w:p w14:paraId="741D5903">
            <w:pPr>
              <w:spacing w:line="34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3  ……</w:t>
            </w:r>
          </w:p>
          <w:p w14:paraId="1837B9ED">
            <w:pPr>
              <w:spacing w:line="34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w:t>
            </w:r>
          </w:p>
        </w:tc>
        <w:tc>
          <w:tcPr>
            <w:tcW w:w="1274" w:type="dxa"/>
            <w:tcBorders>
              <w:top w:val="single" w:color="auto" w:sz="4" w:space="0"/>
              <w:left w:val="single" w:color="auto" w:sz="4" w:space="0"/>
              <w:bottom w:val="single" w:color="auto" w:sz="4" w:space="0"/>
              <w:right w:val="single" w:color="auto" w:sz="4" w:space="0"/>
            </w:tcBorders>
            <w:noWrap w:val="0"/>
            <w:vAlign w:val="top"/>
          </w:tcPr>
          <w:p w14:paraId="201D1EB8">
            <w:pPr>
              <w:spacing w:line="300" w:lineRule="exact"/>
              <w:rPr>
                <w:rFonts w:hint="eastAsia" w:ascii="宋体" w:hAnsi="宋体" w:eastAsia="宋体" w:cs="宋体"/>
                <w:color w:val="auto"/>
                <w:sz w:val="24"/>
                <w:highlight w:val="none"/>
              </w:rPr>
            </w:pPr>
          </w:p>
        </w:tc>
      </w:tr>
      <w:tr w14:paraId="4E9852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9" w:hRule="atLeast"/>
        </w:trPr>
        <w:tc>
          <w:tcPr>
            <w:tcW w:w="691" w:type="dxa"/>
            <w:tcBorders>
              <w:top w:val="single" w:color="auto" w:sz="4" w:space="0"/>
              <w:left w:val="single" w:color="auto" w:sz="4" w:space="0"/>
              <w:bottom w:val="single" w:color="auto" w:sz="4" w:space="0"/>
              <w:right w:val="single" w:color="auto" w:sz="4" w:space="0"/>
            </w:tcBorders>
            <w:noWrap w:val="0"/>
            <w:vAlign w:val="top"/>
          </w:tcPr>
          <w:p w14:paraId="0F699F76">
            <w:pPr>
              <w:spacing w:line="34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w:t>
            </w:r>
          </w:p>
        </w:tc>
        <w:tc>
          <w:tcPr>
            <w:tcW w:w="3926" w:type="dxa"/>
            <w:tcBorders>
              <w:top w:val="single" w:color="auto" w:sz="4" w:space="0"/>
              <w:left w:val="single" w:color="auto" w:sz="4" w:space="0"/>
              <w:bottom w:val="single" w:color="auto" w:sz="4" w:space="0"/>
              <w:right w:val="single" w:color="auto" w:sz="4" w:space="0"/>
            </w:tcBorders>
            <w:noWrap w:val="0"/>
            <w:vAlign w:val="top"/>
          </w:tcPr>
          <w:p w14:paraId="5C285C86">
            <w:pPr>
              <w:spacing w:line="34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1  ……</w:t>
            </w:r>
          </w:p>
          <w:p w14:paraId="713C20B5">
            <w:pPr>
              <w:spacing w:line="34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2  ……</w:t>
            </w:r>
          </w:p>
          <w:p w14:paraId="3796AD77">
            <w:pPr>
              <w:spacing w:line="34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3  ……</w:t>
            </w:r>
          </w:p>
          <w:p w14:paraId="2FE595A9">
            <w:pPr>
              <w:spacing w:line="34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w:t>
            </w:r>
          </w:p>
        </w:tc>
        <w:tc>
          <w:tcPr>
            <w:tcW w:w="3589" w:type="dxa"/>
            <w:tcBorders>
              <w:top w:val="single" w:color="auto" w:sz="4" w:space="0"/>
              <w:left w:val="single" w:color="auto" w:sz="4" w:space="0"/>
              <w:bottom w:val="single" w:color="auto" w:sz="4" w:space="0"/>
              <w:right w:val="single" w:color="auto" w:sz="4" w:space="0"/>
            </w:tcBorders>
            <w:noWrap w:val="0"/>
            <w:vAlign w:val="top"/>
          </w:tcPr>
          <w:p w14:paraId="2956BE11">
            <w:pPr>
              <w:spacing w:line="34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1  ……</w:t>
            </w:r>
          </w:p>
          <w:p w14:paraId="1436739E">
            <w:pPr>
              <w:spacing w:line="34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2  ……</w:t>
            </w:r>
          </w:p>
          <w:p w14:paraId="754376FB">
            <w:pPr>
              <w:spacing w:line="34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3  ……</w:t>
            </w:r>
          </w:p>
          <w:p w14:paraId="76A4016A">
            <w:pPr>
              <w:spacing w:line="34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w:t>
            </w:r>
          </w:p>
        </w:tc>
        <w:tc>
          <w:tcPr>
            <w:tcW w:w="1274" w:type="dxa"/>
            <w:tcBorders>
              <w:top w:val="single" w:color="auto" w:sz="4" w:space="0"/>
              <w:left w:val="single" w:color="auto" w:sz="4" w:space="0"/>
              <w:bottom w:val="single" w:color="auto" w:sz="4" w:space="0"/>
              <w:right w:val="single" w:color="auto" w:sz="4" w:space="0"/>
            </w:tcBorders>
            <w:noWrap w:val="0"/>
            <w:vAlign w:val="top"/>
          </w:tcPr>
          <w:p w14:paraId="0699ABBC">
            <w:pPr>
              <w:spacing w:line="300" w:lineRule="exact"/>
              <w:rPr>
                <w:rFonts w:hint="eastAsia" w:ascii="宋体" w:hAnsi="宋体" w:eastAsia="宋体" w:cs="宋体"/>
                <w:color w:val="auto"/>
                <w:sz w:val="24"/>
                <w:highlight w:val="none"/>
              </w:rPr>
            </w:pPr>
          </w:p>
        </w:tc>
      </w:tr>
    </w:tbl>
    <w:p w14:paraId="38E51221">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auto"/>
        <w:rPr>
          <w:rFonts w:hint="eastAsia" w:ascii="宋体" w:hAnsi="宋体" w:eastAsia="宋体" w:cs="宋体"/>
          <w:b w:val="0"/>
          <w:bCs w:val="0"/>
          <w:color w:val="000000"/>
          <w:kern w:val="0"/>
          <w:sz w:val="21"/>
          <w:szCs w:val="21"/>
          <w:highlight w:val="none"/>
          <w:lang w:val="en-US" w:eastAsia="zh-CN" w:bidi="ar"/>
        </w:rPr>
      </w:pPr>
      <w:r>
        <w:rPr>
          <w:rFonts w:hint="eastAsia" w:ascii="宋体" w:hAnsi="宋体" w:eastAsia="宋体" w:cs="宋体"/>
          <w:b w:val="0"/>
          <w:bCs w:val="0"/>
          <w:color w:val="000000"/>
          <w:kern w:val="0"/>
          <w:sz w:val="21"/>
          <w:szCs w:val="21"/>
          <w:highlight w:val="none"/>
          <w:lang w:val="en-US" w:eastAsia="zh-CN" w:bidi="ar"/>
        </w:rPr>
        <w:t>注：</w:t>
      </w:r>
    </w:p>
    <w:p w14:paraId="625842B0">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auto"/>
        <w:rPr>
          <w:rFonts w:hint="eastAsia" w:ascii="宋体" w:hAnsi="宋体" w:eastAsia="宋体" w:cs="宋体"/>
          <w:b w:val="0"/>
          <w:bCs w:val="0"/>
          <w:color w:val="000000"/>
          <w:kern w:val="0"/>
          <w:sz w:val="21"/>
          <w:szCs w:val="21"/>
          <w:highlight w:val="none"/>
          <w:lang w:val="en-US" w:eastAsia="zh-CN" w:bidi="ar"/>
        </w:rPr>
      </w:pPr>
      <w:r>
        <w:rPr>
          <w:rFonts w:hint="eastAsia" w:ascii="宋体" w:hAnsi="宋体" w:eastAsia="宋体" w:cs="宋体"/>
          <w:b w:val="0"/>
          <w:bCs w:val="0"/>
          <w:color w:val="000000"/>
          <w:kern w:val="0"/>
          <w:sz w:val="21"/>
          <w:szCs w:val="21"/>
          <w:highlight w:val="none"/>
          <w:lang w:val="en-US" w:eastAsia="zh-CN" w:bidi="ar"/>
        </w:rPr>
        <w:t>1.应对照谈判文件“第三章 采购需求”中的商务要求，逐条作出明确响应，并作出偏离说明。</w:t>
      </w:r>
    </w:p>
    <w:p w14:paraId="3279D386">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auto"/>
        <w:rPr>
          <w:rFonts w:hint="eastAsia" w:ascii="宋体" w:hAnsi="宋体" w:eastAsia="宋体" w:cs="宋体"/>
          <w:b w:val="0"/>
          <w:bCs w:val="0"/>
          <w:color w:val="000000"/>
          <w:kern w:val="0"/>
          <w:sz w:val="21"/>
          <w:szCs w:val="21"/>
          <w:highlight w:val="none"/>
          <w:lang w:val="en-US" w:eastAsia="zh-CN" w:bidi="ar"/>
        </w:rPr>
      </w:pPr>
      <w:r>
        <w:rPr>
          <w:rFonts w:hint="eastAsia" w:ascii="宋体" w:hAnsi="宋体" w:eastAsia="宋体" w:cs="宋体"/>
          <w:b w:val="0"/>
          <w:bCs w:val="0"/>
          <w:color w:val="000000"/>
          <w:kern w:val="0"/>
          <w:sz w:val="21"/>
          <w:szCs w:val="21"/>
          <w:highlight w:val="none"/>
          <w:lang w:val="en-US" w:eastAsia="zh-CN" w:bidi="ar"/>
        </w:rPr>
        <w:t>2.供应商应根据自身的承诺，对照谈判文件要求，在“偏离说明”中注明“正偏离”、“负偏离”或者“无偏离”。既不属于“正偏离”也不属于“负偏离”即为“无偏离”。 当响应文件的商务内容低于竞争性谈判采购文件要求时，竞标人应当如实写明“负偏离”，否则视为虚假应标</w:t>
      </w:r>
    </w:p>
    <w:p w14:paraId="63E5285F">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auto"/>
        <w:rPr>
          <w:rFonts w:hint="eastAsia" w:ascii="宋体" w:hAnsi="宋体" w:eastAsia="宋体" w:cs="宋体"/>
          <w:b w:val="0"/>
          <w:bCs w:val="0"/>
          <w:color w:val="000000"/>
          <w:kern w:val="0"/>
          <w:sz w:val="21"/>
          <w:szCs w:val="21"/>
          <w:highlight w:val="none"/>
          <w:lang w:val="en-US" w:eastAsia="zh-CN" w:bidi="ar"/>
        </w:rPr>
      </w:pPr>
      <w:r>
        <w:rPr>
          <w:rFonts w:hint="eastAsia" w:ascii="宋体" w:hAnsi="宋体" w:eastAsia="宋体" w:cs="宋体"/>
          <w:b w:val="0"/>
          <w:bCs w:val="0"/>
          <w:color w:val="000000"/>
          <w:kern w:val="0"/>
          <w:sz w:val="21"/>
          <w:szCs w:val="21"/>
          <w:highlight w:val="none"/>
          <w:lang w:val="en-US" w:eastAsia="zh-CN" w:bidi="ar"/>
        </w:rPr>
        <w:t>3.表格内容均需按要求填写，不得留空，否则按竞标无效处理。</w:t>
      </w:r>
    </w:p>
    <w:p w14:paraId="313E436B">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auto"/>
        <w:rPr>
          <w:rFonts w:hint="eastAsia" w:ascii="宋体" w:hAnsi="宋体" w:eastAsia="宋体" w:cs="宋体"/>
          <w:b w:val="0"/>
          <w:bCs w:val="0"/>
          <w:color w:val="000000"/>
          <w:kern w:val="0"/>
          <w:sz w:val="21"/>
          <w:szCs w:val="21"/>
          <w:highlight w:val="none"/>
          <w:lang w:val="en-US" w:eastAsia="zh-CN" w:bidi="ar"/>
        </w:rPr>
      </w:pPr>
      <w:r>
        <w:rPr>
          <w:rFonts w:hint="eastAsia" w:ascii="宋体" w:hAnsi="宋体" w:eastAsia="宋体" w:cs="宋体"/>
          <w:b w:val="0"/>
          <w:bCs w:val="0"/>
          <w:color w:val="000000"/>
          <w:kern w:val="0"/>
          <w:sz w:val="21"/>
          <w:szCs w:val="21"/>
          <w:highlight w:val="none"/>
          <w:lang w:val="en-US" w:eastAsia="zh-CN" w:bidi="ar"/>
        </w:rPr>
        <w:t>4.如果采购需求为小于、小于等于、大于或大于等于某个数值标准时，响应文件承诺不得直接复制采购需求，响应文件承诺内容应当写明竞标货物具体参数或商务响应承诺的具体数值，否则按竞标无效处理。</w:t>
      </w:r>
    </w:p>
    <w:p w14:paraId="66854380">
      <w:pPr>
        <w:spacing w:line="400" w:lineRule="exact"/>
        <w:rPr>
          <w:rFonts w:hint="eastAsia" w:ascii="宋体" w:hAnsi="宋体" w:eastAsia="宋体" w:cs="宋体"/>
          <w:color w:val="auto"/>
          <w:kern w:val="0"/>
          <w:sz w:val="24"/>
          <w:highlight w:val="none"/>
        </w:rPr>
      </w:pPr>
    </w:p>
    <w:p w14:paraId="3B7F64C3">
      <w:pPr>
        <w:spacing w:line="360" w:lineRule="auto"/>
        <w:ind w:right="-817" w:rightChars="-389"/>
        <w:contextualSpacing/>
        <w:rPr>
          <w:rFonts w:hint="eastAsia" w:ascii="宋体" w:hAnsi="宋体" w:eastAsia="宋体" w:cs="宋体"/>
          <w:color w:val="auto"/>
          <w:sz w:val="24"/>
          <w:highlight w:val="none"/>
        </w:rPr>
      </w:pPr>
    </w:p>
    <w:p w14:paraId="1378DEAC">
      <w:pPr>
        <w:spacing w:line="360" w:lineRule="auto"/>
        <w:ind w:firstLine="3840" w:firstLineChars="1600"/>
        <w:rPr>
          <w:rFonts w:hint="eastAsia" w:ascii="宋体" w:hAnsi="宋体" w:eastAsia="宋体" w:cs="宋体"/>
          <w:color w:val="auto"/>
          <w:sz w:val="24"/>
          <w:highlight w:val="none"/>
        </w:rPr>
      </w:pPr>
      <w:r>
        <w:rPr>
          <w:rFonts w:hint="eastAsia" w:ascii="宋体" w:hAnsi="宋体" w:eastAsia="宋体" w:cs="宋体"/>
          <w:color w:val="auto"/>
          <w:kern w:val="0"/>
          <w:sz w:val="24"/>
          <w:highlight w:val="none"/>
        </w:rPr>
        <w:t>供应商名称（电子签章）：</w:t>
      </w:r>
    </w:p>
    <w:p w14:paraId="6280BE91">
      <w:pPr>
        <w:spacing w:line="360" w:lineRule="auto"/>
        <w:jc w:val="center"/>
        <w:rPr>
          <w:rFonts w:hint="eastAsia" w:ascii="宋体" w:hAnsi="宋体" w:eastAsia="宋体" w:cs="宋体"/>
          <w:color w:val="auto"/>
          <w:highlight w:val="none"/>
        </w:rPr>
      </w:pPr>
      <w:r>
        <w:rPr>
          <w:rFonts w:hint="eastAsia" w:ascii="宋体" w:hAnsi="宋体" w:eastAsia="宋体" w:cs="宋体"/>
          <w:color w:val="auto"/>
          <w:kern w:val="0"/>
          <w:sz w:val="24"/>
          <w:highlight w:val="none"/>
          <w:lang w:val="zh-CN"/>
        </w:rPr>
        <w:t xml:space="preserve">                                                   日期： 年  月   日</w:t>
      </w:r>
    </w:p>
    <w:p w14:paraId="08804C3C">
      <w:pPr>
        <w:rPr>
          <w:rFonts w:hint="eastAsia" w:ascii="宋体" w:hAnsi="宋体" w:eastAsia="宋体" w:cs="宋体"/>
          <w:color w:val="auto"/>
          <w:highlight w:val="none"/>
        </w:rPr>
      </w:pPr>
    </w:p>
    <w:p w14:paraId="2571457B">
      <w:pPr>
        <w:snapToGrid w:val="0"/>
        <w:spacing w:line="360" w:lineRule="auto"/>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rPr>
        <w:t>五、竞标人情况介绍</w:t>
      </w:r>
    </w:p>
    <w:p w14:paraId="760D2E18">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6795BD8C">
      <w:pPr>
        <w:tabs>
          <w:tab w:val="left" w:pos="3479"/>
        </w:tabs>
        <w:spacing w:line="520" w:lineRule="exact"/>
        <w:jc w:val="center"/>
        <w:rPr>
          <w:rFonts w:hint="eastAsia" w:ascii="宋体" w:hAnsi="宋体" w:eastAsia="宋体" w:cs="宋体"/>
          <w:bCs/>
          <w:color w:val="auto"/>
          <w:sz w:val="44"/>
          <w:szCs w:val="44"/>
          <w:highlight w:val="none"/>
        </w:rPr>
        <w:sectPr>
          <w:pgSz w:w="11910" w:h="16840"/>
          <w:pgMar w:top="1134" w:right="1134" w:bottom="1134" w:left="1134" w:header="0" w:footer="0" w:gutter="0"/>
          <w:cols w:space="720" w:num="1"/>
          <w:docGrid w:linePitch="286" w:charSpace="0"/>
        </w:sectPr>
      </w:pPr>
      <w:r>
        <w:rPr>
          <w:rFonts w:hint="eastAsia" w:ascii="宋体" w:hAnsi="宋体" w:eastAsia="宋体" w:cs="宋体"/>
          <w:color w:val="auto"/>
          <w:kern w:val="0"/>
          <w:sz w:val="24"/>
          <w:highlight w:val="none"/>
          <w:lang w:val="en-US" w:eastAsia="zh-CN"/>
        </w:rPr>
        <w:t xml:space="preserve">       </w:t>
      </w:r>
      <w:r>
        <w:rPr>
          <w:rFonts w:hint="eastAsia" w:ascii="宋体" w:hAnsi="宋体" w:eastAsia="宋体" w:cs="宋体"/>
          <w:color w:val="auto"/>
          <w:kern w:val="0"/>
          <w:sz w:val="24"/>
          <w:highlight w:val="none"/>
          <w:lang w:val="zh-CN"/>
        </w:rPr>
        <w:t>日期： 年  月   日</w:t>
      </w:r>
    </w:p>
    <w:p w14:paraId="384D47AF">
      <w:pPr>
        <w:snapToGrid w:val="0"/>
        <w:spacing w:line="360" w:lineRule="auto"/>
        <w:rPr>
          <w:rFonts w:hint="eastAsia" w:ascii="宋体" w:hAnsi="宋体" w:eastAsia="宋体" w:cs="宋体"/>
          <w:b/>
          <w:color w:val="auto"/>
          <w:sz w:val="30"/>
          <w:szCs w:val="30"/>
          <w:highlight w:val="none"/>
          <w:lang w:val="en-US" w:eastAsia="zh-CN"/>
        </w:rPr>
      </w:pPr>
      <w:r>
        <w:rPr>
          <w:rFonts w:hint="eastAsia" w:ascii="宋体" w:hAnsi="宋体" w:eastAsia="宋体" w:cs="宋体"/>
          <w:b/>
          <w:color w:val="auto"/>
          <w:sz w:val="30"/>
          <w:szCs w:val="30"/>
          <w:highlight w:val="none"/>
        </w:rPr>
        <w:t>六、</w:t>
      </w:r>
      <w:r>
        <w:rPr>
          <w:rFonts w:hint="eastAsia" w:ascii="宋体" w:hAnsi="宋体" w:eastAsia="宋体" w:cs="宋体"/>
          <w:b/>
          <w:color w:val="auto"/>
          <w:sz w:val="30"/>
          <w:szCs w:val="30"/>
          <w:highlight w:val="none"/>
          <w:lang w:val="en-US" w:eastAsia="zh-CN"/>
        </w:rPr>
        <w:t>商务要求需要提供的其他有关资料</w:t>
      </w:r>
    </w:p>
    <w:p w14:paraId="1473B9FE">
      <w:pPr>
        <w:autoSpaceDE w:val="0"/>
        <w:autoSpaceDN w:val="0"/>
        <w:spacing w:beforeLines="0" w:afterLines="0" w:line="360" w:lineRule="auto"/>
        <w:ind w:left="4335" w:leftChars="1950" w:hanging="240" w:hangingChars="100"/>
        <w:rPr>
          <w:rFonts w:hint="eastAsia" w:ascii="宋体" w:hAnsi="宋体" w:cs="宋体"/>
          <w:color w:val="auto"/>
          <w:kern w:val="0"/>
          <w:sz w:val="24"/>
          <w:szCs w:val="24"/>
        </w:rPr>
      </w:pPr>
      <w:r>
        <w:rPr>
          <w:rFonts w:hint="eastAsia" w:ascii="宋体" w:hAnsi="宋体" w:cs="宋体"/>
          <w:color w:val="auto"/>
          <w:kern w:val="0"/>
          <w:sz w:val="24"/>
          <w:szCs w:val="24"/>
        </w:rPr>
        <w:t>供应商名称（电子签章）：</w:t>
      </w:r>
    </w:p>
    <w:p w14:paraId="08576AA1">
      <w:pPr>
        <w:tabs>
          <w:tab w:val="left" w:pos="3479"/>
        </w:tabs>
        <w:spacing w:beforeLines="0" w:afterLines="0" w:line="520" w:lineRule="exact"/>
        <w:jc w:val="center"/>
        <w:rPr>
          <w:rFonts w:hint="eastAsia" w:ascii="宋体" w:hAnsi="宋体" w:eastAsia="宋体" w:cs="宋体"/>
          <w:b/>
          <w:color w:val="auto"/>
          <w:sz w:val="30"/>
          <w:szCs w:val="30"/>
          <w:highlight w:val="none"/>
          <w:lang w:val="en-US" w:eastAsia="zh-CN"/>
        </w:rPr>
      </w:pPr>
      <w:r>
        <w:rPr>
          <w:rFonts w:hint="eastAsia" w:ascii="宋体" w:hAnsi="宋体" w:cs="宋体"/>
          <w:color w:val="auto"/>
          <w:kern w:val="0"/>
          <w:sz w:val="24"/>
          <w:szCs w:val="24"/>
        </w:rPr>
        <w:t xml:space="preserve">       </w:t>
      </w:r>
      <w:r>
        <w:rPr>
          <w:rFonts w:hint="eastAsia" w:ascii="宋体" w:hAnsi="宋体" w:cs="宋体"/>
          <w:color w:val="auto"/>
          <w:kern w:val="0"/>
          <w:sz w:val="24"/>
          <w:szCs w:val="24"/>
          <w:lang w:val="zh-CN"/>
        </w:rPr>
        <w:t>日期： 年  月   日</w:t>
      </w:r>
    </w:p>
    <w:p w14:paraId="747352EB">
      <w:pPr>
        <w:snapToGrid w:val="0"/>
        <w:spacing w:line="360" w:lineRule="auto"/>
        <w:rPr>
          <w:rFonts w:hint="eastAsia" w:ascii="宋体" w:hAnsi="宋体" w:eastAsia="宋体" w:cs="宋体"/>
          <w:color w:val="auto"/>
          <w:sz w:val="32"/>
          <w:szCs w:val="32"/>
          <w:highlight w:val="none"/>
        </w:rPr>
      </w:pPr>
      <w:r>
        <w:rPr>
          <w:rFonts w:hint="eastAsia" w:ascii="宋体" w:hAnsi="宋体" w:eastAsia="宋体" w:cs="宋体"/>
          <w:b/>
          <w:color w:val="auto"/>
          <w:sz w:val="30"/>
          <w:szCs w:val="30"/>
          <w:highlight w:val="none"/>
          <w:lang w:eastAsia="zh-CN"/>
        </w:rPr>
        <w:t>七、</w:t>
      </w:r>
      <w:r>
        <w:rPr>
          <w:rFonts w:hint="eastAsia" w:ascii="宋体" w:hAnsi="宋体" w:eastAsia="宋体" w:cs="宋体"/>
          <w:b/>
          <w:color w:val="auto"/>
          <w:sz w:val="30"/>
          <w:szCs w:val="30"/>
          <w:highlight w:val="none"/>
        </w:rPr>
        <w:t>技术需求偏离表</w:t>
      </w:r>
    </w:p>
    <w:p w14:paraId="30FD635C">
      <w:pPr>
        <w:spacing w:line="500" w:lineRule="exact"/>
        <w:jc w:val="center"/>
        <w:rPr>
          <w:rFonts w:hint="eastAsia" w:ascii="宋体" w:hAnsi="宋体" w:eastAsia="宋体" w:cs="宋体"/>
          <w:color w:val="auto"/>
          <w:sz w:val="24"/>
          <w:highlight w:val="none"/>
        </w:rPr>
      </w:pPr>
      <w:r>
        <w:rPr>
          <w:rFonts w:hint="eastAsia" w:ascii="宋体" w:hAnsi="宋体" w:eastAsia="宋体" w:cs="宋体"/>
          <w:bCs/>
          <w:color w:val="auto"/>
          <w:sz w:val="32"/>
          <w:szCs w:val="32"/>
          <w:highlight w:val="none"/>
        </w:rPr>
        <w:t>技术需求偏离表</w:t>
      </w:r>
    </w:p>
    <w:p w14:paraId="2A595EDF">
      <w:pPr>
        <w:pStyle w:val="16"/>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所竞分标</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（此处有分标时填写具体分标号，无分标时填写“无”）</w:t>
      </w:r>
      <w:r>
        <w:rPr>
          <w:rFonts w:hint="eastAsia" w:ascii="宋体" w:hAnsi="宋体" w:eastAsia="宋体" w:cs="宋体"/>
          <w:color w:val="auto"/>
          <w:sz w:val="24"/>
          <w:szCs w:val="24"/>
          <w:highlight w:val="none"/>
          <w:u w:val="single"/>
        </w:rPr>
        <w:t xml:space="preserve">      </w:t>
      </w:r>
    </w:p>
    <w:tbl>
      <w:tblPr>
        <w:tblStyle w:val="2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6"/>
        <w:gridCol w:w="3708"/>
        <w:gridCol w:w="3415"/>
        <w:gridCol w:w="1270"/>
      </w:tblGrid>
      <w:tr w14:paraId="74E2AE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3" w:hRule="atLeast"/>
          <w:jc w:val="center"/>
        </w:trPr>
        <w:tc>
          <w:tcPr>
            <w:tcW w:w="986" w:type="dxa"/>
            <w:tcBorders>
              <w:top w:val="single" w:color="auto" w:sz="4" w:space="0"/>
              <w:left w:val="single" w:color="auto" w:sz="4" w:space="0"/>
              <w:bottom w:val="single" w:color="auto" w:sz="4" w:space="0"/>
              <w:right w:val="single" w:color="auto" w:sz="4" w:space="0"/>
            </w:tcBorders>
            <w:noWrap w:val="0"/>
            <w:vAlign w:val="center"/>
          </w:tcPr>
          <w:p w14:paraId="7DDB1007">
            <w:pPr>
              <w:rPr>
                <w:rFonts w:hint="eastAsia" w:ascii="宋体" w:hAnsi="宋体" w:eastAsia="宋体" w:cs="宋体"/>
                <w:color w:val="auto"/>
                <w:sz w:val="24"/>
                <w:highlight w:val="none"/>
              </w:rPr>
            </w:pPr>
            <w:r>
              <w:rPr>
                <w:rFonts w:hint="eastAsia" w:ascii="宋体" w:hAnsi="宋体" w:eastAsia="宋体" w:cs="宋体"/>
                <w:color w:val="auto"/>
                <w:sz w:val="24"/>
                <w:highlight w:val="none"/>
              </w:rPr>
              <w:t>项号</w:t>
            </w:r>
          </w:p>
        </w:tc>
        <w:tc>
          <w:tcPr>
            <w:tcW w:w="3708" w:type="dxa"/>
            <w:tcBorders>
              <w:top w:val="single" w:color="auto" w:sz="4" w:space="0"/>
              <w:left w:val="single" w:color="auto" w:sz="4" w:space="0"/>
              <w:bottom w:val="single" w:color="auto" w:sz="4" w:space="0"/>
              <w:right w:val="single" w:color="auto" w:sz="4" w:space="0"/>
            </w:tcBorders>
            <w:noWrap w:val="0"/>
            <w:vAlign w:val="center"/>
          </w:tcPr>
          <w:p w14:paraId="4312FD6C">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竞争性谈判采购文件需求</w:t>
            </w:r>
          </w:p>
        </w:tc>
        <w:tc>
          <w:tcPr>
            <w:tcW w:w="3415" w:type="dxa"/>
            <w:tcBorders>
              <w:top w:val="single" w:color="auto" w:sz="4" w:space="0"/>
              <w:left w:val="single" w:color="auto" w:sz="4" w:space="0"/>
              <w:bottom w:val="single" w:color="auto" w:sz="4" w:space="0"/>
              <w:right w:val="single" w:color="auto" w:sz="4" w:space="0"/>
            </w:tcBorders>
            <w:noWrap w:val="0"/>
            <w:vAlign w:val="center"/>
          </w:tcPr>
          <w:p w14:paraId="26305A74">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响应文件承诺</w:t>
            </w:r>
          </w:p>
        </w:tc>
        <w:tc>
          <w:tcPr>
            <w:tcW w:w="1270" w:type="dxa"/>
            <w:tcBorders>
              <w:top w:val="single" w:color="auto" w:sz="4" w:space="0"/>
              <w:left w:val="single" w:color="auto" w:sz="4" w:space="0"/>
              <w:bottom w:val="single" w:color="auto" w:sz="4" w:space="0"/>
              <w:right w:val="single" w:color="auto" w:sz="4" w:space="0"/>
            </w:tcBorders>
            <w:noWrap w:val="0"/>
            <w:vAlign w:val="center"/>
          </w:tcPr>
          <w:p w14:paraId="2A384B44">
            <w:pPr>
              <w:rPr>
                <w:rFonts w:hint="eastAsia" w:ascii="宋体" w:hAnsi="宋体" w:eastAsia="宋体" w:cs="宋体"/>
                <w:color w:val="auto"/>
                <w:sz w:val="24"/>
                <w:highlight w:val="none"/>
              </w:rPr>
            </w:pPr>
            <w:r>
              <w:rPr>
                <w:rFonts w:hint="eastAsia" w:ascii="宋体" w:hAnsi="宋体" w:eastAsia="宋体" w:cs="宋体"/>
                <w:color w:val="auto"/>
                <w:sz w:val="24"/>
                <w:highlight w:val="none"/>
              </w:rPr>
              <w:t>偏离说明</w:t>
            </w:r>
          </w:p>
        </w:tc>
      </w:tr>
      <w:tr w14:paraId="41B0E2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6" w:hRule="atLeast"/>
          <w:jc w:val="center"/>
        </w:trPr>
        <w:tc>
          <w:tcPr>
            <w:tcW w:w="986" w:type="dxa"/>
            <w:tcBorders>
              <w:top w:val="single" w:color="auto" w:sz="4" w:space="0"/>
              <w:left w:val="single" w:color="auto" w:sz="4" w:space="0"/>
              <w:bottom w:val="single" w:color="auto" w:sz="4" w:space="0"/>
              <w:right w:val="single" w:color="auto" w:sz="4" w:space="0"/>
            </w:tcBorders>
            <w:noWrap w:val="0"/>
            <w:vAlign w:val="center"/>
          </w:tcPr>
          <w:p w14:paraId="0DD5C7A5">
            <w:pPr>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p>
        </w:tc>
        <w:tc>
          <w:tcPr>
            <w:tcW w:w="3708" w:type="dxa"/>
            <w:tcBorders>
              <w:top w:val="single" w:color="auto" w:sz="4" w:space="0"/>
              <w:left w:val="single" w:color="auto" w:sz="4" w:space="0"/>
              <w:bottom w:val="single" w:color="auto" w:sz="4" w:space="0"/>
              <w:right w:val="single" w:color="auto" w:sz="4" w:space="0"/>
            </w:tcBorders>
            <w:noWrap w:val="0"/>
            <w:vAlign w:val="center"/>
          </w:tcPr>
          <w:p w14:paraId="0EC01A9B">
            <w:pPr>
              <w:rPr>
                <w:rFonts w:hint="eastAsia" w:ascii="宋体" w:hAnsi="宋体" w:eastAsia="宋体" w:cs="宋体"/>
                <w:color w:val="auto"/>
                <w:sz w:val="24"/>
                <w:highlight w:val="none"/>
              </w:rPr>
            </w:pPr>
            <w:r>
              <w:rPr>
                <w:rFonts w:hint="eastAsia" w:ascii="宋体" w:hAnsi="宋体" w:eastAsia="宋体" w:cs="宋体"/>
                <w:color w:val="auto"/>
                <w:sz w:val="24"/>
                <w:highlight w:val="none"/>
              </w:rPr>
              <w:t>1  ……</w:t>
            </w:r>
          </w:p>
          <w:p w14:paraId="7A086676">
            <w:pPr>
              <w:rPr>
                <w:rFonts w:hint="eastAsia" w:ascii="宋体" w:hAnsi="宋体" w:eastAsia="宋体" w:cs="宋体"/>
                <w:color w:val="auto"/>
                <w:sz w:val="24"/>
                <w:highlight w:val="none"/>
              </w:rPr>
            </w:pPr>
            <w:r>
              <w:rPr>
                <w:rFonts w:hint="eastAsia" w:ascii="宋体" w:hAnsi="宋体" w:eastAsia="宋体" w:cs="宋体"/>
                <w:color w:val="auto"/>
                <w:sz w:val="24"/>
                <w:highlight w:val="none"/>
              </w:rPr>
              <w:t>2  ……</w:t>
            </w:r>
          </w:p>
          <w:p w14:paraId="0D037FEC">
            <w:pPr>
              <w:rPr>
                <w:rFonts w:hint="eastAsia" w:ascii="宋体" w:hAnsi="宋体" w:eastAsia="宋体" w:cs="宋体"/>
                <w:color w:val="auto"/>
                <w:sz w:val="24"/>
                <w:highlight w:val="none"/>
              </w:rPr>
            </w:pPr>
            <w:r>
              <w:rPr>
                <w:rFonts w:hint="eastAsia" w:ascii="宋体" w:hAnsi="宋体" w:eastAsia="宋体" w:cs="宋体"/>
                <w:color w:val="auto"/>
                <w:sz w:val="24"/>
                <w:highlight w:val="none"/>
              </w:rPr>
              <w:t>3  ……</w:t>
            </w:r>
          </w:p>
          <w:p w14:paraId="258CBFB1">
            <w:pPr>
              <w:rPr>
                <w:rFonts w:hint="eastAsia" w:ascii="宋体" w:hAnsi="宋体" w:eastAsia="宋体" w:cs="宋体"/>
                <w:color w:val="auto"/>
                <w:sz w:val="24"/>
                <w:highlight w:val="none"/>
              </w:rPr>
            </w:pPr>
            <w:r>
              <w:rPr>
                <w:rFonts w:hint="eastAsia" w:ascii="宋体" w:hAnsi="宋体" w:eastAsia="宋体" w:cs="宋体"/>
                <w:color w:val="auto"/>
                <w:sz w:val="24"/>
                <w:highlight w:val="none"/>
              </w:rPr>
              <w:t>……</w:t>
            </w:r>
          </w:p>
        </w:tc>
        <w:tc>
          <w:tcPr>
            <w:tcW w:w="3415" w:type="dxa"/>
            <w:tcBorders>
              <w:top w:val="single" w:color="auto" w:sz="4" w:space="0"/>
              <w:left w:val="single" w:color="auto" w:sz="4" w:space="0"/>
              <w:bottom w:val="single" w:color="auto" w:sz="4" w:space="0"/>
              <w:right w:val="single" w:color="auto" w:sz="4" w:space="0"/>
            </w:tcBorders>
            <w:noWrap w:val="0"/>
            <w:vAlign w:val="center"/>
          </w:tcPr>
          <w:p w14:paraId="22A86BF9">
            <w:pPr>
              <w:rPr>
                <w:rFonts w:hint="eastAsia" w:ascii="宋体" w:hAnsi="宋体" w:eastAsia="宋体" w:cs="宋体"/>
                <w:color w:val="auto"/>
                <w:sz w:val="24"/>
                <w:highlight w:val="none"/>
              </w:rPr>
            </w:pPr>
            <w:r>
              <w:rPr>
                <w:rFonts w:hint="eastAsia" w:ascii="宋体" w:hAnsi="宋体" w:eastAsia="宋体" w:cs="宋体"/>
                <w:color w:val="auto"/>
                <w:sz w:val="24"/>
                <w:highlight w:val="none"/>
              </w:rPr>
              <w:t>1  ……</w:t>
            </w:r>
          </w:p>
          <w:p w14:paraId="070F7E02">
            <w:pPr>
              <w:rPr>
                <w:rFonts w:hint="eastAsia" w:ascii="宋体" w:hAnsi="宋体" w:eastAsia="宋体" w:cs="宋体"/>
                <w:color w:val="auto"/>
                <w:sz w:val="24"/>
                <w:highlight w:val="none"/>
              </w:rPr>
            </w:pPr>
            <w:r>
              <w:rPr>
                <w:rFonts w:hint="eastAsia" w:ascii="宋体" w:hAnsi="宋体" w:eastAsia="宋体" w:cs="宋体"/>
                <w:color w:val="auto"/>
                <w:sz w:val="24"/>
                <w:highlight w:val="none"/>
              </w:rPr>
              <w:t>2  ……</w:t>
            </w:r>
          </w:p>
          <w:p w14:paraId="683163F1">
            <w:pPr>
              <w:rPr>
                <w:rFonts w:hint="eastAsia" w:ascii="宋体" w:hAnsi="宋体" w:eastAsia="宋体" w:cs="宋体"/>
                <w:color w:val="auto"/>
                <w:sz w:val="24"/>
                <w:highlight w:val="none"/>
              </w:rPr>
            </w:pPr>
            <w:r>
              <w:rPr>
                <w:rFonts w:hint="eastAsia" w:ascii="宋体" w:hAnsi="宋体" w:eastAsia="宋体" w:cs="宋体"/>
                <w:color w:val="auto"/>
                <w:sz w:val="24"/>
                <w:highlight w:val="none"/>
              </w:rPr>
              <w:t>3  ……</w:t>
            </w:r>
          </w:p>
          <w:p w14:paraId="129025BC">
            <w:pPr>
              <w:rPr>
                <w:rFonts w:hint="eastAsia" w:ascii="宋体" w:hAnsi="宋体" w:eastAsia="宋体" w:cs="宋体"/>
                <w:color w:val="auto"/>
                <w:sz w:val="24"/>
                <w:highlight w:val="none"/>
              </w:rPr>
            </w:pPr>
            <w:r>
              <w:rPr>
                <w:rFonts w:hint="eastAsia" w:ascii="宋体" w:hAnsi="宋体" w:eastAsia="宋体" w:cs="宋体"/>
                <w:color w:val="auto"/>
                <w:sz w:val="24"/>
                <w:highlight w:val="none"/>
              </w:rPr>
              <w:t>……</w:t>
            </w:r>
          </w:p>
        </w:tc>
        <w:tc>
          <w:tcPr>
            <w:tcW w:w="1270" w:type="dxa"/>
            <w:tcBorders>
              <w:top w:val="single" w:color="auto" w:sz="4" w:space="0"/>
              <w:left w:val="single" w:color="auto" w:sz="4" w:space="0"/>
              <w:bottom w:val="single" w:color="auto" w:sz="4" w:space="0"/>
              <w:right w:val="single" w:color="auto" w:sz="4" w:space="0"/>
            </w:tcBorders>
            <w:noWrap w:val="0"/>
            <w:vAlign w:val="center"/>
          </w:tcPr>
          <w:p w14:paraId="1C830BDF">
            <w:pPr>
              <w:rPr>
                <w:rFonts w:hint="eastAsia" w:ascii="宋体" w:hAnsi="宋体" w:eastAsia="宋体" w:cs="宋体"/>
                <w:color w:val="auto"/>
                <w:sz w:val="24"/>
                <w:highlight w:val="none"/>
              </w:rPr>
            </w:pPr>
          </w:p>
        </w:tc>
      </w:tr>
      <w:tr w14:paraId="1891CC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6" w:hRule="atLeast"/>
          <w:jc w:val="center"/>
        </w:trPr>
        <w:tc>
          <w:tcPr>
            <w:tcW w:w="986" w:type="dxa"/>
            <w:tcBorders>
              <w:top w:val="single" w:color="auto" w:sz="4" w:space="0"/>
              <w:left w:val="single" w:color="auto" w:sz="4" w:space="0"/>
              <w:bottom w:val="single" w:color="auto" w:sz="4" w:space="0"/>
              <w:right w:val="single" w:color="auto" w:sz="4" w:space="0"/>
            </w:tcBorders>
            <w:noWrap w:val="0"/>
            <w:vAlign w:val="center"/>
          </w:tcPr>
          <w:p w14:paraId="12B70F19">
            <w:pPr>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p>
        </w:tc>
        <w:tc>
          <w:tcPr>
            <w:tcW w:w="3708" w:type="dxa"/>
            <w:tcBorders>
              <w:top w:val="single" w:color="auto" w:sz="4" w:space="0"/>
              <w:left w:val="single" w:color="auto" w:sz="4" w:space="0"/>
              <w:bottom w:val="single" w:color="auto" w:sz="4" w:space="0"/>
              <w:right w:val="single" w:color="auto" w:sz="4" w:space="0"/>
            </w:tcBorders>
            <w:noWrap w:val="0"/>
            <w:vAlign w:val="center"/>
          </w:tcPr>
          <w:p w14:paraId="0F89FE01">
            <w:pPr>
              <w:rPr>
                <w:rFonts w:hint="eastAsia" w:ascii="宋体" w:hAnsi="宋体" w:eastAsia="宋体" w:cs="宋体"/>
                <w:color w:val="auto"/>
                <w:sz w:val="24"/>
                <w:highlight w:val="none"/>
              </w:rPr>
            </w:pPr>
            <w:r>
              <w:rPr>
                <w:rFonts w:hint="eastAsia" w:ascii="宋体" w:hAnsi="宋体" w:eastAsia="宋体" w:cs="宋体"/>
                <w:color w:val="auto"/>
                <w:sz w:val="24"/>
                <w:highlight w:val="none"/>
              </w:rPr>
              <w:t>1  ……</w:t>
            </w:r>
          </w:p>
          <w:p w14:paraId="5402A32E">
            <w:pPr>
              <w:rPr>
                <w:rFonts w:hint="eastAsia" w:ascii="宋体" w:hAnsi="宋体" w:eastAsia="宋体" w:cs="宋体"/>
                <w:color w:val="auto"/>
                <w:sz w:val="24"/>
                <w:highlight w:val="none"/>
              </w:rPr>
            </w:pPr>
            <w:r>
              <w:rPr>
                <w:rFonts w:hint="eastAsia" w:ascii="宋体" w:hAnsi="宋体" w:eastAsia="宋体" w:cs="宋体"/>
                <w:color w:val="auto"/>
                <w:sz w:val="24"/>
                <w:highlight w:val="none"/>
              </w:rPr>
              <w:t>2  ……</w:t>
            </w:r>
          </w:p>
          <w:p w14:paraId="36A7F267">
            <w:pPr>
              <w:rPr>
                <w:rFonts w:hint="eastAsia" w:ascii="宋体" w:hAnsi="宋体" w:eastAsia="宋体" w:cs="宋体"/>
                <w:color w:val="auto"/>
                <w:sz w:val="24"/>
                <w:highlight w:val="none"/>
              </w:rPr>
            </w:pPr>
            <w:r>
              <w:rPr>
                <w:rFonts w:hint="eastAsia" w:ascii="宋体" w:hAnsi="宋体" w:eastAsia="宋体" w:cs="宋体"/>
                <w:color w:val="auto"/>
                <w:sz w:val="24"/>
                <w:highlight w:val="none"/>
              </w:rPr>
              <w:t>3  ……</w:t>
            </w:r>
          </w:p>
          <w:p w14:paraId="268E0C45">
            <w:pPr>
              <w:rPr>
                <w:rFonts w:hint="eastAsia" w:ascii="宋体" w:hAnsi="宋体" w:eastAsia="宋体" w:cs="宋体"/>
                <w:color w:val="auto"/>
                <w:sz w:val="24"/>
                <w:highlight w:val="none"/>
              </w:rPr>
            </w:pPr>
            <w:r>
              <w:rPr>
                <w:rFonts w:hint="eastAsia" w:ascii="宋体" w:hAnsi="宋体" w:eastAsia="宋体" w:cs="宋体"/>
                <w:color w:val="auto"/>
                <w:sz w:val="24"/>
                <w:highlight w:val="none"/>
              </w:rPr>
              <w:t>……</w:t>
            </w:r>
          </w:p>
        </w:tc>
        <w:tc>
          <w:tcPr>
            <w:tcW w:w="3415" w:type="dxa"/>
            <w:tcBorders>
              <w:top w:val="single" w:color="auto" w:sz="4" w:space="0"/>
              <w:left w:val="single" w:color="auto" w:sz="4" w:space="0"/>
              <w:bottom w:val="single" w:color="auto" w:sz="4" w:space="0"/>
              <w:right w:val="single" w:color="auto" w:sz="4" w:space="0"/>
            </w:tcBorders>
            <w:noWrap w:val="0"/>
            <w:vAlign w:val="center"/>
          </w:tcPr>
          <w:p w14:paraId="293050A0">
            <w:pPr>
              <w:rPr>
                <w:rFonts w:hint="eastAsia" w:ascii="宋体" w:hAnsi="宋体" w:eastAsia="宋体" w:cs="宋体"/>
                <w:color w:val="auto"/>
                <w:sz w:val="24"/>
                <w:highlight w:val="none"/>
              </w:rPr>
            </w:pPr>
            <w:r>
              <w:rPr>
                <w:rFonts w:hint="eastAsia" w:ascii="宋体" w:hAnsi="宋体" w:eastAsia="宋体" w:cs="宋体"/>
                <w:color w:val="auto"/>
                <w:sz w:val="24"/>
                <w:highlight w:val="none"/>
              </w:rPr>
              <w:t>1  ……</w:t>
            </w:r>
          </w:p>
          <w:p w14:paraId="0A53D3D9">
            <w:pPr>
              <w:rPr>
                <w:rFonts w:hint="eastAsia" w:ascii="宋体" w:hAnsi="宋体" w:eastAsia="宋体" w:cs="宋体"/>
                <w:color w:val="auto"/>
                <w:sz w:val="24"/>
                <w:highlight w:val="none"/>
              </w:rPr>
            </w:pPr>
            <w:r>
              <w:rPr>
                <w:rFonts w:hint="eastAsia" w:ascii="宋体" w:hAnsi="宋体" w:eastAsia="宋体" w:cs="宋体"/>
                <w:color w:val="auto"/>
                <w:sz w:val="24"/>
                <w:highlight w:val="none"/>
              </w:rPr>
              <w:t>2  ……</w:t>
            </w:r>
          </w:p>
          <w:p w14:paraId="77511178">
            <w:pPr>
              <w:rPr>
                <w:rFonts w:hint="eastAsia" w:ascii="宋体" w:hAnsi="宋体" w:eastAsia="宋体" w:cs="宋体"/>
                <w:color w:val="auto"/>
                <w:sz w:val="24"/>
                <w:highlight w:val="none"/>
              </w:rPr>
            </w:pPr>
            <w:r>
              <w:rPr>
                <w:rFonts w:hint="eastAsia" w:ascii="宋体" w:hAnsi="宋体" w:eastAsia="宋体" w:cs="宋体"/>
                <w:color w:val="auto"/>
                <w:sz w:val="24"/>
                <w:highlight w:val="none"/>
              </w:rPr>
              <w:t>3  ……</w:t>
            </w:r>
          </w:p>
          <w:p w14:paraId="738BCC0D">
            <w:pPr>
              <w:rPr>
                <w:rFonts w:hint="eastAsia" w:ascii="宋体" w:hAnsi="宋体" w:eastAsia="宋体" w:cs="宋体"/>
                <w:color w:val="auto"/>
                <w:sz w:val="24"/>
                <w:highlight w:val="none"/>
              </w:rPr>
            </w:pPr>
            <w:r>
              <w:rPr>
                <w:rFonts w:hint="eastAsia" w:ascii="宋体" w:hAnsi="宋体" w:eastAsia="宋体" w:cs="宋体"/>
                <w:color w:val="auto"/>
                <w:sz w:val="24"/>
                <w:highlight w:val="none"/>
              </w:rPr>
              <w:t>……</w:t>
            </w:r>
          </w:p>
        </w:tc>
        <w:tc>
          <w:tcPr>
            <w:tcW w:w="1270" w:type="dxa"/>
            <w:tcBorders>
              <w:top w:val="single" w:color="auto" w:sz="4" w:space="0"/>
              <w:left w:val="single" w:color="auto" w:sz="4" w:space="0"/>
              <w:bottom w:val="single" w:color="auto" w:sz="4" w:space="0"/>
              <w:right w:val="single" w:color="auto" w:sz="4" w:space="0"/>
            </w:tcBorders>
            <w:noWrap w:val="0"/>
            <w:vAlign w:val="center"/>
          </w:tcPr>
          <w:p w14:paraId="4AFFCC04">
            <w:pPr>
              <w:rPr>
                <w:rFonts w:hint="eastAsia" w:ascii="宋体" w:hAnsi="宋体" w:eastAsia="宋体" w:cs="宋体"/>
                <w:color w:val="auto"/>
                <w:sz w:val="24"/>
                <w:highlight w:val="none"/>
              </w:rPr>
            </w:pPr>
          </w:p>
        </w:tc>
      </w:tr>
      <w:tr w14:paraId="27F47E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jc w:val="center"/>
        </w:trPr>
        <w:tc>
          <w:tcPr>
            <w:tcW w:w="986" w:type="dxa"/>
            <w:tcBorders>
              <w:top w:val="single" w:color="auto" w:sz="4" w:space="0"/>
              <w:left w:val="single" w:color="auto" w:sz="4" w:space="0"/>
              <w:bottom w:val="single" w:color="auto" w:sz="4" w:space="0"/>
              <w:right w:val="single" w:color="auto" w:sz="4" w:space="0"/>
            </w:tcBorders>
            <w:noWrap w:val="0"/>
            <w:vAlign w:val="center"/>
          </w:tcPr>
          <w:p w14:paraId="3D34B6C7">
            <w:pPr>
              <w:rPr>
                <w:rFonts w:hint="eastAsia" w:ascii="宋体" w:hAnsi="宋体" w:eastAsia="宋体" w:cs="宋体"/>
                <w:color w:val="auto"/>
                <w:sz w:val="24"/>
                <w:highlight w:val="none"/>
              </w:rPr>
            </w:pPr>
            <w:r>
              <w:rPr>
                <w:rFonts w:hint="eastAsia" w:ascii="宋体" w:hAnsi="宋体" w:eastAsia="宋体" w:cs="宋体"/>
                <w:color w:val="auto"/>
                <w:sz w:val="24"/>
                <w:highlight w:val="none"/>
              </w:rPr>
              <w:t>...</w:t>
            </w:r>
          </w:p>
        </w:tc>
        <w:tc>
          <w:tcPr>
            <w:tcW w:w="3708" w:type="dxa"/>
            <w:tcBorders>
              <w:top w:val="single" w:color="auto" w:sz="4" w:space="0"/>
              <w:left w:val="single" w:color="auto" w:sz="4" w:space="0"/>
              <w:bottom w:val="single" w:color="auto" w:sz="4" w:space="0"/>
              <w:right w:val="single" w:color="auto" w:sz="4" w:space="0"/>
            </w:tcBorders>
            <w:noWrap w:val="0"/>
            <w:vAlign w:val="center"/>
          </w:tcPr>
          <w:p w14:paraId="07F27853">
            <w:pPr>
              <w:rPr>
                <w:rFonts w:hint="eastAsia" w:ascii="宋体" w:hAnsi="宋体" w:eastAsia="宋体" w:cs="宋体"/>
                <w:color w:val="auto"/>
                <w:sz w:val="24"/>
                <w:highlight w:val="none"/>
              </w:rPr>
            </w:pPr>
          </w:p>
        </w:tc>
        <w:tc>
          <w:tcPr>
            <w:tcW w:w="3415" w:type="dxa"/>
            <w:tcBorders>
              <w:top w:val="single" w:color="auto" w:sz="4" w:space="0"/>
              <w:left w:val="single" w:color="auto" w:sz="4" w:space="0"/>
              <w:bottom w:val="single" w:color="auto" w:sz="4" w:space="0"/>
              <w:right w:val="single" w:color="auto" w:sz="4" w:space="0"/>
            </w:tcBorders>
            <w:noWrap w:val="0"/>
            <w:vAlign w:val="center"/>
          </w:tcPr>
          <w:p w14:paraId="4B63F165">
            <w:pPr>
              <w:rPr>
                <w:rFonts w:hint="eastAsia" w:ascii="宋体" w:hAnsi="宋体" w:eastAsia="宋体" w:cs="宋体"/>
                <w:color w:val="auto"/>
                <w:sz w:val="24"/>
                <w:highlight w:val="none"/>
              </w:rPr>
            </w:pPr>
          </w:p>
        </w:tc>
        <w:tc>
          <w:tcPr>
            <w:tcW w:w="1270" w:type="dxa"/>
            <w:tcBorders>
              <w:top w:val="single" w:color="auto" w:sz="4" w:space="0"/>
              <w:left w:val="single" w:color="auto" w:sz="4" w:space="0"/>
              <w:bottom w:val="single" w:color="auto" w:sz="4" w:space="0"/>
              <w:right w:val="single" w:color="auto" w:sz="4" w:space="0"/>
            </w:tcBorders>
            <w:noWrap w:val="0"/>
            <w:vAlign w:val="center"/>
          </w:tcPr>
          <w:p w14:paraId="093266D4">
            <w:pPr>
              <w:rPr>
                <w:rFonts w:hint="eastAsia" w:ascii="宋体" w:hAnsi="宋体" w:eastAsia="宋体" w:cs="宋体"/>
                <w:color w:val="auto"/>
                <w:sz w:val="24"/>
                <w:highlight w:val="none"/>
              </w:rPr>
            </w:pPr>
          </w:p>
        </w:tc>
      </w:tr>
    </w:tbl>
    <w:p w14:paraId="0939D74A">
      <w:pPr>
        <w:pStyle w:val="12"/>
        <w:spacing w:after="0" w:line="360" w:lineRule="auto"/>
        <w:contextualSpacing/>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rPr>
        <w:t>注</w:t>
      </w:r>
      <w:r>
        <w:rPr>
          <w:rFonts w:hint="eastAsia" w:ascii="宋体" w:hAnsi="宋体" w:eastAsia="宋体" w:cs="宋体"/>
          <w:color w:val="auto"/>
          <w:kern w:val="0"/>
          <w:sz w:val="24"/>
          <w:szCs w:val="24"/>
          <w:highlight w:val="none"/>
          <w:lang w:eastAsia="zh-CN"/>
        </w:rPr>
        <w:t>：</w:t>
      </w:r>
    </w:p>
    <w:p w14:paraId="0822E35E">
      <w:pPr>
        <w:pStyle w:val="13"/>
        <w:spacing w:line="400" w:lineRule="exact"/>
        <w:ind w:firstLine="0" w:firstLineChars="0"/>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rPr>
        <w:t>1.应对照谈判文件“第</w:t>
      </w:r>
      <w:r>
        <w:rPr>
          <w:rFonts w:hint="eastAsia" w:ascii="宋体" w:hAnsi="宋体" w:eastAsia="宋体" w:cs="宋体"/>
          <w:color w:val="auto"/>
          <w:kern w:val="0"/>
          <w:sz w:val="24"/>
          <w:szCs w:val="24"/>
          <w:highlight w:val="none"/>
          <w:lang w:val="en-US" w:eastAsia="zh-CN"/>
        </w:rPr>
        <w:t>三</w:t>
      </w:r>
      <w:r>
        <w:rPr>
          <w:rFonts w:hint="eastAsia" w:ascii="宋体" w:hAnsi="宋体" w:eastAsia="宋体" w:cs="宋体"/>
          <w:color w:val="auto"/>
          <w:kern w:val="0"/>
          <w:sz w:val="24"/>
          <w:szCs w:val="24"/>
          <w:highlight w:val="none"/>
        </w:rPr>
        <w:t>章”中“</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需求”的</w:t>
      </w:r>
      <w:r>
        <w:rPr>
          <w:rFonts w:hint="eastAsia" w:ascii="宋体" w:hAnsi="宋体" w:eastAsia="宋体" w:cs="宋体"/>
          <w:color w:val="auto"/>
          <w:kern w:val="0"/>
          <w:sz w:val="24"/>
          <w:szCs w:val="24"/>
          <w:highlight w:val="none"/>
          <w:lang w:eastAsia="zh-CN"/>
        </w:rPr>
        <w:t>技</w:t>
      </w:r>
      <w:r>
        <w:rPr>
          <w:rFonts w:hint="eastAsia" w:ascii="宋体" w:hAnsi="宋体" w:eastAsia="宋体" w:cs="宋体"/>
          <w:color w:val="auto"/>
          <w:kern w:val="0"/>
          <w:sz w:val="24"/>
          <w:szCs w:val="24"/>
          <w:highlight w:val="none"/>
          <w:lang w:val="en-US" w:eastAsia="zh-CN"/>
        </w:rPr>
        <w:t>术</w:t>
      </w:r>
      <w:r>
        <w:rPr>
          <w:rFonts w:hint="eastAsia" w:ascii="宋体" w:hAnsi="宋体" w:eastAsia="宋体" w:cs="宋体"/>
          <w:color w:val="auto"/>
          <w:kern w:val="0"/>
          <w:sz w:val="24"/>
          <w:szCs w:val="24"/>
          <w:highlight w:val="none"/>
        </w:rPr>
        <w:t>需求</w:t>
      </w:r>
      <w:r>
        <w:rPr>
          <w:rFonts w:hint="eastAsia" w:ascii="宋体" w:hAnsi="宋体" w:eastAsia="宋体" w:cs="宋体"/>
          <w:color w:val="auto"/>
          <w:kern w:val="0"/>
          <w:sz w:val="24"/>
          <w:szCs w:val="24"/>
          <w:highlight w:val="none"/>
          <w:lang w:eastAsia="zh-CN"/>
        </w:rPr>
        <w:t>，款逐条作出明确响应，并作出偏离说明。</w:t>
      </w:r>
    </w:p>
    <w:p w14:paraId="72844CF9">
      <w:pPr>
        <w:pStyle w:val="13"/>
        <w:spacing w:line="400" w:lineRule="exact"/>
        <w:ind w:firstLine="0" w:firstLineChars="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2.供应商应根据自身的承诺，对照</w:t>
      </w:r>
      <w:r>
        <w:rPr>
          <w:rFonts w:hint="eastAsia" w:ascii="宋体" w:hAnsi="宋体" w:eastAsia="宋体" w:cs="宋体"/>
          <w:color w:val="auto"/>
          <w:kern w:val="0"/>
          <w:sz w:val="24"/>
          <w:szCs w:val="24"/>
          <w:highlight w:val="none"/>
          <w:lang w:val="en-US" w:eastAsia="zh-CN"/>
        </w:rPr>
        <w:t>谈判</w:t>
      </w:r>
      <w:r>
        <w:rPr>
          <w:rFonts w:hint="eastAsia" w:ascii="宋体" w:hAnsi="宋体" w:eastAsia="宋体" w:cs="宋体"/>
          <w:color w:val="auto"/>
          <w:kern w:val="0"/>
          <w:sz w:val="24"/>
          <w:szCs w:val="24"/>
          <w:highlight w:val="none"/>
        </w:rPr>
        <w:t>文件要求，在“偏离说明”中注明“正偏离”、“负偏离”或者“无偏离”。既不属于“正偏离”也不属于“负偏离”即为“无偏离”。 当响应文件的商务内容低于竞争性</w:t>
      </w:r>
      <w:r>
        <w:rPr>
          <w:rFonts w:hint="eastAsia" w:ascii="宋体" w:hAnsi="宋体" w:eastAsia="宋体" w:cs="宋体"/>
          <w:color w:val="auto"/>
          <w:kern w:val="0"/>
          <w:sz w:val="24"/>
          <w:szCs w:val="24"/>
          <w:highlight w:val="none"/>
          <w:lang w:val="en-US" w:eastAsia="zh-CN"/>
        </w:rPr>
        <w:t>谈判</w:t>
      </w:r>
      <w:r>
        <w:rPr>
          <w:rFonts w:hint="eastAsia" w:ascii="宋体" w:hAnsi="宋体" w:eastAsia="宋体" w:cs="宋体"/>
          <w:color w:val="auto"/>
          <w:kern w:val="0"/>
          <w:sz w:val="24"/>
          <w:szCs w:val="24"/>
          <w:highlight w:val="none"/>
        </w:rPr>
        <w:t>采购文件要求时，竞标人应当如实写明“负偏离”，否则视为虚假应标</w:t>
      </w:r>
    </w:p>
    <w:p w14:paraId="1FFE8F19">
      <w:pPr>
        <w:pStyle w:val="13"/>
        <w:spacing w:line="400" w:lineRule="exact"/>
        <w:ind w:firstLine="0" w:firstLineChars="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3.表格内容均需按要求填写并盖章，不得留空，否则按竞标无效处理。</w:t>
      </w:r>
    </w:p>
    <w:p w14:paraId="77FA289A">
      <w:pPr>
        <w:pStyle w:val="13"/>
        <w:spacing w:line="400" w:lineRule="exact"/>
        <w:ind w:firstLine="0" w:firstLineChars="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4.如果采购需求为小于、小于等于、大于或大于等于某个数值标准时，响应文件承诺不得直接复制采购需求，响应文件承诺内容应当写明竞标服务具体参数或商务响应承诺的具体数值，否则按竞标无效处理。</w:t>
      </w:r>
    </w:p>
    <w:p w14:paraId="5B75D2C6">
      <w:pPr>
        <w:pStyle w:val="13"/>
        <w:spacing w:line="400" w:lineRule="exact"/>
        <w:ind w:firstLine="0" w:firstLineChars="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 如技术偏离表中的竞标响应与佐证材料不一致的，以佐证材料为准。</w:t>
      </w:r>
    </w:p>
    <w:p w14:paraId="08EA5B9F">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p>
    <w:p w14:paraId="425DD587">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2DD5EC75">
      <w:pPr>
        <w:tabs>
          <w:tab w:val="left" w:pos="3479"/>
        </w:tabs>
        <w:spacing w:line="520" w:lineRule="exact"/>
        <w:jc w:val="center"/>
        <w:rPr>
          <w:rFonts w:hint="eastAsia" w:ascii="宋体" w:hAnsi="宋体" w:eastAsia="宋体" w:cs="宋体"/>
          <w:color w:val="auto"/>
          <w:kern w:val="0"/>
          <w:sz w:val="24"/>
          <w:highlight w:val="none"/>
          <w:lang w:val="zh-CN"/>
        </w:rPr>
        <w:sectPr>
          <w:pgSz w:w="11910" w:h="16840"/>
          <w:pgMar w:top="1134" w:right="1134" w:bottom="1134" w:left="1134" w:header="850" w:footer="567" w:gutter="0"/>
          <w:cols w:space="720" w:num="1"/>
          <w:docGrid w:linePitch="286" w:charSpace="0"/>
        </w:sectPr>
      </w:pPr>
      <w:r>
        <w:rPr>
          <w:rFonts w:hint="eastAsia" w:ascii="宋体" w:hAnsi="宋体" w:eastAsia="宋体" w:cs="宋体"/>
          <w:color w:val="auto"/>
          <w:kern w:val="0"/>
          <w:sz w:val="24"/>
          <w:highlight w:val="none"/>
          <w:lang w:val="zh-CN"/>
        </w:rPr>
        <w:t xml:space="preserve">日期： 年  月 </w:t>
      </w:r>
    </w:p>
    <w:p w14:paraId="3D2810DE">
      <w:pPr>
        <w:snapToGrid w:val="0"/>
        <w:spacing w:line="360" w:lineRule="auto"/>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lang w:eastAsia="zh-CN"/>
        </w:rPr>
        <w:t>八</w:t>
      </w:r>
      <w:r>
        <w:rPr>
          <w:rFonts w:hint="eastAsia" w:ascii="宋体" w:hAnsi="宋体" w:eastAsia="宋体" w:cs="宋体"/>
          <w:b/>
          <w:color w:val="auto"/>
          <w:sz w:val="30"/>
          <w:szCs w:val="30"/>
          <w:highlight w:val="none"/>
        </w:rPr>
        <w:t>、施工组织设计</w:t>
      </w:r>
    </w:p>
    <w:p w14:paraId="78E51FD5">
      <w:pPr>
        <w:tabs>
          <w:tab w:val="left" w:pos="3479"/>
        </w:tabs>
        <w:spacing w:line="520" w:lineRule="exact"/>
        <w:rPr>
          <w:rFonts w:hint="eastAsia" w:ascii="宋体" w:hAnsi="宋体" w:eastAsia="宋体" w:cs="宋体"/>
          <w:bCs/>
          <w:color w:val="auto"/>
          <w:sz w:val="44"/>
          <w:szCs w:val="44"/>
          <w:highlight w:val="none"/>
        </w:rPr>
        <w:sectPr>
          <w:pgSz w:w="11910" w:h="16840"/>
          <w:pgMar w:top="1134" w:right="1134" w:bottom="1134" w:left="1134" w:header="850" w:footer="567" w:gutter="0"/>
          <w:cols w:space="720" w:num="1"/>
          <w:docGrid w:linePitch="286" w:charSpace="0"/>
        </w:sectPr>
      </w:pPr>
      <w:r>
        <w:rPr>
          <w:rFonts w:hint="eastAsia" w:ascii="宋体" w:hAnsi="宋体" w:eastAsia="宋体" w:cs="宋体"/>
          <w:color w:val="auto"/>
          <w:sz w:val="21"/>
          <w:szCs w:val="21"/>
          <w:highlight w:val="none"/>
          <w:lang w:val="en-US"/>
        </w:rPr>
        <w:t>1.</w:t>
      </w:r>
      <w:r>
        <w:rPr>
          <w:rFonts w:hint="eastAsia" w:ascii="宋体" w:hAnsi="宋体" w:eastAsia="宋体" w:cs="宋体"/>
          <w:color w:val="auto"/>
          <w:sz w:val="21"/>
          <w:szCs w:val="21"/>
          <w:highlight w:val="none"/>
        </w:rPr>
        <w:t>（包括但不限于：</w:t>
      </w:r>
      <w:r>
        <w:rPr>
          <w:rFonts w:hint="eastAsia" w:ascii="宋体" w:hAnsi="宋体" w:eastAsia="宋体" w:cs="宋体"/>
          <w:color w:val="auto"/>
          <w:sz w:val="21"/>
          <w:szCs w:val="21"/>
          <w:highlight w:val="none"/>
          <w:lang w:eastAsia="zh-CN"/>
        </w:rPr>
        <w:t>施工总体部署、主要施工方法、质量安全保障措施、工期保证措施等，格式自拟）</w:t>
      </w:r>
      <w:r>
        <w:rPr>
          <w:rFonts w:hint="eastAsia" w:ascii="宋体" w:hAnsi="宋体" w:eastAsia="宋体" w:cs="宋体"/>
          <w:color w:val="auto"/>
          <w:sz w:val="21"/>
          <w:szCs w:val="21"/>
          <w:highlight w:val="none"/>
        </w:rPr>
        <w:t>）</w:t>
      </w:r>
    </w:p>
    <w:p w14:paraId="0E24B4AF">
      <w:pPr>
        <w:snapToGrid w:val="0"/>
        <w:spacing w:line="360" w:lineRule="auto"/>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lang w:eastAsia="zh-CN"/>
        </w:rPr>
        <w:t>九</w:t>
      </w:r>
      <w:r>
        <w:rPr>
          <w:rFonts w:hint="eastAsia" w:ascii="宋体" w:hAnsi="宋体" w:eastAsia="宋体" w:cs="宋体"/>
          <w:b/>
          <w:color w:val="auto"/>
          <w:sz w:val="30"/>
          <w:szCs w:val="30"/>
          <w:highlight w:val="none"/>
        </w:rPr>
        <w:t>、项目管理机构</w:t>
      </w:r>
    </w:p>
    <w:p w14:paraId="4A2CB15E">
      <w:pPr>
        <w:pStyle w:val="35"/>
        <w:spacing w:line="360" w:lineRule="exact"/>
        <w:jc w:val="center"/>
        <w:rPr>
          <w:rFonts w:hint="eastAsia" w:ascii="宋体" w:hAnsi="宋体" w:eastAsia="宋体" w:cs="宋体"/>
          <w:color w:val="auto"/>
          <w:sz w:val="28"/>
          <w:szCs w:val="28"/>
          <w:highlight w:val="none"/>
          <w:lang w:eastAsia="zh-CN"/>
        </w:rPr>
      </w:pPr>
      <w:bookmarkStart w:id="67" w:name="_Toc30880"/>
      <w:bookmarkStart w:id="68" w:name="_Toc10581"/>
      <w:bookmarkStart w:id="69" w:name="_Toc12185"/>
      <w:bookmarkStart w:id="70" w:name="_Toc11093"/>
      <w:bookmarkStart w:id="71" w:name="_Toc256000210"/>
      <w:r>
        <w:rPr>
          <w:rFonts w:hint="eastAsia" w:ascii="宋体" w:hAnsi="宋体" w:eastAsia="宋体" w:cs="宋体"/>
          <w:color w:val="auto"/>
          <w:sz w:val="28"/>
          <w:szCs w:val="28"/>
          <w:highlight w:val="none"/>
          <w:lang w:eastAsia="zh-CN"/>
        </w:rPr>
        <w:t>（一）拟投入本合同工程施工的项目管理机构组成表</w:t>
      </w:r>
      <w:bookmarkEnd w:id="67"/>
      <w:bookmarkEnd w:id="68"/>
      <w:bookmarkEnd w:id="69"/>
      <w:bookmarkEnd w:id="70"/>
      <w:bookmarkEnd w:id="71"/>
    </w:p>
    <w:p w14:paraId="7CD543AE">
      <w:pPr>
        <w:pStyle w:val="32"/>
        <w:rPr>
          <w:rFonts w:hint="eastAsia" w:ascii="宋体" w:hAnsi="宋体" w:eastAsia="宋体" w:cs="宋体"/>
          <w:color w:val="auto"/>
          <w:highlight w:val="none"/>
          <w:lang w:eastAsia="zh-CN"/>
        </w:rPr>
      </w:pPr>
    </w:p>
    <w:tbl>
      <w:tblPr>
        <w:tblStyle w:val="23"/>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 w:type="dxa"/>
          <w:bottom w:w="0" w:type="dxa"/>
          <w:right w:w="10" w:type="dxa"/>
        </w:tblCellMar>
      </w:tblPr>
      <w:tblGrid>
        <w:gridCol w:w="1709"/>
        <w:gridCol w:w="854"/>
        <w:gridCol w:w="960"/>
        <w:gridCol w:w="750"/>
        <w:gridCol w:w="845"/>
        <w:gridCol w:w="696"/>
        <w:gridCol w:w="1677"/>
        <w:gridCol w:w="1341"/>
      </w:tblGrid>
      <w:tr w14:paraId="2219A9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 w:type="dxa"/>
            <w:bottom w:w="0" w:type="dxa"/>
            <w:right w:w="10" w:type="dxa"/>
          </w:tblCellMar>
        </w:tblPrEx>
        <w:trPr>
          <w:trHeight w:val="859" w:hRule="exact"/>
          <w:jc w:val="center"/>
        </w:trPr>
        <w:tc>
          <w:tcPr>
            <w:tcW w:w="1709" w:type="dxa"/>
            <w:shd w:val="clear" w:color="auto" w:fill="FFFFFF"/>
            <w:noWrap w:val="0"/>
            <w:vAlign w:val="center"/>
          </w:tcPr>
          <w:p w14:paraId="1B1BF687">
            <w:pPr>
              <w:pStyle w:val="34"/>
              <w:spacing w:line="240" w:lineRule="auto"/>
              <w:ind w:firstLine="30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工作岗位名称</w:t>
            </w:r>
          </w:p>
        </w:tc>
        <w:tc>
          <w:tcPr>
            <w:tcW w:w="854" w:type="dxa"/>
            <w:shd w:val="clear" w:color="auto" w:fill="FFFFFF"/>
            <w:noWrap w:val="0"/>
            <w:vAlign w:val="center"/>
          </w:tcPr>
          <w:p w14:paraId="1A2670BE">
            <w:pPr>
              <w:pStyle w:val="34"/>
              <w:spacing w:line="240" w:lineRule="auto"/>
              <w:ind w:firstLine="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姓名</w:t>
            </w:r>
          </w:p>
        </w:tc>
        <w:tc>
          <w:tcPr>
            <w:tcW w:w="960" w:type="dxa"/>
            <w:shd w:val="clear" w:color="auto" w:fill="FFFFFF"/>
            <w:noWrap w:val="0"/>
            <w:vAlign w:val="center"/>
          </w:tcPr>
          <w:p w14:paraId="4FA0C4C3">
            <w:pPr>
              <w:pStyle w:val="34"/>
              <w:spacing w:line="240" w:lineRule="auto"/>
              <w:ind w:firstLine="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性别</w:t>
            </w:r>
          </w:p>
        </w:tc>
        <w:tc>
          <w:tcPr>
            <w:tcW w:w="750" w:type="dxa"/>
            <w:shd w:val="clear" w:color="auto" w:fill="FFFFFF"/>
            <w:noWrap w:val="0"/>
            <w:vAlign w:val="center"/>
          </w:tcPr>
          <w:p w14:paraId="3B9FBBBA">
            <w:pPr>
              <w:pStyle w:val="34"/>
              <w:spacing w:line="262" w:lineRule="exact"/>
              <w:ind w:firstLine="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工作职责</w:t>
            </w:r>
          </w:p>
        </w:tc>
        <w:tc>
          <w:tcPr>
            <w:tcW w:w="845" w:type="dxa"/>
            <w:shd w:val="clear" w:color="auto" w:fill="FFFFFF"/>
            <w:noWrap w:val="0"/>
            <w:vAlign w:val="center"/>
          </w:tcPr>
          <w:p w14:paraId="1ABD43AB">
            <w:pPr>
              <w:pStyle w:val="34"/>
              <w:spacing w:line="240" w:lineRule="auto"/>
              <w:ind w:firstLine="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职称</w:t>
            </w:r>
          </w:p>
        </w:tc>
        <w:tc>
          <w:tcPr>
            <w:tcW w:w="696" w:type="dxa"/>
            <w:shd w:val="clear" w:color="auto" w:fill="FFFFFF"/>
            <w:noWrap w:val="0"/>
            <w:vAlign w:val="center"/>
          </w:tcPr>
          <w:p w14:paraId="4A351212">
            <w:pPr>
              <w:pStyle w:val="34"/>
              <w:spacing w:line="240" w:lineRule="auto"/>
              <w:ind w:firstLine="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专业</w:t>
            </w:r>
          </w:p>
        </w:tc>
        <w:tc>
          <w:tcPr>
            <w:tcW w:w="1677" w:type="dxa"/>
            <w:shd w:val="clear" w:color="auto" w:fill="FFFFFF"/>
            <w:noWrap w:val="0"/>
            <w:vAlign w:val="center"/>
          </w:tcPr>
          <w:p w14:paraId="55FB5CA6">
            <w:pPr>
              <w:pStyle w:val="34"/>
              <w:spacing w:line="271" w:lineRule="exact"/>
              <w:ind w:firstLine="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相关证书名称 及编号</w:t>
            </w:r>
          </w:p>
        </w:tc>
        <w:tc>
          <w:tcPr>
            <w:tcW w:w="1341" w:type="dxa"/>
            <w:shd w:val="clear" w:color="auto" w:fill="FFFFFF"/>
            <w:noWrap w:val="0"/>
            <w:vAlign w:val="center"/>
          </w:tcPr>
          <w:p w14:paraId="6A51CE8B">
            <w:pPr>
              <w:pStyle w:val="34"/>
              <w:spacing w:line="264" w:lineRule="exact"/>
              <w:ind w:firstLine="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相关工作年限</w:t>
            </w:r>
          </w:p>
        </w:tc>
      </w:tr>
      <w:tr w14:paraId="61B410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 w:type="dxa"/>
            <w:bottom w:w="0" w:type="dxa"/>
            <w:right w:w="10" w:type="dxa"/>
          </w:tblCellMar>
        </w:tblPrEx>
        <w:trPr>
          <w:trHeight w:val="451" w:hRule="exact"/>
          <w:jc w:val="center"/>
        </w:trPr>
        <w:tc>
          <w:tcPr>
            <w:tcW w:w="1709" w:type="dxa"/>
            <w:shd w:val="clear" w:color="auto" w:fill="FFFFFF"/>
            <w:noWrap w:val="0"/>
            <w:vAlign w:val="center"/>
          </w:tcPr>
          <w:p w14:paraId="4960C443">
            <w:pPr>
              <w:pStyle w:val="34"/>
              <w:spacing w:line="240" w:lineRule="auto"/>
              <w:ind w:firstLine="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en-US" w:bidi="en-US"/>
              </w:rPr>
              <w:t>1.</w:t>
            </w:r>
            <w:r>
              <w:rPr>
                <w:rFonts w:hint="eastAsia" w:ascii="宋体" w:hAnsi="宋体" w:eastAsia="宋体" w:cs="宋体"/>
                <w:color w:val="auto"/>
                <w:sz w:val="21"/>
                <w:szCs w:val="21"/>
                <w:highlight w:val="none"/>
              </w:rPr>
              <w:t>项目经理</w:t>
            </w:r>
          </w:p>
        </w:tc>
        <w:tc>
          <w:tcPr>
            <w:tcW w:w="854" w:type="dxa"/>
            <w:shd w:val="clear" w:color="auto" w:fill="FFFFFF"/>
            <w:noWrap w:val="0"/>
            <w:vAlign w:val="center"/>
          </w:tcPr>
          <w:p w14:paraId="1DD47B6B">
            <w:pPr>
              <w:pStyle w:val="32"/>
              <w:jc w:val="center"/>
              <w:rPr>
                <w:rFonts w:hint="eastAsia" w:ascii="宋体" w:hAnsi="宋体" w:eastAsia="宋体" w:cs="宋体"/>
                <w:color w:val="auto"/>
                <w:sz w:val="21"/>
                <w:szCs w:val="21"/>
                <w:highlight w:val="none"/>
              </w:rPr>
            </w:pPr>
          </w:p>
        </w:tc>
        <w:tc>
          <w:tcPr>
            <w:tcW w:w="960" w:type="dxa"/>
            <w:shd w:val="clear" w:color="auto" w:fill="FFFFFF"/>
            <w:noWrap w:val="0"/>
            <w:vAlign w:val="center"/>
          </w:tcPr>
          <w:p w14:paraId="742D9A7D">
            <w:pPr>
              <w:pStyle w:val="32"/>
              <w:jc w:val="center"/>
              <w:rPr>
                <w:rFonts w:hint="eastAsia" w:ascii="宋体" w:hAnsi="宋体" w:eastAsia="宋体" w:cs="宋体"/>
                <w:color w:val="auto"/>
                <w:sz w:val="21"/>
                <w:szCs w:val="21"/>
                <w:highlight w:val="none"/>
              </w:rPr>
            </w:pPr>
          </w:p>
        </w:tc>
        <w:tc>
          <w:tcPr>
            <w:tcW w:w="750" w:type="dxa"/>
            <w:shd w:val="clear" w:color="auto" w:fill="FFFFFF"/>
            <w:noWrap w:val="0"/>
            <w:vAlign w:val="center"/>
          </w:tcPr>
          <w:p w14:paraId="602F654B">
            <w:pPr>
              <w:pStyle w:val="32"/>
              <w:jc w:val="center"/>
              <w:rPr>
                <w:rFonts w:hint="eastAsia" w:ascii="宋体" w:hAnsi="宋体" w:eastAsia="宋体" w:cs="宋体"/>
                <w:color w:val="auto"/>
                <w:sz w:val="21"/>
                <w:szCs w:val="21"/>
                <w:highlight w:val="none"/>
              </w:rPr>
            </w:pPr>
          </w:p>
        </w:tc>
        <w:tc>
          <w:tcPr>
            <w:tcW w:w="845" w:type="dxa"/>
            <w:shd w:val="clear" w:color="auto" w:fill="FFFFFF"/>
            <w:noWrap w:val="0"/>
            <w:vAlign w:val="center"/>
          </w:tcPr>
          <w:p w14:paraId="46EBB999">
            <w:pPr>
              <w:pStyle w:val="32"/>
              <w:jc w:val="center"/>
              <w:rPr>
                <w:rFonts w:hint="eastAsia" w:ascii="宋体" w:hAnsi="宋体" w:eastAsia="宋体" w:cs="宋体"/>
                <w:color w:val="auto"/>
                <w:sz w:val="21"/>
                <w:szCs w:val="21"/>
                <w:highlight w:val="none"/>
              </w:rPr>
            </w:pPr>
          </w:p>
        </w:tc>
        <w:tc>
          <w:tcPr>
            <w:tcW w:w="696" w:type="dxa"/>
            <w:shd w:val="clear" w:color="auto" w:fill="FFFFFF"/>
            <w:noWrap w:val="0"/>
            <w:vAlign w:val="center"/>
          </w:tcPr>
          <w:p w14:paraId="23774F19">
            <w:pPr>
              <w:pStyle w:val="32"/>
              <w:jc w:val="center"/>
              <w:rPr>
                <w:rFonts w:hint="eastAsia" w:ascii="宋体" w:hAnsi="宋体" w:eastAsia="宋体" w:cs="宋体"/>
                <w:color w:val="auto"/>
                <w:sz w:val="21"/>
                <w:szCs w:val="21"/>
                <w:highlight w:val="none"/>
              </w:rPr>
            </w:pPr>
          </w:p>
        </w:tc>
        <w:tc>
          <w:tcPr>
            <w:tcW w:w="1677" w:type="dxa"/>
            <w:shd w:val="clear" w:color="auto" w:fill="FFFFFF"/>
            <w:noWrap w:val="0"/>
            <w:vAlign w:val="center"/>
          </w:tcPr>
          <w:p w14:paraId="1A9AE9F2">
            <w:pPr>
              <w:pStyle w:val="32"/>
              <w:jc w:val="center"/>
              <w:rPr>
                <w:rFonts w:hint="eastAsia" w:ascii="宋体" w:hAnsi="宋体" w:eastAsia="宋体" w:cs="宋体"/>
                <w:color w:val="auto"/>
                <w:sz w:val="21"/>
                <w:szCs w:val="21"/>
                <w:highlight w:val="none"/>
              </w:rPr>
            </w:pPr>
          </w:p>
        </w:tc>
        <w:tc>
          <w:tcPr>
            <w:tcW w:w="1341" w:type="dxa"/>
            <w:shd w:val="clear" w:color="auto" w:fill="FFFFFF"/>
            <w:noWrap w:val="0"/>
            <w:vAlign w:val="center"/>
          </w:tcPr>
          <w:p w14:paraId="69822BB3">
            <w:pPr>
              <w:pStyle w:val="32"/>
              <w:jc w:val="center"/>
              <w:rPr>
                <w:rFonts w:hint="eastAsia" w:ascii="宋体" w:hAnsi="宋体" w:eastAsia="宋体" w:cs="宋体"/>
                <w:color w:val="auto"/>
                <w:sz w:val="21"/>
                <w:szCs w:val="21"/>
                <w:highlight w:val="none"/>
              </w:rPr>
            </w:pPr>
          </w:p>
        </w:tc>
      </w:tr>
      <w:tr w14:paraId="7F0001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 w:type="dxa"/>
            <w:bottom w:w="0" w:type="dxa"/>
            <w:right w:w="10" w:type="dxa"/>
          </w:tblCellMar>
        </w:tblPrEx>
        <w:trPr>
          <w:trHeight w:val="456" w:hRule="exact"/>
          <w:jc w:val="center"/>
        </w:trPr>
        <w:tc>
          <w:tcPr>
            <w:tcW w:w="1709" w:type="dxa"/>
            <w:shd w:val="clear" w:color="auto" w:fill="FFFFFF"/>
            <w:noWrap w:val="0"/>
            <w:vAlign w:val="center"/>
          </w:tcPr>
          <w:p w14:paraId="6BE3E697">
            <w:pPr>
              <w:pStyle w:val="34"/>
              <w:spacing w:line="240" w:lineRule="auto"/>
              <w:ind w:firstLine="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en-US" w:bidi="en-US"/>
              </w:rPr>
              <w:t>2.</w:t>
            </w:r>
            <w:r>
              <w:rPr>
                <w:rFonts w:hint="eastAsia" w:ascii="宋体" w:hAnsi="宋体" w:eastAsia="宋体" w:cs="宋体"/>
                <w:color w:val="auto"/>
                <w:sz w:val="21"/>
                <w:szCs w:val="21"/>
                <w:highlight w:val="none"/>
              </w:rPr>
              <w:t>技术负责人</w:t>
            </w:r>
          </w:p>
        </w:tc>
        <w:tc>
          <w:tcPr>
            <w:tcW w:w="854" w:type="dxa"/>
            <w:shd w:val="clear" w:color="auto" w:fill="FFFFFF"/>
            <w:noWrap w:val="0"/>
            <w:vAlign w:val="center"/>
          </w:tcPr>
          <w:p w14:paraId="295D88A1">
            <w:pPr>
              <w:pStyle w:val="32"/>
              <w:jc w:val="center"/>
              <w:rPr>
                <w:rFonts w:hint="eastAsia" w:ascii="宋体" w:hAnsi="宋体" w:eastAsia="宋体" w:cs="宋体"/>
                <w:color w:val="auto"/>
                <w:sz w:val="21"/>
                <w:szCs w:val="21"/>
                <w:highlight w:val="none"/>
              </w:rPr>
            </w:pPr>
          </w:p>
        </w:tc>
        <w:tc>
          <w:tcPr>
            <w:tcW w:w="960" w:type="dxa"/>
            <w:shd w:val="clear" w:color="auto" w:fill="FFFFFF"/>
            <w:noWrap w:val="0"/>
            <w:vAlign w:val="center"/>
          </w:tcPr>
          <w:p w14:paraId="33A3291F">
            <w:pPr>
              <w:pStyle w:val="32"/>
              <w:jc w:val="center"/>
              <w:rPr>
                <w:rFonts w:hint="eastAsia" w:ascii="宋体" w:hAnsi="宋体" w:eastAsia="宋体" w:cs="宋体"/>
                <w:color w:val="auto"/>
                <w:sz w:val="21"/>
                <w:szCs w:val="21"/>
                <w:highlight w:val="none"/>
              </w:rPr>
            </w:pPr>
          </w:p>
        </w:tc>
        <w:tc>
          <w:tcPr>
            <w:tcW w:w="750" w:type="dxa"/>
            <w:shd w:val="clear" w:color="auto" w:fill="FFFFFF"/>
            <w:noWrap w:val="0"/>
            <w:vAlign w:val="center"/>
          </w:tcPr>
          <w:p w14:paraId="4C264E09">
            <w:pPr>
              <w:pStyle w:val="32"/>
              <w:jc w:val="center"/>
              <w:rPr>
                <w:rFonts w:hint="eastAsia" w:ascii="宋体" w:hAnsi="宋体" w:eastAsia="宋体" w:cs="宋体"/>
                <w:color w:val="auto"/>
                <w:sz w:val="21"/>
                <w:szCs w:val="21"/>
                <w:highlight w:val="none"/>
              </w:rPr>
            </w:pPr>
          </w:p>
        </w:tc>
        <w:tc>
          <w:tcPr>
            <w:tcW w:w="845" w:type="dxa"/>
            <w:shd w:val="clear" w:color="auto" w:fill="FFFFFF"/>
            <w:noWrap w:val="0"/>
            <w:vAlign w:val="center"/>
          </w:tcPr>
          <w:p w14:paraId="5C4667FB">
            <w:pPr>
              <w:pStyle w:val="32"/>
              <w:jc w:val="center"/>
              <w:rPr>
                <w:rFonts w:hint="eastAsia" w:ascii="宋体" w:hAnsi="宋体" w:eastAsia="宋体" w:cs="宋体"/>
                <w:color w:val="auto"/>
                <w:sz w:val="21"/>
                <w:szCs w:val="21"/>
                <w:highlight w:val="none"/>
              </w:rPr>
            </w:pPr>
          </w:p>
        </w:tc>
        <w:tc>
          <w:tcPr>
            <w:tcW w:w="696" w:type="dxa"/>
            <w:shd w:val="clear" w:color="auto" w:fill="FFFFFF"/>
            <w:noWrap w:val="0"/>
            <w:vAlign w:val="center"/>
          </w:tcPr>
          <w:p w14:paraId="62DD5EE7">
            <w:pPr>
              <w:pStyle w:val="32"/>
              <w:jc w:val="center"/>
              <w:rPr>
                <w:rFonts w:hint="eastAsia" w:ascii="宋体" w:hAnsi="宋体" w:eastAsia="宋体" w:cs="宋体"/>
                <w:color w:val="auto"/>
                <w:sz w:val="21"/>
                <w:szCs w:val="21"/>
                <w:highlight w:val="none"/>
              </w:rPr>
            </w:pPr>
          </w:p>
        </w:tc>
        <w:tc>
          <w:tcPr>
            <w:tcW w:w="1677" w:type="dxa"/>
            <w:shd w:val="clear" w:color="auto" w:fill="FFFFFF"/>
            <w:noWrap w:val="0"/>
            <w:vAlign w:val="center"/>
          </w:tcPr>
          <w:p w14:paraId="06952AEA">
            <w:pPr>
              <w:pStyle w:val="32"/>
              <w:jc w:val="center"/>
              <w:rPr>
                <w:rFonts w:hint="eastAsia" w:ascii="宋体" w:hAnsi="宋体" w:eastAsia="宋体" w:cs="宋体"/>
                <w:color w:val="auto"/>
                <w:sz w:val="21"/>
                <w:szCs w:val="21"/>
                <w:highlight w:val="none"/>
              </w:rPr>
            </w:pPr>
          </w:p>
        </w:tc>
        <w:tc>
          <w:tcPr>
            <w:tcW w:w="1341" w:type="dxa"/>
            <w:shd w:val="clear" w:color="auto" w:fill="FFFFFF"/>
            <w:noWrap w:val="0"/>
            <w:vAlign w:val="center"/>
          </w:tcPr>
          <w:p w14:paraId="408881F7">
            <w:pPr>
              <w:pStyle w:val="32"/>
              <w:jc w:val="center"/>
              <w:rPr>
                <w:rFonts w:hint="eastAsia" w:ascii="宋体" w:hAnsi="宋体" w:eastAsia="宋体" w:cs="宋体"/>
                <w:color w:val="auto"/>
                <w:sz w:val="21"/>
                <w:szCs w:val="21"/>
                <w:highlight w:val="none"/>
              </w:rPr>
            </w:pPr>
          </w:p>
        </w:tc>
      </w:tr>
      <w:tr w14:paraId="48866A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 w:type="dxa"/>
            <w:bottom w:w="0" w:type="dxa"/>
            <w:right w:w="10" w:type="dxa"/>
          </w:tblCellMar>
        </w:tblPrEx>
        <w:trPr>
          <w:trHeight w:val="451" w:hRule="exact"/>
          <w:jc w:val="center"/>
        </w:trPr>
        <w:tc>
          <w:tcPr>
            <w:tcW w:w="1709" w:type="dxa"/>
            <w:shd w:val="clear" w:color="auto" w:fill="FFFFFF"/>
            <w:noWrap w:val="0"/>
            <w:vAlign w:val="center"/>
          </w:tcPr>
          <w:p w14:paraId="0E18234F">
            <w:pPr>
              <w:pStyle w:val="34"/>
              <w:spacing w:line="240" w:lineRule="auto"/>
              <w:ind w:firstLine="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en-US" w:bidi="en-US"/>
              </w:rPr>
              <w:t>3.</w:t>
            </w:r>
            <w:r>
              <w:rPr>
                <w:rFonts w:hint="eastAsia" w:ascii="宋体" w:hAnsi="宋体" w:eastAsia="宋体" w:cs="宋体"/>
                <w:color w:val="auto"/>
                <w:sz w:val="21"/>
                <w:szCs w:val="21"/>
                <w:highlight w:val="none"/>
              </w:rPr>
              <w:t>质量员</w:t>
            </w:r>
          </w:p>
        </w:tc>
        <w:tc>
          <w:tcPr>
            <w:tcW w:w="854" w:type="dxa"/>
            <w:shd w:val="clear" w:color="auto" w:fill="FFFFFF"/>
            <w:noWrap w:val="0"/>
            <w:vAlign w:val="center"/>
          </w:tcPr>
          <w:p w14:paraId="3F3D49E6">
            <w:pPr>
              <w:pStyle w:val="32"/>
              <w:jc w:val="center"/>
              <w:rPr>
                <w:rFonts w:hint="eastAsia" w:ascii="宋体" w:hAnsi="宋体" w:eastAsia="宋体" w:cs="宋体"/>
                <w:color w:val="auto"/>
                <w:sz w:val="21"/>
                <w:szCs w:val="21"/>
                <w:highlight w:val="none"/>
              </w:rPr>
            </w:pPr>
          </w:p>
        </w:tc>
        <w:tc>
          <w:tcPr>
            <w:tcW w:w="960" w:type="dxa"/>
            <w:shd w:val="clear" w:color="auto" w:fill="FFFFFF"/>
            <w:noWrap w:val="0"/>
            <w:vAlign w:val="center"/>
          </w:tcPr>
          <w:p w14:paraId="00D2B246">
            <w:pPr>
              <w:pStyle w:val="32"/>
              <w:jc w:val="center"/>
              <w:rPr>
                <w:rFonts w:hint="eastAsia" w:ascii="宋体" w:hAnsi="宋体" w:eastAsia="宋体" w:cs="宋体"/>
                <w:color w:val="auto"/>
                <w:sz w:val="21"/>
                <w:szCs w:val="21"/>
                <w:highlight w:val="none"/>
              </w:rPr>
            </w:pPr>
          </w:p>
        </w:tc>
        <w:tc>
          <w:tcPr>
            <w:tcW w:w="750" w:type="dxa"/>
            <w:shd w:val="clear" w:color="auto" w:fill="FFFFFF"/>
            <w:noWrap w:val="0"/>
            <w:vAlign w:val="center"/>
          </w:tcPr>
          <w:p w14:paraId="02919CD0">
            <w:pPr>
              <w:pStyle w:val="32"/>
              <w:jc w:val="center"/>
              <w:rPr>
                <w:rFonts w:hint="eastAsia" w:ascii="宋体" w:hAnsi="宋体" w:eastAsia="宋体" w:cs="宋体"/>
                <w:color w:val="auto"/>
                <w:sz w:val="21"/>
                <w:szCs w:val="21"/>
                <w:highlight w:val="none"/>
              </w:rPr>
            </w:pPr>
          </w:p>
        </w:tc>
        <w:tc>
          <w:tcPr>
            <w:tcW w:w="845" w:type="dxa"/>
            <w:shd w:val="clear" w:color="auto" w:fill="FFFFFF"/>
            <w:noWrap w:val="0"/>
            <w:vAlign w:val="center"/>
          </w:tcPr>
          <w:p w14:paraId="1F4DFE7C">
            <w:pPr>
              <w:pStyle w:val="32"/>
              <w:jc w:val="center"/>
              <w:rPr>
                <w:rFonts w:hint="eastAsia" w:ascii="宋体" w:hAnsi="宋体" w:eastAsia="宋体" w:cs="宋体"/>
                <w:color w:val="auto"/>
                <w:sz w:val="21"/>
                <w:szCs w:val="21"/>
                <w:highlight w:val="none"/>
              </w:rPr>
            </w:pPr>
          </w:p>
        </w:tc>
        <w:tc>
          <w:tcPr>
            <w:tcW w:w="696" w:type="dxa"/>
            <w:shd w:val="clear" w:color="auto" w:fill="FFFFFF"/>
            <w:noWrap w:val="0"/>
            <w:vAlign w:val="center"/>
          </w:tcPr>
          <w:p w14:paraId="0FAC2623">
            <w:pPr>
              <w:pStyle w:val="32"/>
              <w:jc w:val="center"/>
              <w:rPr>
                <w:rFonts w:hint="eastAsia" w:ascii="宋体" w:hAnsi="宋体" w:eastAsia="宋体" w:cs="宋体"/>
                <w:color w:val="auto"/>
                <w:sz w:val="21"/>
                <w:szCs w:val="21"/>
                <w:highlight w:val="none"/>
              </w:rPr>
            </w:pPr>
          </w:p>
        </w:tc>
        <w:tc>
          <w:tcPr>
            <w:tcW w:w="1677" w:type="dxa"/>
            <w:shd w:val="clear" w:color="auto" w:fill="FFFFFF"/>
            <w:noWrap w:val="0"/>
            <w:vAlign w:val="center"/>
          </w:tcPr>
          <w:p w14:paraId="437C6410">
            <w:pPr>
              <w:pStyle w:val="32"/>
              <w:jc w:val="center"/>
              <w:rPr>
                <w:rFonts w:hint="eastAsia" w:ascii="宋体" w:hAnsi="宋体" w:eastAsia="宋体" w:cs="宋体"/>
                <w:color w:val="auto"/>
                <w:sz w:val="21"/>
                <w:szCs w:val="21"/>
                <w:highlight w:val="none"/>
              </w:rPr>
            </w:pPr>
          </w:p>
        </w:tc>
        <w:tc>
          <w:tcPr>
            <w:tcW w:w="1341" w:type="dxa"/>
            <w:shd w:val="clear" w:color="auto" w:fill="FFFFFF"/>
            <w:noWrap w:val="0"/>
            <w:vAlign w:val="center"/>
          </w:tcPr>
          <w:p w14:paraId="037AD85A">
            <w:pPr>
              <w:pStyle w:val="32"/>
              <w:jc w:val="center"/>
              <w:rPr>
                <w:rFonts w:hint="eastAsia" w:ascii="宋体" w:hAnsi="宋体" w:eastAsia="宋体" w:cs="宋体"/>
                <w:color w:val="auto"/>
                <w:sz w:val="21"/>
                <w:szCs w:val="21"/>
                <w:highlight w:val="none"/>
              </w:rPr>
            </w:pPr>
          </w:p>
        </w:tc>
      </w:tr>
      <w:tr w14:paraId="4ED69C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 w:type="dxa"/>
            <w:bottom w:w="0" w:type="dxa"/>
            <w:right w:w="10" w:type="dxa"/>
          </w:tblCellMar>
        </w:tblPrEx>
        <w:trPr>
          <w:trHeight w:val="451" w:hRule="exact"/>
          <w:jc w:val="center"/>
        </w:trPr>
        <w:tc>
          <w:tcPr>
            <w:tcW w:w="1709" w:type="dxa"/>
            <w:shd w:val="clear" w:color="auto" w:fill="FFFFFF"/>
            <w:noWrap w:val="0"/>
            <w:vAlign w:val="center"/>
          </w:tcPr>
          <w:p w14:paraId="5CD15FE4">
            <w:pPr>
              <w:pStyle w:val="34"/>
              <w:spacing w:line="240" w:lineRule="auto"/>
              <w:ind w:firstLine="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en-US" w:bidi="en-US"/>
              </w:rPr>
              <w:t>4.</w:t>
            </w:r>
            <w:r>
              <w:rPr>
                <w:rFonts w:hint="eastAsia" w:ascii="宋体" w:hAnsi="宋体" w:eastAsia="宋体" w:cs="宋体"/>
                <w:color w:val="auto"/>
                <w:sz w:val="21"/>
                <w:szCs w:val="21"/>
                <w:highlight w:val="none"/>
              </w:rPr>
              <w:t>安全员</w:t>
            </w:r>
          </w:p>
        </w:tc>
        <w:tc>
          <w:tcPr>
            <w:tcW w:w="854" w:type="dxa"/>
            <w:shd w:val="clear" w:color="auto" w:fill="FFFFFF"/>
            <w:noWrap w:val="0"/>
            <w:vAlign w:val="center"/>
          </w:tcPr>
          <w:p w14:paraId="6A275091">
            <w:pPr>
              <w:pStyle w:val="32"/>
              <w:jc w:val="center"/>
              <w:rPr>
                <w:rFonts w:hint="eastAsia" w:ascii="宋体" w:hAnsi="宋体" w:eastAsia="宋体" w:cs="宋体"/>
                <w:color w:val="auto"/>
                <w:sz w:val="21"/>
                <w:szCs w:val="21"/>
                <w:highlight w:val="none"/>
              </w:rPr>
            </w:pPr>
          </w:p>
        </w:tc>
        <w:tc>
          <w:tcPr>
            <w:tcW w:w="960" w:type="dxa"/>
            <w:shd w:val="clear" w:color="auto" w:fill="FFFFFF"/>
            <w:noWrap w:val="0"/>
            <w:vAlign w:val="center"/>
          </w:tcPr>
          <w:p w14:paraId="678F7C03">
            <w:pPr>
              <w:pStyle w:val="32"/>
              <w:jc w:val="center"/>
              <w:rPr>
                <w:rFonts w:hint="eastAsia" w:ascii="宋体" w:hAnsi="宋体" w:eastAsia="宋体" w:cs="宋体"/>
                <w:color w:val="auto"/>
                <w:sz w:val="21"/>
                <w:szCs w:val="21"/>
                <w:highlight w:val="none"/>
              </w:rPr>
            </w:pPr>
          </w:p>
        </w:tc>
        <w:tc>
          <w:tcPr>
            <w:tcW w:w="750" w:type="dxa"/>
            <w:shd w:val="clear" w:color="auto" w:fill="FFFFFF"/>
            <w:noWrap w:val="0"/>
            <w:vAlign w:val="center"/>
          </w:tcPr>
          <w:p w14:paraId="39474226">
            <w:pPr>
              <w:pStyle w:val="32"/>
              <w:jc w:val="center"/>
              <w:rPr>
                <w:rFonts w:hint="eastAsia" w:ascii="宋体" w:hAnsi="宋体" w:eastAsia="宋体" w:cs="宋体"/>
                <w:color w:val="auto"/>
                <w:sz w:val="21"/>
                <w:szCs w:val="21"/>
                <w:highlight w:val="none"/>
              </w:rPr>
            </w:pPr>
          </w:p>
        </w:tc>
        <w:tc>
          <w:tcPr>
            <w:tcW w:w="845" w:type="dxa"/>
            <w:shd w:val="clear" w:color="auto" w:fill="FFFFFF"/>
            <w:noWrap w:val="0"/>
            <w:vAlign w:val="center"/>
          </w:tcPr>
          <w:p w14:paraId="3D76797A">
            <w:pPr>
              <w:pStyle w:val="32"/>
              <w:jc w:val="center"/>
              <w:rPr>
                <w:rFonts w:hint="eastAsia" w:ascii="宋体" w:hAnsi="宋体" w:eastAsia="宋体" w:cs="宋体"/>
                <w:color w:val="auto"/>
                <w:sz w:val="21"/>
                <w:szCs w:val="21"/>
                <w:highlight w:val="none"/>
              </w:rPr>
            </w:pPr>
          </w:p>
        </w:tc>
        <w:tc>
          <w:tcPr>
            <w:tcW w:w="696" w:type="dxa"/>
            <w:shd w:val="clear" w:color="auto" w:fill="FFFFFF"/>
            <w:noWrap w:val="0"/>
            <w:vAlign w:val="center"/>
          </w:tcPr>
          <w:p w14:paraId="5CF2DFE6">
            <w:pPr>
              <w:pStyle w:val="32"/>
              <w:jc w:val="center"/>
              <w:rPr>
                <w:rFonts w:hint="eastAsia" w:ascii="宋体" w:hAnsi="宋体" w:eastAsia="宋体" w:cs="宋体"/>
                <w:color w:val="auto"/>
                <w:sz w:val="21"/>
                <w:szCs w:val="21"/>
                <w:highlight w:val="none"/>
              </w:rPr>
            </w:pPr>
          </w:p>
        </w:tc>
        <w:tc>
          <w:tcPr>
            <w:tcW w:w="1677" w:type="dxa"/>
            <w:shd w:val="clear" w:color="auto" w:fill="FFFFFF"/>
            <w:noWrap w:val="0"/>
            <w:vAlign w:val="center"/>
          </w:tcPr>
          <w:p w14:paraId="01630E11">
            <w:pPr>
              <w:pStyle w:val="32"/>
              <w:jc w:val="center"/>
              <w:rPr>
                <w:rFonts w:hint="eastAsia" w:ascii="宋体" w:hAnsi="宋体" w:eastAsia="宋体" w:cs="宋体"/>
                <w:color w:val="auto"/>
                <w:sz w:val="21"/>
                <w:szCs w:val="21"/>
                <w:highlight w:val="none"/>
              </w:rPr>
            </w:pPr>
          </w:p>
        </w:tc>
        <w:tc>
          <w:tcPr>
            <w:tcW w:w="1341" w:type="dxa"/>
            <w:shd w:val="clear" w:color="auto" w:fill="FFFFFF"/>
            <w:noWrap w:val="0"/>
            <w:vAlign w:val="center"/>
          </w:tcPr>
          <w:p w14:paraId="15D0A5A1">
            <w:pPr>
              <w:pStyle w:val="32"/>
              <w:jc w:val="center"/>
              <w:rPr>
                <w:rFonts w:hint="eastAsia" w:ascii="宋体" w:hAnsi="宋体" w:eastAsia="宋体" w:cs="宋体"/>
                <w:color w:val="auto"/>
                <w:sz w:val="21"/>
                <w:szCs w:val="21"/>
                <w:highlight w:val="none"/>
              </w:rPr>
            </w:pPr>
          </w:p>
        </w:tc>
      </w:tr>
      <w:tr w14:paraId="45CD41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 w:type="dxa"/>
            <w:bottom w:w="0" w:type="dxa"/>
            <w:right w:w="10" w:type="dxa"/>
          </w:tblCellMar>
        </w:tblPrEx>
        <w:trPr>
          <w:trHeight w:val="456" w:hRule="exact"/>
          <w:jc w:val="center"/>
        </w:trPr>
        <w:tc>
          <w:tcPr>
            <w:tcW w:w="1709" w:type="dxa"/>
            <w:shd w:val="clear" w:color="auto" w:fill="FFFFFF"/>
            <w:noWrap w:val="0"/>
            <w:vAlign w:val="center"/>
          </w:tcPr>
          <w:p w14:paraId="03304B68">
            <w:pPr>
              <w:pStyle w:val="34"/>
              <w:spacing w:line="240" w:lineRule="auto"/>
              <w:ind w:firstLine="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bidi="en-US"/>
              </w:rPr>
              <w:t>5</w:t>
            </w:r>
            <w:r>
              <w:rPr>
                <w:rFonts w:hint="eastAsia" w:ascii="宋体" w:hAnsi="宋体" w:eastAsia="宋体" w:cs="宋体"/>
                <w:color w:val="auto"/>
                <w:sz w:val="21"/>
                <w:szCs w:val="21"/>
                <w:highlight w:val="none"/>
                <w:lang w:val="en-US" w:eastAsia="en-US" w:bidi="en-US"/>
              </w:rPr>
              <w:t>.</w:t>
            </w:r>
            <w:r>
              <w:rPr>
                <w:rFonts w:hint="eastAsia" w:ascii="宋体" w:hAnsi="宋体" w:eastAsia="宋体" w:cs="宋体"/>
                <w:color w:val="auto"/>
                <w:sz w:val="21"/>
                <w:szCs w:val="21"/>
                <w:highlight w:val="none"/>
              </w:rPr>
              <w:t>材料员</w:t>
            </w:r>
          </w:p>
        </w:tc>
        <w:tc>
          <w:tcPr>
            <w:tcW w:w="854" w:type="dxa"/>
            <w:shd w:val="clear" w:color="auto" w:fill="FFFFFF"/>
            <w:noWrap w:val="0"/>
            <w:vAlign w:val="center"/>
          </w:tcPr>
          <w:p w14:paraId="3CBBE706">
            <w:pPr>
              <w:pStyle w:val="32"/>
              <w:jc w:val="center"/>
              <w:rPr>
                <w:rFonts w:hint="eastAsia" w:ascii="宋体" w:hAnsi="宋体" w:eastAsia="宋体" w:cs="宋体"/>
                <w:color w:val="auto"/>
                <w:sz w:val="21"/>
                <w:szCs w:val="21"/>
                <w:highlight w:val="none"/>
              </w:rPr>
            </w:pPr>
          </w:p>
        </w:tc>
        <w:tc>
          <w:tcPr>
            <w:tcW w:w="960" w:type="dxa"/>
            <w:shd w:val="clear" w:color="auto" w:fill="FFFFFF"/>
            <w:noWrap w:val="0"/>
            <w:vAlign w:val="center"/>
          </w:tcPr>
          <w:p w14:paraId="06BB2328">
            <w:pPr>
              <w:pStyle w:val="32"/>
              <w:jc w:val="center"/>
              <w:rPr>
                <w:rFonts w:hint="eastAsia" w:ascii="宋体" w:hAnsi="宋体" w:eastAsia="宋体" w:cs="宋体"/>
                <w:color w:val="auto"/>
                <w:sz w:val="21"/>
                <w:szCs w:val="21"/>
                <w:highlight w:val="none"/>
              </w:rPr>
            </w:pPr>
          </w:p>
        </w:tc>
        <w:tc>
          <w:tcPr>
            <w:tcW w:w="750" w:type="dxa"/>
            <w:shd w:val="clear" w:color="auto" w:fill="FFFFFF"/>
            <w:noWrap w:val="0"/>
            <w:vAlign w:val="center"/>
          </w:tcPr>
          <w:p w14:paraId="3A8030EA">
            <w:pPr>
              <w:pStyle w:val="32"/>
              <w:jc w:val="center"/>
              <w:rPr>
                <w:rFonts w:hint="eastAsia" w:ascii="宋体" w:hAnsi="宋体" w:eastAsia="宋体" w:cs="宋体"/>
                <w:color w:val="auto"/>
                <w:sz w:val="21"/>
                <w:szCs w:val="21"/>
                <w:highlight w:val="none"/>
              </w:rPr>
            </w:pPr>
          </w:p>
        </w:tc>
        <w:tc>
          <w:tcPr>
            <w:tcW w:w="845" w:type="dxa"/>
            <w:shd w:val="clear" w:color="auto" w:fill="FFFFFF"/>
            <w:noWrap w:val="0"/>
            <w:vAlign w:val="center"/>
          </w:tcPr>
          <w:p w14:paraId="181E2D68">
            <w:pPr>
              <w:pStyle w:val="32"/>
              <w:jc w:val="center"/>
              <w:rPr>
                <w:rFonts w:hint="eastAsia" w:ascii="宋体" w:hAnsi="宋体" w:eastAsia="宋体" w:cs="宋体"/>
                <w:color w:val="auto"/>
                <w:sz w:val="21"/>
                <w:szCs w:val="21"/>
                <w:highlight w:val="none"/>
              </w:rPr>
            </w:pPr>
          </w:p>
        </w:tc>
        <w:tc>
          <w:tcPr>
            <w:tcW w:w="696" w:type="dxa"/>
            <w:shd w:val="clear" w:color="auto" w:fill="FFFFFF"/>
            <w:noWrap w:val="0"/>
            <w:vAlign w:val="center"/>
          </w:tcPr>
          <w:p w14:paraId="61DFDA7E">
            <w:pPr>
              <w:pStyle w:val="32"/>
              <w:jc w:val="center"/>
              <w:rPr>
                <w:rFonts w:hint="eastAsia" w:ascii="宋体" w:hAnsi="宋体" w:eastAsia="宋体" w:cs="宋体"/>
                <w:color w:val="auto"/>
                <w:sz w:val="21"/>
                <w:szCs w:val="21"/>
                <w:highlight w:val="none"/>
              </w:rPr>
            </w:pPr>
          </w:p>
        </w:tc>
        <w:tc>
          <w:tcPr>
            <w:tcW w:w="1677" w:type="dxa"/>
            <w:shd w:val="clear" w:color="auto" w:fill="FFFFFF"/>
            <w:noWrap w:val="0"/>
            <w:vAlign w:val="center"/>
          </w:tcPr>
          <w:p w14:paraId="4DF903A5">
            <w:pPr>
              <w:pStyle w:val="32"/>
              <w:jc w:val="center"/>
              <w:rPr>
                <w:rFonts w:hint="eastAsia" w:ascii="宋体" w:hAnsi="宋体" w:eastAsia="宋体" w:cs="宋体"/>
                <w:color w:val="auto"/>
                <w:sz w:val="21"/>
                <w:szCs w:val="21"/>
                <w:highlight w:val="none"/>
              </w:rPr>
            </w:pPr>
          </w:p>
        </w:tc>
        <w:tc>
          <w:tcPr>
            <w:tcW w:w="1341" w:type="dxa"/>
            <w:shd w:val="clear" w:color="auto" w:fill="FFFFFF"/>
            <w:noWrap w:val="0"/>
            <w:vAlign w:val="center"/>
          </w:tcPr>
          <w:p w14:paraId="17D34AF7">
            <w:pPr>
              <w:pStyle w:val="32"/>
              <w:jc w:val="center"/>
              <w:rPr>
                <w:rFonts w:hint="eastAsia" w:ascii="宋体" w:hAnsi="宋体" w:eastAsia="宋体" w:cs="宋体"/>
                <w:color w:val="auto"/>
                <w:sz w:val="21"/>
                <w:szCs w:val="21"/>
                <w:highlight w:val="none"/>
              </w:rPr>
            </w:pPr>
          </w:p>
        </w:tc>
      </w:tr>
      <w:tr w14:paraId="0F7671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 w:type="dxa"/>
            <w:bottom w:w="0" w:type="dxa"/>
            <w:right w:w="10" w:type="dxa"/>
          </w:tblCellMar>
        </w:tblPrEx>
        <w:trPr>
          <w:trHeight w:val="456" w:hRule="exact"/>
          <w:jc w:val="center"/>
        </w:trPr>
        <w:tc>
          <w:tcPr>
            <w:tcW w:w="1709" w:type="dxa"/>
            <w:shd w:val="clear" w:color="auto" w:fill="FFFFFF"/>
            <w:noWrap w:val="0"/>
            <w:vAlign w:val="center"/>
          </w:tcPr>
          <w:p w14:paraId="2E77143A">
            <w:pPr>
              <w:pStyle w:val="34"/>
              <w:spacing w:line="240" w:lineRule="auto"/>
              <w:ind w:firstLine="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bidi="en-US"/>
              </w:rPr>
              <w:t>6</w:t>
            </w:r>
            <w:r>
              <w:rPr>
                <w:rFonts w:hint="eastAsia" w:ascii="宋体" w:hAnsi="宋体" w:eastAsia="宋体" w:cs="宋体"/>
                <w:color w:val="auto"/>
                <w:sz w:val="21"/>
                <w:szCs w:val="21"/>
                <w:highlight w:val="none"/>
                <w:lang w:val="en-US" w:eastAsia="en-US" w:bidi="en-US"/>
              </w:rPr>
              <w:t>.</w:t>
            </w:r>
            <w:r>
              <w:rPr>
                <w:rFonts w:hint="eastAsia" w:ascii="宋体" w:hAnsi="宋体" w:eastAsia="宋体" w:cs="宋体"/>
                <w:color w:val="auto"/>
                <w:sz w:val="21"/>
                <w:szCs w:val="21"/>
                <w:highlight w:val="none"/>
              </w:rPr>
              <w:t>施工员</w:t>
            </w:r>
          </w:p>
        </w:tc>
        <w:tc>
          <w:tcPr>
            <w:tcW w:w="854" w:type="dxa"/>
            <w:shd w:val="clear" w:color="auto" w:fill="FFFFFF"/>
            <w:noWrap w:val="0"/>
            <w:vAlign w:val="center"/>
          </w:tcPr>
          <w:p w14:paraId="0A91C5F4">
            <w:pPr>
              <w:pStyle w:val="32"/>
              <w:jc w:val="center"/>
              <w:rPr>
                <w:rFonts w:hint="eastAsia" w:ascii="宋体" w:hAnsi="宋体" w:eastAsia="宋体" w:cs="宋体"/>
                <w:color w:val="auto"/>
                <w:sz w:val="21"/>
                <w:szCs w:val="21"/>
                <w:highlight w:val="none"/>
              </w:rPr>
            </w:pPr>
          </w:p>
        </w:tc>
        <w:tc>
          <w:tcPr>
            <w:tcW w:w="960" w:type="dxa"/>
            <w:shd w:val="clear" w:color="auto" w:fill="FFFFFF"/>
            <w:noWrap w:val="0"/>
            <w:vAlign w:val="center"/>
          </w:tcPr>
          <w:p w14:paraId="08908525">
            <w:pPr>
              <w:pStyle w:val="32"/>
              <w:jc w:val="center"/>
              <w:rPr>
                <w:rFonts w:hint="eastAsia" w:ascii="宋体" w:hAnsi="宋体" w:eastAsia="宋体" w:cs="宋体"/>
                <w:color w:val="auto"/>
                <w:sz w:val="21"/>
                <w:szCs w:val="21"/>
                <w:highlight w:val="none"/>
              </w:rPr>
            </w:pPr>
          </w:p>
        </w:tc>
        <w:tc>
          <w:tcPr>
            <w:tcW w:w="750" w:type="dxa"/>
            <w:shd w:val="clear" w:color="auto" w:fill="FFFFFF"/>
            <w:noWrap w:val="0"/>
            <w:vAlign w:val="center"/>
          </w:tcPr>
          <w:p w14:paraId="4C4E9E10">
            <w:pPr>
              <w:pStyle w:val="32"/>
              <w:jc w:val="center"/>
              <w:rPr>
                <w:rFonts w:hint="eastAsia" w:ascii="宋体" w:hAnsi="宋体" w:eastAsia="宋体" w:cs="宋体"/>
                <w:color w:val="auto"/>
                <w:sz w:val="21"/>
                <w:szCs w:val="21"/>
                <w:highlight w:val="none"/>
              </w:rPr>
            </w:pPr>
          </w:p>
        </w:tc>
        <w:tc>
          <w:tcPr>
            <w:tcW w:w="845" w:type="dxa"/>
            <w:shd w:val="clear" w:color="auto" w:fill="FFFFFF"/>
            <w:noWrap w:val="0"/>
            <w:vAlign w:val="center"/>
          </w:tcPr>
          <w:p w14:paraId="74678EDE">
            <w:pPr>
              <w:pStyle w:val="32"/>
              <w:jc w:val="center"/>
              <w:rPr>
                <w:rFonts w:hint="eastAsia" w:ascii="宋体" w:hAnsi="宋体" w:eastAsia="宋体" w:cs="宋体"/>
                <w:color w:val="auto"/>
                <w:sz w:val="21"/>
                <w:szCs w:val="21"/>
                <w:highlight w:val="none"/>
              </w:rPr>
            </w:pPr>
          </w:p>
        </w:tc>
        <w:tc>
          <w:tcPr>
            <w:tcW w:w="696" w:type="dxa"/>
            <w:shd w:val="clear" w:color="auto" w:fill="FFFFFF"/>
            <w:noWrap w:val="0"/>
            <w:vAlign w:val="center"/>
          </w:tcPr>
          <w:p w14:paraId="608F7613">
            <w:pPr>
              <w:pStyle w:val="32"/>
              <w:jc w:val="center"/>
              <w:rPr>
                <w:rFonts w:hint="eastAsia" w:ascii="宋体" w:hAnsi="宋体" w:eastAsia="宋体" w:cs="宋体"/>
                <w:color w:val="auto"/>
                <w:sz w:val="21"/>
                <w:szCs w:val="21"/>
                <w:highlight w:val="none"/>
              </w:rPr>
            </w:pPr>
          </w:p>
        </w:tc>
        <w:tc>
          <w:tcPr>
            <w:tcW w:w="1677" w:type="dxa"/>
            <w:shd w:val="clear" w:color="auto" w:fill="FFFFFF"/>
            <w:noWrap w:val="0"/>
            <w:vAlign w:val="center"/>
          </w:tcPr>
          <w:p w14:paraId="450DF264">
            <w:pPr>
              <w:pStyle w:val="32"/>
              <w:jc w:val="center"/>
              <w:rPr>
                <w:rFonts w:hint="eastAsia" w:ascii="宋体" w:hAnsi="宋体" w:eastAsia="宋体" w:cs="宋体"/>
                <w:color w:val="auto"/>
                <w:sz w:val="21"/>
                <w:szCs w:val="21"/>
                <w:highlight w:val="none"/>
              </w:rPr>
            </w:pPr>
          </w:p>
        </w:tc>
        <w:tc>
          <w:tcPr>
            <w:tcW w:w="1341" w:type="dxa"/>
            <w:shd w:val="clear" w:color="auto" w:fill="FFFFFF"/>
            <w:noWrap w:val="0"/>
            <w:vAlign w:val="center"/>
          </w:tcPr>
          <w:p w14:paraId="3A82B169">
            <w:pPr>
              <w:pStyle w:val="32"/>
              <w:jc w:val="center"/>
              <w:rPr>
                <w:rFonts w:hint="eastAsia" w:ascii="宋体" w:hAnsi="宋体" w:eastAsia="宋体" w:cs="宋体"/>
                <w:color w:val="auto"/>
                <w:sz w:val="21"/>
                <w:szCs w:val="21"/>
                <w:highlight w:val="none"/>
              </w:rPr>
            </w:pPr>
          </w:p>
        </w:tc>
      </w:tr>
      <w:tr w14:paraId="4B53E3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 w:type="dxa"/>
            <w:bottom w:w="0" w:type="dxa"/>
            <w:right w:w="10" w:type="dxa"/>
          </w:tblCellMar>
        </w:tblPrEx>
        <w:trPr>
          <w:trHeight w:val="451" w:hRule="exact"/>
          <w:jc w:val="center"/>
        </w:trPr>
        <w:tc>
          <w:tcPr>
            <w:tcW w:w="1709" w:type="dxa"/>
            <w:shd w:val="clear" w:color="auto" w:fill="FFFFFF"/>
            <w:noWrap w:val="0"/>
            <w:vAlign w:val="center"/>
          </w:tcPr>
          <w:p w14:paraId="1DDE2558">
            <w:pPr>
              <w:pStyle w:val="34"/>
              <w:spacing w:line="240" w:lineRule="auto"/>
              <w:ind w:firstLine="0"/>
              <w:jc w:val="center"/>
              <w:rPr>
                <w:rFonts w:hint="eastAsia" w:ascii="宋体" w:hAnsi="宋体" w:eastAsia="宋体" w:cs="宋体"/>
                <w:color w:val="auto"/>
                <w:sz w:val="21"/>
                <w:szCs w:val="21"/>
                <w:highlight w:val="none"/>
              </w:rPr>
            </w:pPr>
          </w:p>
        </w:tc>
        <w:tc>
          <w:tcPr>
            <w:tcW w:w="854" w:type="dxa"/>
            <w:shd w:val="clear" w:color="auto" w:fill="FFFFFF"/>
            <w:noWrap w:val="0"/>
            <w:vAlign w:val="center"/>
          </w:tcPr>
          <w:p w14:paraId="48F8B686">
            <w:pPr>
              <w:pStyle w:val="32"/>
              <w:jc w:val="center"/>
              <w:rPr>
                <w:rFonts w:hint="eastAsia" w:ascii="宋体" w:hAnsi="宋体" w:eastAsia="宋体" w:cs="宋体"/>
                <w:color w:val="auto"/>
                <w:sz w:val="21"/>
                <w:szCs w:val="21"/>
                <w:highlight w:val="none"/>
              </w:rPr>
            </w:pPr>
          </w:p>
        </w:tc>
        <w:tc>
          <w:tcPr>
            <w:tcW w:w="960" w:type="dxa"/>
            <w:shd w:val="clear" w:color="auto" w:fill="FFFFFF"/>
            <w:noWrap w:val="0"/>
            <w:vAlign w:val="center"/>
          </w:tcPr>
          <w:p w14:paraId="64C2226C">
            <w:pPr>
              <w:pStyle w:val="32"/>
              <w:jc w:val="center"/>
              <w:rPr>
                <w:rFonts w:hint="eastAsia" w:ascii="宋体" w:hAnsi="宋体" w:eastAsia="宋体" w:cs="宋体"/>
                <w:color w:val="auto"/>
                <w:sz w:val="21"/>
                <w:szCs w:val="21"/>
                <w:highlight w:val="none"/>
              </w:rPr>
            </w:pPr>
          </w:p>
        </w:tc>
        <w:tc>
          <w:tcPr>
            <w:tcW w:w="750" w:type="dxa"/>
            <w:shd w:val="clear" w:color="auto" w:fill="FFFFFF"/>
            <w:noWrap w:val="0"/>
            <w:vAlign w:val="center"/>
          </w:tcPr>
          <w:p w14:paraId="231E972F">
            <w:pPr>
              <w:pStyle w:val="32"/>
              <w:jc w:val="center"/>
              <w:rPr>
                <w:rFonts w:hint="eastAsia" w:ascii="宋体" w:hAnsi="宋体" w:eastAsia="宋体" w:cs="宋体"/>
                <w:color w:val="auto"/>
                <w:sz w:val="21"/>
                <w:szCs w:val="21"/>
                <w:highlight w:val="none"/>
              </w:rPr>
            </w:pPr>
          </w:p>
        </w:tc>
        <w:tc>
          <w:tcPr>
            <w:tcW w:w="845" w:type="dxa"/>
            <w:shd w:val="clear" w:color="auto" w:fill="FFFFFF"/>
            <w:noWrap w:val="0"/>
            <w:vAlign w:val="center"/>
          </w:tcPr>
          <w:p w14:paraId="79DB86BB">
            <w:pPr>
              <w:pStyle w:val="32"/>
              <w:jc w:val="center"/>
              <w:rPr>
                <w:rFonts w:hint="eastAsia" w:ascii="宋体" w:hAnsi="宋体" w:eastAsia="宋体" w:cs="宋体"/>
                <w:color w:val="auto"/>
                <w:sz w:val="21"/>
                <w:szCs w:val="21"/>
                <w:highlight w:val="none"/>
              </w:rPr>
            </w:pPr>
          </w:p>
        </w:tc>
        <w:tc>
          <w:tcPr>
            <w:tcW w:w="696" w:type="dxa"/>
            <w:shd w:val="clear" w:color="auto" w:fill="FFFFFF"/>
            <w:noWrap w:val="0"/>
            <w:vAlign w:val="center"/>
          </w:tcPr>
          <w:p w14:paraId="3876E4C8">
            <w:pPr>
              <w:pStyle w:val="32"/>
              <w:jc w:val="center"/>
              <w:rPr>
                <w:rFonts w:hint="eastAsia" w:ascii="宋体" w:hAnsi="宋体" w:eastAsia="宋体" w:cs="宋体"/>
                <w:color w:val="auto"/>
                <w:sz w:val="21"/>
                <w:szCs w:val="21"/>
                <w:highlight w:val="none"/>
              </w:rPr>
            </w:pPr>
          </w:p>
        </w:tc>
        <w:tc>
          <w:tcPr>
            <w:tcW w:w="1677" w:type="dxa"/>
            <w:shd w:val="clear" w:color="auto" w:fill="FFFFFF"/>
            <w:noWrap w:val="0"/>
            <w:vAlign w:val="center"/>
          </w:tcPr>
          <w:p w14:paraId="1E9234C8">
            <w:pPr>
              <w:pStyle w:val="32"/>
              <w:jc w:val="center"/>
              <w:rPr>
                <w:rFonts w:hint="eastAsia" w:ascii="宋体" w:hAnsi="宋体" w:eastAsia="宋体" w:cs="宋体"/>
                <w:color w:val="auto"/>
                <w:sz w:val="21"/>
                <w:szCs w:val="21"/>
                <w:highlight w:val="none"/>
              </w:rPr>
            </w:pPr>
          </w:p>
        </w:tc>
        <w:tc>
          <w:tcPr>
            <w:tcW w:w="1341" w:type="dxa"/>
            <w:shd w:val="clear" w:color="auto" w:fill="FFFFFF"/>
            <w:noWrap w:val="0"/>
            <w:vAlign w:val="center"/>
          </w:tcPr>
          <w:p w14:paraId="78C4CB55">
            <w:pPr>
              <w:pStyle w:val="32"/>
              <w:jc w:val="center"/>
              <w:rPr>
                <w:rFonts w:hint="eastAsia" w:ascii="宋体" w:hAnsi="宋体" w:eastAsia="宋体" w:cs="宋体"/>
                <w:color w:val="auto"/>
                <w:sz w:val="21"/>
                <w:szCs w:val="21"/>
                <w:highlight w:val="none"/>
              </w:rPr>
            </w:pPr>
          </w:p>
        </w:tc>
      </w:tr>
      <w:tr w14:paraId="2E169A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 w:type="dxa"/>
            <w:bottom w:w="0" w:type="dxa"/>
            <w:right w:w="10" w:type="dxa"/>
          </w:tblCellMar>
        </w:tblPrEx>
        <w:trPr>
          <w:trHeight w:val="466" w:hRule="exact"/>
          <w:jc w:val="center"/>
        </w:trPr>
        <w:tc>
          <w:tcPr>
            <w:tcW w:w="1709" w:type="dxa"/>
            <w:shd w:val="clear" w:color="auto" w:fill="FFFFFF"/>
            <w:noWrap w:val="0"/>
            <w:vAlign w:val="center"/>
          </w:tcPr>
          <w:p w14:paraId="5E1D0D7F">
            <w:pPr>
              <w:pStyle w:val="32"/>
              <w:jc w:val="center"/>
              <w:rPr>
                <w:rFonts w:hint="eastAsia" w:ascii="宋体" w:hAnsi="宋体" w:eastAsia="宋体" w:cs="宋体"/>
                <w:color w:val="auto"/>
                <w:sz w:val="21"/>
                <w:szCs w:val="21"/>
                <w:highlight w:val="none"/>
              </w:rPr>
            </w:pPr>
          </w:p>
        </w:tc>
        <w:tc>
          <w:tcPr>
            <w:tcW w:w="854" w:type="dxa"/>
            <w:shd w:val="clear" w:color="auto" w:fill="FFFFFF"/>
            <w:noWrap w:val="0"/>
            <w:vAlign w:val="center"/>
          </w:tcPr>
          <w:p w14:paraId="05ACCAAB">
            <w:pPr>
              <w:pStyle w:val="32"/>
              <w:jc w:val="center"/>
              <w:rPr>
                <w:rFonts w:hint="eastAsia" w:ascii="宋体" w:hAnsi="宋体" w:eastAsia="宋体" w:cs="宋体"/>
                <w:color w:val="auto"/>
                <w:sz w:val="21"/>
                <w:szCs w:val="21"/>
                <w:highlight w:val="none"/>
              </w:rPr>
            </w:pPr>
          </w:p>
        </w:tc>
        <w:tc>
          <w:tcPr>
            <w:tcW w:w="960" w:type="dxa"/>
            <w:shd w:val="clear" w:color="auto" w:fill="FFFFFF"/>
            <w:noWrap w:val="0"/>
            <w:vAlign w:val="center"/>
          </w:tcPr>
          <w:p w14:paraId="31A373A6">
            <w:pPr>
              <w:pStyle w:val="32"/>
              <w:jc w:val="center"/>
              <w:rPr>
                <w:rFonts w:hint="eastAsia" w:ascii="宋体" w:hAnsi="宋体" w:eastAsia="宋体" w:cs="宋体"/>
                <w:color w:val="auto"/>
                <w:sz w:val="21"/>
                <w:szCs w:val="21"/>
                <w:highlight w:val="none"/>
              </w:rPr>
            </w:pPr>
          </w:p>
        </w:tc>
        <w:tc>
          <w:tcPr>
            <w:tcW w:w="750" w:type="dxa"/>
            <w:shd w:val="clear" w:color="auto" w:fill="FFFFFF"/>
            <w:noWrap w:val="0"/>
            <w:vAlign w:val="center"/>
          </w:tcPr>
          <w:p w14:paraId="03CBE7C1">
            <w:pPr>
              <w:pStyle w:val="32"/>
              <w:jc w:val="center"/>
              <w:rPr>
                <w:rFonts w:hint="eastAsia" w:ascii="宋体" w:hAnsi="宋体" w:eastAsia="宋体" w:cs="宋体"/>
                <w:color w:val="auto"/>
                <w:sz w:val="21"/>
                <w:szCs w:val="21"/>
                <w:highlight w:val="none"/>
              </w:rPr>
            </w:pPr>
          </w:p>
        </w:tc>
        <w:tc>
          <w:tcPr>
            <w:tcW w:w="845" w:type="dxa"/>
            <w:shd w:val="clear" w:color="auto" w:fill="FFFFFF"/>
            <w:noWrap w:val="0"/>
            <w:vAlign w:val="center"/>
          </w:tcPr>
          <w:p w14:paraId="00063D0C">
            <w:pPr>
              <w:pStyle w:val="32"/>
              <w:jc w:val="center"/>
              <w:rPr>
                <w:rFonts w:hint="eastAsia" w:ascii="宋体" w:hAnsi="宋体" w:eastAsia="宋体" w:cs="宋体"/>
                <w:color w:val="auto"/>
                <w:sz w:val="21"/>
                <w:szCs w:val="21"/>
                <w:highlight w:val="none"/>
              </w:rPr>
            </w:pPr>
          </w:p>
        </w:tc>
        <w:tc>
          <w:tcPr>
            <w:tcW w:w="696" w:type="dxa"/>
            <w:shd w:val="clear" w:color="auto" w:fill="FFFFFF"/>
            <w:noWrap w:val="0"/>
            <w:vAlign w:val="center"/>
          </w:tcPr>
          <w:p w14:paraId="616484EB">
            <w:pPr>
              <w:pStyle w:val="32"/>
              <w:jc w:val="center"/>
              <w:rPr>
                <w:rFonts w:hint="eastAsia" w:ascii="宋体" w:hAnsi="宋体" w:eastAsia="宋体" w:cs="宋体"/>
                <w:color w:val="auto"/>
                <w:sz w:val="21"/>
                <w:szCs w:val="21"/>
                <w:highlight w:val="none"/>
              </w:rPr>
            </w:pPr>
          </w:p>
        </w:tc>
        <w:tc>
          <w:tcPr>
            <w:tcW w:w="1677" w:type="dxa"/>
            <w:shd w:val="clear" w:color="auto" w:fill="FFFFFF"/>
            <w:noWrap w:val="0"/>
            <w:vAlign w:val="center"/>
          </w:tcPr>
          <w:p w14:paraId="2D085B58">
            <w:pPr>
              <w:pStyle w:val="32"/>
              <w:jc w:val="center"/>
              <w:rPr>
                <w:rFonts w:hint="eastAsia" w:ascii="宋体" w:hAnsi="宋体" w:eastAsia="宋体" w:cs="宋体"/>
                <w:color w:val="auto"/>
                <w:sz w:val="21"/>
                <w:szCs w:val="21"/>
                <w:highlight w:val="none"/>
              </w:rPr>
            </w:pPr>
          </w:p>
        </w:tc>
        <w:tc>
          <w:tcPr>
            <w:tcW w:w="1341" w:type="dxa"/>
            <w:shd w:val="clear" w:color="auto" w:fill="FFFFFF"/>
            <w:noWrap w:val="0"/>
            <w:vAlign w:val="center"/>
          </w:tcPr>
          <w:p w14:paraId="0A5CB338">
            <w:pPr>
              <w:pStyle w:val="32"/>
              <w:jc w:val="center"/>
              <w:rPr>
                <w:rFonts w:hint="eastAsia" w:ascii="宋体" w:hAnsi="宋体" w:eastAsia="宋体" w:cs="宋体"/>
                <w:color w:val="auto"/>
                <w:sz w:val="21"/>
                <w:szCs w:val="21"/>
                <w:highlight w:val="none"/>
              </w:rPr>
            </w:pPr>
          </w:p>
        </w:tc>
      </w:tr>
    </w:tbl>
    <w:p w14:paraId="1867AF99">
      <w:pPr>
        <w:pStyle w:val="32"/>
        <w:spacing w:after="299" w:line="1" w:lineRule="exact"/>
        <w:rPr>
          <w:rFonts w:hint="eastAsia" w:ascii="宋体" w:hAnsi="宋体" w:eastAsia="宋体" w:cs="宋体"/>
          <w:color w:val="auto"/>
          <w:highlight w:val="none"/>
        </w:rPr>
      </w:pPr>
    </w:p>
    <w:p w14:paraId="33E46757">
      <w:pPr>
        <w:pStyle w:val="31"/>
        <w:tabs>
          <w:tab w:val="left" w:pos="6000"/>
          <w:tab w:val="left" w:leader="underscore" w:pos="6002"/>
          <w:tab w:val="left" w:leader="underscore" w:pos="7058"/>
          <w:tab w:val="left" w:pos="7061"/>
          <w:tab w:val="left" w:pos="8117"/>
        </w:tabs>
        <w:spacing w:line="351" w:lineRule="exact"/>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w:t>
      </w:r>
    </w:p>
    <w:p w14:paraId="403D312A">
      <w:pPr>
        <w:pStyle w:val="31"/>
        <w:numPr>
          <w:ilvl w:val="0"/>
          <w:numId w:val="4"/>
        </w:numPr>
        <w:tabs>
          <w:tab w:val="left" w:pos="739"/>
        </w:tabs>
        <w:spacing w:line="351" w:lineRule="exact"/>
        <w:ind w:firstLine="42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本表所列岗位的所有管理人员的情况均应如实填写。可按以上格式扩展为多页填写。</w:t>
      </w:r>
    </w:p>
    <w:p w14:paraId="3D1FFE43">
      <w:pPr>
        <w:pStyle w:val="31"/>
        <w:numPr>
          <w:ilvl w:val="0"/>
          <w:numId w:val="4"/>
        </w:numPr>
        <w:tabs>
          <w:tab w:val="left" w:pos="742"/>
        </w:tabs>
        <w:spacing w:line="351" w:lineRule="exact"/>
        <w:ind w:firstLine="42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项目经理、技术负责人、安全员、质量员、材料员、施工员等主要管理人员要求提供相关证书材料，否则竞标无效。</w:t>
      </w:r>
    </w:p>
    <w:p w14:paraId="14352858">
      <w:pPr>
        <w:tabs>
          <w:tab w:val="left" w:pos="3479"/>
        </w:tabs>
        <w:spacing w:line="520" w:lineRule="exact"/>
        <w:rPr>
          <w:rFonts w:hint="eastAsia" w:ascii="宋体" w:hAnsi="宋体" w:eastAsia="宋体" w:cs="宋体"/>
          <w:bCs/>
          <w:color w:val="auto"/>
          <w:szCs w:val="21"/>
          <w:highlight w:val="none"/>
        </w:rPr>
        <w:sectPr>
          <w:pgSz w:w="11910" w:h="16840"/>
          <w:pgMar w:top="1134" w:right="1134" w:bottom="1134" w:left="1134" w:header="850" w:footer="567" w:gutter="0"/>
          <w:cols w:space="720" w:num="1"/>
          <w:docGrid w:linePitch="286" w:charSpace="0"/>
        </w:sectPr>
      </w:pPr>
    </w:p>
    <w:p w14:paraId="79C2B656">
      <w:pPr>
        <w:pStyle w:val="35"/>
        <w:numPr>
          <w:ilvl w:val="0"/>
          <w:numId w:val="5"/>
        </w:numPr>
        <w:jc w:val="center"/>
        <w:rPr>
          <w:rFonts w:hint="eastAsia" w:ascii="宋体" w:hAnsi="宋体" w:eastAsia="宋体" w:cs="宋体"/>
          <w:color w:val="auto"/>
          <w:sz w:val="28"/>
          <w:szCs w:val="28"/>
          <w:highlight w:val="none"/>
          <w:lang w:eastAsia="zh-CN"/>
        </w:rPr>
      </w:pPr>
      <w:bookmarkStart w:id="72" w:name="_Toc24858"/>
      <w:bookmarkStart w:id="73" w:name="_Toc14181"/>
      <w:bookmarkStart w:id="74" w:name="_Toc1252"/>
      <w:bookmarkStart w:id="75" w:name="_Toc256000211"/>
      <w:bookmarkStart w:id="76" w:name="_Toc28795"/>
      <w:r>
        <w:rPr>
          <w:rFonts w:hint="eastAsia" w:ascii="宋体" w:hAnsi="宋体" w:eastAsia="宋体" w:cs="宋体"/>
          <w:color w:val="auto"/>
          <w:sz w:val="28"/>
          <w:szCs w:val="28"/>
          <w:highlight w:val="none"/>
          <w:lang w:eastAsia="zh-CN"/>
        </w:rPr>
        <w:t>拟投入本合同工程施工的主要人员简历表</w:t>
      </w:r>
      <w:bookmarkEnd w:id="72"/>
      <w:bookmarkEnd w:id="73"/>
      <w:bookmarkEnd w:id="74"/>
      <w:bookmarkEnd w:id="75"/>
      <w:bookmarkEnd w:id="76"/>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32"/>
        <w:gridCol w:w="434"/>
        <w:gridCol w:w="998"/>
        <w:gridCol w:w="1432"/>
        <w:gridCol w:w="1433"/>
        <w:gridCol w:w="1433"/>
        <w:gridCol w:w="1433"/>
      </w:tblGrid>
      <w:tr w14:paraId="11AF7E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66" w:type="dxa"/>
            <w:gridSpan w:val="2"/>
            <w:noWrap w:val="0"/>
            <w:vAlign w:val="center"/>
          </w:tcPr>
          <w:p w14:paraId="29954030">
            <w:pPr>
              <w:pStyle w:val="31"/>
              <w:tabs>
                <w:tab w:val="left" w:pos="6882"/>
                <w:tab w:val="left" w:pos="7510"/>
              </w:tabs>
              <w:spacing w:line="350" w:lineRule="exact"/>
              <w:ind w:firstLine="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姓名</w:t>
            </w:r>
          </w:p>
        </w:tc>
        <w:tc>
          <w:tcPr>
            <w:tcW w:w="998" w:type="dxa"/>
            <w:noWrap w:val="0"/>
            <w:vAlign w:val="center"/>
          </w:tcPr>
          <w:p w14:paraId="0A263B29">
            <w:pPr>
              <w:pStyle w:val="31"/>
              <w:tabs>
                <w:tab w:val="left" w:pos="6882"/>
                <w:tab w:val="left" w:pos="7510"/>
              </w:tabs>
              <w:spacing w:line="350" w:lineRule="exact"/>
              <w:ind w:firstLine="0"/>
              <w:jc w:val="center"/>
              <w:rPr>
                <w:rFonts w:hint="eastAsia" w:ascii="宋体" w:hAnsi="宋体" w:eastAsia="宋体" w:cs="宋体"/>
                <w:color w:val="auto"/>
                <w:sz w:val="21"/>
                <w:szCs w:val="21"/>
                <w:highlight w:val="none"/>
              </w:rPr>
            </w:pPr>
          </w:p>
        </w:tc>
        <w:tc>
          <w:tcPr>
            <w:tcW w:w="1432" w:type="dxa"/>
            <w:noWrap w:val="0"/>
            <w:vAlign w:val="center"/>
          </w:tcPr>
          <w:p w14:paraId="7FCD6295">
            <w:pPr>
              <w:pStyle w:val="31"/>
              <w:tabs>
                <w:tab w:val="left" w:pos="6882"/>
                <w:tab w:val="left" w:pos="7510"/>
              </w:tabs>
              <w:spacing w:line="350" w:lineRule="exact"/>
              <w:ind w:firstLine="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性别</w:t>
            </w:r>
          </w:p>
        </w:tc>
        <w:tc>
          <w:tcPr>
            <w:tcW w:w="1433" w:type="dxa"/>
            <w:noWrap w:val="0"/>
            <w:vAlign w:val="center"/>
          </w:tcPr>
          <w:p w14:paraId="3C7CC8D0">
            <w:pPr>
              <w:pStyle w:val="31"/>
              <w:tabs>
                <w:tab w:val="left" w:pos="6882"/>
                <w:tab w:val="left" w:pos="7510"/>
              </w:tabs>
              <w:spacing w:line="350" w:lineRule="exact"/>
              <w:ind w:firstLine="0"/>
              <w:jc w:val="center"/>
              <w:rPr>
                <w:rFonts w:hint="eastAsia" w:ascii="宋体" w:hAnsi="宋体" w:eastAsia="宋体" w:cs="宋体"/>
                <w:color w:val="auto"/>
                <w:sz w:val="21"/>
                <w:szCs w:val="21"/>
                <w:highlight w:val="none"/>
              </w:rPr>
            </w:pPr>
          </w:p>
        </w:tc>
        <w:tc>
          <w:tcPr>
            <w:tcW w:w="1433" w:type="dxa"/>
            <w:noWrap w:val="0"/>
            <w:vAlign w:val="center"/>
          </w:tcPr>
          <w:p w14:paraId="3FD08209">
            <w:pPr>
              <w:pStyle w:val="31"/>
              <w:tabs>
                <w:tab w:val="left" w:pos="6882"/>
                <w:tab w:val="left" w:pos="7510"/>
              </w:tabs>
              <w:spacing w:line="350" w:lineRule="exact"/>
              <w:ind w:firstLine="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出生年月（</w:t>
            </w:r>
            <w:r>
              <w:rPr>
                <w:rFonts w:hint="eastAsia" w:ascii="宋体" w:hAnsi="宋体" w:eastAsia="宋体" w:cs="宋体"/>
                <w:color w:val="auto"/>
                <w:sz w:val="21"/>
                <w:szCs w:val="21"/>
                <w:highlight w:val="none"/>
                <w:lang w:val="en-US"/>
              </w:rPr>
              <w:t xml:space="preserve">   岁</w:t>
            </w:r>
            <w:r>
              <w:rPr>
                <w:rFonts w:hint="eastAsia" w:ascii="宋体" w:hAnsi="宋体" w:eastAsia="宋体" w:cs="宋体"/>
                <w:color w:val="auto"/>
                <w:sz w:val="21"/>
                <w:szCs w:val="21"/>
                <w:highlight w:val="none"/>
              </w:rPr>
              <w:t>）</w:t>
            </w:r>
          </w:p>
        </w:tc>
        <w:tc>
          <w:tcPr>
            <w:tcW w:w="1433" w:type="dxa"/>
            <w:noWrap w:val="0"/>
            <w:vAlign w:val="top"/>
          </w:tcPr>
          <w:p w14:paraId="3C52C5FB">
            <w:pPr>
              <w:pStyle w:val="31"/>
              <w:tabs>
                <w:tab w:val="left" w:pos="6882"/>
                <w:tab w:val="left" w:pos="7510"/>
              </w:tabs>
              <w:spacing w:line="350" w:lineRule="exact"/>
              <w:ind w:firstLine="0"/>
              <w:jc w:val="both"/>
              <w:rPr>
                <w:rFonts w:hint="eastAsia" w:ascii="宋体" w:hAnsi="宋体" w:eastAsia="宋体" w:cs="宋体"/>
                <w:color w:val="auto"/>
                <w:sz w:val="21"/>
                <w:szCs w:val="21"/>
                <w:highlight w:val="none"/>
              </w:rPr>
            </w:pPr>
          </w:p>
        </w:tc>
      </w:tr>
      <w:tr w14:paraId="39F4BB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66" w:type="dxa"/>
            <w:gridSpan w:val="2"/>
            <w:noWrap w:val="0"/>
            <w:vAlign w:val="center"/>
          </w:tcPr>
          <w:p w14:paraId="09A21BCF">
            <w:pPr>
              <w:pStyle w:val="31"/>
              <w:tabs>
                <w:tab w:val="left" w:pos="6882"/>
                <w:tab w:val="left" w:pos="7510"/>
              </w:tabs>
              <w:spacing w:line="350" w:lineRule="exact"/>
              <w:ind w:firstLine="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职务</w:t>
            </w:r>
          </w:p>
        </w:tc>
        <w:tc>
          <w:tcPr>
            <w:tcW w:w="998" w:type="dxa"/>
            <w:noWrap w:val="0"/>
            <w:vAlign w:val="center"/>
          </w:tcPr>
          <w:p w14:paraId="4CFC7A14">
            <w:pPr>
              <w:pStyle w:val="31"/>
              <w:tabs>
                <w:tab w:val="left" w:pos="6882"/>
                <w:tab w:val="left" w:pos="7510"/>
              </w:tabs>
              <w:spacing w:line="350" w:lineRule="exact"/>
              <w:ind w:firstLine="0"/>
              <w:jc w:val="center"/>
              <w:rPr>
                <w:rFonts w:hint="eastAsia" w:ascii="宋体" w:hAnsi="宋体" w:eastAsia="宋体" w:cs="宋体"/>
                <w:color w:val="auto"/>
                <w:sz w:val="21"/>
                <w:szCs w:val="21"/>
                <w:highlight w:val="none"/>
              </w:rPr>
            </w:pPr>
          </w:p>
        </w:tc>
        <w:tc>
          <w:tcPr>
            <w:tcW w:w="1432" w:type="dxa"/>
            <w:noWrap w:val="0"/>
            <w:vAlign w:val="center"/>
          </w:tcPr>
          <w:p w14:paraId="13A537A6">
            <w:pPr>
              <w:pStyle w:val="31"/>
              <w:tabs>
                <w:tab w:val="left" w:pos="6882"/>
                <w:tab w:val="left" w:pos="7510"/>
              </w:tabs>
              <w:spacing w:line="350" w:lineRule="exact"/>
              <w:ind w:firstLine="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职称</w:t>
            </w:r>
          </w:p>
        </w:tc>
        <w:tc>
          <w:tcPr>
            <w:tcW w:w="1433" w:type="dxa"/>
            <w:noWrap w:val="0"/>
            <w:vAlign w:val="center"/>
          </w:tcPr>
          <w:p w14:paraId="321609C8">
            <w:pPr>
              <w:pStyle w:val="31"/>
              <w:tabs>
                <w:tab w:val="left" w:pos="6882"/>
                <w:tab w:val="left" w:pos="7510"/>
              </w:tabs>
              <w:spacing w:line="350" w:lineRule="exact"/>
              <w:ind w:firstLine="0"/>
              <w:jc w:val="center"/>
              <w:rPr>
                <w:rFonts w:hint="eastAsia" w:ascii="宋体" w:hAnsi="宋体" w:eastAsia="宋体" w:cs="宋体"/>
                <w:color w:val="auto"/>
                <w:sz w:val="21"/>
                <w:szCs w:val="21"/>
                <w:highlight w:val="none"/>
              </w:rPr>
            </w:pPr>
          </w:p>
        </w:tc>
        <w:tc>
          <w:tcPr>
            <w:tcW w:w="1433" w:type="dxa"/>
            <w:noWrap w:val="0"/>
            <w:vAlign w:val="center"/>
          </w:tcPr>
          <w:p w14:paraId="2EAF7271">
            <w:pPr>
              <w:pStyle w:val="31"/>
              <w:tabs>
                <w:tab w:val="left" w:pos="6882"/>
                <w:tab w:val="left" w:pos="7510"/>
              </w:tabs>
              <w:spacing w:line="350" w:lineRule="exact"/>
              <w:ind w:firstLine="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学历</w:t>
            </w:r>
          </w:p>
        </w:tc>
        <w:tc>
          <w:tcPr>
            <w:tcW w:w="1433" w:type="dxa"/>
            <w:noWrap w:val="0"/>
            <w:vAlign w:val="top"/>
          </w:tcPr>
          <w:p w14:paraId="573E7FFD">
            <w:pPr>
              <w:pStyle w:val="31"/>
              <w:tabs>
                <w:tab w:val="left" w:pos="6882"/>
                <w:tab w:val="left" w:pos="7510"/>
              </w:tabs>
              <w:spacing w:line="350" w:lineRule="exact"/>
              <w:ind w:firstLine="0"/>
              <w:jc w:val="both"/>
              <w:rPr>
                <w:rFonts w:hint="eastAsia" w:ascii="宋体" w:hAnsi="宋体" w:eastAsia="宋体" w:cs="宋体"/>
                <w:color w:val="auto"/>
                <w:sz w:val="21"/>
                <w:szCs w:val="21"/>
                <w:highlight w:val="none"/>
              </w:rPr>
            </w:pPr>
          </w:p>
        </w:tc>
      </w:tr>
      <w:tr w14:paraId="3041EA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66" w:type="dxa"/>
            <w:gridSpan w:val="2"/>
            <w:noWrap w:val="0"/>
            <w:vAlign w:val="top"/>
          </w:tcPr>
          <w:p w14:paraId="1778CC6D">
            <w:pPr>
              <w:pStyle w:val="31"/>
              <w:tabs>
                <w:tab w:val="left" w:pos="6882"/>
                <w:tab w:val="left" w:pos="7510"/>
              </w:tabs>
              <w:spacing w:line="350" w:lineRule="exact"/>
              <w:ind w:firstLine="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职执业或职业资格证书名称及编号</w:t>
            </w:r>
          </w:p>
        </w:tc>
        <w:tc>
          <w:tcPr>
            <w:tcW w:w="3863" w:type="dxa"/>
            <w:gridSpan w:val="3"/>
            <w:noWrap w:val="0"/>
            <w:vAlign w:val="top"/>
          </w:tcPr>
          <w:p w14:paraId="4BE04BFF">
            <w:pPr>
              <w:pStyle w:val="31"/>
              <w:tabs>
                <w:tab w:val="left" w:pos="6882"/>
                <w:tab w:val="left" w:pos="7510"/>
              </w:tabs>
              <w:spacing w:line="350" w:lineRule="exact"/>
              <w:ind w:firstLine="0"/>
              <w:jc w:val="center"/>
              <w:rPr>
                <w:rFonts w:hint="eastAsia" w:ascii="宋体" w:hAnsi="宋体" w:eastAsia="宋体" w:cs="宋体"/>
                <w:color w:val="auto"/>
                <w:sz w:val="21"/>
                <w:szCs w:val="21"/>
                <w:highlight w:val="none"/>
              </w:rPr>
            </w:pPr>
          </w:p>
        </w:tc>
        <w:tc>
          <w:tcPr>
            <w:tcW w:w="1433" w:type="dxa"/>
            <w:noWrap w:val="0"/>
            <w:vAlign w:val="top"/>
          </w:tcPr>
          <w:p w14:paraId="3378454A">
            <w:pPr>
              <w:pStyle w:val="31"/>
              <w:tabs>
                <w:tab w:val="left" w:pos="6882"/>
                <w:tab w:val="left" w:pos="7510"/>
              </w:tabs>
              <w:spacing w:line="350" w:lineRule="exact"/>
              <w:ind w:firstLine="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拟在本合同</w:t>
            </w:r>
          </w:p>
          <w:p w14:paraId="23A06C13">
            <w:pPr>
              <w:pStyle w:val="31"/>
              <w:tabs>
                <w:tab w:val="left" w:pos="6882"/>
                <w:tab w:val="left" w:pos="7510"/>
              </w:tabs>
              <w:spacing w:line="350" w:lineRule="exact"/>
              <w:ind w:firstLine="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任职</w:t>
            </w:r>
          </w:p>
        </w:tc>
        <w:tc>
          <w:tcPr>
            <w:tcW w:w="1433" w:type="dxa"/>
            <w:noWrap w:val="0"/>
            <w:vAlign w:val="top"/>
          </w:tcPr>
          <w:p w14:paraId="00286577">
            <w:pPr>
              <w:pStyle w:val="31"/>
              <w:tabs>
                <w:tab w:val="left" w:pos="6882"/>
                <w:tab w:val="left" w:pos="7510"/>
              </w:tabs>
              <w:spacing w:line="350" w:lineRule="exact"/>
              <w:ind w:firstLine="0"/>
              <w:jc w:val="both"/>
              <w:rPr>
                <w:rFonts w:hint="eastAsia" w:ascii="宋体" w:hAnsi="宋体" w:eastAsia="宋体" w:cs="宋体"/>
                <w:color w:val="auto"/>
                <w:sz w:val="21"/>
                <w:szCs w:val="21"/>
                <w:highlight w:val="none"/>
              </w:rPr>
            </w:pPr>
          </w:p>
        </w:tc>
      </w:tr>
      <w:tr w14:paraId="30CB5E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66" w:type="dxa"/>
            <w:gridSpan w:val="2"/>
            <w:noWrap w:val="0"/>
            <w:vAlign w:val="top"/>
          </w:tcPr>
          <w:p w14:paraId="75F45467">
            <w:pPr>
              <w:pStyle w:val="31"/>
              <w:tabs>
                <w:tab w:val="left" w:pos="6882"/>
                <w:tab w:val="left" w:pos="7510"/>
              </w:tabs>
              <w:spacing w:line="350" w:lineRule="exact"/>
              <w:ind w:firstLine="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安全生产考核</w:t>
            </w:r>
          </w:p>
          <w:p w14:paraId="568E7EB5">
            <w:pPr>
              <w:pStyle w:val="31"/>
              <w:tabs>
                <w:tab w:val="left" w:pos="6882"/>
                <w:tab w:val="left" w:pos="7510"/>
              </w:tabs>
              <w:spacing w:line="350" w:lineRule="exact"/>
              <w:ind w:firstLine="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合格证书</w:t>
            </w:r>
          </w:p>
        </w:tc>
        <w:tc>
          <w:tcPr>
            <w:tcW w:w="3863" w:type="dxa"/>
            <w:gridSpan w:val="3"/>
            <w:noWrap w:val="0"/>
            <w:vAlign w:val="top"/>
          </w:tcPr>
          <w:p w14:paraId="637C2495">
            <w:pPr>
              <w:pStyle w:val="31"/>
              <w:tabs>
                <w:tab w:val="left" w:pos="6882"/>
                <w:tab w:val="left" w:pos="7510"/>
              </w:tabs>
              <w:spacing w:line="350" w:lineRule="exact"/>
              <w:ind w:firstLine="0"/>
              <w:jc w:val="center"/>
              <w:rPr>
                <w:rFonts w:hint="eastAsia" w:ascii="宋体" w:hAnsi="宋体" w:eastAsia="宋体" w:cs="宋体"/>
                <w:color w:val="auto"/>
                <w:sz w:val="21"/>
                <w:szCs w:val="21"/>
                <w:highlight w:val="none"/>
              </w:rPr>
            </w:pPr>
          </w:p>
        </w:tc>
        <w:tc>
          <w:tcPr>
            <w:tcW w:w="1433" w:type="dxa"/>
            <w:noWrap w:val="0"/>
            <w:vAlign w:val="top"/>
          </w:tcPr>
          <w:p w14:paraId="02693802">
            <w:pPr>
              <w:pStyle w:val="31"/>
              <w:tabs>
                <w:tab w:val="left" w:pos="6882"/>
                <w:tab w:val="left" w:pos="7510"/>
              </w:tabs>
              <w:spacing w:line="350" w:lineRule="exact"/>
              <w:ind w:firstLine="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担任本职</w:t>
            </w:r>
          </w:p>
          <w:p w14:paraId="632ED60A">
            <w:pPr>
              <w:pStyle w:val="31"/>
              <w:tabs>
                <w:tab w:val="left" w:pos="6882"/>
                <w:tab w:val="left" w:pos="7510"/>
              </w:tabs>
              <w:spacing w:line="350" w:lineRule="exact"/>
              <w:ind w:firstLine="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工作年限</w:t>
            </w:r>
          </w:p>
        </w:tc>
        <w:tc>
          <w:tcPr>
            <w:tcW w:w="1433" w:type="dxa"/>
            <w:noWrap w:val="0"/>
            <w:vAlign w:val="top"/>
          </w:tcPr>
          <w:p w14:paraId="1CB304D3">
            <w:pPr>
              <w:pStyle w:val="31"/>
              <w:tabs>
                <w:tab w:val="left" w:pos="6882"/>
                <w:tab w:val="left" w:pos="7510"/>
              </w:tabs>
              <w:spacing w:line="350" w:lineRule="exact"/>
              <w:ind w:firstLine="0"/>
              <w:jc w:val="both"/>
              <w:rPr>
                <w:rFonts w:hint="eastAsia" w:ascii="宋体" w:hAnsi="宋体" w:eastAsia="宋体" w:cs="宋体"/>
                <w:color w:val="auto"/>
                <w:sz w:val="21"/>
                <w:szCs w:val="21"/>
                <w:highlight w:val="none"/>
              </w:rPr>
            </w:pPr>
          </w:p>
        </w:tc>
      </w:tr>
      <w:tr w14:paraId="64C4CE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66" w:type="dxa"/>
            <w:gridSpan w:val="2"/>
            <w:noWrap w:val="0"/>
            <w:vAlign w:val="top"/>
          </w:tcPr>
          <w:p w14:paraId="2D22CA81">
            <w:pPr>
              <w:pStyle w:val="31"/>
              <w:tabs>
                <w:tab w:val="left" w:pos="6882"/>
                <w:tab w:val="left" w:pos="7510"/>
              </w:tabs>
              <w:spacing w:line="350" w:lineRule="exact"/>
              <w:ind w:firstLine="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毕业学校</w:t>
            </w:r>
          </w:p>
        </w:tc>
        <w:tc>
          <w:tcPr>
            <w:tcW w:w="6729" w:type="dxa"/>
            <w:gridSpan w:val="5"/>
            <w:noWrap w:val="0"/>
            <w:vAlign w:val="top"/>
          </w:tcPr>
          <w:p w14:paraId="587C02DF">
            <w:pPr>
              <w:pStyle w:val="31"/>
              <w:tabs>
                <w:tab w:val="left" w:pos="6882"/>
                <w:tab w:val="left" w:pos="7510"/>
              </w:tabs>
              <w:spacing w:line="350" w:lineRule="exact"/>
              <w:ind w:firstLine="1050" w:firstLineChars="500"/>
              <w:jc w:val="both"/>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lang w:val="en-US"/>
              </w:rPr>
              <w:t>月毕业于          学校       专业</w:t>
            </w:r>
          </w:p>
        </w:tc>
      </w:tr>
      <w:tr w14:paraId="3D191A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95" w:type="dxa"/>
            <w:gridSpan w:val="7"/>
            <w:noWrap w:val="0"/>
            <w:vAlign w:val="top"/>
          </w:tcPr>
          <w:p w14:paraId="70F88B77">
            <w:pPr>
              <w:pStyle w:val="31"/>
              <w:tabs>
                <w:tab w:val="left" w:pos="6882"/>
                <w:tab w:val="left" w:pos="7510"/>
              </w:tabs>
              <w:spacing w:line="350" w:lineRule="exact"/>
              <w:ind w:firstLine="2730" w:firstLineChars="13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已完成工程项目情况表</w:t>
            </w:r>
          </w:p>
        </w:tc>
      </w:tr>
      <w:tr w14:paraId="25BE89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2" w:type="dxa"/>
            <w:noWrap w:val="0"/>
            <w:vAlign w:val="top"/>
          </w:tcPr>
          <w:p w14:paraId="5241DD13">
            <w:pPr>
              <w:pStyle w:val="31"/>
              <w:tabs>
                <w:tab w:val="left" w:pos="6882"/>
                <w:tab w:val="left" w:pos="7510"/>
              </w:tabs>
              <w:spacing w:line="350" w:lineRule="exact"/>
              <w:ind w:firstLine="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建设单位</w:t>
            </w:r>
          </w:p>
        </w:tc>
        <w:tc>
          <w:tcPr>
            <w:tcW w:w="1432" w:type="dxa"/>
            <w:gridSpan w:val="2"/>
            <w:noWrap w:val="0"/>
            <w:vAlign w:val="top"/>
          </w:tcPr>
          <w:p w14:paraId="50FA9DD2">
            <w:pPr>
              <w:pStyle w:val="31"/>
              <w:tabs>
                <w:tab w:val="left" w:pos="6882"/>
                <w:tab w:val="left" w:pos="7510"/>
              </w:tabs>
              <w:spacing w:line="350" w:lineRule="exact"/>
              <w:ind w:firstLine="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项目名称</w:t>
            </w:r>
          </w:p>
        </w:tc>
        <w:tc>
          <w:tcPr>
            <w:tcW w:w="1432" w:type="dxa"/>
            <w:noWrap w:val="0"/>
            <w:vAlign w:val="top"/>
          </w:tcPr>
          <w:p w14:paraId="12A8EA77">
            <w:pPr>
              <w:pStyle w:val="31"/>
              <w:tabs>
                <w:tab w:val="left" w:pos="6882"/>
                <w:tab w:val="left" w:pos="7510"/>
              </w:tabs>
              <w:spacing w:line="350" w:lineRule="exact"/>
              <w:ind w:firstLine="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建设规模</w:t>
            </w:r>
          </w:p>
        </w:tc>
        <w:tc>
          <w:tcPr>
            <w:tcW w:w="1433" w:type="dxa"/>
            <w:noWrap w:val="0"/>
            <w:vAlign w:val="top"/>
          </w:tcPr>
          <w:p w14:paraId="650B63AF">
            <w:pPr>
              <w:pStyle w:val="31"/>
              <w:tabs>
                <w:tab w:val="left" w:pos="6882"/>
                <w:tab w:val="left" w:pos="7510"/>
              </w:tabs>
              <w:spacing w:line="350" w:lineRule="exact"/>
              <w:ind w:firstLine="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开、竣工日期</w:t>
            </w:r>
          </w:p>
        </w:tc>
        <w:tc>
          <w:tcPr>
            <w:tcW w:w="1433" w:type="dxa"/>
            <w:noWrap w:val="0"/>
            <w:vAlign w:val="top"/>
          </w:tcPr>
          <w:p w14:paraId="3B4576D4">
            <w:pPr>
              <w:pStyle w:val="31"/>
              <w:tabs>
                <w:tab w:val="left" w:pos="6882"/>
                <w:tab w:val="left" w:pos="7510"/>
              </w:tabs>
              <w:spacing w:line="350" w:lineRule="exact"/>
              <w:ind w:firstLine="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工程质量</w:t>
            </w:r>
          </w:p>
        </w:tc>
        <w:tc>
          <w:tcPr>
            <w:tcW w:w="1433" w:type="dxa"/>
            <w:noWrap w:val="0"/>
            <w:vAlign w:val="top"/>
          </w:tcPr>
          <w:p w14:paraId="4AA6D5FE">
            <w:pPr>
              <w:pStyle w:val="31"/>
              <w:tabs>
                <w:tab w:val="left" w:pos="6882"/>
                <w:tab w:val="left" w:pos="7510"/>
              </w:tabs>
              <w:spacing w:line="350" w:lineRule="exact"/>
              <w:ind w:firstLine="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受奖情况</w:t>
            </w:r>
          </w:p>
        </w:tc>
      </w:tr>
      <w:tr w14:paraId="34123A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2" w:type="dxa"/>
            <w:noWrap w:val="0"/>
            <w:vAlign w:val="top"/>
          </w:tcPr>
          <w:p w14:paraId="75795AC3">
            <w:pPr>
              <w:pStyle w:val="31"/>
              <w:tabs>
                <w:tab w:val="left" w:pos="6882"/>
                <w:tab w:val="left" w:pos="7510"/>
              </w:tabs>
              <w:spacing w:line="350" w:lineRule="exact"/>
              <w:ind w:firstLine="0"/>
              <w:jc w:val="both"/>
              <w:rPr>
                <w:rFonts w:hint="eastAsia" w:ascii="宋体" w:hAnsi="宋体" w:eastAsia="宋体" w:cs="宋体"/>
                <w:color w:val="auto"/>
                <w:sz w:val="21"/>
                <w:szCs w:val="21"/>
                <w:highlight w:val="none"/>
              </w:rPr>
            </w:pPr>
          </w:p>
        </w:tc>
        <w:tc>
          <w:tcPr>
            <w:tcW w:w="1432" w:type="dxa"/>
            <w:gridSpan w:val="2"/>
            <w:noWrap w:val="0"/>
            <w:vAlign w:val="top"/>
          </w:tcPr>
          <w:p w14:paraId="5F8AF5CB">
            <w:pPr>
              <w:pStyle w:val="31"/>
              <w:tabs>
                <w:tab w:val="left" w:pos="6882"/>
                <w:tab w:val="left" w:pos="7510"/>
              </w:tabs>
              <w:spacing w:line="350" w:lineRule="exact"/>
              <w:ind w:firstLine="0"/>
              <w:jc w:val="both"/>
              <w:rPr>
                <w:rFonts w:hint="eastAsia" w:ascii="宋体" w:hAnsi="宋体" w:eastAsia="宋体" w:cs="宋体"/>
                <w:color w:val="auto"/>
                <w:sz w:val="21"/>
                <w:szCs w:val="21"/>
                <w:highlight w:val="none"/>
              </w:rPr>
            </w:pPr>
          </w:p>
        </w:tc>
        <w:tc>
          <w:tcPr>
            <w:tcW w:w="1432" w:type="dxa"/>
            <w:noWrap w:val="0"/>
            <w:vAlign w:val="top"/>
          </w:tcPr>
          <w:p w14:paraId="7859ABFF">
            <w:pPr>
              <w:pStyle w:val="31"/>
              <w:tabs>
                <w:tab w:val="left" w:pos="6882"/>
                <w:tab w:val="left" w:pos="7510"/>
              </w:tabs>
              <w:spacing w:line="350" w:lineRule="exact"/>
              <w:ind w:firstLine="0"/>
              <w:jc w:val="both"/>
              <w:rPr>
                <w:rFonts w:hint="eastAsia" w:ascii="宋体" w:hAnsi="宋体" w:eastAsia="宋体" w:cs="宋体"/>
                <w:color w:val="auto"/>
                <w:sz w:val="21"/>
                <w:szCs w:val="21"/>
                <w:highlight w:val="none"/>
              </w:rPr>
            </w:pPr>
          </w:p>
        </w:tc>
        <w:tc>
          <w:tcPr>
            <w:tcW w:w="1433" w:type="dxa"/>
            <w:noWrap w:val="0"/>
            <w:vAlign w:val="top"/>
          </w:tcPr>
          <w:p w14:paraId="4E7190FC">
            <w:pPr>
              <w:pStyle w:val="31"/>
              <w:tabs>
                <w:tab w:val="left" w:pos="6882"/>
                <w:tab w:val="left" w:pos="7510"/>
              </w:tabs>
              <w:spacing w:line="350" w:lineRule="exact"/>
              <w:ind w:firstLine="0"/>
              <w:jc w:val="both"/>
              <w:rPr>
                <w:rFonts w:hint="eastAsia" w:ascii="宋体" w:hAnsi="宋体" w:eastAsia="宋体" w:cs="宋体"/>
                <w:color w:val="auto"/>
                <w:sz w:val="21"/>
                <w:szCs w:val="21"/>
                <w:highlight w:val="none"/>
              </w:rPr>
            </w:pPr>
          </w:p>
        </w:tc>
        <w:tc>
          <w:tcPr>
            <w:tcW w:w="1433" w:type="dxa"/>
            <w:noWrap w:val="0"/>
            <w:vAlign w:val="top"/>
          </w:tcPr>
          <w:p w14:paraId="7D2BA3A7">
            <w:pPr>
              <w:pStyle w:val="31"/>
              <w:tabs>
                <w:tab w:val="left" w:pos="6882"/>
                <w:tab w:val="left" w:pos="7510"/>
              </w:tabs>
              <w:spacing w:line="350" w:lineRule="exact"/>
              <w:ind w:firstLine="0"/>
              <w:jc w:val="both"/>
              <w:rPr>
                <w:rFonts w:hint="eastAsia" w:ascii="宋体" w:hAnsi="宋体" w:eastAsia="宋体" w:cs="宋体"/>
                <w:color w:val="auto"/>
                <w:sz w:val="21"/>
                <w:szCs w:val="21"/>
                <w:highlight w:val="none"/>
              </w:rPr>
            </w:pPr>
          </w:p>
        </w:tc>
        <w:tc>
          <w:tcPr>
            <w:tcW w:w="1433" w:type="dxa"/>
            <w:noWrap w:val="0"/>
            <w:vAlign w:val="top"/>
          </w:tcPr>
          <w:p w14:paraId="6CDC73C4">
            <w:pPr>
              <w:pStyle w:val="31"/>
              <w:tabs>
                <w:tab w:val="left" w:pos="6882"/>
                <w:tab w:val="left" w:pos="7510"/>
              </w:tabs>
              <w:spacing w:line="350" w:lineRule="exact"/>
              <w:ind w:firstLine="0"/>
              <w:jc w:val="both"/>
              <w:rPr>
                <w:rFonts w:hint="eastAsia" w:ascii="宋体" w:hAnsi="宋体" w:eastAsia="宋体" w:cs="宋体"/>
                <w:color w:val="auto"/>
                <w:sz w:val="21"/>
                <w:szCs w:val="21"/>
                <w:highlight w:val="none"/>
              </w:rPr>
            </w:pPr>
          </w:p>
        </w:tc>
      </w:tr>
      <w:tr w14:paraId="58810A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2" w:type="dxa"/>
            <w:noWrap w:val="0"/>
            <w:vAlign w:val="top"/>
          </w:tcPr>
          <w:p w14:paraId="21EBE652">
            <w:pPr>
              <w:pStyle w:val="31"/>
              <w:tabs>
                <w:tab w:val="left" w:pos="6882"/>
                <w:tab w:val="left" w:pos="7510"/>
              </w:tabs>
              <w:spacing w:line="350" w:lineRule="exact"/>
              <w:ind w:firstLine="0"/>
              <w:jc w:val="both"/>
              <w:rPr>
                <w:rFonts w:hint="eastAsia" w:ascii="宋体" w:hAnsi="宋体" w:eastAsia="宋体" w:cs="宋体"/>
                <w:color w:val="auto"/>
                <w:sz w:val="21"/>
                <w:szCs w:val="21"/>
                <w:highlight w:val="none"/>
              </w:rPr>
            </w:pPr>
          </w:p>
        </w:tc>
        <w:tc>
          <w:tcPr>
            <w:tcW w:w="1432" w:type="dxa"/>
            <w:gridSpan w:val="2"/>
            <w:noWrap w:val="0"/>
            <w:vAlign w:val="top"/>
          </w:tcPr>
          <w:p w14:paraId="0462E488">
            <w:pPr>
              <w:pStyle w:val="31"/>
              <w:tabs>
                <w:tab w:val="left" w:pos="6882"/>
                <w:tab w:val="left" w:pos="7510"/>
              </w:tabs>
              <w:spacing w:line="350" w:lineRule="exact"/>
              <w:ind w:firstLine="0"/>
              <w:jc w:val="both"/>
              <w:rPr>
                <w:rFonts w:hint="eastAsia" w:ascii="宋体" w:hAnsi="宋体" w:eastAsia="宋体" w:cs="宋体"/>
                <w:color w:val="auto"/>
                <w:sz w:val="21"/>
                <w:szCs w:val="21"/>
                <w:highlight w:val="none"/>
              </w:rPr>
            </w:pPr>
          </w:p>
        </w:tc>
        <w:tc>
          <w:tcPr>
            <w:tcW w:w="1432" w:type="dxa"/>
            <w:noWrap w:val="0"/>
            <w:vAlign w:val="top"/>
          </w:tcPr>
          <w:p w14:paraId="3863CD17">
            <w:pPr>
              <w:pStyle w:val="31"/>
              <w:tabs>
                <w:tab w:val="left" w:pos="6882"/>
                <w:tab w:val="left" w:pos="7510"/>
              </w:tabs>
              <w:spacing w:line="350" w:lineRule="exact"/>
              <w:ind w:firstLine="0"/>
              <w:jc w:val="both"/>
              <w:rPr>
                <w:rFonts w:hint="eastAsia" w:ascii="宋体" w:hAnsi="宋体" w:eastAsia="宋体" w:cs="宋体"/>
                <w:color w:val="auto"/>
                <w:sz w:val="21"/>
                <w:szCs w:val="21"/>
                <w:highlight w:val="none"/>
              </w:rPr>
            </w:pPr>
          </w:p>
        </w:tc>
        <w:tc>
          <w:tcPr>
            <w:tcW w:w="1433" w:type="dxa"/>
            <w:noWrap w:val="0"/>
            <w:vAlign w:val="top"/>
          </w:tcPr>
          <w:p w14:paraId="32147219">
            <w:pPr>
              <w:pStyle w:val="31"/>
              <w:tabs>
                <w:tab w:val="left" w:pos="6882"/>
                <w:tab w:val="left" w:pos="7510"/>
              </w:tabs>
              <w:spacing w:line="350" w:lineRule="exact"/>
              <w:ind w:firstLine="0"/>
              <w:jc w:val="both"/>
              <w:rPr>
                <w:rFonts w:hint="eastAsia" w:ascii="宋体" w:hAnsi="宋体" w:eastAsia="宋体" w:cs="宋体"/>
                <w:color w:val="auto"/>
                <w:sz w:val="21"/>
                <w:szCs w:val="21"/>
                <w:highlight w:val="none"/>
              </w:rPr>
            </w:pPr>
          </w:p>
        </w:tc>
        <w:tc>
          <w:tcPr>
            <w:tcW w:w="1433" w:type="dxa"/>
            <w:noWrap w:val="0"/>
            <w:vAlign w:val="top"/>
          </w:tcPr>
          <w:p w14:paraId="6F17C1CF">
            <w:pPr>
              <w:pStyle w:val="31"/>
              <w:tabs>
                <w:tab w:val="left" w:pos="6882"/>
                <w:tab w:val="left" w:pos="7510"/>
              </w:tabs>
              <w:spacing w:line="350" w:lineRule="exact"/>
              <w:ind w:firstLine="0"/>
              <w:jc w:val="both"/>
              <w:rPr>
                <w:rFonts w:hint="eastAsia" w:ascii="宋体" w:hAnsi="宋体" w:eastAsia="宋体" w:cs="宋体"/>
                <w:color w:val="auto"/>
                <w:sz w:val="21"/>
                <w:szCs w:val="21"/>
                <w:highlight w:val="none"/>
              </w:rPr>
            </w:pPr>
          </w:p>
        </w:tc>
        <w:tc>
          <w:tcPr>
            <w:tcW w:w="1433" w:type="dxa"/>
            <w:noWrap w:val="0"/>
            <w:vAlign w:val="top"/>
          </w:tcPr>
          <w:p w14:paraId="2CB0D854">
            <w:pPr>
              <w:pStyle w:val="31"/>
              <w:tabs>
                <w:tab w:val="left" w:pos="6882"/>
                <w:tab w:val="left" w:pos="7510"/>
              </w:tabs>
              <w:spacing w:line="350" w:lineRule="exact"/>
              <w:ind w:firstLine="0"/>
              <w:jc w:val="both"/>
              <w:rPr>
                <w:rFonts w:hint="eastAsia" w:ascii="宋体" w:hAnsi="宋体" w:eastAsia="宋体" w:cs="宋体"/>
                <w:color w:val="auto"/>
                <w:sz w:val="21"/>
                <w:szCs w:val="21"/>
                <w:highlight w:val="none"/>
              </w:rPr>
            </w:pPr>
          </w:p>
        </w:tc>
      </w:tr>
      <w:tr w14:paraId="387E54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2" w:type="dxa"/>
            <w:noWrap w:val="0"/>
            <w:vAlign w:val="top"/>
          </w:tcPr>
          <w:p w14:paraId="775B2331">
            <w:pPr>
              <w:pStyle w:val="31"/>
              <w:tabs>
                <w:tab w:val="left" w:pos="6882"/>
                <w:tab w:val="left" w:pos="7510"/>
              </w:tabs>
              <w:spacing w:line="350" w:lineRule="exact"/>
              <w:ind w:firstLine="0"/>
              <w:jc w:val="both"/>
              <w:rPr>
                <w:rFonts w:hint="eastAsia" w:ascii="宋体" w:hAnsi="宋体" w:eastAsia="宋体" w:cs="宋体"/>
                <w:color w:val="auto"/>
                <w:sz w:val="21"/>
                <w:szCs w:val="21"/>
                <w:highlight w:val="none"/>
              </w:rPr>
            </w:pPr>
          </w:p>
        </w:tc>
        <w:tc>
          <w:tcPr>
            <w:tcW w:w="1432" w:type="dxa"/>
            <w:gridSpan w:val="2"/>
            <w:noWrap w:val="0"/>
            <w:vAlign w:val="top"/>
          </w:tcPr>
          <w:p w14:paraId="7F3E8A1A">
            <w:pPr>
              <w:pStyle w:val="31"/>
              <w:tabs>
                <w:tab w:val="left" w:pos="6882"/>
                <w:tab w:val="left" w:pos="7510"/>
              </w:tabs>
              <w:spacing w:line="350" w:lineRule="exact"/>
              <w:ind w:firstLine="0"/>
              <w:jc w:val="both"/>
              <w:rPr>
                <w:rFonts w:hint="eastAsia" w:ascii="宋体" w:hAnsi="宋体" w:eastAsia="宋体" w:cs="宋体"/>
                <w:color w:val="auto"/>
                <w:sz w:val="21"/>
                <w:szCs w:val="21"/>
                <w:highlight w:val="none"/>
              </w:rPr>
            </w:pPr>
          </w:p>
        </w:tc>
        <w:tc>
          <w:tcPr>
            <w:tcW w:w="1432" w:type="dxa"/>
            <w:noWrap w:val="0"/>
            <w:vAlign w:val="top"/>
          </w:tcPr>
          <w:p w14:paraId="75463A0D">
            <w:pPr>
              <w:pStyle w:val="31"/>
              <w:tabs>
                <w:tab w:val="left" w:pos="6882"/>
                <w:tab w:val="left" w:pos="7510"/>
              </w:tabs>
              <w:spacing w:line="350" w:lineRule="exact"/>
              <w:ind w:firstLine="0"/>
              <w:jc w:val="both"/>
              <w:rPr>
                <w:rFonts w:hint="eastAsia" w:ascii="宋体" w:hAnsi="宋体" w:eastAsia="宋体" w:cs="宋体"/>
                <w:color w:val="auto"/>
                <w:sz w:val="21"/>
                <w:szCs w:val="21"/>
                <w:highlight w:val="none"/>
              </w:rPr>
            </w:pPr>
          </w:p>
        </w:tc>
        <w:tc>
          <w:tcPr>
            <w:tcW w:w="1433" w:type="dxa"/>
            <w:noWrap w:val="0"/>
            <w:vAlign w:val="top"/>
          </w:tcPr>
          <w:p w14:paraId="5613C500">
            <w:pPr>
              <w:pStyle w:val="31"/>
              <w:tabs>
                <w:tab w:val="left" w:pos="6882"/>
                <w:tab w:val="left" w:pos="7510"/>
              </w:tabs>
              <w:spacing w:line="350" w:lineRule="exact"/>
              <w:ind w:firstLine="0"/>
              <w:jc w:val="both"/>
              <w:rPr>
                <w:rFonts w:hint="eastAsia" w:ascii="宋体" w:hAnsi="宋体" w:eastAsia="宋体" w:cs="宋体"/>
                <w:color w:val="auto"/>
                <w:sz w:val="21"/>
                <w:szCs w:val="21"/>
                <w:highlight w:val="none"/>
              </w:rPr>
            </w:pPr>
          </w:p>
        </w:tc>
        <w:tc>
          <w:tcPr>
            <w:tcW w:w="1433" w:type="dxa"/>
            <w:noWrap w:val="0"/>
            <w:vAlign w:val="top"/>
          </w:tcPr>
          <w:p w14:paraId="3DD31E9D">
            <w:pPr>
              <w:pStyle w:val="31"/>
              <w:tabs>
                <w:tab w:val="left" w:pos="6882"/>
                <w:tab w:val="left" w:pos="7510"/>
              </w:tabs>
              <w:spacing w:line="350" w:lineRule="exact"/>
              <w:ind w:firstLine="0"/>
              <w:jc w:val="both"/>
              <w:rPr>
                <w:rFonts w:hint="eastAsia" w:ascii="宋体" w:hAnsi="宋体" w:eastAsia="宋体" w:cs="宋体"/>
                <w:color w:val="auto"/>
                <w:sz w:val="21"/>
                <w:szCs w:val="21"/>
                <w:highlight w:val="none"/>
              </w:rPr>
            </w:pPr>
          </w:p>
        </w:tc>
        <w:tc>
          <w:tcPr>
            <w:tcW w:w="1433" w:type="dxa"/>
            <w:noWrap w:val="0"/>
            <w:vAlign w:val="top"/>
          </w:tcPr>
          <w:p w14:paraId="0DB71564">
            <w:pPr>
              <w:pStyle w:val="31"/>
              <w:tabs>
                <w:tab w:val="left" w:pos="6882"/>
                <w:tab w:val="left" w:pos="7510"/>
              </w:tabs>
              <w:spacing w:line="350" w:lineRule="exact"/>
              <w:ind w:firstLine="0"/>
              <w:jc w:val="both"/>
              <w:rPr>
                <w:rFonts w:hint="eastAsia" w:ascii="宋体" w:hAnsi="宋体" w:eastAsia="宋体" w:cs="宋体"/>
                <w:color w:val="auto"/>
                <w:sz w:val="21"/>
                <w:szCs w:val="21"/>
                <w:highlight w:val="none"/>
              </w:rPr>
            </w:pPr>
          </w:p>
        </w:tc>
      </w:tr>
    </w:tbl>
    <w:p w14:paraId="5A14C7DB">
      <w:pPr>
        <w:pStyle w:val="31"/>
        <w:tabs>
          <w:tab w:val="left" w:pos="854"/>
          <w:tab w:val="left" w:pos="1925"/>
          <w:tab w:val="left" w:pos="2966"/>
          <w:tab w:val="left" w:pos="3014"/>
        </w:tabs>
        <w:spacing w:after="320" w:line="350" w:lineRule="exact"/>
        <w:ind w:firstLine="0"/>
        <w:jc w:val="right"/>
        <w:rPr>
          <w:rFonts w:hint="eastAsia" w:ascii="宋体" w:hAnsi="宋体" w:eastAsia="宋体" w:cs="宋体"/>
          <w:color w:val="auto"/>
          <w:sz w:val="21"/>
          <w:szCs w:val="21"/>
          <w:highlight w:val="none"/>
        </w:rPr>
      </w:pPr>
    </w:p>
    <w:p w14:paraId="3064BBBD">
      <w:pPr>
        <w:pStyle w:val="31"/>
        <w:spacing w:after="320" w:line="353" w:lineRule="exact"/>
        <w:ind w:firstLine="42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注：①主要人员指项目经理、技术负责人、安全员、质量员及其它主要人员。 每个人员按照以上格式填写（可扩展为多页）。</w:t>
      </w:r>
    </w:p>
    <w:p w14:paraId="2B7E733E">
      <w:pPr>
        <w:spacing w:line="580" w:lineRule="exact"/>
        <w:rPr>
          <w:rFonts w:hint="eastAsia" w:ascii="宋体" w:hAnsi="宋体" w:eastAsia="宋体" w:cs="宋体"/>
          <w:b/>
          <w:color w:val="auto"/>
          <w:sz w:val="30"/>
          <w:szCs w:val="30"/>
          <w:highlight w:val="none"/>
        </w:rPr>
      </w:pPr>
    </w:p>
    <w:p w14:paraId="4DD5A41E">
      <w:pPr>
        <w:spacing w:line="580" w:lineRule="exact"/>
        <w:rPr>
          <w:rFonts w:hint="eastAsia" w:ascii="宋体" w:hAnsi="宋体" w:eastAsia="宋体" w:cs="宋体"/>
          <w:b/>
          <w:color w:val="auto"/>
          <w:sz w:val="30"/>
          <w:szCs w:val="30"/>
          <w:highlight w:val="none"/>
        </w:rPr>
      </w:pPr>
    </w:p>
    <w:p w14:paraId="57A39B7F">
      <w:pPr>
        <w:spacing w:line="580" w:lineRule="exact"/>
        <w:rPr>
          <w:rFonts w:hint="eastAsia" w:ascii="宋体" w:hAnsi="宋体" w:eastAsia="宋体" w:cs="宋体"/>
          <w:b/>
          <w:color w:val="auto"/>
          <w:sz w:val="30"/>
          <w:szCs w:val="30"/>
          <w:highlight w:val="none"/>
        </w:rPr>
      </w:pPr>
    </w:p>
    <w:p w14:paraId="20ADC5F9">
      <w:pPr>
        <w:snapToGrid w:val="0"/>
        <w:spacing w:line="360" w:lineRule="auto"/>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lang w:eastAsia="zh-CN"/>
        </w:rPr>
        <w:t>十</w:t>
      </w:r>
      <w:r>
        <w:rPr>
          <w:rFonts w:hint="eastAsia" w:ascii="宋体" w:hAnsi="宋体" w:eastAsia="宋体" w:cs="宋体"/>
          <w:b/>
          <w:color w:val="auto"/>
          <w:sz w:val="30"/>
          <w:szCs w:val="30"/>
          <w:highlight w:val="none"/>
        </w:rPr>
        <w:t>、供应商认为需要提供的其他有关资料</w:t>
      </w:r>
    </w:p>
    <w:p w14:paraId="56E361B7">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p>
    <w:p w14:paraId="13DB46C8">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00D45AF9">
      <w:pPr>
        <w:autoSpaceDE w:val="0"/>
        <w:autoSpaceDN w:val="0"/>
        <w:spacing w:line="360" w:lineRule="auto"/>
        <w:ind w:firstLine="6480" w:firstLineChars="2700"/>
        <w:rPr>
          <w:rFonts w:hint="eastAsia" w:ascii="宋体" w:hAnsi="宋体" w:eastAsia="宋体" w:cs="宋体"/>
          <w:color w:val="auto"/>
          <w:sz w:val="32"/>
          <w:szCs w:val="32"/>
          <w:highlight w:val="none"/>
        </w:rPr>
        <w:sectPr>
          <w:headerReference r:id="rId6" w:type="default"/>
          <w:footerReference r:id="rId7" w:type="default"/>
          <w:pgSz w:w="11910" w:h="16840"/>
          <w:pgMar w:top="1440" w:right="1080" w:bottom="1440" w:left="1080" w:header="0" w:footer="720" w:gutter="0"/>
          <w:cols w:space="720" w:num="1"/>
        </w:sectPr>
      </w:pPr>
      <w:r>
        <w:rPr>
          <w:rFonts w:hint="eastAsia" w:ascii="宋体" w:hAnsi="宋体" w:eastAsia="宋体" w:cs="宋体"/>
          <w:color w:val="auto"/>
          <w:kern w:val="0"/>
          <w:sz w:val="24"/>
          <w:highlight w:val="none"/>
          <w:lang w:val="zh-CN"/>
        </w:rPr>
        <w:t>日期： 年  月   日</w:t>
      </w:r>
    </w:p>
    <w:p w14:paraId="06751F14">
      <w:pPr>
        <w:pStyle w:val="4"/>
        <w:rPr>
          <w:rFonts w:hint="eastAsia" w:ascii="宋体" w:hAnsi="宋体" w:eastAsia="宋体" w:cs="宋体"/>
          <w:color w:val="auto"/>
          <w:sz w:val="32"/>
          <w:szCs w:val="32"/>
          <w:highlight w:val="none"/>
          <w:lang w:eastAsia="zh-CN"/>
        </w:rPr>
      </w:pPr>
      <w:bookmarkStart w:id="77" w:name="_Toc29339"/>
      <w:bookmarkStart w:id="78" w:name="_Toc10554"/>
      <w:bookmarkStart w:id="79" w:name="_Toc14924"/>
      <w:bookmarkStart w:id="80" w:name="_Toc26782"/>
      <w:bookmarkStart w:id="81" w:name="_Toc20935"/>
      <w:r>
        <w:rPr>
          <w:rFonts w:hint="eastAsia" w:ascii="宋体" w:hAnsi="宋体" w:eastAsia="宋体" w:cs="宋体"/>
          <w:color w:val="auto"/>
          <w:sz w:val="32"/>
          <w:szCs w:val="32"/>
          <w:highlight w:val="none"/>
          <w:lang w:eastAsia="zh-CN"/>
        </w:rPr>
        <w:t>三、首次</w:t>
      </w:r>
      <w:r>
        <w:rPr>
          <w:rFonts w:hint="eastAsia" w:ascii="宋体" w:hAnsi="宋体" w:eastAsia="宋体" w:cs="宋体"/>
          <w:color w:val="auto"/>
          <w:sz w:val="32"/>
          <w:szCs w:val="32"/>
          <w:highlight w:val="none"/>
        </w:rPr>
        <w:t>报价文件格式</w:t>
      </w:r>
      <w:bookmarkEnd w:id="77"/>
      <w:bookmarkEnd w:id="78"/>
      <w:bookmarkEnd w:id="79"/>
      <w:bookmarkEnd w:id="80"/>
      <w:bookmarkEnd w:id="81"/>
    </w:p>
    <w:p w14:paraId="55EF2723">
      <w:pPr>
        <w:snapToGrid w:val="0"/>
        <w:spacing w:before="120" w:beforeLines="50" w:after="50"/>
        <w:rPr>
          <w:rFonts w:hint="eastAsia" w:ascii="宋体" w:hAnsi="宋体" w:eastAsia="宋体" w:cs="宋体"/>
          <w:color w:val="auto"/>
          <w:sz w:val="24"/>
          <w:szCs w:val="20"/>
          <w:highlight w:val="none"/>
        </w:rPr>
      </w:pPr>
      <w:r>
        <w:rPr>
          <w:rFonts w:hint="eastAsia" w:ascii="宋体" w:hAnsi="宋体" w:eastAsia="宋体" w:cs="宋体"/>
          <w:color w:val="auto"/>
          <w:sz w:val="24"/>
          <w:highlight w:val="none"/>
        </w:rPr>
        <w:t xml:space="preserve">                                                  </w:t>
      </w:r>
    </w:p>
    <w:p w14:paraId="7871E106">
      <w:pPr>
        <w:snapToGrid w:val="0"/>
        <w:spacing w:before="120" w:beforeLines="50" w:after="50"/>
        <w:rPr>
          <w:rFonts w:hint="eastAsia" w:ascii="宋体" w:hAnsi="宋体" w:eastAsia="宋体" w:cs="宋体"/>
          <w:color w:val="auto"/>
          <w:sz w:val="24"/>
          <w:szCs w:val="20"/>
          <w:highlight w:val="none"/>
        </w:rPr>
      </w:pPr>
    </w:p>
    <w:p w14:paraId="1596485A">
      <w:pPr>
        <w:snapToGrid w:val="0"/>
        <w:spacing w:before="120" w:beforeLines="50" w:after="50"/>
        <w:rPr>
          <w:rFonts w:hint="eastAsia" w:ascii="宋体" w:hAnsi="宋体" w:eastAsia="宋体" w:cs="宋体"/>
          <w:color w:val="auto"/>
          <w:sz w:val="24"/>
          <w:szCs w:val="20"/>
          <w:highlight w:val="none"/>
        </w:rPr>
      </w:pPr>
    </w:p>
    <w:p w14:paraId="37D0611C">
      <w:pPr>
        <w:snapToGrid w:val="0"/>
        <w:spacing w:before="120" w:beforeLines="50" w:after="50"/>
        <w:jc w:val="center"/>
        <w:rPr>
          <w:rFonts w:hint="eastAsia" w:ascii="宋体" w:hAnsi="宋体" w:eastAsia="宋体" w:cs="宋体"/>
          <w:bCs/>
          <w:color w:val="auto"/>
          <w:sz w:val="84"/>
          <w:szCs w:val="84"/>
          <w:highlight w:val="none"/>
        </w:rPr>
      </w:pPr>
      <w:r>
        <w:rPr>
          <w:rFonts w:hint="eastAsia" w:ascii="宋体" w:hAnsi="宋体" w:eastAsia="宋体" w:cs="宋体"/>
          <w:bCs/>
          <w:color w:val="auto"/>
          <w:sz w:val="84"/>
          <w:szCs w:val="84"/>
          <w:highlight w:val="none"/>
        </w:rPr>
        <w:t>响  应  文  件</w:t>
      </w:r>
    </w:p>
    <w:p w14:paraId="7BC5FDB4">
      <w:pPr>
        <w:snapToGrid w:val="0"/>
        <w:spacing w:before="120" w:beforeLines="50" w:after="50"/>
        <w:rPr>
          <w:rFonts w:hint="eastAsia" w:ascii="宋体" w:hAnsi="宋体" w:eastAsia="宋体" w:cs="宋体"/>
          <w:color w:val="auto"/>
          <w:sz w:val="24"/>
          <w:szCs w:val="20"/>
          <w:highlight w:val="none"/>
        </w:rPr>
      </w:pPr>
    </w:p>
    <w:p w14:paraId="7B5F7B6D">
      <w:pPr>
        <w:snapToGrid w:val="0"/>
        <w:spacing w:before="120" w:beforeLines="50" w:after="50"/>
        <w:jc w:val="center"/>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 xml:space="preserve"> 首  次  报  价  文  件</w:t>
      </w:r>
    </w:p>
    <w:p w14:paraId="661D88CE">
      <w:pPr>
        <w:snapToGrid w:val="0"/>
        <w:spacing w:before="120" w:beforeLines="50" w:after="50"/>
        <w:rPr>
          <w:rFonts w:hint="eastAsia" w:ascii="宋体" w:hAnsi="宋体" w:eastAsia="宋体" w:cs="宋体"/>
          <w:bCs/>
          <w:color w:val="auto"/>
          <w:sz w:val="24"/>
          <w:szCs w:val="20"/>
          <w:highlight w:val="none"/>
        </w:rPr>
      </w:pPr>
    </w:p>
    <w:p w14:paraId="6C3D035E">
      <w:pPr>
        <w:snapToGrid w:val="0"/>
        <w:spacing w:before="120" w:beforeLines="50" w:after="50"/>
        <w:rPr>
          <w:rFonts w:hint="eastAsia" w:ascii="宋体" w:hAnsi="宋体" w:eastAsia="宋体" w:cs="宋体"/>
          <w:bCs/>
          <w:color w:val="auto"/>
          <w:sz w:val="24"/>
          <w:szCs w:val="20"/>
          <w:highlight w:val="none"/>
        </w:rPr>
      </w:pPr>
    </w:p>
    <w:p w14:paraId="5A89BE12">
      <w:pPr>
        <w:snapToGrid w:val="0"/>
        <w:spacing w:before="120" w:beforeLines="50" w:after="50"/>
        <w:rPr>
          <w:rFonts w:hint="eastAsia" w:ascii="宋体" w:hAnsi="宋体" w:eastAsia="宋体" w:cs="宋体"/>
          <w:bCs/>
          <w:color w:val="auto"/>
          <w:sz w:val="24"/>
          <w:szCs w:val="20"/>
          <w:highlight w:val="none"/>
        </w:rPr>
      </w:pPr>
    </w:p>
    <w:p w14:paraId="66A3FB54">
      <w:pPr>
        <w:snapToGrid w:val="0"/>
        <w:spacing w:before="120" w:beforeLines="50" w:after="50"/>
        <w:rPr>
          <w:rFonts w:hint="eastAsia" w:ascii="宋体" w:hAnsi="宋体" w:eastAsia="宋体" w:cs="宋体"/>
          <w:bCs/>
          <w:color w:val="auto"/>
          <w:sz w:val="24"/>
          <w:szCs w:val="20"/>
          <w:highlight w:val="none"/>
        </w:rPr>
      </w:pPr>
    </w:p>
    <w:p w14:paraId="0F63FA1E">
      <w:pPr>
        <w:snapToGrid w:val="0"/>
        <w:spacing w:before="120" w:beforeLines="50" w:after="50"/>
        <w:rPr>
          <w:rFonts w:hint="eastAsia" w:ascii="宋体" w:hAnsi="宋体" w:eastAsia="宋体" w:cs="宋体"/>
          <w:bCs/>
          <w:color w:val="auto"/>
          <w:sz w:val="24"/>
          <w:szCs w:val="20"/>
          <w:highlight w:val="none"/>
        </w:rPr>
      </w:pPr>
    </w:p>
    <w:p w14:paraId="51414671">
      <w:pPr>
        <w:snapToGrid w:val="0"/>
        <w:spacing w:before="120" w:beforeLines="50" w:after="50"/>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项目名称：</w:t>
      </w:r>
    </w:p>
    <w:p w14:paraId="36A4BBE7">
      <w:pPr>
        <w:snapToGrid w:val="0"/>
        <w:spacing w:before="120" w:beforeLines="50" w:after="50"/>
        <w:ind w:firstLine="720" w:firstLineChars="225"/>
        <w:rPr>
          <w:rFonts w:hint="eastAsia" w:ascii="宋体" w:hAnsi="宋体" w:eastAsia="宋体" w:cs="宋体"/>
          <w:bCs/>
          <w:color w:val="auto"/>
          <w:sz w:val="32"/>
          <w:szCs w:val="32"/>
          <w:highlight w:val="none"/>
        </w:rPr>
      </w:pPr>
    </w:p>
    <w:p w14:paraId="7D046BE3">
      <w:pPr>
        <w:snapToGrid w:val="0"/>
        <w:spacing w:before="120" w:beforeLines="50" w:after="50"/>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项目编号：</w:t>
      </w:r>
    </w:p>
    <w:p w14:paraId="27B8709C">
      <w:pPr>
        <w:snapToGrid w:val="0"/>
        <w:spacing w:before="120" w:beforeLines="50" w:after="50"/>
        <w:ind w:firstLine="720" w:firstLineChars="225"/>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 xml:space="preserve"> </w:t>
      </w:r>
    </w:p>
    <w:p w14:paraId="53247F49">
      <w:pPr>
        <w:snapToGrid w:val="0"/>
        <w:spacing w:before="120" w:beforeLines="50" w:after="50"/>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所竞分标：</w:t>
      </w:r>
    </w:p>
    <w:p w14:paraId="624DF3E0">
      <w:pPr>
        <w:snapToGrid w:val="0"/>
        <w:spacing w:before="120" w:beforeLines="50" w:after="50"/>
        <w:ind w:firstLine="720" w:firstLineChars="225"/>
        <w:rPr>
          <w:rFonts w:hint="eastAsia" w:ascii="宋体" w:hAnsi="宋体" w:eastAsia="宋体" w:cs="宋体"/>
          <w:bCs/>
          <w:color w:val="auto"/>
          <w:sz w:val="32"/>
          <w:szCs w:val="32"/>
          <w:highlight w:val="none"/>
        </w:rPr>
      </w:pPr>
    </w:p>
    <w:p w14:paraId="325122FA">
      <w:pPr>
        <w:pStyle w:val="10"/>
        <w:snapToGrid w:val="0"/>
        <w:spacing w:before="50" w:after="50"/>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供应商名称：</w:t>
      </w:r>
    </w:p>
    <w:p w14:paraId="2BABD40D">
      <w:pPr>
        <w:pStyle w:val="10"/>
        <w:snapToGrid w:val="0"/>
        <w:spacing w:before="50" w:after="50"/>
        <w:ind w:firstLine="640" w:firstLineChars="200"/>
        <w:rPr>
          <w:rFonts w:hint="eastAsia" w:ascii="宋体" w:hAnsi="宋体" w:eastAsia="宋体" w:cs="宋体"/>
          <w:bCs/>
          <w:color w:val="auto"/>
          <w:sz w:val="32"/>
          <w:szCs w:val="32"/>
          <w:highlight w:val="none"/>
        </w:rPr>
      </w:pPr>
    </w:p>
    <w:p w14:paraId="316E6579">
      <w:pPr>
        <w:pStyle w:val="10"/>
        <w:snapToGrid w:val="0"/>
        <w:spacing w:before="50" w:after="50"/>
        <w:ind w:firstLine="0"/>
        <w:rPr>
          <w:rFonts w:hint="eastAsia" w:ascii="宋体" w:hAnsi="宋体" w:eastAsia="宋体" w:cs="宋体"/>
          <w:bCs/>
          <w:color w:val="auto"/>
          <w:sz w:val="32"/>
          <w:szCs w:val="32"/>
          <w:highlight w:val="none"/>
        </w:rPr>
      </w:pPr>
    </w:p>
    <w:p w14:paraId="42878165">
      <w:pPr>
        <w:pStyle w:val="10"/>
        <w:snapToGrid w:val="0"/>
        <w:spacing w:before="50" w:after="50"/>
        <w:ind w:firstLine="1280" w:firstLineChars="400"/>
        <w:rPr>
          <w:rFonts w:hint="eastAsia" w:ascii="宋体" w:hAnsi="宋体" w:eastAsia="宋体" w:cs="宋体"/>
          <w:bCs/>
          <w:color w:val="auto"/>
          <w:sz w:val="32"/>
          <w:szCs w:val="32"/>
          <w:highlight w:val="none"/>
        </w:rPr>
      </w:pPr>
    </w:p>
    <w:p w14:paraId="4AC3C03D">
      <w:pPr>
        <w:snapToGrid w:val="0"/>
        <w:spacing w:before="120" w:beforeLines="50" w:after="50"/>
        <w:jc w:val="center"/>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年    月    日</w:t>
      </w:r>
    </w:p>
    <w:p w14:paraId="0A3419AB">
      <w:pPr>
        <w:snapToGrid w:val="0"/>
        <w:spacing w:before="120" w:beforeLines="50" w:after="50" w:line="400" w:lineRule="exact"/>
        <w:jc w:val="center"/>
        <w:rPr>
          <w:rFonts w:hint="eastAsia" w:ascii="宋体" w:hAnsi="宋体" w:eastAsia="宋体" w:cs="宋体"/>
          <w:b/>
          <w:bCs/>
          <w:color w:val="auto"/>
          <w:sz w:val="32"/>
          <w:szCs w:val="32"/>
          <w:highlight w:val="none"/>
        </w:rPr>
      </w:pPr>
    </w:p>
    <w:p w14:paraId="7F93D9C3">
      <w:pPr>
        <w:snapToGrid w:val="0"/>
        <w:spacing w:before="120" w:beforeLines="50" w:after="50" w:line="400" w:lineRule="exact"/>
        <w:jc w:val="center"/>
        <w:rPr>
          <w:rFonts w:hint="eastAsia" w:ascii="宋体" w:hAnsi="宋体" w:eastAsia="宋体" w:cs="宋体"/>
          <w:b/>
          <w:bCs/>
          <w:color w:val="auto"/>
          <w:sz w:val="32"/>
          <w:szCs w:val="32"/>
          <w:highlight w:val="none"/>
        </w:rPr>
      </w:pPr>
    </w:p>
    <w:p w14:paraId="39FB401D">
      <w:pPr>
        <w:snapToGrid w:val="0"/>
        <w:spacing w:before="120" w:beforeLines="50" w:after="50" w:line="400" w:lineRule="exact"/>
        <w:jc w:val="center"/>
        <w:rPr>
          <w:rFonts w:hint="eastAsia" w:ascii="宋体" w:hAnsi="宋体" w:eastAsia="宋体" w:cs="宋体"/>
          <w:b/>
          <w:bCs/>
          <w:color w:val="auto"/>
          <w:sz w:val="32"/>
          <w:szCs w:val="32"/>
          <w:highlight w:val="none"/>
        </w:rPr>
      </w:pPr>
    </w:p>
    <w:p w14:paraId="1005C5B0">
      <w:pPr>
        <w:snapToGrid w:val="0"/>
        <w:spacing w:before="120" w:beforeLines="50" w:after="50" w:line="400" w:lineRule="exact"/>
        <w:jc w:val="cente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报价文件目录</w:t>
      </w:r>
    </w:p>
    <w:p w14:paraId="22E3F024">
      <w:pPr>
        <w:rPr>
          <w:rFonts w:hint="eastAsia" w:ascii="宋体" w:hAnsi="宋体" w:eastAsia="宋体" w:cs="宋体"/>
          <w:color w:val="auto"/>
          <w:highlight w:val="none"/>
        </w:rPr>
      </w:pPr>
    </w:p>
    <w:p w14:paraId="141C7EB8">
      <w:pPr>
        <w:numPr>
          <w:ilvl w:val="0"/>
          <w:numId w:val="6"/>
        </w:numPr>
        <w:spacing w:line="360" w:lineRule="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响应函及响应函附录………………………………………………………………（页码）</w:t>
      </w:r>
    </w:p>
    <w:p w14:paraId="0BFEE7EF">
      <w:pPr>
        <w:spacing w:line="360" w:lineRule="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eastAsia="zh-CN"/>
        </w:rPr>
        <w:t>二</w:t>
      </w:r>
      <w:r>
        <w:rPr>
          <w:rFonts w:hint="eastAsia" w:ascii="宋体" w:hAnsi="宋体" w:eastAsia="宋体" w:cs="宋体"/>
          <w:color w:val="auto"/>
          <w:kern w:val="0"/>
          <w:sz w:val="24"/>
          <w:highlight w:val="none"/>
        </w:rPr>
        <w:t>、已标价工程量清单…………………………………………………………………（页码）</w:t>
      </w:r>
    </w:p>
    <w:p w14:paraId="70CBE4F9">
      <w:pPr>
        <w:tabs>
          <w:tab w:val="left" w:pos="3479"/>
        </w:tabs>
        <w:spacing w:line="520" w:lineRule="exact"/>
        <w:rPr>
          <w:rFonts w:hint="eastAsia" w:ascii="宋体" w:hAnsi="宋体" w:eastAsia="宋体" w:cs="宋体"/>
          <w:bCs/>
          <w:color w:val="auto"/>
          <w:sz w:val="44"/>
          <w:szCs w:val="44"/>
          <w:highlight w:val="none"/>
        </w:rPr>
        <w:sectPr>
          <w:pgSz w:w="11910" w:h="16840"/>
          <w:pgMar w:top="1134" w:right="1134" w:bottom="1134" w:left="1134" w:header="850" w:footer="567" w:gutter="0"/>
          <w:cols w:space="720" w:num="1"/>
          <w:docGrid w:linePitch="286" w:charSpace="0"/>
        </w:sectPr>
      </w:pPr>
    </w:p>
    <w:p w14:paraId="121B43DC">
      <w:pPr>
        <w:pStyle w:val="16"/>
        <w:spacing w:line="500" w:lineRule="exact"/>
        <w:jc w:val="left"/>
        <w:rPr>
          <w:rFonts w:hint="eastAsia" w:ascii="宋体" w:hAnsi="宋体" w:eastAsia="宋体" w:cs="宋体"/>
          <w:b/>
          <w:bCs/>
          <w:color w:val="auto"/>
          <w:sz w:val="30"/>
          <w:szCs w:val="30"/>
          <w:highlight w:val="none"/>
          <w:lang w:val="en-US" w:eastAsia="zh-CN"/>
        </w:rPr>
      </w:pPr>
      <w:r>
        <w:rPr>
          <w:rFonts w:hint="eastAsia" w:ascii="宋体" w:hAnsi="宋体" w:eastAsia="宋体" w:cs="宋体"/>
          <w:b/>
          <w:bCs/>
          <w:color w:val="auto"/>
          <w:sz w:val="30"/>
          <w:szCs w:val="30"/>
          <w:highlight w:val="none"/>
          <w:lang w:eastAsia="zh-CN"/>
        </w:rPr>
        <w:t>一、响应函及响应函附录</w:t>
      </w:r>
    </w:p>
    <w:p w14:paraId="08DD2EB2">
      <w:pPr>
        <w:pStyle w:val="16"/>
        <w:spacing w:line="500" w:lineRule="exact"/>
        <w:ind w:firstLine="602"/>
        <w:jc w:val="center"/>
        <w:rPr>
          <w:rFonts w:hint="eastAsia" w:ascii="宋体" w:hAnsi="宋体" w:eastAsia="宋体" w:cs="宋体"/>
          <w:b/>
          <w:bCs/>
          <w:color w:val="auto"/>
          <w:sz w:val="30"/>
          <w:szCs w:val="30"/>
          <w:highlight w:val="none"/>
        </w:rPr>
      </w:pPr>
    </w:p>
    <w:p w14:paraId="6542F2F8">
      <w:pPr>
        <w:pStyle w:val="35"/>
        <w:jc w:val="center"/>
        <w:rPr>
          <w:rFonts w:hint="eastAsia" w:ascii="宋体" w:hAnsi="宋体" w:eastAsia="宋体" w:cs="宋体"/>
          <w:color w:val="auto"/>
          <w:sz w:val="24"/>
          <w:szCs w:val="24"/>
          <w:highlight w:val="none"/>
          <w:lang w:eastAsia="zh-CN"/>
        </w:rPr>
      </w:pPr>
      <w:bookmarkStart w:id="82" w:name="_Toc15311"/>
      <w:bookmarkStart w:id="83" w:name="_Toc23551"/>
      <w:bookmarkStart w:id="84" w:name="_Toc31323"/>
      <w:bookmarkStart w:id="85" w:name="_Toc28668"/>
      <w:r>
        <w:rPr>
          <w:rFonts w:hint="eastAsia" w:ascii="宋体" w:hAnsi="宋体" w:eastAsia="宋体" w:cs="宋体"/>
          <w:color w:val="auto"/>
          <w:sz w:val="28"/>
          <w:szCs w:val="28"/>
          <w:highlight w:val="none"/>
          <w:lang w:eastAsia="zh-CN"/>
        </w:rPr>
        <w:t>（―）响应函</w:t>
      </w:r>
      <w:bookmarkEnd w:id="82"/>
      <w:bookmarkEnd w:id="83"/>
      <w:bookmarkEnd w:id="84"/>
      <w:bookmarkEnd w:id="85"/>
    </w:p>
    <w:p w14:paraId="3F699CCD">
      <w:pPr>
        <w:pStyle w:val="32"/>
        <w:spacing w:line="420" w:lineRule="exact"/>
        <w:rPr>
          <w:rFonts w:hint="eastAsia" w:ascii="宋体" w:hAnsi="宋体" w:eastAsia="宋体" w:cs="宋体"/>
          <w:color w:val="auto"/>
          <w:highlight w:val="none"/>
          <w:lang w:eastAsia="zh-CN"/>
        </w:rPr>
      </w:pPr>
      <w:r>
        <w:rPr>
          <w:rFonts w:hint="eastAsia" w:ascii="宋体" w:hAnsi="宋体" w:eastAsia="宋体" w:cs="宋体"/>
          <w:color w:val="auto"/>
          <w:highlight w:val="none"/>
          <w:u w:val="single"/>
          <w:lang w:eastAsia="zh-CN"/>
        </w:rPr>
        <w:t xml:space="preserve">                          </w:t>
      </w:r>
      <w:r>
        <w:rPr>
          <w:rFonts w:hint="eastAsia" w:ascii="宋体" w:hAnsi="宋体" w:eastAsia="宋体" w:cs="宋体"/>
          <w:color w:val="auto"/>
          <w:highlight w:val="none"/>
          <w:lang w:eastAsia="zh-CN"/>
        </w:rPr>
        <w:t>（采购人名称）：</w:t>
      </w:r>
    </w:p>
    <w:p w14:paraId="5BFFE018">
      <w:pPr>
        <w:pStyle w:val="31"/>
        <w:numPr>
          <w:ilvl w:val="0"/>
          <w:numId w:val="7"/>
        </w:numPr>
        <w:tabs>
          <w:tab w:val="left" w:pos="762"/>
          <w:tab w:val="left" w:pos="2074"/>
          <w:tab w:val="left" w:pos="3430"/>
          <w:tab w:val="left" w:pos="4687"/>
          <w:tab w:val="left" w:pos="7898"/>
        </w:tabs>
        <w:spacing w:line="420" w:lineRule="exact"/>
        <w:ind w:firstLine="44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我方已仔细研究了</w:t>
      </w:r>
      <w:r>
        <w:rPr>
          <w:rFonts w:hint="eastAsia" w:ascii="宋体" w:hAnsi="宋体" w:eastAsia="宋体" w:cs="宋体"/>
          <w:color w:val="auto"/>
          <w:sz w:val="24"/>
          <w:szCs w:val="24"/>
          <w:highlight w:val="none"/>
          <w:u w:val="single"/>
          <w:lang w:val="en-US"/>
        </w:rPr>
        <w:t xml:space="preserve">           </w:t>
      </w:r>
      <w:r>
        <w:rPr>
          <w:rFonts w:hint="eastAsia" w:ascii="宋体" w:hAnsi="宋体" w:eastAsia="宋体" w:cs="宋体"/>
          <w:color w:val="auto"/>
          <w:sz w:val="24"/>
          <w:szCs w:val="24"/>
          <w:highlight w:val="none"/>
        </w:rPr>
        <w:t>（项目名称）</w:t>
      </w:r>
      <w:r>
        <w:rPr>
          <w:rFonts w:hint="eastAsia" w:ascii="宋体" w:hAnsi="宋体" w:eastAsia="宋体" w:cs="宋体"/>
          <w:color w:val="auto"/>
          <w:sz w:val="24"/>
          <w:szCs w:val="24"/>
          <w:highlight w:val="none"/>
          <w:u w:val="single"/>
          <w:lang w:val="en-US"/>
        </w:rPr>
        <w:t xml:space="preserve">          </w:t>
      </w:r>
      <w:r>
        <w:rPr>
          <w:rFonts w:hint="eastAsia" w:ascii="宋体" w:hAnsi="宋体" w:eastAsia="宋体" w:cs="宋体"/>
          <w:color w:val="auto"/>
          <w:sz w:val="24"/>
          <w:szCs w:val="24"/>
          <w:highlight w:val="none"/>
        </w:rPr>
        <w:t>（项目编号）施工竞争性谈判文件的全部内容，愿意以人民币（大写）</w:t>
      </w:r>
      <w:r>
        <w:rPr>
          <w:rFonts w:hint="eastAsia" w:ascii="宋体" w:hAnsi="宋体" w:eastAsia="宋体" w:cs="宋体"/>
          <w:color w:val="auto"/>
          <w:sz w:val="24"/>
          <w:szCs w:val="24"/>
          <w:highlight w:val="none"/>
          <w:u w:val="single"/>
          <w:lang w:val="en-US"/>
        </w:rPr>
        <w:t xml:space="preserve">            </w:t>
      </w:r>
      <w:r>
        <w:rPr>
          <w:rFonts w:hint="eastAsia" w:ascii="宋体" w:hAnsi="宋体" w:eastAsia="宋体" w:cs="宋体"/>
          <w:color w:val="auto"/>
          <w:sz w:val="24"/>
          <w:szCs w:val="24"/>
          <w:highlight w:val="none"/>
        </w:rPr>
        <w:t>元（¥</w:t>
      </w:r>
      <w:r>
        <w:rPr>
          <w:rFonts w:hint="eastAsia" w:ascii="宋体" w:hAnsi="宋体" w:eastAsia="宋体" w:cs="宋体"/>
          <w:color w:val="auto"/>
          <w:sz w:val="24"/>
          <w:szCs w:val="24"/>
          <w:highlight w:val="none"/>
          <w:u w:val="single"/>
          <w:lang w:val="en-US"/>
        </w:rPr>
        <w:t xml:space="preserve">        </w:t>
      </w:r>
      <w:r>
        <w:rPr>
          <w:rFonts w:hint="eastAsia" w:ascii="宋体" w:hAnsi="宋体" w:eastAsia="宋体" w:cs="宋体"/>
          <w:color w:val="auto"/>
          <w:sz w:val="24"/>
          <w:szCs w:val="24"/>
          <w:highlight w:val="none"/>
        </w:rPr>
        <w:t>元）的竞标总报价，工期</w:t>
      </w:r>
      <w:r>
        <w:rPr>
          <w:rFonts w:hint="eastAsia" w:ascii="宋体" w:hAnsi="宋体" w:eastAsia="宋体" w:cs="宋体"/>
          <w:color w:val="auto"/>
          <w:sz w:val="24"/>
          <w:szCs w:val="24"/>
          <w:highlight w:val="none"/>
          <w:u w:val="single"/>
          <w:lang w:val="en-US"/>
        </w:rPr>
        <w:t xml:space="preserve">            </w:t>
      </w:r>
      <w:r>
        <w:rPr>
          <w:rFonts w:hint="eastAsia" w:ascii="宋体" w:hAnsi="宋体" w:eastAsia="宋体" w:cs="宋体"/>
          <w:color w:val="auto"/>
          <w:sz w:val="24"/>
          <w:szCs w:val="24"/>
          <w:highlight w:val="none"/>
        </w:rPr>
        <w:t>日历天，按合同约定实施和完成承包工程，修补工程中的任何缺陷，工程质量达到</w:t>
      </w:r>
      <w:r>
        <w:rPr>
          <w:rFonts w:hint="eastAsia" w:ascii="宋体" w:hAnsi="宋体" w:eastAsia="宋体" w:cs="宋体"/>
          <w:color w:val="auto"/>
          <w:sz w:val="24"/>
          <w:szCs w:val="24"/>
          <w:highlight w:val="none"/>
          <w:u w:val="single"/>
          <w:lang w:val="en-US"/>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lang w:val="en-US" w:bidi="en-US"/>
        </w:rPr>
        <w:t>。</w:t>
      </w:r>
    </w:p>
    <w:p w14:paraId="0443040D">
      <w:pPr>
        <w:pStyle w:val="31"/>
        <w:numPr>
          <w:ilvl w:val="0"/>
          <w:numId w:val="7"/>
        </w:numPr>
        <w:tabs>
          <w:tab w:val="left" w:pos="774"/>
        </w:tabs>
        <w:spacing w:line="420" w:lineRule="exact"/>
        <w:ind w:firstLine="44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我方承诺在投标有效期内不补充、修改、替代或者撤回本响应文件。</w:t>
      </w:r>
    </w:p>
    <w:p w14:paraId="679DCAD8">
      <w:pPr>
        <w:pStyle w:val="31"/>
        <w:numPr>
          <w:ilvl w:val="0"/>
          <w:numId w:val="7"/>
        </w:numPr>
        <w:tabs>
          <w:tab w:val="left" w:pos="762"/>
        </w:tabs>
        <w:spacing w:line="420" w:lineRule="exact"/>
        <w:ind w:firstLine="42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如我方成交：</w:t>
      </w:r>
    </w:p>
    <w:p w14:paraId="0424E57B">
      <w:pPr>
        <w:pStyle w:val="31"/>
        <w:tabs>
          <w:tab w:val="left" w:pos="903"/>
        </w:tabs>
        <w:spacing w:line="420" w:lineRule="exact"/>
        <w:ind w:firstLine="42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（1）我方承诺在收到成交通知书后，在成交通知书规定的期限内与你方签订合同。</w:t>
      </w:r>
    </w:p>
    <w:p w14:paraId="0FF35890">
      <w:pPr>
        <w:pStyle w:val="31"/>
        <w:tabs>
          <w:tab w:val="left" w:pos="903"/>
        </w:tabs>
        <w:spacing w:line="420" w:lineRule="exact"/>
        <w:ind w:firstLine="42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（2）随同本响应函递交的响应函附录属于合同文件的组成部分。</w:t>
      </w:r>
    </w:p>
    <w:p w14:paraId="7A225F0C">
      <w:pPr>
        <w:pStyle w:val="31"/>
        <w:tabs>
          <w:tab w:val="left" w:pos="903"/>
        </w:tabs>
        <w:spacing w:line="420" w:lineRule="exact"/>
        <w:ind w:firstLine="42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（3）我方承诺按照竞争性谈判文件规定向你方递交履约担保。</w:t>
      </w:r>
    </w:p>
    <w:p w14:paraId="08709430">
      <w:pPr>
        <w:pStyle w:val="31"/>
        <w:tabs>
          <w:tab w:val="left" w:pos="903"/>
        </w:tabs>
        <w:spacing w:line="420" w:lineRule="exact"/>
        <w:ind w:firstLine="42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（4）我方承诺在合同约定的期限内完成并移交全部合同工程。</w:t>
      </w:r>
    </w:p>
    <w:p w14:paraId="1F826889">
      <w:pPr>
        <w:pStyle w:val="31"/>
        <w:numPr>
          <w:ilvl w:val="0"/>
          <w:numId w:val="7"/>
        </w:numPr>
        <w:tabs>
          <w:tab w:val="left" w:pos="762"/>
        </w:tabs>
        <w:spacing w:line="420" w:lineRule="exact"/>
        <w:ind w:firstLine="44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我方在此声明，所递交的响应文件及有关资料内容完整、真实和准确。</w:t>
      </w:r>
    </w:p>
    <w:p w14:paraId="478994F8">
      <w:pPr>
        <w:pStyle w:val="31"/>
        <w:numPr>
          <w:ilvl w:val="0"/>
          <w:numId w:val="7"/>
        </w:numPr>
        <w:tabs>
          <w:tab w:val="left" w:pos="779"/>
          <w:tab w:val="left" w:pos="3704"/>
        </w:tabs>
        <w:spacing w:after="340" w:line="420" w:lineRule="exact"/>
        <w:ind w:firstLine="44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lang w:val="en-US"/>
        </w:rPr>
        <w:t xml:space="preserve">                                                       </w:t>
      </w:r>
      <w:r>
        <w:rPr>
          <w:rFonts w:hint="eastAsia" w:ascii="宋体" w:hAnsi="宋体" w:eastAsia="宋体" w:cs="宋体"/>
          <w:color w:val="auto"/>
          <w:sz w:val="24"/>
          <w:szCs w:val="24"/>
          <w:highlight w:val="none"/>
        </w:rPr>
        <w:t>（其他补充说明）。</w:t>
      </w:r>
    </w:p>
    <w:p w14:paraId="3D6B484A">
      <w:pPr>
        <w:pStyle w:val="31"/>
        <w:tabs>
          <w:tab w:val="left" w:pos="6938"/>
          <w:tab w:val="left" w:pos="7567"/>
          <w:tab w:val="left" w:pos="8340"/>
        </w:tabs>
        <w:ind w:left="3120" w:firstLine="4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竞标人：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（盖单位电子公章）</w:t>
      </w:r>
    </w:p>
    <w:p w14:paraId="770F76B7">
      <w:pPr>
        <w:pStyle w:val="31"/>
        <w:tabs>
          <w:tab w:val="left" w:pos="6938"/>
          <w:tab w:val="left" w:pos="7567"/>
          <w:tab w:val="left" w:pos="8340"/>
        </w:tabs>
        <w:ind w:left="3120" w:firstLine="4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法定代表人或其委托代理人：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（签字或电子签名） </w:t>
      </w:r>
    </w:p>
    <w:p w14:paraId="79DCF27F">
      <w:pPr>
        <w:pStyle w:val="31"/>
        <w:tabs>
          <w:tab w:val="left" w:pos="6938"/>
          <w:tab w:val="left" w:pos="7567"/>
          <w:tab w:val="left" w:pos="8340"/>
        </w:tabs>
        <w:ind w:left="3120" w:firstLine="40"/>
        <w:jc w:val="both"/>
        <w:rPr>
          <w:rFonts w:hint="eastAsia" w:ascii="宋体" w:hAnsi="宋体" w:eastAsia="宋体" w:cs="宋体"/>
          <w:color w:val="auto"/>
          <w:sz w:val="24"/>
          <w:szCs w:val="24"/>
          <w:highlight w:val="none"/>
          <w:u w:val="single"/>
          <w:lang w:val="en-US"/>
        </w:rPr>
      </w:pPr>
      <w:r>
        <w:rPr>
          <w:rFonts w:hint="eastAsia" w:ascii="宋体" w:hAnsi="宋体" w:eastAsia="宋体" w:cs="宋体"/>
          <w:color w:val="auto"/>
          <w:sz w:val="24"/>
          <w:szCs w:val="24"/>
          <w:highlight w:val="none"/>
        </w:rPr>
        <w:t>地 址：</w:t>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u w:val="single"/>
        </w:rPr>
        <w:t xml:space="preserve">   </w:t>
      </w:r>
    </w:p>
    <w:p w14:paraId="2C889869">
      <w:pPr>
        <w:pStyle w:val="31"/>
        <w:tabs>
          <w:tab w:val="left" w:pos="6938"/>
          <w:tab w:val="left" w:pos="7567"/>
          <w:tab w:val="left" w:pos="8340"/>
        </w:tabs>
        <w:ind w:left="3120" w:firstLine="4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邮政编码：</w:t>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u w:val="single"/>
        </w:rPr>
        <w:t xml:space="preserve">  </w:t>
      </w:r>
    </w:p>
    <w:p w14:paraId="63F2D0D6">
      <w:pPr>
        <w:pStyle w:val="31"/>
        <w:tabs>
          <w:tab w:val="left" w:pos="6938"/>
          <w:tab w:val="left" w:pos="7567"/>
          <w:tab w:val="left" w:pos="8340"/>
        </w:tabs>
        <w:ind w:left="3120" w:firstLine="4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 话：</w:t>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u w:val="single"/>
        </w:rPr>
        <w:t xml:space="preserve">  </w:t>
      </w:r>
    </w:p>
    <w:p w14:paraId="25993151">
      <w:pPr>
        <w:pStyle w:val="31"/>
        <w:tabs>
          <w:tab w:val="left" w:pos="6938"/>
          <w:tab w:val="left" w:pos="7567"/>
          <w:tab w:val="left" w:pos="8340"/>
        </w:tabs>
        <w:ind w:left="3120" w:firstLine="4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手机号码：</w:t>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u w:val="single"/>
        </w:rPr>
        <w:t xml:space="preserve">  </w:t>
      </w:r>
    </w:p>
    <w:p w14:paraId="29C97824">
      <w:pPr>
        <w:pStyle w:val="31"/>
        <w:tabs>
          <w:tab w:val="left" w:pos="6938"/>
          <w:tab w:val="left" w:pos="7567"/>
          <w:tab w:val="left" w:pos="8340"/>
        </w:tabs>
        <w:ind w:left="3120" w:firstLine="4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传 真：</w:t>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u w:val="single"/>
        </w:rPr>
        <w:t xml:space="preserve">  </w:t>
      </w:r>
    </w:p>
    <w:p w14:paraId="0DF9C936">
      <w:pPr>
        <w:pStyle w:val="16"/>
        <w:spacing w:line="440" w:lineRule="exact"/>
        <w:ind w:firstLine="316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网 址</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p>
    <w:p w14:paraId="5A78E3C1">
      <w:pPr>
        <w:pStyle w:val="16"/>
        <w:spacing w:line="440" w:lineRule="exact"/>
        <w:ind w:firstLine="316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开户名称</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u w:val="single"/>
        </w:rPr>
        <w:t xml:space="preserve">                                           </w:t>
      </w:r>
    </w:p>
    <w:p w14:paraId="5CD0225E">
      <w:pPr>
        <w:pStyle w:val="16"/>
        <w:spacing w:line="440" w:lineRule="exact"/>
        <w:ind w:firstLine="316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开户银行</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u w:val="single"/>
        </w:rPr>
        <w:t xml:space="preserve">                                           </w:t>
      </w:r>
    </w:p>
    <w:p w14:paraId="6D95B3A2">
      <w:pPr>
        <w:pStyle w:val="16"/>
        <w:spacing w:line="440" w:lineRule="exact"/>
        <w:ind w:firstLine="316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银行账号</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u w:val="single"/>
        </w:rPr>
        <w:t xml:space="preserve">                                           </w:t>
      </w:r>
    </w:p>
    <w:p w14:paraId="0A308F83">
      <w:pPr>
        <w:tabs>
          <w:tab w:val="left" w:pos="3479"/>
        </w:tabs>
        <w:spacing w:line="520" w:lineRule="exact"/>
        <w:jc w:val="right"/>
        <w:rPr>
          <w:rFonts w:hint="eastAsia" w:ascii="宋体" w:hAnsi="宋体" w:eastAsia="宋体" w:cs="宋体"/>
          <w:color w:val="auto"/>
          <w:sz w:val="24"/>
          <w:highlight w:val="none"/>
        </w:rPr>
        <w:sectPr>
          <w:pgSz w:w="11910" w:h="16840"/>
          <w:pgMar w:top="1134" w:right="1134" w:bottom="1134" w:left="1134" w:header="0" w:footer="0" w:gutter="0"/>
          <w:cols w:space="720" w:num="1"/>
          <w:docGrid w:linePitch="286" w:charSpace="0"/>
        </w:sectPr>
      </w:pP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年</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日</w:t>
      </w:r>
    </w:p>
    <w:p w14:paraId="39ABD74A">
      <w:pPr>
        <w:pStyle w:val="35"/>
        <w:jc w:val="center"/>
        <w:rPr>
          <w:rFonts w:hint="eastAsia" w:ascii="宋体" w:hAnsi="宋体" w:eastAsia="宋体" w:cs="宋体"/>
          <w:color w:val="auto"/>
          <w:sz w:val="24"/>
          <w:szCs w:val="24"/>
          <w:highlight w:val="none"/>
          <w:lang w:eastAsia="zh-CN"/>
        </w:rPr>
      </w:pPr>
      <w:bookmarkStart w:id="86" w:name="_Toc22096"/>
      <w:bookmarkStart w:id="87" w:name="_Toc14512"/>
      <w:bookmarkStart w:id="88" w:name="_Toc25357"/>
      <w:bookmarkStart w:id="89" w:name="_Toc16205"/>
      <w:r>
        <w:rPr>
          <w:rFonts w:hint="eastAsia" w:ascii="宋体" w:hAnsi="宋体" w:eastAsia="宋体" w:cs="宋体"/>
          <w:color w:val="auto"/>
          <w:sz w:val="28"/>
          <w:szCs w:val="28"/>
          <w:highlight w:val="none"/>
          <w:lang w:eastAsia="zh-CN"/>
        </w:rPr>
        <w:t>（二）响应函附录</w:t>
      </w:r>
      <w:bookmarkEnd w:id="86"/>
      <w:bookmarkEnd w:id="87"/>
      <w:bookmarkEnd w:id="88"/>
      <w:bookmarkEnd w:id="89"/>
    </w:p>
    <w:tbl>
      <w:tblPr>
        <w:tblStyle w:val="2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
      <w:tblGrid>
        <w:gridCol w:w="833"/>
        <w:gridCol w:w="1404"/>
        <w:gridCol w:w="4066"/>
        <w:gridCol w:w="840"/>
      </w:tblGrid>
      <w:tr w14:paraId="71FF74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680" w:hRule="exact"/>
          <w:jc w:val="center"/>
        </w:trPr>
        <w:tc>
          <w:tcPr>
            <w:tcW w:w="833" w:type="dxa"/>
            <w:shd w:val="clear" w:color="auto" w:fill="FFFFFF"/>
            <w:noWrap w:val="0"/>
            <w:vAlign w:val="center"/>
          </w:tcPr>
          <w:p w14:paraId="6043C5D3">
            <w:pPr>
              <w:pStyle w:val="34"/>
              <w:spacing w:line="240" w:lineRule="auto"/>
              <w:ind w:firstLine="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1404" w:type="dxa"/>
            <w:shd w:val="clear" w:color="auto" w:fill="FFFFFF"/>
            <w:noWrap w:val="0"/>
            <w:vAlign w:val="center"/>
          </w:tcPr>
          <w:p w14:paraId="67BDC0C4">
            <w:pPr>
              <w:pStyle w:val="34"/>
              <w:spacing w:line="240" w:lineRule="auto"/>
              <w:ind w:firstLine="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条款名称</w:t>
            </w:r>
          </w:p>
        </w:tc>
        <w:tc>
          <w:tcPr>
            <w:tcW w:w="4066" w:type="dxa"/>
            <w:shd w:val="clear" w:color="auto" w:fill="FFFFFF"/>
            <w:noWrap w:val="0"/>
            <w:vAlign w:val="center"/>
          </w:tcPr>
          <w:p w14:paraId="7ACCE854">
            <w:pPr>
              <w:pStyle w:val="34"/>
              <w:spacing w:line="240" w:lineRule="auto"/>
              <w:ind w:firstLine="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约定内容</w:t>
            </w:r>
          </w:p>
        </w:tc>
        <w:tc>
          <w:tcPr>
            <w:tcW w:w="840" w:type="dxa"/>
            <w:shd w:val="clear" w:color="auto" w:fill="FFFFFF"/>
            <w:noWrap w:val="0"/>
            <w:vAlign w:val="center"/>
          </w:tcPr>
          <w:p w14:paraId="4282A55D">
            <w:pPr>
              <w:pStyle w:val="34"/>
              <w:spacing w:line="240" w:lineRule="auto"/>
              <w:ind w:firstLine="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备注</w:t>
            </w:r>
          </w:p>
        </w:tc>
      </w:tr>
      <w:tr w14:paraId="4FB768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911" w:hRule="exact"/>
          <w:jc w:val="center"/>
        </w:trPr>
        <w:tc>
          <w:tcPr>
            <w:tcW w:w="833" w:type="dxa"/>
            <w:shd w:val="clear" w:color="auto" w:fill="FFFFFF"/>
            <w:noWrap w:val="0"/>
            <w:vAlign w:val="center"/>
          </w:tcPr>
          <w:p w14:paraId="6712458D">
            <w:pPr>
              <w:pStyle w:val="34"/>
              <w:spacing w:line="240" w:lineRule="auto"/>
              <w:ind w:firstLine="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1404" w:type="dxa"/>
            <w:shd w:val="clear" w:color="auto" w:fill="FFFFFF"/>
            <w:noWrap w:val="0"/>
            <w:vAlign w:val="center"/>
          </w:tcPr>
          <w:p w14:paraId="67732369">
            <w:pPr>
              <w:pStyle w:val="34"/>
              <w:spacing w:line="240" w:lineRule="auto"/>
              <w:ind w:firstLine="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项目经理</w:t>
            </w:r>
          </w:p>
        </w:tc>
        <w:tc>
          <w:tcPr>
            <w:tcW w:w="4066" w:type="dxa"/>
            <w:shd w:val="clear" w:color="auto" w:fill="FFFFFF"/>
            <w:noWrap w:val="0"/>
            <w:vAlign w:val="center"/>
          </w:tcPr>
          <w:p w14:paraId="1B04AB22">
            <w:pPr>
              <w:pStyle w:val="32"/>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姓名：</w:t>
            </w:r>
          </w:p>
          <w:p w14:paraId="4D00D1EC">
            <w:pPr>
              <w:pStyle w:val="32"/>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身份证号码：</w:t>
            </w:r>
          </w:p>
          <w:p w14:paraId="6AA2E0FA">
            <w:pPr>
              <w:pStyle w:val="32"/>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职称：</w:t>
            </w:r>
          </w:p>
          <w:p w14:paraId="1B9E9C6F">
            <w:pPr>
              <w:pStyle w:val="32"/>
              <w:rPr>
                <w:rFonts w:hint="eastAsia" w:ascii="宋体" w:hAnsi="宋体" w:eastAsia="宋体" w:cs="宋体"/>
                <w:color w:val="auto"/>
                <w:highlight w:val="none"/>
              </w:rPr>
            </w:pPr>
            <w:r>
              <w:rPr>
                <w:rFonts w:hint="eastAsia" w:ascii="宋体" w:hAnsi="宋体" w:eastAsia="宋体" w:cs="宋体"/>
                <w:color w:val="auto"/>
                <w:highlight w:val="none"/>
                <w:lang w:eastAsia="zh-CN"/>
              </w:rPr>
              <w:t>注册执业资格：</w:t>
            </w:r>
          </w:p>
        </w:tc>
        <w:tc>
          <w:tcPr>
            <w:tcW w:w="840" w:type="dxa"/>
            <w:shd w:val="clear" w:color="auto" w:fill="FFFFFF"/>
            <w:noWrap w:val="0"/>
            <w:vAlign w:val="top"/>
          </w:tcPr>
          <w:p w14:paraId="358756B9">
            <w:pPr>
              <w:pStyle w:val="32"/>
              <w:rPr>
                <w:rFonts w:hint="eastAsia" w:ascii="宋体" w:hAnsi="宋体" w:eastAsia="宋体" w:cs="宋体"/>
                <w:color w:val="auto"/>
                <w:highlight w:val="none"/>
              </w:rPr>
            </w:pPr>
          </w:p>
        </w:tc>
      </w:tr>
      <w:tr w14:paraId="11B914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398" w:hRule="exact"/>
          <w:jc w:val="center"/>
        </w:trPr>
        <w:tc>
          <w:tcPr>
            <w:tcW w:w="833" w:type="dxa"/>
            <w:shd w:val="clear" w:color="auto" w:fill="FFFFFF"/>
            <w:noWrap w:val="0"/>
            <w:vAlign w:val="center"/>
          </w:tcPr>
          <w:p w14:paraId="5B40E92F">
            <w:pPr>
              <w:pStyle w:val="34"/>
              <w:spacing w:line="240" w:lineRule="auto"/>
              <w:ind w:firstLine="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1404" w:type="dxa"/>
            <w:shd w:val="clear" w:color="auto" w:fill="FFFFFF"/>
            <w:noWrap w:val="0"/>
            <w:vAlign w:val="center"/>
          </w:tcPr>
          <w:p w14:paraId="3EC193E5">
            <w:pPr>
              <w:pStyle w:val="34"/>
              <w:spacing w:line="240" w:lineRule="auto"/>
              <w:ind w:firstLine="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技术负责人</w:t>
            </w:r>
          </w:p>
        </w:tc>
        <w:tc>
          <w:tcPr>
            <w:tcW w:w="4066" w:type="dxa"/>
            <w:shd w:val="clear" w:color="auto" w:fill="FFFFFF"/>
            <w:noWrap w:val="0"/>
            <w:vAlign w:val="center"/>
          </w:tcPr>
          <w:p w14:paraId="12E4EBE2">
            <w:pPr>
              <w:pStyle w:val="32"/>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姓名：</w:t>
            </w:r>
          </w:p>
          <w:p w14:paraId="743EE8CF">
            <w:pPr>
              <w:pStyle w:val="32"/>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身份证号码：</w:t>
            </w:r>
          </w:p>
          <w:p w14:paraId="742BD0C6">
            <w:pPr>
              <w:pStyle w:val="32"/>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职称：</w:t>
            </w:r>
          </w:p>
        </w:tc>
        <w:tc>
          <w:tcPr>
            <w:tcW w:w="840" w:type="dxa"/>
            <w:shd w:val="clear" w:color="auto" w:fill="FFFFFF"/>
            <w:noWrap w:val="0"/>
            <w:vAlign w:val="top"/>
          </w:tcPr>
          <w:p w14:paraId="2B32473E">
            <w:pPr>
              <w:pStyle w:val="32"/>
              <w:rPr>
                <w:rFonts w:hint="eastAsia" w:ascii="宋体" w:hAnsi="宋体" w:eastAsia="宋体" w:cs="宋体"/>
                <w:color w:val="auto"/>
                <w:highlight w:val="none"/>
                <w:lang w:eastAsia="zh-CN"/>
              </w:rPr>
            </w:pPr>
          </w:p>
        </w:tc>
      </w:tr>
      <w:tr w14:paraId="1D10AE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942" w:hRule="exact"/>
          <w:jc w:val="center"/>
        </w:trPr>
        <w:tc>
          <w:tcPr>
            <w:tcW w:w="833" w:type="dxa"/>
            <w:shd w:val="clear" w:color="auto" w:fill="FFFFFF"/>
            <w:noWrap w:val="0"/>
            <w:vAlign w:val="center"/>
          </w:tcPr>
          <w:p w14:paraId="43450515">
            <w:pPr>
              <w:pStyle w:val="34"/>
              <w:spacing w:line="240" w:lineRule="auto"/>
              <w:ind w:firstLine="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1404" w:type="dxa"/>
            <w:shd w:val="clear" w:color="auto" w:fill="FFFFFF"/>
            <w:noWrap w:val="0"/>
            <w:vAlign w:val="center"/>
          </w:tcPr>
          <w:p w14:paraId="5AF35A8D">
            <w:pPr>
              <w:pStyle w:val="34"/>
              <w:spacing w:line="240" w:lineRule="auto"/>
              <w:ind w:firstLine="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专职安全员</w:t>
            </w:r>
          </w:p>
        </w:tc>
        <w:tc>
          <w:tcPr>
            <w:tcW w:w="4066" w:type="dxa"/>
            <w:shd w:val="clear" w:color="auto" w:fill="FFFFFF"/>
            <w:noWrap w:val="0"/>
            <w:vAlign w:val="center"/>
          </w:tcPr>
          <w:p w14:paraId="64734F81">
            <w:pPr>
              <w:pStyle w:val="32"/>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姓名：</w:t>
            </w:r>
          </w:p>
          <w:p w14:paraId="16652D82">
            <w:pPr>
              <w:pStyle w:val="32"/>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身份证号码：</w:t>
            </w:r>
          </w:p>
          <w:p w14:paraId="555AAD65">
            <w:pPr>
              <w:pStyle w:val="32"/>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安全生产考核合格证书号码：</w:t>
            </w:r>
          </w:p>
        </w:tc>
        <w:tc>
          <w:tcPr>
            <w:tcW w:w="840" w:type="dxa"/>
            <w:shd w:val="clear" w:color="auto" w:fill="FFFFFF"/>
            <w:noWrap w:val="0"/>
            <w:vAlign w:val="top"/>
          </w:tcPr>
          <w:p w14:paraId="6D759B85">
            <w:pPr>
              <w:pStyle w:val="32"/>
              <w:rPr>
                <w:rFonts w:hint="eastAsia" w:ascii="宋体" w:hAnsi="宋体" w:eastAsia="宋体" w:cs="宋体"/>
                <w:color w:val="auto"/>
                <w:highlight w:val="none"/>
                <w:lang w:eastAsia="zh-CN"/>
              </w:rPr>
            </w:pPr>
          </w:p>
        </w:tc>
      </w:tr>
      <w:tr w14:paraId="46D690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680" w:hRule="exact"/>
          <w:jc w:val="center"/>
        </w:trPr>
        <w:tc>
          <w:tcPr>
            <w:tcW w:w="833" w:type="dxa"/>
            <w:shd w:val="clear" w:color="auto" w:fill="FFFFFF"/>
            <w:noWrap w:val="0"/>
            <w:vAlign w:val="center"/>
          </w:tcPr>
          <w:p w14:paraId="1D72F75E">
            <w:pPr>
              <w:pStyle w:val="34"/>
              <w:spacing w:line="240" w:lineRule="auto"/>
              <w:ind w:firstLine="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p>
        </w:tc>
        <w:tc>
          <w:tcPr>
            <w:tcW w:w="1404" w:type="dxa"/>
            <w:shd w:val="clear" w:color="auto" w:fill="FFFFFF"/>
            <w:noWrap w:val="0"/>
            <w:vAlign w:val="center"/>
          </w:tcPr>
          <w:p w14:paraId="0B95FF4D">
            <w:pPr>
              <w:pStyle w:val="34"/>
              <w:spacing w:line="240" w:lineRule="auto"/>
              <w:ind w:firstLine="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工期</w:t>
            </w:r>
          </w:p>
        </w:tc>
        <w:tc>
          <w:tcPr>
            <w:tcW w:w="4066" w:type="dxa"/>
            <w:shd w:val="clear" w:color="auto" w:fill="FFFFFF"/>
            <w:noWrap w:val="0"/>
            <w:vAlign w:val="center"/>
          </w:tcPr>
          <w:p w14:paraId="219FE3B5">
            <w:pPr>
              <w:pStyle w:val="34"/>
              <w:tabs>
                <w:tab w:val="left" w:leader="underscore" w:pos="1212"/>
              </w:tabs>
              <w:spacing w:line="240" w:lineRule="auto"/>
              <w:ind w:firstLine="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天数：</w:t>
            </w:r>
            <w:r>
              <w:rPr>
                <w:rFonts w:hint="eastAsia" w:ascii="宋体" w:hAnsi="宋体" w:eastAsia="宋体" w:cs="宋体"/>
                <w:color w:val="auto"/>
                <w:sz w:val="24"/>
                <w:szCs w:val="24"/>
                <w:highlight w:val="none"/>
                <w:u w:val="single"/>
                <w:lang w:val="en-US"/>
              </w:rPr>
              <w:t xml:space="preserve">  </w:t>
            </w:r>
            <w:r>
              <w:rPr>
                <w:rFonts w:hint="eastAsia" w:ascii="宋体" w:hAnsi="宋体" w:eastAsia="宋体" w:cs="宋体"/>
                <w:color w:val="auto"/>
                <w:sz w:val="24"/>
                <w:szCs w:val="24"/>
                <w:highlight w:val="none"/>
              </w:rPr>
              <w:t>日历天</w:t>
            </w:r>
          </w:p>
        </w:tc>
        <w:tc>
          <w:tcPr>
            <w:tcW w:w="840" w:type="dxa"/>
            <w:shd w:val="clear" w:color="auto" w:fill="FFFFFF"/>
            <w:noWrap w:val="0"/>
            <w:vAlign w:val="top"/>
          </w:tcPr>
          <w:p w14:paraId="3E990712">
            <w:pPr>
              <w:pStyle w:val="32"/>
              <w:rPr>
                <w:rFonts w:hint="eastAsia" w:ascii="宋体" w:hAnsi="宋体" w:eastAsia="宋体" w:cs="宋体"/>
                <w:color w:val="auto"/>
                <w:highlight w:val="none"/>
              </w:rPr>
            </w:pPr>
          </w:p>
        </w:tc>
      </w:tr>
      <w:tr w14:paraId="5A98F7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313" w:hRule="exact"/>
          <w:jc w:val="center"/>
        </w:trPr>
        <w:tc>
          <w:tcPr>
            <w:tcW w:w="833" w:type="dxa"/>
            <w:shd w:val="clear" w:color="auto" w:fill="FFFFFF"/>
            <w:noWrap w:val="0"/>
            <w:vAlign w:val="center"/>
          </w:tcPr>
          <w:p w14:paraId="49D3DEF9">
            <w:pPr>
              <w:pStyle w:val="34"/>
              <w:spacing w:line="240" w:lineRule="auto"/>
              <w:ind w:firstLine="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p>
        </w:tc>
        <w:tc>
          <w:tcPr>
            <w:tcW w:w="1404" w:type="dxa"/>
            <w:shd w:val="clear" w:color="auto" w:fill="FFFFFF"/>
            <w:noWrap w:val="0"/>
            <w:vAlign w:val="center"/>
          </w:tcPr>
          <w:p w14:paraId="61B660D7">
            <w:pPr>
              <w:pStyle w:val="34"/>
              <w:spacing w:line="271" w:lineRule="exact"/>
              <w:ind w:firstLine="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缺陷责任期 （工程质量保修期）</w:t>
            </w:r>
          </w:p>
        </w:tc>
        <w:tc>
          <w:tcPr>
            <w:tcW w:w="4066" w:type="dxa"/>
            <w:shd w:val="clear" w:color="auto" w:fill="FFFFFF"/>
            <w:noWrap w:val="0"/>
            <w:vAlign w:val="top"/>
          </w:tcPr>
          <w:p w14:paraId="0CAFAB73">
            <w:pPr>
              <w:pStyle w:val="32"/>
              <w:rPr>
                <w:rFonts w:hint="eastAsia" w:ascii="宋体" w:hAnsi="宋体" w:eastAsia="宋体" w:cs="宋体"/>
                <w:color w:val="auto"/>
                <w:highlight w:val="none"/>
              </w:rPr>
            </w:pPr>
          </w:p>
        </w:tc>
        <w:tc>
          <w:tcPr>
            <w:tcW w:w="840" w:type="dxa"/>
            <w:shd w:val="clear" w:color="auto" w:fill="FFFFFF"/>
            <w:noWrap w:val="0"/>
            <w:vAlign w:val="top"/>
          </w:tcPr>
          <w:p w14:paraId="7E70BCED">
            <w:pPr>
              <w:pStyle w:val="32"/>
              <w:rPr>
                <w:rFonts w:hint="eastAsia" w:ascii="宋体" w:hAnsi="宋体" w:eastAsia="宋体" w:cs="宋体"/>
                <w:color w:val="auto"/>
                <w:highlight w:val="none"/>
              </w:rPr>
            </w:pPr>
          </w:p>
        </w:tc>
      </w:tr>
      <w:tr w14:paraId="2C4D99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023" w:hRule="exact"/>
          <w:jc w:val="center"/>
        </w:trPr>
        <w:tc>
          <w:tcPr>
            <w:tcW w:w="833" w:type="dxa"/>
            <w:shd w:val="clear" w:color="auto" w:fill="FFFFFF"/>
            <w:noWrap w:val="0"/>
            <w:vAlign w:val="center"/>
          </w:tcPr>
          <w:p w14:paraId="4563B59F">
            <w:pPr>
              <w:pStyle w:val="34"/>
              <w:spacing w:line="240" w:lineRule="auto"/>
              <w:ind w:firstLine="0"/>
              <w:jc w:val="center"/>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rPr>
              <w:t>6</w:t>
            </w:r>
          </w:p>
        </w:tc>
        <w:tc>
          <w:tcPr>
            <w:tcW w:w="1404" w:type="dxa"/>
            <w:shd w:val="clear" w:color="auto" w:fill="FFFFFF"/>
            <w:noWrap w:val="0"/>
            <w:vAlign w:val="center"/>
          </w:tcPr>
          <w:p w14:paraId="505C8922">
            <w:pPr>
              <w:pStyle w:val="34"/>
              <w:spacing w:line="240" w:lineRule="auto"/>
              <w:ind w:firstLine="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分包</w:t>
            </w:r>
          </w:p>
        </w:tc>
        <w:tc>
          <w:tcPr>
            <w:tcW w:w="4066" w:type="dxa"/>
            <w:shd w:val="clear" w:color="auto" w:fill="FFFFFF"/>
            <w:noWrap w:val="0"/>
            <w:vAlign w:val="center"/>
          </w:tcPr>
          <w:p w14:paraId="1D365A28">
            <w:pPr>
              <w:pStyle w:val="32"/>
              <w:jc w:val="both"/>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sym w:font="Wingdings 2" w:char="0052"/>
            </w:r>
            <w:r>
              <w:rPr>
                <w:rFonts w:hint="eastAsia" w:ascii="宋体" w:hAnsi="宋体" w:eastAsia="宋体" w:cs="宋体"/>
                <w:color w:val="auto"/>
                <w:highlight w:val="none"/>
                <w:lang w:eastAsia="zh-CN"/>
              </w:rPr>
              <w:t>不允许；</w:t>
            </w:r>
          </w:p>
          <w:p w14:paraId="21905659">
            <w:pPr>
              <w:pStyle w:val="32"/>
              <w:jc w:val="both"/>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□允许，分包工程项目：</w:t>
            </w:r>
          </w:p>
          <w:p w14:paraId="609A06ED">
            <w:pPr>
              <w:pStyle w:val="32"/>
              <w:ind w:firstLine="960" w:firstLineChars="400"/>
              <w:jc w:val="both"/>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分包金额限额：</w:t>
            </w:r>
          </w:p>
        </w:tc>
        <w:tc>
          <w:tcPr>
            <w:tcW w:w="840" w:type="dxa"/>
            <w:shd w:val="clear" w:color="auto" w:fill="FFFFFF"/>
            <w:noWrap w:val="0"/>
            <w:vAlign w:val="top"/>
          </w:tcPr>
          <w:p w14:paraId="1845B2BE">
            <w:pPr>
              <w:pStyle w:val="32"/>
              <w:rPr>
                <w:rFonts w:hint="eastAsia" w:ascii="宋体" w:hAnsi="宋体" w:eastAsia="宋体" w:cs="宋体"/>
                <w:color w:val="auto"/>
                <w:highlight w:val="none"/>
              </w:rPr>
            </w:pPr>
          </w:p>
        </w:tc>
      </w:tr>
    </w:tbl>
    <w:p w14:paraId="486E54D2">
      <w:pPr>
        <w:pStyle w:val="32"/>
        <w:spacing w:after="639" w:line="1" w:lineRule="exact"/>
        <w:rPr>
          <w:rFonts w:hint="eastAsia" w:ascii="宋体" w:hAnsi="宋体" w:eastAsia="宋体" w:cs="宋体"/>
          <w:color w:val="auto"/>
          <w:highlight w:val="none"/>
        </w:rPr>
      </w:pPr>
    </w:p>
    <w:p w14:paraId="2C7A4108">
      <w:pPr>
        <w:pStyle w:val="31"/>
        <w:tabs>
          <w:tab w:val="left" w:pos="6882"/>
          <w:tab w:val="left" w:pos="7510"/>
        </w:tabs>
        <w:spacing w:line="350" w:lineRule="exact"/>
        <w:ind w:left="3380" w:firstLine="0"/>
        <w:jc w:val="right"/>
        <w:rPr>
          <w:rFonts w:hint="eastAsia" w:ascii="宋体" w:hAnsi="宋体" w:eastAsia="宋体" w:cs="宋体"/>
          <w:color w:val="auto"/>
          <w:sz w:val="24"/>
          <w:szCs w:val="24"/>
          <w:highlight w:val="none"/>
        </w:rPr>
      </w:pPr>
    </w:p>
    <w:p w14:paraId="3EED65B4">
      <w:pPr>
        <w:pStyle w:val="31"/>
        <w:tabs>
          <w:tab w:val="left" w:pos="6882"/>
          <w:tab w:val="left" w:pos="7510"/>
        </w:tabs>
        <w:spacing w:line="350" w:lineRule="exact"/>
        <w:ind w:left="3380" w:firstLine="0"/>
        <w:jc w:val="both"/>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rPr>
        <w:t>竞标人：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（盖单位电子公章）</w:t>
      </w:r>
    </w:p>
    <w:p w14:paraId="53E785E4">
      <w:pPr>
        <w:pStyle w:val="31"/>
        <w:tabs>
          <w:tab w:val="left" w:pos="6882"/>
          <w:tab w:val="left" w:pos="7510"/>
        </w:tabs>
        <w:spacing w:line="350" w:lineRule="exact"/>
        <w:ind w:left="3380" w:firstLine="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法定代表人或授权委托代理人：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（签字或电子签名）</w:t>
      </w:r>
    </w:p>
    <w:p w14:paraId="52465D0B">
      <w:pPr>
        <w:pStyle w:val="31"/>
        <w:tabs>
          <w:tab w:val="left" w:pos="854"/>
          <w:tab w:val="left" w:pos="1925"/>
          <w:tab w:val="left" w:pos="2966"/>
          <w:tab w:val="left" w:pos="3014"/>
        </w:tabs>
        <w:spacing w:after="200" w:line="350" w:lineRule="exact"/>
        <w:ind w:firstLine="0"/>
        <w:jc w:val="righ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p>
    <w:p w14:paraId="17B2B7DB">
      <w:pPr>
        <w:tabs>
          <w:tab w:val="left" w:pos="3479"/>
        </w:tabs>
        <w:spacing w:line="520" w:lineRule="exact"/>
        <w:jc w:val="left"/>
        <w:rPr>
          <w:rFonts w:hint="eastAsia" w:ascii="宋体" w:hAnsi="宋体" w:eastAsia="宋体" w:cs="宋体"/>
          <w:bCs/>
          <w:color w:val="auto"/>
          <w:sz w:val="44"/>
          <w:szCs w:val="44"/>
          <w:highlight w:val="none"/>
        </w:rPr>
        <w:sectPr>
          <w:pgSz w:w="11910" w:h="16840"/>
          <w:pgMar w:top="1134" w:right="1134" w:bottom="1134" w:left="1134" w:header="0" w:footer="0" w:gutter="0"/>
          <w:cols w:space="720" w:num="1"/>
          <w:docGrid w:linePitch="286" w:charSpace="0"/>
        </w:sectPr>
      </w:pPr>
    </w:p>
    <w:p w14:paraId="78328DAB">
      <w:pPr>
        <w:pStyle w:val="16"/>
        <w:spacing w:line="500" w:lineRule="exact"/>
        <w:rPr>
          <w:rFonts w:hint="eastAsia" w:ascii="宋体" w:hAnsi="宋体" w:eastAsia="宋体" w:cs="宋体"/>
          <w:b/>
          <w:bCs/>
          <w:color w:val="auto"/>
          <w:sz w:val="30"/>
          <w:szCs w:val="30"/>
          <w:highlight w:val="none"/>
          <w:lang w:val="en-US" w:eastAsia="zh-CN"/>
        </w:rPr>
      </w:pPr>
      <w:r>
        <w:rPr>
          <w:rFonts w:hint="eastAsia" w:ascii="宋体" w:hAnsi="宋体" w:eastAsia="宋体" w:cs="宋体"/>
          <w:b/>
          <w:bCs/>
          <w:color w:val="auto"/>
          <w:sz w:val="30"/>
          <w:szCs w:val="30"/>
          <w:highlight w:val="none"/>
          <w:lang w:val="en-US" w:eastAsia="zh-CN"/>
        </w:rPr>
        <w:t>二、已标价工程量清单</w:t>
      </w:r>
    </w:p>
    <w:p w14:paraId="68CD44C7">
      <w:pPr>
        <w:pStyle w:val="17"/>
        <w:ind w:left="5250"/>
        <w:rPr>
          <w:rFonts w:hint="eastAsia" w:ascii="宋体" w:hAnsi="宋体" w:eastAsia="宋体" w:cs="宋体"/>
          <w:color w:val="auto"/>
          <w:highlight w:val="none"/>
          <w:lang w:val="en-US" w:eastAsia="zh-CN"/>
        </w:rPr>
      </w:pPr>
    </w:p>
    <w:p w14:paraId="0E601607">
      <w:pPr>
        <w:spacing w:line="360" w:lineRule="auto"/>
        <w:ind w:firstLine="236" w:firstLineChars="98"/>
        <w:rPr>
          <w:rFonts w:hint="eastAsia" w:ascii="宋体" w:hAnsi="宋体" w:eastAsia="宋体" w:cs="宋体"/>
          <w:b/>
          <w:color w:val="auto"/>
          <w:sz w:val="24"/>
          <w:highlight w:val="none"/>
        </w:rPr>
      </w:pPr>
      <w:r>
        <w:rPr>
          <w:rFonts w:hint="eastAsia" w:ascii="宋体" w:hAnsi="宋体" w:eastAsia="宋体" w:cs="宋体"/>
          <w:b/>
          <w:color w:val="auto"/>
          <w:sz w:val="24"/>
          <w:highlight w:val="none"/>
        </w:rPr>
        <w:t>说明：已标价工程量清单按所提供的“招标工程量清单”中的相关清单表格式填写，否则竞标无效。构成合同文件的已标价工程量清单包括规范中的“招标工程量清单”有关招标工程量清单、竞标报价以及其他说明的内容。</w:t>
      </w:r>
    </w:p>
    <w:p w14:paraId="4B4A7BAB">
      <w:pPr>
        <w:tabs>
          <w:tab w:val="left" w:pos="3479"/>
        </w:tabs>
        <w:spacing w:line="520" w:lineRule="exact"/>
        <w:jc w:val="left"/>
        <w:rPr>
          <w:rFonts w:hint="eastAsia" w:ascii="宋体" w:hAnsi="宋体" w:eastAsia="宋体" w:cs="宋体"/>
          <w:bCs/>
          <w:color w:val="auto"/>
          <w:sz w:val="44"/>
          <w:szCs w:val="44"/>
          <w:highlight w:val="none"/>
        </w:rPr>
        <w:sectPr>
          <w:pgSz w:w="11910" w:h="16840"/>
          <w:pgMar w:top="1134" w:right="1134" w:bottom="1134" w:left="1134" w:header="0" w:footer="0" w:gutter="0"/>
          <w:cols w:space="720" w:num="1"/>
          <w:docGrid w:linePitch="286" w:charSpace="0"/>
        </w:sectPr>
      </w:pPr>
    </w:p>
    <w:p w14:paraId="3A2549FE">
      <w:pPr>
        <w:pStyle w:val="4"/>
        <w:rPr>
          <w:rFonts w:hint="eastAsia" w:ascii="宋体" w:hAnsi="宋体" w:eastAsia="宋体" w:cs="宋体"/>
          <w:color w:val="auto"/>
          <w:sz w:val="24"/>
          <w:highlight w:val="none"/>
        </w:rPr>
      </w:pPr>
      <w:bookmarkStart w:id="90" w:name="_Toc3811"/>
      <w:bookmarkStart w:id="91" w:name="_Toc8424"/>
      <w:bookmarkStart w:id="92" w:name="_Toc27171"/>
      <w:bookmarkStart w:id="93" w:name="_Toc22541"/>
      <w:bookmarkStart w:id="94" w:name="_Toc21332"/>
      <w:r>
        <w:rPr>
          <w:rFonts w:hint="eastAsia" w:ascii="宋体" w:hAnsi="宋体" w:eastAsia="宋体" w:cs="宋体"/>
          <w:color w:val="auto"/>
          <w:sz w:val="32"/>
          <w:szCs w:val="32"/>
          <w:highlight w:val="none"/>
          <w:lang w:val="en-US" w:eastAsia="zh-CN"/>
        </w:rPr>
        <w:t>四、其他文书、文件格式</w:t>
      </w:r>
      <w:bookmarkEnd w:id="90"/>
      <w:bookmarkEnd w:id="91"/>
      <w:bookmarkEnd w:id="92"/>
      <w:bookmarkEnd w:id="93"/>
      <w:bookmarkEnd w:id="94"/>
    </w:p>
    <w:p w14:paraId="74A37581">
      <w:pPr>
        <w:jc w:val="center"/>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知识产权合规性声明</w:t>
      </w:r>
    </w:p>
    <w:p w14:paraId="7D6F3201">
      <w:pPr>
        <w:rPr>
          <w:rFonts w:hint="eastAsia" w:ascii="宋体" w:hAnsi="宋体" w:eastAsia="宋体" w:cs="宋体"/>
          <w:color w:val="auto"/>
          <w:sz w:val="30"/>
          <w:szCs w:val="30"/>
          <w:highlight w:val="none"/>
        </w:rPr>
      </w:pPr>
      <w:r>
        <w:rPr>
          <w:rFonts w:hint="eastAsia" w:ascii="宋体" w:hAnsi="宋体" w:eastAsia="宋体" w:cs="宋体"/>
          <w:color w:val="auto"/>
          <w:sz w:val="30"/>
          <w:szCs w:val="30"/>
          <w:highlight w:val="none"/>
        </w:rPr>
        <w:t xml:space="preserve">    </w:t>
      </w:r>
    </w:p>
    <w:p w14:paraId="03954C77">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30"/>
          <w:szCs w:val="30"/>
          <w:highlight w:val="none"/>
        </w:rPr>
        <w:t xml:space="preserve">   </w:t>
      </w:r>
      <w:r>
        <w:rPr>
          <w:rFonts w:hint="eastAsia" w:ascii="宋体" w:hAnsi="宋体" w:eastAsia="宋体" w:cs="宋体"/>
          <w:color w:val="auto"/>
          <w:sz w:val="24"/>
          <w:highlight w:val="none"/>
        </w:rPr>
        <w:t xml:space="preserve"> 本企业自愿参与政府投资政府采购的</w:t>
      </w:r>
      <w:r>
        <w:rPr>
          <w:rFonts w:hint="eastAsia" w:ascii="宋体" w:hAnsi="宋体" w:eastAsia="宋体" w:cs="宋体"/>
          <w:color w:val="auto"/>
          <w:sz w:val="24"/>
          <w:highlight w:val="none"/>
          <w:u w:val="thick"/>
          <w:lang w:eastAsia="zh-CN"/>
        </w:rPr>
        <w:t>2026年安石镇禁山村委根竹塘至禁山村道路硬化工程</w:t>
      </w:r>
      <w:r>
        <w:rPr>
          <w:rFonts w:hint="eastAsia" w:ascii="宋体" w:hAnsi="宋体" w:eastAsia="宋体" w:cs="宋体"/>
          <w:color w:val="auto"/>
          <w:sz w:val="24"/>
          <w:highlight w:val="none"/>
        </w:rPr>
        <w:t>项目，</w:t>
      </w:r>
      <w:r>
        <w:rPr>
          <w:rFonts w:hint="eastAsia" w:ascii="宋体" w:hAnsi="宋体" w:eastAsia="宋体" w:cs="宋体"/>
          <w:b/>
          <w:color w:val="auto"/>
          <w:sz w:val="24"/>
          <w:highlight w:val="none"/>
        </w:rPr>
        <w:t>在此郑重承诺：</w:t>
      </w:r>
      <w:r>
        <w:rPr>
          <w:rFonts w:hint="eastAsia" w:ascii="宋体" w:hAnsi="宋体" w:eastAsia="宋体" w:cs="宋体"/>
          <w:color w:val="auto"/>
          <w:sz w:val="24"/>
          <w:highlight w:val="none"/>
        </w:rPr>
        <w:t>遵守中国知识产权法律、法规、规章、规范性文件及在中国适用的与知识产权有关的国际公约，所参与项目的知识产权明晰无争议，归属或技术来源正当合法。近三年在知识产权领域不存在违反法律、法规、规章及其他规范性文件的失信行为。所参与的项目不对其他单位及个人的知识产权构成侵权。如经核查确有违反上述承诺应遵守的行为，本企业将承担由此产生的全部责任。</w:t>
      </w:r>
    </w:p>
    <w:p w14:paraId="588B2B95">
      <w:pPr>
        <w:snapToGrid w:val="0"/>
        <w:spacing w:line="360" w:lineRule="auto"/>
        <w:ind w:left="5634" w:leftChars="1736" w:hanging="1988" w:hangingChars="825"/>
        <w:rPr>
          <w:rFonts w:hint="eastAsia" w:ascii="宋体" w:hAnsi="宋体" w:eastAsia="宋体" w:cs="宋体"/>
          <w:b/>
          <w:color w:val="auto"/>
          <w:sz w:val="24"/>
          <w:highlight w:val="none"/>
        </w:rPr>
      </w:pPr>
      <w:r>
        <w:rPr>
          <w:rFonts w:hint="eastAsia" w:ascii="宋体" w:hAnsi="宋体" w:eastAsia="宋体" w:cs="宋体"/>
          <w:b/>
          <w:color w:val="auto"/>
          <w:sz w:val="24"/>
          <w:highlight w:val="none"/>
        </w:rPr>
        <w:t xml:space="preserve">           </w:t>
      </w:r>
    </w:p>
    <w:p w14:paraId="5D3183F0">
      <w:pPr>
        <w:snapToGrid w:val="0"/>
        <w:spacing w:line="360" w:lineRule="auto"/>
        <w:ind w:left="5634" w:leftChars="1736" w:hanging="1988" w:hangingChars="825"/>
        <w:rPr>
          <w:rFonts w:hint="eastAsia" w:ascii="宋体" w:hAnsi="宋体" w:eastAsia="宋体" w:cs="宋体"/>
          <w:b/>
          <w:color w:val="auto"/>
          <w:sz w:val="24"/>
          <w:highlight w:val="none"/>
        </w:rPr>
      </w:pPr>
      <w:r>
        <w:rPr>
          <w:rFonts w:hint="eastAsia" w:ascii="宋体" w:hAnsi="宋体" w:eastAsia="宋体" w:cs="宋体"/>
          <w:b/>
          <w:color w:val="auto"/>
          <w:sz w:val="24"/>
          <w:highlight w:val="none"/>
        </w:rPr>
        <w:t xml:space="preserve"> </w:t>
      </w:r>
    </w:p>
    <w:p w14:paraId="2195D521">
      <w:pPr>
        <w:snapToGrid w:val="0"/>
        <w:spacing w:line="360" w:lineRule="auto"/>
        <w:ind w:left="5634" w:leftChars="1736" w:hanging="1988" w:hangingChars="825"/>
        <w:rPr>
          <w:rFonts w:hint="eastAsia" w:ascii="宋体" w:hAnsi="宋体" w:eastAsia="宋体" w:cs="宋体"/>
          <w:b/>
          <w:color w:val="auto"/>
          <w:sz w:val="24"/>
          <w:highlight w:val="none"/>
        </w:rPr>
      </w:pPr>
      <w:r>
        <w:rPr>
          <w:rFonts w:hint="eastAsia" w:ascii="宋体" w:hAnsi="宋体" w:eastAsia="宋体" w:cs="宋体"/>
          <w:b/>
          <w:color w:val="auto"/>
          <w:sz w:val="24"/>
          <w:highlight w:val="none"/>
        </w:rPr>
        <w:t xml:space="preserve"> </w:t>
      </w:r>
    </w:p>
    <w:p w14:paraId="4679C6E1">
      <w:pPr>
        <w:snapToGrid w:val="0"/>
        <w:spacing w:line="360" w:lineRule="auto"/>
        <w:ind w:left="5634" w:leftChars="1736" w:hanging="1988" w:hangingChars="825"/>
        <w:rPr>
          <w:rFonts w:hint="eastAsia" w:ascii="宋体" w:hAnsi="宋体" w:eastAsia="宋体" w:cs="宋体"/>
          <w:b/>
          <w:color w:val="auto"/>
          <w:sz w:val="24"/>
          <w:highlight w:val="none"/>
        </w:rPr>
      </w:pPr>
      <w:r>
        <w:rPr>
          <w:rFonts w:hint="eastAsia" w:ascii="宋体" w:hAnsi="宋体" w:eastAsia="宋体" w:cs="宋体"/>
          <w:b/>
          <w:color w:val="auto"/>
          <w:sz w:val="24"/>
          <w:highlight w:val="none"/>
        </w:rPr>
        <w:t xml:space="preserve"> </w:t>
      </w:r>
    </w:p>
    <w:p w14:paraId="61F1539A">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64C9C614">
      <w:pPr>
        <w:autoSpaceDE w:val="0"/>
        <w:autoSpaceDN w:val="0"/>
        <w:spacing w:line="360" w:lineRule="auto"/>
        <w:ind w:firstLine="6480" w:firstLineChars="2700"/>
        <w:rPr>
          <w:rFonts w:hint="eastAsia" w:ascii="宋体" w:hAnsi="宋体" w:eastAsia="宋体" w:cs="宋体"/>
          <w:color w:val="auto"/>
          <w:kern w:val="0"/>
          <w:sz w:val="24"/>
          <w:highlight w:val="none"/>
          <w:lang w:val="zh-CN"/>
        </w:rPr>
        <w:sectPr>
          <w:footerReference r:id="rId8" w:type="default"/>
          <w:pgSz w:w="11906" w:h="16838"/>
          <w:pgMar w:top="1134" w:right="1286" w:bottom="1440" w:left="1588" w:header="0" w:footer="0" w:gutter="0"/>
          <w:cols w:space="720" w:num="1"/>
          <w:docGrid w:linePitch="312" w:charSpace="0"/>
        </w:sectPr>
      </w:pPr>
      <w:r>
        <w:rPr>
          <w:rFonts w:hint="eastAsia" w:ascii="宋体" w:hAnsi="宋体" w:eastAsia="宋体" w:cs="宋体"/>
          <w:color w:val="auto"/>
          <w:kern w:val="0"/>
          <w:sz w:val="24"/>
          <w:highlight w:val="none"/>
          <w:lang w:val="zh-CN"/>
        </w:rPr>
        <w:t>日期</w:t>
      </w:r>
      <w:r>
        <w:rPr>
          <w:rFonts w:hint="eastAsia" w:ascii="宋体" w:hAnsi="宋体" w:eastAsia="宋体" w:cs="宋体"/>
          <w:color w:val="auto"/>
          <w:kern w:val="0"/>
          <w:sz w:val="24"/>
          <w:highlight w:val="none"/>
        </w:rPr>
        <w:t xml:space="preserve">： </w:t>
      </w:r>
      <w:r>
        <w:rPr>
          <w:rFonts w:hint="eastAsia" w:ascii="宋体" w:hAnsi="宋体" w:eastAsia="宋体" w:cs="宋体"/>
          <w:color w:val="auto"/>
          <w:kern w:val="0"/>
          <w:sz w:val="24"/>
          <w:highlight w:val="none"/>
          <w:lang w:val="zh-CN"/>
        </w:rPr>
        <w:t>年</w:t>
      </w:r>
      <w:r>
        <w:rPr>
          <w:rFonts w:hint="eastAsia" w:ascii="宋体" w:hAnsi="宋体" w:eastAsia="宋体" w:cs="宋体"/>
          <w:color w:val="auto"/>
          <w:kern w:val="0"/>
          <w:sz w:val="24"/>
          <w:highlight w:val="none"/>
        </w:rPr>
        <w:t xml:space="preserve">  </w:t>
      </w:r>
      <w:r>
        <w:rPr>
          <w:rFonts w:hint="eastAsia" w:ascii="宋体" w:hAnsi="宋体" w:eastAsia="宋体" w:cs="宋体"/>
          <w:color w:val="auto"/>
          <w:kern w:val="0"/>
          <w:sz w:val="24"/>
          <w:highlight w:val="none"/>
          <w:lang w:val="zh-CN"/>
        </w:rPr>
        <w:t>月</w:t>
      </w:r>
      <w:r>
        <w:rPr>
          <w:rFonts w:hint="eastAsia" w:ascii="宋体" w:hAnsi="宋体" w:eastAsia="宋体" w:cs="宋体"/>
          <w:color w:val="auto"/>
          <w:kern w:val="0"/>
          <w:sz w:val="24"/>
          <w:highlight w:val="none"/>
        </w:rPr>
        <w:t xml:space="preserve">   </w:t>
      </w:r>
      <w:r>
        <w:rPr>
          <w:rFonts w:hint="eastAsia" w:ascii="宋体" w:hAnsi="宋体" w:eastAsia="宋体" w:cs="宋体"/>
          <w:color w:val="auto"/>
          <w:kern w:val="0"/>
          <w:sz w:val="24"/>
          <w:highlight w:val="none"/>
          <w:lang w:val="zh-CN"/>
        </w:rPr>
        <w:t>日</w:t>
      </w:r>
    </w:p>
    <w:p w14:paraId="02CC7F5B">
      <w:pPr>
        <w:pStyle w:val="4"/>
        <w:jc w:val="center"/>
        <w:rPr>
          <w:rFonts w:hint="eastAsia" w:ascii="宋体" w:hAnsi="宋体" w:eastAsia="宋体" w:cs="宋体"/>
          <w:color w:val="auto"/>
          <w:highlight w:val="none"/>
        </w:rPr>
      </w:pPr>
      <w:bookmarkStart w:id="95" w:name="_Toc31060"/>
      <w:bookmarkStart w:id="96" w:name="_Toc27832"/>
    </w:p>
    <w:p w14:paraId="4604D0C5">
      <w:pPr>
        <w:pStyle w:val="4"/>
        <w:jc w:val="center"/>
        <w:rPr>
          <w:rFonts w:hint="eastAsia" w:ascii="宋体" w:hAnsi="宋体" w:eastAsia="宋体" w:cs="宋体"/>
          <w:color w:val="auto"/>
          <w:highlight w:val="none"/>
        </w:rPr>
      </w:pPr>
    </w:p>
    <w:p w14:paraId="0175F198">
      <w:pPr>
        <w:pStyle w:val="4"/>
        <w:jc w:val="center"/>
        <w:rPr>
          <w:rFonts w:hint="eastAsia" w:ascii="宋体" w:hAnsi="宋体" w:eastAsia="宋体" w:cs="宋体"/>
          <w:color w:val="auto"/>
          <w:highlight w:val="none"/>
        </w:rPr>
      </w:pPr>
    </w:p>
    <w:p w14:paraId="53665739">
      <w:pPr>
        <w:pStyle w:val="4"/>
        <w:jc w:val="center"/>
        <w:rPr>
          <w:rFonts w:hint="eastAsia" w:ascii="宋体" w:hAnsi="宋体" w:eastAsia="宋体" w:cs="宋体"/>
          <w:color w:val="auto"/>
          <w:highlight w:val="none"/>
        </w:rPr>
      </w:pPr>
    </w:p>
    <w:p w14:paraId="73AE26ED">
      <w:pPr>
        <w:pStyle w:val="4"/>
        <w:jc w:val="center"/>
        <w:rPr>
          <w:rFonts w:hint="eastAsia" w:ascii="宋体" w:hAnsi="宋体" w:eastAsia="宋体" w:cs="宋体"/>
          <w:color w:val="auto"/>
          <w:highlight w:val="none"/>
        </w:rPr>
      </w:pPr>
    </w:p>
    <w:p w14:paraId="626480D1">
      <w:pPr>
        <w:pStyle w:val="4"/>
        <w:jc w:val="center"/>
        <w:rPr>
          <w:rFonts w:hint="eastAsia" w:ascii="宋体" w:hAnsi="宋体" w:eastAsia="宋体" w:cs="宋体"/>
          <w:color w:val="auto"/>
          <w:highlight w:val="none"/>
        </w:rPr>
      </w:pPr>
      <w:bookmarkStart w:id="97" w:name="_Toc10765"/>
      <w:r>
        <w:rPr>
          <w:rFonts w:hint="eastAsia" w:ascii="宋体" w:hAnsi="宋体" w:eastAsia="宋体" w:cs="宋体"/>
          <w:color w:val="auto"/>
          <w:highlight w:val="none"/>
        </w:rPr>
        <w:t>第六章 合同文本</w:t>
      </w:r>
      <w:bookmarkEnd w:id="95"/>
      <w:bookmarkEnd w:id="96"/>
      <w:bookmarkEnd w:id="97"/>
    </w:p>
    <w:p w14:paraId="6EFC21A9">
      <w:pPr>
        <w:rPr>
          <w:rFonts w:hint="eastAsia" w:ascii="宋体" w:hAnsi="宋体" w:eastAsia="宋体" w:cs="宋体"/>
          <w:color w:val="auto"/>
          <w:szCs w:val="21"/>
        </w:rPr>
      </w:pPr>
      <w:r>
        <w:rPr>
          <w:rFonts w:hint="eastAsia" w:ascii="宋体" w:hAnsi="宋体" w:eastAsia="宋体" w:cs="宋体"/>
          <w:color w:val="auto"/>
          <w:szCs w:val="21"/>
        </w:rPr>
        <w:br w:type="page"/>
      </w:r>
    </w:p>
    <w:p w14:paraId="1594553C">
      <w:pPr>
        <w:spacing w:line="360" w:lineRule="auto"/>
        <w:rPr>
          <w:rFonts w:hint="eastAsia" w:ascii="宋体" w:hAnsi="宋体" w:eastAsia="宋体" w:cs="宋体"/>
          <w:bCs/>
          <w:color w:val="auto"/>
          <w:kern w:val="44"/>
          <w:sz w:val="44"/>
          <w:szCs w:val="44"/>
          <w:highlight w:val="none"/>
        </w:rPr>
      </w:pPr>
      <w:bookmarkStart w:id="98" w:name="_Toc373227552"/>
      <w:bookmarkStart w:id="99" w:name="_Toc296890982"/>
      <w:bookmarkStart w:id="100" w:name="_Toc256000099"/>
      <w:bookmarkStart w:id="101" w:name="_Toc23781182"/>
      <w:bookmarkStart w:id="102" w:name="_Toc407135191"/>
      <w:bookmarkStart w:id="103" w:name="_Toc373478199"/>
      <w:bookmarkStart w:id="104" w:name="_Toc351203480"/>
      <w:bookmarkStart w:id="105" w:name="_Toc389065255"/>
      <w:bookmarkStart w:id="106" w:name="_Toc296503025"/>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政采云</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平台合同编号：</w:t>
      </w:r>
    </w:p>
    <w:p w14:paraId="4648CA87">
      <w:pPr>
        <w:keepNext/>
        <w:keepLines/>
        <w:spacing w:before="340" w:after="330" w:line="578" w:lineRule="auto"/>
        <w:jc w:val="center"/>
        <w:outlineLvl w:val="0"/>
        <w:rPr>
          <w:rFonts w:hint="eastAsia" w:ascii="宋体" w:hAnsi="宋体" w:eastAsia="宋体" w:cs="宋体"/>
          <w:bCs/>
          <w:color w:val="auto"/>
          <w:kern w:val="44"/>
          <w:sz w:val="44"/>
          <w:szCs w:val="44"/>
          <w:highlight w:val="none"/>
        </w:rPr>
      </w:pPr>
      <w:bookmarkStart w:id="107" w:name="_Toc10428"/>
      <w:bookmarkStart w:id="108" w:name="_Toc18305"/>
      <w:r>
        <w:rPr>
          <w:rFonts w:hint="eastAsia" w:ascii="宋体" w:hAnsi="宋体" w:eastAsia="宋体" w:cs="宋体"/>
          <w:bCs/>
          <w:color w:val="auto"/>
          <w:kern w:val="44"/>
          <w:sz w:val="44"/>
          <w:szCs w:val="44"/>
          <w:highlight w:val="none"/>
        </w:rPr>
        <w:t>（项目全称）</w:t>
      </w:r>
      <w:bookmarkEnd w:id="107"/>
      <w:bookmarkEnd w:id="108"/>
    </w:p>
    <w:bookmarkEnd w:id="98"/>
    <w:bookmarkEnd w:id="99"/>
    <w:bookmarkEnd w:id="100"/>
    <w:bookmarkEnd w:id="101"/>
    <w:bookmarkEnd w:id="102"/>
    <w:bookmarkEnd w:id="103"/>
    <w:bookmarkEnd w:id="104"/>
    <w:bookmarkEnd w:id="105"/>
    <w:bookmarkEnd w:id="106"/>
    <w:p w14:paraId="5223599A">
      <w:pPr>
        <w:pStyle w:val="4"/>
        <w:spacing w:beforeLines="0" w:afterLines="0" w:line="560" w:lineRule="exact"/>
        <w:jc w:val="center"/>
        <w:rPr>
          <w:rFonts w:hint="eastAsia" w:ascii="宋体" w:hAnsi="宋体" w:eastAsia="宋体" w:cs="宋体"/>
          <w:color w:val="auto"/>
          <w:kern w:val="0"/>
          <w:sz w:val="32"/>
          <w:szCs w:val="32"/>
        </w:rPr>
      </w:pPr>
      <w:bookmarkStart w:id="109" w:name="_Toc31567"/>
      <w:bookmarkStart w:id="110" w:name="_Toc10620"/>
      <w:bookmarkStart w:id="111" w:name="_Toc3010"/>
      <w:r>
        <w:rPr>
          <w:rFonts w:hint="eastAsia" w:ascii="宋体" w:hAnsi="宋体" w:eastAsia="宋体" w:cs="宋体"/>
          <w:color w:val="auto"/>
          <w:kern w:val="0"/>
          <w:sz w:val="32"/>
          <w:szCs w:val="32"/>
        </w:rPr>
        <w:t>（仅供参考，由双方按实际情况调整</w:t>
      </w:r>
      <w:bookmarkEnd w:id="109"/>
      <w:r>
        <w:rPr>
          <w:rFonts w:hint="eastAsia" w:ascii="宋体" w:hAnsi="宋体" w:eastAsia="宋体" w:cs="宋体"/>
          <w:color w:val="auto"/>
          <w:kern w:val="0"/>
          <w:sz w:val="32"/>
          <w:szCs w:val="32"/>
        </w:rPr>
        <w:t>）</w:t>
      </w:r>
      <w:bookmarkEnd w:id="110"/>
      <w:bookmarkEnd w:id="111"/>
    </w:p>
    <w:p w14:paraId="662745D2">
      <w:pPr>
        <w:spacing w:beforeLines="0" w:afterLines="0"/>
        <w:jc w:val="center"/>
        <w:rPr>
          <w:rFonts w:hint="eastAsia" w:ascii="宋体" w:hAnsi="宋体" w:eastAsia="宋体" w:cs="宋体"/>
          <w:b/>
          <w:color w:val="auto"/>
          <w:sz w:val="72"/>
          <w:szCs w:val="144"/>
        </w:rPr>
      </w:pPr>
    </w:p>
    <w:p w14:paraId="48651899">
      <w:pPr>
        <w:spacing w:beforeLines="0" w:afterLines="0"/>
        <w:jc w:val="center"/>
        <w:rPr>
          <w:rFonts w:hint="eastAsia" w:ascii="宋体" w:hAnsi="宋体" w:eastAsia="宋体" w:cs="宋体"/>
          <w:b/>
          <w:color w:val="auto"/>
          <w:spacing w:val="20"/>
          <w:sz w:val="56"/>
          <w:szCs w:val="96"/>
        </w:rPr>
      </w:pPr>
      <w:r>
        <w:rPr>
          <w:rFonts w:hint="eastAsia" w:ascii="宋体" w:hAnsi="宋体" w:eastAsia="宋体" w:cs="宋体"/>
          <w:b/>
          <w:color w:val="auto"/>
          <w:spacing w:val="20"/>
          <w:sz w:val="56"/>
          <w:szCs w:val="96"/>
        </w:rPr>
        <w:t xml:space="preserve">                      副本</w:t>
      </w:r>
    </w:p>
    <w:p w14:paraId="7F9558E8">
      <w:pPr>
        <w:spacing w:beforeLines="0" w:afterLines="0"/>
        <w:jc w:val="center"/>
        <w:rPr>
          <w:rFonts w:hint="eastAsia" w:ascii="宋体" w:hAnsi="宋体" w:eastAsia="宋体" w:cs="宋体"/>
          <w:b/>
          <w:color w:val="auto"/>
          <w:spacing w:val="20"/>
          <w:sz w:val="56"/>
          <w:szCs w:val="96"/>
        </w:rPr>
      </w:pPr>
      <w:r>
        <w:rPr>
          <w:rFonts w:hint="eastAsia" w:ascii="宋体" w:hAnsi="宋体" w:eastAsia="宋体" w:cs="宋体"/>
          <w:b/>
          <w:color w:val="auto"/>
          <w:spacing w:val="20"/>
          <w:sz w:val="48"/>
          <w:szCs w:val="56"/>
        </w:rPr>
        <w:t xml:space="preserve">                         </w:t>
      </w:r>
      <w:r>
        <w:rPr>
          <w:rFonts w:hint="eastAsia" w:ascii="宋体" w:hAnsi="宋体" w:eastAsia="宋体" w:cs="宋体"/>
          <w:b/>
          <w:color w:val="auto"/>
          <w:spacing w:val="20"/>
          <w:sz w:val="56"/>
          <w:szCs w:val="96"/>
        </w:rPr>
        <w:t xml:space="preserve"> </w:t>
      </w:r>
    </w:p>
    <w:p w14:paraId="7DD9B52B">
      <w:pPr>
        <w:spacing w:beforeLines="0" w:afterLines="0"/>
        <w:rPr>
          <w:rFonts w:hint="eastAsia" w:ascii="宋体" w:hAnsi="宋体" w:eastAsia="宋体" w:cs="宋体"/>
          <w:b/>
          <w:color w:val="auto"/>
          <w:spacing w:val="20"/>
          <w:sz w:val="48"/>
          <w:szCs w:val="56"/>
        </w:rPr>
      </w:pPr>
    </w:p>
    <w:p w14:paraId="58259428">
      <w:pPr>
        <w:spacing w:beforeLines="0" w:afterLines="0"/>
        <w:jc w:val="center"/>
        <w:rPr>
          <w:rFonts w:hint="eastAsia" w:ascii="宋体" w:hAnsi="宋体" w:eastAsia="宋体" w:cs="宋体"/>
          <w:b/>
          <w:color w:val="auto"/>
          <w:spacing w:val="20"/>
          <w:sz w:val="96"/>
          <w:szCs w:val="160"/>
        </w:rPr>
      </w:pPr>
      <w:r>
        <w:rPr>
          <w:rFonts w:hint="eastAsia" w:ascii="宋体" w:hAnsi="宋体" w:eastAsia="宋体" w:cs="宋体"/>
          <w:b/>
          <w:color w:val="auto"/>
          <w:spacing w:val="20"/>
          <w:sz w:val="72"/>
          <w:szCs w:val="144"/>
        </w:rPr>
        <w:t>施 工 承 包 合 同 书</w:t>
      </w:r>
    </w:p>
    <w:p w14:paraId="26A13EC3">
      <w:pPr>
        <w:spacing w:beforeLines="0" w:afterLines="0"/>
        <w:jc w:val="center"/>
        <w:rPr>
          <w:rFonts w:hint="eastAsia" w:ascii="宋体" w:hAnsi="宋体" w:eastAsia="宋体" w:cs="宋体"/>
          <w:color w:val="auto"/>
          <w:spacing w:val="20"/>
          <w:sz w:val="32"/>
          <w:szCs w:val="40"/>
        </w:rPr>
      </w:pPr>
    </w:p>
    <w:p w14:paraId="53D68843">
      <w:pPr>
        <w:spacing w:beforeLines="0" w:afterLines="0"/>
        <w:jc w:val="center"/>
        <w:rPr>
          <w:rFonts w:hint="eastAsia" w:ascii="宋体" w:hAnsi="宋体" w:eastAsia="宋体" w:cs="宋体"/>
          <w:color w:val="auto"/>
          <w:spacing w:val="20"/>
          <w:sz w:val="32"/>
          <w:szCs w:val="40"/>
        </w:rPr>
      </w:pPr>
    </w:p>
    <w:p w14:paraId="13493D22">
      <w:pPr>
        <w:spacing w:beforeLines="0" w:afterLines="0"/>
        <w:jc w:val="center"/>
        <w:rPr>
          <w:rFonts w:hint="eastAsia" w:ascii="宋体" w:hAnsi="宋体" w:eastAsia="宋体" w:cs="宋体"/>
          <w:color w:val="auto"/>
          <w:spacing w:val="20"/>
          <w:sz w:val="32"/>
          <w:szCs w:val="40"/>
        </w:rPr>
      </w:pPr>
    </w:p>
    <w:p w14:paraId="6D340177">
      <w:pPr>
        <w:spacing w:beforeLines="0" w:afterLines="0"/>
        <w:jc w:val="center"/>
        <w:rPr>
          <w:rFonts w:hint="eastAsia" w:ascii="宋体" w:hAnsi="宋体" w:eastAsia="宋体" w:cs="宋体"/>
          <w:color w:val="auto"/>
          <w:spacing w:val="20"/>
          <w:sz w:val="32"/>
          <w:szCs w:val="40"/>
        </w:rPr>
      </w:pPr>
    </w:p>
    <w:p w14:paraId="5BAEE073">
      <w:pPr>
        <w:spacing w:beforeLines="0" w:afterLines="0"/>
        <w:rPr>
          <w:rFonts w:hint="eastAsia" w:ascii="宋体" w:hAnsi="宋体" w:eastAsia="宋体" w:cs="宋体"/>
          <w:b/>
          <w:color w:val="auto"/>
          <w:spacing w:val="20"/>
          <w:sz w:val="48"/>
          <w:szCs w:val="56"/>
        </w:rPr>
      </w:pPr>
      <w:r>
        <w:rPr>
          <w:rFonts w:hint="eastAsia" w:ascii="宋体" w:hAnsi="宋体" w:eastAsia="宋体" w:cs="宋体"/>
          <w:color w:val="auto"/>
          <w:spacing w:val="20"/>
          <w:sz w:val="28"/>
          <w:szCs w:val="28"/>
        </w:rPr>
        <w:t>工程名称：</w:t>
      </w:r>
      <w:r>
        <w:rPr>
          <w:rFonts w:hint="eastAsia" w:ascii="宋体" w:hAnsi="宋体" w:eastAsia="宋体" w:cs="宋体"/>
          <w:color w:val="auto"/>
          <w:sz w:val="28"/>
          <w:szCs w:val="28"/>
          <w:u w:val="single"/>
        </w:rPr>
        <w:t xml:space="preserve">                       </w:t>
      </w:r>
    </w:p>
    <w:p w14:paraId="54FCF072">
      <w:pPr>
        <w:spacing w:beforeLines="0" w:afterLines="0"/>
        <w:rPr>
          <w:rFonts w:hint="eastAsia" w:ascii="宋体" w:hAnsi="宋体" w:eastAsia="宋体" w:cs="宋体"/>
          <w:color w:val="auto"/>
          <w:spacing w:val="20"/>
          <w:sz w:val="28"/>
          <w:szCs w:val="36"/>
        </w:rPr>
      </w:pPr>
    </w:p>
    <w:p w14:paraId="7A6BBAEB">
      <w:pPr>
        <w:spacing w:beforeLines="0" w:afterLines="0"/>
        <w:rPr>
          <w:rFonts w:hint="eastAsia" w:ascii="宋体" w:hAnsi="宋体" w:eastAsia="宋体" w:cs="宋体"/>
          <w:color w:val="auto"/>
          <w:spacing w:val="20"/>
          <w:sz w:val="28"/>
          <w:szCs w:val="36"/>
          <w:u w:val="single"/>
        </w:rPr>
      </w:pPr>
      <w:r>
        <w:rPr>
          <w:rFonts w:hint="eastAsia" w:ascii="宋体" w:hAnsi="宋体" w:eastAsia="宋体" w:cs="宋体"/>
          <w:color w:val="auto"/>
          <w:spacing w:val="20"/>
          <w:sz w:val="28"/>
          <w:szCs w:val="36"/>
        </w:rPr>
        <w:t>发包人（甲方）：</w:t>
      </w:r>
      <w:r>
        <w:rPr>
          <w:rFonts w:hint="eastAsia" w:ascii="宋体" w:hAnsi="宋体" w:eastAsia="宋体" w:cs="宋体"/>
          <w:color w:val="auto"/>
          <w:spacing w:val="20"/>
          <w:sz w:val="28"/>
          <w:szCs w:val="36"/>
          <w:u w:val="single"/>
        </w:rPr>
        <w:t xml:space="preserve"> 中国共产党浦北县委员会统一战线工作部 </w:t>
      </w:r>
    </w:p>
    <w:p w14:paraId="365C2242">
      <w:pPr>
        <w:spacing w:beforeLines="0" w:afterLines="0"/>
        <w:rPr>
          <w:rFonts w:hint="eastAsia" w:ascii="宋体" w:hAnsi="宋体" w:eastAsia="宋体" w:cs="宋体"/>
          <w:color w:val="auto"/>
          <w:spacing w:val="20"/>
          <w:sz w:val="28"/>
          <w:szCs w:val="36"/>
        </w:rPr>
      </w:pPr>
    </w:p>
    <w:p w14:paraId="63DDFEF0">
      <w:pPr>
        <w:spacing w:beforeLines="0" w:afterLines="0"/>
        <w:rPr>
          <w:rFonts w:hint="eastAsia" w:ascii="宋体" w:hAnsi="宋体" w:eastAsia="宋体" w:cs="宋体"/>
          <w:color w:val="auto"/>
          <w:spacing w:val="20"/>
          <w:sz w:val="28"/>
          <w:szCs w:val="36"/>
          <w:u w:val="single"/>
        </w:rPr>
      </w:pPr>
      <w:r>
        <w:rPr>
          <w:rFonts w:hint="eastAsia" w:ascii="宋体" w:hAnsi="宋体" w:eastAsia="宋体" w:cs="宋体"/>
          <w:color w:val="auto"/>
          <w:spacing w:val="20"/>
          <w:sz w:val="28"/>
          <w:szCs w:val="36"/>
        </w:rPr>
        <w:t>承包人（乙方）：</w:t>
      </w:r>
      <w:r>
        <w:rPr>
          <w:rFonts w:hint="eastAsia" w:ascii="宋体" w:hAnsi="宋体" w:eastAsia="宋体" w:cs="宋体"/>
          <w:color w:val="auto"/>
          <w:spacing w:val="20"/>
          <w:sz w:val="28"/>
          <w:szCs w:val="36"/>
          <w:u w:val="single"/>
        </w:rPr>
        <w:t xml:space="preserve">                         </w:t>
      </w:r>
    </w:p>
    <w:p w14:paraId="4E8B6461">
      <w:pPr>
        <w:spacing w:beforeLines="0" w:afterLines="0"/>
        <w:rPr>
          <w:rFonts w:hint="eastAsia" w:ascii="宋体" w:hAnsi="宋体" w:eastAsia="宋体" w:cs="宋体"/>
          <w:color w:val="auto"/>
          <w:spacing w:val="20"/>
          <w:sz w:val="28"/>
          <w:szCs w:val="36"/>
        </w:rPr>
      </w:pPr>
    </w:p>
    <w:p w14:paraId="2E508B72">
      <w:pPr>
        <w:spacing w:beforeLines="0" w:afterLines="0"/>
        <w:rPr>
          <w:rFonts w:hint="eastAsia" w:ascii="宋体" w:hAnsi="宋体" w:eastAsia="宋体" w:cs="宋体"/>
          <w:color w:val="auto"/>
          <w:spacing w:val="20"/>
          <w:sz w:val="32"/>
          <w:szCs w:val="40"/>
        </w:rPr>
      </w:pPr>
      <w:r>
        <w:rPr>
          <w:rFonts w:hint="eastAsia" w:ascii="宋体" w:hAnsi="宋体" w:eastAsia="宋体" w:cs="宋体"/>
          <w:color w:val="auto"/>
          <w:spacing w:val="20"/>
          <w:sz w:val="28"/>
          <w:szCs w:val="28"/>
        </w:rPr>
        <w:t>日      期：</w:t>
      </w:r>
      <w:r>
        <w:rPr>
          <w:rFonts w:hint="eastAsia" w:ascii="宋体" w:hAnsi="宋体" w:eastAsia="宋体" w:cs="宋体"/>
          <w:color w:val="auto"/>
          <w:spacing w:val="20"/>
          <w:sz w:val="28"/>
          <w:szCs w:val="28"/>
          <w:u w:val="single"/>
        </w:rPr>
        <w:t xml:space="preserve">     年   月   日</w:t>
      </w:r>
    </w:p>
    <w:p w14:paraId="1D768A1A">
      <w:pPr>
        <w:pStyle w:val="4"/>
        <w:numPr>
          <w:ilvl w:val="0"/>
          <w:numId w:val="0"/>
        </w:numPr>
        <w:spacing w:beforeLines="0" w:afterLines="0"/>
        <w:jc w:val="center"/>
        <w:rPr>
          <w:rFonts w:hint="eastAsia" w:ascii="宋体" w:hAnsi="宋体" w:eastAsia="宋体" w:cs="宋体"/>
          <w:color w:val="auto"/>
          <w:sz w:val="28"/>
          <w:szCs w:val="44"/>
        </w:rPr>
      </w:pPr>
      <w:bookmarkStart w:id="112" w:name="_Toc26265"/>
      <w:bookmarkStart w:id="113" w:name="_Toc1901"/>
      <w:bookmarkStart w:id="114" w:name="_Toc14073"/>
      <w:bookmarkStart w:id="115" w:name="_Toc12680"/>
      <w:r>
        <w:rPr>
          <w:rFonts w:hint="eastAsia" w:ascii="宋体" w:hAnsi="宋体" w:eastAsia="宋体" w:cs="宋体"/>
          <w:b/>
          <w:bCs/>
          <w:color w:val="auto"/>
          <w:kern w:val="44"/>
          <w:sz w:val="40"/>
          <w:szCs w:val="44"/>
          <w:u w:val="none" w:color="auto"/>
          <w:lang w:val="en-US" w:eastAsia="zh-CN" w:bidi="ar-SA"/>
        </w:rPr>
        <w:t xml:space="preserve">第一部分  </w:t>
      </w:r>
      <w:r>
        <w:rPr>
          <w:rFonts w:hint="eastAsia" w:ascii="宋体" w:hAnsi="宋体" w:eastAsia="宋体" w:cs="宋体"/>
          <w:color w:val="auto"/>
          <w:spacing w:val="20"/>
          <w:sz w:val="36"/>
          <w:szCs w:val="48"/>
        </w:rPr>
        <w:t>合同协议书</w:t>
      </w:r>
      <w:bookmarkEnd w:id="112"/>
      <w:bookmarkEnd w:id="113"/>
      <w:bookmarkEnd w:id="114"/>
      <w:bookmarkEnd w:id="115"/>
    </w:p>
    <w:p w14:paraId="3D0A1D44">
      <w:pPr>
        <w:spacing w:beforeLines="0" w:afterLines="0"/>
        <w:rPr>
          <w:rFonts w:hint="eastAsia" w:ascii="宋体" w:hAnsi="宋体" w:eastAsia="宋体" w:cs="宋体"/>
          <w:color w:val="auto"/>
          <w:sz w:val="21"/>
          <w:szCs w:val="24"/>
        </w:rPr>
      </w:pPr>
    </w:p>
    <w:p w14:paraId="36280A90">
      <w:pPr>
        <w:adjustRightInd w:val="0"/>
        <w:snapToGrid w:val="0"/>
        <w:spacing w:beforeLines="0" w:afterLines="0" w:line="360" w:lineRule="auto"/>
        <w:rPr>
          <w:rFonts w:hint="eastAsia" w:ascii="宋体" w:hAnsi="宋体" w:eastAsia="宋体" w:cs="宋体"/>
          <w:color w:val="auto"/>
          <w:spacing w:val="20"/>
          <w:sz w:val="24"/>
          <w:szCs w:val="24"/>
          <w:u w:val="single"/>
        </w:rPr>
      </w:pPr>
      <w:r>
        <w:rPr>
          <w:rFonts w:hint="eastAsia" w:ascii="宋体" w:hAnsi="宋体" w:eastAsia="宋体" w:cs="宋体"/>
          <w:color w:val="auto"/>
          <w:spacing w:val="20"/>
          <w:sz w:val="24"/>
          <w:szCs w:val="24"/>
        </w:rPr>
        <w:t>发包人（全称）：</w:t>
      </w:r>
      <w:r>
        <w:rPr>
          <w:rFonts w:hint="eastAsia" w:ascii="宋体" w:hAnsi="宋体" w:eastAsia="宋体" w:cs="宋体"/>
          <w:color w:val="auto"/>
          <w:spacing w:val="20"/>
          <w:sz w:val="24"/>
          <w:szCs w:val="24"/>
          <w:u w:val="single"/>
        </w:rPr>
        <w:t xml:space="preserve"> 中国共产党浦北县委员会统一战线工作部   </w:t>
      </w:r>
    </w:p>
    <w:p w14:paraId="41E26180">
      <w:pPr>
        <w:adjustRightInd w:val="0"/>
        <w:snapToGrid w:val="0"/>
        <w:spacing w:beforeLines="0" w:afterLines="0" w:line="360" w:lineRule="auto"/>
        <w:rPr>
          <w:rFonts w:hint="eastAsia" w:ascii="宋体" w:hAnsi="宋体" w:eastAsia="宋体" w:cs="宋体"/>
          <w:color w:val="auto"/>
          <w:spacing w:val="20"/>
          <w:sz w:val="24"/>
          <w:szCs w:val="24"/>
          <w:u w:val="single"/>
        </w:rPr>
      </w:pPr>
      <w:r>
        <w:rPr>
          <w:rFonts w:hint="eastAsia" w:ascii="宋体" w:hAnsi="宋体" w:eastAsia="宋体" w:cs="宋体"/>
          <w:color w:val="auto"/>
          <w:spacing w:val="20"/>
          <w:sz w:val="24"/>
          <w:szCs w:val="24"/>
        </w:rPr>
        <w:t>承包人（全称）：</w:t>
      </w:r>
      <w:r>
        <w:rPr>
          <w:rFonts w:hint="eastAsia" w:ascii="宋体" w:hAnsi="宋体" w:eastAsia="宋体" w:cs="宋体"/>
          <w:color w:val="auto"/>
          <w:spacing w:val="20"/>
          <w:sz w:val="24"/>
          <w:szCs w:val="24"/>
          <w:u w:val="single"/>
        </w:rPr>
        <w:t xml:space="preserve">                                       </w:t>
      </w:r>
    </w:p>
    <w:p w14:paraId="2FA42DE4">
      <w:pPr>
        <w:adjustRightInd w:val="0"/>
        <w:snapToGrid w:val="0"/>
        <w:spacing w:beforeLines="0" w:afterLines="0" w:line="360" w:lineRule="auto"/>
        <w:ind w:firstLine="560" w:firstLineChars="200"/>
        <w:rPr>
          <w:rFonts w:hint="eastAsia" w:ascii="宋体" w:hAnsi="宋体" w:eastAsia="宋体" w:cs="宋体"/>
          <w:color w:val="auto"/>
          <w:spacing w:val="20"/>
          <w:sz w:val="24"/>
          <w:szCs w:val="24"/>
        </w:rPr>
      </w:pPr>
      <w:r>
        <w:rPr>
          <w:rFonts w:hint="eastAsia" w:ascii="宋体" w:hAnsi="宋体" w:eastAsia="宋体" w:cs="宋体"/>
          <w:color w:val="auto"/>
          <w:spacing w:val="20"/>
          <w:sz w:val="24"/>
          <w:szCs w:val="24"/>
          <w:u w:val="single"/>
        </w:rPr>
        <w:t>中国共产党浦北县委员会统一战线工作部</w:t>
      </w:r>
      <w:r>
        <w:rPr>
          <w:rFonts w:hint="eastAsia" w:ascii="宋体" w:hAnsi="宋体" w:eastAsia="宋体" w:cs="宋体"/>
          <w:color w:val="auto"/>
          <w:spacing w:val="20"/>
          <w:sz w:val="24"/>
          <w:szCs w:val="24"/>
        </w:rPr>
        <w:t>（以下称发包人）为实施</w:t>
      </w:r>
      <w:r>
        <w:rPr>
          <w:rFonts w:hint="eastAsia" w:ascii="宋体" w:hAnsi="宋体" w:eastAsia="宋体" w:cs="宋体"/>
          <w:color w:val="auto"/>
          <w:spacing w:val="20"/>
          <w:sz w:val="24"/>
          <w:szCs w:val="24"/>
          <w:u w:val="single"/>
        </w:rPr>
        <w:t xml:space="preserve">            </w:t>
      </w:r>
      <w:r>
        <w:rPr>
          <w:rFonts w:hint="eastAsia" w:ascii="宋体" w:hAnsi="宋体" w:eastAsia="宋体" w:cs="宋体"/>
          <w:color w:val="auto"/>
          <w:spacing w:val="20"/>
          <w:sz w:val="24"/>
          <w:szCs w:val="24"/>
        </w:rPr>
        <w:t>，根据《中华人民共和国民法典》、《中华人民共和国建筑法》及有关法律规定，遵循平等、自愿、公平和诚实信用的原则，双方就</w:t>
      </w:r>
      <w:r>
        <w:rPr>
          <w:rFonts w:hint="eastAsia" w:ascii="宋体" w:hAnsi="宋体" w:eastAsia="宋体" w:cs="宋体"/>
          <w:color w:val="auto"/>
          <w:spacing w:val="20"/>
          <w:sz w:val="24"/>
          <w:szCs w:val="24"/>
          <w:u w:val="single"/>
        </w:rPr>
        <w:t xml:space="preserve">             </w:t>
      </w:r>
      <w:r>
        <w:rPr>
          <w:rFonts w:hint="eastAsia" w:ascii="宋体" w:hAnsi="宋体" w:eastAsia="宋体" w:cs="宋体"/>
          <w:color w:val="auto"/>
          <w:spacing w:val="20"/>
          <w:sz w:val="24"/>
          <w:szCs w:val="24"/>
        </w:rPr>
        <w:t>工程施工及有关事项协商一致，共同达成如下协议：</w:t>
      </w:r>
      <w:bookmarkStart w:id="116" w:name="_Toc351203481"/>
    </w:p>
    <w:p w14:paraId="3EFBB993">
      <w:pPr>
        <w:adjustRightInd w:val="0"/>
        <w:snapToGrid w:val="0"/>
        <w:spacing w:beforeLines="0" w:afterLines="0" w:line="360" w:lineRule="auto"/>
        <w:ind w:firstLine="562" w:firstLineChars="200"/>
        <w:outlineLvl w:val="0"/>
        <w:rPr>
          <w:rFonts w:hint="eastAsia" w:ascii="宋体" w:hAnsi="宋体" w:eastAsia="宋体" w:cs="宋体"/>
          <w:b/>
          <w:color w:val="auto"/>
          <w:spacing w:val="20"/>
          <w:sz w:val="24"/>
          <w:szCs w:val="24"/>
        </w:rPr>
      </w:pPr>
      <w:bookmarkStart w:id="117" w:name="_Toc19224"/>
      <w:bookmarkStart w:id="118" w:name="_Toc3304"/>
      <w:r>
        <w:rPr>
          <w:rFonts w:hint="eastAsia" w:ascii="宋体" w:hAnsi="宋体" w:eastAsia="宋体" w:cs="宋体"/>
          <w:b/>
          <w:color w:val="auto"/>
          <w:spacing w:val="20"/>
          <w:sz w:val="24"/>
          <w:szCs w:val="24"/>
        </w:rPr>
        <w:t>一、工程概况</w:t>
      </w:r>
      <w:bookmarkEnd w:id="116"/>
      <w:bookmarkEnd w:id="117"/>
      <w:bookmarkEnd w:id="118"/>
    </w:p>
    <w:p w14:paraId="72897B15">
      <w:pPr>
        <w:adjustRightInd w:val="0"/>
        <w:snapToGrid w:val="0"/>
        <w:spacing w:beforeLines="0" w:afterLines="0" w:line="360" w:lineRule="auto"/>
        <w:ind w:firstLine="548" w:firstLineChars="196"/>
        <w:rPr>
          <w:rFonts w:hint="eastAsia" w:ascii="宋体" w:hAnsi="宋体" w:eastAsia="宋体" w:cs="宋体"/>
          <w:color w:val="auto"/>
          <w:spacing w:val="20"/>
          <w:sz w:val="24"/>
          <w:szCs w:val="24"/>
          <w:u w:val="single"/>
        </w:rPr>
      </w:pPr>
      <w:r>
        <w:rPr>
          <w:rFonts w:hint="eastAsia" w:ascii="宋体" w:hAnsi="宋体" w:eastAsia="宋体" w:cs="宋体"/>
          <w:color w:val="auto"/>
          <w:spacing w:val="20"/>
          <w:sz w:val="24"/>
          <w:szCs w:val="24"/>
        </w:rPr>
        <w:t>1. 工程名称：</w:t>
      </w:r>
      <w:r>
        <w:rPr>
          <w:rFonts w:hint="eastAsia" w:ascii="宋体" w:hAnsi="宋体" w:eastAsia="宋体" w:cs="宋体"/>
          <w:color w:val="auto"/>
          <w:spacing w:val="20"/>
          <w:sz w:val="24"/>
          <w:szCs w:val="24"/>
          <w:u w:val="single"/>
        </w:rPr>
        <w:t xml:space="preserve"> </w:t>
      </w:r>
      <w:r>
        <w:rPr>
          <w:rFonts w:hint="eastAsia" w:ascii="宋体" w:hAnsi="宋体" w:eastAsia="宋体" w:cs="宋体"/>
          <w:b/>
          <w:color w:val="auto"/>
          <w:spacing w:val="20"/>
          <w:sz w:val="24"/>
          <w:szCs w:val="24"/>
          <w:u w:val="single"/>
        </w:rPr>
        <w:t xml:space="preserve">                         </w:t>
      </w:r>
      <w:r>
        <w:rPr>
          <w:rFonts w:hint="eastAsia" w:ascii="宋体" w:hAnsi="宋体" w:eastAsia="宋体" w:cs="宋体"/>
          <w:color w:val="auto"/>
          <w:spacing w:val="20"/>
          <w:sz w:val="24"/>
          <w:szCs w:val="24"/>
        </w:rPr>
        <w:t>。</w:t>
      </w:r>
    </w:p>
    <w:p w14:paraId="09502F9D">
      <w:pPr>
        <w:adjustRightInd w:val="0"/>
        <w:snapToGrid w:val="0"/>
        <w:spacing w:beforeLines="0" w:afterLines="0" w:line="360" w:lineRule="auto"/>
        <w:ind w:firstLine="548" w:firstLineChars="196"/>
        <w:rPr>
          <w:rFonts w:hint="eastAsia" w:ascii="宋体" w:hAnsi="宋体" w:eastAsia="宋体" w:cs="宋体"/>
          <w:color w:val="auto"/>
          <w:spacing w:val="20"/>
          <w:sz w:val="24"/>
          <w:szCs w:val="24"/>
        </w:rPr>
      </w:pPr>
      <w:r>
        <w:rPr>
          <w:rFonts w:hint="eastAsia" w:ascii="宋体" w:hAnsi="宋体" w:eastAsia="宋体" w:cs="宋体"/>
          <w:color w:val="auto"/>
          <w:spacing w:val="20"/>
          <w:sz w:val="24"/>
          <w:szCs w:val="24"/>
        </w:rPr>
        <w:t>2. 工程地点：</w:t>
      </w:r>
      <w:r>
        <w:rPr>
          <w:rFonts w:hint="eastAsia" w:ascii="宋体" w:hAnsi="宋体" w:eastAsia="宋体" w:cs="宋体"/>
          <w:color w:val="auto"/>
          <w:spacing w:val="20"/>
          <w:sz w:val="24"/>
          <w:szCs w:val="24"/>
          <w:u w:val="single"/>
        </w:rPr>
        <w:t xml:space="preserve">                          </w:t>
      </w:r>
      <w:r>
        <w:rPr>
          <w:rFonts w:hint="eastAsia" w:ascii="宋体" w:hAnsi="宋体" w:eastAsia="宋体" w:cs="宋体"/>
          <w:color w:val="auto"/>
          <w:spacing w:val="20"/>
          <w:sz w:val="24"/>
          <w:szCs w:val="24"/>
        </w:rPr>
        <w:t>。</w:t>
      </w:r>
    </w:p>
    <w:p w14:paraId="245D1F4C">
      <w:pPr>
        <w:adjustRightInd w:val="0"/>
        <w:snapToGrid w:val="0"/>
        <w:spacing w:beforeLines="0" w:afterLines="0" w:line="360" w:lineRule="auto"/>
        <w:ind w:firstLine="548" w:firstLineChars="196"/>
        <w:rPr>
          <w:rFonts w:hint="eastAsia" w:ascii="宋体" w:hAnsi="宋体" w:eastAsia="宋体" w:cs="宋体"/>
          <w:color w:val="auto"/>
          <w:spacing w:val="20"/>
          <w:sz w:val="24"/>
          <w:szCs w:val="24"/>
        </w:rPr>
      </w:pPr>
      <w:r>
        <w:rPr>
          <w:rFonts w:hint="eastAsia" w:ascii="宋体" w:hAnsi="宋体" w:eastAsia="宋体" w:cs="宋体"/>
          <w:color w:val="auto"/>
          <w:spacing w:val="20"/>
          <w:sz w:val="24"/>
          <w:szCs w:val="24"/>
        </w:rPr>
        <w:t>3. 工程立项批准文号：</w:t>
      </w:r>
      <w:r>
        <w:rPr>
          <w:rFonts w:hint="eastAsia" w:ascii="宋体" w:hAnsi="宋体" w:eastAsia="宋体" w:cs="宋体"/>
          <w:color w:val="auto"/>
          <w:spacing w:val="20"/>
          <w:sz w:val="24"/>
          <w:szCs w:val="24"/>
          <w:u w:val="single"/>
        </w:rPr>
        <w:t xml:space="preserve">      </w:t>
      </w:r>
      <w:r>
        <w:rPr>
          <w:rFonts w:hint="eastAsia" w:ascii="宋体" w:hAnsi="宋体" w:eastAsia="宋体" w:cs="宋体"/>
          <w:color w:val="auto"/>
          <w:spacing w:val="20"/>
          <w:sz w:val="24"/>
          <w:szCs w:val="24"/>
        </w:rPr>
        <w:t>。</w:t>
      </w:r>
    </w:p>
    <w:p w14:paraId="4211B420">
      <w:pPr>
        <w:adjustRightInd w:val="0"/>
        <w:snapToGrid w:val="0"/>
        <w:spacing w:beforeLines="0" w:afterLines="0" w:line="360" w:lineRule="auto"/>
        <w:ind w:firstLine="548" w:firstLineChars="196"/>
        <w:rPr>
          <w:rFonts w:hint="eastAsia" w:ascii="宋体" w:hAnsi="宋体" w:eastAsia="宋体" w:cs="宋体"/>
          <w:color w:val="auto"/>
          <w:spacing w:val="20"/>
          <w:sz w:val="24"/>
          <w:szCs w:val="24"/>
        </w:rPr>
      </w:pPr>
      <w:r>
        <w:rPr>
          <w:rFonts w:hint="eastAsia" w:ascii="宋体" w:hAnsi="宋体" w:eastAsia="宋体" w:cs="宋体"/>
          <w:color w:val="auto"/>
          <w:spacing w:val="20"/>
          <w:sz w:val="24"/>
          <w:szCs w:val="24"/>
        </w:rPr>
        <w:t>4. 资金来源：</w:t>
      </w:r>
      <w:r>
        <w:rPr>
          <w:rFonts w:hint="eastAsia" w:ascii="宋体" w:hAnsi="宋体" w:eastAsia="宋体" w:cs="宋体"/>
          <w:color w:val="auto"/>
          <w:spacing w:val="20"/>
          <w:sz w:val="24"/>
          <w:szCs w:val="24"/>
          <w:u w:val="single"/>
        </w:rPr>
        <w:t xml:space="preserve">             </w:t>
      </w:r>
      <w:r>
        <w:rPr>
          <w:rFonts w:hint="eastAsia" w:ascii="宋体" w:hAnsi="宋体" w:eastAsia="宋体" w:cs="宋体"/>
          <w:color w:val="auto"/>
          <w:spacing w:val="20"/>
          <w:sz w:val="24"/>
          <w:szCs w:val="24"/>
        </w:rPr>
        <w:t>。</w:t>
      </w:r>
    </w:p>
    <w:p w14:paraId="5C44EF01">
      <w:pPr>
        <w:adjustRightInd w:val="0"/>
        <w:snapToGrid w:val="0"/>
        <w:spacing w:beforeLines="0" w:afterLines="0" w:line="360" w:lineRule="auto"/>
        <w:ind w:firstLine="548" w:firstLineChars="196"/>
        <w:rPr>
          <w:rFonts w:hint="eastAsia" w:ascii="宋体" w:hAnsi="宋体" w:eastAsia="宋体" w:cs="宋体"/>
          <w:color w:val="auto"/>
          <w:spacing w:val="20"/>
          <w:sz w:val="24"/>
          <w:szCs w:val="24"/>
          <w:u w:val="single"/>
        </w:rPr>
      </w:pPr>
      <w:r>
        <w:rPr>
          <w:rFonts w:hint="eastAsia" w:ascii="宋体" w:hAnsi="宋体" w:eastAsia="宋体" w:cs="宋体"/>
          <w:color w:val="auto"/>
          <w:spacing w:val="20"/>
          <w:sz w:val="24"/>
          <w:szCs w:val="24"/>
        </w:rPr>
        <w:t>5. 工程内容：</w:t>
      </w:r>
      <w:r>
        <w:rPr>
          <w:rFonts w:hint="eastAsia" w:ascii="宋体" w:hAnsi="宋体" w:eastAsia="宋体" w:cs="宋体"/>
          <w:color w:val="auto"/>
          <w:spacing w:val="20"/>
          <w:sz w:val="24"/>
          <w:szCs w:val="24"/>
          <w:u w:val="single"/>
        </w:rPr>
        <w:t xml:space="preserve">                                      </w:t>
      </w:r>
      <w:r>
        <w:rPr>
          <w:rFonts w:hint="eastAsia" w:ascii="宋体" w:hAnsi="宋体" w:eastAsia="宋体" w:cs="宋体"/>
          <w:color w:val="auto"/>
          <w:spacing w:val="20"/>
          <w:sz w:val="24"/>
          <w:szCs w:val="24"/>
          <w:u w:val="single"/>
          <w:lang w:val="zh-CN"/>
        </w:rPr>
        <w:t>等</w:t>
      </w:r>
      <w:r>
        <w:rPr>
          <w:rFonts w:hint="eastAsia" w:ascii="宋体" w:hAnsi="宋体" w:eastAsia="宋体" w:cs="宋体"/>
          <w:color w:val="auto"/>
          <w:spacing w:val="20"/>
          <w:sz w:val="24"/>
          <w:szCs w:val="24"/>
          <w:u w:val="single"/>
        </w:rPr>
        <w:t>。</w:t>
      </w:r>
    </w:p>
    <w:p w14:paraId="167C3B17">
      <w:pPr>
        <w:adjustRightInd w:val="0"/>
        <w:snapToGrid w:val="0"/>
        <w:spacing w:beforeLines="0" w:afterLines="0" w:line="360" w:lineRule="auto"/>
        <w:ind w:firstLine="548" w:firstLineChars="196"/>
        <w:outlineLvl w:val="0"/>
        <w:rPr>
          <w:rFonts w:hint="eastAsia" w:ascii="宋体" w:hAnsi="宋体" w:eastAsia="宋体" w:cs="宋体"/>
          <w:color w:val="auto"/>
          <w:spacing w:val="20"/>
          <w:sz w:val="24"/>
          <w:szCs w:val="24"/>
        </w:rPr>
      </w:pPr>
      <w:bookmarkStart w:id="119" w:name="_Toc1500"/>
      <w:bookmarkStart w:id="120" w:name="_Toc31873"/>
      <w:r>
        <w:rPr>
          <w:rFonts w:hint="eastAsia" w:ascii="宋体" w:hAnsi="宋体" w:eastAsia="宋体" w:cs="宋体"/>
          <w:color w:val="auto"/>
          <w:spacing w:val="20"/>
          <w:sz w:val="24"/>
          <w:szCs w:val="24"/>
        </w:rPr>
        <w:t>6. 工程承包范围：</w:t>
      </w:r>
      <w:r>
        <w:rPr>
          <w:rFonts w:hint="eastAsia" w:ascii="宋体" w:hAnsi="宋体" w:eastAsia="宋体" w:cs="宋体"/>
          <w:color w:val="auto"/>
          <w:spacing w:val="20"/>
          <w:sz w:val="24"/>
          <w:szCs w:val="24"/>
          <w:u w:val="single"/>
        </w:rPr>
        <w:t xml:space="preserve"> 详见工程量清单所包含内容 </w:t>
      </w:r>
      <w:r>
        <w:rPr>
          <w:rFonts w:hint="eastAsia" w:ascii="宋体" w:hAnsi="宋体" w:eastAsia="宋体" w:cs="宋体"/>
          <w:color w:val="auto"/>
          <w:spacing w:val="20"/>
          <w:sz w:val="24"/>
          <w:szCs w:val="24"/>
        </w:rPr>
        <w:t>。</w:t>
      </w:r>
      <w:bookmarkEnd w:id="119"/>
      <w:bookmarkEnd w:id="120"/>
    </w:p>
    <w:p w14:paraId="4C04778A">
      <w:pPr>
        <w:adjustRightInd w:val="0"/>
        <w:snapToGrid w:val="0"/>
        <w:spacing w:beforeLines="0" w:afterLines="0" w:line="360" w:lineRule="auto"/>
        <w:ind w:firstLine="542" w:firstLineChars="193"/>
        <w:outlineLvl w:val="0"/>
        <w:rPr>
          <w:rFonts w:hint="eastAsia" w:ascii="宋体" w:hAnsi="宋体" w:eastAsia="宋体" w:cs="宋体"/>
          <w:b/>
          <w:color w:val="auto"/>
          <w:spacing w:val="20"/>
          <w:sz w:val="24"/>
          <w:szCs w:val="24"/>
        </w:rPr>
      </w:pPr>
      <w:bookmarkStart w:id="121" w:name="_Toc2283"/>
      <w:bookmarkStart w:id="122" w:name="_Toc20926"/>
      <w:bookmarkStart w:id="123" w:name="_Toc351203482"/>
      <w:r>
        <w:rPr>
          <w:rFonts w:hint="eastAsia" w:ascii="宋体" w:hAnsi="宋体" w:eastAsia="宋体" w:cs="宋体"/>
          <w:b/>
          <w:color w:val="auto"/>
          <w:spacing w:val="20"/>
          <w:sz w:val="24"/>
          <w:szCs w:val="24"/>
        </w:rPr>
        <w:t>二、合同工期</w:t>
      </w:r>
      <w:bookmarkEnd w:id="121"/>
      <w:bookmarkEnd w:id="122"/>
      <w:bookmarkEnd w:id="123"/>
    </w:p>
    <w:p w14:paraId="440133C2">
      <w:pPr>
        <w:adjustRightInd w:val="0"/>
        <w:snapToGrid w:val="0"/>
        <w:spacing w:beforeLines="0" w:afterLines="0" w:line="360" w:lineRule="auto"/>
        <w:ind w:firstLine="459"/>
        <w:rPr>
          <w:rFonts w:hint="eastAsia" w:ascii="宋体" w:hAnsi="宋体" w:eastAsia="宋体" w:cs="宋体"/>
          <w:color w:val="auto"/>
          <w:spacing w:val="20"/>
          <w:sz w:val="24"/>
          <w:szCs w:val="24"/>
        </w:rPr>
      </w:pPr>
      <w:r>
        <w:rPr>
          <w:rFonts w:hint="eastAsia" w:ascii="宋体" w:hAnsi="宋体" w:eastAsia="宋体" w:cs="宋体"/>
          <w:color w:val="auto"/>
          <w:spacing w:val="20"/>
          <w:sz w:val="24"/>
          <w:szCs w:val="24"/>
        </w:rPr>
        <w:t>计划开工日期：</w:t>
      </w:r>
      <w:r>
        <w:rPr>
          <w:rFonts w:hint="eastAsia" w:ascii="宋体" w:hAnsi="宋体" w:eastAsia="宋体" w:cs="宋体"/>
          <w:color w:val="auto"/>
          <w:spacing w:val="20"/>
          <w:sz w:val="24"/>
          <w:szCs w:val="24"/>
          <w:u w:val="single"/>
        </w:rPr>
        <w:t xml:space="preserve">     </w:t>
      </w:r>
      <w:r>
        <w:rPr>
          <w:rFonts w:hint="eastAsia" w:ascii="宋体" w:hAnsi="宋体" w:eastAsia="宋体" w:cs="宋体"/>
          <w:color w:val="auto"/>
          <w:spacing w:val="20"/>
          <w:sz w:val="24"/>
          <w:szCs w:val="24"/>
        </w:rPr>
        <w:t>年</w:t>
      </w:r>
      <w:r>
        <w:rPr>
          <w:rFonts w:hint="eastAsia" w:ascii="宋体" w:hAnsi="宋体" w:eastAsia="宋体" w:cs="宋体"/>
          <w:color w:val="auto"/>
          <w:spacing w:val="20"/>
          <w:sz w:val="24"/>
          <w:szCs w:val="24"/>
          <w:u w:val="single"/>
        </w:rPr>
        <w:t xml:space="preserve">   </w:t>
      </w:r>
      <w:r>
        <w:rPr>
          <w:rFonts w:hint="eastAsia" w:ascii="宋体" w:hAnsi="宋体" w:eastAsia="宋体" w:cs="宋体"/>
          <w:color w:val="auto"/>
          <w:spacing w:val="20"/>
          <w:sz w:val="24"/>
          <w:szCs w:val="24"/>
        </w:rPr>
        <w:t>月</w:t>
      </w:r>
      <w:r>
        <w:rPr>
          <w:rFonts w:hint="eastAsia" w:ascii="宋体" w:hAnsi="宋体" w:eastAsia="宋体" w:cs="宋体"/>
          <w:color w:val="auto"/>
          <w:spacing w:val="20"/>
          <w:sz w:val="24"/>
          <w:szCs w:val="24"/>
          <w:u w:val="single"/>
        </w:rPr>
        <w:t xml:space="preserve">    </w:t>
      </w:r>
      <w:r>
        <w:rPr>
          <w:rFonts w:hint="eastAsia" w:ascii="宋体" w:hAnsi="宋体" w:eastAsia="宋体" w:cs="宋体"/>
          <w:color w:val="auto"/>
          <w:spacing w:val="20"/>
          <w:sz w:val="24"/>
          <w:szCs w:val="24"/>
        </w:rPr>
        <w:t>日。（具体以开工令为准）</w:t>
      </w:r>
    </w:p>
    <w:p w14:paraId="2C5F744C">
      <w:pPr>
        <w:adjustRightInd w:val="0"/>
        <w:snapToGrid w:val="0"/>
        <w:spacing w:beforeLines="0" w:afterLines="0" w:line="360" w:lineRule="auto"/>
        <w:ind w:firstLine="459"/>
        <w:rPr>
          <w:rFonts w:hint="eastAsia" w:ascii="宋体" w:hAnsi="宋体" w:eastAsia="宋体" w:cs="宋体"/>
          <w:color w:val="auto"/>
          <w:spacing w:val="20"/>
          <w:sz w:val="24"/>
          <w:szCs w:val="24"/>
        </w:rPr>
      </w:pPr>
      <w:r>
        <w:rPr>
          <w:rFonts w:hint="eastAsia" w:ascii="宋体" w:hAnsi="宋体" w:eastAsia="宋体" w:cs="宋体"/>
          <w:color w:val="auto"/>
          <w:spacing w:val="20"/>
          <w:sz w:val="24"/>
          <w:szCs w:val="24"/>
        </w:rPr>
        <w:t>计划竣工日期：</w:t>
      </w:r>
      <w:r>
        <w:rPr>
          <w:rFonts w:hint="eastAsia" w:ascii="宋体" w:hAnsi="宋体" w:eastAsia="宋体" w:cs="宋体"/>
          <w:color w:val="auto"/>
          <w:spacing w:val="20"/>
          <w:sz w:val="24"/>
          <w:szCs w:val="24"/>
          <w:u w:val="single"/>
        </w:rPr>
        <w:t xml:space="preserve">     </w:t>
      </w:r>
      <w:r>
        <w:rPr>
          <w:rFonts w:hint="eastAsia" w:ascii="宋体" w:hAnsi="宋体" w:eastAsia="宋体" w:cs="宋体"/>
          <w:color w:val="auto"/>
          <w:spacing w:val="20"/>
          <w:sz w:val="24"/>
          <w:szCs w:val="24"/>
        </w:rPr>
        <w:t>年</w:t>
      </w:r>
      <w:r>
        <w:rPr>
          <w:rFonts w:hint="eastAsia" w:ascii="宋体" w:hAnsi="宋体" w:eastAsia="宋体" w:cs="宋体"/>
          <w:color w:val="auto"/>
          <w:spacing w:val="20"/>
          <w:sz w:val="24"/>
          <w:szCs w:val="24"/>
          <w:u w:val="single"/>
        </w:rPr>
        <w:t xml:space="preserve">   </w:t>
      </w:r>
      <w:r>
        <w:rPr>
          <w:rFonts w:hint="eastAsia" w:ascii="宋体" w:hAnsi="宋体" w:eastAsia="宋体" w:cs="宋体"/>
          <w:color w:val="auto"/>
          <w:spacing w:val="20"/>
          <w:sz w:val="24"/>
          <w:szCs w:val="24"/>
        </w:rPr>
        <w:t>月</w:t>
      </w:r>
      <w:r>
        <w:rPr>
          <w:rFonts w:hint="eastAsia" w:ascii="宋体" w:hAnsi="宋体" w:eastAsia="宋体" w:cs="宋体"/>
          <w:color w:val="auto"/>
          <w:spacing w:val="20"/>
          <w:sz w:val="24"/>
          <w:szCs w:val="24"/>
          <w:u w:val="single"/>
        </w:rPr>
        <w:t xml:space="preserve">    </w:t>
      </w:r>
      <w:r>
        <w:rPr>
          <w:rFonts w:hint="eastAsia" w:ascii="宋体" w:hAnsi="宋体" w:eastAsia="宋体" w:cs="宋体"/>
          <w:color w:val="auto"/>
          <w:spacing w:val="20"/>
          <w:sz w:val="24"/>
          <w:szCs w:val="24"/>
        </w:rPr>
        <w:t>日。</w:t>
      </w:r>
    </w:p>
    <w:p w14:paraId="4F0CEE5B">
      <w:pPr>
        <w:adjustRightInd w:val="0"/>
        <w:snapToGrid w:val="0"/>
        <w:spacing w:beforeLines="0" w:afterLines="0" w:line="360" w:lineRule="auto"/>
        <w:ind w:firstLine="459"/>
        <w:rPr>
          <w:rFonts w:hint="eastAsia" w:ascii="宋体" w:hAnsi="宋体" w:eastAsia="宋体" w:cs="宋体"/>
          <w:color w:val="auto"/>
          <w:spacing w:val="20"/>
          <w:sz w:val="24"/>
          <w:szCs w:val="24"/>
        </w:rPr>
      </w:pPr>
      <w:r>
        <w:rPr>
          <w:rFonts w:hint="eastAsia" w:ascii="宋体" w:hAnsi="宋体" w:eastAsia="宋体" w:cs="宋体"/>
          <w:color w:val="auto"/>
          <w:spacing w:val="20"/>
          <w:sz w:val="24"/>
          <w:szCs w:val="24"/>
        </w:rPr>
        <w:t>工期总日历天数：</w:t>
      </w:r>
      <w:r>
        <w:rPr>
          <w:rFonts w:hint="eastAsia" w:ascii="宋体" w:hAnsi="宋体" w:eastAsia="宋体" w:cs="宋体"/>
          <w:b/>
          <w:color w:val="auto"/>
          <w:spacing w:val="20"/>
          <w:sz w:val="24"/>
          <w:szCs w:val="24"/>
          <w:u w:val="single"/>
        </w:rPr>
        <w:t xml:space="preserve">     </w:t>
      </w:r>
      <w:r>
        <w:rPr>
          <w:rFonts w:hint="eastAsia" w:ascii="宋体" w:hAnsi="宋体" w:eastAsia="宋体" w:cs="宋体"/>
          <w:color w:val="auto"/>
          <w:spacing w:val="20"/>
          <w:sz w:val="24"/>
          <w:szCs w:val="24"/>
        </w:rPr>
        <w:t>天。工期总日历天数与根据前述计划开竣工日期计算的工期天数不一致的，以工期总日历天数为准。</w:t>
      </w:r>
    </w:p>
    <w:p w14:paraId="11F62A3E">
      <w:pPr>
        <w:adjustRightInd w:val="0"/>
        <w:snapToGrid w:val="0"/>
        <w:spacing w:beforeLines="0" w:afterLines="0" w:line="360" w:lineRule="auto"/>
        <w:ind w:firstLine="459"/>
        <w:outlineLvl w:val="0"/>
        <w:rPr>
          <w:rFonts w:hint="eastAsia" w:ascii="宋体" w:hAnsi="宋体" w:eastAsia="宋体" w:cs="宋体"/>
          <w:b/>
          <w:color w:val="auto"/>
          <w:spacing w:val="20"/>
          <w:sz w:val="24"/>
          <w:szCs w:val="24"/>
        </w:rPr>
      </w:pPr>
      <w:bookmarkStart w:id="124" w:name="_Toc23406"/>
      <w:bookmarkStart w:id="125" w:name="_Toc14735"/>
      <w:bookmarkStart w:id="126" w:name="_Toc351203483"/>
      <w:r>
        <w:rPr>
          <w:rFonts w:hint="eastAsia" w:ascii="宋体" w:hAnsi="宋体" w:eastAsia="宋体" w:cs="宋体"/>
          <w:b/>
          <w:color w:val="auto"/>
          <w:spacing w:val="20"/>
          <w:sz w:val="24"/>
          <w:szCs w:val="24"/>
        </w:rPr>
        <w:t>三、质量标准</w:t>
      </w:r>
      <w:bookmarkEnd w:id="124"/>
      <w:bookmarkEnd w:id="125"/>
      <w:bookmarkEnd w:id="126"/>
    </w:p>
    <w:p w14:paraId="6A33B361">
      <w:pPr>
        <w:adjustRightInd w:val="0"/>
        <w:snapToGrid w:val="0"/>
        <w:spacing w:beforeLines="0" w:afterLines="0" w:line="360" w:lineRule="auto"/>
        <w:ind w:firstLine="459"/>
        <w:rPr>
          <w:rFonts w:hint="eastAsia" w:ascii="宋体" w:hAnsi="宋体" w:eastAsia="宋体" w:cs="宋体"/>
          <w:color w:val="auto"/>
          <w:spacing w:val="20"/>
          <w:sz w:val="24"/>
          <w:szCs w:val="24"/>
        </w:rPr>
      </w:pPr>
      <w:r>
        <w:rPr>
          <w:rFonts w:hint="eastAsia" w:ascii="宋体" w:hAnsi="宋体" w:eastAsia="宋体" w:cs="宋体"/>
          <w:color w:val="auto"/>
          <w:spacing w:val="20"/>
          <w:sz w:val="24"/>
          <w:szCs w:val="24"/>
        </w:rPr>
        <w:t>工程质量符合</w:t>
      </w:r>
      <w:r>
        <w:rPr>
          <w:rFonts w:hint="eastAsia" w:ascii="宋体" w:hAnsi="宋体" w:eastAsia="宋体" w:cs="宋体"/>
          <w:color w:val="auto"/>
          <w:spacing w:val="20"/>
          <w:sz w:val="24"/>
          <w:szCs w:val="24"/>
          <w:u w:val="single"/>
        </w:rPr>
        <w:t>《工程施工质量验收规范》合格</w:t>
      </w:r>
      <w:r>
        <w:rPr>
          <w:rFonts w:hint="eastAsia" w:ascii="宋体" w:hAnsi="宋体" w:eastAsia="宋体" w:cs="宋体"/>
          <w:color w:val="auto"/>
          <w:spacing w:val="20"/>
          <w:sz w:val="24"/>
          <w:szCs w:val="24"/>
        </w:rPr>
        <w:t>标准。</w:t>
      </w:r>
    </w:p>
    <w:p w14:paraId="6B95A0EA">
      <w:pPr>
        <w:adjustRightInd w:val="0"/>
        <w:snapToGrid w:val="0"/>
        <w:spacing w:beforeLines="0" w:afterLines="0" w:line="360" w:lineRule="auto"/>
        <w:ind w:firstLine="459"/>
        <w:outlineLvl w:val="0"/>
        <w:rPr>
          <w:rFonts w:hint="eastAsia" w:ascii="宋体" w:hAnsi="宋体" w:eastAsia="宋体" w:cs="宋体"/>
          <w:b/>
          <w:color w:val="auto"/>
          <w:spacing w:val="20"/>
          <w:sz w:val="24"/>
          <w:szCs w:val="24"/>
        </w:rPr>
      </w:pPr>
      <w:bookmarkStart w:id="127" w:name="_Toc8324"/>
      <w:bookmarkStart w:id="128" w:name="_Toc351203484"/>
      <w:bookmarkStart w:id="129" w:name="_Toc8118"/>
      <w:r>
        <w:rPr>
          <w:rFonts w:hint="eastAsia" w:ascii="宋体" w:hAnsi="宋体" w:eastAsia="宋体" w:cs="宋体"/>
          <w:b/>
          <w:color w:val="auto"/>
          <w:spacing w:val="20"/>
          <w:sz w:val="24"/>
          <w:szCs w:val="24"/>
        </w:rPr>
        <w:t>四、签约合同价与合同价格形式</w:t>
      </w:r>
      <w:bookmarkEnd w:id="127"/>
      <w:bookmarkEnd w:id="128"/>
      <w:bookmarkEnd w:id="129"/>
    </w:p>
    <w:p w14:paraId="4A105743">
      <w:pPr>
        <w:adjustRightInd w:val="0"/>
        <w:snapToGrid w:val="0"/>
        <w:spacing w:beforeLines="0" w:afterLines="0" w:line="360" w:lineRule="auto"/>
        <w:ind w:firstLine="459"/>
        <w:rPr>
          <w:rFonts w:hint="eastAsia" w:ascii="宋体" w:hAnsi="宋体" w:eastAsia="宋体" w:cs="宋体"/>
          <w:color w:val="auto"/>
          <w:spacing w:val="20"/>
          <w:sz w:val="24"/>
          <w:szCs w:val="24"/>
        </w:rPr>
      </w:pPr>
      <w:r>
        <w:rPr>
          <w:rFonts w:hint="eastAsia" w:ascii="宋体" w:hAnsi="宋体" w:eastAsia="宋体" w:cs="宋体"/>
          <w:color w:val="auto"/>
          <w:spacing w:val="20"/>
          <w:sz w:val="24"/>
          <w:szCs w:val="24"/>
        </w:rPr>
        <w:t>1. 签约合同价为：</w:t>
      </w:r>
    </w:p>
    <w:p w14:paraId="5815E0BB">
      <w:pPr>
        <w:adjustRightInd w:val="0"/>
        <w:snapToGrid w:val="0"/>
        <w:spacing w:beforeLines="0" w:afterLines="0" w:line="360" w:lineRule="auto"/>
        <w:ind w:firstLine="560" w:firstLineChars="200"/>
        <w:rPr>
          <w:rFonts w:hint="eastAsia" w:ascii="宋体" w:hAnsi="宋体" w:eastAsia="宋体" w:cs="宋体"/>
          <w:color w:val="auto"/>
          <w:spacing w:val="20"/>
          <w:sz w:val="24"/>
          <w:szCs w:val="24"/>
        </w:rPr>
      </w:pPr>
      <w:r>
        <w:rPr>
          <w:rFonts w:hint="eastAsia" w:ascii="宋体" w:hAnsi="宋体" w:eastAsia="宋体" w:cs="宋体"/>
          <w:color w:val="auto"/>
          <w:spacing w:val="20"/>
          <w:sz w:val="24"/>
          <w:szCs w:val="24"/>
        </w:rPr>
        <w:t>人民币（大写：</w:t>
      </w:r>
      <w:r>
        <w:rPr>
          <w:rFonts w:hint="eastAsia" w:ascii="宋体" w:hAnsi="宋体" w:eastAsia="宋体" w:cs="宋体"/>
          <w:color w:val="auto"/>
          <w:spacing w:val="20"/>
          <w:sz w:val="24"/>
          <w:szCs w:val="24"/>
          <w:u w:val="single"/>
        </w:rPr>
        <w:t xml:space="preserve">                                      </w:t>
      </w:r>
      <w:r>
        <w:rPr>
          <w:rFonts w:hint="eastAsia" w:ascii="宋体" w:hAnsi="宋体" w:eastAsia="宋体" w:cs="宋体"/>
          <w:color w:val="auto"/>
          <w:spacing w:val="20"/>
          <w:sz w:val="24"/>
          <w:szCs w:val="24"/>
        </w:rPr>
        <w:t>）；</w:t>
      </w:r>
    </w:p>
    <w:p w14:paraId="1797D6BC">
      <w:pPr>
        <w:adjustRightInd w:val="0"/>
        <w:snapToGrid w:val="0"/>
        <w:spacing w:beforeLines="0" w:afterLines="0" w:line="360" w:lineRule="auto"/>
        <w:ind w:firstLine="560" w:firstLineChars="200"/>
        <w:rPr>
          <w:rFonts w:hint="eastAsia" w:ascii="宋体" w:hAnsi="宋体" w:eastAsia="宋体" w:cs="宋体"/>
          <w:color w:val="auto"/>
          <w:spacing w:val="20"/>
          <w:sz w:val="24"/>
          <w:szCs w:val="24"/>
        </w:rPr>
      </w:pPr>
      <w:r>
        <w:rPr>
          <w:rFonts w:hint="eastAsia" w:ascii="宋体" w:hAnsi="宋体" w:eastAsia="宋体" w:cs="宋体"/>
          <w:color w:val="auto"/>
          <w:spacing w:val="20"/>
          <w:sz w:val="24"/>
          <w:szCs w:val="24"/>
        </w:rPr>
        <w:t>最终执行：最终结算价以审计结果为准：若审计价高于签约合同价，按签约合同价执行；若审计价低于签约合同价，按审计价执行。</w:t>
      </w:r>
    </w:p>
    <w:p w14:paraId="11918E0B">
      <w:pPr>
        <w:adjustRightInd w:val="0"/>
        <w:snapToGrid w:val="0"/>
        <w:spacing w:beforeLines="0" w:afterLines="0" w:line="360" w:lineRule="auto"/>
        <w:ind w:firstLine="560" w:firstLineChars="200"/>
        <w:rPr>
          <w:rFonts w:hint="eastAsia" w:ascii="宋体" w:hAnsi="宋体" w:eastAsia="宋体" w:cs="宋体"/>
          <w:color w:val="auto"/>
          <w:spacing w:val="20"/>
          <w:sz w:val="24"/>
          <w:szCs w:val="24"/>
        </w:rPr>
      </w:pPr>
      <w:r>
        <w:rPr>
          <w:rFonts w:hint="eastAsia" w:ascii="宋体" w:hAnsi="宋体" w:eastAsia="宋体" w:cs="宋体"/>
          <w:color w:val="auto"/>
          <w:spacing w:val="20"/>
          <w:sz w:val="24"/>
          <w:szCs w:val="24"/>
        </w:rPr>
        <w:t>2. 合同价格形式：</w:t>
      </w:r>
      <w:r>
        <w:rPr>
          <w:rFonts w:hint="eastAsia" w:ascii="宋体" w:hAnsi="宋体" w:eastAsia="宋体" w:cs="宋体"/>
          <w:color w:val="auto"/>
          <w:spacing w:val="20"/>
          <w:sz w:val="24"/>
          <w:szCs w:val="24"/>
          <w:u w:val="single"/>
        </w:rPr>
        <w:t xml:space="preserve">            </w:t>
      </w:r>
      <w:r>
        <w:rPr>
          <w:rFonts w:hint="eastAsia" w:ascii="宋体" w:hAnsi="宋体" w:eastAsia="宋体" w:cs="宋体"/>
          <w:color w:val="auto"/>
          <w:spacing w:val="20"/>
          <w:sz w:val="24"/>
          <w:szCs w:val="24"/>
        </w:rPr>
        <w:t>。</w:t>
      </w:r>
    </w:p>
    <w:p w14:paraId="535EDA62">
      <w:pPr>
        <w:adjustRightInd w:val="0"/>
        <w:snapToGrid w:val="0"/>
        <w:spacing w:beforeLines="0" w:afterLines="0" w:line="360" w:lineRule="auto"/>
        <w:ind w:firstLine="562" w:firstLineChars="200"/>
        <w:outlineLvl w:val="0"/>
        <w:rPr>
          <w:rFonts w:hint="eastAsia" w:ascii="宋体" w:hAnsi="宋体" w:eastAsia="宋体" w:cs="宋体"/>
          <w:b/>
          <w:color w:val="auto"/>
          <w:spacing w:val="20"/>
          <w:sz w:val="24"/>
          <w:szCs w:val="24"/>
        </w:rPr>
      </w:pPr>
      <w:bookmarkStart w:id="130" w:name="_Toc351203485"/>
      <w:bookmarkStart w:id="131" w:name="_Toc27732"/>
      <w:bookmarkStart w:id="132" w:name="_Toc22498"/>
      <w:r>
        <w:rPr>
          <w:rFonts w:hint="eastAsia" w:ascii="宋体" w:hAnsi="宋体" w:eastAsia="宋体" w:cs="宋体"/>
          <w:b/>
          <w:color w:val="auto"/>
          <w:spacing w:val="20"/>
          <w:sz w:val="24"/>
          <w:szCs w:val="24"/>
        </w:rPr>
        <w:t>五、</w:t>
      </w:r>
      <w:bookmarkEnd w:id="130"/>
      <w:r>
        <w:rPr>
          <w:rFonts w:hint="eastAsia" w:ascii="宋体" w:hAnsi="宋体" w:eastAsia="宋体" w:cs="宋体"/>
          <w:b/>
          <w:color w:val="auto"/>
          <w:spacing w:val="20"/>
          <w:sz w:val="24"/>
          <w:szCs w:val="24"/>
        </w:rPr>
        <w:t>项目经理</w:t>
      </w:r>
      <w:bookmarkEnd w:id="131"/>
      <w:bookmarkEnd w:id="132"/>
    </w:p>
    <w:p w14:paraId="153BFD82">
      <w:pPr>
        <w:adjustRightInd w:val="0"/>
        <w:snapToGrid w:val="0"/>
        <w:spacing w:beforeLines="0" w:afterLines="0" w:line="360" w:lineRule="auto"/>
        <w:ind w:firstLine="560" w:firstLineChars="200"/>
        <w:rPr>
          <w:rFonts w:hint="eastAsia" w:ascii="宋体" w:hAnsi="宋体" w:eastAsia="宋体" w:cs="宋体"/>
          <w:color w:val="auto"/>
          <w:spacing w:val="20"/>
          <w:sz w:val="24"/>
          <w:szCs w:val="24"/>
        </w:rPr>
      </w:pPr>
      <w:r>
        <w:rPr>
          <w:rFonts w:hint="eastAsia" w:ascii="宋体" w:hAnsi="宋体" w:eastAsia="宋体" w:cs="宋体"/>
          <w:color w:val="auto"/>
          <w:spacing w:val="20"/>
          <w:sz w:val="24"/>
          <w:szCs w:val="24"/>
        </w:rPr>
        <w:t>承包人项目经理：</w:t>
      </w:r>
      <w:r>
        <w:rPr>
          <w:rFonts w:hint="eastAsia" w:ascii="宋体" w:hAnsi="宋体" w:eastAsia="宋体" w:cs="宋体"/>
          <w:color w:val="auto"/>
          <w:spacing w:val="20"/>
          <w:sz w:val="24"/>
          <w:szCs w:val="24"/>
          <w:u w:val="single"/>
        </w:rPr>
        <w:t xml:space="preserve">         </w:t>
      </w:r>
      <w:r>
        <w:rPr>
          <w:rFonts w:hint="eastAsia" w:ascii="宋体" w:hAnsi="宋体" w:eastAsia="宋体" w:cs="宋体"/>
          <w:color w:val="auto"/>
          <w:spacing w:val="20"/>
          <w:sz w:val="24"/>
          <w:szCs w:val="24"/>
        </w:rPr>
        <w:t>。</w:t>
      </w:r>
    </w:p>
    <w:p w14:paraId="4C20107D">
      <w:pPr>
        <w:adjustRightInd w:val="0"/>
        <w:snapToGrid w:val="0"/>
        <w:spacing w:beforeLines="0" w:afterLines="0" w:line="360" w:lineRule="auto"/>
        <w:ind w:firstLine="562" w:firstLineChars="200"/>
        <w:outlineLvl w:val="0"/>
        <w:rPr>
          <w:rFonts w:hint="eastAsia" w:ascii="宋体" w:hAnsi="宋体" w:eastAsia="宋体" w:cs="宋体"/>
          <w:b/>
          <w:color w:val="auto"/>
          <w:spacing w:val="20"/>
          <w:sz w:val="24"/>
          <w:szCs w:val="24"/>
        </w:rPr>
      </w:pPr>
      <w:bookmarkStart w:id="133" w:name="_Toc25895"/>
      <w:bookmarkStart w:id="134" w:name="_Toc1246"/>
      <w:bookmarkStart w:id="135" w:name="_Toc351203486"/>
      <w:r>
        <w:rPr>
          <w:rFonts w:hint="eastAsia" w:ascii="宋体" w:hAnsi="宋体" w:eastAsia="宋体" w:cs="宋体"/>
          <w:b/>
          <w:color w:val="auto"/>
          <w:spacing w:val="20"/>
          <w:sz w:val="24"/>
          <w:szCs w:val="24"/>
        </w:rPr>
        <w:t>六、合同文件构成</w:t>
      </w:r>
      <w:bookmarkEnd w:id="133"/>
      <w:bookmarkEnd w:id="134"/>
      <w:bookmarkEnd w:id="135"/>
    </w:p>
    <w:p w14:paraId="52AA2908">
      <w:pPr>
        <w:adjustRightInd w:val="0"/>
        <w:snapToGrid w:val="0"/>
        <w:spacing w:beforeLines="0" w:afterLines="0" w:line="360" w:lineRule="auto"/>
        <w:ind w:firstLine="560" w:firstLineChars="200"/>
        <w:rPr>
          <w:rFonts w:hint="eastAsia" w:ascii="宋体" w:hAnsi="宋体" w:eastAsia="宋体" w:cs="宋体"/>
          <w:color w:val="auto"/>
          <w:spacing w:val="20"/>
          <w:sz w:val="24"/>
          <w:szCs w:val="24"/>
        </w:rPr>
      </w:pPr>
      <w:r>
        <w:rPr>
          <w:rFonts w:hint="eastAsia" w:ascii="宋体" w:hAnsi="宋体" w:eastAsia="宋体" w:cs="宋体"/>
          <w:color w:val="auto"/>
          <w:spacing w:val="20"/>
          <w:sz w:val="24"/>
          <w:szCs w:val="24"/>
        </w:rPr>
        <w:t>1.本协议书与下列文件一起构成合同文件：</w:t>
      </w:r>
    </w:p>
    <w:p w14:paraId="75B5D3E0">
      <w:pPr>
        <w:autoSpaceDE w:val="0"/>
        <w:autoSpaceDN w:val="0"/>
        <w:adjustRightInd w:val="0"/>
        <w:snapToGrid w:val="0"/>
        <w:spacing w:beforeLines="0" w:afterLines="0" w:line="360" w:lineRule="auto"/>
        <w:ind w:firstLine="560" w:firstLineChars="200"/>
        <w:jc w:val="left"/>
        <w:rPr>
          <w:rFonts w:hint="eastAsia" w:ascii="宋体" w:hAnsi="宋体" w:eastAsia="宋体" w:cs="宋体"/>
          <w:color w:val="auto"/>
          <w:spacing w:val="20"/>
          <w:sz w:val="24"/>
          <w:szCs w:val="24"/>
        </w:rPr>
      </w:pPr>
      <w:r>
        <w:rPr>
          <w:rFonts w:hint="eastAsia" w:ascii="宋体" w:hAnsi="宋体" w:eastAsia="宋体" w:cs="宋体"/>
          <w:color w:val="auto"/>
          <w:spacing w:val="20"/>
          <w:sz w:val="24"/>
          <w:szCs w:val="24"/>
        </w:rPr>
        <w:t>（1）中标通知书（如有）；</w:t>
      </w:r>
    </w:p>
    <w:p w14:paraId="5C936E9D">
      <w:pPr>
        <w:autoSpaceDE w:val="0"/>
        <w:autoSpaceDN w:val="0"/>
        <w:adjustRightInd w:val="0"/>
        <w:snapToGrid w:val="0"/>
        <w:spacing w:beforeLines="0" w:afterLines="0" w:line="360" w:lineRule="auto"/>
        <w:ind w:firstLine="560" w:firstLineChars="200"/>
        <w:jc w:val="left"/>
        <w:rPr>
          <w:rFonts w:hint="eastAsia" w:ascii="宋体" w:hAnsi="宋体" w:eastAsia="宋体" w:cs="宋体"/>
          <w:color w:val="auto"/>
          <w:spacing w:val="20"/>
          <w:sz w:val="24"/>
          <w:szCs w:val="24"/>
        </w:rPr>
      </w:pPr>
      <w:r>
        <w:rPr>
          <w:rFonts w:hint="eastAsia" w:ascii="宋体" w:hAnsi="宋体" w:eastAsia="宋体" w:cs="宋体"/>
          <w:color w:val="auto"/>
          <w:spacing w:val="20"/>
          <w:sz w:val="24"/>
          <w:szCs w:val="24"/>
        </w:rPr>
        <w:t xml:space="preserve">（2）投标函及其附录（如有）； </w:t>
      </w:r>
    </w:p>
    <w:p w14:paraId="54E4B64B">
      <w:pPr>
        <w:autoSpaceDE w:val="0"/>
        <w:autoSpaceDN w:val="0"/>
        <w:adjustRightInd w:val="0"/>
        <w:snapToGrid w:val="0"/>
        <w:spacing w:beforeLines="0" w:afterLines="0" w:line="360" w:lineRule="auto"/>
        <w:ind w:firstLine="560" w:firstLineChars="200"/>
        <w:jc w:val="left"/>
        <w:rPr>
          <w:rFonts w:hint="eastAsia" w:ascii="宋体" w:hAnsi="宋体" w:eastAsia="宋体" w:cs="宋体"/>
          <w:color w:val="auto"/>
          <w:spacing w:val="20"/>
          <w:sz w:val="24"/>
          <w:szCs w:val="24"/>
        </w:rPr>
      </w:pPr>
      <w:r>
        <w:rPr>
          <w:rFonts w:hint="eastAsia" w:ascii="宋体" w:hAnsi="宋体" w:eastAsia="宋体" w:cs="宋体"/>
          <w:color w:val="auto"/>
          <w:spacing w:val="20"/>
          <w:sz w:val="24"/>
          <w:szCs w:val="24"/>
        </w:rPr>
        <w:t>（3）专用合同条款及其附件；</w:t>
      </w:r>
    </w:p>
    <w:p w14:paraId="3B27447D">
      <w:pPr>
        <w:autoSpaceDE w:val="0"/>
        <w:autoSpaceDN w:val="0"/>
        <w:adjustRightInd w:val="0"/>
        <w:snapToGrid w:val="0"/>
        <w:spacing w:beforeLines="0" w:afterLines="0" w:line="360" w:lineRule="auto"/>
        <w:ind w:firstLine="560" w:firstLineChars="200"/>
        <w:jc w:val="left"/>
        <w:rPr>
          <w:rFonts w:hint="eastAsia" w:ascii="宋体" w:hAnsi="宋体" w:eastAsia="宋体" w:cs="宋体"/>
          <w:color w:val="auto"/>
          <w:spacing w:val="20"/>
          <w:sz w:val="24"/>
          <w:szCs w:val="24"/>
        </w:rPr>
      </w:pPr>
      <w:r>
        <w:rPr>
          <w:rFonts w:hint="eastAsia" w:ascii="宋体" w:hAnsi="宋体" w:eastAsia="宋体" w:cs="宋体"/>
          <w:color w:val="auto"/>
          <w:spacing w:val="20"/>
          <w:sz w:val="24"/>
          <w:szCs w:val="24"/>
        </w:rPr>
        <w:t>（4）通用合同条款；</w:t>
      </w:r>
    </w:p>
    <w:p w14:paraId="74E7E838">
      <w:pPr>
        <w:autoSpaceDE w:val="0"/>
        <w:autoSpaceDN w:val="0"/>
        <w:adjustRightInd w:val="0"/>
        <w:snapToGrid w:val="0"/>
        <w:spacing w:beforeLines="0" w:afterLines="0" w:line="360" w:lineRule="auto"/>
        <w:ind w:firstLine="560" w:firstLineChars="200"/>
        <w:jc w:val="left"/>
        <w:rPr>
          <w:rFonts w:hint="eastAsia" w:ascii="宋体" w:hAnsi="宋体" w:eastAsia="宋体" w:cs="宋体"/>
          <w:color w:val="auto"/>
          <w:spacing w:val="20"/>
          <w:sz w:val="24"/>
          <w:szCs w:val="24"/>
        </w:rPr>
      </w:pPr>
      <w:r>
        <w:rPr>
          <w:rFonts w:hint="eastAsia" w:ascii="宋体" w:hAnsi="宋体" w:eastAsia="宋体" w:cs="宋体"/>
          <w:color w:val="auto"/>
          <w:spacing w:val="20"/>
          <w:sz w:val="24"/>
          <w:szCs w:val="24"/>
        </w:rPr>
        <w:t>（5）技术标准和要求；</w:t>
      </w:r>
    </w:p>
    <w:p w14:paraId="2AD0F140">
      <w:pPr>
        <w:autoSpaceDE w:val="0"/>
        <w:autoSpaceDN w:val="0"/>
        <w:adjustRightInd w:val="0"/>
        <w:snapToGrid w:val="0"/>
        <w:spacing w:beforeLines="0" w:afterLines="0" w:line="360" w:lineRule="auto"/>
        <w:ind w:firstLine="560" w:firstLineChars="200"/>
        <w:jc w:val="left"/>
        <w:rPr>
          <w:rFonts w:hint="eastAsia" w:ascii="宋体" w:hAnsi="宋体" w:eastAsia="宋体" w:cs="宋体"/>
          <w:color w:val="auto"/>
          <w:spacing w:val="20"/>
          <w:sz w:val="24"/>
          <w:szCs w:val="24"/>
        </w:rPr>
      </w:pPr>
      <w:r>
        <w:rPr>
          <w:rFonts w:hint="eastAsia" w:ascii="宋体" w:hAnsi="宋体" w:eastAsia="宋体" w:cs="宋体"/>
          <w:color w:val="auto"/>
          <w:spacing w:val="20"/>
          <w:sz w:val="24"/>
          <w:szCs w:val="24"/>
        </w:rPr>
        <w:t xml:space="preserve">（6）已标价工程量清单或预算书； </w:t>
      </w:r>
    </w:p>
    <w:p w14:paraId="728B76C7">
      <w:pPr>
        <w:autoSpaceDE w:val="0"/>
        <w:autoSpaceDN w:val="0"/>
        <w:adjustRightInd w:val="0"/>
        <w:snapToGrid w:val="0"/>
        <w:spacing w:beforeLines="0" w:afterLines="0" w:line="360" w:lineRule="auto"/>
        <w:ind w:firstLine="560" w:firstLineChars="200"/>
        <w:jc w:val="left"/>
        <w:rPr>
          <w:rFonts w:hint="eastAsia" w:ascii="宋体" w:hAnsi="宋体" w:eastAsia="宋体" w:cs="宋体"/>
          <w:color w:val="auto"/>
          <w:spacing w:val="20"/>
          <w:sz w:val="24"/>
          <w:szCs w:val="24"/>
        </w:rPr>
      </w:pPr>
      <w:r>
        <w:rPr>
          <w:rFonts w:hint="eastAsia" w:ascii="宋体" w:hAnsi="宋体" w:eastAsia="宋体" w:cs="宋体"/>
          <w:color w:val="auto"/>
          <w:spacing w:val="20"/>
          <w:sz w:val="24"/>
          <w:szCs w:val="24"/>
        </w:rPr>
        <w:t>（7）图纸；</w:t>
      </w:r>
    </w:p>
    <w:p w14:paraId="6A76C2E7">
      <w:pPr>
        <w:autoSpaceDE w:val="0"/>
        <w:autoSpaceDN w:val="0"/>
        <w:adjustRightInd w:val="0"/>
        <w:snapToGrid w:val="0"/>
        <w:spacing w:beforeLines="0" w:afterLines="0" w:line="360" w:lineRule="auto"/>
        <w:ind w:firstLine="560" w:firstLineChars="200"/>
        <w:jc w:val="left"/>
        <w:rPr>
          <w:rFonts w:hint="eastAsia" w:ascii="宋体" w:hAnsi="宋体" w:eastAsia="宋体" w:cs="宋体"/>
          <w:color w:val="auto"/>
          <w:spacing w:val="20"/>
          <w:sz w:val="24"/>
          <w:szCs w:val="24"/>
        </w:rPr>
      </w:pPr>
      <w:r>
        <w:rPr>
          <w:rFonts w:hint="eastAsia" w:ascii="宋体" w:hAnsi="宋体" w:eastAsia="宋体" w:cs="宋体"/>
          <w:color w:val="auto"/>
          <w:spacing w:val="20"/>
          <w:sz w:val="24"/>
          <w:szCs w:val="24"/>
        </w:rPr>
        <w:t>（8）其他合同文件。</w:t>
      </w:r>
    </w:p>
    <w:p w14:paraId="7064C01A">
      <w:pPr>
        <w:autoSpaceDE w:val="0"/>
        <w:autoSpaceDN w:val="0"/>
        <w:adjustRightInd w:val="0"/>
        <w:snapToGrid w:val="0"/>
        <w:spacing w:beforeLines="0" w:afterLines="0" w:line="360" w:lineRule="auto"/>
        <w:ind w:firstLine="560" w:firstLineChars="200"/>
        <w:jc w:val="left"/>
        <w:rPr>
          <w:rFonts w:hint="eastAsia" w:ascii="宋体" w:hAnsi="宋体" w:eastAsia="宋体" w:cs="宋体"/>
          <w:color w:val="auto"/>
          <w:spacing w:val="20"/>
          <w:sz w:val="24"/>
          <w:szCs w:val="24"/>
        </w:rPr>
      </w:pPr>
      <w:r>
        <w:rPr>
          <w:rFonts w:hint="eastAsia" w:ascii="宋体" w:hAnsi="宋体" w:eastAsia="宋体" w:cs="宋体"/>
          <w:color w:val="auto"/>
          <w:spacing w:val="20"/>
          <w:sz w:val="24"/>
          <w:szCs w:val="24"/>
        </w:rPr>
        <w:t>2.双方有关工程的洽商、变更等书面协议或文件视为本合同的组成部分。</w:t>
      </w:r>
    </w:p>
    <w:p w14:paraId="554BDF14">
      <w:pPr>
        <w:autoSpaceDE w:val="0"/>
        <w:autoSpaceDN w:val="0"/>
        <w:adjustRightInd w:val="0"/>
        <w:snapToGrid w:val="0"/>
        <w:spacing w:beforeLines="0" w:afterLines="0" w:line="360" w:lineRule="auto"/>
        <w:ind w:firstLine="560" w:firstLineChars="200"/>
        <w:jc w:val="left"/>
        <w:rPr>
          <w:rFonts w:hint="eastAsia" w:ascii="宋体" w:hAnsi="宋体" w:eastAsia="宋体" w:cs="宋体"/>
          <w:color w:val="auto"/>
          <w:spacing w:val="20"/>
          <w:sz w:val="24"/>
          <w:szCs w:val="24"/>
        </w:rPr>
      </w:pPr>
      <w:r>
        <w:rPr>
          <w:rFonts w:hint="eastAsia" w:ascii="宋体" w:hAnsi="宋体" w:eastAsia="宋体" w:cs="宋体"/>
          <w:color w:val="auto"/>
          <w:spacing w:val="20"/>
          <w:sz w:val="24"/>
          <w:szCs w:val="24"/>
        </w:rPr>
        <w:t>上述各项合同文件包括合同当事人就该项合同文件所作出的补充和修改，属于同一类内容的文件，应以最新签署的为准。专用合同条款及其附件须经合同当事人签字或盖章。</w:t>
      </w:r>
    </w:p>
    <w:p w14:paraId="6D0BCB72">
      <w:pPr>
        <w:autoSpaceDE w:val="0"/>
        <w:autoSpaceDN w:val="0"/>
        <w:adjustRightInd w:val="0"/>
        <w:snapToGrid w:val="0"/>
        <w:spacing w:beforeLines="0" w:afterLines="0" w:line="360" w:lineRule="auto"/>
        <w:ind w:firstLine="562" w:firstLineChars="200"/>
        <w:jc w:val="left"/>
        <w:outlineLvl w:val="0"/>
        <w:rPr>
          <w:rFonts w:hint="eastAsia" w:ascii="宋体" w:hAnsi="宋体" w:eastAsia="宋体" w:cs="宋体"/>
          <w:b/>
          <w:color w:val="auto"/>
          <w:spacing w:val="20"/>
          <w:sz w:val="24"/>
          <w:szCs w:val="24"/>
        </w:rPr>
      </w:pPr>
      <w:bookmarkStart w:id="136" w:name="_Toc8128"/>
      <w:bookmarkStart w:id="137" w:name="_Toc31463"/>
      <w:bookmarkStart w:id="138" w:name="_Toc351203487"/>
      <w:r>
        <w:rPr>
          <w:rFonts w:hint="eastAsia" w:ascii="宋体" w:hAnsi="宋体" w:eastAsia="宋体" w:cs="宋体"/>
          <w:b/>
          <w:color w:val="auto"/>
          <w:spacing w:val="20"/>
          <w:sz w:val="24"/>
          <w:szCs w:val="24"/>
        </w:rPr>
        <w:t>七、承诺</w:t>
      </w:r>
      <w:bookmarkEnd w:id="136"/>
      <w:bookmarkEnd w:id="137"/>
      <w:bookmarkEnd w:id="138"/>
    </w:p>
    <w:p w14:paraId="59DF781B">
      <w:pPr>
        <w:adjustRightInd w:val="0"/>
        <w:snapToGrid w:val="0"/>
        <w:spacing w:beforeLines="0" w:afterLines="0" w:line="360" w:lineRule="auto"/>
        <w:ind w:firstLine="560" w:firstLineChars="200"/>
        <w:rPr>
          <w:rFonts w:hint="eastAsia" w:ascii="宋体" w:hAnsi="宋体" w:eastAsia="宋体" w:cs="宋体"/>
          <w:color w:val="auto"/>
          <w:spacing w:val="20"/>
          <w:sz w:val="24"/>
          <w:szCs w:val="24"/>
        </w:rPr>
      </w:pPr>
      <w:r>
        <w:rPr>
          <w:rFonts w:hint="eastAsia" w:ascii="宋体" w:hAnsi="宋体" w:eastAsia="宋体" w:cs="宋体"/>
          <w:color w:val="auto"/>
          <w:spacing w:val="20"/>
          <w:sz w:val="24"/>
          <w:szCs w:val="24"/>
        </w:rPr>
        <w:t>1. 发包人承诺按照法律规定履行项目审批手续、筹集工程建设资金并按照合同约定的期限和方式支付合同价款。</w:t>
      </w:r>
    </w:p>
    <w:p w14:paraId="487826BC">
      <w:pPr>
        <w:adjustRightInd w:val="0"/>
        <w:snapToGrid w:val="0"/>
        <w:spacing w:beforeLines="0" w:afterLines="0" w:line="360" w:lineRule="auto"/>
        <w:ind w:firstLine="560" w:firstLineChars="200"/>
        <w:rPr>
          <w:rFonts w:hint="eastAsia" w:ascii="宋体" w:hAnsi="宋体" w:eastAsia="宋体" w:cs="宋体"/>
          <w:color w:val="auto"/>
          <w:spacing w:val="20"/>
          <w:sz w:val="24"/>
          <w:szCs w:val="24"/>
        </w:rPr>
      </w:pPr>
      <w:r>
        <w:rPr>
          <w:rFonts w:hint="eastAsia" w:ascii="宋体" w:hAnsi="宋体" w:eastAsia="宋体" w:cs="宋体"/>
          <w:color w:val="auto"/>
          <w:spacing w:val="20"/>
          <w:sz w:val="24"/>
          <w:szCs w:val="24"/>
        </w:rPr>
        <w:t>2. 承包人承诺按照法律规定及合同约定组织完成工程施工，确保工程质量和安全，不进行转包及违法分包，并在缺陷责任期及保修期内承担相应的工程维修责任。</w:t>
      </w:r>
    </w:p>
    <w:p w14:paraId="1D604E64">
      <w:pPr>
        <w:adjustRightInd w:val="0"/>
        <w:snapToGrid w:val="0"/>
        <w:spacing w:beforeLines="0" w:afterLines="0" w:line="360" w:lineRule="auto"/>
        <w:ind w:firstLine="560" w:firstLineChars="200"/>
        <w:rPr>
          <w:rFonts w:hint="eastAsia" w:ascii="宋体" w:hAnsi="宋体" w:eastAsia="宋体" w:cs="宋体"/>
          <w:color w:val="auto"/>
          <w:spacing w:val="20"/>
          <w:sz w:val="24"/>
          <w:szCs w:val="24"/>
        </w:rPr>
      </w:pPr>
      <w:r>
        <w:rPr>
          <w:rFonts w:hint="eastAsia" w:ascii="宋体" w:hAnsi="宋体" w:eastAsia="宋体" w:cs="宋体"/>
          <w:color w:val="auto"/>
          <w:spacing w:val="20"/>
          <w:sz w:val="24"/>
          <w:szCs w:val="24"/>
        </w:rPr>
        <w:t>3. 发包人和承包人签订的合同，双方理解并承诺不再就同一工程另行签订与合同实质性内容相背离的协议。</w:t>
      </w:r>
      <w:bookmarkStart w:id="139" w:name="_Toc351203488"/>
      <w:r>
        <w:rPr>
          <w:rFonts w:hint="eastAsia" w:ascii="宋体" w:hAnsi="宋体" w:eastAsia="宋体" w:cs="宋体"/>
          <w:color w:val="auto"/>
          <w:spacing w:val="20"/>
          <w:sz w:val="24"/>
          <w:szCs w:val="24"/>
        </w:rPr>
        <w:t xml:space="preserve">其他未说明的有关管理办法严格按浦政规〔2020〕1号及相关规范执行。比如 </w:t>
      </w:r>
    </w:p>
    <w:p w14:paraId="72C1E669">
      <w:pPr>
        <w:adjustRightInd w:val="0"/>
        <w:snapToGrid w:val="0"/>
        <w:spacing w:beforeLines="0" w:afterLines="0" w:line="360" w:lineRule="auto"/>
        <w:ind w:firstLine="560" w:firstLineChars="200"/>
        <w:rPr>
          <w:rFonts w:hint="eastAsia" w:ascii="宋体" w:hAnsi="宋体" w:eastAsia="宋体" w:cs="宋体"/>
          <w:color w:val="auto"/>
          <w:spacing w:val="20"/>
          <w:sz w:val="24"/>
          <w:szCs w:val="24"/>
        </w:rPr>
      </w:pPr>
      <w:r>
        <w:rPr>
          <w:rFonts w:hint="eastAsia" w:ascii="宋体" w:hAnsi="宋体" w:eastAsia="宋体" w:cs="宋体"/>
          <w:color w:val="auto"/>
          <w:spacing w:val="20"/>
          <w:sz w:val="24"/>
          <w:szCs w:val="24"/>
        </w:rPr>
        <w:t>（1）因勘察原因导致工程的最终结算价超过工程合同价10%以上的，县审计局要及时将审计发现的问题函告县投资项目建设办及县行业行政监管部门，由县行业行政监管部门通报县直单位及各镇（街道）两年内不得委托该勘察单位承领本县政府资金投资工程的勘察业务。</w:t>
      </w:r>
    </w:p>
    <w:p w14:paraId="7B7DFEE7">
      <w:pPr>
        <w:adjustRightInd w:val="0"/>
        <w:snapToGrid w:val="0"/>
        <w:spacing w:beforeLines="0" w:afterLines="0" w:line="360" w:lineRule="auto"/>
        <w:ind w:firstLine="560" w:firstLineChars="200"/>
        <w:rPr>
          <w:rFonts w:hint="eastAsia" w:ascii="宋体" w:hAnsi="宋体" w:eastAsia="宋体" w:cs="宋体"/>
          <w:color w:val="auto"/>
          <w:spacing w:val="20"/>
          <w:sz w:val="24"/>
          <w:szCs w:val="24"/>
        </w:rPr>
      </w:pPr>
      <w:r>
        <w:rPr>
          <w:rFonts w:hint="eastAsia" w:ascii="宋体" w:hAnsi="宋体" w:eastAsia="宋体" w:cs="宋体"/>
          <w:color w:val="auto"/>
          <w:spacing w:val="20"/>
          <w:sz w:val="24"/>
          <w:szCs w:val="24"/>
        </w:rPr>
        <w:t>（2）因设计单位原因导致工程的最终结算价超过工程合同价10%以上，县审计局要及时将审计发现的问题函告县投资项目建设办及县行业行政监管部门，同县行业行政监管部门通报县直单位及各镇（街道）两年内不得委托该设计单位承领本县政府资金投资工程的设计业务。</w:t>
      </w:r>
    </w:p>
    <w:p w14:paraId="73230432">
      <w:pPr>
        <w:adjustRightInd w:val="0"/>
        <w:snapToGrid w:val="0"/>
        <w:spacing w:beforeLines="0" w:afterLines="0" w:line="360" w:lineRule="auto"/>
        <w:ind w:firstLine="560" w:firstLineChars="200"/>
        <w:rPr>
          <w:rFonts w:hint="eastAsia" w:ascii="宋体" w:hAnsi="宋体" w:eastAsia="宋体" w:cs="宋体"/>
          <w:color w:val="auto"/>
          <w:spacing w:val="20"/>
          <w:sz w:val="24"/>
          <w:szCs w:val="24"/>
        </w:rPr>
      </w:pPr>
      <w:r>
        <w:rPr>
          <w:rFonts w:hint="eastAsia" w:ascii="宋体" w:hAnsi="宋体" w:eastAsia="宋体" w:cs="宋体"/>
          <w:color w:val="auto"/>
          <w:spacing w:val="20"/>
          <w:sz w:val="24"/>
          <w:szCs w:val="24"/>
        </w:rPr>
        <w:t>（3）监理单位弄虚作假、超越权限，导致虚增工程量、多计价款的，不支付监理费，并由县行业行政监管部门给予处罚；给项目业主造成损失的，依法承担经济和法律责任。</w:t>
      </w:r>
    </w:p>
    <w:p w14:paraId="1224A5F8">
      <w:pPr>
        <w:adjustRightInd w:val="0"/>
        <w:snapToGrid w:val="0"/>
        <w:spacing w:beforeLines="0" w:afterLines="0" w:line="360" w:lineRule="auto"/>
        <w:ind w:firstLine="560" w:firstLineChars="200"/>
        <w:rPr>
          <w:rFonts w:hint="eastAsia" w:ascii="宋体" w:hAnsi="宋体" w:eastAsia="宋体" w:cs="宋体"/>
          <w:color w:val="auto"/>
          <w:spacing w:val="20"/>
          <w:sz w:val="24"/>
          <w:szCs w:val="24"/>
        </w:rPr>
      </w:pPr>
      <w:r>
        <w:rPr>
          <w:rFonts w:hint="eastAsia" w:ascii="宋体" w:hAnsi="宋体" w:eastAsia="宋体" w:cs="宋体"/>
          <w:color w:val="auto"/>
          <w:spacing w:val="20"/>
          <w:sz w:val="24"/>
          <w:szCs w:val="24"/>
        </w:rPr>
        <w:t>监理单位一次弄虚作假、超越权限的，由县行业行政监管部门通报全县各镇（街道）、县直单位五年内不得参加本县政府投资项目的监理；造成经济损失的，依法承担赔偿责任；涉嫌犯罪的，依法追究刑事责任。</w:t>
      </w:r>
    </w:p>
    <w:p w14:paraId="6F3CBF11">
      <w:pPr>
        <w:adjustRightInd w:val="0"/>
        <w:snapToGrid w:val="0"/>
        <w:spacing w:beforeLines="0" w:afterLines="0" w:line="360" w:lineRule="auto"/>
        <w:ind w:firstLine="562" w:firstLineChars="200"/>
        <w:outlineLvl w:val="0"/>
        <w:rPr>
          <w:rFonts w:hint="eastAsia" w:ascii="宋体" w:hAnsi="宋体" w:eastAsia="宋体" w:cs="宋体"/>
          <w:b/>
          <w:color w:val="auto"/>
          <w:spacing w:val="20"/>
          <w:sz w:val="24"/>
          <w:szCs w:val="24"/>
        </w:rPr>
      </w:pPr>
      <w:bookmarkStart w:id="140" w:name="_Toc22608"/>
      <w:bookmarkStart w:id="141" w:name="_Toc9259"/>
      <w:r>
        <w:rPr>
          <w:rFonts w:hint="eastAsia" w:ascii="宋体" w:hAnsi="宋体" w:eastAsia="宋体" w:cs="宋体"/>
          <w:b/>
          <w:color w:val="auto"/>
          <w:spacing w:val="20"/>
          <w:sz w:val="24"/>
          <w:szCs w:val="24"/>
        </w:rPr>
        <w:t>八、词语含义</w:t>
      </w:r>
      <w:bookmarkEnd w:id="139"/>
      <w:bookmarkEnd w:id="140"/>
      <w:bookmarkEnd w:id="141"/>
    </w:p>
    <w:p w14:paraId="14369529">
      <w:pPr>
        <w:adjustRightInd w:val="0"/>
        <w:snapToGrid w:val="0"/>
        <w:spacing w:beforeLines="0" w:afterLines="0" w:line="360" w:lineRule="auto"/>
        <w:ind w:firstLine="560" w:firstLineChars="200"/>
        <w:rPr>
          <w:rFonts w:hint="eastAsia" w:ascii="宋体" w:hAnsi="宋体" w:eastAsia="宋体" w:cs="宋体"/>
          <w:color w:val="auto"/>
          <w:spacing w:val="20"/>
          <w:sz w:val="24"/>
          <w:szCs w:val="24"/>
        </w:rPr>
      </w:pPr>
      <w:r>
        <w:rPr>
          <w:rFonts w:hint="eastAsia" w:ascii="宋体" w:hAnsi="宋体" w:eastAsia="宋体" w:cs="宋体"/>
          <w:color w:val="auto"/>
          <w:spacing w:val="20"/>
          <w:sz w:val="24"/>
          <w:szCs w:val="24"/>
        </w:rPr>
        <w:t>本协议书中词语含义与第二部分通用合同条款中赋予的含义相同。</w:t>
      </w:r>
    </w:p>
    <w:p w14:paraId="230C609F">
      <w:pPr>
        <w:adjustRightInd w:val="0"/>
        <w:snapToGrid w:val="0"/>
        <w:spacing w:beforeLines="0" w:afterLines="0" w:line="360" w:lineRule="auto"/>
        <w:ind w:firstLine="562" w:firstLineChars="200"/>
        <w:outlineLvl w:val="0"/>
        <w:rPr>
          <w:rFonts w:hint="eastAsia" w:ascii="宋体" w:hAnsi="宋体" w:eastAsia="宋体" w:cs="宋体"/>
          <w:b/>
          <w:color w:val="auto"/>
          <w:spacing w:val="20"/>
          <w:sz w:val="24"/>
          <w:szCs w:val="24"/>
        </w:rPr>
      </w:pPr>
      <w:bookmarkStart w:id="142" w:name="_Toc16199"/>
      <w:bookmarkStart w:id="143" w:name="_Toc351203489"/>
      <w:bookmarkStart w:id="144" w:name="_Toc12012"/>
      <w:r>
        <w:rPr>
          <w:rFonts w:hint="eastAsia" w:ascii="宋体" w:hAnsi="宋体" w:eastAsia="宋体" w:cs="宋体"/>
          <w:b/>
          <w:color w:val="auto"/>
          <w:spacing w:val="20"/>
          <w:sz w:val="24"/>
          <w:szCs w:val="24"/>
        </w:rPr>
        <w:t>九、签订时间</w:t>
      </w:r>
      <w:bookmarkEnd w:id="142"/>
      <w:bookmarkEnd w:id="143"/>
      <w:bookmarkEnd w:id="144"/>
    </w:p>
    <w:p w14:paraId="2039EEF4">
      <w:pPr>
        <w:adjustRightInd w:val="0"/>
        <w:snapToGrid w:val="0"/>
        <w:spacing w:beforeLines="0" w:afterLines="0" w:line="360" w:lineRule="auto"/>
        <w:ind w:firstLine="560" w:firstLineChars="200"/>
        <w:rPr>
          <w:rFonts w:hint="eastAsia" w:ascii="宋体" w:hAnsi="宋体" w:eastAsia="宋体" w:cs="宋体"/>
          <w:color w:val="auto"/>
          <w:spacing w:val="20"/>
          <w:sz w:val="24"/>
          <w:szCs w:val="24"/>
        </w:rPr>
      </w:pPr>
      <w:r>
        <w:rPr>
          <w:rFonts w:hint="eastAsia" w:ascii="宋体" w:hAnsi="宋体" w:eastAsia="宋体" w:cs="宋体"/>
          <w:color w:val="auto"/>
          <w:spacing w:val="20"/>
          <w:sz w:val="24"/>
          <w:szCs w:val="24"/>
        </w:rPr>
        <w:t>本合同于</w:t>
      </w:r>
      <w:r>
        <w:rPr>
          <w:rFonts w:hint="eastAsia" w:ascii="宋体" w:hAnsi="宋体" w:eastAsia="宋体" w:cs="宋体"/>
          <w:color w:val="auto"/>
          <w:spacing w:val="20"/>
          <w:sz w:val="24"/>
          <w:szCs w:val="24"/>
          <w:u w:val="single"/>
        </w:rPr>
        <w:t xml:space="preserve">      </w:t>
      </w:r>
      <w:r>
        <w:rPr>
          <w:rFonts w:hint="eastAsia" w:ascii="宋体" w:hAnsi="宋体" w:eastAsia="宋体" w:cs="宋体"/>
          <w:color w:val="auto"/>
          <w:spacing w:val="20"/>
          <w:sz w:val="24"/>
          <w:szCs w:val="24"/>
        </w:rPr>
        <w:t>年</w:t>
      </w:r>
      <w:r>
        <w:rPr>
          <w:rFonts w:hint="eastAsia" w:ascii="宋体" w:hAnsi="宋体" w:eastAsia="宋体" w:cs="宋体"/>
          <w:color w:val="auto"/>
          <w:spacing w:val="20"/>
          <w:sz w:val="24"/>
          <w:szCs w:val="24"/>
          <w:u w:val="single"/>
        </w:rPr>
        <w:t xml:space="preserve">    </w:t>
      </w:r>
      <w:r>
        <w:rPr>
          <w:rFonts w:hint="eastAsia" w:ascii="宋体" w:hAnsi="宋体" w:eastAsia="宋体" w:cs="宋体"/>
          <w:color w:val="auto"/>
          <w:spacing w:val="20"/>
          <w:sz w:val="24"/>
          <w:szCs w:val="24"/>
        </w:rPr>
        <w:t>月</w:t>
      </w:r>
      <w:r>
        <w:rPr>
          <w:rFonts w:hint="eastAsia" w:ascii="宋体" w:hAnsi="宋体" w:eastAsia="宋体" w:cs="宋体"/>
          <w:color w:val="auto"/>
          <w:spacing w:val="20"/>
          <w:sz w:val="24"/>
          <w:szCs w:val="24"/>
          <w:u w:val="single"/>
        </w:rPr>
        <w:t xml:space="preserve">    </w:t>
      </w:r>
      <w:r>
        <w:rPr>
          <w:rFonts w:hint="eastAsia" w:ascii="宋体" w:hAnsi="宋体" w:eastAsia="宋体" w:cs="宋体"/>
          <w:color w:val="auto"/>
          <w:spacing w:val="20"/>
          <w:sz w:val="24"/>
          <w:szCs w:val="24"/>
        </w:rPr>
        <w:t>日签订。</w:t>
      </w:r>
    </w:p>
    <w:p w14:paraId="569D0A9B">
      <w:pPr>
        <w:adjustRightInd w:val="0"/>
        <w:snapToGrid w:val="0"/>
        <w:spacing w:beforeLines="0" w:afterLines="0" w:line="360" w:lineRule="auto"/>
        <w:ind w:firstLine="562" w:firstLineChars="200"/>
        <w:outlineLvl w:val="0"/>
        <w:rPr>
          <w:rFonts w:hint="eastAsia" w:ascii="宋体" w:hAnsi="宋体" w:eastAsia="宋体" w:cs="宋体"/>
          <w:b/>
          <w:color w:val="auto"/>
          <w:spacing w:val="20"/>
          <w:sz w:val="24"/>
          <w:szCs w:val="24"/>
        </w:rPr>
      </w:pPr>
      <w:bookmarkStart w:id="145" w:name="_Toc351203490"/>
      <w:bookmarkStart w:id="146" w:name="_Toc26093"/>
      <w:bookmarkStart w:id="147" w:name="_Toc5727"/>
      <w:r>
        <w:rPr>
          <w:rFonts w:hint="eastAsia" w:ascii="宋体" w:hAnsi="宋体" w:eastAsia="宋体" w:cs="宋体"/>
          <w:b/>
          <w:color w:val="auto"/>
          <w:spacing w:val="20"/>
          <w:sz w:val="24"/>
          <w:szCs w:val="24"/>
        </w:rPr>
        <w:t>十、签订地点</w:t>
      </w:r>
      <w:bookmarkEnd w:id="145"/>
      <w:bookmarkEnd w:id="146"/>
      <w:bookmarkEnd w:id="147"/>
    </w:p>
    <w:p w14:paraId="2892CBCA">
      <w:pPr>
        <w:adjustRightInd w:val="0"/>
        <w:snapToGrid w:val="0"/>
        <w:spacing w:beforeLines="0" w:afterLines="0" w:line="360" w:lineRule="auto"/>
        <w:ind w:firstLine="560" w:firstLineChars="200"/>
        <w:rPr>
          <w:rFonts w:hint="eastAsia" w:ascii="宋体" w:hAnsi="宋体" w:eastAsia="宋体" w:cs="宋体"/>
          <w:color w:val="auto"/>
          <w:spacing w:val="20"/>
          <w:sz w:val="24"/>
          <w:szCs w:val="24"/>
        </w:rPr>
      </w:pPr>
      <w:r>
        <w:rPr>
          <w:rFonts w:hint="eastAsia" w:ascii="宋体" w:hAnsi="宋体" w:eastAsia="宋体" w:cs="宋体"/>
          <w:color w:val="auto"/>
          <w:spacing w:val="20"/>
          <w:sz w:val="24"/>
          <w:szCs w:val="24"/>
        </w:rPr>
        <w:t>本合同在</w:t>
      </w:r>
      <w:r>
        <w:rPr>
          <w:rFonts w:hint="eastAsia" w:ascii="宋体" w:hAnsi="宋体" w:eastAsia="宋体" w:cs="宋体"/>
          <w:color w:val="auto"/>
          <w:spacing w:val="20"/>
          <w:sz w:val="24"/>
          <w:szCs w:val="24"/>
          <w:u w:val="single"/>
        </w:rPr>
        <w:t xml:space="preserve">                    </w:t>
      </w:r>
      <w:r>
        <w:rPr>
          <w:rFonts w:hint="eastAsia" w:ascii="宋体" w:hAnsi="宋体" w:eastAsia="宋体" w:cs="宋体"/>
          <w:color w:val="auto"/>
          <w:spacing w:val="20"/>
          <w:sz w:val="24"/>
          <w:szCs w:val="24"/>
        </w:rPr>
        <w:t>签订。</w:t>
      </w:r>
    </w:p>
    <w:p w14:paraId="488022CD">
      <w:pPr>
        <w:adjustRightInd w:val="0"/>
        <w:snapToGrid w:val="0"/>
        <w:spacing w:beforeLines="0" w:afterLines="0" w:line="360" w:lineRule="auto"/>
        <w:ind w:firstLine="562" w:firstLineChars="200"/>
        <w:outlineLvl w:val="0"/>
        <w:rPr>
          <w:rFonts w:hint="eastAsia" w:ascii="宋体" w:hAnsi="宋体" w:eastAsia="宋体" w:cs="宋体"/>
          <w:b/>
          <w:color w:val="auto"/>
          <w:spacing w:val="20"/>
          <w:sz w:val="24"/>
          <w:szCs w:val="24"/>
        </w:rPr>
      </w:pPr>
      <w:bookmarkStart w:id="148" w:name="_Toc6559"/>
      <w:bookmarkStart w:id="149" w:name="_Toc5117"/>
      <w:bookmarkStart w:id="150" w:name="_Toc351203491"/>
      <w:r>
        <w:rPr>
          <w:rFonts w:hint="eastAsia" w:ascii="宋体" w:hAnsi="宋体" w:eastAsia="宋体" w:cs="宋体"/>
          <w:b/>
          <w:color w:val="auto"/>
          <w:spacing w:val="20"/>
          <w:sz w:val="24"/>
          <w:szCs w:val="24"/>
        </w:rPr>
        <w:t>十一、补充协议</w:t>
      </w:r>
      <w:bookmarkEnd w:id="148"/>
      <w:bookmarkEnd w:id="149"/>
      <w:bookmarkEnd w:id="150"/>
    </w:p>
    <w:p w14:paraId="24391975">
      <w:pPr>
        <w:adjustRightInd w:val="0"/>
        <w:snapToGrid w:val="0"/>
        <w:spacing w:beforeLines="0" w:afterLines="0" w:line="360" w:lineRule="auto"/>
        <w:ind w:firstLine="560" w:firstLineChars="200"/>
        <w:rPr>
          <w:rFonts w:hint="eastAsia" w:ascii="宋体" w:hAnsi="宋体" w:eastAsia="宋体" w:cs="宋体"/>
          <w:color w:val="auto"/>
          <w:spacing w:val="20"/>
          <w:sz w:val="24"/>
          <w:szCs w:val="24"/>
        </w:rPr>
      </w:pPr>
      <w:r>
        <w:rPr>
          <w:rFonts w:hint="eastAsia" w:ascii="宋体" w:hAnsi="宋体" w:eastAsia="宋体" w:cs="宋体"/>
          <w:color w:val="auto"/>
          <w:spacing w:val="20"/>
          <w:sz w:val="24"/>
          <w:szCs w:val="24"/>
        </w:rPr>
        <w:t>合同未尽事宜，合同当事人另行签订补充协议，补充协议是合同的组成部分。</w:t>
      </w:r>
    </w:p>
    <w:p w14:paraId="594E68C3">
      <w:pPr>
        <w:adjustRightInd w:val="0"/>
        <w:snapToGrid w:val="0"/>
        <w:spacing w:beforeLines="0" w:afterLines="0" w:line="360" w:lineRule="auto"/>
        <w:ind w:firstLine="562" w:firstLineChars="200"/>
        <w:outlineLvl w:val="0"/>
        <w:rPr>
          <w:rFonts w:hint="eastAsia" w:ascii="宋体" w:hAnsi="宋体" w:eastAsia="宋体" w:cs="宋体"/>
          <w:b/>
          <w:color w:val="auto"/>
          <w:spacing w:val="20"/>
          <w:sz w:val="24"/>
          <w:szCs w:val="24"/>
        </w:rPr>
      </w:pPr>
      <w:bookmarkStart w:id="151" w:name="_Toc12486"/>
      <w:bookmarkStart w:id="152" w:name="_Toc17908"/>
      <w:bookmarkStart w:id="153" w:name="_Toc351203492"/>
      <w:r>
        <w:rPr>
          <w:rFonts w:hint="eastAsia" w:ascii="宋体" w:hAnsi="宋体" w:eastAsia="宋体" w:cs="宋体"/>
          <w:b/>
          <w:color w:val="auto"/>
          <w:spacing w:val="20"/>
          <w:sz w:val="24"/>
          <w:szCs w:val="24"/>
        </w:rPr>
        <w:t>十二、合同生效</w:t>
      </w:r>
      <w:bookmarkEnd w:id="151"/>
      <w:bookmarkEnd w:id="152"/>
      <w:bookmarkEnd w:id="153"/>
    </w:p>
    <w:p w14:paraId="0E3D4944">
      <w:pPr>
        <w:adjustRightInd w:val="0"/>
        <w:snapToGrid w:val="0"/>
        <w:spacing w:beforeLines="0" w:afterLines="0" w:line="360" w:lineRule="auto"/>
        <w:ind w:firstLine="560" w:firstLineChars="200"/>
        <w:rPr>
          <w:rFonts w:hint="eastAsia" w:ascii="宋体" w:hAnsi="宋体" w:eastAsia="宋体" w:cs="宋体"/>
          <w:color w:val="auto"/>
          <w:spacing w:val="20"/>
          <w:sz w:val="24"/>
          <w:szCs w:val="24"/>
        </w:rPr>
      </w:pPr>
      <w:r>
        <w:rPr>
          <w:rFonts w:hint="eastAsia" w:ascii="宋体" w:hAnsi="宋体" w:eastAsia="宋体" w:cs="宋体"/>
          <w:color w:val="auto"/>
          <w:spacing w:val="20"/>
          <w:sz w:val="24"/>
          <w:szCs w:val="24"/>
        </w:rPr>
        <w:t>本合同自</w:t>
      </w:r>
      <w:r>
        <w:rPr>
          <w:rFonts w:hint="eastAsia" w:ascii="宋体" w:hAnsi="宋体" w:eastAsia="宋体" w:cs="宋体"/>
          <w:color w:val="auto"/>
          <w:spacing w:val="20"/>
          <w:sz w:val="24"/>
          <w:szCs w:val="24"/>
          <w:u w:val="single"/>
        </w:rPr>
        <w:t xml:space="preserve"> 双方法定代表人或其授权代理人签字并加盖单位公章之日起 </w:t>
      </w:r>
      <w:r>
        <w:rPr>
          <w:rFonts w:hint="eastAsia" w:ascii="宋体" w:hAnsi="宋体" w:eastAsia="宋体" w:cs="宋体"/>
          <w:color w:val="auto"/>
          <w:spacing w:val="20"/>
          <w:sz w:val="24"/>
          <w:szCs w:val="24"/>
        </w:rPr>
        <w:t>生效。</w:t>
      </w:r>
    </w:p>
    <w:p w14:paraId="0A4852C2">
      <w:pPr>
        <w:adjustRightInd w:val="0"/>
        <w:snapToGrid w:val="0"/>
        <w:spacing w:beforeLines="0" w:afterLines="0" w:line="360" w:lineRule="auto"/>
        <w:ind w:firstLine="562" w:firstLineChars="200"/>
        <w:outlineLvl w:val="0"/>
        <w:rPr>
          <w:rFonts w:hint="eastAsia" w:ascii="宋体" w:hAnsi="宋体" w:eastAsia="宋体" w:cs="宋体"/>
          <w:b/>
          <w:color w:val="auto"/>
          <w:spacing w:val="20"/>
          <w:sz w:val="24"/>
          <w:szCs w:val="24"/>
        </w:rPr>
      </w:pPr>
      <w:bookmarkStart w:id="154" w:name="_Toc351203493"/>
      <w:bookmarkStart w:id="155" w:name="_Toc21769"/>
      <w:bookmarkStart w:id="156" w:name="_Toc24455"/>
      <w:r>
        <w:rPr>
          <w:rFonts w:hint="eastAsia" w:ascii="宋体" w:hAnsi="宋体" w:eastAsia="宋体" w:cs="宋体"/>
          <w:b/>
          <w:color w:val="auto"/>
          <w:spacing w:val="20"/>
          <w:sz w:val="24"/>
          <w:szCs w:val="24"/>
        </w:rPr>
        <w:t>十三、合同份数</w:t>
      </w:r>
      <w:bookmarkEnd w:id="154"/>
      <w:bookmarkEnd w:id="155"/>
      <w:bookmarkEnd w:id="156"/>
    </w:p>
    <w:p w14:paraId="2CEACD10">
      <w:pPr>
        <w:adjustRightInd w:val="0"/>
        <w:snapToGrid w:val="0"/>
        <w:spacing w:beforeLines="0" w:afterLines="0" w:line="360" w:lineRule="auto"/>
        <w:ind w:firstLine="560" w:firstLineChars="200"/>
        <w:rPr>
          <w:rFonts w:hint="eastAsia" w:ascii="宋体" w:hAnsi="宋体" w:eastAsia="宋体" w:cs="宋体"/>
          <w:color w:val="auto"/>
          <w:spacing w:val="20"/>
          <w:sz w:val="24"/>
          <w:szCs w:val="24"/>
        </w:rPr>
      </w:pPr>
      <w:r>
        <w:rPr>
          <w:rFonts w:hint="eastAsia" w:ascii="宋体" w:hAnsi="宋体" w:eastAsia="宋体" w:cs="宋体"/>
          <w:color w:val="auto"/>
          <w:spacing w:val="20"/>
          <w:sz w:val="24"/>
          <w:szCs w:val="24"/>
        </w:rPr>
        <w:t>本合同一式</w:t>
      </w:r>
      <w:r>
        <w:rPr>
          <w:rFonts w:hint="eastAsia" w:ascii="宋体" w:hAnsi="宋体" w:eastAsia="宋体" w:cs="宋体"/>
          <w:color w:val="auto"/>
          <w:spacing w:val="20"/>
          <w:sz w:val="24"/>
          <w:szCs w:val="24"/>
          <w:u w:val="single"/>
        </w:rPr>
        <w:t xml:space="preserve"> 捌 </w:t>
      </w:r>
      <w:r>
        <w:rPr>
          <w:rFonts w:hint="eastAsia" w:ascii="宋体" w:hAnsi="宋体" w:eastAsia="宋体" w:cs="宋体"/>
          <w:color w:val="auto"/>
          <w:spacing w:val="20"/>
          <w:sz w:val="24"/>
          <w:szCs w:val="24"/>
        </w:rPr>
        <w:t>份，均具有同等法律效力，发包人执</w:t>
      </w:r>
      <w:r>
        <w:rPr>
          <w:rFonts w:hint="eastAsia" w:ascii="宋体" w:hAnsi="宋体" w:eastAsia="宋体" w:cs="宋体"/>
          <w:color w:val="auto"/>
          <w:spacing w:val="20"/>
          <w:sz w:val="24"/>
          <w:szCs w:val="24"/>
          <w:u w:val="single"/>
        </w:rPr>
        <w:t xml:space="preserve"> 肆 </w:t>
      </w:r>
      <w:r>
        <w:rPr>
          <w:rFonts w:hint="eastAsia" w:ascii="宋体" w:hAnsi="宋体" w:eastAsia="宋体" w:cs="宋体"/>
          <w:color w:val="auto"/>
          <w:spacing w:val="20"/>
          <w:sz w:val="24"/>
          <w:szCs w:val="24"/>
        </w:rPr>
        <w:t>份，承包人执</w:t>
      </w:r>
      <w:r>
        <w:rPr>
          <w:rFonts w:hint="eastAsia" w:ascii="宋体" w:hAnsi="宋体" w:eastAsia="宋体" w:cs="宋体"/>
          <w:color w:val="auto"/>
          <w:spacing w:val="20"/>
          <w:sz w:val="24"/>
          <w:szCs w:val="24"/>
          <w:u w:val="single"/>
        </w:rPr>
        <w:t xml:space="preserve"> 肆 </w:t>
      </w:r>
      <w:r>
        <w:rPr>
          <w:rFonts w:hint="eastAsia" w:ascii="宋体" w:hAnsi="宋体" w:eastAsia="宋体" w:cs="宋体"/>
          <w:color w:val="auto"/>
          <w:spacing w:val="20"/>
          <w:sz w:val="24"/>
          <w:szCs w:val="24"/>
        </w:rPr>
        <w:t>份。</w:t>
      </w:r>
    </w:p>
    <w:p w14:paraId="5408E5AD">
      <w:pPr>
        <w:adjustRightInd w:val="0"/>
        <w:snapToGrid w:val="0"/>
        <w:spacing w:beforeLines="0" w:afterLines="0" w:line="360" w:lineRule="auto"/>
        <w:rPr>
          <w:rFonts w:hint="eastAsia" w:ascii="宋体" w:hAnsi="宋体" w:eastAsia="宋体" w:cs="宋体"/>
          <w:color w:val="auto"/>
          <w:spacing w:val="20"/>
          <w:sz w:val="24"/>
          <w:szCs w:val="24"/>
        </w:rPr>
      </w:pPr>
    </w:p>
    <w:p w14:paraId="31745541">
      <w:pPr>
        <w:adjustRightInd w:val="0"/>
        <w:snapToGrid w:val="0"/>
        <w:spacing w:beforeLines="0" w:afterLines="0" w:line="420" w:lineRule="exact"/>
        <w:rPr>
          <w:rFonts w:hint="eastAsia" w:ascii="宋体" w:hAnsi="宋体" w:eastAsia="宋体" w:cs="宋体"/>
          <w:color w:val="auto"/>
          <w:spacing w:val="20"/>
          <w:sz w:val="24"/>
          <w:szCs w:val="24"/>
        </w:rPr>
      </w:pPr>
      <w:bookmarkStart w:id="157" w:name="_Toc16007"/>
      <w:bookmarkStart w:id="158" w:name="_Toc21285"/>
      <w:bookmarkStart w:id="159" w:name="_Toc389065256"/>
      <w:bookmarkStart w:id="160" w:name="_Toc425437329"/>
      <w:bookmarkStart w:id="161" w:name="_Toc439779029"/>
      <w:bookmarkStart w:id="162" w:name="_Toc461982824"/>
      <w:bookmarkStart w:id="163" w:name="_Toc351203632"/>
      <w:bookmarkStart w:id="164" w:name="_Toc373227691"/>
      <w:bookmarkStart w:id="165" w:name="_Toc373478338"/>
      <w:r>
        <w:rPr>
          <w:rFonts w:hint="eastAsia" w:ascii="宋体" w:hAnsi="宋体" w:eastAsia="宋体" w:cs="宋体"/>
          <w:color w:val="auto"/>
          <w:spacing w:val="20"/>
          <w:sz w:val="24"/>
          <w:szCs w:val="24"/>
        </w:rPr>
        <w:t>发包人：  （公章）              承包人：  （公章）</w:t>
      </w:r>
    </w:p>
    <w:p w14:paraId="651F6281">
      <w:pPr>
        <w:adjustRightInd w:val="0"/>
        <w:snapToGrid w:val="0"/>
        <w:spacing w:beforeLines="0" w:afterLines="0" w:line="420" w:lineRule="exact"/>
        <w:rPr>
          <w:rFonts w:hint="eastAsia" w:ascii="宋体" w:hAnsi="宋体" w:eastAsia="宋体" w:cs="宋体"/>
          <w:color w:val="auto"/>
          <w:spacing w:val="20"/>
          <w:sz w:val="24"/>
          <w:szCs w:val="24"/>
          <w:u w:val="single"/>
        </w:rPr>
      </w:pPr>
      <w:r>
        <w:rPr>
          <w:rFonts w:hint="eastAsia" w:ascii="宋体" w:hAnsi="宋体" w:eastAsia="宋体" w:cs="宋体"/>
          <w:color w:val="auto"/>
          <w:spacing w:val="20"/>
          <w:sz w:val="24"/>
          <w:szCs w:val="24"/>
        </w:rPr>
        <w:t xml:space="preserve">中国共产党浦北县委员会统一战线工作部                                                                                                </w:t>
      </w:r>
    </w:p>
    <w:p w14:paraId="564C8E72">
      <w:pPr>
        <w:adjustRightInd w:val="0"/>
        <w:snapToGrid w:val="0"/>
        <w:spacing w:beforeLines="0" w:afterLines="0" w:line="420" w:lineRule="exact"/>
        <w:rPr>
          <w:rFonts w:hint="eastAsia" w:ascii="宋体" w:hAnsi="宋体" w:eastAsia="宋体" w:cs="宋体"/>
          <w:color w:val="auto"/>
          <w:spacing w:val="20"/>
          <w:sz w:val="24"/>
          <w:szCs w:val="24"/>
        </w:rPr>
      </w:pPr>
      <w:r>
        <w:rPr>
          <w:rFonts w:hint="eastAsia" w:ascii="宋体" w:hAnsi="宋体" w:eastAsia="宋体" w:cs="宋体"/>
          <w:color w:val="auto"/>
          <w:spacing w:val="20"/>
          <w:sz w:val="24"/>
          <w:szCs w:val="24"/>
        </w:rPr>
        <w:t>法定代表人：                   法定代表人：</w:t>
      </w:r>
    </w:p>
    <w:p w14:paraId="0EB0408D">
      <w:pPr>
        <w:adjustRightInd w:val="0"/>
        <w:snapToGrid w:val="0"/>
        <w:spacing w:beforeLines="0" w:afterLines="0" w:line="420" w:lineRule="exact"/>
        <w:rPr>
          <w:rFonts w:hint="eastAsia" w:ascii="宋体" w:hAnsi="宋体" w:eastAsia="宋体" w:cs="宋体"/>
          <w:color w:val="auto"/>
          <w:spacing w:val="20"/>
          <w:sz w:val="24"/>
          <w:szCs w:val="24"/>
        </w:rPr>
      </w:pPr>
      <w:r>
        <w:rPr>
          <w:rFonts w:hint="eastAsia" w:ascii="宋体" w:hAnsi="宋体" w:eastAsia="宋体" w:cs="宋体"/>
          <w:color w:val="auto"/>
          <w:spacing w:val="20"/>
          <w:sz w:val="24"/>
          <w:szCs w:val="24"/>
        </w:rPr>
        <w:t>或其委托代理人：               或其委托代理人：</w:t>
      </w:r>
    </w:p>
    <w:p w14:paraId="3D03D710">
      <w:pPr>
        <w:adjustRightInd w:val="0"/>
        <w:snapToGrid w:val="0"/>
        <w:spacing w:beforeLines="0" w:afterLines="0" w:line="420" w:lineRule="exact"/>
        <w:rPr>
          <w:rFonts w:hint="eastAsia" w:ascii="宋体" w:hAnsi="宋体" w:eastAsia="宋体" w:cs="宋体"/>
          <w:color w:val="auto"/>
          <w:spacing w:val="20"/>
          <w:sz w:val="24"/>
          <w:szCs w:val="24"/>
        </w:rPr>
      </w:pPr>
      <w:r>
        <w:rPr>
          <w:rFonts w:hint="eastAsia" w:ascii="宋体" w:hAnsi="宋体" w:eastAsia="宋体" w:cs="宋体"/>
          <w:color w:val="auto"/>
          <w:spacing w:val="20"/>
          <w:sz w:val="24"/>
          <w:szCs w:val="24"/>
        </w:rPr>
        <w:t>地址：</w:t>
      </w:r>
      <w:r>
        <w:rPr>
          <w:rFonts w:hint="eastAsia" w:ascii="宋体" w:hAnsi="宋体" w:eastAsia="宋体" w:cs="宋体"/>
          <w:color w:val="auto"/>
          <w:spacing w:val="20"/>
          <w:sz w:val="24"/>
          <w:szCs w:val="24"/>
          <w:u w:val="single"/>
        </w:rPr>
        <w:t xml:space="preserve">              </w:t>
      </w:r>
      <w:r>
        <w:rPr>
          <w:rFonts w:hint="eastAsia" w:ascii="宋体" w:hAnsi="宋体" w:eastAsia="宋体" w:cs="宋体"/>
          <w:color w:val="auto"/>
          <w:spacing w:val="20"/>
          <w:sz w:val="24"/>
          <w:szCs w:val="24"/>
        </w:rPr>
        <w:t xml:space="preserve">          地址：</w:t>
      </w:r>
      <w:r>
        <w:rPr>
          <w:rFonts w:hint="eastAsia" w:ascii="宋体" w:hAnsi="宋体" w:eastAsia="宋体" w:cs="宋体"/>
          <w:color w:val="auto"/>
          <w:sz w:val="24"/>
          <w:szCs w:val="24"/>
          <w:u w:val="single"/>
        </w:rPr>
        <w:t xml:space="preserve">                       </w:t>
      </w:r>
    </w:p>
    <w:p w14:paraId="1A99C8CB">
      <w:pPr>
        <w:adjustRightInd w:val="0"/>
        <w:snapToGrid w:val="0"/>
        <w:spacing w:beforeLines="0" w:afterLines="0" w:line="420" w:lineRule="exact"/>
        <w:rPr>
          <w:rFonts w:hint="eastAsia" w:ascii="宋体" w:hAnsi="宋体" w:eastAsia="宋体" w:cs="宋体"/>
          <w:color w:val="auto"/>
          <w:spacing w:val="20"/>
          <w:sz w:val="24"/>
          <w:szCs w:val="24"/>
        </w:rPr>
      </w:pPr>
      <w:r>
        <w:rPr>
          <w:rFonts w:hint="eastAsia" w:ascii="宋体" w:hAnsi="宋体" w:eastAsia="宋体" w:cs="宋体"/>
          <w:color w:val="auto"/>
          <w:spacing w:val="20"/>
          <w:sz w:val="24"/>
          <w:szCs w:val="24"/>
        </w:rPr>
        <w:t>邮政编码：</w:t>
      </w:r>
      <w:r>
        <w:rPr>
          <w:rFonts w:hint="eastAsia" w:ascii="宋体" w:hAnsi="宋体" w:eastAsia="宋体" w:cs="宋体"/>
          <w:color w:val="auto"/>
          <w:spacing w:val="20"/>
          <w:sz w:val="24"/>
          <w:szCs w:val="24"/>
          <w:u w:val="single"/>
        </w:rPr>
        <w:t xml:space="preserve">           </w:t>
      </w:r>
      <w:r>
        <w:rPr>
          <w:rFonts w:hint="eastAsia" w:ascii="宋体" w:hAnsi="宋体" w:eastAsia="宋体" w:cs="宋体"/>
          <w:color w:val="auto"/>
          <w:spacing w:val="20"/>
          <w:sz w:val="24"/>
          <w:szCs w:val="24"/>
        </w:rPr>
        <w:t xml:space="preserve">          邮政编码：</w:t>
      </w:r>
      <w:r>
        <w:rPr>
          <w:rFonts w:hint="eastAsia" w:ascii="宋体" w:hAnsi="宋体" w:eastAsia="宋体" w:cs="宋体"/>
          <w:color w:val="auto"/>
          <w:spacing w:val="20"/>
          <w:sz w:val="24"/>
          <w:szCs w:val="24"/>
          <w:u w:val="single"/>
        </w:rPr>
        <w:t xml:space="preserve">               </w:t>
      </w:r>
    </w:p>
    <w:p w14:paraId="78787CB5">
      <w:pPr>
        <w:adjustRightInd w:val="0"/>
        <w:snapToGrid w:val="0"/>
        <w:spacing w:beforeLines="0" w:afterLines="0" w:line="420" w:lineRule="exact"/>
        <w:rPr>
          <w:rFonts w:hint="eastAsia" w:ascii="宋体" w:hAnsi="宋体" w:eastAsia="宋体" w:cs="宋体"/>
          <w:color w:val="auto"/>
          <w:spacing w:val="20"/>
          <w:sz w:val="24"/>
          <w:szCs w:val="24"/>
        </w:rPr>
      </w:pPr>
      <w:r>
        <w:rPr>
          <w:rFonts w:hint="eastAsia" w:ascii="宋体" w:hAnsi="宋体" w:eastAsia="宋体" w:cs="宋体"/>
          <w:color w:val="auto"/>
          <w:spacing w:val="20"/>
          <w:sz w:val="24"/>
          <w:szCs w:val="24"/>
        </w:rPr>
        <w:t>电话（传真）：</w:t>
      </w:r>
      <w:r>
        <w:rPr>
          <w:rFonts w:hint="eastAsia" w:ascii="宋体" w:hAnsi="宋体" w:eastAsia="宋体" w:cs="宋体"/>
          <w:color w:val="auto"/>
          <w:spacing w:val="20"/>
          <w:sz w:val="24"/>
          <w:szCs w:val="24"/>
          <w:u w:val="single"/>
        </w:rPr>
        <w:t xml:space="preserve">          </w:t>
      </w:r>
      <w:r>
        <w:rPr>
          <w:rFonts w:hint="eastAsia" w:ascii="宋体" w:hAnsi="宋体" w:eastAsia="宋体" w:cs="宋体"/>
          <w:color w:val="auto"/>
          <w:spacing w:val="20"/>
          <w:sz w:val="24"/>
          <w:szCs w:val="24"/>
        </w:rPr>
        <w:t xml:space="preserve">       电话（传真）：</w:t>
      </w:r>
      <w:r>
        <w:rPr>
          <w:rFonts w:hint="eastAsia" w:ascii="宋体" w:hAnsi="宋体" w:eastAsia="宋体" w:cs="宋体"/>
          <w:color w:val="auto"/>
          <w:spacing w:val="20"/>
          <w:sz w:val="24"/>
          <w:szCs w:val="24"/>
          <w:u w:val="single"/>
        </w:rPr>
        <w:t xml:space="preserve">             </w:t>
      </w:r>
    </w:p>
    <w:p w14:paraId="63236908">
      <w:pPr>
        <w:adjustRightInd w:val="0"/>
        <w:snapToGrid w:val="0"/>
        <w:spacing w:beforeLines="0" w:afterLines="0" w:line="420" w:lineRule="exact"/>
        <w:rPr>
          <w:rFonts w:hint="eastAsia" w:ascii="宋体" w:hAnsi="宋体" w:eastAsia="宋体" w:cs="宋体"/>
          <w:color w:val="auto"/>
          <w:spacing w:val="20"/>
          <w:sz w:val="24"/>
          <w:szCs w:val="24"/>
        </w:rPr>
      </w:pPr>
      <w:r>
        <w:rPr>
          <w:rFonts w:hint="eastAsia" w:ascii="宋体" w:hAnsi="宋体" w:eastAsia="宋体" w:cs="宋体"/>
          <w:color w:val="auto"/>
          <w:spacing w:val="20"/>
          <w:sz w:val="24"/>
          <w:szCs w:val="24"/>
        </w:rPr>
        <w:t>开户银行：</w:t>
      </w:r>
      <w:r>
        <w:rPr>
          <w:rFonts w:hint="eastAsia" w:ascii="宋体" w:hAnsi="宋体" w:eastAsia="宋体" w:cs="宋体"/>
          <w:color w:val="auto"/>
          <w:spacing w:val="20"/>
          <w:sz w:val="24"/>
          <w:szCs w:val="24"/>
          <w:u w:val="single"/>
        </w:rPr>
        <w:t xml:space="preserve">              </w:t>
      </w:r>
      <w:r>
        <w:rPr>
          <w:rFonts w:hint="eastAsia" w:ascii="宋体" w:hAnsi="宋体" w:eastAsia="宋体" w:cs="宋体"/>
          <w:color w:val="auto"/>
          <w:spacing w:val="20"/>
          <w:sz w:val="24"/>
          <w:szCs w:val="24"/>
        </w:rPr>
        <w:t xml:space="preserve">      开户银行：</w:t>
      </w:r>
      <w:r>
        <w:rPr>
          <w:rFonts w:hint="eastAsia" w:ascii="宋体" w:hAnsi="宋体" w:eastAsia="宋体" w:cs="宋体"/>
          <w:color w:val="auto"/>
          <w:sz w:val="24"/>
          <w:szCs w:val="24"/>
          <w:u w:val="single"/>
        </w:rPr>
        <w:t xml:space="preserve">                      </w:t>
      </w:r>
    </w:p>
    <w:p w14:paraId="4F1F0009">
      <w:pPr>
        <w:adjustRightInd w:val="0"/>
        <w:snapToGrid w:val="0"/>
        <w:spacing w:beforeLines="0" w:afterLines="0" w:line="420" w:lineRule="exact"/>
        <w:rPr>
          <w:rFonts w:hint="eastAsia" w:ascii="宋体" w:hAnsi="宋体" w:eastAsia="宋体" w:cs="宋体"/>
          <w:color w:val="auto"/>
          <w:spacing w:val="20"/>
          <w:sz w:val="24"/>
          <w:szCs w:val="24"/>
          <w:u w:val="single"/>
        </w:rPr>
      </w:pPr>
      <w:r>
        <w:rPr>
          <w:rFonts w:hint="eastAsia" w:ascii="宋体" w:hAnsi="宋体" w:eastAsia="宋体" w:cs="宋体"/>
          <w:color w:val="auto"/>
          <w:spacing w:val="20"/>
          <w:sz w:val="24"/>
          <w:szCs w:val="24"/>
        </w:rPr>
        <w:t>账 号：</w:t>
      </w:r>
      <w:r>
        <w:rPr>
          <w:rFonts w:hint="eastAsia" w:ascii="宋体" w:hAnsi="宋体" w:eastAsia="宋体" w:cs="宋体"/>
          <w:color w:val="auto"/>
          <w:spacing w:val="20"/>
          <w:sz w:val="24"/>
          <w:szCs w:val="24"/>
          <w:u w:val="single"/>
        </w:rPr>
        <w:t xml:space="preserve">               </w:t>
      </w:r>
      <w:r>
        <w:rPr>
          <w:rFonts w:hint="eastAsia" w:ascii="宋体" w:hAnsi="宋体" w:eastAsia="宋体" w:cs="宋体"/>
          <w:color w:val="auto"/>
          <w:spacing w:val="20"/>
          <w:sz w:val="24"/>
          <w:szCs w:val="24"/>
        </w:rPr>
        <w:t xml:space="preserve">        账 号：</w:t>
      </w:r>
      <w:r>
        <w:rPr>
          <w:rFonts w:hint="eastAsia" w:ascii="宋体" w:hAnsi="宋体" w:eastAsia="宋体" w:cs="宋体"/>
          <w:color w:val="auto"/>
          <w:sz w:val="24"/>
          <w:szCs w:val="24"/>
          <w:u w:val="single"/>
        </w:rPr>
        <w:t xml:space="preserve">                     </w:t>
      </w:r>
      <w:r>
        <w:rPr>
          <w:rFonts w:hint="eastAsia" w:ascii="宋体" w:hAnsi="宋体" w:eastAsia="宋体" w:cs="宋体"/>
          <w:color w:val="auto"/>
          <w:spacing w:val="20"/>
          <w:sz w:val="21"/>
          <w:szCs w:val="21"/>
          <w:u w:val="single"/>
        </w:rPr>
        <w:t xml:space="preserve"> </w:t>
      </w:r>
      <w:r>
        <w:rPr>
          <w:rFonts w:hint="eastAsia" w:ascii="宋体" w:hAnsi="宋体" w:eastAsia="宋体" w:cs="宋体"/>
          <w:color w:val="auto"/>
          <w:spacing w:val="20"/>
          <w:sz w:val="24"/>
          <w:szCs w:val="24"/>
          <w:u w:val="single"/>
        </w:rPr>
        <w:t xml:space="preserve"> </w:t>
      </w:r>
    </w:p>
    <w:p w14:paraId="7AB9E82E">
      <w:pPr>
        <w:pStyle w:val="4"/>
        <w:keepNext w:val="0"/>
        <w:keepLines w:val="0"/>
        <w:spacing w:beforeLines="0" w:afterLines="0" w:line="312" w:lineRule="auto"/>
        <w:jc w:val="center"/>
        <w:rPr>
          <w:rFonts w:hint="eastAsia" w:ascii="宋体" w:hAnsi="宋体" w:eastAsia="宋体" w:cs="宋体"/>
          <w:color w:val="auto"/>
          <w:spacing w:val="20"/>
          <w:sz w:val="28"/>
          <w:szCs w:val="32"/>
        </w:rPr>
      </w:pPr>
    </w:p>
    <w:p w14:paraId="7559531C">
      <w:pPr>
        <w:spacing w:beforeLines="0" w:afterLines="0"/>
        <w:rPr>
          <w:rFonts w:hint="eastAsia" w:ascii="宋体" w:hAnsi="宋体" w:eastAsia="宋体" w:cs="宋体"/>
          <w:color w:val="auto"/>
          <w:spacing w:val="20"/>
          <w:sz w:val="21"/>
          <w:szCs w:val="32"/>
        </w:rPr>
      </w:pPr>
    </w:p>
    <w:p w14:paraId="148FDF8E">
      <w:pPr>
        <w:spacing w:beforeLines="0" w:afterLines="0"/>
        <w:rPr>
          <w:rFonts w:hint="eastAsia" w:ascii="宋体" w:hAnsi="宋体" w:eastAsia="宋体" w:cs="宋体"/>
          <w:color w:val="auto"/>
          <w:spacing w:val="20"/>
          <w:sz w:val="21"/>
          <w:szCs w:val="32"/>
        </w:rPr>
      </w:pPr>
    </w:p>
    <w:p w14:paraId="70E4C478">
      <w:pPr>
        <w:spacing w:beforeLines="0" w:afterLines="0"/>
        <w:rPr>
          <w:rFonts w:hint="eastAsia" w:ascii="宋体" w:hAnsi="宋体" w:eastAsia="宋体" w:cs="宋体"/>
          <w:color w:val="auto"/>
          <w:spacing w:val="20"/>
          <w:sz w:val="21"/>
          <w:szCs w:val="32"/>
        </w:rPr>
      </w:pPr>
    </w:p>
    <w:p w14:paraId="5B7E1F2A">
      <w:pPr>
        <w:spacing w:beforeLines="0" w:afterLines="0"/>
        <w:rPr>
          <w:rFonts w:hint="eastAsia" w:ascii="宋体" w:hAnsi="宋体" w:eastAsia="宋体" w:cs="宋体"/>
          <w:color w:val="auto"/>
          <w:spacing w:val="20"/>
          <w:sz w:val="21"/>
          <w:szCs w:val="32"/>
        </w:rPr>
      </w:pPr>
    </w:p>
    <w:p w14:paraId="7D34A4A6">
      <w:pPr>
        <w:spacing w:beforeLines="0" w:afterLines="0"/>
        <w:rPr>
          <w:rFonts w:hint="eastAsia" w:ascii="宋体" w:hAnsi="宋体" w:eastAsia="宋体" w:cs="宋体"/>
          <w:color w:val="auto"/>
          <w:spacing w:val="20"/>
          <w:sz w:val="21"/>
          <w:szCs w:val="32"/>
        </w:rPr>
      </w:pPr>
    </w:p>
    <w:p w14:paraId="18AE3F2A">
      <w:pPr>
        <w:pStyle w:val="4"/>
        <w:keepNext w:val="0"/>
        <w:keepLines w:val="0"/>
        <w:spacing w:beforeLines="0" w:afterLines="0" w:line="312" w:lineRule="auto"/>
        <w:jc w:val="center"/>
        <w:rPr>
          <w:rFonts w:hint="eastAsia" w:ascii="宋体" w:hAnsi="宋体" w:eastAsia="宋体" w:cs="宋体"/>
          <w:color w:val="auto"/>
          <w:spacing w:val="20"/>
          <w:sz w:val="28"/>
          <w:szCs w:val="32"/>
        </w:rPr>
        <w:sectPr>
          <w:headerReference r:id="rId9" w:type="default"/>
          <w:footerReference r:id="rId10" w:type="default"/>
          <w:pgSz w:w="11906" w:h="16838"/>
          <w:pgMar w:top="1440" w:right="1080" w:bottom="1440" w:left="1080" w:header="567" w:footer="567" w:gutter="567"/>
          <w:lnNumType w:countBy="0" w:distance="360"/>
          <w:pgNumType w:fmt="decimal"/>
          <w:cols w:space="720" w:num="1"/>
          <w:docGrid w:type="lines" w:linePitch="312" w:charSpace="0"/>
        </w:sectPr>
      </w:pPr>
    </w:p>
    <w:p w14:paraId="58295371">
      <w:pPr>
        <w:pStyle w:val="4"/>
        <w:keepNext w:val="0"/>
        <w:keepLines w:val="0"/>
        <w:spacing w:beforeLines="0" w:afterLines="0" w:line="312" w:lineRule="auto"/>
        <w:jc w:val="center"/>
        <w:rPr>
          <w:rFonts w:hint="eastAsia" w:ascii="宋体" w:hAnsi="宋体" w:eastAsia="宋体" w:cs="宋体"/>
          <w:color w:val="auto"/>
          <w:spacing w:val="20"/>
          <w:sz w:val="28"/>
          <w:szCs w:val="32"/>
        </w:rPr>
      </w:pPr>
      <w:bookmarkStart w:id="166" w:name="_Toc27790"/>
      <w:bookmarkStart w:id="167" w:name="_Toc12756"/>
      <w:r>
        <w:rPr>
          <w:rFonts w:hint="eastAsia" w:ascii="宋体" w:hAnsi="宋体" w:eastAsia="宋体" w:cs="宋体"/>
          <w:color w:val="auto"/>
          <w:spacing w:val="20"/>
          <w:sz w:val="28"/>
          <w:szCs w:val="32"/>
        </w:rPr>
        <w:t>第二部分 通用合同条款</w:t>
      </w:r>
      <w:bookmarkEnd w:id="157"/>
      <w:bookmarkEnd w:id="158"/>
      <w:bookmarkEnd w:id="159"/>
      <w:bookmarkEnd w:id="160"/>
      <w:bookmarkEnd w:id="161"/>
      <w:bookmarkEnd w:id="162"/>
      <w:bookmarkEnd w:id="166"/>
      <w:bookmarkEnd w:id="167"/>
    </w:p>
    <w:p w14:paraId="5E332356">
      <w:pPr>
        <w:pStyle w:val="7"/>
        <w:spacing w:before="120" w:beforeLines="0" w:after="120" w:afterLines="0" w:line="312" w:lineRule="auto"/>
        <w:rPr>
          <w:rFonts w:hint="eastAsia" w:ascii="宋体" w:hAnsi="宋体" w:eastAsia="宋体" w:cs="宋体"/>
          <w:b w:val="0"/>
          <w:color w:val="auto"/>
          <w:sz w:val="24"/>
          <w:szCs w:val="24"/>
        </w:rPr>
      </w:pPr>
      <w:bookmarkStart w:id="168" w:name="_Toc351203495"/>
      <w:bookmarkStart w:id="169" w:name="_Toc461982825"/>
      <w:bookmarkStart w:id="170" w:name="_Toc1320"/>
      <w:bookmarkStart w:id="171" w:name="_Toc439779030"/>
      <w:bookmarkStart w:id="172" w:name="_Toc425437330"/>
      <w:bookmarkStart w:id="173" w:name="_Toc25546"/>
      <w:bookmarkStart w:id="174" w:name="_Toc389065257"/>
      <w:r>
        <w:rPr>
          <w:rFonts w:hint="eastAsia" w:ascii="宋体" w:hAnsi="宋体" w:eastAsia="宋体" w:cs="宋体"/>
          <w:b w:val="0"/>
          <w:color w:val="auto"/>
          <w:sz w:val="24"/>
          <w:szCs w:val="24"/>
        </w:rPr>
        <w:t>1.</w:t>
      </w:r>
      <w:bookmarkStart w:id="175" w:name="_Toc303538974"/>
      <w:bookmarkEnd w:id="175"/>
      <w:bookmarkStart w:id="176" w:name="_Toc303538975"/>
      <w:bookmarkEnd w:id="176"/>
      <w:bookmarkStart w:id="177" w:name="_Toc303538976"/>
      <w:bookmarkEnd w:id="177"/>
      <w:bookmarkStart w:id="178" w:name="_Toc303538972"/>
      <w:bookmarkEnd w:id="178"/>
      <w:bookmarkStart w:id="179" w:name="_Toc303538973"/>
      <w:bookmarkEnd w:id="179"/>
      <w:bookmarkStart w:id="180" w:name="_Toc296346528"/>
      <w:bookmarkStart w:id="181" w:name="_Toc296503027"/>
      <w:r>
        <w:rPr>
          <w:rFonts w:hint="eastAsia" w:ascii="宋体" w:hAnsi="宋体" w:eastAsia="宋体" w:cs="宋体"/>
          <w:b w:val="0"/>
          <w:color w:val="auto"/>
          <w:sz w:val="24"/>
          <w:szCs w:val="24"/>
        </w:rPr>
        <w:t xml:space="preserve"> 一般约定</w:t>
      </w:r>
      <w:bookmarkEnd w:id="168"/>
      <w:bookmarkEnd w:id="180"/>
      <w:bookmarkEnd w:id="181"/>
    </w:p>
    <w:p w14:paraId="3ED3A279">
      <w:pPr>
        <w:pStyle w:val="8"/>
        <w:spacing w:before="120" w:beforeLines="0" w:after="120" w:afterLines="0" w:line="312" w:lineRule="auto"/>
        <w:ind w:firstLine="480" w:firstLineChars="200"/>
        <w:rPr>
          <w:rFonts w:hint="eastAsia" w:ascii="宋体" w:hAnsi="宋体" w:eastAsia="宋体" w:cs="宋体"/>
          <w:b w:val="0"/>
          <w:color w:val="auto"/>
          <w:sz w:val="24"/>
          <w:szCs w:val="24"/>
        </w:rPr>
      </w:pPr>
      <w:bookmarkStart w:id="182" w:name="_Toc337558728"/>
      <w:bookmarkStart w:id="183" w:name="_Toc296503028"/>
      <w:bookmarkStart w:id="184" w:name="_Toc296346529"/>
      <w:bookmarkStart w:id="185" w:name="_Toc351203496"/>
      <w:r>
        <w:rPr>
          <w:rFonts w:hint="eastAsia" w:ascii="宋体" w:hAnsi="宋体" w:eastAsia="宋体" w:cs="宋体"/>
          <w:b w:val="0"/>
          <w:color w:val="auto"/>
          <w:sz w:val="24"/>
          <w:szCs w:val="24"/>
        </w:rPr>
        <w:t>1.1词语定义</w:t>
      </w:r>
      <w:bookmarkEnd w:id="182"/>
      <w:bookmarkEnd w:id="183"/>
      <w:bookmarkEnd w:id="184"/>
      <w:r>
        <w:rPr>
          <w:rFonts w:hint="eastAsia" w:ascii="宋体" w:hAnsi="宋体" w:eastAsia="宋体" w:cs="宋体"/>
          <w:b w:val="0"/>
          <w:color w:val="auto"/>
          <w:sz w:val="24"/>
          <w:szCs w:val="24"/>
        </w:rPr>
        <w:t>与解释</w:t>
      </w:r>
      <w:bookmarkEnd w:id="185"/>
    </w:p>
    <w:p w14:paraId="51362F52">
      <w:pPr>
        <w:autoSpaceDE w:val="0"/>
        <w:autoSpaceDN w:val="0"/>
        <w:adjustRightInd w:val="0"/>
        <w:spacing w:beforeLines="0" w:afterLines="0" w:line="312" w:lineRule="auto"/>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合同协议书、通用合同条款、专用合同条款中的下列词语具有本款所赋予的含义：</w:t>
      </w:r>
    </w:p>
    <w:p w14:paraId="17E65632">
      <w:pPr>
        <w:autoSpaceDE w:val="0"/>
        <w:autoSpaceDN w:val="0"/>
        <w:adjustRightInd w:val="0"/>
        <w:spacing w:beforeLines="0" w:afterLines="0" w:line="312" w:lineRule="auto"/>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 xml:space="preserve">    1.1.1 合同</w:t>
      </w:r>
    </w:p>
    <w:p w14:paraId="2A6CE6C5">
      <w:pPr>
        <w:autoSpaceDE w:val="0"/>
        <w:autoSpaceDN w:val="0"/>
        <w:adjustRightInd w:val="0"/>
        <w:spacing w:beforeLines="0" w:afterLines="0" w:line="312" w:lineRule="auto"/>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1.1.1.1 合同：是指根据法律规定和合同当事人约定具有约束力的文件，构成合同的文件包括合同协议书、中标通知书（如果有）、投标函及其附录（如果有）、专用合同条款</w:t>
      </w:r>
      <w:r>
        <w:rPr>
          <w:rFonts w:hint="eastAsia" w:ascii="宋体" w:hAnsi="宋体" w:eastAsia="宋体" w:cs="宋体"/>
          <w:color w:val="auto"/>
          <w:sz w:val="24"/>
          <w:szCs w:val="24"/>
        </w:rPr>
        <w:t>及其附件</w:t>
      </w:r>
      <w:r>
        <w:rPr>
          <w:rFonts w:hint="eastAsia" w:ascii="宋体" w:hAnsi="宋体" w:eastAsia="宋体" w:cs="宋体"/>
          <w:color w:val="auto"/>
          <w:kern w:val="0"/>
          <w:sz w:val="24"/>
          <w:szCs w:val="24"/>
        </w:rPr>
        <w:t>、通用合同条款、技术标准和要求、图纸、已标价工程量清单或预算书以及其他合同文件。</w:t>
      </w:r>
    </w:p>
    <w:p w14:paraId="07E010D4">
      <w:pPr>
        <w:autoSpaceDE w:val="0"/>
        <w:autoSpaceDN w:val="0"/>
        <w:adjustRightInd w:val="0"/>
        <w:spacing w:beforeLines="0" w:afterLines="0" w:line="312" w:lineRule="auto"/>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1.1.1.2 合同协议书：是指构成合同的由发包人和承包人共同签署的称为“合同协议书”的书面文件。</w:t>
      </w:r>
    </w:p>
    <w:p w14:paraId="6CD011F8">
      <w:pPr>
        <w:autoSpaceDE w:val="0"/>
        <w:autoSpaceDN w:val="0"/>
        <w:adjustRightInd w:val="0"/>
        <w:spacing w:beforeLines="0" w:afterLines="0" w:line="312" w:lineRule="auto"/>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1.1.1.3 中标通知书：是指构成合同的由发包人通知承包人中标的书面文件。</w:t>
      </w:r>
    </w:p>
    <w:p w14:paraId="2B9BA633">
      <w:pPr>
        <w:autoSpaceDE w:val="0"/>
        <w:autoSpaceDN w:val="0"/>
        <w:adjustRightInd w:val="0"/>
        <w:spacing w:beforeLines="0" w:afterLines="0" w:line="312" w:lineRule="auto"/>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1.1.1.4 投标函：是指构成合同的由承包人填写并签署的用于投标的称为“投标函”的文件。</w:t>
      </w:r>
    </w:p>
    <w:p w14:paraId="14BCFBE3">
      <w:pPr>
        <w:autoSpaceDE w:val="0"/>
        <w:autoSpaceDN w:val="0"/>
        <w:adjustRightInd w:val="0"/>
        <w:spacing w:beforeLines="0" w:afterLines="0" w:line="312" w:lineRule="auto"/>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1.1.1.5 投标函附录：是指构成合同的附在投标函后的称为“投标函附录”的文件。</w:t>
      </w:r>
    </w:p>
    <w:p w14:paraId="3177D00E">
      <w:pPr>
        <w:autoSpaceDE w:val="0"/>
        <w:autoSpaceDN w:val="0"/>
        <w:adjustRightInd w:val="0"/>
        <w:spacing w:beforeLines="0" w:afterLines="0" w:line="312" w:lineRule="auto"/>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1.1.1.6 技术标准和要求：是指构成合同的施工应当遵守的或指导施工的国家、行业或地方的技术标准和要求，以及合同约定的技术标准和要求。</w:t>
      </w:r>
    </w:p>
    <w:p w14:paraId="5528EC3D">
      <w:pPr>
        <w:spacing w:beforeLines="0" w:afterLines="0" w:line="312" w:lineRule="auto"/>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1.1.1.7 图纸：是指构成合同的图纸，包括由发包人按照合同约定提供或经发包人批准的设计文件、施工图、鸟瞰图及模型等，以及在合同履行过程中形成的图纸文件。图纸应当按照法律规定审查合格。</w:t>
      </w:r>
    </w:p>
    <w:p w14:paraId="2DDA76BA">
      <w:pPr>
        <w:autoSpaceDE w:val="0"/>
        <w:autoSpaceDN w:val="0"/>
        <w:adjustRightInd w:val="0"/>
        <w:spacing w:beforeLines="0" w:afterLines="0" w:line="312" w:lineRule="auto"/>
        <w:ind w:firstLine="468" w:firstLineChars="195"/>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1.1.1.8 已标价工程量清单：是指构成合同的由承包人按照规定的格式和要求填写并标明价格的工程量清单，包括说明和表格。</w:t>
      </w:r>
    </w:p>
    <w:p w14:paraId="108C4C46">
      <w:pPr>
        <w:autoSpaceDE w:val="0"/>
        <w:autoSpaceDN w:val="0"/>
        <w:adjustRightInd w:val="0"/>
        <w:spacing w:beforeLines="0" w:afterLines="0" w:line="312" w:lineRule="auto"/>
        <w:ind w:firstLine="468" w:firstLineChars="195"/>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1.1.1.9 预算书：是指构成合同的由承包人按照发包人规定的格式和要求编制的工程预算文件。</w:t>
      </w:r>
    </w:p>
    <w:p w14:paraId="6AF50786">
      <w:pPr>
        <w:autoSpaceDE w:val="0"/>
        <w:autoSpaceDN w:val="0"/>
        <w:adjustRightInd w:val="0"/>
        <w:spacing w:beforeLines="0" w:afterLines="0" w:line="312" w:lineRule="auto"/>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1.1.1.10 其他合同文件：是指经合同当事人约定的与工程施工有关的具有合同约束力的文件或书面协议。合同当事人可以在专用合同条款中进行约定。</w:t>
      </w:r>
    </w:p>
    <w:p w14:paraId="5E146043">
      <w:pPr>
        <w:autoSpaceDE w:val="0"/>
        <w:autoSpaceDN w:val="0"/>
        <w:adjustRightInd w:val="0"/>
        <w:spacing w:beforeLines="0" w:afterLines="0" w:line="312" w:lineRule="auto"/>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 xml:space="preserve">    1.1.2 合同当事人及其他相关方</w:t>
      </w:r>
    </w:p>
    <w:p w14:paraId="5B99F1B2">
      <w:pPr>
        <w:autoSpaceDE w:val="0"/>
        <w:autoSpaceDN w:val="0"/>
        <w:adjustRightInd w:val="0"/>
        <w:spacing w:beforeLines="0" w:afterLines="0" w:line="312" w:lineRule="auto"/>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1.1.2.1 合同当事人：是指发包人和（或）承包人。</w:t>
      </w:r>
    </w:p>
    <w:p w14:paraId="4FB844A0">
      <w:pPr>
        <w:autoSpaceDE w:val="0"/>
        <w:autoSpaceDN w:val="0"/>
        <w:adjustRightInd w:val="0"/>
        <w:spacing w:beforeLines="0" w:afterLines="0" w:line="312" w:lineRule="auto"/>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1.1.2.2 发包人：是指与承包人签订合同协议书的当事人及取得该当事人资格的合法继承人。</w:t>
      </w:r>
    </w:p>
    <w:p w14:paraId="18CD0585">
      <w:pPr>
        <w:autoSpaceDE w:val="0"/>
        <w:autoSpaceDN w:val="0"/>
        <w:adjustRightInd w:val="0"/>
        <w:spacing w:beforeLines="0" w:afterLines="0" w:line="312" w:lineRule="auto"/>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1.1.2.3 承包人：是指与发包人签订合同协议书的，具有相应工程施工承包资质的当事人及取得该当事人资格的合法继承人。</w:t>
      </w:r>
    </w:p>
    <w:p w14:paraId="05019D89">
      <w:pPr>
        <w:autoSpaceDE w:val="0"/>
        <w:autoSpaceDN w:val="0"/>
        <w:adjustRightInd w:val="0"/>
        <w:spacing w:beforeLines="0" w:afterLines="0" w:line="312" w:lineRule="auto"/>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1.1.2.4 监理人：是指在专用合同条款中指明的，受发包人委托按照法律规定进行工程监督管理的法人或其他组织。</w:t>
      </w:r>
    </w:p>
    <w:p w14:paraId="4A8791FB">
      <w:pPr>
        <w:autoSpaceDE w:val="0"/>
        <w:autoSpaceDN w:val="0"/>
        <w:adjustRightInd w:val="0"/>
        <w:spacing w:beforeLines="0" w:afterLines="0" w:line="312" w:lineRule="auto"/>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1.1.2.5 设计人：是指在专用合同条款中指明的，受发包人委托负责工程设计并具备相应工程设计资质的法人或其他组织。</w:t>
      </w:r>
    </w:p>
    <w:p w14:paraId="5826192B">
      <w:pPr>
        <w:spacing w:beforeLines="0" w:afterLines="0" w:line="312" w:lineRule="auto"/>
        <w:ind w:firstLine="468" w:firstLineChars="195"/>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1.1.2.6 分包人：</w:t>
      </w:r>
      <w:bookmarkStart w:id="186" w:name="#go5"/>
      <w:bookmarkEnd w:id="186"/>
      <w:r>
        <w:rPr>
          <w:rFonts w:hint="eastAsia" w:ascii="宋体" w:hAnsi="宋体" w:eastAsia="宋体" w:cs="宋体"/>
          <w:color w:val="auto"/>
          <w:kern w:val="0"/>
          <w:sz w:val="24"/>
          <w:szCs w:val="24"/>
        </w:rPr>
        <w:t>是指按照法律规定和合同约定，分包部分工程或工作，并与承包人签订分包合同的具有相应资质的法人。</w:t>
      </w:r>
    </w:p>
    <w:p w14:paraId="44CFB5B7">
      <w:pPr>
        <w:autoSpaceDE w:val="0"/>
        <w:autoSpaceDN w:val="0"/>
        <w:adjustRightInd w:val="0"/>
        <w:spacing w:beforeLines="0" w:afterLines="0" w:line="312" w:lineRule="auto"/>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1.1.2.7 发包人代表：是指由发包人任命并派驻施工现场在发包人授权范围内行使发包人权利的人。</w:t>
      </w:r>
    </w:p>
    <w:p w14:paraId="0DB08A2C">
      <w:pPr>
        <w:autoSpaceDE w:val="0"/>
        <w:autoSpaceDN w:val="0"/>
        <w:adjustRightInd w:val="0"/>
        <w:spacing w:beforeLines="0" w:afterLines="0" w:line="312" w:lineRule="auto"/>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1.1.2.8 项目经理：是指由承包人任命并派驻施工现场，在承包人授权范围内负责合同履行，且按照法律规定具有相应资格的项目负责人。</w:t>
      </w:r>
    </w:p>
    <w:p w14:paraId="027FC1E8">
      <w:pPr>
        <w:spacing w:beforeLines="0" w:afterLines="0" w:line="312" w:lineRule="auto"/>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1.1.2.9 总监理工程师：是指由监理人任命并派驻施工现场进行工程监理的总负责人。</w:t>
      </w:r>
    </w:p>
    <w:p w14:paraId="112B9439">
      <w:pPr>
        <w:spacing w:beforeLines="0" w:afterLines="0" w:line="312" w:lineRule="auto"/>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1.1.3 工程和设备</w:t>
      </w:r>
    </w:p>
    <w:p w14:paraId="02BDA5C1">
      <w:pPr>
        <w:spacing w:beforeLines="0" w:afterLines="0" w:line="312" w:lineRule="auto"/>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1.1.3.1 工程：是指与合同协议书中工程承包范围对应的永久工程和（或）临时工程。</w:t>
      </w:r>
    </w:p>
    <w:p w14:paraId="127D4787">
      <w:pPr>
        <w:spacing w:beforeLines="0" w:afterLines="0" w:line="312" w:lineRule="auto"/>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1.1.3.2 永久工程：是指按合同约定建造并移交给发包人的工程，包括工程设备。</w:t>
      </w:r>
    </w:p>
    <w:p w14:paraId="51873DFA">
      <w:pPr>
        <w:spacing w:beforeLines="0" w:afterLines="0" w:line="312" w:lineRule="auto"/>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1.1.3.3 临时工程：是指为完成合同约定的永久工程所修建的各类临时性工程，不包括施工设备。</w:t>
      </w:r>
    </w:p>
    <w:p w14:paraId="7630A288">
      <w:pPr>
        <w:spacing w:beforeLines="0" w:afterLines="0" w:line="312" w:lineRule="auto"/>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1.1.3.4 单位工程：是指在合同协议书中指明的，具备独立施工条件并能形成独立使用功能的永久工程。</w:t>
      </w:r>
    </w:p>
    <w:p w14:paraId="5572E1AD">
      <w:pPr>
        <w:spacing w:beforeLines="0" w:afterLines="0" w:line="312" w:lineRule="auto"/>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1.1.3.5 工程设备：是指构成永久工程的机电设备、金属结构设备、仪器及其他类似的设备和装置。</w:t>
      </w:r>
    </w:p>
    <w:p w14:paraId="13640106">
      <w:pPr>
        <w:spacing w:beforeLines="0" w:afterLines="0" w:line="312" w:lineRule="auto"/>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1.1.3.6 施工设备：是指为完成合同约定的各项工作所需的设备、器具和其他物品，但不包括工程设备、临时工程和材料。</w:t>
      </w:r>
    </w:p>
    <w:p w14:paraId="7BF71F86">
      <w:pPr>
        <w:spacing w:beforeLines="0" w:afterLines="0" w:line="312" w:lineRule="auto"/>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1.1.3.7 施工现场：是指用于工程施工的场所，以及在专用合同条款中指明作为施工场所组成部分的其他场所，包括永久占地和临时占地。</w:t>
      </w:r>
    </w:p>
    <w:p w14:paraId="6917B22F">
      <w:pPr>
        <w:spacing w:beforeLines="0" w:afterLines="0" w:line="312" w:lineRule="auto"/>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1.1.3.8临时设施：是指为完成合同约定的各项工作所服务的临时性生产和生活设施。</w:t>
      </w:r>
    </w:p>
    <w:p w14:paraId="2FFB61B6">
      <w:pPr>
        <w:spacing w:beforeLines="0" w:afterLines="0" w:line="312" w:lineRule="auto"/>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1.1.3.9 永久占地：是指专用合同条款中指明为实施工程需永久占用的土地。</w:t>
      </w:r>
    </w:p>
    <w:p w14:paraId="7E726686">
      <w:pPr>
        <w:spacing w:beforeLines="0" w:afterLines="0" w:line="312" w:lineRule="auto"/>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1.1.3.10 临时占地：是指专用合同条款中指明为实施工程需要临时占用的土地。</w:t>
      </w:r>
    </w:p>
    <w:p w14:paraId="3BA9BE16">
      <w:pPr>
        <w:spacing w:beforeLines="0" w:afterLines="0" w:line="312" w:lineRule="auto"/>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1.1.4 日期和期限</w:t>
      </w:r>
    </w:p>
    <w:p w14:paraId="5AF90476">
      <w:pPr>
        <w:spacing w:beforeLines="0" w:afterLines="0" w:line="312" w:lineRule="auto"/>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1.1.4.1 开工日期：包括计划开工日期和实际开工日期。计划开工日期是指合同协议书约定的开工日期；实际开工日期是指监理人按照第7.3.2项〔开工通知〕约定发出的符合法律规定的开工通知中载明的开工日期。</w:t>
      </w:r>
    </w:p>
    <w:p w14:paraId="36ACC986">
      <w:pPr>
        <w:spacing w:beforeLines="0" w:afterLines="0" w:line="312" w:lineRule="auto"/>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 xml:space="preserve">1.1.4.2 竣工日期：包括计划竣工日期和实际竣工日期。计划竣工日期是指合同协议书约定的竣工日期；实际竣工日期按照第13.2.3项〔竣工日期〕的约定确定。 </w:t>
      </w:r>
    </w:p>
    <w:p w14:paraId="77ADCC44">
      <w:pPr>
        <w:spacing w:beforeLines="0" w:afterLines="0" w:line="312" w:lineRule="auto"/>
        <w:ind w:firstLine="487" w:firstLineChars="203"/>
        <w:rPr>
          <w:rFonts w:hint="eastAsia" w:ascii="宋体" w:hAnsi="宋体" w:eastAsia="宋体" w:cs="宋体"/>
          <w:color w:val="auto"/>
          <w:sz w:val="24"/>
          <w:szCs w:val="24"/>
        </w:rPr>
      </w:pPr>
      <w:r>
        <w:rPr>
          <w:rFonts w:hint="eastAsia" w:ascii="宋体" w:hAnsi="宋体" w:eastAsia="宋体" w:cs="宋体"/>
          <w:color w:val="auto"/>
          <w:kern w:val="0"/>
          <w:sz w:val="24"/>
          <w:szCs w:val="24"/>
        </w:rPr>
        <w:t>1.1.4.3 工期：是指在合同协议书约定的承包人完成工程所需的期限，包括按照合同约定所作的期限变更。</w:t>
      </w:r>
    </w:p>
    <w:p w14:paraId="6DBB2132">
      <w:pPr>
        <w:spacing w:beforeLines="0" w:afterLines="0" w:line="312" w:lineRule="auto"/>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1.1.4.4 缺陷责任期：是指承包人按照合同约定承担缺陷修复义务，且发包人预留质量保证金的期限，自工程实际竣工日期起计算。</w:t>
      </w:r>
    </w:p>
    <w:p w14:paraId="5CE63CE1">
      <w:pPr>
        <w:spacing w:beforeLines="0" w:afterLines="0" w:line="312" w:lineRule="auto"/>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1.1.4.5 保修期：是指承包人按照合同约定对工程承担保修责任的期限，从工程竣工验收合格之日起计算。</w:t>
      </w:r>
    </w:p>
    <w:p w14:paraId="4F94B857">
      <w:pPr>
        <w:spacing w:beforeLines="0" w:afterLines="0" w:line="312" w:lineRule="auto"/>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1.1.4.6 基准日期：招标发包的工程以投标截止日前28天的日期为基准日期，直接发包的工程以合同签订日前28天的日期为基准日期。</w:t>
      </w:r>
    </w:p>
    <w:p w14:paraId="4B646976">
      <w:pPr>
        <w:spacing w:beforeLines="0" w:afterLines="0" w:line="312" w:lineRule="auto"/>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1.1.4.7 天：除特别指明外，均指日历天。合同中按天计算时间的，开始当天不计入，从次日开始计算，期限最后一天的截止时间为当天24：00时。</w:t>
      </w:r>
    </w:p>
    <w:p w14:paraId="5A4E22E6">
      <w:pPr>
        <w:spacing w:beforeLines="0" w:afterLines="0" w:line="312" w:lineRule="auto"/>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1.1.5 合同价格和费用</w:t>
      </w:r>
    </w:p>
    <w:p w14:paraId="541F97CB">
      <w:pPr>
        <w:spacing w:beforeLines="0" w:afterLines="0" w:line="312"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kern w:val="0"/>
          <w:sz w:val="24"/>
          <w:szCs w:val="24"/>
        </w:rPr>
        <w:t>1.1.5.1 签约合同价：是指</w:t>
      </w:r>
      <w:r>
        <w:rPr>
          <w:rFonts w:hint="eastAsia" w:ascii="宋体" w:hAnsi="宋体" w:eastAsia="宋体" w:cs="宋体"/>
          <w:color w:val="auto"/>
          <w:sz w:val="24"/>
          <w:szCs w:val="24"/>
        </w:rPr>
        <w:t>发包人和承包人在合同协议书中确定的总金额，包括安全文明施工费、暂估价及暂列金额等。</w:t>
      </w:r>
    </w:p>
    <w:p w14:paraId="6733775C">
      <w:pPr>
        <w:spacing w:beforeLines="0" w:afterLines="0" w:line="312" w:lineRule="auto"/>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1.1.5.2 合同价格：是指发包人用于支付承包人按照合同约定完成承包范围内全部工作的金额，包括合同履行过程中按合同约定发生的价格变化。</w:t>
      </w:r>
    </w:p>
    <w:p w14:paraId="138CFA55">
      <w:pPr>
        <w:spacing w:beforeLines="0" w:afterLines="0" w:line="312" w:lineRule="auto"/>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1.1.5.3 费用：是指为履行合同所发生的或将要发生的所有必需的开支，包括管理费和应分摊的其他费用，但不包括利润。</w:t>
      </w:r>
    </w:p>
    <w:p w14:paraId="5409ACBE">
      <w:pPr>
        <w:spacing w:beforeLines="0" w:afterLines="0" w:line="312" w:lineRule="auto"/>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1.1.5.4 暂估价：是指发包人在工程量清单或预算书中提供的用于支付必然发生但暂时不能确定价格的材料、工程设备的单价、专业工程以及服务工作的金额。</w:t>
      </w:r>
    </w:p>
    <w:p w14:paraId="5DFF23CD">
      <w:pPr>
        <w:spacing w:beforeLines="0" w:afterLines="0" w:line="312" w:lineRule="auto"/>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1.1.5.5 暂列金额：是指发包人在工程量清单或预算书中暂定并包括在合同价格中的一笔款项，用于工程合同签订时尚未确定或者不可预见的所需材料、工程设备、服务的采购，施工中可能发生的工程变更、合同约定调整因素出现时的合同价格调整以及发生的索赔、现场签证确认等的费用。</w:t>
      </w:r>
    </w:p>
    <w:p w14:paraId="4C8F5CB2">
      <w:pPr>
        <w:spacing w:beforeLines="0" w:afterLines="0" w:line="312" w:lineRule="auto"/>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1.1.5.6 计日工：是指合同履行过程中，承包人完成发包人提出的零星工作或需要采用计日工计价的变更工作时，按合同中约定的单价计价的一种方式。</w:t>
      </w:r>
    </w:p>
    <w:p w14:paraId="07235864">
      <w:pPr>
        <w:spacing w:beforeLines="0" w:afterLines="0" w:line="312"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kern w:val="0"/>
          <w:sz w:val="24"/>
          <w:szCs w:val="24"/>
        </w:rPr>
        <w:t>1.1.5.7 质量保证金</w:t>
      </w:r>
      <w:bookmarkStart w:id="187" w:name="#go2"/>
      <w:bookmarkEnd w:id="187"/>
      <w:r>
        <w:rPr>
          <w:rFonts w:hint="eastAsia" w:ascii="宋体" w:hAnsi="宋体" w:eastAsia="宋体" w:cs="宋体"/>
          <w:color w:val="auto"/>
          <w:kern w:val="0"/>
          <w:sz w:val="24"/>
          <w:szCs w:val="24"/>
        </w:rPr>
        <w:t>：是指按照第15.3款〔质量保证金〕约定承包人用于保证其在缺陷责任期内履行缺陷修补义务的担保</w:t>
      </w:r>
      <w:r>
        <w:rPr>
          <w:rFonts w:hint="eastAsia" w:ascii="宋体" w:hAnsi="宋体" w:eastAsia="宋体" w:cs="宋体"/>
          <w:color w:val="auto"/>
          <w:sz w:val="24"/>
          <w:szCs w:val="24"/>
        </w:rPr>
        <w:t>。</w:t>
      </w:r>
    </w:p>
    <w:p w14:paraId="5BF4090E">
      <w:pPr>
        <w:spacing w:beforeLines="0" w:afterLines="0" w:line="312" w:lineRule="auto"/>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1.1.5.8 总价项目：是指在现行国家、行业以及地方的计量规则中无工程量计算规则，在已标价工程量清单或预算书中以总价或以费率形式计算的项目。</w:t>
      </w:r>
    </w:p>
    <w:p w14:paraId="6C30D6E6">
      <w:pPr>
        <w:spacing w:beforeLines="0" w:afterLines="0" w:line="312"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1.1.6 其他</w:t>
      </w:r>
    </w:p>
    <w:p w14:paraId="5AB07F05">
      <w:pPr>
        <w:spacing w:beforeLines="0" w:afterLines="0" w:line="312"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1.1.6.1 书面形式：是指合同文件、信函、电报、传真等可以有形地表现所载内容的形式。</w:t>
      </w:r>
    </w:p>
    <w:p w14:paraId="20AA3731">
      <w:pPr>
        <w:pStyle w:val="8"/>
        <w:spacing w:before="120" w:beforeLines="0" w:after="120" w:afterLines="0" w:line="312" w:lineRule="auto"/>
        <w:rPr>
          <w:rFonts w:hint="eastAsia" w:ascii="宋体" w:hAnsi="宋体" w:eastAsia="宋体" w:cs="宋体"/>
          <w:b w:val="0"/>
          <w:color w:val="auto"/>
          <w:sz w:val="24"/>
          <w:szCs w:val="24"/>
        </w:rPr>
      </w:pPr>
      <w:r>
        <w:rPr>
          <w:rFonts w:hint="eastAsia" w:ascii="宋体" w:hAnsi="宋体" w:eastAsia="宋体" w:cs="宋体"/>
          <w:b w:val="0"/>
          <w:color w:val="auto"/>
          <w:sz w:val="24"/>
          <w:szCs w:val="24"/>
        </w:rPr>
        <w:t xml:space="preserve">    </w:t>
      </w:r>
      <w:bookmarkStart w:id="188" w:name="_Toc296346530"/>
      <w:bookmarkStart w:id="189" w:name="_Toc337558729"/>
      <w:bookmarkStart w:id="190" w:name="_Toc296503029"/>
      <w:bookmarkStart w:id="191" w:name="_Toc351203497"/>
      <w:r>
        <w:rPr>
          <w:rFonts w:hint="eastAsia" w:ascii="宋体" w:hAnsi="宋体" w:eastAsia="宋体" w:cs="宋体"/>
          <w:b w:val="0"/>
          <w:color w:val="auto"/>
          <w:sz w:val="24"/>
          <w:szCs w:val="24"/>
        </w:rPr>
        <w:t>1.2语言文字</w:t>
      </w:r>
      <w:bookmarkEnd w:id="188"/>
      <w:bookmarkEnd w:id="189"/>
      <w:bookmarkEnd w:id="190"/>
      <w:bookmarkEnd w:id="191"/>
    </w:p>
    <w:p w14:paraId="23D34C6E">
      <w:pPr>
        <w:autoSpaceDE w:val="0"/>
        <w:autoSpaceDN w:val="0"/>
        <w:adjustRightInd w:val="0"/>
        <w:spacing w:beforeLines="0" w:afterLines="0" w:line="312" w:lineRule="auto"/>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合同以中国的汉语简体文字编写、解释和说明。合同当事人在专用合同条款中约定使用两种以上语言时，汉语为优先解释和说明合同的语言。</w:t>
      </w:r>
    </w:p>
    <w:p w14:paraId="77AAB6C1">
      <w:pPr>
        <w:pStyle w:val="8"/>
        <w:spacing w:before="120" w:beforeLines="0" w:after="120" w:afterLines="0" w:line="312" w:lineRule="auto"/>
        <w:ind w:firstLine="480" w:firstLineChars="200"/>
        <w:rPr>
          <w:rFonts w:hint="eastAsia" w:ascii="宋体" w:hAnsi="宋体" w:eastAsia="宋体" w:cs="宋体"/>
          <w:b w:val="0"/>
          <w:color w:val="auto"/>
          <w:sz w:val="24"/>
          <w:szCs w:val="24"/>
        </w:rPr>
      </w:pPr>
      <w:bookmarkStart w:id="192" w:name="_Toc337558730"/>
      <w:bookmarkStart w:id="193" w:name="_Toc351203498"/>
      <w:bookmarkStart w:id="194" w:name="_Toc296346531"/>
      <w:bookmarkStart w:id="195" w:name="_Toc296503030"/>
      <w:r>
        <w:rPr>
          <w:rFonts w:hint="eastAsia" w:ascii="宋体" w:hAnsi="宋体" w:eastAsia="宋体" w:cs="宋体"/>
          <w:b w:val="0"/>
          <w:color w:val="auto"/>
          <w:sz w:val="24"/>
          <w:szCs w:val="24"/>
        </w:rPr>
        <w:t>1.3法律</w:t>
      </w:r>
      <w:bookmarkEnd w:id="192"/>
      <w:bookmarkEnd w:id="193"/>
      <w:bookmarkEnd w:id="194"/>
      <w:bookmarkEnd w:id="195"/>
    </w:p>
    <w:p w14:paraId="7BD014A1">
      <w:pPr>
        <w:autoSpaceDE w:val="0"/>
        <w:autoSpaceDN w:val="0"/>
        <w:adjustRightInd w:val="0"/>
        <w:spacing w:beforeLines="0" w:afterLines="0" w:line="312" w:lineRule="auto"/>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合同所称法律是指中华人民共和国法律、行政法规、部门规章，以及工程所在地的地方性法规、自治条例、单行条例和地方政府规章等。</w:t>
      </w:r>
    </w:p>
    <w:p w14:paraId="09ECF335">
      <w:pPr>
        <w:autoSpaceDE w:val="0"/>
        <w:autoSpaceDN w:val="0"/>
        <w:adjustRightInd w:val="0"/>
        <w:spacing w:beforeLines="0" w:afterLines="0" w:line="312" w:lineRule="auto"/>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合同当事人可以在专用合同条款中约定合同适用的其他规范性文件。</w:t>
      </w:r>
    </w:p>
    <w:p w14:paraId="06957017">
      <w:pPr>
        <w:pStyle w:val="8"/>
        <w:spacing w:before="120" w:beforeLines="0" w:after="120" w:afterLines="0" w:line="312" w:lineRule="auto"/>
        <w:ind w:firstLine="480" w:firstLineChars="200"/>
        <w:rPr>
          <w:rFonts w:hint="eastAsia" w:ascii="宋体" w:hAnsi="宋体" w:eastAsia="宋体" w:cs="宋体"/>
          <w:b w:val="0"/>
          <w:color w:val="auto"/>
          <w:sz w:val="24"/>
          <w:szCs w:val="24"/>
        </w:rPr>
      </w:pPr>
      <w:bookmarkStart w:id="196" w:name="_Toc351203499"/>
      <w:r>
        <w:rPr>
          <w:rFonts w:hint="eastAsia" w:ascii="宋体" w:hAnsi="宋体" w:eastAsia="宋体" w:cs="宋体"/>
          <w:b w:val="0"/>
          <w:color w:val="auto"/>
          <w:sz w:val="24"/>
          <w:szCs w:val="24"/>
        </w:rPr>
        <w:t>1.4 标准和规范</w:t>
      </w:r>
      <w:bookmarkEnd w:id="196"/>
    </w:p>
    <w:p w14:paraId="363868A7">
      <w:pPr>
        <w:autoSpaceDE w:val="0"/>
        <w:autoSpaceDN w:val="0"/>
        <w:adjustRightInd w:val="0"/>
        <w:spacing w:beforeLines="0" w:afterLines="0" w:line="312" w:lineRule="auto"/>
        <w:ind w:firstLine="64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1.4.1 适用于工程的国家标准、行业标准、工程所在地的地方性标准，以及相应的规范、规程等，合同当事人有特别要求的，应在专用合同条款中约定。</w:t>
      </w:r>
    </w:p>
    <w:p w14:paraId="6722DBC9">
      <w:pPr>
        <w:autoSpaceDE w:val="0"/>
        <w:autoSpaceDN w:val="0"/>
        <w:adjustRightInd w:val="0"/>
        <w:spacing w:beforeLines="0" w:afterLines="0" w:line="312" w:lineRule="auto"/>
        <w:ind w:firstLine="64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1.4.2 发包人要求使用国外标准、规范的，发包人负责提供原文版本和中文译本，并在专用合同条款中约定提供标准规范的名称、份数和时间。</w:t>
      </w:r>
    </w:p>
    <w:p w14:paraId="69362E8E">
      <w:pPr>
        <w:autoSpaceDE w:val="0"/>
        <w:autoSpaceDN w:val="0"/>
        <w:adjustRightInd w:val="0"/>
        <w:spacing w:beforeLines="0" w:afterLines="0" w:line="312" w:lineRule="auto"/>
        <w:ind w:firstLine="64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1.4.3 发包人对工程的技术标准、功能要求高于或严于现行国家、行业或地方标准的，应当在专用合同条款中予以明确。除专用合同条款另有约定外，应视为承包人在签订合同前已充分预见前述技术标准和功能要求的复杂程度，签约合同价中已包含由此产生的费用。</w:t>
      </w:r>
    </w:p>
    <w:p w14:paraId="18FCFD9C">
      <w:pPr>
        <w:pStyle w:val="8"/>
        <w:spacing w:before="120" w:beforeLines="0" w:after="120" w:afterLines="0" w:line="312" w:lineRule="auto"/>
        <w:ind w:firstLine="480" w:firstLineChars="200"/>
        <w:rPr>
          <w:rFonts w:hint="eastAsia" w:ascii="宋体" w:hAnsi="宋体" w:eastAsia="宋体" w:cs="宋体"/>
          <w:b w:val="0"/>
          <w:color w:val="auto"/>
          <w:sz w:val="24"/>
          <w:szCs w:val="24"/>
        </w:rPr>
      </w:pPr>
      <w:bookmarkStart w:id="197" w:name="_Toc351203500"/>
      <w:r>
        <w:rPr>
          <w:rFonts w:hint="eastAsia" w:ascii="宋体" w:hAnsi="宋体" w:eastAsia="宋体" w:cs="宋体"/>
          <w:b w:val="0"/>
          <w:color w:val="auto"/>
          <w:sz w:val="24"/>
          <w:szCs w:val="24"/>
        </w:rPr>
        <w:t>1</w:t>
      </w:r>
      <w:bookmarkStart w:id="198" w:name="_Toc337558731"/>
      <w:bookmarkStart w:id="199" w:name="_Toc296503031"/>
      <w:bookmarkStart w:id="200" w:name="_Toc296346532"/>
      <w:r>
        <w:rPr>
          <w:rFonts w:hint="eastAsia" w:ascii="宋体" w:hAnsi="宋体" w:eastAsia="宋体" w:cs="宋体"/>
          <w:b w:val="0"/>
          <w:color w:val="auto"/>
          <w:sz w:val="24"/>
          <w:szCs w:val="24"/>
        </w:rPr>
        <w:t>.5 合同文件的优先顺序</w:t>
      </w:r>
      <w:bookmarkEnd w:id="197"/>
    </w:p>
    <w:bookmarkEnd w:id="198"/>
    <w:bookmarkEnd w:id="199"/>
    <w:bookmarkEnd w:id="200"/>
    <w:p w14:paraId="075FDB61">
      <w:pPr>
        <w:autoSpaceDE w:val="0"/>
        <w:autoSpaceDN w:val="0"/>
        <w:adjustRightInd w:val="0"/>
        <w:spacing w:beforeLines="0" w:afterLines="0" w:line="312" w:lineRule="auto"/>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组成合同的各项文件应互相解释，互为说明。除专用合同条款另有约定外，解释合同文件的优先顺序如下：</w:t>
      </w:r>
    </w:p>
    <w:p w14:paraId="018DD233">
      <w:pPr>
        <w:autoSpaceDE w:val="0"/>
        <w:autoSpaceDN w:val="0"/>
        <w:adjustRightInd w:val="0"/>
        <w:spacing w:beforeLines="0" w:afterLines="0" w:line="312" w:lineRule="auto"/>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（1）合同协议书；</w:t>
      </w:r>
    </w:p>
    <w:p w14:paraId="20CAB9EB">
      <w:pPr>
        <w:autoSpaceDE w:val="0"/>
        <w:autoSpaceDN w:val="0"/>
        <w:adjustRightInd w:val="0"/>
        <w:spacing w:beforeLines="0" w:afterLines="0" w:line="312" w:lineRule="auto"/>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（2）中标通知书（如果有）；</w:t>
      </w:r>
    </w:p>
    <w:p w14:paraId="5F84798F">
      <w:pPr>
        <w:autoSpaceDE w:val="0"/>
        <w:autoSpaceDN w:val="0"/>
        <w:adjustRightInd w:val="0"/>
        <w:spacing w:beforeLines="0" w:afterLines="0" w:line="312" w:lineRule="auto"/>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（3）投标函及其附录（如果有）；</w:t>
      </w:r>
    </w:p>
    <w:p w14:paraId="1F036E68">
      <w:pPr>
        <w:autoSpaceDE w:val="0"/>
        <w:autoSpaceDN w:val="0"/>
        <w:adjustRightInd w:val="0"/>
        <w:spacing w:beforeLines="0" w:afterLines="0" w:line="312" w:lineRule="auto"/>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（4）专用合同条款</w:t>
      </w:r>
      <w:r>
        <w:rPr>
          <w:rFonts w:hint="eastAsia" w:ascii="宋体" w:hAnsi="宋体" w:eastAsia="宋体" w:cs="宋体"/>
          <w:color w:val="auto"/>
          <w:sz w:val="24"/>
          <w:szCs w:val="24"/>
        </w:rPr>
        <w:t>及其附件</w:t>
      </w:r>
      <w:r>
        <w:rPr>
          <w:rFonts w:hint="eastAsia" w:ascii="宋体" w:hAnsi="宋体" w:eastAsia="宋体" w:cs="宋体"/>
          <w:color w:val="auto"/>
          <w:kern w:val="0"/>
          <w:sz w:val="24"/>
          <w:szCs w:val="24"/>
        </w:rPr>
        <w:t>；</w:t>
      </w:r>
    </w:p>
    <w:p w14:paraId="7B1D2E3E">
      <w:pPr>
        <w:autoSpaceDE w:val="0"/>
        <w:autoSpaceDN w:val="0"/>
        <w:adjustRightInd w:val="0"/>
        <w:spacing w:beforeLines="0" w:afterLines="0" w:line="312" w:lineRule="auto"/>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（5）通用合同条款；</w:t>
      </w:r>
    </w:p>
    <w:p w14:paraId="71561C63">
      <w:pPr>
        <w:autoSpaceDE w:val="0"/>
        <w:autoSpaceDN w:val="0"/>
        <w:adjustRightInd w:val="0"/>
        <w:spacing w:beforeLines="0" w:afterLines="0" w:line="312" w:lineRule="auto"/>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（6）技术标准和要求；</w:t>
      </w:r>
    </w:p>
    <w:p w14:paraId="6464558F">
      <w:pPr>
        <w:autoSpaceDE w:val="0"/>
        <w:autoSpaceDN w:val="0"/>
        <w:adjustRightInd w:val="0"/>
        <w:spacing w:beforeLines="0" w:afterLines="0" w:line="312" w:lineRule="auto"/>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（7）图纸；</w:t>
      </w:r>
    </w:p>
    <w:p w14:paraId="04629247">
      <w:pPr>
        <w:autoSpaceDE w:val="0"/>
        <w:autoSpaceDN w:val="0"/>
        <w:adjustRightInd w:val="0"/>
        <w:spacing w:beforeLines="0" w:afterLines="0" w:line="312" w:lineRule="auto"/>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（8）已标价工程量清单或预算书；</w:t>
      </w:r>
    </w:p>
    <w:p w14:paraId="3F32C962">
      <w:pPr>
        <w:autoSpaceDE w:val="0"/>
        <w:autoSpaceDN w:val="0"/>
        <w:adjustRightInd w:val="0"/>
        <w:spacing w:beforeLines="0" w:afterLines="0" w:line="312"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kern w:val="0"/>
          <w:sz w:val="24"/>
          <w:szCs w:val="24"/>
        </w:rPr>
        <w:t>（9）其他合同文件。</w:t>
      </w:r>
    </w:p>
    <w:p w14:paraId="6447776E">
      <w:pPr>
        <w:spacing w:beforeLines="0" w:afterLines="0" w:line="312" w:lineRule="auto"/>
        <w:ind w:firstLine="511" w:firstLineChars="213"/>
        <w:rPr>
          <w:rFonts w:hint="eastAsia" w:ascii="宋体" w:hAnsi="宋体" w:eastAsia="宋体" w:cs="宋体"/>
          <w:color w:val="auto"/>
          <w:sz w:val="24"/>
          <w:szCs w:val="24"/>
        </w:rPr>
      </w:pPr>
      <w:r>
        <w:rPr>
          <w:rFonts w:hint="eastAsia" w:ascii="宋体" w:hAnsi="宋体" w:eastAsia="宋体" w:cs="宋体"/>
          <w:color w:val="auto"/>
          <w:sz w:val="24"/>
          <w:szCs w:val="24"/>
        </w:rPr>
        <w:t>上述各项合同文件包括合同当事人就该项合同文件所作出的补充和修改，属于同一类内容的文件，应以最新签署的为准。</w:t>
      </w:r>
    </w:p>
    <w:p w14:paraId="43FD35A7">
      <w:pPr>
        <w:spacing w:beforeLines="0" w:afterLines="0" w:line="312" w:lineRule="auto"/>
        <w:ind w:firstLine="511" w:firstLineChars="213"/>
        <w:rPr>
          <w:rFonts w:hint="eastAsia" w:ascii="宋体" w:hAnsi="宋体" w:eastAsia="宋体" w:cs="宋体"/>
          <w:color w:val="auto"/>
          <w:sz w:val="24"/>
          <w:szCs w:val="24"/>
        </w:rPr>
      </w:pPr>
      <w:r>
        <w:rPr>
          <w:rFonts w:hint="eastAsia" w:ascii="宋体" w:hAnsi="宋体" w:eastAsia="宋体" w:cs="宋体"/>
          <w:color w:val="auto"/>
          <w:sz w:val="24"/>
          <w:szCs w:val="24"/>
        </w:rPr>
        <w:t>在合同订立及履行过程中形成的与合同有关的文件均构成合同文件组成部分，并根据其性质确定优先解释顺序。</w:t>
      </w:r>
    </w:p>
    <w:p w14:paraId="7997E0CA">
      <w:pPr>
        <w:pStyle w:val="8"/>
        <w:spacing w:before="120" w:beforeLines="0" w:after="120" w:afterLines="0" w:line="312" w:lineRule="auto"/>
        <w:ind w:firstLine="480" w:firstLineChars="200"/>
        <w:rPr>
          <w:rFonts w:hint="eastAsia" w:ascii="宋体" w:hAnsi="宋体" w:eastAsia="宋体" w:cs="宋体"/>
          <w:b w:val="0"/>
          <w:color w:val="auto"/>
          <w:sz w:val="24"/>
          <w:szCs w:val="24"/>
        </w:rPr>
      </w:pPr>
      <w:bookmarkStart w:id="201" w:name="_Toc351203501"/>
      <w:r>
        <w:rPr>
          <w:rFonts w:hint="eastAsia" w:ascii="宋体" w:hAnsi="宋体" w:eastAsia="宋体" w:cs="宋体"/>
          <w:b w:val="0"/>
          <w:color w:val="auto"/>
          <w:sz w:val="24"/>
          <w:szCs w:val="24"/>
        </w:rPr>
        <w:t>1</w:t>
      </w:r>
      <w:bookmarkStart w:id="202" w:name="_Toc296346533"/>
      <w:bookmarkStart w:id="203" w:name="_Toc337558732"/>
      <w:bookmarkStart w:id="204" w:name="_Toc296503032"/>
      <w:r>
        <w:rPr>
          <w:rFonts w:hint="eastAsia" w:ascii="宋体" w:hAnsi="宋体" w:eastAsia="宋体" w:cs="宋体"/>
          <w:b w:val="0"/>
          <w:color w:val="auto"/>
          <w:sz w:val="24"/>
          <w:szCs w:val="24"/>
        </w:rPr>
        <w:t>.6图纸和承包人文件</w:t>
      </w:r>
      <w:bookmarkEnd w:id="201"/>
    </w:p>
    <w:bookmarkEnd w:id="202"/>
    <w:bookmarkEnd w:id="203"/>
    <w:bookmarkEnd w:id="204"/>
    <w:p w14:paraId="342FB9E7">
      <w:pPr>
        <w:spacing w:beforeLines="0" w:afterLines="0" w:line="312" w:lineRule="auto"/>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1.6.1 图纸的提供和交底</w:t>
      </w:r>
    </w:p>
    <w:p w14:paraId="11A0B623">
      <w:pPr>
        <w:spacing w:beforeLines="0" w:afterLines="0" w:line="312" w:lineRule="auto"/>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发包人应按照专用合同条款约定的期限、数量和内容向承包人免费提供图纸，并组织承包人、监理人和设计人进行图纸会审和设计交底。发包人至迟不得晚于第7.3.2项〔开工通知〕载明的开工日期前14天向承包人提供图纸。</w:t>
      </w:r>
    </w:p>
    <w:p w14:paraId="1F973B02">
      <w:pPr>
        <w:spacing w:beforeLines="0" w:afterLines="0" w:line="312" w:lineRule="auto"/>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因发包人未按合同约定提供图纸导致承包人费用增加和（或）工期延误的，按照第7.5.1项〔因发包人原因导致工期延误〕约定办理。</w:t>
      </w:r>
    </w:p>
    <w:p w14:paraId="76778838">
      <w:pPr>
        <w:spacing w:beforeLines="0" w:afterLines="0" w:line="312" w:lineRule="auto"/>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1.6.2 图纸的错误</w:t>
      </w:r>
    </w:p>
    <w:p w14:paraId="200098A4">
      <w:pPr>
        <w:spacing w:beforeLines="0" w:afterLines="0" w:line="312" w:lineRule="auto"/>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承包人在收到发包人提供的图纸后，发现图纸存在差错、遗漏或缺陷的，应及时通知监理人。监理人接到该通知后，应附具相关意见并立即报送发包人，发包人应在收到监理人报送的通知后的合理时间内作出决定。合理时间是指发包人在收到监理人的报送通知后，尽其努力且不懈怠地完成图纸修改补充所需的时间。</w:t>
      </w:r>
    </w:p>
    <w:p w14:paraId="0D683C75">
      <w:pPr>
        <w:spacing w:beforeLines="0" w:afterLines="0" w:line="312" w:lineRule="auto"/>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1.6.3 图纸的修改和补充</w:t>
      </w:r>
    </w:p>
    <w:p w14:paraId="6A1CA461">
      <w:pPr>
        <w:spacing w:beforeLines="0" w:afterLines="0" w:line="312" w:lineRule="auto"/>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图纸需要修改和补充的，应经图纸原设计人及审批部门同意，并由监理人在工程或工程相应部位施工前将修改后的图纸或补充图纸提交给承包人，承包人应按修改或补充后的图纸施工。</w:t>
      </w:r>
    </w:p>
    <w:p w14:paraId="118AC73E">
      <w:pPr>
        <w:spacing w:beforeLines="0" w:afterLines="0" w:line="312" w:lineRule="auto"/>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1.6.4 承包人文件</w:t>
      </w:r>
    </w:p>
    <w:p w14:paraId="0D31EE96">
      <w:pPr>
        <w:spacing w:beforeLines="0" w:afterLines="0" w:line="312" w:lineRule="auto"/>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承包人应按照专用合同条款的约定提供应当由其编制的与工程施工有关的文件，并按照专用合同条款约定的期限、数量和形式提交监理人，并由监理人报送发包人。</w:t>
      </w:r>
    </w:p>
    <w:p w14:paraId="5BB4D648">
      <w:pPr>
        <w:spacing w:beforeLines="0" w:afterLines="0" w:line="312" w:lineRule="auto"/>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除专用合同条款另有约定外，监理人应在收到承包人文件后7天内审查完毕，监理人对承包人文件有异议的，承包人应予以修改，并重新报送监理人。监理人的审查并不减轻或免除承包人根据合同约定应当承担的责任。</w:t>
      </w:r>
    </w:p>
    <w:p w14:paraId="260D071B">
      <w:pPr>
        <w:spacing w:beforeLines="0" w:afterLines="0" w:line="312" w:lineRule="auto"/>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1.6.5 图纸和承包人文件的保管</w:t>
      </w:r>
    </w:p>
    <w:p w14:paraId="4DD819AA">
      <w:pPr>
        <w:spacing w:beforeLines="0" w:afterLines="0" w:line="312" w:lineRule="auto"/>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除专用合同条款另有约定外，承包人应在施工现场另外保存一套完整的图纸和承包人文件，供发包人、监理人及有关人员进行工程检查时使用。</w:t>
      </w:r>
    </w:p>
    <w:p w14:paraId="51C5613F">
      <w:pPr>
        <w:pStyle w:val="8"/>
        <w:spacing w:before="120" w:beforeLines="0" w:after="120" w:afterLines="0" w:line="312" w:lineRule="auto"/>
        <w:ind w:firstLine="480" w:firstLineChars="200"/>
        <w:rPr>
          <w:rFonts w:hint="eastAsia" w:ascii="宋体" w:hAnsi="宋体" w:eastAsia="宋体" w:cs="宋体"/>
          <w:b w:val="0"/>
          <w:color w:val="auto"/>
          <w:sz w:val="24"/>
          <w:szCs w:val="24"/>
        </w:rPr>
      </w:pPr>
      <w:bookmarkStart w:id="205" w:name="_Toc351203502"/>
      <w:r>
        <w:rPr>
          <w:rFonts w:hint="eastAsia" w:ascii="宋体" w:hAnsi="宋体" w:eastAsia="宋体" w:cs="宋体"/>
          <w:b w:val="0"/>
          <w:color w:val="auto"/>
          <w:sz w:val="24"/>
          <w:szCs w:val="24"/>
        </w:rPr>
        <w:t>1</w:t>
      </w:r>
      <w:bookmarkStart w:id="206" w:name="_Toc337558733"/>
      <w:bookmarkStart w:id="207" w:name="_Toc296346534"/>
      <w:bookmarkStart w:id="208" w:name="_Toc296503033"/>
      <w:r>
        <w:rPr>
          <w:rFonts w:hint="eastAsia" w:ascii="宋体" w:hAnsi="宋体" w:eastAsia="宋体" w:cs="宋体"/>
          <w:b w:val="0"/>
          <w:color w:val="auto"/>
          <w:sz w:val="24"/>
          <w:szCs w:val="24"/>
        </w:rPr>
        <w:t>.7联络</w:t>
      </w:r>
      <w:bookmarkEnd w:id="205"/>
    </w:p>
    <w:bookmarkEnd w:id="206"/>
    <w:bookmarkEnd w:id="207"/>
    <w:bookmarkEnd w:id="208"/>
    <w:p w14:paraId="47DD0203">
      <w:pPr>
        <w:autoSpaceDE w:val="0"/>
        <w:autoSpaceDN w:val="0"/>
        <w:adjustRightInd w:val="0"/>
        <w:spacing w:beforeLines="0" w:afterLines="0" w:line="312" w:lineRule="auto"/>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1.7.1 与合同有关的通知、批准、证明、证书、指示、指令、要求、请求、同意、意见、确定和决定等，均应采用书面形式，并应在合同约定的期限内送达接收人和送达地点。</w:t>
      </w:r>
    </w:p>
    <w:p w14:paraId="38BAC45D">
      <w:pPr>
        <w:autoSpaceDE w:val="0"/>
        <w:autoSpaceDN w:val="0"/>
        <w:adjustRightInd w:val="0"/>
        <w:spacing w:beforeLines="0" w:afterLines="0" w:line="312" w:lineRule="auto"/>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1.7.2 发包人和承包人应在专用合同条款中约定各自的送达接收人和送达地点。任何一方合同当事人指定的接收人或送达地点发生变动的，应提前3天以书面形式通知对方。</w:t>
      </w:r>
    </w:p>
    <w:p w14:paraId="107222ED">
      <w:pPr>
        <w:autoSpaceDE w:val="0"/>
        <w:autoSpaceDN w:val="0"/>
        <w:adjustRightInd w:val="0"/>
        <w:spacing w:beforeLines="0" w:afterLines="0" w:line="312" w:lineRule="auto"/>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1.7.3 发包人和承包人应当及时签收另一方送达至送达地点和指定接收人的来往信函。拒不签收的，由此增加的费用和（或）延误的工期由拒绝接收一方承担。</w:t>
      </w:r>
    </w:p>
    <w:p w14:paraId="2FD90697">
      <w:pPr>
        <w:pStyle w:val="8"/>
        <w:spacing w:before="120" w:beforeLines="0" w:after="120" w:afterLines="0" w:line="312" w:lineRule="auto"/>
        <w:ind w:firstLine="480" w:firstLineChars="200"/>
        <w:rPr>
          <w:rFonts w:hint="eastAsia" w:ascii="宋体" w:hAnsi="宋体" w:eastAsia="宋体" w:cs="宋体"/>
          <w:b w:val="0"/>
          <w:color w:val="auto"/>
          <w:sz w:val="24"/>
          <w:szCs w:val="24"/>
        </w:rPr>
      </w:pPr>
      <w:bookmarkStart w:id="209" w:name="_Toc351203503"/>
      <w:r>
        <w:rPr>
          <w:rFonts w:hint="eastAsia" w:ascii="宋体" w:hAnsi="宋体" w:eastAsia="宋体" w:cs="宋体"/>
          <w:b w:val="0"/>
          <w:color w:val="auto"/>
          <w:sz w:val="24"/>
          <w:szCs w:val="24"/>
        </w:rPr>
        <w:t>1</w:t>
      </w:r>
      <w:bookmarkStart w:id="210" w:name="_Toc296346536"/>
      <w:bookmarkStart w:id="211" w:name="_Toc296503035"/>
      <w:bookmarkStart w:id="212" w:name="_Toc337558734"/>
      <w:r>
        <w:rPr>
          <w:rFonts w:hint="eastAsia" w:ascii="宋体" w:hAnsi="宋体" w:eastAsia="宋体" w:cs="宋体"/>
          <w:b w:val="0"/>
          <w:color w:val="auto"/>
          <w:sz w:val="24"/>
          <w:szCs w:val="24"/>
        </w:rPr>
        <w:t>.8严禁贿赂</w:t>
      </w:r>
      <w:bookmarkEnd w:id="209"/>
    </w:p>
    <w:bookmarkEnd w:id="210"/>
    <w:bookmarkEnd w:id="211"/>
    <w:bookmarkEnd w:id="212"/>
    <w:p w14:paraId="3A34B2DB">
      <w:pPr>
        <w:autoSpaceDE w:val="0"/>
        <w:autoSpaceDN w:val="0"/>
        <w:adjustRightInd w:val="0"/>
        <w:spacing w:beforeLines="0" w:afterLines="0" w:line="312" w:lineRule="auto"/>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合同当事人不得以贿赂或变相贿赂的方式，谋取非法利益或损害对方权益。因一方合同当事人的贿赂造成对方损失的，应赔偿损失，并承担相应的法律责任。</w:t>
      </w:r>
    </w:p>
    <w:p w14:paraId="2D984176">
      <w:pPr>
        <w:autoSpaceDE w:val="0"/>
        <w:autoSpaceDN w:val="0"/>
        <w:adjustRightInd w:val="0"/>
        <w:spacing w:beforeLines="0" w:afterLines="0" w:line="312" w:lineRule="auto"/>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承包人不得与监理人或发包人聘请的第三方串通损害发包人利益。未经发包人书面同意，承包人不得为监理人提供合同约定以外的通讯设备、交通工具及其他任何形式的利益，不得向监理人支付报酬。</w:t>
      </w:r>
    </w:p>
    <w:p w14:paraId="2E28A5F8">
      <w:pPr>
        <w:pStyle w:val="8"/>
        <w:spacing w:before="120" w:beforeLines="0" w:after="120" w:afterLines="0" w:line="312" w:lineRule="auto"/>
        <w:ind w:firstLine="480" w:firstLineChars="200"/>
        <w:rPr>
          <w:rFonts w:hint="eastAsia" w:ascii="宋体" w:hAnsi="宋体" w:eastAsia="宋体" w:cs="宋体"/>
          <w:b w:val="0"/>
          <w:color w:val="auto"/>
          <w:sz w:val="24"/>
          <w:szCs w:val="24"/>
        </w:rPr>
      </w:pPr>
      <w:bookmarkStart w:id="213" w:name="_Toc351203504"/>
      <w:r>
        <w:rPr>
          <w:rFonts w:hint="eastAsia" w:ascii="宋体" w:hAnsi="宋体" w:eastAsia="宋体" w:cs="宋体"/>
          <w:b w:val="0"/>
          <w:color w:val="auto"/>
          <w:sz w:val="24"/>
          <w:szCs w:val="24"/>
        </w:rPr>
        <w:t>1</w:t>
      </w:r>
      <w:bookmarkStart w:id="214" w:name="_Toc337558735"/>
      <w:bookmarkStart w:id="215" w:name="_Toc296503036"/>
      <w:bookmarkStart w:id="216" w:name="_Toc296346537"/>
      <w:r>
        <w:rPr>
          <w:rFonts w:hint="eastAsia" w:ascii="宋体" w:hAnsi="宋体" w:eastAsia="宋体" w:cs="宋体"/>
          <w:b w:val="0"/>
          <w:color w:val="auto"/>
          <w:sz w:val="24"/>
          <w:szCs w:val="24"/>
        </w:rPr>
        <w:t>.9化石、文物</w:t>
      </w:r>
      <w:bookmarkEnd w:id="213"/>
    </w:p>
    <w:bookmarkEnd w:id="214"/>
    <w:bookmarkEnd w:id="215"/>
    <w:bookmarkEnd w:id="216"/>
    <w:p w14:paraId="353062B6">
      <w:pPr>
        <w:autoSpaceDE w:val="0"/>
        <w:autoSpaceDN w:val="0"/>
        <w:adjustRightInd w:val="0"/>
        <w:spacing w:beforeLines="0" w:afterLines="0" w:line="312" w:lineRule="auto"/>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在施工现场发掘的所有文物、古迹以及具有地质研究或考古价值的其他遗迹、化石、钱币或物品属于国家所有。一旦发现上述文物，承包人应采取合理有效的保护措施，防止任何人员移动或损坏上述物品，并立即报告有关政府行政管理部门，同时通知监理人。</w:t>
      </w:r>
    </w:p>
    <w:p w14:paraId="20927C73">
      <w:pPr>
        <w:autoSpaceDE w:val="0"/>
        <w:autoSpaceDN w:val="0"/>
        <w:adjustRightInd w:val="0"/>
        <w:spacing w:beforeLines="0" w:afterLines="0" w:line="312" w:lineRule="auto"/>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发包人、监理人和承包人应按有关政府行政管理部门要求采取妥善的保护措施，由此增加的费用和（或）延误的工期由发包人承担。</w:t>
      </w:r>
    </w:p>
    <w:p w14:paraId="35EC7075">
      <w:pPr>
        <w:autoSpaceDE w:val="0"/>
        <w:autoSpaceDN w:val="0"/>
        <w:adjustRightInd w:val="0"/>
        <w:spacing w:beforeLines="0" w:afterLines="0" w:line="312" w:lineRule="auto"/>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承包人发现文物后不及时报告或隐瞒不报，致使文物丢失或损坏的，应赔偿损失，并承担相应的法律责任。</w:t>
      </w:r>
    </w:p>
    <w:p w14:paraId="363C1108">
      <w:pPr>
        <w:pStyle w:val="8"/>
        <w:spacing w:before="120" w:beforeLines="0" w:after="120" w:afterLines="0" w:line="312" w:lineRule="auto"/>
        <w:ind w:firstLine="480" w:firstLineChars="200"/>
        <w:rPr>
          <w:rFonts w:hint="eastAsia" w:ascii="宋体" w:hAnsi="宋体" w:eastAsia="宋体" w:cs="宋体"/>
          <w:b w:val="0"/>
          <w:color w:val="auto"/>
          <w:sz w:val="24"/>
          <w:szCs w:val="24"/>
        </w:rPr>
      </w:pPr>
      <w:bookmarkStart w:id="217" w:name="_Toc351203505"/>
      <w:r>
        <w:rPr>
          <w:rFonts w:hint="eastAsia" w:ascii="宋体" w:hAnsi="宋体" w:eastAsia="宋体" w:cs="宋体"/>
          <w:b w:val="0"/>
          <w:color w:val="auto"/>
          <w:sz w:val="24"/>
          <w:szCs w:val="24"/>
        </w:rPr>
        <w:t>1</w:t>
      </w:r>
      <w:bookmarkStart w:id="218" w:name="_Toc337558736"/>
      <w:r>
        <w:rPr>
          <w:rFonts w:hint="eastAsia" w:ascii="宋体" w:hAnsi="宋体" w:eastAsia="宋体" w:cs="宋体"/>
          <w:b w:val="0"/>
          <w:color w:val="auto"/>
          <w:sz w:val="24"/>
          <w:szCs w:val="24"/>
        </w:rPr>
        <w:t>.10交通运输</w:t>
      </w:r>
      <w:bookmarkEnd w:id="217"/>
    </w:p>
    <w:bookmarkEnd w:id="218"/>
    <w:p w14:paraId="0BCCF8E5">
      <w:pPr>
        <w:spacing w:beforeLines="0" w:afterLines="0" w:line="312" w:lineRule="auto"/>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1.10.1 出入现场的权利</w:t>
      </w:r>
    </w:p>
    <w:p w14:paraId="26057504">
      <w:pPr>
        <w:spacing w:beforeLines="0" w:afterLines="0" w:line="312" w:lineRule="auto"/>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除专用合同条款另有约定外，发包人应根据施工需要，负责取得出入施工现场所需的批准手续和全部权利，以及取得因施工所需修建道路、桥梁以及其他基础设施的权利，并承担相关手续费用和建设费用。承包人应协助发包人办理修建场内外道路、桥梁以及其他基础设施的手续。</w:t>
      </w:r>
    </w:p>
    <w:p w14:paraId="666AB87A">
      <w:pPr>
        <w:spacing w:beforeLines="0" w:afterLines="0" w:line="312" w:lineRule="auto"/>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承包人应在订立合同前查勘施工现场，并根据工程规模及技术参数合理预见工程施工所需的进出施工现场的方式、手段、路径等。因承包人未合理预见所增加的费用和（或）延误的工期由承包人承担。</w:t>
      </w:r>
    </w:p>
    <w:p w14:paraId="4BFB6D02">
      <w:pPr>
        <w:spacing w:beforeLines="0" w:afterLines="0" w:line="312" w:lineRule="auto"/>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1.10.2 场外交通</w:t>
      </w:r>
    </w:p>
    <w:p w14:paraId="23C09811">
      <w:pPr>
        <w:spacing w:beforeLines="0" w:afterLines="0" w:line="312" w:lineRule="auto"/>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发包人应提供场外交通设施的技术参数和具体条件，承包人应遵守有关交通法规，严格按照道路和桥梁的限制荷载行驶，执行有关道路限速、限行、禁止超载的规定，并配合交通管理部门的监督和检查。场外交通设施无法满足工程施工需要的，由发包人负责完善并承担相关费用。</w:t>
      </w:r>
    </w:p>
    <w:p w14:paraId="59282FA6">
      <w:pPr>
        <w:spacing w:beforeLines="0" w:afterLines="0" w:line="312" w:lineRule="auto"/>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1.10.3场内交通</w:t>
      </w:r>
    </w:p>
    <w:p w14:paraId="615FD4BA">
      <w:pPr>
        <w:spacing w:beforeLines="0" w:afterLines="0" w:line="312" w:lineRule="auto"/>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发包人应提供场内交通设施的技术参数和具体条件，并应按照专用合同条款的约定向承包人免费提供满足工程施工所需的场内道路和交通设施。因承包人原因造成上述道路或交通设施损坏的，承包人负责修复并承担由此增加的费用。</w:t>
      </w:r>
    </w:p>
    <w:p w14:paraId="5AEF82F1">
      <w:pPr>
        <w:spacing w:beforeLines="0" w:afterLines="0" w:line="312" w:lineRule="auto"/>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除发包人按照合同约定提供的场内道路和交通设施外，承包人负责修建、维修、养护和管理施工所需的其他场内临时道路和交通设施。发包人和监理人可以为实现合同目的使用承包人修建的场内临时道路和交通设施。</w:t>
      </w:r>
    </w:p>
    <w:p w14:paraId="49FB7FE1">
      <w:pPr>
        <w:spacing w:beforeLines="0" w:afterLines="0" w:line="312" w:lineRule="auto"/>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场外交通和场内交通的边界由合同当事人在专用合同条款中约定。</w:t>
      </w:r>
    </w:p>
    <w:p w14:paraId="7829D37F">
      <w:pPr>
        <w:spacing w:beforeLines="0" w:afterLines="0" w:line="312" w:lineRule="auto"/>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1.10.4 超大件和超重件的运输</w:t>
      </w:r>
    </w:p>
    <w:p w14:paraId="6B603B1D">
      <w:pPr>
        <w:spacing w:beforeLines="0" w:afterLines="0" w:line="312" w:lineRule="auto"/>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由承包人负责运输的超大件或超重件，应由承包人负责向交通管理部门办理申请手续，发包人给予协助。运输超大件或超重件所需的道路和桥梁临时加固改造费用和其他有关费用，由承包人承担，但专用合同条款另有约定除外。</w:t>
      </w:r>
    </w:p>
    <w:p w14:paraId="14FDB27C">
      <w:pPr>
        <w:spacing w:beforeLines="0" w:afterLines="0" w:line="312" w:lineRule="auto"/>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1.10.5 道路和桥梁的损坏责任</w:t>
      </w:r>
    </w:p>
    <w:p w14:paraId="1FFE4DE0">
      <w:pPr>
        <w:spacing w:beforeLines="0" w:afterLines="0" w:line="312" w:lineRule="auto"/>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因承包人运输造成施工场地内外公共道路和桥梁损坏的，由承包人承担修复损坏的全部费用和可能引起的赔偿。</w:t>
      </w:r>
    </w:p>
    <w:p w14:paraId="2D7050CE">
      <w:pPr>
        <w:spacing w:beforeLines="0" w:afterLines="0" w:line="312" w:lineRule="auto"/>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1.10.6 水路和航空运输</w:t>
      </w:r>
    </w:p>
    <w:p w14:paraId="37AC238F">
      <w:pPr>
        <w:spacing w:beforeLines="0" w:afterLines="0" w:line="312" w:lineRule="auto"/>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本款前述各项的内容适用于水路运输和航空运输，其中“道路”一词的涵义包括河道、航线、船闸、机场、码头、堤防以及水路或航空运输中其他相似结构物；“车辆”一词的涵义包括船舶和飞机等。</w:t>
      </w:r>
    </w:p>
    <w:p w14:paraId="6506E22E">
      <w:pPr>
        <w:pStyle w:val="8"/>
        <w:spacing w:before="120" w:beforeLines="0" w:after="120" w:afterLines="0" w:line="312" w:lineRule="auto"/>
        <w:ind w:firstLine="480" w:firstLineChars="200"/>
        <w:rPr>
          <w:rFonts w:hint="eastAsia" w:ascii="宋体" w:hAnsi="宋体" w:eastAsia="宋体" w:cs="宋体"/>
          <w:b w:val="0"/>
          <w:color w:val="auto"/>
          <w:sz w:val="24"/>
          <w:szCs w:val="24"/>
        </w:rPr>
      </w:pPr>
      <w:bookmarkStart w:id="219" w:name="_Toc351203506"/>
      <w:r>
        <w:rPr>
          <w:rFonts w:hint="eastAsia" w:ascii="宋体" w:hAnsi="宋体" w:eastAsia="宋体" w:cs="宋体"/>
          <w:b w:val="0"/>
          <w:color w:val="auto"/>
          <w:sz w:val="24"/>
          <w:szCs w:val="24"/>
        </w:rPr>
        <w:t>1</w:t>
      </w:r>
      <w:bookmarkStart w:id="220" w:name="_Toc337558737"/>
      <w:bookmarkStart w:id="221" w:name="_Toc296346538"/>
      <w:bookmarkStart w:id="222" w:name="_Toc296503037"/>
      <w:r>
        <w:rPr>
          <w:rFonts w:hint="eastAsia" w:ascii="宋体" w:hAnsi="宋体" w:eastAsia="宋体" w:cs="宋体"/>
          <w:b w:val="0"/>
          <w:color w:val="auto"/>
          <w:sz w:val="24"/>
          <w:szCs w:val="24"/>
        </w:rPr>
        <w:t>.11知识产权</w:t>
      </w:r>
      <w:bookmarkEnd w:id="219"/>
      <w:r>
        <w:rPr>
          <w:rFonts w:hint="eastAsia" w:ascii="宋体" w:hAnsi="宋体" w:eastAsia="宋体" w:cs="宋体"/>
          <w:b w:val="0"/>
          <w:color w:val="auto"/>
          <w:sz w:val="24"/>
          <w:szCs w:val="24"/>
        </w:rPr>
        <w:t xml:space="preserve"> </w:t>
      </w:r>
      <w:bookmarkEnd w:id="220"/>
    </w:p>
    <w:bookmarkEnd w:id="221"/>
    <w:bookmarkEnd w:id="222"/>
    <w:p w14:paraId="729027B4">
      <w:pPr>
        <w:autoSpaceDE w:val="0"/>
        <w:autoSpaceDN w:val="0"/>
        <w:adjustRightInd w:val="0"/>
        <w:spacing w:beforeLines="0" w:afterLines="0" w:line="312" w:lineRule="auto"/>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1.11.1 除专用合同条款另有约定外，发包人提供给承包人的图纸、发包人为实施工程自行编制或委托编制的技术规范以及反映发包人要求的或其他类似性质的文件的著作权属于发包人，承包人可以为实现合同目的而复制、使用此类文件，但不能用于与合同无关的其他事项。未经发包人书面同意，承包人不得为了合同以外的目的而复制、使用上述文件或将之提供给任何第三方。</w:t>
      </w:r>
    </w:p>
    <w:p w14:paraId="79F5E540">
      <w:pPr>
        <w:autoSpaceDE w:val="0"/>
        <w:autoSpaceDN w:val="0"/>
        <w:adjustRightInd w:val="0"/>
        <w:spacing w:beforeLines="0" w:afterLines="0" w:line="312" w:lineRule="auto"/>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1.11.2 除专用合同条款另有约定外，承包人为实施工程所编制的文件，除署名权以外的著作权属于发包人，承包人可因实施工程的运行、调试、维修、改造等目的而复制、使用此类文件，但不能用于与合同无关的其他事项。未经发包人书面同意，承包人不得为了合同以外的目的而复制、使用上述文件或将之提供给任何第三方。</w:t>
      </w:r>
    </w:p>
    <w:p w14:paraId="04278150">
      <w:pPr>
        <w:autoSpaceDE w:val="0"/>
        <w:autoSpaceDN w:val="0"/>
        <w:adjustRightInd w:val="0"/>
        <w:spacing w:beforeLines="0" w:afterLines="0" w:line="312" w:lineRule="auto"/>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1.11.3 合同当事人保证在履行合同过程中不侵犯对方及第三方的知识产权。承包人在使用材料、施工设备、工程设备或采用施工工艺时，因侵犯他人的专利权或其他知识产权所引起的责任，由承包人承担；因发包人提供的材料、施工设备、工程设备或施工工艺导致侵权的，由发包人承担责任。</w:t>
      </w:r>
    </w:p>
    <w:p w14:paraId="5F95F93A">
      <w:pPr>
        <w:spacing w:beforeLines="0" w:afterLines="0" w:line="312" w:lineRule="auto"/>
        <w:rPr>
          <w:rFonts w:hint="eastAsia" w:ascii="宋体" w:hAnsi="宋体" w:eastAsia="宋体" w:cs="宋体"/>
          <w:color w:val="auto"/>
          <w:sz w:val="24"/>
          <w:szCs w:val="24"/>
        </w:rPr>
      </w:pPr>
      <w:r>
        <w:rPr>
          <w:rFonts w:hint="eastAsia" w:ascii="宋体" w:hAnsi="宋体" w:eastAsia="宋体" w:cs="宋体"/>
          <w:color w:val="auto"/>
          <w:kern w:val="0"/>
          <w:sz w:val="24"/>
          <w:szCs w:val="24"/>
        </w:rPr>
        <w:t xml:space="preserve">    </w:t>
      </w:r>
      <w:r>
        <w:rPr>
          <w:rFonts w:hint="eastAsia" w:ascii="宋体" w:hAnsi="宋体" w:eastAsia="宋体" w:cs="宋体"/>
          <w:color w:val="auto"/>
          <w:sz w:val="24"/>
          <w:szCs w:val="24"/>
        </w:rPr>
        <w:t>1.11.4 除专用合同条款另有约定外，承包人在合同签订前和签订时已确定采用的专利、专有技术、技术秘密的使用费已包含在签约合同价中。</w:t>
      </w:r>
    </w:p>
    <w:p w14:paraId="4098B14E">
      <w:pPr>
        <w:pStyle w:val="8"/>
        <w:spacing w:before="120" w:beforeLines="0" w:after="120" w:afterLines="0" w:line="312" w:lineRule="auto"/>
        <w:ind w:firstLine="480" w:firstLineChars="200"/>
        <w:rPr>
          <w:rFonts w:hint="eastAsia" w:ascii="宋体" w:hAnsi="宋体" w:eastAsia="宋体" w:cs="宋体"/>
          <w:b w:val="0"/>
          <w:color w:val="auto"/>
          <w:sz w:val="24"/>
          <w:szCs w:val="24"/>
        </w:rPr>
      </w:pPr>
      <w:bookmarkStart w:id="223" w:name="_Toc351203507"/>
      <w:r>
        <w:rPr>
          <w:rFonts w:hint="eastAsia" w:ascii="宋体" w:hAnsi="宋体" w:eastAsia="宋体" w:cs="宋体"/>
          <w:b w:val="0"/>
          <w:color w:val="auto"/>
          <w:sz w:val="24"/>
          <w:szCs w:val="24"/>
        </w:rPr>
        <w:t>1</w:t>
      </w:r>
      <w:bookmarkStart w:id="224" w:name="_Toc337558738"/>
      <w:r>
        <w:rPr>
          <w:rFonts w:hint="eastAsia" w:ascii="宋体" w:hAnsi="宋体" w:eastAsia="宋体" w:cs="宋体"/>
          <w:b w:val="0"/>
          <w:color w:val="auto"/>
          <w:sz w:val="24"/>
          <w:szCs w:val="24"/>
        </w:rPr>
        <w:t>.12保密</w:t>
      </w:r>
      <w:bookmarkEnd w:id="223"/>
    </w:p>
    <w:bookmarkEnd w:id="224"/>
    <w:p w14:paraId="14F64E34">
      <w:pPr>
        <w:autoSpaceDE w:val="0"/>
        <w:autoSpaceDN w:val="0"/>
        <w:adjustRightInd w:val="0"/>
        <w:spacing w:beforeLines="0" w:afterLines="0" w:line="312" w:lineRule="auto"/>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除法律规定或合同另有约定外，未经发包人同意，承包人不得将发包人提供的图纸、文件以及声明需要保密的资料信息等商业秘密泄露给第三方。</w:t>
      </w:r>
    </w:p>
    <w:p w14:paraId="7ED2AD68">
      <w:pPr>
        <w:autoSpaceDE w:val="0"/>
        <w:autoSpaceDN w:val="0"/>
        <w:adjustRightInd w:val="0"/>
        <w:spacing w:beforeLines="0" w:afterLines="0" w:line="312" w:lineRule="auto"/>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除法律规定或合同另有约定外，未经承包人同意，发包人不得将承包人提供的技术秘密及声明需要保密的资料信息等商业秘密泄露给第三方。</w:t>
      </w:r>
    </w:p>
    <w:p w14:paraId="4AC012E4">
      <w:pPr>
        <w:pStyle w:val="8"/>
        <w:spacing w:before="120" w:beforeLines="0" w:after="120" w:afterLines="0" w:line="312" w:lineRule="auto"/>
        <w:ind w:firstLine="480" w:firstLineChars="200"/>
        <w:rPr>
          <w:rFonts w:hint="eastAsia" w:ascii="宋体" w:hAnsi="宋体" w:eastAsia="宋体" w:cs="宋体"/>
          <w:b w:val="0"/>
          <w:color w:val="auto"/>
          <w:sz w:val="24"/>
          <w:szCs w:val="24"/>
        </w:rPr>
      </w:pPr>
      <w:bookmarkStart w:id="225" w:name="_Toc351203508"/>
      <w:r>
        <w:rPr>
          <w:rFonts w:hint="eastAsia" w:ascii="宋体" w:hAnsi="宋体" w:eastAsia="宋体" w:cs="宋体"/>
          <w:b w:val="0"/>
          <w:color w:val="auto"/>
          <w:sz w:val="24"/>
          <w:szCs w:val="24"/>
        </w:rPr>
        <w:t>1.13工程量清单错误的修正</w:t>
      </w:r>
      <w:bookmarkEnd w:id="225"/>
    </w:p>
    <w:p w14:paraId="01B8D387">
      <w:pPr>
        <w:autoSpaceDE w:val="0"/>
        <w:autoSpaceDN w:val="0"/>
        <w:adjustRightInd w:val="0"/>
        <w:spacing w:beforeLines="0" w:afterLines="0" w:line="312" w:lineRule="auto"/>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除专用合同条款另有约定外，发包人提供的工程量清单，应被认为是准确的和完整的。出现下列情形之一时，发包人应予以修正，并相应调整合同价格：</w:t>
      </w:r>
    </w:p>
    <w:p w14:paraId="34894D35">
      <w:pPr>
        <w:autoSpaceDE w:val="0"/>
        <w:autoSpaceDN w:val="0"/>
        <w:adjustRightInd w:val="0"/>
        <w:spacing w:beforeLines="0" w:afterLines="0" w:line="312" w:lineRule="auto"/>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（1）工程量清单存在缺项、漏项的；</w:t>
      </w:r>
    </w:p>
    <w:p w14:paraId="7ED2746F">
      <w:pPr>
        <w:autoSpaceDE w:val="0"/>
        <w:autoSpaceDN w:val="0"/>
        <w:adjustRightInd w:val="0"/>
        <w:spacing w:beforeLines="0" w:afterLines="0" w:line="312" w:lineRule="auto"/>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（2）工程量清单偏差超出专用合同条款约定的工程量偏差范围的；</w:t>
      </w:r>
    </w:p>
    <w:p w14:paraId="15CFB2EC">
      <w:pPr>
        <w:autoSpaceDE w:val="0"/>
        <w:autoSpaceDN w:val="0"/>
        <w:adjustRightInd w:val="0"/>
        <w:spacing w:beforeLines="0" w:afterLines="0" w:line="312" w:lineRule="auto"/>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（3）未按照国家现行计量规范强制性规定计量的。</w:t>
      </w:r>
    </w:p>
    <w:p w14:paraId="055CF404">
      <w:pPr>
        <w:pStyle w:val="7"/>
        <w:spacing w:before="120" w:beforeLines="0" w:after="120" w:afterLines="0" w:line="312" w:lineRule="auto"/>
        <w:rPr>
          <w:rFonts w:hint="eastAsia" w:ascii="宋体" w:hAnsi="宋体" w:eastAsia="宋体" w:cs="宋体"/>
          <w:b w:val="0"/>
          <w:color w:val="auto"/>
          <w:sz w:val="24"/>
          <w:szCs w:val="24"/>
        </w:rPr>
      </w:pPr>
      <w:bookmarkStart w:id="226" w:name="_Toc351203509"/>
      <w:r>
        <w:rPr>
          <w:rFonts w:hint="eastAsia" w:ascii="宋体" w:hAnsi="宋体" w:eastAsia="宋体" w:cs="宋体"/>
          <w:b w:val="0"/>
          <w:color w:val="auto"/>
          <w:sz w:val="24"/>
          <w:szCs w:val="24"/>
        </w:rPr>
        <w:t>2</w:t>
      </w:r>
      <w:bookmarkStart w:id="227" w:name="_Toc337558739"/>
      <w:bookmarkStart w:id="228" w:name="_Toc296503038"/>
      <w:bookmarkStart w:id="229" w:name="_Toc296346539"/>
      <w:bookmarkStart w:id="230" w:name="OLE_LINK2"/>
      <w:bookmarkStart w:id="231" w:name="OLE_LINK1"/>
      <w:r>
        <w:rPr>
          <w:rFonts w:hint="eastAsia" w:ascii="宋体" w:hAnsi="宋体" w:eastAsia="宋体" w:cs="宋体"/>
          <w:b w:val="0"/>
          <w:color w:val="auto"/>
          <w:sz w:val="24"/>
          <w:szCs w:val="24"/>
        </w:rPr>
        <w:t>. 发包人</w:t>
      </w:r>
      <w:bookmarkEnd w:id="226"/>
    </w:p>
    <w:bookmarkEnd w:id="227"/>
    <w:bookmarkEnd w:id="228"/>
    <w:bookmarkEnd w:id="229"/>
    <w:p w14:paraId="12F27443">
      <w:pPr>
        <w:pStyle w:val="8"/>
        <w:spacing w:before="120" w:beforeLines="0" w:after="120" w:afterLines="0" w:line="312" w:lineRule="auto"/>
        <w:ind w:firstLine="480" w:firstLineChars="200"/>
        <w:rPr>
          <w:rFonts w:hint="eastAsia" w:ascii="宋体" w:hAnsi="宋体" w:eastAsia="宋体" w:cs="宋体"/>
          <w:b w:val="0"/>
          <w:color w:val="auto"/>
          <w:sz w:val="24"/>
          <w:szCs w:val="24"/>
        </w:rPr>
      </w:pPr>
      <w:bookmarkStart w:id="232" w:name="_Toc351203510"/>
      <w:r>
        <w:rPr>
          <w:rFonts w:hint="eastAsia" w:ascii="宋体" w:hAnsi="宋体" w:eastAsia="宋体" w:cs="宋体"/>
          <w:b w:val="0"/>
          <w:color w:val="auto"/>
          <w:sz w:val="24"/>
          <w:szCs w:val="24"/>
        </w:rPr>
        <w:t>2</w:t>
      </w:r>
      <w:bookmarkStart w:id="233" w:name="_Toc296346540"/>
      <w:bookmarkStart w:id="234" w:name="_Toc296503039"/>
      <w:bookmarkStart w:id="235" w:name="_Toc337558740"/>
      <w:r>
        <w:rPr>
          <w:rFonts w:hint="eastAsia" w:ascii="宋体" w:hAnsi="宋体" w:eastAsia="宋体" w:cs="宋体"/>
          <w:b w:val="0"/>
          <w:color w:val="auto"/>
          <w:sz w:val="24"/>
          <w:szCs w:val="24"/>
        </w:rPr>
        <w:t>.1 许可或批准</w:t>
      </w:r>
      <w:bookmarkEnd w:id="232"/>
    </w:p>
    <w:p w14:paraId="37449ABD">
      <w:pPr>
        <w:autoSpaceDE w:val="0"/>
        <w:autoSpaceDN w:val="0"/>
        <w:adjustRightInd w:val="0"/>
        <w:spacing w:beforeLines="0" w:afterLines="0" w:line="312" w:lineRule="auto"/>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发包人应遵守法律，并办理法律规定由其办理的许可、批准或备案，包括但不限于建设用地规划许可证、建设工程规划许可证、建设工程施工许可证、施工所需临时用水、临时用电、中断道路交通、临时占用土地等许可和批准。发包人应协助承包人办理法律规定的有关施工证件和批件。</w:t>
      </w:r>
    </w:p>
    <w:p w14:paraId="5D6FBDED">
      <w:pPr>
        <w:autoSpaceDE w:val="0"/>
        <w:autoSpaceDN w:val="0"/>
        <w:adjustRightInd w:val="0"/>
        <w:spacing w:beforeLines="0" w:afterLines="0" w:line="312" w:lineRule="auto"/>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因发包人原因未能及时办理完毕前述许可、批准或备案，由发包人承担由此增加的费用和（或）延误的工期，并支付承包人合理的利润。</w:t>
      </w:r>
    </w:p>
    <w:p w14:paraId="7DC64524">
      <w:pPr>
        <w:pStyle w:val="8"/>
        <w:spacing w:before="120" w:beforeLines="0" w:after="120" w:afterLines="0" w:line="312" w:lineRule="auto"/>
        <w:ind w:firstLine="480" w:firstLineChars="200"/>
        <w:rPr>
          <w:rFonts w:hint="eastAsia" w:ascii="宋体" w:hAnsi="宋体" w:eastAsia="宋体" w:cs="宋体"/>
          <w:b w:val="0"/>
          <w:color w:val="auto"/>
          <w:sz w:val="24"/>
          <w:szCs w:val="24"/>
        </w:rPr>
      </w:pPr>
      <w:bookmarkStart w:id="236" w:name="_Toc351203511"/>
      <w:r>
        <w:rPr>
          <w:rFonts w:hint="eastAsia" w:ascii="宋体" w:hAnsi="宋体" w:eastAsia="宋体" w:cs="宋体"/>
          <w:b w:val="0"/>
          <w:color w:val="auto"/>
          <w:sz w:val="24"/>
          <w:szCs w:val="24"/>
        </w:rPr>
        <w:t>2.2 发包人代表</w:t>
      </w:r>
      <w:bookmarkEnd w:id="236"/>
    </w:p>
    <w:p w14:paraId="2EC71869">
      <w:pPr>
        <w:autoSpaceDE w:val="0"/>
        <w:autoSpaceDN w:val="0"/>
        <w:adjustRightInd w:val="0"/>
        <w:spacing w:beforeLines="0" w:afterLines="0" w:line="312" w:lineRule="auto"/>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发包人应在专用合同条款中明确其派驻施工现场的发包人代表的姓名、职务、联系方式及授权范围等事项。发包人代表在发包人的授权范围内，负责处理合同履行过程中与发包人有关的具体事宜。发包人代表在授权范围内的行为由发包人承担法律责任。发包人更换发包人代表的，应提前7天书面通知承包人。</w:t>
      </w:r>
    </w:p>
    <w:p w14:paraId="249E0CF4">
      <w:pPr>
        <w:spacing w:beforeLines="0" w:afterLines="0" w:line="312" w:lineRule="auto"/>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发包人代表不能按照合同约定履行其职责及义务，并导致合同无法继续正常履行的，承包人可以要求发包人撤换发包人代表。</w:t>
      </w:r>
    </w:p>
    <w:p w14:paraId="4F26432F">
      <w:pPr>
        <w:spacing w:beforeLines="0" w:afterLines="0" w:line="312"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kern w:val="0"/>
          <w:sz w:val="24"/>
          <w:szCs w:val="24"/>
        </w:rPr>
        <w:t>不属于法定必须监理的工程，监理人的职权可以由发包人代表或发包人指定的其他人员行使。</w:t>
      </w:r>
    </w:p>
    <w:p w14:paraId="47640FB3">
      <w:pPr>
        <w:pStyle w:val="8"/>
        <w:spacing w:before="120" w:beforeLines="0" w:after="120" w:afterLines="0" w:line="312" w:lineRule="auto"/>
        <w:ind w:firstLine="480" w:firstLineChars="200"/>
        <w:rPr>
          <w:rFonts w:hint="eastAsia" w:ascii="宋体" w:hAnsi="宋体" w:eastAsia="宋体" w:cs="宋体"/>
          <w:b w:val="0"/>
          <w:color w:val="auto"/>
          <w:sz w:val="24"/>
          <w:szCs w:val="24"/>
        </w:rPr>
      </w:pPr>
      <w:bookmarkStart w:id="237" w:name="_Toc351203512"/>
      <w:r>
        <w:rPr>
          <w:rFonts w:hint="eastAsia" w:ascii="宋体" w:hAnsi="宋体" w:eastAsia="宋体" w:cs="宋体"/>
          <w:b w:val="0"/>
          <w:color w:val="auto"/>
          <w:sz w:val="24"/>
          <w:szCs w:val="24"/>
        </w:rPr>
        <w:t>2.3 发包人人员</w:t>
      </w:r>
      <w:bookmarkEnd w:id="237"/>
    </w:p>
    <w:p w14:paraId="50CFC3BA">
      <w:pPr>
        <w:autoSpaceDE w:val="0"/>
        <w:autoSpaceDN w:val="0"/>
        <w:adjustRightInd w:val="0"/>
        <w:spacing w:beforeLines="0" w:afterLines="0" w:line="312" w:lineRule="auto"/>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发包人应要求在施工现场的发包人人员遵守法律及有关安全、质量、环境保护、文明施工等规定，并保障承包人免于承受因发包人人员未遵守上述要求给承包人造成的损失和责任。</w:t>
      </w:r>
    </w:p>
    <w:p w14:paraId="60F553A3">
      <w:pPr>
        <w:spacing w:beforeLines="0" w:afterLines="0" w:line="312" w:lineRule="auto"/>
        <w:ind w:firstLine="64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发包人人员包括发包人代表及其他由发包人派驻施工现场的人员。</w:t>
      </w:r>
      <w:bookmarkEnd w:id="233"/>
      <w:bookmarkEnd w:id="234"/>
      <w:bookmarkEnd w:id="235"/>
    </w:p>
    <w:p w14:paraId="6EB3AD37">
      <w:pPr>
        <w:pStyle w:val="8"/>
        <w:spacing w:before="120" w:beforeLines="0" w:after="120" w:afterLines="0" w:line="312" w:lineRule="auto"/>
        <w:ind w:firstLine="480" w:firstLineChars="200"/>
        <w:rPr>
          <w:rFonts w:hint="eastAsia" w:ascii="宋体" w:hAnsi="宋体" w:eastAsia="宋体" w:cs="宋体"/>
          <w:b w:val="0"/>
          <w:color w:val="auto"/>
          <w:sz w:val="24"/>
          <w:szCs w:val="24"/>
        </w:rPr>
      </w:pPr>
      <w:bookmarkStart w:id="238" w:name="_Toc351203513"/>
      <w:r>
        <w:rPr>
          <w:rFonts w:hint="eastAsia" w:ascii="宋体" w:hAnsi="宋体" w:eastAsia="宋体" w:cs="宋体"/>
          <w:b w:val="0"/>
          <w:color w:val="auto"/>
          <w:sz w:val="24"/>
          <w:szCs w:val="24"/>
        </w:rPr>
        <w:t>2</w:t>
      </w:r>
      <w:bookmarkStart w:id="239" w:name="_Toc337558741"/>
      <w:bookmarkStart w:id="240" w:name="_Toc296503040"/>
      <w:bookmarkStart w:id="241" w:name="_Toc296346541"/>
      <w:r>
        <w:rPr>
          <w:rFonts w:hint="eastAsia" w:ascii="宋体" w:hAnsi="宋体" w:eastAsia="宋体" w:cs="宋体"/>
          <w:b w:val="0"/>
          <w:color w:val="auto"/>
          <w:sz w:val="24"/>
          <w:szCs w:val="24"/>
        </w:rPr>
        <w:t>.4 施工现场、施工条件和基础资料的提供</w:t>
      </w:r>
      <w:bookmarkEnd w:id="238"/>
      <w:r>
        <w:rPr>
          <w:rFonts w:hint="eastAsia" w:ascii="宋体" w:hAnsi="宋体" w:eastAsia="宋体" w:cs="宋体"/>
          <w:b w:val="0"/>
          <w:color w:val="auto"/>
          <w:sz w:val="24"/>
          <w:szCs w:val="24"/>
        </w:rPr>
        <w:t xml:space="preserve"> </w:t>
      </w:r>
      <w:bookmarkEnd w:id="239"/>
      <w:bookmarkEnd w:id="240"/>
      <w:bookmarkEnd w:id="241"/>
      <w:r>
        <w:rPr>
          <w:rFonts w:hint="eastAsia" w:ascii="宋体" w:hAnsi="宋体" w:eastAsia="宋体" w:cs="宋体"/>
          <w:b w:val="0"/>
          <w:color w:val="auto"/>
          <w:sz w:val="24"/>
          <w:szCs w:val="24"/>
        </w:rPr>
        <w:t xml:space="preserve"> </w:t>
      </w:r>
    </w:p>
    <w:p w14:paraId="135AE982">
      <w:pPr>
        <w:autoSpaceDE w:val="0"/>
        <w:autoSpaceDN w:val="0"/>
        <w:adjustRightInd w:val="0"/>
        <w:spacing w:beforeLines="0" w:afterLines="0" w:line="312" w:lineRule="auto"/>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2.4.1 提供施工现场</w:t>
      </w:r>
    </w:p>
    <w:p w14:paraId="3606A6D0">
      <w:pPr>
        <w:autoSpaceDE w:val="0"/>
        <w:autoSpaceDN w:val="0"/>
        <w:adjustRightInd w:val="0"/>
        <w:spacing w:beforeLines="0" w:afterLines="0" w:line="312" w:lineRule="auto"/>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除</w:t>
      </w:r>
      <w:bookmarkEnd w:id="230"/>
      <w:bookmarkEnd w:id="231"/>
      <w:r>
        <w:rPr>
          <w:rFonts w:hint="eastAsia" w:ascii="宋体" w:hAnsi="宋体" w:eastAsia="宋体" w:cs="宋体"/>
          <w:color w:val="auto"/>
          <w:kern w:val="0"/>
          <w:sz w:val="24"/>
          <w:szCs w:val="24"/>
        </w:rPr>
        <w:t>专用合同条款另有约定外，发包人应最迟于开工日期7天前向承包人移交施工现场。</w:t>
      </w:r>
    </w:p>
    <w:p w14:paraId="74D1E60F">
      <w:pPr>
        <w:autoSpaceDE w:val="0"/>
        <w:autoSpaceDN w:val="0"/>
        <w:adjustRightInd w:val="0"/>
        <w:spacing w:beforeLines="0" w:afterLines="0" w:line="312" w:lineRule="auto"/>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2.4.2 提供施工条件</w:t>
      </w:r>
    </w:p>
    <w:p w14:paraId="6A37FF16">
      <w:pPr>
        <w:autoSpaceDE w:val="0"/>
        <w:autoSpaceDN w:val="0"/>
        <w:adjustRightInd w:val="0"/>
        <w:spacing w:beforeLines="0" w:afterLines="0" w:line="312" w:lineRule="auto"/>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除专用合同条款另有约定外，发包人应负责提供施工所需要的条件，包括：</w:t>
      </w:r>
    </w:p>
    <w:p w14:paraId="7751BA51">
      <w:pPr>
        <w:autoSpaceDE w:val="0"/>
        <w:autoSpaceDN w:val="0"/>
        <w:adjustRightInd w:val="0"/>
        <w:spacing w:beforeLines="0" w:afterLines="0" w:line="312" w:lineRule="auto"/>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（1）将施工用水、电力、通讯线路等施工所必需的条件接至施工现场内；</w:t>
      </w:r>
    </w:p>
    <w:p w14:paraId="5EFCD300">
      <w:pPr>
        <w:autoSpaceDE w:val="0"/>
        <w:autoSpaceDN w:val="0"/>
        <w:adjustRightInd w:val="0"/>
        <w:spacing w:beforeLines="0" w:afterLines="0" w:line="312" w:lineRule="auto"/>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（2）保证向承包人提供正常施工所需要的进入施工现场的交通条件；</w:t>
      </w:r>
    </w:p>
    <w:p w14:paraId="1BD705DC">
      <w:pPr>
        <w:autoSpaceDE w:val="0"/>
        <w:autoSpaceDN w:val="0"/>
        <w:adjustRightInd w:val="0"/>
        <w:spacing w:beforeLines="0" w:afterLines="0" w:line="312" w:lineRule="auto"/>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（3）协调处理施工现场周围地下管线和邻近建筑物、构筑物、古树名木的保护工作，并承担相关费用；</w:t>
      </w:r>
    </w:p>
    <w:p w14:paraId="16D4D451">
      <w:pPr>
        <w:autoSpaceDE w:val="0"/>
        <w:autoSpaceDN w:val="0"/>
        <w:adjustRightInd w:val="0"/>
        <w:spacing w:beforeLines="0" w:afterLines="0" w:line="312" w:lineRule="auto"/>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（4）按照专用合同条款约定应提供的其他设施和条件。</w:t>
      </w:r>
    </w:p>
    <w:p w14:paraId="177DF68C">
      <w:pPr>
        <w:autoSpaceDE w:val="0"/>
        <w:autoSpaceDN w:val="0"/>
        <w:adjustRightInd w:val="0"/>
        <w:spacing w:beforeLines="0" w:afterLines="0" w:line="312"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kern w:val="0"/>
          <w:sz w:val="24"/>
          <w:szCs w:val="24"/>
        </w:rPr>
        <w:t>2.4.3 提供基础资料</w:t>
      </w:r>
    </w:p>
    <w:p w14:paraId="2D949D64">
      <w:pPr>
        <w:autoSpaceDE w:val="0"/>
        <w:autoSpaceDN w:val="0"/>
        <w:adjustRightInd w:val="0"/>
        <w:spacing w:beforeLines="0" w:afterLines="0" w:line="312" w:lineRule="auto"/>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发包人应当在移交施工现场前向承包人提供施工现场及工程施工所必需的毗邻区域内供水、排水、供电、供气、供热、通信、广播电视等地下管线资料，气象和水文观测资料，地质勘察资料，相邻建筑物、构筑物和地下工程等有关基础资料，并对所提供资料的真实性、准确性和完整性负责。</w:t>
      </w:r>
    </w:p>
    <w:p w14:paraId="51F5CC63">
      <w:pPr>
        <w:autoSpaceDE w:val="0"/>
        <w:autoSpaceDN w:val="0"/>
        <w:adjustRightInd w:val="0"/>
        <w:spacing w:beforeLines="0" w:afterLines="0" w:line="312" w:lineRule="auto"/>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按照法律规定确需在开工后方能提供的基础资料，发包人应尽其努力及时地在相应工程施工前的合理期限内提供，合理期限应以不影响承包人的正常施工为限。</w:t>
      </w:r>
    </w:p>
    <w:p w14:paraId="72610AAF">
      <w:pPr>
        <w:spacing w:beforeLines="0" w:afterLines="0" w:line="312" w:lineRule="auto"/>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2.4.4 逾期提供的责任</w:t>
      </w:r>
    </w:p>
    <w:p w14:paraId="3E8EBC4C">
      <w:pPr>
        <w:spacing w:beforeLines="0" w:afterLines="0" w:line="312" w:lineRule="auto"/>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因发包人原因未能按合同约定及时向承包人提供施工现场、施工条件、基础资料的，由发包人承担由此增加的费用和（或）延误的工期。</w:t>
      </w:r>
    </w:p>
    <w:p w14:paraId="4E6ADF44">
      <w:pPr>
        <w:pStyle w:val="8"/>
        <w:spacing w:before="120" w:beforeLines="0" w:after="120" w:afterLines="0" w:line="312" w:lineRule="auto"/>
        <w:ind w:firstLine="480" w:firstLineChars="200"/>
        <w:rPr>
          <w:rFonts w:hint="eastAsia" w:ascii="宋体" w:hAnsi="宋体" w:eastAsia="宋体" w:cs="宋体"/>
          <w:b w:val="0"/>
          <w:color w:val="auto"/>
          <w:sz w:val="24"/>
          <w:szCs w:val="24"/>
        </w:rPr>
      </w:pPr>
      <w:bookmarkStart w:id="242" w:name="_Toc351203514"/>
      <w:r>
        <w:rPr>
          <w:rFonts w:hint="eastAsia" w:ascii="宋体" w:hAnsi="宋体" w:eastAsia="宋体" w:cs="宋体"/>
          <w:b w:val="0"/>
          <w:color w:val="auto"/>
          <w:sz w:val="24"/>
          <w:szCs w:val="24"/>
        </w:rPr>
        <w:t>2</w:t>
      </w:r>
      <w:bookmarkStart w:id="243" w:name="_Toc296503042"/>
      <w:bookmarkStart w:id="244" w:name="_Toc296346543"/>
      <w:bookmarkStart w:id="245" w:name="_Toc337558745"/>
      <w:r>
        <w:rPr>
          <w:rFonts w:hint="eastAsia" w:ascii="宋体" w:hAnsi="宋体" w:eastAsia="宋体" w:cs="宋体"/>
          <w:b w:val="0"/>
          <w:color w:val="auto"/>
          <w:sz w:val="24"/>
          <w:szCs w:val="24"/>
        </w:rPr>
        <w:t>.5 资</w:t>
      </w:r>
      <w:bookmarkEnd w:id="243"/>
      <w:bookmarkEnd w:id="244"/>
      <w:bookmarkEnd w:id="245"/>
      <w:r>
        <w:rPr>
          <w:rFonts w:hint="eastAsia" w:ascii="宋体" w:hAnsi="宋体" w:eastAsia="宋体" w:cs="宋体"/>
          <w:b w:val="0"/>
          <w:color w:val="auto"/>
          <w:sz w:val="24"/>
          <w:szCs w:val="24"/>
        </w:rPr>
        <w:t>金来源证明及支付担保</w:t>
      </w:r>
      <w:bookmarkEnd w:id="242"/>
    </w:p>
    <w:p w14:paraId="660E0974">
      <w:pPr>
        <w:spacing w:beforeLines="0" w:afterLines="0" w:line="312" w:lineRule="auto"/>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除专用合同条款另有约定外，发包人应在收到承包人要求提供资金来源证明的书面通知后28天内，向承包人提供能够按照合同约定支付合同价款的相应资金来源证明。</w:t>
      </w:r>
    </w:p>
    <w:p w14:paraId="011772E9">
      <w:pPr>
        <w:spacing w:beforeLines="0" w:afterLines="0" w:line="312" w:lineRule="auto"/>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除专用合同条款另有约定外，发包人要求承包人提供履约担保的，发包人应当向承包人提供支付担保。支付担保可以采用银行保函或担保公司担保等形式，具体由合同当事人在专用合同条款中约定。</w:t>
      </w:r>
    </w:p>
    <w:p w14:paraId="00FA6AE6">
      <w:pPr>
        <w:pStyle w:val="8"/>
        <w:spacing w:before="120" w:beforeLines="0" w:after="120" w:afterLines="0" w:line="312" w:lineRule="auto"/>
        <w:ind w:firstLine="480" w:firstLineChars="200"/>
        <w:rPr>
          <w:rFonts w:hint="eastAsia" w:ascii="宋体" w:hAnsi="宋体" w:eastAsia="宋体" w:cs="宋体"/>
          <w:b w:val="0"/>
          <w:color w:val="auto"/>
          <w:sz w:val="24"/>
          <w:szCs w:val="24"/>
        </w:rPr>
      </w:pPr>
      <w:bookmarkStart w:id="246" w:name="_Toc351203515"/>
      <w:r>
        <w:rPr>
          <w:rFonts w:hint="eastAsia" w:ascii="宋体" w:hAnsi="宋体" w:eastAsia="宋体" w:cs="宋体"/>
          <w:b w:val="0"/>
          <w:color w:val="auto"/>
          <w:sz w:val="24"/>
          <w:szCs w:val="24"/>
        </w:rPr>
        <w:t>2.6 支付合同价款</w:t>
      </w:r>
      <w:bookmarkEnd w:id="246"/>
    </w:p>
    <w:p w14:paraId="22CD83DE">
      <w:pPr>
        <w:autoSpaceDE w:val="0"/>
        <w:autoSpaceDN w:val="0"/>
        <w:adjustRightInd w:val="0"/>
        <w:spacing w:beforeLines="0" w:afterLines="0" w:line="312" w:lineRule="auto"/>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发包人应按合同约定向承包人及时支付合同价款。</w:t>
      </w:r>
    </w:p>
    <w:p w14:paraId="2705B34C">
      <w:pPr>
        <w:pStyle w:val="8"/>
        <w:spacing w:before="120" w:beforeLines="0" w:after="120" w:afterLines="0" w:line="312" w:lineRule="auto"/>
        <w:ind w:firstLine="480" w:firstLineChars="200"/>
        <w:rPr>
          <w:rFonts w:hint="eastAsia" w:ascii="宋体" w:hAnsi="宋体" w:eastAsia="宋体" w:cs="宋体"/>
          <w:b w:val="0"/>
          <w:color w:val="auto"/>
          <w:sz w:val="24"/>
          <w:szCs w:val="24"/>
        </w:rPr>
      </w:pPr>
      <w:bookmarkStart w:id="247" w:name="_Toc351203516"/>
      <w:r>
        <w:rPr>
          <w:rFonts w:hint="eastAsia" w:ascii="宋体" w:hAnsi="宋体" w:eastAsia="宋体" w:cs="宋体"/>
          <w:b w:val="0"/>
          <w:color w:val="auto"/>
          <w:sz w:val="24"/>
          <w:szCs w:val="24"/>
        </w:rPr>
        <w:t>2.7 组织竣工验收</w:t>
      </w:r>
      <w:bookmarkEnd w:id="247"/>
    </w:p>
    <w:p w14:paraId="1BAF7097">
      <w:pPr>
        <w:autoSpaceDE w:val="0"/>
        <w:autoSpaceDN w:val="0"/>
        <w:adjustRightInd w:val="0"/>
        <w:spacing w:beforeLines="0" w:afterLines="0" w:line="312" w:lineRule="auto"/>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发包人应按合同约定及时组织竣工验收。</w:t>
      </w:r>
    </w:p>
    <w:p w14:paraId="4CE1DDE3">
      <w:pPr>
        <w:pStyle w:val="8"/>
        <w:spacing w:before="120" w:beforeLines="0" w:after="120" w:afterLines="0" w:line="312" w:lineRule="auto"/>
        <w:ind w:firstLine="480" w:firstLineChars="200"/>
        <w:rPr>
          <w:rFonts w:hint="eastAsia" w:ascii="宋体" w:hAnsi="宋体" w:eastAsia="宋体" w:cs="宋体"/>
          <w:b w:val="0"/>
          <w:color w:val="auto"/>
          <w:sz w:val="24"/>
          <w:szCs w:val="24"/>
        </w:rPr>
      </w:pPr>
      <w:bookmarkStart w:id="248" w:name="_Toc351203517"/>
      <w:r>
        <w:rPr>
          <w:rFonts w:hint="eastAsia" w:ascii="宋体" w:hAnsi="宋体" w:eastAsia="宋体" w:cs="宋体"/>
          <w:b w:val="0"/>
          <w:color w:val="auto"/>
          <w:sz w:val="24"/>
          <w:szCs w:val="24"/>
        </w:rPr>
        <w:t>2.8 现场统一管理协议</w:t>
      </w:r>
      <w:bookmarkEnd w:id="248"/>
    </w:p>
    <w:p w14:paraId="1D2B5759">
      <w:pPr>
        <w:spacing w:beforeLines="0" w:afterLines="0" w:line="312" w:lineRule="auto"/>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发包人应与承包人、由发包人直接发包的专业工程的承包人签订施工现场统一管理协议，明确各方的权利义务。施工现场统一管理协议作为专用合同条款的附件。</w:t>
      </w:r>
    </w:p>
    <w:p w14:paraId="491CFB11">
      <w:pPr>
        <w:pStyle w:val="7"/>
        <w:spacing w:before="120" w:beforeLines="0" w:after="120" w:afterLines="0" w:line="312" w:lineRule="auto"/>
        <w:rPr>
          <w:rFonts w:hint="eastAsia" w:ascii="宋体" w:hAnsi="宋体" w:eastAsia="宋体" w:cs="宋体"/>
          <w:b w:val="0"/>
          <w:color w:val="auto"/>
          <w:sz w:val="24"/>
          <w:szCs w:val="24"/>
        </w:rPr>
      </w:pPr>
      <w:bookmarkStart w:id="249" w:name="_Toc351203518"/>
      <w:r>
        <w:rPr>
          <w:rFonts w:hint="eastAsia" w:ascii="宋体" w:hAnsi="宋体" w:eastAsia="宋体" w:cs="宋体"/>
          <w:b w:val="0"/>
          <w:color w:val="auto"/>
          <w:sz w:val="24"/>
          <w:szCs w:val="24"/>
        </w:rPr>
        <w:t>3</w:t>
      </w:r>
      <w:bookmarkStart w:id="250" w:name="_Toc296346546"/>
      <w:bookmarkStart w:id="251" w:name="_Toc296503045"/>
      <w:bookmarkStart w:id="252" w:name="_Toc337558746"/>
      <w:r>
        <w:rPr>
          <w:rFonts w:hint="eastAsia" w:ascii="宋体" w:hAnsi="宋体" w:eastAsia="宋体" w:cs="宋体"/>
          <w:b w:val="0"/>
          <w:color w:val="auto"/>
          <w:sz w:val="24"/>
          <w:szCs w:val="24"/>
        </w:rPr>
        <w:t>. 承包人</w:t>
      </w:r>
      <w:bookmarkEnd w:id="249"/>
    </w:p>
    <w:bookmarkEnd w:id="250"/>
    <w:bookmarkEnd w:id="251"/>
    <w:bookmarkEnd w:id="252"/>
    <w:p w14:paraId="68B6C376">
      <w:pPr>
        <w:pStyle w:val="8"/>
        <w:spacing w:before="120" w:beforeLines="0" w:after="120" w:afterLines="0" w:line="312" w:lineRule="auto"/>
        <w:ind w:firstLine="480" w:firstLineChars="200"/>
        <w:rPr>
          <w:rFonts w:hint="eastAsia" w:ascii="宋体" w:hAnsi="宋体" w:eastAsia="宋体" w:cs="宋体"/>
          <w:b w:val="0"/>
          <w:color w:val="auto"/>
          <w:sz w:val="24"/>
          <w:szCs w:val="24"/>
        </w:rPr>
      </w:pPr>
      <w:bookmarkStart w:id="253" w:name="_Toc351203519"/>
      <w:r>
        <w:rPr>
          <w:rFonts w:hint="eastAsia" w:ascii="宋体" w:hAnsi="宋体" w:eastAsia="宋体" w:cs="宋体"/>
          <w:b w:val="0"/>
          <w:color w:val="auto"/>
          <w:sz w:val="24"/>
          <w:szCs w:val="24"/>
        </w:rPr>
        <w:t>3</w:t>
      </w:r>
      <w:bookmarkStart w:id="254" w:name="_Toc337558747"/>
      <w:bookmarkStart w:id="255" w:name="_Toc296503046"/>
      <w:bookmarkStart w:id="256" w:name="_Toc296346547"/>
      <w:r>
        <w:rPr>
          <w:rFonts w:hint="eastAsia" w:ascii="宋体" w:hAnsi="宋体" w:eastAsia="宋体" w:cs="宋体"/>
          <w:b w:val="0"/>
          <w:color w:val="auto"/>
          <w:sz w:val="24"/>
          <w:szCs w:val="24"/>
        </w:rPr>
        <w:t>.1 承包人的一般义务</w:t>
      </w:r>
      <w:bookmarkEnd w:id="253"/>
    </w:p>
    <w:bookmarkEnd w:id="254"/>
    <w:bookmarkEnd w:id="255"/>
    <w:bookmarkEnd w:id="256"/>
    <w:p w14:paraId="41E67DCD">
      <w:pPr>
        <w:autoSpaceDE w:val="0"/>
        <w:autoSpaceDN w:val="0"/>
        <w:adjustRightInd w:val="0"/>
        <w:spacing w:beforeLines="0" w:afterLines="0" w:line="312" w:lineRule="auto"/>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承包人在履行合同过程中应遵守法律和工程建设标准规范，并履行以下义务：</w:t>
      </w:r>
    </w:p>
    <w:p w14:paraId="67CBC697">
      <w:pPr>
        <w:numPr>
          <w:ilvl w:val="0"/>
          <w:numId w:val="8"/>
        </w:numPr>
        <w:autoSpaceDE w:val="0"/>
        <w:autoSpaceDN w:val="0"/>
        <w:adjustRightInd w:val="0"/>
        <w:spacing w:beforeLines="0" w:afterLines="0" w:line="312" w:lineRule="auto"/>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办理法律规定应由承包人办理的许可和批准，并将办理结果书面报送发包人留存；</w:t>
      </w:r>
    </w:p>
    <w:p w14:paraId="23920856">
      <w:pPr>
        <w:autoSpaceDE w:val="0"/>
        <w:autoSpaceDN w:val="0"/>
        <w:adjustRightInd w:val="0"/>
        <w:spacing w:beforeLines="0" w:afterLines="0" w:line="312" w:lineRule="auto"/>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（2）按法律规定和合同约定完成工程，并在保修期内承担保修义务；</w:t>
      </w:r>
    </w:p>
    <w:p w14:paraId="37D08CF3">
      <w:pPr>
        <w:autoSpaceDE w:val="0"/>
        <w:autoSpaceDN w:val="0"/>
        <w:adjustRightInd w:val="0"/>
        <w:spacing w:beforeLines="0" w:afterLines="0" w:line="312" w:lineRule="auto"/>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（3）按法律规定和合同约定采取施工安全和环境保护措施，办理工伤保险，确保工程及人员、材料、设备和设施的安全；</w:t>
      </w:r>
    </w:p>
    <w:p w14:paraId="6045C7DF">
      <w:pPr>
        <w:autoSpaceDE w:val="0"/>
        <w:autoSpaceDN w:val="0"/>
        <w:adjustRightInd w:val="0"/>
        <w:spacing w:beforeLines="0" w:afterLines="0" w:line="312" w:lineRule="auto"/>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（4）按合同约定的工作内容和施工进度要求，编制施工组织设计和施工措施计划，并对所有施工作业和施工方法的完备性和安全可靠性负责；</w:t>
      </w:r>
    </w:p>
    <w:p w14:paraId="0E2341A9">
      <w:pPr>
        <w:autoSpaceDE w:val="0"/>
        <w:autoSpaceDN w:val="0"/>
        <w:adjustRightInd w:val="0"/>
        <w:spacing w:beforeLines="0" w:afterLines="0" w:line="312" w:lineRule="auto"/>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5）在进行合同约定的各项工作时，不得侵害发包人与他人使用公用道路、水源、市政管网等公共设施的权利，避免对邻近的公共设施产生干扰。承包人占用或使用他人的施工场地，影响他人作业或生活的，应承担相应责任；</w:t>
      </w:r>
    </w:p>
    <w:p w14:paraId="7478DE3D">
      <w:pPr>
        <w:autoSpaceDE w:val="0"/>
        <w:autoSpaceDN w:val="0"/>
        <w:adjustRightInd w:val="0"/>
        <w:spacing w:beforeLines="0" w:afterLines="0" w:line="312" w:lineRule="auto"/>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（6）按照第6.3款〔环境保护〕约定负责施工场地及其周边环境与生态的保护工作；</w:t>
      </w:r>
    </w:p>
    <w:p w14:paraId="53DFEC4F">
      <w:pPr>
        <w:autoSpaceDE w:val="0"/>
        <w:autoSpaceDN w:val="0"/>
        <w:adjustRightInd w:val="0"/>
        <w:spacing w:beforeLines="0" w:afterLines="0" w:line="312" w:lineRule="auto"/>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（7）按第6.1款〔安全文明施工〕约定采取施工安全措施，确保工程及其人员、材料、设备和设施的安全，防止因工程施工造成的人身伤害和财产损失；</w:t>
      </w:r>
    </w:p>
    <w:p w14:paraId="18A9B217">
      <w:pPr>
        <w:autoSpaceDE w:val="0"/>
        <w:autoSpaceDN w:val="0"/>
        <w:adjustRightInd w:val="0"/>
        <w:spacing w:beforeLines="0" w:afterLines="0" w:line="312" w:lineRule="auto"/>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（8）将发包人按合同约定支付的各项价款专用于合同工程，且应及时支付其雇用人员工资，并及时向分包人支付合同价款；</w:t>
      </w:r>
    </w:p>
    <w:p w14:paraId="0FB95059">
      <w:pPr>
        <w:autoSpaceDE w:val="0"/>
        <w:autoSpaceDN w:val="0"/>
        <w:adjustRightInd w:val="0"/>
        <w:spacing w:beforeLines="0" w:afterLines="0" w:line="312" w:lineRule="auto"/>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（9）按照法律规定和合同约定编制竣工资料，完成竣工资料立卷及归档，并按专用合同条款约定的竣工资料的套数、内容、时间等要求移交发包人；</w:t>
      </w:r>
    </w:p>
    <w:p w14:paraId="05202F1E">
      <w:pPr>
        <w:autoSpaceDE w:val="0"/>
        <w:autoSpaceDN w:val="0"/>
        <w:adjustRightInd w:val="0"/>
        <w:spacing w:beforeLines="0" w:afterLines="0" w:line="312" w:lineRule="auto"/>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（10）应履行的其他义务。</w:t>
      </w:r>
    </w:p>
    <w:p w14:paraId="7ECB7AC4">
      <w:pPr>
        <w:pStyle w:val="8"/>
        <w:spacing w:before="120" w:beforeLines="0" w:after="120" w:afterLines="0" w:line="312" w:lineRule="auto"/>
        <w:ind w:firstLine="480" w:firstLineChars="200"/>
        <w:rPr>
          <w:rFonts w:hint="eastAsia" w:ascii="宋体" w:hAnsi="宋体" w:eastAsia="宋体" w:cs="宋体"/>
          <w:b w:val="0"/>
          <w:color w:val="auto"/>
          <w:sz w:val="24"/>
          <w:szCs w:val="24"/>
        </w:rPr>
      </w:pPr>
      <w:bookmarkStart w:id="257" w:name="_Toc351203520"/>
      <w:r>
        <w:rPr>
          <w:rFonts w:hint="eastAsia" w:ascii="宋体" w:hAnsi="宋体" w:eastAsia="宋体" w:cs="宋体"/>
          <w:b w:val="0"/>
          <w:color w:val="auto"/>
          <w:sz w:val="24"/>
          <w:szCs w:val="24"/>
        </w:rPr>
        <w:t>3</w:t>
      </w:r>
      <w:bookmarkStart w:id="258" w:name="_Toc296346548"/>
      <w:bookmarkStart w:id="259" w:name="_Toc337558748"/>
      <w:bookmarkStart w:id="260" w:name="_Toc296503047"/>
      <w:r>
        <w:rPr>
          <w:rFonts w:hint="eastAsia" w:ascii="宋体" w:hAnsi="宋体" w:eastAsia="宋体" w:cs="宋体"/>
          <w:b w:val="0"/>
          <w:color w:val="auto"/>
          <w:sz w:val="24"/>
          <w:szCs w:val="24"/>
        </w:rPr>
        <w:t xml:space="preserve">.2 </w:t>
      </w:r>
      <w:bookmarkEnd w:id="257"/>
      <w:r>
        <w:rPr>
          <w:rFonts w:hint="eastAsia" w:ascii="宋体" w:hAnsi="宋体" w:eastAsia="宋体" w:cs="宋体"/>
          <w:b w:val="0"/>
          <w:color w:val="auto"/>
          <w:sz w:val="24"/>
          <w:szCs w:val="24"/>
        </w:rPr>
        <w:t>项目经理</w:t>
      </w:r>
    </w:p>
    <w:bookmarkEnd w:id="258"/>
    <w:bookmarkEnd w:id="259"/>
    <w:bookmarkEnd w:id="260"/>
    <w:p w14:paraId="59D7951F">
      <w:pPr>
        <w:autoSpaceDE w:val="0"/>
        <w:autoSpaceDN w:val="0"/>
        <w:adjustRightInd w:val="0"/>
        <w:spacing w:beforeLines="0" w:afterLines="0" w:line="312" w:lineRule="auto"/>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3.2.1 项目经理应为合同当事人所确认的人选，并在专用合同条款中明确项目经理的姓名、职称、注册执业证书编号、联系方式及授权范围等事项，项目经理经承包人授权后代表承包人负责履行合同。项目经理应是承包人正式聘用的员工，承包人应向发包人提交项目经理与承包人之间的劳动合同，以及承包人为项目经理缴纳社会保险的有效证明。承包人不提交上述文件的，项目经理无权履行职责，发包人有权要求更换项目经理，由此增加的费用和（或）延误的工期由承包人承担。</w:t>
      </w:r>
    </w:p>
    <w:p w14:paraId="4A339243">
      <w:pPr>
        <w:autoSpaceDE w:val="0"/>
        <w:autoSpaceDN w:val="0"/>
        <w:adjustRightInd w:val="0"/>
        <w:spacing w:beforeLines="0" w:afterLines="0" w:line="312" w:lineRule="auto"/>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项目经理应常驻施工现场，且每月在施工现场时间不得少于专用合同条款约定的天数。项目经理不得同时担任其他项目的项目经理。项目经理确需离开施工现场时，应事先通知监理人，并取得发包人的书面同意。项目经理的通知中应当载明临时代行其职责的人员的注册执业资格、管理经验等资料，该人员应具备履行相应职责的能力。</w:t>
      </w:r>
    </w:p>
    <w:p w14:paraId="761D94FB">
      <w:pPr>
        <w:autoSpaceDE w:val="0"/>
        <w:autoSpaceDN w:val="0"/>
        <w:adjustRightInd w:val="0"/>
        <w:spacing w:beforeLines="0" w:afterLines="0" w:line="312" w:lineRule="auto"/>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承包人违反上述约定的，应按照专用合同条款的约定，承担违约责任。</w:t>
      </w:r>
    </w:p>
    <w:p w14:paraId="60D5E595">
      <w:pPr>
        <w:autoSpaceDE w:val="0"/>
        <w:autoSpaceDN w:val="0"/>
        <w:adjustRightInd w:val="0"/>
        <w:spacing w:beforeLines="0" w:afterLines="0" w:line="312" w:lineRule="auto"/>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3.2.2 项目经理按合同约定组织工程实施。在紧急情况下为确保施工安全和人员安全，在无法与发包人代表和总监理工程师及时取得联系时，项目经理有权采取必要的措施保证与工程有关的人身、财产和工程的安全，但应在48小时内向发包人代表和总监理工程师提交书面报告。</w:t>
      </w:r>
    </w:p>
    <w:p w14:paraId="74D7026B">
      <w:pPr>
        <w:autoSpaceDE w:val="0"/>
        <w:autoSpaceDN w:val="0"/>
        <w:adjustRightInd w:val="0"/>
        <w:spacing w:beforeLines="0" w:afterLines="0" w:line="312" w:lineRule="auto"/>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3.2.3 承包人需要更换项目经理的，应提前14天书面通知发包人和监理人，并征得发包人书面同意。通知中应当载明继任项目经理的注册执业资格、管理经验等资料，继任项目经理继续履行第3.2.1项约定的职责。未经发包人书面同意，承包人不得擅自更换项目经理。承包人擅自更换项目经理的，应按照专用合同条款的约定承担违约责任。</w:t>
      </w:r>
    </w:p>
    <w:p w14:paraId="79EF1EDD">
      <w:pPr>
        <w:autoSpaceDE w:val="0"/>
        <w:autoSpaceDN w:val="0"/>
        <w:adjustRightInd w:val="0"/>
        <w:spacing w:beforeLines="0" w:afterLines="0" w:line="312" w:lineRule="auto"/>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3.2.4 发包人有权书面通知承包人更换其认为不称职的项目经理，通知中应当载明要求更换的理由。承包人应在接到更换通知后14天内向发包人提出书面的改进报告。发包人收到改进报告后仍要求更换的，承包人应在接到第二次更换通知的28天内进行更换，并将新任命的项目经理的注册执业资格、管理经验等资料书面通知发包人。继任项目经理继续履行第3.2.1项约定的职责。承包人无正当理由拒绝更换项目经理的，应按照专用合同条款的约定承担违约责任。</w:t>
      </w:r>
    </w:p>
    <w:p w14:paraId="32C70430">
      <w:pPr>
        <w:autoSpaceDE w:val="0"/>
        <w:autoSpaceDN w:val="0"/>
        <w:adjustRightInd w:val="0"/>
        <w:spacing w:beforeLines="0" w:afterLines="0" w:line="312" w:lineRule="auto"/>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3.2.5 项目经理因特殊情况授权其下属人员履行其某项工作职责的，该下属人员应具备履行相应职责的能力，并应提前7天将上述人员的姓名和授权范围书面通知监理人，并征得发包人书面同意。</w:t>
      </w:r>
    </w:p>
    <w:p w14:paraId="41ED0112">
      <w:pPr>
        <w:pStyle w:val="8"/>
        <w:spacing w:before="120" w:beforeLines="0" w:after="120" w:afterLines="0" w:line="312" w:lineRule="auto"/>
        <w:ind w:firstLine="480" w:firstLineChars="200"/>
        <w:rPr>
          <w:rFonts w:hint="eastAsia" w:ascii="宋体" w:hAnsi="宋体" w:eastAsia="宋体" w:cs="宋体"/>
          <w:b w:val="0"/>
          <w:color w:val="auto"/>
          <w:sz w:val="24"/>
          <w:szCs w:val="24"/>
        </w:rPr>
      </w:pPr>
      <w:bookmarkStart w:id="261" w:name="_Toc351203521"/>
      <w:r>
        <w:rPr>
          <w:rFonts w:hint="eastAsia" w:ascii="宋体" w:hAnsi="宋体" w:eastAsia="宋体" w:cs="宋体"/>
          <w:b w:val="0"/>
          <w:color w:val="auto"/>
          <w:sz w:val="24"/>
          <w:szCs w:val="24"/>
        </w:rPr>
        <w:t>3</w:t>
      </w:r>
      <w:bookmarkStart w:id="262" w:name="_Toc296503048"/>
      <w:bookmarkStart w:id="263" w:name="_Toc296346549"/>
      <w:bookmarkStart w:id="264" w:name="_Toc337558749"/>
      <w:r>
        <w:rPr>
          <w:rFonts w:hint="eastAsia" w:ascii="宋体" w:hAnsi="宋体" w:eastAsia="宋体" w:cs="宋体"/>
          <w:b w:val="0"/>
          <w:color w:val="auto"/>
          <w:sz w:val="24"/>
          <w:szCs w:val="24"/>
        </w:rPr>
        <w:t xml:space="preserve">.3 </w:t>
      </w:r>
      <w:bookmarkEnd w:id="262"/>
      <w:bookmarkEnd w:id="263"/>
      <w:r>
        <w:rPr>
          <w:rFonts w:hint="eastAsia" w:ascii="宋体" w:hAnsi="宋体" w:eastAsia="宋体" w:cs="宋体"/>
          <w:b w:val="0"/>
          <w:color w:val="auto"/>
          <w:sz w:val="24"/>
          <w:szCs w:val="24"/>
        </w:rPr>
        <w:t>承包人人员</w:t>
      </w:r>
      <w:bookmarkEnd w:id="261"/>
    </w:p>
    <w:bookmarkEnd w:id="264"/>
    <w:p w14:paraId="5D99F114">
      <w:pPr>
        <w:autoSpaceDE w:val="0"/>
        <w:autoSpaceDN w:val="0"/>
        <w:adjustRightInd w:val="0"/>
        <w:spacing w:beforeLines="0" w:afterLines="0" w:line="312" w:lineRule="auto"/>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3.3.1 除专用合同条款另有约定外，承包人应在接到开工通知后7天内，向监理人提交承包人项目管理机构及施工现场人员安排的报告，其内容应包括合同管理、施工、技术、材料、质量、安全、财务等主要施工管理人员名单及其岗位、注册执业资格等，以及各工种技术工人的安排情况，并同时提交主要施工管理人员与承包人之间的劳动关系证明和缴纳社会保险的有效证明。</w:t>
      </w:r>
    </w:p>
    <w:p w14:paraId="461EA6BD">
      <w:pPr>
        <w:autoSpaceDE w:val="0"/>
        <w:autoSpaceDN w:val="0"/>
        <w:adjustRightInd w:val="0"/>
        <w:spacing w:beforeLines="0" w:afterLines="0" w:line="312" w:lineRule="auto"/>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3.3.2 承包人派驻到施工现场的主要施工管理人员应相对稳定。施工过程中如有变动，承包人应及时向监理人提交施工现场人员变动情况的报告。承包人更换主要施工管理人员时，应提前7天书面通知监理人，并征得发包人书面同意。通知中应当载明继任人员的注册执业资格、管理经验等资料。</w:t>
      </w:r>
    </w:p>
    <w:p w14:paraId="045F6267">
      <w:pPr>
        <w:autoSpaceDE w:val="0"/>
        <w:autoSpaceDN w:val="0"/>
        <w:adjustRightInd w:val="0"/>
        <w:spacing w:beforeLines="0" w:afterLines="0" w:line="312" w:lineRule="auto"/>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特殊工种作业人员均应持有相应的资格证明，监理人可以随时检查。</w:t>
      </w:r>
    </w:p>
    <w:p w14:paraId="4BCF8637">
      <w:pPr>
        <w:autoSpaceDE w:val="0"/>
        <w:autoSpaceDN w:val="0"/>
        <w:adjustRightInd w:val="0"/>
        <w:spacing w:beforeLines="0" w:afterLines="0" w:line="312" w:lineRule="auto"/>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3.3.3 发包人对于承包人主要施工管理人员的资格或能力有异议的，承包人应提供资料证明被质疑人员有能力完成其岗位工作或不存在发包人所质疑的情形。发包人要求撤换不能按照合同约定履行职责及义务的主要施工管理人员的，承包人应当撤换。承包人无正当理由拒绝撤换的，应按照专用合同条款的约定承担违约责任。</w:t>
      </w:r>
    </w:p>
    <w:p w14:paraId="341E4C0C">
      <w:pPr>
        <w:autoSpaceDE w:val="0"/>
        <w:autoSpaceDN w:val="0"/>
        <w:adjustRightInd w:val="0"/>
        <w:spacing w:beforeLines="0" w:afterLines="0" w:line="312" w:lineRule="auto"/>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3.3.4 除专用合同条款另有约定外，承包人的主要施工管理人员离开施工现场每月累计不超过5天的，应报监理人同意；离开施工现场每月累计超过5天的，应通知监理人，并征得发包人书面同意。主要施工管理人员离开施工现场前应指定一名有经验的人员临时代行其职责，该人员应具备履行相应职责的资格和能力，且应征得监理人或发包人的同意。</w:t>
      </w:r>
    </w:p>
    <w:p w14:paraId="10D31259">
      <w:pPr>
        <w:autoSpaceDE w:val="0"/>
        <w:autoSpaceDN w:val="0"/>
        <w:adjustRightInd w:val="0"/>
        <w:spacing w:beforeLines="0" w:afterLines="0" w:line="312" w:lineRule="auto"/>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3.3.5 承包人擅自更换主要施工管理人员，或前述人员未经监理人或发包人同意擅自离开施工现场的，应按照专用合同条款约定承担违约责任。</w:t>
      </w:r>
    </w:p>
    <w:p w14:paraId="6AA5BDAB">
      <w:pPr>
        <w:pStyle w:val="8"/>
        <w:spacing w:before="120" w:beforeLines="0" w:after="120" w:afterLines="0" w:line="312" w:lineRule="auto"/>
        <w:ind w:firstLine="480" w:firstLineChars="200"/>
        <w:rPr>
          <w:rFonts w:hint="eastAsia" w:ascii="宋体" w:hAnsi="宋体" w:eastAsia="宋体" w:cs="宋体"/>
          <w:b w:val="0"/>
          <w:color w:val="auto"/>
          <w:sz w:val="24"/>
          <w:szCs w:val="24"/>
        </w:rPr>
      </w:pPr>
      <w:bookmarkStart w:id="265" w:name="_Toc351203522"/>
      <w:r>
        <w:rPr>
          <w:rFonts w:hint="eastAsia" w:ascii="宋体" w:hAnsi="宋体" w:eastAsia="宋体" w:cs="宋体"/>
          <w:b w:val="0"/>
          <w:color w:val="auto"/>
          <w:sz w:val="24"/>
          <w:szCs w:val="24"/>
        </w:rPr>
        <w:t>3</w:t>
      </w:r>
      <w:bookmarkStart w:id="266" w:name="_Toc296346551"/>
      <w:bookmarkStart w:id="267" w:name="_Toc296503050"/>
      <w:bookmarkStart w:id="268" w:name="_Toc337558750"/>
      <w:r>
        <w:rPr>
          <w:rFonts w:hint="eastAsia" w:ascii="宋体" w:hAnsi="宋体" w:eastAsia="宋体" w:cs="宋体"/>
          <w:b w:val="0"/>
          <w:color w:val="auto"/>
          <w:sz w:val="24"/>
          <w:szCs w:val="24"/>
        </w:rPr>
        <w:t>.4 承包人现场查勘</w:t>
      </w:r>
      <w:bookmarkEnd w:id="265"/>
    </w:p>
    <w:bookmarkEnd w:id="266"/>
    <w:bookmarkEnd w:id="267"/>
    <w:bookmarkEnd w:id="268"/>
    <w:p w14:paraId="117A92D0">
      <w:pPr>
        <w:autoSpaceDE w:val="0"/>
        <w:autoSpaceDN w:val="0"/>
        <w:adjustRightInd w:val="0"/>
        <w:spacing w:beforeLines="0" w:afterLines="0" w:line="312"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kern w:val="0"/>
          <w:sz w:val="24"/>
          <w:szCs w:val="24"/>
        </w:rPr>
        <w:t>承包人应对基于发包人按照第2.4.3项〔提供基础资料〕提交的基础资料所做出的解释和推断负责，但因基础资料存在错误、遗漏导致承包人解释或推断失实的，由发包人承担责任。</w:t>
      </w:r>
    </w:p>
    <w:p w14:paraId="4798E62D">
      <w:pPr>
        <w:autoSpaceDE w:val="0"/>
        <w:autoSpaceDN w:val="0"/>
        <w:adjustRightInd w:val="0"/>
        <w:spacing w:beforeLines="0" w:afterLines="0" w:line="312" w:lineRule="auto"/>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承包人应对施工现场和施工条件进行查勘，并充分了解工程所在地的气象条件、交通条件、风俗习惯以及其他与完成合同工作有关的其他资料。因承包人未能充分查勘、了解前述情况或未能充分估计前述情况所可能产生后果的，承包人承担由此增加的费用和（或）延误的工期。</w:t>
      </w:r>
    </w:p>
    <w:p w14:paraId="6193DFE4">
      <w:pPr>
        <w:pStyle w:val="8"/>
        <w:spacing w:before="120" w:beforeLines="0" w:after="120" w:afterLines="0" w:line="312" w:lineRule="auto"/>
        <w:ind w:firstLine="480" w:firstLineChars="200"/>
        <w:rPr>
          <w:rFonts w:hint="eastAsia" w:ascii="宋体" w:hAnsi="宋体" w:eastAsia="宋体" w:cs="宋体"/>
          <w:b w:val="0"/>
          <w:color w:val="auto"/>
          <w:sz w:val="24"/>
          <w:szCs w:val="24"/>
        </w:rPr>
      </w:pPr>
      <w:bookmarkStart w:id="269" w:name="_Toc351203523"/>
      <w:r>
        <w:rPr>
          <w:rFonts w:hint="eastAsia" w:ascii="宋体" w:hAnsi="宋体" w:eastAsia="宋体" w:cs="宋体"/>
          <w:b w:val="0"/>
          <w:color w:val="auto"/>
          <w:sz w:val="24"/>
          <w:szCs w:val="24"/>
        </w:rPr>
        <w:t>3</w:t>
      </w:r>
      <w:bookmarkStart w:id="270" w:name="_Toc337558751"/>
      <w:bookmarkStart w:id="271" w:name="_Toc296346552"/>
      <w:bookmarkStart w:id="272" w:name="_Toc296503051"/>
      <w:r>
        <w:rPr>
          <w:rFonts w:hint="eastAsia" w:ascii="宋体" w:hAnsi="宋体" w:eastAsia="宋体" w:cs="宋体"/>
          <w:b w:val="0"/>
          <w:color w:val="auto"/>
          <w:sz w:val="24"/>
          <w:szCs w:val="24"/>
        </w:rPr>
        <w:t>.5 分包</w:t>
      </w:r>
      <w:bookmarkEnd w:id="269"/>
    </w:p>
    <w:bookmarkEnd w:id="270"/>
    <w:bookmarkEnd w:id="271"/>
    <w:bookmarkEnd w:id="272"/>
    <w:p w14:paraId="0832A0D6">
      <w:pPr>
        <w:spacing w:beforeLines="0" w:afterLines="0" w:line="312" w:lineRule="auto"/>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3.5.1 分包的一般约定</w:t>
      </w:r>
    </w:p>
    <w:p w14:paraId="418B161F">
      <w:pPr>
        <w:spacing w:beforeLines="0" w:afterLines="0" w:line="312" w:lineRule="auto"/>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承包人不得将其承包的全部工程转包给第三人，或将其承包的全部工程肢解后以分包的名义转包给第三人。承包人不得将工程主体结构、关键性工作及专用合同条款中禁止分包的专业工程分包给第三人，主体结构、关键性工作的范围由合同当事人按照法律规定在专用合同条款中予以明确。</w:t>
      </w:r>
    </w:p>
    <w:p w14:paraId="1C9556DE">
      <w:pPr>
        <w:spacing w:beforeLines="0" w:afterLines="0" w:line="312" w:lineRule="auto"/>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承包人不得以劳务分包的名义转包或违法分包工程。</w:t>
      </w:r>
    </w:p>
    <w:p w14:paraId="507FD080">
      <w:pPr>
        <w:spacing w:beforeLines="0" w:afterLines="0" w:line="312" w:lineRule="auto"/>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3.5.2 分包的确定</w:t>
      </w:r>
    </w:p>
    <w:p w14:paraId="5318BA4A">
      <w:pPr>
        <w:spacing w:beforeLines="0" w:afterLines="0" w:line="312" w:lineRule="auto"/>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承包人应按专用合同条款的约定进行分包，确定分包人。已标价工程量清单或预算书中给定暂估价的专业工程，按照第10.7款〔暂估价〕确定分包人。按照合同约定进行分包的，承包人应确保分包人具有相应的资质和能力。工程分包不减轻或免除承包人的责任和义务，承包人和分包人就分包工程向发包人承担连带责任。除合同另有约定外，承包人应在分包合同签订后7天内向发包人和监理人提交分包合同副本。</w:t>
      </w:r>
    </w:p>
    <w:p w14:paraId="336D220F">
      <w:pPr>
        <w:spacing w:beforeLines="0" w:afterLines="0" w:line="312" w:lineRule="auto"/>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3.5.3 分包管理</w:t>
      </w:r>
    </w:p>
    <w:p w14:paraId="6D81E4EA">
      <w:pPr>
        <w:spacing w:beforeLines="0" w:afterLines="0" w:line="312" w:lineRule="auto"/>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承包人应向监理人提交分包人的主要施工管理人员表，并对分包人的施工人员进行实名制管理，包括但不限于进出场管理、登记造册以及各种证照的办理。</w:t>
      </w:r>
    </w:p>
    <w:p w14:paraId="1A3B806F">
      <w:pPr>
        <w:spacing w:beforeLines="0" w:afterLines="0" w:line="312" w:lineRule="auto"/>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3.5.4 分包合同价款</w:t>
      </w:r>
    </w:p>
    <w:p w14:paraId="4396D27E">
      <w:pPr>
        <w:spacing w:beforeLines="0" w:afterLines="0" w:line="312" w:lineRule="auto"/>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（1）除本项第（2）目约定的情况或专用合同条款另有约定外，分包合同价款由承包人与分包人结算，未经承包人同意，发包人不得向分包人支付分包工程价款；</w:t>
      </w:r>
    </w:p>
    <w:p w14:paraId="5EAD51B5">
      <w:pPr>
        <w:spacing w:beforeLines="0" w:afterLines="0" w:line="312" w:lineRule="auto"/>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（2）生效法律文书要求发包人向分包人支付分包合同价款的，发包人有权从应付承包人工程款中扣除该部分款项。</w:t>
      </w:r>
    </w:p>
    <w:p w14:paraId="5487E6F2">
      <w:pPr>
        <w:spacing w:beforeLines="0" w:afterLines="0" w:line="312" w:lineRule="auto"/>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3.5.5 分包合同权益的转让</w:t>
      </w:r>
    </w:p>
    <w:p w14:paraId="17DB1AB0">
      <w:pPr>
        <w:spacing w:beforeLines="0" w:afterLines="0" w:line="312" w:lineRule="auto"/>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分包人在分包合同项下的义务持续到缺陷责任期届满以后的，发包人有权在缺陷责任期届满前，要求承包人将其在分包合同项下的权益转让给发包人，承包人应当转让。除转让合同另有约定外，转让合同生效后，由分包人向发包人履行义务。</w:t>
      </w:r>
      <w:bookmarkStart w:id="273" w:name="_Toc351203524"/>
    </w:p>
    <w:p w14:paraId="04B402C0">
      <w:pPr>
        <w:pStyle w:val="8"/>
        <w:spacing w:before="120" w:beforeLines="0" w:after="120" w:afterLines="0" w:line="312" w:lineRule="auto"/>
        <w:ind w:firstLine="480" w:firstLineChars="200"/>
        <w:rPr>
          <w:rFonts w:hint="eastAsia" w:ascii="宋体" w:hAnsi="宋体" w:eastAsia="宋体" w:cs="宋体"/>
          <w:b w:val="0"/>
          <w:color w:val="auto"/>
          <w:sz w:val="24"/>
          <w:szCs w:val="24"/>
        </w:rPr>
      </w:pPr>
      <w:r>
        <w:rPr>
          <w:rFonts w:hint="eastAsia" w:ascii="宋体" w:hAnsi="宋体" w:eastAsia="宋体" w:cs="宋体"/>
          <w:b w:val="0"/>
          <w:color w:val="auto"/>
          <w:sz w:val="24"/>
          <w:szCs w:val="24"/>
        </w:rPr>
        <w:t>3.6 工程照管与成品、半成品保护</w:t>
      </w:r>
      <w:bookmarkEnd w:id="273"/>
    </w:p>
    <w:p w14:paraId="4A6E0497">
      <w:pPr>
        <w:spacing w:beforeLines="0" w:afterLines="0" w:line="312" w:lineRule="auto"/>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（1）除专用合同条款另有约定外，自发包人向承包人移交施工现场之日起，承包人应负责照管工程及工程相关的材料、工程设备，直到颁发工程接收证书之日止。</w:t>
      </w:r>
    </w:p>
    <w:p w14:paraId="4CE06813">
      <w:pPr>
        <w:spacing w:beforeLines="0" w:afterLines="0" w:line="312" w:lineRule="auto"/>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（2）在承包人负责照管期间，因承包人原因造成工程、材料、工程设备损坏的，由承包人负责修复或更换，并承担由此增加的费用和（或）延误的工期。</w:t>
      </w:r>
    </w:p>
    <w:p w14:paraId="18DAD904">
      <w:pPr>
        <w:spacing w:beforeLines="0" w:afterLines="0" w:line="312" w:lineRule="auto"/>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（3）对合同内分期完成的成品和半成品，在工程接收证书颁发前，由承包人承担保护责任。因承包人原因造成成品或半成品损坏的，由承包人负责修复或更换，并承担由此增加的费用和（或）延误的工期。</w:t>
      </w:r>
    </w:p>
    <w:p w14:paraId="1098FDF4">
      <w:pPr>
        <w:pStyle w:val="8"/>
        <w:spacing w:before="120" w:beforeLines="0" w:after="120" w:afterLines="0" w:line="312" w:lineRule="auto"/>
        <w:ind w:firstLine="480" w:firstLineChars="200"/>
        <w:rPr>
          <w:rFonts w:hint="eastAsia" w:ascii="宋体" w:hAnsi="宋体" w:eastAsia="宋体" w:cs="宋体"/>
          <w:b w:val="0"/>
          <w:color w:val="auto"/>
          <w:sz w:val="24"/>
          <w:szCs w:val="24"/>
        </w:rPr>
      </w:pPr>
      <w:bookmarkStart w:id="274" w:name="_Toc351203525"/>
      <w:r>
        <w:rPr>
          <w:rFonts w:hint="eastAsia" w:ascii="宋体" w:hAnsi="宋体" w:eastAsia="宋体" w:cs="宋体"/>
          <w:b w:val="0"/>
          <w:color w:val="auto"/>
          <w:sz w:val="24"/>
          <w:szCs w:val="24"/>
        </w:rPr>
        <w:t>3</w:t>
      </w:r>
      <w:bookmarkStart w:id="275" w:name="_Toc296503052"/>
      <w:bookmarkStart w:id="276" w:name="_Toc296346553"/>
      <w:bookmarkStart w:id="277" w:name="_Toc337558752"/>
      <w:r>
        <w:rPr>
          <w:rFonts w:hint="eastAsia" w:ascii="宋体" w:hAnsi="宋体" w:eastAsia="宋体" w:cs="宋体"/>
          <w:b w:val="0"/>
          <w:color w:val="auto"/>
          <w:sz w:val="24"/>
          <w:szCs w:val="24"/>
        </w:rPr>
        <w:t>.7 履约担保</w:t>
      </w:r>
      <w:bookmarkEnd w:id="274"/>
    </w:p>
    <w:bookmarkEnd w:id="275"/>
    <w:bookmarkEnd w:id="276"/>
    <w:bookmarkEnd w:id="277"/>
    <w:p w14:paraId="0CE5212E">
      <w:pPr>
        <w:autoSpaceDE w:val="0"/>
        <w:autoSpaceDN w:val="0"/>
        <w:adjustRightInd w:val="0"/>
        <w:spacing w:beforeLines="0" w:afterLines="0" w:line="312" w:lineRule="auto"/>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发包人需要承包人提供履约担保的，由合同当事人在专用合同条款中约定履约担保的方式、金额及期限等。履约担保可以采用银行保函或担保公司担保等形式，具体由合同当事人在专用合同条款中约定。</w:t>
      </w:r>
    </w:p>
    <w:p w14:paraId="148D85A7">
      <w:pPr>
        <w:autoSpaceDE w:val="0"/>
        <w:autoSpaceDN w:val="0"/>
        <w:adjustRightInd w:val="0"/>
        <w:spacing w:beforeLines="0" w:afterLines="0" w:line="312" w:lineRule="auto"/>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因承包人原因导致工期延长的，继续提供履约担保所增加的费用由承包人承担；非因承包人原因导致工期延长的，继续提供履约担保所增加的费用由发包人承担。</w:t>
      </w:r>
    </w:p>
    <w:p w14:paraId="14B3AD12">
      <w:pPr>
        <w:pStyle w:val="8"/>
        <w:spacing w:before="120" w:beforeLines="0" w:after="120" w:afterLines="0" w:line="312" w:lineRule="auto"/>
        <w:ind w:firstLine="480" w:firstLineChars="200"/>
        <w:rPr>
          <w:rFonts w:hint="eastAsia" w:ascii="宋体" w:hAnsi="宋体" w:eastAsia="宋体" w:cs="宋体"/>
          <w:b w:val="0"/>
          <w:color w:val="auto"/>
          <w:sz w:val="24"/>
          <w:szCs w:val="24"/>
        </w:rPr>
      </w:pPr>
      <w:bookmarkStart w:id="278" w:name="_Toc351203526"/>
      <w:r>
        <w:rPr>
          <w:rFonts w:hint="eastAsia" w:ascii="宋体" w:hAnsi="宋体" w:eastAsia="宋体" w:cs="宋体"/>
          <w:b w:val="0"/>
          <w:color w:val="auto"/>
          <w:sz w:val="24"/>
          <w:szCs w:val="24"/>
        </w:rPr>
        <w:t>3.8 联合体</w:t>
      </w:r>
      <w:bookmarkEnd w:id="278"/>
    </w:p>
    <w:p w14:paraId="260B7A44">
      <w:pPr>
        <w:autoSpaceDE w:val="0"/>
        <w:autoSpaceDN w:val="0"/>
        <w:adjustRightInd w:val="0"/>
        <w:spacing w:beforeLines="0" w:afterLines="0" w:line="312" w:lineRule="auto"/>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3.8.1 联合体各方应共同与发包人签订合同协议书。联合体各方应为履行合同向发包人承担连带责任。</w:t>
      </w:r>
    </w:p>
    <w:p w14:paraId="17F337F9">
      <w:pPr>
        <w:autoSpaceDE w:val="0"/>
        <w:autoSpaceDN w:val="0"/>
        <w:adjustRightInd w:val="0"/>
        <w:spacing w:beforeLines="0" w:afterLines="0" w:line="312" w:lineRule="auto"/>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3.8.2 联合体协议经发包人确认后作为合同附件。在履行合同过程中，未经发包人同意，不得修改联合体协议。</w:t>
      </w:r>
    </w:p>
    <w:p w14:paraId="6AD275FF">
      <w:pPr>
        <w:autoSpaceDE w:val="0"/>
        <w:autoSpaceDN w:val="0"/>
        <w:adjustRightInd w:val="0"/>
        <w:spacing w:beforeLines="0" w:afterLines="0" w:line="312" w:lineRule="auto"/>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3.8.3 联合体牵头人负责与发包人和监理人联系，并接受指示，负责组织联合体各成员全面履行合同。</w:t>
      </w:r>
    </w:p>
    <w:p w14:paraId="174C1734">
      <w:pPr>
        <w:pStyle w:val="7"/>
        <w:spacing w:before="120" w:beforeLines="0" w:after="120" w:afterLines="0" w:line="312" w:lineRule="auto"/>
        <w:rPr>
          <w:rFonts w:hint="eastAsia" w:ascii="宋体" w:hAnsi="宋体" w:eastAsia="宋体" w:cs="宋体"/>
          <w:b w:val="0"/>
          <w:color w:val="auto"/>
          <w:sz w:val="24"/>
          <w:szCs w:val="24"/>
        </w:rPr>
      </w:pPr>
      <w:bookmarkStart w:id="279" w:name="_Toc351203527"/>
      <w:r>
        <w:rPr>
          <w:rFonts w:hint="eastAsia" w:ascii="宋体" w:hAnsi="宋体" w:eastAsia="宋体" w:cs="宋体"/>
          <w:b w:val="0"/>
          <w:color w:val="auto"/>
          <w:sz w:val="24"/>
          <w:szCs w:val="24"/>
        </w:rPr>
        <w:t>4</w:t>
      </w:r>
      <w:bookmarkStart w:id="280" w:name="_Toc296503053"/>
      <w:bookmarkStart w:id="281" w:name="_Toc296346554"/>
      <w:bookmarkStart w:id="282" w:name="_Toc337558753"/>
      <w:r>
        <w:rPr>
          <w:rFonts w:hint="eastAsia" w:ascii="宋体" w:hAnsi="宋体" w:eastAsia="宋体" w:cs="宋体"/>
          <w:b w:val="0"/>
          <w:color w:val="auto"/>
          <w:sz w:val="24"/>
          <w:szCs w:val="24"/>
        </w:rPr>
        <w:t>. 监</w:t>
      </w:r>
      <w:bookmarkEnd w:id="280"/>
      <w:bookmarkEnd w:id="281"/>
      <w:r>
        <w:rPr>
          <w:rFonts w:hint="eastAsia" w:ascii="宋体" w:hAnsi="宋体" w:eastAsia="宋体" w:cs="宋体"/>
          <w:b w:val="0"/>
          <w:color w:val="auto"/>
          <w:sz w:val="24"/>
          <w:szCs w:val="24"/>
        </w:rPr>
        <w:t>理人</w:t>
      </w:r>
      <w:bookmarkEnd w:id="279"/>
    </w:p>
    <w:bookmarkEnd w:id="282"/>
    <w:p w14:paraId="16C46EE9">
      <w:pPr>
        <w:pStyle w:val="8"/>
        <w:spacing w:before="120" w:beforeLines="0" w:after="120" w:afterLines="0" w:line="312" w:lineRule="auto"/>
        <w:ind w:firstLine="480" w:firstLineChars="200"/>
        <w:rPr>
          <w:rFonts w:hint="eastAsia" w:ascii="宋体" w:hAnsi="宋体" w:eastAsia="宋体" w:cs="宋体"/>
          <w:b w:val="0"/>
          <w:color w:val="auto"/>
          <w:sz w:val="24"/>
          <w:szCs w:val="24"/>
        </w:rPr>
      </w:pPr>
      <w:bookmarkStart w:id="283" w:name="_Toc351203528"/>
      <w:r>
        <w:rPr>
          <w:rFonts w:hint="eastAsia" w:ascii="宋体" w:hAnsi="宋体" w:eastAsia="宋体" w:cs="宋体"/>
          <w:b w:val="0"/>
          <w:color w:val="auto"/>
          <w:sz w:val="24"/>
          <w:szCs w:val="24"/>
        </w:rPr>
        <w:t>4</w:t>
      </w:r>
      <w:bookmarkStart w:id="284" w:name="_Toc296503054"/>
      <w:bookmarkStart w:id="285" w:name="_Toc296346555"/>
      <w:bookmarkStart w:id="286" w:name="_Toc337558754"/>
      <w:r>
        <w:rPr>
          <w:rFonts w:hint="eastAsia" w:ascii="宋体" w:hAnsi="宋体" w:eastAsia="宋体" w:cs="宋体"/>
          <w:b w:val="0"/>
          <w:color w:val="auto"/>
          <w:sz w:val="24"/>
          <w:szCs w:val="24"/>
        </w:rPr>
        <w:t>.1监理人的一般规定</w:t>
      </w:r>
      <w:bookmarkEnd w:id="283"/>
    </w:p>
    <w:bookmarkEnd w:id="284"/>
    <w:bookmarkEnd w:id="285"/>
    <w:bookmarkEnd w:id="286"/>
    <w:p w14:paraId="426FE24B">
      <w:pPr>
        <w:autoSpaceDE w:val="0"/>
        <w:autoSpaceDN w:val="0"/>
        <w:adjustRightInd w:val="0"/>
        <w:spacing w:beforeLines="0" w:afterLines="0" w:line="312" w:lineRule="auto"/>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工程实行监理的，发包人和承包人应在专用合同条款中明确监理人的监理内容及监理权限等事项。监理人应当根据发包人授权及法律规定，代表发包人对工程施工相关事项进行检查、查验、审核、验收，并签发相关指示，但监理人无权修改合同，且无权减轻或免除合同约定的承包人的任何责任与义务。</w:t>
      </w:r>
    </w:p>
    <w:p w14:paraId="2B199C05">
      <w:pPr>
        <w:autoSpaceDE w:val="0"/>
        <w:autoSpaceDN w:val="0"/>
        <w:adjustRightInd w:val="0"/>
        <w:spacing w:beforeLines="0" w:afterLines="0" w:line="312" w:lineRule="auto"/>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除专用合同条款另有约定外，监理人在施工现场的办公场所、生活场所由承包人提供，所发生的费用由发包人承担。</w:t>
      </w:r>
    </w:p>
    <w:p w14:paraId="39AD5B5A">
      <w:pPr>
        <w:pStyle w:val="8"/>
        <w:spacing w:before="120" w:beforeLines="0" w:after="120" w:afterLines="0" w:line="312" w:lineRule="auto"/>
        <w:ind w:firstLine="480" w:firstLineChars="200"/>
        <w:rPr>
          <w:rFonts w:hint="eastAsia" w:ascii="宋体" w:hAnsi="宋体" w:eastAsia="宋体" w:cs="宋体"/>
          <w:b w:val="0"/>
          <w:color w:val="auto"/>
          <w:sz w:val="24"/>
          <w:szCs w:val="24"/>
        </w:rPr>
      </w:pPr>
      <w:bookmarkStart w:id="287" w:name="_Toc351203529"/>
      <w:r>
        <w:rPr>
          <w:rFonts w:hint="eastAsia" w:ascii="宋体" w:hAnsi="宋体" w:eastAsia="宋体" w:cs="宋体"/>
          <w:b w:val="0"/>
          <w:color w:val="auto"/>
          <w:sz w:val="24"/>
          <w:szCs w:val="24"/>
        </w:rPr>
        <w:t>4</w:t>
      </w:r>
      <w:bookmarkStart w:id="288" w:name="_Toc337558755"/>
      <w:r>
        <w:rPr>
          <w:rFonts w:hint="eastAsia" w:ascii="宋体" w:hAnsi="宋体" w:eastAsia="宋体" w:cs="宋体"/>
          <w:b w:val="0"/>
          <w:color w:val="auto"/>
          <w:sz w:val="24"/>
          <w:szCs w:val="24"/>
        </w:rPr>
        <w:t>.2监理人员</w:t>
      </w:r>
      <w:bookmarkEnd w:id="287"/>
    </w:p>
    <w:bookmarkEnd w:id="288"/>
    <w:p w14:paraId="0371C446">
      <w:pPr>
        <w:autoSpaceDE w:val="0"/>
        <w:autoSpaceDN w:val="0"/>
        <w:adjustRightInd w:val="0"/>
        <w:spacing w:beforeLines="0" w:afterLines="0" w:line="312" w:lineRule="auto"/>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发包人授予监理人对工程实施监理的权利由监理人派驻施工现场的监理人员行使，监理人员包括总监理工程师及监理工程师。监理人应将授权的总监理工程师和监理工程师的姓名及授权范围以书面形式提前通知承包人。更换总监理工程师的，监理人应提前7天书面通知承包人；更换其他监理人员，监理人应提前48小时书面通知承包人。</w:t>
      </w:r>
    </w:p>
    <w:p w14:paraId="2C3118BD">
      <w:pPr>
        <w:pStyle w:val="8"/>
        <w:spacing w:before="120" w:beforeLines="0" w:after="120" w:afterLines="0" w:line="312" w:lineRule="auto"/>
        <w:ind w:firstLine="480" w:firstLineChars="200"/>
        <w:rPr>
          <w:rFonts w:hint="eastAsia" w:ascii="宋体" w:hAnsi="宋体" w:eastAsia="宋体" w:cs="宋体"/>
          <w:b w:val="0"/>
          <w:color w:val="auto"/>
          <w:sz w:val="24"/>
          <w:szCs w:val="24"/>
        </w:rPr>
      </w:pPr>
      <w:bookmarkStart w:id="289" w:name="_Toc351203530"/>
      <w:r>
        <w:rPr>
          <w:rFonts w:hint="eastAsia" w:ascii="宋体" w:hAnsi="宋体" w:eastAsia="宋体" w:cs="宋体"/>
          <w:b w:val="0"/>
          <w:color w:val="auto"/>
          <w:sz w:val="24"/>
          <w:szCs w:val="24"/>
        </w:rPr>
        <w:t>4</w:t>
      </w:r>
      <w:bookmarkStart w:id="290" w:name="_Toc296503055"/>
      <w:bookmarkStart w:id="291" w:name="_Toc296346556"/>
      <w:bookmarkStart w:id="292" w:name="_Toc337558756"/>
      <w:r>
        <w:rPr>
          <w:rFonts w:hint="eastAsia" w:ascii="宋体" w:hAnsi="宋体" w:eastAsia="宋体" w:cs="宋体"/>
          <w:b w:val="0"/>
          <w:color w:val="auto"/>
          <w:sz w:val="24"/>
          <w:szCs w:val="24"/>
        </w:rPr>
        <w:t>.3</w:t>
      </w:r>
      <w:bookmarkEnd w:id="290"/>
      <w:bookmarkEnd w:id="291"/>
      <w:r>
        <w:rPr>
          <w:rFonts w:hint="eastAsia" w:ascii="宋体" w:hAnsi="宋体" w:eastAsia="宋体" w:cs="宋体"/>
          <w:b w:val="0"/>
          <w:color w:val="auto"/>
          <w:sz w:val="24"/>
          <w:szCs w:val="24"/>
        </w:rPr>
        <w:t>监理人的指</w:t>
      </w:r>
      <w:bookmarkEnd w:id="292"/>
      <w:r>
        <w:rPr>
          <w:rFonts w:hint="eastAsia" w:ascii="宋体" w:hAnsi="宋体" w:eastAsia="宋体" w:cs="宋体"/>
          <w:b w:val="0"/>
          <w:color w:val="auto"/>
          <w:sz w:val="24"/>
          <w:szCs w:val="24"/>
        </w:rPr>
        <w:t>示</w:t>
      </w:r>
      <w:bookmarkEnd w:id="289"/>
    </w:p>
    <w:p w14:paraId="45D3C3BB">
      <w:pPr>
        <w:autoSpaceDE w:val="0"/>
        <w:autoSpaceDN w:val="0"/>
        <w:adjustRightInd w:val="0"/>
        <w:spacing w:beforeLines="0" w:afterLines="0" w:line="312" w:lineRule="auto"/>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监理人应按照发包人的授权发出监理指示。监理人的指示应采用书面形式，并经其授权的监理人员签字。紧急情况下，为了保证施工人员的安全或避免工程受损，监理人员可以口头形式发出指示，该指示与书面形式的指示具有同等法律效力，但必须在发出口头指示后24小时内补发书面监理指示，补发的书面监理指示应与口头指示一致。</w:t>
      </w:r>
    </w:p>
    <w:p w14:paraId="69C67ECB">
      <w:pPr>
        <w:autoSpaceDE w:val="0"/>
        <w:autoSpaceDN w:val="0"/>
        <w:adjustRightInd w:val="0"/>
        <w:spacing w:beforeLines="0" w:afterLines="0" w:line="312" w:lineRule="auto"/>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监理人发出的指示应送达承包人项目经理或经项目经理授权接收的人员。因监理人未能按合同约定发出指示、指示延误或发出了错误指示而导致承包人费用增加和（或）工期延误的，由发包人承担相应责任。除专用合同条款另有约定外，总监理工程师不应将第4.4款〔商定或确定〕约定应由总监理工程师作出确定的权力授权或委托给其他监理人员。</w:t>
      </w:r>
    </w:p>
    <w:p w14:paraId="6C33F563">
      <w:pPr>
        <w:autoSpaceDE w:val="0"/>
        <w:autoSpaceDN w:val="0"/>
        <w:adjustRightInd w:val="0"/>
        <w:spacing w:beforeLines="0" w:afterLines="0" w:line="312" w:lineRule="auto"/>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承包人对监理人发出的指示有疑问的，应向监理人提出书面异议，监理人应在48小时内对该指示予以确认、更改或撤销，监理人逾期未回复的，承包人有权拒绝执行上述指示。</w:t>
      </w:r>
    </w:p>
    <w:p w14:paraId="7FD2D85E">
      <w:pPr>
        <w:autoSpaceDE w:val="0"/>
        <w:autoSpaceDN w:val="0"/>
        <w:adjustRightInd w:val="0"/>
        <w:spacing w:beforeLines="0" w:afterLines="0" w:line="312" w:lineRule="auto"/>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监理人对承包人的任何工作、工程或其采用的材料和工程设备未在约定的或合理期限内提出意见的，视为批准，但不免除或减轻承包人对该工作、工程、材料、工程设备等应承担的责任和义务。</w:t>
      </w:r>
    </w:p>
    <w:p w14:paraId="011149F3">
      <w:pPr>
        <w:pStyle w:val="7"/>
        <w:spacing w:before="120" w:beforeLines="0" w:after="120" w:afterLines="0" w:line="312" w:lineRule="auto"/>
        <w:ind w:firstLine="480" w:firstLineChars="200"/>
        <w:rPr>
          <w:rFonts w:hint="eastAsia" w:ascii="宋体" w:hAnsi="宋体" w:eastAsia="宋体" w:cs="宋体"/>
          <w:b w:val="0"/>
          <w:color w:val="auto"/>
          <w:sz w:val="24"/>
          <w:szCs w:val="24"/>
        </w:rPr>
      </w:pPr>
      <w:bookmarkStart w:id="293" w:name="_Toc351203531"/>
      <w:r>
        <w:rPr>
          <w:rFonts w:hint="eastAsia" w:ascii="宋体" w:hAnsi="宋体" w:eastAsia="宋体" w:cs="宋体"/>
          <w:b w:val="0"/>
          <w:color w:val="auto"/>
          <w:sz w:val="24"/>
          <w:szCs w:val="24"/>
        </w:rPr>
        <w:t>4</w:t>
      </w:r>
      <w:bookmarkStart w:id="294" w:name="_Toc296346558"/>
      <w:bookmarkStart w:id="295" w:name="_Toc296503057"/>
      <w:bookmarkStart w:id="296" w:name="_Toc337558757"/>
      <w:r>
        <w:rPr>
          <w:rFonts w:hint="eastAsia" w:ascii="宋体" w:hAnsi="宋体" w:eastAsia="宋体" w:cs="宋体"/>
          <w:b w:val="0"/>
          <w:color w:val="auto"/>
          <w:sz w:val="24"/>
          <w:szCs w:val="24"/>
        </w:rPr>
        <w:t>.4 商定或确定</w:t>
      </w:r>
      <w:bookmarkEnd w:id="293"/>
    </w:p>
    <w:bookmarkEnd w:id="294"/>
    <w:bookmarkEnd w:id="295"/>
    <w:bookmarkEnd w:id="296"/>
    <w:p w14:paraId="27B4DDF8">
      <w:pPr>
        <w:autoSpaceDE w:val="0"/>
        <w:autoSpaceDN w:val="0"/>
        <w:adjustRightInd w:val="0"/>
        <w:spacing w:beforeLines="0" w:afterLines="0" w:line="312" w:lineRule="auto"/>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合同当事人进行商定或确定时，总监理工程师应当会同合同当事人尽量通过协商达成一致，不能达成一致的，由总监理工程师按照合同约定审慎做出公正的确定。</w:t>
      </w:r>
    </w:p>
    <w:p w14:paraId="6D6B94E2">
      <w:pPr>
        <w:autoSpaceDE w:val="0"/>
        <w:autoSpaceDN w:val="0"/>
        <w:adjustRightInd w:val="0"/>
        <w:spacing w:beforeLines="0" w:afterLines="0" w:line="312" w:lineRule="auto"/>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总监理工程师应将确定以书面形式通知发包人和承包人，并附详细依据。合同当事人对总监理工程师的确定没有异议的，按照总监理工程师的确定执行。任何一方合同当事人有异议，按照第20条〔争议解决〕约定处理。争议解决前，合同当事人暂按总监理工程师的确定执行；争议解决后，争议解决的结果与总监理工程师的确定不一致的，按照争议解决的结果执行，由此造成的损失由责任人承担。</w:t>
      </w:r>
    </w:p>
    <w:p w14:paraId="192E3BE7">
      <w:pPr>
        <w:pStyle w:val="7"/>
        <w:spacing w:before="120" w:beforeLines="0" w:after="120" w:afterLines="0" w:line="312" w:lineRule="auto"/>
        <w:rPr>
          <w:rFonts w:hint="eastAsia" w:ascii="宋体" w:hAnsi="宋体" w:eastAsia="宋体" w:cs="宋体"/>
          <w:b w:val="0"/>
          <w:color w:val="auto"/>
          <w:sz w:val="24"/>
          <w:szCs w:val="24"/>
        </w:rPr>
      </w:pPr>
      <w:bookmarkStart w:id="297" w:name="_Toc351203532"/>
      <w:r>
        <w:rPr>
          <w:rFonts w:hint="eastAsia" w:ascii="宋体" w:hAnsi="宋体" w:eastAsia="宋体" w:cs="宋体"/>
          <w:b w:val="0"/>
          <w:color w:val="auto"/>
          <w:sz w:val="24"/>
          <w:szCs w:val="24"/>
        </w:rPr>
        <w:t>5</w:t>
      </w:r>
      <w:bookmarkStart w:id="298" w:name="_Toc337558758"/>
      <w:r>
        <w:rPr>
          <w:rFonts w:hint="eastAsia" w:ascii="宋体" w:hAnsi="宋体" w:eastAsia="宋体" w:cs="宋体"/>
          <w:b w:val="0"/>
          <w:color w:val="auto"/>
          <w:sz w:val="24"/>
          <w:szCs w:val="24"/>
        </w:rPr>
        <w:t>. 工程质量</w:t>
      </w:r>
      <w:bookmarkEnd w:id="297"/>
    </w:p>
    <w:bookmarkEnd w:id="298"/>
    <w:p w14:paraId="55BFB08C">
      <w:pPr>
        <w:pStyle w:val="8"/>
        <w:spacing w:before="120" w:beforeLines="0" w:after="120" w:afterLines="0" w:line="312" w:lineRule="auto"/>
        <w:ind w:firstLine="480" w:firstLineChars="200"/>
        <w:rPr>
          <w:rFonts w:hint="eastAsia" w:ascii="宋体" w:hAnsi="宋体" w:eastAsia="宋体" w:cs="宋体"/>
          <w:b w:val="0"/>
          <w:color w:val="auto"/>
          <w:sz w:val="24"/>
          <w:szCs w:val="24"/>
        </w:rPr>
      </w:pPr>
      <w:bookmarkStart w:id="299" w:name="_Toc351203533"/>
      <w:r>
        <w:rPr>
          <w:rFonts w:hint="eastAsia" w:ascii="宋体" w:hAnsi="宋体" w:eastAsia="宋体" w:cs="宋体"/>
          <w:b w:val="0"/>
          <w:color w:val="auto"/>
          <w:sz w:val="24"/>
          <w:szCs w:val="24"/>
        </w:rPr>
        <w:t>5</w:t>
      </w:r>
      <w:bookmarkStart w:id="300" w:name="_Toc337558759"/>
      <w:r>
        <w:rPr>
          <w:rFonts w:hint="eastAsia" w:ascii="宋体" w:hAnsi="宋体" w:eastAsia="宋体" w:cs="宋体"/>
          <w:b w:val="0"/>
          <w:color w:val="auto"/>
          <w:sz w:val="24"/>
          <w:szCs w:val="24"/>
        </w:rPr>
        <w:t>.1质量要求</w:t>
      </w:r>
      <w:bookmarkEnd w:id="299"/>
    </w:p>
    <w:bookmarkEnd w:id="300"/>
    <w:p w14:paraId="1842D163">
      <w:pPr>
        <w:autoSpaceDE w:val="0"/>
        <w:autoSpaceDN w:val="0"/>
        <w:adjustRightInd w:val="0"/>
        <w:spacing w:beforeLines="0" w:afterLines="0" w:line="312" w:lineRule="auto"/>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5.1.1 工程质量标准必须符合现行国家有关工程施工质量验收规范和标准的要求。有关工程质量的特殊标准或要求由合同当事人在专用合同条款中约定。</w:t>
      </w:r>
    </w:p>
    <w:p w14:paraId="47C9D222">
      <w:pPr>
        <w:autoSpaceDE w:val="0"/>
        <w:autoSpaceDN w:val="0"/>
        <w:adjustRightInd w:val="0"/>
        <w:spacing w:beforeLines="0" w:afterLines="0" w:line="312" w:lineRule="auto"/>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5.1.2 因发包人原因造成工程质量未达到合同约定标准的，由发包人承担由此增加的费用和（或）延误的工期，并支付承包人合理的利润。</w:t>
      </w:r>
    </w:p>
    <w:p w14:paraId="11629093">
      <w:pPr>
        <w:autoSpaceDE w:val="0"/>
        <w:autoSpaceDN w:val="0"/>
        <w:adjustRightInd w:val="0"/>
        <w:spacing w:beforeLines="0" w:afterLines="0" w:line="312" w:lineRule="auto"/>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5.1.3 因承包人原因造成工程质量未达到合同约定标准的，发包人有权要求承包人返工直至工程质量达到合同约定的标准为止，并由承包人承担由此增加的费用和（或）延误的工期。</w:t>
      </w:r>
    </w:p>
    <w:p w14:paraId="6E83B026">
      <w:pPr>
        <w:pStyle w:val="8"/>
        <w:spacing w:before="120" w:beforeLines="0" w:after="120" w:afterLines="0" w:line="312" w:lineRule="auto"/>
        <w:ind w:firstLine="480" w:firstLineChars="200"/>
        <w:rPr>
          <w:rFonts w:hint="eastAsia" w:ascii="宋体" w:hAnsi="宋体" w:eastAsia="宋体" w:cs="宋体"/>
          <w:b w:val="0"/>
          <w:color w:val="auto"/>
          <w:sz w:val="24"/>
          <w:szCs w:val="24"/>
        </w:rPr>
      </w:pPr>
      <w:bookmarkStart w:id="301" w:name="_Toc351203534"/>
      <w:r>
        <w:rPr>
          <w:rFonts w:hint="eastAsia" w:ascii="宋体" w:hAnsi="宋体" w:eastAsia="宋体" w:cs="宋体"/>
          <w:b w:val="0"/>
          <w:color w:val="auto"/>
          <w:sz w:val="24"/>
          <w:szCs w:val="24"/>
        </w:rPr>
        <w:t>5</w:t>
      </w:r>
      <w:bookmarkStart w:id="302" w:name="_Toc337558760"/>
      <w:r>
        <w:rPr>
          <w:rFonts w:hint="eastAsia" w:ascii="宋体" w:hAnsi="宋体" w:eastAsia="宋体" w:cs="宋体"/>
          <w:b w:val="0"/>
          <w:color w:val="auto"/>
          <w:sz w:val="24"/>
          <w:szCs w:val="24"/>
        </w:rPr>
        <w:t>.2质量保证措施</w:t>
      </w:r>
      <w:bookmarkEnd w:id="301"/>
    </w:p>
    <w:bookmarkEnd w:id="302"/>
    <w:p w14:paraId="172A7F75">
      <w:pPr>
        <w:autoSpaceDE w:val="0"/>
        <w:autoSpaceDN w:val="0"/>
        <w:adjustRightInd w:val="0"/>
        <w:spacing w:beforeLines="0" w:afterLines="0" w:line="312" w:lineRule="auto"/>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5.2.1 发包人的质量管理</w:t>
      </w:r>
    </w:p>
    <w:p w14:paraId="7502ABD7">
      <w:pPr>
        <w:autoSpaceDE w:val="0"/>
        <w:autoSpaceDN w:val="0"/>
        <w:adjustRightInd w:val="0"/>
        <w:spacing w:beforeLines="0" w:afterLines="0" w:line="312" w:lineRule="auto"/>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发包人应按照法律规定及合同约定完成与工程质量有关的各项工作。</w:t>
      </w:r>
    </w:p>
    <w:p w14:paraId="1C90A8B1">
      <w:pPr>
        <w:autoSpaceDE w:val="0"/>
        <w:autoSpaceDN w:val="0"/>
        <w:adjustRightInd w:val="0"/>
        <w:spacing w:beforeLines="0" w:afterLines="0" w:line="312" w:lineRule="auto"/>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5.2.2 承包人的质量管理</w:t>
      </w:r>
    </w:p>
    <w:p w14:paraId="39B8E377">
      <w:pPr>
        <w:autoSpaceDE w:val="0"/>
        <w:autoSpaceDN w:val="0"/>
        <w:adjustRightInd w:val="0"/>
        <w:spacing w:beforeLines="0" w:afterLines="0" w:line="312" w:lineRule="auto"/>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承包人按照第7.1款〔施工组织设计〕约定向发包人和监理人提交工程质量保证体系及措施文件，建立完善的质量检查制度，并提交相应的工程质量文件。对于发包人和监理人违反法律规定和合同约定的错误指示，承包人有权拒绝实施。</w:t>
      </w:r>
    </w:p>
    <w:p w14:paraId="799A6C04">
      <w:pPr>
        <w:autoSpaceDE w:val="0"/>
        <w:autoSpaceDN w:val="0"/>
        <w:adjustRightInd w:val="0"/>
        <w:spacing w:beforeLines="0" w:afterLines="0" w:line="312" w:lineRule="auto"/>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承包人应对施工人员进行质量教育和技术培训，定期考核施工人员的劳动技能，严格执行施工规范和操作规程。</w:t>
      </w:r>
    </w:p>
    <w:p w14:paraId="165971DE">
      <w:pPr>
        <w:autoSpaceDE w:val="0"/>
        <w:autoSpaceDN w:val="0"/>
        <w:adjustRightInd w:val="0"/>
        <w:spacing w:beforeLines="0" w:afterLines="0" w:line="312" w:lineRule="auto"/>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承包人应按照法律规定和发包人的要求，对材料、工程设备以及工程的所有部位及其施工工艺进行全过程的质量检查和检验，并作详细记录，编制工程质量报表，报送监理人审查。此外，承包人还应按照法律规定和发包人的要求，进行施工现场取样试验、工程复核测量和设备性能检测，提供试验样品、提交试验报告和测量成果以及其他工作。</w:t>
      </w:r>
    </w:p>
    <w:p w14:paraId="03C9F4B0">
      <w:pPr>
        <w:autoSpaceDE w:val="0"/>
        <w:autoSpaceDN w:val="0"/>
        <w:adjustRightInd w:val="0"/>
        <w:spacing w:beforeLines="0" w:afterLines="0" w:line="312" w:lineRule="auto"/>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5.2.3 监理人的质量检查和检验</w:t>
      </w:r>
    </w:p>
    <w:p w14:paraId="0B55608B">
      <w:pPr>
        <w:autoSpaceDE w:val="0"/>
        <w:autoSpaceDN w:val="0"/>
        <w:adjustRightInd w:val="0"/>
        <w:spacing w:beforeLines="0" w:afterLines="0" w:line="312" w:lineRule="auto"/>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监理人按照法律规定和发包人授权对工程的所有部位及其施工工艺、材料和工程设备进行检查和检验。承包人应为监理人的检查和检验提供方便，包括监理人到施工现场，或制造、加工地点，或合同约定的其他地方进行察看和查阅施工原始记录。监理人为此进行的检查和检验，不免除或减轻承包人按照合同约定应当承担的责任。</w:t>
      </w:r>
    </w:p>
    <w:p w14:paraId="2EDB2DC8">
      <w:pPr>
        <w:autoSpaceDE w:val="0"/>
        <w:autoSpaceDN w:val="0"/>
        <w:adjustRightInd w:val="0"/>
        <w:spacing w:beforeLines="0" w:afterLines="0" w:line="312" w:lineRule="auto"/>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监理人的检查和检验不应影响施工正常进行。监理人的检查和检验影响施工正常进行的，且经检查检验不合格的，影响正常施工的费用由承包人承担，工期不予顺延；经检查检验合格的，由此增加的费用和（或）延误的工期由发包人承担。</w:t>
      </w:r>
    </w:p>
    <w:p w14:paraId="0DB7056B">
      <w:pPr>
        <w:pStyle w:val="8"/>
        <w:spacing w:before="120" w:beforeLines="0" w:after="120" w:afterLines="0" w:line="312" w:lineRule="auto"/>
        <w:ind w:firstLine="480" w:firstLineChars="200"/>
        <w:rPr>
          <w:rFonts w:hint="eastAsia" w:ascii="宋体" w:hAnsi="宋体" w:eastAsia="宋体" w:cs="宋体"/>
          <w:b w:val="0"/>
          <w:color w:val="auto"/>
          <w:sz w:val="24"/>
          <w:szCs w:val="24"/>
        </w:rPr>
      </w:pPr>
      <w:bookmarkStart w:id="303" w:name="_Toc351203535"/>
      <w:r>
        <w:rPr>
          <w:rFonts w:hint="eastAsia" w:ascii="宋体" w:hAnsi="宋体" w:eastAsia="宋体" w:cs="宋体"/>
          <w:b w:val="0"/>
          <w:color w:val="auto"/>
          <w:sz w:val="24"/>
          <w:szCs w:val="24"/>
        </w:rPr>
        <w:t>5</w:t>
      </w:r>
      <w:bookmarkStart w:id="304" w:name="_Toc337558761"/>
      <w:r>
        <w:rPr>
          <w:rFonts w:hint="eastAsia" w:ascii="宋体" w:hAnsi="宋体" w:eastAsia="宋体" w:cs="宋体"/>
          <w:b w:val="0"/>
          <w:color w:val="auto"/>
          <w:sz w:val="24"/>
          <w:szCs w:val="24"/>
        </w:rPr>
        <w:t>.3 隐蔽工程检查</w:t>
      </w:r>
      <w:bookmarkEnd w:id="303"/>
    </w:p>
    <w:bookmarkEnd w:id="304"/>
    <w:p w14:paraId="7B285A90">
      <w:pPr>
        <w:spacing w:beforeLines="0" w:afterLines="0" w:line="312" w:lineRule="auto"/>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5.3.1承包人自检</w:t>
      </w:r>
    </w:p>
    <w:p w14:paraId="088EA611">
      <w:pPr>
        <w:spacing w:beforeLines="0" w:afterLines="0" w:line="312" w:lineRule="auto"/>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承包人应当对工程隐蔽部位进行自检，并经自检确认是否具备覆盖条件。</w:t>
      </w:r>
    </w:p>
    <w:p w14:paraId="74CBD1D6">
      <w:pPr>
        <w:spacing w:beforeLines="0" w:afterLines="0" w:line="312" w:lineRule="auto"/>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5.3.2检查程序</w:t>
      </w:r>
    </w:p>
    <w:p w14:paraId="6D6DD653">
      <w:pPr>
        <w:spacing w:beforeLines="0" w:afterLines="0" w:line="312" w:lineRule="auto"/>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除专用合同条款另有约定外，工程隐蔽部位经承包人自检确认具备覆盖条件的，承包人应在共同检查前48小时书面通知监理人检查，通知中应载明隐蔽检查的内容、时间和地点，并应附有自检记录和必要的检查资料。</w:t>
      </w:r>
    </w:p>
    <w:p w14:paraId="62102A71">
      <w:pPr>
        <w:spacing w:beforeLines="0" w:afterLines="0" w:line="312" w:lineRule="auto"/>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监理人应按时到场并对隐蔽工程及其施工工艺、材料和工程设备进行检查。经监理人检查确认质量符合隐蔽要求，并在验收记录上签字后，承包人才能进行覆盖。经监理人检查质量不合格的，承包人应在监理人指示的时间内完成修复，并由监理人重新检查，由此增加的费用和（或）延误的工期由承包人承担。</w:t>
      </w:r>
    </w:p>
    <w:p w14:paraId="5D632855">
      <w:pPr>
        <w:spacing w:beforeLines="0" w:afterLines="0" w:line="312" w:lineRule="auto"/>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除专用合同条款另有约定外，监理人不能按时进行检查的，应在检查前24小时向承包人提交书面延期要求，但延期不能超过48小时，由此导致工期延误的，工期应予以顺延。监理人未按时进行检查，也未提出延期要求的，视为隐蔽工程检查合格，承包人可自行完成覆盖工作，并作相应记录报送监理人，监理人应签字确认。监理人事后对检查记录有疑问的，可按第5.3.3项〔重新检查〕的约定重新检查。</w:t>
      </w:r>
    </w:p>
    <w:p w14:paraId="13C83471">
      <w:pPr>
        <w:spacing w:beforeLines="0" w:afterLines="0" w:line="312" w:lineRule="auto"/>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5.3.3 重新检查</w:t>
      </w:r>
    </w:p>
    <w:p w14:paraId="380151ED">
      <w:pPr>
        <w:spacing w:beforeLines="0" w:afterLines="0" w:line="312" w:lineRule="auto"/>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承包人覆盖工程隐蔽部位后，发包人或监理人对质量有疑问的，可要求承包人对已覆盖的部位进行钻孔探测或揭开重新检查，承包人应遵照执行，并在检查后重新覆盖恢复原状。经检查证明工程质量符合合同要求的，由发包人承担由此增加的费用和（或）延误的工期，并支付承包人合理的利润；经检查证明工程质量不符合合同要求的，由此增加的费用和（或）延误的工期由承包人承担。</w:t>
      </w:r>
    </w:p>
    <w:p w14:paraId="187FC335">
      <w:pPr>
        <w:spacing w:beforeLines="0" w:afterLines="0" w:line="312" w:lineRule="auto"/>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5.3.4 承包人私自覆盖</w:t>
      </w:r>
    </w:p>
    <w:p w14:paraId="4281E6B3">
      <w:pPr>
        <w:spacing w:beforeLines="0" w:afterLines="0" w:line="312"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kern w:val="0"/>
          <w:sz w:val="24"/>
          <w:szCs w:val="24"/>
        </w:rPr>
        <w:t>承包人未通知监理人到场检查，私自将工程隐蔽部位覆盖的，监理人有权指示承包人钻孔探测或揭开检查，无论工程隐蔽部位质量是否合格，由此增加的费用和（或）延误的工期均由承包人承担。</w:t>
      </w:r>
    </w:p>
    <w:p w14:paraId="5553EB7B">
      <w:pPr>
        <w:pStyle w:val="8"/>
        <w:spacing w:before="120" w:beforeLines="0" w:after="120" w:afterLines="0" w:line="312" w:lineRule="auto"/>
        <w:ind w:firstLine="480" w:firstLineChars="200"/>
        <w:rPr>
          <w:rFonts w:hint="eastAsia" w:ascii="宋体" w:hAnsi="宋体" w:eastAsia="宋体" w:cs="宋体"/>
          <w:b w:val="0"/>
          <w:color w:val="auto"/>
          <w:sz w:val="24"/>
          <w:szCs w:val="24"/>
        </w:rPr>
      </w:pPr>
      <w:bookmarkStart w:id="305" w:name="_Toc351203536"/>
      <w:r>
        <w:rPr>
          <w:rFonts w:hint="eastAsia" w:ascii="宋体" w:hAnsi="宋体" w:eastAsia="宋体" w:cs="宋体"/>
          <w:b w:val="0"/>
          <w:color w:val="auto"/>
          <w:sz w:val="24"/>
          <w:szCs w:val="24"/>
        </w:rPr>
        <w:t>5</w:t>
      </w:r>
      <w:bookmarkStart w:id="306" w:name="_Toc337558762"/>
      <w:r>
        <w:rPr>
          <w:rFonts w:hint="eastAsia" w:ascii="宋体" w:hAnsi="宋体" w:eastAsia="宋体" w:cs="宋体"/>
          <w:b w:val="0"/>
          <w:color w:val="auto"/>
          <w:sz w:val="24"/>
          <w:szCs w:val="24"/>
        </w:rPr>
        <w:t>.4不合格工程的处理</w:t>
      </w:r>
      <w:bookmarkEnd w:id="305"/>
    </w:p>
    <w:bookmarkEnd w:id="306"/>
    <w:p w14:paraId="00A09CEA">
      <w:pPr>
        <w:spacing w:beforeLines="0" w:afterLines="0" w:line="312" w:lineRule="auto"/>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 xml:space="preserve">5.4.1 因承包人原因造成工程不合格的，发包人有权随时要求承包人采取补救措施，直至达到合同要求的质量标准，由此增加的费用和（或）延误的工期由承包人承担。无法补救的，按照第13.2.4项〔拒绝接收全部或部分工程〕约定执行。 </w:t>
      </w:r>
    </w:p>
    <w:p w14:paraId="21465574">
      <w:pPr>
        <w:spacing w:beforeLines="0" w:afterLines="0" w:line="312" w:lineRule="auto"/>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5.4.2 因发包人原因造成工程不合格的，由此增加的费用和（或）延误的工期由发包人承担，并支付承包人合理的利润。</w:t>
      </w:r>
    </w:p>
    <w:p w14:paraId="377BDA3A">
      <w:pPr>
        <w:pStyle w:val="8"/>
        <w:spacing w:before="120" w:beforeLines="0" w:after="120" w:afterLines="0" w:line="312" w:lineRule="auto"/>
        <w:ind w:firstLine="480" w:firstLineChars="200"/>
        <w:rPr>
          <w:rFonts w:hint="eastAsia" w:ascii="宋体" w:hAnsi="宋体" w:eastAsia="宋体" w:cs="宋体"/>
          <w:b w:val="0"/>
          <w:color w:val="auto"/>
          <w:sz w:val="24"/>
          <w:szCs w:val="24"/>
        </w:rPr>
      </w:pPr>
      <w:bookmarkStart w:id="307" w:name="_Toc351203537"/>
      <w:r>
        <w:rPr>
          <w:rFonts w:hint="eastAsia" w:ascii="宋体" w:hAnsi="宋体" w:eastAsia="宋体" w:cs="宋体"/>
          <w:b w:val="0"/>
          <w:color w:val="auto"/>
          <w:sz w:val="24"/>
          <w:szCs w:val="24"/>
        </w:rPr>
        <w:t>5.5 质量争议检测</w:t>
      </w:r>
      <w:bookmarkEnd w:id="307"/>
    </w:p>
    <w:p w14:paraId="543E38F7">
      <w:pPr>
        <w:autoSpaceDE w:val="0"/>
        <w:autoSpaceDN w:val="0"/>
        <w:adjustRightInd w:val="0"/>
        <w:spacing w:beforeLines="0" w:afterLines="0" w:line="312" w:lineRule="auto"/>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合同当事人对工程质量有争议的，由双方协商确定的工程质量检测机构鉴定，由此产生的费用及因此造成的损失，由责任方承担。</w:t>
      </w:r>
    </w:p>
    <w:p w14:paraId="0B4E11F6">
      <w:pPr>
        <w:autoSpaceDE w:val="0"/>
        <w:autoSpaceDN w:val="0"/>
        <w:adjustRightInd w:val="0"/>
        <w:spacing w:beforeLines="0" w:afterLines="0" w:line="312" w:lineRule="auto"/>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合同当事人均有责任的，由双方根据其责任分别承担。合同当事人无法达成一致的，按照第4.4款〔商定或确定〕执行。</w:t>
      </w:r>
    </w:p>
    <w:p w14:paraId="5B81AC56">
      <w:pPr>
        <w:pStyle w:val="7"/>
        <w:spacing w:before="120" w:beforeLines="0" w:after="120" w:afterLines="0" w:line="312" w:lineRule="auto"/>
        <w:rPr>
          <w:rFonts w:hint="eastAsia" w:ascii="宋体" w:hAnsi="宋体" w:eastAsia="宋体" w:cs="宋体"/>
          <w:b w:val="0"/>
          <w:color w:val="auto"/>
          <w:sz w:val="24"/>
          <w:szCs w:val="24"/>
        </w:rPr>
      </w:pPr>
      <w:bookmarkStart w:id="308" w:name="_Toc351203538"/>
      <w:r>
        <w:rPr>
          <w:rFonts w:hint="eastAsia" w:ascii="宋体" w:hAnsi="宋体" w:eastAsia="宋体" w:cs="宋体"/>
          <w:b w:val="0"/>
          <w:color w:val="auto"/>
          <w:sz w:val="24"/>
          <w:szCs w:val="24"/>
        </w:rPr>
        <w:t>6</w:t>
      </w:r>
      <w:bookmarkStart w:id="309" w:name="_Toc337558763"/>
      <w:r>
        <w:rPr>
          <w:rFonts w:hint="eastAsia" w:ascii="宋体" w:hAnsi="宋体" w:eastAsia="宋体" w:cs="宋体"/>
          <w:b w:val="0"/>
          <w:color w:val="auto"/>
          <w:sz w:val="24"/>
          <w:szCs w:val="24"/>
        </w:rPr>
        <w:t>. 安全文明施工与环境保护</w:t>
      </w:r>
      <w:bookmarkEnd w:id="308"/>
    </w:p>
    <w:bookmarkEnd w:id="309"/>
    <w:p w14:paraId="1994940F">
      <w:pPr>
        <w:pStyle w:val="8"/>
        <w:spacing w:before="120" w:beforeLines="0" w:after="120" w:afterLines="0" w:line="312" w:lineRule="auto"/>
        <w:ind w:firstLine="480" w:firstLineChars="200"/>
        <w:rPr>
          <w:rFonts w:hint="eastAsia" w:ascii="宋体" w:hAnsi="宋体" w:eastAsia="宋体" w:cs="宋体"/>
          <w:b w:val="0"/>
          <w:color w:val="auto"/>
          <w:sz w:val="24"/>
          <w:szCs w:val="24"/>
        </w:rPr>
      </w:pPr>
      <w:bookmarkStart w:id="310" w:name="_Toc351203539"/>
      <w:r>
        <w:rPr>
          <w:rFonts w:hint="eastAsia" w:ascii="宋体" w:hAnsi="宋体" w:eastAsia="宋体" w:cs="宋体"/>
          <w:b w:val="0"/>
          <w:color w:val="auto"/>
          <w:sz w:val="24"/>
          <w:szCs w:val="24"/>
        </w:rPr>
        <w:t>6</w:t>
      </w:r>
      <w:bookmarkStart w:id="311" w:name="_Toc337558764"/>
      <w:r>
        <w:rPr>
          <w:rFonts w:hint="eastAsia" w:ascii="宋体" w:hAnsi="宋体" w:eastAsia="宋体" w:cs="宋体"/>
          <w:b w:val="0"/>
          <w:color w:val="auto"/>
          <w:sz w:val="24"/>
          <w:szCs w:val="24"/>
        </w:rPr>
        <w:t>.1安全文明施工</w:t>
      </w:r>
      <w:bookmarkEnd w:id="310"/>
    </w:p>
    <w:bookmarkEnd w:id="311"/>
    <w:p w14:paraId="4A96DD07">
      <w:pPr>
        <w:spacing w:beforeLines="0" w:afterLines="0" w:line="312"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6.1.1安全生产要求</w:t>
      </w:r>
    </w:p>
    <w:p w14:paraId="3DC9DB3D">
      <w:pPr>
        <w:spacing w:beforeLines="0" w:afterLines="0" w:line="312"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合同履行期间，合同当事人均应当遵守国家和工程所在地有关安全生产的要求，合同当事人有特别要求的，应在专用合同条款中明确施工项目安全生产标准化达标目标及相应事项。承包人有权拒绝发包人及监理人强令承包人违章作业、冒险施工的任何指示。</w:t>
      </w:r>
    </w:p>
    <w:p w14:paraId="4942525A">
      <w:pPr>
        <w:spacing w:beforeLines="0" w:afterLines="0" w:line="312"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在施工过程中，如遇到突发的地质变动、事先未知的地下施工障碍等影响施工安全的紧急情况，承包人应及时报告监理人和发包人，发包人应当及时下令停工并报</w:t>
      </w:r>
      <w:r>
        <w:rPr>
          <w:rFonts w:hint="eastAsia" w:ascii="宋体" w:hAnsi="宋体" w:eastAsia="宋体" w:cs="宋体"/>
          <w:color w:val="auto"/>
          <w:kern w:val="0"/>
          <w:sz w:val="24"/>
          <w:szCs w:val="24"/>
        </w:rPr>
        <w:t>政府有关行政管理部门</w:t>
      </w:r>
      <w:r>
        <w:rPr>
          <w:rFonts w:hint="eastAsia" w:ascii="宋体" w:hAnsi="宋体" w:eastAsia="宋体" w:cs="宋体"/>
          <w:color w:val="auto"/>
          <w:sz w:val="24"/>
          <w:szCs w:val="24"/>
        </w:rPr>
        <w:t>采取应急措施。</w:t>
      </w:r>
    </w:p>
    <w:p w14:paraId="40EF60B3">
      <w:pPr>
        <w:spacing w:beforeLines="0" w:afterLines="0" w:line="312"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因安全生产需要暂停施工的，按照第7.8款〔暂停施工〕的约定执行。</w:t>
      </w:r>
    </w:p>
    <w:p w14:paraId="327393CC">
      <w:pPr>
        <w:spacing w:beforeLines="0" w:afterLines="0" w:line="312"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6.1.2 安全生产保证措施</w:t>
      </w:r>
    </w:p>
    <w:p w14:paraId="3CC2B477">
      <w:pPr>
        <w:autoSpaceDE w:val="0"/>
        <w:autoSpaceDN w:val="0"/>
        <w:adjustRightInd w:val="0"/>
        <w:spacing w:beforeLines="0" w:afterLines="0" w:line="312" w:lineRule="auto"/>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sz w:val="24"/>
          <w:szCs w:val="24"/>
        </w:rPr>
        <w:t>承包人应当按照有关</w:t>
      </w:r>
      <w:r>
        <w:rPr>
          <w:rFonts w:hint="eastAsia" w:ascii="宋体" w:hAnsi="宋体" w:eastAsia="宋体" w:cs="宋体"/>
          <w:color w:val="auto"/>
          <w:kern w:val="0"/>
          <w:sz w:val="24"/>
          <w:szCs w:val="24"/>
        </w:rPr>
        <w:t>规定编制安全技术措施或者专项施工方案，</w:t>
      </w:r>
      <w:r>
        <w:rPr>
          <w:rFonts w:hint="eastAsia" w:ascii="宋体" w:hAnsi="宋体" w:eastAsia="宋体" w:cs="宋体"/>
          <w:color w:val="auto"/>
          <w:sz w:val="24"/>
          <w:szCs w:val="24"/>
        </w:rPr>
        <w:t>建立安全生产责任制度、治安保卫制度及安全生产教育培训制度，并</w:t>
      </w:r>
      <w:r>
        <w:rPr>
          <w:rFonts w:hint="eastAsia" w:ascii="宋体" w:hAnsi="宋体" w:eastAsia="宋体" w:cs="宋体"/>
          <w:color w:val="auto"/>
          <w:kern w:val="0"/>
          <w:sz w:val="24"/>
          <w:szCs w:val="24"/>
        </w:rPr>
        <w:t>按安全生产法律规定及合同约定履行安全职责，如实</w:t>
      </w:r>
      <w:r>
        <w:rPr>
          <w:rFonts w:hint="eastAsia" w:ascii="宋体" w:hAnsi="宋体" w:eastAsia="宋体" w:cs="宋体"/>
          <w:color w:val="auto"/>
          <w:sz w:val="24"/>
          <w:szCs w:val="24"/>
        </w:rPr>
        <w:t>编制工程安全生产的有关记录，</w:t>
      </w:r>
      <w:r>
        <w:rPr>
          <w:rFonts w:hint="eastAsia" w:ascii="宋体" w:hAnsi="宋体" w:eastAsia="宋体" w:cs="宋体"/>
          <w:color w:val="auto"/>
          <w:kern w:val="0"/>
          <w:sz w:val="24"/>
          <w:szCs w:val="24"/>
        </w:rPr>
        <w:t>接受发包人、监理人及政府安全监督部门的检查与监督。</w:t>
      </w:r>
    </w:p>
    <w:p w14:paraId="2C7C7703">
      <w:pPr>
        <w:spacing w:beforeLines="0" w:afterLines="0" w:line="312"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6.1.3特别安全生产事项</w:t>
      </w:r>
    </w:p>
    <w:p w14:paraId="30244433">
      <w:pPr>
        <w:spacing w:beforeLines="0" w:afterLines="0" w:line="312"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承包人应按照法律规定进行施工，开工前做好安全技术交底工作，施工过程中做好各项安全防护措施。承包人为实施合同而雇用的特殊工种的人员应受过专门的培训并已取得政府有关管理机构颁发的上岗证书。</w:t>
      </w:r>
    </w:p>
    <w:p w14:paraId="4A4F8071">
      <w:pPr>
        <w:spacing w:beforeLines="0" w:afterLines="0" w:line="312"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 xml:space="preserve">承包人在动力设备、输电线路、地下管道、密封防震车间、易燃易爆地段以及临街交通要道附近施工时，施工开始前应向发包人和监理人提出安全防护措施，经发包人认可后实施。 </w:t>
      </w:r>
    </w:p>
    <w:p w14:paraId="656DF410">
      <w:pPr>
        <w:spacing w:beforeLines="0" w:afterLines="0" w:line="312"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实施爆破作业，在放射、毒害性环境中施工（含储存、运输、使用）及使用毒害性、腐蚀性物品施工时，承包人应在施工前7天以书面通知发包人和监理人，并报送相应的安全防护措施，经发包人认可后实施。</w:t>
      </w:r>
    </w:p>
    <w:p w14:paraId="624A4648">
      <w:pPr>
        <w:spacing w:beforeLines="0" w:afterLines="0" w:line="312"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需单独编制危险性较大分部分项专项工程施工方案的，及要求进行专家论证的超过一定规模的危险性较大的分部分项工程，承包人应及时编制和组织论证。</w:t>
      </w:r>
    </w:p>
    <w:p w14:paraId="661E6BDA">
      <w:pPr>
        <w:spacing w:beforeLines="0" w:afterLines="0" w:line="312"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6.1.4 治安保卫</w:t>
      </w:r>
    </w:p>
    <w:p w14:paraId="7051BCE1">
      <w:pPr>
        <w:spacing w:beforeLines="0" w:afterLines="0" w:line="312"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除专用合同条款另有约定外，发包人应与当地公安部门协商，在现场建立治安管理机构或联防组织，统一管理施工场地的治安保卫事项，履行合同工程的治安保卫职责。</w:t>
      </w:r>
    </w:p>
    <w:p w14:paraId="3C20777B">
      <w:pPr>
        <w:spacing w:beforeLines="0" w:afterLines="0" w:line="312"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发包人和承包人除应协助现场治安管理机构或联防组织维护施工场地的社会治安外，还应做好包括生活区在内的各自管辖区的治安保卫工作。</w:t>
      </w:r>
    </w:p>
    <w:p w14:paraId="4CA45ADF">
      <w:pPr>
        <w:spacing w:beforeLines="0" w:afterLines="0" w:line="312"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除专用合同条款另有约定外，发包人和承包人应在工程开工后7天内共同编制施工场地治安管理计划，并制定应对突发治安事件的紧急预案。在工程施工过程中，发生暴乱、爆炸等恐怖事件，以及群殴、械斗等群体性突发治安事件的，发包人和承包人应立即向当地政府报告。发包人和承包人应积极协助当地有关部门采取措施平息事态，防止事态扩大，尽量避免人员伤亡和财产损失。</w:t>
      </w:r>
    </w:p>
    <w:p w14:paraId="1D9340F1">
      <w:pPr>
        <w:spacing w:beforeLines="0" w:afterLines="0" w:line="312" w:lineRule="auto"/>
        <w:ind w:firstLine="480" w:firstLineChars="200"/>
        <w:rPr>
          <w:rFonts w:hint="eastAsia" w:ascii="宋体" w:hAnsi="宋体" w:eastAsia="宋体" w:cs="宋体"/>
          <w:color w:val="auto"/>
          <w:kern w:val="0"/>
          <w:sz w:val="24"/>
          <w:szCs w:val="24"/>
        </w:rPr>
      </w:pPr>
      <w:r>
        <w:rPr>
          <w:rFonts w:hint="eastAsia" w:ascii="宋体" w:hAnsi="宋体" w:eastAsia="宋体" w:cs="宋体"/>
          <w:color w:val="auto"/>
          <w:sz w:val="24"/>
          <w:szCs w:val="24"/>
        </w:rPr>
        <w:t>6.1.5 文明施工</w:t>
      </w:r>
    </w:p>
    <w:p w14:paraId="20D142AA">
      <w:pPr>
        <w:autoSpaceDE w:val="0"/>
        <w:autoSpaceDN w:val="0"/>
        <w:adjustRightInd w:val="0"/>
        <w:spacing w:beforeLines="0" w:afterLines="0" w:line="312" w:lineRule="auto"/>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承包人在工程施工期间，应当采取措施保持施工现场平整，物料堆放整齐。工程所在地有关政府行政管理部门有特殊要求的，按照其要求执行。合同当事人对文明施工有其他要求的，可以在专用合同条款中明确。</w:t>
      </w:r>
    </w:p>
    <w:p w14:paraId="5743014B">
      <w:pPr>
        <w:autoSpaceDE w:val="0"/>
        <w:autoSpaceDN w:val="0"/>
        <w:adjustRightInd w:val="0"/>
        <w:spacing w:beforeLines="0" w:afterLines="0" w:line="312" w:lineRule="auto"/>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在工程移交之前，承包人应当从施工现场清除承包人的全部工程设备、多余材料、垃圾和各种临时工程，并保持施工现场清洁整齐。经发包人书面同意，承包人可在发包人指定的地点保留承包人履行保修期内的各项义务所需要的材料、施工设备和临时工程。</w:t>
      </w:r>
    </w:p>
    <w:p w14:paraId="0D6A7E4E">
      <w:pPr>
        <w:spacing w:beforeLines="0" w:afterLines="0" w:line="312"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6.1.6 安全文明施工费</w:t>
      </w:r>
    </w:p>
    <w:p w14:paraId="16F00DF7">
      <w:pPr>
        <w:autoSpaceDE w:val="0"/>
        <w:autoSpaceDN w:val="0"/>
        <w:adjustRightInd w:val="0"/>
        <w:spacing w:beforeLines="0" w:afterLines="0" w:line="312" w:lineRule="auto"/>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安全文明施工费由发包人承担，发包人不得以任何形式扣减该部分费用。因基准日期后合同所适用的法律或政府有关规定发生变化，增加的安全文明施工费由发包人承担。</w:t>
      </w:r>
    </w:p>
    <w:p w14:paraId="2933FE28">
      <w:pPr>
        <w:autoSpaceDE w:val="0"/>
        <w:autoSpaceDN w:val="0"/>
        <w:adjustRightInd w:val="0"/>
        <w:spacing w:beforeLines="0" w:afterLines="0" w:line="312" w:lineRule="auto"/>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承包人经发包人同意采取合同约定以外的安全措施所产生的费用，由发包人承担。未经发包人同意的，如果该措施避免了发包人的损失，则发包人在避免损失的额度内承担该措施费。如果该措施避免了承包人的损失，由承包人承担该措施费。</w:t>
      </w:r>
    </w:p>
    <w:p w14:paraId="0158FF00">
      <w:pPr>
        <w:autoSpaceDE w:val="0"/>
        <w:autoSpaceDN w:val="0"/>
        <w:adjustRightInd w:val="0"/>
        <w:spacing w:beforeLines="0" w:afterLines="0" w:line="312" w:lineRule="auto"/>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除专用合同条款另有约定外，发包人应在开工后28天内预付安全文明施工费总额的50%，其余部分与进度款同期支付。发包人逾期支付安全文明施工费超过7天的，承包人有权向发包人发出要求预付的催告通知，发包人收到通知后7天内仍未支付的，承包人有权暂停施工，并按第16.1.1项〔发包人违约的情形〕执行。</w:t>
      </w:r>
    </w:p>
    <w:p w14:paraId="02751C19">
      <w:pPr>
        <w:autoSpaceDE w:val="0"/>
        <w:autoSpaceDN w:val="0"/>
        <w:adjustRightInd w:val="0"/>
        <w:spacing w:beforeLines="0" w:afterLines="0" w:line="312" w:lineRule="auto"/>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承包人对安全文明施工费应专款专用，承包人应在财务账目中单独列项备查，不得挪作他用，否则发包人有权责令其限期改正；逾期未改正的，可以责令其暂停施工，由此增加的费用和（或）延误的工期由承包人承担。</w:t>
      </w:r>
    </w:p>
    <w:p w14:paraId="36C20AA5">
      <w:pPr>
        <w:spacing w:beforeLines="0" w:afterLines="0" w:line="312" w:lineRule="auto"/>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6.1.7 紧急情况处理</w:t>
      </w:r>
    </w:p>
    <w:p w14:paraId="5A5B1DD0">
      <w:pPr>
        <w:spacing w:beforeLines="0" w:afterLines="0" w:line="312" w:lineRule="auto"/>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在工程实施期间或缺陷责任期内发生危及工程安全的事件，监理人通知承包人进行抢救，承包人声明无能力或不愿立即执行的，发包人有权雇佣其他人员进行抢救。此类抢救按合同约定属于承包人义务的，由此增加的费用和（或）延误的工期由承包人承担。</w:t>
      </w:r>
    </w:p>
    <w:p w14:paraId="2F6FBAEE">
      <w:pPr>
        <w:autoSpaceDE w:val="0"/>
        <w:autoSpaceDN w:val="0"/>
        <w:adjustRightInd w:val="0"/>
        <w:spacing w:beforeLines="0" w:afterLines="0" w:line="312" w:lineRule="auto"/>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6.1.8 事故处理</w:t>
      </w:r>
    </w:p>
    <w:p w14:paraId="646C2CAD">
      <w:pPr>
        <w:autoSpaceDE w:val="0"/>
        <w:autoSpaceDN w:val="0"/>
        <w:adjustRightInd w:val="0"/>
        <w:spacing w:beforeLines="0" w:afterLines="0" w:line="312" w:lineRule="auto"/>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工程施工过程中发生事故的，承包人应立即通知监理人，监理人应立即通知发包人。发包人和承包人应立即组织人员和设备进行紧急抢救和抢修，减少人员伤亡和财产损失，防止事故扩大，并保护事故现场。需要移动现场物品时，应作出标记和书面记录，妥善保管有关证据。发包人和承包人应按国家有关规定，及时如实地向有关部门报告事故发生的情况，以及正在采取的紧急措施等。</w:t>
      </w:r>
    </w:p>
    <w:p w14:paraId="683028E3">
      <w:pPr>
        <w:autoSpaceDE w:val="0"/>
        <w:autoSpaceDN w:val="0"/>
        <w:adjustRightInd w:val="0"/>
        <w:spacing w:beforeLines="0" w:afterLines="0" w:line="312" w:lineRule="auto"/>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6.1.9 安全生产责任</w:t>
      </w:r>
    </w:p>
    <w:p w14:paraId="72A8D3E1">
      <w:pPr>
        <w:autoSpaceDE w:val="0"/>
        <w:autoSpaceDN w:val="0"/>
        <w:adjustRightInd w:val="0"/>
        <w:spacing w:beforeLines="0" w:afterLines="0" w:line="312" w:lineRule="auto"/>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6.1.9.1 发包人的安全责任</w:t>
      </w:r>
    </w:p>
    <w:p w14:paraId="127FAEFE">
      <w:pPr>
        <w:spacing w:beforeLines="0" w:afterLines="0" w:line="312"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发包人应负责赔偿以下各种情况造成的损失：</w:t>
      </w:r>
    </w:p>
    <w:p w14:paraId="181D262B">
      <w:pPr>
        <w:spacing w:beforeLines="0" w:afterLines="0" w:line="312"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（1）工程或工程的任何部分对土地的占用所造成的第三者财产损失；</w:t>
      </w:r>
    </w:p>
    <w:p w14:paraId="0E0EF923">
      <w:pPr>
        <w:spacing w:beforeLines="0" w:afterLines="0" w:line="312"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（2）由于发包人原因在施工场地及其毗邻地带造成的第三者人身伤亡和财产损失；</w:t>
      </w:r>
    </w:p>
    <w:p w14:paraId="4CEAF800">
      <w:pPr>
        <w:spacing w:beforeLines="0" w:afterLines="0" w:line="312"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（3）由于发包人原因对承包人、监理人造成的人员人身伤亡和财产损失；</w:t>
      </w:r>
    </w:p>
    <w:p w14:paraId="720E7EDD">
      <w:pPr>
        <w:spacing w:beforeLines="0" w:afterLines="0" w:line="312"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（4）由于发包人原因造成的发包人自身人员的人身伤害以及财产损失。</w:t>
      </w:r>
    </w:p>
    <w:p w14:paraId="50627B30">
      <w:pPr>
        <w:autoSpaceDE w:val="0"/>
        <w:autoSpaceDN w:val="0"/>
        <w:adjustRightInd w:val="0"/>
        <w:spacing w:beforeLines="0" w:afterLines="0" w:line="312" w:lineRule="auto"/>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6.1.9.2 承包人的安全责任</w:t>
      </w:r>
    </w:p>
    <w:p w14:paraId="3669BC93">
      <w:pPr>
        <w:spacing w:beforeLines="0" w:afterLines="0" w:line="312" w:lineRule="auto"/>
        <w:ind w:firstLine="480" w:firstLineChars="200"/>
        <w:rPr>
          <w:rFonts w:hint="eastAsia" w:ascii="宋体" w:hAnsi="宋体" w:eastAsia="宋体" w:cs="宋体"/>
          <w:color w:val="auto"/>
          <w:kern w:val="0"/>
          <w:sz w:val="24"/>
          <w:szCs w:val="24"/>
        </w:rPr>
      </w:pPr>
      <w:r>
        <w:rPr>
          <w:rFonts w:hint="eastAsia" w:ascii="宋体" w:hAnsi="宋体" w:eastAsia="宋体" w:cs="宋体"/>
          <w:color w:val="auto"/>
          <w:sz w:val="24"/>
          <w:szCs w:val="24"/>
        </w:rPr>
        <w:t>由于承包人原因在施工场地内及其毗邻地带造成的发包人、监理人以及第三者人员伤亡和财产损失，由承包人负责赔偿。</w:t>
      </w:r>
    </w:p>
    <w:p w14:paraId="69F291AC">
      <w:pPr>
        <w:pStyle w:val="8"/>
        <w:spacing w:before="120" w:beforeLines="0" w:after="120" w:afterLines="0" w:line="312" w:lineRule="auto"/>
        <w:ind w:firstLine="480" w:firstLineChars="200"/>
        <w:rPr>
          <w:rFonts w:hint="eastAsia" w:ascii="宋体" w:hAnsi="宋体" w:eastAsia="宋体" w:cs="宋体"/>
          <w:b w:val="0"/>
          <w:color w:val="auto"/>
          <w:sz w:val="24"/>
          <w:szCs w:val="24"/>
        </w:rPr>
      </w:pPr>
      <w:bookmarkStart w:id="312" w:name="_Toc351203540"/>
      <w:r>
        <w:rPr>
          <w:rFonts w:hint="eastAsia" w:ascii="宋体" w:hAnsi="宋体" w:eastAsia="宋体" w:cs="宋体"/>
          <w:b w:val="0"/>
          <w:color w:val="auto"/>
          <w:sz w:val="24"/>
          <w:szCs w:val="24"/>
        </w:rPr>
        <w:t>6</w:t>
      </w:r>
      <w:bookmarkStart w:id="313" w:name="_Toc337558765"/>
      <w:r>
        <w:rPr>
          <w:rFonts w:hint="eastAsia" w:ascii="宋体" w:hAnsi="宋体" w:eastAsia="宋体" w:cs="宋体"/>
          <w:b w:val="0"/>
          <w:color w:val="auto"/>
          <w:sz w:val="24"/>
          <w:szCs w:val="24"/>
        </w:rPr>
        <w:t>.2 职业健康</w:t>
      </w:r>
      <w:bookmarkEnd w:id="312"/>
    </w:p>
    <w:bookmarkEnd w:id="313"/>
    <w:p w14:paraId="317D53A6">
      <w:pPr>
        <w:autoSpaceDE w:val="0"/>
        <w:autoSpaceDN w:val="0"/>
        <w:adjustRightInd w:val="0"/>
        <w:spacing w:beforeLines="0" w:afterLines="0" w:line="312" w:lineRule="auto"/>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6.2.1 劳动保护</w:t>
      </w:r>
    </w:p>
    <w:p w14:paraId="55F03875">
      <w:pPr>
        <w:autoSpaceDE w:val="0"/>
        <w:autoSpaceDN w:val="0"/>
        <w:adjustRightInd w:val="0"/>
        <w:spacing w:beforeLines="0" w:afterLines="0" w:line="312" w:lineRule="auto"/>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承包人应按照法律规定安排现场施工人员的劳动和休息时间，保障劳动者的休息时间，并支付合理的报酬和费用。承包人应依法为其履行合同所雇用的人员办理必要的证件、许可、保险和注册等，承包人应督促其分包人为分包人所雇用的人员办理必要的证件、许可、保险和注册等。</w:t>
      </w:r>
    </w:p>
    <w:p w14:paraId="6ABBBED6">
      <w:pPr>
        <w:autoSpaceDE w:val="0"/>
        <w:autoSpaceDN w:val="0"/>
        <w:adjustRightInd w:val="0"/>
        <w:spacing w:beforeLines="0" w:afterLines="0" w:line="312" w:lineRule="auto"/>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承包人应按照法律规定保障现场施工人员的劳动安全，并提供劳动保护,并应按国家有关劳动保护的规定，采取有效的防止粉尘、降低噪声、控制有害气体和保障高温、高寒、高空作业安全等劳动保护措施。承包人雇佣人员在施工中受到伤害的，承包人应立即采取有效措施进行抢救和治疗。</w:t>
      </w:r>
    </w:p>
    <w:p w14:paraId="5FC7931B">
      <w:pPr>
        <w:autoSpaceDE w:val="0"/>
        <w:autoSpaceDN w:val="0"/>
        <w:adjustRightInd w:val="0"/>
        <w:spacing w:beforeLines="0" w:afterLines="0" w:line="312" w:lineRule="auto"/>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承包人应按法律规定安排工作时间，保证其雇佣人员享有休息和休假的权利。因工程施工的特殊需要占用休假日或延长工作时间的，应不超过法律规定的限度，并按法律规定给予补休或付酬。</w:t>
      </w:r>
    </w:p>
    <w:p w14:paraId="6FB42453">
      <w:pPr>
        <w:autoSpaceDE w:val="0"/>
        <w:autoSpaceDN w:val="0"/>
        <w:adjustRightInd w:val="0"/>
        <w:spacing w:beforeLines="0" w:afterLines="0" w:line="312" w:lineRule="auto"/>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6.2.2 生活条件</w:t>
      </w:r>
    </w:p>
    <w:p w14:paraId="39150F0F">
      <w:pPr>
        <w:autoSpaceDE w:val="0"/>
        <w:autoSpaceDN w:val="0"/>
        <w:adjustRightInd w:val="0"/>
        <w:spacing w:beforeLines="0" w:afterLines="0" w:line="312" w:lineRule="auto"/>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承包人应为其履行合同所雇用的人员提供必要的膳宿条件和生活环境；承包人应采取有效措施预防传染病，保证施工人员的健康，并定期对施工现场、施工人员生活基地和工程进行防疫和卫生的专业检查和处理, 在远离城镇的施工场地，还应配备必要的伤病防治和急救的医务人员与医疗设施。</w:t>
      </w:r>
    </w:p>
    <w:p w14:paraId="0CB608FB">
      <w:pPr>
        <w:pStyle w:val="8"/>
        <w:spacing w:before="120" w:beforeLines="0" w:after="120" w:afterLines="0" w:line="312" w:lineRule="auto"/>
        <w:ind w:firstLine="480" w:firstLineChars="200"/>
        <w:rPr>
          <w:rFonts w:hint="eastAsia" w:ascii="宋体" w:hAnsi="宋体" w:eastAsia="宋体" w:cs="宋体"/>
          <w:b w:val="0"/>
          <w:color w:val="auto"/>
          <w:sz w:val="24"/>
          <w:szCs w:val="24"/>
        </w:rPr>
      </w:pPr>
      <w:bookmarkStart w:id="314" w:name="_Toc351203541"/>
      <w:r>
        <w:rPr>
          <w:rFonts w:hint="eastAsia" w:ascii="宋体" w:hAnsi="宋体" w:eastAsia="宋体" w:cs="宋体"/>
          <w:b w:val="0"/>
          <w:color w:val="auto"/>
          <w:sz w:val="24"/>
          <w:szCs w:val="24"/>
        </w:rPr>
        <w:t>6</w:t>
      </w:r>
      <w:bookmarkStart w:id="315" w:name="_Toc337558766"/>
      <w:r>
        <w:rPr>
          <w:rFonts w:hint="eastAsia" w:ascii="宋体" w:hAnsi="宋体" w:eastAsia="宋体" w:cs="宋体"/>
          <w:b w:val="0"/>
          <w:color w:val="auto"/>
          <w:sz w:val="24"/>
          <w:szCs w:val="24"/>
        </w:rPr>
        <w:t>.3 环境保护</w:t>
      </w:r>
      <w:bookmarkEnd w:id="314"/>
    </w:p>
    <w:bookmarkEnd w:id="315"/>
    <w:p w14:paraId="41AEB728">
      <w:pPr>
        <w:autoSpaceDE w:val="0"/>
        <w:autoSpaceDN w:val="0"/>
        <w:adjustRightInd w:val="0"/>
        <w:spacing w:beforeLines="0" w:afterLines="0" w:line="312" w:lineRule="auto"/>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承包人应在施工组织设计中列明环境保护的具体措施。在合同履行期间，承包人应采取合理措施保护施工现场环境。对施工作业过程中可能引起的大气、水、噪音以及固体废物污染采取具体可行的防范措施。</w:t>
      </w:r>
    </w:p>
    <w:p w14:paraId="130E9161">
      <w:pPr>
        <w:autoSpaceDE w:val="0"/>
        <w:autoSpaceDN w:val="0"/>
        <w:adjustRightInd w:val="0"/>
        <w:spacing w:beforeLines="0" w:afterLines="0" w:line="312" w:lineRule="auto"/>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承包人应当承担因其原因引起的环境污染侵权损害赔偿责任，因上述环境污染引起纠纷而导致暂停施工的，由此增加的费用和（或）延误的工期由承包人承担。</w:t>
      </w:r>
    </w:p>
    <w:p w14:paraId="20AC9D88">
      <w:pPr>
        <w:pStyle w:val="7"/>
        <w:spacing w:before="120" w:beforeLines="0" w:after="120" w:afterLines="0" w:line="312" w:lineRule="auto"/>
        <w:rPr>
          <w:rFonts w:hint="eastAsia" w:ascii="宋体" w:hAnsi="宋体" w:eastAsia="宋体" w:cs="宋体"/>
          <w:b w:val="0"/>
          <w:color w:val="auto"/>
          <w:sz w:val="24"/>
          <w:szCs w:val="24"/>
        </w:rPr>
      </w:pPr>
      <w:bookmarkStart w:id="316" w:name="_Toc351203542"/>
      <w:r>
        <w:rPr>
          <w:rFonts w:hint="eastAsia" w:ascii="宋体" w:hAnsi="宋体" w:eastAsia="宋体" w:cs="宋体"/>
          <w:b w:val="0"/>
          <w:color w:val="auto"/>
          <w:sz w:val="24"/>
          <w:szCs w:val="24"/>
        </w:rPr>
        <w:t>7</w:t>
      </w:r>
      <w:bookmarkStart w:id="317" w:name="_Toc337558767"/>
      <w:r>
        <w:rPr>
          <w:rFonts w:hint="eastAsia" w:ascii="宋体" w:hAnsi="宋体" w:eastAsia="宋体" w:cs="宋体"/>
          <w:b w:val="0"/>
          <w:color w:val="auto"/>
          <w:sz w:val="24"/>
          <w:szCs w:val="24"/>
        </w:rPr>
        <w:t>. 工期和进度</w:t>
      </w:r>
      <w:bookmarkEnd w:id="316"/>
    </w:p>
    <w:bookmarkEnd w:id="317"/>
    <w:p w14:paraId="4334A07F">
      <w:pPr>
        <w:pStyle w:val="8"/>
        <w:spacing w:before="120" w:beforeLines="0" w:after="120" w:afterLines="0" w:line="312" w:lineRule="auto"/>
        <w:ind w:firstLine="480" w:firstLineChars="200"/>
        <w:rPr>
          <w:rFonts w:hint="eastAsia" w:ascii="宋体" w:hAnsi="宋体" w:eastAsia="宋体" w:cs="宋体"/>
          <w:b w:val="0"/>
          <w:color w:val="auto"/>
          <w:sz w:val="24"/>
          <w:szCs w:val="24"/>
        </w:rPr>
      </w:pPr>
      <w:bookmarkStart w:id="318" w:name="_Toc351203543"/>
      <w:r>
        <w:rPr>
          <w:rFonts w:hint="eastAsia" w:ascii="宋体" w:hAnsi="宋体" w:eastAsia="宋体" w:cs="宋体"/>
          <w:b w:val="0"/>
          <w:color w:val="auto"/>
          <w:sz w:val="24"/>
          <w:szCs w:val="24"/>
        </w:rPr>
        <w:t>7</w:t>
      </w:r>
      <w:bookmarkStart w:id="319" w:name="_Toc337558768"/>
      <w:bookmarkStart w:id="320" w:name="_Toc296346567"/>
      <w:bookmarkStart w:id="321" w:name="_Toc296503066"/>
      <w:r>
        <w:rPr>
          <w:rFonts w:hint="eastAsia" w:ascii="宋体" w:hAnsi="宋体" w:eastAsia="宋体" w:cs="宋体"/>
          <w:b w:val="0"/>
          <w:color w:val="auto"/>
          <w:sz w:val="24"/>
          <w:szCs w:val="24"/>
        </w:rPr>
        <w:t>.1施工组织设计</w:t>
      </w:r>
      <w:bookmarkEnd w:id="318"/>
    </w:p>
    <w:bookmarkEnd w:id="319"/>
    <w:p w14:paraId="59BB742C">
      <w:pPr>
        <w:autoSpaceDE w:val="0"/>
        <w:autoSpaceDN w:val="0"/>
        <w:adjustRightInd w:val="0"/>
        <w:spacing w:beforeLines="0" w:afterLines="0" w:line="312" w:lineRule="auto"/>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sz w:val="24"/>
          <w:szCs w:val="24"/>
        </w:rPr>
        <w:t xml:space="preserve">7.1.1 </w:t>
      </w:r>
      <w:r>
        <w:rPr>
          <w:rFonts w:hint="eastAsia" w:ascii="宋体" w:hAnsi="宋体" w:eastAsia="宋体" w:cs="宋体"/>
          <w:color w:val="auto"/>
          <w:kern w:val="0"/>
          <w:sz w:val="24"/>
          <w:szCs w:val="24"/>
        </w:rPr>
        <w:t>施工组织设计的内容</w:t>
      </w:r>
    </w:p>
    <w:p w14:paraId="74FFA890">
      <w:pPr>
        <w:autoSpaceDE w:val="0"/>
        <w:autoSpaceDN w:val="0"/>
        <w:adjustRightInd w:val="0"/>
        <w:spacing w:beforeLines="0" w:afterLines="0" w:line="312" w:lineRule="auto"/>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施工组织设计应包含以下内容：</w:t>
      </w:r>
    </w:p>
    <w:p w14:paraId="744BA09A">
      <w:pPr>
        <w:autoSpaceDE w:val="0"/>
        <w:autoSpaceDN w:val="0"/>
        <w:adjustRightInd w:val="0"/>
        <w:spacing w:beforeLines="0" w:afterLines="0" w:line="312" w:lineRule="auto"/>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 xml:space="preserve">（1）施工方案； </w:t>
      </w:r>
    </w:p>
    <w:p w14:paraId="025D3F5E">
      <w:pPr>
        <w:autoSpaceDE w:val="0"/>
        <w:autoSpaceDN w:val="0"/>
        <w:adjustRightInd w:val="0"/>
        <w:spacing w:beforeLines="0" w:afterLines="0" w:line="312" w:lineRule="auto"/>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（2）施工现场平面布置图；</w:t>
      </w:r>
    </w:p>
    <w:p w14:paraId="405002A9">
      <w:pPr>
        <w:autoSpaceDE w:val="0"/>
        <w:autoSpaceDN w:val="0"/>
        <w:adjustRightInd w:val="0"/>
        <w:spacing w:beforeLines="0" w:afterLines="0" w:line="312" w:lineRule="auto"/>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 xml:space="preserve">（3）施工进度计划和保证措施； </w:t>
      </w:r>
    </w:p>
    <w:p w14:paraId="0F501C18">
      <w:pPr>
        <w:autoSpaceDE w:val="0"/>
        <w:autoSpaceDN w:val="0"/>
        <w:adjustRightInd w:val="0"/>
        <w:spacing w:beforeLines="0" w:afterLines="0" w:line="312" w:lineRule="auto"/>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（4）劳动力及材料供应计划；</w:t>
      </w:r>
    </w:p>
    <w:p w14:paraId="61883507">
      <w:pPr>
        <w:autoSpaceDE w:val="0"/>
        <w:autoSpaceDN w:val="0"/>
        <w:adjustRightInd w:val="0"/>
        <w:spacing w:beforeLines="0" w:afterLines="0" w:line="312" w:lineRule="auto"/>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（5）施工机械设备的选用；</w:t>
      </w:r>
    </w:p>
    <w:p w14:paraId="509F1BEA">
      <w:pPr>
        <w:autoSpaceDE w:val="0"/>
        <w:autoSpaceDN w:val="0"/>
        <w:adjustRightInd w:val="0"/>
        <w:spacing w:beforeLines="0" w:afterLines="0" w:line="312" w:lineRule="auto"/>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（6）质量保证体系及措施；</w:t>
      </w:r>
    </w:p>
    <w:p w14:paraId="2B82AADD">
      <w:pPr>
        <w:autoSpaceDE w:val="0"/>
        <w:autoSpaceDN w:val="0"/>
        <w:adjustRightInd w:val="0"/>
        <w:spacing w:beforeLines="0" w:afterLines="0" w:line="312" w:lineRule="auto"/>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（7）安全生产、文明施工措施；</w:t>
      </w:r>
    </w:p>
    <w:p w14:paraId="40F21C3F">
      <w:pPr>
        <w:autoSpaceDE w:val="0"/>
        <w:autoSpaceDN w:val="0"/>
        <w:adjustRightInd w:val="0"/>
        <w:spacing w:beforeLines="0" w:afterLines="0" w:line="312" w:lineRule="auto"/>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（8）环境保护、成本控制措施；</w:t>
      </w:r>
    </w:p>
    <w:p w14:paraId="27DF980D">
      <w:pPr>
        <w:autoSpaceDE w:val="0"/>
        <w:autoSpaceDN w:val="0"/>
        <w:adjustRightInd w:val="0"/>
        <w:spacing w:beforeLines="0" w:afterLines="0" w:line="312" w:lineRule="auto"/>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（9）合同当事人约定的其他内容。</w:t>
      </w:r>
    </w:p>
    <w:p w14:paraId="34563E90">
      <w:pPr>
        <w:autoSpaceDE w:val="0"/>
        <w:autoSpaceDN w:val="0"/>
        <w:adjustRightInd w:val="0"/>
        <w:spacing w:beforeLines="0" w:afterLines="0" w:line="312" w:lineRule="auto"/>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sz w:val="24"/>
          <w:szCs w:val="24"/>
        </w:rPr>
        <w:t xml:space="preserve">7.1.2 </w:t>
      </w:r>
      <w:r>
        <w:rPr>
          <w:rFonts w:hint="eastAsia" w:ascii="宋体" w:hAnsi="宋体" w:eastAsia="宋体" w:cs="宋体"/>
          <w:color w:val="auto"/>
          <w:kern w:val="0"/>
          <w:sz w:val="24"/>
          <w:szCs w:val="24"/>
        </w:rPr>
        <w:t>施工组织设计的提交和修改</w:t>
      </w:r>
    </w:p>
    <w:p w14:paraId="6DB87DCE">
      <w:pPr>
        <w:autoSpaceDE w:val="0"/>
        <w:autoSpaceDN w:val="0"/>
        <w:adjustRightInd w:val="0"/>
        <w:spacing w:beforeLines="0" w:afterLines="0" w:line="312" w:lineRule="auto"/>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除专用合同条款另有约定外，承包人应在合同签订后14天内，但至迟不得晚于第7.3.2项〔开工通知〕载明的开工日期前7天，向监理人提交详细的施工组织设计，并由监理人报送发包人。除专用合同条款另有约定外，发包人和监理人应在监理人收到施工组织设计后7天内确认或提出修改意见。对发包人和监理人提出的合理意见和要求，承包人应自费修改完善。根据工程实际情况需要修改施工组织设计的，承包人应向发包人和监理人提交修改后的施工组织设计。</w:t>
      </w:r>
    </w:p>
    <w:p w14:paraId="6F5F54D3">
      <w:pPr>
        <w:autoSpaceDE w:val="0"/>
        <w:autoSpaceDN w:val="0"/>
        <w:adjustRightInd w:val="0"/>
        <w:spacing w:beforeLines="0" w:afterLines="0" w:line="312" w:lineRule="auto"/>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施工进度计划的编制和修改按照第7.2款〔施工进度计划〕执行。</w:t>
      </w:r>
    </w:p>
    <w:p w14:paraId="183558FA">
      <w:pPr>
        <w:pStyle w:val="8"/>
        <w:spacing w:before="120" w:beforeLines="0" w:after="120" w:afterLines="0" w:line="312" w:lineRule="auto"/>
        <w:ind w:firstLine="480" w:firstLineChars="200"/>
        <w:rPr>
          <w:rFonts w:hint="eastAsia" w:ascii="宋体" w:hAnsi="宋体" w:eastAsia="宋体" w:cs="宋体"/>
          <w:b w:val="0"/>
          <w:color w:val="auto"/>
          <w:sz w:val="24"/>
          <w:szCs w:val="24"/>
        </w:rPr>
      </w:pPr>
      <w:bookmarkStart w:id="322" w:name="_Toc351203544"/>
      <w:r>
        <w:rPr>
          <w:rFonts w:hint="eastAsia" w:ascii="宋体" w:hAnsi="宋体" w:eastAsia="宋体" w:cs="宋体"/>
          <w:b w:val="0"/>
          <w:color w:val="auto"/>
          <w:sz w:val="24"/>
          <w:szCs w:val="24"/>
        </w:rPr>
        <w:t>7</w:t>
      </w:r>
      <w:bookmarkStart w:id="323" w:name="_Toc337558769"/>
      <w:r>
        <w:rPr>
          <w:rFonts w:hint="eastAsia" w:ascii="宋体" w:hAnsi="宋体" w:eastAsia="宋体" w:cs="宋体"/>
          <w:b w:val="0"/>
          <w:color w:val="auto"/>
          <w:sz w:val="24"/>
          <w:szCs w:val="24"/>
        </w:rPr>
        <w:t>.2 施工进度计划</w:t>
      </w:r>
      <w:bookmarkEnd w:id="322"/>
    </w:p>
    <w:bookmarkEnd w:id="323"/>
    <w:p w14:paraId="591C459C">
      <w:pPr>
        <w:autoSpaceDE w:val="0"/>
        <w:autoSpaceDN w:val="0"/>
        <w:adjustRightInd w:val="0"/>
        <w:spacing w:beforeLines="0" w:afterLines="0" w:line="312" w:lineRule="auto"/>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7.2.1 施工进度计划的编制</w:t>
      </w:r>
    </w:p>
    <w:p w14:paraId="44978CBC">
      <w:pPr>
        <w:autoSpaceDE w:val="0"/>
        <w:autoSpaceDN w:val="0"/>
        <w:adjustRightInd w:val="0"/>
        <w:spacing w:beforeLines="0" w:afterLines="0" w:line="312" w:lineRule="auto"/>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承包人应按照第7.1款〔施工组织设计〕约定提交详细的施工进度计划，施工进度计划的编制应当符合国家法律规定和一般工程实践惯例，施工进度计划经发包人批准后实施。施工进度计划是控制工程进度的依据，发包人和监理人有权按照施工进度计划检查工程进度情况。</w:t>
      </w:r>
    </w:p>
    <w:p w14:paraId="44210BA1">
      <w:pPr>
        <w:autoSpaceDE w:val="0"/>
        <w:autoSpaceDN w:val="0"/>
        <w:adjustRightInd w:val="0"/>
        <w:spacing w:beforeLines="0" w:afterLines="0" w:line="312" w:lineRule="auto"/>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sz w:val="24"/>
          <w:szCs w:val="24"/>
        </w:rPr>
        <w:t>7.2.2 施工进度计划的修订</w:t>
      </w:r>
    </w:p>
    <w:p w14:paraId="307EC65E">
      <w:pPr>
        <w:autoSpaceDE w:val="0"/>
        <w:autoSpaceDN w:val="0"/>
        <w:adjustRightInd w:val="0"/>
        <w:spacing w:beforeLines="0" w:afterLines="0" w:line="312" w:lineRule="auto"/>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施工进度计划不符合合同要求或与工程的实际进度不一致的，承包人应向监理人提交修订的施工进度计划，并附具有关措施和相关资料，由监理人报送发包人。除专用合同条款另有约定外，发包人和监理人应在收到修订的施工进度计划后7天内完成审核和批准或提出修改意见。发包人和监理人对承包人提交的施工进度计划的确认，不能减轻或免除承包人根据法律规定和合同约定应承担的任何责任或义务。</w:t>
      </w:r>
    </w:p>
    <w:p w14:paraId="7470B99D">
      <w:pPr>
        <w:pStyle w:val="8"/>
        <w:spacing w:before="120" w:beforeLines="0" w:after="120" w:afterLines="0" w:line="312" w:lineRule="auto"/>
        <w:ind w:firstLine="480" w:firstLineChars="200"/>
        <w:rPr>
          <w:rFonts w:hint="eastAsia" w:ascii="宋体" w:hAnsi="宋体" w:eastAsia="宋体" w:cs="宋体"/>
          <w:b w:val="0"/>
          <w:color w:val="auto"/>
          <w:sz w:val="24"/>
          <w:szCs w:val="24"/>
        </w:rPr>
      </w:pPr>
      <w:bookmarkStart w:id="324" w:name="_Toc351203545"/>
      <w:r>
        <w:rPr>
          <w:rFonts w:hint="eastAsia" w:ascii="宋体" w:hAnsi="宋体" w:eastAsia="宋体" w:cs="宋体"/>
          <w:b w:val="0"/>
          <w:color w:val="auto"/>
          <w:sz w:val="24"/>
          <w:szCs w:val="24"/>
        </w:rPr>
        <w:t>7</w:t>
      </w:r>
      <w:bookmarkStart w:id="325" w:name="_Toc337558770"/>
      <w:r>
        <w:rPr>
          <w:rFonts w:hint="eastAsia" w:ascii="宋体" w:hAnsi="宋体" w:eastAsia="宋体" w:cs="宋体"/>
          <w:b w:val="0"/>
          <w:color w:val="auto"/>
          <w:sz w:val="24"/>
          <w:szCs w:val="24"/>
        </w:rPr>
        <w:t>.3 开工</w:t>
      </w:r>
      <w:bookmarkEnd w:id="324"/>
    </w:p>
    <w:p w14:paraId="1DA7C124">
      <w:pPr>
        <w:spacing w:beforeLines="0" w:afterLines="0" w:line="312"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kern w:val="0"/>
          <w:sz w:val="24"/>
          <w:szCs w:val="24"/>
        </w:rPr>
        <w:t>7.3.1 开工准备</w:t>
      </w:r>
    </w:p>
    <w:p w14:paraId="7D225ED3">
      <w:pPr>
        <w:spacing w:beforeLines="0" w:afterLines="0" w:line="312" w:lineRule="auto"/>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除专用合同条款另有约定外，承包人应按照第7.1款〔施工组织设计〕约定的期限，向监理人提交工程开工报审表，经监理人报发包人批准后执行。开工报审表应详细说明按施工进度计划正常施工所需的施工道路、临时设施、材料、工程设备、施工设备、施工人员等落实情况以及工程的进度安排。</w:t>
      </w:r>
    </w:p>
    <w:p w14:paraId="301EDEBD">
      <w:pPr>
        <w:spacing w:beforeLines="0" w:afterLines="0" w:line="312" w:lineRule="auto"/>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除专用合同条款另有约定外，合同当事人应按约定完成开工准备工作。</w:t>
      </w:r>
    </w:p>
    <w:p w14:paraId="1438FD13">
      <w:pPr>
        <w:autoSpaceDE w:val="0"/>
        <w:autoSpaceDN w:val="0"/>
        <w:adjustRightInd w:val="0"/>
        <w:spacing w:beforeLines="0" w:afterLines="0" w:line="312" w:lineRule="auto"/>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7.3.2 开工通知</w:t>
      </w:r>
    </w:p>
    <w:bookmarkEnd w:id="325"/>
    <w:p w14:paraId="602E204E">
      <w:pPr>
        <w:autoSpaceDE w:val="0"/>
        <w:autoSpaceDN w:val="0"/>
        <w:adjustRightInd w:val="0"/>
        <w:spacing w:beforeLines="0" w:afterLines="0" w:line="312" w:lineRule="auto"/>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发包人应按照法律规定获得工程施工所需的许可。经发包人同意后，监理人发出的开工通知应符合法律规定。监理人应在计划开工日期7天前向承包人发出开工通知，工期自开工通知中载明的开工日期起算。</w:t>
      </w:r>
    </w:p>
    <w:p w14:paraId="3CC52CD3">
      <w:pPr>
        <w:spacing w:beforeLines="0" w:afterLines="0" w:line="312" w:lineRule="auto"/>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除专用合同条款另有约定外，因发包人原因造成监理人未能在计划开工日期之日起90天内发出开工通知的，承包人有权提出价格调整要求，或者解除合同。发包人应当承担由此增加的费用和（或）延误的工期，并向承包人支付合理利润。</w:t>
      </w:r>
    </w:p>
    <w:p w14:paraId="77CC3D51">
      <w:pPr>
        <w:pStyle w:val="8"/>
        <w:spacing w:before="120" w:beforeLines="0" w:after="120" w:afterLines="0" w:line="312" w:lineRule="auto"/>
        <w:ind w:firstLine="480" w:firstLineChars="200"/>
        <w:rPr>
          <w:rFonts w:hint="eastAsia" w:ascii="宋体" w:hAnsi="宋体" w:eastAsia="宋体" w:cs="宋体"/>
          <w:b w:val="0"/>
          <w:color w:val="auto"/>
          <w:sz w:val="24"/>
          <w:szCs w:val="24"/>
        </w:rPr>
      </w:pPr>
      <w:bookmarkStart w:id="326" w:name="_Toc351203546"/>
      <w:r>
        <w:rPr>
          <w:rFonts w:hint="eastAsia" w:ascii="宋体" w:hAnsi="宋体" w:eastAsia="宋体" w:cs="宋体"/>
          <w:b w:val="0"/>
          <w:color w:val="auto"/>
          <w:sz w:val="24"/>
          <w:szCs w:val="24"/>
        </w:rPr>
        <w:t>7.4测量放线</w:t>
      </w:r>
      <w:bookmarkEnd w:id="326"/>
    </w:p>
    <w:p w14:paraId="3F33060D">
      <w:pPr>
        <w:autoSpaceDE w:val="0"/>
        <w:autoSpaceDN w:val="0"/>
        <w:adjustRightInd w:val="0"/>
        <w:spacing w:beforeLines="0" w:afterLines="0" w:line="312" w:lineRule="auto"/>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7.4.1 除专用合同条款另有约定外，发包人应在至迟不得晚于第7.3.2项〔开工通知〕载明的开工日期前7天通过监理人向承包人提供测量基准点、基准线和水准点及其书面资料。发包人应对其提供的测量基准点、基准线和水准点及其书面资料的真实性、准确性和完整性负责。</w:t>
      </w:r>
    </w:p>
    <w:p w14:paraId="4D219F93">
      <w:pPr>
        <w:autoSpaceDE w:val="0"/>
        <w:autoSpaceDN w:val="0"/>
        <w:adjustRightInd w:val="0"/>
        <w:spacing w:beforeLines="0" w:afterLines="0" w:line="312" w:lineRule="auto"/>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承包人发现发包人提供的测量基准点、基准线和水准点及其书面资料存在错误或疏漏的，应及时通知监理人。监理人应及时报告发包人，并会同发包人和承包人予以核实。发包人应就如何处理和是否继续施工作出决定，并通知监理人和承包人。</w:t>
      </w:r>
    </w:p>
    <w:p w14:paraId="23CDAD9F">
      <w:pPr>
        <w:autoSpaceDE w:val="0"/>
        <w:autoSpaceDN w:val="0"/>
        <w:adjustRightInd w:val="0"/>
        <w:spacing w:beforeLines="0" w:afterLines="0" w:line="312" w:lineRule="auto"/>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7.4.2 承包人负责施工过程中的全部施工测量放线工作，并配置具有相应资质的人员、合格的仪器、设备和其他物品。承包人应矫正工程的位置、标高、尺寸或准线中出现的任何差错，并对工程各部分的定位负责。</w:t>
      </w:r>
    </w:p>
    <w:p w14:paraId="00FDB0AB">
      <w:pPr>
        <w:autoSpaceDE w:val="0"/>
        <w:autoSpaceDN w:val="0"/>
        <w:adjustRightInd w:val="0"/>
        <w:spacing w:beforeLines="0" w:afterLines="0" w:line="312" w:lineRule="auto"/>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施工过程中对施工现场内水准点等测量标志物的保护工作由承包人负责。</w:t>
      </w:r>
      <w:bookmarkStart w:id="327" w:name="_Toc351203547"/>
    </w:p>
    <w:p w14:paraId="0AE73E68">
      <w:pPr>
        <w:pStyle w:val="8"/>
        <w:spacing w:before="120" w:beforeLines="0" w:after="120" w:afterLines="0" w:line="312" w:lineRule="auto"/>
        <w:ind w:firstLine="480" w:firstLineChars="200"/>
        <w:rPr>
          <w:rFonts w:hint="eastAsia" w:ascii="宋体" w:hAnsi="宋体" w:eastAsia="宋体" w:cs="宋体"/>
          <w:b w:val="0"/>
          <w:color w:val="auto"/>
          <w:sz w:val="24"/>
          <w:szCs w:val="24"/>
        </w:rPr>
      </w:pPr>
      <w:r>
        <w:rPr>
          <w:rFonts w:hint="eastAsia" w:ascii="宋体" w:hAnsi="宋体" w:eastAsia="宋体" w:cs="宋体"/>
          <w:b w:val="0"/>
          <w:color w:val="auto"/>
          <w:sz w:val="24"/>
          <w:szCs w:val="24"/>
        </w:rPr>
        <w:t>7</w:t>
      </w:r>
      <w:bookmarkEnd w:id="320"/>
      <w:bookmarkEnd w:id="321"/>
      <w:bookmarkStart w:id="328" w:name="_Toc296346574"/>
      <w:bookmarkStart w:id="329" w:name="_Toc296503073"/>
      <w:bookmarkStart w:id="330" w:name="_Toc337558772"/>
      <w:r>
        <w:rPr>
          <w:rFonts w:hint="eastAsia" w:ascii="宋体" w:hAnsi="宋体" w:eastAsia="宋体" w:cs="宋体"/>
          <w:b w:val="0"/>
          <w:color w:val="auto"/>
          <w:sz w:val="24"/>
          <w:szCs w:val="24"/>
        </w:rPr>
        <w:t>.5 工期延误</w:t>
      </w:r>
      <w:bookmarkEnd w:id="327"/>
    </w:p>
    <w:bookmarkEnd w:id="328"/>
    <w:bookmarkEnd w:id="329"/>
    <w:bookmarkEnd w:id="330"/>
    <w:p w14:paraId="21D653D9">
      <w:pPr>
        <w:spacing w:beforeLines="0" w:afterLines="0" w:line="312" w:lineRule="auto"/>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7.5.1 因发包人原因导致工期延误</w:t>
      </w:r>
    </w:p>
    <w:p w14:paraId="5F59B645">
      <w:pPr>
        <w:spacing w:beforeLines="0" w:afterLines="0" w:line="312" w:lineRule="auto"/>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 xml:space="preserve">在合同履行过程中，因下列情况导致工期延误和（或）费用增加的，由发包人承担由此延误的工期和（或）增加的费用，且发包人应支付承包人合理的利润： </w:t>
      </w:r>
    </w:p>
    <w:p w14:paraId="081D1FB6">
      <w:pPr>
        <w:spacing w:beforeLines="0" w:afterLines="0" w:line="312" w:lineRule="auto"/>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（1）发包人未能按合同约定提供图纸或所提供图纸不符合合同约定的；</w:t>
      </w:r>
    </w:p>
    <w:p w14:paraId="63B4CB3C">
      <w:pPr>
        <w:spacing w:beforeLines="0" w:afterLines="0" w:line="312" w:lineRule="auto"/>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（2）发包人未能按合同约定提供施工现场、施工条件、基础资料、许可、批准等开工条件的；</w:t>
      </w:r>
    </w:p>
    <w:p w14:paraId="71CBBAB1">
      <w:pPr>
        <w:spacing w:beforeLines="0" w:afterLines="0" w:line="312" w:lineRule="auto"/>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（3）发包人提供的测量基准点、基准线和水准点及其书面资料存在错误或疏漏的；</w:t>
      </w:r>
    </w:p>
    <w:p w14:paraId="1B122E56">
      <w:pPr>
        <w:spacing w:beforeLines="0" w:afterLines="0" w:line="312" w:lineRule="auto"/>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（4）发包人未能在计划开工日期之日起7天内同意下达开工通知的；</w:t>
      </w:r>
    </w:p>
    <w:p w14:paraId="7F20003E">
      <w:pPr>
        <w:spacing w:beforeLines="0" w:afterLines="0" w:line="312" w:lineRule="auto"/>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（5）发包人未能按合同约定日期支付工程预付款、进度款或竣工结算款的；</w:t>
      </w:r>
    </w:p>
    <w:p w14:paraId="60124F7F">
      <w:pPr>
        <w:spacing w:beforeLines="0" w:afterLines="0" w:line="312" w:lineRule="auto"/>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（6）监理人未按合同约定发出指示、批准等文件的；</w:t>
      </w:r>
    </w:p>
    <w:p w14:paraId="16726862">
      <w:pPr>
        <w:spacing w:beforeLines="0" w:afterLines="0" w:line="312" w:lineRule="auto"/>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（7）专用合同条款中约定的其他情形。</w:t>
      </w:r>
    </w:p>
    <w:p w14:paraId="2EE61616">
      <w:pPr>
        <w:spacing w:beforeLines="0" w:afterLines="0" w:line="312" w:lineRule="auto"/>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因发包人原因未按计划开工日期开工的，发包人应按实际开工日期顺延竣工日期，确保实际工期不低于合同约定的工期总日历天数。因发包人原因导致工期延误需要修订施工进度计划的，按照第7.2.2项〔施工进度计划的修订〕执行。</w:t>
      </w:r>
    </w:p>
    <w:p w14:paraId="023778E7">
      <w:pPr>
        <w:autoSpaceDE w:val="0"/>
        <w:autoSpaceDN w:val="0"/>
        <w:adjustRightInd w:val="0"/>
        <w:spacing w:beforeLines="0" w:afterLines="0" w:line="312"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kern w:val="0"/>
          <w:sz w:val="24"/>
          <w:szCs w:val="24"/>
        </w:rPr>
        <w:t>7.5.2 因承包人原因导致工期延误</w:t>
      </w:r>
    </w:p>
    <w:p w14:paraId="00D34868">
      <w:pPr>
        <w:autoSpaceDE w:val="0"/>
        <w:autoSpaceDN w:val="0"/>
        <w:adjustRightInd w:val="0"/>
        <w:spacing w:beforeLines="0" w:afterLines="0" w:line="312" w:lineRule="auto"/>
        <w:ind w:firstLine="480" w:firstLineChars="200"/>
        <w:jc w:val="left"/>
        <w:rPr>
          <w:rFonts w:hint="eastAsia" w:ascii="宋体" w:hAnsi="宋体" w:eastAsia="宋体" w:cs="宋体"/>
          <w:color w:val="auto"/>
          <w:kern w:val="0"/>
          <w:sz w:val="24"/>
          <w:szCs w:val="24"/>
        </w:rPr>
      </w:pPr>
      <w:bookmarkStart w:id="331" w:name="_Toc296346577"/>
      <w:bookmarkStart w:id="332" w:name="_Toc296503076"/>
      <w:r>
        <w:rPr>
          <w:rFonts w:hint="eastAsia" w:ascii="宋体" w:hAnsi="宋体" w:eastAsia="宋体" w:cs="宋体"/>
          <w:color w:val="auto"/>
          <w:kern w:val="0"/>
          <w:sz w:val="24"/>
          <w:szCs w:val="24"/>
        </w:rPr>
        <w:t>因</w:t>
      </w:r>
      <w:bookmarkEnd w:id="331"/>
      <w:bookmarkEnd w:id="332"/>
      <w:r>
        <w:rPr>
          <w:rFonts w:hint="eastAsia" w:ascii="宋体" w:hAnsi="宋体" w:eastAsia="宋体" w:cs="宋体"/>
          <w:color w:val="auto"/>
          <w:kern w:val="0"/>
          <w:sz w:val="24"/>
          <w:szCs w:val="24"/>
        </w:rPr>
        <w:t>承包人原因造成工期延误的，可以在专用合同条款中约定逾期竣工违约金的计算方法和逾期竣工违约金的上限。承包人支付逾期竣工违约金后，不免除承包人继续完成工程及修补缺陷的义务。</w:t>
      </w:r>
    </w:p>
    <w:p w14:paraId="6CAF5320">
      <w:pPr>
        <w:pStyle w:val="8"/>
        <w:spacing w:before="120" w:beforeLines="0" w:after="120" w:afterLines="0" w:line="312" w:lineRule="auto"/>
        <w:ind w:firstLine="480" w:firstLineChars="200"/>
        <w:rPr>
          <w:rFonts w:hint="eastAsia" w:ascii="宋体" w:hAnsi="宋体" w:eastAsia="宋体" w:cs="宋体"/>
          <w:b w:val="0"/>
          <w:color w:val="auto"/>
          <w:sz w:val="24"/>
          <w:szCs w:val="24"/>
        </w:rPr>
      </w:pPr>
      <w:bookmarkStart w:id="333" w:name="_Toc351203548"/>
      <w:r>
        <w:rPr>
          <w:rFonts w:hint="eastAsia" w:ascii="宋体" w:hAnsi="宋体" w:eastAsia="宋体" w:cs="宋体"/>
          <w:b w:val="0"/>
          <w:color w:val="auto"/>
          <w:sz w:val="24"/>
          <w:szCs w:val="24"/>
        </w:rPr>
        <w:t>7</w:t>
      </w:r>
      <w:bookmarkStart w:id="334" w:name="_Toc296503074"/>
      <w:bookmarkStart w:id="335" w:name="_Toc337558773"/>
      <w:bookmarkStart w:id="336" w:name="_Toc296346575"/>
      <w:bookmarkStart w:id="337" w:name="_Toc296346578"/>
      <w:bookmarkStart w:id="338" w:name="_Toc296503077"/>
      <w:r>
        <w:rPr>
          <w:rFonts w:hint="eastAsia" w:ascii="宋体" w:hAnsi="宋体" w:eastAsia="宋体" w:cs="宋体"/>
          <w:b w:val="0"/>
          <w:color w:val="auto"/>
          <w:sz w:val="24"/>
          <w:szCs w:val="24"/>
        </w:rPr>
        <w:t>.6 不利物质条件</w:t>
      </w:r>
      <w:bookmarkEnd w:id="333"/>
    </w:p>
    <w:bookmarkEnd w:id="334"/>
    <w:bookmarkEnd w:id="335"/>
    <w:bookmarkEnd w:id="336"/>
    <w:p w14:paraId="6331A11A">
      <w:pPr>
        <w:autoSpaceDE w:val="0"/>
        <w:autoSpaceDN w:val="0"/>
        <w:adjustRightInd w:val="0"/>
        <w:spacing w:beforeLines="0" w:afterLines="0" w:line="312" w:lineRule="auto"/>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不利物质条件是指有经验的承包人在施工现场遇到的不可预见的自然物质条件、非自然的物质障碍和污染物，包括地表以下物质条件和水文条件以及专用合同条款约定的其他情形，但不包括气候条件。</w:t>
      </w:r>
    </w:p>
    <w:p w14:paraId="249FD373">
      <w:pPr>
        <w:autoSpaceDE w:val="0"/>
        <w:autoSpaceDN w:val="0"/>
        <w:adjustRightInd w:val="0"/>
        <w:spacing w:beforeLines="0" w:afterLines="0" w:line="312" w:lineRule="auto"/>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承包人遇到不利物质条件时，应采取克服不利物质条件的合理措施继续施工，并及时通知发包人和监理人。通知应载明不利物质条件的内容以及承包人认为不可预见的理由。监理人经发包人同意后应当及时发出指示，指示构成变更的，按第10条〔变更〕约定执行。承包人因采取合理措施而增加的费用和（或）延误的工期由发包人承担。</w:t>
      </w:r>
    </w:p>
    <w:p w14:paraId="54EA563A">
      <w:pPr>
        <w:pStyle w:val="8"/>
        <w:spacing w:before="120" w:beforeLines="0" w:after="120" w:afterLines="0" w:line="312" w:lineRule="auto"/>
        <w:ind w:firstLine="480" w:firstLineChars="200"/>
        <w:rPr>
          <w:rFonts w:hint="eastAsia" w:ascii="宋体" w:hAnsi="宋体" w:eastAsia="宋体" w:cs="宋体"/>
          <w:b w:val="0"/>
          <w:color w:val="auto"/>
          <w:sz w:val="24"/>
          <w:szCs w:val="24"/>
        </w:rPr>
      </w:pPr>
      <w:bookmarkStart w:id="339" w:name="_Toc351203549"/>
      <w:r>
        <w:rPr>
          <w:rFonts w:hint="eastAsia" w:ascii="宋体" w:hAnsi="宋体" w:eastAsia="宋体" w:cs="宋体"/>
          <w:b w:val="0"/>
          <w:color w:val="auto"/>
          <w:sz w:val="24"/>
          <w:szCs w:val="24"/>
        </w:rPr>
        <w:t>7</w:t>
      </w:r>
      <w:bookmarkStart w:id="340" w:name="_Toc296346576"/>
      <w:bookmarkStart w:id="341" w:name="_Toc296503075"/>
      <w:bookmarkStart w:id="342" w:name="_Toc337558774"/>
      <w:r>
        <w:rPr>
          <w:rFonts w:hint="eastAsia" w:ascii="宋体" w:hAnsi="宋体" w:eastAsia="宋体" w:cs="宋体"/>
          <w:b w:val="0"/>
          <w:color w:val="auto"/>
          <w:sz w:val="24"/>
          <w:szCs w:val="24"/>
        </w:rPr>
        <w:t>.7 异常恶劣的气候条件</w:t>
      </w:r>
      <w:bookmarkEnd w:id="339"/>
    </w:p>
    <w:bookmarkEnd w:id="340"/>
    <w:bookmarkEnd w:id="341"/>
    <w:bookmarkEnd w:id="342"/>
    <w:p w14:paraId="74AA0CA9">
      <w:pPr>
        <w:autoSpaceDE w:val="0"/>
        <w:autoSpaceDN w:val="0"/>
        <w:adjustRightInd w:val="0"/>
        <w:spacing w:beforeLines="0" w:afterLines="0" w:line="312" w:lineRule="auto"/>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异常恶劣的气候条件是指在施工过程中遇到的，有经验的承包人在签订合同时不可预见的，对合同履行造成实质性影响的，但尚未构成不可抗力事件的恶劣气候条件。合同当事人可以在专用合同条款中约定异常恶劣的气候条件的具体情形。</w:t>
      </w:r>
    </w:p>
    <w:p w14:paraId="5A146465">
      <w:pPr>
        <w:autoSpaceDE w:val="0"/>
        <w:autoSpaceDN w:val="0"/>
        <w:adjustRightInd w:val="0"/>
        <w:spacing w:beforeLines="0" w:afterLines="0" w:line="312" w:lineRule="auto"/>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承包人应采取克服异常恶劣的气候条件的合理措施继续施工，并及时通知发包人和监理人。监理人经发包人同意后应当及时发出指示，指示构成变更的，按第10条〔变更〕约定办理。承包人因采取合理措施而增加的费用和（或）延误的工期由发包人承担。</w:t>
      </w:r>
      <w:bookmarkStart w:id="343" w:name="_Toc351203550"/>
    </w:p>
    <w:p w14:paraId="4980A9EB">
      <w:pPr>
        <w:autoSpaceDE w:val="0"/>
        <w:autoSpaceDN w:val="0"/>
        <w:adjustRightInd w:val="0"/>
        <w:spacing w:beforeLines="0" w:afterLines="0" w:line="312"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7</w:t>
      </w:r>
      <w:bookmarkStart w:id="344" w:name="_Toc337558775"/>
      <w:r>
        <w:rPr>
          <w:rFonts w:hint="eastAsia" w:ascii="宋体" w:hAnsi="宋体" w:eastAsia="宋体" w:cs="宋体"/>
          <w:color w:val="auto"/>
          <w:sz w:val="24"/>
          <w:szCs w:val="24"/>
        </w:rPr>
        <w:t>.8 暂停施工</w:t>
      </w:r>
      <w:bookmarkEnd w:id="343"/>
    </w:p>
    <w:bookmarkEnd w:id="337"/>
    <w:bookmarkEnd w:id="338"/>
    <w:bookmarkEnd w:id="344"/>
    <w:p w14:paraId="4825542E">
      <w:pPr>
        <w:spacing w:beforeLines="0" w:afterLines="0" w:line="312" w:lineRule="auto"/>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7.8.1发包人原因引起的暂停施工</w:t>
      </w:r>
    </w:p>
    <w:p w14:paraId="4EB10DF8">
      <w:pPr>
        <w:spacing w:beforeLines="0" w:afterLines="0" w:line="312" w:lineRule="auto"/>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因发包人原因引起暂停施工的，监理人经发包人同意后，应及时下达暂停施工指示。情况紧急且监理人未及时下达暂停施工指示的，按照第7.8.4项〔紧急情况下的暂停施工〕执行。</w:t>
      </w:r>
    </w:p>
    <w:p w14:paraId="1F5B14D8">
      <w:pPr>
        <w:spacing w:beforeLines="0" w:afterLines="0" w:line="312" w:lineRule="auto"/>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因发包人原因引起的暂停施工，发包人应承担由此增加的费用和（或）延误的工期，并支付承包人合理的利润。</w:t>
      </w:r>
    </w:p>
    <w:p w14:paraId="48068EC5">
      <w:pPr>
        <w:spacing w:beforeLines="0" w:afterLines="0" w:line="312" w:lineRule="auto"/>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7.8.2 承包人原因引起的暂停施工</w:t>
      </w:r>
    </w:p>
    <w:p w14:paraId="4E8C4914">
      <w:pPr>
        <w:spacing w:beforeLines="0" w:afterLines="0" w:line="312" w:lineRule="auto"/>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因承包人原因引起的暂停施工，承包人应承担由此增加的费用和（或）延误的工期，且承包人在收到监理人复工指示后84天内仍未复工的，视为第16.2.1项〔承包人违约的情形〕第（7）目约定的承包人无法继续履行合同的情形。</w:t>
      </w:r>
    </w:p>
    <w:p w14:paraId="44690350">
      <w:pPr>
        <w:spacing w:beforeLines="0" w:afterLines="0" w:line="312" w:lineRule="auto"/>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7.8.3 指示暂停施工</w:t>
      </w:r>
    </w:p>
    <w:p w14:paraId="21D51D54">
      <w:pPr>
        <w:spacing w:beforeLines="0" w:afterLines="0" w:line="312" w:lineRule="auto"/>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监理人认为有必要时，并经发包人批准后，可向承包人作出暂停施工的指示，承包人应按监理人指示暂停施工。</w:t>
      </w:r>
    </w:p>
    <w:p w14:paraId="4B079664">
      <w:pPr>
        <w:spacing w:beforeLines="0" w:afterLines="0" w:line="312" w:lineRule="auto"/>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7.8.4 紧急情况下的暂停施工</w:t>
      </w:r>
    </w:p>
    <w:p w14:paraId="279F9DB1">
      <w:pPr>
        <w:spacing w:beforeLines="0" w:afterLines="0" w:line="312" w:lineRule="auto"/>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因紧急情况需暂停施工，且监理人未及时下达暂停施工指示的，承包人可先暂停施工，并及时通知监理人。监理人应在接到通知后24小时内发出指示，逾期未发出指示，视为同意承包人暂停施工。监理人不同意承包人暂停施工的，应说明理由，承包人对监理人的答复有异议，按照第20条〔争议解决〕约定处理。</w:t>
      </w:r>
    </w:p>
    <w:p w14:paraId="72D084D7">
      <w:pPr>
        <w:spacing w:beforeLines="0" w:afterLines="0" w:line="312" w:lineRule="auto"/>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7.8.5 暂停施工后的复工</w:t>
      </w:r>
    </w:p>
    <w:p w14:paraId="698001F0">
      <w:pPr>
        <w:spacing w:beforeLines="0" w:afterLines="0" w:line="312" w:lineRule="auto"/>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暂停施工后，发包人和承包人应采取有效措施积极消除暂停施工的影响。在工程复工前，监理人会同发包人和承包人确定因暂停施工造成的损失，并确定工程复工条件。当工程具备复工条件时，监理人应经发包人批准后向承包人发出复工通知，承包人应按照复工通知要求复工。</w:t>
      </w:r>
    </w:p>
    <w:p w14:paraId="322F50A7">
      <w:pPr>
        <w:spacing w:beforeLines="0" w:afterLines="0" w:line="312" w:lineRule="auto"/>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承包人无故拖延和拒绝复工的，承包人承担由此增加的费用和（或）延误的工期；因发包人原因无法按时复工的，按照第7.5.1项〔因发包人原因导致工期延误〕约定办理。</w:t>
      </w:r>
    </w:p>
    <w:p w14:paraId="671DB6AA">
      <w:pPr>
        <w:spacing w:beforeLines="0" w:afterLines="0" w:line="312" w:lineRule="auto"/>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7.8.6 暂停施工持续56天以上</w:t>
      </w:r>
    </w:p>
    <w:p w14:paraId="79252F06">
      <w:pPr>
        <w:spacing w:beforeLines="0" w:afterLines="0" w:line="312" w:lineRule="auto"/>
        <w:ind w:firstLine="468" w:firstLineChars="195"/>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监理人发出暂停施工指示后56天内未向承包人发出复工通知，除该项停工属于第7.8.2项〔承包人原因引起的暂停施工〕及第17条〔不可抗力〕约定的情形外，承包人可向发包人提交书面通知，要求发包人在收到书面通知后28天内准许已暂停施工的部分或全部工程继续施工。发包人逾期不予批准的，则承包人可以通知发包人，将工程受影响的部分视为按第10.1款〔变更的范围〕第（2）项的可取消工作。</w:t>
      </w:r>
    </w:p>
    <w:p w14:paraId="77D7E9F0">
      <w:pPr>
        <w:spacing w:beforeLines="0" w:afterLines="0" w:line="312" w:lineRule="auto"/>
        <w:ind w:firstLine="468" w:firstLineChars="195"/>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暂停施工持续84天以上不复工的，且不属于第7.8.2项〔承包人原因引起的暂停施工〕及第17条〔不可抗力〕约定的情形，并影响到整个工程以及合同目的实现的，承包人有权提出价格调整要求，或者解除合同。解除合同的，按照第16.1.3项〔因发包人违约解除合同〕执行。</w:t>
      </w:r>
    </w:p>
    <w:p w14:paraId="0969CAEA">
      <w:pPr>
        <w:spacing w:beforeLines="0" w:afterLines="0" w:line="312" w:lineRule="auto"/>
        <w:ind w:left="16" w:firstLine="468" w:firstLineChars="195"/>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7.8.7 暂停施工期间的工程照管</w:t>
      </w:r>
    </w:p>
    <w:p w14:paraId="3DC2F491">
      <w:pPr>
        <w:spacing w:beforeLines="0" w:afterLines="0" w:line="312" w:lineRule="auto"/>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暂停施工期间，承包人应负责妥善照管工程并提供安全保障，由此增加的费用由责任方承担。</w:t>
      </w:r>
    </w:p>
    <w:p w14:paraId="320C097B">
      <w:pPr>
        <w:spacing w:beforeLines="0" w:afterLines="0" w:line="312" w:lineRule="auto"/>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7.8.8 暂停施工的措施</w:t>
      </w:r>
    </w:p>
    <w:p w14:paraId="0F1697D4">
      <w:pPr>
        <w:spacing w:beforeLines="0" w:afterLines="0" w:line="312" w:lineRule="auto"/>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暂停施工期间，发包人和承包人均应采取必要的措施确保工程质量及安全，防止因暂停施工扩大损失。</w:t>
      </w:r>
    </w:p>
    <w:p w14:paraId="42D6F7C1">
      <w:pPr>
        <w:pStyle w:val="8"/>
        <w:spacing w:before="120" w:beforeLines="0" w:after="120" w:afterLines="0" w:line="312" w:lineRule="auto"/>
        <w:ind w:firstLine="480" w:firstLineChars="200"/>
        <w:rPr>
          <w:rFonts w:hint="eastAsia" w:ascii="宋体" w:hAnsi="宋体" w:eastAsia="宋体" w:cs="宋体"/>
          <w:b w:val="0"/>
          <w:color w:val="auto"/>
          <w:sz w:val="24"/>
          <w:szCs w:val="24"/>
        </w:rPr>
      </w:pPr>
      <w:bookmarkStart w:id="345" w:name="_Toc351203551"/>
      <w:r>
        <w:rPr>
          <w:rFonts w:hint="eastAsia" w:ascii="宋体" w:hAnsi="宋体" w:eastAsia="宋体" w:cs="宋体"/>
          <w:b w:val="0"/>
          <w:color w:val="auto"/>
          <w:sz w:val="24"/>
          <w:szCs w:val="24"/>
        </w:rPr>
        <w:t>7.9提前竣工</w:t>
      </w:r>
      <w:bookmarkEnd w:id="345"/>
    </w:p>
    <w:p w14:paraId="4EE6FD01">
      <w:pPr>
        <w:spacing w:beforeLines="0" w:afterLines="0" w:line="312" w:lineRule="auto"/>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7.9.1 发包人要求承包人提前竣工的，发包人应通过监理人向承包人下达提前竣工指示，承包人应向发包人和监理人提交提前竣工建议书，提前竣工建议书应包括实施的方案、缩短的时间、增加的合同价格等内容。发包人接受该提前竣工建议书的，监理人应与发包人和承包人协商采取加快工程进度的措施，并修订施工进度计划，由此增加的费用由发包人承担。承包人认为提前竣工指示无法执行的，应向监理人和发包人提出书面异议，发包人和监理人应在收到异议后7天内予以答复。任何情况下，发包人不得压缩合理工期。</w:t>
      </w:r>
    </w:p>
    <w:p w14:paraId="69C25534">
      <w:pPr>
        <w:spacing w:beforeLines="0" w:afterLines="0" w:line="312" w:lineRule="auto"/>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7.9.2 发包人要求承包人提前竣工，或承包人提出提前竣工的建议能够给发包人带来效益的，合同当事人可以在专用合同条款中约定提前竣工的奖励。</w:t>
      </w:r>
    </w:p>
    <w:p w14:paraId="6BF8EA5B">
      <w:pPr>
        <w:pStyle w:val="7"/>
        <w:spacing w:before="120" w:beforeLines="0" w:after="120" w:afterLines="0" w:line="312" w:lineRule="auto"/>
        <w:rPr>
          <w:rFonts w:hint="eastAsia" w:ascii="宋体" w:hAnsi="宋体" w:eastAsia="宋体" w:cs="宋体"/>
          <w:b w:val="0"/>
          <w:color w:val="auto"/>
          <w:sz w:val="24"/>
          <w:szCs w:val="24"/>
        </w:rPr>
      </w:pPr>
      <w:bookmarkStart w:id="346" w:name="_Toc351203552"/>
      <w:r>
        <w:rPr>
          <w:rFonts w:hint="eastAsia" w:ascii="宋体" w:hAnsi="宋体" w:eastAsia="宋体" w:cs="宋体"/>
          <w:b w:val="0"/>
          <w:color w:val="auto"/>
          <w:sz w:val="24"/>
          <w:szCs w:val="24"/>
        </w:rPr>
        <w:t>8</w:t>
      </w:r>
      <w:bookmarkStart w:id="347" w:name="_Toc296346559"/>
      <w:bookmarkStart w:id="348" w:name="_Toc337558776"/>
      <w:bookmarkStart w:id="349" w:name="_Toc296503058"/>
      <w:r>
        <w:rPr>
          <w:rFonts w:hint="eastAsia" w:ascii="宋体" w:hAnsi="宋体" w:eastAsia="宋体" w:cs="宋体"/>
          <w:b w:val="0"/>
          <w:color w:val="auto"/>
          <w:sz w:val="24"/>
          <w:szCs w:val="24"/>
        </w:rPr>
        <w:t>. 材料与设备</w:t>
      </w:r>
      <w:bookmarkEnd w:id="346"/>
    </w:p>
    <w:bookmarkEnd w:id="347"/>
    <w:bookmarkEnd w:id="348"/>
    <w:bookmarkEnd w:id="349"/>
    <w:p w14:paraId="230336AA">
      <w:pPr>
        <w:pStyle w:val="8"/>
        <w:spacing w:before="120" w:beforeLines="0" w:after="120" w:afterLines="0" w:line="312" w:lineRule="auto"/>
        <w:ind w:firstLine="480" w:firstLineChars="200"/>
        <w:rPr>
          <w:rFonts w:hint="eastAsia" w:ascii="宋体" w:hAnsi="宋体" w:eastAsia="宋体" w:cs="宋体"/>
          <w:b w:val="0"/>
          <w:color w:val="auto"/>
          <w:sz w:val="24"/>
          <w:szCs w:val="24"/>
        </w:rPr>
      </w:pPr>
      <w:bookmarkStart w:id="350" w:name="_Toc351203553"/>
      <w:r>
        <w:rPr>
          <w:rFonts w:hint="eastAsia" w:ascii="宋体" w:hAnsi="宋体" w:eastAsia="宋体" w:cs="宋体"/>
          <w:b w:val="0"/>
          <w:color w:val="auto"/>
          <w:sz w:val="24"/>
          <w:szCs w:val="24"/>
        </w:rPr>
        <w:t>8</w:t>
      </w:r>
      <w:bookmarkStart w:id="351" w:name="_Toc296503059"/>
      <w:bookmarkStart w:id="352" w:name="_Toc296346560"/>
      <w:bookmarkStart w:id="353" w:name="_Toc337558777"/>
      <w:bookmarkStart w:id="354" w:name="_Toc468936960"/>
      <w:r>
        <w:rPr>
          <w:rFonts w:hint="eastAsia" w:ascii="宋体" w:hAnsi="宋体" w:eastAsia="宋体" w:cs="宋体"/>
          <w:b w:val="0"/>
          <w:color w:val="auto"/>
          <w:sz w:val="24"/>
          <w:szCs w:val="24"/>
        </w:rPr>
        <w:t>.1发包人供应材料与工程设备</w:t>
      </w:r>
      <w:bookmarkEnd w:id="350"/>
    </w:p>
    <w:bookmarkEnd w:id="351"/>
    <w:bookmarkEnd w:id="352"/>
    <w:bookmarkEnd w:id="353"/>
    <w:p w14:paraId="1D27A664">
      <w:pPr>
        <w:autoSpaceDE w:val="0"/>
        <w:autoSpaceDN w:val="0"/>
        <w:adjustRightInd w:val="0"/>
        <w:spacing w:beforeLines="0" w:afterLines="0" w:line="312" w:lineRule="auto"/>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发包人自行供应材料、工程设备的，应在签订合同时在专用合同条款的附件《发包人供应材料设备一览表》中明确材料、工程设备的品种、规格、型号、数量、单价、质量等级和送达地点。</w:t>
      </w:r>
    </w:p>
    <w:p w14:paraId="66DEDA2E">
      <w:pPr>
        <w:autoSpaceDE w:val="0"/>
        <w:autoSpaceDN w:val="0"/>
        <w:adjustRightInd w:val="0"/>
        <w:spacing w:beforeLines="0" w:afterLines="0" w:line="312" w:lineRule="auto"/>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承包人应提前30天通过监理人以书面形式通知发包人供应材料与工程设备进场。承包人按照第7.2.2项〔施工进度计划的修订〕约定修订施工进度计划时，需同时提交经修订后的发包人供应材料与工程设备的进场计划。</w:t>
      </w:r>
    </w:p>
    <w:p w14:paraId="2D161577">
      <w:pPr>
        <w:pStyle w:val="8"/>
        <w:spacing w:before="120" w:beforeLines="0" w:after="120" w:afterLines="0" w:line="312" w:lineRule="auto"/>
        <w:ind w:firstLine="480" w:firstLineChars="200"/>
        <w:rPr>
          <w:rFonts w:hint="eastAsia" w:ascii="宋体" w:hAnsi="宋体" w:eastAsia="宋体" w:cs="宋体"/>
          <w:color w:val="auto"/>
          <w:sz w:val="24"/>
          <w:szCs w:val="24"/>
        </w:rPr>
      </w:pPr>
      <w:bookmarkStart w:id="355" w:name="_Toc351203554"/>
      <w:r>
        <w:rPr>
          <w:rFonts w:hint="eastAsia" w:ascii="宋体" w:hAnsi="宋体" w:eastAsia="宋体" w:cs="宋体"/>
          <w:b w:val="0"/>
          <w:color w:val="auto"/>
          <w:sz w:val="24"/>
          <w:szCs w:val="24"/>
        </w:rPr>
        <w:t>8</w:t>
      </w:r>
      <w:bookmarkStart w:id="356" w:name="_Toc296503060"/>
      <w:bookmarkStart w:id="357" w:name="_Toc296346561"/>
      <w:bookmarkStart w:id="358" w:name="_Toc337558778"/>
      <w:r>
        <w:rPr>
          <w:rFonts w:hint="eastAsia" w:ascii="宋体" w:hAnsi="宋体" w:eastAsia="宋体" w:cs="宋体"/>
          <w:b w:val="0"/>
          <w:color w:val="auto"/>
          <w:sz w:val="24"/>
          <w:szCs w:val="24"/>
        </w:rPr>
        <w:t>.2承包人采购材料与工程设备</w:t>
      </w:r>
      <w:bookmarkEnd w:id="355"/>
    </w:p>
    <w:bookmarkEnd w:id="356"/>
    <w:bookmarkEnd w:id="357"/>
    <w:bookmarkEnd w:id="358"/>
    <w:p w14:paraId="72D3EEA6">
      <w:pPr>
        <w:autoSpaceDE w:val="0"/>
        <w:autoSpaceDN w:val="0"/>
        <w:adjustRightInd w:val="0"/>
        <w:spacing w:beforeLines="0" w:afterLines="0" w:line="312" w:lineRule="auto"/>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承包人负责采购材料、工程设备的，应按照设计和有关标准要求采购，并提供产品合格证明及出厂证明，对材料、工程设备质量负责。合同约定由承包人采购的材料、工程设备，发包人不得指定生产厂家或供应商，发包人违反本款约定指定生产厂家或供应商的，承包人有权拒绝，并由发包人承担相应责任。</w:t>
      </w:r>
    </w:p>
    <w:p w14:paraId="092F3067">
      <w:pPr>
        <w:pStyle w:val="8"/>
        <w:spacing w:before="120" w:beforeLines="0" w:after="120" w:afterLines="0" w:line="312" w:lineRule="auto"/>
        <w:ind w:firstLine="480" w:firstLineChars="200"/>
        <w:rPr>
          <w:rFonts w:hint="eastAsia" w:ascii="宋体" w:hAnsi="宋体" w:eastAsia="宋体" w:cs="宋体"/>
          <w:b w:val="0"/>
          <w:color w:val="auto"/>
          <w:sz w:val="24"/>
          <w:szCs w:val="24"/>
        </w:rPr>
      </w:pPr>
      <w:bookmarkStart w:id="359" w:name="_Toc351203555"/>
      <w:r>
        <w:rPr>
          <w:rFonts w:hint="eastAsia" w:ascii="宋体" w:hAnsi="宋体" w:eastAsia="宋体" w:cs="宋体"/>
          <w:b w:val="0"/>
          <w:color w:val="auto"/>
          <w:sz w:val="24"/>
          <w:szCs w:val="24"/>
        </w:rPr>
        <w:t>8</w:t>
      </w:r>
      <w:bookmarkStart w:id="360" w:name="_Toc296503061"/>
      <w:bookmarkStart w:id="361" w:name="_Toc296346562"/>
      <w:bookmarkStart w:id="362" w:name="_Toc337558779"/>
      <w:r>
        <w:rPr>
          <w:rFonts w:hint="eastAsia" w:ascii="宋体" w:hAnsi="宋体" w:eastAsia="宋体" w:cs="宋体"/>
          <w:b w:val="0"/>
          <w:color w:val="auto"/>
          <w:sz w:val="24"/>
          <w:szCs w:val="24"/>
        </w:rPr>
        <w:t>.3材料与工程设备的接收与拒收</w:t>
      </w:r>
      <w:bookmarkEnd w:id="359"/>
    </w:p>
    <w:bookmarkEnd w:id="360"/>
    <w:bookmarkEnd w:id="361"/>
    <w:bookmarkEnd w:id="362"/>
    <w:p w14:paraId="327138D2">
      <w:pPr>
        <w:autoSpaceDE w:val="0"/>
        <w:autoSpaceDN w:val="0"/>
        <w:adjustRightInd w:val="0"/>
        <w:spacing w:beforeLines="0" w:afterLines="0" w:line="312" w:lineRule="auto"/>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8.3.1 发包人应按《发包人供应材料设备一览表》约定的内容提供材料和工程设备，并向承包人提供产品合格证明及出厂证明，对其质量负责。发包人应提前24小时以书面形式通知承包人、监理人材料和工程设备到货时间，承包人负责材料和工程设备的清点、检验和接收。</w:t>
      </w:r>
    </w:p>
    <w:p w14:paraId="64D8D725">
      <w:pPr>
        <w:autoSpaceDE w:val="0"/>
        <w:autoSpaceDN w:val="0"/>
        <w:adjustRightInd w:val="0"/>
        <w:spacing w:beforeLines="0" w:afterLines="0" w:line="312" w:lineRule="auto"/>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发包人提供的材料和工程设备的规格、数量或质量不符合合同约定的，或因发包人原因导致交货日期延误或交货地点变更等情况的，按照第16.1款〔发包人违约〕约定办理。</w:t>
      </w:r>
    </w:p>
    <w:p w14:paraId="274DDDDC">
      <w:pPr>
        <w:autoSpaceDE w:val="0"/>
        <w:autoSpaceDN w:val="0"/>
        <w:adjustRightInd w:val="0"/>
        <w:spacing w:beforeLines="0" w:afterLines="0" w:line="312" w:lineRule="auto"/>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8.3.2 承包人采购的材料和工程设备，应保证产品质量合格，承包人应在材料和工程设备到货前24小时通知监理人检验。承</w:t>
      </w:r>
      <w:bookmarkStart w:id="363" w:name="_Toc250655469"/>
      <w:r>
        <w:rPr>
          <w:rFonts w:hint="eastAsia" w:ascii="宋体" w:hAnsi="宋体" w:eastAsia="宋体" w:cs="宋体"/>
          <w:color w:val="auto"/>
          <w:kern w:val="0"/>
          <w:sz w:val="24"/>
          <w:szCs w:val="24"/>
        </w:rPr>
        <w:t>包人进行永久设备、材料的制造和生产的，应符合相关质量标准，并向监理人提交材料的样本以及有关资料，并应在使用该材料或工程设备之前获得监理人同意。</w:t>
      </w:r>
    </w:p>
    <w:bookmarkEnd w:id="363"/>
    <w:p w14:paraId="15D0DE24">
      <w:pPr>
        <w:autoSpaceDE w:val="0"/>
        <w:autoSpaceDN w:val="0"/>
        <w:adjustRightInd w:val="0"/>
        <w:spacing w:beforeLines="0" w:afterLines="0" w:line="312" w:lineRule="auto"/>
        <w:ind w:firstLine="360" w:firstLineChars="15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 xml:space="preserve"> 承包人采购的材料和工程设备不符合设计或有关标准要求时，承包人应在监理人要求的合理期限内将不符合设计或有关标准要求的材料、工程设备运出施工现场，并重新采购符合要求的材料、工程设备，由此增加的费用和（或）延误的工期，由承包人承担。</w:t>
      </w:r>
    </w:p>
    <w:p w14:paraId="78A2E504">
      <w:pPr>
        <w:pStyle w:val="8"/>
        <w:spacing w:before="120" w:beforeLines="0" w:after="120" w:afterLines="0" w:line="312" w:lineRule="auto"/>
        <w:ind w:firstLine="480" w:firstLineChars="200"/>
        <w:rPr>
          <w:rFonts w:hint="eastAsia" w:ascii="宋体" w:hAnsi="宋体" w:eastAsia="宋体" w:cs="宋体"/>
          <w:b w:val="0"/>
          <w:color w:val="auto"/>
          <w:sz w:val="24"/>
          <w:szCs w:val="24"/>
        </w:rPr>
      </w:pPr>
      <w:bookmarkStart w:id="364" w:name="_Toc351203556"/>
      <w:r>
        <w:rPr>
          <w:rFonts w:hint="eastAsia" w:ascii="宋体" w:hAnsi="宋体" w:eastAsia="宋体" w:cs="宋体"/>
          <w:b w:val="0"/>
          <w:color w:val="auto"/>
          <w:sz w:val="24"/>
          <w:szCs w:val="24"/>
        </w:rPr>
        <w:t>8</w:t>
      </w:r>
      <w:bookmarkStart w:id="365" w:name="_Toc296503062"/>
      <w:bookmarkStart w:id="366" w:name="_Toc337558780"/>
      <w:bookmarkStart w:id="367" w:name="_Toc296346563"/>
      <w:r>
        <w:rPr>
          <w:rFonts w:hint="eastAsia" w:ascii="宋体" w:hAnsi="宋体" w:eastAsia="宋体" w:cs="宋体"/>
          <w:b w:val="0"/>
          <w:color w:val="auto"/>
          <w:sz w:val="24"/>
          <w:szCs w:val="24"/>
        </w:rPr>
        <w:t>.4材料与工程设备的保管与使用</w:t>
      </w:r>
      <w:bookmarkEnd w:id="364"/>
    </w:p>
    <w:bookmarkEnd w:id="365"/>
    <w:bookmarkEnd w:id="366"/>
    <w:bookmarkEnd w:id="367"/>
    <w:p w14:paraId="22B5C978">
      <w:pPr>
        <w:autoSpaceDE w:val="0"/>
        <w:autoSpaceDN w:val="0"/>
        <w:adjustRightInd w:val="0"/>
        <w:spacing w:beforeLines="0" w:afterLines="0" w:line="312" w:lineRule="auto"/>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8.4.1 发包人供应</w:t>
      </w:r>
      <w:r>
        <w:rPr>
          <w:rFonts w:hint="eastAsia" w:ascii="宋体" w:hAnsi="宋体" w:eastAsia="宋体" w:cs="宋体"/>
          <w:color w:val="auto"/>
          <w:sz w:val="24"/>
          <w:szCs w:val="24"/>
        </w:rPr>
        <w:t>材料与</w:t>
      </w:r>
      <w:r>
        <w:rPr>
          <w:rFonts w:hint="eastAsia" w:ascii="宋体" w:hAnsi="宋体" w:eastAsia="宋体" w:cs="宋体"/>
          <w:color w:val="auto"/>
          <w:kern w:val="0"/>
          <w:sz w:val="24"/>
          <w:szCs w:val="24"/>
        </w:rPr>
        <w:t>工程</w:t>
      </w:r>
      <w:r>
        <w:rPr>
          <w:rFonts w:hint="eastAsia" w:ascii="宋体" w:hAnsi="宋体" w:eastAsia="宋体" w:cs="宋体"/>
          <w:color w:val="auto"/>
          <w:sz w:val="24"/>
          <w:szCs w:val="24"/>
        </w:rPr>
        <w:t>设备的保管与使用</w:t>
      </w:r>
    </w:p>
    <w:p w14:paraId="75750293">
      <w:pPr>
        <w:autoSpaceDE w:val="0"/>
        <w:autoSpaceDN w:val="0"/>
        <w:adjustRightInd w:val="0"/>
        <w:spacing w:beforeLines="0" w:afterLines="0" w:line="312" w:lineRule="auto"/>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发包人供应的材料和工程设备，承包人清点后由承包人妥善保管，保管费用由发包人承担，但已标价工程量清单或预算书已经列支或专用合同条款另有约定除外。因承包人原因发生丢失毁损的，由承包人负责赔偿；监理人未通知承包人清点的，承包人不负责材料和工程设备的保管，由此导致丢失毁损的由发包人负责。</w:t>
      </w:r>
    </w:p>
    <w:p w14:paraId="3C61B41F">
      <w:pPr>
        <w:autoSpaceDE w:val="0"/>
        <w:autoSpaceDN w:val="0"/>
        <w:adjustRightInd w:val="0"/>
        <w:spacing w:beforeLines="0" w:afterLines="0" w:line="312" w:lineRule="auto"/>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发包人供应的材料和工程设备使用前，由承包人负责检验，检验费用由发包人承担，不合格的不得使用。</w:t>
      </w:r>
    </w:p>
    <w:p w14:paraId="7A36DBC9">
      <w:pPr>
        <w:autoSpaceDE w:val="0"/>
        <w:autoSpaceDN w:val="0"/>
        <w:adjustRightInd w:val="0"/>
        <w:spacing w:beforeLines="0" w:afterLines="0" w:line="312" w:lineRule="auto"/>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8.4.2 承包人采购</w:t>
      </w:r>
      <w:r>
        <w:rPr>
          <w:rFonts w:hint="eastAsia" w:ascii="宋体" w:hAnsi="宋体" w:eastAsia="宋体" w:cs="宋体"/>
          <w:color w:val="auto"/>
          <w:sz w:val="24"/>
          <w:szCs w:val="24"/>
        </w:rPr>
        <w:t>材料与</w:t>
      </w:r>
      <w:r>
        <w:rPr>
          <w:rFonts w:hint="eastAsia" w:ascii="宋体" w:hAnsi="宋体" w:eastAsia="宋体" w:cs="宋体"/>
          <w:color w:val="auto"/>
          <w:kern w:val="0"/>
          <w:sz w:val="24"/>
          <w:szCs w:val="24"/>
        </w:rPr>
        <w:t>工程</w:t>
      </w:r>
      <w:r>
        <w:rPr>
          <w:rFonts w:hint="eastAsia" w:ascii="宋体" w:hAnsi="宋体" w:eastAsia="宋体" w:cs="宋体"/>
          <w:color w:val="auto"/>
          <w:sz w:val="24"/>
          <w:szCs w:val="24"/>
        </w:rPr>
        <w:t>设备的保管与使用</w:t>
      </w:r>
    </w:p>
    <w:p w14:paraId="10B4BFD2">
      <w:pPr>
        <w:autoSpaceDE w:val="0"/>
        <w:autoSpaceDN w:val="0"/>
        <w:adjustRightInd w:val="0"/>
        <w:spacing w:beforeLines="0" w:afterLines="0" w:line="312" w:lineRule="auto"/>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承包人采购的材料和工程设备由承包人妥善保管，保管费用由承包人承担。法律规定材料和工程设备使用前必须进行检验或试验的，承包人应按监理人的要求进行检验或试验，检验或试验费用由承包人承担，不合格的不得使用。</w:t>
      </w:r>
    </w:p>
    <w:p w14:paraId="79915EFB">
      <w:pPr>
        <w:autoSpaceDE w:val="0"/>
        <w:autoSpaceDN w:val="0"/>
        <w:adjustRightInd w:val="0"/>
        <w:spacing w:beforeLines="0" w:afterLines="0" w:line="312" w:lineRule="auto"/>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发包人或监理人发现承包人使用不符合设计或有关标准要求的材料和工程设备时，有权要求承包人进行修复、拆除或重新采购，由此增加的费用和（或）延误的工期，由承包人承担。</w:t>
      </w:r>
    </w:p>
    <w:p w14:paraId="58B35CE5">
      <w:pPr>
        <w:pStyle w:val="8"/>
        <w:spacing w:before="120" w:beforeLines="0" w:after="120" w:afterLines="0" w:line="312" w:lineRule="auto"/>
        <w:ind w:firstLine="480" w:firstLineChars="200"/>
        <w:rPr>
          <w:rFonts w:hint="eastAsia" w:ascii="宋体" w:hAnsi="宋体" w:eastAsia="宋体" w:cs="宋体"/>
          <w:b w:val="0"/>
          <w:color w:val="auto"/>
          <w:sz w:val="24"/>
          <w:szCs w:val="24"/>
        </w:rPr>
      </w:pPr>
      <w:bookmarkStart w:id="368" w:name="_Toc351203557"/>
      <w:r>
        <w:rPr>
          <w:rFonts w:hint="eastAsia" w:ascii="宋体" w:hAnsi="宋体" w:eastAsia="宋体" w:cs="宋体"/>
          <w:b w:val="0"/>
          <w:color w:val="auto"/>
          <w:sz w:val="24"/>
          <w:szCs w:val="24"/>
        </w:rPr>
        <w:t>8.5禁止使用不合格的材料和工程设备</w:t>
      </w:r>
      <w:bookmarkEnd w:id="368"/>
    </w:p>
    <w:p w14:paraId="2E4B2E30">
      <w:pPr>
        <w:autoSpaceDE w:val="0"/>
        <w:autoSpaceDN w:val="0"/>
        <w:adjustRightInd w:val="0"/>
        <w:spacing w:beforeLines="0" w:afterLines="0" w:line="312" w:lineRule="auto"/>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8.5.1 监理人有权拒绝承包人提供的不合格材料或工程设备，并要求承包人立即进行更换。监理人应在更换后再次进行检查和检验，由此增加的费用和（或）延误的工期由承包人承担。</w:t>
      </w:r>
    </w:p>
    <w:p w14:paraId="0A7E7AA1">
      <w:pPr>
        <w:autoSpaceDE w:val="0"/>
        <w:autoSpaceDN w:val="0"/>
        <w:adjustRightInd w:val="0"/>
        <w:spacing w:beforeLines="0" w:afterLines="0" w:line="312" w:lineRule="auto"/>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8.5.2 监理人发现承包人使用了不合格的材料和工程设备，承包人应按照监理人的指示立即改正，并禁止在工程中继续使用不合格的材料和工程设备。</w:t>
      </w:r>
    </w:p>
    <w:p w14:paraId="0324D526">
      <w:pPr>
        <w:autoSpaceDE w:val="0"/>
        <w:autoSpaceDN w:val="0"/>
        <w:adjustRightInd w:val="0"/>
        <w:spacing w:beforeLines="0" w:afterLines="0" w:line="312" w:lineRule="auto"/>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8.5.3 发包人提供的材料或工程设备不符合合同要求的，承包人有权拒绝，并可要求发包人更换，由此增加的费用和（或）延误的工期由发包人承担，并支付承包人合理的利润。</w:t>
      </w:r>
    </w:p>
    <w:p w14:paraId="3DDF852D">
      <w:pPr>
        <w:pStyle w:val="8"/>
        <w:spacing w:before="120" w:beforeLines="0" w:after="120" w:afterLines="0" w:line="312" w:lineRule="auto"/>
        <w:ind w:firstLine="480" w:firstLineChars="200"/>
        <w:rPr>
          <w:rFonts w:hint="eastAsia" w:ascii="宋体" w:hAnsi="宋体" w:eastAsia="宋体" w:cs="宋体"/>
          <w:b w:val="0"/>
          <w:color w:val="auto"/>
          <w:sz w:val="24"/>
          <w:szCs w:val="24"/>
        </w:rPr>
      </w:pPr>
      <w:bookmarkStart w:id="369" w:name="_Toc351203558"/>
      <w:r>
        <w:rPr>
          <w:rFonts w:hint="eastAsia" w:ascii="宋体" w:hAnsi="宋体" w:eastAsia="宋体" w:cs="宋体"/>
          <w:b w:val="0"/>
          <w:color w:val="auto"/>
          <w:sz w:val="24"/>
          <w:szCs w:val="24"/>
        </w:rPr>
        <w:t>8.6 样品</w:t>
      </w:r>
      <w:bookmarkEnd w:id="369"/>
    </w:p>
    <w:p w14:paraId="393FE109">
      <w:pPr>
        <w:autoSpaceDE w:val="0"/>
        <w:autoSpaceDN w:val="0"/>
        <w:adjustRightInd w:val="0"/>
        <w:spacing w:beforeLines="0" w:afterLines="0" w:line="312" w:lineRule="auto"/>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8.6.1</w:t>
      </w:r>
      <w:r>
        <w:rPr>
          <w:rFonts w:hint="eastAsia" w:ascii="宋体" w:hAnsi="宋体" w:eastAsia="宋体" w:cs="宋体"/>
          <w:color w:val="auto"/>
          <w:kern w:val="0"/>
          <w:sz w:val="24"/>
          <w:szCs w:val="24"/>
        </w:rPr>
        <w:tab/>
      </w:r>
      <w:r>
        <w:rPr>
          <w:rFonts w:hint="eastAsia" w:ascii="宋体" w:hAnsi="宋体" w:eastAsia="宋体" w:cs="宋体"/>
          <w:color w:val="auto"/>
          <w:kern w:val="0"/>
          <w:sz w:val="24"/>
          <w:szCs w:val="24"/>
        </w:rPr>
        <w:t>样品的报送与封存</w:t>
      </w:r>
    </w:p>
    <w:p w14:paraId="4090133D">
      <w:pPr>
        <w:autoSpaceDE w:val="0"/>
        <w:autoSpaceDN w:val="0"/>
        <w:adjustRightInd w:val="0"/>
        <w:spacing w:beforeLines="0" w:afterLines="0" w:line="312" w:lineRule="auto"/>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需要承包人报送样品的材料或工程设备，样品的种类、名称、规格、数量等要求均应在专用合同条款中约定。样品的报送程序如下：</w:t>
      </w:r>
    </w:p>
    <w:p w14:paraId="5F6C2A3D">
      <w:pPr>
        <w:autoSpaceDE w:val="0"/>
        <w:autoSpaceDN w:val="0"/>
        <w:adjustRightInd w:val="0"/>
        <w:spacing w:beforeLines="0" w:afterLines="0" w:line="312" w:lineRule="auto"/>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承包人应在计划采购前28天向监理人报送样品。承包人报送的样品均应来自供应材料的实际生产地，且提供的样品的规格、数量足以表明材料或工程设备的质量、型号、颜色、表面处理、质地、误差和其他要求的特征。</w:t>
      </w:r>
    </w:p>
    <w:p w14:paraId="67F23193">
      <w:pPr>
        <w:autoSpaceDE w:val="0"/>
        <w:autoSpaceDN w:val="0"/>
        <w:adjustRightInd w:val="0"/>
        <w:spacing w:beforeLines="0" w:afterLines="0" w:line="312" w:lineRule="auto"/>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2）承包人每次报送样品时应随附申报单，申报单应载明报送样品的相关数据和资料，并标明每件样品对应的图纸号，预留监理人批复意见栏。监理人应在收到承包人报送的样品后7天向承包人回复经发包人签认的样品审批意见。</w:t>
      </w:r>
    </w:p>
    <w:p w14:paraId="17D447B2">
      <w:pPr>
        <w:autoSpaceDE w:val="0"/>
        <w:autoSpaceDN w:val="0"/>
        <w:adjustRightInd w:val="0"/>
        <w:spacing w:beforeLines="0" w:afterLines="0" w:line="312" w:lineRule="auto"/>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（3）经发包人和监理人审批确认的样品应按约定的方法封样，封存的样品作为检验工程相关部分的标准之一。承包人在施工过程中不得使用与样品不符的材料或工程设备。</w:t>
      </w:r>
    </w:p>
    <w:p w14:paraId="5CD56803">
      <w:pPr>
        <w:autoSpaceDE w:val="0"/>
        <w:autoSpaceDN w:val="0"/>
        <w:adjustRightInd w:val="0"/>
        <w:spacing w:beforeLines="0" w:afterLines="0" w:line="312" w:lineRule="auto"/>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4）发包人和监理人对样品的审批确认仅为确认相关材料或工程设备的特征或用途，不得被理解为对合同的修改或改变，也并不减轻或免除承包人任何的责任和义务。如果封存的样品修改或改变了合同约定，合同当事人应当以书面协议予以确认。</w:t>
      </w:r>
    </w:p>
    <w:p w14:paraId="1811C351">
      <w:pPr>
        <w:autoSpaceDE w:val="0"/>
        <w:autoSpaceDN w:val="0"/>
        <w:adjustRightInd w:val="0"/>
        <w:spacing w:beforeLines="0" w:afterLines="0" w:line="312" w:lineRule="auto"/>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8.6.2 样品的保管</w:t>
      </w:r>
    </w:p>
    <w:p w14:paraId="6AF6CF53">
      <w:pPr>
        <w:autoSpaceDE w:val="0"/>
        <w:autoSpaceDN w:val="0"/>
        <w:adjustRightInd w:val="0"/>
        <w:spacing w:beforeLines="0" w:afterLines="0" w:line="312" w:lineRule="auto"/>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经批准的样品应由监理人负责封存于现场，承包人应在现场为保存样品提供适当和固定的场所并保持适当和良好的存储环境条件。</w:t>
      </w:r>
    </w:p>
    <w:p w14:paraId="7B2FC824">
      <w:pPr>
        <w:pStyle w:val="8"/>
        <w:spacing w:before="120" w:beforeLines="0" w:after="120" w:afterLines="0" w:line="312" w:lineRule="auto"/>
        <w:ind w:firstLine="480" w:firstLineChars="200"/>
        <w:rPr>
          <w:rFonts w:hint="eastAsia" w:ascii="宋体" w:hAnsi="宋体" w:eastAsia="宋体" w:cs="宋体"/>
          <w:b w:val="0"/>
          <w:color w:val="auto"/>
          <w:sz w:val="24"/>
          <w:szCs w:val="24"/>
        </w:rPr>
      </w:pPr>
      <w:bookmarkStart w:id="370" w:name="_Toc351203559"/>
      <w:r>
        <w:rPr>
          <w:rFonts w:hint="eastAsia" w:ascii="宋体" w:hAnsi="宋体" w:eastAsia="宋体" w:cs="宋体"/>
          <w:b w:val="0"/>
          <w:color w:val="auto"/>
          <w:sz w:val="24"/>
          <w:szCs w:val="24"/>
        </w:rPr>
        <w:t>8.7材料与工程设备的替代</w:t>
      </w:r>
      <w:bookmarkEnd w:id="370"/>
    </w:p>
    <w:p w14:paraId="0F20F889">
      <w:pPr>
        <w:autoSpaceDE w:val="0"/>
        <w:autoSpaceDN w:val="0"/>
        <w:adjustRightInd w:val="0"/>
        <w:spacing w:beforeLines="0" w:afterLines="0" w:line="312" w:lineRule="auto"/>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8.7.1 出现下列情况需要使用替代材料和工程设备的，承包人应按照第8.7.2项约定的程序执行：</w:t>
      </w:r>
    </w:p>
    <w:p w14:paraId="537691DE">
      <w:pPr>
        <w:autoSpaceDE w:val="0"/>
        <w:autoSpaceDN w:val="0"/>
        <w:adjustRightInd w:val="0"/>
        <w:spacing w:beforeLines="0" w:afterLines="0" w:line="312" w:lineRule="auto"/>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（1）基准日期后生效的法律规定禁止使用的；</w:t>
      </w:r>
    </w:p>
    <w:p w14:paraId="7C06A9DA">
      <w:pPr>
        <w:autoSpaceDE w:val="0"/>
        <w:autoSpaceDN w:val="0"/>
        <w:adjustRightInd w:val="0"/>
        <w:spacing w:beforeLines="0" w:afterLines="0" w:line="312" w:lineRule="auto"/>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（2）发包人要求使用替代品的；</w:t>
      </w:r>
    </w:p>
    <w:p w14:paraId="0FB197CA">
      <w:pPr>
        <w:autoSpaceDE w:val="0"/>
        <w:autoSpaceDN w:val="0"/>
        <w:adjustRightInd w:val="0"/>
        <w:spacing w:beforeLines="0" w:afterLines="0" w:line="312" w:lineRule="auto"/>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（3）因其他原因必须使用替代品的。</w:t>
      </w:r>
    </w:p>
    <w:p w14:paraId="1024EEA4">
      <w:pPr>
        <w:autoSpaceDE w:val="0"/>
        <w:autoSpaceDN w:val="0"/>
        <w:adjustRightInd w:val="0"/>
        <w:spacing w:beforeLines="0" w:afterLines="0" w:line="312" w:lineRule="auto"/>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8.7.2 承包人应在使用替代材料和工程设备28天前书面通知监理人，并附下列文件：</w:t>
      </w:r>
    </w:p>
    <w:p w14:paraId="7A387654">
      <w:pPr>
        <w:autoSpaceDE w:val="0"/>
        <w:autoSpaceDN w:val="0"/>
        <w:adjustRightInd w:val="0"/>
        <w:spacing w:beforeLines="0" w:afterLines="0" w:line="312" w:lineRule="auto"/>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（1）被替代的材料和工程设备的名称、数量、规格、型号、品牌、性能、价格及其他相关资料；</w:t>
      </w:r>
    </w:p>
    <w:p w14:paraId="3F4B0618">
      <w:pPr>
        <w:autoSpaceDE w:val="0"/>
        <w:autoSpaceDN w:val="0"/>
        <w:adjustRightInd w:val="0"/>
        <w:spacing w:beforeLines="0" w:afterLines="0" w:line="312" w:lineRule="auto"/>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（2）替代品的名称、数量、规格、型号、品牌、性能、价格及其他相关资料；</w:t>
      </w:r>
    </w:p>
    <w:p w14:paraId="005DD2D4">
      <w:pPr>
        <w:autoSpaceDE w:val="0"/>
        <w:autoSpaceDN w:val="0"/>
        <w:adjustRightInd w:val="0"/>
        <w:spacing w:beforeLines="0" w:afterLines="0" w:line="312" w:lineRule="auto"/>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（3）替代品与被替代产品之间的差异以及使用替代品可能对工程产生的影响；</w:t>
      </w:r>
    </w:p>
    <w:p w14:paraId="11C7CDA8">
      <w:pPr>
        <w:autoSpaceDE w:val="0"/>
        <w:autoSpaceDN w:val="0"/>
        <w:adjustRightInd w:val="0"/>
        <w:spacing w:beforeLines="0" w:afterLines="0" w:line="312" w:lineRule="auto"/>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（4）替代品与被替代产品的价格差异；</w:t>
      </w:r>
    </w:p>
    <w:p w14:paraId="6E385B7B">
      <w:pPr>
        <w:autoSpaceDE w:val="0"/>
        <w:autoSpaceDN w:val="0"/>
        <w:adjustRightInd w:val="0"/>
        <w:spacing w:beforeLines="0" w:afterLines="0" w:line="312" w:lineRule="auto"/>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（5）使用替代品的理由和原因说明；</w:t>
      </w:r>
    </w:p>
    <w:p w14:paraId="095BB1FA">
      <w:pPr>
        <w:autoSpaceDE w:val="0"/>
        <w:autoSpaceDN w:val="0"/>
        <w:adjustRightInd w:val="0"/>
        <w:spacing w:beforeLines="0" w:afterLines="0" w:line="312" w:lineRule="auto"/>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（6）监理人要求的其他文件。</w:t>
      </w:r>
    </w:p>
    <w:p w14:paraId="7671796C">
      <w:pPr>
        <w:autoSpaceDE w:val="0"/>
        <w:autoSpaceDN w:val="0"/>
        <w:adjustRightInd w:val="0"/>
        <w:spacing w:beforeLines="0" w:afterLines="0" w:line="312" w:lineRule="auto"/>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监理人应在收到通知后14天内向承包人发出经发包人签认的书面指示；监理人逾期发出书面指示的，视为发包人和监理人同意使用替代品。</w:t>
      </w:r>
    </w:p>
    <w:p w14:paraId="4387B0AF">
      <w:pPr>
        <w:autoSpaceDE w:val="0"/>
        <w:autoSpaceDN w:val="0"/>
        <w:adjustRightInd w:val="0"/>
        <w:spacing w:beforeLines="0" w:afterLines="0" w:line="312" w:lineRule="auto"/>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8.7.3 发包人认可使用替代材料和工程设备的，替代材料和工程设备的价格，按照已标价工程量清单或预算书相同项目的价格认定；无相同项目的，参考相似项目价格认定；既无相同项目也无相似项目的，按照合理的成本与利润构成的原则，由合同当事人按照第4.4款〔商定或确定〕确定价格。</w:t>
      </w:r>
    </w:p>
    <w:p w14:paraId="00BDF36A">
      <w:pPr>
        <w:pStyle w:val="8"/>
        <w:spacing w:before="120" w:beforeLines="0" w:after="120" w:afterLines="0" w:line="312" w:lineRule="auto"/>
        <w:ind w:firstLine="480" w:firstLineChars="200"/>
        <w:rPr>
          <w:rFonts w:hint="eastAsia" w:ascii="宋体" w:hAnsi="宋体" w:eastAsia="宋体" w:cs="宋体"/>
          <w:b w:val="0"/>
          <w:color w:val="auto"/>
          <w:sz w:val="24"/>
          <w:szCs w:val="24"/>
        </w:rPr>
      </w:pPr>
      <w:bookmarkStart w:id="371" w:name="_Toc351203560"/>
      <w:r>
        <w:rPr>
          <w:rFonts w:hint="eastAsia" w:ascii="宋体" w:hAnsi="宋体" w:eastAsia="宋体" w:cs="宋体"/>
          <w:b w:val="0"/>
          <w:color w:val="auto"/>
          <w:sz w:val="24"/>
          <w:szCs w:val="24"/>
        </w:rPr>
        <w:t>8.8施工设备和临时设施</w:t>
      </w:r>
      <w:bookmarkEnd w:id="371"/>
    </w:p>
    <w:p w14:paraId="58ADC183">
      <w:pPr>
        <w:autoSpaceDE w:val="0"/>
        <w:autoSpaceDN w:val="0"/>
        <w:adjustRightInd w:val="0"/>
        <w:spacing w:beforeLines="0" w:afterLines="0" w:line="312" w:lineRule="auto"/>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8.8.1 承包人提供的施工设备和临时设施</w:t>
      </w:r>
    </w:p>
    <w:p w14:paraId="315299F9">
      <w:pPr>
        <w:autoSpaceDE w:val="0"/>
        <w:autoSpaceDN w:val="0"/>
        <w:adjustRightInd w:val="0"/>
        <w:spacing w:beforeLines="0" w:afterLines="0" w:line="312" w:lineRule="auto"/>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承包人应按合同进度计划的要求，及时配置施工设备和修建临时设施。进入施工场地的承包人设备需经监理人核查后才能投入使用。承包人更换合同约定的承包人设备的，应报监理人批准。</w:t>
      </w:r>
    </w:p>
    <w:p w14:paraId="7E60E0AD">
      <w:pPr>
        <w:autoSpaceDE w:val="0"/>
        <w:autoSpaceDN w:val="0"/>
        <w:adjustRightInd w:val="0"/>
        <w:spacing w:beforeLines="0" w:afterLines="0" w:line="312" w:lineRule="auto"/>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除专用合同条款另有约定外，承包人应自行承担修建临时设施的费用，需要临时占地的，应由发包人办理申请手续并承担相应费用。</w:t>
      </w:r>
    </w:p>
    <w:p w14:paraId="46813021">
      <w:pPr>
        <w:autoSpaceDE w:val="0"/>
        <w:autoSpaceDN w:val="0"/>
        <w:adjustRightInd w:val="0"/>
        <w:spacing w:beforeLines="0" w:afterLines="0" w:line="312" w:lineRule="auto"/>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8.8.2发包人提供的施工设备和临时设施</w:t>
      </w:r>
    </w:p>
    <w:p w14:paraId="4C298581">
      <w:pPr>
        <w:autoSpaceDE w:val="0"/>
        <w:autoSpaceDN w:val="0"/>
        <w:adjustRightInd w:val="0"/>
        <w:spacing w:beforeLines="0" w:afterLines="0" w:line="312" w:lineRule="auto"/>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发包人提供的施工设备或临时设施在专用合同条款中约定。</w:t>
      </w:r>
    </w:p>
    <w:p w14:paraId="3B555403">
      <w:pPr>
        <w:autoSpaceDE w:val="0"/>
        <w:autoSpaceDN w:val="0"/>
        <w:adjustRightInd w:val="0"/>
        <w:spacing w:beforeLines="0" w:afterLines="0" w:line="312" w:lineRule="auto"/>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8.8.3要求承包人增加或更换施工设备</w:t>
      </w:r>
    </w:p>
    <w:p w14:paraId="00215AEA">
      <w:pPr>
        <w:autoSpaceDE w:val="0"/>
        <w:autoSpaceDN w:val="0"/>
        <w:adjustRightInd w:val="0"/>
        <w:spacing w:beforeLines="0" w:afterLines="0" w:line="312" w:lineRule="auto"/>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承包人使用的施工设备不能满足合同进度计划和（或）质量要求时，监理人有权要求承包人增加或更换施工设备，承包人应及时增加或更换，由此增加的费用和（或）延误的工期由承包人承担。</w:t>
      </w:r>
    </w:p>
    <w:p w14:paraId="2F6B2BA7">
      <w:pPr>
        <w:pStyle w:val="8"/>
        <w:spacing w:before="120" w:beforeLines="0" w:after="120" w:afterLines="0" w:line="312" w:lineRule="auto"/>
        <w:ind w:firstLine="480" w:firstLineChars="200"/>
        <w:rPr>
          <w:rFonts w:hint="eastAsia" w:ascii="宋体" w:hAnsi="宋体" w:eastAsia="宋体" w:cs="宋体"/>
          <w:b w:val="0"/>
          <w:color w:val="auto"/>
          <w:sz w:val="24"/>
          <w:szCs w:val="24"/>
        </w:rPr>
      </w:pPr>
      <w:bookmarkStart w:id="372" w:name="_Toc351203561"/>
      <w:r>
        <w:rPr>
          <w:rFonts w:hint="eastAsia" w:ascii="宋体" w:hAnsi="宋体" w:eastAsia="宋体" w:cs="宋体"/>
          <w:b w:val="0"/>
          <w:color w:val="auto"/>
          <w:sz w:val="24"/>
          <w:szCs w:val="24"/>
        </w:rPr>
        <w:t>8</w:t>
      </w:r>
      <w:bookmarkStart w:id="373" w:name="_Toc337558781"/>
      <w:bookmarkStart w:id="374" w:name="_Toc296503063"/>
      <w:bookmarkStart w:id="375" w:name="_Toc296346564"/>
      <w:r>
        <w:rPr>
          <w:rFonts w:hint="eastAsia" w:ascii="宋体" w:hAnsi="宋体" w:eastAsia="宋体" w:cs="宋体"/>
          <w:b w:val="0"/>
          <w:color w:val="auto"/>
          <w:sz w:val="24"/>
          <w:szCs w:val="24"/>
        </w:rPr>
        <w:t>.9材料与设备专用</w:t>
      </w:r>
      <w:bookmarkEnd w:id="372"/>
      <w:r>
        <w:rPr>
          <w:rFonts w:hint="eastAsia" w:ascii="宋体" w:hAnsi="宋体" w:eastAsia="宋体" w:cs="宋体"/>
          <w:b w:val="0"/>
          <w:color w:val="auto"/>
          <w:sz w:val="24"/>
          <w:szCs w:val="24"/>
        </w:rPr>
        <w:t>要求</w:t>
      </w:r>
    </w:p>
    <w:bookmarkEnd w:id="373"/>
    <w:bookmarkEnd w:id="374"/>
    <w:bookmarkEnd w:id="375"/>
    <w:p w14:paraId="5B2B41EA">
      <w:pPr>
        <w:spacing w:beforeLines="0" w:afterLines="0" w:line="312" w:lineRule="auto"/>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承包人运入施工现场的材料、工程设备、施工设备以及在施工场地建设的临时设施，包括备品备件、安装工具与资料，必须专用于工程。未经发包人批准，承包人不得运出施工现场或挪作他用；</w:t>
      </w:r>
      <w:bookmarkEnd w:id="354"/>
      <w:r>
        <w:rPr>
          <w:rFonts w:hint="eastAsia" w:ascii="宋体" w:hAnsi="宋体" w:eastAsia="宋体" w:cs="宋体"/>
          <w:color w:val="auto"/>
          <w:kern w:val="0"/>
          <w:sz w:val="24"/>
          <w:szCs w:val="24"/>
        </w:rPr>
        <w:t>经发包人批准，承包人可以根据施工进度计划撤走闲置的施工设备和其他物品。</w:t>
      </w:r>
    </w:p>
    <w:p w14:paraId="4B534A95">
      <w:pPr>
        <w:pStyle w:val="7"/>
        <w:spacing w:before="120" w:beforeLines="0" w:after="120" w:afterLines="0" w:line="312" w:lineRule="auto"/>
        <w:rPr>
          <w:rFonts w:hint="eastAsia" w:ascii="宋体" w:hAnsi="宋体" w:eastAsia="宋体" w:cs="宋体"/>
          <w:b w:val="0"/>
          <w:color w:val="auto"/>
          <w:sz w:val="24"/>
          <w:szCs w:val="24"/>
        </w:rPr>
      </w:pPr>
      <w:bookmarkStart w:id="376" w:name="_Toc351203562"/>
      <w:r>
        <w:rPr>
          <w:rFonts w:hint="eastAsia" w:ascii="宋体" w:hAnsi="宋体" w:eastAsia="宋体" w:cs="宋体"/>
          <w:b w:val="0"/>
          <w:color w:val="auto"/>
          <w:sz w:val="24"/>
          <w:szCs w:val="24"/>
        </w:rPr>
        <w:t>9</w:t>
      </w:r>
      <w:bookmarkStart w:id="377" w:name="_Toc337558782"/>
      <w:bookmarkStart w:id="378" w:name="_Toc296346584"/>
      <w:bookmarkStart w:id="379" w:name="_Toc296503083"/>
      <w:r>
        <w:rPr>
          <w:rFonts w:hint="eastAsia" w:ascii="宋体" w:hAnsi="宋体" w:eastAsia="宋体" w:cs="宋体"/>
          <w:b w:val="0"/>
          <w:color w:val="auto"/>
          <w:sz w:val="24"/>
          <w:szCs w:val="24"/>
        </w:rPr>
        <w:t>. 试验与检验</w:t>
      </w:r>
      <w:bookmarkEnd w:id="376"/>
    </w:p>
    <w:bookmarkEnd w:id="377"/>
    <w:p w14:paraId="72E8F0FA">
      <w:pPr>
        <w:pStyle w:val="8"/>
        <w:spacing w:before="120" w:beforeLines="0" w:after="120" w:afterLines="0" w:line="312" w:lineRule="auto"/>
        <w:ind w:firstLine="480" w:firstLineChars="200"/>
        <w:rPr>
          <w:rFonts w:hint="eastAsia" w:ascii="宋体" w:hAnsi="宋体" w:eastAsia="宋体" w:cs="宋体"/>
          <w:b w:val="0"/>
          <w:color w:val="auto"/>
          <w:sz w:val="24"/>
          <w:szCs w:val="24"/>
        </w:rPr>
      </w:pPr>
      <w:bookmarkStart w:id="380" w:name="_Toc351203563"/>
      <w:r>
        <w:rPr>
          <w:rFonts w:hint="eastAsia" w:ascii="宋体" w:hAnsi="宋体" w:eastAsia="宋体" w:cs="宋体"/>
          <w:b w:val="0"/>
          <w:color w:val="auto"/>
          <w:sz w:val="24"/>
          <w:szCs w:val="24"/>
        </w:rPr>
        <w:t>9</w:t>
      </w:r>
      <w:bookmarkStart w:id="381" w:name="_Toc337558783"/>
      <w:r>
        <w:rPr>
          <w:rFonts w:hint="eastAsia" w:ascii="宋体" w:hAnsi="宋体" w:eastAsia="宋体" w:cs="宋体"/>
          <w:b w:val="0"/>
          <w:color w:val="auto"/>
          <w:sz w:val="24"/>
          <w:szCs w:val="24"/>
        </w:rPr>
        <w:t>.1试验设备与试验人员</w:t>
      </w:r>
      <w:bookmarkEnd w:id="380"/>
    </w:p>
    <w:bookmarkEnd w:id="381"/>
    <w:p w14:paraId="2091EBC5">
      <w:pPr>
        <w:spacing w:beforeLines="0" w:afterLines="0" w:line="312" w:lineRule="auto"/>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9.1.1 承包人根据合同约定或监理人指示进行的现场材料试验，应由承包人提供试验场所、试验人员、试验设备以及其他必要的试验条件。监理人在必要时可以使用承包人提供的试验场所、试验设备以及其他试验条件，进行以工程质量检查为目的的材料复核试验，承包人应予以协助。</w:t>
      </w:r>
    </w:p>
    <w:p w14:paraId="7385896C">
      <w:pPr>
        <w:spacing w:beforeLines="0" w:afterLines="0" w:line="312" w:lineRule="auto"/>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9.1.2 承包人应按专用合同条款的约定提供试验设备、取样装置、试验场所和试验条件，并向监理人提交相应进场计划表。</w:t>
      </w:r>
    </w:p>
    <w:p w14:paraId="656F9266">
      <w:pPr>
        <w:spacing w:beforeLines="0" w:afterLines="0" w:line="312" w:lineRule="auto"/>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承包人配置的试验设备要符合相应试验规程的要求并经过具有资质的检测单位检测，且在正式使用该试验设备前，需要经过监理人与承包人共同校定。</w:t>
      </w:r>
    </w:p>
    <w:p w14:paraId="75FC5DBB">
      <w:pPr>
        <w:spacing w:beforeLines="0" w:afterLines="0" w:line="312" w:lineRule="auto"/>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9.1.3 承包人应向监理人提交试验人员的名单及其岗位、资格等证明资料，试验人员必须能够熟练进行相应的检测试验，承包人对试验人员的试验程序和试验结果的正确性负责。</w:t>
      </w:r>
    </w:p>
    <w:p w14:paraId="1CFD9F72">
      <w:pPr>
        <w:pStyle w:val="8"/>
        <w:spacing w:before="120" w:beforeLines="0" w:after="120" w:afterLines="0" w:line="312" w:lineRule="auto"/>
        <w:ind w:firstLine="480" w:firstLineChars="200"/>
        <w:rPr>
          <w:rFonts w:hint="eastAsia" w:ascii="宋体" w:hAnsi="宋体" w:eastAsia="宋体" w:cs="宋体"/>
          <w:b w:val="0"/>
          <w:color w:val="auto"/>
          <w:sz w:val="24"/>
          <w:szCs w:val="24"/>
        </w:rPr>
      </w:pPr>
      <w:bookmarkStart w:id="382" w:name="_Toc351203564"/>
      <w:r>
        <w:rPr>
          <w:rFonts w:hint="eastAsia" w:ascii="宋体" w:hAnsi="宋体" w:eastAsia="宋体" w:cs="宋体"/>
          <w:b w:val="0"/>
          <w:color w:val="auto"/>
          <w:sz w:val="24"/>
          <w:szCs w:val="24"/>
        </w:rPr>
        <w:t>9</w:t>
      </w:r>
      <w:bookmarkStart w:id="383" w:name="_Toc337558784"/>
      <w:r>
        <w:rPr>
          <w:rFonts w:hint="eastAsia" w:ascii="宋体" w:hAnsi="宋体" w:eastAsia="宋体" w:cs="宋体"/>
          <w:b w:val="0"/>
          <w:color w:val="auto"/>
          <w:sz w:val="24"/>
          <w:szCs w:val="24"/>
        </w:rPr>
        <w:t>.2取样</w:t>
      </w:r>
      <w:bookmarkEnd w:id="382"/>
    </w:p>
    <w:bookmarkEnd w:id="383"/>
    <w:p w14:paraId="62F96A4D">
      <w:pPr>
        <w:spacing w:beforeLines="0" w:afterLines="0" w:line="312" w:lineRule="auto"/>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试验属于自检性质的，承包人可以单独取样。试验属于监理人抽检性质的，可由监理人取样，也可由承包人的试验人员在监理人的监督下取样。</w:t>
      </w:r>
    </w:p>
    <w:p w14:paraId="404357AC">
      <w:pPr>
        <w:pStyle w:val="8"/>
        <w:spacing w:before="120" w:beforeLines="0" w:after="120" w:afterLines="0" w:line="312" w:lineRule="auto"/>
        <w:ind w:firstLine="480" w:firstLineChars="200"/>
        <w:rPr>
          <w:rFonts w:hint="eastAsia" w:ascii="宋体" w:hAnsi="宋体" w:eastAsia="宋体" w:cs="宋体"/>
          <w:b w:val="0"/>
          <w:color w:val="auto"/>
          <w:sz w:val="24"/>
          <w:szCs w:val="24"/>
        </w:rPr>
      </w:pPr>
      <w:bookmarkStart w:id="384" w:name="_Toc351203565"/>
      <w:r>
        <w:rPr>
          <w:rFonts w:hint="eastAsia" w:ascii="宋体" w:hAnsi="宋体" w:eastAsia="宋体" w:cs="宋体"/>
          <w:b w:val="0"/>
          <w:color w:val="auto"/>
          <w:sz w:val="24"/>
          <w:szCs w:val="24"/>
        </w:rPr>
        <w:t>9</w:t>
      </w:r>
      <w:bookmarkStart w:id="385" w:name="_Toc337558785"/>
      <w:r>
        <w:rPr>
          <w:rFonts w:hint="eastAsia" w:ascii="宋体" w:hAnsi="宋体" w:eastAsia="宋体" w:cs="宋体"/>
          <w:b w:val="0"/>
          <w:color w:val="auto"/>
          <w:sz w:val="24"/>
          <w:szCs w:val="24"/>
        </w:rPr>
        <w:t>.3材料、工程设备和工程的试验和检验</w:t>
      </w:r>
      <w:bookmarkEnd w:id="384"/>
    </w:p>
    <w:bookmarkEnd w:id="385"/>
    <w:p w14:paraId="713A3BE5">
      <w:pPr>
        <w:spacing w:beforeLines="0" w:afterLines="0" w:line="312" w:lineRule="auto"/>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9.3.1承包人应按合同约定进行材料、工程设备和工程的试验和检验，并为监理人对上述材料、工程设备和工程的质量检查提供必要的试验资料和原始记录。按合同约定应由监理人与承包人共同进行试验和检验的，由承包人负责提供必要的试验资料和原始记录。</w:t>
      </w:r>
    </w:p>
    <w:p w14:paraId="518B5F38">
      <w:pPr>
        <w:spacing w:beforeLines="0" w:afterLines="0" w:line="312" w:lineRule="auto"/>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9.3.2试验属于自检性质的，承包人可以单独进行试验。试验属于监理人抽检性质的，监理人可以单独进行试验，也可由承包人与监理人共同进行。承包人对由监理人单独进行的试验结果有异议的，可以申请重新共同进行试验。约定共同进行试验的，监理人未按照约定参加试验的，承包人可自行试验，并将试验结果报送监理人，监理人应承认该试验结果。</w:t>
      </w:r>
    </w:p>
    <w:p w14:paraId="1071A91E">
      <w:pPr>
        <w:spacing w:beforeLines="0" w:afterLines="0" w:line="312" w:lineRule="auto"/>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9.3.3监理人对承包人的试验和检验结果有异议的，或为查清承包人试验和检验成果的可靠性要求承包人重新试验和检验的，可由监理人与承包人共同进行。重新试验和检验的结果证明该项材料、工程设备或工程的质量不符合合同要求的，由此增加的费用和（或）延误的工期由承包人承担；重新试验和检验结果证明该项材料、工程设备和工程符合合同要求的，由此增加的费用和（或）延误的工期由发包人承担。</w:t>
      </w:r>
    </w:p>
    <w:p w14:paraId="1EB273AC">
      <w:pPr>
        <w:pStyle w:val="8"/>
        <w:spacing w:before="120" w:beforeLines="0" w:after="120" w:afterLines="0" w:line="312" w:lineRule="auto"/>
        <w:ind w:firstLine="480" w:firstLineChars="200"/>
        <w:rPr>
          <w:rFonts w:hint="eastAsia" w:ascii="宋体" w:hAnsi="宋体" w:eastAsia="宋体" w:cs="宋体"/>
          <w:b w:val="0"/>
          <w:color w:val="auto"/>
          <w:sz w:val="24"/>
          <w:szCs w:val="24"/>
        </w:rPr>
      </w:pPr>
      <w:bookmarkStart w:id="386" w:name="_Toc351203566"/>
      <w:r>
        <w:rPr>
          <w:rFonts w:hint="eastAsia" w:ascii="宋体" w:hAnsi="宋体" w:eastAsia="宋体" w:cs="宋体"/>
          <w:b w:val="0"/>
          <w:color w:val="auto"/>
          <w:sz w:val="24"/>
          <w:szCs w:val="24"/>
        </w:rPr>
        <w:t>9</w:t>
      </w:r>
      <w:bookmarkStart w:id="387" w:name="_Toc337558786"/>
      <w:r>
        <w:rPr>
          <w:rFonts w:hint="eastAsia" w:ascii="宋体" w:hAnsi="宋体" w:eastAsia="宋体" w:cs="宋体"/>
          <w:b w:val="0"/>
          <w:color w:val="auto"/>
          <w:sz w:val="24"/>
          <w:szCs w:val="24"/>
        </w:rPr>
        <w:t>.4现场工艺试验</w:t>
      </w:r>
      <w:bookmarkEnd w:id="386"/>
    </w:p>
    <w:bookmarkEnd w:id="387"/>
    <w:p w14:paraId="0C6B7327">
      <w:pPr>
        <w:spacing w:beforeLines="0" w:afterLines="0" w:line="312" w:lineRule="auto"/>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承包人应按合同约定或监理人指示进行现场工艺试验。对大型的现场工艺试验，监理人认为必要时，承包人应根据监理人提出的工艺试验要求，编制工艺试验措施计划，报送监理人审查。</w:t>
      </w:r>
    </w:p>
    <w:p w14:paraId="04BA2E19">
      <w:pPr>
        <w:pStyle w:val="7"/>
        <w:spacing w:before="120" w:beforeLines="0" w:after="120" w:afterLines="0" w:line="312" w:lineRule="auto"/>
        <w:rPr>
          <w:rFonts w:hint="eastAsia" w:ascii="宋体" w:hAnsi="宋体" w:eastAsia="宋体" w:cs="宋体"/>
          <w:b w:val="0"/>
          <w:color w:val="auto"/>
          <w:sz w:val="24"/>
          <w:szCs w:val="24"/>
        </w:rPr>
      </w:pPr>
      <w:bookmarkStart w:id="388" w:name="_Toc351203567"/>
      <w:r>
        <w:rPr>
          <w:rFonts w:hint="eastAsia" w:ascii="宋体" w:hAnsi="宋体" w:eastAsia="宋体" w:cs="宋体"/>
          <w:b w:val="0"/>
          <w:color w:val="auto"/>
          <w:sz w:val="24"/>
          <w:szCs w:val="24"/>
        </w:rPr>
        <w:t>1</w:t>
      </w:r>
      <w:bookmarkStart w:id="389" w:name="_Toc337558787"/>
      <w:r>
        <w:rPr>
          <w:rFonts w:hint="eastAsia" w:ascii="宋体" w:hAnsi="宋体" w:eastAsia="宋体" w:cs="宋体"/>
          <w:b w:val="0"/>
          <w:color w:val="auto"/>
          <w:sz w:val="24"/>
          <w:szCs w:val="24"/>
        </w:rPr>
        <w:t>0. 变更</w:t>
      </w:r>
      <w:bookmarkEnd w:id="378"/>
      <w:bookmarkEnd w:id="379"/>
      <w:bookmarkEnd w:id="388"/>
    </w:p>
    <w:bookmarkEnd w:id="389"/>
    <w:p w14:paraId="6EB51C53">
      <w:pPr>
        <w:pStyle w:val="8"/>
        <w:spacing w:before="120" w:beforeLines="0" w:after="120" w:afterLines="0" w:line="312" w:lineRule="auto"/>
        <w:ind w:firstLine="480" w:firstLineChars="200"/>
        <w:rPr>
          <w:rFonts w:hint="eastAsia" w:ascii="宋体" w:hAnsi="宋体" w:eastAsia="宋体" w:cs="宋体"/>
          <w:b w:val="0"/>
          <w:color w:val="auto"/>
          <w:sz w:val="24"/>
          <w:szCs w:val="24"/>
        </w:rPr>
      </w:pPr>
      <w:bookmarkStart w:id="390" w:name="_Toc351203568"/>
      <w:r>
        <w:rPr>
          <w:rFonts w:hint="eastAsia" w:ascii="宋体" w:hAnsi="宋体" w:eastAsia="宋体" w:cs="宋体"/>
          <w:b w:val="0"/>
          <w:color w:val="auto"/>
          <w:sz w:val="24"/>
          <w:szCs w:val="24"/>
        </w:rPr>
        <w:t>1</w:t>
      </w:r>
      <w:bookmarkStart w:id="391" w:name="_Toc337558788"/>
      <w:bookmarkStart w:id="392" w:name="_Toc296503084"/>
      <w:bookmarkStart w:id="393" w:name="_Toc296346585"/>
      <w:r>
        <w:rPr>
          <w:rFonts w:hint="eastAsia" w:ascii="宋体" w:hAnsi="宋体" w:eastAsia="宋体" w:cs="宋体"/>
          <w:b w:val="0"/>
          <w:color w:val="auto"/>
          <w:sz w:val="24"/>
          <w:szCs w:val="24"/>
        </w:rPr>
        <w:t>0.1变更的范围</w:t>
      </w:r>
      <w:bookmarkEnd w:id="390"/>
    </w:p>
    <w:bookmarkEnd w:id="391"/>
    <w:bookmarkEnd w:id="392"/>
    <w:bookmarkEnd w:id="393"/>
    <w:p w14:paraId="0BC1F455">
      <w:pPr>
        <w:autoSpaceDE w:val="0"/>
        <w:autoSpaceDN w:val="0"/>
        <w:adjustRightInd w:val="0"/>
        <w:spacing w:beforeLines="0" w:afterLines="0" w:line="312" w:lineRule="auto"/>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除专用合同条款另有约定外，合同履行过程中发生以下情形的，应按照本条约定进行变更：</w:t>
      </w:r>
    </w:p>
    <w:p w14:paraId="58FE9698">
      <w:pPr>
        <w:autoSpaceDE w:val="0"/>
        <w:autoSpaceDN w:val="0"/>
        <w:adjustRightInd w:val="0"/>
        <w:spacing w:beforeLines="0" w:afterLines="0" w:line="312" w:lineRule="auto"/>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（1）增加或减少合同中任何工作，或追加额外的工作；</w:t>
      </w:r>
    </w:p>
    <w:p w14:paraId="4788B03A">
      <w:pPr>
        <w:autoSpaceDE w:val="0"/>
        <w:autoSpaceDN w:val="0"/>
        <w:adjustRightInd w:val="0"/>
        <w:spacing w:beforeLines="0" w:afterLines="0" w:line="312" w:lineRule="auto"/>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（2）取消合同中任何工作，但转由他人实施的工作除外；</w:t>
      </w:r>
    </w:p>
    <w:p w14:paraId="0B92F925">
      <w:pPr>
        <w:autoSpaceDE w:val="0"/>
        <w:autoSpaceDN w:val="0"/>
        <w:adjustRightInd w:val="0"/>
        <w:spacing w:beforeLines="0" w:afterLines="0" w:line="312" w:lineRule="auto"/>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（3）改变合同中任何工作的质量标准或其他特性；</w:t>
      </w:r>
    </w:p>
    <w:p w14:paraId="01554682">
      <w:pPr>
        <w:autoSpaceDE w:val="0"/>
        <w:autoSpaceDN w:val="0"/>
        <w:adjustRightInd w:val="0"/>
        <w:spacing w:beforeLines="0" w:afterLines="0" w:line="312" w:lineRule="auto"/>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（4）改变工程的基线、标高、位置和尺寸；</w:t>
      </w:r>
    </w:p>
    <w:p w14:paraId="6DA937CC">
      <w:pPr>
        <w:autoSpaceDE w:val="0"/>
        <w:autoSpaceDN w:val="0"/>
        <w:adjustRightInd w:val="0"/>
        <w:spacing w:beforeLines="0" w:afterLines="0" w:line="312" w:lineRule="auto"/>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（5）改变工程的时间安排或实施顺序。</w:t>
      </w:r>
    </w:p>
    <w:p w14:paraId="4409CC37">
      <w:pPr>
        <w:pStyle w:val="8"/>
        <w:spacing w:before="120" w:beforeLines="0" w:after="120" w:afterLines="0" w:line="312" w:lineRule="auto"/>
        <w:ind w:firstLine="480" w:firstLineChars="200"/>
        <w:rPr>
          <w:rFonts w:hint="eastAsia" w:ascii="宋体" w:hAnsi="宋体" w:eastAsia="宋体" w:cs="宋体"/>
          <w:b w:val="0"/>
          <w:color w:val="auto"/>
          <w:sz w:val="24"/>
          <w:szCs w:val="24"/>
        </w:rPr>
      </w:pPr>
      <w:bookmarkStart w:id="394" w:name="_Toc351203569"/>
      <w:r>
        <w:rPr>
          <w:rFonts w:hint="eastAsia" w:ascii="宋体" w:hAnsi="宋体" w:eastAsia="宋体" w:cs="宋体"/>
          <w:b w:val="0"/>
          <w:color w:val="auto"/>
          <w:sz w:val="24"/>
          <w:szCs w:val="24"/>
        </w:rPr>
        <w:t>1</w:t>
      </w:r>
      <w:bookmarkStart w:id="395" w:name="_Toc337558789"/>
      <w:bookmarkStart w:id="396" w:name="_Toc296503085"/>
      <w:bookmarkStart w:id="397" w:name="_Toc296346586"/>
      <w:r>
        <w:rPr>
          <w:rFonts w:hint="eastAsia" w:ascii="宋体" w:hAnsi="宋体" w:eastAsia="宋体" w:cs="宋体"/>
          <w:b w:val="0"/>
          <w:color w:val="auto"/>
          <w:sz w:val="24"/>
          <w:szCs w:val="24"/>
        </w:rPr>
        <w:t>0.2变更权</w:t>
      </w:r>
      <w:bookmarkEnd w:id="394"/>
    </w:p>
    <w:bookmarkEnd w:id="395"/>
    <w:bookmarkEnd w:id="396"/>
    <w:bookmarkEnd w:id="397"/>
    <w:p w14:paraId="2409BB34">
      <w:pPr>
        <w:autoSpaceDE w:val="0"/>
        <w:autoSpaceDN w:val="0"/>
        <w:adjustRightInd w:val="0"/>
        <w:spacing w:beforeLines="0" w:afterLines="0" w:line="312" w:lineRule="auto"/>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发包人和监理人均可以提出变更。变更指示均通过监理人发出，监理人发出变更指示前应征得发包人同意。承包人收到经发包人签认的变更指示后，方可实施变更。未经许可，承包人不得擅自对工程的任何部分进行变更。</w:t>
      </w:r>
    </w:p>
    <w:p w14:paraId="6F9CCDDF">
      <w:pPr>
        <w:autoSpaceDE w:val="0"/>
        <w:autoSpaceDN w:val="0"/>
        <w:adjustRightInd w:val="0"/>
        <w:spacing w:beforeLines="0" w:afterLines="0" w:line="312" w:lineRule="auto"/>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涉及设计变更的，应由设计人提供变更后的图纸和说明。如变更超过原设计标准或批准的建设规模时，发包人应及时办理规划、设计变更等审批手续。</w:t>
      </w:r>
    </w:p>
    <w:p w14:paraId="505710E2">
      <w:pPr>
        <w:pStyle w:val="8"/>
        <w:spacing w:before="120" w:beforeLines="0" w:after="120" w:afterLines="0" w:line="312" w:lineRule="auto"/>
        <w:ind w:firstLine="480" w:firstLineChars="200"/>
        <w:rPr>
          <w:rFonts w:hint="eastAsia" w:ascii="宋体" w:hAnsi="宋体" w:eastAsia="宋体" w:cs="宋体"/>
          <w:b w:val="0"/>
          <w:color w:val="auto"/>
          <w:sz w:val="24"/>
          <w:szCs w:val="24"/>
        </w:rPr>
      </w:pPr>
      <w:bookmarkStart w:id="398" w:name="_Toc351203570"/>
      <w:r>
        <w:rPr>
          <w:rFonts w:hint="eastAsia" w:ascii="宋体" w:hAnsi="宋体" w:eastAsia="宋体" w:cs="宋体"/>
          <w:b w:val="0"/>
          <w:color w:val="auto"/>
          <w:sz w:val="24"/>
          <w:szCs w:val="24"/>
        </w:rPr>
        <w:t>1</w:t>
      </w:r>
      <w:bookmarkStart w:id="399" w:name="_Toc296346587"/>
      <w:bookmarkStart w:id="400" w:name="_Toc337558790"/>
      <w:bookmarkStart w:id="401" w:name="_Toc296503086"/>
      <w:r>
        <w:rPr>
          <w:rFonts w:hint="eastAsia" w:ascii="宋体" w:hAnsi="宋体" w:eastAsia="宋体" w:cs="宋体"/>
          <w:b w:val="0"/>
          <w:color w:val="auto"/>
          <w:sz w:val="24"/>
          <w:szCs w:val="24"/>
        </w:rPr>
        <w:t>0.3变更程序</w:t>
      </w:r>
      <w:bookmarkEnd w:id="398"/>
    </w:p>
    <w:bookmarkEnd w:id="399"/>
    <w:bookmarkEnd w:id="400"/>
    <w:bookmarkEnd w:id="401"/>
    <w:p w14:paraId="359F0FE5">
      <w:pPr>
        <w:autoSpaceDE w:val="0"/>
        <w:autoSpaceDN w:val="0"/>
        <w:adjustRightInd w:val="0"/>
        <w:spacing w:beforeLines="0" w:afterLines="0" w:line="312" w:lineRule="auto"/>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sz w:val="24"/>
          <w:szCs w:val="24"/>
        </w:rPr>
        <w:t>10</w:t>
      </w:r>
      <w:r>
        <w:rPr>
          <w:rFonts w:hint="eastAsia" w:ascii="宋体" w:hAnsi="宋体" w:eastAsia="宋体" w:cs="宋体"/>
          <w:color w:val="auto"/>
          <w:kern w:val="0"/>
          <w:sz w:val="24"/>
          <w:szCs w:val="24"/>
        </w:rPr>
        <w:t>.3.1 发包人提出变更</w:t>
      </w:r>
    </w:p>
    <w:p w14:paraId="44E3FEB8">
      <w:pPr>
        <w:autoSpaceDE w:val="0"/>
        <w:autoSpaceDN w:val="0"/>
        <w:adjustRightInd w:val="0"/>
        <w:spacing w:beforeLines="0" w:afterLines="0" w:line="312" w:lineRule="auto"/>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发包人提出变更的，应通过监理人向承包人发出变更指示，变更指示应说明计划变更的工程范围和变更的内容。</w:t>
      </w:r>
    </w:p>
    <w:p w14:paraId="091FB2FE">
      <w:pPr>
        <w:autoSpaceDE w:val="0"/>
        <w:autoSpaceDN w:val="0"/>
        <w:adjustRightInd w:val="0"/>
        <w:spacing w:beforeLines="0" w:afterLines="0" w:line="312" w:lineRule="auto"/>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sz w:val="24"/>
          <w:szCs w:val="24"/>
        </w:rPr>
        <w:t>10</w:t>
      </w:r>
      <w:r>
        <w:rPr>
          <w:rFonts w:hint="eastAsia" w:ascii="宋体" w:hAnsi="宋体" w:eastAsia="宋体" w:cs="宋体"/>
          <w:color w:val="auto"/>
          <w:kern w:val="0"/>
          <w:sz w:val="24"/>
          <w:szCs w:val="24"/>
        </w:rPr>
        <w:t>.3.2 监理人提出变更建议</w:t>
      </w:r>
    </w:p>
    <w:p w14:paraId="09F3027F">
      <w:pPr>
        <w:autoSpaceDE w:val="0"/>
        <w:autoSpaceDN w:val="0"/>
        <w:adjustRightInd w:val="0"/>
        <w:spacing w:beforeLines="0" w:afterLines="0" w:line="312" w:lineRule="auto"/>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监理人提出变更建议的，需要向发包人以书面形式提出变更计划，说明计划变更工程范围和变更的内容、理由，以及实施该变更对合同价格和工期的影响。发包人同意变更的，由监理人向承包人发出变更指示。发包人不同意变更的，监理人无权擅自发出变更指示。</w:t>
      </w:r>
    </w:p>
    <w:p w14:paraId="40499718">
      <w:pPr>
        <w:autoSpaceDE w:val="0"/>
        <w:autoSpaceDN w:val="0"/>
        <w:adjustRightInd w:val="0"/>
        <w:spacing w:beforeLines="0" w:afterLines="0" w:line="312"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10.3.3 变更执行</w:t>
      </w:r>
    </w:p>
    <w:p w14:paraId="5686CD20">
      <w:pPr>
        <w:autoSpaceDE w:val="0"/>
        <w:autoSpaceDN w:val="0"/>
        <w:adjustRightInd w:val="0"/>
        <w:spacing w:beforeLines="0" w:afterLines="0" w:line="312" w:lineRule="auto"/>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承包人收到监理人下达的变更指示后，认为不能执行，应立即提出不能执行该变更指示的理由。承包人认为可以执行变更的，应当书面说明实施该变更指示对合同价格和工期的影响，且合同当事人应当按照第10.4款〔变更估价〕约定确定变更估价。</w:t>
      </w:r>
    </w:p>
    <w:p w14:paraId="6CAEB5DE">
      <w:pPr>
        <w:pStyle w:val="8"/>
        <w:spacing w:before="120" w:beforeLines="0" w:after="120" w:afterLines="0" w:line="312" w:lineRule="auto"/>
        <w:ind w:firstLine="480" w:firstLineChars="200"/>
        <w:rPr>
          <w:rFonts w:hint="eastAsia" w:ascii="宋体" w:hAnsi="宋体" w:eastAsia="宋体" w:cs="宋体"/>
          <w:b w:val="0"/>
          <w:color w:val="auto"/>
          <w:sz w:val="24"/>
          <w:szCs w:val="24"/>
        </w:rPr>
      </w:pPr>
      <w:bookmarkStart w:id="402" w:name="_Toc351203571"/>
      <w:r>
        <w:rPr>
          <w:rFonts w:hint="eastAsia" w:ascii="宋体" w:hAnsi="宋体" w:eastAsia="宋体" w:cs="宋体"/>
          <w:b w:val="0"/>
          <w:color w:val="auto"/>
          <w:sz w:val="24"/>
          <w:szCs w:val="24"/>
        </w:rPr>
        <w:t>1</w:t>
      </w:r>
      <w:bookmarkStart w:id="403" w:name="_Toc296346588"/>
      <w:bookmarkStart w:id="404" w:name="_Toc337558791"/>
      <w:bookmarkStart w:id="405" w:name="_Toc296503087"/>
      <w:r>
        <w:rPr>
          <w:rFonts w:hint="eastAsia" w:ascii="宋体" w:hAnsi="宋体" w:eastAsia="宋体" w:cs="宋体"/>
          <w:b w:val="0"/>
          <w:color w:val="auto"/>
          <w:sz w:val="24"/>
          <w:szCs w:val="24"/>
        </w:rPr>
        <w:t>0.4变更估价</w:t>
      </w:r>
      <w:bookmarkEnd w:id="402"/>
    </w:p>
    <w:bookmarkEnd w:id="403"/>
    <w:bookmarkEnd w:id="404"/>
    <w:bookmarkEnd w:id="405"/>
    <w:p w14:paraId="43C348A5">
      <w:pPr>
        <w:autoSpaceDE w:val="0"/>
        <w:autoSpaceDN w:val="0"/>
        <w:adjustRightInd w:val="0"/>
        <w:spacing w:beforeLines="0" w:afterLines="0" w:line="312" w:lineRule="auto"/>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10.4.1 变更估价原则</w:t>
      </w:r>
    </w:p>
    <w:p w14:paraId="72518D7B">
      <w:pPr>
        <w:autoSpaceDE w:val="0"/>
        <w:autoSpaceDN w:val="0"/>
        <w:adjustRightInd w:val="0"/>
        <w:spacing w:beforeLines="0" w:afterLines="0" w:line="312" w:lineRule="auto"/>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除专用合同条款另有约定外，变更估价按照本款约定处理：</w:t>
      </w:r>
    </w:p>
    <w:p w14:paraId="38911E83">
      <w:pPr>
        <w:autoSpaceDE w:val="0"/>
        <w:autoSpaceDN w:val="0"/>
        <w:adjustRightInd w:val="0"/>
        <w:spacing w:beforeLines="0" w:afterLines="0" w:line="312" w:lineRule="auto"/>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（1）已标价工程量清单或预算书有相同项目的，按照相同项目单价认定；</w:t>
      </w:r>
    </w:p>
    <w:p w14:paraId="3DCF770F">
      <w:pPr>
        <w:autoSpaceDE w:val="0"/>
        <w:autoSpaceDN w:val="0"/>
        <w:adjustRightInd w:val="0"/>
        <w:spacing w:beforeLines="0" w:afterLines="0" w:line="312" w:lineRule="auto"/>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（2）已标价工程量清单或预算书中无相同项目，但有类似项目的，参照类似项目的单价认定；</w:t>
      </w:r>
    </w:p>
    <w:p w14:paraId="5CE506EA">
      <w:pPr>
        <w:autoSpaceDE w:val="0"/>
        <w:autoSpaceDN w:val="0"/>
        <w:adjustRightInd w:val="0"/>
        <w:spacing w:beforeLines="0" w:afterLines="0" w:line="312" w:lineRule="auto"/>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3）变更导致实际完成的变更工程量与已标价工程量清单或预算书中列明的该项目工程量的变化幅度超过15%的，或已标价工程量清单或预算书中无相同项目及类似项目单价的，按照合理的成本与利润构成的原则，由合同当事人按照第4.4款〔商定或确定〕确定变更工作的单价。</w:t>
      </w:r>
    </w:p>
    <w:p w14:paraId="18775368">
      <w:pPr>
        <w:autoSpaceDE w:val="0"/>
        <w:autoSpaceDN w:val="0"/>
        <w:adjustRightInd w:val="0"/>
        <w:spacing w:beforeLines="0" w:afterLines="0" w:line="312" w:lineRule="auto"/>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10.4.2 变更估价程序</w:t>
      </w:r>
    </w:p>
    <w:p w14:paraId="1C6624D4">
      <w:pPr>
        <w:autoSpaceDE w:val="0"/>
        <w:autoSpaceDN w:val="0"/>
        <w:adjustRightInd w:val="0"/>
        <w:spacing w:beforeLines="0" w:afterLines="0" w:line="312" w:lineRule="auto"/>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承包人应在收到变更指示后14天内，向监理人提交变更估价申请。监理人应在收到承包人提交的变更估价申请后7天内审查完毕并报送发包人，监理人对变更估价申请有异议，通知承包人修改后重新提交。发包人应在承包人提交变更估价申请后14天内审批完毕。发包人逾期未完成审批或未提出异议的，视为认可承包人提交的变更估价申请。</w:t>
      </w:r>
    </w:p>
    <w:p w14:paraId="28B28A34">
      <w:pPr>
        <w:autoSpaceDE w:val="0"/>
        <w:autoSpaceDN w:val="0"/>
        <w:adjustRightInd w:val="0"/>
        <w:spacing w:beforeLines="0" w:afterLines="0" w:line="312" w:lineRule="auto"/>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因变更引起的价格调整应计入最近一期的进度款中支付。</w:t>
      </w:r>
    </w:p>
    <w:p w14:paraId="0DF93163">
      <w:pPr>
        <w:pStyle w:val="8"/>
        <w:spacing w:before="120" w:beforeLines="0" w:after="120" w:afterLines="0" w:line="312" w:lineRule="auto"/>
        <w:ind w:firstLine="480" w:firstLineChars="200"/>
        <w:rPr>
          <w:rFonts w:hint="eastAsia" w:ascii="宋体" w:hAnsi="宋体" w:eastAsia="宋体" w:cs="宋体"/>
          <w:b w:val="0"/>
          <w:color w:val="auto"/>
          <w:sz w:val="24"/>
          <w:szCs w:val="24"/>
        </w:rPr>
      </w:pPr>
      <w:bookmarkStart w:id="406" w:name="_Toc351203572"/>
      <w:r>
        <w:rPr>
          <w:rFonts w:hint="eastAsia" w:ascii="宋体" w:hAnsi="宋体" w:eastAsia="宋体" w:cs="宋体"/>
          <w:b w:val="0"/>
          <w:color w:val="auto"/>
          <w:sz w:val="24"/>
          <w:szCs w:val="24"/>
        </w:rPr>
        <w:t>1</w:t>
      </w:r>
      <w:bookmarkStart w:id="407" w:name="_Toc296346595"/>
      <w:bookmarkStart w:id="408" w:name="_Toc337558792"/>
      <w:bookmarkStart w:id="409" w:name="_Toc296503094"/>
      <w:r>
        <w:rPr>
          <w:rFonts w:hint="eastAsia" w:ascii="宋体" w:hAnsi="宋体" w:eastAsia="宋体" w:cs="宋体"/>
          <w:b w:val="0"/>
          <w:color w:val="auto"/>
          <w:sz w:val="24"/>
          <w:szCs w:val="24"/>
        </w:rPr>
        <w:t>0.5承包人的合理化建议</w:t>
      </w:r>
      <w:bookmarkEnd w:id="406"/>
    </w:p>
    <w:bookmarkEnd w:id="407"/>
    <w:bookmarkEnd w:id="408"/>
    <w:bookmarkEnd w:id="409"/>
    <w:p w14:paraId="48029607">
      <w:pPr>
        <w:autoSpaceDE w:val="0"/>
        <w:autoSpaceDN w:val="0"/>
        <w:adjustRightInd w:val="0"/>
        <w:spacing w:beforeLines="0" w:afterLines="0" w:line="312" w:lineRule="auto"/>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承包人提出合理化建议的，应向监理人提交合理化建议说明，说明建议的内容和理由，以及实施该建议对合同价格和工期的影响。</w:t>
      </w:r>
    </w:p>
    <w:p w14:paraId="067FFEFC">
      <w:pPr>
        <w:autoSpaceDE w:val="0"/>
        <w:autoSpaceDN w:val="0"/>
        <w:adjustRightInd w:val="0"/>
        <w:spacing w:beforeLines="0" w:afterLines="0" w:line="312" w:lineRule="auto"/>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除专用合同条款另有约定外，监理人应在收到承包人提交的合理化建议后7天内审查完毕并报送发包人，发现其中存在技术上的缺陷，应通知承包人修改。发包人应在收到监理人报送的合理化建议后7天内审批完毕。合理化建议经发包人批准的，监理人应及时发出变更指示，由此引起的合同价格调整按照第10.4款〔变更估价〕约定执行。发包人不同意变更的，监理人应书面通知承包人。</w:t>
      </w:r>
    </w:p>
    <w:p w14:paraId="64C9E4F7">
      <w:pPr>
        <w:autoSpaceDE w:val="0"/>
        <w:autoSpaceDN w:val="0"/>
        <w:adjustRightInd w:val="0"/>
        <w:spacing w:beforeLines="0" w:afterLines="0" w:line="312" w:lineRule="auto"/>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合理化建议降低了合同价格或者提高了工程经济效益的，发包人可对承包人给予奖励，奖励的方法和金额在专用合同条款中约定。</w:t>
      </w:r>
    </w:p>
    <w:p w14:paraId="660A2ABE">
      <w:pPr>
        <w:pStyle w:val="8"/>
        <w:spacing w:before="120" w:beforeLines="0" w:after="120" w:afterLines="0" w:line="312" w:lineRule="auto"/>
        <w:ind w:firstLine="480" w:firstLineChars="200"/>
        <w:rPr>
          <w:rFonts w:hint="eastAsia" w:ascii="宋体" w:hAnsi="宋体" w:eastAsia="宋体" w:cs="宋体"/>
          <w:color w:val="auto"/>
          <w:sz w:val="24"/>
          <w:szCs w:val="24"/>
        </w:rPr>
      </w:pPr>
      <w:bookmarkStart w:id="410" w:name="_Toc351203573"/>
      <w:r>
        <w:rPr>
          <w:rFonts w:hint="eastAsia" w:ascii="宋体" w:hAnsi="宋体" w:eastAsia="宋体" w:cs="宋体"/>
          <w:b w:val="0"/>
          <w:color w:val="auto"/>
          <w:sz w:val="24"/>
          <w:szCs w:val="24"/>
        </w:rPr>
        <w:t>1</w:t>
      </w:r>
      <w:bookmarkStart w:id="411" w:name="_Toc337558793"/>
      <w:r>
        <w:rPr>
          <w:rFonts w:hint="eastAsia" w:ascii="宋体" w:hAnsi="宋体" w:eastAsia="宋体" w:cs="宋体"/>
          <w:b w:val="0"/>
          <w:color w:val="auto"/>
          <w:sz w:val="24"/>
          <w:szCs w:val="24"/>
        </w:rPr>
        <w:t>0.6变更引起的工期调整</w:t>
      </w:r>
      <w:bookmarkEnd w:id="410"/>
      <w:r>
        <w:rPr>
          <w:rFonts w:hint="eastAsia" w:ascii="宋体" w:hAnsi="宋体" w:eastAsia="宋体" w:cs="宋体"/>
          <w:b w:val="0"/>
          <w:color w:val="auto"/>
          <w:sz w:val="24"/>
          <w:szCs w:val="24"/>
        </w:rPr>
        <w:t xml:space="preserve"> </w:t>
      </w:r>
      <w:bookmarkEnd w:id="411"/>
      <w:r>
        <w:rPr>
          <w:rFonts w:hint="eastAsia" w:ascii="宋体" w:hAnsi="宋体" w:eastAsia="宋体" w:cs="宋体"/>
          <w:b w:val="0"/>
          <w:color w:val="auto"/>
          <w:sz w:val="24"/>
          <w:szCs w:val="24"/>
        </w:rPr>
        <w:t xml:space="preserve"> </w:t>
      </w:r>
      <w:r>
        <w:rPr>
          <w:rFonts w:hint="eastAsia" w:ascii="宋体" w:hAnsi="宋体" w:eastAsia="宋体" w:cs="宋体"/>
          <w:color w:val="auto"/>
          <w:sz w:val="24"/>
          <w:szCs w:val="24"/>
        </w:rPr>
        <w:t xml:space="preserve"> </w:t>
      </w:r>
    </w:p>
    <w:p w14:paraId="34785D25">
      <w:pPr>
        <w:autoSpaceDE w:val="0"/>
        <w:autoSpaceDN w:val="0"/>
        <w:adjustRightInd w:val="0"/>
        <w:spacing w:beforeLines="0" w:afterLines="0" w:line="312" w:lineRule="auto"/>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因变更引起工期变化的，合同当事人均可要求调整合同工期，由合同当事人按照第4.4款〔商定或确定〕并参考工程所在地的工期定额标准确定增减工期天数。</w:t>
      </w:r>
    </w:p>
    <w:p w14:paraId="0F865108">
      <w:pPr>
        <w:pStyle w:val="8"/>
        <w:spacing w:before="120" w:beforeLines="0" w:after="120" w:afterLines="0" w:line="312" w:lineRule="auto"/>
        <w:ind w:firstLine="480" w:firstLineChars="200"/>
        <w:rPr>
          <w:rFonts w:hint="eastAsia" w:ascii="宋体" w:hAnsi="宋体" w:eastAsia="宋体" w:cs="宋体"/>
          <w:b w:val="0"/>
          <w:color w:val="auto"/>
          <w:sz w:val="24"/>
          <w:szCs w:val="24"/>
        </w:rPr>
      </w:pPr>
      <w:bookmarkStart w:id="412" w:name="_Toc351203574"/>
      <w:r>
        <w:rPr>
          <w:rFonts w:hint="eastAsia" w:ascii="宋体" w:hAnsi="宋体" w:eastAsia="宋体" w:cs="宋体"/>
          <w:b w:val="0"/>
          <w:color w:val="auto"/>
          <w:sz w:val="24"/>
          <w:szCs w:val="24"/>
        </w:rPr>
        <w:t>10.7暂估价</w:t>
      </w:r>
      <w:bookmarkEnd w:id="412"/>
    </w:p>
    <w:p w14:paraId="633B05F2">
      <w:pPr>
        <w:autoSpaceDE w:val="0"/>
        <w:autoSpaceDN w:val="0"/>
        <w:adjustRightInd w:val="0"/>
        <w:spacing w:beforeLines="0" w:afterLines="0" w:line="312" w:lineRule="auto"/>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暂估价专业分包工程、服务、材料和工程设备的明细由合同当事人在专用合同条款中约定。</w:t>
      </w:r>
    </w:p>
    <w:p w14:paraId="425CEFA6">
      <w:pPr>
        <w:spacing w:beforeLines="0" w:afterLines="0" w:line="312" w:lineRule="auto"/>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sz w:val="24"/>
          <w:szCs w:val="24"/>
        </w:rPr>
        <w:t>10.7.1</w:t>
      </w:r>
      <w:r>
        <w:rPr>
          <w:rFonts w:hint="eastAsia" w:ascii="宋体" w:hAnsi="宋体" w:eastAsia="宋体" w:cs="宋体"/>
          <w:color w:val="auto"/>
          <w:kern w:val="0"/>
          <w:sz w:val="24"/>
          <w:szCs w:val="24"/>
        </w:rPr>
        <w:t xml:space="preserve"> 依法必须招标的暂估价项目</w:t>
      </w:r>
    </w:p>
    <w:p w14:paraId="6D5A1319">
      <w:pPr>
        <w:spacing w:beforeLines="0" w:afterLines="0" w:line="312" w:lineRule="auto"/>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对于依法必须招标的暂估价项目，采取以下第1种方式确定。合同当事人也可以在专用合同条款中选择其他招标方式。</w:t>
      </w:r>
    </w:p>
    <w:p w14:paraId="30951D4A">
      <w:pPr>
        <w:spacing w:beforeLines="0" w:afterLines="0" w:line="312" w:lineRule="auto"/>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第1种方式：对于依法必须招标的暂估价项目，由承包人招标，对该暂估价项目的确认和批准按照以下约定执行：</w:t>
      </w:r>
    </w:p>
    <w:p w14:paraId="2FA4C96E">
      <w:pPr>
        <w:spacing w:beforeLines="0" w:afterLines="0" w:line="312" w:lineRule="auto"/>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承包人应当根据施工进度计划，在招标工作启动前14天将招标方案通过监理人报送发包人审查，发包人应当在收到承包人报送的招标方案后7天内批准或提出修改意见。承包人应当按照经过发包人批准的招标方案开展招标工作；</w:t>
      </w:r>
    </w:p>
    <w:p w14:paraId="6834FCA0">
      <w:pPr>
        <w:spacing w:beforeLines="0" w:afterLines="0" w:line="312" w:lineRule="auto"/>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2）承包人应当根据施工进度计划，提前14天将招标文件通过监理人报送发包人审批，发包人应当在收到承包人报送的相关文件后7天内完成审批或提出修改意见；发包人有权确定招标控制价并按照法律规定参加评标；</w:t>
      </w:r>
    </w:p>
    <w:p w14:paraId="30A7FA60">
      <w:pPr>
        <w:spacing w:beforeLines="0" w:afterLines="0" w:line="312" w:lineRule="auto"/>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 xml:space="preserve">    （3）承包人与供应商、分包人在签订暂估价合同前，应当提前7天将确定的中标候选供应商或中标候选分包人的资料报送发包人，发包人应在收到资料后3天内与承包人共同确定中标人；承包人应当在签订合同后7天内，将暂估价合同副本报送发包人留存。</w:t>
      </w:r>
    </w:p>
    <w:p w14:paraId="1F9F84D6">
      <w:pPr>
        <w:spacing w:beforeLines="0" w:afterLines="0" w:line="312" w:lineRule="auto"/>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第2种方式：对于依法必须招标的暂估价项目，由发包人和承包人共同招标确定暂估价供应商或分包人的，承包人应按照施工进度计划，在招标工作启动前14天通知发包人，并提交暂估价招标方案和工作分工。发包人应在收到后7天内确认。确定中标人后，由发包人、承包人与中标人共同签订暂估价合同。</w:t>
      </w:r>
    </w:p>
    <w:p w14:paraId="434E225E">
      <w:pPr>
        <w:spacing w:beforeLines="0" w:afterLines="0" w:line="312" w:lineRule="auto"/>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sz w:val="24"/>
          <w:szCs w:val="24"/>
        </w:rPr>
        <w:t>10.7.2</w:t>
      </w:r>
      <w:r>
        <w:rPr>
          <w:rFonts w:hint="eastAsia" w:ascii="宋体" w:hAnsi="宋体" w:eastAsia="宋体" w:cs="宋体"/>
          <w:color w:val="auto"/>
          <w:kern w:val="0"/>
          <w:sz w:val="24"/>
          <w:szCs w:val="24"/>
        </w:rPr>
        <w:t>不属于依法必须招标的暂估价项目</w:t>
      </w:r>
    </w:p>
    <w:p w14:paraId="0E98A0A7">
      <w:pPr>
        <w:spacing w:beforeLines="0" w:afterLines="0" w:line="312" w:lineRule="auto"/>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 xml:space="preserve">除专用合同条款另有约定外，对于不属于依法必须招标的暂估价项目，采取以下第1种方式确定： </w:t>
      </w:r>
    </w:p>
    <w:p w14:paraId="1C02507C">
      <w:pPr>
        <w:spacing w:beforeLines="0" w:afterLines="0" w:line="312" w:lineRule="auto"/>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第1种方式：对于不属于依法必须招标的暂估价项目，按本项约定确认和批准：</w:t>
      </w:r>
    </w:p>
    <w:p w14:paraId="4AB29F97">
      <w:pPr>
        <w:spacing w:beforeLines="0" w:afterLines="0" w:line="312" w:lineRule="auto"/>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承包人应根据施工进度计划，在签订暂估价项目的采购合同、分包合同前28天向监理人提出书面申请。监理人应当在收到申请后3天内报送发包人，发包人应当在收到申请后14天内给予批准或提出修改意见，发包人逾期未予批准或提出修改意见的，视为该书面申请已获得同意；</w:t>
      </w:r>
    </w:p>
    <w:p w14:paraId="2278CD24">
      <w:pPr>
        <w:spacing w:beforeLines="0" w:afterLines="0" w:line="312" w:lineRule="auto"/>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（2）发包人认为承包人确定的供应商、分包人无法满足工程质量或合同要求的，发包人可以要求承包人重新确定暂估价项目的供应商、分包人;</w:t>
      </w:r>
    </w:p>
    <w:p w14:paraId="6402E543">
      <w:pPr>
        <w:spacing w:beforeLines="0" w:afterLines="0" w:line="312" w:lineRule="auto"/>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（3）承包人应当在签订暂估价合同后7天内，将暂估价合同副本报送发包人留存。</w:t>
      </w:r>
    </w:p>
    <w:p w14:paraId="2A609BE0">
      <w:pPr>
        <w:spacing w:beforeLines="0" w:afterLines="0" w:line="312" w:lineRule="auto"/>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第2种方式：承包人按照第10.7.1项〔依法必须招标的暂估价项目〕约定的第1种方式确定暂估价项目。</w:t>
      </w:r>
    </w:p>
    <w:p w14:paraId="1D9D3799">
      <w:pPr>
        <w:spacing w:beforeLines="0" w:afterLines="0" w:line="312" w:lineRule="auto"/>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sz w:val="24"/>
          <w:szCs w:val="24"/>
        </w:rPr>
        <w:t>第3种方式：</w:t>
      </w:r>
      <w:r>
        <w:rPr>
          <w:rFonts w:hint="eastAsia" w:ascii="宋体" w:hAnsi="宋体" w:eastAsia="宋体" w:cs="宋体"/>
          <w:color w:val="auto"/>
          <w:kern w:val="0"/>
          <w:sz w:val="24"/>
          <w:szCs w:val="24"/>
        </w:rPr>
        <w:t>承包人直接实施的暂估价项目</w:t>
      </w:r>
    </w:p>
    <w:p w14:paraId="3458B6EB">
      <w:pPr>
        <w:spacing w:beforeLines="0" w:afterLines="0" w:line="312" w:lineRule="auto"/>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承包人具备实施暂估价项目的资格和条件的，经发包人和承包人协商一致后，可由承包人自行实施暂估价项目，合同当事人可以在专用合同条款约定具体事项。</w:t>
      </w:r>
    </w:p>
    <w:p w14:paraId="4C64807B">
      <w:pPr>
        <w:spacing w:beforeLines="0" w:afterLines="0" w:line="312" w:lineRule="auto"/>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10.7.3 因发包人原因导致暂估价合同订立和履行迟延的，由此增加的费用和（或）延误的工期由发包人承担，并支付承包人合理的利润。因承包人原因导致暂估价合同订立和履行迟延的，由此增加的费用和（或）延误的工期由承包人承担。</w:t>
      </w:r>
    </w:p>
    <w:p w14:paraId="1E33FA38">
      <w:pPr>
        <w:pStyle w:val="8"/>
        <w:spacing w:before="120" w:beforeLines="0" w:after="120" w:afterLines="0" w:line="312" w:lineRule="auto"/>
        <w:ind w:firstLine="480" w:firstLineChars="200"/>
        <w:rPr>
          <w:rFonts w:hint="eastAsia" w:ascii="宋体" w:hAnsi="宋体" w:eastAsia="宋体" w:cs="宋体"/>
          <w:b w:val="0"/>
          <w:color w:val="auto"/>
          <w:sz w:val="24"/>
          <w:szCs w:val="24"/>
        </w:rPr>
      </w:pPr>
      <w:bookmarkStart w:id="413" w:name="_Toc351203575"/>
      <w:r>
        <w:rPr>
          <w:rFonts w:hint="eastAsia" w:ascii="宋体" w:hAnsi="宋体" w:eastAsia="宋体" w:cs="宋体"/>
          <w:b w:val="0"/>
          <w:color w:val="auto"/>
          <w:sz w:val="24"/>
          <w:szCs w:val="24"/>
        </w:rPr>
        <w:t>1</w:t>
      </w:r>
      <w:bookmarkStart w:id="414" w:name="_Toc337558794"/>
      <w:bookmarkStart w:id="415" w:name="_Toc322522561"/>
      <w:bookmarkStart w:id="416" w:name="_Toc296503090"/>
      <w:bookmarkStart w:id="417" w:name="_Toc296346591"/>
      <w:r>
        <w:rPr>
          <w:rFonts w:hint="eastAsia" w:ascii="宋体" w:hAnsi="宋体" w:eastAsia="宋体" w:cs="宋体"/>
          <w:b w:val="0"/>
          <w:color w:val="auto"/>
          <w:sz w:val="24"/>
          <w:szCs w:val="24"/>
        </w:rPr>
        <w:t>0.8暂列金额</w:t>
      </w:r>
      <w:bookmarkEnd w:id="413"/>
    </w:p>
    <w:bookmarkEnd w:id="414"/>
    <w:p w14:paraId="115A7EEE">
      <w:pPr>
        <w:autoSpaceDE w:val="0"/>
        <w:autoSpaceDN w:val="0"/>
        <w:adjustRightInd w:val="0"/>
        <w:spacing w:beforeLines="0" w:afterLines="0" w:line="312" w:lineRule="auto"/>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暂列金额应按照发包人的要求使用，发包人的要求应通过监理人发出。合同当事人可以在专用合同条款中协商确定有关事项。</w:t>
      </w:r>
    </w:p>
    <w:bookmarkEnd w:id="415"/>
    <w:bookmarkEnd w:id="416"/>
    <w:bookmarkEnd w:id="417"/>
    <w:p w14:paraId="0F11E974">
      <w:pPr>
        <w:pStyle w:val="8"/>
        <w:spacing w:before="120" w:beforeLines="0" w:after="120" w:afterLines="0" w:line="312" w:lineRule="auto"/>
        <w:ind w:firstLine="480" w:firstLineChars="200"/>
        <w:rPr>
          <w:rFonts w:hint="eastAsia" w:ascii="宋体" w:hAnsi="宋体" w:eastAsia="宋体" w:cs="宋体"/>
          <w:b w:val="0"/>
          <w:color w:val="auto"/>
          <w:sz w:val="24"/>
          <w:szCs w:val="24"/>
        </w:rPr>
      </w:pPr>
      <w:bookmarkStart w:id="418" w:name="_Toc351203576"/>
      <w:r>
        <w:rPr>
          <w:rFonts w:hint="eastAsia" w:ascii="宋体" w:hAnsi="宋体" w:eastAsia="宋体" w:cs="宋体"/>
          <w:b w:val="0"/>
          <w:color w:val="auto"/>
          <w:sz w:val="24"/>
          <w:szCs w:val="24"/>
        </w:rPr>
        <w:t>1</w:t>
      </w:r>
      <w:bookmarkStart w:id="419" w:name="_Toc296346592"/>
      <w:bookmarkStart w:id="420" w:name="_Toc337558796"/>
      <w:bookmarkStart w:id="421" w:name="_Toc296503091"/>
      <w:r>
        <w:rPr>
          <w:rFonts w:hint="eastAsia" w:ascii="宋体" w:hAnsi="宋体" w:eastAsia="宋体" w:cs="宋体"/>
          <w:b w:val="0"/>
          <w:color w:val="auto"/>
          <w:sz w:val="24"/>
          <w:szCs w:val="24"/>
        </w:rPr>
        <w:t>0.9计日工</w:t>
      </w:r>
      <w:bookmarkEnd w:id="418"/>
      <w:r>
        <w:rPr>
          <w:rFonts w:hint="eastAsia" w:ascii="宋体" w:hAnsi="宋体" w:eastAsia="宋体" w:cs="宋体"/>
          <w:b w:val="0"/>
          <w:color w:val="auto"/>
          <w:sz w:val="24"/>
          <w:szCs w:val="24"/>
        </w:rPr>
        <w:t xml:space="preserve"> </w:t>
      </w:r>
      <w:bookmarkEnd w:id="419"/>
      <w:bookmarkEnd w:id="420"/>
      <w:bookmarkEnd w:id="421"/>
    </w:p>
    <w:p w14:paraId="4815B996">
      <w:pPr>
        <w:autoSpaceDE w:val="0"/>
        <w:autoSpaceDN w:val="0"/>
        <w:adjustRightInd w:val="0"/>
        <w:spacing w:beforeLines="0" w:afterLines="0" w:line="312" w:lineRule="auto"/>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需要采用计日工方式的，经发包人同意后，由监理人通知承包人以计日工计价方式实施相应的工作，其价款按列入已标价工程量清单或预算书中的计日工计价项目及其单价进行计算；已标价工程量清单或预算书中无相应的计日工单价的，按照合理的成本与利润构成的原则，由合同当事人按照第4.4款〔商定或确定〕确定变更工作的单价。</w:t>
      </w:r>
    </w:p>
    <w:p w14:paraId="5A336C2B">
      <w:pPr>
        <w:spacing w:beforeLines="0" w:afterLines="0" w:line="312" w:lineRule="auto"/>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采用计日工计价的任何一项工作，承包人应在该项工作实施过程中，每天提交以下报表和有关凭证报送监理人审查：</w:t>
      </w:r>
    </w:p>
    <w:p w14:paraId="16318738">
      <w:pPr>
        <w:spacing w:beforeLines="0" w:afterLines="0" w:line="312" w:lineRule="auto"/>
        <w:ind w:firstLine="360" w:firstLineChars="15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（1）工作名称、内容和数量；</w:t>
      </w:r>
    </w:p>
    <w:p w14:paraId="766A751C">
      <w:pPr>
        <w:spacing w:beforeLines="0" w:afterLines="0" w:line="312" w:lineRule="auto"/>
        <w:ind w:firstLine="360" w:firstLineChars="15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（2）投入该工作的所有人员的姓名、专业、工种、级别和耗用工时；</w:t>
      </w:r>
    </w:p>
    <w:p w14:paraId="6C3E194F">
      <w:pPr>
        <w:spacing w:beforeLines="0" w:afterLines="0" w:line="312" w:lineRule="auto"/>
        <w:ind w:firstLine="360" w:firstLineChars="15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（3）投入该工作的材料类别和数量；</w:t>
      </w:r>
    </w:p>
    <w:p w14:paraId="3FA6D4CE">
      <w:pPr>
        <w:spacing w:beforeLines="0" w:afterLines="0" w:line="312" w:lineRule="auto"/>
        <w:ind w:firstLine="360" w:firstLineChars="15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（4）投入该工作的施工设备型号、台数和耗用台时；</w:t>
      </w:r>
    </w:p>
    <w:p w14:paraId="5E1892B0">
      <w:pPr>
        <w:spacing w:beforeLines="0" w:afterLines="0" w:line="312" w:lineRule="auto"/>
        <w:ind w:firstLine="360" w:firstLineChars="15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（5）其他有关资料和凭证。</w:t>
      </w:r>
    </w:p>
    <w:p w14:paraId="47CE4725">
      <w:pPr>
        <w:spacing w:beforeLines="0" w:afterLines="0" w:line="312" w:lineRule="auto"/>
        <w:ind w:firstLine="360" w:firstLineChars="15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 xml:space="preserve"> 计日工由承包人汇总后，列入最近一期进度付款申请单，由监理人审查并经发包人批准后列入进度付款。</w:t>
      </w:r>
      <w:bookmarkStart w:id="422" w:name="_Toc351203577"/>
    </w:p>
    <w:p w14:paraId="43BA7B45">
      <w:pPr>
        <w:numPr>
          <w:ilvl w:val="0"/>
          <w:numId w:val="9"/>
        </w:numPr>
        <w:spacing w:beforeLines="0" w:afterLines="0" w:line="312" w:lineRule="auto"/>
        <w:ind w:firstLine="360" w:firstLineChars="150"/>
        <w:jc w:val="left"/>
        <w:rPr>
          <w:rFonts w:hint="eastAsia" w:ascii="宋体" w:hAnsi="宋体" w:eastAsia="宋体" w:cs="宋体"/>
          <w:color w:val="auto"/>
          <w:sz w:val="24"/>
          <w:szCs w:val="24"/>
        </w:rPr>
      </w:pPr>
      <w:r>
        <w:rPr>
          <w:rFonts w:hint="eastAsia" w:ascii="宋体" w:hAnsi="宋体" w:eastAsia="宋体" w:cs="宋体"/>
          <w:color w:val="auto"/>
          <w:sz w:val="24"/>
          <w:szCs w:val="24"/>
        </w:rPr>
        <w:t>价格调整</w:t>
      </w:r>
      <w:bookmarkEnd w:id="422"/>
      <w:bookmarkStart w:id="423" w:name="_Toc351203578"/>
      <w:bookmarkStart w:id="424" w:name="_Toc337558797"/>
      <w:bookmarkStart w:id="425" w:name="_Toc296346593"/>
      <w:bookmarkStart w:id="426" w:name="_Toc296503092"/>
    </w:p>
    <w:p w14:paraId="64DE177A">
      <w:pPr>
        <w:spacing w:beforeLines="0" w:afterLines="0" w:line="312"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11.1市场价格波动引起的调整</w:t>
      </w:r>
      <w:bookmarkEnd w:id="423"/>
    </w:p>
    <w:bookmarkEnd w:id="424"/>
    <w:bookmarkEnd w:id="425"/>
    <w:bookmarkEnd w:id="426"/>
    <w:p w14:paraId="06E1BAFB">
      <w:pPr>
        <w:spacing w:beforeLines="0" w:afterLines="0" w:line="312" w:lineRule="auto"/>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除专用合同条款另有约定外，市场价格波动超过合同当事人约定的范围，合同价格应当调整。合同当事人可以在专用合同条款中约定选择以下一种方式对合同价格进行调整：</w:t>
      </w:r>
    </w:p>
    <w:p w14:paraId="69FE2C7A">
      <w:pPr>
        <w:spacing w:beforeLines="0" w:afterLines="0" w:line="312"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第1种方式：采用价格指数进行价格调整。</w:t>
      </w:r>
    </w:p>
    <w:p w14:paraId="09D47534">
      <w:pPr>
        <w:tabs>
          <w:tab w:val="left" w:pos="0"/>
          <w:tab w:val="left" w:pos="360"/>
          <w:tab w:val="left" w:pos="540"/>
        </w:tabs>
        <w:spacing w:beforeLines="0" w:afterLines="0" w:line="312"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（1）价格调整公式</w:t>
      </w:r>
    </w:p>
    <w:p w14:paraId="52CD803C">
      <w:pPr>
        <w:tabs>
          <w:tab w:val="left" w:pos="0"/>
          <w:tab w:val="left" w:pos="360"/>
          <w:tab w:val="left" w:pos="540"/>
        </w:tabs>
        <w:spacing w:beforeLines="0" w:afterLines="0" w:line="312"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因人工、材料和设备等价格波动影响合同价格时，根据专用合同条款中约定的数据，按以下公式计算差额并调整合同价格：</w:t>
      </w:r>
    </w:p>
    <w:p w14:paraId="5BB31579">
      <w:pPr>
        <w:tabs>
          <w:tab w:val="left" w:pos="0"/>
          <w:tab w:val="left" w:pos="360"/>
          <w:tab w:val="left" w:pos="540"/>
        </w:tabs>
        <w:spacing w:beforeLines="0" w:afterLines="0" w:line="312" w:lineRule="auto"/>
        <w:ind w:firstLine="480" w:firstLineChars="200"/>
        <w:rPr>
          <w:rFonts w:hint="eastAsia" w:ascii="宋体" w:hAnsi="宋体" w:eastAsia="宋体" w:cs="宋体"/>
          <w:color w:val="auto"/>
          <w:sz w:val="24"/>
          <w:szCs w:val="24"/>
        </w:rPr>
      </w:pPr>
    </w:p>
    <w:p w14:paraId="06348290">
      <w:pPr>
        <w:tabs>
          <w:tab w:val="left" w:pos="0"/>
          <w:tab w:val="left" w:pos="360"/>
          <w:tab w:val="left" w:pos="540"/>
        </w:tabs>
        <w:spacing w:beforeLines="0" w:afterLines="0" w:line="312" w:lineRule="auto"/>
        <w:ind w:firstLine="600" w:firstLineChars="200"/>
        <w:rPr>
          <w:rFonts w:hint="eastAsia" w:ascii="宋体" w:hAnsi="宋体" w:eastAsia="宋体" w:cs="宋体"/>
          <w:color w:val="auto"/>
          <w:sz w:val="24"/>
          <w:szCs w:val="24"/>
        </w:rPr>
      </w:pPr>
      <w:r>
        <w:rPr>
          <w:rFonts w:hint="eastAsia" w:ascii="宋体" w:hAnsi="宋体" w:eastAsia="宋体" w:cs="宋体"/>
          <w:color w:val="auto"/>
          <w:position w:val="-30"/>
          <w:sz w:val="30"/>
          <w:szCs w:val="32"/>
        </w:rPr>
        <w:object>
          <v:shape id="_x0000_i1025" o:spt="75" type="#_x0000_t75" style="height:45.15pt;width:340.55pt;" o:ole="t" filled="f" o:preferrelative="t" stroked="f" coordsize="21600,21600">
            <v:path/>
            <v:fill on="f" focussize="0,0"/>
            <v:stroke on="f" joinstyle="miter"/>
            <v:imagedata r:id="rId15" o:title=""/>
            <o:lock v:ext="edit" aspectratio="t"/>
            <w10:wrap type="none"/>
            <w10:anchorlock/>
          </v:shape>
          <o:OLEObject Type="Embed" ProgID="Equation.3" ShapeID="_x0000_i1025" DrawAspect="Content" ObjectID="_1468075725" r:id="rId14">
            <o:LockedField>false</o:LockedField>
          </o:OLEObject>
        </w:object>
      </w:r>
    </w:p>
    <w:p w14:paraId="7661464D">
      <w:pPr>
        <w:tabs>
          <w:tab w:val="left" w:pos="0"/>
          <w:tab w:val="left" w:pos="360"/>
          <w:tab w:val="left" w:pos="540"/>
        </w:tabs>
        <w:spacing w:beforeLines="0" w:afterLines="0" w:line="312" w:lineRule="auto"/>
        <w:ind w:firstLine="640"/>
        <w:rPr>
          <w:rFonts w:hint="eastAsia" w:ascii="宋体" w:hAnsi="宋体" w:eastAsia="宋体" w:cs="宋体"/>
          <w:color w:val="auto"/>
          <w:sz w:val="24"/>
          <w:szCs w:val="24"/>
        </w:rPr>
      </w:pPr>
      <w:r>
        <w:rPr>
          <w:rFonts w:hint="eastAsia" w:ascii="宋体" w:hAnsi="宋体" w:eastAsia="宋体" w:cs="宋体"/>
          <w:color w:val="auto"/>
          <w:sz w:val="24"/>
          <w:szCs w:val="24"/>
        </w:rPr>
        <w:t>公式中：ΔP——需调整的价格差额；</w:t>
      </w:r>
    </w:p>
    <w:p w14:paraId="76BC050A">
      <w:pPr>
        <w:tabs>
          <w:tab w:val="left" w:pos="0"/>
          <w:tab w:val="left" w:pos="360"/>
          <w:tab w:val="left" w:pos="540"/>
        </w:tabs>
        <w:spacing w:beforeLines="0" w:afterLines="0" w:line="312" w:lineRule="auto"/>
        <w:ind w:firstLine="1440" w:firstLineChars="600"/>
        <w:rPr>
          <w:rFonts w:hint="eastAsia" w:ascii="宋体" w:hAnsi="宋体" w:eastAsia="宋体" w:cs="宋体"/>
          <w:color w:val="auto"/>
          <w:sz w:val="24"/>
          <w:szCs w:val="24"/>
        </w:rPr>
      </w:pPr>
      <w:r>
        <w:rPr>
          <w:rFonts w:hint="eastAsia" w:ascii="宋体" w:hAnsi="宋体" w:eastAsia="宋体" w:cs="宋体"/>
          <w:color w:val="auto"/>
          <w:position w:val="-6"/>
          <w:sz w:val="24"/>
          <w:szCs w:val="24"/>
        </w:rPr>
        <w:object>
          <v:shape id="_x0000_i1026" o:spt="75" type="#_x0000_t75" style="height:17.65pt;width:17.65pt;" o:ole="t" filled="f" o:preferrelative="t" stroked="f" coordsize="21600,21600">
            <v:path/>
            <v:fill on="f" focussize="0,0"/>
            <v:stroke on="f" joinstyle="miter"/>
            <v:imagedata r:id="rId17" o:title=""/>
            <o:lock v:ext="edit" aspectratio="t"/>
            <w10:wrap type="none"/>
            <w10:anchorlock/>
          </v:shape>
          <o:OLEObject Type="Embed" ProgID="Equation.KSEE3" ShapeID="_x0000_i1026" DrawAspect="Content" ObjectID="_1468075726" r:id="rId16">
            <o:LockedField>false</o:LockedField>
          </o:OLEObject>
        </w:object>
      </w:r>
      <w:r>
        <w:rPr>
          <w:rFonts w:hint="eastAsia" w:ascii="宋体" w:hAnsi="宋体" w:eastAsia="宋体" w:cs="宋体"/>
          <w:color w:val="auto"/>
          <w:sz w:val="24"/>
          <w:szCs w:val="24"/>
        </w:rPr>
        <w:t>——约定的付款证书中承包人应得到的已完成工程量的金额。此项金额应不包括价格调整、不计质量保证金的扣留和支付、预付款的支付和扣回。约定的变更及其他金额已按现行价格计价的，也不计在内；</w:t>
      </w:r>
    </w:p>
    <w:p w14:paraId="484BFAE5">
      <w:pPr>
        <w:tabs>
          <w:tab w:val="left" w:pos="0"/>
          <w:tab w:val="left" w:pos="360"/>
          <w:tab w:val="left" w:pos="540"/>
        </w:tabs>
        <w:spacing w:beforeLines="0" w:afterLines="0" w:line="312"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A——定值权重（即不调部分的权重）；</w:t>
      </w:r>
    </w:p>
    <w:p w14:paraId="34E97925">
      <w:pPr>
        <w:tabs>
          <w:tab w:val="left" w:pos="0"/>
          <w:tab w:val="left" w:pos="360"/>
          <w:tab w:val="left" w:pos="540"/>
        </w:tabs>
        <w:spacing w:beforeLines="0" w:afterLines="0" w:line="312"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position w:val="-10"/>
          <w:sz w:val="24"/>
          <w:szCs w:val="24"/>
        </w:rPr>
        <w:object>
          <v:shape id="_x0000_i1027" o:spt="75" type="#_x0000_t75" style="height:20.95pt;width:101.05pt;" o:ole="t" filled="f" o:preferrelative="t" stroked="f" coordsize="21600,21600">
            <v:path/>
            <v:fill on="f" focussize="0,0"/>
            <v:stroke on="f" joinstyle="miter"/>
            <v:imagedata r:id="rId19" o:title=""/>
            <o:lock v:ext="edit" aspectratio="t"/>
            <w10:wrap type="none"/>
            <w10:anchorlock/>
          </v:shape>
          <o:OLEObject Type="Embed" ProgID="Equation.KSEE3" ShapeID="_x0000_i1027" DrawAspect="Content" ObjectID="_1468075727" r:id="rId18">
            <o:LockedField>false</o:LockedField>
          </o:OLEObject>
        </w:object>
      </w:r>
      <w:r>
        <w:rPr>
          <w:rFonts w:hint="eastAsia" w:ascii="宋体" w:hAnsi="宋体" w:eastAsia="宋体" w:cs="宋体"/>
          <w:color w:val="auto"/>
          <w:sz w:val="24"/>
          <w:szCs w:val="24"/>
        </w:rPr>
        <w:t>——各可调因子的变值权重（即可调部分的权重），为各可调因子在签约合同价中所占的比例；</w:t>
      </w:r>
    </w:p>
    <w:p w14:paraId="5101D686">
      <w:pPr>
        <w:tabs>
          <w:tab w:val="left" w:pos="0"/>
          <w:tab w:val="left" w:pos="360"/>
          <w:tab w:val="left" w:pos="540"/>
        </w:tabs>
        <w:spacing w:beforeLines="0" w:afterLines="0" w:line="312"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position w:val="-10"/>
          <w:sz w:val="24"/>
          <w:szCs w:val="24"/>
        </w:rPr>
        <w:object>
          <v:shape id="_x0000_i1028" o:spt="75" type="#_x0000_t75" style="height:20.3pt;width:102.1pt;" o:ole="t" filled="f" o:preferrelative="t" stroked="f" coordsize="21600,21600">
            <v:path/>
            <v:fill on="f" focussize="0,0"/>
            <v:stroke on="f" joinstyle="miter"/>
            <v:imagedata r:id="rId21" o:title=""/>
            <o:lock v:ext="edit" aspectratio="t"/>
            <w10:wrap type="none"/>
            <w10:anchorlock/>
          </v:shape>
          <o:OLEObject Type="Embed" ProgID="Equation.KSEE3" ShapeID="_x0000_i1028" DrawAspect="Content" ObjectID="_1468075728" r:id="rId20">
            <o:LockedField>false</o:LockedField>
          </o:OLEObject>
        </w:object>
      </w:r>
      <w:r>
        <w:rPr>
          <w:rFonts w:hint="eastAsia" w:ascii="宋体" w:hAnsi="宋体" w:eastAsia="宋体" w:cs="宋体"/>
          <w:color w:val="auto"/>
          <w:sz w:val="24"/>
          <w:szCs w:val="24"/>
        </w:rPr>
        <w:t>——各可调因子的现行价格指数，指约定的付款证书相关周期最后一天的前42天的各可调因子的价格指数；</w:t>
      </w:r>
    </w:p>
    <w:p w14:paraId="442C7EB1">
      <w:pPr>
        <w:tabs>
          <w:tab w:val="left" w:pos="0"/>
          <w:tab w:val="left" w:pos="360"/>
          <w:tab w:val="left" w:pos="540"/>
        </w:tabs>
        <w:spacing w:beforeLines="0" w:afterLines="0" w:line="312"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position w:val="-10"/>
          <w:sz w:val="24"/>
          <w:szCs w:val="24"/>
        </w:rPr>
        <w:object>
          <v:shape id="_x0000_i1029" o:spt="75" type="#_x0000_t75" style="height:20.3pt;width:107.75pt;" o:ole="t" filled="f" o:preferrelative="t" stroked="f" coordsize="21600,21600">
            <v:path/>
            <v:fill on="f" focussize="0,0"/>
            <v:stroke on="f" joinstyle="miter"/>
            <v:imagedata r:id="rId23" o:title=""/>
            <o:lock v:ext="edit" aspectratio="t"/>
            <w10:wrap type="none"/>
            <w10:anchorlock/>
          </v:shape>
          <o:OLEObject Type="Embed" ProgID="Equation.KSEE3" ShapeID="_x0000_i1029" DrawAspect="Content" ObjectID="_1468075729" r:id="rId22">
            <o:LockedField>false</o:LockedField>
          </o:OLEObject>
        </w:object>
      </w:r>
      <w:r>
        <w:rPr>
          <w:rFonts w:hint="eastAsia" w:ascii="宋体" w:hAnsi="宋体" w:eastAsia="宋体" w:cs="宋体"/>
          <w:color w:val="auto"/>
          <w:sz w:val="24"/>
          <w:szCs w:val="24"/>
        </w:rPr>
        <w:t>——各可调因子的基本价格指数，指基准日期的各可调因子的价格指数。</w:t>
      </w:r>
    </w:p>
    <w:p w14:paraId="461082B3">
      <w:pPr>
        <w:tabs>
          <w:tab w:val="left" w:pos="0"/>
          <w:tab w:val="left" w:pos="360"/>
          <w:tab w:val="left" w:pos="540"/>
        </w:tabs>
        <w:spacing w:beforeLines="0" w:afterLines="0" w:line="312"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以上价格调整公式中的各可调因子、定值和变值权重，以及基本价格指数及其来源在投标函附录价格指数和权重表中约定，非招标订立的合同，由合同当事人在专用合同条款中约定。价格指数应首先采用工程造价管理机构发布的价格指数，无前述价格指数时，可采用工程造价管理机构发布的价格代替。</w:t>
      </w:r>
    </w:p>
    <w:p w14:paraId="65263571">
      <w:pPr>
        <w:tabs>
          <w:tab w:val="left" w:pos="0"/>
          <w:tab w:val="left" w:pos="360"/>
          <w:tab w:val="left" w:pos="540"/>
        </w:tabs>
        <w:spacing w:beforeLines="0" w:afterLines="0" w:line="312"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（2）暂时确定调整差额</w:t>
      </w:r>
    </w:p>
    <w:p w14:paraId="7DE24465">
      <w:pPr>
        <w:tabs>
          <w:tab w:val="left" w:pos="0"/>
          <w:tab w:val="left" w:pos="360"/>
          <w:tab w:val="left" w:pos="540"/>
        </w:tabs>
        <w:spacing w:beforeLines="0" w:afterLines="0" w:line="312"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在计算调整差额时无现行价格指数的，合同当事人同意暂用前次价格指数计算。实际价格指数有调整的，合同当事人进行相应调整。</w:t>
      </w:r>
    </w:p>
    <w:p w14:paraId="4CEC7F33">
      <w:pPr>
        <w:tabs>
          <w:tab w:val="left" w:pos="0"/>
          <w:tab w:val="left" w:pos="360"/>
          <w:tab w:val="left" w:pos="540"/>
        </w:tabs>
        <w:spacing w:beforeLines="0" w:afterLines="0" w:line="312"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（3）权重的调整</w:t>
      </w:r>
    </w:p>
    <w:p w14:paraId="6018A88B">
      <w:pPr>
        <w:tabs>
          <w:tab w:val="left" w:pos="0"/>
          <w:tab w:val="left" w:pos="360"/>
          <w:tab w:val="left" w:pos="540"/>
        </w:tabs>
        <w:spacing w:beforeLines="0" w:afterLines="0" w:line="312"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因变更导致合同约定的权重不合理时，按照第4.4款〔商定或确定〕执行。</w:t>
      </w:r>
    </w:p>
    <w:p w14:paraId="7CADE79D">
      <w:pPr>
        <w:tabs>
          <w:tab w:val="left" w:pos="0"/>
          <w:tab w:val="left" w:pos="360"/>
          <w:tab w:val="left" w:pos="540"/>
        </w:tabs>
        <w:spacing w:beforeLines="0" w:afterLines="0" w:line="312"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（4）因承包人原因工期延误后的价格调整</w:t>
      </w:r>
    </w:p>
    <w:p w14:paraId="6ECBB293">
      <w:pPr>
        <w:tabs>
          <w:tab w:val="left" w:pos="0"/>
          <w:tab w:val="left" w:pos="360"/>
          <w:tab w:val="left" w:pos="540"/>
        </w:tabs>
        <w:spacing w:beforeLines="0" w:afterLines="0" w:line="312"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因承包人原因未按期竣工的，对合同约定的竣工日期后继续施工的工程，在使用价格调整公式时，应采用计划竣工日期与实际竣工日期的两个价格指数中较低的一个作为现行价格指数。</w:t>
      </w:r>
    </w:p>
    <w:p w14:paraId="7F0FF08A">
      <w:pPr>
        <w:spacing w:beforeLines="0" w:afterLines="0" w:line="312"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第2种方式：采用造价信息进行价格调整。</w:t>
      </w:r>
    </w:p>
    <w:p w14:paraId="099DC747">
      <w:pPr>
        <w:spacing w:beforeLines="0" w:afterLines="0" w:line="312"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合同履行期间，因人工、材料、工程设备和机械台班价格波动影响合同价格时，人工、机械使用费按照国家或省、自治区、直辖市建设行政管理部门、行业建设管理部门或其授权的工程造价管理机构发布的人工、机械使用费系数进行调整；需要进行价格调整的材料，其单价和采购数量应由发包人审批，发包人确认需调整的材料单价及数量，作为调整合同价格的依据。</w:t>
      </w:r>
    </w:p>
    <w:p w14:paraId="2A1D7C04">
      <w:pPr>
        <w:spacing w:beforeLines="0" w:afterLines="0" w:line="312"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人工单价发生变化且符合省级或行业建设主管部门发布的人工费调整规定，合同当事人应按省级或行业建设主管部门或其授权的工程造价管理机构发布的人工费等文件调整合同价格，但承包人对人工费或人工单价的报价高于发布价格的除外。</w:t>
      </w:r>
    </w:p>
    <w:p w14:paraId="3252BF1A">
      <w:pPr>
        <w:spacing w:beforeLines="0" w:afterLines="0" w:line="312"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（2）材料、工程设备价格变化的价款调整按照发包人提供的基准价格，按以下风险范围规定执行：</w:t>
      </w:r>
    </w:p>
    <w:p w14:paraId="71585A90">
      <w:pPr>
        <w:spacing w:beforeLines="0" w:afterLines="0" w:line="312"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①承包人在已标价工程量清单或预算书中载明材料单价低于基准价格的：除专用合同条款另有约定外，合同履行期间材料单价涨幅以基准价格为基础超过5%时，或材料单价跌幅以在已标价工程量清单或预算书中载明材料单价为基础超过5%时，其超过部分据实调整。</w:t>
      </w:r>
    </w:p>
    <w:p w14:paraId="64DCB315">
      <w:pPr>
        <w:spacing w:beforeLines="0" w:afterLines="0" w:line="312"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②承包人在已标价工程量清单或预算书中载明材料单价高于基准价格的：除专用合同条款另有约定外，合同履行期间材料单价跌幅以基准价格为基础超过5%时，材料单价涨幅以在已标价工程量清单或预算书中载明材料单价为基础超过5%时，其超过部分据实调整。</w:t>
      </w:r>
    </w:p>
    <w:p w14:paraId="02A72C22">
      <w:pPr>
        <w:spacing w:beforeLines="0" w:afterLines="0" w:line="312"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③承包人在已标价工程量清单或预算书中载明材料单价等于基准价格的：除专用合同条款另有约定外，合同履行期间材料单价涨跌幅以基准价格为基础超过±5%时，其超过部分据实调整。</w:t>
      </w:r>
    </w:p>
    <w:p w14:paraId="4613FCE7">
      <w:pPr>
        <w:spacing w:beforeLines="0" w:afterLines="0" w:line="312"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④承包人应在采购材料前将采购数量和新的材料单价报发包人核对，发包人确认用于工程时，发包人应确认采购材料的数量和单价。发包人在收到承包人报送的确认资料后5天内不予答复的视为认可，作为调整合同价格的依据。未经发包人事先核对，承包人自行采购材料的，发包人有权不予调整合同价格。发包人同意的，可以调整合同价格。</w:t>
      </w:r>
    </w:p>
    <w:p w14:paraId="296DD2B1">
      <w:pPr>
        <w:spacing w:beforeLines="0" w:afterLines="0" w:line="312"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前述基准价格是指由发包人在招标文件或专用合同条款中给定的材料、工程设备的价格，该价格原则上应当按照省级或行业建设主管部门或其授权的工程造价管理机构发布的信息价编制。</w:t>
      </w:r>
    </w:p>
    <w:p w14:paraId="4FEDC825">
      <w:pPr>
        <w:spacing w:beforeLines="0" w:afterLines="0" w:line="312"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（3）施工机械台班单价或施工机械使用费发生变化超过省级或行业建设主管部门或其授权的工程造价管理机构规定的范围时，按规定调整合同价格。</w:t>
      </w:r>
    </w:p>
    <w:p w14:paraId="42F40212">
      <w:pPr>
        <w:spacing w:beforeLines="0" w:afterLines="0" w:line="312"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第3种方式：专用合同条款约定的其他方式。</w:t>
      </w:r>
    </w:p>
    <w:p w14:paraId="78415F8C">
      <w:pPr>
        <w:pStyle w:val="8"/>
        <w:spacing w:before="120" w:beforeLines="0" w:after="120" w:afterLines="0" w:line="312" w:lineRule="auto"/>
        <w:ind w:firstLine="480" w:firstLineChars="200"/>
        <w:rPr>
          <w:rFonts w:hint="eastAsia" w:ascii="宋体" w:hAnsi="宋体" w:eastAsia="宋体" w:cs="宋体"/>
          <w:b w:val="0"/>
          <w:color w:val="auto"/>
          <w:sz w:val="24"/>
          <w:szCs w:val="24"/>
        </w:rPr>
      </w:pPr>
      <w:bookmarkStart w:id="427" w:name="_Toc351203579"/>
      <w:bookmarkStart w:id="428" w:name="_Toc296503093"/>
      <w:bookmarkStart w:id="429" w:name="_Toc337558798"/>
      <w:bookmarkStart w:id="430" w:name="_Toc296346594"/>
      <w:r>
        <w:rPr>
          <w:rFonts w:hint="eastAsia" w:ascii="宋体" w:hAnsi="宋体" w:eastAsia="宋体" w:cs="宋体"/>
          <w:b w:val="0"/>
          <w:color w:val="auto"/>
          <w:sz w:val="24"/>
          <w:szCs w:val="24"/>
        </w:rPr>
        <w:t>11.2法律变化引起的调整</w:t>
      </w:r>
      <w:bookmarkEnd w:id="427"/>
    </w:p>
    <w:bookmarkEnd w:id="428"/>
    <w:bookmarkEnd w:id="429"/>
    <w:bookmarkEnd w:id="430"/>
    <w:p w14:paraId="207942A7">
      <w:pPr>
        <w:spacing w:beforeLines="0" w:afterLines="0" w:line="312"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基准日期后，法律变化导致承包人在合同履行过程中所需要的费用发生除第11.1款〔市场价格波动引起的调整〕约定以外的增加时，由发包人承担由此增加的费用；减少时，应从合同价格中予以扣减。基准日期后，因法律变化造成工期延误时，工期应予以顺延。</w:t>
      </w:r>
    </w:p>
    <w:p w14:paraId="0C30A611">
      <w:pPr>
        <w:spacing w:beforeLines="0" w:afterLines="0" w:line="312"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因法律变化引起的合同价格和工期调整，合同当事人无法达成一致的，由总监理工程师按第4.4款〔商定或确定〕的约定处理。</w:t>
      </w:r>
    </w:p>
    <w:p w14:paraId="068B655D">
      <w:pPr>
        <w:spacing w:beforeLines="0" w:afterLines="0" w:line="312"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kern w:val="0"/>
          <w:sz w:val="24"/>
          <w:szCs w:val="24"/>
        </w:rPr>
        <w:t>因承包人原因造成工期延误，在工期延误期间出现法律变化的，由此增加的费用和（或）延误的工期由承包人承担。</w:t>
      </w:r>
    </w:p>
    <w:p w14:paraId="14F33A13">
      <w:pPr>
        <w:pStyle w:val="7"/>
        <w:spacing w:before="120" w:beforeLines="0" w:after="120" w:afterLines="0" w:line="312" w:lineRule="auto"/>
        <w:rPr>
          <w:rFonts w:hint="eastAsia" w:ascii="宋体" w:hAnsi="宋体" w:eastAsia="宋体" w:cs="宋体"/>
          <w:b w:val="0"/>
          <w:color w:val="auto"/>
          <w:sz w:val="24"/>
          <w:szCs w:val="24"/>
        </w:rPr>
      </w:pPr>
      <w:bookmarkStart w:id="431" w:name="_Toc351203580"/>
      <w:bookmarkStart w:id="432" w:name="_Toc337558799"/>
      <w:bookmarkStart w:id="433" w:name="_Toc296346597"/>
      <w:bookmarkStart w:id="434" w:name="_Toc296503096"/>
      <w:r>
        <w:rPr>
          <w:rFonts w:hint="eastAsia" w:ascii="宋体" w:hAnsi="宋体" w:eastAsia="宋体" w:cs="宋体"/>
          <w:b w:val="0"/>
          <w:color w:val="auto"/>
          <w:sz w:val="24"/>
          <w:szCs w:val="24"/>
        </w:rPr>
        <w:t>12. 合同价格、计量与支付</w:t>
      </w:r>
      <w:bookmarkEnd w:id="431"/>
    </w:p>
    <w:bookmarkEnd w:id="432"/>
    <w:p w14:paraId="4EA53FAC">
      <w:pPr>
        <w:pStyle w:val="8"/>
        <w:spacing w:before="120" w:beforeLines="0" w:after="120" w:afterLines="0" w:line="312" w:lineRule="auto"/>
        <w:ind w:firstLine="480" w:firstLineChars="200"/>
        <w:rPr>
          <w:rFonts w:hint="eastAsia" w:ascii="宋体" w:hAnsi="宋体" w:eastAsia="宋体" w:cs="宋体"/>
          <w:b w:val="0"/>
          <w:color w:val="auto"/>
          <w:sz w:val="24"/>
          <w:szCs w:val="24"/>
        </w:rPr>
      </w:pPr>
      <w:bookmarkStart w:id="435" w:name="_Toc351203581"/>
      <w:bookmarkStart w:id="436" w:name="_Toc337558800"/>
      <w:r>
        <w:rPr>
          <w:rFonts w:hint="eastAsia" w:ascii="宋体" w:hAnsi="宋体" w:eastAsia="宋体" w:cs="宋体"/>
          <w:b w:val="0"/>
          <w:color w:val="auto"/>
          <w:sz w:val="24"/>
          <w:szCs w:val="24"/>
        </w:rPr>
        <w:t>12.1 合同价</w:t>
      </w:r>
      <w:bookmarkEnd w:id="433"/>
      <w:bookmarkEnd w:id="434"/>
      <w:r>
        <w:rPr>
          <w:rFonts w:hint="eastAsia" w:ascii="宋体" w:hAnsi="宋体" w:eastAsia="宋体" w:cs="宋体"/>
          <w:b w:val="0"/>
          <w:color w:val="auto"/>
          <w:sz w:val="24"/>
          <w:szCs w:val="24"/>
        </w:rPr>
        <w:t>格形式</w:t>
      </w:r>
      <w:bookmarkEnd w:id="435"/>
    </w:p>
    <w:bookmarkEnd w:id="436"/>
    <w:p w14:paraId="059C78A5">
      <w:pPr>
        <w:autoSpaceDE w:val="0"/>
        <w:autoSpaceDN w:val="0"/>
        <w:adjustRightInd w:val="0"/>
        <w:spacing w:beforeLines="0" w:afterLines="0" w:line="312" w:lineRule="auto"/>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 xml:space="preserve">发包人和承包人应在合同协议书中选择下列一种合同价格形式： </w:t>
      </w:r>
    </w:p>
    <w:p w14:paraId="4A646255">
      <w:pPr>
        <w:autoSpaceDE w:val="0"/>
        <w:autoSpaceDN w:val="0"/>
        <w:adjustRightInd w:val="0"/>
        <w:spacing w:beforeLines="0" w:afterLines="0" w:line="312" w:lineRule="auto"/>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1、单价合同</w:t>
      </w:r>
    </w:p>
    <w:p w14:paraId="194EE32C">
      <w:pPr>
        <w:autoSpaceDE w:val="0"/>
        <w:autoSpaceDN w:val="0"/>
        <w:adjustRightInd w:val="0"/>
        <w:spacing w:beforeLines="0" w:afterLines="0" w:line="312" w:lineRule="auto"/>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单价合同是指合同当事人约定以工程量清单及其综合单价进行合同价格计算、调整和确认的建设工程施工合同，</w:t>
      </w:r>
      <w:r>
        <w:rPr>
          <w:rFonts w:hint="eastAsia" w:ascii="宋体" w:hAnsi="宋体" w:eastAsia="宋体" w:cs="宋体"/>
          <w:color w:val="auto"/>
          <w:sz w:val="24"/>
          <w:szCs w:val="24"/>
        </w:rPr>
        <w:t>在约定的范围内合同单价不作调整</w:t>
      </w:r>
      <w:r>
        <w:rPr>
          <w:rFonts w:hint="eastAsia" w:ascii="宋体" w:hAnsi="宋体" w:eastAsia="宋体" w:cs="宋体"/>
          <w:color w:val="auto"/>
          <w:kern w:val="0"/>
          <w:sz w:val="24"/>
          <w:szCs w:val="24"/>
        </w:rPr>
        <w:t>。合同当事人应在专用合同条款中约定综合单价包含的风险范围和风险费用的计算方法</w:t>
      </w:r>
      <w:r>
        <w:rPr>
          <w:rFonts w:hint="eastAsia" w:ascii="宋体" w:hAnsi="宋体" w:eastAsia="宋体" w:cs="宋体"/>
          <w:color w:val="auto"/>
          <w:sz w:val="24"/>
          <w:szCs w:val="24"/>
        </w:rPr>
        <w:t>，</w:t>
      </w:r>
      <w:r>
        <w:rPr>
          <w:rFonts w:hint="eastAsia" w:ascii="宋体" w:hAnsi="宋体" w:eastAsia="宋体" w:cs="宋体"/>
          <w:color w:val="auto"/>
          <w:kern w:val="0"/>
          <w:sz w:val="24"/>
          <w:szCs w:val="24"/>
        </w:rPr>
        <w:t>并约定风险范围以外的合同价格的调整方法，其中因市场价格波动引起的调整按第11.1款〔市场价格波动引起的调整〕约定执行。</w:t>
      </w:r>
    </w:p>
    <w:p w14:paraId="364BCA21">
      <w:pPr>
        <w:autoSpaceDE w:val="0"/>
        <w:autoSpaceDN w:val="0"/>
        <w:adjustRightInd w:val="0"/>
        <w:spacing w:beforeLines="0" w:afterLines="0" w:line="312" w:lineRule="auto"/>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2、总价合同</w:t>
      </w:r>
    </w:p>
    <w:p w14:paraId="247F58A6">
      <w:pPr>
        <w:autoSpaceDE w:val="0"/>
        <w:autoSpaceDN w:val="0"/>
        <w:adjustRightInd w:val="0"/>
        <w:spacing w:beforeLines="0" w:afterLines="0" w:line="312" w:lineRule="auto"/>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总价合同是指合同当事人约定以施工图、已标价工程量清单或预算书及有关条件进行合同价格计算、调整和确认的建设工程施工合同，</w:t>
      </w:r>
      <w:r>
        <w:rPr>
          <w:rFonts w:hint="eastAsia" w:ascii="宋体" w:hAnsi="宋体" w:eastAsia="宋体" w:cs="宋体"/>
          <w:color w:val="auto"/>
          <w:sz w:val="24"/>
          <w:szCs w:val="24"/>
        </w:rPr>
        <w:t>在约定的范围内合同总价不作调整</w:t>
      </w:r>
      <w:r>
        <w:rPr>
          <w:rFonts w:hint="eastAsia" w:ascii="宋体" w:hAnsi="宋体" w:eastAsia="宋体" w:cs="宋体"/>
          <w:color w:val="auto"/>
          <w:kern w:val="0"/>
          <w:sz w:val="24"/>
          <w:szCs w:val="24"/>
        </w:rPr>
        <w:t>。合同当事人应在专用合同条款中约定总价包含的风险范围和风险费用的计算方法，并约定风险范围以外的合同价格的调整方法，其中因市场价格波动引起的调整按第11.1款〔市场价格波动引起的调整〕、因法律变化引起的调整按第11.2款〔法律变化引起的调整〕约定执行。</w:t>
      </w:r>
    </w:p>
    <w:p w14:paraId="6C349B07">
      <w:pPr>
        <w:autoSpaceDE w:val="0"/>
        <w:autoSpaceDN w:val="0"/>
        <w:adjustRightInd w:val="0"/>
        <w:spacing w:beforeLines="0" w:afterLines="0" w:line="312" w:lineRule="auto"/>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3、其它价格形式</w:t>
      </w:r>
    </w:p>
    <w:p w14:paraId="609362D3">
      <w:pPr>
        <w:autoSpaceDE w:val="0"/>
        <w:autoSpaceDN w:val="0"/>
        <w:adjustRightInd w:val="0"/>
        <w:spacing w:beforeLines="0" w:afterLines="0" w:line="312" w:lineRule="auto"/>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合同当事人可在专用合同条款中约定其他合同价格形式。</w:t>
      </w:r>
    </w:p>
    <w:p w14:paraId="3012BA26">
      <w:pPr>
        <w:pStyle w:val="8"/>
        <w:spacing w:before="120" w:beforeLines="0" w:after="120" w:afterLines="0" w:line="312" w:lineRule="auto"/>
        <w:ind w:firstLine="480" w:firstLineChars="200"/>
        <w:rPr>
          <w:rFonts w:hint="eastAsia" w:ascii="宋体" w:hAnsi="宋体" w:eastAsia="宋体" w:cs="宋体"/>
          <w:b w:val="0"/>
          <w:color w:val="auto"/>
          <w:sz w:val="24"/>
          <w:szCs w:val="24"/>
        </w:rPr>
      </w:pPr>
      <w:bookmarkStart w:id="437" w:name="_Toc296346598"/>
      <w:bookmarkStart w:id="438" w:name="_Toc296503097"/>
      <w:bookmarkStart w:id="439" w:name="_Toc351203582"/>
      <w:bookmarkStart w:id="440" w:name="_Toc337558801"/>
      <w:r>
        <w:rPr>
          <w:rFonts w:hint="eastAsia" w:ascii="宋体" w:hAnsi="宋体" w:eastAsia="宋体" w:cs="宋体"/>
          <w:b w:val="0"/>
          <w:color w:val="auto"/>
          <w:sz w:val="24"/>
          <w:szCs w:val="24"/>
        </w:rPr>
        <w:t>12.2预</w:t>
      </w:r>
      <w:bookmarkEnd w:id="437"/>
      <w:bookmarkEnd w:id="438"/>
      <w:bookmarkStart w:id="441" w:name="_Toc296346601"/>
      <w:bookmarkStart w:id="442" w:name="_Toc296503100"/>
      <w:r>
        <w:rPr>
          <w:rFonts w:hint="eastAsia" w:ascii="宋体" w:hAnsi="宋体" w:eastAsia="宋体" w:cs="宋体"/>
          <w:b w:val="0"/>
          <w:color w:val="auto"/>
          <w:sz w:val="24"/>
          <w:szCs w:val="24"/>
        </w:rPr>
        <w:t>付款</w:t>
      </w:r>
      <w:bookmarkEnd w:id="439"/>
    </w:p>
    <w:bookmarkEnd w:id="440"/>
    <w:bookmarkEnd w:id="441"/>
    <w:bookmarkEnd w:id="442"/>
    <w:p w14:paraId="588B6048">
      <w:pPr>
        <w:spacing w:beforeLines="0" w:afterLines="0" w:line="312" w:lineRule="auto"/>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sz w:val="24"/>
          <w:szCs w:val="24"/>
        </w:rPr>
        <w:t>12.2.</w:t>
      </w:r>
      <w:r>
        <w:rPr>
          <w:rFonts w:hint="eastAsia" w:ascii="宋体" w:hAnsi="宋体" w:eastAsia="宋体" w:cs="宋体"/>
          <w:color w:val="auto"/>
          <w:kern w:val="0"/>
          <w:sz w:val="24"/>
          <w:szCs w:val="24"/>
        </w:rPr>
        <w:t>1预付款的支付</w:t>
      </w:r>
    </w:p>
    <w:p w14:paraId="1C96D5E1">
      <w:pPr>
        <w:spacing w:beforeLines="0" w:afterLines="0" w:line="312" w:lineRule="auto"/>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预付款的支付按照专用合同条款约定执行，但至迟应在开工通知载明的开工日期7天前支付。预付款应当用于材料、工程设备、施工设备的采购及修建临时工程、组织施工队伍进场等。</w:t>
      </w:r>
    </w:p>
    <w:p w14:paraId="5CE89E4B">
      <w:pPr>
        <w:spacing w:beforeLines="0" w:afterLines="0" w:line="312" w:lineRule="auto"/>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除专用合同条款另有约定外，预付款在进度付款中同比例扣回。在颁发工程接收证书前，提前解除合同的，尚未扣完的预付款应与合同价款一并结算。</w:t>
      </w:r>
    </w:p>
    <w:p w14:paraId="52229FCC">
      <w:pPr>
        <w:spacing w:beforeLines="0" w:afterLines="0" w:line="312" w:lineRule="auto"/>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发包人逾期支付预付款超过7天的，承包人有权向发包人发出要求预付的催告通知，发包人收到通知后7天内仍未支付的，承包人有权暂停施工，并按第16.1.1项〔发包人违约的情形〕执行。</w:t>
      </w:r>
    </w:p>
    <w:p w14:paraId="2F254073">
      <w:pPr>
        <w:spacing w:beforeLines="0" w:afterLines="0" w:line="312"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12.2.2 预付款担保</w:t>
      </w:r>
    </w:p>
    <w:p w14:paraId="246FE9D1">
      <w:pPr>
        <w:spacing w:beforeLines="0" w:afterLines="0" w:line="312" w:lineRule="auto"/>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发包人要求承包人提供预付款担保的，承包人应在发包人支付预付款7天前提供预付款担保，专用合同条款另有约定除外。预付款担保可采用银行保函、担保公司担保等形式，具体由合同当事人在专用合同条款中约定。在预付款完全扣回之前，承包人应保证预付款担保持续有效。</w:t>
      </w:r>
    </w:p>
    <w:p w14:paraId="521C9B97">
      <w:pPr>
        <w:spacing w:beforeLines="0" w:afterLines="0" w:line="312" w:lineRule="auto"/>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发包人在工程款中逐期扣回预付款后，预付款担保额度应相应减少，但剩余的预付款担保金额不得低于未被扣回的预付款金额。</w:t>
      </w:r>
    </w:p>
    <w:p w14:paraId="74187B7F">
      <w:pPr>
        <w:pStyle w:val="8"/>
        <w:spacing w:before="120" w:beforeLines="0" w:after="120" w:afterLines="0" w:line="312" w:lineRule="auto"/>
        <w:ind w:firstLine="480" w:firstLineChars="200"/>
        <w:rPr>
          <w:rFonts w:hint="eastAsia" w:ascii="宋体" w:hAnsi="宋体" w:eastAsia="宋体" w:cs="宋体"/>
          <w:b w:val="0"/>
          <w:color w:val="auto"/>
          <w:sz w:val="24"/>
          <w:szCs w:val="24"/>
        </w:rPr>
      </w:pPr>
      <w:bookmarkStart w:id="443" w:name="_Toc351203583"/>
      <w:bookmarkStart w:id="444" w:name="_Toc337558802"/>
      <w:r>
        <w:rPr>
          <w:rFonts w:hint="eastAsia" w:ascii="宋体" w:hAnsi="宋体" w:eastAsia="宋体" w:cs="宋体"/>
          <w:b w:val="0"/>
          <w:color w:val="auto"/>
          <w:sz w:val="24"/>
          <w:szCs w:val="24"/>
        </w:rPr>
        <w:t>12.3计量</w:t>
      </w:r>
      <w:bookmarkEnd w:id="443"/>
    </w:p>
    <w:bookmarkEnd w:id="444"/>
    <w:p w14:paraId="6E46AB92">
      <w:pPr>
        <w:spacing w:beforeLines="0" w:afterLines="0" w:line="312" w:lineRule="auto"/>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12.3.1 计量原则</w:t>
      </w:r>
    </w:p>
    <w:p w14:paraId="42A316F6">
      <w:pPr>
        <w:spacing w:beforeLines="0" w:afterLines="0" w:line="312" w:lineRule="auto"/>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工程量计量按照合同约定的工程量计算规则、图纸及变更指示等进行计量。工程量计算规则应以相关的国家标准、行业标准等为依据，由合同当事人在专用合同条款中约定。</w:t>
      </w:r>
    </w:p>
    <w:p w14:paraId="622D46BC">
      <w:pPr>
        <w:spacing w:beforeLines="0" w:afterLines="0" w:line="312" w:lineRule="auto"/>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12.3.2 计量周期</w:t>
      </w:r>
    </w:p>
    <w:p w14:paraId="7F55A861">
      <w:pPr>
        <w:spacing w:beforeLines="0" w:afterLines="0" w:line="312" w:lineRule="auto"/>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除专用合同条款另有约定外，工程量的计量按月进行。</w:t>
      </w:r>
    </w:p>
    <w:p w14:paraId="1391B6EA">
      <w:pPr>
        <w:spacing w:beforeLines="0" w:afterLines="0" w:line="312" w:lineRule="auto"/>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12.3.3 单价合同的计量</w:t>
      </w:r>
    </w:p>
    <w:p w14:paraId="79BD17DD">
      <w:pPr>
        <w:spacing w:beforeLines="0" w:afterLines="0" w:line="312" w:lineRule="auto"/>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除专用合同条款另有约定外，单价合同的计量按照本项约定执行：</w:t>
      </w:r>
    </w:p>
    <w:p w14:paraId="2445EF8D">
      <w:pPr>
        <w:spacing w:beforeLines="0" w:afterLines="0" w:line="312" w:lineRule="auto"/>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（1）承包人应于每月25日向监理人报送上月20日至当月19日已完成的工程量报告，并附具进度付款申请单、已完成工程量报表和有关资料。</w:t>
      </w:r>
    </w:p>
    <w:p w14:paraId="72E906C6">
      <w:pPr>
        <w:spacing w:beforeLines="0" w:afterLines="0" w:line="312" w:lineRule="auto"/>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2）监理人应在收到承包人提交的工程量报告后7天内完成对承包人提交的工程量报表的审核并报送发包人，以确定当月实际完成的工程量。监理人对工程量有异议的，有权要求承包人进行共同复核或抽样复测。承包人应协助监理人进行复核或抽样复测，并按监理人要求提供补充计量资料。承包人未按监理人要求参加复核或抽样复测的，监理人复核或修正的工程量视为承包人实际完成的工程量。</w:t>
      </w:r>
    </w:p>
    <w:p w14:paraId="20BD45E9">
      <w:pPr>
        <w:spacing w:beforeLines="0" w:afterLines="0" w:line="312" w:lineRule="auto"/>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（3）监理人未在收到承包人提交的工程量报表后的7天内完成审核的，承包人报送的工程量报告中的工程量视为承包人实际完成的工程量，据此计算工程价款。</w:t>
      </w:r>
    </w:p>
    <w:p w14:paraId="5E896E6A">
      <w:pPr>
        <w:spacing w:beforeLines="0" w:afterLines="0" w:line="312" w:lineRule="auto"/>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12.3.4 总价合同的计量</w:t>
      </w:r>
    </w:p>
    <w:p w14:paraId="32B88F27">
      <w:pPr>
        <w:spacing w:beforeLines="0" w:afterLines="0" w:line="312" w:lineRule="auto"/>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除专用合同条款另有约定外，按月计量支付的总价合同，按照本项约定执行：</w:t>
      </w:r>
    </w:p>
    <w:p w14:paraId="59826AF9">
      <w:pPr>
        <w:spacing w:beforeLines="0" w:afterLines="0" w:line="312" w:lineRule="auto"/>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（1）承包人应于每月25日向监理人报送上月20日至当月19日已完成的工程量报告，并附具进度付款申请单、已完成工程量报表和有关资料。</w:t>
      </w:r>
    </w:p>
    <w:p w14:paraId="5E454B36">
      <w:pPr>
        <w:spacing w:beforeLines="0" w:afterLines="0" w:line="312" w:lineRule="auto"/>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2）监理人应在收到承包人提交的工程量报告后7天内完成对承包人提交的工程量报表的审核并报送发包人，以确定当月实际完成的工程量。监理人对工程量有异议的，有权要求承包人进行共同复核或抽样复测。承包人应协助监理人进行复核或抽样复测并按监理人要求提供补充计量资料。承包人未按监理人要求参加复核或抽样复测的，监理人审核或修正的工程量视为承包人实际完成的工程量。</w:t>
      </w:r>
    </w:p>
    <w:p w14:paraId="1FCF0A58">
      <w:pPr>
        <w:spacing w:beforeLines="0" w:afterLines="0" w:line="312" w:lineRule="auto"/>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（3）监理人未在收到承包人提交的工程量报表后的7天内完成复核的，承包人提交的工程量报告中的工程量视为承包人实际完成的工程量。</w:t>
      </w:r>
    </w:p>
    <w:p w14:paraId="2F9A00B3">
      <w:pPr>
        <w:spacing w:beforeLines="0" w:afterLines="0" w:line="312" w:lineRule="auto"/>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12.3.5 总价合同采用支付分解表计量支付的，可以按照第12.3.4项〔总价合同的计量〕约定进行计量，但合同价款按照支付分解表进行支付。</w:t>
      </w:r>
    </w:p>
    <w:p w14:paraId="58ECF394">
      <w:pPr>
        <w:spacing w:beforeLines="0" w:afterLines="0" w:line="312" w:lineRule="auto"/>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12.3.6 其他价格形式合同的计量</w:t>
      </w:r>
    </w:p>
    <w:p w14:paraId="635DC5D1">
      <w:pPr>
        <w:spacing w:beforeLines="0" w:afterLines="0" w:line="312" w:lineRule="auto"/>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合同当事人可在专用合同条款中约定其他价格形式合同的计量方式和程序。</w:t>
      </w:r>
    </w:p>
    <w:p w14:paraId="5025E8AA">
      <w:pPr>
        <w:pStyle w:val="8"/>
        <w:spacing w:before="120" w:beforeLines="0" w:after="120" w:afterLines="0" w:line="312" w:lineRule="auto"/>
        <w:ind w:firstLine="480" w:firstLineChars="200"/>
        <w:rPr>
          <w:rFonts w:hint="eastAsia" w:ascii="宋体" w:hAnsi="宋体" w:eastAsia="宋体" w:cs="宋体"/>
          <w:b w:val="0"/>
          <w:color w:val="auto"/>
          <w:sz w:val="24"/>
          <w:szCs w:val="24"/>
        </w:rPr>
      </w:pPr>
      <w:bookmarkStart w:id="445" w:name="_Toc296503101"/>
      <w:bookmarkStart w:id="446" w:name="_Toc296346602"/>
      <w:bookmarkStart w:id="447" w:name="_Toc351203584"/>
      <w:bookmarkStart w:id="448" w:name="_Toc337558803"/>
      <w:r>
        <w:rPr>
          <w:rFonts w:hint="eastAsia" w:ascii="宋体" w:hAnsi="宋体" w:eastAsia="宋体" w:cs="宋体"/>
          <w:b w:val="0"/>
          <w:color w:val="auto"/>
          <w:sz w:val="24"/>
          <w:szCs w:val="24"/>
        </w:rPr>
        <w:t>12.4工程进度款支</w:t>
      </w:r>
      <w:bookmarkEnd w:id="445"/>
      <w:bookmarkEnd w:id="446"/>
      <w:r>
        <w:rPr>
          <w:rFonts w:hint="eastAsia" w:ascii="宋体" w:hAnsi="宋体" w:eastAsia="宋体" w:cs="宋体"/>
          <w:b w:val="0"/>
          <w:color w:val="auto"/>
          <w:sz w:val="24"/>
          <w:szCs w:val="24"/>
        </w:rPr>
        <w:t>付</w:t>
      </w:r>
      <w:bookmarkEnd w:id="447"/>
    </w:p>
    <w:bookmarkEnd w:id="448"/>
    <w:p w14:paraId="43A1050C">
      <w:pPr>
        <w:autoSpaceDE w:val="0"/>
        <w:autoSpaceDN w:val="0"/>
        <w:adjustRightInd w:val="0"/>
        <w:spacing w:beforeLines="0" w:afterLines="0" w:line="312" w:lineRule="auto"/>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sz w:val="24"/>
          <w:szCs w:val="24"/>
        </w:rPr>
        <w:t>12.4</w:t>
      </w:r>
      <w:r>
        <w:rPr>
          <w:rFonts w:hint="eastAsia" w:ascii="宋体" w:hAnsi="宋体" w:eastAsia="宋体" w:cs="宋体"/>
          <w:color w:val="auto"/>
          <w:kern w:val="0"/>
          <w:sz w:val="24"/>
          <w:szCs w:val="24"/>
        </w:rPr>
        <w:t>.1 付款周期</w:t>
      </w:r>
    </w:p>
    <w:p w14:paraId="36D2A756">
      <w:pPr>
        <w:spacing w:beforeLines="0" w:afterLines="0" w:line="312" w:lineRule="auto"/>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除专用合同条款另有约定外，付款周期应按照第12.3.2项〔计量周期〕的约定与计量周期保持一致。</w:t>
      </w:r>
    </w:p>
    <w:p w14:paraId="5E81D2C8">
      <w:pPr>
        <w:autoSpaceDE w:val="0"/>
        <w:autoSpaceDN w:val="0"/>
        <w:adjustRightInd w:val="0"/>
        <w:spacing w:beforeLines="0" w:afterLines="0" w:line="312" w:lineRule="auto"/>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sz w:val="24"/>
          <w:szCs w:val="24"/>
        </w:rPr>
        <w:t>12.4</w:t>
      </w:r>
      <w:r>
        <w:rPr>
          <w:rFonts w:hint="eastAsia" w:ascii="宋体" w:hAnsi="宋体" w:eastAsia="宋体" w:cs="宋体"/>
          <w:color w:val="auto"/>
          <w:kern w:val="0"/>
          <w:sz w:val="24"/>
          <w:szCs w:val="24"/>
        </w:rPr>
        <w:t>.2 进度付款申请单的编制</w:t>
      </w:r>
    </w:p>
    <w:p w14:paraId="4B2835C6">
      <w:pPr>
        <w:autoSpaceDE w:val="0"/>
        <w:autoSpaceDN w:val="0"/>
        <w:adjustRightInd w:val="0"/>
        <w:spacing w:beforeLines="0" w:afterLines="0" w:line="312" w:lineRule="auto"/>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除专用合同条款另有约定外，进度付款申请单应包括下列内容：</w:t>
      </w:r>
    </w:p>
    <w:p w14:paraId="3AD425BD">
      <w:pPr>
        <w:autoSpaceDE w:val="0"/>
        <w:autoSpaceDN w:val="0"/>
        <w:adjustRightInd w:val="0"/>
        <w:spacing w:beforeLines="0" w:afterLines="0" w:line="312" w:lineRule="auto"/>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（1）截至本次付款周期已完成工作对应的金额；</w:t>
      </w:r>
    </w:p>
    <w:p w14:paraId="7FF725C4">
      <w:pPr>
        <w:autoSpaceDE w:val="0"/>
        <w:autoSpaceDN w:val="0"/>
        <w:adjustRightInd w:val="0"/>
        <w:spacing w:beforeLines="0" w:afterLines="0" w:line="312" w:lineRule="auto"/>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（2）根据第10条〔变更〕应增加和扣减的变更金额；</w:t>
      </w:r>
    </w:p>
    <w:p w14:paraId="30492D27">
      <w:pPr>
        <w:autoSpaceDE w:val="0"/>
        <w:autoSpaceDN w:val="0"/>
        <w:adjustRightInd w:val="0"/>
        <w:spacing w:beforeLines="0" w:afterLines="0" w:line="312" w:lineRule="auto"/>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（3）根据第12.2款〔预付款〕约定应支付的预付款和扣减的返还预付款；</w:t>
      </w:r>
    </w:p>
    <w:p w14:paraId="2C5B62FD">
      <w:pPr>
        <w:autoSpaceDE w:val="0"/>
        <w:autoSpaceDN w:val="0"/>
        <w:adjustRightInd w:val="0"/>
        <w:spacing w:beforeLines="0" w:afterLines="0" w:line="312" w:lineRule="auto"/>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（4）根据第15.3款〔质量保证金〕约定应扣减的质量保证金；</w:t>
      </w:r>
    </w:p>
    <w:p w14:paraId="526C84A2">
      <w:pPr>
        <w:autoSpaceDE w:val="0"/>
        <w:autoSpaceDN w:val="0"/>
        <w:adjustRightInd w:val="0"/>
        <w:spacing w:beforeLines="0" w:afterLines="0" w:line="312" w:lineRule="auto"/>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（5）根据第19条〔索赔〕应增加和扣减的索赔金额；</w:t>
      </w:r>
    </w:p>
    <w:p w14:paraId="1DA15216">
      <w:pPr>
        <w:autoSpaceDE w:val="0"/>
        <w:autoSpaceDN w:val="0"/>
        <w:adjustRightInd w:val="0"/>
        <w:spacing w:beforeLines="0" w:afterLines="0" w:line="312" w:lineRule="auto"/>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（6）对已签发的进度款支付证书中出现错误的修正，应在本次进度付款中支付或扣除的金额；</w:t>
      </w:r>
    </w:p>
    <w:p w14:paraId="54448FD1">
      <w:pPr>
        <w:autoSpaceDE w:val="0"/>
        <w:autoSpaceDN w:val="0"/>
        <w:adjustRightInd w:val="0"/>
        <w:spacing w:beforeLines="0" w:afterLines="0" w:line="312" w:lineRule="auto"/>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（7）根据合同约定应增加和扣减的其他金额。</w:t>
      </w:r>
    </w:p>
    <w:p w14:paraId="05A9AA98">
      <w:pPr>
        <w:autoSpaceDE w:val="0"/>
        <w:autoSpaceDN w:val="0"/>
        <w:adjustRightInd w:val="0"/>
        <w:spacing w:beforeLines="0" w:afterLines="0" w:line="312" w:lineRule="auto"/>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12.4.3 进度付款申请单的提交</w:t>
      </w:r>
    </w:p>
    <w:p w14:paraId="48BE9CAF">
      <w:pPr>
        <w:autoSpaceDE w:val="0"/>
        <w:autoSpaceDN w:val="0"/>
        <w:adjustRightInd w:val="0"/>
        <w:spacing w:beforeLines="0" w:afterLines="0" w:line="312" w:lineRule="auto"/>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（1）单价合同进度付款申请单的提交</w:t>
      </w:r>
    </w:p>
    <w:p w14:paraId="2051D937">
      <w:pPr>
        <w:autoSpaceDE w:val="0"/>
        <w:autoSpaceDN w:val="0"/>
        <w:adjustRightInd w:val="0"/>
        <w:spacing w:beforeLines="0" w:afterLines="0" w:line="312" w:lineRule="auto"/>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单价合同的进度付款申请单，按照第12.3.3项〔单价合同的计量〕约定的时间按月向监理人提交，并附上已完成工程量报表和有关资料。单价合同中的总价项目按月进行支付分解，并汇总列入当期进度付款申请单。</w:t>
      </w:r>
    </w:p>
    <w:p w14:paraId="11F67CCC">
      <w:pPr>
        <w:autoSpaceDE w:val="0"/>
        <w:autoSpaceDN w:val="0"/>
        <w:adjustRightInd w:val="0"/>
        <w:spacing w:beforeLines="0" w:afterLines="0" w:line="312" w:lineRule="auto"/>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（2）总价合同进度付款申请单的提交</w:t>
      </w:r>
    </w:p>
    <w:p w14:paraId="7FBC23C3">
      <w:pPr>
        <w:autoSpaceDE w:val="0"/>
        <w:autoSpaceDN w:val="0"/>
        <w:adjustRightInd w:val="0"/>
        <w:spacing w:beforeLines="0" w:afterLines="0" w:line="312" w:lineRule="auto"/>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总价合同按月计量支付的，承包人按照第12.3.4项〔总价合同的计量〕约定的时间按月向监理人提交进度付款申请单，并附上已完成工程量报表和有关资料。</w:t>
      </w:r>
    </w:p>
    <w:p w14:paraId="6D61D0AD">
      <w:pPr>
        <w:autoSpaceDE w:val="0"/>
        <w:autoSpaceDN w:val="0"/>
        <w:adjustRightInd w:val="0"/>
        <w:spacing w:beforeLines="0" w:afterLines="0" w:line="312" w:lineRule="auto"/>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总价合同按支付分解表支付的，承包人应按照第12.4.6项〔支付分解表〕及第12.4.2项〔进度付款申请单的编制〕的约定向监理人提交进度付款申请单。</w:t>
      </w:r>
    </w:p>
    <w:p w14:paraId="30936993">
      <w:pPr>
        <w:autoSpaceDE w:val="0"/>
        <w:autoSpaceDN w:val="0"/>
        <w:adjustRightInd w:val="0"/>
        <w:spacing w:beforeLines="0" w:afterLines="0" w:line="312" w:lineRule="auto"/>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（3）其他价格形式合同的进度付款申请单的提交</w:t>
      </w:r>
    </w:p>
    <w:p w14:paraId="30119D96">
      <w:pPr>
        <w:autoSpaceDE w:val="0"/>
        <w:autoSpaceDN w:val="0"/>
        <w:adjustRightInd w:val="0"/>
        <w:spacing w:beforeLines="0" w:afterLines="0" w:line="312" w:lineRule="auto"/>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合同当事人可在专用合同条款中约定其他价格形式合同的进度付款申请单的编制和提交程序。</w:t>
      </w:r>
    </w:p>
    <w:p w14:paraId="0FA72039">
      <w:pPr>
        <w:autoSpaceDE w:val="0"/>
        <w:autoSpaceDN w:val="0"/>
        <w:adjustRightInd w:val="0"/>
        <w:spacing w:beforeLines="0" w:afterLines="0" w:line="312" w:lineRule="auto"/>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sz w:val="24"/>
          <w:szCs w:val="24"/>
        </w:rPr>
        <w:t>12.4</w:t>
      </w:r>
      <w:r>
        <w:rPr>
          <w:rFonts w:hint="eastAsia" w:ascii="宋体" w:hAnsi="宋体" w:eastAsia="宋体" w:cs="宋体"/>
          <w:color w:val="auto"/>
          <w:kern w:val="0"/>
          <w:sz w:val="24"/>
          <w:szCs w:val="24"/>
        </w:rPr>
        <w:t>.4 进度款审核和支付</w:t>
      </w:r>
    </w:p>
    <w:p w14:paraId="0AC13FC9">
      <w:pPr>
        <w:autoSpaceDE w:val="0"/>
        <w:autoSpaceDN w:val="0"/>
        <w:adjustRightInd w:val="0"/>
        <w:spacing w:beforeLines="0" w:afterLines="0" w:line="312" w:lineRule="auto"/>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除专用合同条款另有约定外，监理人应在收到承包人进度付款申请单以及相关资料后7天内完成审查并报送发包人，发包人应在收到后7天内完成审批并签发进度款支付证书。发包人逾期未完成审批且未提出异议的，视为已签发进度款支付证书。</w:t>
      </w:r>
    </w:p>
    <w:p w14:paraId="41EDCA2C">
      <w:pPr>
        <w:autoSpaceDE w:val="0"/>
        <w:autoSpaceDN w:val="0"/>
        <w:adjustRightInd w:val="0"/>
        <w:spacing w:beforeLines="0" w:afterLines="0" w:line="312" w:lineRule="auto"/>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发包人和监理人对承包人的进度付款申请单有异议的，有权要求承包人修正和提供补充资料，承包人应提交修正后的进度付款申请单。监理人应在收到承包人修正后的进度付款申请单及相关资料后7天内完成审查并报送发包人，发包人应在收到监理人报送的进度付款申请单及相关资料后7天内，向承包人签发无异议部分的临时进度款支付证书。存在争议的部分，按照第20条〔争议解决〕的约定处理。</w:t>
      </w:r>
    </w:p>
    <w:p w14:paraId="6BC113EE">
      <w:pPr>
        <w:autoSpaceDE w:val="0"/>
        <w:autoSpaceDN w:val="0"/>
        <w:adjustRightInd w:val="0"/>
        <w:spacing w:beforeLines="0" w:afterLines="0" w:line="312" w:lineRule="auto"/>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（2）除专用合同条款另有约定外，发包人应在进度款支付证书或临时进度款支付证书签发后14天内完成支付，发包人逾期支付进度款的，应按照中国人民银行发布的同期同类贷款基准利率支付违约金。</w:t>
      </w:r>
    </w:p>
    <w:p w14:paraId="1B2B96BB">
      <w:pPr>
        <w:autoSpaceDE w:val="0"/>
        <w:autoSpaceDN w:val="0"/>
        <w:adjustRightInd w:val="0"/>
        <w:spacing w:beforeLines="0" w:afterLines="0" w:line="312" w:lineRule="auto"/>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（3）发包人签发进度款支付证书或临时进度款支付证书，不表明发包人已同意、批准或接受了承包人完成的相应部分的工作。</w:t>
      </w:r>
    </w:p>
    <w:p w14:paraId="6337B999">
      <w:pPr>
        <w:autoSpaceDE w:val="0"/>
        <w:autoSpaceDN w:val="0"/>
        <w:adjustRightInd w:val="0"/>
        <w:spacing w:beforeLines="0" w:afterLines="0" w:line="312" w:lineRule="auto"/>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12.4.5 进度付款的修正</w:t>
      </w:r>
    </w:p>
    <w:p w14:paraId="1ABBC8C4">
      <w:pPr>
        <w:autoSpaceDE w:val="0"/>
        <w:autoSpaceDN w:val="0"/>
        <w:adjustRightInd w:val="0"/>
        <w:spacing w:beforeLines="0" w:afterLines="0" w:line="312" w:lineRule="auto"/>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在对已签发的进度款支付证书进行阶段汇总和复核中发现错误、遗漏或重复的，发包人和承包人均有权提出修正申请。经发包人和承包人同意的修正，应在下期进度付款中支付或扣除。</w:t>
      </w:r>
    </w:p>
    <w:p w14:paraId="3A35502C">
      <w:pPr>
        <w:autoSpaceDE w:val="0"/>
        <w:autoSpaceDN w:val="0"/>
        <w:adjustRightInd w:val="0"/>
        <w:spacing w:beforeLines="0" w:afterLines="0" w:line="312" w:lineRule="auto"/>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12.4.6 支付分解表</w:t>
      </w:r>
    </w:p>
    <w:p w14:paraId="051AD335">
      <w:pPr>
        <w:spacing w:beforeLines="0" w:afterLines="0" w:line="312" w:lineRule="auto"/>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1、支付分解表的编制要求</w:t>
      </w:r>
    </w:p>
    <w:p w14:paraId="1BCC3F46">
      <w:pPr>
        <w:spacing w:beforeLines="0" w:afterLines="0" w:line="312" w:lineRule="auto"/>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（1）支付分解表中所列的每期付款金额，应为第12.4.2项〔进度付款申请单的编制〕第（1）目的估算金额；</w:t>
      </w:r>
    </w:p>
    <w:p w14:paraId="0DF9C273">
      <w:pPr>
        <w:spacing w:beforeLines="0" w:afterLines="0" w:line="312" w:lineRule="auto"/>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（2）实际进度与施工进度计划不一致的，合同当事人可按照第4.4款〔商定或确定〕修改支付分解表；</w:t>
      </w:r>
    </w:p>
    <w:p w14:paraId="0BF3646F">
      <w:pPr>
        <w:spacing w:beforeLines="0" w:afterLines="0" w:line="312" w:lineRule="auto"/>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（3）不采用支付分解表的，承包人应向发包人和监理人提交按季度编制的支付估算分解表，用于支付参考。</w:t>
      </w:r>
    </w:p>
    <w:p w14:paraId="5BE48E1A">
      <w:pPr>
        <w:spacing w:beforeLines="0" w:afterLines="0" w:line="312" w:lineRule="auto"/>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2、总价合同支付分解表的编制与审批</w:t>
      </w:r>
    </w:p>
    <w:p w14:paraId="6F78AB46">
      <w:pPr>
        <w:spacing w:beforeLines="0" w:afterLines="0" w:line="312" w:lineRule="auto"/>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除专用合同条款另有约定外，承包人应根据第7.2款〔施工进度计划〕约定的施工进度计划、签约合同价和工程量等因素对总价合同按月进行分解，编制支付分解表。承包人应当在收到监理人和发包人批准的施工进度计划后7天内，将支付分解表及编制支付分解表的支持性资料报送监理人。</w:t>
      </w:r>
    </w:p>
    <w:p w14:paraId="535E592D">
      <w:pPr>
        <w:spacing w:beforeLines="0" w:afterLines="0" w:line="312" w:lineRule="auto"/>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（2）监理人应在收到支付分解表后7天内完成审核并报送发包人。发包人应在收到经监理人审核的支付分解表后7天内完成审批，经发包人批准的支付分解表为有约束力的支付分解表。</w:t>
      </w:r>
    </w:p>
    <w:p w14:paraId="5C164BB2">
      <w:pPr>
        <w:spacing w:beforeLines="0" w:afterLines="0" w:line="312" w:lineRule="auto"/>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 xml:space="preserve">    （3）发包人逾期未完成支付分解表审批的，也未及时要求承包人进行修正和提供补充资料的，则承包人提交的支付分解表视为已经获得发包人批准。</w:t>
      </w:r>
    </w:p>
    <w:p w14:paraId="1E0D61D3">
      <w:pPr>
        <w:spacing w:beforeLines="0" w:afterLines="0" w:line="312" w:lineRule="auto"/>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3、单价合同的总价项目支付分解表的编制与审批</w:t>
      </w:r>
    </w:p>
    <w:p w14:paraId="2600E94C">
      <w:pPr>
        <w:spacing w:beforeLines="0" w:afterLines="0" w:line="312" w:lineRule="auto"/>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除专用合同条款另有约定外，单价合同的总价项目，由承包人根据施工进度计划和总价项目的总价构成、费用性质、计划发生时间和相应工程量等因素按月进行分解，形成支付分解表，其编制与审批参照总价合同支付分解表的编制与审批执行。</w:t>
      </w:r>
    </w:p>
    <w:p w14:paraId="46BC6F54">
      <w:pPr>
        <w:pStyle w:val="8"/>
        <w:spacing w:before="120" w:beforeLines="0" w:after="120" w:afterLines="0" w:line="312" w:lineRule="auto"/>
        <w:ind w:firstLine="480" w:firstLineChars="200"/>
        <w:rPr>
          <w:rFonts w:hint="eastAsia" w:ascii="宋体" w:hAnsi="宋体" w:eastAsia="宋体" w:cs="宋体"/>
          <w:b w:val="0"/>
          <w:color w:val="auto"/>
          <w:sz w:val="24"/>
          <w:szCs w:val="24"/>
        </w:rPr>
      </w:pPr>
      <w:bookmarkStart w:id="449" w:name="_Toc351203585"/>
      <w:r>
        <w:rPr>
          <w:rFonts w:hint="eastAsia" w:ascii="宋体" w:hAnsi="宋体" w:eastAsia="宋体" w:cs="宋体"/>
          <w:b w:val="0"/>
          <w:color w:val="auto"/>
          <w:sz w:val="24"/>
          <w:szCs w:val="24"/>
        </w:rPr>
        <w:t>12.5支付账户</w:t>
      </w:r>
      <w:bookmarkEnd w:id="449"/>
    </w:p>
    <w:p w14:paraId="4CEA7630">
      <w:pPr>
        <w:spacing w:beforeLines="0" w:afterLines="0" w:line="312" w:lineRule="auto"/>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发包人应将合同价款支付至合同协议书中约定的承包人账户。</w:t>
      </w:r>
    </w:p>
    <w:p w14:paraId="24C24C67">
      <w:pPr>
        <w:pStyle w:val="7"/>
        <w:spacing w:before="120" w:beforeLines="0" w:after="120" w:afterLines="0" w:line="312" w:lineRule="auto"/>
        <w:rPr>
          <w:rFonts w:hint="eastAsia" w:ascii="宋体" w:hAnsi="宋体" w:eastAsia="宋体" w:cs="宋体"/>
          <w:b w:val="0"/>
          <w:color w:val="auto"/>
          <w:sz w:val="24"/>
          <w:szCs w:val="24"/>
        </w:rPr>
      </w:pPr>
      <w:bookmarkStart w:id="450" w:name="_Toc351203586"/>
      <w:bookmarkStart w:id="451" w:name="_Toc296346607"/>
      <w:bookmarkStart w:id="452" w:name="_Toc337558804"/>
      <w:bookmarkStart w:id="453" w:name="_Toc322522574"/>
      <w:bookmarkStart w:id="454" w:name="_Toc296503106"/>
      <w:r>
        <w:rPr>
          <w:rFonts w:hint="eastAsia" w:ascii="宋体" w:hAnsi="宋体" w:eastAsia="宋体" w:cs="宋体"/>
          <w:b w:val="0"/>
          <w:color w:val="auto"/>
          <w:sz w:val="24"/>
          <w:szCs w:val="24"/>
        </w:rPr>
        <w:t>13. 验收和工程试车</w:t>
      </w:r>
      <w:bookmarkEnd w:id="450"/>
    </w:p>
    <w:bookmarkEnd w:id="451"/>
    <w:bookmarkEnd w:id="452"/>
    <w:bookmarkEnd w:id="453"/>
    <w:bookmarkEnd w:id="454"/>
    <w:p w14:paraId="4691E7D4">
      <w:pPr>
        <w:pStyle w:val="8"/>
        <w:spacing w:before="120" w:beforeLines="0" w:after="120" w:afterLines="0" w:line="312" w:lineRule="auto"/>
        <w:ind w:firstLine="480" w:firstLineChars="200"/>
        <w:rPr>
          <w:rFonts w:hint="eastAsia" w:ascii="宋体" w:hAnsi="宋体" w:eastAsia="宋体" w:cs="宋体"/>
          <w:b w:val="0"/>
          <w:color w:val="auto"/>
          <w:sz w:val="24"/>
          <w:szCs w:val="24"/>
        </w:rPr>
      </w:pPr>
      <w:bookmarkStart w:id="455" w:name="_Toc351203587"/>
      <w:bookmarkStart w:id="456" w:name="_Toc337558805"/>
      <w:bookmarkStart w:id="457" w:name="_Toc296346611"/>
      <w:bookmarkStart w:id="458" w:name="_Toc296503110"/>
      <w:r>
        <w:rPr>
          <w:rFonts w:hint="eastAsia" w:ascii="宋体" w:hAnsi="宋体" w:eastAsia="宋体" w:cs="宋体"/>
          <w:b w:val="0"/>
          <w:color w:val="auto"/>
          <w:sz w:val="24"/>
          <w:szCs w:val="24"/>
        </w:rPr>
        <w:t>13.1分部分项工程验收</w:t>
      </w:r>
      <w:bookmarkEnd w:id="455"/>
    </w:p>
    <w:bookmarkEnd w:id="456"/>
    <w:p w14:paraId="13D9CBC9">
      <w:pPr>
        <w:spacing w:beforeLines="0" w:afterLines="0" w:line="312"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13.1.1 分部分项工程质量应符合国家有关工程施工验收规范、标准及合同约定，承包人应按照施工组织设计的要求完成分部分项工程施工。</w:t>
      </w:r>
    </w:p>
    <w:p w14:paraId="7585C53C">
      <w:pPr>
        <w:spacing w:beforeLines="0" w:afterLines="0" w:line="312"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13.1.2 除专用合同条款另有约定外，分部分项工程经承包人自检合格并具备验收条件的，承包人应提前48小时通知监理人进行验收。</w:t>
      </w:r>
      <w:r>
        <w:rPr>
          <w:rFonts w:hint="eastAsia" w:ascii="宋体" w:hAnsi="宋体" w:eastAsia="宋体" w:cs="宋体"/>
          <w:color w:val="auto"/>
          <w:kern w:val="0"/>
          <w:sz w:val="24"/>
          <w:szCs w:val="24"/>
        </w:rPr>
        <w:t>监理人不能按时进行验收的，应在验收前24小时向承包人提交书面延期要求，但延期不能超过48小时。监理人未按时进行验收，也未提出延期要求的，承包人有权自行验收，监理人应认可验收结果。</w:t>
      </w:r>
      <w:r>
        <w:rPr>
          <w:rFonts w:hint="eastAsia" w:ascii="宋体" w:hAnsi="宋体" w:eastAsia="宋体" w:cs="宋体"/>
          <w:color w:val="auto"/>
          <w:sz w:val="24"/>
          <w:szCs w:val="24"/>
        </w:rPr>
        <w:t>分部分项工程未经验收的，不得进入下一道工序施工。</w:t>
      </w:r>
    </w:p>
    <w:p w14:paraId="71A49B51">
      <w:pPr>
        <w:spacing w:beforeLines="0" w:afterLines="0" w:line="312"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分部分项工程的验收资料应当作为竣工资料的组成部分。</w:t>
      </w:r>
    </w:p>
    <w:p w14:paraId="04F1F17A">
      <w:pPr>
        <w:pStyle w:val="8"/>
        <w:spacing w:before="120" w:beforeLines="0" w:after="120" w:afterLines="0" w:line="312" w:lineRule="auto"/>
        <w:ind w:firstLine="480" w:firstLineChars="200"/>
        <w:rPr>
          <w:rFonts w:hint="eastAsia" w:ascii="宋体" w:hAnsi="宋体" w:eastAsia="宋体" w:cs="宋体"/>
          <w:b w:val="0"/>
          <w:color w:val="auto"/>
          <w:sz w:val="24"/>
          <w:szCs w:val="24"/>
        </w:rPr>
      </w:pPr>
      <w:bookmarkStart w:id="459" w:name="_Toc351203588"/>
      <w:bookmarkStart w:id="460" w:name="_Toc337558806"/>
      <w:r>
        <w:rPr>
          <w:rFonts w:hint="eastAsia" w:ascii="宋体" w:hAnsi="宋体" w:eastAsia="宋体" w:cs="宋体"/>
          <w:b w:val="0"/>
          <w:color w:val="auto"/>
          <w:sz w:val="24"/>
          <w:szCs w:val="24"/>
        </w:rPr>
        <w:t>13.2竣工验收</w:t>
      </w:r>
      <w:bookmarkEnd w:id="459"/>
    </w:p>
    <w:bookmarkEnd w:id="457"/>
    <w:bookmarkEnd w:id="458"/>
    <w:bookmarkEnd w:id="460"/>
    <w:p w14:paraId="2E9DE45D">
      <w:pPr>
        <w:spacing w:beforeLines="0" w:afterLines="0" w:line="312" w:lineRule="auto"/>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13.2.1竣工验收条件</w:t>
      </w:r>
    </w:p>
    <w:p w14:paraId="74512E8F">
      <w:pPr>
        <w:spacing w:beforeLines="0" w:afterLines="0" w:line="312" w:lineRule="auto"/>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工程具备以下条件的，承包人可以申请竣工验收：</w:t>
      </w:r>
    </w:p>
    <w:p w14:paraId="422ACB75">
      <w:pPr>
        <w:spacing w:beforeLines="0" w:afterLines="0" w:line="312" w:lineRule="auto"/>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（1）除发包人同意的甩项工作和缺陷修补工作外，合同范围内的全部工程以及有关工作，包括合同要求的试验、试运行以及检验均已完成，并符合合同要求；</w:t>
      </w:r>
    </w:p>
    <w:p w14:paraId="19833559">
      <w:pPr>
        <w:spacing w:beforeLines="0" w:afterLines="0" w:line="312" w:lineRule="auto"/>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（2）已按合同约定编制了甩项工作和缺陷修补工作清单以及相应的施工计划；</w:t>
      </w:r>
    </w:p>
    <w:p w14:paraId="71B3B4EC">
      <w:pPr>
        <w:spacing w:beforeLines="0" w:afterLines="0" w:line="312" w:lineRule="auto"/>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（3）已按合同约定的内容和份数备齐竣工资料。</w:t>
      </w:r>
    </w:p>
    <w:p w14:paraId="74825C69">
      <w:pPr>
        <w:spacing w:beforeLines="0" w:afterLines="0" w:line="312" w:lineRule="auto"/>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13.2.2竣工验收程序</w:t>
      </w:r>
    </w:p>
    <w:p w14:paraId="459175BA">
      <w:pPr>
        <w:spacing w:beforeLines="0" w:afterLines="0" w:line="312" w:lineRule="auto"/>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除专用合同条款另有约定外，承包人申请竣工验收的，应当按照以下程序进行：</w:t>
      </w:r>
    </w:p>
    <w:p w14:paraId="0448B797">
      <w:pPr>
        <w:spacing w:beforeLines="0" w:afterLines="0" w:line="312" w:lineRule="auto"/>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承包人向监理人报送竣工验收申请报告，监理人应在收到竣工验收申请报告后14天内完成审查并报送发包人。监理人审查后认为尚不具备验收条件的，应通知承包人在竣工验收前承包人还需完成的工作内容，承包人应在完成监理人通知的全部工作内容后，再次提交竣工验收申请报告。</w:t>
      </w:r>
    </w:p>
    <w:p w14:paraId="5EA40629">
      <w:pPr>
        <w:spacing w:beforeLines="0" w:afterLines="0" w:line="312" w:lineRule="auto"/>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（2）监理人审查后认为已具备竣工验收条件的，应将竣工验收申请报告提交发包人，发包人应在收到经监理人审核的竣工验收申请报告后28天内审批完毕并组织监理人、承包人、设计人等相关单位完成竣工验收。</w:t>
      </w:r>
    </w:p>
    <w:p w14:paraId="51B72F8F">
      <w:pPr>
        <w:spacing w:beforeLines="0" w:afterLines="0" w:line="312" w:lineRule="auto"/>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（3）竣工验收合格的，发包人应在验收合格后14天内向承包人签发工程接收证书。发包人无正当理由逾期不颁发工程接收证书的，自验收合格后第15天起视为已颁发工程接收证书。</w:t>
      </w:r>
    </w:p>
    <w:p w14:paraId="04597513">
      <w:pPr>
        <w:spacing w:beforeLines="0" w:afterLines="0" w:line="312" w:lineRule="auto"/>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4）竣工验收不合格的，监理人应按照验收意见发出指示，要求承包人对不合格工程返工、修复或采取其他补救措施，由此增加的费用和（或）延误的工期由承包人承担。承包人在完成不合格工程的返工、修复或采取其他补救措施后，应重新提交竣工验收申请报告，并按本项约定的程序重新进行验收。</w:t>
      </w:r>
    </w:p>
    <w:p w14:paraId="7EC2C584">
      <w:pPr>
        <w:spacing w:beforeLines="0" w:afterLines="0" w:line="312" w:lineRule="auto"/>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（5）工程未经验收或验收不合格，发包人擅自使用的，应在转移占有工程后7天内向承包人颁发工程接收证书；发包人无正当理由逾期不颁发工程接收证书的，自转移占有后第15天起视为已颁发工程接收证书。</w:t>
      </w:r>
    </w:p>
    <w:p w14:paraId="64F06CF3">
      <w:pPr>
        <w:spacing w:beforeLines="0" w:afterLines="0" w:line="312" w:lineRule="auto"/>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除专用合同条款另有约定外，发包人不按照本项约定组织竣工验收、颁发工程接收证书的，每逾期一天，应以签约合同价为基数，按照中国人民银行发布的同期同类贷款基准利率支付违约金。</w:t>
      </w:r>
    </w:p>
    <w:p w14:paraId="5C87BD97">
      <w:pPr>
        <w:spacing w:beforeLines="0" w:afterLines="0" w:line="312" w:lineRule="auto"/>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13.2.3竣工日期</w:t>
      </w:r>
    </w:p>
    <w:p w14:paraId="0E1C667D">
      <w:pPr>
        <w:autoSpaceDE w:val="0"/>
        <w:autoSpaceDN w:val="0"/>
        <w:adjustRightInd w:val="0"/>
        <w:spacing w:beforeLines="0" w:afterLines="0" w:line="312" w:lineRule="auto"/>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工程经竣工验收合格的，以承包人提交竣工验收申请报告之日为实际竣工日期，并在工程接收证书中载明；因发包人原因，未在监理人收到承包人提交的竣工验收申请报告42天内完成竣工验收，或完成竣工验收不予签发工程接收证书的，以提交竣工验</w:t>
      </w:r>
      <w:bookmarkStart w:id="461" w:name="#go14"/>
      <w:bookmarkEnd w:id="461"/>
      <w:r>
        <w:rPr>
          <w:rFonts w:hint="eastAsia" w:ascii="宋体" w:hAnsi="宋体" w:eastAsia="宋体" w:cs="宋体"/>
          <w:color w:val="auto"/>
          <w:kern w:val="0"/>
          <w:sz w:val="24"/>
          <w:szCs w:val="24"/>
        </w:rPr>
        <w:t>收申请报告的日期为实际竣工日期；工程未经竣工验收，发包人擅自使用的，以转移占有工程之日为实际竣工日期。</w:t>
      </w:r>
    </w:p>
    <w:p w14:paraId="603E7CBB">
      <w:pPr>
        <w:spacing w:beforeLines="0" w:afterLines="0" w:line="312" w:lineRule="auto"/>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13.2.4 拒绝接收全部或部分工程</w:t>
      </w:r>
    </w:p>
    <w:p w14:paraId="4BF98C0E">
      <w:pPr>
        <w:autoSpaceDE w:val="0"/>
        <w:autoSpaceDN w:val="0"/>
        <w:adjustRightInd w:val="0"/>
        <w:spacing w:beforeLines="0" w:afterLines="0" w:line="312" w:lineRule="auto"/>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对于竣工验收不合格的工程，承包人完成整改后，应当重新进行竣工验收，经重新组织验收仍不合格的且无法采取措施补救的，则发包人可以拒绝接收不合格工程，因不合格工程导致其他工程不能正常使用的，承包人应采取措施确保相关工程的正常使用，由此增加的费用和（或）延误的工期由承包人承担。</w:t>
      </w:r>
    </w:p>
    <w:p w14:paraId="16971795">
      <w:pPr>
        <w:autoSpaceDE w:val="0"/>
        <w:autoSpaceDN w:val="0"/>
        <w:adjustRightInd w:val="0"/>
        <w:spacing w:beforeLines="0" w:afterLines="0" w:line="312" w:lineRule="auto"/>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13.2.5 移交、接收全部与部分工程</w:t>
      </w:r>
    </w:p>
    <w:p w14:paraId="72AE2B2F">
      <w:pPr>
        <w:autoSpaceDE w:val="0"/>
        <w:autoSpaceDN w:val="0"/>
        <w:adjustRightInd w:val="0"/>
        <w:spacing w:beforeLines="0" w:afterLines="0" w:line="312" w:lineRule="auto"/>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除专用合同条款另有约定外，合同当事人应当在颁发工程接收证书后7天内完成工程的移交。</w:t>
      </w:r>
    </w:p>
    <w:p w14:paraId="060B8CB0">
      <w:pPr>
        <w:autoSpaceDE w:val="0"/>
        <w:autoSpaceDN w:val="0"/>
        <w:adjustRightInd w:val="0"/>
        <w:spacing w:beforeLines="0" w:afterLines="0" w:line="312" w:lineRule="auto"/>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发包人无正当理由不接收工程的，发包人自应当接收工程之日起，承担工程照管、成品保护、保管等与工程有关的各项费用，合同当事人可以在专用合同条款中另行约定发包人逾期接收工程的违约责任。</w:t>
      </w:r>
    </w:p>
    <w:p w14:paraId="568B31F9">
      <w:pPr>
        <w:autoSpaceDE w:val="0"/>
        <w:autoSpaceDN w:val="0"/>
        <w:adjustRightInd w:val="0"/>
        <w:spacing w:beforeLines="0" w:afterLines="0" w:line="312" w:lineRule="auto"/>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承包人无正当理由不移交工程的，承包人应承担工程照管、成品保护、保管等与工程有关的各项费用，合同当事人可以在专用合同条款中另行约定承包人无正当理由不移交工程的违约责任。</w:t>
      </w:r>
    </w:p>
    <w:p w14:paraId="59DC570C">
      <w:pPr>
        <w:pStyle w:val="8"/>
        <w:spacing w:before="120" w:beforeLines="0" w:after="120" w:afterLines="0" w:line="312" w:lineRule="auto"/>
        <w:ind w:firstLine="480" w:firstLineChars="200"/>
        <w:rPr>
          <w:rFonts w:hint="eastAsia" w:ascii="宋体" w:hAnsi="宋体" w:eastAsia="宋体" w:cs="宋体"/>
          <w:b w:val="0"/>
          <w:color w:val="auto"/>
          <w:sz w:val="24"/>
          <w:szCs w:val="24"/>
        </w:rPr>
      </w:pPr>
      <w:bookmarkStart w:id="462" w:name="_Toc351203589"/>
      <w:bookmarkStart w:id="463" w:name="_Toc337558807"/>
      <w:bookmarkStart w:id="464" w:name="_Toc296503111"/>
      <w:bookmarkStart w:id="465" w:name="_Toc296346612"/>
      <w:r>
        <w:rPr>
          <w:rFonts w:hint="eastAsia" w:ascii="宋体" w:hAnsi="宋体" w:eastAsia="宋体" w:cs="宋体"/>
          <w:b w:val="0"/>
          <w:color w:val="auto"/>
          <w:sz w:val="24"/>
          <w:szCs w:val="24"/>
        </w:rPr>
        <w:t>13.3工程试车</w:t>
      </w:r>
      <w:bookmarkEnd w:id="462"/>
    </w:p>
    <w:bookmarkEnd w:id="463"/>
    <w:bookmarkEnd w:id="464"/>
    <w:bookmarkEnd w:id="465"/>
    <w:p w14:paraId="368FC072">
      <w:pPr>
        <w:spacing w:beforeLines="0" w:afterLines="0" w:line="312" w:lineRule="auto"/>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13.3.1试车程序</w:t>
      </w:r>
    </w:p>
    <w:p w14:paraId="2E54D923">
      <w:pPr>
        <w:spacing w:beforeLines="0" w:afterLines="0" w:line="312" w:lineRule="auto"/>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工程需要试车的，除专用合同条款另有约定外，试车内容应与承包人承包范围相一致，试车费用由承包人承担。工程试车应按如下程序进行：</w:t>
      </w:r>
    </w:p>
    <w:p w14:paraId="4E7C1F91">
      <w:pPr>
        <w:spacing w:beforeLines="0" w:afterLines="0" w:line="312" w:lineRule="auto"/>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具备单机无负荷试车条件，承包人组织试车，并在试车前48小时书面通知监理人，通知中应载明试车内容、时间、地点。承包人准备试车记录，发包人根据承包人要求为试车提供必要条件。试车合格的，监理人在试车记录上签字。监理人在试车合格后不在试车记录上签字，自试车结束满24小时后视为监理人已经认可试车记录，承包人可继续施工或办理竣工验收手续。</w:t>
      </w:r>
    </w:p>
    <w:p w14:paraId="018B7493">
      <w:pPr>
        <w:spacing w:beforeLines="0" w:afterLines="0" w:line="312" w:lineRule="auto"/>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监理人不能按时参加试车，应在试车前24小时以书面形式向承包人提出延期要求，但延期不能超过48小时，由此导致工期延误的，工期应予以顺延。监理人未能在前述期限内提出延期要求，又不参加试车的，视为认可试车记录。</w:t>
      </w:r>
    </w:p>
    <w:p w14:paraId="7BC5BC1C">
      <w:pPr>
        <w:spacing w:beforeLines="0" w:afterLines="0" w:line="312" w:lineRule="auto"/>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2）具备无负荷联动试车条件，发包人组织试车，并在试车前48小时以书面形式通知承包人。通知中应载明试车内容、时间、地点和对承包人的要求，承包人按要求做好准备工作。试车合格，合同当事人在试车记录上签字。承包人无正当理由不参加试车的，视为认可试车记录。</w:t>
      </w:r>
    </w:p>
    <w:p w14:paraId="254AB994">
      <w:pPr>
        <w:spacing w:beforeLines="0" w:afterLines="0" w:line="312" w:lineRule="auto"/>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13.3.2 试车中的责任</w:t>
      </w:r>
    </w:p>
    <w:p w14:paraId="15F468F9">
      <w:pPr>
        <w:spacing w:beforeLines="0" w:afterLines="0" w:line="312" w:lineRule="auto"/>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因设计原因导致试车达不到验收要求，发包人应要求设计人修改设计，承包人按修改后的设计重新安装。发包人承担修改设计、拆除及重新安装的全部费用，工期相应顺延。因承包人原因导致试车达不到验收要求，承包人按监理人要求重新安装和试车，并承担重新安装和试车的费用，工期不予顺延。</w:t>
      </w:r>
    </w:p>
    <w:p w14:paraId="13DF604D">
      <w:pPr>
        <w:spacing w:beforeLines="0" w:afterLines="0" w:line="312" w:lineRule="auto"/>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因工程设备制造原因导致试车达不到验收要求的，由采购该工程设备的合同当事人负责重新购置或修理，承包人负责拆除和重新安装，由此增加的修理、重新购置、拆除及重新安装的费用及延误的工期由采购该工程设备的合同当事人承担。</w:t>
      </w:r>
    </w:p>
    <w:p w14:paraId="0E95F6A0">
      <w:pPr>
        <w:spacing w:beforeLines="0" w:afterLines="0" w:line="312" w:lineRule="auto"/>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13.3.3 投料试车</w:t>
      </w:r>
    </w:p>
    <w:p w14:paraId="33434A8D">
      <w:pPr>
        <w:spacing w:beforeLines="0" w:afterLines="0" w:line="312" w:lineRule="auto"/>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如需进行投料试车的，发包人应在工程竣工验收后组织投料试车。发包人要求在工程竣工验收前进行或需要承包人配合时，应征得承包人同意，并在专用合同条款中约定有关事项。</w:t>
      </w:r>
    </w:p>
    <w:p w14:paraId="28662F40">
      <w:pPr>
        <w:spacing w:beforeLines="0" w:afterLines="0" w:line="312" w:lineRule="auto"/>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投料试车合格的，费用由发包人承担；因承包人原因造成投料试车不合格的，承包人应按照发包人要求进行整改，由此产生的整改费用由承包人承担；非因承包人原因导致投料试车不合格的，如发包人要求承包人进行整改的，由此产生的费用由发包人承担。</w:t>
      </w:r>
    </w:p>
    <w:p w14:paraId="53518A78">
      <w:pPr>
        <w:pStyle w:val="8"/>
        <w:spacing w:before="120" w:beforeLines="0" w:after="120" w:afterLines="0" w:line="312" w:lineRule="auto"/>
        <w:rPr>
          <w:rFonts w:hint="eastAsia" w:ascii="宋体" w:hAnsi="宋体" w:eastAsia="宋体" w:cs="宋体"/>
          <w:b w:val="0"/>
          <w:color w:val="auto"/>
          <w:sz w:val="24"/>
          <w:szCs w:val="24"/>
        </w:rPr>
      </w:pPr>
      <w:bookmarkStart w:id="466" w:name="_Toc337558808"/>
      <w:r>
        <w:rPr>
          <w:rFonts w:hint="eastAsia" w:ascii="宋体" w:hAnsi="宋体" w:eastAsia="宋体" w:cs="宋体"/>
          <w:b w:val="0"/>
          <w:color w:val="auto"/>
          <w:sz w:val="24"/>
          <w:szCs w:val="24"/>
        </w:rPr>
        <w:t xml:space="preserve">    </w:t>
      </w:r>
      <w:bookmarkStart w:id="467" w:name="_Toc351203590"/>
      <w:r>
        <w:rPr>
          <w:rFonts w:hint="eastAsia" w:ascii="宋体" w:hAnsi="宋体" w:eastAsia="宋体" w:cs="宋体"/>
          <w:b w:val="0"/>
          <w:color w:val="auto"/>
          <w:sz w:val="24"/>
          <w:szCs w:val="24"/>
        </w:rPr>
        <w:t>13.4提前交付单位工程的验收</w:t>
      </w:r>
      <w:bookmarkEnd w:id="467"/>
    </w:p>
    <w:bookmarkEnd w:id="466"/>
    <w:p w14:paraId="68BD361B">
      <w:pPr>
        <w:spacing w:beforeLines="0" w:afterLines="0" w:line="312" w:lineRule="auto"/>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13.4.1 发包人需要在工程竣工前使用单位工程的，或承包人提出提前交付已经竣工的单位工程且经发包人同意的，可进行单位工程验收，验收的程序按照第13.2款〔竣工验收〕的约定进行。</w:t>
      </w:r>
    </w:p>
    <w:p w14:paraId="59B9C31D">
      <w:pPr>
        <w:spacing w:beforeLines="0" w:afterLines="0" w:line="312" w:lineRule="auto"/>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验收合格后，由监理人向承包人出具经发包人签认的单位工程接收证书。已签发单位工程接收证书的单位工程由发包人负责照管。单位工程的验收成果和结论作为整体工程竣工验收申请报告的附件。</w:t>
      </w:r>
    </w:p>
    <w:p w14:paraId="6D201B28">
      <w:pPr>
        <w:spacing w:beforeLines="0" w:afterLines="0" w:line="312" w:lineRule="auto"/>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13.4.2 发包人要求在工程竣工前交付单位工程，由此导致承包人费用增加和（或）工期延误的，由发包人承担由此增加的费用和（或）延误的工期，并支付承包人合理的利润。</w:t>
      </w:r>
    </w:p>
    <w:p w14:paraId="183C6E53">
      <w:pPr>
        <w:pStyle w:val="8"/>
        <w:spacing w:before="120" w:beforeLines="0" w:after="120" w:afterLines="0" w:line="312" w:lineRule="auto"/>
        <w:ind w:firstLine="480" w:firstLineChars="200"/>
        <w:rPr>
          <w:rFonts w:hint="eastAsia" w:ascii="宋体" w:hAnsi="宋体" w:eastAsia="宋体" w:cs="宋体"/>
          <w:b w:val="0"/>
          <w:color w:val="auto"/>
          <w:sz w:val="24"/>
          <w:szCs w:val="24"/>
        </w:rPr>
      </w:pPr>
      <w:bookmarkStart w:id="468" w:name="_Toc351203591"/>
      <w:r>
        <w:rPr>
          <w:rFonts w:hint="eastAsia" w:ascii="宋体" w:hAnsi="宋体" w:eastAsia="宋体" w:cs="宋体"/>
          <w:b w:val="0"/>
          <w:color w:val="auto"/>
          <w:sz w:val="24"/>
          <w:szCs w:val="24"/>
        </w:rPr>
        <w:t>13.5 施工期运行</w:t>
      </w:r>
      <w:bookmarkEnd w:id="468"/>
    </w:p>
    <w:p w14:paraId="26372567">
      <w:pPr>
        <w:spacing w:beforeLines="0" w:afterLines="0" w:line="312" w:lineRule="auto"/>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13.5.1 施工期运行是指合同工程尚未全部竣工，其中某项或某几项单位工程或工程设备安装已竣工，根据专用合同条款约定，需要投入施工期运行的，经发包人按第13.4款〔提前交付单位工程的验收〕的约定验收合格，证明能确保安全后，才能在施工期投入运行。</w:t>
      </w:r>
    </w:p>
    <w:p w14:paraId="2CC5D1FC">
      <w:pPr>
        <w:spacing w:beforeLines="0" w:afterLines="0" w:line="312" w:lineRule="auto"/>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13.5.2 在施工期运行中发现工程或工程设备损坏或存在缺陷的，由承包人按第15.2款〔缺陷责任期〕约定进行修复。</w:t>
      </w:r>
    </w:p>
    <w:p w14:paraId="67BCE21C">
      <w:pPr>
        <w:pStyle w:val="8"/>
        <w:spacing w:before="120" w:beforeLines="0" w:after="120" w:afterLines="0" w:line="312" w:lineRule="auto"/>
        <w:ind w:firstLine="480" w:firstLineChars="200"/>
        <w:rPr>
          <w:rFonts w:hint="eastAsia" w:ascii="宋体" w:hAnsi="宋体" w:eastAsia="宋体" w:cs="宋体"/>
          <w:b w:val="0"/>
          <w:color w:val="auto"/>
          <w:sz w:val="24"/>
          <w:szCs w:val="24"/>
        </w:rPr>
      </w:pPr>
      <w:bookmarkStart w:id="469" w:name="_Toc296346613"/>
      <w:bookmarkStart w:id="470" w:name="_Toc296503112"/>
      <w:bookmarkStart w:id="471" w:name="_Toc351203592"/>
      <w:bookmarkStart w:id="472" w:name="_Toc337558809"/>
      <w:r>
        <w:rPr>
          <w:rFonts w:hint="eastAsia" w:ascii="宋体" w:hAnsi="宋体" w:eastAsia="宋体" w:cs="宋体"/>
          <w:b w:val="0"/>
          <w:color w:val="auto"/>
          <w:sz w:val="24"/>
          <w:szCs w:val="24"/>
        </w:rPr>
        <w:t>13.6 竣工退</w:t>
      </w:r>
      <w:bookmarkEnd w:id="469"/>
      <w:bookmarkEnd w:id="470"/>
      <w:r>
        <w:rPr>
          <w:rFonts w:hint="eastAsia" w:ascii="宋体" w:hAnsi="宋体" w:eastAsia="宋体" w:cs="宋体"/>
          <w:b w:val="0"/>
          <w:color w:val="auto"/>
          <w:sz w:val="24"/>
          <w:szCs w:val="24"/>
        </w:rPr>
        <w:t>场</w:t>
      </w:r>
      <w:bookmarkEnd w:id="471"/>
    </w:p>
    <w:bookmarkEnd w:id="472"/>
    <w:p w14:paraId="49B38592">
      <w:pPr>
        <w:spacing w:beforeLines="0" w:afterLines="0" w:line="312" w:lineRule="auto"/>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13.6.1 竣工退场</w:t>
      </w:r>
    </w:p>
    <w:p w14:paraId="6D1AACD4">
      <w:pPr>
        <w:spacing w:beforeLines="0" w:afterLines="0" w:line="312" w:lineRule="auto"/>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颁发工程接收证书后，承包人应按以下要求对施工现场进行清理：</w:t>
      </w:r>
    </w:p>
    <w:p w14:paraId="2F4C4B56">
      <w:pPr>
        <w:spacing w:beforeLines="0" w:afterLines="0" w:line="312" w:lineRule="auto"/>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（1）施工现场内残留的垃圾已全部清除出场；</w:t>
      </w:r>
    </w:p>
    <w:p w14:paraId="2AE291C9">
      <w:pPr>
        <w:spacing w:beforeLines="0" w:afterLines="0" w:line="312" w:lineRule="auto"/>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（2）临时工程已拆除，场地已进行清理、平整或复原；</w:t>
      </w:r>
    </w:p>
    <w:p w14:paraId="45EFC220">
      <w:pPr>
        <w:spacing w:beforeLines="0" w:afterLines="0" w:line="312" w:lineRule="auto"/>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（3）按合同约定应撤离的人员、承包人施工设备和剩余的材料，包括废弃的施工设备和材料，已按计划撤离施工现场；</w:t>
      </w:r>
    </w:p>
    <w:p w14:paraId="25E36D2D">
      <w:pPr>
        <w:spacing w:beforeLines="0" w:afterLines="0" w:line="312" w:lineRule="auto"/>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（4）施工现场周边及其附近道路、河道的施工堆积物，已全部清理；</w:t>
      </w:r>
    </w:p>
    <w:p w14:paraId="7CFCF487">
      <w:pPr>
        <w:spacing w:beforeLines="0" w:afterLines="0" w:line="312" w:lineRule="auto"/>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（5）施工现场其他场地清理工作已全部完成。</w:t>
      </w:r>
    </w:p>
    <w:p w14:paraId="7D9705C7">
      <w:pPr>
        <w:spacing w:beforeLines="0" w:afterLines="0" w:line="312" w:lineRule="auto"/>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施工现场的竣工退场费用由承包人承担。承包人应在专用合同条款约定的期限内完成竣工退场，逾期未完成的，发包人有权出售或另行处理承包人遗留的物品，由此支出的费用由承包人承担，发包人出售承包人遗留物品所得款项在扣除必要费用后应返还承包人。</w:t>
      </w:r>
    </w:p>
    <w:p w14:paraId="14E0A8FE">
      <w:pPr>
        <w:spacing w:beforeLines="0" w:afterLines="0" w:line="312" w:lineRule="auto"/>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13.6.2 地表还原</w:t>
      </w:r>
    </w:p>
    <w:p w14:paraId="3D80FDEE">
      <w:pPr>
        <w:spacing w:beforeLines="0" w:afterLines="0" w:line="312" w:lineRule="auto"/>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承包人应按发包人要求恢复临时占地及清理场地，承包人未按发包人的要求恢复临时占地，或者场地清理未达到合同约定要求的，发包人有权委托其他人恢复或清理，所发生的费用由承包人承担。</w:t>
      </w:r>
    </w:p>
    <w:p w14:paraId="14A08C0B">
      <w:pPr>
        <w:pStyle w:val="7"/>
        <w:spacing w:before="120" w:beforeLines="0" w:after="120" w:afterLines="0" w:line="312" w:lineRule="auto"/>
        <w:rPr>
          <w:rFonts w:hint="eastAsia" w:ascii="宋体" w:hAnsi="宋体" w:eastAsia="宋体" w:cs="宋体"/>
          <w:b w:val="0"/>
          <w:color w:val="auto"/>
          <w:sz w:val="24"/>
          <w:szCs w:val="24"/>
        </w:rPr>
      </w:pPr>
      <w:bookmarkStart w:id="473" w:name="_Toc351203593"/>
      <w:bookmarkStart w:id="474" w:name="_Toc337558810"/>
      <w:bookmarkStart w:id="475" w:name="_Toc296503113"/>
      <w:bookmarkStart w:id="476" w:name="_Toc296346614"/>
      <w:r>
        <w:rPr>
          <w:rFonts w:hint="eastAsia" w:ascii="宋体" w:hAnsi="宋体" w:eastAsia="宋体" w:cs="宋体"/>
          <w:b w:val="0"/>
          <w:color w:val="auto"/>
          <w:sz w:val="24"/>
          <w:szCs w:val="24"/>
        </w:rPr>
        <w:t>14. 竣工结算</w:t>
      </w:r>
      <w:bookmarkEnd w:id="473"/>
    </w:p>
    <w:bookmarkEnd w:id="474"/>
    <w:p w14:paraId="159CD447">
      <w:pPr>
        <w:pStyle w:val="8"/>
        <w:spacing w:before="120" w:beforeLines="0" w:after="120" w:afterLines="0" w:line="312" w:lineRule="auto"/>
        <w:ind w:firstLine="480" w:firstLineChars="200"/>
        <w:rPr>
          <w:rFonts w:hint="eastAsia" w:ascii="宋体" w:hAnsi="宋体" w:eastAsia="宋体" w:cs="宋体"/>
          <w:b w:val="0"/>
          <w:color w:val="auto"/>
          <w:sz w:val="24"/>
          <w:szCs w:val="24"/>
        </w:rPr>
      </w:pPr>
      <w:bookmarkStart w:id="477" w:name="_Toc351203594"/>
      <w:bookmarkStart w:id="478" w:name="_Toc337558811"/>
      <w:r>
        <w:rPr>
          <w:rFonts w:hint="eastAsia" w:ascii="宋体" w:hAnsi="宋体" w:eastAsia="宋体" w:cs="宋体"/>
          <w:b w:val="0"/>
          <w:color w:val="auto"/>
          <w:sz w:val="24"/>
          <w:szCs w:val="24"/>
        </w:rPr>
        <w:t>14.1 竣工结算申请</w:t>
      </w:r>
      <w:bookmarkEnd w:id="477"/>
    </w:p>
    <w:bookmarkEnd w:id="478"/>
    <w:p w14:paraId="4439A820">
      <w:pPr>
        <w:autoSpaceDE w:val="0"/>
        <w:autoSpaceDN w:val="0"/>
        <w:adjustRightInd w:val="0"/>
        <w:spacing w:beforeLines="0" w:afterLines="0" w:line="312"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kern w:val="0"/>
          <w:sz w:val="24"/>
          <w:szCs w:val="24"/>
        </w:rPr>
        <w:t>除专用合同条款另有约定外，</w:t>
      </w:r>
      <w:r>
        <w:rPr>
          <w:rFonts w:hint="eastAsia" w:ascii="宋体" w:hAnsi="宋体" w:eastAsia="宋体" w:cs="宋体"/>
          <w:color w:val="auto"/>
          <w:sz w:val="24"/>
          <w:szCs w:val="24"/>
        </w:rPr>
        <w:t>承包人应在工程竣工验收合格后28天内向发包人和监理人提交竣工结算申请单，并提交完整的结算资料，有关竣工结算申请单的资料清单和份数等要求由合同当事人在专用合同条款中约定。</w:t>
      </w:r>
    </w:p>
    <w:p w14:paraId="63FD50F9">
      <w:pPr>
        <w:autoSpaceDE w:val="0"/>
        <w:autoSpaceDN w:val="0"/>
        <w:adjustRightInd w:val="0"/>
        <w:spacing w:beforeLines="0" w:afterLines="0" w:line="312"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除专用合同条款另有约定外，竣工结算申请单应包括以下内容：</w:t>
      </w:r>
    </w:p>
    <w:p w14:paraId="1507891F">
      <w:pPr>
        <w:autoSpaceDE w:val="0"/>
        <w:autoSpaceDN w:val="0"/>
        <w:adjustRightInd w:val="0"/>
        <w:spacing w:beforeLines="0" w:afterLines="0" w:line="312"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（1）竣工结算合同价格；</w:t>
      </w:r>
    </w:p>
    <w:p w14:paraId="7F1E2B62">
      <w:pPr>
        <w:autoSpaceDE w:val="0"/>
        <w:autoSpaceDN w:val="0"/>
        <w:adjustRightInd w:val="0"/>
        <w:spacing w:beforeLines="0" w:afterLines="0" w:line="312"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（2）发包人已支付承包人的款项；</w:t>
      </w:r>
    </w:p>
    <w:p w14:paraId="65FBFF37">
      <w:pPr>
        <w:autoSpaceDE w:val="0"/>
        <w:autoSpaceDN w:val="0"/>
        <w:adjustRightInd w:val="0"/>
        <w:spacing w:beforeLines="0" w:afterLines="0" w:line="312"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 xml:space="preserve">（3）应扣留的质量保证金； </w:t>
      </w:r>
    </w:p>
    <w:p w14:paraId="0E25FF11">
      <w:pPr>
        <w:autoSpaceDE w:val="0"/>
        <w:autoSpaceDN w:val="0"/>
        <w:adjustRightInd w:val="0"/>
        <w:spacing w:beforeLines="0" w:afterLines="0" w:line="312"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（4）发包人应支付承包人的合同价款。</w:t>
      </w:r>
    </w:p>
    <w:p w14:paraId="6451E678">
      <w:pPr>
        <w:pStyle w:val="8"/>
        <w:spacing w:before="120" w:beforeLines="0" w:after="120" w:afterLines="0" w:line="312" w:lineRule="auto"/>
        <w:ind w:firstLine="480" w:firstLineChars="200"/>
        <w:rPr>
          <w:rFonts w:hint="eastAsia" w:ascii="宋体" w:hAnsi="宋体" w:eastAsia="宋体" w:cs="宋体"/>
          <w:b w:val="0"/>
          <w:color w:val="auto"/>
          <w:sz w:val="24"/>
          <w:szCs w:val="24"/>
        </w:rPr>
      </w:pPr>
      <w:bookmarkStart w:id="479" w:name="_Toc351203595"/>
      <w:bookmarkStart w:id="480" w:name="_Toc337558812"/>
      <w:r>
        <w:rPr>
          <w:rFonts w:hint="eastAsia" w:ascii="宋体" w:hAnsi="宋体" w:eastAsia="宋体" w:cs="宋体"/>
          <w:b w:val="0"/>
          <w:color w:val="auto"/>
          <w:sz w:val="24"/>
          <w:szCs w:val="24"/>
        </w:rPr>
        <w:t>14.2 竣工结算审核</w:t>
      </w:r>
      <w:bookmarkEnd w:id="479"/>
    </w:p>
    <w:bookmarkEnd w:id="480"/>
    <w:p w14:paraId="532B4BF6">
      <w:pPr>
        <w:autoSpaceDE w:val="0"/>
        <w:autoSpaceDN w:val="0"/>
        <w:adjustRightInd w:val="0"/>
        <w:spacing w:beforeLines="0" w:afterLines="0" w:line="312" w:lineRule="auto"/>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除专用合同条款另有约定外，监理人应在收到竣工结算申请单后14天内完成核查并报送发包人。发包人应在收到监理人提交的经审核的竣工结算申请单后14天内完成审批，并由监理人向承包人签发经发包人签认的竣工付款证书。监理人或</w:t>
      </w:r>
      <w:r>
        <w:rPr>
          <w:rFonts w:hint="eastAsia" w:ascii="宋体" w:hAnsi="宋体" w:eastAsia="宋体" w:cs="宋体"/>
          <w:color w:val="auto"/>
          <w:sz w:val="24"/>
          <w:szCs w:val="24"/>
        </w:rPr>
        <w:t>发包人对竣工</w:t>
      </w:r>
      <w:r>
        <w:rPr>
          <w:rFonts w:hint="eastAsia" w:ascii="宋体" w:hAnsi="宋体" w:eastAsia="宋体" w:cs="宋体"/>
          <w:color w:val="auto"/>
          <w:kern w:val="0"/>
          <w:sz w:val="24"/>
          <w:szCs w:val="24"/>
        </w:rPr>
        <w:t>结算</w:t>
      </w:r>
      <w:r>
        <w:rPr>
          <w:rFonts w:hint="eastAsia" w:ascii="宋体" w:hAnsi="宋体" w:eastAsia="宋体" w:cs="宋体"/>
          <w:color w:val="auto"/>
          <w:sz w:val="24"/>
          <w:szCs w:val="24"/>
        </w:rPr>
        <w:t>申请单有异议的，有权要求承包人进行修正和提供补充资料，承包人应提交修正后的竣工</w:t>
      </w:r>
      <w:r>
        <w:rPr>
          <w:rFonts w:hint="eastAsia" w:ascii="宋体" w:hAnsi="宋体" w:eastAsia="宋体" w:cs="宋体"/>
          <w:color w:val="auto"/>
          <w:kern w:val="0"/>
          <w:sz w:val="24"/>
          <w:szCs w:val="24"/>
        </w:rPr>
        <w:t>结算</w:t>
      </w:r>
      <w:r>
        <w:rPr>
          <w:rFonts w:hint="eastAsia" w:ascii="宋体" w:hAnsi="宋体" w:eastAsia="宋体" w:cs="宋体"/>
          <w:color w:val="auto"/>
          <w:sz w:val="24"/>
          <w:szCs w:val="24"/>
        </w:rPr>
        <w:t>申请单。</w:t>
      </w:r>
    </w:p>
    <w:p w14:paraId="2B0453CD">
      <w:pPr>
        <w:autoSpaceDE w:val="0"/>
        <w:autoSpaceDN w:val="0"/>
        <w:adjustRightInd w:val="0"/>
        <w:spacing w:beforeLines="0" w:afterLines="0" w:line="312" w:lineRule="auto"/>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发包人在收到承包人提交竣工结算申请书后28天内未完成审批且未提出异议的，视为发包人认可承包人提交的竣工结算申请单，并自发包人收到承包人提交的竣工结算申请单后第29天起视为已签发竣工付款证书。</w:t>
      </w:r>
    </w:p>
    <w:p w14:paraId="4A812DE9">
      <w:pPr>
        <w:autoSpaceDE w:val="0"/>
        <w:autoSpaceDN w:val="0"/>
        <w:adjustRightInd w:val="0"/>
        <w:spacing w:beforeLines="0" w:afterLines="0" w:line="312" w:lineRule="auto"/>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（2）除专用合同条款另有约定外，发包人应在签发竣工付款证书后的14 天内，完成对承包人的竣工付款。发包人逾期支付的，按照中国人民银行发布的同期同类贷款基准利率支付违约金；逾期支付超过56天的，按照中国人民银行发布的同期同类贷款基准利率的两倍支付违约金。</w:t>
      </w:r>
    </w:p>
    <w:p w14:paraId="4917D7A5">
      <w:pPr>
        <w:autoSpaceDE w:val="0"/>
        <w:autoSpaceDN w:val="0"/>
        <w:adjustRightInd w:val="0"/>
        <w:spacing w:beforeLines="0" w:afterLines="0" w:line="312" w:lineRule="auto"/>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3）承包人对发包人签认的竣工付款证书有异议的，对于有异议部分应在收到发包人签认的竣工付款证书后7天内提出异议，并由合同当事人按照专用合同条款约定的方式和程序进行复核，或按照第20条〔争议解决〕约定处理。对于无异议部分，发包人应签发临时竣工付款证书，并按本款第（2）项完成付款。承包人逾期未提出异议的，视为认可发包人的审批结果。</w:t>
      </w:r>
    </w:p>
    <w:p w14:paraId="007AB6E2">
      <w:pPr>
        <w:pStyle w:val="8"/>
        <w:spacing w:before="120" w:beforeLines="0" w:after="120" w:afterLines="0" w:line="312" w:lineRule="auto"/>
        <w:ind w:firstLine="480" w:firstLineChars="200"/>
        <w:rPr>
          <w:rFonts w:hint="eastAsia" w:ascii="宋体" w:hAnsi="宋体" w:eastAsia="宋体" w:cs="宋体"/>
          <w:b w:val="0"/>
          <w:color w:val="auto"/>
          <w:sz w:val="24"/>
          <w:szCs w:val="24"/>
        </w:rPr>
      </w:pPr>
      <w:bookmarkStart w:id="481" w:name="_Toc351203596"/>
      <w:bookmarkStart w:id="482" w:name="_Toc337558813"/>
      <w:r>
        <w:rPr>
          <w:rFonts w:hint="eastAsia" w:ascii="宋体" w:hAnsi="宋体" w:eastAsia="宋体" w:cs="宋体"/>
          <w:b w:val="0"/>
          <w:color w:val="auto"/>
          <w:sz w:val="24"/>
          <w:szCs w:val="24"/>
        </w:rPr>
        <w:t>14.3 甩项竣工协议</w:t>
      </w:r>
      <w:bookmarkEnd w:id="481"/>
    </w:p>
    <w:bookmarkEnd w:id="482"/>
    <w:p w14:paraId="0351E2FA">
      <w:pPr>
        <w:autoSpaceDE w:val="0"/>
        <w:autoSpaceDN w:val="0"/>
        <w:adjustRightInd w:val="0"/>
        <w:spacing w:beforeLines="0" w:afterLines="0" w:line="312" w:lineRule="auto"/>
        <w:ind w:firstLine="470" w:firstLineChars="196"/>
        <w:jc w:val="left"/>
        <w:rPr>
          <w:rFonts w:hint="eastAsia" w:ascii="宋体" w:hAnsi="宋体" w:eastAsia="宋体" w:cs="宋体"/>
          <w:color w:val="auto"/>
          <w:kern w:val="0"/>
          <w:sz w:val="24"/>
          <w:szCs w:val="24"/>
        </w:rPr>
      </w:pPr>
      <w:r>
        <w:rPr>
          <w:rFonts w:hint="eastAsia" w:ascii="宋体" w:hAnsi="宋体" w:eastAsia="宋体" w:cs="宋体"/>
          <w:color w:val="auto"/>
          <w:sz w:val="24"/>
          <w:szCs w:val="24"/>
        </w:rPr>
        <w:t>发包人要求甩项竣工的，合同当事人应签订甩项竣工协议。在甩项竣工协议中应明确，合同当事人按照第14.1款〔竣工结算申请〕及14.2款〔竣工结算审核〕的约定，对已完合格工程进行结算，并支付相应合同价款。</w:t>
      </w:r>
    </w:p>
    <w:p w14:paraId="22EB8B79">
      <w:pPr>
        <w:pStyle w:val="8"/>
        <w:spacing w:before="120" w:beforeLines="0" w:after="120" w:afterLines="0" w:line="312" w:lineRule="auto"/>
        <w:ind w:firstLine="480" w:firstLineChars="200"/>
        <w:rPr>
          <w:rFonts w:hint="eastAsia" w:ascii="宋体" w:hAnsi="宋体" w:eastAsia="宋体" w:cs="宋体"/>
          <w:b w:val="0"/>
          <w:color w:val="auto"/>
          <w:sz w:val="24"/>
          <w:szCs w:val="24"/>
        </w:rPr>
      </w:pPr>
      <w:bookmarkStart w:id="483" w:name="_Toc351203597"/>
      <w:bookmarkStart w:id="484" w:name="_Toc337558814"/>
      <w:r>
        <w:rPr>
          <w:rFonts w:hint="eastAsia" w:ascii="宋体" w:hAnsi="宋体" w:eastAsia="宋体" w:cs="宋体"/>
          <w:b w:val="0"/>
          <w:color w:val="auto"/>
          <w:sz w:val="24"/>
          <w:szCs w:val="24"/>
        </w:rPr>
        <w:t>14.4 最终结清</w:t>
      </w:r>
      <w:bookmarkEnd w:id="483"/>
    </w:p>
    <w:bookmarkEnd w:id="484"/>
    <w:p w14:paraId="3BFC9BA4">
      <w:pPr>
        <w:autoSpaceDE w:val="0"/>
        <w:autoSpaceDN w:val="0"/>
        <w:adjustRightInd w:val="0"/>
        <w:spacing w:beforeLines="0" w:afterLines="0" w:line="312" w:lineRule="auto"/>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14.4.1 最终结清申请单</w:t>
      </w:r>
    </w:p>
    <w:p w14:paraId="16E59A42">
      <w:pPr>
        <w:autoSpaceDE w:val="0"/>
        <w:autoSpaceDN w:val="0"/>
        <w:adjustRightInd w:val="0"/>
        <w:spacing w:beforeLines="0" w:afterLines="0" w:line="312" w:lineRule="auto"/>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（1）除专用合同条款另有约定外，承包人应在缺陷责任期终止证书颁发后7天内，按专用合同条款约定的份数向发包人提交最终结清申请单，并提供相关证明材料。</w:t>
      </w:r>
    </w:p>
    <w:p w14:paraId="1F0DFAB7">
      <w:pPr>
        <w:autoSpaceDE w:val="0"/>
        <w:autoSpaceDN w:val="0"/>
        <w:adjustRightInd w:val="0"/>
        <w:spacing w:beforeLines="0" w:afterLines="0" w:line="312"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除专用合同条款另有约定外，</w:t>
      </w:r>
      <w:r>
        <w:rPr>
          <w:rFonts w:hint="eastAsia" w:ascii="宋体" w:hAnsi="宋体" w:eastAsia="宋体" w:cs="宋体"/>
          <w:color w:val="auto"/>
          <w:kern w:val="0"/>
          <w:sz w:val="24"/>
          <w:szCs w:val="24"/>
        </w:rPr>
        <w:t>最终结清申请单</w:t>
      </w:r>
      <w:r>
        <w:rPr>
          <w:rFonts w:hint="eastAsia" w:ascii="宋体" w:hAnsi="宋体" w:eastAsia="宋体" w:cs="宋体"/>
          <w:color w:val="auto"/>
          <w:sz w:val="24"/>
          <w:szCs w:val="24"/>
        </w:rPr>
        <w:t>应列明质量保证金、应扣除的质量保证金、缺陷责任期内发生的增减费用。</w:t>
      </w:r>
    </w:p>
    <w:p w14:paraId="68BD8826">
      <w:pPr>
        <w:autoSpaceDE w:val="0"/>
        <w:autoSpaceDN w:val="0"/>
        <w:adjustRightInd w:val="0"/>
        <w:spacing w:beforeLines="0" w:afterLines="0" w:line="312" w:lineRule="auto"/>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（2）发包人对最终结清申请单内容有异议的，有权要求承包人进行修正和提供补充资料，承包人应向发包人提交修正后的最终结清申请单。</w:t>
      </w:r>
    </w:p>
    <w:p w14:paraId="57CC889B">
      <w:pPr>
        <w:autoSpaceDE w:val="0"/>
        <w:autoSpaceDN w:val="0"/>
        <w:adjustRightInd w:val="0"/>
        <w:spacing w:beforeLines="0" w:afterLines="0" w:line="312" w:lineRule="auto"/>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14.4.2 最终结清证书和支付</w:t>
      </w:r>
    </w:p>
    <w:p w14:paraId="778AE230">
      <w:pPr>
        <w:autoSpaceDE w:val="0"/>
        <w:autoSpaceDN w:val="0"/>
        <w:adjustRightInd w:val="0"/>
        <w:spacing w:beforeLines="0" w:afterLines="0" w:line="312" w:lineRule="auto"/>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除专用合同条款另有约定外，发包人应在收到承包人提交的最终结清申请单后14天内完成审批并向承包人颁发最终结清证书。发包人逾期未完成审批，又未提出修改意见的，视为发包人同意承包人提交的最终结清申请单，且自发包人收到承包人提交的最终结清申请单后15天起视为已颁发最终结清证书。</w:t>
      </w:r>
    </w:p>
    <w:p w14:paraId="525C49D1">
      <w:pPr>
        <w:autoSpaceDE w:val="0"/>
        <w:autoSpaceDN w:val="0"/>
        <w:adjustRightInd w:val="0"/>
        <w:spacing w:beforeLines="0" w:afterLines="0" w:line="312" w:lineRule="auto"/>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2）除专用合同条款另有约定外，发包人应在颁发最终结清证书后7天内完成支付。发包人逾期支付的，按照中国人民银行发布的同期同类贷款基准利率支付违约金；逾期支付超过56天的，按照中国人民银行发布的同期同类贷款基准利率的两倍支付违约金。</w:t>
      </w:r>
    </w:p>
    <w:p w14:paraId="158005FF">
      <w:pPr>
        <w:autoSpaceDE w:val="0"/>
        <w:autoSpaceDN w:val="0"/>
        <w:adjustRightInd w:val="0"/>
        <w:spacing w:beforeLines="0" w:afterLines="0" w:line="312" w:lineRule="auto"/>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（3）承包人对发包人颁发的最终结清证书有异议的，按第20条〔争议解决〕的约定办理。</w:t>
      </w:r>
    </w:p>
    <w:p w14:paraId="751EA181">
      <w:pPr>
        <w:pStyle w:val="7"/>
        <w:spacing w:before="120" w:beforeLines="0" w:after="120" w:afterLines="0" w:line="312" w:lineRule="auto"/>
        <w:rPr>
          <w:rFonts w:hint="eastAsia" w:ascii="宋体" w:hAnsi="宋体" w:eastAsia="宋体" w:cs="宋体"/>
          <w:b w:val="0"/>
          <w:color w:val="auto"/>
          <w:sz w:val="24"/>
          <w:szCs w:val="24"/>
        </w:rPr>
      </w:pPr>
      <w:bookmarkStart w:id="485" w:name="_Toc351203598"/>
      <w:bookmarkStart w:id="486" w:name="_Toc337558815"/>
      <w:r>
        <w:rPr>
          <w:rFonts w:hint="eastAsia" w:ascii="宋体" w:hAnsi="宋体" w:eastAsia="宋体" w:cs="宋体"/>
          <w:b w:val="0"/>
          <w:color w:val="auto"/>
          <w:sz w:val="24"/>
          <w:szCs w:val="24"/>
        </w:rPr>
        <w:t>15. 缺陷责任与保修</w:t>
      </w:r>
      <w:bookmarkEnd w:id="485"/>
    </w:p>
    <w:bookmarkEnd w:id="475"/>
    <w:bookmarkEnd w:id="476"/>
    <w:bookmarkEnd w:id="486"/>
    <w:p w14:paraId="3E595ABC">
      <w:pPr>
        <w:pStyle w:val="8"/>
        <w:spacing w:before="120" w:beforeLines="0" w:after="120" w:afterLines="0" w:line="312" w:lineRule="auto"/>
        <w:ind w:firstLine="480" w:firstLineChars="200"/>
        <w:rPr>
          <w:rFonts w:hint="eastAsia" w:ascii="宋体" w:hAnsi="宋体" w:eastAsia="宋体" w:cs="宋体"/>
          <w:b w:val="0"/>
          <w:color w:val="auto"/>
          <w:sz w:val="24"/>
          <w:szCs w:val="24"/>
        </w:rPr>
      </w:pPr>
      <w:bookmarkStart w:id="487" w:name="_Toc351203599"/>
      <w:bookmarkStart w:id="488" w:name="_Toc337558816"/>
      <w:bookmarkStart w:id="489" w:name="_Toc296346615"/>
      <w:bookmarkStart w:id="490" w:name="_Toc296503114"/>
      <w:r>
        <w:rPr>
          <w:rFonts w:hint="eastAsia" w:ascii="宋体" w:hAnsi="宋体" w:eastAsia="宋体" w:cs="宋体"/>
          <w:b w:val="0"/>
          <w:color w:val="auto"/>
          <w:sz w:val="24"/>
          <w:szCs w:val="24"/>
        </w:rPr>
        <w:t>15.1 工程保修的原则</w:t>
      </w:r>
      <w:bookmarkEnd w:id="487"/>
    </w:p>
    <w:bookmarkEnd w:id="488"/>
    <w:p w14:paraId="40A4745A">
      <w:pPr>
        <w:autoSpaceDE w:val="0"/>
        <w:autoSpaceDN w:val="0"/>
        <w:adjustRightInd w:val="0"/>
        <w:spacing w:beforeLines="0" w:afterLines="0" w:line="312" w:lineRule="auto"/>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在工程移交发包人后，因承包人原因产生的质量缺陷，承包人应承担质量缺陷责任和保修义务。缺陷责任期届满，承包人仍应按合同约定的工程各部位保修年限承担保修义务。</w:t>
      </w:r>
    </w:p>
    <w:p w14:paraId="703B495A">
      <w:pPr>
        <w:pStyle w:val="8"/>
        <w:spacing w:before="120" w:beforeLines="0" w:after="120" w:afterLines="0" w:line="312" w:lineRule="auto"/>
        <w:ind w:firstLine="480" w:firstLineChars="200"/>
        <w:rPr>
          <w:rFonts w:hint="eastAsia" w:ascii="宋体" w:hAnsi="宋体" w:eastAsia="宋体" w:cs="宋体"/>
          <w:b w:val="0"/>
          <w:color w:val="auto"/>
          <w:sz w:val="24"/>
          <w:szCs w:val="24"/>
        </w:rPr>
      </w:pPr>
      <w:bookmarkStart w:id="491" w:name="_Toc351203600"/>
      <w:bookmarkStart w:id="492" w:name="_Toc337558817"/>
      <w:r>
        <w:rPr>
          <w:rFonts w:hint="eastAsia" w:ascii="宋体" w:hAnsi="宋体" w:eastAsia="宋体" w:cs="宋体"/>
          <w:b w:val="0"/>
          <w:color w:val="auto"/>
          <w:sz w:val="24"/>
          <w:szCs w:val="24"/>
        </w:rPr>
        <w:t>15.2 缺陷责任期</w:t>
      </w:r>
      <w:bookmarkEnd w:id="489"/>
      <w:bookmarkEnd w:id="490"/>
      <w:bookmarkEnd w:id="491"/>
    </w:p>
    <w:bookmarkEnd w:id="492"/>
    <w:p w14:paraId="433C4796">
      <w:pPr>
        <w:autoSpaceDE w:val="0"/>
        <w:autoSpaceDN w:val="0"/>
        <w:adjustRightInd w:val="0"/>
        <w:spacing w:beforeLines="0" w:afterLines="0" w:line="312" w:lineRule="auto"/>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15.2.1 缺陷责任期自实际竣工日期起计算，合同当事人应在专用合同条款约定缺陷责任期的具体期限，但该期限最长不超过24个月。</w:t>
      </w:r>
    </w:p>
    <w:p w14:paraId="0D05B44D">
      <w:pPr>
        <w:autoSpaceDE w:val="0"/>
        <w:autoSpaceDN w:val="0"/>
        <w:adjustRightInd w:val="0"/>
        <w:spacing w:beforeLines="0" w:afterLines="0" w:line="312" w:lineRule="auto"/>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单位工程先于全部工程进行验收，经验收合格并交付使用的，该单位工程缺陷责任期自单位工程验收合格之日起算。因发包人原因导致工程无法按合同约定期限进行竣工验收的，缺陷责任期自承包人提交竣工验收申请报告之日起开始计算；发包人未经竣工验收擅自使用工程的，缺陷责任期自工程转移占有之日起开始计算。</w:t>
      </w:r>
    </w:p>
    <w:p w14:paraId="36253C1C">
      <w:pPr>
        <w:autoSpaceDE w:val="0"/>
        <w:autoSpaceDN w:val="0"/>
        <w:adjustRightInd w:val="0"/>
        <w:spacing w:beforeLines="0" w:afterLines="0" w:line="312" w:lineRule="auto"/>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15.2.2 工程竣工验收合格后，因承包人原因导致的缺陷或损坏致使工程、单位工程或某项主要设备不能按原定目的使用的，则发包人有权要求承</w:t>
      </w:r>
      <w:r>
        <w:rPr>
          <w:rFonts w:hint="eastAsia" w:ascii="宋体" w:hAnsi="宋体" w:eastAsia="宋体" w:cs="宋体"/>
          <w:color w:val="auto"/>
          <w:sz w:val="24"/>
          <w:szCs w:val="24"/>
        </w:rPr>
        <w:t>包人延长缺陷责任期，</w:t>
      </w:r>
      <w:r>
        <w:rPr>
          <w:rFonts w:hint="eastAsia" w:ascii="宋体" w:hAnsi="宋体" w:eastAsia="宋体" w:cs="宋体"/>
          <w:color w:val="auto"/>
          <w:kern w:val="0"/>
          <w:sz w:val="24"/>
          <w:szCs w:val="24"/>
        </w:rPr>
        <w:t>并应在原缺陷责任期届满前发出延长通知，</w:t>
      </w:r>
      <w:r>
        <w:rPr>
          <w:rFonts w:hint="eastAsia" w:ascii="宋体" w:hAnsi="宋体" w:eastAsia="宋体" w:cs="宋体"/>
          <w:color w:val="auto"/>
          <w:sz w:val="24"/>
          <w:szCs w:val="24"/>
        </w:rPr>
        <w:t>但缺陷责任期最长</w:t>
      </w:r>
      <w:r>
        <w:rPr>
          <w:rFonts w:hint="eastAsia" w:ascii="宋体" w:hAnsi="宋体" w:eastAsia="宋体" w:cs="宋体"/>
          <w:color w:val="auto"/>
          <w:kern w:val="0"/>
          <w:sz w:val="24"/>
          <w:szCs w:val="24"/>
        </w:rPr>
        <w:t>不能超过24个月。</w:t>
      </w:r>
    </w:p>
    <w:p w14:paraId="219F3C56">
      <w:pPr>
        <w:autoSpaceDE w:val="0"/>
        <w:autoSpaceDN w:val="0"/>
        <w:adjustRightInd w:val="0"/>
        <w:spacing w:beforeLines="0" w:afterLines="0" w:line="312" w:lineRule="auto"/>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15.2.3 任何一项缺陷或损坏修复后，经检查证明其影响了工程或工程设备的使用性能，承包人应重新进行合同约定的试验和试运行，试验和试运行的全部费用应由责任方承担。</w:t>
      </w:r>
    </w:p>
    <w:p w14:paraId="613A5D93">
      <w:pPr>
        <w:autoSpaceDE w:val="0"/>
        <w:autoSpaceDN w:val="0"/>
        <w:adjustRightInd w:val="0"/>
        <w:spacing w:beforeLines="0" w:afterLines="0" w:line="312" w:lineRule="auto"/>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15.2.4 除专用合同条款另有约定外，承包人应于缺陷责任期届满后7天内向发包人发出缺陷责任期届满通知，发包人应在收到缺陷责任期满通知后14天内核实承包人是否履行缺陷修复义务，承包人未能履行缺陷修复义务的，发包人有权扣除相应金额的维修费用。发包人应在收到缺陷责任期届满通知后14天内，向承包人颁发缺陷责任期终止证书。</w:t>
      </w:r>
    </w:p>
    <w:p w14:paraId="1FA0F2F2">
      <w:pPr>
        <w:pStyle w:val="8"/>
        <w:spacing w:before="120" w:beforeLines="0" w:after="120" w:afterLines="0" w:line="312" w:lineRule="auto"/>
        <w:ind w:firstLine="480" w:firstLineChars="200"/>
        <w:rPr>
          <w:rFonts w:hint="eastAsia" w:ascii="宋体" w:hAnsi="宋体" w:eastAsia="宋体" w:cs="宋体"/>
          <w:b w:val="0"/>
          <w:color w:val="auto"/>
          <w:sz w:val="24"/>
          <w:szCs w:val="24"/>
        </w:rPr>
      </w:pPr>
      <w:bookmarkStart w:id="493" w:name="_Toc351203601"/>
      <w:bookmarkStart w:id="494" w:name="_Toc337558818"/>
      <w:bookmarkStart w:id="495" w:name="_Toc296503115"/>
      <w:bookmarkStart w:id="496" w:name="_Toc296346616"/>
      <w:r>
        <w:rPr>
          <w:rFonts w:hint="eastAsia" w:ascii="宋体" w:hAnsi="宋体" w:eastAsia="宋体" w:cs="宋体"/>
          <w:b w:val="0"/>
          <w:color w:val="auto"/>
          <w:sz w:val="24"/>
          <w:szCs w:val="24"/>
        </w:rPr>
        <w:t>15.3 质量保证金</w:t>
      </w:r>
      <w:bookmarkEnd w:id="493"/>
    </w:p>
    <w:bookmarkEnd w:id="494"/>
    <w:p w14:paraId="0EDBBBF8">
      <w:pPr>
        <w:autoSpaceDE w:val="0"/>
        <w:autoSpaceDN w:val="0"/>
        <w:adjustRightInd w:val="0"/>
        <w:spacing w:beforeLines="0" w:afterLines="0" w:line="312" w:lineRule="auto"/>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经合同当事人协商一致扣留质量保证金的，应在专用合同条款中予以明确。</w:t>
      </w:r>
    </w:p>
    <w:p w14:paraId="28FFD081">
      <w:pPr>
        <w:autoSpaceDE w:val="0"/>
        <w:autoSpaceDN w:val="0"/>
        <w:adjustRightInd w:val="0"/>
        <w:spacing w:beforeLines="0" w:afterLines="0" w:line="312" w:lineRule="auto"/>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15.3.1 承包人提供质量保证金的方式</w:t>
      </w:r>
    </w:p>
    <w:p w14:paraId="555A3275">
      <w:pPr>
        <w:autoSpaceDE w:val="0"/>
        <w:autoSpaceDN w:val="0"/>
        <w:adjustRightInd w:val="0"/>
        <w:spacing w:beforeLines="0" w:afterLines="0" w:line="312" w:lineRule="auto"/>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承包人提供质量保证金有以下三种方式：</w:t>
      </w:r>
    </w:p>
    <w:p w14:paraId="54FEC444">
      <w:pPr>
        <w:autoSpaceDE w:val="0"/>
        <w:autoSpaceDN w:val="0"/>
        <w:adjustRightInd w:val="0"/>
        <w:spacing w:beforeLines="0" w:afterLines="0" w:line="312" w:lineRule="auto"/>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 xml:space="preserve">（1）质量保证金保函； </w:t>
      </w:r>
    </w:p>
    <w:p w14:paraId="6B5BE1F5">
      <w:pPr>
        <w:autoSpaceDE w:val="0"/>
        <w:autoSpaceDN w:val="0"/>
        <w:adjustRightInd w:val="0"/>
        <w:spacing w:beforeLines="0" w:afterLines="0" w:line="312" w:lineRule="auto"/>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（2）相应比例的工程款；</w:t>
      </w:r>
    </w:p>
    <w:p w14:paraId="05FF3F10">
      <w:pPr>
        <w:autoSpaceDE w:val="0"/>
        <w:autoSpaceDN w:val="0"/>
        <w:adjustRightInd w:val="0"/>
        <w:spacing w:beforeLines="0" w:afterLines="0" w:line="312" w:lineRule="auto"/>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（3）双方约定的其他方式。</w:t>
      </w:r>
    </w:p>
    <w:p w14:paraId="66BC2682">
      <w:pPr>
        <w:autoSpaceDE w:val="0"/>
        <w:autoSpaceDN w:val="0"/>
        <w:adjustRightInd w:val="0"/>
        <w:spacing w:beforeLines="0" w:afterLines="0" w:line="312" w:lineRule="auto"/>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除专用合同条款另有约定外，质量保证金原则上采用上述第（1）种方式。</w:t>
      </w:r>
    </w:p>
    <w:p w14:paraId="76E0409D">
      <w:pPr>
        <w:autoSpaceDE w:val="0"/>
        <w:autoSpaceDN w:val="0"/>
        <w:adjustRightInd w:val="0"/>
        <w:spacing w:beforeLines="0" w:afterLines="0" w:line="312" w:lineRule="auto"/>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15.3.2 质量保证金的扣留</w:t>
      </w:r>
    </w:p>
    <w:p w14:paraId="52C04C02">
      <w:pPr>
        <w:autoSpaceDE w:val="0"/>
        <w:autoSpaceDN w:val="0"/>
        <w:adjustRightInd w:val="0"/>
        <w:spacing w:beforeLines="0" w:afterLines="0" w:line="312" w:lineRule="auto"/>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质量保证金的扣留有以下三种方式：</w:t>
      </w:r>
    </w:p>
    <w:p w14:paraId="16F3F61A">
      <w:pPr>
        <w:autoSpaceDE w:val="0"/>
        <w:autoSpaceDN w:val="0"/>
        <w:adjustRightInd w:val="0"/>
        <w:spacing w:beforeLines="0" w:afterLines="0" w:line="312" w:lineRule="auto"/>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（1）在支付工程进度款时逐次扣留，在此情形下，质量保证金的计算基数不包括预付款的支付、扣回以及价格调整的金额；</w:t>
      </w:r>
    </w:p>
    <w:p w14:paraId="1D95BC9A">
      <w:pPr>
        <w:autoSpaceDE w:val="0"/>
        <w:autoSpaceDN w:val="0"/>
        <w:adjustRightInd w:val="0"/>
        <w:spacing w:beforeLines="0" w:afterLines="0" w:line="312" w:lineRule="auto"/>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（2）工</w:t>
      </w:r>
      <w:bookmarkStart w:id="497" w:name="#go6"/>
      <w:bookmarkEnd w:id="497"/>
      <w:r>
        <w:rPr>
          <w:rFonts w:hint="eastAsia" w:ascii="宋体" w:hAnsi="宋体" w:eastAsia="宋体" w:cs="宋体"/>
          <w:color w:val="auto"/>
          <w:kern w:val="0"/>
          <w:sz w:val="24"/>
          <w:szCs w:val="24"/>
        </w:rPr>
        <w:t>程竣工结算时一次性扣留质量保证金；</w:t>
      </w:r>
    </w:p>
    <w:p w14:paraId="146AA570">
      <w:pPr>
        <w:autoSpaceDE w:val="0"/>
        <w:autoSpaceDN w:val="0"/>
        <w:adjustRightInd w:val="0"/>
        <w:spacing w:beforeLines="0" w:afterLines="0" w:line="312" w:lineRule="auto"/>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（3）双方约定的其他扣留方式。</w:t>
      </w:r>
    </w:p>
    <w:p w14:paraId="32FB8C1E">
      <w:pPr>
        <w:autoSpaceDE w:val="0"/>
        <w:autoSpaceDN w:val="0"/>
        <w:adjustRightInd w:val="0"/>
        <w:spacing w:beforeLines="0" w:afterLines="0" w:line="312" w:lineRule="auto"/>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除专用合同条款另有约定外，质量保证金的扣留原则上采用上述第（1）种方式。</w:t>
      </w:r>
    </w:p>
    <w:p w14:paraId="173D7F4B">
      <w:pPr>
        <w:autoSpaceDE w:val="0"/>
        <w:autoSpaceDN w:val="0"/>
        <w:adjustRightInd w:val="0"/>
        <w:spacing w:beforeLines="0" w:afterLines="0" w:line="312" w:lineRule="auto"/>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发</w:t>
      </w:r>
      <w:bookmarkStart w:id="498" w:name="#go4"/>
      <w:bookmarkEnd w:id="498"/>
      <w:r>
        <w:rPr>
          <w:rFonts w:hint="eastAsia" w:ascii="宋体" w:hAnsi="宋体" w:eastAsia="宋体" w:cs="宋体"/>
          <w:color w:val="auto"/>
          <w:kern w:val="0"/>
          <w:sz w:val="24"/>
          <w:szCs w:val="24"/>
        </w:rPr>
        <w:t>包人累计扣留的质量保证金不得超过结算合同价格的5%，如承包人在发包人签发竣工付款证书后28天内提交质量保证金保函，发包人应同时退还扣留的作为质量保证金的工程价款。</w:t>
      </w:r>
    </w:p>
    <w:p w14:paraId="3ABCC3B1">
      <w:pPr>
        <w:autoSpaceDE w:val="0"/>
        <w:autoSpaceDN w:val="0"/>
        <w:adjustRightInd w:val="0"/>
        <w:spacing w:beforeLines="0" w:afterLines="0" w:line="312" w:lineRule="auto"/>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 xml:space="preserve">15.3.3 </w:t>
      </w:r>
      <w:r>
        <w:rPr>
          <w:rFonts w:hint="eastAsia" w:ascii="宋体" w:hAnsi="宋体" w:eastAsia="宋体" w:cs="宋体"/>
          <w:color w:val="auto"/>
          <w:sz w:val="24"/>
          <w:szCs w:val="24"/>
        </w:rPr>
        <w:t>质量保证金</w:t>
      </w:r>
      <w:r>
        <w:rPr>
          <w:rFonts w:hint="eastAsia" w:ascii="宋体" w:hAnsi="宋体" w:eastAsia="宋体" w:cs="宋体"/>
          <w:color w:val="auto"/>
          <w:kern w:val="0"/>
          <w:sz w:val="24"/>
          <w:szCs w:val="24"/>
        </w:rPr>
        <w:t>的退还</w:t>
      </w:r>
    </w:p>
    <w:p w14:paraId="2AF216F6">
      <w:pPr>
        <w:autoSpaceDE w:val="0"/>
        <w:autoSpaceDN w:val="0"/>
        <w:adjustRightInd w:val="0"/>
        <w:spacing w:beforeLines="0" w:afterLines="0" w:line="312" w:lineRule="auto"/>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发包人应按14.4款〔最终结清〕的约定退还质量保证金。</w:t>
      </w:r>
    </w:p>
    <w:p w14:paraId="46136456">
      <w:pPr>
        <w:pStyle w:val="8"/>
        <w:spacing w:before="120" w:beforeLines="0" w:after="120" w:afterLines="0" w:line="312" w:lineRule="auto"/>
        <w:ind w:firstLine="480" w:firstLineChars="200"/>
        <w:rPr>
          <w:rFonts w:hint="eastAsia" w:ascii="宋体" w:hAnsi="宋体" w:eastAsia="宋体" w:cs="宋体"/>
          <w:b w:val="0"/>
          <w:color w:val="auto"/>
          <w:sz w:val="24"/>
          <w:szCs w:val="24"/>
        </w:rPr>
      </w:pPr>
      <w:bookmarkStart w:id="499" w:name="_Toc351203602"/>
      <w:bookmarkStart w:id="500" w:name="_Toc337558819"/>
      <w:r>
        <w:rPr>
          <w:rFonts w:hint="eastAsia" w:ascii="宋体" w:hAnsi="宋体" w:eastAsia="宋体" w:cs="宋体"/>
          <w:b w:val="0"/>
          <w:color w:val="auto"/>
          <w:sz w:val="24"/>
          <w:szCs w:val="24"/>
        </w:rPr>
        <w:t>15.4 保修</w:t>
      </w:r>
      <w:bookmarkEnd w:id="499"/>
    </w:p>
    <w:bookmarkEnd w:id="495"/>
    <w:bookmarkEnd w:id="496"/>
    <w:bookmarkEnd w:id="500"/>
    <w:p w14:paraId="4441B094">
      <w:pPr>
        <w:spacing w:beforeLines="0" w:afterLines="0" w:line="312" w:lineRule="auto"/>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15.4.1保修责任</w:t>
      </w:r>
    </w:p>
    <w:p w14:paraId="396960CF">
      <w:pPr>
        <w:spacing w:beforeLines="0" w:afterLines="0" w:line="312" w:lineRule="auto"/>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工程保修期从工程竣工验收合格之日起算，具体分部分项工程的保修期由合同当事人在专用合同条款中约定，但不得低于法定最低保修年限。在工程保修期内，承包人应当根据有关法律规定以及合同约定承担保修责任。</w:t>
      </w:r>
    </w:p>
    <w:p w14:paraId="7566D81B">
      <w:pPr>
        <w:spacing w:beforeLines="0" w:afterLines="0" w:line="312" w:lineRule="auto"/>
        <w:ind w:firstLine="420" w:firstLineChars="200"/>
        <w:jc w:val="left"/>
        <w:rPr>
          <w:rFonts w:hint="eastAsia" w:ascii="宋体" w:hAnsi="宋体" w:eastAsia="宋体" w:cs="宋体"/>
          <w:color w:val="auto"/>
          <w:sz w:val="24"/>
          <w:szCs w:val="24"/>
        </w:rPr>
      </w:pPr>
      <w:r>
        <w:rPr>
          <w:rFonts w:hint="eastAsia" w:ascii="宋体" w:hAnsi="宋体" w:eastAsia="宋体" w:cs="宋体"/>
          <w:color w:val="auto"/>
          <w:sz w:val="21"/>
          <w:szCs w:val="24"/>
        </w:rPr>
        <w:t>工程保修期为：</w:t>
      </w:r>
      <w:r>
        <w:rPr>
          <w:rFonts w:hint="eastAsia" w:ascii="宋体" w:hAnsi="宋体" w:eastAsia="宋体" w:cs="宋体"/>
          <w:color w:val="auto"/>
          <w:kern w:val="0"/>
          <w:sz w:val="21"/>
          <w:szCs w:val="24"/>
          <w:u w:val="single"/>
        </w:rPr>
        <w:t xml:space="preserve"> 1年  </w:t>
      </w:r>
      <w:r>
        <w:rPr>
          <w:rFonts w:hint="eastAsia" w:ascii="宋体" w:hAnsi="宋体" w:eastAsia="宋体" w:cs="宋体"/>
          <w:color w:val="auto"/>
          <w:sz w:val="24"/>
          <w:szCs w:val="24"/>
        </w:rPr>
        <w:t>。</w:t>
      </w:r>
    </w:p>
    <w:p w14:paraId="7F525DB3">
      <w:pPr>
        <w:autoSpaceDE w:val="0"/>
        <w:autoSpaceDN w:val="0"/>
        <w:adjustRightInd w:val="0"/>
        <w:spacing w:beforeLines="0" w:afterLines="0" w:line="312" w:lineRule="auto"/>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15.4.2 修复费用</w:t>
      </w:r>
    </w:p>
    <w:p w14:paraId="2D926A44">
      <w:pPr>
        <w:autoSpaceDE w:val="0"/>
        <w:autoSpaceDN w:val="0"/>
        <w:adjustRightInd w:val="0"/>
        <w:spacing w:beforeLines="0" w:afterLines="0" w:line="312" w:lineRule="auto"/>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保修期内，修复的费用按照以下约定处理：</w:t>
      </w:r>
    </w:p>
    <w:p w14:paraId="1EE7BDF2">
      <w:pPr>
        <w:autoSpaceDE w:val="0"/>
        <w:autoSpaceDN w:val="0"/>
        <w:adjustRightInd w:val="0"/>
        <w:spacing w:beforeLines="0" w:afterLines="0" w:line="312" w:lineRule="auto"/>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（1）保修期内，因承包人原因造成工程的缺陷、损坏，承包人应负责修复，并承担修复的费用以及因工程的缺陷、损坏造成的人身伤害和财产损失；</w:t>
      </w:r>
    </w:p>
    <w:p w14:paraId="6E55FD50">
      <w:pPr>
        <w:autoSpaceDE w:val="0"/>
        <w:autoSpaceDN w:val="0"/>
        <w:adjustRightInd w:val="0"/>
        <w:spacing w:beforeLines="0" w:afterLines="0" w:line="312" w:lineRule="auto"/>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（2）保修期内，因发包人使用不当造成工程的缺陷、损坏，可以委托承包人修复，但发包人应承担修复的费用，并支付承包人合理利润；</w:t>
      </w:r>
    </w:p>
    <w:p w14:paraId="61C2D9B0">
      <w:pPr>
        <w:autoSpaceDE w:val="0"/>
        <w:autoSpaceDN w:val="0"/>
        <w:adjustRightInd w:val="0"/>
        <w:spacing w:beforeLines="0" w:afterLines="0" w:line="312" w:lineRule="auto"/>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（3）因其他原因造成工程的缺陷、损坏，可以委托承包人修复，发包人应承担修复的费用，并支付承包人合理的利润，因工程的缺陷、损坏造成的人身伤害和财产损失由责任方承担。</w:t>
      </w:r>
    </w:p>
    <w:p w14:paraId="6DB39347">
      <w:pPr>
        <w:spacing w:beforeLines="0" w:afterLines="0" w:line="312" w:lineRule="auto"/>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15.4.3 修复通知</w:t>
      </w:r>
    </w:p>
    <w:p w14:paraId="48942093">
      <w:pPr>
        <w:spacing w:beforeLines="0" w:afterLines="0" w:line="312" w:lineRule="auto"/>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在保修期内，发包人在使用过程中，发现已接收的工程存在缺陷或损坏的，应书面通知承包人予以修复，但情况紧急必须立即修复缺陷或损坏的，发包人可以口头通知承包人并在口头通知后48小时内书面确认，承包人应在专用合同条款约定的合理期限内到达工程现场并修复缺陷或损坏。</w:t>
      </w:r>
    </w:p>
    <w:p w14:paraId="60965ACA">
      <w:pPr>
        <w:spacing w:beforeLines="0" w:afterLines="0" w:line="312" w:lineRule="auto"/>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15.4.4 未能修复</w:t>
      </w:r>
    </w:p>
    <w:p w14:paraId="6B34DC51">
      <w:pPr>
        <w:spacing w:beforeLines="0" w:afterLines="0" w:line="312" w:lineRule="auto"/>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因承包人原因造成工程的缺陷或损坏，承包人拒绝维修或未能在合理期限内修复缺陷或损坏，且经发包人书面催告后仍未修复的，发包人有权自行修复或委托第三方修复，所需费用由承包人承担。但修复范围超出缺陷或损坏范围的，超出范围部分的修复费用由发包人承担。</w:t>
      </w:r>
    </w:p>
    <w:p w14:paraId="230AE000">
      <w:pPr>
        <w:spacing w:beforeLines="0" w:afterLines="0" w:line="312" w:lineRule="auto"/>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15.4.5 承包人出入权</w:t>
      </w:r>
    </w:p>
    <w:p w14:paraId="2C6DE888">
      <w:pPr>
        <w:spacing w:beforeLines="0" w:afterLines="0" w:line="312" w:lineRule="auto"/>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在保修期内，为了修复缺陷或损坏，承包人有权出入工程现场，除情况紧急必须立即修复缺陷或损坏外，承包人应提前24小时通知发包人进场修复的时间。承包人进入工程现场前应获得发包人同意，且不应影响发包人正常的生产经营，并应遵守发包人有关保安和保密等规定。</w:t>
      </w:r>
    </w:p>
    <w:p w14:paraId="64024EE9">
      <w:pPr>
        <w:pStyle w:val="7"/>
        <w:spacing w:before="120" w:beforeLines="0" w:after="120" w:afterLines="0" w:line="312" w:lineRule="auto"/>
        <w:rPr>
          <w:rFonts w:hint="eastAsia" w:ascii="宋体" w:hAnsi="宋体" w:eastAsia="宋体" w:cs="宋体"/>
          <w:b w:val="0"/>
          <w:color w:val="auto"/>
          <w:sz w:val="24"/>
          <w:szCs w:val="24"/>
        </w:rPr>
      </w:pPr>
      <w:bookmarkStart w:id="501" w:name="_Toc351203603"/>
      <w:bookmarkStart w:id="502" w:name="_Toc337558820"/>
      <w:r>
        <w:rPr>
          <w:rFonts w:hint="eastAsia" w:ascii="宋体" w:hAnsi="宋体" w:eastAsia="宋体" w:cs="宋体"/>
          <w:b w:val="0"/>
          <w:color w:val="auto"/>
          <w:sz w:val="24"/>
          <w:szCs w:val="24"/>
        </w:rPr>
        <w:t>16. 违约</w:t>
      </w:r>
      <w:bookmarkEnd w:id="501"/>
    </w:p>
    <w:bookmarkEnd w:id="502"/>
    <w:p w14:paraId="2CAABC1D">
      <w:pPr>
        <w:pStyle w:val="8"/>
        <w:spacing w:before="120" w:beforeLines="0" w:after="120" w:afterLines="0" w:line="312" w:lineRule="auto"/>
        <w:ind w:firstLine="480" w:firstLineChars="200"/>
        <w:rPr>
          <w:rFonts w:hint="eastAsia" w:ascii="宋体" w:hAnsi="宋体" w:eastAsia="宋体" w:cs="宋体"/>
          <w:b w:val="0"/>
          <w:color w:val="auto"/>
          <w:sz w:val="24"/>
          <w:szCs w:val="24"/>
        </w:rPr>
      </w:pPr>
      <w:bookmarkStart w:id="503" w:name="_Toc296503129"/>
      <w:bookmarkStart w:id="504" w:name="_Toc296346630"/>
      <w:bookmarkStart w:id="505" w:name="_Toc351203604"/>
      <w:bookmarkStart w:id="506" w:name="_Toc337558821"/>
      <w:r>
        <w:rPr>
          <w:rFonts w:hint="eastAsia" w:ascii="宋体" w:hAnsi="宋体" w:eastAsia="宋体" w:cs="宋体"/>
          <w:b w:val="0"/>
          <w:color w:val="auto"/>
          <w:sz w:val="24"/>
          <w:szCs w:val="24"/>
        </w:rPr>
        <w:t>16.1 发</w:t>
      </w:r>
      <w:bookmarkEnd w:id="503"/>
      <w:bookmarkEnd w:id="504"/>
      <w:r>
        <w:rPr>
          <w:rFonts w:hint="eastAsia" w:ascii="宋体" w:hAnsi="宋体" w:eastAsia="宋体" w:cs="宋体"/>
          <w:b w:val="0"/>
          <w:color w:val="auto"/>
          <w:sz w:val="24"/>
          <w:szCs w:val="24"/>
        </w:rPr>
        <w:t>包人违约</w:t>
      </w:r>
      <w:bookmarkEnd w:id="505"/>
    </w:p>
    <w:bookmarkEnd w:id="506"/>
    <w:p w14:paraId="2765E133">
      <w:pPr>
        <w:autoSpaceDE w:val="0"/>
        <w:autoSpaceDN w:val="0"/>
        <w:adjustRightInd w:val="0"/>
        <w:spacing w:beforeLines="0" w:afterLines="0" w:line="312" w:lineRule="auto"/>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16.1.1 发包人违约的情形</w:t>
      </w:r>
    </w:p>
    <w:p w14:paraId="7C3C5E80">
      <w:pPr>
        <w:autoSpaceDE w:val="0"/>
        <w:autoSpaceDN w:val="0"/>
        <w:adjustRightInd w:val="0"/>
        <w:spacing w:beforeLines="0" w:afterLines="0" w:line="312" w:lineRule="auto"/>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在合同履行过程中发生的下列情形，属于发包人违约：</w:t>
      </w:r>
    </w:p>
    <w:p w14:paraId="49B34BFD">
      <w:pPr>
        <w:autoSpaceDE w:val="0"/>
        <w:autoSpaceDN w:val="0"/>
        <w:adjustRightInd w:val="0"/>
        <w:spacing w:beforeLines="0" w:afterLines="0" w:line="312" w:lineRule="auto"/>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（1）因发包人原因未能在计划开工日期前7天内下达开工通知的；</w:t>
      </w:r>
    </w:p>
    <w:p w14:paraId="29DD4A36">
      <w:pPr>
        <w:autoSpaceDE w:val="0"/>
        <w:autoSpaceDN w:val="0"/>
        <w:adjustRightInd w:val="0"/>
        <w:spacing w:beforeLines="0" w:afterLines="0" w:line="312" w:lineRule="auto"/>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（2）因发包人原因未能按合同约定支付合同价款的；</w:t>
      </w:r>
    </w:p>
    <w:p w14:paraId="3B1ED136">
      <w:pPr>
        <w:autoSpaceDE w:val="0"/>
        <w:autoSpaceDN w:val="0"/>
        <w:adjustRightInd w:val="0"/>
        <w:spacing w:beforeLines="0" w:afterLines="0" w:line="312" w:lineRule="auto"/>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（3）发包人违反第10.1款〔变更的范围〕第（2）项约定，自行实施被取消的工作或转由他人实施的；</w:t>
      </w:r>
    </w:p>
    <w:p w14:paraId="0ED61B61">
      <w:pPr>
        <w:autoSpaceDE w:val="0"/>
        <w:autoSpaceDN w:val="0"/>
        <w:adjustRightInd w:val="0"/>
        <w:spacing w:beforeLines="0" w:afterLines="0" w:line="312" w:lineRule="auto"/>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（4）发包人提供的材料、工程设备的规格、数量或质量不符合合同约定，或因发包人原因导致交货日期延误或交货地点变更等情况的；</w:t>
      </w:r>
    </w:p>
    <w:p w14:paraId="688F7EB8">
      <w:pPr>
        <w:autoSpaceDE w:val="0"/>
        <w:autoSpaceDN w:val="0"/>
        <w:adjustRightInd w:val="0"/>
        <w:spacing w:beforeLines="0" w:afterLines="0" w:line="312" w:lineRule="auto"/>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（5）因发包人违反合同约定造成暂停施工的；</w:t>
      </w:r>
    </w:p>
    <w:p w14:paraId="64A1558C">
      <w:pPr>
        <w:autoSpaceDE w:val="0"/>
        <w:autoSpaceDN w:val="0"/>
        <w:adjustRightInd w:val="0"/>
        <w:spacing w:beforeLines="0" w:afterLines="0" w:line="312" w:lineRule="auto"/>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（6）发包人无正当理由没有在约定期限内发出复工指示，导致承包人无法复工的；</w:t>
      </w:r>
    </w:p>
    <w:p w14:paraId="5BB34E98">
      <w:pPr>
        <w:autoSpaceDE w:val="0"/>
        <w:autoSpaceDN w:val="0"/>
        <w:adjustRightInd w:val="0"/>
        <w:spacing w:beforeLines="0" w:afterLines="0" w:line="312" w:lineRule="auto"/>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（7）发包人明确表示或者以其行为表明不履行合同主要义务的；</w:t>
      </w:r>
    </w:p>
    <w:p w14:paraId="788C07EF">
      <w:pPr>
        <w:autoSpaceDE w:val="0"/>
        <w:autoSpaceDN w:val="0"/>
        <w:adjustRightInd w:val="0"/>
        <w:spacing w:beforeLines="0" w:afterLines="0" w:line="312" w:lineRule="auto"/>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（8）发包人未能按照合同约定履行其他义务的。</w:t>
      </w:r>
    </w:p>
    <w:p w14:paraId="492D7CC7">
      <w:pPr>
        <w:autoSpaceDE w:val="0"/>
        <w:autoSpaceDN w:val="0"/>
        <w:adjustRightInd w:val="0"/>
        <w:spacing w:beforeLines="0" w:afterLines="0" w:line="312" w:lineRule="auto"/>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发包人发生除本项第（7）目以外的违约情况时，承包人可向发包人发出通知，要求发包人采取有效措施纠正违约行为。发包人收到承包人通知后28天内仍不纠正违约行为的，承包人有权暂停相应部位工程施工，并通知监理人。</w:t>
      </w:r>
    </w:p>
    <w:p w14:paraId="2EA6F6F5">
      <w:pPr>
        <w:autoSpaceDE w:val="0"/>
        <w:autoSpaceDN w:val="0"/>
        <w:adjustRightInd w:val="0"/>
        <w:spacing w:beforeLines="0" w:afterLines="0" w:line="312" w:lineRule="auto"/>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16.1.2 发包人违约的责任</w:t>
      </w:r>
    </w:p>
    <w:p w14:paraId="38F1018B">
      <w:pPr>
        <w:autoSpaceDE w:val="0"/>
        <w:autoSpaceDN w:val="0"/>
        <w:adjustRightInd w:val="0"/>
        <w:spacing w:beforeLines="0" w:afterLines="0" w:line="312" w:lineRule="auto"/>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发包人应承担因其违约给承包人增加的费用和（或）延误的工期，并支付承包人合理的利润。此外，合同当事人可在专用合同条款中另行约定发包人违约责任的承担方式和计算方法。</w:t>
      </w:r>
    </w:p>
    <w:p w14:paraId="0BE28172">
      <w:pPr>
        <w:autoSpaceDE w:val="0"/>
        <w:autoSpaceDN w:val="0"/>
        <w:adjustRightInd w:val="0"/>
        <w:spacing w:beforeLines="0" w:afterLines="0" w:line="312" w:lineRule="auto"/>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16.1.3 因发包人违约解除合同</w:t>
      </w:r>
    </w:p>
    <w:p w14:paraId="67AAB249">
      <w:pPr>
        <w:autoSpaceDE w:val="0"/>
        <w:autoSpaceDN w:val="0"/>
        <w:adjustRightInd w:val="0"/>
        <w:spacing w:beforeLines="0" w:afterLines="0" w:line="312" w:lineRule="auto"/>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除专用合同条款另有约定外，承包人按第16.1.1项〔发包人违约的情形〕约定暂停施工满28天后，发包人仍不纠正其违约行为并致使合同目的不能实现的，或出现第16.1.1项〔发包人违约的情形〕第（7）目约定的违约情况，承包人有权解除合同，发包人应承担由此增加的费用，并支付承包人合理的利润。</w:t>
      </w:r>
    </w:p>
    <w:p w14:paraId="3E37561D">
      <w:pPr>
        <w:autoSpaceDE w:val="0"/>
        <w:autoSpaceDN w:val="0"/>
        <w:adjustRightInd w:val="0"/>
        <w:spacing w:beforeLines="0" w:afterLines="0" w:line="312"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kern w:val="0"/>
          <w:sz w:val="24"/>
          <w:szCs w:val="24"/>
        </w:rPr>
        <w:t>16.1.4 因发包人违约解除合同后的付款</w:t>
      </w:r>
    </w:p>
    <w:p w14:paraId="4CB35C6E">
      <w:pPr>
        <w:spacing w:beforeLines="0" w:afterLines="0" w:line="312" w:lineRule="auto"/>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承包人按照本款约定解除合同的，发包人应在解除合同后28天内支付下列款项，并解除履约担保：</w:t>
      </w:r>
    </w:p>
    <w:p w14:paraId="48E5E2F6">
      <w:pPr>
        <w:spacing w:beforeLines="0" w:afterLines="0" w:line="312" w:lineRule="auto"/>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（1）合同解除前所完成工作的价款；</w:t>
      </w:r>
    </w:p>
    <w:p w14:paraId="4529DFFC">
      <w:pPr>
        <w:spacing w:beforeLines="0" w:afterLines="0" w:line="312" w:lineRule="auto"/>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（2）承包人为工程施工订购并已付款的材料、工程设备和其他物品的价款；</w:t>
      </w:r>
    </w:p>
    <w:p w14:paraId="2AC9AC9F">
      <w:pPr>
        <w:spacing w:beforeLines="0" w:afterLines="0" w:line="312" w:lineRule="auto"/>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（3）承包人撤离施工现场以及遣散承包人人员的款项；</w:t>
      </w:r>
    </w:p>
    <w:p w14:paraId="46755A78">
      <w:pPr>
        <w:spacing w:beforeLines="0" w:afterLines="0" w:line="312" w:lineRule="auto"/>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（4）按照合同约定在合同解除前应支付的违约金；</w:t>
      </w:r>
    </w:p>
    <w:p w14:paraId="5CA58466">
      <w:pPr>
        <w:spacing w:beforeLines="0" w:afterLines="0" w:line="312" w:lineRule="auto"/>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（5）按照合同约定应当支付给承包人的其他款项；</w:t>
      </w:r>
    </w:p>
    <w:p w14:paraId="73C17635">
      <w:pPr>
        <w:spacing w:beforeLines="0" w:afterLines="0" w:line="312" w:lineRule="auto"/>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（6）按照合同约定应退还的质量保证金；</w:t>
      </w:r>
    </w:p>
    <w:p w14:paraId="0A258442">
      <w:pPr>
        <w:spacing w:beforeLines="0" w:afterLines="0" w:line="312" w:lineRule="auto"/>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（7）因解除合同给承包人造成的损失。</w:t>
      </w:r>
    </w:p>
    <w:p w14:paraId="4C320FCF">
      <w:pPr>
        <w:spacing w:beforeLines="0" w:afterLines="0" w:line="312" w:lineRule="auto"/>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合同当事人未能就解除合同后的结清达成一致的，按照第20条〔争议解决〕的约定处理。</w:t>
      </w:r>
    </w:p>
    <w:p w14:paraId="0C118FF1">
      <w:pPr>
        <w:spacing w:beforeLines="0" w:afterLines="0" w:line="312" w:lineRule="auto"/>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承包人应妥善做好已完工程和与工程有关的已购材料、工程设备的保护和移交工作，并将施工设备和人员撤出施工现场，发包人应为承包人撤出提供必要条件。</w:t>
      </w:r>
    </w:p>
    <w:p w14:paraId="5D34B04C">
      <w:pPr>
        <w:pStyle w:val="8"/>
        <w:spacing w:before="120" w:beforeLines="0" w:after="120" w:afterLines="0" w:line="312" w:lineRule="auto"/>
        <w:ind w:firstLine="480" w:firstLineChars="200"/>
        <w:rPr>
          <w:rFonts w:hint="eastAsia" w:ascii="宋体" w:hAnsi="宋体" w:eastAsia="宋体" w:cs="宋体"/>
          <w:b w:val="0"/>
          <w:color w:val="auto"/>
          <w:sz w:val="24"/>
          <w:szCs w:val="24"/>
        </w:rPr>
      </w:pPr>
      <w:bookmarkStart w:id="507" w:name="_Toc351203605"/>
      <w:bookmarkStart w:id="508" w:name="_Toc296503131"/>
      <w:bookmarkStart w:id="509" w:name="_Toc296346632"/>
      <w:bookmarkStart w:id="510" w:name="_Toc337558822"/>
      <w:r>
        <w:rPr>
          <w:rFonts w:hint="eastAsia" w:ascii="宋体" w:hAnsi="宋体" w:eastAsia="宋体" w:cs="宋体"/>
          <w:b w:val="0"/>
          <w:color w:val="auto"/>
          <w:sz w:val="24"/>
          <w:szCs w:val="24"/>
        </w:rPr>
        <w:t>16.2 承包人违约</w:t>
      </w:r>
      <w:bookmarkEnd w:id="507"/>
    </w:p>
    <w:bookmarkEnd w:id="508"/>
    <w:bookmarkEnd w:id="509"/>
    <w:bookmarkEnd w:id="510"/>
    <w:p w14:paraId="46455068">
      <w:pPr>
        <w:autoSpaceDE w:val="0"/>
        <w:autoSpaceDN w:val="0"/>
        <w:adjustRightInd w:val="0"/>
        <w:spacing w:beforeLines="0" w:afterLines="0" w:line="312" w:lineRule="auto"/>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16.2.1 承包人违约的情形</w:t>
      </w:r>
    </w:p>
    <w:p w14:paraId="749DF08D">
      <w:pPr>
        <w:autoSpaceDE w:val="0"/>
        <w:autoSpaceDN w:val="0"/>
        <w:adjustRightInd w:val="0"/>
        <w:spacing w:beforeLines="0" w:afterLines="0" w:line="312" w:lineRule="auto"/>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在合同履行过程中发生的下列情形，属于承包人违约：</w:t>
      </w:r>
    </w:p>
    <w:p w14:paraId="6DE161D9">
      <w:pPr>
        <w:autoSpaceDE w:val="0"/>
        <w:autoSpaceDN w:val="0"/>
        <w:adjustRightInd w:val="0"/>
        <w:spacing w:beforeLines="0" w:afterLines="0" w:line="312" w:lineRule="auto"/>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（1）承包人违反合同约定进行转包或违法分包的；</w:t>
      </w:r>
    </w:p>
    <w:p w14:paraId="7D2906CE">
      <w:pPr>
        <w:autoSpaceDE w:val="0"/>
        <w:autoSpaceDN w:val="0"/>
        <w:adjustRightInd w:val="0"/>
        <w:spacing w:beforeLines="0" w:afterLines="0" w:line="312" w:lineRule="auto"/>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（2）承包人违反合同约定采购和使用不合格的材料和工程设备的；</w:t>
      </w:r>
    </w:p>
    <w:p w14:paraId="5C30331F">
      <w:pPr>
        <w:autoSpaceDE w:val="0"/>
        <w:autoSpaceDN w:val="0"/>
        <w:adjustRightInd w:val="0"/>
        <w:spacing w:beforeLines="0" w:afterLines="0" w:line="312" w:lineRule="auto"/>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 xml:space="preserve">（3）因承包人原因导致工程质量不符合合同要求的； </w:t>
      </w:r>
    </w:p>
    <w:p w14:paraId="1DB046D2">
      <w:pPr>
        <w:autoSpaceDE w:val="0"/>
        <w:autoSpaceDN w:val="0"/>
        <w:adjustRightInd w:val="0"/>
        <w:spacing w:beforeLines="0" w:afterLines="0" w:line="312" w:lineRule="auto"/>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（4）承包人违反第8.9款〔材料与设备专用要求〕的约定，未经批准，私自将已按照合同约定进入施工现场的材料或设备撤离施工现场的；</w:t>
      </w:r>
    </w:p>
    <w:p w14:paraId="183EDDEB">
      <w:pPr>
        <w:autoSpaceDE w:val="0"/>
        <w:autoSpaceDN w:val="0"/>
        <w:adjustRightInd w:val="0"/>
        <w:spacing w:beforeLines="0" w:afterLines="0" w:line="312" w:lineRule="auto"/>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（5）承包人未能按施工进度计划及时完成合同约定的工作，造成工期延误的；</w:t>
      </w:r>
    </w:p>
    <w:p w14:paraId="1D3E87F7">
      <w:pPr>
        <w:autoSpaceDE w:val="0"/>
        <w:autoSpaceDN w:val="0"/>
        <w:adjustRightInd w:val="0"/>
        <w:spacing w:beforeLines="0" w:afterLines="0" w:line="312" w:lineRule="auto"/>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（6）承包人在缺陷责任期及保修期内，未能在合理期限对工程缺陷进行修复，或拒绝按发包人要求进行修复的；</w:t>
      </w:r>
    </w:p>
    <w:p w14:paraId="67809DF3">
      <w:pPr>
        <w:autoSpaceDE w:val="0"/>
        <w:autoSpaceDN w:val="0"/>
        <w:adjustRightInd w:val="0"/>
        <w:spacing w:beforeLines="0" w:afterLines="0" w:line="312" w:lineRule="auto"/>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（7）承包人明确表示或者以其行为表明不履行合同主要义务的；</w:t>
      </w:r>
    </w:p>
    <w:p w14:paraId="471AEC13">
      <w:pPr>
        <w:autoSpaceDE w:val="0"/>
        <w:autoSpaceDN w:val="0"/>
        <w:adjustRightInd w:val="0"/>
        <w:spacing w:beforeLines="0" w:afterLines="0" w:line="312" w:lineRule="auto"/>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（8）承包人未能按照合同约定履行其他义务的。</w:t>
      </w:r>
    </w:p>
    <w:p w14:paraId="535F88A2">
      <w:pPr>
        <w:autoSpaceDE w:val="0"/>
        <w:autoSpaceDN w:val="0"/>
        <w:adjustRightInd w:val="0"/>
        <w:spacing w:beforeLines="0" w:afterLines="0" w:line="312" w:lineRule="auto"/>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承包人发生除本项第（7）目约定以外的其他违约情况时，监理人可向承包人发出整改通知，要求其在指定的期限内改正。</w:t>
      </w:r>
    </w:p>
    <w:p w14:paraId="0746A184">
      <w:pPr>
        <w:autoSpaceDE w:val="0"/>
        <w:autoSpaceDN w:val="0"/>
        <w:adjustRightInd w:val="0"/>
        <w:spacing w:beforeLines="0" w:afterLines="0" w:line="312" w:lineRule="auto"/>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16.2.2 承包人违约的责任</w:t>
      </w:r>
    </w:p>
    <w:p w14:paraId="7414DEFC">
      <w:pPr>
        <w:autoSpaceDE w:val="0"/>
        <w:autoSpaceDN w:val="0"/>
        <w:adjustRightInd w:val="0"/>
        <w:spacing w:beforeLines="0" w:afterLines="0" w:line="312" w:lineRule="auto"/>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承包人应承担因其违约行为而增加的费用和（或）延误的工期。此外，合同当事人可在专用合同条款中另行约定承包人违约责任的承担方式和计算方法。</w:t>
      </w:r>
    </w:p>
    <w:p w14:paraId="0DC7C0EF">
      <w:pPr>
        <w:autoSpaceDE w:val="0"/>
        <w:autoSpaceDN w:val="0"/>
        <w:adjustRightInd w:val="0"/>
        <w:spacing w:beforeLines="0" w:afterLines="0" w:line="312" w:lineRule="auto"/>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16.2.3 因承包人违约解除合同</w:t>
      </w:r>
    </w:p>
    <w:p w14:paraId="19BC1EDC">
      <w:pPr>
        <w:autoSpaceDE w:val="0"/>
        <w:autoSpaceDN w:val="0"/>
        <w:adjustRightInd w:val="0"/>
        <w:spacing w:beforeLines="0" w:afterLines="0" w:line="312" w:lineRule="auto"/>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除专用合同条款另有约定外，出现第16.2.1项〔承包人违约的情形〕第（7）目约定的违约情况时，或监理人发出整改通知后，承包人在指定的合理期限内仍不纠正违约行为并致使合同目的不能实现的，发包人有权解除合同。合同解除后，因继续完成工程的需要，发包人有权使用承包人在施工现场的材料、设备、临时工程、承包人文件和由承包人或以其名义编制的其他文件，合同当事人应在专用合同条款约定相应费用的承担方式。发包人继续使用的行为不免除或减轻承包人应承担的违约责任。</w:t>
      </w:r>
    </w:p>
    <w:p w14:paraId="4EF066D4">
      <w:pPr>
        <w:spacing w:beforeLines="0" w:afterLines="0" w:line="312" w:lineRule="auto"/>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16.2.4因承包人违约解除合同后的处理</w:t>
      </w:r>
    </w:p>
    <w:p w14:paraId="6BBD2AB6">
      <w:pPr>
        <w:spacing w:beforeLines="0" w:afterLines="0" w:line="312" w:lineRule="auto"/>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因承包人原因导致合同解除的，则合同当事人应在合同解除后28天内完成估价、付款和清算，并按以下约定执行：</w:t>
      </w:r>
    </w:p>
    <w:p w14:paraId="3E400A87">
      <w:pPr>
        <w:spacing w:beforeLines="0" w:afterLines="0" w:line="312" w:lineRule="auto"/>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（1）合同解除后，按第4.4款〔商定或确定〕商定或确定承包人实际完成工作对应的合同价款，以及承包人已提供的材料、工程设备、施工设备和临时工程等的价值；</w:t>
      </w:r>
    </w:p>
    <w:p w14:paraId="1D93230A">
      <w:pPr>
        <w:spacing w:beforeLines="0" w:afterLines="0" w:line="312" w:lineRule="auto"/>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（2）合同解除后，承包人应支付的违约金；</w:t>
      </w:r>
    </w:p>
    <w:p w14:paraId="790397B8">
      <w:pPr>
        <w:spacing w:beforeLines="0" w:afterLines="0" w:line="312" w:lineRule="auto"/>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（3）合同解除后，因解除合同给发包人造成的损失；</w:t>
      </w:r>
    </w:p>
    <w:p w14:paraId="0DA2BE0A">
      <w:pPr>
        <w:spacing w:beforeLines="0" w:afterLines="0" w:line="312" w:lineRule="auto"/>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（4）合同解除后，承包人应按照发包人要求和监理人的指示完成现场的清理和撤离；</w:t>
      </w:r>
    </w:p>
    <w:p w14:paraId="423DFE62">
      <w:pPr>
        <w:spacing w:beforeLines="0" w:afterLines="0" w:line="312" w:lineRule="auto"/>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（5）发包人和承包人应在合同解除后进行清算，出具最终结清付款证书，结清全部款项。</w:t>
      </w:r>
    </w:p>
    <w:p w14:paraId="7094C9BB">
      <w:pPr>
        <w:spacing w:beforeLines="0" w:afterLines="0" w:line="312" w:lineRule="auto"/>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因承包人违约解除合同的，发包人有权暂停对承包人的付款，查清各项付款和已扣款项。发包人和承包人未能就合同解除后的清算和款项支付达成一致的，按照第20条〔争议解决〕的约定处理。</w:t>
      </w:r>
    </w:p>
    <w:p w14:paraId="7C39F017">
      <w:pPr>
        <w:spacing w:beforeLines="0" w:afterLines="0" w:line="312" w:lineRule="auto"/>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16.2.5采购合同权益转让</w:t>
      </w:r>
    </w:p>
    <w:p w14:paraId="704873D3">
      <w:pPr>
        <w:spacing w:beforeLines="0" w:afterLines="0" w:line="312" w:lineRule="auto"/>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因承包人违约解除合同的，发包人有权要求承包人将其为实施合同而签订的材料和设备的采购合同的权益转让给发包人，承包人应在收到解除合同通知后14天内，协助发包人与采购合同的供应商达成相关的转让协议。</w:t>
      </w:r>
    </w:p>
    <w:p w14:paraId="1B730909">
      <w:pPr>
        <w:pStyle w:val="8"/>
        <w:spacing w:before="120" w:beforeLines="0" w:after="120" w:afterLines="0" w:line="312" w:lineRule="auto"/>
        <w:ind w:firstLine="480" w:firstLineChars="200"/>
        <w:rPr>
          <w:rFonts w:hint="eastAsia" w:ascii="宋体" w:hAnsi="宋体" w:eastAsia="宋体" w:cs="宋体"/>
          <w:b w:val="0"/>
          <w:color w:val="auto"/>
          <w:sz w:val="24"/>
          <w:szCs w:val="24"/>
        </w:rPr>
      </w:pPr>
      <w:bookmarkStart w:id="511" w:name="_Toc351203606"/>
      <w:r>
        <w:rPr>
          <w:rFonts w:hint="eastAsia" w:ascii="宋体" w:hAnsi="宋体" w:eastAsia="宋体" w:cs="宋体"/>
          <w:b w:val="0"/>
          <w:color w:val="auto"/>
          <w:sz w:val="24"/>
          <w:szCs w:val="24"/>
        </w:rPr>
        <w:t>16.3 第三人造成的违约</w:t>
      </w:r>
      <w:bookmarkEnd w:id="511"/>
    </w:p>
    <w:p w14:paraId="08A0A4AE">
      <w:pPr>
        <w:spacing w:beforeLines="0" w:afterLines="0" w:line="312" w:lineRule="auto"/>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在履行合同过程中，一方当事人因第三人的原因造成违约的，应当向对方当事人承担违约责任。一方当事人和第三人之间的纠纷，依照法律规定或者按照约定解决。</w:t>
      </w:r>
    </w:p>
    <w:p w14:paraId="74DD7D49">
      <w:pPr>
        <w:pStyle w:val="7"/>
        <w:spacing w:before="120" w:beforeLines="0" w:after="120" w:afterLines="0" w:line="312" w:lineRule="auto"/>
        <w:rPr>
          <w:rFonts w:hint="eastAsia" w:ascii="宋体" w:hAnsi="宋体" w:eastAsia="宋体" w:cs="宋体"/>
          <w:b w:val="0"/>
          <w:color w:val="auto"/>
          <w:sz w:val="24"/>
          <w:szCs w:val="24"/>
        </w:rPr>
      </w:pPr>
      <w:bookmarkStart w:id="512" w:name="_Toc351203607"/>
      <w:bookmarkStart w:id="513" w:name="_Toc296503116"/>
      <w:bookmarkStart w:id="514" w:name="_Toc296346617"/>
      <w:bookmarkStart w:id="515" w:name="_Toc337558823"/>
      <w:r>
        <w:rPr>
          <w:rFonts w:hint="eastAsia" w:ascii="宋体" w:hAnsi="宋体" w:eastAsia="宋体" w:cs="宋体"/>
          <w:b w:val="0"/>
          <w:color w:val="auto"/>
          <w:sz w:val="24"/>
          <w:szCs w:val="24"/>
        </w:rPr>
        <w:t>17. 不可抗力</w:t>
      </w:r>
      <w:bookmarkEnd w:id="512"/>
      <w:r>
        <w:rPr>
          <w:rFonts w:hint="eastAsia" w:ascii="宋体" w:hAnsi="宋体" w:eastAsia="宋体" w:cs="宋体"/>
          <w:b w:val="0"/>
          <w:color w:val="auto"/>
          <w:sz w:val="24"/>
          <w:szCs w:val="24"/>
        </w:rPr>
        <w:t xml:space="preserve"> </w:t>
      </w:r>
      <w:bookmarkEnd w:id="513"/>
      <w:bookmarkEnd w:id="514"/>
      <w:bookmarkEnd w:id="515"/>
    </w:p>
    <w:p w14:paraId="3F0CE242">
      <w:pPr>
        <w:pStyle w:val="8"/>
        <w:spacing w:before="120" w:beforeLines="0" w:after="120" w:afterLines="0" w:line="312" w:lineRule="auto"/>
        <w:ind w:firstLine="480" w:firstLineChars="200"/>
        <w:rPr>
          <w:rFonts w:hint="eastAsia" w:ascii="宋体" w:hAnsi="宋体" w:eastAsia="宋体" w:cs="宋体"/>
          <w:b w:val="0"/>
          <w:color w:val="auto"/>
          <w:sz w:val="24"/>
          <w:szCs w:val="24"/>
        </w:rPr>
      </w:pPr>
      <w:bookmarkStart w:id="516" w:name="_Toc351203608"/>
      <w:bookmarkStart w:id="517" w:name="_Toc296346618"/>
      <w:bookmarkStart w:id="518" w:name="_Toc337558824"/>
      <w:bookmarkStart w:id="519" w:name="_Toc296503117"/>
      <w:r>
        <w:rPr>
          <w:rFonts w:hint="eastAsia" w:ascii="宋体" w:hAnsi="宋体" w:eastAsia="宋体" w:cs="宋体"/>
          <w:b w:val="0"/>
          <w:color w:val="auto"/>
          <w:sz w:val="24"/>
          <w:szCs w:val="24"/>
        </w:rPr>
        <w:t>17.1 不可抗力的确认</w:t>
      </w:r>
      <w:bookmarkEnd w:id="516"/>
    </w:p>
    <w:bookmarkEnd w:id="517"/>
    <w:bookmarkEnd w:id="518"/>
    <w:bookmarkEnd w:id="519"/>
    <w:p w14:paraId="727CA049">
      <w:pPr>
        <w:autoSpaceDE w:val="0"/>
        <w:autoSpaceDN w:val="0"/>
        <w:adjustRightInd w:val="0"/>
        <w:spacing w:beforeLines="0" w:afterLines="0" w:line="312" w:lineRule="auto"/>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不可抗力是指合同当事人在签订合同时不可预见，在合同履行过程中不可避免且不能克服的自然灾害和社会性突发事件，如地震、海啸、瘟疫、骚乱、戒严、暴动、战争和专用合同条款中约定的其他情形。</w:t>
      </w:r>
    </w:p>
    <w:p w14:paraId="196BDD35">
      <w:pPr>
        <w:autoSpaceDE w:val="0"/>
        <w:autoSpaceDN w:val="0"/>
        <w:adjustRightInd w:val="0"/>
        <w:spacing w:beforeLines="0" w:afterLines="0" w:line="312" w:lineRule="auto"/>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不可抗力发生后，发包人和承包人应收集证明不可抗力发生及不可抗力造成损失的证据，并及时认真统计所造成的损失。合同当事人对是否属于不可抗力或其损失的意见不一致的，由监理人按第4.4款〔商定或确定〕的约定处理。发生争议时，按第20条〔争议解决〕的约定处理。</w:t>
      </w:r>
    </w:p>
    <w:p w14:paraId="09C1EBC6">
      <w:pPr>
        <w:pStyle w:val="8"/>
        <w:spacing w:before="120" w:beforeLines="0" w:after="120" w:afterLines="0" w:line="312" w:lineRule="auto"/>
        <w:ind w:firstLine="480" w:firstLineChars="200"/>
        <w:rPr>
          <w:rFonts w:hint="eastAsia" w:ascii="宋体" w:hAnsi="宋体" w:eastAsia="宋体" w:cs="宋体"/>
          <w:b w:val="0"/>
          <w:color w:val="auto"/>
          <w:sz w:val="24"/>
          <w:szCs w:val="24"/>
        </w:rPr>
      </w:pPr>
      <w:bookmarkStart w:id="520" w:name="_Toc351203609"/>
      <w:bookmarkStart w:id="521" w:name="_Toc337558825"/>
      <w:bookmarkStart w:id="522" w:name="_Toc296346619"/>
      <w:bookmarkStart w:id="523" w:name="_Toc296503118"/>
      <w:r>
        <w:rPr>
          <w:rFonts w:hint="eastAsia" w:ascii="宋体" w:hAnsi="宋体" w:eastAsia="宋体" w:cs="宋体"/>
          <w:b w:val="0"/>
          <w:color w:val="auto"/>
          <w:sz w:val="24"/>
          <w:szCs w:val="24"/>
        </w:rPr>
        <w:t>17.2 不可抗力的通知</w:t>
      </w:r>
      <w:bookmarkEnd w:id="520"/>
    </w:p>
    <w:bookmarkEnd w:id="521"/>
    <w:bookmarkEnd w:id="522"/>
    <w:bookmarkEnd w:id="523"/>
    <w:p w14:paraId="5756BFD8">
      <w:pPr>
        <w:autoSpaceDE w:val="0"/>
        <w:autoSpaceDN w:val="0"/>
        <w:adjustRightInd w:val="0"/>
        <w:spacing w:beforeLines="0" w:afterLines="0" w:line="312" w:lineRule="auto"/>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合同一方当事人遇到不可抗力事件，使其履行合同义务受到阻碍时，应立即通知合同另一方当事人和监理人，书面说明不可抗力和受阻碍的详细情况，并提供必要的证明。</w:t>
      </w:r>
    </w:p>
    <w:p w14:paraId="65BDDA62">
      <w:pPr>
        <w:autoSpaceDE w:val="0"/>
        <w:autoSpaceDN w:val="0"/>
        <w:adjustRightInd w:val="0"/>
        <w:spacing w:beforeLines="0" w:afterLines="0" w:line="312" w:lineRule="auto"/>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不可抗力持续发生的，合同一方当事人应及时向合同另一方当事人和监理人提交中间报告，说明不可抗力和履行合同受阻的情况，并于不可抗力事件结束后28天内提交最终报告及有关资料。</w:t>
      </w:r>
    </w:p>
    <w:p w14:paraId="11B341D8">
      <w:pPr>
        <w:pStyle w:val="8"/>
        <w:spacing w:before="120" w:beforeLines="0" w:after="120" w:afterLines="0" w:line="312" w:lineRule="auto"/>
        <w:ind w:firstLine="480" w:firstLineChars="200"/>
        <w:rPr>
          <w:rFonts w:hint="eastAsia" w:ascii="宋体" w:hAnsi="宋体" w:eastAsia="宋体" w:cs="宋体"/>
          <w:b w:val="0"/>
          <w:color w:val="auto"/>
          <w:sz w:val="24"/>
          <w:szCs w:val="24"/>
        </w:rPr>
      </w:pPr>
      <w:bookmarkStart w:id="524" w:name="_Toc351203610"/>
      <w:bookmarkStart w:id="525" w:name="_Toc296503119"/>
      <w:bookmarkStart w:id="526" w:name="_Toc296346620"/>
      <w:bookmarkStart w:id="527" w:name="_Toc337558826"/>
      <w:r>
        <w:rPr>
          <w:rFonts w:hint="eastAsia" w:ascii="宋体" w:hAnsi="宋体" w:eastAsia="宋体" w:cs="宋体"/>
          <w:b w:val="0"/>
          <w:color w:val="auto"/>
          <w:sz w:val="24"/>
          <w:szCs w:val="24"/>
        </w:rPr>
        <w:t>17.3 不可抗力后果的承担</w:t>
      </w:r>
      <w:bookmarkEnd w:id="524"/>
    </w:p>
    <w:bookmarkEnd w:id="525"/>
    <w:bookmarkEnd w:id="526"/>
    <w:bookmarkEnd w:id="527"/>
    <w:p w14:paraId="52EF7E9B">
      <w:pPr>
        <w:autoSpaceDE w:val="0"/>
        <w:autoSpaceDN w:val="0"/>
        <w:adjustRightInd w:val="0"/>
        <w:spacing w:beforeLines="0" w:afterLines="0" w:line="312" w:lineRule="auto"/>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17.3.1 不可抗力引起的后果及造成的损失由合同当事人按照法律规定及合同约定各自承担。不可抗力发生前已完成的工程应当按照合同约定进行计量支付。</w:t>
      </w:r>
    </w:p>
    <w:p w14:paraId="663187EF">
      <w:pPr>
        <w:autoSpaceDE w:val="0"/>
        <w:autoSpaceDN w:val="0"/>
        <w:adjustRightInd w:val="0"/>
        <w:spacing w:beforeLines="0" w:afterLines="0" w:line="312" w:lineRule="auto"/>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17.3.2 不可抗力导致的人员伤亡、财产损失、费用增加和（或）工期延误等后果，由合同当事人按以下原则承担：</w:t>
      </w:r>
    </w:p>
    <w:p w14:paraId="072DBE92">
      <w:pPr>
        <w:autoSpaceDE w:val="0"/>
        <w:autoSpaceDN w:val="0"/>
        <w:adjustRightInd w:val="0"/>
        <w:spacing w:beforeLines="0" w:afterLines="0" w:line="312" w:lineRule="auto"/>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（1）永久工程、已运至施工现场的材料和工程设备的损坏，以及因工程损坏造成的第三人人员伤亡和财产损失由发包人承担；</w:t>
      </w:r>
    </w:p>
    <w:p w14:paraId="38E8EBD0">
      <w:pPr>
        <w:autoSpaceDE w:val="0"/>
        <w:autoSpaceDN w:val="0"/>
        <w:adjustRightInd w:val="0"/>
        <w:spacing w:beforeLines="0" w:afterLines="0" w:line="312" w:lineRule="auto"/>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（2）承包人施工设备的损坏由承包人承担；</w:t>
      </w:r>
    </w:p>
    <w:p w14:paraId="03C7B9E7">
      <w:pPr>
        <w:autoSpaceDE w:val="0"/>
        <w:autoSpaceDN w:val="0"/>
        <w:adjustRightInd w:val="0"/>
        <w:spacing w:beforeLines="0" w:afterLines="0" w:line="312" w:lineRule="auto"/>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（3）发包人和承包人承担各自人员伤亡和财产的损失；</w:t>
      </w:r>
    </w:p>
    <w:p w14:paraId="36F661CA">
      <w:pPr>
        <w:autoSpaceDE w:val="0"/>
        <w:autoSpaceDN w:val="0"/>
        <w:adjustRightInd w:val="0"/>
        <w:spacing w:beforeLines="0" w:afterLines="0" w:line="312" w:lineRule="auto"/>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（4）因不可抗力影响承包人履行合同约定的义务，已经引起或将引起工期延误的，应当顺延工期，由此导致承包人停工的费用损失由发包人和承包人合理分担，停工期间必须支付的工人工资由发包人承担；</w:t>
      </w:r>
    </w:p>
    <w:p w14:paraId="13BD7604">
      <w:pPr>
        <w:autoSpaceDE w:val="0"/>
        <w:autoSpaceDN w:val="0"/>
        <w:adjustRightInd w:val="0"/>
        <w:spacing w:beforeLines="0" w:afterLines="0" w:line="312" w:lineRule="auto"/>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（5）因不可抗力引起或将引起工期延误，发包人要求赶工的，由此增加的赶工费用由发包人承担；</w:t>
      </w:r>
    </w:p>
    <w:p w14:paraId="699340D3">
      <w:pPr>
        <w:autoSpaceDE w:val="0"/>
        <w:autoSpaceDN w:val="0"/>
        <w:adjustRightInd w:val="0"/>
        <w:spacing w:beforeLines="0" w:afterLines="0" w:line="312" w:lineRule="auto"/>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（6）承包人在停工期间按照发包人要求照管、清理和修复工程的费用由发包人承担。</w:t>
      </w:r>
    </w:p>
    <w:p w14:paraId="705F8085">
      <w:pPr>
        <w:autoSpaceDE w:val="0"/>
        <w:autoSpaceDN w:val="0"/>
        <w:adjustRightInd w:val="0"/>
        <w:spacing w:beforeLines="0" w:afterLines="0" w:line="312" w:lineRule="auto"/>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不可抗力发生后，合同当事人均应采取措施尽量避免和减少损失的扩大，任何一方当事人没有采取有效措施导致损失扩大的，应对扩大的损失承担责任。</w:t>
      </w:r>
    </w:p>
    <w:p w14:paraId="1B3483A5">
      <w:pPr>
        <w:autoSpaceDE w:val="0"/>
        <w:autoSpaceDN w:val="0"/>
        <w:adjustRightInd w:val="0"/>
        <w:spacing w:beforeLines="0" w:afterLines="0" w:line="312" w:lineRule="auto"/>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因合同一方迟延履行合同义务，在迟延履行期间遭遇不可抗力的，不免除其违约责任。</w:t>
      </w:r>
    </w:p>
    <w:p w14:paraId="1FE61DB2">
      <w:pPr>
        <w:pStyle w:val="8"/>
        <w:spacing w:before="120" w:beforeLines="0" w:after="120" w:afterLines="0" w:line="312" w:lineRule="auto"/>
        <w:ind w:firstLine="480" w:firstLineChars="200"/>
        <w:rPr>
          <w:rFonts w:hint="eastAsia" w:ascii="宋体" w:hAnsi="宋体" w:eastAsia="宋体" w:cs="宋体"/>
          <w:b w:val="0"/>
          <w:color w:val="auto"/>
          <w:sz w:val="24"/>
          <w:szCs w:val="24"/>
        </w:rPr>
      </w:pPr>
      <w:bookmarkStart w:id="528" w:name="_Toc351203611"/>
      <w:bookmarkStart w:id="529" w:name="_Toc337558827"/>
      <w:r>
        <w:rPr>
          <w:rFonts w:hint="eastAsia" w:ascii="宋体" w:hAnsi="宋体" w:eastAsia="宋体" w:cs="宋体"/>
          <w:b w:val="0"/>
          <w:color w:val="auto"/>
          <w:sz w:val="24"/>
          <w:szCs w:val="24"/>
        </w:rPr>
        <w:t>17.4 因不可抗力解除合同</w:t>
      </w:r>
      <w:bookmarkEnd w:id="528"/>
    </w:p>
    <w:bookmarkEnd w:id="529"/>
    <w:p w14:paraId="2980D4D6">
      <w:pPr>
        <w:spacing w:beforeLines="0" w:afterLines="0" w:line="312" w:lineRule="auto"/>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因不可抗力导致合同无法履行连续超过84天或累计超过140天的，发包人和承包人均有权解除合同。合同解除后，由双方当事人按照第4.4款〔商定或确定〕商定或确定发包人应支付的款项，该款项包括：</w:t>
      </w:r>
    </w:p>
    <w:p w14:paraId="181B61A6">
      <w:pPr>
        <w:spacing w:beforeLines="0" w:afterLines="0" w:line="312" w:lineRule="auto"/>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（1）合同解除前承包人已完成工作的价款；</w:t>
      </w:r>
    </w:p>
    <w:p w14:paraId="7E120B30">
      <w:pPr>
        <w:spacing w:beforeLines="0" w:afterLines="0" w:line="312" w:lineRule="auto"/>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（2）承包人为工程订购的并已交付给承包人，或承包人有责任接受交付的材料、工程设备和其他物品的价款；</w:t>
      </w:r>
    </w:p>
    <w:p w14:paraId="01B1646E">
      <w:pPr>
        <w:spacing w:beforeLines="0" w:afterLines="0" w:line="312" w:lineRule="auto"/>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（3）发包人要求承包人退货或解除订货合同而产生的费用，或因不能退货或解除合同而产生的损失；</w:t>
      </w:r>
    </w:p>
    <w:p w14:paraId="7CFCE554">
      <w:pPr>
        <w:spacing w:beforeLines="0" w:afterLines="0" w:line="312" w:lineRule="auto"/>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（4）承包人撤离施工现场以及遣散承包人人员的费用；</w:t>
      </w:r>
    </w:p>
    <w:p w14:paraId="62CBDED3">
      <w:pPr>
        <w:spacing w:beforeLines="0" w:afterLines="0" w:line="312" w:lineRule="auto"/>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（5）按照合同约定在合同解除前应支付给承包人的其他款项；</w:t>
      </w:r>
    </w:p>
    <w:p w14:paraId="5B50A03A">
      <w:pPr>
        <w:spacing w:beforeLines="0" w:afterLines="0" w:line="312" w:lineRule="auto"/>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（6）扣减承包人按照合同约定应向发包人支付的款项；</w:t>
      </w:r>
    </w:p>
    <w:p w14:paraId="4F50BF3C">
      <w:pPr>
        <w:spacing w:beforeLines="0" w:afterLines="0" w:line="312" w:lineRule="auto"/>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（7）双方商定或确定的其他款项。</w:t>
      </w:r>
    </w:p>
    <w:p w14:paraId="7417248D">
      <w:pPr>
        <w:spacing w:beforeLines="0" w:afterLines="0" w:line="312" w:lineRule="auto"/>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除专用合同条款另有约定外，合同解除后，发包人应在商定或确定上述款项后28天内完成上述款项的支付。</w:t>
      </w:r>
    </w:p>
    <w:p w14:paraId="24C21AF6">
      <w:pPr>
        <w:pStyle w:val="7"/>
        <w:spacing w:before="120" w:beforeLines="0" w:after="120" w:afterLines="0" w:line="312" w:lineRule="auto"/>
        <w:rPr>
          <w:rFonts w:hint="eastAsia" w:ascii="宋体" w:hAnsi="宋体" w:eastAsia="宋体" w:cs="宋体"/>
          <w:b w:val="0"/>
          <w:color w:val="auto"/>
          <w:sz w:val="24"/>
          <w:szCs w:val="24"/>
        </w:rPr>
      </w:pPr>
      <w:bookmarkStart w:id="530" w:name="_Toc351203612"/>
      <w:bookmarkStart w:id="531" w:name="_Toc296346621"/>
      <w:bookmarkStart w:id="532" w:name="_Toc337558828"/>
      <w:bookmarkStart w:id="533" w:name="_Toc296503120"/>
      <w:r>
        <w:rPr>
          <w:rFonts w:hint="eastAsia" w:ascii="宋体" w:hAnsi="宋体" w:eastAsia="宋体" w:cs="宋体"/>
          <w:b w:val="0"/>
          <w:color w:val="auto"/>
          <w:sz w:val="24"/>
          <w:szCs w:val="24"/>
        </w:rPr>
        <w:t>18. 保险</w:t>
      </w:r>
      <w:bookmarkEnd w:id="530"/>
    </w:p>
    <w:bookmarkEnd w:id="531"/>
    <w:bookmarkEnd w:id="532"/>
    <w:bookmarkEnd w:id="533"/>
    <w:p w14:paraId="18BED493">
      <w:pPr>
        <w:pStyle w:val="8"/>
        <w:spacing w:before="120" w:beforeLines="0" w:after="120" w:afterLines="0" w:line="312" w:lineRule="auto"/>
        <w:ind w:firstLine="480" w:firstLineChars="200"/>
        <w:rPr>
          <w:rFonts w:hint="eastAsia" w:ascii="宋体" w:hAnsi="宋体" w:eastAsia="宋体" w:cs="宋体"/>
          <w:b w:val="0"/>
          <w:color w:val="auto"/>
          <w:sz w:val="24"/>
          <w:szCs w:val="24"/>
        </w:rPr>
      </w:pPr>
      <w:bookmarkStart w:id="534" w:name="_Toc351203613"/>
      <w:bookmarkStart w:id="535" w:name="_Toc337558829"/>
      <w:bookmarkStart w:id="536" w:name="_Toc296346622"/>
      <w:bookmarkStart w:id="537" w:name="_Toc296503121"/>
      <w:r>
        <w:rPr>
          <w:rFonts w:hint="eastAsia" w:ascii="宋体" w:hAnsi="宋体" w:eastAsia="宋体" w:cs="宋体"/>
          <w:b w:val="0"/>
          <w:color w:val="auto"/>
          <w:sz w:val="24"/>
          <w:szCs w:val="24"/>
        </w:rPr>
        <w:t>18.1 工程保险</w:t>
      </w:r>
      <w:bookmarkEnd w:id="534"/>
    </w:p>
    <w:bookmarkEnd w:id="535"/>
    <w:bookmarkEnd w:id="536"/>
    <w:bookmarkEnd w:id="537"/>
    <w:p w14:paraId="54E08390">
      <w:pPr>
        <w:autoSpaceDE w:val="0"/>
        <w:autoSpaceDN w:val="0"/>
        <w:adjustRightInd w:val="0"/>
        <w:spacing w:beforeLines="0" w:afterLines="0" w:line="312" w:lineRule="auto"/>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除专用合同条款另有约定外，发包人应投保建筑工程一切险或安装工程一切险；发包人委托承包人投保的，因投保产生的保险费和其他相关费用由发包人承担。</w:t>
      </w:r>
    </w:p>
    <w:p w14:paraId="01D08A25">
      <w:pPr>
        <w:pStyle w:val="8"/>
        <w:spacing w:before="120" w:beforeLines="0" w:after="120" w:afterLines="0" w:line="312" w:lineRule="auto"/>
        <w:ind w:firstLine="480" w:firstLineChars="200"/>
        <w:rPr>
          <w:rFonts w:hint="eastAsia" w:ascii="宋体" w:hAnsi="宋体" w:eastAsia="宋体" w:cs="宋体"/>
          <w:b w:val="0"/>
          <w:color w:val="auto"/>
          <w:sz w:val="24"/>
          <w:szCs w:val="24"/>
        </w:rPr>
      </w:pPr>
      <w:bookmarkStart w:id="538" w:name="_Toc351203614"/>
      <w:bookmarkStart w:id="539" w:name="_Toc296346623"/>
      <w:bookmarkStart w:id="540" w:name="_Toc337558830"/>
      <w:bookmarkStart w:id="541" w:name="_Toc296503122"/>
      <w:r>
        <w:rPr>
          <w:rFonts w:hint="eastAsia" w:ascii="宋体" w:hAnsi="宋体" w:eastAsia="宋体" w:cs="宋体"/>
          <w:b w:val="0"/>
          <w:color w:val="auto"/>
          <w:sz w:val="24"/>
          <w:szCs w:val="24"/>
        </w:rPr>
        <w:t>18.2 工伤保险</w:t>
      </w:r>
      <w:bookmarkEnd w:id="538"/>
    </w:p>
    <w:bookmarkEnd w:id="539"/>
    <w:bookmarkEnd w:id="540"/>
    <w:bookmarkEnd w:id="541"/>
    <w:p w14:paraId="1AD49B43">
      <w:pPr>
        <w:autoSpaceDE w:val="0"/>
        <w:autoSpaceDN w:val="0"/>
        <w:adjustRightInd w:val="0"/>
        <w:spacing w:beforeLines="0" w:afterLines="0" w:line="312" w:lineRule="auto"/>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18.2.1 发包人应依照法律规定参加工伤保险。</w:t>
      </w:r>
    </w:p>
    <w:p w14:paraId="57008C34">
      <w:pPr>
        <w:autoSpaceDE w:val="0"/>
        <w:autoSpaceDN w:val="0"/>
        <w:adjustRightInd w:val="0"/>
        <w:spacing w:beforeLines="0" w:afterLines="0" w:line="312" w:lineRule="auto"/>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18.2.2 承包人应依照法律规定参加工伤保险，并为其履行合同的全部员工办理工伤保险，缴纳工伤保险费，并要求分包人及由承包人为履行合同聘请的第三方依法参加工伤保险。</w:t>
      </w:r>
    </w:p>
    <w:p w14:paraId="70383E74">
      <w:pPr>
        <w:pStyle w:val="8"/>
        <w:spacing w:before="120" w:beforeLines="0" w:after="120" w:afterLines="0" w:line="312" w:lineRule="auto"/>
        <w:ind w:firstLine="480" w:firstLineChars="200"/>
        <w:rPr>
          <w:rFonts w:hint="eastAsia" w:ascii="宋体" w:hAnsi="宋体" w:eastAsia="宋体" w:cs="宋体"/>
          <w:b w:val="0"/>
          <w:color w:val="auto"/>
          <w:sz w:val="24"/>
          <w:szCs w:val="24"/>
        </w:rPr>
      </w:pPr>
      <w:bookmarkStart w:id="542" w:name="_Toc351203615"/>
      <w:bookmarkStart w:id="543" w:name="_Toc337558831"/>
      <w:bookmarkStart w:id="544" w:name="_Toc296346626"/>
      <w:bookmarkStart w:id="545" w:name="_Toc296503125"/>
      <w:r>
        <w:rPr>
          <w:rFonts w:hint="eastAsia" w:ascii="宋体" w:hAnsi="宋体" w:eastAsia="宋体" w:cs="宋体"/>
          <w:b w:val="0"/>
          <w:color w:val="auto"/>
          <w:sz w:val="24"/>
          <w:szCs w:val="24"/>
        </w:rPr>
        <w:t>18.3其他保险</w:t>
      </w:r>
      <w:bookmarkEnd w:id="542"/>
    </w:p>
    <w:bookmarkEnd w:id="543"/>
    <w:bookmarkEnd w:id="544"/>
    <w:bookmarkEnd w:id="545"/>
    <w:p w14:paraId="06972588">
      <w:pPr>
        <w:spacing w:beforeLines="0" w:afterLines="0" w:line="312"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发包人和承包人可以为其施工现场的全部人员办理意外伤害保险并支付保险费，包括其员工及为履行合同聘请的第三方的人员，具体事项由合同当事人在专用合同条款约定。</w:t>
      </w:r>
    </w:p>
    <w:p w14:paraId="21CFD063">
      <w:pPr>
        <w:spacing w:beforeLines="0" w:afterLines="0" w:line="312"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除专用合同条款另有约定外，承包人应为其施工设备等办理财产保险。</w:t>
      </w:r>
    </w:p>
    <w:p w14:paraId="51AF2A54">
      <w:pPr>
        <w:pStyle w:val="8"/>
        <w:spacing w:before="120" w:beforeLines="0" w:after="120" w:afterLines="0" w:line="312" w:lineRule="auto"/>
        <w:ind w:firstLine="480" w:firstLineChars="200"/>
        <w:rPr>
          <w:rFonts w:hint="eastAsia" w:ascii="宋体" w:hAnsi="宋体" w:eastAsia="宋体" w:cs="宋体"/>
          <w:b w:val="0"/>
          <w:color w:val="auto"/>
          <w:sz w:val="24"/>
          <w:szCs w:val="24"/>
        </w:rPr>
      </w:pPr>
      <w:bookmarkStart w:id="546" w:name="_Toc351203616"/>
      <w:r>
        <w:rPr>
          <w:rFonts w:hint="eastAsia" w:ascii="宋体" w:hAnsi="宋体" w:eastAsia="宋体" w:cs="宋体"/>
          <w:b w:val="0"/>
          <w:color w:val="auto"/>
          <w:sz w:val="24"/>
          <w:szCs w:val="24"/>
        </w:rPr>
        <w:t>18.4持续保险</w:t>
      </w:r>
      <w:bookmarkEnd w:id="546"/>
    </w:p>
    <w:p w14:paraId="65445895">
      <w:pPr>
        <w:spacing w:beforeLines="0" w:afterLines="0" w:line="312"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合同当事人应与保险人保持联系，使保险人能够随时了解工程实施中的变动，并确保按保险合同条款要求持续保险。</w:t>
      </w:r>
    </w:p>
    <w:p w14:paraId="292613B8">
      <w:pPr>
        <w:pStyle w:val="8"/>
        <w:spacing w:before="120" w:beforeLines="0" w:after="120" w:afterLines="0" w:line="312" w:lineRule="auto"/>
        <w:ind w:firstLine="480" w:firstLineChars="200"/>
        <w:rPr>
          <w:rFonts w:hint="eastAsia" w:ascii="宋体" w:hAnsi="宋体" w:eastAsia="宋体" w:cs="宋体"/>
          <w:b w:val="0"/>
          <w:color w:val="auto"/>
          <w:sz w:val="24"/>
          <w:szCs w:val="24"/>
        </w:rPr>
      </w:pPr>
      <w:bookmarkStart w:id="547" w:name="_Toc351203617"/>
      <w:bookmarkStart w:id="548" w:name="_Toc296346627"/>
      <w:bookmarkStart w:id="549" w:name="_Toc296503126"/>
      <w:bookmarkStart w:id="550" w:name="_Toc337558832"/>
      <w:r>
        <w:rPr>
          <w:rFonts w:hint="eastAsia" w:ascii="宋体" w:hAnsi="宋体" w:eastAsia="宋体" w:cs="宋体"/>
          <w:b w:val="0"/>
          <w:color w:val="auto"/>
          <w:sz w:val="24"/>
          <w:szCs w:val="24"/>
        </w:rPr>
        <w:t>18.5 保险凭证</w:t>
      </w:r>
      <w:bookmarkEnd w:id="547"/>
    </w:p>
    <w:bookmarkEnd w:id="548"/>
    <w:bookmarkEnd w:id="549"/>
    <w:bookmarkEnd w:id="550"/>
    <w:p w14:paraId="14E89F11">
      <w:pPr>
        <w:spacing w:beforeLines="0" w:afterLines="0" w:line="312"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合同当事人应及时向另一方当事人提交其已投保的各项保险的凭证和保险单复印件。</w:t>
      </w:r>
    </w:p>
    <w:p w14:paraId="115201A1">
      <w:pPr>
        <w:pStyle w:val="8"/>
        <w:spacing w:before="120" w:beforeLines="0" w:after="120" w:afterLines="0" w:line="312" w:lineRule="auto"/>
        <w:ind w:firstLine="480" w:firstLineChars="200"/>
        <w:rPr>
          <w:rFonts w:hint="eastAsia" w:ascii="宋体" w:hAnsi="宋体" w:eastAsia="宋体" w:cs="宋体"/>
          <w:b w:val="0"/>
          <w:color w:val="auto"/>
          <w:sz w:val="24"/>
          <w:szCs w:val="24"/>
        </w:rPr>
      </w:pPr>
      <w:bookmarkStart w:id="551" w:name="_Toc351203618"/>
      <w:bookmarkStart w:id="552" w:name="_Toc296503127"/>
      <w:bookmarkStart w:id="553" w:name="_Toc296346628"/>
      <w:bookmarkStart w:id="554" w:name="_Toc337558833"/>
      <w:r>
        <w:rPr>
          <w:rFonts w:hint="eastAsia" w:ascii="宋体" w:hAnsi="宋体" w:eastAsia="宋体" w:cs="宋体"/>
          <w:b w:val="0"/>
          <w:color w:val="auto"/>
          <w:sz w:val="24"/>
          <w:szCs w:val="24"/>
        </w:rPr>
        <w:t>18.6 未按约定投保的补救</w:t>
      </w:r>
      <w:bookmarkEnd w:id="551"/>
    </w:p>
    <w:bookmarkEnd w:id="552"/>
    <w:bookmarkEnd w:id="553"/>
    <w:bookmarkEnd w:id="554"/>
    <w:p w14:paraId="60906C89">
      <w:pPr>
        <w:spacing w:beforeLines="0" w:afterLines="0" w:line="312"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18.6.1发包人未按合同约定办理保险，或未能使保险持续有效的，则承包人可代为办理，所需费用由发包人承担。发包人未按合同约定办理保险，导致未能得到足额赔偿的，由发包人负责补足。</w:t>
      </w:r>
    </w:p>
    <w:p w14:paraId="7576B430">
      <w:pPr>
        <w:spacing w:beforeLines="0" w:afterLines="0" w:line="312"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18.6.2承包人未按合同约定办理保险，或未能使保险持续有效的，则发包人可代为办理，所需费用由承包人承担。承包人未按合同约定办理保险，导致未能得到足额赔偿的，由承包人负责补足。</w:t>
      </w:r>
    </w:p>
    <w:p w14:paraId="40F332BF">
      <w:pPr>
        <w:pStyle w:val="8"/>
        <w:spacing w:before="120" w:beforeLines="0" w:after="120" w:afterLines="0" w:line="312" w:lineRule="auto"/>
        <w:ind w:firstLine="480" w:firstLineChars="200"/>
        <w:rPr>
          <w:rFonts w:hint="eastAsia" w:ascii="宋体" w:hAnsi="宋体" w:eastAsia="宋体" w:cs="宋体"/>
          <w:b w:val="0"/>
          <w:color w:val="auto"/>
          <w:sz w:val="24"/>
          <w:szCs w:val="24"/>
        </w:rPr>
      </w:pPr>
      <w:bookmarkStart w:id="555" w:name="_Toc351203619"/>
      <w:bookmarkStart w:id="556" w:name="_Toc337558834"/>
      <w:r>
        <w:rPr>
          <w:rFonts w:hint="eastAsia" w:ascii="宋体" w:hAnsi="宋体" w:eastAsia="宋体" w:cs="宋体"/>
          <w:b w:val="0"/>
          <w:color w:val="auto"/>
          <w:sz w:val="24"/>
          <w:szCs w:val="24"/>
        </w:rPr>
        <w:t>18.7 通知义务</w:t>
      </w:r>
      <w:bookmarkEnd w:id="555"/>
    </w:p>
    <w:bookmarkEnd w:id="556"/>
    <w:p w14:paraId="3FA463A2">
      <w:pPr>
        <w:spacing w:beforeLines="0" w:afterLines="0" w:line="312"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除专用合同条款另有约定外，发包人变更除工伤保险之外的保险合同时，应事先征得承包人同意，并通知监理人；承包人变更除工伤保险之外的保险合同时，应事先征得发包人同意，并通知监理人。</w:t>
      </w:r>
    </w:p>
    <w:p w14:paraId="6656AFB3">
      <w:pPr>
        <w:spacing w:beforeLines="0" w:afterLines="0" w:line="312"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保险事故发生时，投保人应按照保险合同规定的条件和期限及时向保险人报告。发包人和承包人应当在知道保险事故发生后及时通知对方。</w:t>
      </w:r>
    </w:p>
    <w:p w14:paraId="4259FE7A">
      <w:pPr>
        <w:pStyle w:val="7"/>
        <w:spacing w:before="120" w:beforeLines="0" w:after="120" w:afterLines="0" w:line="312" w:lineRule="auto"/>
        <w:rPr>
          <w:rFonts w:hint="eastAsia" w:ascii="宋体" w:hAnsi="宋体" w:eastAsia="宋体" w:cs="宋体"/>
          <w:b w:val="0"/>
          <w:color w:val="auto"/>
          <w:sz w:val="24"/>
          <w:szCs w:val="24"/>
        </w:rPr>
      </w:pPr>
      <w:bookmarkStart w:id="557" w:name="_Toc351203620"/>
      <w:bookmarkStart w:id="558" w:name="_Toc296346641"/>
      <w:bookmarkStart w:id="559" w:name="_Toc296503140"/>
      <w:bookmarkStart w:id="560" w:name="_Toc337558835"/>
      <w:r>
        <w:rPr>
          <w:rFonts w:hint="eastAsia" w:ascii="宋体" w:hAnsi="宋体" w:eastAsia="宋体" w:cs="宋体"/>
          <w:b w:val="0"/>
          <w:color w:val="auto"/>
          <w:sz w:val="24"/>
          <w:szCs w:val="24"/>
        </w:rPr>
        <w:t>19. 索赔</w:t>
      </w:r>
      <w:bookmarkEnd w:id="557"/>
    </w:p>
    <w:bookmarkEnd w:id="558"/>
    <w:bookmarkEnd w:id="559"/>
    <w:bookmarkEnd w:id="560"/>
    <w:p w14:paraId="6CC17C05">
      <w:pPr>
        <w:pStyle w:val="8"/>
        <w:spacing w:before="120" w:beforeLines="0" w:after="120" w:afterLines="0" w:line="312" w:lineRule="auto"/>
        <w:ind w:firstLine="480" w:firstLineChars="200"/>
        <w:rPr>
          <w:rFonts w:hint="eastAsia" w:ascii="宋体" w:hAnsi="宋体" w:eastAsia="宋体" w:cs="宋体"/>
          <w:b w:val="0"/>
          <w:color w:val="auto"/>
          <w:sz w:val="24"/>
          <w:szCs w:val="24"/>
        </w:rPr>
      </w:pPr>
      <w:bookmarkStart w:id="561" w:name="_Toc351203621"/>
      <w:bookmarkStart w:id="562" w:name="_Toc296503141"/>
      <w:bookmarkStart w:id="563" w:name="_Toc337558836"/>
      <w:bookmarkStart w:id="564" w:name="_Toc296346642"/>
      <w:r>
        <w:rPr>
          <w:rFonts w:hint="eastAsia" w:ascii="宋体" w:hAnsi="宋体" w:eastAsia="宋体" w:cs="宋体"/>
          <w:b w:val="0"/>
          <w:color w:val="auto"/>
          <w:sz w:val="24"/>
          <w:szCs w:val="24"/>
        </w:rPr>
        <w:t>19.1承包人的索赔</w:t>
      </w:r>
      <w:bookmarkEnd w:id="561"/>
    </w:p>
    <w:bookmarkEnd w:id="562"/>
    <w:bookmarkEnd w:id="563"/>
    <w:bookmarkEnd w:id="564"/>
    <w:p w14:paraId="1515EF15">
      <w:pPr>
        <w:autoSpaceDE w:val="0"/>
        <w:autoSpaceDN w:val="0"/>
        <w:adjustRightInd w:val="0"/>
        <w:spacing w:beforeLines="0" w:afterLines="0" w:line="312" w:lineRule="auto"/>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根据合同约定，承包人认为有权得到追加付款和（或）延长工期的，应按以下程序向发包人提出索赔：</w:t>
      </w:r>
    </w:p>
    <w:p w14:paraId="627460C4">
      <w:pPr>
        <w:autoSpaceDE w:val="0"/>
        <w:autoSpaceDN w:val="0"/>
        <w:adjustRightInd w:val="0"/>
        <w:spacing w:beforeLines="0" w:afterLines="0" w:line="312" w:lineRule="auto"/>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（1）承包人应在知道或应当知道索赔事件发生后28天内，向监理人递交索赔意向通知书，并说明发生索赔事件的事由；承包人未在前述28天内发出索赔意向通知书的，丧失要求追加付款和（或）延长工期的权利；</w:t>
      </w:r>
    </w:p>
    <w:p w14:paraId="44B3B5D8">
      <w:pPr>
        <w:autoSpaceDE w:val="0"/>
        <w:autoSpaceDN w:val="0"/>
        <w:adjustRightInd w:val="0"/>
        <w:spacing w:beforeLines="0" w:afterLines="0" w:line="312" w:lineRule="auto"/>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（2）承包人应在发出索赔意向通知书后28天内，向监理人正式递交索赔报告；索赔报告应详细说明索赔理由以及要求追加的付款金额和（或）延长的工期，并附必要的记录和证明材料；</w:t>
      </w:r>
    </w:p>
    <w:p w14:paraId="32894B6C">
      <w:pPr>
        <w:autoSpaceDE w:val="0"/>
        <w:autoSpaceDN w:val="0"/>
        <w:adjustRightInd w:val="0"/>
        <w:spacing w:beforeLines="0" w:afterLines="0" w:line="312" w:lineRule="auto"/>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（3）索赔事件具有持续影响的，承包人应按合理时间间隔继续递交延续索赔通知，说明持续影响的实际情况和记录，列出累计的追加付款金额和（或）工期延长天数；</w:t>
      </w:r>
    </w:p>
    <w:p w14:paraId="577A6058">
      <w:pPr>
        <w:autoSpaceDE w:val="0"/>
        <w:autoSpaceDN w:val="0"/>
        <w:adjustRightInd w:val="0"/>
        <w:spacing w:beforeLines="0" w:afterLines="0" w:line="312" w:lineRule="auto"/>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（4）在索赔事件影响结束后28天内，承包人应向监理人递交最终索赔报告，说明最终要求索赔的追加付款金额和（或）延长的工期，并附必要的记录和证明材料。</w:t>
      </w:r>
    </w:p>
    <w:p w14:paraId="74FBBA07">
      <w:pPr>
        <w:pStyle w:val="8"/>
        <w:spacing w:before="120" w:beforeLines="0" w:after="120" w:afterLines="0" w:line="312" w:lineRule="auto"/>
        <w:ind w:firstLine="480" w:firstLineChars="200"/>
        <w:rPr>
          <w:rFonts w:hint="eastAsia" w:ascii="宋体" w:hAnsi="宋体" w:eastAsia="宋体" w:cs="宋体"/>
          <w:b w:val="0"/>
          <w:color w:val="auto"/>
          <w:sz w:val="24"/>
          <w:szCs w:val="24"/>
        </w:rPr>
      </w:pPr>
      <w:bookmarkStart w:id="565" w:name="_Toc351203622"/>
      <w:bookmarkStart w:id="566" w:name="_Toc296346643"/>
      <w:bookmarkStart w:id="567" w:name="_Toc296503142"/>
      <w:bookmarkStart w:id="568" w:name="_Toc337558837"/>
      <w:r>
        <w:rPr>
          <w:rFonts w:hint="eastAsia" w:ascii="宋体" w:hAnsi="宋体" w:eastAsia="宋体" w:cs="宋体"/>
          <w:b w:val="0"/>
          <w:color w:val="auto"/>
          <w:sz w:val="24"/>
          <w:szCs w:val="24"/>
        </w:rPr>
        <w:t>19.2 对承包人索赔的处理</w:t>
      </w:r>
      <w:bookmarkEnd w:id="565"/>
    </w:p>
    <w:bookmarkEnd w:id="566"/>
    <w:bookmarkEnd w:id="567"/>
    <w:bookmarkEnd w:id="568"/>
    <w:p w14:paraId="39D705CE">
      <w:pPr>
        <w:autoSpaceDE w:val="0"/>
        <w:autoSpaceDN w:val="0"/>
        <w:adjustRightInd w:val="0"/>
        <w:spacing w:beforeLines="0" w:afterLines="0" w:line="312" w:lineRule="auto"/>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对承包人索赔的处理如下：</w:t>
      </w:r>
    </w:p>
    <w:p w14:paraId="644E91B0">
      <w:pPr>
        <w:autoSpaceDE w:val="0"/>
        <w:autoSpaceDN w:val="0"/>
        <w:adjustRightInd w:val="0"/>
        <w:spacing w:beforeLines="0" w:afterLines="0" w:line="312" w:lineRule="auto"/>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（1）监理人应在收到索赔报告后14天内完成审查并报送发包人。监理人对索赔报告存在异议的，有权要求承包人提交全部原始记录副本；</w:t>
      </w:r>
    </w:p>
    <w:p w14:paraId="40487327">
      <w:pPr>
        <w:autoSpaceDE w:val="0"/>
        <w:autoSpaceDN w:val="0"/>
        <w:adjustRightInd w:val="0"/>
        <w:spacing w:beforeLines="0" w:afterLines="0" w:line="312" w:lineRule="auto"/>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（2）发包人应在监理人收到索赔报告或有关索赔的进一步证明材料后的28天内，由监理人向承包人出具经发包人签认的索赔处理结果。发包人逾期答复的，则视为认可承包人的索赔要求；</w:t>
      </w:r>
    </w:p>
    <w:p w14:paraId="72EB5089">
      <w:pPr>
        <w:autoSpaceDE w:val="0"/>
        <w:autoSpaceDN w:val="0"/>
        <w:adjustRightInd w:val="0"/>
        <w:spacing w:beforeLines="0" w:afterLines="0" w:line="312" w:lineRule="auto"/>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（3）承包人接受索赔处理结果的，索赔款项在当期进度款中进行支付；承包人不接受索赔处理结果的，按照第20条〔争议解决〕约定处理。</w:t>
      </w:r>
    </w:p>
    <w:p w14:paraId="11E81ADF">
      <w:pPr>
        <w:pStyle w:val="8"/>
        <w:spacing w:before="120" w:beforeLines="0" w:after="120" w:afterLines="0" w:line="312" w:lineRule="auto"/>
        <w:ind w:firstLine="480" w:firstLineChars="200"/>
        <w:rPr>
          <w:rFonts w:hint="eastAsia" w:ascii="宋体" w:hAnsi="宋体" w:eastAsia="宋体" w:cs="宋体"/>
          <w:b w:val="0"/>
          <w:color w:val="auto"/>
          <w:sz w:val="24"/>
          <w:szCs w:val="24"/>
        </w:rPr>
      </w:pPr>
      <w:bookmarkStart w:id="569" w:name="_Toc351203623"/>
      <w:bookmarkStart w:id="570" w:name="_Toc296346644"/>
      <w:bookmarkStart w:id="571" w:name="_Toc296503143"/>
      <w:bookmarkStart w:id="572" w:name="_Toc337558838"/>
      <w:r>
        <w:rPr>
          <w:rFonts w:hint="eastAsia" w:ascii="宋体" w:hAnsi="宋体" w:eastAsia="宋体" w:cs="宋体"/>
          <w:b w:val="0"/>
          <w:color w:val="auto"/>
          <w:sz w:val="24"/>
          <w:szCs w:val="24"/>
        </w:rPr>
        <w:t>19.3发包人的索赔</w:t>
      </w:r>
      <w:bookmarkEnd w:id="569"/>
    </w:p>
    <w:bookmarkEnd w:id="570"/>
    <w:bookmarkEnd w:id="571"/>
    <w:bookmarkEnd w:id="572"/>
    <w:p w14:paraId="556AE48D">
      <w:pPr>
        <w:autoSpaceDE w:val="0"/>
        <w:autoSpaceDN w:val="0"/>
        <w:adjustRightInd w:val="0"/>
        <w:spacing w:beforeLines="0" w:afterLines="0" w:line="312" w:lineRule="auto"/>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根据合同约定，发包人认为有权得到赔付金额和（或）延长缺陷责任期的，监理人应向承包人发出通知并附有详细的证明。</w:t>
      </w:r>
    </w:p>
    <w:p w14:paraId="00FFFA50">
      <w:pPr>
        <w:autoSpaceDE w:val="0"/>
        <w:autoSpaceDN w:val="0"/>
        <w:adjustRightInd w:val="0"/>
        <w:spacing w:beforeLines="0" w:afterLines="0" w:line="312" w:lineRule="auto"/>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发包人应在知道或应当知道索赔事件发生后28天内通过监理人向承包人提出索赔意向通知书，发包人未在前述28天内发出索赔意向通知书的，丧失要求赔付金额和（或）延长缺陷责任期的权利。发包人应在发出索赔意向通知书后28天内，通过监理人向承包人正式递交索赔报告。</w:t>
      </w:r>
    </w:p>
    <w:p w14:paraId="70BEF16C">
      <w:pPr>
        <w:pStyle w:val="8"/>
        <w:spacing w:before="120" w:beforeLines="0" w:after="120" w:afterLines="0" w:line="312" w:lineRule="auto"/>
        <w:ind w:firstLine="480" w:firstLineChars="200"/>
        <w:rPr>
          <w:rFonts w:hint="eastAsia" w:ascii="宋体" w:hAnsi="宋体" w:eastAsia="宋体" w:cs="宋体"/>
          <w:b w:val="0"/>
          <w:color w:val="auto"/>
          <w:sz w:val="24"/>
          <w:szCs w:val="24"/>
        </w:rPr>
      </w:pPr>
      <w:bookmarkStart w:id="573" w:name="_Toc351203624"/>
      <w:bookmarkStart w:id="574" w:name="_Toc296503144"/>
      <w:bookmarkStart w:id="575" w:name="_Toc296346645"/>
      <w:bookmarkStart w:id="576" w:name="_Toc337558839"/>
      <w:r>
        <w:rPr>
          <w:rFonts w:hint="eastAsia" w:ascii="宋体" w:hAnsi="宋体" w:eastAsia="宋体" w:cs="宋体"/>
          <w:b w:val="0"/>
          <w:color w:val="auto"/>
          <w:sz w:val="24"/>
          <w:szCs w:val="24"/>
        </w:rPr>
        <w:t>19.4 对发包人索赔的处理</w:t>
      </w:r>
      <w:bookmarkEnd w:id="573"/>
    </w:p>
    <w:bookmarkEnd w:id="574"/>
    <w:bookmarkEnd w:id="575"/>
    <w:bookmarkEnd w:id="576"/>
    <w:p w14:paraId="3C508E7F">
      <w:pPr>
        <w:autoSpaceDE w:val="0"/>
        <w:autoSpaceDN w:val="0"/>
        <w:adjustRightInd w:val="0"/>
        <w:spacing w:beforeLines="0" w:afterLines="0" w:line="312" w:lineRule="auto"/>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对发包人索赔的处理如下：</w:t>
      </w:r>
    </w:p>
    <w:p w14:paraId="0412BC77">
      <w:pPr>
        <w:autoSpaceDE w:val="0"/>
        <w:autoSpaceDN w:val="0"/>
        <w:adjustRightInd w:val="0"/>
        <w:spacing w:beforeLines="0" w:afterLines="0" w:line="312" w:lineRule="auto"/>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（1）承包人收到发包人提交的索赔报告后，应及时审查索赔报告的内容、查验发包人证明材料；</w:t>
      </w:r>
    </w:p>
    <w:p w14:paraId="7B2ADF9B">
      <w:pPr>
        <w:autoSpaceDE w:val="0"/>
        <w:autoSpaceDN w:val="0"/>
        <w:adjustRightInd w:val="0"/>
        <w:spacing w:beforeLines="0" w:afterLines="0" w:line="312" w:lineRule="auto"/>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（2）承包人应在收到索赔报告或有关索赔的进一步证明材料后28天内，将索赔处理结果答复发包人。如果承包人未在上述期限内作出答复的，则视为对发包人索赔要求的认可；</w:t>
      </w:r>
    </w:p>
    <w:p w14:paraId="44248602">
      <w:pPr>
        <w:autoSpaceDE w:val="0"/>
        <w:autoSpaceDN w:val="0"/>
        <w:adjustRightInd w:val="0"/>
        <w:spacing w:beforeLines="0" w:afterLines="0" w:line="312" w:lineRule="auto"/>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（3）承包人接受索赔处理结果的，发包人可从应支付给承包人的合同价款中扣除赔付的金额或延长缺陷责任期；发包人不接受索赔处理结果的，按第20条〔争议解决〕约定处理。</w:t>
      </w:r>
    </w:p>
    <w:p w14:paraId="40A6A22E">
      <w:pPr>
        <w:pStyle w:val="8"/>
        <w:spacing w:before="120" w:beforeLines="0" w:after="120" w:afterLines="0" w:line="312" w:lineRule="auto"/>
        <w:ind w:firstLine="480" w:firstLineChars="200"/>
        <w:rPr>
          <w:rFonts w:hint="eastAsia" w:ascii="宋体" w:hAnsi="宋体" w:eastAsia="宋体" w:cs="宋体"/>
          <w:b w:val="0"/>
          <w:color w:val="auto"/>
          <w:sz w:val="24"/>
          <w:szCs w:val="24"/>
        </w:rPr>
      </w:pPr>
      <w:bookmarkStart w:id="577" w:name="_Toc351203625"/>
      <w:r>
        <w:rPr>
          <w:rFonts w:hint="eastAsia" w:ascii="宋体" w:hAnsi="宋体" w:eastAsia="宋体" w:cs="宋体"/>
          <w:b w:val="0"/>
          <w:color w:val="auto"/>
          <w:sz w:val="24"/>
          <w:szCs w:val="24"/>
        </w:rPr>
        <w:t>19.5 提出索赔的期限</w:t>
      </w:r>
      <w:bookmarkEnd w:id="577"/>
    </w:p>
    <w:p w14:paraId="6200A20F">
      <w:pPr>
        <w:spacing w:beforeLines="0" w:afterLines="0" w:line="312" w:lineRule="auto"/>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（1）承包人按第14.2款〔竣工结算审核〕约定接收竣工付款证书后，应被视为已无权再提出在工程接收证书颁发前所发生的任何索赔。</w:t>
      </w:r>
    </w:p>
    <w:p w14:paraId="650C31B9">
      <w:pPr>
        <w:spacing w:beforeLines="0" w:afterLines="0" w:line="312" w:lineRule="auto"/>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（2）承包人按第14.4款〔最终结清〕提交的最终结清申请单中，只限于提出工程接收证书颁发后发生的索赔。提出索赔的期限自接受最终结清证书时终止。</w:t>
      </w:r>
    </w:p>
    <w:p w14:paraId="6CD80740">
      <w:pPr>
        <w:pStyle w:val="7"/>
        <w:spacing w:before="120" w:beforeLines="0" w:after="120" w:afterLines="0" w:line="288" w:lineRule="auto"/>
        <w:rPr>
          <w:rFonts w:hint="eastAsia" w:ascii="宋体" w:hAnsi="宋体" w:eastAsia="宋体" w:cs="宋体"/>
          <w:b w:val="0"/>
          <w:color w:val="auto"/>
          <w:sz w:val="24"/>
          <w:szCs w:val="24"/>
        </w:rPr>
      </w:pPr>
      <w:bookmarkStart w:id="578" w:name="_Toc351203626"/>
      <w:r>
        <w:rPr>
          <w:rFonts w:hint="eastAsia" w:ascii="宋体" w:hAnsi="宋体" w:eastAsia="宋体" w:cs="宋体"/>
          <w:b w:val="0"/>
          <w:color w:val="auto"/>
          <w:sz w:val="24"/>
          <w:szCs w:val="24"/>
        </w:rPr>
        <w:t>20</w:t>
      </w:r>
      <w:bookmarkStart w:id="579" w:name="_Toc296346647"/>
      <w:bookmarkStart w:id="580" w:name="_Toc337558840"/>
      <w:bookmarkStart w:id="581" w:name="_Toc296503146"/>
      <w:r>
        <w:rPr>
          <w:rFonts w:hint="eastAsia" w:ascii="宋体" w:hAnsi="宋体" w:eastAsia="宋体" w:cs="宋体"/>
          <w:b w:val="0"/>
          <w:color w:val="auto"/>
          <w:sz w:val="24"/>
          <w:szCs w:val="24"/>
        </w:rPr>
        <w:t>. 争议解决</w:t>
      </w:r>
      <w:bookmarkEnd w:id="578"/>
    </w:p>
    <w:bookmarkEnd w:id="579"/>
    <w:bookmarkEnd w:id="580"/>
    <w:bookmarkEnd w:id="581"/>
    <w:p w14:paraId="142A4702">
      <w:pPr>
        <w:pStyle w:val="8"/>
        <w:spacing w:before="120" w:beforeLines="0" w:after="120" w:afterLines="0" w:line="288" w:lineRule="auto"/>
        <w:ind w:firstLine="480" w:firstLineChars="200"/>
        <w:rPr>
          <w:rFonts w:hint="eastAsia" w:ascii="宋体" w:hAnsi="宋体" w:eastAsia="宋体" w:cs="宋体"/>
          <w:b w:val="0"/>
          <w:color w:val="auto"/>
          <w:sz w:val="24"/>
          <w:szCs w:val="24"/>
        </w:rPr>
      </w:pPr>
      <w:bookmarkStart w:id="582" w:name="_Toc351203627"/>
      <w:bookmarkStart w:id="583" w:name="_Toc296346648"/>
      <w:bookmarkStart w:id="584" w:name="_Toc296503147"/>
      <w:bookmarkStart w:id="585" w:name="_Toc337558841"/>
      <w:r>
        <w:rPr>
          <w:rFonts w:hint="eastAsia" w:ascii="宋体" w:hAnsi="宋体" w:eastAsia="宋体" w:cs="宋体"/>
          <w:b w:val="0"/>
          <w:color w:val="auto"/>
          <w:sz w:val="24"/>
          <w:szCs w:val="24"/>
        </w:rPr>
        <w:t>20.1和解</w:t>
      </w:r>
      <w:bookmarkEnd w:id="582"/>
    </w:p>
    <w:bookmarkEnd w:id="583"/>
    <w:bookmarkEnd w:id="584"/>
    <w:bookmarkEnd w:id="585"/>
    <w:p w14:paraId="5D36BB22">
      <w:pPr>
        <w:autoSpaceDE w:val="0"/>
        <w:autoSpaceDN w:val="0"/>
        <w:adjustRightInd w:val="0"/>
        <w:spacing w:beforeLines="0" w:afterLines="0" w:line="288" w:lineRule="auto"/>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合同当事人可以就争议自行和解，自行和解达成协议的经双方签字并盖章后作为合同补充文件，双方均应遵照执行。</w:t>
      </w:r>
    </w:p>
    <w:p w14:paraId="373B408D">
      <w:pPr>
        <w:pStyle w:val="8"/>
        <w:spacing w:before="120" w:beforeLines="0" w:after="120" w:afterLines="0" w:line="288" w:lineRule="auto"/>
        <w:ind w:firstLine="480" w:firstLineChars="200"/>
        <w:rPr>
          <w:rFonts w:hint="eastAsia" w:ascii="宋体" w:hAnsi="宋体" w:eastAsia="宋体" w:cs="宋体"/>
          <w:b w:val="0"/>
          <w:color w:val="auto"/>
          <w:sz w:val="24"/>
          <w:szCs w:val="24"/>
        </w:rPr>
      </w:pPr>
      <w:bookmarkStart w:id="586" w:name="_Toc351203628"/>
      <w:r>
        <w:rPr>
          <w:rFonts w:hint="eastAsia" w:ascii="宋体" w:hAnsi="宋体" w:eastAsia="宋体" w:cs="宋体"/>
          <w:b w:val="0"/>
          <w:color w:val="auto"/>
          <w:sz w:val="24"/>
          <w:szCs w:val="24"/>
        </w:rPr>
        <w:t>20</w:t>
      </w:r>
      <w:bookmarkStart w:id="587" w:name="_Toc296346649"/>
      <w:bookmarkStart w:id="588" w:name="_Toc337558842"/>
      <w:bookmarkStart w:id="589" w:name="_Toc296503148"/>
      <w:r>
        <w:rPr>
          <w:rFonts w:hint="eastAsia" w:ascii="宋体" w:hAnsi="宋体" w:eastAsia="宋体" w:cs="宋体"/>
          <w:b w:val="0"/>
          <w:color w:val="auto"/>
          <w:sz w:val="24"/>
          <w:szCs w:val="24"/>
        </w:rPr>
        <w:t>.2调解</w:t>
      </w:r>
      <w:bookmarkEnd w:id="586"/>
    </w:p>
    <w:bookmarkEnd w:id="587"/>
    <w:bookmarkEnd w:id="588"/>
    <w:bookmarkEnd w:id="589"/>
    <w:p w14:paraId="2F0E83CB">
      <w:pPr>
        <w:autoSpaceDE w:val="0"/>
        <w:autoSpaceDN w:val="0"/>
        <w:adjustRightInd w:val="0"/>
        <w:spacing w:beforeLines="0" w:afterLines="0" w:line="288" w:lineRule="auto"/>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合同当事人可以就争议请求建设行政主管部门、行业协会或其他第三方进行调解，调解达成协议的，经双方签字并盖章后作为合同补充文件，双方均应遵照执行。</w:t>
      </w:r>
    </w:p>
    <w:p w14:paraId="28FE1299">
      <w:pPr>
        <w:pStyle w:val="8"/>
        <w:spacing w:before="120" w:beforeLines="0" w:after="120" w:afterLines="0" w:line="288" w:lineRule="auto"/>
        <w:ind w:firstLine="480" w:firstLineChars="200"/>
        <w:rPr>
          <w:rFonts w:hint="eastAsia" w:ascii="宋体" w:hAnsi="宋体" w:eastAsia="宋体" w:cs="宋体"/>
          <w:b w:val="0"/>
          <w:color w:val="auto"/>
          <w:sz w:val="24"/>
          <w:szCs w:val="24"/>
        </w:rPr>
      </w:pPr>
      <w:bookmarkStart w:id="590" w:name="_Toc351203629"/>
      <w:bookmarkStart w:id="591" w:name="_Toc296346650"/>
      <w:bookmarkStart w:id="592" w:name="_Toc337558843"/>
      <w:bookmarkStart w:id="593" w:name="_Toc296503149"/>
      <w:r>
        <w:rPr>
          <w:rFonts w:hint="eastAsia" w:ascii="宋体" w:hAnsi="宋体" w:eastAsia="宋体" w:cs="宋体"/>
          <w:b w:val="0"/>
          <w:color w:val="auto"/>
          <w:sz w:val="24"/>
          <w:szCs w:val="24"/>
        </w:rPr>
        <w:t>20.3争议评审</w:t>
      </w:r>
      <w:bookmarkEnd w:id="590"/>
    </w:p>
    <w:bookmarkEnd w:id="591"/>
    <w:bookmarkEnd w:id="592"/>
    <w:bookmarkEnd w:id="593"/>
    <w:p w14:paraId="0AD88D3D">
      <w:pPr>
        <w:autoSpaceDE w:val="0"/>
        <w:autoSpaceDN w:val="0"/>
        <w:adjustRightInd w:val="0"/>
        <w:spacing w:beforeLines="0" w:afterLines="0" w:line="288" w:lineRule="auto"/>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 xml:space="preserve">合同当事人在专用合同条款中约定采取争议评审方式解决争议以及评审规则，并按下列约定执行： </w:t>
      </w:r>
    </w:p>
    <w:p w14:paraId="3DF283AE">
      <w:pPr>
        <w:autoSpaceDE w:val="0"/>
        <w:autoSpaceDN w:val="0"/>
        <w:adjustRightInd w:val="0"/>
        <w:spacing w:beforeLines="0" w:afterLines="0" w:line="288" w:lineRule="auto"/>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20.3.1 争议评审小组的确定</w:t>
      </w:r>
    </w:p>
    <w:p w14:paraId="2BB8DE9F">
      <w:pPr>
        <w:autoSpaceDE w:val="0"/>
        <w:autoSpaceDN w:val="0"/>
        <w:adjustRightInd w:val="0"/>
        <w:spacing w:beforeLines="0" w:afterLines="0" w:line="288" w:lineRule="auto"/>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合同当事人可以共同选择一名或三名争议评审员，组成争议评审小组。除专用合同条款另有约定外，合同当事人应当自合同签订后28天内，或者争议发生后14天内，选定争议评审员。</w:t>
      </w:r>
    </w:p>
    <w:p w14:paraId="640FFB4E">
      <w:pPr>
        <w:autoSpaceDE w:val="0"/>
        <w:autoSpaceDN w:val="0"/>
        <w:adjustRightInd w:val="0"/>
        <w:spacing w:beforeLines="0" w:afterLines="0" w:line="288" w:lineRule="auto"/>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 xml:space="preserve">选择一名争议评审员的，由合同当事人共同确定；选择三名争议评审员的，各自选定一名，第三名成员为首席争议评审员，由合同当事人共同确定或由合同当事人委托已选定的争议评审员共同确定，或由专用合同条款约定的评审机构指定第三名首席争议评审员。 </w:t>
      </w:r>
    </w:p>
    <w:p w14:paraId="441E6011">
      <w:pPr>
        <w:autoSpaceDE w:val="0"/>
        <w:autoSpaceDN w:val="0"/>
        <w:adjustRightInd w:val="0"/>
        <w:spacing w:beforeLines="0" w:afterLines="0" w:line="288" w:lineRule="auto"/>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除专用合同条款另有约定外，评审员报酬由发包人和承包人各承担一半。</w:t>
      </w:r>
    </w:p>
    <w:p w14:paraId="1BCB3343">
      <w:pPr>
        <w:autoSpaceDE w:val="0"/>
        <w:autoSpaceDN w:val="0"/>
        <w:adjustRightInd w:val="0"/>
        <w:spacing w:beforeLines="0" w:afterLines="0" w:line="288" w:lineRule="auto"/>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20.3.2 争议评审小组的决定</w:t>
      </w:r>
    </w:p>
    <w:p w14:paraId="749838DD">
      <w:pPr>
        <w:autoSpaceDE w:val="0"/>
        <w:autoSpaceDN w:val="0"/>
        <w:adjustRightInd w:val="0"/>
        <w:spacing w:beforeLines="0" w:afterLines="0" w:line="288" w:lineRule="auto"/>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合同当事人可在任何时间将与合同有关的任何争议共同提请争议评审小组进行评审。争议评审小组应秉持客观、公正原则，充分听取合同当事人的意见，依据相关法律、规范、标准、案例经验及商业惯例等，自收到争议评审申请报告后14天内作出书面决定，并说明理由。合同当事人可以在专用合同条款中对本项事项另行约定。</w:t>
      </w:r>
    </w:p>
    <w:p w14:paraId="0348336C">
      <w:pPr>
        <w:autoSpaceDE w:val="0"/>
        <w:autoSpaceDN w:val="0"/>
        <w:adjustRightInd w:val="0"/>
        <w:spacing w:beforeLines="0" w:afterLines="0" w:line="288" w:lineRule="auto"/>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20.3.3 争议评审小组决定的效力</w:t>
      </w:r>
    </w:p>
    <w:p w14:paraId="79FD6552">
      <w:pPr>
        <w:autoSpaceDE w:val="0"/>
        <w:autoSpaceDN w:val="0"/>
        <w:adjustRightInd w:val="0"/>
        <w:spacing w:beforeLines="0" w:afterLines="0" w:line="288" w:lineRule="auto"/>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争议评审小组作出的书面决定经合同当事人签字确认后，对双方具有约束力，双方应遵照执行。</w:t>
      </w:r>
    </w:p>
    <w:p w14:paraId="7FB0EDBB">
      <w:pPr>
        <w:autoSpaceDE w:val="0"/>
        <w:autoSpaceDN w:val="0"/>
        <w:adjustRightInd w:val="0"/>
        <w:spacing w:beforeLines="0" w:afterLines="0" w:line="288" w:lineRule="auto"/>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任何一方当事人不接受争议评审小组决定或不履行争议评审小组决定的，双方可选择采用其他争议解决方式。</w:t>
      </w:r>
    </w:p>
    <w:p w14:paraId="029A86E5">
      <w:pPr>
        <w:pStyle w:val="8"/>
        <w:spacing w:before="120" w:beforeLines="0" w:after="120" w:afterLines="0" w:line="288" w:lineRule="auto"/>
        <w:ind w:firstLine="480" w:firstLineChars="200"/>
        <w:rPr>
          <w:rFonts w:hint="eastAsia" w:ascii="宋体" w:hAnsi="宋体" w:eastAsia="宋体" w:cs="宋体"/>
          <w:b w:val="0"/>
          <w:color w:val="auto"/>
          <w:sz w:val="24"/>
          <w:szCs w:val="24"/>
        </w:rPr>
      </w:pPr>
      <w:bookmarkStart w:id="594" w:name="_Toc351203630"/>
      <w:bookmarkStart w:id="595" w:name="_Toc296503150"/>
      <w:bookmarkStart w:id="596" w:name="_Toc337558844"/>
      <w:bookmarkStart w:id="597" w:name="_Toc296346651"/>
      <w:r>
        <w:rPr>
          <w:rFonts w:hint="eastAsia" w:ascii="宋体" w:hAnsi="宋体" w:eastAsia="宋体" w:cs="宋体"/>
          <w:b w:val="0"/>
          <w:color w:val="auto"/>
          <w:sz w:val="24"/>
          <w:szCs w:val="24"/>
        </w:rPr>
        <w:t>20.4仲裁或诉讼</w:t>
      </w:r>
      <w:bookmarkEnd w:id="594"/>
    </w:p>
    <w:bookmarkEnd w:id="595"/>
    <w:bookmarkEnd w:id="596"/>
    <w:bookmarkEnd w:id="597"/>
    <w:p w14:paraId="03149B40">
      <w:pPr>
        <w:autoSpaceDE w:val="0"/>
        <w:autoSpaceDN w:val="0"/>
        <w:adjustRightInd w:val="0"/>
        <w:spacing w:beforeLines="0" w:afterLines="0" w:line="288" w:lineRule="auto"/>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因合同及合同有关事项产生的争议，合同当事人可以在专用合同条款中约定以下一种方式解决争议：</w:t>
      </w:r>
    </w:p>
    <w:p w14:paraId="4C904F3E">
      <w:pPr>
        <w:autoSpaceDE w:val="0"/>
        <w:autoSpaceDN w:val="0"/>
        <w:adjustRightInd w:val="0"/>
        <w:spacing w:beforeLines="0" w:afterLines="0" w:line="288" w:lineRule="auto"/>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（1）向约定的仲裁委员会申请仲裁；</w:t>
      </w:r>
    </w:p>
    <w:p w14:paraId="066070F6">
      <w:pPr>
        <w:autoSpaceDE w:val="0"/>
        <w:autoSpaceDN w:val="0"/>
        <w:adjustRightInd w:val="0"/>
        <w:spacing w:beforeLines="0" w:afterLines="0" w:line="288" w:lineRule="auto"/>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（2）向有管辖权的人民法院起诉。</w:t>
      </w:r>
    </w:p>
    <w:p w14:paraId="3272C914">
      <w:pPr>
        <w:pStyle w:val="8"/>
        <w:spacing w:before="120" w:beforeLines="0" w:after="120" w:afterLines="0" w:line="288" w:lineRule="auto"/>
        <w:ind w:firstLine="480" w:firstLineChars="200"/>
        <w:rPr>
          <w:rFonts w:hint="eastAsia" w:ascii="宋体" w:hAnsi="宋体" w:eastAsia="宋体" w:cs="宋体"/>
          <w:b w:val="0"/>
          <w:color w:val="auto"/>
          <w:sz w:val="24"/>
          <w:szCs w:val="24"/>
        </w:rPr>
      </w:pPr>
      <w:bookmarkStart w:id="598" w:name="_Toc351203631"/>
      <w:bookmarkStart w:id="599" w:name="_Toc337558845"/>
      <w:bookmarkStart w:id="600" w:name="_Toc296346653"/>
      <w:bookmarkStart w:id="601" w:name="_Toc296503152"/>
      <w:r>
        <w:rPr>
          <w:rFonts w:hint="eastAsia" w:ascii="宋体" w:hAnsi="宋体" w:eastAsia="宋体" w:cs="宋体"/>
          <w:b w:val="0"/>
          <w:color w:val="auto"/>
          <w:sz w:val="24"/>
          <w:szCs w:val="24"/>
        </w:rPr>
        <w:t>20.5争议解决条款效力</w:t>
      </w:r>
      <w:bookmarkEnd w:id="598"/>
    </w:p>
    <w:bookmarkEnd w:id="599"/>
    <w:bookmarkEnd w:id="600"/>
    <w:bookmarkEnd w:id="601"/>
    <w:p w14:paraId="7906292D">
      <w:pPr>
        <w:autoSpaceDE w:val="0"/>
        <w:autoSpaceDN w:val="0"/>
        <w:adjustRightInd w:val="0"/>
        <w:spacing w:beforeLines="0" w:afterLines="0" w:line="288" w:lineRule="auto"/>
        <w:ind w:firstLine="480" w:firstLineChars="200"/>
        <w:jc w:val="left"/>
        <w:rPr>
          <w:rFonts w:hint="eastAsia" w:ascii="宋体" w:hAnsi="宋体" w:eastAsia="宋体" w:cs="宋体"/>
          <w:color w:val="auto"/>
          <w:sz w:val="21"/>
          <w:szCs w:val="24"/>
        </w:rPr>
      </w:pPr>
      <w:r>
        <w:rPr>
          <w:rFonts w:hint="eastAsia" w:ascii="宋体" w:hAnsi="宋体" w:eastAsia="宋体" w:cs="宋体"/>
          <w:color w:val="auto"/>
          <w:kern w:val="0"/>
          <w:sz w:val="24"/>
          <w:szCs w:val="24"/>
        </w:rPr>
        <w:t xml:space="preserve">合同有关争议解决的条款独立存在，合同的变更、解除、终止、无效或者被撤销均不影响其效力。 </w:t>
      </w:r>
    </w:p>
    <w:p w14:paraId="14C23A66">
      <w:pPr>
        <w:spacing w:beforeLines="0" w:afterLines="0"/>
        <w:rPr>
          <w:rFonts w:hint="eastAsia" w:ascii="宋体" w:hAnsi="宋体" w:eastAsia="宋体" w:cs="宋体"/>
          <w:color w:val="auto"/>
          <w:spacing w:val="20"/>
          <w:sz w:val="30"/>
          <w:szCs w:val="30"/>
        </w:rPr>
      </w:pPr>
      <w:r>
        <w:rPr>
          <w:rFonts w:hint="eastAsia" w:ascii="宋体" w:hAnsi="宋体" w:eastAsia="宋体" w:cs="宋体"/>
          <w:color w:val="auto"/>
          <w:spacing w:val="20"/>
          <w:sz w:val="30"/>
          <w:szCs w:val="30"/>
        </w:rPr>
        <w:br w:type="page"/>
      </w:r>
    </w:p>
    <w:p w14:paraId="06E6EC33">
      <w:pPr>
        <w:pStyle w:val="4"/>
        <w:keepNext w:val="0"/>
        <w:keepLines w:val="0"/>
        <w:spacing w:beforeLines="0" w:afterLines="0" w:line="312" w:lineRule="auto"/>
        <w:jc w:val="center"/>
        <w:rPr>
          <w:rFonts w:hint="eastAsia" w:ascii="宋体" w:hAnsi="宋体" w:eastAsia="宋体" w:cs="宋体"/>
          <w:color w:val="auto"/>
          <w:spacing w:val="20"/>
          <w:sz w:val="30"/>
          <w:szCs w:val="30"/>
        </w:rPr>
      </w:pPr>
      <w:bookmarkStart w:id="602" w:name="_Toc31905"/>
      <w:bookmarkStart w:id="603" w:name="_Toc11691"/>
      <w:r>
        <w:rPr>
          <w:rFonts w:hint="eastAsia" w:ascii="宋体" w:hAnsi="宋体" w:eastAsia="宋体" w:cs="宋体"/>
          <w:color w:val="auto"/>
          <w:spacing w:val="20"/>
          <w:sz w:val="30"/>
          <w:szCs w:val="30"/>
        </w:rPr>
        <w:t>第三部分 专用合同条款</w:t>
      </w:r>
      <w:bookmarkEnd w:id="602"/>
      <w:bookmarkEnd w:id="603"/>
    </w:p>
    <w:p w14:paraId="7FE48EE6">
      <w:pPr>
        <w:spacing w:beforeLines="0" w:afterLines="0"/>
        <w:rPr>
          <w:rFonts w:hint="eastAsia" w:ascii="宋体" w:hAnsi="宋体" w:eastAsia="宋体" w:cs="宋体"/>
          <w:color w:val="auto"/>
          <w:sz w:val="21"/>
          <w:szCs w:val="24"/>
        </w:rPr>
      </w:pPr>
    </w:p>
    <w:p w14:paraId="3CD127A0">
      <w:pPr>
        <w:pStyle w:val="5"/>
        <w:adjustRightInd w:val="0"/>
        <w:snapToGrid w:val="0"/>
        <w:spacing w:beforeLines="0" w:afterLines="0" w:line="356" w:lineRule="auto"/>
        <w:ind w:firstLine="562" w:firstLineChars="200"/>
        <w:rPr>
          <w:rFonts w:hint="eastAsia" w:ascii="宋体" w:hAnsi="宋体" w:eastAsia="宋体" w:cs="宋体"/>
          <w:color w:val="auto"/>
          <w:sz w:val="28"/>
          <w:szCs w:val="44"/>
        </w:rPr>
      </w:pPr>
      <w:bookmarkStart w:id="604" w:name="_Toc439779031"/>
      <w:bookmarkStart w:id="605" w:name="_Toc461982826"/>
      <w:bookmarkStart w:id="606" w:name="_Toc14791"/>
      <w:bookmarkStart w:id="607" w:name="_Toc14784"/>
      <w:bookmarkStart w:id="608" w:name="_Toc389065258"/>
      <w:bookmarkStart w:id="609" w:name="_Toc351203633"/>
      <w:bookmarkStart w:id="610" w:name="_Toc373227692"/>
      <w:bookmarkStart w:id="611" w:name="_Toc373478339"/>
      <w:bookmarkStart w:id="612" w:name="_Toc30366"/>
      <w:bookmarkStart w:id="613" w:name="_Toc296890984"/>
      <w:bookmarkStart w:id="614" w:name="_Toc296891196"/>
      <w:bookmarkStart w:id="615" w:name="_Toc296503156"/>
      <w:bookmarkStart w:id="616" w:name="_Toc296346657"/>
      <w:bookmarkStart w:id="617" w:name="_Toc292559361"/>
      <w:bookmarkStart w:id="618" w:name="_Toc297048342"/>
      <w:bookmarkStart w:id="619" w:name="_Toc292559866"/>
      <w:bookmarkStart w:id="620" w:name="_Toc297120456"/>
      <w:bookmarkStart w:id="621" w:name="_Toc296347155"/>
      <w:bookmarkStart w:id="622" w:name="_Toc296944495"/>
      <w:r>
        <w:rPr>
          <w:rFonts w:hint="eastAsia" w:ascii="宋体" w:hAnsi="宋体" w:eastAsia="宋体" w:cs="宋体"/>
          <w:color w:val="auto"/>
          <w:sz w:val="28"/>
          <w:szCs w:val="44"/>
        </w:rPr>
        <w:t>一、一般约定</w:t>
      </w:r>
      <w:bookmarkEnd w:id="604"/>
      <w:bookmarkEnd w:id="605"/>
      <w:bookmarkEnd w:id="606"/>
      <w:bookmarkEnd w:id="607"/>
      <w:bookmarkEnd w:id="608"/>
      <w:bookmarkEnd w:id="609"/>
      <w:bookmarkEnd w:id="610"/>
      <w:bookmarkEnd w:id="611"/>
      <w:bookmarkEnd w:id="612"/>
    </w:p>
    <w:bookmarkEnd w:id="613"/>
    <w:bookmarkEnd w:id="614"/>
    <w:bookmarkEnd w:id="615"/>
    <w:bookmarkEnd w:id="616"/>
    <w:bookmarkEnd w:id="617"/>
    <w:bookmarkEnd w:id="618"/>
    <w:bookmarkEnd w:id="619"/>
    <w:bookmarkEnd w:id="620"/>
    <w:bookmarkEnd w:id="621"/>
    <w:bookmarkEnd w:id="622"/>
    <w:p w14:paraId="05883D65">
      <w:pPr>
        <w:pStyle w:val="6"/>
        <w:adjustRightInd w:val="0"/>
        <w:snapToGrid w:val="0"/>
        <w:spacing w:before="0" w:beforeLines="0" w:after="0" w:afterLines="0" w:line="356" w:lineRule="auto"/>
        <w:ind w:firstLine="482" w:firstLineChars="200"/>
        <w:rPr>
          <w:rFonts w:hint="eastAsia" w:ascii="宋体" w:hAnsi="宋体" w:eastAsia="宋体" w:cs="宋体"/>
          <w:color w:val="auto"/>
          <w:sz w:val="24"/>
          <w:szCs w:val="40"/>
        </w:rPr>
      </w:pPr>
      <w:bookmarkStart w:id="623" w:name="_Toc20097"/>
      <w:bookmarkStart w:id="624" w:name="_Toc373227693"/>
      <w:bookmarkStart w:id="625" w:name="_Toc439779032"/>
      <w:bookmarkStart w:id="626" w:name="_Toc389065259"/>
      <w:bookmarkStart w:id="627" w:name="_Toc16308"/>
      <w:bookmarkStart w:id="628" w:name="_Toc461982827"/>
      <w:bookmarkStart w:id="629" w:name="_Toc373478340"/>
      <w:bookmarkStart w:id="630" w:name="_Toc26702"/>
      <w:r>
        <w:rPr>
          <w:rFonts w:hint="eastAsia" w:ascii="宋体" w:hAnsi="宋体" w:eastAsia="宋体" w:cs="宋体"/>
          <w:color w:val="auto"/>
          <w:sz w:val="24"/>
          <w:szCs w:val="40"/>
        </w:rPr>
        <w:t>1.1 词语定义</w:t>
      </w:r>
      <w:bookmarkEnd w:id="623"/>
      <w:bookmarkEnd w:id="624"/>
      <w:bookmarkEnd w:id="625"/>
      <w:bookmarkEnd w:id="626"/>
      <w:bookmarkEnd w:id="627"/>
      <w:bookmarkEnd w:id="628"/>
      <w:bookmarkEnd w:id="629"/>
      <w:bookmarkEnd w:id="630"/>
    </w:p>
    <w:p w14:paraId="48615A16">
      <w:pPr>
        <w:adjustRightInd w:val="0"/>
        <w:snapToGrid w:val="0"/>
        <w:spacing w:beforeLines="0" w:afterLines="0" w:line="356" w:lineRule="auto"/>
        <w:ind w:firstLine="480" w:firstLineChars="200"/>
        <w:outlineLvl w:val="0"/>
        <w:rPr>
          <w:rFonts w:hint="eastAsia" w:ascii="宋体" w:hAnsi="宋体" w:eastAsia="宋体" w:cs="宋体"/>
          <w:color w:val="auto"/>
          <w:kern w:val="0"/>
          <w:sz w:val="24"/>
          <w:szCs w:val="24"/>
        </w:rPr>
      </w:pPr>
      <w:bookmarkStart w:id="631" w:name="_Toc6577"/>
      <w:bookmarkStart w:id="632" w:name="_Toc26581"/>
      <w:r>
        <w:rPr>
          <w:rFonts w:hint="eastAsia" w:ascii="宋体" w:hAnsi="宋体" w:eastAsia="宋体" w:cs="宋体"/>
          <w:color w:val="auto"/>
          <w:kern w:val="0"/>
          <w:sz w:val="24"/>
          <w:szCs w:val="24"/>
        </w:rPr>
        <w:t>1.1.1 合同</w:t>
      </w:r>
      <w:bookmarkEnd w:id="631"/>
      <w:bookmarkEnd w:id="632"/>
    </w:p>
    <w:p w14:paraId="57EADA8B">
      <w:pPr>
        <w:adjustRightInd w:val="0"/>
        <w:snapToGrid w:val="0"/>
        <w:spacing w:beforeLines="0" w:afterLines="0" w:line="356"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kern w:val="0"/>
          <w:sz w:val="24"/>
          <w:szCs w:val="24"/>
        </w:rPr>
        <w:t>1.1.1.10 其他合同文件包括：</w:t>
      </w:r>
      <w:r>
        <w:rPr>
          <w:rFonts w:hint="eastAsia" w:ascii="宋体" w:hAnsi="宋体" w:eastAsia="宋体" w:cs="宋体"/>
          <w:color w:val="auto"/>
          <w:sz w:val="24"/>
          <w:szCs w:val="24"/>
          <w:u w:val="single"/>
        </w:rPr>
        <w:t xml:space="preserve">投标（响应）文件及其附件，招标（磋商）文件（含补充通知和答疑），履约保证金缴纳证明（如有），履约过程中双方法定代表人（或双方工地代表人）书面确认的对合同内容有实质性影响的会议纪要、签证、设计变更等资料 </w:t>
      </w:r>
      <w:r>
        <w:rPr>
          <w:rFonts w:hint="eastAsia" w:ascii="宋体" w:hAnsi="宋体" w:eastAsia="宋体" w:cs="宋体"/>
          <w:color w:val="auto"/>
          <w:sz w:val="24"/>
          <w:szCs w:val="24"/>
        </w:rPr>
        <w:t>。</w:t>
      </w:r>
    </w:p>
    <w:p w14:paraId="600DF9B4">
      <w:pPr>
        <w:adjustRightInd w:val="0"/>
        <w:snapToGrid w:val="0"/>
        <w:spacing w:beforeLines="0" w:afterLines="0" w:line="356" w:lineRule="auto"/>
        <w:ind w:firstLine="480" w:firstLineChars="200"/>
        <w:rPr>
          <w:rFonts w:hint="eastAsia" w:ascii="宋体" w:hAnsi="宋体" w:eastAsia="宋体" w:cs="宋体"/>
          <w:color w:val="auto"/>
          <w:sz w:val="24"/>
          <w:szCs w:val="32"/>
        </w:rPr>
      </w:pPr>
      <w:bookmarkStart w:id="633" w:name="_Toc373227696"/>
      <w:bookmarkStart w:id="634" w:name="_Toc389065262"/>
      <w:bookmarkStart w:id="635" w:name="_Toc439779035"/>
      <w:bookmarkStart w:id="636" w:name="_Toc373478343"/>
      <w:bookmarkStart w:id="637" w:name="_Toc25240"/>
      <w:bookmarkStart w:id="638" w:name="_Toc26377"/>
      <w:bookmarkStart w:id="639" w:name="_Toc461982830"/>
      <w:r>
        <w:rPr>
          <w:rFonts w:hint="eastAsia" w:ascii="宋体" w:hAnsi="宋体" w:eastAsia="宋体" w:cs="宋体"/>
          <w:color w:val="auto"/>
          <w:sz w:val="24"/>
          <w:szCs w:val="32"/>
        </w:rPr>
        <w:t>1.2本合同除使用汉语外，还使用</w:t>
      </w:r>
      <w:r>
        <w:rPr>
          <w:rFonts w:hint="eastAsia" w:ascii="宋体" w:hAnsi="宋体" w:eastAsia="宋体" w:cs="宋体"/>
          <w:color w:val="auto"/>
          <w:sz w:val="24"/>
          <w:szCs w:val="32"/>
          <w:u w:val="single"/>
        </w:rPr>
        <w:t xml:space="preserve"> 无其他 </w:t>
      </w:r>
      <w:r>
        <w:rPr>
          <w:rFonts w:hint="eastAsia" w:ascii="宋体" w:hAnsi="宋体" w:eastAsia="宋体" w:cs="宋体"/>
          <w:color w:val="auto"/>
          <w:sz w:val="24"/>
          <w:szCs w:val="32"/>
        </w:rPr>
        <w:t>语言文字</w:t>
      </w:r>
    </w:p>
    <w:p w14:paraId="47D4631A">
      <w:pPr>
        <w:adjustRightInd w:val="0"/>
        <w:snapToGrid w:val="0"/>
        <w:spacing w:beforeLines="0" w:afterLines="0" w:line="356" w:lineRule="auto"/>
        <w:ind w:firstLine="480" w:firstLineChars="200"/>
        <w:rPr>
          <w:rFonts w:hint="eastAsia" w:ascii="宋体" w:hAnsi="宋体" w:eastAsia="宋体" w:cs="宋体"/>
          <w:color w:val="auto"/>
          <w:sz w:val="24"/>
          <w:szCs w:val="32"/>
        </w:rPr>
      </w:pPr>
      <w:r>
        <w:rPr>
          <w:rFonts w:hint="eastAsia" w:ascii="宋体" w:hAnsi="宋体" w:eastAsia="宋体" w:cs="宋体"/>
          <w:color w:val="auto"/>
          <w:sz w:val="24"/>
          <w:szCs w:val="32"/>
        </w:rPr>
        <w:t>1.3法律和法规</w:t>
      </w:r>
    </w:p>
    <w:p w14:paraId="301977C0">
      <w:pPr>
        <w:adjustRightInd w:val="0"/>
        <w:snapToGrid w:val="0"/>
        <w:spacing w:beforeLines="0" w:afterLines="0" w:line="356" w:lineRule="auto"/>
        <w:ind w:firstLine="480" w:firstLineChars="200"/>
        <w:rPr>
          <w:rFonts w:hint="eastAsia" w:ascii="宋体" w:hAnsi="宋体" w:eastAsia="宋体" w:cs="宋体"/>
          <w:color w:val="auto"/>
          <w:sz w:val="24"/>
          <w:szCs w:val="32"/>
          <w:u w:val="single"/>
        </w:rPr>
      </w:pPr>
      <w:r>
        <w:rPr>
          <w:rFonts w:hint="eastAsia" w:ascii="宋体" w:hAnsi="宋体" w:eastAsia="宋体" w:cs="宋体"/>
          <w:color w:val="auto"/>
          <w:sz w:val="24"/>
          <w:szCs w:val="32"/>
        </w:rPr>
        <w:t>需要明示的法律、行政法规：</w:t>
      </w:r>
      <w:r>
        <w:rPr>
          <w:rFonts w:hint="eastAsia" w:ascii="宋体" w:hAnsi="宋体" w:eastAsia="宋体" w:cs="宋体"/>
          <w:color w:val="auto"/>
          <w:sz w:val="24"/>
          <w:szCs w:val="32"/>
          <w:u w:val="single"/>
        </w:rPr>
        <w:t xml:space="preserve"> 按合同签订时国家现行法律、行政法规及工程所在地政府的有关法规和规章。</w:t>
      </w:r>
    </w:p>
    <w:p w14:paraId="462A9BA0">
      <w:pPr>
        <w:adjustRightInd w:val="0"/>
        <w:snapToGrid w:val="0"/>
        <w:spacing w:beforeLines="0" w:afterLines="0" w:line="356" w:lineRule="auto"/>
        <w:ind w:firstLine="480" w:firstLineChars="200"/>
        <w:rPr>
          <w:rFonts w:hint="eastAsia" w:ascii="宋体" w:hAnsi="宋体" w:eastAsia="宋体" w:cs="宋体"/>
          <w:color w:val="auto"/>
          <w:sz w:val="24"/>
          <w:szCs w:val="32"/>
          <w:u w:val="single"/>
        </w:rPr>
      </w:pPr>
      <w:r>
        <w:rPr>
          <w:rFonts w:hint="eastAsia" w:ascii="宋体" w:hAnsi="宋体" w:eastAsia="宋体" w:cs="宋体"/>
          <w:color w:val="auto"/>
          <w:sz w:val="24"/>
          <w:szCs w:val="32"/>
        </w:rPr>
        <w:t>1.4发包人提供标准、规范时间：</w:t>
      </w:r>
      <w:r>
        <w:rPr>
          <w:rFonts w:hint="eastAsia" w:ascii="宋体" w:hAnsi="宋体" w:eastAsia="宋体" w:cs="宋体"/>
          <w:color w:val="auto"/>
          <w:sz w:val="24"/>
          <w:szCs w:val="32"/>
          <w:u w:val="single"/>
        </w:rPr>
        <w:t xml:space="preserve"> 无 。</w:t>
      </w:r>
    </w:p>
    <w:p w14:paraId="4564A6FD">
      <w:pPr>
        <w:pStyle w:val="6"/>
        <w:adjustRightInd w:val="0"/>
        <w:snapToGrid w:val="0"/>
        <w:spacing w:before="0" w:beforeLines="0" w:after="0" w:afterLines="0" w:line="356" w:lineRule="auto"/>
        <w:ind w:firstLine="480" w:firstLineChars="200"/>
        <w:rPr>
          <w:rFonts w:hint="eastAsia" w:ascii="宋体" w:hAnsi="宋体" w:eastAsia="宋体" w:cs="宋体"/>
          <w:b w:val="0"/>
          <w:color w:val="auto"/>
          <w:sz w:val="24"/>
          <w:szCs w:val="40"/>
        </w:rPr>
      </w:pPr>
      <w:bookmarkStart w:id="640" w:name="_Toc31983"/>
      <w:r>
        <w:rPr>
          <w:rFonts w:hint="eastAsia" w:ascii="宋体" w:hAnsi="宋体" w:eastAsia="宋体" w:cs="宋体"/>
          <w:b w:val="0"/>
          <w:color w:val="auto"/>
          <w:sz w:val="24"/>
          <w:szCs w:val="32"/>
        </w:rPr>
        <w:t>国内没有相应的标准、规范时的约定：</w:t>
      </w:r>
      <w:r>
        <w:rPr>
          <w:rFonts w:hint="eastAsia" w:ascii="宋体" w:hAnsi="宋体" w:eastAsia="宋体" w:cs="宋体"/>
          <w:b w:val="0"/>
          <w:color w:val="auto"/>
          <w:sz w:val="24"/>
          <w:szCs w:val="32"/>
          <w:u w:val="single"/>
        </w:rPr>
        <w:t xml:space="preserve"> 无。</w:t>
      </w:r>
      <w:bookmarkEnd w:id="640"/>
    </w:p>
    <w:p w14:paraId="496A97DB">
      <w:pPr>
        <w:pStyle w:val="6"/>
        <w:adjustRightInd w:val="0"/>
        <w:snapToGrid w:val="0"/>
        <w:spacing w:before="0" w:beforeLines="0" w:after="0" w:afterLines="0" w:line="356" w:lineRule="auto"/>
        <w:ind w:firstLine="482" w:firstLineChars="200"/>
        <w:rPr>
          <w:rFonts w:hint="eastAsia" w:ascii="宋体" w:hAnsi="宋体" w:eastAsia="宋体" w:cs="宋体"/>
          <w:color w:val="auto"/>
          <w:sz w:val="24"/>
          <w:szCs w:val="40"/>
        </w:rPr>
      </w:pPr>
      <w:bookmarkStart w:id="641" w:name="_Toc3650"/>
      <w:r>
        <w:rPr>
          <w:rFonts w:hint="eastAsia" w:ascii="宋体" w:hAnsi="宋体" w:eastAsia="宋体" w:cs="宋体"/>
          <w:color w:val="auto"/>
          <w:sz w:val="24"/>
          <w:szCs w:val="40"/>
        </w:rPr>
        <w:t>1.5合同文件的优先顺序</w:t>
      </w:r>
      <w:bookmarkEnd w:id="633"/>
      <w:bookmarkEnd w:id="634"/>
      <w:bookmarkEnd w:id="635"/>
      <w:bookmarkEnd w:id="636"/>
      <w:bookmarkEnd w:id="637"/>
      <w:bookmarkEnd w:id="638"/>
      <w:bookmarkEnd w:id="639"/>
      <w:bookmarkEnd w:id="641"/>
    </w:p>
    <w:p w14:paraId="67D876DF">
      <w:pPr>
        <w:adjustRightInd w:val="0"/>
        <w:snapToGrid w:val="0"/>
        <w:spacing w:beforeLines="0" w:afterLines="0" w:line="356"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合同文件组成及优先顺序为：</w:t>
      </w:r>
    </w:p>
    <w:p w14:paraId="7979761C">
      <w:pPr>
        <w:adjustRightInd w:val="0"/>
        <w:snapToGrid w:val="0"/>
        <w:spacing w:beforeLines="0" w:afterLines="0" w:line="356" w:lineRule="auto"/>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（1）中标（成交）通知书；</w:t>
      </w:r>
    </w:p>
    <w:p w14:paraId="42B8D373">
      <w:pPr>
        <w:adjustRightInd w:val="0"/>
        <w:snapToGrid w:val="0"/>
        <w:spacing w:beforeLines="0" w:afterLines="0" w:line="356" w:lineRule="auto"/>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（2）投标（磋商）函及其附录；</w:t>
      </w:r>
    </w:p>
    <w:p w14:paraId="2417C9FF">
      <w:pPr>
        <w:adjustRightInd w:val="0"/>
        <w:snapToGrid w:val="0"/>
        <w:spacing w:beforeLines="0" w:afterLines="0" w:line="356" w:lineRule="auto"/>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（3）专用合同条款及其附件；</w:t>
      </w:r>
    </w:p>
    <w:p w14:paraId="7ED5AAAF">
      <w:pPr>
        <w:adjustRightInd w:val="0"/>
        <w:snapToGrid w:val="0"/>
        <w:spacing w:beforeLines="0" w:afterLines="0" w:line="356" w:lineRule="auto"/>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（4）通用合同条款；</w:t>
      </w:r>
    </w:p>
    <w:p w14:paraId="54959D57">
      <w:pPr>
        <w:adjustRightInd w:val="0"/>
        <w:snapToGrid w:val="0"/>
        <w:spacing w:beforeLines="0" w:afterLines="0" w:line="356" w:lineRule="auto"/>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（5）</w:t>
      </w:r>
      <w:r>
        <w:rPr>
          <w:rFonts w:hint="eastAsia" w:ascii="宋体" w:hAnsi="宋体" w:eastAsia="宋体" w:cs="宋体"/>
          <w:color w:val="auto"/>
          <w:kern w:val="0"/>
          <w:sz w:val="24"/>
          <w:szCs w:val="24"/>
          <w:u w:val="single"/>
        </w:rPr>
        <w:t xml:space="preserve"> 技术标准和要求</w:t>
      </w:r>
      <w:r>
        <w:rPr>
          <w:rFonts w:hint="eastAsia" w:ascii="宋体" w:hAnsi="宋体" w:eastAsia="宋体" w:cs="宋体"/>
          <w:color w:val="auto"/>
          <w:kern w:val="0"/>
          <w:sz w:val="24"/>
          <w:szCs w:val="24"/>
        </w:rPr>
        <w:t>；</w:t>
      </w:r>
    </w:p>
    <w:p w14:paraId="2AC7B7E7">
      <w:pPr>
        <w:adjustRightInd w:val="0"/>
        <w:snapToGrid w:val="0"/>
        <w:spacing w:beforeLines="0" w:afterLines="0" w:line="356" w:lineRule="auto"/>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（6）</w:t>
      </w:r>
      <w:r>
        <w:rPr>
          <w:rFonts w:hint="eastAsia" w:ascii="宋体" w:hAnsi="宋体" w:eastAsia="宋体" w:cs="宋体"/>
          <w:color w:val="auto"/>
          <w:kern w:val="0"/>
          <w:sz w:val="24"/>
          <w:szCs w:val="24"/>
          <w:u w:val="single"/>
        </w:rPr>
        <w:t xml:space="preserve"> 施工图纸</w:t>
      </w:r>
      <w:r>
        <w:rPr>
          <w:rFonts w:hint="eastAsia" w:ascii="宋体" w:hAnsi="宋体" w:eastAsia="宋体" w:cs="宋体"/>
          <w:color w:val="auto"/>
          <w:kern w:val="0"/>
          <w:sz w:val="24"/>
          <w:szCs w:val="24"/>
        </w:rPr>
        <w:t>；</w:t>
      </w:r>
    </w:p>
    <w:p w14:paraId="47611B4C">
      <w:pPr>
        <w:adjustRightInd w:val="0"/>
        <w:snapToGrid w:val="0"/>
        <w:spacing w:beforeLines="0" w:afterLines="0" w:line="356" w:lineRule="auto"/>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（7）</w:t>
      </w:r>
      <w:r>
        <w:rPr>
          <w:rFonts w:hint="eastAsia" w:ascii="宋体" w:hAnsi="宋体" w:eastAsia="宋体" w:cs="宋体"/>
          <w:color w:val="auto"/>
          <w:kern w:val="0"/>
          <w:sz w:val="24"/>
          <w:szCs w:val="24"/>
          <w:u w:val="single"/>
        </w:rPr>
        <w:t xml:space="preserve"> 已标价的工程量清单[投标（响应）文件]</w:t>
      </w:r>
      <w:r>
        <w:rPr>
          <w:rFonts w:hint="eastAsia" w:ascii="宋体" w:hAnsi="宋体" w:eastAsia="宋体" w:cs="宋体"/>
          <w:color w:val="auto"/>
          <w:kern w:val="0"/>
          <w:sz w:val="24"/>
          <w:szCs w:val="24"/>
        </w:rPr>
        <w:t>；</w:t>
      </w:r>
    </w:p>
    <w:p w14:paraId="1C21B966">
      <w:pPr>
        <w:adjustRightInd w:val="0"/>
        <w:snapToGrid w:val="0"/>
        <w:spacing w:beforeLines="0" w:afterLines="0" w:line="356" w:lineRule="auto"/>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（8）</w:t>
      </w:r>
      <w:r>
        <w:rPr>
          <w:rFonts w:hint="eastAsia" w:ascii="宋体" w:hAnsi="宋体" w:eastAsia="宋体" w:cs="宋体"/>
          <w:color w:val="auto"/>
          <w:kern w:val="0"/>
          <w:sz w:val="24"/>
          <w:szCs w:val="24"/>
          <w:u w:val="single"/>
        </w:rPr>
        <w:t xml:space="preserve"> 其他合同文件、设计变更等文件  </w:t>
      </w:r>
      <w:r>
        <w:rPr>
          <w:rFonts w:hint="eastAsia" w:ascii="宋体" w:hAnsi="宋体" w:eastAsia="宋体" w:cs="宋体"/>
          <w:color w:val="auto"/>
          <w:kern w:val="0"/>
          <w:sz w:val="24"/>
          <w:szCs w:val="24"/>
        </w:rPr>
        <w:t>。</w:t>
      </w:r>
    </w:p>
    <w:p w14:paraId="67D59EC7">
      <w:pPr>
        <w:adjustRightInd w:val="0"/>
        <w:snapToGrid w:val="0"/>
        <w:spacing w:beforeLines="0" w:afterLines="0" w:line="356" w:lineRule="auto"/>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（9）《建设工程工程量清单计价规范（GB5050-2013）》及其广西实施细则、《建设工程工程量清单计算规范（GB5854~50862-2013）》及其广西实施细则。</w:t>
      </w:r>
    </w:p>
    <w:p w14:paraId="6DBA95BA">
      <w:pPr>
        <w:adjustRightInd w:val="0"/>
        <w:snapToGrid w:val="0"/>
        <w:spacing w:beforeLines="0" w:afterLines="0" w:line="356"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kern w:val="0"/>
          <w:sz w:val="24"/>
          <w:szCs w:val="24"/>
        </w:rPr>
        <w:t>说明：（6）、（7）、（8）填空内容分别限于技术标准和要求、图纸、已标价工程量清单或预算书、其他合同文件四者之一，其优先顺序可根据采取的不同合同方式由双方约定。</w:t>
      </w:r>
    </w:p>
    <w:p w14:paraId="72CF7CDB">
      <w:pPr>
        <w:adjustRightInd w:val="0"/>
        <w:snapToGrid w:val="0"/>
        <w:spacing w:beforeLines="0" w:afterLines="0" w:line="356" w:lineRule="auto"/>
        <w:ind w:firstLine="480" w:firstLineChars="200"/>
        <w:rPr>
          <w:rFonts w:hint="eastAsia" w:ascii="宋体" w:hAnsi="宋体" w:eastAsia="宋体" w:cs="宋体"/>
          <w:color w:val="auto"/>
          <w:sz w:val="24"/>
          <w:szCs w:val="32"/>
        </w:rPr>
      </w:pPr>
      <w:r>
        <w:rPr>
          <w:rFonts w:hint="eastAsia" w:ascii="宋体" w:hAnsi="宋体" w:eastAsia="宋体" w:cs="宋体"/>
          <w:color w:val="auto"/>
          <w:sz w:val="24"/>
          <w:szCs w:val="32"/>
        </w:rPr>
        <w:t>1.6图纸</w:t>
      </w:r>
    </w:p>
    <w:p w14:paraId="63066ECB">
      <w:pPr>
        <w:adjustRightInd w:val="0"/>
        <w:snapToGrid w:val="0"/>
        <w:spacing w:beforeLines="0" w:afterLines="0" w:line="356" w:lineRule="auto"/>
        <w:ind w:firstLine="480" w:firstLineChars="200"/>
        <w:rPr>
          <w:rFonts w:hint="eastAsia" w:ascii="宋体" w:hAnsi="宋体" w:eastAsia="宋体" w:cs="宋体"/>
          <w:color w:val="auto"/>
          <w:sz w:val="24"/>
          <w:szCs w:val="32"/>
          <w:u w:val="single"/>
        </w:rPr>
      </w:pPr>
      <w:r>
        <w:rPr>
          <w:rFonts w:hint="eastAsia" w:ascii="宋体" w:hAnsi="宋体" w:eastAsia="宋体" w:cs="宋体"/>
          <w:color w:val="auto"/>
          <w:sz w:val="24"/>
          <w:szCs w:val="32"/>
        </w:rPr>
        <w:t>1.6.1发包人向承包人提供图纸日期和套数：</w:t>
      </w:r>
      <w:r>
        <w:rPr>
          <w:rFonts w:hint="eastAsia" w:ascii="宋体" w:hAnsi="宋体" w:eastAsia="宋体" w:cs="宋体"/>
          <w:color w:val="auto"/>
          <w:sz w:val="24"/>
          <w:szCs w:val="32"/>
          <w:u w:val="single"/>
        </w:rPr>
        <w:t xml:space="preserve"> 签订合同起5个工作日内提供一式肆份设计图纸。</w:t>
      </w:r>
    </w:p>
    <w:p w14:paraId="4FAC9536">
      <w:pPr>
        <w:adjustRightInd w:val="0"/>
        <w:snapToGrid w:val="0"/>
        <w:spacing w:beforeLines="0" w:afterLines="0" w:line="356" w:lineRule="auto"/>
        <w:ind w:firstLine="480" w:firstLineChars="200"/>
        <w:rPr>
          <w:rFonts w:hint="eastAsia" w:ascii="宋体" w:hAnsi="宋体" w:eastAsia="宋体" w:cs="宋体"/>
          <w:color w:val="auto"/>
          <w:sz w:val="24"/>
          <w:szCs w:val="32"/>
          <w:u w:val="single"/>
        </w:rPr>
      </w:pPr>
      <w:r>
        <w:rPr>
          <w:rFonts w:hint="eastAsia" w:ascii="宋体" w:hAnsi="宋体" w:eastAsia="宋体" w:cs="宋体"/>
          <w:color w:val="auto"/>
          <w:sz w:val="24"/>
          <w:szCs w:val="32"/>
        </w:rPr>
        <w:t>1.12发包人对图纸的保密要求：</w:t>
      </w:r>
      <w:r>
        <w:rPr>
          <w:rFonts w:hint="eastAsia" w:ascii="宋体" w:hAnsi="宋体" w:eastAsia="宋体" w:cs="宋体"/>
          <w:color w:val="auto"/>
          <w:sz w:val="24"/>
          <w:szCs w:val="32"/>
          <w:u w:val="single"/>
        </w:rPr>
        <w:t>未经发包人同意，承包人不得将图纸转借给第三人。</w:t>
      </w:r>
    </w:p>
    <w:p w14:paraId="3CF2E656">
      <w:pPr>
        <w:adjustRightInd w:val="0"/>
        <w:snapToGrid w:val="0"/>
        <w:spacing w:beforeLines="0" w:afterLines="0" w:line="356" w:lineRule="auto"/>
        <w:ind w:firstLine="480" w:firstLineChars="200"/>
        <w:rPr>
          <w:rFonts w:hint="eastAsia" w:ascii="宋体" w:hAnsi="宋体" w:eastAsia="宋体" w:cs="宋体"/>
          <w:color w:val="auto"/>
          <w:sz w:val="24"/>
          <w:szCs w:val="32"/>
          <w:lang w:val="en-US" w:eastAsia="zh-CN"/>
        </w:rPr>
      </w:pPr>
      <w:r>
        <w:rPr>
          <w:rFonts w:hint="eastAsia" w:ascii="宋体" w:hAnsi="宋体" w:eastAsia="宋体" w:cs="宋体"/>
          <w:color w:val="auto"/>
          <w:sz w:val="24"/>
          <w:szCs w:val="32"/>
          <w:lang w:val="en-US" w:eastAsia="zh-CN"/>
        </w:rPr>
        <w:t>1.13工程量清单错误的修正：出现工程量清单存在缺项、漏项时，其价格按以下顺序确定：(1) 合同中有相同子目的</w:t>
      </w:r>
      <w:r>
        <w:rPr>
          <w:rFonts w:hint="eastAsia" w:ascii="宋体" w:hAnsi="宋体" w:eastAsia="宋体" w:cs="宋体"/>
          <w:color w:val="auto"/>
          <w:sz w:val="24"/>
          <w:szCs w:val="32"/>
          <w:lang w:val="en-US" w:eastAsia="zh-CN"/>
        </w:rPr>
        <w:tab/>
      </w:r>
      <w:r>
        <w:rPr>
          <w:rFonts w:hint="eastAsia" w:ascii="宋体" w:hAnsi="宋体" w:eastAsia="宋体" w:cs="宋体"/>
          <w:color w:val="auto"/>
          <w:sz w:val="24"/>
          <w:szCs w:val="32"/>
          <w:lang w:val="en-US" w:eastAsia="zh-CN"/>
        </w:rPr>
        <w:t>，按相同子目单价执行；(2) 合同中有类似子目的，参照类似子目单价执行；(3) 无相同或类似子目的，由承包人提出适当的单价，经发包人及监理人确认后执行。因缺项、漏项导致的新增工作内容，应按变更处理。</w:t>
      </w:r>
    </w:p>
    <w:p w14:paraId="760941BD">
      <w:pPr>
        <w:adjustRightInd w:val="0"/>
        <w:snapToGrid w:val="0"/>
        <w:spacing w:beforeLines="0" w:afterLines="0" w:line="356" w:lineRule="auto"/>
        <w:ind w:firstLine="562" w:firstLineChars="200"/>
        <w:rPr>
          <w:rFonts w:hint="eastAsia" w:ascii="宋体" w:hAnsi="宋体" w:eastAsia="宋体" w:cs="宋体"/>
          <w:b/>
          <w:color w:val="auto"/>
          <w:sz w:val="28"/>
          <w:szCs w:val="36"/>
        </w:rPr>
      </w:pPr>
      <w:r>
        <w:rPr>
          <w:rFonts w:hint="eastAsia" w:ascii="宋体" w:hAnsi="宋体" w:eastAsia="宋体" w:cs="宋体"/>
          <w:b/>
          <w:color w:val="auto"/>
          <w:sz w:val="28"/>
          <w:szCs w:val="36"/>
        </w:rPr>
        <w:t>二、双方一般权利和义务</w:t>
      </w:r>
    </w:p>
    <w:p w14:paraId="67C4F5C1">
      <w:pPr>
        <w:adjustRightInd w:val="0"/>
        <w:snapToGrid w:val="0"/>
        <w:spacing w:beforeLines="0" w:afterLines="0" w:line="356" w:lineRule="auto"/>
        <w:ind w:firstLine="480" w:firstLineChars="200"/>
        <w:rPr>
          <w:rFonts w:hint="eastAsia" w:ascii="宋体" w:hAnsi="宋体" w:eastAsia="宋体" w:cs="宋体"/>
          <w:color w:val="auto"/>
          <w:sz w:val="24"/>
          <w:szCs w:val="32"/>
        </w:rPr>
      </w:pPr>
      <w:r>
        <w:rPr>
          <w:rFonts w:hint="eastAsia" w:ascii="宋体" w:hAnsi="宋体" w:eastAsia="宋体" w:cs="宋体"/>
          <w:color w:val="auto"/>
          <w:sz w:val="24"/>
          <w:szCs w:val="32"/>
        </w:rPr>
        <w:t>2、发包人派驻的工程师</w:t>
      </w:r>
    </w:p>
    <w:p w14:paraId="1863342F">
      <w:pPr>
        <w:adjustRightInd w:val="0"/>
        <w:snapToGrid w:val="0"/>
        <w:spacing w:beforeLines="0" w:afterLines="0" w:line="356" w:lineRule="auto"/>
        <w:ind w:firstLine="480" w:firstLineChars="200"/>
        <w:rPr>
          <w:rFonts w:hint="eastAsia" w:ascii="宋体" w:hAnsi="宋体" w:eastAsia="宋体" w:cs="宋体"/>
          <w:color w:val="auto"/>
          <w:sz w:val="24"/>
          <w:szCs w:val="32"/>
        </w:rPr>
      </w:pPr>
      <w:r>
        <w:rPr>
          <w:rFonts w:hint="eastAsia" w:ascii="宋体" w:hAnsi="宋体" w:eastAsia="宋体" w:cs="宋体"/>
          <w:color w:val="auto"/>
          <w:sz w:val="24"/>
          <w:szCs w:val="32"/>
        </w:rPr>
        <w:t>姓名：</w:t>
      </w:r>
      <w:r>
        <w:rPr>
          <w:rFonts w:hint="eastAsia" w:ascii="宋体" w:hAnsi="宋体" w:eastAsia="宋体" w:cs="宋体"/>
          <w:color w:val="auto"/>
          <w:sz w:val="24"/>
          <w:szCs w:val="32"/>
          <w:u w:val="single"/>
        </w:rPr>
        <w:t xml:space="preserve">          </w:t>
      </w:r>
      <w:r>
        <w:rPr>
          <w:rFonts w:hint="eastAsia" w:ascii="宋体" w:hAnsi="宋体" w:eastAsia="宋体" w:cs="宋体"/>
          <w:color w:val="auto"/>
          <w:sz w:val="24"/>
          <w:szCs w:val="32"/>
        </w:rPr>
        <w:t xml:space="preserve">  职位：</w:t>
      </w:r>
      <w:r>
        <w:rPr>
          <w:rFonts w:hint="eastAsia" w:ascii="宋体" w:hAnsi="宋体" w:eastAsia="宋体" w:cs="宋体"/>
          <w:color w:val="auto"/>
          <w:sz w:val="24"/>
          <w:szCs w:val="32"/>
          <w:u w:val="single"/>
        </w:rPr>
        <w:t xml:space="preserve">           </w:t>
      </w:r>
      <w:r>
        <w:rPr>
          <w:rFonts w:hint="eastAsia" w:ascii="宋体" w:hAnsi="宋体" w:eastAsia="宋体" w:cs="宋体"/>
          <w:color w:val="auto"/>
          <w:sz w:val="24"/>
          <w:szCs w:val="32"/>
        </w:rPr>
        <w:t xml:space="preserve">  电话：</w:t>
      </w:r>
      <w:r>
        <w:rPr>
          <w:rFonts w:hint="eastAsia" w:ascii="宋体" w:hAnsi="宋体" w:eastAsia="宋体" w:cs="宋体"/>
          <w:color w:val="auto"/>
          <w:sz w:val="24"/>
          <w:szCs w:val="32"/>
          <w:u w:val="single"/>
        </w:rPr>
        <w:t xml:space="preserve">          </w:t>
      </w:r>
    </w:p>
    <w:p w14:paraId="65DA3480">
      <w:pPr>
        <w:adjustRightInd w:val="0"/>
        <w:snapToGrid w:val="0"/>
        <w:spacing w:beforeLines="0" w:afterLines="0" w:line="356" w:lineRule="auto"/>
        <w:ind w:firstLine="480" w:firstLineChars="200"/>
        <w:rPr>
          <w:rFonts w:hint="eastAsia" w:ascii="宋体" w:hAnsi="宋体" w:eastAsia="宋体" w:cs="宋体"/>
          <w:color w:val="auto"/>
          <w:sz w:val="24"/>
          <w:szCs w:val="32"/>
          <w:u w:val="single"/>
        </w:rPr>
      </w:pPr>
      <w:r>
        <w:rPr>
          <w:rFonts w:hint="eastAsia" w:ascii="宋体" w:hAnsi="宋体" w:eastAsia="宋体" w:cs="宋体"/>
          <w:color w:val="auto"/>
          <w:sz w:val="24"/>
          <w:szCs w:val="32"/>
        </w:rPr>
        <w:t>职权：</w:t>
      </w:r>
      <w:r>
        <w:rPr>
          <w:rFonts w:hint="eastAsia" w:ascii="宋体" w:hAnsi="宋体" w:eastAsia="宋体" w:cs="宋体"/>
          <w:color w:val="auto"/>
          <w:sz w:val="24"/>
          <w:szCs w:val="32"/>
          <w:u w:val="single"/>
        </w:rPr>
        <w:t xml:space="preserve"> 负责工程施工的协调工作，负责施工工程有关验收、签证、结算、工程资料审查等工作。</w:t>
      </w:r>
    </w:p>
    <w:p w14:paraId="606B1CF4">
      <w:pPr>
        <w:adjustRightInd w:val="0"/>
        <w:snapToGrid w:val="0"/>
        <w:spacing w:beforeLines="0" w:afterLines="0" w:line="356" w:lineRule="auto"/>
        <w:ind w:firstLine="480" w:firstLineChars="200"/>
        <w:rPr>
          <w:rFonts w:hint="eastAsia" w:ascii="宋体" w:hAnsi="宋体" w:eastAsia="宋体" w:cs="宋体"/>
          <w:color w:val="auto"/>
          <w:sz w:val="24"/>
          <w:szCs w:val="32"/>
        </w:rPr>
      </w:pPr>
      <w:r>
        <w:rPr>
          <w:rFonts w:hint="eastAsia" w:ascii="宋体" w:hAnsi="宋体" w:eastAsia="宋体" w:cs="宋体"/>
          <w:color w:val="auto"/>
          <w:sz w:val="24"/>
          <w:szCs w:val="32"/>
        </w:rPr>
        <w:t>不实行监理的，工程师的职权：</w:t>
      </w:r>
      <w:r>
        <w:rPr>
          <w:rFonts w:hint="eastAsia" w:ascii="宋体" w:hAnsi="宋体" w:eastAsia="宋体" w:cs="宋体"/>
          <w:color w:val="auto"/>
          <w:sz w:val="24"/>
          <w:szCs w:val="32"/>
          <w:u w:val="single"/>
        </w:rPr>
        <w:t xml:space="preserve">  无 </w:t>
      </w:r>
      <w:r>
        <w:rPr>
          <w:rFonts w:hint="eastAsia" w:ascii="宋体" w:hAnsi="宋体" w:eastAsia="宋体" w:cs="宋体"/>
          <w:color w:val="auto"/>
          <w:sz w:val="24"/>
          <w:szCs w:val="32"/>
        </w:rPr>
        <w:t xml:space="preserve"> 。</w:t>
      </w:r>
    </w:p>
    <w:p w14:paraId="75A508EC">
      <w:pPr>
        <w:adjustRightInd w:val="0"/>
        <w:snapToGrid w:val="0"/>
        <w:spacing w:beforeLines="0" w:afterLines="0" w:line="356" w:lineRule="auto"/>
        <w:ind w:firstLine="480" w:firstLineChars="200"/>
        <w:rPr>
          <w:rFonts w:hint="eastAsia" w:ascii="宋体" w:hAnsi="宋体" w:eastAsia="宋体" w:cs="宋体"/>
          <w:color w:val="auto"/>
          <w:sz w:val="24"/>
          <w:szCs w:val="32"/>
        </w:rPr>
      </w:pPr>
      <w:r>
        <w:rPr>
          <w:rFonts w:hint="eastAsia" w:ascii="宋体" w:hAnsi="宋体" w:eastAsia="宋体" w:cs="宋体"/>
          <w:color w:val="auto"/>
          <w:sz w:val="24"/>
          <w:szCs w:val="32"/>
        </w:rPr>
        <w:t>2.4发包人工作</w:t>
      </w:r>
    </w:p>
    <w:p w14:paraId="4EA1D543">
      <w:pPr>
        <w:adjustRightInd w:val="0"/>
        <w:snapToGrid w:val="0"/>
        <w:spacing w:beforeLines="0" w:afterLines="0" w:line="356" w:lineRule="auto"/>
        <w:ind w:firstLine="480" w:firstLineChars="200"/>
        <w:rPr>
          <w:rFonts w:hint="eastAsia" w:ascii="宋体" w:hAnsi="宋体" w:eastAsia="宋体" w:cs="宋体"/>
          <w:color w:val="auto"/>
          <w:sz w:val="24"/>
          <w:szCs w:val="32"/>
        </w:rPr>
      </w:pPr>
      <w:r>
        <w:rPr>
          <w:rFonts w:hint="eastAsia" w:ascii="宋体" w:hAnsi="宋体" w:eastAsia="宋体" w:cs="宋体"/>
          <w:color w:val="auto"/>
          <w:sz w:val="24"/>
          <w:szCs w:val="32"/>
        </w:rPr>
        <w:t>发包人应按约定的时间和要求完成以下工作：</w:t>
      </w:r>
    </w:p>
    <w:p w14:paraId="110B78FF">
      <w:pPr>
        <w:numPr>
          <w:ilvl w:val="0"/>
          <w:numId w:val="10"/>
        </w:numPr>
        <w:adjustRightInd w:val="0"/>
        <w:snapToGrid w:val="0"/>
        <w:spacing w:beforeLines="0" w:afterLines="0" w:line="356" w:lineRule="auto"/>
        <w:ind w:firstLine="480" w:firstLineChars="200"/>
        <w:rPr>
          <w:rFonts w:hint="eastAsia" w:ascii="宋体" w:hAnsi="宋体" w:eastAsia="宋体" w:cs="宋体"/>
          <w:color w:val="auto"/>
          <w:sz w:val="24"/>
          <w:szCs w:val="32"/>
          <w:u w:val="single"/>
        </w:rPr>
      </w:pPr>
      <w:r>
        <w:rPr>
          <w:rFonts w:hint="eastAsia" w:ascii="宋体" w:hAnsi="宋体" w:eastAsia="宋体" w:cs="宋体"/>
          <w:color w:val="auto"/>
          <w:sz w:val="24"/>
          <w:szCs w:val="32"/>
        </w:rPr>
        <w:t>施工场地具备施工条件的要求及完成的时间：</w:t>
      </w:r>
      <w:r>
        <w:rPr>
          <w:rFonts w:hint="eastAsia" w:ascii="宋体" w:hAnsi="宋体" w:eastAsia="宋体" w:cs="宋体"/>
          <w:color w:val="auto"/>
          <w:sz w:val="24"/>
          <w:szCs w:val="32"/>
          <w:u w:val="single"/>
        </w:rPr>
        <w:t xml:space="preserve"> 开工前7日，发包人移交施工工地等工作。</w:t>
      </w:r>
    </w:p>
    <w:p w14:paraId="2E17D3C6">
      <w:pPr>
        <w:numPr>
          <w:ilvl w:val="0"/>
          <w:numId w:val="10"/>
        </w:numPr>
        <w:adjustRightInd w:val="0"/>
        <w:snapToGrid w:val="0"/>
        <w:spacing w:beforeLines="0" w:afterLines="0" w:line="356" w:lineRule="auto"/>
        <w:ind w:firstLine="480" w:firstLineChars="200"/>
        <w:rPr>
          <w:rFonts w:hint="eastAsia" w:ascii="宋体" w:hAnsi="宋体" w:eastAsia="宋体" w:cs="宋体"/>
          <w:color w:val="auto"/>
          <w:sz w:val="24"/>
          <w:szCs w:val="32"/>
        </w:rPr>
      </w:pPr>
      <w:r>
        <w:rPr>
          <w:rFonts w:hint="eastAsia" w:ascii="宋体" w:hAnsi="宋体" w:eastAsia="宋体" w:cs="宋体"/>
          <w:color w:val="auto"/>
          <w:sz w:val="24"/>
          <w:szCs w:val="32"/>
        </w:rPr>
        <w:t>将施工所需的水、电、电讯线路接至施工场地的时间、地点和供应要求：</w:t>
      </w:r>
      <w:r>
        <w:rPr>
          <w:rFonts w:hint="eastAsia" w:ascii="宋体" w:hAnsi="宋体" w:eastAsia="宋体" w:cs="宋体"/>
          <w:color w:val="auto"/>
          <w:sz w:val="24"/>
          <w:szCs w:val="32"/>
          <w:u w:val="single"/>
        </w:rPr>
        <w:t>协调提供水、电接口；电讯线路由承包人自行处理。水、电、通讯费用由承包人支付。</w:t>
      </w:r>
    </w:p>
    <w:p w14:paraId="7851E32D">
      <w:pPr>
        <w:numPr>
          <w:ilvl w:val="0"/>
          <w:numId w:val="10"/>
        </w:numPr>
        <w:adjustRightInd w:val="0"/>
        <w:snapToGrid w:val="0"/>
        <w:spacing w:beforeLines="0" w:afterLines="0" w:line="356" w:lineRule="auto"/>
        <w:ind w:firstLine="480" w:firstLineChars="200"/>
        <w:rPr>
          <w:rFonts w:hint="eastAsia" w:ascii="宋体" w:hAnsi="宋体" w:eastAsia="宋体" w:cs="宋体"/>
          <w:color w:val="auto"/>
          <w:sz w:val="24"/>
          <w:szCs w:val="32"/>
          <w:u w:val="single"/>
        </w:rPr>
      </w:pPr>
      <w:r>
        <w:rPr>
          <w:rFonts w:hint="eastAsia" w:ascii="宋体" w:hAnsi="宋体" w:eastAsia="宋体" w:cs="宋体"/>
          <w:color w:val="auto"/>
          <w:sz w:val="24"/>
          <w:szCs w:val="32"/>
        </w:rPr>
        <w:t>施工场地与公共道路的通道开通时间和要求：</w:t>
      </w:r>
      <w:r>
        <w:rPr>
          <w:rFonts w:hint="eastAsia" w:ascii="宋体" w:hAnsi="宋体" w:eastAsia="宋体" w:cs="宋体"/>
          <w:color w:val="auto"/>
          <w:sz w:val="24"/>
          <w:szCs w:val="32"/>
          <w:u w:val="single"/>
        </w:rPr>
        <w:t xml:space="preserve"> 开工前7天做到施工现场周围道路畅通，并满足施工运输需要。</w:t>
      </w:r>
    </w:p>
    <w:p w14:paraId="1893FF24">
      <w:pPr>
        <w:numPr>
          <w:ilvl w:val="0"/>
          <w:numId w:val="10"/>
        </w:numPr>
        <w:adjustRightInd w:val="0"/>
        <w:snapToGrid w:val="0"/>
        <w:spacing w:beforeLines="0" w:afterLines="0" w:line="356" w:lineRule="auto"/>
        <w:ind w:firstLine="480" w:firstLineChars="200"/>
        <w:rPr>
          <w:rFonts w:hint="eastAsia" w:ascii="宋体" w:hAnsi="宋体" w:eastAsia="宋体" w:cs="宋体"/>
          <w:color w:val="auto"/>
          <w:sz w:val="24"/>
          <w:szCs w:val="32"/>
        </w:rPr>
      </w:pPr>
      <w:r>
        <w:rPr>
          <w:rFonts w:hint="eastAsia" w:ascii="宋体" w:hAnsi="宋体" w:eastAsia="宋体" w:cs="宋体"/>
          <w:color w:val="auto"/>
          <w:sz w:val="24"/>
          <w:szCs w:val="32"/>
        </w:rPr>
        <w:t>工程地质和地下管线资料的提供时间：</w:t>
      </w:r>
      <w:r>
        <w:rPr>
          <w:rFonts w:hint="eastAsia" w:ascii="宋体" w:hAnsi="宋体" w:eastAsia="宋体" w:cs="宋体"/>
          <w:color w:val="auto"/>
          <w:sz w:val="24"/>
          <w:szCs w:val="32"/>
          <w:u w:val="single"/>
        </w:rPr>
        <w:t>发包方无相关完整资料的不需提供，在遇到需要工程地质和地下管线问题时，须由发包方和承包方根据现场实际情况协商解决后才可进行施工作业，否则因施工产生的一切后果由承包方负责</w:t>
      </w:r>
      <w:r>
        <w:rPr>
          <w:rFonts w:hint="eastAsia" w:ascii="宋体" w:hAnsi="宋体" w:eastAsia="宋体" w:cs="宋体"/>
          <w:color w:val="auto"/>
          <w:sz w:val="24"/>
          <w:szCs w:val="32"/>
        </w:rPr>
        <w:t>。</w:t>
      </w:r>
    </w:p>
    <w:p w14:paraId="259677B3">
      <w:pPr>
        <w:numPr>
          <w:ilvl w:val="0"/>
          <w:numId w:val="10"/>
        </w:numPr>
        <w:adjustRightInd w:val="0"/>
        <w:snapToGrid w:val="0"/>
        <w:spacing w:beforeLines="0" w:afterLines="0" w:line="356" w:lineRule="auto"/>
        <w:ind w:firstLine="480" w:firstLineChars="200"/>
        <w:rPr>
          <w:rFonts w:hint="eastAsia" w:ascii="宋体" w:hAnsi="宋体" w:eastAsia="宋体" w:cs="宋体"/>
          <w:color w:val="auto"/>
          <w:sz w:val="24"/>
          <w:szCs w:val="32"/>
        </w:rPr>
      </w:pPr>
      <w:r>
        <w:rPr>
          <w:rFonts w:hint="eastAsia" w:ascii="宋体" w:hAnsi="宋体" w:eastAsia="宋体" w:cs="宋体"/>
          <w:color w:val="auto"/>
          <w:sz w:val="24"/>
          <w:szCs w:val="32"/>
        </w:rPr>
        <w:t>由发包人办理的施工所需证件、批件的名称和完成时间：</w:t>
      </w:r>
      <w:r>
        <w:rPr>
          <w:rFonts w:hint="eastAsia" w:ascii="宋体" w:hAnsi="宋体" w:eastAsia="宋体" w:cs="宋体"/>
          <w:color w:val="auto"/>
          <w:sz w:val="24"/>
          <w:szCs w:val="32"/>
          <w:u w:val="single"/>
        </w:rPr>
        <w:t>开工7日前负责协调办理好施工许可证和临时用地证等开工所需的全部证件和批件。</w:t>
      </w:r>
    </w:p>
    <w:p w14:paraId="17644AEF">
      <w:pPr>
        <w:numPr>
          <w:ilvl w:val="0"/>
          <w:numId w:val="10"/>
        </w:numPr>
        <w:adjustRightInd w:val="0"/>
        <w:snapToGrid w:val="0"/>
        <w:spacing w:beforeLines="0" w:afterLines="0" w:line="356" w:lineRule="auto"/>
        <w:ind w:firstLine="480" w:firstLineChars="200"/>
        <w:rPr>
          <w:rFonts w:hint="eastAsia" w:ascii="宋体" w:hAnsi="宋体" w:eastAsia="宋体" w:cs="宋体"/>
          <w:color w:val="auto"/>
          <w:sz w:val="24"/>
          <w:szCs w:val="32"/>
        </w:rPr>
      </w:pPr>
      <w:r>
        <w:rPr>
          <w:rFonts w:hint="eastAsia" w:ascii="宋体" w:hAnsi="宋体" w:eastAsia="宋体" w:cs="宋体"/>
          <w:color w:val="auto"/>
          <w:sz w:val="24"/>
          <w:szCs w:val="32"/>
        </w:rPr>
        <w:t>水准点与坐标控制点交验要求：</w:t>
      </w:r>
      <w:r>
        <w:rPr>
          <w:rFonts w:hint="eastAsia" w:ascii="宋体" w:hAnsi="宋体" w:eastAsia="宋体" w:cs="宋体"/>
          <w:color w:val="auto"/>
          <w:sz w:val="24"/>
          <w:szCs w:val="32"/>
          <w:u w:val="single"/>
        </w:rPr>
        <w:t xml:space="preserve"> 发包人在开工前以书面形式交给承包人，并双方在现场进行交验。</w:t>
      </w:r>
    </w:p>
    <w:p w14:paraId="7AFC92FC">
      <w:pPr>
        <w:numPr>
          <w:ilvl w:val="0"/>
          <w:numId w:val="10"/>
        </w:numPr>
        <w:adjustRightInd w:val="0"/>
        <w:snapToGrid w:val="0"/>
        <w:spacing w:beforeLines="0" w:afterLines="0" w:line="356" w:lineRule="auto"/>
        <w:ind w:firstLine="480" w:firstLineChars="200"/>
        <w:rPr>
          <w:rFonts w:hint="eastAsia" w:ascii="宋体" w:hAnsi="宋体" w:eastAsia="宋体" w:cs="宋体"/>
          <w:color w:val="auto"/>
          <w:sz w:val="24"/>
          <w:szCs w:val="32"/>
        </w:rPr>
      </w:pPr>
      <w:r>
        <w:rPr>
          <w:rFonts w:hint="eastAsia" w:ascii="宋体" w:hAnsi="宋体" w:eastAsia="宋体" w:cs="宋体"/>
          <w:color w:val="auto"/>
          <w:sz w:val="24"/>
          <w:szCs w:val="32"/>
        </w:rPr>
        <w:t>图纸会审和设计交底时间：</w:t>
      </w:r>
      <w:r>
        <w:rPr>
          <w:rFonts w:hint="eastAsia" w:ascii="宋体" w:hAnsi="宋体" w:eastAsia="宋体" w:cs="宋体"/>
          <w:color w:val="auto"/>
          <w:sz w:val="24"/>
          <w:szCs w:val="32"/>
          <w:u w:val="single"/>
        </w:rPr>
        <w:t>开工前7天，组织承包人、设计、地质勘探、监理等相关单位进行图纸会审和设计交底。</w:t>
      </w:r>
    </w:p>
    <w:p w14:paraId="217179EE">
      <w:pPr>
        <w:numPr>
          <w:ilvl w:val="0"/>
          <w:numId w:val="10"/>
        </w:numPr>
        <w:adjustRightInd w:val="0"/>
        <w:snapToGrid w:val="0"/>
        <w:spacing w:beforeLines="0" w:afterLines="0" w:line="356" w:lineRule="auto"/>
        <w:ind w:firstLine="480" w:firstLineChars="200"/>
        <w:rPr>
          <w:rFonts w:hint="eastAsia" w:ascii="宋体" w:hAnsi="宋体" w:eastAsia="宋体" w:cs="宋体"/>
          <w:color w:val="auto"/>
          <w:sz w:val="24"/>
          <w:szCs w:val="32"/>
        </w:rPr>
      </w:pPr>
      <w:r>
        <w:rPr>
          <w:rFonts w:hint="eastAsia" w:ascii="宋体" w:hAnsi="宋体" w:eastAsia="宋体" w:cs="宋体"/>
          <w:color w:val="auto"/>
          <w:sz w:val="24"/>
          <w:szCs w:val="32"/>
        </w:rPr>
        <w:t>协调处理施工场地周围地下管线和邻近建筑物、构筑物（含文物保护建筑）、古树名木的保护工作：</w:t>
      </w:r>
      <w:r>
        <w:rPr>
          <w:rFonts w:hint="eastAsia" w:ascii="宋体" w:hAnsi="宋体" w:eastAsia="宋体" w:cs="宋体"/>
          <w:color w:val="auto"/>
          <w:sz w:val="24"/>
          <w:szCs w:val="32"/>
          <w:u w:val="single"/>
        </w:rPr>
        <w:t>由发包人负责协调，承包人负责保护，费用由发包人承担。</w:t>
      </w:r>
    </w:p>
    <w:p w14:paraId="216E07FA">
      <w:pPr>
        <w:numPr>
          <w:ilvl w:val="0"/>
          <w:numId w:val="10"/>
        </w:numPr>
        <w:adjustRightInd w:val="0"/>
        <w:snapToGrid w:val="0"/>
        <w:spacing w:beforeLines="0" w:afterLines="0" w:line="356" w:lineRule="auto"/>
        <w:ind w:firstLine="480" w:firstLineChars="200"/>
        <w:rPr>
          <w:rFonts w:hint="eastAsia" w:ascii="宋体" w:hAnsi="宋体" w:eastAsia="宋体" w:cs="宋体"/>
          <w:color w:val="auto"/>
          <w:sz w:val="24"/>
          <w:szCs w:val="32"/>
          <w:u w:val="single"/>
        </w:rPr>
      </w:pPr>
      <w:r>
        <w:rPr>
          <w:rFonts w:hint="eastAsia" w:ascii="宋体" w:hAnsi="宋体" w:eastAsia="宋体" w:cs="宋体"/>
          <w:color w:val="auto"/>
          <w:sz w:val="24"/>
          <w:szCs w:val="32"/>
        </w:rPr>
        <w:t xml:space="preserve">双方约定发包人应做的其他工作： </w:t>
      </w:r>
      <w:r>
        <w:rPr>
          <w:rFonts w:hint="eastAsia" w:ascii="宋体" w:hAnsi="宋体" w:eastAsia="宋体" w:cs="宋体"/>
          <w:color w:val="auto"/>
          <w:sz w:val="24"/>
          <w:szCs w:val="32"/>
          <w:u w:val="single"/>
        </w:rPr>
        <w:t>无 。</w:t>
      </w:r>
    </w:p>
    <w:p w14:paraId="3858BA09">
      <w:pPr>
        <w:adjustRightInd w:val="0"/>
        <w:snapToGrid w:val="0"/>
        <w:spacing w:beforeLines="0" w:afterLines="0" w:line="356" w:lineRule="auto"/>
        <w:ind w:firstLine="480" w:firstLineChars="200"/>
        <w:rPr>
          <w:rFonts w:hint="eastAsia" w:ascii="宋体" w:hAnsi="宋体" w:eastAsia="宋体" w:cs="宋体"/>
          <w:color w:val="auto"/>
          <w:sz w:val="24"/>
          <w:szCs w:val="32"/>
          <w:u w:val="single"/>
        </w:rPr>
      </w:pPr>
      <w:r>
        <w:rPr>
          <w:rFonts w:hint="eastAsia" w:ascii="宋体" w:hAnsi="宋体" w:eastAsia="宋体" w:cs="宋体"/>
          <w:color w:val="auto"/>
          <w:sz w:val="24"/>
          <w:szCs w:val="32"/>
        </w:rPr>
        <w:t>发包人委托承包人办理的工作：</w:t>
      </w:r>
      <w:r>
        <w:rPr>
          <w:rFonts w:hint="eastAsia" w:ascii="宋体" w:hAnsi="宋体" w:eastAsia="宋体" w:cs="宋体"/>
          <w:color w:val="auto"/>
          <w:sz w:val="24"/>
          <w:szCs w:val="32"/>
          <w:u w:val="single"/>
        </w:rPr>
        <w:t xml:space="preserve"> 无 。</w:t>
      </w:r>
    </w:p>
    <w:p w14:paraId="1A742F03">
      <w:pPr>
        <w:adjustRightInd w:val="0"/>
        <w:snapToGrid w:val="0"/>
        <w:spacing w:beforeLines="0" w:afterLines="0" w:line="356"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2.5担保</w:t>
      </w:r>
    </w:p>
    <w:p w14:paraId="0D35564F">
      <w:pPr>
        <w:adjustRightInd w:val="0"/>
        <w:snapToGrid w:val="0"/>
        <w:spacing w:beforeLines="0" w:afterLines="0" w:line="356"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本工程双方约定担保内容如下：</w:t>
      </w:r>
    </w:p>
    <w:p w14:paraId="524890BA">
      <w:pPr>
        <w:adjustRightInd w:val="0"/>
        <w:snapToGrid w:val="0"/>
        <w:spacing w:beforeLines="0" w:afterLines="0" w:line="356" w:lineRule="auto"/>
        <w:ind w:firstLine="480" w:firstLineChars="200"/>
        <w:rPr>
          <w:rFonts w:hint="eastAsia" w:ascii="宋体" w:hAnsi="宋体" w:eastAsia="宋体" w:cs="宋体"/>
          <w:color w:val="auto"/>
          <w:sz w:val="24"/>
          <w:szCs w:val="24"/>
          <w:u w:val="single"/>
        </w:rPr>
      </w:pPr>
      <w:r>
        <w:rPr>
          <w:rFonts w:hint="eastAsia" w:ascii="宋体" w:hAnsi="宋体" w:eastAsia="宋体" w:cs="宋体"/>
          <w:color w:val="auto"/>
          <w:sz w:val="24"/>
          <w:szCs w:val="24"/>
        </w:rPr>
        <w:t>（1）发包人向承包人提供支付担保，担保方式为：</w:t>
      </w:r>
      <w:r>
        <w:rPr>
          <w:rFonts w:hint="eastAsia" w:ascii="宋体" w:hAnsi="宋体" w:eastAsia="宋体" w:cs="宋体"/>
          <w:color w:val="auto"/>
          <w:sz w:val="24"/>
          <w:szCs w:val="24"/>
          <w:u w:val="single"/>
        </w:rPr>
        <w:t xml:space="preserve"> 无 。</w:t>
      </w:r>
    </w:p>
    <w:p w14:paraId="0F8B4F9E">
      <w:pPr>
        <w:adjustRightInd w:val="0"/>
        <w:snapToGrid w:val="0"/>
        <w:spacing w:beforeLines="0" w:afterLines="0" w:line="356" w:lineRule="auto"/>
        <w:ind w:firstLine="480" w:firstLineChars="200"/>
        <w:rPr>
          <w:rFonts w:hint="eastAsia" w:ascii="宋体" w:hAnsi="宋体" w:eastAsia="宋体" w:cs="宋体"/>
          <w:color w:val="auto"/>
          <w:sz w:val="24"/>
          <w:szCs w:val="24"/>
          <w:u w:val="single"/>
        </w:rPr>
      </w:pPr>
      <w:r>
        <w:rPr>
          <w:rFonts w:hint="eastAsia" w:ascii="宋体" w:hAnsi="宋体" w:eastAsia="宋体" w:cs="宋体"/>
          <w:color w:val="auto"/>
          <w:sz w:val="24"/>
          <w:szCs w:val="24"/>
        </w:rPr>
        <w:t>（2）承包人向发包人提供履约担保，担保方式为：</w:t>
      </w:r>
      <w:r>
        <w:rPr>
          <w:rFonts w:hint="eastAsia" w:ascii="宋体" w:hAnsi="宋体" w:eastAsia="宋体" w:cs="宋体"/>
          <w:color w:val="auto"/>
          <w:sz w:val="24"/>
          <w:szCs w:val="24"/>
          <w:u w:val="single"/>
        </w:rPr>
        <w:t xml:space="preserve"> 根据采购文件约定，本项目免收履约保证金。履约保证金提交方式：银行转账、支票、汇票、本票或者银行、保险机构出具的保函、保险单等非现金方式，竣工验收合格后无息返回。</w:t>
      </w:r>
    </w:p>
    <w:p w14:paraId="00C2DF47">
      <w:pPr>
        <w:adjustRightInd w:val="0"/>
        <w:snapToGrid w:val="0"/>
        <w:spacing w:beforeLines="0" w:afterLines="0" w:line="356" w:lineRule="auto"/>
        <w:ind w:firstLine="480" w:firstLineChars="200"/>
        <w:rPr>
          <w:rFonts w:hint="eastAsia" w:ascii="宋体" w:hAnsi="宋体" w:eastAsia="宋体" w:cs="宋体"/>
          <w:color w:val="auto"/>
          <w:sz w:val="24"/>
          <w:szCs w:val="32"/>
        </w:rPr>
      </w:pPr>
      <w:r>
        <w:rPr>
          <w:rFonts w:hint="eastAsia" w:ascii="宋体" w:hAnsi="宋体" w:eastAsia="宋体" w:cs="宋体"/>
          <w:color w:val="auto"/>
          <w:sz w:val="24"/>
          <w:szCs w:val="32"/>
        </w:rPr>
        <w:t>（3）如投标人提供虚假材料造成流标、废标的，扣除投标保证金，提交了履约保证金的一并扣除，造成其他损失的由投标人承担。</w:t>
      </w:r>
    </w:p>
    <w:p w14:paraId="4ED6D643">
      <w:pPr>
        <w:adjustRightInd w:val="0"/>
        <w:snapToGrid w:val="0"/>
        <w:spacing w:beforeLines="0" w:afterLines="0" w:line="356" w:lineRule="auto"/>
        <w:ind w:firstLine="480" w:firstLineChars="200"/>
        <w:rPr>
          <w:rFonts w:hint="eastAsia" w:ascii="宋体" w:hAnsi="宋体" w:eastAsia="宋体" w:cs="宋体"/>
          <w:color w:val="auto"/>
          <w:sz w:val="24"/>
          <w:szCs w:val="32"/>
        </w:rPr>
      </w:pPr>
      <w:r>
        <w:rPr>
          <w:rFonts w:hint="eastAsia" w:ascii="宋体" w:hAnsi="宋体" w:eastAsia="宋体" w:cs="宋体"/>
          <w:color w:val="auto"/>
          <w:sz w:val="24"/>
          <w:szCs w:val="32"/>
        </w:rPr>
        <w:t>（4）承包人根据广西壮族自治区解决企业拖欠工资问题联席会议关于印发《广西壮族自治区工程建设领域工人工资支付专用账户管理办法》的通知（桂薪联发〔2016〕1号）的规定，农民工工资按支付款的比例支付30%。</w:t>
      </w:r>
    </w:p>
    <w:p w14:paraId="59CF04D0">
      <w:pPr>
        <w:adjustRightInd w:val="0"/>
        <w:snapToGrid w:val="0"/>
        <w:spacing w:beforeLines="0" w:afterLines="0" w:line="356" w:lineRule="auto"/>
        <w:ind w:firstLine="480" w:firstLineChars="200"/>
        <w:rPr>
          <w:rFonts w:hint="eastAsia" w:ascii="宋体" w:hAnsi="宋体" w:eastAsia="宋体" w:cs="宋体"/>
          <w:color w:val="auto"/>
          <w:sz w:val="24"/>
          <w:szCs w:val="32"/>
        </w:rPr>
      </w:pPr>
      <w:r>
        <w:rPr>
          <w:rFonts w:hint="eastAsia" w:ascii="宋体" w:hAnsi="宋体" w:eastAsia="宋体" w:cs="宋体"/>
          <w:color w:val="auto"/>
          <w:sz w:val="24"/>
          <w:szCs w:val="32"/>
        </w:rPr>
        <w:t>3、承包人</w:t>
      </w:r>
    </w:p>
    <w:p w14:paraId="1E05A6C1">
      <w:pPr>
        <w:adjustRightInd w:val="0"/>
        <w:snapToGrid w:val="0"/>
        <w:spacing w:beforeLines="0" w:afterLines="0" w:line="356" w:lineRule="auto"/>
        <w:ind w:firstLine="480" w:firstLineChars="200"/>
        <w:rPr>
          <w:rFonts w:hint="eastAsia" w:ascii="宋体" w:hAnsi="宋体" w:eastAsia="宋体" w:cs="宋体"/>
          <w:color w:val="auto"/>
          <w:sz w:val="24"/>
          <w:szCs w:val="32"/>
        </w:rPr>
      </w:pPr>
      <w:r>
        <w:rPr>
          <w:rFonts w:hint="eastAsia" w:ascii="宋体" w:hAnsi="宋体" w:eastAsia="宋体" w:cs="宋体"/>
          <w:color w:val="auto"/>
          <w:sz w:val="24"/>
          <w:szCs w:val="32"/>
        </w:rPr>
        <w:t>项目经理</w:t>
      </w:r>
    </w:p>
    <w:p w14:paraId="7F91526F">
      <w:pPr>
        <w:adjustRightInd w:val="0"/>
        <w:snapToGrid w:val="0"/>
        <w:spacing w:beforeLines="0" w:afterLines="0" w:line="356" w:lineRule="auto"/>
        <w:ind w:firstLine="480" w:firstLineChars="200"/>
        <w:rPr>
          <w:rFonts w:hint="eastAsia" w:ascii="宋体" w:hAnsi="宋体" w:eastAsia="宋体" w:cs="宋体"/>
          <w:color w:val="auto"/>
          <w:sz w:val="24"/>
          <w:szCs w:val="32"/>
          <w:u w:val="single"/>
        </w:rPr>
      </w:pPr>
      <w:r>
        <w:rPr>
          <w:rFonts w:hint="eastAsia" w:ascii="宋体" w:hAnsi="宋体" w:eastAsia="宋体" w:cs="宋体"/>
          <w:color w:val="auto"/>
          <w:sz w:val="24"/>
          <w:szCs w:val="32"/>
        </w:rPr>
        <w:t>姓名：</w:t>
      </w:r>
      <w:r>
        <w:rPr>
          <w:rFonts w:hint="eastAsia" w:ascii="宋体" w:hAnsi="宋体" w:eastAsia="宋体" w:cs="宋体"/>
          <w:color w:val="auto"/>
          <w:sz w:val="24"/>
          <w:szCs w:val="32"/>
          <w:u w:val="single"/>
        </w:rPr>
        <w:t xml:space="preserve">              </w:t>
      </w:r>
      <w:r>
        <w:rPr>
          <w:rFonts w:hint="eastAsia" w:ascii="宋体" w:hAnsi="宋体" w:eastAsia="宋体" w:cs="宋体"/>
          <w:color w:val="auto"/>
          <w:sz w:val="24"/>
          <w:szCs w:val="32"/>
        </w:rPr>
        <w:t xml:space="preserve">    职务： </w:t>
      </w:r>
      <w:r>
        <w:rPr>
          <w:rFonts w:hint="eastAsia" w:ascii="宋体" w:hAnsi="宋体" w:eastAsia="宋体" w:cs="宋体"/>
          <w:color w:val="auto"/>
          <w:sz w:val="24"/>
          <w:szCs w:val="32"/>
          <w:u w:val="single"/>
        </w:rPr>
        <w:t xml:space="preserve">  项目经理    </w:t>
      </w:r>
    </w:p>
    <w:p w14:paraId="57D1E9C7">
      <w:pPr>
        <w:adjustRightInd w:val="0"/>
        <w:snapToGrid w:val="0"/>
        <w:spacing w:beforeLines="0" w:afterLines="0" w:line="356" w:lineRule="auto"/>
        <w:ind w:firstLine="480" w:firstLineChars="200"/>
        <w:rPr>
          <w:rFonts w:hint="eastAsia" w:ascii="宋体" w:hAnsi="宋体" w:eastAsia="宋体" w:cs="宋体"/>
          <w:color w:val="auto"/>
          <w:sz w:val="24"/>
          <w:szCs w:val="32"/>
        </w:rPr>
      </w:pPr>
      <w:r>
        <w:rPr>
          <w:rFonts w:hint="eastAsia" w:ascii="宋体" w:hAnsi="宋体" w:eastAsia="宋体" w:cs="宋体"/>
          <w:color w:val="auto"/>
          <w:sz w:val="24"/>
          <w:szCs w:val="32"/>
        </w:rPr>
        <w:t>3.1承包人工作</w:t>
      </w:r>
    </w:p>
    <w:p w14:paraId="1A275EDC">
      <w:pPr>
        <w:adjustRightInd w:val="0"/>
        <w:snapToGrid w:val="0"/>
        <w:spacing w:beforeLines="0" w:afterLines="0" w:line="356" w:lineRule="auto"/>
        <w:ind w:firstLine="480" w:firstLineChars="200"/>
        <w:rPr>
          <w:rFonts w:hint="eastAsia" w:ascii="宋体" w:hAnsi="宋体" w:eastAsia="宋体" w:cs="宋体"/>
          <w:color w:val="auto"/>
          <w:sz w:val="24"/>
          <w:szCs w:val="32"/>
        </w:rPr>
      </w:pPr>
      <w:r>
        <w:rPr>
          <w:rFonts w:hint="eastAsia" w:ascii="宋体" w:hAnsi="宋体" w:eastAsia="宋体" w:cs="宋体"/>
          <w:color w:val="auto"/>
          <w:sz w:val="24"/>
          <w:szCs w:val="32"/>
        </w:rPr>
        <w:t>承包人应按约定时间和要求，完成以下工作：</w:t>
      </w:r>
    </w:p>
    <w:p w14:paraId="0EF6DB76">
      <w:pPr>
        <w:numPr>
          <w:ilvl w:val="0"/>
          <w:numId w:val="11"/>
        </w:numPr>
        <w:adjustRightInd w:val="0"/>
        <w:snapToGrid w:val="0"/>
        <w:spacing w:beforeLines="0" w:afterLines="0" w:line="356" w:lineRule="auto"/>
        <w:ind w:firstLine="480" w:firstLineChars="200"/>
        <w:rPr>
          <w:rFonts w:hint="eastAsia" w:ascii="宋体" w:hAnsi="宋体" w:eastAsia="宋体" w:cs="宋体"/>
          <w:color w:val="auto"/>
          <w:sz w:val="24"/>
          <w:szCs w:val="32"/>
        </w:rPr>
      </w:pPr>
      <w:r>
        <w:rPr>
          <w:rFonts w:hint="eastAsia" w:ascii="宋体" w:hAnsi="宋体" w:eastAsia="宋体" w:cs="宋体"/>
          <w:color w:val="auto"/>
          <w:sz w:val="24"/>
          <w:szCs w:val="32"/>
        </w:rPr>
        <w:t>需由设计资质等级和业务范围允许的承包人完成的设计文件提交时间：</w:t>
      </w:r>
      <w:r>
        <w:rPr>
          <w:rFonts w:hint="eastAsia" w:ascii="宋体" w:hAnsi="宋体" w:eastAsia="宋体" w:cs="宋体"/>
          <w:color w:val="auto"/>
          <w:sz w:val="24"/>
          <w:szCs w:val="32"/>
          <w:u w:val="single"/>
        </w:rPr>
        <w:t xml:space="preserve"> 无。</w:t>
      </w:r>
    </w:p>
    <w:p w14:paraId="75DFDF2A">
      <w:pPr>
        <w:numPr>
          <w:ilvl w:val="0"/>
          <w:numId w:val="11"/>
        </w:numPr>
        <w:adjustRightInd w:val="0"/>
        <w:snapToGrid w:val="0"/>
        <w:spacing w:beforeLines="0" w:afterLines="0" w:line="356" w:lineRule="auto"/>
        <w:ind w:firstLine="480" w:firstLineChars="200"/>
        <w:rPr>
          <w:rFonts w:hint="eastAsia" w:ascii="宋体" w:hAnsi="宋体" w:eastAsia="宋体" w:cs="宋体"/>
          <w:color w:val="auto"/>
          <w:sz w:val="24"/>
          <w:szCs w:val="32"/>
        </w:rPr>
      </w:pPr>
      <w:r>
        <w:rPr>
          <w:rFonts w:hint="eastAsia" w:ascii="宋体" w:hAnsi="宋体" w:eastAsia="宋体" w:cs="宋体"/>
          <w:color w:val="auto"/>
          <w:sz w:val="24"/>
          <w:szCs w:val="32"/>
        </w:rPr>
        <w:t>应提供计划、报表的名称及完成时间：</w:t>
      </w:r>
      <w:r>
        <w:rPr>
          <w:rFonts w:hint="eastAsia" w:ascii="宋体" w:hAnsi="宋体" w:eastAsia="宋体" w:cs="宋体"/>
          <w:color w:val="auto"/>
          <w:sz w:val="24"/>
          <w:szCs w:val="32"/>
          <w:u w:val="single"/>
        </w:rPr>
        <w:t>每月25日提供当月完成工程量报表、次月计划完成工程量报表各两份。</w:t>
      </w:r>
    </w:p>
    <w:p w14:paraId="03B85A0E">
      <w:pPr>
        <w:numPr>
          <w:ilvl w:val="0"/>
          <w:numId w:val="11"/>
        </w:numPr>
        <w:adjustRightInd w:val="0"/>
        <w:snapToGrid w:val="0"/>
        <w:spacing w:beforeLines="0" w:afterLines="0" w:line="356" w:lineRule="auto"/>
        <w:ind w:firstLine="480" w:firstLineChars="200"/>
        <w:rPr>
          <w:rFonts w:hint="eastAsia" w:ascii="宋体" w:hAnsi="宋体" w:eastAsia="宋体" w:cs="宋体"/>
          <w:color w:val="auto"/>
          <w:sz w:val="24"/>
          <w:szCs w:val="32"/>
          <w:u w:val="single"/>
        </w:rPr>
      </w:pPr>
      <w:r>
        <w:rPr>
          <w:rFonts w:hint="eastAsia" w:ascii="宋体" w:hAnsi="宋体" w:eastAsia="宋体" w:cs="宋体"/>
          <w:color w:val="auto"/>
          <w:sz w:val="24"/>
          <w:szCs w:val="32"/>
        </w:rPr>
        <w:t>承担施工安全保卫工作及非夜间施工照明的责任和要求：</w:t>
      </w:r>
      <w:r>
        <w:rPr>
          <w:rFonts w:hint="eastAsia" w:ascii="宋体" w:hAnsi="宋体" w:eastAsia="宋体" w:cs="宋体"/>
          <w:color w:val="auto"/>
          <w:sz w:val="24"/>
          <w:szCs w:val="32"/>
          <w:u w:val="single"/>
        </w:rPr>
        <w:t>提供和维修非夜间施工使用的照明、围栏设施，并负责安全保卫。</w:t>
      </w:r>
    </w:p>
    <w:p w14:paraId="66938780">
      <w:pPr>
        <w:numPr>
          <w:ilvl w:val="0"/>
          <w:numId w:val="11"/>
        </w:numPr>
        <w:adjustRightInd w:val="0"/>
        <w:snapToGrid w:val="0"/>
        <w:spacing w:beforeLines="0" w:afterLines="0" w:line="356" w:lineRule="auto"/>
        <w:ind w:firstLine="480" w:firstLineChars="200"/>
        <w:rPr>
          <w:rFonts w:hint="eastAsia" w:ascii="宋体" w:hAnsi="宋体" w:eastAsia="宋体" w:cs="宋体"/>
          <w:color w:val="auto"/>
          <w:sz w:val="24"/>
          <w:szCs w:val="32"/>
        </w:rPr>
      </w:pPr>
      <w:r>
        <w:rPr>
          <w:rFonts w:hint="eastAsia" w:ascii="宋体" w:hAnsi="宋体" w:eastAsia="宋体" w:cs="宋体"/>
          <w:color w:val="auto"/>
          <w:sz w:val="24"/>
          <w:szCs w:val="32"/>
        </w:rPr>
        <w:t>已完工程品保护的特殊要求及费用承担：</w:t>
      </w:r>
      <w:r>
        <w:rPr>
          <w:rFonts w:hint="eastAsia" w:ascii="宋体" w:hAnsi="宋体" w:eastAsia="宋体" w:cs="宋体"/>
          <w:color w:val="auto"/>
          <w:sz w:val="24"/>
          <w:szCs w:val="32"/>
          <w:u w:val="single"/>
        </w:rPr>
        <w:t>在竣工验收移交全部工程前，由承包人负责采取保护措施，并承担费用。</w:t>
      </w:r>
    </w:p>
    <w:p w14:paraId="1B17A9BA">
      <w:pPr>
        <w:numPr>
          <w:ilvl w:val="0"/>
          <w:numId w:val="11"/>
        </w:numPr>
        <w:adjustRightInd w:val="0"/>
        <w:snapToGrid w:val="0"/>
        <w:spacing w:beforeLines="0" w:afterLines="0" w:line="356" w:lineRule="auto"/>
        <w:ind w:firstLine="480" w:firstLineChars="200"/>
        <w:rPr>
          <w:rFonts w:hint="eastAsia" w:ascii="宋体" w:hAnsi="宋体" w:eastAsia="宋体" w:cs="宋体"/>
          <w:color w:val="auto"/>
          <w:sz w:val="24"/>
          <w:szCs w:val="32"/>
          <w:u w:val="single"/>
        </w:rPr>
      </w:pPr>
      <w:r>
        <w:rPr>
          <w:rFonts w:hint="eastAsia" w:ascii="宋体" w:hAnsi="宋体" w:eastAsia="宋体" w:cs="宋体"/>
          <w:color w:val="auto"/>
          <w:sz w:val="24"/>
          <w:szCs w:val="32"/>
        </w:rPr>
        <w:t>施工场地设置地下管线和邻近建筑物、构筑物（含文物保护建筑）、古树名木的保护要求及费用承担：</w:t>
      </w:r>
      <w:r>
        <w:rPr>
          <w:rFonts w:hint="eastAsia" w:ascii="宋体" w:hAnsi="宋体" w:eastAsia="宋体" w:cs="宋体"/>
          <w:color w:val="auto"/>
          <w:sz w:val="24"/>
          <w:szCs w:val="32"/>
          <w:u w:val="single"/>
        </w:rPr>
        <w:t>由发包人负责协调，相关费用由发包人承担，承包人负责保护，施工时如因承包人原因损坏地下管线，邻近建筑物、构筑物，所发生的费用由承包人负责承担。</w:t>
      </w:r>
    </w:p>
    <w:p w14:paraId="1213CDD9">
      <w:pPr>
        <w:numPr>
          <w:ilvl w:val="0"/>
          <w:numId w:val="11"/>
        </w:numPr>
        <w:adjustRightInd w:val="0"/>
        <w:snapToGrid w:val="0"/>
        <w:spacing w:beforeLines="0" w:afterLines="0" w:line="356" w:lineRule="auto"/>
        <w:ind w:firstLine="480" w:firstLineChars="200"/>
        <w:rPr>
          <w:rFonts w:hint="eastAsia" w:ascii="宋体" w:hAnsi="宋体" w:eastAsia="宋体" w:cs="宋体"/>
          <w:color w:val="auto"/>
          <w:sz w:val="24"/>
          <w:szCs w:val="32"/>
          <w:u w:val="single"/>
        </w:rPr>
      </w:pPr>
      <w:r>
        <w:rPr>
          <w:rFonts w:hint="eastAsia" w:ascii="宋体" w:hAnsi="宋体" w:eastAsia="宋体" w:cs="宋体"/>
          <w:color w:val="auto"/>
          <w:sz w:val="24"/>
          <w:szCs w:val="32"/>
        </w:rPr>
        <w:t>施工场地清洁卫生的要求：</w:t>
      </w:r>
      <w:r>
        <w:rPr>
          <w:rFonts w:hint="eastAsia" w:ascii="宋体" w:hAnsi="宋体" w:eastAsia="宋体" w:cs="宋体"/>
          <w:color w:val="auto"/>
          <w:sz w:val="24"/>
          <w:szCs w:val="32"/>
          <w:u w:val="single"/>
        </w:rPr>
        <w:t>承包人保证施工场地清洁符合环境卫生管理的有关规定，交工前清理现场做到工完场清，并承担因自身原因违反有关规定造成损失和罚款。</w:t>
      </w:r>
    </w:p>
    <w:p w14:paraId="394E6239">
      <w:pPr>
        <w:pStyle w:val="18"/>
        <w:spacing w:beforeLines="0" w:after="0" w:afterLines="0" w:line="356" w:lineRule="auto"/>
        <w:ind w:left="0" w:leftChars="0" w:firstLine="480" w:firstLineChars="200"/>
        <w:rPr>
          <w:rFonts w:hint="eastAsia" w:ascii="宋体" w:hAnsi="宋体" w:eastAsia="宋体" w:cs="宋体"/>
          <w:color w:val="auto"/>
          <w:sz w:val="24"/>
          <w:szCs w:val="32"/>
          <w:u w:val="single"/>
        </w:rPr>
      </w:pPr>
      <w:r>
        <w:rPr>
          <w:rFonts w:hint="eastAsia" w:ascii="宋体" w:hAnsi="宋体" w:eastAsia="宋体" w:cs="宋体"/>
          <w:color w:val="auto"/>
          <w:sz w:val="24"/>
          <w:szCs w:val="32"/>
        </w:rPr>
        <w:t>双方约定承包人应做的其他工作：</w:t>
      </w:r>
      <w:r>
        <w:rPr>
          <w:rFonts w:hint="eastAsia" w:ascii="宋体" w:hAnsi="宋体" w:eastAsia="宋体" w:cs="宋体"/>
          <w:color w:val="auto"/>
          <w:sz w:val="24"/>
          <w:szCs w:val="32"/>
          <w:u w:val="single"/>
        </w:rPr>
        <w:t>无。</w:t>
      </w:r>
    </w:p>
    <w:p w14:paraId="6FC58ABC">
      <w:pPr>
        <w:adjustRightInd w:val="0"/>
        <w:snapToGrid w:val="0"/>
        <w:spacing w:beforeLines="0" w:afterLines="0" w:line="356"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3.5工程分包</w:t>
      </w:r>
    </w:p>
    <w:p w14:paraId="4E723929">
      <w:pPr>
        <w:adjustRightInd w:val="0"/>
        <w:snapToGrid w:val="0"/>
        <w:spacing w:beforeLines="0" w:afterLines="0" w:line="356"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3.5.2本工程发包人同意承包人分包的工程：</w:t>
      </w:r>
      <w:r>
        <w:rPr>
          <w:rFonts w:hint="eastAsia" w:ascii="宋体" w:hAnsi="宋体" w:eastAsia="宋体" w:cs="宋体"/>
          <w:color w:val="auto"/>
          <w:sz w:val="24"/>
          <w:szCs w:val="24"/>
          <w:u w:val="single"/>
        </w:rPr>
        <w:t xml:space="preserve"> 无  </w:t>
      </w:r>
      <w:r>
        <w:rPr>
          <w:rFonts w:hint="eastAsia" w:ascii="宋体" w:hAnsi="宋体" w:eastAsia="宋体" w:cs="宋体"/>
          <w:color w:val="auto"/>
          <w:sz w:val="24"/>
          <w:szCs w:val="24"/>
        </w:rPr>
        <w:t xml:space="preserve"> 。</w:t>
      </w:r>
    </w:p>
    <w:p w14:paraId="33BCF131">
      <w:pPr>
        <w:tabs>
          <w:tab w:val="left" w:pos="463"/>
        </w:tabs>
        <w:adjustRightInd w:val="0"/>
        <w:snapToGrid w:val="0"/>
        <w:spacing w:beforeLines="0" w:afterLines="0" w:line="356"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分包施工单位为</w:t>
      </w:r>
      <w:r>
        <w:rPr>
          <w:rFonts w:hint="eastAsia" w:ascii="宋体" w:hAnsi="宋体" w:eastAsia="宋体" w:cs="宋体"/>
          <w:color w:val="auto"/>
          <w:sz w:val="24"/>
          <w:szCs w:val="24"/>
          <w:u w:val="single"/>
        </w:rPr>
        <w:t xml:space="preserve"> 无  </w:t>
      </w:r>
      <w:r>
        <w:rPr>
          <w:rFonts w:hint="eastAsia" w:ascii="宋体" w:hAnsi="宋体" w:eastAsia="宋体" w:cs="宋体"/>
          <w:color w:val="auto"/>
          <w:sz w:val="24"/>
          <w:szCs w:val="24"/>
        </w:rPr>
        <w:t xml:space="preserve"> 。</w:t>
      </w:r>
    </w:p>
    <w:p w14:paraId="338A7C58">
      <w:pPr>
        <w:adjustRightInd w:val="0"/>
        <w:snapToGrid w:val="0"/>
        <w:spacing w:beforeLines="0" w:afterLines="0" w:line="356" w:lineRule="auto"/>
        <w:ind w:firstLine="480" w:firstLineChars="200"/>
        <w:rPr>
          <w:rFonts w:hint="eastAsia" w:ascii="宋体" w:hAnsi="宋体" w:eastAsia="宋体" w:cs="宋体"/>
          <w:color w:val="auto"/>
          <w:sz w:val="24"/>
          <w:szCs w:val="32"/>
          <w:u w:val="single"/>
        </w:rPr>
      </w:pPr>
      <w:r>
        <w:rPr>
          <w:rFonts w:hint="eastAsia" w:ascii="宋体" w:hAnsi="宋体" w:eastAsia="宋体" w:cs="宋体"/>
          <w:color w:val="auto"/>
          <w:sz w:val="24"/>
          <w:szCs w:val="32"/>
        </w:rPr>
        <w:t>4.1监理单位：</w:t>
      </w:r>
      <w:r>
        <w:rPr>
          <w:rFonts w:hint="eastAsia" w:ascii="宋体" w:hAnsi="宋体" w:eastAsia="宋体" w:cs="宋体"/>
          <w:color w:val="auto"/>
          <w:sz w:val="24"/>
          <w:szCs w:val="32"/>
          <w:u w:val="single"/>
        </w:rPr>
        <w:t xml:space="preserve">                 </w:t>
      </w:r>
    </w:p>
    <w:p w14:paraId="219472CC">
      <w:pPr>
        <w:adjustRightInd w:val="0"/>
        <w:snapToGrid w:val="0"/>
        <w:spacing w:beforeLines="0" w:afterLines="0" w:line="356" w:lineRule="auto"/>
        <w:ind w:firstLine="480" w:firstLineChars="200"/>
        <w:rPr>
          <w:rFonts w:hint="eastAsia" w:ascii="宋体" w:hAnsi="宋体" w:eastAsia="宋体" w:cs="宋体"/>
          <w:color w:val="auto"/>
          <w:sz w:val="24"/>
          <w:szCs w:val="32"/>
          <w:u w:val="single"/>
        </w:rPr>
      </w:pPr>
      <w:r>
        <w:rPr>
          <w:rFonts w:hint="eastAsia" w:ascii="宋体" w:hAnsi="宋体" w:eastAsia="宋体" w:cs="宋体"/>
          <w:color w:val="auto"/>
          <w:sz w:val="24"/>
          <w:szCs w:val="32"/>
        </w:rPr>
        <w:t>委派的工程师姓名：</w:t>
      </w:r>
      <w:r>
        <w:rPr>
          <w:rFonts w:hint="eastAsia" w:ascii="宋体" w:hAnsi="宋体" w:eastAsia="宋体" w:cs="宋体"/>
          <w:color w:val="auto"/>
          <w:sz w:val="24"/>
          <w:szCs w:val="32"/>
          <w:u w:val="single"/>
        </w:rPr>
        <w:t xml:space="preserve">        </w:t>
      </w:r>
      <w:r>
        <w:rPr>
          <w:rFonts w:hint="eastAsia" w:ascii="宋体" w:hAnsi="宋体" w:eastAsia="宋体" w:cs="宋体"/>
          <w:color w:val="auto"/>
          <w:sz w:val="24"/>
          <w:szCs w:val="32"/>
        </w:rPr>
        <w:t xml:space="preserve"> 职务：</w:t>
      </w:r>
      <w:r>
        <w:rPr>
          <w:rFonts w:hint="eastAsia" w:ascii="宋体" w:hAnsi="宋体" w:eastAsia="宋体" w:cs="宋体"/>
          <w:color w:val="auto"/>
          <w:sz w:val="24"/>
          <w:szCs w:val="32"/>
          <w:u w:val="single"/>
        </w:rPr>
        <w:t xml:space="preserve">       </w:t>
      </w:r>
      <w:r>
        <w:rPr>
          <w:rFonts w:hint="eastAsia" w:ascii="宋体" w:hAnsi="宋体" w:eastAsia="宋体" w:cs="宋体"/>
          <w:color w:val="auto"/>
          <w:sz w:val="24"/>
          <w:szCs w:val="32"/>
        </w:rPr>
        <w:t xml:space="preserve"> 电话：</w:t>
      </w:r>
      <w:r>
        <w:rPr>
          <w:rFonts w:hint="eastAsia" w:ascii="宋体" w:hAnsi="宋体" w:eastAsia="宋体" w:cs="宋体"/>
          <w:color w:val="auto"/>
          <w:sz w:val="24"/>
          <w:szCs w:val="32"/>
          <w:u w:val="single"/>
        </w:rPr>
        <w:t xml:space="preserve">       </w:t>
      </w:r>
    </w:p>
    <w:p w14:paraId="7B1EF8D9">
      <w:pPr>
        <w:adjustRightInd w:val="0"/>
        <w:snapToGrid w:val="0"/>
        <w:spacing w:beforeLines="0" w:afterLines="0" w:line="356" w:lineRule="auto"/>
        <w:ind w:firstLine="480" w:firstLineChars="200"/>
        <w:rPr>
          <w:rFonts w:hint="eastAsia" w:ascii="宋体" w:hAnsi="宋体" w:eastAsia="宋体" w:cs="宋体"/>
          <w:color w:val="auto"/>
          <w:sz w:val="24"/>
          <w:szCs w:val="32"/>
        </w:rPr>
      </w:pPr>
      <w:r>
        <w:rPr>
          <w:rFonts w:hint="eastAsia" w:ascii="宋体" w:hAnsi="宋体" w:eastAsia="宋体" w:cs="宋体"/>
          <w:color w:val="auto"/>
          <w:sz w:val="24"/>
          <w:szCs w:val="32"/>
        </w:rPr>
        <w:t>发包人委托的职权：</w:t>
      </w:r>
      <w:r>
        <w:rPr>
          <w:rFonts w:hint="eastAsia" w:ascii="宋体" w:hAnsi="宋体" w:eastAsia="宋体" w:cs="宋体"/>
          <w:color w:val="auto"/>
          <w:sz w:val="24"/>
          <w:szCs w:val="32"/>
          <w:u w:val="single"/>
        </w:rPr>
        <w:t xml:space="preserve"> 按本工程委托监理合同 </w:t>
      </w:r>
    </w:p>
    <w:p w14:paraId="1CB2ADF8">
      <w:pPr>
        <w:pStyle w:val="18"/>
        <w:spacing w:beforeLines="0" w:after="0" w:afterLines="0" w:line="356" w:lineRule="auto"/>
        <w:ind w:left="0" w:leftChars="0" w:firstLine="480" w:firstLineChars="200"/>
        <w:rPr>
          <w:rFonts w:hint="eastAsia" w:ascii="宋体" w:hAnsi="宋体" w:eastAsia="宋体" w:cs="宋体"/>
          <w:color w:val="auto"/>
          <w:sz w:val="24"/>
          <w:szCs w:val="32"/>
          <w:u w:val="single"/>
        </w:rPr>
      </w:pPr>
      <w:r>
        <w:rPr>
          <w:rFonts w:hint="eastAsia" w:ascii="宋体" w:hAnsi="宋体" w:eastAsia="宋体" w:cs="宋体"/>
          <w:color w:val="auto"/>
          <w:sz w:val="24"/>
          <w:szCs w:val="32"/>
        </w:rPr>
        <w:t>需要取得发包人批准才能行使的职权：</w:t>
      </w:r>
      <w:r>
        <w:rPr>
          <w:rFonts w:hint="eastAsia" w:ascii="宋体" w:hAnsi="宋体" w:eastAsia="宋体" w:cs="宋体"/>
          <w:color w:val="auto"/>
          <w:sz w:val="24"/>
          <w:szCs w:val="32"/>
          <w:u w:val="single"/>
        </w:rPr>
        <w:t xml:space="preserve">  按本合同委托监理合同 。</w:t>
      </w:r>
    </w:p>
    <w:p w14:paraId="66CF57F0">
      <w:pPr>
        <w:pStyle w:val="18"/>
        <w:spacing w:beforeLines="0" w:after="0" w:afterLines="0" w:line="356" w:lineRule="auto"/>
        <w:ind w:left="0" w:leftChars="0" w:firstLine="562" w:firstLineChars="200"/>
        <w:rPr>
          <w:rFonts w:hint="eastAsia" w:ascii="宋体" w:hAnsi="宋体" w:eastAsia="宋体" w:cs="宋体"/>
          <w:b/>
          <w:color w:val="auto"/>
          <w:sz w:val="28"/>
          <w:szCs w:val="36"/>
        </w:rPr>
      </w:pPr>
      <w:r>
        <w:rPr>
          <w:rFonts w:hint="eastAsia" w:ascii="宋体" w:hAnsi="宋体" w:eastAsia="宋体" w:cs="宋体"/>
          <w:b/>
          <w:color w:val="auto"/>
          <w:sz w:val="28"/>
          <w:szCs w:val="36"/>
        </w:rPr>
        <w:t>三、施工组织设计个工期</w:t>
      </w:r>
    </w:p>
    <w:p w14:paraId="181EC0AC">
      <w:pPr>
        <w:adjustRightInd w:val="0"/>
        <w:snapToGrid w:val="0"/>
        <w:spacing w:beforeLines="0" w:afterLines="0" w:line="356" w:lineRule="auto"/>
        <w:ind w:firstLine="480" w:firstLineChars="200"/>
        <w:rPr>
          <w:rFonts w:hint="eastAsia" w:ascii="宋体" w:hAnsi="宋体" w:eastAsia="宋体" w:cs="宋体"/>
          <w:color w:val="auto"/>
          <w:sz w:val="24"/>
          <w:szCs w:val="32"/>
        </w:rPr>
      </w:pPr>
      <w:r>
        <w:rPr>
          <w:rFonts w:hint="eastAsia" w:ascii="宋体" w:hAnsi="宋体" w:eastAsia="宋体" w:cs="宋体"/>
          <w:color w:val="auto"/>
          <w:sz w:val="24"/>
          <w:szCs w:val="32"/>
        </w:rPr>
        <w:t>7、进度计划</w:t>
      </w:r>
    </w:p>
    <w:p w14:paraId="05A341DF">
      <w:pPr>
        <w:adjustRightInd w:val="0"/>
        <w:snapToGrid w:val="0"/>
        <w:spacing w:beforeLines="0" w:afterLines="0" w:line="356" w:lineRule="auto"/>
        <w:ind w:firstLine="480" w:firstLineChars="200"/>
        <w:rPr>
          <w:rFonts w:hint="eastAsia" w:ascii="宋体" w:hAnsi="宋体" w:eastAsia="宋体" w:cs="宋体"/>
          <w:color w:val="auto"/>
          <w:sz w:val="24"/>
          <w:szCs w:val="32"/>
          <w:u w:val="single"/>
        </w:rPr>
      </w:pPr>
      <w:r>
        <w:rPr>
          <w:rFonts w:hint="eastAsia" w:ascii="宋体" w:hAnsi="宋体" w:eastAsia="宋体" w:cs="宋体"/>
          <w:color w:val="auto"/>
          <w:sz w:val="24"/>
          <w:szCs w:val="32"/>
        </w:rPr>
        <w:t>7.1.2承包人提供施工组织设计（施工方案）和进度计划的时间：</w:t>
      </w:r>
      <w:r>
        <w:rPr>
          <w:rFonts w:hint="eastAsia" w:ascii="宋体" w:hAnsi="宋体" w:eastAsia="宋体" w:cs="宋体"/>
          <w:color w:val="auto"/>
          <w:sz w:val="24"/>
          <w:szCs w:val="32"/>
          <w:u w:val="single"/>
        </w:rPr>
        <w:t>合同签订之日起15日内，并全面动工建设。</w:t>
      </w:r>
    </w:p>
    <w:p w14:paraId="18E8EC0E">
      <w:pPr>
        <w:adjustRightInd w:val="0"/>
        <w:snapToGrid w:val="0"/>
        <w:spacing w:beforeLines="0" w:afterLines="0" w:line="356" w:lineRule="auto"/>
        <w:ind w:firstLine="480" w:firstLineChars="200"/>
        <w:rPr>
          <w:rFonts w:hint="eastAsia" w:ascii="宋体" w:hAnsi="宋体" w:eastAsia="宋体" w:cs="宋体"/>
          <w:color w:val="auto"/>
          <w:sz w:val="24"/>
          <w:szCs w:val="32"/>
          <w:u w:val="single"/>
        </w:rPr>
      </w:pPr>
      <w:r>
        <w:rPr>
          <w:rFonts w:hint="eastAsia" w:ascii="宋体" w:hAnsi="宋体" w:eastAsia="宋体" w:cs="宋体"/>
          <w:color w:val="auto"/>
          <w:sz w:val="24"/>
          <w:szCs w:val="32"/>
        </w:rPr>
        <w:t>工程师确认的时间：</w:t>
      </w:r>
      <w:r>
        <w:rPr>
          <w:rFonts w:hint="eastAsia" w:ascii="宋体" w:hAnsi="宋体" w:eastAsia="宋体" w:cs="宋体"/>
          <w:color w:val="auto"/>
          <w:sz w:val="24"/>
          <w:szCs w:val="32"/>
          <w:u w:val="single"/>
        </w:rPr>
        <w:t>于收到之日起5日内批复。</w:t>
      </w:r>
    </w:p>
    <w:p w14:paraId="47E5E5E7">
      <w:pPr>
        <w:adjustRightInd w:val="0"/>
        <w:snapToGrid w:val="0"/>
        <w:spacing w:beforeLines="0" w:afterLines="0" w:line="356" w:lineRule="auto"/>
        <w:ind w:firstLine="480" w:firstLineChars="200"/>
        <w:rPr>
          <w:rFonts w:hint="eastAsia" w:ascii="宋体" w:hAnsi="宋体" w:eastAsia="宋体" w:cs="宋体"/>
          <w:color w:val="auto"/>
          <w:sz w:val="24"/>
          <w:szCs w:val="32"/>
        </w:rPr>
      </w:pPr>
      <w:r>
        <w:rPr>
          <w:rFonts w:hint="eastAsia" w:ascii="宋体" w:hAnsi="宋体" w:eastAsia="宋体" w:cs="宋体"/>
          <w:color w:val="auto"/>
          <w:sz w:val="24"/>
          <w:szCs w:val="32"/>
        </w:rPr>
        <w:t>群体工程中有关进度计划的要求：</w:t>
      </w:r>
      <w:r>
        <w:rPr>
          <w:rFonts w:hint="eastAsia" w:ascii="宋体" w:hAnsi="宋体" w:eastAsia="宋体" w:cs="宋体"/>
          <w:color w:val="auto"/>
          <w:sz w:val="24"/>
          <w:szCs w:val="32"/>
          <w:u w:val="single"/>
        </w:rPr>
        <w:t>按投标（响应）文件计划。</w:t>
      </w:r>
    </w:p>
    <w:p w14:paraId="16B0643B">
      <w:pPr>
        <w:adjustRightInd w:val="0"/>
        <w:snapToGrid w:val="0"/>
        <w:spacing w:beforeLines="0" w:afterLines="0" w:line="356" w:lineRule="auto"/>
        <w:ind w:firstLine="480" w:firstLineChars="200"/>
        <w:rPr>
          <w:rFonts w:hint="eastAsia" w:ascii="宋体" w:hAnsi="宋体" w:eastAsia="宋体" w:cs="宋体"/>
          <w:color w:val="auto"/>
          <w:sz w:val="24"/>
          <w:szCs w:val="32"/>
        </w:rPr>
      </w:pPr>
      <w:r>
        <w:rPr>
          <w:rFonts w:hint="eastAsia" w:ascii="宋体" w:hAnsi="宋体" w:eastAsia="宋体" w:cs="宋体"/>
          <w:color w:val="auto"/>
          <w:sz w:val="24"/>
          <w:szCs w:val="32"/>
        </w:rPr>
        <w:t>7.5工期延误</w:t>
      </w:r>
    </w:p>
    <w:p w14:paraId="7AEA180D">
      <w:pPr>
        <w:adjustRightInd w:val="0"/>
        <w:snapToGrid w:val="0"/>
        <w:spacing w:beforeLines="0" w:afterLines="0" w:line="356" w:lineRule="auto"/>
        <w:ind w:firstLine="480" w:firstLineChars="200"/>
        <w:rPr>
          <w:rFonts w:hint="eastAsia" w:ascii="宋体" w:hAnsi="宋体" w:eastAsia="宋体" w:cs="宋体"/>
          <w:color w:val="auto"/>
          <w:sz w:val="24"/>
          <w:szCs w:val="32"/>
          <w:u w:val="single"/>
        </w:rPr>
      </w:pPr>
      <w:r>
        <w:rPr>
          <w:rFonts w:hint="eastAsia" w:ascii="宋体" w:hAnsi="宋体" w:eastAsia="宋体" w:cs="宋体"/>
          <w:color w:val="auto"/>
          <w:sz w:val="24"/>
          <w:szCs w:val="32"/>
        </w:rPr>
        <w:t>7.5.1双方约定工期顺延的其他情况：</w:t>
      </w:r>
      <w:r>
        <w:rPr>
          <w:rFonts w:hint="eastAsia" w:ascii="宋体" w:hAnsi="宋体" w:eastAsia="宋体" w:cs="宋体"/>
          <w:color w:val="auto"/>
          <w:sz w:val="24"/>
          <w:szCs w:val="32"/>
          <w:u w:val="single"/>
        </w:rPr>
        <w:t>因工程行政主管部门指令性（除因施工方责任外）停工；发包人不能按时支付工程进度款给承包人；非承包人责任而造成的工期延误及发包人同意顺延工期的其他情况。</w:t>
      </w:r>
    </w:p>
    <w:p w14:paraId="20C3F809">
      <w:pPr>
        <w:pStyle w:val="5"/>
        <w:adjustRightInd w:val="0"/>
        <w:snapToGrid w:val="0"/>
        <w:spacing w:beforeLines="0" w:afterLines="0" w:line="356" w:lineRule="auto"/>
        <w:ind w:firstLine="562" w:firstLineChars="200"/>
        <w:rPr>
          <w:rFonts w:hint="eastAsia" w:ascii="宋体" w:hAnsi="宋体" w:eastAsia="宋体" w:cs="宋体"/>
          <w:color w:val="auto"/>
          <w:sz w:val="28"/>
          <w:szCs w:val="28"/>
        </w:rPr>
      </w:pPr>
      <w:bookmarkStart w:id="642" w:name="_Toc1361"/>
      <w:r>
        <w:rPr>
          <w:rFonts w:hint="eastAsia" w:ascii="宋体" w:hAnsi="宋体" w:eastAsia="宋体" w:cs="宋体"/>
          <w:color w:val="auto"/>
          <w:sz w:val="28"/>
          <w:szCs w:val="28"/>
        </w:rPr>
        <w:t>四、材料设备供应</w:t>
      </w:r>
      <w:bookmarkEnd w:id="642"/>
    </w:p>
    <w:p w14:paraId="311409F6">
      <w:pPr>
        <w:pStyle w:val="5"/>
        <w:adjustRightInd w:val="0"/>
        <w:snapToGrid w:val="0"/>
        <w:spacing w:beforeLines="0" w:afterLines="0" w:line="356" w:lineRule="auto"/>
        <w:ind w:firstLine="480" w:firstLineChars="200"/>
        <w:rPr>
          <w:rFonts w:hint="eastAsia" w:ascii="宋体" w:hAnsi="宋体" w:eastAsia="宋体" w:cs="宋体"/>
          <w:b w:val="0"/>
          <w:color w:val="auto"/>
          <w:sz w:val="24"/>
          <w:szCs w:val="24"/>
        </w:rPr>
      </w:pPr>
      <w:bookmarkStart w:id="643" w:name="_Toc2107"/>
      <w:r>
        <w:rPr>
          <w:rFonts w:hint="eastAsia" w:ascii="宋体" w:hAnsi="宋体" w:eastAsia="宋体" w:cs="宋体"/>
          <w:b w:val="0"/>
          <w:color w:val="auto"/>
          <w:sz w:val="24"/>
          <w:szCs w:val="24"/>
        </w:rPr>
        <w:t>8.1发包人供应材料设备：</w:t>
      </w:r>
      <w:r>
        <w:rPr>
          <w:rFonts w:hint="eastAsia" w:ascii="宋体" w:hAnsi="宋体" w:eastAsia="宋体" w:cs="宋体"/>
          <w:color w:val="auto"/>
          <w:sz w:val="24"/>
          <w:szCs w:val="24"/>
          <w:u w:val="single"/>
        </w:rPr>
        <w:t xml:space="preserve"> </w:t>
      </w:r>
      <w:r>
        <w:rPr>
          <w:rFonts w:hint="eastAsia" w:ascii="宋体" w:hAnsi="宋体" w:eastAsia="宋体" w:cs="宋体"/>
          <w:b w:val="0"/>
          <w:color w:val="auto"/>
          <w:sz w:val="24"/>
          <w:szCs w:val="24"/>
          <w:u w:val="single"/>
        </w:rPr>
        <w:t xml:space="preserve"> 无  </w:t>
      </w:r>
      <w:r>
        <w:rPr>
          <w:rFonts w:hint="eastAsia" w:ascii="宋体" w:hAnsi="宋体" w:eastAsia="宋体" w:cs="宋体"/>
          <w:b w:val="0"/>
          <w:color w:val="auto"/>
          <w:sz w:val="24"/>
          <w:szCs w:val="24"/>
        </w:rPr>
        <w:t xml:space="preserve"> 。</w:t>
      </w:r>
      <w:bookmarkEnd w:id="643"/>
    </w:p>
    <w:p w14:paraId="03896726">
      <w:pPr>
        <w:adjustRightInd w:val="0"/>
        <w:snapToGrid w:val="0"/>
        <w:spacing w:beforeLines="0" w:afterLines="0" w:line="356"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8.3.1发包人供应的材料设备与一览表不符时，双方约定发包人承担责任如下：</w:t>
      </w:r>
    </w:p>
    <w:p w14:paraId="667ABDF4">
      <w:pPr>
        <w:numPr>
          <w:ilvl w:val="0"/>
          <w:numId w:val="12"/>
        </w:numPr>
        <w:adjustRightInd w:val="0"/>
        <w:snapToGrid w:val="0"/>
        <w:spacing w:beforeLines="0" w:afterLines="0" w:line="356"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材料设备单价与一览表不符：</w:t>
      </w:r>
      <w:r>
        <w:rPr>
          <w:rFonts w:hint="eastAsia" w:ascii="宋体" w:hAnsi="宋体" w:eastAsia="宋体" w:cs="宋体"/>
          <w:color w:val="auto"/>
          <w:sz w:val="24"/>
          <w:szCs w:val="24"/>
          <w:u w:val="single"/>
        </w:rPr>
        <w:t xml:space="preserve">  无  </w:t>
      </w:r>
      <w:r>
        <w:rPr>
          <w:rFonts w:hint="eastAsia" w:ascii="宋体" w:hAnsi="宋体" w:eastAsia="宋体" w:cs="宋体"/>
          <w:color w:val="auto"/>
          <w:sz w:val="24"/>
          <w:szCs w:val="24"/>
        </w:rPr>
        <w:t xml:space="preserve"> 。</w:t>
      </w:r>
    </w:p>
    <w:p w14:paraId="76B7AB03">
      <w:pPr>
        <w:numPr>
          <w:ilvl w:val="0"/>
          <w:numId w:val="12"/>
        </w:numPr>
        <w:adjustRightInd w:val="0"/>
        <w:snapToGrid w:val="0"/>
        <w:spacing w:beforeLines="0" w:afterLines="0" w:line="356"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材料设备的品种、规格、型号、质量等级与一览表不符：</w:t>
      </w:r>
      <w:r>
        <w:rPr>
          <w:rFonts w:hint="eastAsia" w:ascii="宋体" w:hAnsi="宋体" w:eastAsia="宋体" w:cs="宋体"/>
          <w:color w:val="auto"/>
          <w:sz w:val="24"/>
          <w:szCs w:val="24"/>
          <w:u w:val="single"/>
        </w:rPr>
        <w:t xml:space="preserve">  无  </w:t>
      </w:r>
      <w:r>
        <w:rPr>
          <w:rFonts w:hint="eastAsia" w:ascii="宋体" w:hAnsi="宋体" w:eastAsia="宋体" w:cs="宋体"/>
          <w:color w:val="auto"/>
          <w:sz w:val="24"/>
          <w:szCs w:val="24"/>
        </w:rPr>
        <w:t xml:space="preserve"> 。</w:t>
      </w:r>
    </w:p>
    <w:p w14:paraId="1AF7FFC7">
      <w:pPr>
        <w:numPr>
          <w:ilvl w:val="0"/>
          <w:numId w:val="12"/>
        </w:numPr>
        <w:adjustRightInd w:val="0"/>
        <w:snapToGrid w:val="0"/>
        <w:spacing w:beforeLines="0" w:afterLines="0" w:line="356"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kern w:val="0"/>
          <w:sz w:val="24"/>
          <w:szCs w:val="24"/>
        </w:rPr>
        <w:t>承包人可代为调剂串换的材料：</w:t>
      </w:r>
      <w:r>
        <w:rPr>
          <w:rFonts w:hint="eastAsia" w:ascii="宋体" w:hAnsi="宋体" w:eastAsia="宋体" w:cs="宋体"/>
          <w:color w:val="auto"/>
          <w:sz w:val="24"/>
          <w:szCs w:val="24"/>
          <w:u w:val="single"/>
        </w:rPr>
        <w:t xml:space="preserve">  无  </w:t>
      </w:r>
      <w:r>
        <w:rPr>
          <w:rFonts w:hint="eastAsia" w:ascii="宋体" w:hAnsi="宋体" w:eastAsia="宋体" w:cs="宋体"/>
          <w:color w:val="auto"/>
          <w:sz w:val="24"/>
          <w:szCs w:val="24"/>
        </w:rPr>
        <w:t xml:space="preserve"> 。</w:t>
      </w:r>
    </w:p>
    <w:p w14:paraId="2CD57F0E">
      <w:pPr>
        <w:numPr>
          <w:ilvl w:val="0"/>
          <w:numId w:val="12"/>
        </w:numPr>
        <w:adjustRightInd w:val="0"/>
        <w:snapToGrid w:val="0"/>
        <w:spacing w:beforeLines="0" w:afterLines="0" w:line="356"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到货地点与一览表不符：</w:t>
      </w:r>
      <w:r>
        <w:rPr>
          <w:rFonts w:hint="eastAsia" w:ascii="宋体" w:hAnsi="宋体" w:eastAsia="宋体" w:cs="宋体"/>
          <w:color w:val="auto"/>
          <w:sz w:val="24"/>
          <w:szCs w:val="24"/>
          <w:u w:val="single"/>
        </w:rPr>
        <w:t xml:space="preserve">  无  </w:t>
      </w:r>
      <w:r>
        <w:rPr>
          <w:rFonts w:hint="eastAsia" w:ascii="宋体" w:hAnsi="宋体" w:eastAsia="宋体" w:cs="宋体"/>
          <w:color w:val="auto"/>
          <w:sz w:val="24"/>
          <w:szCs w:val="24"/>
        </w:rPr>
        <w:t xml:space="preserve"> 。</w:t>
      </w:r>
    </w:p>
    <w:p w14:paraId="1917E87C">
      <w:pPr>
        <w:numPr>
          <w:ilvl w:val="0"/>
          <w:numId w:val="12"/>
        </w:numPr>
        <w:adjustRightInd w:val="0"/>
        <w:snapToGrid w:val="0"/>
        <w:spacing w:beforeLines="0" w:afterLines="0" w:line="356"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供应数量与一览表不符：</w:t>
      </w:r>
      <w:r>
        <w:rPr>
          <w:rFonts w:hint="eastAsia" w:ascii="宋体" w:hAnsi="宋体" w:eastAsia="宋体" w:cs="宋体"/>
          <w:color w:val="auto"/>
          <w:sz w:val="24"/>
          <w:szCs w:val="24"/>
          <w:u w:val="single"/>
        </w:rPr>
        <w:t xml:space="preserve">  无  </w:t>
      </w:r>
      <w:r>
        <w:rPr>
          <w:rFonts w:hint="eastAsia" w:ascii="宋体" w:hAnsi="宋体" w:eastAsia="宋体" w:cs="宋体"/>
          <w:color w:val="auto"/>
          <w:sz w:val="24"/>
          <w:szCs w:val="24"/>
        </w:rPr>
        <w:t xml:space="preserve"> 。</w:t>
      </w:r>
    </w:p>
    <w:p w14:paraId="7CFB1011">
      <w:pPr>
        <w:numPr>
          <w:ilvl w:val="0"/>
          <w:numId w:val="12"/>
        </w:numPr>
        <w:adjustRightInd w:val="0"/>
        <w:snapToGrid w:val="0"/>
        <w:spacing w:beforeLines="0" w:afterLines="0" w:line="356"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到货时间与一览表不符：</w:t>
      </w:r>
      <w:r>
        <w:rPr>
          <w:rFonts w:hint="eastAsia" w:ascii="宋体" w:hAnsi="宋体" w:eastAsia="宋体" w:cs="宋体"/>
          <w:color w:val="auto"/>
          <w:sz w:val="24"/>
          <w:szCs w:val="24"/>
          <w:u w:val="single"/>
        </w:rPr>
        <w:t xml:space="preserve">  无  </w:t>
      </w:r>
      <w:r>
        <w:rPr>
          <w:rFonts w:hint="eastAsia" w:ascii="宋体" w:hAnsi="宋体" w:eastAsia="宋体" w:cs="宋体"/>
          <w:color w:val="auto"/>
          <w:sz w:val="24"/>
          <w:szCs w:val="24"/>
        </w:rPr>
        <w:t xml:space="preserve"> 。</w:t>
      </w:r>
    </w:p>
    <w:p w14:paraId="0F0AE7B5">
      <w:pPr>
        <w:adjustRightInd w:val="0"/>
        <w:snapToGrid w:val="0"/>
        <w:spacing w:beforeLines="0" w:afterLines="0" w:line="356"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发包人供应材料设备的结算方法：</w:t>
      </w:r>
      <w:r>
        <w:rPr>
          <w:rFonts w:hint="eastAsia" w:ascii="宋体" w:hAnsi="宋体" w:eastAsia="宋体" w:cs="宋体"/>
          <w:color w:val="auto"/>
          <w:sz w:val="24"/>
          <w:szCs w:val="24"/>
          <w:u w:val="single"/>
        </w:rPr>
        <w:t xml:space="preserve">  无  </w:t>
      </w:r>
      <w:r>
        <w:rPr>
          <w:rFonts w:hint="eastAsia" w:ascii="宋体" w:hAnsi="宋体" w:eastAsia="宋体" w:cs="宋体"/>
          <w:color w:val="auto"/>
          <w:sz w:val="24"/>
          <w:szCs w:val="24"/>
        </w:rPr>
        <w:t xml:space="preserve"> 。</w:t>
      </w:r>
    </w:p>
    <w:p w14:paraId="132306F5">
      <w:pPr>
        <w:adjustRightInd w:val="0"/>
        <w:snapToGrid w:val="0"/>
        <w:spacing w:beforeLines="0" w:afterLines="0" w:line="356"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8.2</w:t>
      </w:r>
      <w:r>
        <w:rPr>
          <w:rFonts w:hint="eastAsia" w:ascii="宋体" w:hAnsi="宋体" w:eastAsia="宋体" w:cs="宋体"/>
          <w:color w:val="auto"/>
          <w:kern w:val="0"/>
          <w:sz w:val="24"/>
          <w:szCs w:val="24"/>
        </w:rPr>
        <w:t>承包人采购</w:t>
      </w:r>
      <w:r>
        <w:rPr>
          <w:rFonts w:hint="eastAsia" w:ascii="宋体" w:hAnsi="宋体" w:eastAsia="宋体" w:cs="宋体"/>
          <w:color w:val="auto"/>
          <w:sz w:val="24"/>
          <w:szCs w:val="24"/>
        </w:rPr>
        <w:t>材料设备</w:t>
      </w:r>
    </w:p>
    <w:p w14:paraId="053A9CF0">
      <w:pPr>
        <w:adjustRightInd w:val="0"/>
        <w:snapToGrid w:val="0"/>
        <w:spacing w:beforeLines="0" w:afterLines="0" w:line="356" w:lineRule="auto"/>
        <w:ind w:firstLine="480" w:firstLineChars="200"/>
        <w:rPr>
          <w:rFonts w:hint="eastAsia" w:ascii="宋体" w:hAnsi="宋体" w:eastAsia="宋体" w:cs="宋体"/>
          <w:color w:val="auto"/>
          <w:sz w:val="21"/>
          <w:szCs w:val="24"/>
        </w:rPr>
      </w:pPr>
      <w:r>
        <w:rPr>
          <w:rFonts w:hint="eastAsia" w:ascii="宋体" w:hAnsi="宋体" w:eastAsia="宋体" w:cs="宋体"/>
          <w:color w:val="auto"/>
          <w:kern w:val="0"/>
          <w:sz w:val="24"/>
          <w:szCs w:val="24"/>
        </w:rPr>
        <w:t>承包人采购</w:t>
      </w:r>
      <w:r>
        <w:rPr>
          <w:rFonts w:hint="eastAsia" w:ascii="宋体" w:hAnsi="宋体" w:eastAsia="宋体" w:cs="宋体"/>
          <w:color w:val="auto"/>
          <w:sz w:val="24"/>
          <w:szCs w:val="24"/>
        </w:rPr>
        <w:t>材料设备的约定：</w:t>
      </w:r>
      <w:r>
        <w:rPr>
          <w:rFonts w:hint="eastAsia" w:ascii="宋体" w:hAnsi="宋体" w:eastAsia="宋体" w:cs="宋体"/>
          <w:color w:val="auto"/>
          <w:sz w:val="24"/>
          <w:szCs w:val="24"/>
          <w:u w:val="single"/>
        </w:rPr>
        <w:t xml:space="preserve">本合同工程实行承包人包工包料方式，由承包人自购。所购材料必须有产品合格证，试验或检验报告，并由监理工程师和发包人工地代表验证后才能进场及投入施工。  </w:t>
      </w:r>
    </w:p>
    <w:p w14:paraId="23A36265">
      <w:pPr>
        <w:adjustRightInd w:val="0"/>
        <w:snapToGrid w:val="0"/>
        <w:spacing w:beforeLines="0" w:afterLines="0" w:line="356" w:lineRule="auto"/>
        <w:ind w:firstLine="562" w:firstLineChars="200"/>
        <w:rPr>
          <w:rFonts w:hint="eastAsia" w:ascii="宋体" w:hAnsi="宋体" w:eastAsia="宋体" w:cs="宋体"/>
          <w:b/>
          <w:color w:val="auto"/>
          <w:sz w:val="28"/>
          <w:szCs w:val="36"/>
        </w:rPr>
      </w:pPr>
      <w:r>
        <w:rPr>
          <w:rFonts w:hint="eastAsia" w:ascii="宋体" w:hAnsi="宋体" w:eastAsia="宋体" w:cs="宋体"/>
          <w:b/>
          <w:color w:val="auto"/>
          <w:sz w:val="28"/>
          <w:szCs w:val="36"/>
        </w:rPr>
        <w:t>五、变更</w:t>
      </w:r>
    </w:p>
    <w:p w14:paraId="63DBD67D">
      <w:pPr>
        <w:adjustRightInd w:val="0"/>
        <w:snapToGrid w:val="0"/>
        <w:spacing w:beforeLines="0" w:afterLines="0" w:line="356" w:lineRule="auto"/>
        <w:ind w:firstLine="480" w:firstLineChars="200"/>
        <w:rPr>
          <w:rFonts w:hint="eastAsia" w:ascii="宋体" w:hAnsi="宋体" w:eastAsia="宋体" w:cs="宋体"/>
          <w:color w:val="auto"/>
          <w:sz w:val="24"/>
          <w:szCs w:val="32"/>
        </w:rPr>
      </w:pPr>
      <w:r>
        <w:rPr>
          <w:rFonts w:hint="eastAsia" w:ascii="宋体" w:hAnsi="宋体" w:eastAsia="宋体" w:cs="宋体"/>
          <w:color w:val="auto"/>
          <w:sz w:val="24"/>
          <w:szCs w:val="24"/>
        </w:rPr>
        <w:t>按《通用条款》10.1、10.2、10.3、10.4款执行。</w:t>
      </w:r>
    </w:p>
    <w:p w14:paraId="38ADCF5D">
      <w:pPr>
        <w:adjustRightInd w:val="0"/>
        <w:snapToGrid w:val="0"/>
        <w:spacing w:beforeLines="0" w:afterLines="0" w:line="356" w:lineRule="auto"/>
        <w:ind w:firstLine="480" w:firstLineChars="200"/>
        <w:rPr>
          <w:rFonts w:hint="eastAsia" w:ascii="宋体" w:hAnsi="宋体" w:eastAsia="宋体" w:cs="宋体"/>
          <w:color w:val="auto"/>
          <w:sz w:val="24"/>
          <w:szCs w:val="32"/>
        </w:rPr>
      </w:pPr>
      <w:r>
        <w:rPr>
          <w:rFonts w:hint="eastAsia" w:ascii="宋体" w:hAnsi="宋体" w:eastAsia="宋体" w:cs="宋体"/>
          <w:color w:val="auto"/>
          <w:sz w:val="24"/>
          <w:szCs w:val="32"/>
        </w:rPr>
        <w:t>10.4.1变更的估价原则</w:t>
      </w:r>
    </w:p>
    <w:p w14:paraId="24AA300F">
      <w:pPr>
        <w:adjustRightInd w:val="0"/>
        <w:snapToGrid w:val="0"/>
        <w:spacing w:beforeLines="0" w:afterLines="0" w:line="356" w:lineRule="auto"/>
        <w:ind w:firstLine="480" w:firstLineChars="200"/>
        <w:rPr>
          <w:rFonts w:hint="eastAsia" w:ascii="宋体" w:hAnsi="宋体" w:eastAsia="宋体" w:cs="宋体"/>
          <w:color w:val="auto"/>
          <w:sz w:val="24"/>
          <w:szCs w:val="32"/>
        </w:rPr>
      </w:pPr>
      <w:r>
        <w:rPr>
          <w:rFonts w:hint="eastAsia" w:ascii="宋体" w:hAnsi="宋体" w:eastAsia="宋体" w:cs="宋体"/>
          <w:color w:val="auto"/>
          <w:sz w:val="24"/>
          <w:szCs w:val="32"/>
        </w:rPr>
        <w:t>因变更引起的价格调整按照本款约定处理。</w:t>
      </w:r>
    </w:p>
    <w:p w14:paraId="50DF0B05">
      <w:pPr>
        <w:adjustRightInd w:val="0"/>
        <w:snapToGrid w:val="0"/>
        <w:spacing w:beforeLines="0" w:afterLines="0" w:line="356" w:lineRule="auto"/>
        <w:ind w:firstLine="480" w:firstLineChars="200"/>
        <w:rPr>
          <w:rFonts w:hint="eastAsia" w:ascii="宋体" w:hAnsi="宋体" w:eastAsia="宋体" w:cs="宋体"/>
          <w:color w:val="auto"/>
          <w:sz w:val="24"/>
          <w:szCs w:val="32"/>
        </w:rPr>
      </w:pPr>
      <w:r>
        <w:rPr>
          <w:rFonts w:hint="eastAsia" w:ascii="宋体" w:hAnsi="宋体" w:eastAsia="宋体" w:cs="宋体"/>
          <w:color w:val="auto"/>
          <w:sz w:val="24"/>
          <w:szCs w:val="32"/>
        </w:rPr>
        <w:t>（1）已标价工程量清单中有使用于变更工作的子目的，采用该子目的单价。</w:t>
      </w:r>
    </w:p>
    <w:p w14:paraId="549D57C9">
      <w:pPr>
        <w:adjustRightInd w:val="0"/>
        <w:snapToGrid w:val="0"/>
        <w:spacing w:beforeLines="0" w:afterLines="0" w:line="356" w:lineRule="auto"/>
        <w:ind w:firstLine="480" w:firstLineChars="200"/>
        <w:rPr>
          <w:rFonts w:hint="eastAsia" w:ascii="宋体" w:hAnsi="宋体" w:eastAsia="宋体" w:cs="宋体"/>
          <w:color w:val="auto"/>
          <w:sz w:val="24"/>
          <w:szCs w:val="32"/>
        </w:rPr>
      </w:pPr>
      <w:r>
        <w:rPr>
          <w:rFonts w:hint="eastAsia" w:ascii="宋体" w:hAnsi="宋体" w:eastAsia="宋体" w:cs="宋体"/>
          <w:color w:val="auto"/>
          <w:sz w:val="24"/>
          <w:szCs w:val="32"/>
        </w:rPr>
        <w:t>（2）已标价工程量清单中无适用于变更工作的子目的，但有类似子目的，可在合理范围内参照类似子目的单价。</w:t>
      </w:r>
    </w:p>
    <w:p w14:paraId="06EF8D44">
      <w:pPr>
        <w:adjustRightInd w:val="0"/>
        <w:snapToGrid w:val="0"/>
        <w:spacing w:beforeLines="0" w:afterLines="0" w:line="356" w:lineRule="auto"/>
        <w:ind w:firstLine="480" w:firstLineChars="200"/>
        <w:rPr>
          <w:rFonts w:hint="eastAsia" w:ascii="宋体" w:hAnsi="宋体" w:eastAsia="宋体" w:cs="宋体"/>
          <w:color w:val="auto"/>
          <w:sz w:val="24"/>
          <w:szCs w:val="32"/>
        </w:rPr>
      </w:pPr>
      <w:r>
        <w:rPr>
          <w:rFonts w:hint="eastAsia" w:ascii="宋体" w:hAnsi="宋体" w:eastAsia="宋体" w:cs="宋体"/>
          <w:color w:val="auto"/>
          <w:sz w:val="24"/>
          <w:szCs w:val="32"/>
        </w:rPr>
        <w:t>（3）已标价工程量清单中无适用或类似子目的单价，</w:t>
      </w:r>
      <w:r>
        <w:rPr>
          <w:rFonts w:hint="eastAsia" w:ascii="宋体" w:hAnsi="宋体" w:eastAsia="宋体" w:cs="宋体"/>
          <w:color w:val="auto"/>
          <w:sz w:val="24"/>
          <w:szCs w:val="32"/>
          <w:u w:val="single"/>
        </w:rPr>
        <w:t>①有定额的套定额计算其综合单价（其中材料价格有信息价的按施工期间浦北县的信息价，无信息价的由发包人、承包人、监理人市场询价），并乘以中标价除以招标控制价得出的系数确定新的综合价。②新增项目无定额可套的，由发包人、承包人、监理人市场询价并乘以中标价除以招标控制价得出的系数确定新的综合价。</w:t>
      </w:r>
    </w:p>
    <w:p w14:paraId="25599853">
      <w:pPr>
        <w:adjustRightInd w:val="0"/>
        <w:snapToGrid w:val="0"/>
        <w:spacing w:beforeLines="0" w:afterLines="0" w:line="356" w:lineRule="auto"/>
        <w:ind w:firstLine="480" w:firstLineChars="200"/>
        <w:rPr>
          <w:rFonts w:hint="eastAsia" w:ascii="宋体" w:hAnsi="宋体" w:eastAsia="宋体" w:cs="宋体"/>
          <w:color w:val="auto"/>
          <w:sz w:val="24"/>
          <w:szCs w:val="32"/>
        </w:rPr>
      </w:pPr>
      <w:r>
        <w:rPr>
          <w:rFonts w:hint="eastAsia" w:ascii="宋体" w:hAnsi="宋体" w:eastAsia="宋体" w:cs="宋体"/>
          <w:color w:val="auto"/>
          <w:sz w:val="24"/>
          <w:szCs w:val="32"/>
        </w:rPr>
        <w:t>11、价格调整</w:t>
      </w:r>
    </w:p>
    <w:p w14:paraId="1B6D6221">
      <w:pPr>
        <w:adjustRightInd w:val="0"/>
        <w:snapToGrid w:val="0"/>
        <w:spacing w:beforeLines="0" w:afterLines="0" w:line="356" w:lineRule="auto"/>
        <w:ind w:firstLine="480" w:firstLineChars="200"/>
        <w:rPr>
          <w:rFonts w:hint="eastAsia" w:ascii="宋体" w:hAnsi="宋体" w:eastAsia="宋体" w:cs="宋体"/>
          <w:color w:val="auto"/>
          <w:sz w:val="24"/>
          <w:szCs w:val="32"/>
          <w:u w:val="single"/>
        </w:rPr>
      </w:pPr>
      <w:r>
        <w:rPr>
          <w:rFonts w:hint="eastAsia" w:ascii="宋体" w:hAnsi="宋体" w:eastAsia="宋体" w:cs="宋体"/>
          <w:color w:val="auto"/>
          <w:sz w:val="24"/>
          <w:szCs w:val="32"/>
        </w:rPr>
        <w:t>11.1物价波动引起价格调整：</w:t>
      </w:r>
      <w:r>
        <w:rPr>
          <w:rFonts w:hint="eastAsia" w:ascii="宋体" w:hAnsi="宋体" w:eastAsia="宋体" w:cs="宋体"/>
          <w:color w:val="auto"/>
          <w:sz w:val="24"/>
          <w:szCs w:val="32"/>
          <w:u w:val="single"/>
        </w:rPr>
        <w:t xml:space="preserve"> 无。</w:t>
      </w:r>
    </w:p>
    <w:p w14:paraId="1CE961D4">
      <w:pPr>
        <w:adjustRightInd w:val="0"/>
        <w:snapToGrid w:val="0"/>
        <w:spacing w:beforeLines="0" w:afterLines="0" w:line="356" w:lineRule="auto"/>
        <w:ind w:firstLine="480" w:firstLineChars="200"/>
        <w:rPr>
          <w:rFonts w:hint="eastAsia" w:ascii="宋体" w:hAnsi="宋体" w:eastAsia="宋体" w:cs="宋体"/>
          <w:color w:val="auto"/>
          <w:sz w:val="24"/>
          <w:szCs w:val="32"/>
          <w:u w:val="single"/>
        </w:rPr>
      </w:pPr>
      <w:r>
        <w:rPr>
          <w:rFonts w:hint="eastAsia" w:ascii="宋体" w:hAnsi="宋体" w:eastAsia="宋体" w:cs="宋体"/>
          <w:color w:val="auto"/>
          <w:sz w:val="24"/>
          <w:szCs w:val="32"/>
        </w:rPr>
        <w:t>11.1.1采用价格指数调整价格差额：</w:t>
      </w:r>
      <w:r>
        <w:rPr>
          <w:rFonts w:hint="eastAsia" w:ascii="宋体" w:hAnsi="宋体" w:eastAsia="宋体" w:cs="宋体"/>
          <w:color w:val="auto"/>
          <w:sz w:val="24"/>
          <w:szCs w:val="32"/>
          <w:u w:val="single"/>
        </w:rPr>
        <w:t>无。</w:t>
      </w:r>
    </w:p>
    <w:p w14:paraId="464723D9">
      <w:pPr>
        <w:adjustRightInd w:val="0"/>
        <w:snapToGrid w:val="0"/>
        <w:spacing w:beforeLines="0" w:afterLines="0" w:line="356" w:lineRule="auto"/>
        <w:ind w:firstLine="480" w:firstLineChars="200"/>
        <w:rPr>
          <w:rFonts w:hint="eastAsia" w:ascii="宋体" w:hAnsi="宋体" w:eastAsia="宋体" w:cs="宋体"/>
          <w:color w:val="auto"/>
          <w:sz w:val="24"/>
          <w:szCs w:val="32"/>
          <w:u w:val="single"/>
        </w:rPr>
      </w:pPr>
      <w:r>
        <w:rPr>
          <w:rFonts w:hint="eastAsia" w:ascii="宋体" w:hAnsi="宋体" w:eastAsia="宋体" w:cs="宋体"/>
          <w:color w:val="auto"/>
          <w:sz w:val="24"/>
          <w:szCs w:val="32"/>
        </w:rPr>
        <w:t>11.1.2采用造价信息调整价格差额：</w:t>
      </w:r>
      <w:r>
        <w:rPr>
          <w:rFonts w:hint="eastAsia" w:ascii="宋体" w:hAnsi="宋体" w:eastAsia="宋体" w:cs="宋体"/>
          <w:color w:val="auto"/>
          <w:sz w:val="24"/>
          <w:szCs w:val="32"/>
          <w:u w:val="single"/>
        </w:rPr>
        <w:t>无。</w:t>
      </w:r>
    </w:p>
    <w:p w14:paraId="2FD89A2F">
      <w:pPr>
        <w:adjustRightInd w:val="0"/>
        <w:snapToGrid w:val="0"/>
        <w:spacing w:beforeLines="0" w:afterLines="0" w:line="356" w:lineRule="auto"/>
        <w:ind w:firstLine="480" w:firstLineChars="200"/>
        <w:rPr>
          <w:rFonts w:hint="eastAsia" w:ascii="宋体" w:hAnsi="宋体" w:eastAsia="宋体" w:cs="宋体"/>
          <w:color w:val="auto"/>
          <w:sz w:val="24"/>
          <w:szCs w:val="32"/>
          <w:u w:val="single"/>
        </w:rPr>
      </w:pPr>
      <w:r>
        <w:rPr>
          <w:rFonts w:hint="eastAsia" w:ascii="宋体" w:hAnsi="宋体" w:eastAsia="宋体" w:cs="宋体"/>
          <w:color w:val="auto"/>
          <w:sz w:val="24"/>
          <w:szCs w:val="32"/>
        </w:rPr>
        <w:t>双方约定合同价款的其他调整因素：</w:t>
      </w:r>
      <w:r>
        <w:rPr>
          <w:rFonts w:hint="eastAsia" w:ascii="宋体" w:hAnsi="宋体" w:eastAsia="宋体" w:cs="宋体"/>
          <w:color w:val="auto"/>
          <w:sz w:val="24"/>
          <w:szCs w:val="32"/>
          <w:u w:val="single"/>
        </w:rPr>
        <w:t>无。</w:t>
      </w:r>
    </w:p>
    <w:p w14:paraId="4AF6F2AD">
      <w:pPr>
        <w:adjustRightInd w:val="0"/>
        <w:snapToGrid w:val="0"/>
        <w:spacing w:beforeLines="0" w:afterLines="0" w:line="356" w:lineRule="auto"/>
        <w:ind w:firstLine="562" w:firstLineChars="200"/>
        <w:rPr>
          <w:rFonts w:hint="eastAsia" w:ascii="宋体" w:hAnsi="宋体" w:eastAsia="宋体" w:cs="宋体"/>
          <w:b/>
          <w:color w:val="auto"/>
          <w:sz w:val="28"/>
          <w:szCs w:val="36"/>
        </w:rPr>
      </w:pPr>
      <w:r>
        <w:rPr>
          <w:rFonts w:hint="eastAsia" w:ascii="宋体" w:hAnsi="宋体" w:eastAsia="宋体" w:cs="宋体"/>
          <w:b/>
          <w:color w:val="auto"/>
          <w:sz w:val="28"/>
          <w:szCs w:val="36"/>
        </w:rPr>
        <w:t>六、合同价款与支付</w:t>
      </w:r>
    </w:p>
    <w:p w14:paraId="34C70DAE">
      <w:pPr>
        <w:adjustRightInd w:val="0"/>
        <w:snapToGrid w:val="0"/>
        <w:spacing w:beforeLines="0" w:afterLines="0" w:line="356" w:lineRule="auto"/>
        <w:ind w:firstLine="480" w:firstLineChars="200"/>
        <w:rPr>
          <w:rFonts w:hint="eastAsia" w:ascii="宋体" w:hAnsi="宋体" w:eastAsia="宋体" w:cs="宋体"/>
          <w:color w:val="auto"/>
          <w:sz w:val="24"/>
          <w:szCs w:val="32"/>
        </w:rPr>
      </w:pPr>
      <w:r>
        <w:rPr>
          <w:rFonts w:hint="eastAsia" w:ascii="宋体" w:hAnsi="宋体" w:eastAsia="宋体" w:cs="宋体"/>
          <w:color w:val="auto"/>
          <w:sz w:val="24"/>
          <w:szCs w:val="32"/>
        </w:rPr>
        <w:t>12、合同价款及调整</w:t>
      </w:r>
    </w:p>
    <w:p w14:paraId="5696BE7C">
      <w:pPr>
        <w:pStyle w:val="8"/>
        <w:spacing w:beforeLines="0" w:afterLines="0" w:line="356" w:lineRule="auto"/>
        <w:ind w:firstLine="480" w:firstLineChars="200"/>
        <w:rPr>
          <w:rFonts w:hint="eastAsia" w:ascii="宋体" w:hAnsi="宋体" w:eastAsia="宋体" w:cs="宋体"/>
          <w:b w:val="0"/>
          <w:color w:val="auto"/>
          <w:sz w:val="24"/>
          <w:szCs w:val="24"/>
        </w:rPr>
      </w:pPr>
      <w:r>
        <w:rPr>
          <w:rFonts w:hint="eastAsia" w:ascii="宋体" w:hAnsi="宋体" w:eastAsia="宋体" w:cs="宋体"/>
          <w:b w:val="0"/>
          <w:color w:val="auto"/>
          <w:sz w:val="24"/>
          <w:szCs w:val="24"/>
        </w:rPr>
        <w:t>12.2预付款</w:t>
      </w:r>
    </w:p>
    <w:p w14:paraId="527A91C6">
      <w:pPr>
        <w:spacing w:beforeLines="0" w:afterLines="0" w:line="356" w:lineRule="auto"/>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sz w:val="24"/>
          <w:szCs w:val="24"/>
        </w:rPr>
        <w:t>12.2.1</w:t>
      </w:r>
      <w:r>
        <w:rPr>
          <w:rFonts w:hint="eastAsia" w:ascii="宋体" w:hAnsi="宋体" w:eastAsia="宋体" w:cs="宋体"/>
          <w:color w:val="auto"/>
          <w:kern w:val="0"/>
          <w:sz w:val="24"/>
          <w:szCs w:val="24"/>
        </w:rPr>
        <w:t>预付款的支付</w:t>
      </w:r>
    </w:p>
    <w:p w14:paraId="73476253">
      <w:pPr>
        <w:spacing w:beforeLines="0" w:afterLines="0" w:line="356" w:lineRule="auto"/>
        <w:ind w:firstLine="480" w:firstLineChars="200"/>
        <w:jc w:val="left"/>
        <w:rPr>
          <w:rFonts w:hint="eastAsia" w:ascii="宋体" w:hAnsi="宋体" w:eastAsia="宋体" w:cs="宋体"/>
          <w:color w:val="auto"/>
          <w:sz w:val="24"/>
          <w:szCs w:val="32"/>
        </w:rPr>
      </w:pPr>
      <w:r>
        <w:rPr>
          <w:rFonts w:hint="eastAsia" w:ascii="宋体" w:hAnsi="宋体" w:eastAsia="宋体" w:cs="宋体"/>
          <w:color w:val="auto"/>
          <w:kern w:val="0"/>
          <w:sz w:val="24"/>
          <w:szCs w:val="24"/>
        </w:rPr>
        <w:t>合同签订后，承包人向发包人提交等额预付款保函后，发包人申请支付签约合同价的30%作为预付款。预付款从进度款支付中分3-5次等额扣回，直至扣完为止。具体扣回方案在第一次进度款支付时由双方协商确定。</w:t>
      </w:r>
    </w:p>
    <w:p w14:paraId="17114334">
      <w:pPr>
        <w:adjustRightInd w:val="0"/>
        <w:snapToGrid w:val="0"/>
        <w:spacing w:beforeLines="0" w:afterLines="0" w:line="356" w:lineRule="auto"/>
        <w:ind w:firstLine="480" w:firstLineChars="200"/>
        <w:rPr>
          <w:rFonts w:hint="eastAsia" w:ascii="宋体" w:hAnsi="宋体" w:eastAsia="宋体" w:cs="宋体"/>
          <w:color w:val="auto"/>
          <w:sz w:val="24"/>
          <w:szCs w:val="32"/>
        </w:rPr>
      </w:pPr>
      <w:r>
        <w:rPr>
          <w:rFonts w:hint="eastAsia" w:ascii="宋体" w:hAnsi="宋体" w:eastAsia="宋体" w:cs="宋体"/>
          <w:color w:val="auto"/>
          <w:sz w:val="24"/>
          <w:szCs w:val="24"/>
        </w:rPr>
        <w:t>12.1</w:t>
      </w:r>
      <w:r>
        <w:rPr>
          <w:rFonts w:hint="eastAsia" w:ascii="宋体" w:hAnsi="宋体" w:eastAsia="宋体" w:cs="宋体"/>
          <w:color w:val="auto"/>
          <w:sz w:val="24"/>
          <w:szCs w:val="32"/>
        </w:rPr>
        <w:t>本合同价款采用</w:t>
      </w:r>
      <w:r>
        <w:rPr>
          <w:rFonts w:hint="eastAsia" w:ascii="宋体" w:hAnsi="宋体" w:eastAsia="宋体" w:cs="宋体"/>
          <w:color w:val="auto"/>
          <w:sz w:val="24"/>
          <w:szCs w:val="32"/>
          <w:u w:val="single"/>
        </w:rPr>
        <w:t xml:space="preserve"> 固定综合单价（指工程量清单所包含的内容）</w:t>
      </w:r>
      <w:r>
        <w:rPr>
          <w:rFonts w:hint="eastAsia" w:ascii="宋体" w:hAnsi="宋体" w:eastAsia="宋体" w:cs="宋体"/>
          <w:color w:val="auto"/>
          <w:sz w:val="24"/>
          <w:szCs w:val="32"/>
        </w:rPr>
        <w:t>合同方式确定。</w:t>
      </w:r>
    </w:p>
    <w:p w14:paraId="4E0FCB98">
      <w:pPr>
        <w:numPr>
          <w:ilvl w:val="0"/>
          <w:numId w:val="13"/>
        </w:numPr>
        <w:adjustRightInd w:val="0"/>
        <w:snapToGrid w:val="0"/>
        <w:spacing w:beforeLines="0" w:afterLines="0" w:line="356" w:lineRule="auto"/>
        <w:ind w:firstLine="480" w:firstLineChars="200"/>
        <w:rPr>
          <w:rFonts w:hint="eastAsia" w:ascii="宋体" w:hAnsi="宋体" w:eastAsia="宋体" w:cs="宋体"/>
          <w:color w:val="auto"/>
          <w:sz w:val="24"/>
          <w:szCs w:val="32"/>
          <w:u w:val="single"/>
        </w:rPr>
      </w:pPr>
      <w:r>
        <w:rPr>
          <w:rFonts w:hint="eastAsia" w:ascii="宋体" w:hAnsi="宋体" w:eastAsia="宋体" w:cs="宋体"/>
          <w:color w:val="auto"/>
          <w:sz w:val="24"/>
          <w:szCs w:val="32"/>
        </w:rPr>
        <w:t>风险费用的计算方式：</w:t>
      </w:r>
      <w:r>
        <w:rPr>
          <w:rFonts w:hint="eastAsia" w:ascii="宋体" w:hAnsi="宋体" w:eastAsia="宋体" w:cs="宋体"/>
          <w:color w:val="auto"/>
          <w:sz w:val="24"/>
          <w:szCs w:val="32"/>
          <w:u w:val="single"/>
        </w:rPr>
        <w:t>无。</w:t>
      </w:r>
    </w:p>
    <w:p w14:paraId="1A8ACDF4">
      <w:pPr>
        <w:numPr>
          <w:ilvl w:val="0"/>
          <w:numId w:val="13"/>
        </w:numPr>
        <w:adjustRightInd w:val="0"/>
        <w:snapToGrid w:val="0"/>
        <w:spacing w:beforeLines="0" w:afterLines="0" w:line="356" w:lineRule="auto"/>
        <w:ind w:firstLine="480" w:firstLineChars="200"/>
        <w:rPr>
          <w:rFonts w:hint="eastAsia" w:ascii="宋体" w:hAnsi="宋体" w:eastAsia="宋体" w:cs="宋体"/>
          <w:color w:val="auto"/>
          <w:sz w:val="24"/>
          <w:szCs w:val="32"/>
          <w:u w:val="single"/>
        </w:rPr>
      </w:pPr>
      <w:r>
        <w:rPr>
          <w:rFonts w:hint="eastAsia" w:ascii="宋体" w:hAnsi="宋体" w:eastAsia="宋体" w:cs="宋体"/>
          <w:color w:val="auto"/>
          <w:sz w:val="24"/>
          <w:szCs w:val="32"/>
        </w:rPr>
        <w:t>采用可调价格合同，合同价款调整方式：</w:t>
      </w:r>
      <w:r>
        <w:rPr>
          <w:rFonts w:hint="eastAsia" w:ascii="宋体" w:hAnsi="宋体" w:eastAsia="宋体" w:cs="宋体"/>
          <w:color w:val="auto"/>
          <w:sz w:val="24"/>
          <w:szCs w:val="32"/>
          <w:u w:val="single"/>
        </w:rPr>
        <w:t>无。</w:t>
      </w:r>
    </w:p>
    <w:p w14:paraId="42419B2E">
      <w:pPr>
        <w:numPr>
          <w:ilvl w:val="0"/>
          <w:numId w:val="13"/>
        </w:numPr>
        <w:adjustRightInd w:val="0"/>
        <w:snapToGrid w:val="0"/>
        <w:spacing w:beforeLines="0" w:afterLines="0" w:line="356" w:lineRule="auto"/>
        <w:ind w:firstLine="480" w:firstLineChars="200"/>
        <w:rPr>
          <w:rFonts w:hint="eastAsia" w:ascii="宋体" w:hAnsi="宋体" w:eastAsia="宋体" w:cs="宋体"/>
          <w:color w:val="auto"/>
          <w:sz w:val="24"/>
          <w:szCs w:val="32"/>
          <w:u w:val="single"/>
        </w:rPr>
      </w:pPr>
      <w:r>
        <w:rPr>
          <w:rFonts w:hint="eastAsia" w:ascii="宋体" w:hAnsi="宋体" w:eastAsia="宋体" w:cs="宋体"/>
          <w:color w:val="auto"/>
          <w:sz w:val="24"/>
          <w:szCs w:val="32"/>
        </w:rPr>
        <w:t>采用成本加酬金合同，有关成本和酬金的约定：</w:t>
      </w:r>
      <w:r>
        <w:rPr>
          <w:rFonts w:hint="eastAsia" w:ascii="宋体" w:hAnsi="宋体" w:eastAsia="宋体" w:cs="宋体"/>
          <w:color w:val="auto"/>
          <w:sz w:val="24"/>
          <w:szCs w:val="32"/>
          <w:u w:val="single"/>
        </w:rPr>
        <w:t>无。</w:t>
      </w:r>
    </w:p>
    <w:p w14:paraId="5E86C63E">
      <w:pPr>
        <w:adjustRightInd w:val="0"/>
        <w:snapToGrid w:val="0"/>
        <w:spacing w:beforeLines="0" w:afterLines="0" w:line="356" w:lineRule="auto"/>
        <w:ind w:firstLine="480" w:firstLineChars="200"/>
        <w:rPr>
          <w:rFonts w:hint="eastAsia" w:ascii="宋体" w:hAnsi="宋体" w:eastAsia="宋体" w:cs="宋体"/>
          <w:color w:val="auto"/>
          <w:sz w:val="24"/>
          <w:szCs w:val="32"/>
          <w:u w:val="single"/>
        </w:rPr>
      </w:pPr>
      <w:r>
        <w:rPr>
          <w:rFonts w:hint="eastAsia" w:ascii="宋体" w:hAnsi="宋体" w:eastAsia="宋体" w:cs="宋体"/>
          <w:color w:val="auto"/>
          <w:sz w:val="24"/>
          <w:szCs w:val="32"/>
        </w:rPr>
        <w:t>1.双方约定合同价款及其他调整因素：</w:t>
      </w:r>
      <w:r>
        <w:rPr>
          <w:rFonts w:hint="eastAsia" w:ascii="宋体" w:hAnsi="宋体" w:eastAsia="宋体" w:cs="宋体"/>
          <w:color w:val="auto"/>
          <w:sz w:val="24"/>
          <w:szCs w:val="32"/>
          <w:u w:val="single"/>
        </w:rPr>
        <w:t>工程量清单所包含的内容以外部分。</w:t>
      </w:r>
    </w:p>
    <w:p w14:paraId="26CC3F43">
      <w:pPr>
        <w:adjustRightInd w:val="0"/>
        <w:snapToGrid w:val="0"/>
        <w:spacing w:beforeLines="0" w:afterLines="0" w:line="356" w:lineRule="auto"/>
        <w:ind w:firstLine="480" w:firstLineChars="200"/>
        <w:rPr>
          <w:rFonts w:hint="eastAsia" w:ascii="宋体" w:hAnsi="宋体" w:eastAsia="宋体" w:cs="宋体"/>
          <w:color w:val="auto"/>
          <w:sz w:val="24"/>
          <w:szCs w:val="32"/>
        </w:rPr>
      </w:pPr>
      <w:r>
        <w:rPr>
          <w:rFonts w:hint="eastAsia" w:ascii="宋体" w:hAnsi="宋体" w:eastAsia="宋体" w:cs="宋体"/>
          <w:color w:val="auto"/>
          <w:sz w:val="24"/>
          <w:szCs w:val="24"/>
        </w:rPr>
        <w:t>12.2.1</w:t>
      </w:r>
      <w:r>
        <w:rPr>
          <w:rFonts w:hint="eastAsia" w:ascii="宋体" w:hAnsi="宋体" w:eastAsia="宋体" w:cs="宋体"/>
          <w:color w:val="auto"/>
          <w:sz w:val="24"/>
          <w:szCs w:val="32"/>
        </w:rPr>
        <w:t>工程款付款</w:t>
      </w:r>
    </w:p>
    <w:p w14:paraId="195FD678">
      <w:pPr>
        <w:adjustRightInd w:val="0"/>
        <w:snapToGrid w:val="0"/>
        <w:spacing w:beforeLines="0" w:afterLines="0" w:line="356" w:lineRule="auto"/>
        <w:ind w:firstLine="480" w:firstLineChars="200"/>
        <w:rPr>
          <w:rFonts w:hint="eastAsia" w:ascii="宋体" w:hAnsi="宋体" w:eastAsia="宋体" w:cs="宋体"/>
          <w:color w:val="auto"/>
          <w:sz w:val="24"/>
          <w:szCs w:val="32"/>
          <w:u w:val="single"/>
        </w:rPr>
      </w:pPr>
      <w:r>
        <w:rPr>
          <w:rFonts w:hint="eastAsia" w:ascii="宋体" w:hAnsi="宋体" w:eastAsia="宋体" w:cs="宋体"/>
          <w:color w:val="auto"/>
          <w:sz w:val="24"/>
          <w:szCs w:val="32"/>
        </w:rPr>
        <w:t>发包人向承包人预付工程款的时间和金额或占合同价款总额的比例：</w:t>
      </w:r>
      <w:r>
        <w:rPr>
          <w:rFonts w:hint="eastAsia" w:ascii="宋体" w:hAnsi="宋体" w:eastAsia="宋体" w:cs="宋体"/>
          <w:color w:val="auto"/>
          <w:sz w:val="24"/>
          <w:szCs w:val="32"/>
          <w:u w:val="single"/>
        </w:rPr>
        <w:t>本工程工人进场7日后，可申请合同价30%的预付款。</w:t>
      </w:r>
    </w:p>
    <w:p w14:paraId="00967954">
      <w:pPr>
        <w:adjustRightInd w:val="0"/>
        <w:snapToGrid w:val="0"/>
        <w:spacing w:beforeLines="0" w:afterLines="0" w:line="356" w:lineRule="auto"/>
        <w:ind w:firstLine="480" w:firstLineChars="200"/>
        <w:rPr>
          <w:rFonts w:hint="eastAsia" w:ascii="宋体" w:hAnsi="宋体" w:eastAsia="宋体" w:cs="宋体"/>
          <w:color w:val="auto"/>
          <w:sz w:val="24"/>
          <w:szCs w:val="32"/>
          <w:u w:val="single"/>
        </w:rPr>
      </w:pPr>
      <w:r>
        <w:rPr>
          <w:rFonts w:hint="eastAsia" w:ascii="宋体" w:hAnsi="宋体" w:eastAsia="宋体" w:cs="宋体"/>
          <w:color w:val="auto"/>
          <w:sz w:val="24"/>
          <w:szCs w:val="32"/>
        </w:rPr>
        <w:t>扣回工程款的时间、比例：</w:t>
      </w:r>
      <w:r>
        <w:rPr>
          <w:rFonts w:hint="eastAsia" w:ascii="宋体" w:hAnsi="宋体" w:eastAsia="宋体" w:cs="宋体"/>
          <w:color w:val="auto"/>
          <w:sz w:val="24"/>
          <w:szCs w:val="32"/>
          <w:u w:val="single"/>
        </w:rPr>
        <w:t>无。</w:t>
      </w:r>
    </w:p>
    <w:p w14:paraId="77E73F05">
      <w:pPr>
        <w:adjustRightInd w:val="0"/>
        <w:snapToGrid w:val="0"/>
        <w:spacing w:beforeLines="0" w:afterLines="0" w:line="356" w:lineRule="auto"/>
        <w:ind w:firstLine="480" w:firstLineChars="200"/>
        <w:rPr>
          <w:rFonts w:hint="eastAsia" w:ascii="宋体" w:hAnsi="宋体" w:eastAsia="宋体" w:cs="宋体"/>
          <w:color w:val="auto"/>
          <w:sz w:val="24"/>
          <w:szCs w:val="32"/>
        </w:rPr>
      </w:pPr>
      <w:r>
        <w:rPr>
          <w:rFonts w:hint="eastAsia" w:ascii="宋体" w:hAnsi="宋体" w:eastAsia="宋体" w:cs="宋体"/>
          <w:color w:val="auto"/>
          <w:sz w:val="24"/>
          <w:szCs w:val="24"/>
        </w:rPr>
        <w:t>12.3</w:t>
      </w:r>
      <w:r>
        <w:rPr>
          <w:rFonts w:hint="eastAsia" w:ascii="宋体" w:hAnsi="宋体" w:eastAsia="宋体" w:cs="宋体"/>
          <w:color w:val="auto"/>
          <w:sz w:val="24"/>
          <w:szCs w:val="32"/>
        </w:rPr>
        <w:t>工程量确认</w:t>
      </w:r>
    </w:p>
    <w:p w14:paraId="7ED8E921">
      <w:pPr>
        <w:adjustRightInd w:val="0"/>
        <w:snapToGrid w:val="0"/>
        <w:spacing w:beforeLines="0" w:afterLines="0" w:line="356" w:lineRule="auto"/>
        <w:ind w:firstLine="480" w:firstLineChars="200"/>
        <w:rPr>
          <w:rFonts w:hint="eastAsia" w:ascii="宋体" w:hAnsi="宋体" w:eastAsia="宋体" w:cs="宋体"/>
          <w:color w:val="auto"/>
          <w:sz w:val="24"/>
          <w:szCs w:val="32"/>
          <w:u w:val="single"/>
        </w:rPr>
      </w:pPr>
      <w:r>
        <w:rPr>
          <w:rFonts w:hint="eastAsia" w:ascii="宋体" w:hAnsi="宋体" w:eastAsia="宋体" w:cs="宋体"/>
          <w:color w:val="auto"/>
          <w:sz w:val="24"/>
          <w:szCs w:val="24"/>
        </w:rPr>
        <w:t>12.3.3</w:t>
      </w:r>
      <w:r>
        <w:rPr>
          <w:rFonts w:hint="eastAsia" w:ascii="宋体" w:hAnsi="宋体" w:eastAsia="宋体" w:cs="宋体"/>
          <w:color w:val="auto"/>
          <w:sz w:val="24"/>
          <w:szCs w:val="32"/>
        </w:rPr>
        <w:t>承包人向工程师提交已完工程量报告的时间：</w:t>
      </w:r>
      <w:r>
        <w:rPr>
          <w:rFonts w:hint="eastAsia" w:ascii="宋体" w:hAnsi="宋体" w:eastAsia="宋体" w:cs="宋体"/>
          <w:color w:val="auto"/>
          <w:sz w:val="24"/>
          <w:szCs w:val="32"/>
          <w:u w:val="single"/>
        </w:rPr>
        <w:t>每月25日。</w:t>
      </w:r>
    </w:p>
    <w:p w14:paraId="558B23D9">
      <w:pPr>
        <w:pStyle w:val="6"/>
        <w:adjustRightInd w:val="0"/>
        <w:snapToGrid w:val="0"/>
        <w:spacing w:before="0" w:beforeLines="0" w:after="0" w:afterLines="0" w:line="356" w:lineRule="auto"/>
        <w:ind w:firstLine="480" w:firstLineChars="200"/>
        <w:rPr>
          <w:rFonts w:hint="eastAsia" w:ascii="宋体" w:hAnsi="宋体" w:eastAsia="宋体" w:cs="宋体"/>
          <w:b w:val="0"/>
          <w:color w:val="auto"/>
          <w:sz w:val="24"/>
          <w:szCs w:val="24"/>
        </w:rPr>
      </w:pPr>
      <w:bookmarkStart w:id="644" w:name="_Toc19371"/>
      <w:r>
        <w:rPr>
          <w:rFonts w:hint="eastAsia" w:ascii="宋体" w:hAnsi="宋体" w:eastAsia="宋体" w:cs="宋体"/>
          <w:b w:val="0"/>
          <w:color w:val="auto"/>
          <w:kern w:val="2"/>
          <w:sz w:val="24"/>
          <w:szCs w:val="24"/>
        </w:rPr>
        <w:t>12.4</w:t>
      </w:r>
      <w:r>
        <w:rPr>
          <w:rFonts w:hint="eastAsia" w:ascii="宋体" w:hAnsi="宋体" w:eastAsia="宋体" w:cs="宋体"/>
          <w:b w:val="0"/>
          <w:color w:val="auto"/>
          <w:sz w:val="24"/>
          <w:szCs w:val="24"/>
        </w:rPr>
        <w:t>工程款（进度款）支付</w:t>
      </w:r>
      <w:bookmarkEnd w:id="644"/>
    </w:p>
    <w:p w14:paraId="14689F8F">
      <w:pPr>
        <w:adjustRightInd w:val="0"/>
        <w:snapToGrid w:val="0"/>
        <w:spacing w:beforeLines="0" w:afterLines="0" w:line="356"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双方约定的工程款（进度款）的支付方式和时间：</w:t>
      </w:r>
    </w:p>
    <w:p w14:paraId="6551AA13">
      <w:pPr>
        <w:adjustRightInd w:val="0"/>
        <w:snapToGrid w:val="0"/>
        <w:spacing w:beforeLines="0" w:afterLines="0" w:line="356" w:lineRule="auto"/>
        <w:ind w:firstLine="480" w:firstLineChars="200"/>
        <w:rPr>
          <w:rFonts w:hint="eastAsia" w:ascii="宋体" w:hAnsi="宋体" w:eastAsia="宋体" w:cs="宋体"/>
          <w:color w:val="auto"/>
          <w:sz w:val="24"/>
          <w:szCs w:val="24"/>
          <w:u w:val="single"/>
        </w:rPr>
      </w:pPr>
      <w:r>
        <w:rPr>
          <w:rFonts w:hint="eastAsia" w:ascii="宋体" w:hAnsi="宋体" w:eastAsia="宋体" w:cs="宋体"/>
          <w:color w:val="auto"/>
          <w:sz w:val="24"/>
          <w:szCs w:val="24"/>
          <w:u w:val="single"/>
        </w:rPr>
        <w:t>(1)预付款:工程预付款的总金额为签约合同价的30%(需按要求缴纳农民工保证金和开具相应的履约保函以及意外险、工伤险方可支付预付款)。</w:t>
      </w:r>
    </w:p>
    <w:p w14:paraId="3ED8ED29">
      <w:pPr>
        <w:adjustRightInd w:val="0"/>
        <w:snapToGrid w:val="0"/>
        <w:spacing w:beforeLines="0" w:afterLines="0" w:line="356" w:lineRule="auto"/>
        <w:ind w:firstLine="480" w:firstLineChars="200"/>
        <w:rPr>
          <w:rFonts w:hint="eastAsia" w:ascii="宋体" w:hAnsi="宋体" w:eastAsia="宋体" w:cs="宋体"/>
          <w:color w:val="auto"/>
          <w:sz w:val="24"/>
          <w:szCs w:val="24"/>
          <w:u w:val="single"/>
        </w:rPr>
      </w:pPr>
      <w:r>
        <w:rPr>
          <w:rFonts w:hint="eastAsia" w:ascii="宋体" w:hAnsi="宋体" w:eastAsia="宋体" w:cs="宋体"/>
          <w:color w:val="auto"/>
          <w:sz w:val="24"/>
          <w:szCs w:val="24"/>
          <w:u w:val="single"/>
        </w:rPr>
        <w:t>(2)每个付款周期按实际完成工程量的90%，依据监理报告支付工程进度款。工程完工验收达到质量要求，结算经浦北县有资质审计机构审定后，工程款支付至结算总价的97%(不得低于97%)。发包人按工程价款结算总额的3%，预留工程质量保证金。质量保证金待工程质量保修期满且无质量问题后按规定无息返还。</w:t>
      </w:r>
    </w:p>
    <w:p w14:paraId="65BBCF19">
      <w:pPr>
        <w:adjustRightInd w:val="0"/>
        <w:snapToGrid w:val="0"/>
        <w:spacing w:beforeLines="0" w:afterLines="0" w:line="356" w:lineRule="auto"/>
        <w:ind w:firstLine="480" w:firstLineChars="200"/>
        <w:rPr>
          <w:rFonts w:hint="eastAsia" w:ascii="宋体" w:hAnsi="宋体" w:eastAsia="宋体" w:cs="宋体"/>
          <w:color w:val="auto"/>
          <w:sz w:val="24"/>
          <w:szCs w:val="24"/>
          <w:u w:val="single"/>
        </w:rPr>
      </w:pPr>
      <w:r>
        <w:rPr>
          <w:rFonts w:hint="eastAsia" w:ascii="宋体" w:hAnsi="宋体" w:eastAsia="宋体" w:cs="宋体"/>
          <w:color w:val="auto"/>
          <w:sz w:val="24"/>
          <w:szCs w:val="24"/>
          <w:u w:val="single"/>
        </w:rPr>
        <w:t>(3)发包人支付每期工程进度款时，承包人应确保将不低于该期进度款30%的金额优先用于支付农民工工资，并提供相应的工资支付凭证。</w:t>
      </w:r>
    </w:p>
    <w:p w14:paraId="0DDF8224">
      <w:pPr>
        <w:adjustRightInd w:val="0"/>
        <w:snapToGrid w:val="0"/>
        <w:spacing w:beforeLines="0" w:afterLines="0" w:line="356" w:lineRule="auto"/>
        <w:ind w:firstLine="562" w:firstLineChars="200"/>
        <w:rPr>
          <w:rFonts w:hint="eastAsia" w:ascii="宋体" w:hAnsi="宋体" w:eastAsia="宋体" w:cs="宋体"/>
          <w:b/>
          <w:color w:val="auto"/>
          <w:sz w:val="28"/>
          <w:szCs w:val="36"/>
        </w:rPr>
      </w:pPr>
      <w:r>
        <w:rPr>
          <w:rFonts w:hint="eastAsia" w:ascii="宋体" w:hAnsi="宋体" w:eastAsia="宋体" w:cs="宋体"/>
          <w:b/>
          <w:color w:val="auto"/>
          <w:sz w:val="28"/>
          <w:szCs w:val="36"/>
        </w:rPr>
        <w:t>七、质量与验收</w:t>
      </w:r>
    </w:p>
    <w:p w14:paraId="7B2D95E1">
      <w:pPr>
        <w:adjustRightInd w:val="0"/>
        <w:snapToGrid w:val="0"/>
        <w:spacing w:beforeLines="0" w:afterLines="0" w:line="356" w:lineRule="auto"/>
        <w:ind w:firstLine="480" w:firstLineChars="200"/>
        <w:rPr>
          <w:rFonts w:hint="eastAsia" w:ascii="宋体" w:hAnsi="宋体" w:eastAsia="宋体" w:cs="宋体"/>
          <w:color w:val="auto"/>
          <w:sz w:val="24"/>
          <w:szCs w:val="32"/>
        </w:rPr>
      </w:pPr>
      <w:r>
        <w:rPr>
          <w:rFonts w:hint="eastAsia" w:ascii="宋体" w:hAnsi="宋体" w:eastAsia="宋体" w:cs="宋体"/>
          <w:color w:val="auto"/>
          <w:sz w:val="24"/>
          <w:szCs w:val="32"/>
        </w:rPr>
        <w:t>13.1隐蔽工程和中间验收</w:t>
      </w:r>
    </w:p>
    <w:p w14:paraId="1E135960">
      <w:pPr>
        <w:adjustRightInd w:val="0"/>
        <w:snapToGrid w:val="0"/>
        <w:spacing w:beforeLines="0" w:afterLines="0" w:line="356" w:lineRule="auto"/>
        <w:ind w:firstLine="480" w:firstLineChars="200"/>
        <w:rPr>
          <w:rFonts w:hint="eastAsia" w:ascii="宋体" w:hAnsi="宋体" w:eastAsia="宋体" w:cs="宋体"/>
          <w:color w:val="auto"/>
          <w:sz w:val="24"/>
          <w:szCs w:val="32"/>
          <w:u w:val="single"/>
        </w:rPr>
      </w:pPr>
      <w:r>
        <w:rPr>
          <w:rFonts w:hint="eastAsia" w:ascii="宋体" w:hAnsi="宋体" w:eastAsia="宋体" w:cs="宋体"/>
          <w:color w:val="auto"/>
          <w:sz w:val="24"/>
          <w:szCs w:val="32"/>
        </w:rPr>
        <w:t>13.1.1双方约定中间验收部位：</w:t>
      </w:r>
      <w:r>
        <w:rPr>
          <w:rFonts w:hint="eastAsia" w:ascii="宋体" w:hAnsi="宋体" w:eastAsia="宋体" w:cs="宋体"/>
          <w:color w:val="auto"/>
          <w:sz w:val="24"/>
          <w:szCs w:val="32"/>
          <w:u w:val="single"/>
        </w:rPr>
        <w:t xml:space="preserve">     /    。</w:t>
      </w:r>
    </w:p>
    <w:p w14:paraId="5193164E">
      <w:pPr>
        <w:adjustRightInd w:val="0"/>
        <w:snapToGrid w:val="0"/>
        <w:spacing w:beforeLines="0" w:afterLines="0" w:line="356" w:lineRule="auto"/>
        <w:ind w:firstLine="480" w:firstLineChars="200"/>
        <w:rPr>
          <w:rFonts w:hint="eastAsia" w:ascii="宋体" w:hAnsi="宋体" w:eastAsia="宋体" w:cs="宋体"/>
          <w:color w:val="auto"/>
          <w:sz w:val="24"/>
          <w:szCs w:val="32"/>
        </w:rPr>
      </w:pPr>
      <w:r>
        <w:rPr>
          <w:rFonts w:hint="eastAsia" w:ascii="宋体" w:hAnsi="宋体" w:eastAsia="宋体" w:cs="宋体"/>
          <w:color w:val="auto"/>
          <w:sz w:val="24"/>
          <w:szCs w:val="32"/>
        </w:rPr>
        <w:t>13.3工程试车</w:t>
      </w:r>
    </w:p>
    <w:p w14:paraId="425B14FF">
      <w:pPr>
        <w:adjustRightInd w:val="0"/>
        <w:snapToGrid w:val="0"/>
        <w:spacing w:beforeLines="0" w:afterLines="0" w:line="356" w:lineRule="auto"/>
        <w:ind w:firstLine="480" w:firstLineChars="200"/>
        <w:rPr>
          <w:rFonts w:hint="eastAsia" w:ascii="宋体" w:hAnsi="宋体" w:eastAsia="宋体" w:cs="宋体"/>
          <w:color w:val="auto"/>
          <w:sz w:val="24"/>
          <w:szCs w:val="32"/>
        </w:rPr>
      </w:pPr>
      <w:r>
        <w:rPr>
          <w:rFonts w:hint="eastAsia" w:ascii="宋体" w:hAnsi="宋体" w:eastAsia="宋体" w:cs="宋体"/>
          <w:color w:val="auto"/>
          <w:sz w:val="24"/>
          <w:szCs w:val="32"/>
        </w:rPr>
        <w:t>13.3.1试车费用的承担：</w:t>
      </w:r>
      <w:r>
        <w:rPr>
          <w:rFonts w:hint="eastAsia" w:ascii="宋体" w:hAnsi="宋体" w:eastAsia="宋体" w:cs="宋体"/>
          <w:color w:val="auto"/>
          <w:sz w:val="24"/>
          <w:szCs w:val="32"/>
          <w:u w:val="single"/>
        </w:rPr>
        <w:t>无。</w:t>
      </w:r>
    </w:p>
    <w:p w14:paraId="07DC7A31">
      <w:pPr>
        <w:tabs>
          <w:tab w:val="left" w:pos="463"/>
        </w:tabs>
        <w:adjustRightInd w:val="0"/>
        <w:snapToGrid w:val="0"/>
        <w:spacing w:beforeLines="0" w:afterLines="0" w:line="356" w:lineRule="auto"/>
        <w:ind w:firstLine="562" w:firstLineChars="200"/>
        <w:rPr>
          <w:rFonts w:hint="eastAsia" w:ascii="宋体" w:hAnsi="宋体" w:eastAsia="宋体" w:cs="宋体"/>
          <w:b/>
          <w:color w:val="auto"/>
          <w:sz w:val="28"/>
          <w:szCs w:val="28"/>
        </w:rPr>
      </w:pPr>
      <w:r>
        <w:rPr>
          <w:rFonts w:hint="eastAsia" w:ascii="宋体" w:hAnsi="宋体" w:eastAsia="宋体" w:cs="宋体"/>
          <w:b/>
          <w:color w:val="auto"/>
          <w:sz w:val="28"/>
          <w:szCs w:val="28"/>
        </w:rPr>
        <w:t>八、竣工验收与结算</w:t>
      </w:r>
    </w:p>
    <w:p w14:paraId="387383E1">
      <w:pPr>
        <w:tabs>
          <w:tab w:val="left" w:pos="463"/>
        </w:tabs>
        <w:adjustRightInd w:val="0"/>
        <w:snapToGrid w:val="0"/>
        <w:spacing w:beforeLines="0" w:afterLines="0" w:line="356"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13.2竣工验收</w:t>
      </w:r>
    </w:p>
    <w:p w14:paraId="2197D816">
      <w:pPr>
        <w:tabs>
          <w:tab w:val="left" w:pos="463"/>
        </w:tabs>
        <w:adjustRightInd w:val="0"/>
        <w:snapToGrid w:val="0"/>
        <w:spacing w:beforeLines="0" w:afterLines="0" w:line="356" w:lineRule="auto"/>
        <w:ind w:firstLine="480" w:firstLineChars="200"/>
        <w:rPr>
          <w:rFonts w:hint="eastAsia" w:ascii="宋体" w:hAnsi="宋体" w:eastAsia="宋体" w:cs="宋体"/>
          <w:color w:val="auto"/>
          <w:sz w:val="24"/>
          <w:szCs w:val="24"/>
          <w:u w:val="single"/>
        </w:rPr>
      </w:pPr>
      <w:r>
        <w:rPr>
          <w:rFonts w:hint="eastAsia" w:ascii="宋体" w:hAnsi="宋体" w:eastAsia="宋体" w:cs="宋体"/>
          <w:color w:val="auto"/>
          <w:sz w:val="24"/>
          <w:szCs w:val="24"/>
        </w:rPr>
        <w:t>13.2.2承包人提供竣工图的约定：</w:t>
      </w:r>
      <w:r>
        <w:rPr>
          <w:rFonts w:hint="eastAsia" w:ascii="宋体" w:hAnsi="宋体" w:eastAsia="宋体" w:cs="宋体"/>
          <w:color w:val="auto"/>
          <w:sz w:val="24"/>
          <w:szCs w:val="24"/>
          <w:u w:val="single"/>
        </w:rPr>
        <w:t>项目完工后，承包人按工程竣工验收有关规定要先进行自验，并在合同期后6个月内向发包人提交完整竣工资料、自验报告和申请初验。</w:t>
      </w:r>
    </w:p>
    <w:p w14:paraId="16246E70">
      <w:pPr>
        <w:tabs>
          <w:tab w:val="left" w:pos="463"/>
        </w:tabs>
        <w:adjustRightInd w:val="0"/>
        <w:snapToGrid w:val="0"/>
        <w:spacing w:beforeLines="0" w:afterLines="0" w:line="356"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中间交工工程的范围和竣工时间：</w:t>
      </w:r>
      <w:r>
        <w:rPr>
          <w:rFonts w:hint="eastAsia" w:ascii="宋体" w:hAnsi="宋体" w:eastAsia="宋体" w:cs="宋体"/>
          <w:color w:val="auto"/>
          <w:sz w:val="24"/>
          <w:szCs w:val="24"/>
          <w:u w:val="single"/>
        </w:rPr>
        <w:t xml:space="preserve">  无  </w:t>
      </w:r>
      <w:r>
        <w:rPr>
          <w:rFonts w:hint="eastAsia" w:ascii="宋体" w:hAnsi="宋体" w:eastAsia="宋体" w:cs="宋体"/>
          <w:color w:val="auto"/>
          <w:sz w:val="24"/>
          <w:szCs w:val="24"/>
        </w:rPr>
        <w:t xml:space="preserve"> 。</w:t>
      </w:r>
    </w:p>
    <w:p w14:paraId="6F967C7A">
      <w:pPr>
        <w:tabs>
          <w:tab w:val="left" w:pos="463"/>
        </w:tabs>
        <w:adjustRightInd w:val="0"/>
        <w:snapToGrid w:val="0"/>
        <w:spacing w:beforeLines="0" w:afterLines="0" w:line="356"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14、竣工结算</w:t>
      </w:r>
    </w:p>
    <w:p w14:paraId="6380C7A4">
      <w:pPr>
        <w:tabs>
          <w:tab w:val="left" w:pos="463"/>
        </w:tabs>
        <w:adjustRightInd w:val="0"/>
        <w:snapToGrid w:val="0"/>
        <w:spacing w:beforeLines="0" w:afterLines="0" w:line="356"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u w:val="single"/>
        </w:rPr>
        <w:t>工程款97%在工程竣工验收合格并结算审计后可向财政部门申请支付（无息）。</w:t>
      </w:r>
    </w:p>
    <w:p w14:paraId="3F13B631">
      <w:pPr>
        <w:tabs>
          <w:tab w:val="left" w:pos="463"/>
        </w:tabs>
        <w:adjustRightInd w:val="0"/>
        <w:snapToGrid w:val="0"/>
        <w:spacing w:beforeLines="0" w:afterLines="0" w:line="356"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15、质量保修</w:t>
      </w:r>
    </w:p>
    <w:p w14:paraId="1E0E3AB9">
      <w:pPr>
        <w:tabs>
          <w:tab w:val="left" w:pos="463"/>
        </w:tabs>
        <w:adjustRightInd w:val="0"/>
        <w:snapToGrid w:val="0"/>
        <w:spacing w:beforeLines="0" w:afterLines="0" w:line="356"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质量保修书的主要内容包括：</w:t>
      </w:r>
    </w:p>
    <w:p w14:paraId="4F5326D5">
      <w:pPr>
        <w:numPr>
          <w:ilvl w:val="0"/>
          <w:numId w:val="14"/>
        </w:numPr>
        <w:tabs>
          <w:tab w:val="left" w:pos="463"/>
        </w:tabs>
        <w:adjustRightInd w:val="0"/>
        <w:snapToGrid w:val="0"/>
        <w:spacing w:beforeLines="0" w:afterLines="0" w:line="356"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质量保证金的支付方法：</w:t>
      </w:r>
    </w:p>
    <w:p w14:paraId="4D2D4822">
      <w:pPr>
        <w:tabs>
          <w:tab w:val="left" w:pos="463"/>
        </w:tabs>
        <w:adjustRightInd w:val="0"/>
        <w:snapToGrid w:val="0"/>
        <w:spacing w:beforeLines="0" w:afterLines="0" w:line="356"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在工程保修期在内，发包人可以根据国家有关规定和合同规定的金额，在支付承包人的工程款内预留质量保证金。质量保证金为：</w:t>
      </w:r>
      <w:r>
        <w:rPr>
          <w:rFonts w:hint="eastAsia" w:ascii="宋体" w:hAnsi="宋体" w:eastAsia="宋体" w:cs="宋体"/>
          <w:color w:val="auto"/>
          <w:sz w:val="24"/>
          <w:szCs w:val="24"/>
          <w:u w:val="single"/>
        </w:rPr>
        <w:t>结算总价款的3％</w:t>
      </w:r>
      <w:r>
        <w:rPr>
          <w:rFonts w:hint="eastAsia" w:ascii="宋体" w:hAnsi="宋体" w:eastAsia="宋体" w:cs="宋体"/>
          <w:color w:val="auto"/>
          <w:sz w:val="24"/>
          <w:szCs w:val="24"/>
        </w:rPr>
        <w:t>。发包人在工程质量保修</w:t>
      </w:r>
      <w:r>
        <w:rPr>
          <w:rFonts w:hint="eastAsia" w:ascii="宋体" w:hAnsi="宋体" w:eastAsia="宋体" w:cs="宋体"/>
          <w:color w:val="auto"/>
          <w:sz w:val="24"/>
          <w:szCs w:val="24"/>
          <w:u w:val="single"/>
        </w:rPr>
        <w:t>满壹年之日起后可向财政部门申请全部退回质量保证金</w:t>
      </w:r>
      <w:r>
        <w:rPr>
          <w:rFonts w:hint="eastAsia" w:ascii="宋体" w:hAnsi="宋体" w:eastAsia="宋体" w:cs="宋体"/>
          <w:color w:val="auto"/>
          <w:sz w:val="24"/>
          <w:szCs w:val="24"/>
        </w:rPr>
        <w:t>给承包人（无息）。</w:t>
      </w:r>
    </w:p>
    <w:p w14:paraId="08A012A7">
      <w:pPr>
        <w:numPr>
          <w:ilvl w:val="0"/>
          <w:numId w:val="15"/>
        </w:numPr>
        <w:tabs>
          <w:tab w:val="left" w:pos="463"/>
        </w:tabs>
        <w:adjustRightInd w:val="0"/>
        <w:snapToGrid w:val="0"/>
        <w:spacing w:beforeLines="0" w:afterLines="0" w:line="356" w:lineRule="auto"/>
        <w:ind w:firstLine="562" w:firstLineChars="200"/>
        <w:rPr>
          <w:rFonts w:hint="eastAsia" w:ascii="宋体" w:hAnsi="宋体" w:eastAsia="宋体" w:cs="宋体"/>
          <w:b/>
          <w:color w:val="auto"/>
          <w:sz w:val="28"/>
          <w:szCs w:val="28"/>
        </w:rPr>
      </w:pPr>
      <w:r>
        <w:rPr>
          <w:rFonts w:hint="eastAsia" w:ascii="宋体" w:hAnsi="宋体" w:eastAsia="宋体" w:cs="宋体"/>
          <w:b/>
          <w:color w:val="auto"/>
          <w:sz w:val="28"/>
          <w:szCs w:val="28"/>
        </w:rPr>
        <w:t>违约和索赔</w:t>
      </w:r>
    </w:p>
    <w:p w14:paraId="64805F2C">
      <w:pPr>
        <w:tabs>
          <w:tab w:val="left" w:pos="463"/>
        </w:tabs>
        <w:adjustRightInd w:val="0"/>
        <w:snapToGrid w:val="0"/>
        <w:spacing w:beforeLines="0" w:afterLines="0" w:line="356"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16、违约</w:t>
      </w:r>
    </w:p>
    <w:p w14:paraId="199E8BFF">
      <w:pPr>
        <w:tabs>
          <w:tab w:val="left" w:pos="463"/>
        </w:tabs>
        <w:adjustRightInd w:val="0"/>
        <w:snapToGrid w:val="0"/>
        <w:spacing w:beforeLines="0" w:afterLines="0" w:line="356"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16.1.2本合同中关于发包人违约的具体责任如下：</w:t>
      </w:r>
    </w:p>
    <w:p w14:paraId="4ED6F094">
      <w:pPr>
        <w:adjustRightInd w:val="0"/>
        <w:snapToGrid w:val="0"/>
        <w:spacing w:beforeLines="0" w:afterLines="0" w:line="356"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本合同通用条款第16.1.2条约定发包人违约应承担的违约责任：</w:t>
      </w:r>
      <w:r>
        <w:rPr>
          <w:rFonts w:hint="eastAsia" w:ascii="宋体" w:hAnsi="宋体" w:eastAsia="宋体" w:cs="宋体"/>
          <w:color w:val="auto"/>
          <w:sz w:val="24"/>
          <w:szCs w:val="24"/>
          <w:u w:val="single"/>
        </w:rPr>
        <w:t xml:space="preserve">  无  </w:t>
      </w:r>
      <w:r>
        <w:rPr>
          <w:rFonts w:hint="eastAsia" w:ascii="宋体" w:hAnsi="宋体" w:eastAsia="宋体" w:cs="宋体"/>
          <w:color w:val="auto"/>
          <w:sz w:val="24"/>
          <w:szCs w:val="24"/>
        </w:rPr>
        <w:t xml:space="preserve"> 。</w:t>
      </w:r>
    </w:p>
    <w:p w14:paraId="4EC83511">
      <w:pPr>
        <w:adjustRightInd w:val="0"/>
        <w:snapToGrid w:val="0"/>
        <w:spacing w:beforeLines="0" w:afterLines="0" w:line="356" w:lineRule="auto"/>
        <w:ind w:firstLine="480" w:firstLineChars="200"/>
        <w:rPr>
          <w:rFonts w:hint="eastAsia" w:ascii="宋体" w:hAnsi="宋体" w:eastAsia="宋体" w:cs="宋体"/>
          <w:color w:val="auto"/>
          <w:sz w:val="24"/>
          <w:szCs w:val="24"/>
          <w:u w:val="single"/>
        </w:rPr>
      </w:pPr>
      <w:r>
        <w:rPr>
          <w:rFonts w:hint="eastAsia" w:ascii="宋体" w:hAnsi="宋体" w:eastAsia="宋体" w:cs="宋体"/>
          <w:color w:val="auto"/>
          <w:sz w:val="24"/>
          <w:szCs w:val="24"/>
        </w:rPr>
        <w:t>本合同通用条款第16.1.3款约定发包人违约应承担的违约责任：</w:t>
      </w:r>
      <w:r>
        <w:rPr>
          <w:rFonts w:hint="eastAsia" w:ascii="宋体" w:hAnsi="宋体" w:eastAsia="宋体" w:cs="宋体"/>
          <w:color w:val="auto"/>
          <w:sz w:val="24"/>
          <w:szCs w:val="24"/>
          <w:u w:val="single"/>
        </w:rPr>
        <w:t>按通用条款第16.1.3款执行。</w:t>
      </w:r>
    </w:p>
    <w:p w14:paraId="2E9F16F5">
      <w:pPr>
        <w:adjustRightInd w:val="0"/>
        <w:snapToGrid w:val="0"/>
        <w:spacing w:beforeLines="0" w:afterLines="0" w:line="356"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本合同通用条款第16.1.4款约定发包人违约应承担的违约责任：</w:t>
      </w:r>
      <w:r>
        <w:rPr>
          <w:rFonts w:hint="eastAsia" w:ascii="宋体" w:hAnsi="宋体" w:eastAsia="宋体" w:cs="宋体"/>
          <w:color w:val="auto"/>
          <w:sz w:val="24"/>
          <w:szCs w:val="24"/>
          <w:u w:val="single"/>
        </w:rPr>
        <w:t xml:space="preserve">  无  </w:t>
      </w:r>
      <w:r>
        <w:rPr>
          <w:rFonts w:hint="eastAsia" w:ascii="宋体" w:hAnsi="宋体" w:eastAsia="宋体" w:cs="宋体"/>
          <w:color w:val="auto"/>
          <w:sz w:val="24"/>
          <w:szCs w:val="24"/>
        </w:rPr>
        <w:t xml:space="preserve"> 。</w:t>
      </w:r>
    </w:p>
    <w:p w14:paraId="6F9E247F">
      <w:pPr>
        <w:adjustRightInd w:val="0"/>
        <w:snapToGrid w:val="0"/>
        <w:spacing w:beforeLines="0" w:afterLines="0" w:line="356" w:lineRule="auto"/>
        <w:ind w:firstLine="480" w:firstLineChars="200"/>
        <w:rPr>
          <w:rFonts w:hint="eastAsia" w:ascii="宋体" w:hAnsi="宋体" w:eastAsia="宋体" w:cs="宋体"/>
          <w:color w:val="auto"/>
          <w:sz w:val="24"/>
          <w:szCs w:val="24"/>
          <w:u w:val="single"/>
        </w:rPr>
      </w:pPr>
      <w:r>
        <w:rPr>
          <w:rFonts w:hint="eastAsia" w:ascii="宋体" w:hAnsi="宋体" w:eastAsia="宋体" w:cs="宋体"/>
          <w:color w:val="auto"/>
          <w:sz w:val="24"/>
          <w:szCs w:val="24"/>
        </w:rPr>
        <w:t>双方约定的发包人其他违约责任：</w:t>
      </w:r>
      <w:r>
        <w:rPr>
          <w:rFonts w:hint="eastAsia" w:ascii="宋体" w:hAnsi="宋体" w:eastAsia="宋体" w:cs="宋体"/>
          <w:color w:val="auto"/>
          <w:sz w:val="24"/>
          <w:szCs w:val="24"/>
          <w:u w:val="single"/>
        </w:rPr>
        <w:t>按通用条款执行。</w:t>
      </w:r>
    </w:p>
    <w:p w14:paraId="2ED9CF65">
      <w:pPr>
        <w:tabs>
          <w:tab w:val="left" w:pos="463"/>
        </w:tabs>
        <w:adjustRightInd w:val="0"/>
        <w:snapToGrid w:val="0"/>
        <w:spacing w:beforeLines="0" w:afterLines="0" w:line="356"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16.2 承包人违约</w:t>
      </w:r>
    </w:p>
    <w:p w14:paraId="741C53A4">
      <w:pPr>
        <w:tabs>
          <w:tab w:val="left" w:pos="463"/>
        </w:tabs>
        <w:adjustRightInd w:val="0"/>
        <w:snapToGrid w:val="0"/>
        <w:spacing w:beforeLines="0" w:afterLines="0" w:line="356"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16.2.1 承包人违约的情形</w:t>
      </w:r>
    </w:p>
    <w:p w14:paraId="2121CC56">
      <w:pPr>
        <w:tabs>
          <w:tab w:val="left" w:pos="463"/>
        </w:tabs>
        <w:adjustRightInd w:val="0"/>
        <w:snapToGrid w:val="0"/>
        <w:spacing w:beforeLines="0" w:afterLines="0" w:line="356"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 xml:space="preserve">承包人违约的其他情形： </w:t>
      </w:r>
    </w:p>
    <w:p w14:paraId="29C4AE39">
      <w:pPr>
        <w:tabs>
          <w:tab w:val="left" w:pos="463"/>
        </w:tabs>
        <w:adjustRightInd w:val="0"/>
        <w:snapToGrid w:val="0"/>
        <w:spacing w:beforeLines="0" w:afterLines="0" w:line="356"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（8）承包人未在约定的时间内提供完整的工程竣工结算资料，经发包人书面催促后 28 天内仍未提交。</w:t>
      </w:r>
    </w:p>
    <w:p w14:paraId="16B05471">
      <w:pPr>
        <w:tabs>
          <w:tab w:val="left" w:pos="463"/>
        </w:tabs>
        <w:adjustRightInd w:val="0"/>
        <w:snapToGrid w:val="0"/>
        <w:spacing w:beforeLines="0" w:afterLines="0" w:line="356"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16.2.2承包人违约的责任</w:t>
      </w:r>
    </w:p>
    <w:p w14:paraId="17D82B1E">
      <w:pPr>
        <w:tabs>
          <w:tab w:val="left" w:pos="463"/>
        </w:tabs>
        <w:adjustRightInd w:val="0"/>
        <w:snapToGrid w:val="0"/>
        <w:spacing w:beforeLines="0" w:afterLines="0" w:line="356"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 xml:space="preserve">承包人违约责任的承担方式和计算方法： </w:t>
      </w:r>
    </w:p>
    <w:p w14:paraId="371DF804">
      <w:pPr>
        <w:tabs>
          <w:tab w:val="left" w:pos="463"/>
        </w:tabs>
        <w:adjustRightInd w:val="0"/>
        <w:snapToGrid w:val="0"/>
        <w:spacing w:beforeLines="0" w:afterLines="0" w:line="356"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（1）承包人违反合同约定进行转包或违法分包的，监理人可向承包人发出整改通知，要求其在指定的期限内改正，并且承包人应按合同价款20%向发包人支付违约金；</w:t>
      </w:r>
    </w:p>
    <w:p w14:paraId="2F0B377D">
      <w:pPr>
        <w:tabs>
          <w:tab w:val="left" w:pos="463"/>
        </w:tabs>
        <w:adjustRightInd w:val="0"/>
        <w:snapToGrid w:val="0"/>
        <w:spacing w:beforeLines="0" w:afterLines="0" w:line="356"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（2）承包人违反合同约定采购和使用不合格的材料和工程设备的，承包人应将不合格的材料和工程设备的限期清理出施工场地，并负责承担返工及造成损失的费用；</w:t>
      </w:r>
    </w:p>
    <w:p w14:paraId="2F3A2FE8">
      <w:pPr>
        <w:tabs>
          <w:tab w:val="left" w:pos="463"/>
        </w:tabs>
        <w:adjustRightInd w:val="0"/>
        <w:snapToGrid w:val="0"/>
        <w:spacing w:beforeLines="0" w:afterLines="0" w:line="356"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 xml:space="preserve">（3）因承包人原因导致工程质量不符合合同要求的，承包人应负责返工或修整，并负责由此产生的费用和损失； </w:t>
      </w:r>
    </w:p>
    <w:p w14:paraId="4AC4A89D">
      <w:pPr>
        <w:tabs>
          <w:tab w:val="left" w:pos="463"/>
        </w:tabs>
        <w:adjustRightInd w:val="0"/>
        <w:snapToGrid w:val="0"/>
        <w:spacing w:beforeLines="0" w:afterLines="0" w:line="356"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（4）承包人违反通用合同条款第8.9款〔材料与设备专用要求〕的约定，未经批准，私自将已按照合同约定进入施工现场的材料或设备撤离施工现场的，承包人应负责承担由此产生的费用和损失；</w:t>
      </w:r>
    </w:p>
    <w:p w14:paraId="79975369">
      <w:pPr>
        <w:tabs>
          <w:tab w:val="left" w:pos="463"/>
        </w:tabs>
        <w:adjustRightInd w:val="0"/>
        <w:snapToGrid w:val="0"/>
        <w:spacing w:beforeLines="0" w:afterLines="0" w:line="356"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（5）承包人未能按施工进度计划及时完成合同约定的工作，造成工期延误的，承包人应进行施工进度计划调整并按时完成合同约定的工作，并承担赶工所产生的费用；</w:t>
      </w:r>
    </w:p>
    <w:p w14:paraId="423D75B0">
      <w:pPr>
        <w:tabs>
          <w:tab w:val="left" w:pos="463"/>
        </w:tabs>
        <w:adjustRightInd w:val="0"/>
        <w:snapToGrid w:val="0"/>
        <w:spacing w:beforeLines="0" w:afterLines="0" w:line="356"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6）承包人在缺陷责任期及保修期内，未能在合理期限对工程缺陷进行修复，或拒绝按发包人要求进行修复的。发包人可以委托他人修理，修理费用从质量保证金中扣减，不足部分承包人另行支付，承包人还应承担发包人由此造成的损失；</w:t>
      </w:r>
    </w:p>
    <w:p w14:paraId="301E230D">
      <w:pPr>
        <w:tabs>
          <w:tab w:val="left" w:pos="463"/>
        </w:tabs>
        <w:adjustRightInd w:val="0"/>
        <w:snapToGrid w:val="0"/>
        <w:spacing w:beforeLines="0" w:afterLines="0" w:line="356"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（7）承包人明确表示或者以其行为表明不履行合同主要义务的，发包人有权解除合同，并承担发包人不能按期投入使用所造成全部的损失。</w:t>
      </w:r>
    </w:p>
    <w:p w14:paraId="3015CD76">
      <w:pPr>
        <w:tabs>
          <w:tab w:val="left" w:pos="463"/>
        </w:tabs>
        <w:adjustRightInd w:val="0"/>
        <w:snapToGrid w:val="0"/>
        <w:spacing w:beforeLines="0" w:afterLines="0" w:line="356"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8）承包人未在约定的时间内提供完整的工程竣工结算资料，经发包人书面催促后28天内仍未提交，则发包人有权将已有资料送浦北县审计部门或有资质的造价咨询机构进行结算审计，由此产生的责任由承包人自负；除此之外，承包人还应就延迟提交工程竣工结算资料向发包人支付违约金，违约金额为签约合同价的2%，发包人有权在审定的工程结算价中优先扣除该违约金；</w:t>
      </w:r>
    </w:p>
    <w:p w14:paraId="57BA184F">
      <w:pPr>
        <w:tabs>
          <w:tab w:val="left" w:pos="463"/>
        </w:tabs>
        <w:adjustRightInd w:val="0"/>
        <w:snapToGrid w:val="0"/>
        <w:spacing w:beforeLines="0" w:afterLines="0" w:line="356"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（9）承包人的其他违约见本合同其他条款的约定。</w:t>
      </w:r>
    </w:p>
    <w:p w14:paraId="1CE65240">
      <w:pPr>
        <w:tabs>
          <w:tab w:val="left" w:pos="463"/>
        </w:tabs>
        <w:adjustRightInd w:val="0"/>
        <w:snapToGrid w:val="0"/>
        <w:spacing w:beforeLines="0" w:afterLines="0" w:line="356"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16.2.2本合同中关于承包人违约的具体责任如下：</w:t>
      </w:r>
    </w:p>
    <w:p w14:paraId="3819C0D3">
      <w:pPr>
        <w:adjustRightInd w:val="0"/>
        <w:snapToGrid w:val="0"/>
        <w:spacing w:beforeLines="0" w:afterLines="0" w:line="356" w:lineRule="auto"/>
        <w:ind w:firstLine="480" w:firstLineChars="200"/>
        <w:rPr>
          <w:rFonts w:hint="eastAsia" w:ascii="宋体" w:hAnsi="宋体" w:eastAsia="宋体" w:cs="宋体"/>
          <w:color w:val="auto"/>
          <w:sz w:val="24"/>
          <w:szCs w:val="24"/>
          <w:u w:val="single"/>
        </w:rPr>
      </w:pPr>
      <w:r>
        <w:rPr>
          <w:rFonts w:hint="eastAsia" w:ascii="宋体" w:hAnsi="宋体" w:eastAsia="宋体" w:cs="宋体"/>
          <w:color w:val="auto"/>
          <w:sz w:val="24"/>
          <w:szCs w:val="24"/>
        </w:rPr>
        <w:t>双方约定的承包人其他违约责任：</w:t>
      </w:r>
      <w:r>
        <w:rPr>
          <w:rFonts w:hint="eastAsia" w:ascii="宋体" w:hAnsi="宋体" w:eastAsia="宋体" w:cs="宋体"/>
          <w:color w:val="auto"/>
          <w:sz w:val="24"/>
          <w:szCs w:val="24"/>
          <w:u w:val="single"/>
        </w:rPr>
        <w:t>按通用条款执行。</w:t>
      </w:r>
    </w:p>
    <w:p w14:paraId="796CCE71">
      <w:pPr>
        <w:adjustRightInd w:val="0"/>
        <w:snapToGrid w:val="0"/>
        <w:spacing w:beforeLines="0" w:afterLines="0" w:line="356"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承包人在工程项目实施过程中不得无故更换投标（响应）文件中承诺的项目经理、施工员、材料员、质检员、安全员、预算员等主要施工管理人员。因不可抗拒的原因需要更换的，应事前征得建设单位及行政主管部门书面同意，并及时报质量、安全、招投标监督机构备案，否则建设单位有权终止施工合同，并依法追究相关责任。</w:t>
      </w:r>
    </w:p>
    <w:p w14:paraId="7B47FB16">
      <w:pPr>
        <w:numPr>
          <w:ilvl w:val="0"/>
          <w:numId w:val="15"/>
        </w:numPr>
        <w:adjustRightInd w:val="0"/>
        <w:snapToGrid w:val="0"/>
        <w:spacing w:beforeLines="0" w:afterLines="0" w:line="356" w:lineRule="auto"/>
        <w:ind w:firstLine="562" w:firstLineChars="200"/>
        <w:rPr>
          <w:rFonts w:hint="eastAsia" w:ascii="宋体" w:hAnsi="宋体" w:eastAsia="宋体" w:cs="宋体"/>
          <w:b/>
          <w:color w:val="auto"/>
          <w:sz w:val="28"/>
          <w:szCs w:val="28"/>
        </w:rPr>
      </w:pPr>
      <w:r>
        <w:rPr>
          <w:rFonts w:hint="eastAsia" w:ascii="宋体" w:hAnsi="宋体" w:eastAsia="宋体" w:cs="宋体"/>
          <w:b/>
          <w:color w:val="auto"/>
          <w:sz w:val="28"/>
          <w:szCs w:val="28"/>
        </w:rPr>
        <w:t>不可抗力、保险及争议</w:t>
      </w:r>
    </w:p>
    <w:p w14:paraId="5D7BA476">
      <w:pPr>
        <w:tabs>
          <w:tab w:val="left" w:pos="463"/>
        </w:tabs>
        <w:adjustRightInd w:val="0"/>
        <w:snapToGrid w:val="0"/>
        <w:spacing w:beforeLines="0" w:afterLines="0" w:line="356"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17、不可抗力</w:t>
      </w:r>
    </w:p>
    <w:p w14:paraId="797233C6">
      <w:pPr>
        <w:tabs>
          <w:tab w:val="left" w:pos="463"/>
        </w:tabs>
        <w:adjustRightInd w:val="0"/>
        <w:snapToGrid w:val="0"/>
        <w:spacing w:beforeLines="0" w:afterLines="0" w:line="356"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17.1双方关于不可抗力的约定：按《通用条款》第17款执行。</w:t>
      </w:r>
    </w:p>
    <w:p w14:paraId="14FCD36C">
      <w:pPr>
        <w:adjustRightInd w:val="0"/>
        <w:snapToGrid w:val="0"/>
        <w:spacing w:beforeLines="0" w:afterLines="0" w:line="356"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18、保险</w:t>
      </w:r>
    </w:p>
    <w:p w14:paraId="4D223D49">
      <w:pPr>
        <w:adjustRightInd w:val="0"/>
        <w:snapToGrid w:val="0"/>
        <w:spacing w:beforeLines="0" w:afterLines="0" w:line="356"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18.1本工程双方约定投保内容如下：</w:t>
      </w:r>
    </w:p>
    <w:p w14:paraId="7FB65DE3">
      <w:pPr>
        <w:numPr>
          <w:ilvl w:val="0"/>
          <w:numId w:val="16"/>
        </w:numPr>
        <w:adjustRightInd w:val="0"/>
        <w:snapToGrid w:val="0"/>
        <w:spacing w:beforeLines="0" w:afterLines="0" w:line="356" w:lineRule="auto"/>
        <w:ind w:firstLine="480" w:firstLineChars="200"/>
        <w:rPr>
          <w:rFonts w:hint="eastAsia" w:ascii="宋体" w:hAnsi="宋体" w:eastAsia="宋体" w:cs="宋体"/>
          <w:color w:val="auto"/>
          <w:sz w:val="24"/>
          <w:szCs w:val="24"/>
          <w:u w:val="single"/>
        </w:rPr>
      </w:pPr>
      <w:r>
        <w:rPr>
          <w:rFonts w:hint="eastAsia" w:ascii="宋体" w:hAnsi="宋体" w:eastAsia="宋体" w:cs="宋体"/>
          <w:color w:val="auto"/>
          <w:sz w:val="24"/>
          <w:szCs w:val="24"/>
        </w:rPr>
        <w:t>发包人投保内容：</w:t>
      </w:r>
      <w:r>
        <w:rPr>
          <w:rFonts w:hint="eastAsia" w:ascii="宋体" w:hAnsi="宋体" w:eastAsia="宋体" w:cs="宋体"/>
          <w:color w:val="auto"/>
          <w:sz w:val="24"/>
          <w:szCs w:val="24"/>
          <w:u w:val="single"/>
        </w:rPr>
        <w:t>按国家政策自行办理。</w:t>
      </w:r>
    </w:p>
    <w:p w14:paraId="50C1E1EF">
      <w:pPr>
        <w:adjustRightInd w:val="0"/>
        <w:snapToGrid w:val="0"/>
        <w:spacing w:beforeLines="0" w:afterLines="0" w:line="356" w:lineRule="auto"/>
        <w:ind w:firstLine="480" w:firstLineChars="200"/>
        <w:rPr>
          <w:rFonts w:hint="eastAsia" w:ascii="宋体" w:hAnsi="宋体" w:eastAsia="宋体" w:cs="宋体"/>
          <w:color w:val="auto"/>
          <w:sz w:val="24"/>
          <w:szCs w:val="24"/>
          <w:u w:val="single"/>
        </w:rPr>
      </w:pPr>
      <w:r>
        <w:rPr>
          <w:rFonts w:hint="eastAsia" w:ascii="宋体" w:hAnsi="宋体" w:eastAsia="宋体" w:cs="宋体"/>
          <w:color w:val="auto"/>
          <w:sz w:val="24"/>
          <w:szCs w:val="24"/>
        </w:rPr>
        <w:t>发包人委托承包人办理的保险事项：</w:t>
      </w:r>
      <w:r>
        <w:rPr>
          <w:rFonts w:hint="eastAsia" w:ascii="宋体" w:hAnsi="宋体" w:eastAsia="宋体" w:cs="宋体"/>
          <w:color w:val="auto"/>
          <w:sz w:val="24"/>
          <w:szCs w:val="24"/>
          <w:u w:val="single"/>
        </w:rPr>
        <w:t xml:space="preserve"> 无 。</w:t>
      </w:r>
    </w:p>
    <w:p w14:paraId="01F1547B">
      <w:pPr>
        <w:numPr>
          <w:ilvl w:val="0"/>
          <w:numId w:val="16"/>
        </w:numPr>
        <w:adjustRightInd w:val="0"/>
        <w:snapToGrid w:val="0"/>
        <w:spacing w:beforeLines="0" w:afterLines="0" w:line="356" w:lineRule="auto"/>
        <w:ind w:firstLine="480" w:firstLineChars="200"/>
        <w:rPr>
          <w:rFonts w:hint="eastAsia" w:ascii="宋体" w:hAnsi="宋体" w:eastAsia="宋体" w:cs="宋体"/>
          <w:color w:val="auto"/>
          <w:sz w:val="24"/>
          <w:szCs w:val="24"/>
          <w:u w:val="single"/>
        </w:rPr>
      </w:pPr>
      <w:r>
        <w:rPr>
          <w:rFonts w:hint="eastAsia" w:ascii="宋体" w:hAnsi="宋体" w:eastAsia="宋体" w:cs="宋体"/>
          <w:color w:val="auto"/>
          <w:sz w:val="24"/>
          <w:szCs w:val="24"/>
        </w:rPr>
        <w:t>承包人投保内容：</w:t>
      </w:r>
      <w:r>
        <w:rPr>
          <w:rFonts w:hint="eastAsia" w:ascii="宋体" w:hAnsi="宋体" w:eastAsia="宋体" w:cs="宋体"/>
          <w:color w:val="auto"/>
          <w:sz w:val="24"/>
          <w:szCs w:val="24"/>
          <w:u w:val="single"/>
        </w:rPr>
        <w:t>承包人应按有关规定自行投保施工人员的人身事故保险，该保险应不属于储蓄险等。承包人应于签订全同之日起10日内按有关规定自行办理。</w:t>
      </w:r>
    </w:p>
    <w:p w14:paraId="65AC97DE">
      <w:pPr>
        <w:adjustRightInd w:val="0"/>
        <w:snapToGrid w:val="0"/>
        <w:spacing w:beforeLines="0" w:afterLines="0" w:line="356"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20、争议</w:t>
      </w:r>
    </w:p>
    <w:p w14:paraId="3ACE9C69">
      <w:pPr>
        <w:adjustRightInd w:val="0"/>
        <w:snapToGrid w:val="0"/>
        <w:spacing w:beforeLines="0" w:afterLines="0" w:line="356"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20.4本合同在履行过程中发生的争议，由双方当事人协商解决，协商不成的按下列</w:t>
      </w:r>
      <w:r>
        <w:rPr>
          <w:rFonts w:hint="eastAsia" w:ascii="宋体" w:hAnsi="宋体" w:eastAsia="宋体" w:cs="宋体"/>
          <w:color w:val="auto"/>
          <w:sz w:val="24"/>
          <w:szCs w:val="24"/>
          <w:u w:val="single"/>
        </w:rPr>
        <w:t>第（二）</w:t>
      </w:r>
      <w:r>
        <w:rPr>
          <w:rFonts w:hint="eastAsia" w:ascii="宋体" w:hAnsi="宋体" w:eastAsia="宋体" w:cs="宋体"/>
          <w:color w:val="auto"/>
          <w:sz w:val="24"/>
          <w:szCs w:val="24"/>
        </w:rPr>
        <w:t>种方式解决：</w:t>
      </w:r>
    </w:p>
    <w:p w14:paraId="3DF47D98">
      <w:pPr>
        <w:numPr>
          <w:ilvl w:val="0"/>
          <w:numId w:val="17"/>
        </w:numPr>
        <w:adjustRightInd w:val="0"/>
        <w:snapToGrid w:val="0"/>
        <w:spacing w:beforeLines="0" w:afterLines="0" w:line="356"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向</w:t>
      </w:r>
      <w:r>
        <w:rPr>
          <w:rFonts w:hint="eastAsia" w:ascii="宋体" w:hAnsi="宋体" w:eastAsia="宋体" w:cs="宋体"/>
          <w:color w:val="auto"/>
          <w:sz w:val="24"/>
          <w:szCs w:val="24"/>
          <w:u w:val="single"/>
        </w:rPr>
        <w:t>约定的</w:t>
      </w:r>
      <w:r>
        <w:rPr>
          <w:rFonts w:hint="eastAsia" w:ascii="宋体" w:hAnsi="宋体" w:eastAsia="宋体" w:cs="宋体"/>
          <w:color w:val="auto"/>
          <w:sz w:val="24"/>
          <w:szCs w:val="24"/>
        </w:rPr>
        <w:t>仲裁委员会申请仲裁：</w:t>
      </w:r>
    </w:p>
    <w:p w14:paraId="5DFA3038">
      <w:pPr>
        <w:numPr>
          <w:ilvl w:val="0"/>
          <w:numId w:val="17"/>
        </w:numPr>
        <w:adjustRightInd w:val="0"/>
        <w:snapToGrid w:val="0"/>
        <w:spacing w:beforeLines="0" w:afterLines="0" w:line="356"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依法向发包人所在地人民法院起诉。</w:t>
      </w:r>
    </w:p>
    <w:p w14:paraId="66E3B74E">
      <w:pPr>
        <w:adjustRightInd w:val="0"/>
        <w:snapToGrid w:val="0"/>
        <w:spacing w:beforeLines="0" w:afterLines="0" w:line="356" w:lineRule="auto"/>
        <w:ind w:firstLine="562" w:firstLineChars="200"/>
        <w:rPr>
          <w:rFonts w:hint="eastAsia" w:ascii="宋体" w:hAnsi="宋体" w:eastAsia="宋体" w:cs="宋体"/>
          <w:b/>
          <w:color w:val="auto"/>
          <w:sz w:val="28"/>
          <w:szCs w:val="28"/>
        </w:rPr>
      </w:pPr>
      <w:r>
        <w:rPr>
          <w:rFonts w:hint="eastAsia" w:ascii="宋体" w:hAnsi="宋体" w:eastAsia="宋体" w:cs="宋体"/>
          <w:b/>
          <w:color w:val="auto"/>
          <w:sz w:val="28"/>
          <w:szCs w:val="28"/>
        </w:rPr>
        <w:t>十一、其他</w:t>
      </w:r>
    </w:p>
    <w:p w14:paraId="140E9BE4">
      <w:pPr>
        <w:adjustRightInd w:val="0"/>
        <w:snapToGrid w:val="0"/>
        <w:spacing w:beforeLines="0" w:afterLines="0" w:line="356"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21、合同份数</w:t>
      </w:r>
    </w:p>
    <w:p w14:paraId="4EB7041A">
      <w:pPr>
        <w:adjustRightInd w:val="0"/>
        <w:snapToGrid w:val="0"/>
        <w:spacing w:beforeLines="0" w:afterLines="0" w:line="356" w:lineRule="auto"/>
        <w:ind w:firstLine="480" w:firstLineChars="200"/>
        <w:rPr>
          <w:rFonts w:hint="eastAsia" w:ascii="宋体" w:hAnsi="宋体" w:eastAsia="宋体" w:cs="宋体"/>
          <w:color w:val="auto"/>
          <w:sz w:val="24"/>
          <w:szCs w:val="24"/>
          <w:u w:val="single"/>
        </w:rPr>
      </w:pPr>
      <w:r>
        <w:rPr>
          <w:rFonts w:hint="eastAsia" w:ascii="宋体" w:hAnsi="宋体" w:eastAsia="宋体" w:cs="宋体"/>
          <w:color w:val="auto"/>
          <w:sz w:val="24"/>
          <w:szCs w:val="24"/>
        </w:rPr>
        <w:t>21.1双方约定合同份数：</w:t>
      </w:r>
      <w:r>
        <w:rPr>
          <w:rFonts w:hint="eastAsia" w:ascii="宋体" w:hAnsi="宋体" w:eastAsia="宋体" w:cs="宋体"/>
          <w:color w:val="auto"/>
          <w:sz w:val="24"/>
          <w:szCs w:val="24"/>
          <w:u w:val="single"/>
        </w:rPr>
        <w:t>正本贰份，副本陆份，双方各执壹份正本，叁份副本。</w:t>
      </w:r>
    </w:p>
    <w:p w14:paraId="60B473E4">
      <w:pPr>
        <w:spacing w:before="156" w:beforeLines="50" w:after="156" w:afterLines="50" w:line="360" w:lineRule="auto"/>
        <w:rPr>
          <w:rFonts w:hint="eastAsia" w:ascii="宋体" w:hAnsi="宋体" w:eastAsia="宋体" w:cs="宋体"/>
          <w:color w:val="auto"/>
          <w:spacing w:val="20"/>
          <w:sz w:val="24"/>
          <w:szCs w:val="24"/>
        </w:rPr>
      </w:pPr>
    </w:p>
    <w:p w14:paraId="0718685C">
      <w:pPr>
        <w:spacing w:before="156" w:beforeLines="50" w:after="156" w:afterLines="50" w:line="360" w:lineRule="auto"/>
        <w:rPr>
          <w:rFonts w:hint="eastAsia" w:ascii="宋体" w:hAnsi="宋体" w:eastAsia="宋体" w:cs="宋体"/>
          <w:color w:val="auto"/>
          <w:spacing w:val="20"/>
          <w:sz w:val="24"/>
          <w:szCs w:val="24"/>
        </w:rPr>
      </w:pPr>
    </w:p>
    <w:p w14:paraId="47F2FDFA">
      <w:pPr>
        <w:spacing w:before="156" w:beforeLines="50" w:after="156" w:afterLines="50" w:line="360" w:lineRule="auto"/>
        <w:rPr>
          <w:rFonts w:hint="eastAsia" w:ascii="宋体" w:hAnsi="宋体" w:eastAsia="宋体" w:cs="宋体"/>
          <w:color w:val="auto"/>
          <w:spacing w:val="20"/>
          <w:sz w:val="24"/>
          <w:szCs w:val="24"/>
        </w:rPr>
      </w:pPr>
    </w:p>
    <w:p w14:paraId="112B5886">
      <w:pPr>
        <w:spacing w:before="156" w:beforeLines="50" w:after="156" w:afterLines="50" w:line="360" w:lineRule="auto"/>
        <w:rPr>
          <w:rFonts w:hint="eastAsia" w:ascii="宋体" w:hAnsi="宋体" w:eastAsia="宋体" w:cs="宋体"/>
          <w:color w:val="auto"/>
          <w:spacing w:val="20"/>
          <w:sz w:val="24"/>
          <w:szCs w:val="24"/>
        </w:rPr>
      </w:pPr>
    </w:p>
    <w:p w14:paraId="51427671">
      <w:pPr>
        <w:spacing w:before="156" w:beforeLines="50" w:after="156" w:afterLines="50" w:line="360" w:lineRule="auto"/>
        <w:rPr>
          <w:rFonts w:hint="eastAsia" w:ascii="宋体" w:hAnsi="宋体" w:eastAsia="宋体" w:cs="宋体"/>
          <w:color w:val="auto"/>
          <w:spacing w:val="20"/>
          <w:sz w:val="24"/>
          <w:szCs w:val="24"/>
        </w:rPr>
      </w:pPr>
    </w:p>
    <w:p w14:paraId="24712345">
      <w:pPr>
        <w:spacing w:before="156" w:beforeLines="50" w:after="156" w:afterLines="50" w:line="360" w:lineRule="auto"/>
        <w:rPr>
          <w:rFonts w:hint="eastAsia" w:ascii="宋体" w:hAnsi="宋体" w:eastAsia="宋体" w:cs="宋体"/>
          <w:color w:val="auto"/>
          <w:spacing w:val="20"/>
          <w:sz w:val="24"/>
          <w:szCs w:val="24"/>
        </w:rPr>
      </w:pPr>
    </w:p>
    <w:p w14:paraId="703EFB3C">
      <w:pPr>
        <w:spacing w:before="156" w:beforeLines="50" w:after="156" w:afterLines="50" w:line="360" w:lineRule="auto"/>
        <w:rPr>
          <w:rFonts w:hint="eastAsia" w:ascii="宋体" w:hAnsi="宋体" w:eastAsia="宋体" w:cs="宋体"/>
          <w:color w:val="auto"/>
          <w:spacing w:val="20"/>
          <w:sz w:val="24"/>
          <w:szCs w:val="24"/>
        </w:rPr>
      </w:pPr>
    </w:p>
    <w:p w14:paraId="660D6AEC">
      <w:pPr>
        <w:spacing w:before="156" w:beforeLines="50" w:after="156" w:afterLines="50" w:line="360" w:lineRule="auto"/>
        <w:rPr>
          <w:rFonts w:hint="eastAsia" w:ascii="宋体" w:hAnsi="宋体" w:eastAsia="宋体" w:cs="宋体"/>
          <w:color w:val="auto"/>
          <w:spacing w:val="20"/>
          <w:sz w:val="24"/>
          <w:szCs w:val="24"/>
        </w:rPr>
      </w:pPr>
    </w:p>
    <w:p w14:paraId="6E0BD76A">
      <w:pPr>
        <w:spacing w:before="156" w:beforeLines="50" w:after="156" w:afterLines="50" w:line="360" w:lineRule="auto"/>
        <w:rPr>
          <w:rFonts w:hint="eastAsia" w:ascii="宋体" w:hAnsi="宋体" w:eastAsia="宋体" w:cs="宋体"/>
          <w:color w:val="auto"/>
          <w:spacing w:val="20"/>
          <w:sz w:val="24"/>
          <w:szCs w:val="24"/>
        </w:rPr>
      </w:pPr>
    </w:p>
    <w:p w14:paraId="601D632C">
      <w:pPr>
        <w:spacing w:before="156" w:beforeLines="50" w:after="156" w:afterLines="50" w:line="360" w:lineRule="auto"/>
        <w:rPr>
          <w:rFonts w:hint="eastAsia" w:ascii="宋体" w:hAnsi="宋体" w:eastAsia="宋体" w:cs="宋体"/>
          <w:color w:val="auto"/>
          <w:spacing w:val="20"/>
          <w:sz w:val="24"/>
          <w:szCs w:val="24"/>
        </w:rPr>
      </w:pPr>
    </w:p>
    <w:p w14:paraId="1E389688">
      <w:pPr>
        <w:spacing w:before="156" w:beforeLines="50" w:after="156" w:afterLines="50" w:line="360" w:lineRule="auto"/>
        <w:rPr>
          <w:rFonts w:hint="eastAsia" w:ascii="宋体" w:hAnsi="宋体" w:eastAsia="宋体" w:cs="宋体"/>
          <w:color w:val="auto"/>
          <w:spacing w:val="20"/>
          <w:sz w:val="24"/>
          <w:szCs w:val="24"/>
        </w:rPr>
      </w:pPr>
    </w:p>
    <w:p w14:paraId="6D2EECC1">
      <w:pPr>
        <w:spacing w:before="156" w:beforeLines="50" w:after="156" w:afterLines="50" w:line="360" w:lineRule="auto"/>
        <w:rPr>
          <w:rFonts w:hint="eastAsia" w:ascii="宋体" w:hAnsi="宋体" w:eastAsia="宋体" w:cs="宋体"/>
          <w:color w:val="auto"/>
          <w:spacing w:val="20"/>
          <w:sz w:val="24"/>
          <w:szCs w:val="24"/>
        </w:rPr>
      </w:pPr>
    </w:p>
    <w:p w14:paraId="7864E8AB">
      <w:pPr>
        <w:spacing w:before="156" w:beforeLines="50" w:after="156" w:afterLines="50" w:line="360" w:lineRule="auto"/>
        <w:rPr>
          <w:rFonts w:hint="eastAsia" w:ascii="宋体" w:hAnsi="宋体" w:eastAsia="宋体" w:cs="宋体"/>
          <w:color w:val="auto"/>
          <w:spacing w:val="20"/>
          <w:sz w:val="24"/>
          <w:szCs w:val="24"/>
        </w:rPr>
      </w:pPr>
    </w:p>
    <w:p w14:paraId="6DE91F07">
      <w:pPr>
        <w:spacing w:before="156" w:beforeLines="50" w:after="156" w:afterLines="50" w:line="360" w:lineRule="auto"/>
        <w:rPr>
          <w:rFonts w:hint="eastAsia" w:ascii="宋体" w:hAnsi="宋体" w:eastAsia="宋体" w:cs="宋体"/>
          <w:color w:val="auto"/>
          <w:spacing w:val="20"/>
          <w:sz w:val="24"/>
          <w:szCs w:val="24"/>
        </w:rPr>
      </w:pPr>
    </w:p>
    <w:p w14:paraId="6CA60963">
      <w:pPr>
        <w:spacing w:before="156" w:beforeLines="50" w:after="156" w:afterLines="50" w:line="360" w:lineRule="auto"/>
        <w:rPr>
          <w:rFonts w:hint="eastAsia" w:ascii="宋体" w:hAnsi="宋体" w:eastAsia="宋体" w:cs="宋体"/>
          <w:color w:val="auto"/>
          <w:spacing w:val="20"/>
          <w:sz w:val="24"/>
          <w:szCs w:val="24"/>
        </w:rPr>
      </w:pPr>
    </w:p>
    <w:p w14:paraId="07478A29">
      <w:pPr>
        <w:spacing w:before="156" w:beforeLines="50" w:after="156" w:afterLines="50" w:line="360" w:lineRule="auto"/>
        <w:rPr>
          <w:rFonts w:hint="eastAsia" w:ascii="宋体" w:hAnsi="宋体" w:eastAsia="宋体" w:cs="宋体"/>
          <w:color w:val="auto"/>
          <w:spacing w:val="20"/>
          <w:sz w:val="24"/>
          <w:szCs w:val="24"/>
        </w:rPr>
      </w:pPr>
    </w:p>
    <w:p w14:paraId="798C6331">
      <w:pPr>
        <w:spacing w:before="156" w:beforeLines="50" w:after="156" w:afterLines="50" w:line="360" w:lineRule="auto"/>
        <w:rPr>
          <w:rFonts w:hint="eastAsia" w:ascii="宋体" w:hAnsi="宋体" w:eastAsia="宋体" w:cs="宋体"/>
          <w:color w:val="auto"/>
          <w:spacing w:val="20"/>
          <w:sz w:val="24"/>
          <w:szCs w:val="24"/>
        </w:rPr>
      </w:pPr>
    </w:p>
    <w:p w14:paraId="404D99F4">
      <w:pPr>
        <w:rPr>
          <w:rFonts w:hint="eastAsia" w:ascii="宋体" w:hAnsi="宋体" w:eastAsia="宋体" w:cs="宋体"/>
          <w:color w:val="auto"/>
          <w:spacing w:val="20"/>
          <w:sz w:val="24"/>
          <w:szCs w:val="24"/>
        </w:rPr>
      </w:pPr>
      <w:r>
        <w:rPr>
          <w:rFonts w:hint="eastAsia" w:ascii="宋体" w:hAnsi="宋体" w:eastAsia="宋体" w:cs="宋体"/>
          <w:color w:val="auto"/>
          <w:spacing w:val="20"/>
          <w:sz w:val="24"/>
          <w:szCs w:val="24"/>
        </w:rPr>
        <w:br w:type="page"/>
      </w:r>
    </w:p>
    <w:p w14:paraId="58B14B2D">
      <w:pPr>
        <w:spacing w:before="156" w:beforeLines="50" w:after="156" w:afterLines="50" w:line="360" w:lineRule="auto"/>
        <w:rPr>
          <w:rFonts w:hint="eastAsia" w:ascii="宋体" w:hAnsi="宋体" w:eastAsia="宋体" w:cs="宋体"/>
          <w:color w:val="auto"/>
          <w:spacing w:val="20"/>
          <w:sz w:val="24"/>
          <w:szCs w:val="24"/>
        </w:rPr>
      </w:pPr>
      <w:r>
        <w:rPr>
          <w:rFonts w:hint="eastAsia" w:ascii="宋体" w:hAnsi="宋体" w:eastAsia="宋体" w:cs="宋体"/>
          <w:color w:val="auto"/>
          <w:spacing w:val="20"/>
          <w:sz w:val="24"/>
          <w:szCs w:val="24"/>
        </w:rPr>
        <w:t>附件1</w:t>
      </w:r>
    </w:p>
    <w:p w14:paraId="6CFF14F8">
      <w:pPr>
        <w:spacing w:before="156" w:beforeLines="50" w:after="156" w:afterLines="50" w:line="360" w:lineRule="auto"/>
        <w:jc w:val="center"/>
        <w:rPr>
          <w:rFonts w:hint="eastAsia" w:ascii="宋体" w:hAnsi="宋体" w:eastAsia="宋体" w:cs="宋体"/>
          <w:b/>
          <w:color w:val="auto"/>
          <w:spacing w:val="20"/>
          <w:sz w:val="36"/>
          <w:szCs w:val="36"/>
        </w:rPr>
      </w:pPr>
      <w:r>
        <w:rPr>
          <w:rFonts w:hint="eastAsia" w:ascii="宋体" w:hAnsi="宋体" w:eastAsia="宋体" w:cs="宋体"/>
          <w:b/>
          <w:color w:val="auto"/>
          <w:spacing w:val="20"/>
          <w:sz w:val="40"/>
          <w:szCs w:val="40"/>
        </w:rPr>
        <w:t>工程质量保修书</w:t>
      </w:r>
    </w:p>
    <w:p w14:paraId="0DD8F37D">
      <w:pPr>
        <w:spacing w:before="156" w:beforeLines="50" w:after="156" w:afterLines="50" w:line="360" w:lineRule="auto"/>
        <w:jc w:val="center"/>
        <w:rPr>
          <w:rFonts w:hint="eastAsia" w:ascii="宋体" w:hAnsi="宋体" w:eastAsia="宋体" w:cs="宋体"/>
          <w:b/>
          <w:color w:val="auto"/>
          <w:spacing w:val="20"/>
          <w:sz w:val="36"/>
          <w:szCs w:val="36"/>
        </w:rPr>
      </w:pPr>
    </w:p>
    <w:p w14:paraId="07B77B2C">
      <w:pPr>
        <w:adjustRightInd w:val="0"/>
        <w:snapToGrid w:val="0"/>
        <w:spacing w:before="156" w:beforeLines="50" w:after="156" w:afterLines="50" w:line="360" w:lineRule="auto"/>
        <w:rPr>
          <w:rFonts w:hint="eastAsia" w:ascii="宋体" w:hAnsi="宋体" w:eastAsia="宋体" w:cs="宋体"/>
          <w:color w:val="auto"/>
          <w:spacing w:val="20"/>
          <w:sz w:val="24"/>
          <w:szCs w:val="24"/>
        </w:rPr>
      </w:pPr>
      <w:r>
        <w:rPr>
          <w:rFonts w:hint="eastAsia" w:ascii="宋体" w:hAnsi="宋体" w:eastAsia="宋体" w:cs="宋体"/>
          <w:color w:val="auto"/>
          <w:spacing w:val="20"/>
          <w:sz w:val="24"/>
          <w:szCs w:val="24"/>
        </w:rPr>
        <w:t>发包人（全称）：</w:t>
      </w:r>
      <w:r>
        <w:rPr>
          <w:rFonts w:hint="eastAsia" w:ascii="宋体" w:hAnsi="宋体" w:eastAsia="宋体" w:cs="宋体"/>
          <w:color w:val="auto"/>
          <w:spacing w:val="20"/>
          <w:sz w:val="24"/>
          <w:szCs w:val="24"/>
          <w:u w:val="single"/>
        </w:rPr>
        <w:t xml:space="preserve"> 中国共产党浦北县委员会统一战线工作部   </w:t>
      </w:r>
      <w:r>
        <w:rPr>
          <w:rFonts w:hint="eastAsia" w:ascii="宋体" w:hAnsi="宋体" w:eastAsia="宋体" w:cs="宋体"/>
          <w:color w:val="auto"/>
          <w:spacing w:val="20"/>
          <w:sz w:val="24"/>
          <w:szCs w:val="24"/>
        </w:rPr>
        <w:t xml:space="preserve"> </w:t>
      </w:r>
    </w:p>
    <w:p w14:paraId="6056ABB9">
      <w:pPr>
        <w:adjustRightInd w:val="0"/>
        <w:snapToGrid w:val="0"/>
        <w:spacing w:beforeLines="0" w:afterLines="0" w:line="360" w:lineRule="auto"/>
        <w:rPr>
          <w:rFonts w:hint="eastAsia" w:ascii="宋体" w:hAnsi="宋体" w:eastAsia="宋体" w:cs="宋体"/>
          <w:color w:val="auto"/>
          <w:spacing w:val="20"/>
          <w:sz w:val="24"/>
          <w:szCs w:val="24"/>
        </w:rPr>
      </w:pPr>
      <w:r>
        <w:rPr>
          <w:rFonts w:hint="eastAsia" w:ascii="宋体" w:hAnsi="宋体" w:eastAsia="宋体" w:cs="宋体"/>
          <w:color w:val="auto"/>
          <w:spacing w:val="20"/>
          <w:sz w:val="24"/>
          <w:szCs w:val="24"/>
        </w:rPr>
        <w:t>承包人（全称）：</w:t>
      </w:r>
      <w:r>
        <w:rPr>
          <w:rFonts w:hint="eastAsia" w:ascii="宋体" w:hAnsi="宋体" w:eastAsia="宋体" w:cs="宋体"/>
          <w:color w:val="auto"/>
          <w:spacing w:val="20"/>
          <w:sz w:val="24"/>
          <w:szCs w:val="24"/>
          <w:u w:val="single"/>
        </w:rPr>
        <w:t xml:space="preserve">                                       </w:t>
      </w:r>
      <w:r>
        <w:rPr>
          <w:rFonts w:hint="eastAsia" w:ascii="宋体" w:hAnsi="宋体" w:eastAsia="宋体" w:cs="宋体"/>
          <w:color w:val="auto"/>
          <w:spacing w:val="20"/>
          <w:sz w:val="24"/>
          <w:szCs w:val="24"/>
        </w:rPr>
        <w:t xml:space="preserve"> </w:t>
      </w:r>
    </w:p>
    <w:p w14:paraId="6C9CBD87">
      <w:pPr>
        <w:adjustRightInd w:val="0"/>
        <w:snapToGrid w:val="0"/>
        <w:spacing w:beforeLines="0" w:afterLines="0" w:line="360" w:lineRule="auto"/>
        <w:ind w:firstLine="420"/>
        <w:rPr>
          <w:rFonts w:hint="eastAsia" w:ascii="宋体" w:hAnsi="宋体" w:eastAsia="宋体" w:cs="宋体"/>
          <w:color w:val="auto"/>
          <w:spacing w:val="20"/>
          <w:sz w:val="24"/>
          <w:szCs w:val="24"/>
        </w:rPr>
      </w:pPr>
      <w:r>
        <w:rPr>
          <w:rFonts w:hint="eastAsia" w:ascii="宋体" w:hAnsi="宋体" w:eastAsia="宋体" w:cs="宋体"/>
          <w:color w:val="auto"/>
          <w:spacing w:val="20"/>
          <w:sz w:val="24"/>
          <w:szCs w:val="24"/>
        </w:rPr>
        <w:t>发包人和承包人根据《中华人民共和国建筑法》、《建设工程质量管理条例》和《房屋建筑工程质量保修办法》，经协商一致，对</w:t>
      </w:r>
      <w:r>
        <w:rPr>
          <w:rFonts w:hint="eastAsia" w:ascii="宋体" w:hAnsi="宋体" w:eastAsia="宋体" w:cs="宋体"/>
          <w:color w:val="auto"/>
          <w:spacing w:val="20"/>
          <w:sz w:val="24"/>
          <w:szCs w:val="24"/>
          <w:u w:val="single"/>
        </w:rPr>
        <w:t xml:space="preserve"> 2026年安石镇禁山村委根竹塘至禁山村道路硬化 </w:t>
      </w:r>
      <w:r>
        <w:rPr>
          <w:rFonts w:hint="eastAsia" w:ascii="宋体" w:hAnsi="宋体" w:eastAsia="宋体" w:cs="宋体"/>
          <w:color w:val="auto"/>
          <w:spacing w:val="20"/>
          <w:sz w:val="24"/>
          <w:szCs w:val="24"/>
        </w:rPr>
        <w:t>签订工程质量保修书。</w:t>
      </w:r>
    </w:p>
    <w:p w14:paraId="34F21041">
      <w:pPr>
        <w:adjustRightInd w:val="0"/>
        <w:snapToGrid w:val="0"/>
        <w:spacing w:beforeLines="0" w:afterLines="0" w:line="360" w:lineRule="auto"/>
        <w:outlineLvl w:val="0"/>
        <w:rPr>
          <w:rFonts w:hint="eastAsia" w:ascii="宋体" w:hAnsi="宋体" w:eastAsia="宋体" w:cs="宋体"/>
          <w:color w:val="auto"/>
          <w:spacing w:val="20"/>
          <w:sz w:val="24"/>
          <w:szCs w:val="24"/>
        </w:rPr>
      </w:pPr>
      <w:bookmarkStart w:id="645" w:name="_Toc10007"/>
      <w:bookmarkStart w:id="646" w:name="_Toc20355"/>
      <w:r>
        <w:rPr>
          <w:rFonts w:hint="eastAsia" w:ascii="宋体" w:hAnsi="宋体" w:eastAsia="宋体" w:cs="宋体"/>
          <w:color w:val="auto"/>
          <w:spacing w:val="20"/>
          <w:sz w:val="24"/>
          <w:szCs w:val="24"/>
        </w:rPr>
        <w:t>1、工程质量保修范围和内容</w:t>
      </w:r>
      <w:bookmarkEnd w:id="645"/>
      <w:bookmarkEnd w:id="646"/>
    </w:p>
    <w:p w14:paraId="5AAB7571">
      <w:pPr>
        <w:adjustRightInd w:val="0"/>
        <w:snapToGrid w:val="0"/>
        <w:spacing w:beforeLines="0" w:afterLines="0" w:line="360" w:lineRule="auto"/>
        <w:ind w:firstLine="560" w:firstLineChars="200"/>
        <w:rPr>
          <w:rFonts w:hint="eastAsia" w:ascii="宋体" w:hAnsi="宋体" w:eastAsia="宋体" w:cs="宋体"/>
          <w:color w:val="auto"/>
          <w:spacing w:val="20"/>
          <w:sz w:val="24"/>
          <w:szCs w:val="24"/>
        </w:rPr>
      </w:pPr>
      <w:r>
        <w:rPr>
          <w:rFonts w:hint="eastAsia" w:ascii="宋体" w:hAnsi="宋体" w:eastAsia="宋体" w:cs="宋体"/>
          <w:color w:val="auto"/>
          <w:spacing w:val="20"/>
          <w:sz w:val="24"/>
          <w:szCs w:val="24"/>
        </w:rPr>
        <w:t>承包人在质量保修期内，按照有关法律、法规、规章的管理规定和双方约定，承担工程质量保修责任。</w:t>
      </w:r>
    </w:p>
    <w:p w14:paraId="2C2EBBE8">
      <w:pPr>
        <w:adjustRightInd w:val="0"/>
        <w:snapToGrid w:val="0"/>
        <w:spacing w:beforeLines="0" w:afterLines="0" w:line="360" w:lineRule="auto"/>
        <w:ind w:firstLine="560" w:firstLineChars="200"/>
        <w:rPr>
          <w:rFonts w:hint="eastAsia" w:ascii="宋体" w:hAnsi="宋体" w:eastAsia="宋体" w:cs="宋体"/>
          <w:color w:val="auto"/>
          <w:spacing w:val="20"/>
          <w:sz w:val="24"/>
          <w:szCs w:val="24"/>
        </w:rPr>
      </w:pPr>
      <w:r>
        <w:rPr>
          <w:rFonts w:hint="eastAsia" w:ascii="宋体" w:hAnsi="宋体" w:eastAsia="宋体" w:cs="宋体"/>
          <w:color w:val="auto"/>
          <w:spacing w:val="20"/>
          <w:sz w:val="24"/>
          <w:szCs w:val="24"/>
        </w:rPr>
        <w:t>质量保修范围包括地基基础工程、主体结构工程、屋面防水工程有防水要求的卫生间、房间和外墙面的防渗漏，供热与供冷系统，电气管线、给排水管道、设备安装和装修工程，以及双方约定的其他项目。具体保修的内容，双方约定如下：</w:t>
      </w:r>
    </w:p>
    <w:p w14:paraId="5753EF83">
      <w:pPr>
        <w:adjustRightInd w:val="0"/>
        <w:snapToGrid w:val="0"/>
        <w:spacing w:beforeLines="0" w:afterLines="0" w:line="360" w:lineRule="auto"/>
        <w:ind w:firstLine="560" w:firstLineChars="200"/>
        <w:rPr>
          <w:rFonts w:hint="eastAsia" w:ascii="宋体" w:hAnsi="宋体" w:eastAsia="宋体" w:cs="宋体"/>
          <w:color w:val="auto"/>
          <w:spacing w:val="20"/>
          <w:sz w:val="24"/>
          <w:szCs w:val="24"/>
        </w:rPr>
      </w:pPr>
      <w:r>
        <w:rPr>
          <w:rFonts w:hint="eastAsia" w:ascii="宋体" w:hAnsi="宋体" w:eastAsia="宋体" w:cs="宋体"/>
          <w:color w:val="auto"/>
          <w:spacing w:val="20"/>
          <w:sz w:val="24"/>
          <w:szCs w:val="24"/>
          <w:u w:val="single"/>
        </w:rPr>
        <w:t xml:space="preserve"> 质量保修范围包括  工程等承包人施工的项目  </w:t>
      </w:r>
      <w:r>
        <w:rPr>
          <w:rFonts w:hint="eastAsia" w:ascii="宋体" w:hAnsi="宋体" w:eastAsia="宋体" w:cs="宋体"/>
          <w:color w:val="auto"/>
          <w:spacing w:val="20"/>
          <w:sz w:val="24"/>
          <w:szCs w:val="24"/>
        </w:rPr>
        <w:t>。</w:t>
      </w:r>
    </w:p>
    <w:p w14:paraId="7020C593">
      <w:pPr>
        <w:adjustRightInd w:val="0"/>
        <w:snapToGrid w:val="0"/>
        <w:spacing w:beforeLines="0" w:afterLines="0" w:line="360" w:lineRule="auto"/>
        <w:ind w:firstLine="560" w:firstLineChars="200"/>
        <w:rPr>
          <w:rFonts w:hint="eastAsia" w:ascii="宋体" w:hAnsi="宋体" w:eastAsia="宋体" w:cs="宋体"/>
          <w:color w:val="auto"/>
          <w:spacing w:val="20"/>
          <w:sz w:val="24"/>
          <w:szCs w:val="24"/>
          <w:u w:val="single"/>
        </w:rPr>
      </w:pPr>
      <w:r>
        <w:rPr>
          <w:rFonts w:hint="eastAsia" w:ascii="宋体" w:hAnsi="宋体" w:eastAsia="宋体" w:cs="宋体"/>
          <w:color w:val="auto"/>
          <w:spacing w:val="20"/>
          <w:sz w:val="24"/>
          <w:szCs w:val="24"/>
          <w:u w:val="single"/>
        </w:rPr>
        <w:t xml:space="preserve">非承包人施工的项目或非承包人购买的材料、设备，不在保修范围内；因承包人之外的原因造成该部分材料、设备返修的经济支出，不由承包人承担。 </w:t>
      </w:r>
    </w:p>
    <w:p w14:paraId="71CD5294">
      <w:pPr>
        <w:adjustRightInd w:val="0"/>
        <w:snapToGrid w:val="0"/>
        <w:spacing w:beforeLines="0" w:afterLines="0" w:line="360" w:lineRule="auto"/>
        <w:ind w:firstLine="560" w:firstLineChars="200"/>
        <w:rPr>
          <w:rFonts w:hint="eastAsia" w:ascii="宋体" w:hAnsi="宋体" w:eastAsia="宋体" w:cs="宋体"/>
          <w:color w:val="auto"/>
          <w:spacing w:val="20"/>
          <w:sz w:val="24"/>
          <w:szCs w:val="24"/>
          <w:u w:val="single"/>
        </w:rPr>
      </w:pPr>
      <w:r>
        <w:rPr>
          <w:rFonts w:hint="eastAsia" w:ascii="宋体" w:hAnsi="宋体" w:eastAsia="宋体" w:cs="宋体"/>
          <w:color w:val="auto"/>
          <w:spacing w:val="20"/>
          <w:sz w:val="24"/>
          <w:szCs w:val="24"/>
          <w:u w:val="single"/>
        </w:rPr>
        <w:t xml:space="preserve">因使用不当或者第三方造成质量缺陷的，承包人不负担责任 。 </w:t>
      </w:r>
    </w:p>
    <w:p w14:paraId="4E1237CF">
      <w:pPr>
        <w:adjustRightInd w:val="0"/>
        <w:snapToGrid w:val="0"/>
        <w:spacing w:beforeLines="0" w:afterLines="0" w:line="360" w:lineRule="auto"/>
        <w:ind w:firstLine="560" w:firstLineChars="200"/>
        <w:rPr>
          <w:rFonts w:hint="eastAsia" w:ascii="宋体" w:hAnsi="宋体" w:eastAsia="宋体" w:cs="宋体"/>
          <w:color w:val="auto"/>
          <w:spacing w:val="20"/>
          <w:sz w:val="24"/>
          <w:szCs w:val="24"/>
          <w:u w:val="single"/>
        </w:rPr>
      </w:pPr>
      <w:r>
        <w:rPr>
          <w:rFonts w:hint="eastAsia" w:ascii="宋体" w:hAnsi="宋体" w:eastAsia="宋体" w:cs="宋体"/>
          <w:color w:val="auto"/>
          <w:spacing w:val="20"/>
          <w:sz w:val="24"/>
          <w:szCs w:val="24"/>
          <w:u w:val="single"/>
        </w:rPr>
        <w:t xml:space="preserve">因不可抗力造成质量缺陷的，承包人不负担责任 。 </w:t>
      </w:r>
    </w:p>
    <w:p w14:paraId="0DA4FE1B">
      <w:pPr>
        <w:adjustRightInd w:val="0"/>
        <w:snapToGrid w:val="0"/>
        <w:spacing w:beforeLines="0" w:afterLines="0" w:line="360" w:lineRule="auto"/>
        <w:outlineLvl w:val="0"/>
        <w:rPr>
          <w:rFonts w:hint="eastAsia" w:ascii="宋体" w:hAnsi="宋体" w:eastAsia="宋体" w:cs="宋体"/>
          <w:color w:val="auto"/>
          <w:spacing w:val="20"/>
          <w:sz w:val="24"/>
          <w:szCs w:val="24"/>
        </w:rPr>
      </w:pPr>
      <w:bookmarkStart w:id="647" w:name="_Toc11218"/>
      <w:bookmarkStart w:id="648" w:name="_Toc369"/>
      <w:r>
        <w:rPr>
          <w:rFonts w:hint="eastAsia" w:ascii="宋体" w:hAnsi="宋体" w:eastAsia="宋体" w:cs="宋体"/>
          <w:color w:val="auto"/>
          <w:spacing w:val="20"/>
          <w:sz w:val="24"/>
          <w:szCs w:val="24"/>
        </w:rPr>
        <w:t>2、质量保修期</w:t>
      </w:r>
      <w:bookmarkEnd w:id="647"/>
      <w:bookmarkEnd w:id="648"/>
    </w:p>
    <w:p w14:paraId="06F37660">
      <w:pPr>
        <w:adjustRightInd w:val="0"/>
        <w:snapToGrid w:val="0"/>
        <w:spacing w:beforeLines="0" w:afterLines="0" w:line="360" w:lineRule="auto"/>
        <w:ind w:firstLine="560" w:firstLineChars="200"/>
        <w:rPr>
          <w:rFonts w:hint="eastAsia" w:ascii="宋体" w:hAnsi="宋体" w:eastAsia="宋体" w:cs="宋体"/>
          <w:color w:val="auto"/>
          <w:spacing w:val="20"/>
          <w:sz w:val="24"/>
          <w:szCs w:val="24"/>
        </w:rPr>
      </w:pPr>
      <w:r>
        <w:rPr>
          <w:rFonts w:hint="eastAsia" w:ascii="宋体" w:hAnsi="宋体" w:eastAsia="宋体" w:cs="宋体"/>
          <w:color w:val="auto"/>
          <w:spacing w:val="20"/>
          <w:sz w:val="24"/>
          <w:szCs w:val="24"/>
        </w:rPr>
        <w:t>根据《建设工程质量管理条例》及有关规定，约定本工程的质量保修期如下：</w:t>
      </w:r>
    </w:p>
    <w:p w14:paraId="569E18C0">
      <w:pPr>
        <w:numPr>
          <w:ilvl w:val="0"/>
          <w:numId w:val="18"/>
        </w:numPr>
        <w:adjustRightInd w:val="0"/>
        <w:snapToGrid w:val="0"/>
        <w:spacing w:beforeLines="0" w:afterLines="0" w:line="360" w:lineRule="auto"/>
        <w:ind w:firstLine="560" w:firstLineChars="200"/>
        <w:outlineLvl w:val="0"/>
        <w:rPr>
          <w:rFonts w:hint="eastAsia" w:ascii="宋体" w:hAnsi="宋体" w:eastAsia="宋体" w:cs="宋体"/>
          <w:color w:val="auto"/>
          <w:spacing w:val="20"/>
          <w:sz w:val="24"/>
          <w:szCs w:val="24"/>
        </w:rPr>
      </w:pPr>
      <w:bookmarkStart w:id="649" w:name="_Toc18127"/>
      <w:bookmarkStart w:id="650" w:name="_Toc31609"/>
      <w:r>
        <w:rPr>
          <w:rFonts w:hint="eastAsia" w:ascii="宋体" w:hAnsi="宋体" w:eastAsia="宋体" w:cs="宋体"/>
          <w:color w:val="auto"/>
          <w:spacing w:val="20"/>
          <w:sz w:val="24"/>
          <w:szCs w:val="24"/>
        </w:rPr>
        <w:t>主本工程为设计文件规定的该工程合理使用年限。</w:t>
      </w:r>
      <w:bookmarkEnd w:id="649"/>
      <w:bookmarkEnd w:id="650"/>
    </w:p>
    <w:p w14:paraId="0D67721A">
      <w:pPr>
        <w:numPr>
          <w:ilvl w:val="0"/>
          <w:numId w:val="18"/>
        </w:numPr>
        <w:adjustRightInd w:val="0"/>
        <w:snapToGrid w:val="0"/>
        <w:spacing w:beforeLines="0" w:afterLines="0" w:line="360" w:lineRule="auto"/>
        <w:ind w:firstLine="560" w:firstLineChars="200"/>
        <w:outlineLvl w:val="0"/>
        <w:rPr>
          <w:rFonts w:hint="eastAsia" w:ascii="宋体" w:hAnsi="宋体" w:eastAsia="宋体" w:cs="宋体"/>
          <w:color w:val="auto"/>
          <w:spacing w:val="20"/>
          <w:sz w:val="24"/>
          <w:szCs w:val="24"/>
        </w:rPr>
      </w:pPr>
      <w:bookmarkStart w:id="651" w:name="_Toc10876"/>
      <w:bookmarkStart w:id="652" w:name="_Toc17751"/>
      <w:r>
        <w:rPr>
          <w:rFonts w:hint="eastAsia" w:ascii="宋体" w:hAnsi="宋体" w:eastAsia="宋体" w:cs="宋体"/>
          <w:color w:val="auto"/>
          <w:spacing w:val="20"/>
          <w:sz w:val="24"/>
          <w:szCs w:val="24"/>
        </w:rPr>
        <w:t>其他工程项目保修期</w:t>
      </w:r>
      <w:r>
        <w:rPr>
          <w:rFonts w:hint="eastAsia" w:ascii="宋体" w:hAnsi="宋体" w:eastAsia="宋体" w:cs="宋体"/>
          <w:color w:val="auto"/>
          <w:spacing w:val="20"/>
          <w:sz w:val="24"/>
          <w:szCs w:val="24"/>
          <w:u w:val="single"/>
        </w:rPr>
        <w:t xml:space="preserve">        </w:t>
      </w:r>
      <w:r>
        <w:rPr>
          <w:rFonts w:hint="eastAsia" w:ascii="宋体" w:hAnsi="宋体" w:eastAsia="宋体" w:cs="宋体"/>
          <w:color w:val="auto"/>
          <w:spacing w:val="20"/>
          <w:sz w:val="24"/>
          <w:szCs w:val="24"/>
        </w:rPr>
        <w:t>年。</w:t>
      </w:r>
      <w:bookmarkEnd w:id="651"/>
      <w:bookmarkEnd w:id="652"/>
    </w:p>
    <w:p w14:paraId="29D074B7">
      <w:pPr>
        <w:numPr>
          <w:ilvl w:val="0"/>
          <w:numId w:val="18"/>
        </w:numPr>
        <w:adjustRightInd w:val="0"/>
        <w:snapToGrid w:val="0"/>
        <w:spacing w:beforeLines="0" w:afterLines="0" w:line="360" w:lineRule="auto"/>
        <w:ind w:firstLine="560" w:firstLineChars="200"/>
        <w:outlineLvl w:val="0"/>
        <w:rPr>
          <w:rFonts w:hint="eastAsia" w:ascii="宋体" w:hAnsi="宋体" w:eastAsia="宋体" w:cs="宋体"/>
          <w:color w:val="auto"/>
          <w:spacing w:val="20"/>
          <w:sz w:val="24"/>
          <w:szCs w:val="24"/>
        </w:rPr>
      </w:pPr>
      <w:bookmarkStart w:id="653" w:name="_Toc4341"/>
      <w:bookmarkStart w:id="654" w:name="_Toc18826"/>
      <w:r>
        <w:rPr>
          <w:rFonts w:hint="eastAsia" w:ascii="宋体" w:hAnsi="宋体" w:eastAsia="宋体" w:cs="宋体"/>
          <w:color w:val="auto"/>
          <w:spacing w:val="20"/>
          <w:sz w:val="24"/>
          <w:szCs w:val="24"/>
        </w:rPr>
        <w:t>质量保修期自工程竣工验收合格之日起计算器。</w:t>
      </w:r>
      <w:bookmarkEnd w:id="653"/>
      <w:bookmarkEnd w:id="654"/>
    </w:p>
    <w:p w14:paraId="69A5B2CE">
      <w:pPr>
        <w:adjustRightInd w:val="0"/>
        <w:snapToGrid w:val="0"/>
        <w:spacing w:beforeLines="0" w:afterLines="0" w:line="360" w:lineRule="auto"/>
        <w:outlineLvl w:val="0"/>
        <w:rPr>
          <w:rFonts w:hint="eastAsia" w:ascii="宋体" w:hAnsi="宋体" w:eastAsia="宋体" w:cs="宋体"/>
          <w:color w:val="auto"/>
          <w:spacing w:val="20"/>
          <w:sz w:val="24"/>
          <w:szCs w:val="24"/>
        </w:rPr>
      </w:pPr>
      <w:bookmarkStart w:id="655" w:name="_Toc23224"/>
      <w:bookmarkStart w:id="656" w:name="_Toc14973"/>
      <w:r>
        <w:rPr>
          <w:rFonts w:hint="eastAsia" w:ascii="宋体" w:hAnsi="宋体" w:eastAsia="宋体" w:cs="宋体"/>
          <w:color w:val="auto"/>
          <w:spacing w:val="20"/>
          <w:sz w:val="24"/>
          <w:szCs w:val="24"/>
        </w:rPr>
        <w:t>3、质量保修责任</w:t>
      </w:r>
      <w:bookmarkEnd w:id="655"/>
      <w:bookmarkEnd w:id="656"/>
    </w:p>
    <w:p w14:paraId="632B0934">
      <w:pPr>
        <w:adjustRightInd w:val="0"/>
        <w:snapToGrid w:val="0"/>
        <w:spacing w:beforeLines="0" w:afterLines="0" w:line="360" w:lineRule="auto"/>
        <w:ind w:firstLine="560" w:firstLineChars="200"/>
        <w:rPr>
          <w:rFonts w:hint="eastAsia" w:ascii="宋体" w:hAnsi="宋体" w:eastAsia="宋体" w:cs="宋体"/>
          <w:color w:val="auto"/>
          <w:spacing w:val="20"/>
          <w:sz w:val="24"/>
          <w:szCs w:val="24"/>
        </w:rPr>
      </w:pPr>
      <w:r>
        <w:rPr>
          <w:rFonts w:hint="eastAsia" w:ascii="宋体" w:hAnsi="宋体" w:eastAsia="宋体" w:cs="宋体"/>
          <w:color w:val="auto"/>
          <w:spacing w:val="20"/>
          <w:sz w:val="24"/>
          <w:szCs w:val="24"/>
        </w:rPr>
        <w:t>1．属于保修范围、内容的项目，承包人应当在接到保修通知之日起</w:t>
      </w:r>
      <w:r>
        <w:rPr>
          <w:rFonts w:hint="eastAsia" w:ascii="宋体" w:hAnsi="宋体" w:eastAsia="宋体" w:cs="宋体"/>
          <w:color w:val="auto"/>
          <w:spacing w:val="20"/>
          <w:sz w:val="24"/>
          <w:szCs w:val="24"/>
          <w:u w:val="single"/>
        </w:rPr>
        <w:t xml:space="preserve">  7    </w:t>
      </w:r>
      <w:r>
        <w:rPr>
          <w:rFonts w:hint="eastAsia" w:ascii="宋体" w:hAnsi="宋体" w:eastAsia="宋体" w:cs="宋体"/>
          <w:color w:val="auto"/>
          <w:spacing w:val="20"/>
          <w:sz w:val="24"/>
          <w:szCs w:val="24"/>
        </w:rPr>
        <w:t>天内派人保修。承包人不在约定期限内派人保修的，发包人可以委托他人修理，发生费用由承包人承担。</w:t>
      </w:r>
    </w:p>
    <w:p w14:paraId="2A169B3F">
      <w:pPr>
        <w:adjustRightInd w:val="0"/>
        <w:snapToGrid w:val="0"/>
        <w:spacing w:beforeLines="0" w:afterLines="0" w:line="360" w:lineRule="auto"/>
        <w:ind w:firstLine="560" w:firstLineChars="200"/>
        <w:rPr>
          <w:rFonts w:hint="eastAsia" w:ascii="宋体" w:hAnsi="宋体" w:eastAsia="宋体" w:cs="宋体"/>
          <w:color w:val="auto"/>
          <w:spacing w:val="20"/>
          <w:sz w:val="24"/>
          <w:szCs w:val="24"/>
        </w:rPr>
      </w:pPr>
      <w:r>
        <w:rPr>
          <w:rFonts w:hint="eastAsia" w:ascii="宋体" w:hAnsi="宋体" w:eastAsia="宋体" w:cs="宋体"/>
          <w:color w:val="auto"/>
          <w:spacing w:val="20"/>
          <w:sz w:val="24"/>
          <w:szCs w:val="24"/>
        </w:rPr>
        <w:t>2．发生须紧急抢修事故的，承包人在接到事故通知后，应当立即到达事故现场抢修。</w:t>
      </w:r>
    </w:p>
    <w:p w14:paraId="7F984B63">
      <w:pPr>
        <w:adjustRightInd w:val="0"/>
        <w:snapToGrid w:val="0"/>
        <w:spacing w:beforeLines="0" w:afterLines="0" w:line="360" w:lineRule="auto"/>
        <w:ind w:firstLine="560" w:firstLineChars="200"/>
        <w:rPr>
          <w:rFonts w:hint="eastAsia" w:ascii="宋体" w:hAnsi="宋体" w:eastAsia="宋体" w:cs="宋体"/>
          <w:color w:val="auto"/>
          <w:spacing w:val="20"/>
          <w:sz w:val="24"/>
          <w:szCs w:val="24"/>
        </w:rPr>
      </w:pPr>
      <w:r>
        <w:rPr>
          <w:rFonts w:hint="eastAsia" w:ascii="宋体" w:hAnsi="宋体" w:eastAsia="宋体" w:cs="宋体"/>
          <w:color w:val="auto"/>
          <w:spacing w:val="20"/>
          <w:sz w:val="24"/>
          <w:szCs w:val="24"/>
        </w:rPr>
        <w:t>3．对于涉及结构安全的质量问题，应当按照《房屋建筑工程质量保修办法》的规定，立即向当地建设行政主管部门报告，采取安全防范措施；由原设计单位或者具有相应资质等级的设计单位提出保修方案，承包人实施保修。</w:t>
      </w:r>
    </w:p>
    <w:p w14:paraId="25847ACA">
      <w:pPr>
        <w:adjustRightInd w:val="0"/>
        <w:snapToGrid w:val="0"/>
        <w:spacing w:beforeLines="0" w:afterLines="0" w:line="360" w:lineRule="auto"/>
        <w:ind w:firstLine="560" w:firstLineChars="200"/>
        <w:rPr>
          <w:rFonts w:hint="eastAsia" w:ascii="宋体" w:hAnsi="宋体" w:eastAsia="宋体" w:cs="宋体"/>
          <w:color w:val="auto"/>
          <w:spacing w:val="20"/>
          <w:sz w:val="24"/>
          <w:szCs w:val="24"/>
        </w:rPr>
      </w:pPr>
      <w:r>
        <w:rPr>
          <w:rFonts w:hint="eastAsia" w:ascii="宋体" w:hAnsi="宋体" w:eastAsia="宋体" w:cs="宋体"/>
          <w:color w:val="auto"/>
          <w:spacing w:val="20"/>
          <w:sz w:val="24"/>
          <w:szCs w:val="24"/>
        </w:rPr>
        <w:t>4．质量保修完成后，由发包人组织验收。</w:t>
      </w:r>
    </w:p>
    <w:p w14:paraId="6B3D54FF">
      <w:pPr>
        <w:adjustRightInd w:val="0"/>
        <w:snapToGrid w:val="0"/>
        <w:spacing w:beforeLines="0" w:afterLines="0" w:line="360" w:lineRule="auto"/>
        <w:outlineLvl w:val="0"/>
        <w:rPr>
          <w:rFonts w:hint="eastAsia" w:ascii="宋体" w:hAnsi="宋体" w:eastAsia="宋体" w:cs="宋体"/>
          <w:color w:val="auto"/>
          <w:spacing w:val="20"/>
          <w:sz w:val="24"/>
          <w:szCs w:val="24"/>
        </w:rPr>
      </w:pPr>
      <w:bookmarkStart w:id="657" w:name="_Toc12502"/>
      <w:bookmarkStart w:id="658" w:name="_Toc17968"/>
      <w:r>
        <w:rPr>
          <w:rFonts w:hint="eastAsia" w:ascii="宋体" w:hAnsi="宋体" w:eastAsia="宋体" w:cs="宋体"/>
          <w:color w:val="auto"/>
          <w:spacing w:val="20"/>
          <w:sz w:val="24"/>
          <w:szCs w:val="24"/>
        </w:rPr>
        <w:t>4、保修费用</w:t>
      </w:r>
      <w:bookmarkEnd w:id="657"/>
      <w:bookmarkEnd w:id="658"/>
    </w:p>
    <w:p w14:paraId="06D2F2BD">
      <w:pPr>
        <w:adjustRightInd w:val="0"/>
        <w:snapToGrid w:val="0"/>
        <w:spacing w:beforeLines="0" w:afterLines="0" w:line="360" w:lineRule="auto"/>
        <w:ind w:firstLine="560" w:firstLineChars="200"/>
        <w:rPr>
          <w:rFonts w:hint="eastAsia" w:ascii="宋体" w:hAnsi="宋体" w:eastAsia="宋体" w:cs="宋体"/>
          <w:color w:val="auto"/>
          <w:spacing w:val="20"/>
          <w:sz w:val="24"/>
          <w:szCs w:val="24"/>
        </w:rPr>
      </w:pPr>
      <w:r>
        <w:rPr>
          <w:rFonts w:hint="eastAsia" w:ascii="宋体" w:hAnsi="宋体" w:eastAsia="宋体" w:cs="宋体"/>
          <w:color w:val="auto"/>
          <w:spacing w:val="20"/>
          <w:sz w:val="24"/>
          <w:szCs w:val="24"/>
        </w:rPr>
        <w:t>保修费用由造成质量缺陷的责任方承担。</w:t>
      </w:r>
    </w:p>
    <w:p w14:paraId="29639B10">
      <w:pPr>
        <w:numPr>
          <w:ilvl w:val="0"/>
          <w:numId w:val="19"/>
        </w:numPr>
        <w:adjustRightInd w:val="0"/>
        <w:snapToGrid w:val="0"/>
        <w:spacing w:beforeLines="0" w:afterLines="0" w:line="360" w:lineRule="auto"/>
        <w:jc w:val="left"/>
        <w:rPr>
          <w:rFonts w:hint="eastAsia" w:ascii="宋体" w:hAnsi="宋体" w:eastAsia="宋体" w:cs="宋体"/>
          <w:color w:val="auto"/>
          <w:spacing w:val="20"/>
          <w:sz w:val="24"/>
          <w:szCs w:val="24"/>
        </w:rPr>
      </w:pPr>
      <w:r>
        <w:rPr>
          <w:rFonts w:hint="eastAsia" w:ascii="宋体" w:hAnsi="宋体" w:eastAsia="宋体" w:cs="宋体"/>
          <w:color w:val="auto"/>
          <w:spacing w:val="20"/>
          <w:sz w:val="24"/>
          <w:szCs w:val="24"/>
        </w:rPr>
        <w:t>其他</w:t>
      </w:r>
    </w:p>
    <w:p w14:paraId="425C8DC4">
      <w:pPr>
        <w:adjustRightInd w:val="0"/>
        <w:snapToGrid w:val="0"/>
        <w:spacing w:beforeLines="0" w:afterLines="0" w:line="360" w:lineRule="auto"/>
        <w:jc w:val="left"/>
        <w:rPr>
          <w:rFonts w:hint="eastAsia" w:ascii="宋体" w:hAnsi="宋体" w:eastAsia="宋体" w:cs="宋体"/>
          <w:color w:val="auto"/>
          <w:spacing w:val="20"/>
          <w:sz w:val="24"/>
          <w:szCs w:val="24"/>
        </w:rPr>
      </w:pPr>
      <w:r>
        <w:rPr>
          <w:rFonts w:hint="eastAsia" w:ascii="宋体" w:hAnsi="宋体" w:eastAsia="宋体" w:cs="宋体"/>
          <w:color w:val="auto"/>
          <w:spacing w:val="20"/>
          <w:sz w:val="24"/>
          <w:szCs w:val="24"/>
        </w:rPr>
        <w:t>双方约定的其他工程质量保修事项：</w:t>
      </w:r>
      <w:r>
        <w:rPr>
          <w:rFonts w:hint="eastAsia" w:ascii="宋体" w:hAnsi="宋体" w:eastAsia="宋体" w:cs="宋体"/>
          <w:color w:val="auto"/>
          <w:spacing w:val="20"/>
          <w:sz w:val="24"/>
          <w:szCs w:val="24"/>
          <w:u w:val="single"/>
        </w:rPr>
        <w:t xml:space="preserve"> 在工程保修期内，发包人根据合同规定的金额，在支付承包人的工程款内预留质量保证金。质量保证金为：结算总价款的3%，质量保证金银行利率为：0。发包人在工程质量保修期满壹年之日起可向财政部门申请返还（无息）</w:t>
      </w:r>
      <w:r>
        <w:rPr>
          <w:rFonts w:hint="eastAsia" w:ascii="宋体" w:hAnsi="宋体" w:eastAsia="宋体" w:cs="宋体"/>
          <w:color w:val="auto"/>
          <w:spacing w:val="20"/>
          <w:sz w:val="24"/>
          <w:szCs w:val="24"/>
        </w:rPr>
        <w:t>。</w:t>
      </w:r>
    </w:p>
    <w:p w14:paraId="5122ED29">
      <w:pPr>
        <w:adjustRightInd w:val="0"/>
        <w:snapToGrid w:val="0"/>
        <w:spacing w:beforeLines="0" w:afterLines="0" w:line="360" w:lineRule="auto"/>
        <w:ind w:firstLine="532" w:firstLineChars="190"/>
        <w:rPr>
          <w:rFonts w:hint="eastAsia" w:ascii="宋体" w:hAnsi="宋体" w:eastAsia="宋体" w:cs="宋体"/>
          <w:color w:val="auto"/>
          <w:spacing w:val="20"/>
          <w:sz w:val="24"/>
          <w:szCs w:val="24"/>
        </w:rPr>
      </w:pPr>
      <w:r>
        <w:rPr>
          <w:rFonts w:hint="eastAsia" w:ascii="宋体" w:hAnsi="宋体" w:eastAsia="宋体" w:cs="宋体"/>
          <w:color w:val="auto"/>
          <w:spacing w:val="20"/>
          <w:sz w:val="24"/>
          <w:szCs w:val="24"/>
        </w:rPr>
        <w:t>本工程质量保修书，由施工合同发包人、承包人双方在竣工验收前共同签署，作为施工合同附件，其有效期限至保修期满。</w:t>
      </w:r>
    </w:p>
    <w:p w14:paraId="05A9FD33">
      <w:pPr>
        <w:adjustRightInd w:val="0"/>
        <w:snapToGrid w:val="0"/>
        <w:spacing w:beforeLines="0" w:afterLines="0" w:line="360" w:lineRule="auto"/>
        <w:rPr>
          <w:rFonts w:hint="eastAsia" w:ascii="宋体" w:hAnsi="宋体" w:eastAsia="宋体" w:cs="宋体"/>
          <w:color w:val="auto"/>
          <w:spacing w:val="20"/>
          <w:sz w:val="24"/>
          <w:szCs w:val="24"/>
        </w:rPr>
      </w:pPr>
    </w:p>
    <w:p w14:paraId="076B4B75">
      <w:pPr>
        <w:adjustRightInd w:val="0"/>
        <w:snapToGrid w:val="0"/>
        <w:spacing w:beforeLines="0" w:afterLines="0" w:line="360" w:lineRule="auto"/>
        <w:rPr>
          <w:rFonts w:hint="eastAsia" w:ascii="宋体" w:hAnsi="宋体" w:eastAsia="宋体" w:cs="宋体"/>
          <w:color w:val="auto"/>
          <w:spacing w:val="20"/>
          <w:sz w:val="24"/>
          <w:szCs w:val="24"/>
        </w:rPr>
      </w:pPr>
    </w:p>
    <w:p w14:paraId="6ABCF255">
      <w:pPr>
        <w:adjustRightInd w:val="0"/>
        <w:snapToGrid w:val="0"/>
        <w:spacing w:beforeLines="0" w:afterLines="0" w:line="360" w:lineRule="auto"/>
        <w:ind w:firstLine="840" w:firstLineChars="300"/>
        <w:rPr>
          <w:rFonts w:hint="eastAsia" w:ascii="宋体" w:hAnsi="宋体" w:eastAsia="宋体" w:cs="宋体"/>
          <w:color w:val="auto"/>
          <w:spacing w:val="20"/>
          <w:sz w:val="24"/>
          <w:szCs w:val="24"/>
        </w:rPr>
      </w:pPr>
      <w:r>
        <w:rPr>
          <w:rFonts w:hint="eastAsia" w:ascii="宋体" w:hAnsi="宋体" w:eastAsia="宋体" w:cs="宋体"/>
          <w:color w:val="auto"/>
          <w:spacing w:val="20"/>
          <w:sz w:val="24"/>
          <w:szCs w:val="24"/>
        </w:rPr>
        <w:t>发包人（公章）                        承包人（公章）</w:t>
      </w:r>
    </w:p>
    <w:p w14:paraId="2AF2D00A">
      <w:pPr>
        <w:adjustRightInd w:val="0"/>
        <w:snapToGrid w:val="0"/>
        <w:spacing w:beforeLines="0" w:afterLines="0" w:line="360" w:lineRule="auto"/>
        <w:rPr>
          <w:rFonts w:hint="eastAsia" w:ascii="宋体" w:hAnsi="宋体" w:eastAsia="宋体" w:cs="宋体"/>
          <w:color w:val="auto"/>
          <w:spacing w:val="20"/>
          <w:sz w:val="24"/>
          <w:szCs w:val="24"/>
          <w:u w:val="single"/>
        </w:rPr>
      </w:pPr>
    </w:p>
    <w:p w14:paraId="38A40743">
      <w:pPr>
        <w:adjustRightInd w:val="0"/>
        <w:snapToGrid w:val="0"/>
        <w:spacing w:beforeLines="0" w:afterLines="0" w:line="360" w:lineRule="auto"/>
        <w:rPr>
          <w:rFonts w:hint="eastAsia" w:ascii="宋体" w:hAnsi="宋体" w:eastAsia="宋体" w:cs="宋体"/>
          <w:color w:val="auto"/>
          <w:spacing w:val="20"/>
          <w:sz w:val="24"/>
          <w:szCs w:val="24"/>
          <w:u w:val="single"/>
        </w:rPr>
      </w:pPr>
      <w:r>
        <w:rPr>
          <w:rFonts w:hint="eastAsia" w:ascii="宋体" w:hAnsi="宋体" w:eastAsia="宋体" w:cs="宋体"/>
          <w:color w:val="auto"/>
          <w:spacing w:val="20"/>
          <w:sz w:val="24"/>
          <w:szCs w:val="24"/>
          <w:u w:val="single"/>
        </w:rPr>
        <w:t>中国共产党浦北县委员会统一战线工作部</w:t>
      </w:r>
      <w:r>
        <w:rPr>
          <w:rFonts w:hint="eastAsia" w:ascii="宋体" w:hAnsi="宋体" w:eastAsia="宋体" w:cs="宋体"/>
          <w:color w:val="auto"/>
          <w:spacing w:val="20"/>
          <w:sz w:val="24"/>
          <w:szCs w:val="24"/>
        </w:rPr>
        <w:t xml:space="preserve">              </w:t>
      </w:r>
      <w:r>
        <w:rPr>
          <w:rFonts w:hint="eastAsia" w:ascii="宋体" w:hAnsi="宋体" w:eastAsia="宋体" w:cs="宋体"/>
          <w:color w:val="auto"/>
          <w:spacing w:val="20"/>
          <w:sz w:val="24"/>
          <w:szCs w:val="24"/>
          <w:u w:val="single"/>
        </w:rPr>
        <w:t xml:space="preserve">                                                       </w:t>
      </w:r>
    </w:p>
    <w:p w14:paraId="203620AB">
      <w:pPr>
        <w:adjustRightInd w:val="0"/>
        <w:snapToGrid w:val="0"/>
        <w:spacing w:beforeLines="0" w:afterLines="0" w:line="360" w:lineRule="auto"/>
        <w:rPr>
          <w:rFonts w:hint="eastAsia" w:ascii="宋体" w:hAnsi="宋体" w:eastAsia="宋体" w:cs="宋体"/>
          <w:color w:val="auto"/>
          <w:spacing w:val="20"/>
          <w:sz w:val="24"/>
          <w:szCs w:val="24"/>
          <w:u w:val="single"/>
        </w:rPr>
      </w:pPr>
    </w:p>
    <w:p w14:paraId="72DC65A2">
      <w:pPr>
        <w:adjustRightInd w:val="0"/>
        <w:snapToGrid w:val="0"/>
        <w:spacing w:beforeLines="0" w:afterLines="0" w:line="360" w:lineRule="auto"/>
        <w:rPr>
          <w:rFonts w:hint="eastAsia" w:ascii="宋体" w:hAnsi="宋体" w:eastAsia="宋体" w:cs="宋体"/>
          <w:color w:val="auto"/>
          <w:spacing w:val="20"/>
          <w:sz w:val="24"/>
          <w:szCs w:val="24"/>
          <w:u w:val="single"/>
        </w:rPr>
      </w:pPr>
      <w:r>
        <w:rPr>
          <w:rFonts w:hint="eastAsia" w:ascii="宋体" w:hAnsi="宋体" w:eastAsia="宋体" w:cs="宋体"/>
          <w:color w:val="auto"/>
          <w:spacing w:val="20"/>
          <w:sz w:val="24"/>
          <w:szCs w:val="24"/>
        </w:rPr>
        <w:t>法定代表人：</w:t>
      </w:r>
      <w:r>
        <w:rPr>
          <w:rFonts w:hint="eastAsia" w:ascii="宋体" w:hAnsi="宋体" w:eastAsia="宋体" w:cs="宋体"/>
          <w:color w:val="auto"/>
          <w:spacing w:val="20"/>
          <w:sz w:val="24"/>
          <w:szCs w:val="24"/>
          <w:u w:val="single"/>
        </w:rPr>
        <w:t xml:space="preserve">             </w:t>
      </w:r>
      <w:r>
        <w:rPr>
          <w:rFonts w:hint="eastAsia" w:ascii="宋体" w:hAnsi="宋体" w:eastAsia="宋体" w:cs="宋体"/>
          <w:color w:val="auto"/>
          <w:spacing w:val="20"/>
          <w:sz w:val="24"/>
          <w:szCs w:val="24"/>
        </w:rPr>
        <w:t xml:space="preserve">             法定代表人：</w:t>
      </w:r>
      <w:r>
        <w:rPr>
          <w:rFonts w:hint="eastAsia" w:ascii="宋体" w:hAnsi="宋体" w:eastAsia="宋体" w:cs="宋体"/>
          <w:color w:val="auto"/>
          <w:spacing w:val="20"/>
          <w:sz w:val="24"/>
          <w:szCs w:val="24"/>
          <w:u w:val="single"/>
        </w:rPr>
        <w:t xml:space="preserve">         </w:t>
      </w:r>
    </w:p>
    <w:p w14:paraId="19EE5280">
      <w:pPr>
        <w:adjustRightInd w:val="0"/>
        <w:snapToGrid w:val="0"/>
        <w:spacing w:beforeLines="0" w:afterLines="0" w:line="360" w:lineRule="auto"/>
        <w:rPr>
          <w:rFonts w:hint="eastAsia" w:ascii="宋体" w:hAnsi="宋体" w:eastAsia="宋体" w:cs="宋体"/>
          <w:color w:val="auto"/>
          <w:spacing w:val="20"/>
          <w:sz w:val="24"/>
          <w:szCs w:val="24"/>
          <w:u w:val="single"/>
        </w:rPr>
      </w:pPr>
    </w:p>
    <w:p w14:paraId="6EC07628">
      <w:pPr>
        <w:adjustRightInd w:val="0"/>
        <w:snapToGrid w:val="0"/>
        <w:spacing w:beforeLines="0" w:afterLines="0" w:line="360" w:lineRule="auto"/>
        <w:rPr>
          <w:rFonts w:hint="eastAsia" w:ascii="宋体" w:hAnsi="宋体" w:eastAsia="宋体" w:cs="宋体"/>
          <w:color w:val="auto"/>
          <w:spacing w:val="20"/>
          <w:sz w:val="24"/>
          <w:szCs w:val="24"/>
          <w:u w:val="single"/>
        </w:rPr>
      </w:pPr>
      <w:r>
        <w:rPr>
          <w:rFonts w:hint="eastAsia" w:ascii="宋体" w:hAnsi="宋体" w:eastAsia="宋体" w:cs="宋体"/>
          <w:color w:val="auto"/>
          <w:spacing w:val="20"/>
          <w:sz w:val="24"/>
          <w:szCs w:val="24"/>
        </w:rPr>
        <w:t>电  话：</w:t>
      </w:r>
      <w:r>
        <w:rPr>
          <w:rFonts w:hint="eastAsia" w:ascii="宋体" w:hAnsi="宋体" w:eastAsia="宋体" w:cs="宋体"/>
          <w:color w:val="auto"/>
          <w:spacing w:val="20"/>
          <w:sz w:val="24"/>
          <w:szCs w:val="24"/>
          <w:u w:val="single"/>
        </w:rPr>
        <w:t xml:space="preserve">              </w:t>
      </w:r>
      <w:r>
        <w:rPr>
          <w:rFonts w:hint="eastAsia" w:ascii="宋体" w:hAnsi="宋体" w:eastAsia="宋体" w:cs="宋体"/>
          <w:color w:val="auto"/>
          <w:spacing w:val="20"/>
          <w:sz w:val="24"/>
          <w:szCs w:val="24"/>
        </w:rPr>
        <w:t xml:space="preserve">             电  话：</w:t>
      </w:r>
      <w:r>
        <w:rPr>
          <w:rFonts w:hint="eastAsia" w:ascii="宋体" w:hAnsi="宋体" w:eastAsia="宋体" w:cs="宋体"/>
          <w:color w:val="auto"/>
          <w:spacing w:val="20"/>
          <w:sz w:val="24"/>
          <w:szCs w:val="24"/>
          <w:u w:val="single"/>
        </w:rPr>
        <w:t xml:space="preserve">           </w:t>
      </w:r>
    </w:p>
    <w:p w14:paraId="32FB4BA4">
      <w:pPr>
        <w:spacing w:before="156" w:beforeLines="50" w:after="156" w:afterLines="50" w:line="360" w:lineRule="auto"/>
        <w:rPr>
          <w:rFonts w:hint="eastAsia" w:ascii="宋体" w:hAnsi="宋体" w:eastAsia="宋体" w:cs="宋体"/>
          <w:color w:val="auto"/>
          <w:spacing w:val="20"/>
          <w:sz w:val="24"/>
          <w:szCs w:val="24"/>
        </w:rPr>
      </w:pPr>
    </w:p>
    <w:p w14:paraId="55426EA8">
      <w:pPr>
        <w:rPr>
          <w:rFonts w:hint="eastAsia" w:ascii="宋体" w:hAnsi="宋体" w:eastAsia="宋体" w:cs="宋体"/>
          <w:color w:val="auto"/>
          <w:spacing w:val="20"/>
          <w:sz w:val="24"/>
          <w:szCs w:val="24"/>
        </w:rPr>
      </w:pPr>
      <w:r>
        <w:rPr>
          <w:rFonts w:hint="eastAsia" w:ascii="宋体" w:hAnsi="宋体" w:eastAsia="宋体" w:cs="宋体"/>
          <w:color w:val="auto"/>
          <w:spacing w:val="20"/>
          <w:sz w:val="24"/>
          <w:szCs w:val="24"/>
        </w:rPr>
        <w:br w:type="page"/>
      </w:r>
    </w:p>
    <w:p w14:paraId="10C8F382">
      <w:pPr>
        <w:spacing w:before="156" w:beforeLines="50" w:after="156" w:afterLines="50" w:line="360" w:lineRule="auto"/>
        <w:rPr>
          <w:rFonts w:hint="eastAsia" w:ascii="宋体" w:hAnsi="宋体" w:eastAsia="宋体" w:cs="宋体"/>
          <w:color w:val="auto"/>
          <w:spacing w:val="20"/>
          <w:sz w:val="24"/>
          <w:szCs w:val="24"/>
        </w:rPr>
      </w:pPr>
      <w:r>
        <w:rPr>
          <w:rFonts w:hint="eastAsia" w:ascii="宋体" w:hAnsi="宋体" w:eastAsia="宋体" w:cs="宋体"/>
          <w:color w:val="auto"/>
          <w:spacing w:val="20"/>
          <w:sz w:val="24"/>
          <w:szCs w:val="24"/>
        </w:rPr>
        <w:t>附件2</w:t>
      </w:r>
    </w:p>
    <w:p w14:paraId="5B002FDF">
      <w:pPr>
        <w:spacing w:beforeLines="0" w:afterLines="0" w:line="480" w:lineRule="auto"/>
        <w:jc w:val="center"/>
        <w:outlineLvl w:val="3"/>
        <w:rPr>
          <w:rFonts w:hint="eastAsia" w:ascii="宋体" w:hAnsi="宋体" w:eastAsia="宋体" w:cs="宋体"/>
          <w:b/>
          <w:color w:val="auto"/>
          <w:kern w:val="1"/>
          <w:sz w:val="24"/>
          <w:szCs w:val="24"/>
        </w:rPr>
      </w:pPr>
      <w:r>
        <w:rPr>
          <w:rFonts w:hint="eastAsia" w:ascii="宋体" w:hAnsi="宋体" w:eastAsia="宋体" w:cs="宋体"/>
          <w:b/>
          <w:color w:val="auto"/>
          <w:sz w:val="24"/>
          <w:szCs w:val="24"/>
        </w:rPr>
        <w:t>安全生产合同</w:t>
      </w:r>
    </w:p>
    <w:p w14:paraId="6E0F9945">
      <w:pPr>
        <w:spacing w:beforeLines="0" w:afterLines="0"/>
        <w:rPr>
          <w:rFonts w:hint="eastAsia" w:ascii="宋体" w:hAnsi="宋体" w:eastAsia="宋体" w:cs="宋体"/>
          <w:color w:val="auto"/>
          <w:kern w:val="1"/>
          <w:sz w:val="24"/>
          <w:szCs w:val="24"/>
        </w:rPr>
      </w:pPr>
    </w:p>
    <w:p w14:paraId="46ADDFEE">
      <w:pPr>
        <w:spacing w:beforeLines="0" w:afterLines="0" w:line="360" w:lineRule="auto"/>
        <w:rPr>
          <w:rFonts w:hint="eastAsia" w:ascii="宋体" w:hAnsi="宋体" w:eastAsia="宋体" w:cs="宋体"/>
          <w:color w:val="auto"/>
          <w:kern w:val="1"/>
          <w:sz w:val="24"/>
          <w:szCs w:val="24"/>
        </w:rPr>
      </w:pPr>
      <w:r>
        <w:rPr>
          <w:rFonts w:hint="eastAsia" w:ascii="宋体" w:hAnsi="宋体" w:eastAsia="宋体" w:cs="宋体"/>
          <w:color w:val="auto"/>
          <w:kern w:val="1"/>
          <w:sz w:val="24"/>
          <w:szCs w:val="24"/>
        </w:rPr>
        <w:t xml:space="preserve">    为在</w:t>
      </w:r>
      <w:r>
        <w:rPr>
          <w:rFonts w:hint="eastAsia" w:ascii="宋体" w:hAnsi="宋体" w:eastAsia="宋体" w:cs="宋体"/>
          <w:b/>
          <w:color w:val="auto"/>
          <w:sz w:val="24"/>
          <w:szCs w:val="24"/>
          <w:u w:val="single"/>
        </w:rPr>
        <w:t xml:space="preserve"> 2026年安石镇禁山村委根竹塘至禁山村道路硬化  </w:t>
      </w:r>
      <w:r>
        <w:rPr>
          <w:rFonts w:hint="eastAsia" w:ascii="宋体" w:hAnsi="宋体" w:eastAsia="宋体" w:cs="宋体"/>
          <w:color w:val="auto"/>
          <w:kern w:val="1"/>
          <w:sz w:val="24"/>
          <w:szCs w:val="24"/>
        </w:rPr>
        <w:t>的实施过程中创造安全、高效的施工环境，切实搞好本项目的安全管理工作，本项目业主</w:t>
      </w:r>
      <w:r>
        <w:rPr>
          <w:rFonts w:hint="eastAsia" w:ascii="宋体" w:hAnsi="宋体" w:eastAsia="宋体" w:cs="宋体"/>
          <w:color w:val="auto"/>
          <w:kern w:val="1"/>
          <w:sz w:val="24"/>
          <w:szCs w:val="24"/>
          <w:u w:val="single"/>
        </w:rPr>
        <w:t xml:space="preserve"> </w:t>
      </w:r>
      <w:r>
        <w:rPr>
          <w:rFonts w:hint="eastAsia" w:ascii="宋体" w:hAnsi="宋体" w:eastAsia="宋体" w:cs="宋体"/>
          <w:color w:val="auto"/>
          <w:spacing w:val="20"/>
          <w:sz w:val="24"/>
          <w:szCs w:val="24"/>
          <w:u w:val="single"/>
        </w:rPr>
        <w:t>中国共产党浦北县委员会统一战线工作部</w:t>
      </w:r>
      <w:r>
        <w:rPr>
          <w:rFonts w:hint="eastAsia" w:ascii="宋体" w:hAnsi="宋体" w:eastAsia="宋体" w:cs="宋体"/>
          <w:color w:val="auto"/>
          <w:kern w:val="1"/>
          <w:sz w:val="24"/>
          <w:szCs w:val="24"/>
          <w:u w:val="single"/>
        </w:rPr>
        <w:t xml:space="preserve"> </w:t>
      </w:r>
      <w:r>
        <w:rPr>
          <w:rFonts w:hint="eastAsia" w:ascii="宋体" w:hAnsi="宋体" w:eastAsia="宋体" w:cs="宋体"/>
          <w:color w:val="auto"/>
          <w:kern w:val="1"/>
          <w:sz w:val="24"/>
          <w:szCs w:val="24"/>
        </w:rPr>
        <w:t>（以下简称“甲方”）与承包人</w:t>
      </w:r>
      <w:r>
        <w:rPr>
          <w:rFonts w:hint="eastAsia" w:ascii="宋体" w:hAnsi="宋体" w:eastAsia="宋体" w:cs="宋体"/>
          <w:b/>
          <w:color w:val="auto"/>
          <w:kern w:val="1"/>
          <w:sz w:val="24"/>
          <w:szCs w:val="24"/>
          <w:u w:val="single"/>
        </w:rPr>
        <w:t xml:space="preserve"> </w:t>
      </w:r>
      <w:r>
        <w:rPr>
          <w:rFonts w:hint="eastAsia" w:ascii="宋体" w:hAnsi="宋体" w:eastAsia="宋体" w:cs="宋体"/>
          <w:color w:val="auto"/>
          <w:sz w:val="24"/>
          <w:szCs w:val="24"/>
          <w:u w:val="single"/>
        </w:rPr>
        <w:t xml:space="preserve">                                  </w:t>
      </w:r>
      <w:r>
        <w:rPr>
          <w:rFonts w:hint="eastAsia" w:ascii="宋体" w:hAnsi="宋体" w:eastAsia="宋体" w:cs="宋体"/>
          <w:color w:val="auto"/>
          <w:kern w:val="1"/>
          <w:sz w:val="24"/>
          <w:szCs w:val="24"/>
        </w:rPr>
        <w:t>（以下简称“乙方”）特此签订安全生产合同：</w:t>
      </w:r>
    </w:p>
    <w:p w14:paraId="22188522">
      <w:pPr>
        <w:spacing w:beforeLines="0" w:afterLines="0" w:line="360" w:lineRule="auto"/>
        <w:rPr>
          <w:rFonts w:hint="eastAsia" w:ascii="宋体" w:hAnsi="宋体" w:eastAsia="宋体" w:cs="宋体"/>
          <w:b/>
          <w:color w:val="auto"/>
          <w:kern w:val="1"/>
          <w:sz w:val="24"/>
          <w:szCs w:val="24"/>
        </w:rPr>
      </w:pPr>
      <w:r>
        <w:rPr>
          <w:rFonts w:hint="eastAsia" w:ascii="宋体" w:hAnsi="宋体" w:eastAsia="宋体" w:cs="宋体"/>
          <w:color w:val="auto"/>
          <w:kern w:val="1"/>
          <w:sz w:val="24"/>
          <w:szCs w:val="24"/>
        </w:rPr>
        <w:t xml:space="preserve">    </w:t>
      </w:r>
      <w:r>
        <w:rPr>
          <w:rFonts w:hint="eastAsia" w:ascii="宋体" w:hAnsi="宋体" w:eastAsia="宋体" w:cs="宋体"/>
          <w:b/>
          <w:color w:val="auto"/>
          <w:kern w:val="1"/>
          <w:sz w:val="24"/>
          <w:szCs w:val="24"/>
        </w:rPr>
        <w:t>一、甲方职责</w:t>
      </w:r>
    </w:p>
    <w:p w14:paraId="286D5119">
      <w:pPr>
        <w:spacing w:beforeLines="0" w:afterLines="0" w:line="360" w:lineRule="auto"/>
        <w:rPr>
          <w:rFonts w:hint="eastAsia" w:ascii="宋体" w:hAnsi="宋体" w:eastAsia="宋体" w:cs="宋体"/>
          <w:color w:val="auto"/>
          <w:kern w:val="1"/>
          <w:sz w:val="24"/>
          <w:szCs w:val="24"/>
        </w:rPr>
      </w:pPr>
      <w:r>
        <w:rPr>
          <w:rFonts w:hint="eastAsia" w:ascii="宋体" w:hAnsi="宋体" w:eastAsia="宋体" w:cs="宋体"/>
          <w:color w:val="auto"/>
          <w:kern w:val="1"/>
          <w:sz w:val="24"/>
          <w:szCs w:val="24"/>
        </w:rPr>
        <w:t xml:space="preserve">    1. 严格遵守国家有关安全生产的法律法规，认真执行工程承包合同中的有关安全要求。</w:t>
      </w:r>
    </w:p>
    <w:p w14:paraId="3D351380">
      <w:pPr>
        <w:spacing w:beforeLines="0" w:afterLines="0" w:line="360" w:lineRule="auto"/>
        <w:rPr>
          <w:rFonts w:hint="eastAsia" w:ascii="宋体" w:hAnsi="宋体" w:eastAsia="宋体" w:cs="宋体"/>
          <w:color w:val="auto"/>
          <w:kern w:val="1"/>
          <w:sz w:val="24"/>
          <w:szCs w:val="24"/>
        </w:rPr>
      </w:pPr>
      <w:r>
        <w:rPr>
          <w:rFonts w:hint="eastAsia" w:ascii="宋体" w:hAnsi="宋体" w:eastAsia="宋体" w:cs="宋体"/>
          <w:color w:val="auto"/>
          <w:kern w:val="1"/>
          <w:sz w:val="24"/>
          <w:szCs w:val="24"/>
        </w:rPr>
        <w:t xml:space="preserve">    2. 按照“安全第一、预防为主”和坚持“管生产必须管安全”的原则进行安全生产管理，做到生产与安全工作同时计划、布置、检查、总结和评比。</w:t>
      </w:r>
    </w:p>
    <w:p w14:paraId="769A543C">
      <w:pPr>
        <w:spacing w:beforeLines="0" w:afterLines="0" w:line="360" w:lineRule="auto"/>
        <w:rPr>
          <w:rFonts w:hint="eastAsia" w:ascii="宋体" w:hAnsi="宋体" w:eastAsia="宋体" w:cs="宋体"/>
          <w:color w:val="auto"/>
          <w:kern w:val="1"/>
          <w:sz w:val="24"/>
          <w:szCs w:val="24"/>
        </w:rPr>
      </w:pPr>
      <w:r>
        <w:rPr>
          <w:rFonts w:hint="eastAsia" w:ascii="宋体" w:hAnsi="宋体" w:eastAsia="宋体" w:cs="宋体"/>
          <w:color w:val="auto"/>
          <w:kern w:val="1"/>
          <w:sz w:val="24"/>
          <w:szCs w:val="24"/>
        </w:rPr>
        <w:t xml:space="preserve">    3. 重要的安全设施必须坚持与主体工程“三同时”的原则，即：同时设计、审批，同时施工，同时验收，投入使用。</w:t>
      </w:r>
    </w:p>
    <w:p w14:paraId="101DB190">
      <w:pPr>
        <w:spacing w:beforeLines="0" w:afterLines="0" w:line="360" w:lineRule="auto"/>
        <w:rPr>
          <w:rFonts w:hint="eastAsia" w:ascii="宋体" w:hAnsi="宋体" w:eastAsia="宋体" w:cs="宋体"/>
          <w:color w:val="auto"/>
          <w:kern w:val="1"/>
          <w:sz w:val="24"/>
          <w:szCs w:val="24"/>
        </w:rPr>
      </w:pPr>
      <w:r>
        <w:rPr>
          <w:rFonts w:hint="eastAsia" w:ascii="宋体" w:hAnsi="宋体" w:eastAsia="宋体" w:cs="宋体"/>
          <w:color w:val="auto"/>
          <w:kern w:val="1"/>
          <w:sz w:val="24"/>
          <w:szCs w:val="24"/>
        </w:rPr>
        <w:t xml:space="preserve">    4. 定期召开安全生产调度会，及时传达中央及地方有关安全生产的精神。</w:t>
      </w:r>
    </w:p>
    <w:p w14:paraId="3266DD3B">
      <w:pPr>
        <w:spacing w:beforeLines="0" w:afterLines="0" w:line="360" w:lineRule="auto"/>
        <w:rPr>
          <w:rFonts w:hint="eastAsia" w:ascii="宋体" w:hAnsi="宋体" w:eastAsia="宋体" w:cs="宋体"/>
          <w:color w:val="auto"/>
          <w:kern w:val="1"/>
          <w:sz w:val="24"/>
          <w:szCs w:val="24"/>
        </w:rPr>
      </w:pPr>
      <w:r>
        <w:rPr>
          <w:rFonts w:hint="eastAsia" w:ascii="宋体" w:hAnsi="宋体" w:eastAsia="宋体" w:cs="宋体"/>
          <w:color w:val="auto"/>
          <w:kern w:val="1"/>
          <w:sz w:val="24"/>
          <w:szCs w:val="24"/>
        </w:rPr>
        <w:t xml:space="preserve">    5. 组织对乙方施工现场安全生产检查，监督乙方及时处理发现的各种安全隐患。</w:t>
      </w:r>
    </w:p>
    <w:p w14:paraId="097B2CB6">
      <w:pPr>
        <w:spacing w:beforeLines="0" w:afterLines="0" w:line="360" w:lineRule="auto"/>
        <w:rPr>
          <w:rFonts w:hint="eastAsia" w:ascii="宋体" w:hAnsi="宋体" w:eastAsia="宋体" w:cs="宋体"/>
          <w:b/>
          <w:color w:val="auto"/>
          <w:kern w:val="1"/>
          <w:sz w:val="24"/>
          <w:szCs w:val="24"/>
        </w:rPr>
      </w:pPr>
      <w:r>
        <w:rPr>
          <w:rFonts w:hint="eastAsia" w:ascii="宋体" w:hAnsi="宋体" w:eastAsia="宋体" w:cs="宋体"/>
          <w:color w:val="auto"/>
          <w:kern w:val="1"/>
          <w:sz w:val="24"/>
          <w:szCs w:val="24"/>
        </w:rPr>
        <w:t xml:space="preserve">    </w:t>
      </w:r>
      <w:r>
        <w:rPr>
          <w:rFonts w:hint="eastAsia" w:ascii="宋体" w:hAnsi="宋体" w:eastAsia="宋体" w:cs="宋体"/>
          <w:b/>
          <w:color w:val="auto"/>
          <w:kern w:val="1"/>
          <w:sz w:val="24"/>
          <w:szCs w:val="24"/>
        </w:rPr>
        <w:t>二、乙方职责</w:t>
      </w:r>
    </w:p>
    <w:p w14:paraId="7A40CD1B">
      <w:pPr>
        <w:spacing w:beforeLines="0" w:afterLines="0" w:line="360" w:lineRule="auto"/>
        <w:rPr>
          <w:rFonts w:hint="eastAsia" w:ascii="宋体" w:hAnsi="宋体" w:eastAsia="宋体" w:cs="宋体"/>
          <w:color w:val="auto"/>
          <w:kern w:val="1"/>
          <w:sz w:val="24"/>
          <w:szCs w:val="24"/>
        </w:rPr>
      </w:pPr>
      <w:r>
        <w:rPr>
          <w:rFonts w:hint="eastAsia" w:ascii="宋体" w:hAnsi="宋体" w:eastAsia="宋体" w:cs="宋体"/>
          <w:color w:val="auto"/>
          <w:kern w:val="1"/>
          <w:sz w:val="24"/>
          <w:szCs w:val="24"/>
        </w:rPr>
        <w:t xml:space="preserve">    1. 严格遵守国家有关安全生产的法律法规、农业农村部、水利部颁发的有关安全生产的规定，认真执行工程承包合同中的有关安全要求。</w:t>
      </w:r>
    </w:p>
    <w:p w14:paraId="17B35145">
      <w:pPr>
        <w:spacing w:beforeLines="0" w:afterLines="0" w:line="360" w:lineRule="auto"/>
        <w:rPr>
          <w:rFonts w:hint="eastAsia" w:ascii="宋体" w:hAnsi="宋体" w:eastAsia="宋体" w:cs="宋体"/>
          <w:color w:val="auto"/>
          <w:kern w:val="1"/>
          <w:sz w:val="24"/>
          <w:szCs w:val="24"/>
        </w:rPr>
      </w:pPr>
      <w:r>
        <w:rPr>
          <w:rFonts w:hint="eastAsia" w:ascii="宋体" w:hAnsi="宋体" w:eastAsia="宋体" w:cs="宋体"/>
          <w:color w:val="auto"/>
          <w:kern w:val="1"/>
          <w:sz w:val="24"/>
          <w:szCs w:val="24"/>
        </w:rPr>
        <w:t xml:space="preserve">    2. 坚持“安全第一、预防为主”和“管生产必须管安全”的原则，加强安全生产宣传教育，增强全员安全生产意识，建立健全各项安全生产的管理机构和安全生产管理制度，配备专职及兼职安全检查人员，有组织有领导地开展安全生产活动。各级领导、工程技术人员、生产管理人员和具体操作人员，必须熟悉和遵守本条款的各项规定，做到生产与安全工作同时计划、布置、检查、总结和评比。</w:t>
      </w:r>
    </w:p>
    <w:p w14:paraId="6D369229">
      <w:pPr>
        <w:spacing w:beforeLines="0" w:afterLines="0" w:line="360" w:lineRule="auto"/>
        <w:rPr>
          <w:rFonts w:hint="eastAsia" w:ascii="宋体" w:hAnsi="宋体" w:eastAsia="宋体" w:cs="宋体"/>
          <w:color w:val="auto"/>
          <w:kern w:val="1"/>
          <w:sz w:val="24"/>
          <w:szCs w:val="24"/>
        </w:rPr>
      </w:pPr>
      <w:r>
        <w:rPr>
          <w:rFonts w:hint="eastAsia" w:ascii="宋体" w:hAnsi="宋体" w:eastAsia="宋体" w:cs="宋体"/>
          <w:color w:val="auto"/>
          <w:kern w:val="1"/>
          <w:sz w:val="24"/>
          <w:szCs w:val="24"/>
        </w:rPr>
        <w:t xml:space="preserve">    3. 建立健全安全生产责任制。从派往项目实施的项目经理到生产工人（包括临时雇请的民工）的安全生产管理系统必须做到纵向到底，一环不漏；各职能部门、人员的安全生产责任制做到横向到边，人人有责。项目经理是安全生产的第一责任人。现场设置的安全机构，应按施工人员的1%~3%配备安全员，专职负责所有员工的安全和治安保卫工作及预防事故的发生。安全机构人员，有权按有关规定发布指令，并采取保护性措施防止事故发生。</w:t>
      </w:r>
    </w:p>
    <w:p w14:paraId="47545B9F">
      <w:pPr>
        <w:spacing w:beforeLines="0" w:afterLines="0" w:line="360" w:lineRule="auto"/>
        <w:rPr>
          <w:rFonts w:hint="eastAsia" w:ascii="宋体" w:hAnsi="宋体" w:eastAsia="宋体" w:cs="宋体"/>
          <w:color w:val="auto"/>
          <w:kern w:val="1"/>
          <w:sz w:val="24"/>
          <w:szCs w:val="24"/>
        </w:rPr>
      </w:pPr>
      <w:r>
        <w:rPr>
          <w:rFonts w:hint="eastAsia" w:ascii="宋体" w:hAnsi="宋体" w:eastAsia="宋体" w:cs="宋体"/>
          <w:color w:val="auto"/>
          <w:kern w:val="1"/>
          <w:sz w:val="24"/>
          <w:szCs w:val="24"/>
        </w:rPr>
        <w:t xml:space="preserve">    4. 乙方在任何时候都应采取各种合理的预防措施，防止其员工发生任何违法、违禁、暴力或妨碍治安的行为。</w:t>
      </w:r>
    </w:p>
    <w:p w14:paraId="3C997880">
      <w:pPr>
        <w:spacing w:beforeLines="0" w:afterLines="0" w:line="360" w:lineRule="auto"/>
        <w:rPr>
          <w:rFonts w:hint="eastAsia" w:ascii="宋体" w:hAnsi="宋体" w:eastAsia="宋体" w:cs="宋体"/>
          <w:color w:val="auto"/>
          <w:kern w:val="1"/>
          <w:sz w:val="24"/>
          <w:szCs w:val="24"/>
        </w:rPr>
      </w:pPr>
      <w:r>
        <w:rPr>
          <w:rFonts w:hint="eastAsia" w:ascii="宋体" w:hAnsi="宋体" w:eastAsia="宋体" w:cs="宋体"/>
          <w:color w:val="auto"/>
          <w:kern w:val="1"/>
          <w:sz w:val="24"/>
          <w:szCs w:val="24"/>
        </w:rPr>
        <w:t xml:space="preserve">    5. 乙方必须具有劳动安全管理部门颁发的安全生产证书，参加施工的人员，必须接受安全技术教育，熟知和遵守本工种的各项安全技术操作规程，定期进行安全技术考核，合格者方准上岗操作。对于从事电气、起重、建筑登高架设作业、锅炉、压力容器、焊接、机动车船艇驾驶、爆破、潜水、瓦斯检验等特殊工种的人员，经过专业培训，获得《安全操作合格证》后，方准持证上岗。施工现场如出现特种作业无证操作现象，项目经理必须承担管理责任。</w:t>
      </w:r>
    </w:p>
    <w:p w14:paraId="0D9706FE">
      <w:pPr>
        <w:spacing w:beforeLines="0" w:afterLines="0" w:line="360" w:lineRule="auto"/>
        <w:rPr>
          <w:rFonts w:hint="eastAsia" w:ascii="宋体" w:hAnsi="宋体" w:eastAsia="宋体" w:cs="宋体"/>
          <w:color w:val="auto"/>
          <w:kern w:val="1"/>
          <w:sz w:val="24"/>
          <w:szCs w:val="24"/>
        </w:rPr>
      </w:pPr>
      <w:r>
        <w:rPr>
          <w:rFonts w:hint="eastAsia" w:ascii="宋体" w:hAnsi="宋体" w:eastAsia="宋体" w:cs="宋体"/>
          <w:color w:val="auto"/>
          <w:kern w:val="1"/>
          <w:sz w:val="24"/>
          <w:szCs w:val="24"/>
        </w:rPr>
        <w:t xml:space="preserve">    6. 对于易燃易爆的材料除应专门妥善保管之外，还应配备有足够的消防设施，所有施工人员都应熟悉消防设备的性能和使用方法；乙方不得将任何种类的爆炸物给予、易货或以其他方式转让给任何其他人，或允许、容忍上述同样行为。</w:t>
      </w:r>
    </w:p>
    <w:p w14:paraId="3E5ECAB9">
      <w:pPr>
        <w:spacing w:beforeLines="0" w:afterLines="0" w:line="360" w:lineRule="auto"/>
        <w:rPr>
          <w:rFonts w:hint="eastAsia" w:ascii="宋体" w:hAnsi="宋体" w:eastAsia="宋体" w:cs="宋体"/>
          <w:color w:val="auto"/>
          <w:kern w:val="1"/>
          <w:sz w:val="24"/>
          <w:szCs w:val="24"/>
        </w:rPr>
      </w:pPr>
      <w:r>
        <w:rPr>
          <w:rFonts w:hint="eastAsia" w:ascii="宋体" w:hAnsi="宋体" w:eastAsia="宋体" w:cs="宋体"/>
          <w:color w:val="auto"/>
          <w:kern w:val="1"/>
          <w:sz w:val="24"/>
          <w:szCs w:val="24"/>
        </w:rPr>
        <w:t xml:space="preserve">    7. 操作人员上岗，必须按规定穿戴防护用品。施工负责人和安全检查员应随时检查劳动防护用品的穿戴情况，不按规定穿戴防护用品的人员不得上岗。</w:t>
      </w:r>
    </w:p>
    <w:p w14:paraId="02A72BDB">
      <w:pPr>
        <w:spacing w:beforeLines="0" w:afterLines="0" w:line="360" w:lineRule="auto"/>
        <w:rPr>
          <w:rFonts w:hint="eastAsia" w:ascii="宋体" w:hAnsi="宋体" w:eastAsia="宋体" w:cs="宋体"/>
          <w:color w:val="auto"/>
          <w:kern w:val="1"/>
          <w:sz w:val="24"/>
          <w:szCs w:val="24"/>
        </w:rPr>
      </w:pPr>
      <w:r>
        <w:rPr>
          <w:rFonts w:hint="eastAsia" w:ascii="宋体" w:hAnsi="宋体" w:eastAsia="宋体" w:cs="宋体"/>
          <w:color w:val="auto"/>
          <w:kern w:val="1"/>
          <w:sz w:val="24"/>
          <w:szCs w:val="24"/>
        </w:rPr>
        <w:t xml:space="preserve">    8. 所有施工机具设备和高空作业的设备均应定期检查，并有安全员的签字记录，保证其经常处于完好状态；不合格的机具、设备和劳动保护用品严禁使用。</w:t>
      </w:r>
    </w:p>
    <w:p w14:paraId="25A0EEC5">
      <w:pPr>
        <w:spacing w:beforeLines="0" w:afterLines="0" w:line="360" w:lineRule="auto"/>
        <w:rPr>
          <w:rFonts w:hint="eastAsia" w:ascii="宋体" w:hAnsi="宋体" w:eastAsia="宋体" w:cs="宋体"/>
          <w:color w:val="auto"/>
          <w:kern w:val="1"/>
          <w:sz w:val="24"/>
          <w:szCs w:val="24"/>
        </w:rPr>
      </w:pPr>
      <w:r>
        <w:rPr>
          <w:rFonts w:hint="eastAsia" w:ascii="宋体" w:hAnsi="宋体" w:eastAsia="宋体" w:cs="宋体"/>
          <w:color w:val="auto"/>
          <w:kern w:val="1"/>
          <w:sz w:val="24"/>
          <w:szCs w:val="24"/>
        </w:rPr>
        <w:t xml:space="preserve">    9. 施工中采用新技术、新工艺、新设备、新材料时，必须制定相应的安全技术措施，施工现场必须具有相关的安全标志牌。</w:t>
      </w:r>
    </w:p>
    <w:p w14:paraId="1728EEE5">
      <w:pPr>
        <w:spacing w:beforeLines="0" w:afterLines="0" w:line="360" w:lineRule="auto"/>
        <w:rPr>
          <w:rFonts w:hint="eastAsia" w:ascii="宋体" w:hAnsi="宋体" w:eastAsia="宋体" w:cs="宋体"/>
          <w:color w:val="auto"/>
          <w:kern w:val="1"/>
          <w:sz w:val="24"/>
          <w:szCs w:val="24"/>
        </w:rPr>
      </w:pPr>
      <w:r>
        <w:rPr>
          <w:rFonts w:hint="eastAsia" w:ascii="宋体" w:hAnsi="宋体" w:eastAsia="宋体" w:cs="宋体"/>
          <w:color w:val="auto"/>
          <w:kern w:val="1"/>
          <w:sz w:val="24"/>
          <w:szCs w:val="24"/>
        </w:rPr>
        <w:t xml:space="preserve">    10. 乙方必须按照本工程项目特点，组织制定本工程实施中的生产安全事故应急救援预案；如果发生安全事故，应按照《国务院关于特大安全事故行政责任追究的规定》以及其它有关规定，及时上报有关部门，并坚持“三不放过”的原则，严肃处理相关责任人。</w:t>
      </w:r>
    </w:p>
    <w:p w14:paraId="70C96EC0">
      <w:pPr>
        <w:spacing w:beforeLines="0" w:afterLines="0" w:line="360" w:lineRule="auto"/>
        <w:rPr>
          <w:rFonts w:hint="eastAsia" w:ascii="宋体" w:hAnsi="宋体" w:eastAsia="宋体" w:cs="宋体"/>
          <w:b/>
          <w:color w:val="auto"/>
          <w:kern w:val="1"/>
          <w:sz w:val="24"/>
          <w:szCs w:val="24"/>
        </w:rPr>
      </w:pPr>
      <w:r>
        <w:rPr>
          <w:rFonts w:hint="eastAsia" w:ascii="宋体" w:hAnsi="宋体" w:eastAsia="宋体" w:cs="宋体"/>
          <w:color w:val="auto"/>
          <w:kern w:val="1"/>
          <w:sz w:val="24"/>
          <w:szCs w:val="24"/>
        </w:rPr>
        <w:t xml:space="preserve">    </w:t>
      </w:r>
      <w:r>
        <w:rPr>
          <w:rFonts w:hint="eastAsia" w:ascii="宋体" w:hAnsi="宋体" w:eastAsia="宋体" w:cs="宋体"/>
          <w:b/>
          <w:color w:val="auto"/>
          <w:kern w:val="1"/>
          <w:sz w:val="24"/>
          <w:szCs w:val="24"/>
        </w:rPr>
        <w:t>三、违约责任</w:t>
      </w:r>
    </w:p>
    <w:p w14:paraId="1FC53A51">
      <w:pPr>
        <w:spacing w:beforeLines="0" w:afterLines="0" w:line="360" w:lineRule="auto"/>
        <w:rPr>
          <w:rFonts w:hint="eastAsia" w:ascii="宋体" w:hAnsi="宋体" w:eastAsia="宋体" w:cs="宋体"/>
          <w:color w:val="auto"/>
          <w:kern w:val="1"/>
          <w:sz w:val="24"/>
          <w:szCs w:val="24"/>
        </w:rPr>
      </w:pPr>
      <w:r>
        <w:rPr>
          <w:rFonts w:hint="eastAsia" w:ascii="宋体" w:hAnsi="宋体" w:eastAsia="宋体" w:cs="宋体"/>
          <w:color w:val="auto"/>
          <w:kern w:val="1"/>
          <w:sz w:val="24"/>
          <w:szCs w:val="24"/>
        </w:rPr>
        <w:t xml:space="preserve">    如因甲方或乙方违约造成安全事故，将依法追究责任。</w:t>
      </w:r>
    </w:p>
    <w:p w14:paraId="30424139">
      <w:pPr>
        <w:adjustRightInd w:val="0"/>
        <w:snapToGrid w:val="0"/>
        <w:spacing w:beforeLines="0" w:afterLines="0" w:line="360" w:lineRule="auto"/>
        <w:ind w:firstLine="840" w:firstLineChars="300"/>
        <w:rPr>
          <w:rFonts w:hint="eastAsia" w:ascii="宋体" w:hAnsi="宋体" w:eastAsia="宋体" w:cs="宋体"/>
          <w:color w:val="auto"/>
          <w:spacing w:val="20"/>
          <w:sz w:val="24"/>
          <w:szCs w:val="24"/>
        </w:rPr>
      </w:pPr>
    </w:p>
    <w:p w14:paraId="7179FFFD">
      <w:pPr>
        <w:adjustRightInd w:val="0"/>
        <w:snapToGrid w:val="0"/>
        <w:spacing w:beforeLines="0" w:afterLines="0" w:line="360" w:lineRule="auto"/>
        <w:ind w:firstLine="840" w:firstLineChars="300"/>
        <w:rPr>
          <w:rFonts w:hint="eastAsia" w:ascii="宋体" w:hAnsi="宋体" w:eastAsia="宋体" w:cs="宋体"/>
          <w:color w:val="auto"/>
          <w:spacing w:val="20"/>
          <w:sz w:val="24"/>
          <w:szCs w:val="24"/>
        </w:rPr>
      </w:pPr>
      <w:r>
        <w:rPr>
          <w:rFonts w:hint="eastAsia" w:ascii="宋体" w:hAnsi="宋体" w:eastAsia="宋体" w:cs="宋体"/>
          <w:color w:val="auto"/>
          <w:spacing w:val="20"/>
          <w:sz w:val="24"/>
          <w:szCs w:val="24"/>
        </w:rPr>
        <w:t>发包人（公章）                        承包人（公章）</w:t>
      </w:r>
    </w:p>
    <w:p w14:paraId="0741FDBA">
      <w:pPr>
        <w:adjustRightInd w:val="0"/>
        <w:snapToGrid w:val="0"/>
        <w:spacing w:beforeLines="0" w:afterLines="0" w:line="360" w:lineRule="auto"/>
        <w:rPr>
          <w:rFonts w:hint="eastAsia" w:ascii="宋体" w:hAnsi="宋体" w:eastAsia="宋体" w:cs="宋体"/>
          <w:color w:val="auto"/>
          <w:spacing w:val="20"/>
          <w:sz w:val="24"/>
          <w:szCs w:val="24"/>
          <w:u w:val="single"/>
        </w:rPr>
      </w:pPr>
      <w:r>
        <w:rPr>
          <w:rFonts w:hint="eastAsia" w:ascii="宋体" w:hAnsi="宋体" w:eastAsia="宋体" w:cs="宋体"/>
          <w:color w:val="auto"/>
          <w:spacing w:val="20"/>
          <w:sz w:val="24"/>
          <w:szCs w:val="24"/>
          <w:u w:val="single"/>
        </w:rPr>
        <w:t>中国共产党浦北县委员会统一战线工作部</w:t>
      </w:r>
      <w:r>
        <w:rPr>
          <w:rFonts w:hint="eastAsia" w:ascii="宋体" w:hAnsi="宋体" w:eastAsia="宋体" w:cs="宋体"/>
          <w:color w:val="auto"/>
          <w:spacing w:val="20"/>
          <w:sz w:val="24"/>
          <w:szCs w:val="24"/>
        </w:rPr>
        <w:t xml:space="preserve">              </w:t>
      </w:r>
      <w:r>
        <w:rPr>
          <w:rFonts w:hint="eastAsia" w:ascii="宋体" w:hAnsi="宋体" w:eastAsia="宋体" w:cs="宋体"/>
          <w:color w:val="auto"/>
          <w:spacing w:val="20"/>
          <w:sz w:val="24"/>
          <w:szCs w:val="24"/>
          <w:u w:val="single"/>
        </w:rPr>
        <w:t xml:space="preserve">                                                       </w:t>
      </w:r>
    </w:p>
    <w:p w14:paraId="184E3187">
      <w:pPr>
        <w:adjustRightInd w:val="0"/>
        <w:snapToGrid w:val="0"/>
        <w:spacing w:beforeLines="0" w:afterLines="0" w:line="360" w:lineRule="auto"/>
        <w:rPr>
          <w:rFonts w:hint="eastAsia" w:ascii="宋体" w:hAnsi="宋体" w:eastAsia="宋体" w:cs="宋体"/>
          <w:color w:val="auto"/>
          <w:spacing w:val="20"/>
          <w:sz w:val="24"/>
          <w:szCs w:val="24"/>
          <w:u w:val="single"/>
        </w:rPr>
      </w:pPr>
      <w:r>
        <w:rPr>
          <w:rFonts w:hint="eastAsia" w:ascii="宋体" w:hAnsi="宋体" w:eastAsia="宋体" w:cs="宋体"/>
          <w:color w:val="auto"/>
          <w:spacing w:val="20"/>
          <w:sz w:val="24"/>
          <w:szCs w:val="24"/>
        </w:rPr>
        <w:t>法定代表人：</w:t>
      </w:r>
      <w:r>
        <w:rPr>
          <w:rFonts w:hint="eastAsia" w:ascii="宋体" w:hAnsi="宋体" w:eastAsia="宋体" w:cs="宋体"/>
          <w:color w:val="auto"/>
          <w:spacing w:val="20"/>
          <w:sz w:val="24"/>
          <w:szCs w:val="24"/>
          <w:u w:val="single"/>
        </w:rPr>
        <w:t xml:space="preserve">             </w:t>
      </w:r>
      <w:r>
        <w:rPr>
          <w:rFonts w:hint="eastAsia" w:ascii="宋体" w:hAnsi="宋体" w:eastAsia="宋体" w:cs="宋体"/>
          <w:color w:val="auto"/>
          <w:spacing w:val="20"/>
          <w:sz w:val="24"/>
          <w:szCs w:val="24"/>
        </w:rPr>
        <w:t xml:space="preserve">             法定代表人：</w:t>
      </w:r>
      <w:r>
        <w:rPr>
          <w:rFonts w:hint="eastAsia" w:ascii="宋体" w:hAnsi="宋体" w:eastAsia="宋体" w:cs="宋体"/>
          <w:color w:val="auto"/>
          <w:spacing w:val="20"/>
          <w:sz w:val="24"/>
          <w:szCs w:val="24"/>
          <w:u w:val="single"/>
        </w:rPr>
        <w:t xml:space="preserve">           </w:t>
      </w:r>
    </w:p>
    <w:p w14:paraId="5F548019">
      <w:pPr>
        <w:spacing w:beforeLines="0" w:afterLines="0" w:line="360" w:lineRule="auto"/>
        <w:rPr>
          <w:rFonts w:hint="eastAsia" w:ascii="宋体" w:hAnsi="宋体" w:eastAsia="宋体" w:cs="宋体"/>
          <w:color w:val="auto"/>
          <w:sz w:val="21"/>
          <w:szCs w:val="21"/>
        </w:rPr>
      </w:pPr>
      <w:r>
        <w:rPr>
          <w:rFonts w:hint="eastAsia" w:ascii="宋体" w:hAnsi="宋体" w:eastAsia="宋体" w:cs="宋体"/>
          <w:color w:val="auto"/>
          <w:spacing w:val="20"/>
          <w:sz w:val="24"/>
          <w:szCs w:val="24"/>
        </w:rPr>
        <w:t>电  话：</w:t>
      </w:r>
      <w:r>
        <w:rPr>
          <w:rFonts w:hint="eastAsia" w:ascii="宋体" w:hAnsi="宋体" w:eastAsia="宋体" w:cs="宋体"/>
          <w:color w:val="auto"/>
          <w:spacing w:val="20"/>
          <w:sz w:val="24"/>
          <w:szCs w:val="24"/>
          <w:u w:val="single"/>
        </w:rPr>
        <w:t xml:space="preserve">                </w:t>
      </w:r>
      <w:r>
        <w:rPr>
          <w:rFonts w:hint="eastAsia" w:ascii="宋体" w:hAnsi="宋体" w:eastAsia="宋体" w:cs="宋体"/>
          <w:color w:val="auto"/>
          <w:spacing w:val="20"/>
          <w:sz w:val="24"/>
          <w:szCs w:val="24"/>
        </w:rPr>
        <w:t xml:space="preserve">             电  话：</w:t>
      </w:r>
      <w:r>
        <w:rPr>
          <w:rFonts w:hint="eastAsia" w:ascii="宋体" w:hAnsi="宋体" w:eastAsia="宋体" w:cs="宋体"/>
          <w:color w:val="auto"/>
          <w:spacing w:val="20"/>
          <w:sz w:val="24"/>
          <w:szCs w:val="24"/>
          <w:u w:val="single"/>
        </w:rPr>
        <w:t xml:space="preserve">              </w:t>
      </w:r>
      <w:bookmarkEnd w:id="163"/>
      <w:bookmarkEnd w:id="164"/>
      <w:bookmarkEnd w:id="165"/>
      <w:bookmarkEnd w:id="169"/>
      <w:bookmarkEnd w:id="170"/>
      <w:bookmarkEnd w:id="171"/>
      <w:bookmarkEnd w:id="172"/>
      <w:bookmarkEnd w:id="173"/>
      <w:bookmarkEnd w:id="174"/>
    </w:p>
    <w:p w14:paraId="264B1E13">
      <w:pPr>
        <w:widowControl/>
        <w:jc w:val="left"/>
        <w:rPr>
          <w:rFonts w:hint="eastAsia" w:ascii="宋体" w:hAnsi="宋体" w:eastAsia="宋体" w:cs="宋体"/>
          <w:bCs/>
          <w:color w:val="auto"/>
          <w:sz w:val="24"/>
        </w:rPr>
      </w:pPr>
    </w:p>
    <w:p w14:paraId="677A4B99">
      <w:pPr>
        <w:rPr>
          <w:rFonts w:hint="eastAsia" w:ascii="宋体" w:hAnsi="宋体" w:eastAsia="宋体" w:cs="宋体"/>
          <w:color w:val="auto"/>
          <w:sz w:val="24"/>
          <w:u w:val="single"/>
        </w:rPr>
      </w:pPr>
      <w:r>
        <w:rPr>
          <w:rFonts w:hint="eastAsia" w:ascii="宋体" w:hAnsi="宋体" w:eastAsia="宋体" w:cs="宋体"/>
          <w:color w:val="auto"/>
          <w:sz w:val="24"/>
          <w:u w:val="single"/>
        </w:rPr>
        <w:br w:type="page"/>
      </w:r>
    </w:p>
    <w:p w14:paraId="558380F5">
      <w:pPr>
        <w:spacing w:line="360" w:lineRule="auto"/>
        <w:ind w:firstLine="480" w:firstLineChars="200"/>
        <w:rPr>
          <w:rFonts w:hint="eastAsia" w:ascii="宋体" w:hAnsi="宋体" w:eastAsia="宋体" w:cs="宋体"/>
          <w:color w:val="auto"/>
          <w:sz w:val="24"/>
          <w:u w:val="single"/>
        </w:rPr>
      </w:pPr>
    </w:p>
    <w:p w14:paraId="6F413F6C">
      <w:pPr>
        <w:tabs>
          <w:tab w:val="left" w:pos="7380"/>
        </w:tabs>
        <w:spacing w:line="360" w:lineRule="auto"/>
        <w:jc w:val="center"/>
        <w:rPr>
          <w:rFonts w:hint="eastAsia" w:ascii="宋体" w:hAnsi="宋体" w:eastAsia="宋体" w:cs="宋体"/>
          <w:b/>
          <w:color w:val="auto"/>
          <w:sz w:val="44"/>
          <w:szCs w:val="44"/>
        </w:rPr>
      </w:pPr>
    </w:p>
    <w:p w14:paraId="6626A545">
      <w:pPr>
        <w:rPr>
          <w:rFonts w:hint="eastAsia" w:ascii="宋体" w:hAnsi="宋体" w:eastAsia="宋体" w:cs="宋体"/>
        </w:rPr>
      </w:pPr>
    </w:p>
    <w:p w14:paraId="79108C3B">
      <w:pPr>
        <w:snapToGrid w:val="0"/>
        <w:spacing w:line="360" w:lineRule="auto"/>
        <w:rPr>
          <w:rFonts w:hint="eastAsia" w:ascii="宋体" w:hAnsi="宋体" w:eastAsia="宋体" w:cs="宋体"/>
          <w:color w:val="auto"/>
          <w:sz w:val="24"/>
          <w:highlight w:val="none"/>
        </w:rPr>
      </w:pPr>
    </w:p>
    <w:p w14:paraId="19B4492C">
      <w:pPr>
        <w:pStyle w:val="3"/>
        <w:rPr>
          <w:rFonts w:hint="eastAsia" w:ascii="宋体" w:hAnsi="宋体" w:eastAsia="宋体" w:cs="宋体"/>
          <w:color w:val="auto"/>
          <w:sz w:val="24"/>
          <w:highlight w:val="none"/>
        </w:rPr>
      </w:pPr>
    </w:p>
    <w:p w14:paraId="44690946">
      <w:pPr>
        <w:pStyle w:val="3"/>
        <w:rPr>
          <w:rFonts w:hint="eastAsia" w:ascii="宋体" w:hAnsi="宋体" w:eastAsia="宋体" w:cs="宋体"/>
          <w:color w:val="auto"/>
          <w:sz w:val="24"/>
          <w:highlight w:val="none"/>
        </w:rPr>
      </w:pPr>
    </w:p>
    <w:p w14:paraId="3BE75681">
      <w:pPr>
        <w:pStyle w:val="3"/>
        <w:rPr>
          <w:rFonts w:hint="eastAsia" w:ascii="宋体" w:hAnsi="宋体" w:eastAsia="宋体" w:cs="宋体"/>
          <w:color w:val="auto"/>
          <w:sz w:val="24"/>
          <w:highlight w:val="none"/>
        </w:rPr>
      </w:pPr>
    </w:p>
    <w:p w14:paraId="14CA57C2">
      <w:pPr>
        <w:pStyle w:val="3"/>
        <w:rPr>
          <w:rFonts w:hint="eastAsia" w:ascii="宋体" w:hAnsi="宋体" w:eastAsia="宋体" w:cs="宋体"/>
          <w:color w:val="auto"/>
          <w:sz w:val="24"/>
          <w:highlight w:val="none"/>
        </w:rPr>
      </w:pPr>
    </w:p>
    <w:p w14:paraId="034506DC">
      <w:pPr>
        <w:pStyle w:val="3"/>
        <w:rPr>
          <w:rFonts w:hint="eastAsia" w:ascii="宋体" w:hAnsi="宋体" w:eastAsia="宋体" w:cs="宋体"/>
          <w:color w:val="auto"/>
          <w:sz w:val="24"/>
          <w:highlight w:val="none"/>
        </w:rPr>
      </w:pPr>
    </w:p>
    <w:p w14:paraId="39A8C00D">
      <w:pPr>
        <w:pStyle w:val="3"/>
        <w:rPr>
          <w:rFonts w:hint="eastAsia" w:ascii="宋体" w:hAnsi="宋体" w:eastAsia="宋体" w:cs="宋体"/>
          <w:color w:val="auto"/>
          <w:sz w:val="24"/>
          <w:highlight w:val="none"/>
        </w:rPr>
      </w:pPr>
    </w:p>
    <w:p w14:paraId="48742BE4">
      <w:pPr>
        <w:pStyle w:val="3"/>
        <w:rPr>
          <w:rFonts w:hint="eastAsia" w:ascii="宋体" w:hAnsi="宋体" w:eastAsia="宋体" w:cs="宋体"/>
          <w:color w:val="auto"/>
          <w:sz w:val="24"/>
          <w:highlight w:val="none"/>
        </w:rPr>
      </w:pPr>
    </w:p>
    <w:p w14:paraId="03986DAA">
      <w:pPr>
        <w:pStyle w:val="3"/>
        <w:rPr>
          <w:rFonts w:hint="eastAsia" w:ascii="宋体" w:hAnsi="宋体" w:eastAsia="宋体" w:cs="宋体"/>
          <w:color w:val="auto"/>
          <w:sz w:val="24"/>
          <w:highlight w:val="none"/>
        </w:rPr>
      </w:pPr>
    </w:p>
    <w:p w14:paraId="6ABA2724">
      <w:pPr>
        <w:pStyle w:val="3"/>
        <w:rPr>
          <w:rFonts w:hint="eastAsia" w:ascii="宋体" w:hAnsi="宋体" w:eastAsia="宋体" w:cs="宋体"/>
          <w:color w:val="auto"/>
          <w:sz w:val="24"/>
          <w:highlight w:val="none"/>
        </w:rPr>
      </w:pPr>
    </w:p>
    <w:p w14:paraId="5BA2A982">
      <w:pPr>
        <w:pStyle w:val="3"/>
        <w:rPr>
          <w:rFonts w:hint="eastAsia" w:ascii="宋体" w:hAnsi="宋体" w:eastAsia="宋体" w:cs="宋体"/>
          <w:color w:val="auto"/>
          <w:sz w:val="24"/>
          <w:highlight w:val="none"/>
        </w:rPr>
      </w:pPr>
    </w:p>
    <w:p w14:paraId="486DFE2C">
      <w:pPr>
        <w:pStyle w:val="3"/>
        <w:rPr>
          <w:rFonts w:hint="eastAsia" w:ascii="宋体" w:hAnsi="宋体" w:eastAsia="宋体" w:cs="宋体"/>
          <w:color w:val="auto"/>
          <w:sz w:val="24"/>
          <w:highlight w:val="none"/>
        </w:rPr>
      </w:pPr>
    </w:p>
    <w:p w14:paraId="07101E88">
      <w:pPr>
        <w:pStyle w:val="4"/>
        <w:jc w:val="center"/>
        <w:rPr>
          <w:rFonts w:hint="eastAsia" w:ascii="宋体" w:hAnsi="宋体" w:eastAsia="宋体" w:cs="宋体"/>
          <w:color w:val="auto"/>
          <w:highlight w:val="none"/>
        </w:rPr>
      </w:pPr>
      <w:bookmarkStart w:id="659" w:name="_Toc16868"/>
      <w:r>
        <w:rPr>
          <w:rFonts w:hint="eastAsia" w:ascii="宋体" w:hAnsi="宋体" w:eastAsia="宋体" w:cs="宋体"/>
          <w:color w:val="auto"/>
          <w:highlight w:val="none"/>
        </w:rPr>
        <w:t>第七章 质疑、投诉材料格式</w:t>
      </w:r>
      <w:bookmarkEnd w:id="659"/>
    </w:p>
    <w:p w14:paraId="2450E1F8">
      <w:pPr>
        <w:widowControl/>
        <w:spacing w:line="576" w:lineRule="auto"/>
        <w:jc w:val="left"/>
        <w:rPr>
          <w:rFonts w:hint="eastAsia" w:ascii="宋体" w:hAnsi="宋体" w:eastAsia="宋体" w:cs="宋体"/>
          <w:b/>
          <w:bCs/>
          <w:color w:val="auto"/>
          <w:kern w:val="44"/>
          <w:sz w:val="44"/>
          <w:szCs w:val="44"/>
        </w:rPr>
        <w:sectPr>
          <w:pgSz w:w="11910" w:h="16840"/>
          <w:pgMar w:top="1340" w:right="1500" w:bottom="280" w:left="1680" w:header="720" w:footer="720" w:gutter="0"/>
          <w:pgNumType w:fmt="decimal"/>
          <w:cols w:space="720" w:num="1"/>
        </w:sectPr>
      </w:pPr>
    </w:p>
    <w:p w14:paraId="573EA0A0">
      <w:pPr>
        <w:spacing w:line="360" w:lineRule="auto"/>
        <w:jc w:val="center"/>
        <w:rPr>
          <w:rFonts w:hint="eastAsia" w:ascii="宋体" w:hAnsi="宋体" w:eastAsia="宋体" w:cs="宋体"/>
          <w:b/>
          <w:bCs/>
          <w:color w:val="auto"/>
          <w:sz w:val="32"/>
          <w:szCs w:val="32"/>
        </w:rPr>
      </w:pPr>
      <w:r>
        <w:rPr>
          <w:rFonts w:hint="eastAsia" w:ascii="宋体" w:hAnsi="宋体" w:eastAsia="宋体" w:cs="宋体"/>
          <w:b/>
          <w:bCs/>
          <w:color w:val="auto"/>
          <w:sz w:val="32"/>
          <w:szCs w:val="32"/>
        </w:rPr>
        <w:t>质疑函（格式）</w:t>
      </w:r>
    </w:p>
    <w:p w14:paraId="786DECAA">
      <w:pPr>
        <w:spacing w:line="360" w:lineRule="auto"/>
        <w:ind w:firstLine="482" w:firstLineChars="200"/>
        <w:rPr>
          <w:rFonts w:hint="eastAsia" w:ascii="宋体" w:hAnsi="宋体" w:eastAsia="宋体" w:cs="宋体"/>
          <w:b/>
          <w:bCs/>
          <w:color w:val="auto"/>
          <w:kern w:val="0"/>
          <w:sz w:val="24"/>
        </w:rPr>
      </w:pPr>
      <w:r>
        <w:rPr>
          <w:rFonts w:hint="eastAsia" w:ascii="宋体" w:hAnsi="宋体" w:eastAsia="宋体" w:cs="宋体"/>
          <w:b/>
          <w:bCs/>
          <w:color w:val="auto"/>
          <w:kern w:val="0"/>
          <w:sz w:val="24"/>
        </w:rPr>
        <w:t>一、质疑供应商基本信息：</w:t>
      </w:r>
    </w:p>
    <w:p w14:paraId="744DC3BC">
      <w:pPr>
        <w:spacing w:line="360" w:lineRule="auto"/>
        <w:ind w:firstLine="480" w:firstLineChars="200"/>
        <w:rPr>
          <w:rFonts w:hint="eastAsia" w:ascii="宋体" w:hAnsi="宋体" w:eastAsia="宋体" w:cs="宋体"/>
          <w:bCs/>
          <w:color w:val="auto"/>
          <w:kern w:val="0"/>
          <w:sz w:val="24"/>
          <w:u w:val="single"/>
        </w:rPr>
      </w:pPr>
      <w:r>
        <w:rPr>
          <w:rFonts w:hint="eastAsia" w:ascii="宋体" w:hAnsi="宋体" w:eastAsia="宋体" w:cs="宋体"/>
          <w:bCs/>
          <w:color w:val="auto"/>
          <w:kern w:val="0"/>
          <w:sz w:val="24"/>
        </w:rPr>
        <w:t>质疑供应商：</w:t>
      </w:r>
    </w:p>
    <w:p w14:paraId="7A426576">
      <w:pPr>
        <w:spacing w:line="360" w:lineRule="auto"/>
        <w:ind w:firstLine="480" w:firstLineChars="200"/>
        <w:rPr>
          <w:rFonts w:hint="eastAsia" w:ascii="宋体" w:hAnsi="宋体" w:eastAsia="宋体" w:cs="宋体"/>
          <w:bCs/>
          <w:color w:val="auto"/>
          <w:kern w:val="0"/>
          <w:sz w:val="24"/>
        </w:rPr>
      </w:pPr>
      <w:r>
        <w:rPr>
          <w:rFonts w:hint="eastAsia" w:ascii="宋体" w:hAnsi="宋体" w:eastAsia="宋体" w:cs="宋体"/>
          <w:bCs/>
          <w:color w:val="auto"/>
          <w:kern w:val="0"/>
          <w:sz w:val="24"/>
        </w:rPr>
        <w:t>地址：邮编：</w:t>
      </w:r>
    </w:p>
    <w:p w14:paraId="3CABA9B9">
      <w:pPr>
        <w:spacing w:line="360" w:lineRule="auto"/>
        <w:ind w:firstLine="480" w:firstLineChars="200"/>
        <w:rPr>
          <w:rFonts w:hint="eastAsia" w:ascii="宋体" w:hAnsi="宋体" w:eastAsia="宋体" w:cs="宋体"/>
          <w:bCs/>
          <w:color w:val="auto"/>
          <w:kern w:val="0"/>
          <w:sz w:val="24"/>
        </w:rPr>
      </w:pPr>
      <w:r>
        <w:rPr>
          <w:rFonts w:hint="eastAsia" w:ascii="宋体" w:hAnsi="宋体" w:eastAsia="宋体" w:cs="宋体"/>
          <w:bCs/>
          <w:color w:val="auto"/>
          <w:kern w:val="0"/>
          <w:sz w:val="24"/>
        </w:rPr>
        <w:t>联系人：联系电话：</w:t>
      </w:r>
    </w:p>
    <w:p w14:paraId="26F98BDB">
      <w:pPr>
        <w:spacing w:line="360" w:lineRule="auto"/>
        <w:ind w:firstLine="480" w:firstLineChars="200"/>
        <w:rPr>
          <w:rFonts w:hint="eastAsia" w:ascii="宋体" w:hAnsi="宋体" w:eastAsia="宋体" w:cs="宋体"/>
          <w:bCs/>
          <w:color w:val="auto"/>
          <w:kern w:val="0"/>
          <w:sz w:val="24"/>
        </w:rPr>
      </w:pPr>
      <w:r>
        <w:rPr>
          <w:rFonts w:hint="eastAsia" w:ascii="宋体" w:hAnsi="宋体" w:eastAsia="宋体" w:cs="宋体"/>
          <w:bCs/>
          <w:color w:val="auto"/>
          <w:kern w:val="0"/>
          <w:sz w:val="24"/>
        </w:rPr>
        <w:t>授权代表：</w:t>
      </w:r>
    </w:p>
    <w:p w14:paraId="6139ACB2">
      <w:pPr>
        <w:spacing w:line="360" w:lineRule="auto"/>
        <w:ind w:firstLine="480" w:firstLineChars="200"/>
        <w:rPr>
          <w:rFonts w:hint="eastAsia" w:ascii="宋体" w:hAnsi="宋体" w:eastAsia="宋体" w:cs="宋体"/>
          <w:bCs/>
          <w:color w:val="auto"/>
          <w:kern w:val="0"/>
          <w:sz w:val="24"/>
          <w:u w:val="single"/>
        </w:rPr>
      </w:pPr>
      <w:r>
        <w:rPr>
          <w:rFonts w:hint="eastAsia" w:ascii="宋体" w:hAnsi="宋体" w:eastAsia="宋体" w:cs="宋体"/>
          <w:bCs/>
          <w:color w:val="auto"/>
          <w:kern w:val="0"/>
          <w:sz w:val="24"/>
        </w:rPr>
        <w:t>联系电话：</w:t>
      </w:r>
    </w:p>
    <w:p w14:paraId="1B63833C">
      <w:pPr>
        <w:spacing w:line="360" w:lineRule="auto"/>
        <w:ind w:firstLine="480" w:firstLineChars="200"/>
        <w:rPr>
          <w:rFonts w:hint="eastAsia" w:ascii="宋体" w:hAnsi="宋体" w:eastAsia="宋体" w:cs="宋体"/>
          <w:bCs/>
          <w:color w:val="auto"/>
          <w:kern w:val="0"/>
          <w:sz w:val="24"/>
        </w:rPr>
      </w:pPr>
      <w:r>
        <w:rPr>
          <w:rFonts w:hint="eastAsia" w:ascii="宋体" w:hAnsi="宋体" w:eastAsia="宋体" w:cs="宋体"/>
          <w:bCs/>
          <w:color w:val="auto"/>
          <w:kern w:val="0"/>
          <w:sz w:val="24"/>
        </w:rPr>
        <w:t>地址：邮编：</w:t>
      </w:r>
    </w:p>
    <w:p w14:paraId="37196F33">
      <w:pPr>
        <w:spacing w:line="360" w:lineRule="auto"/>
        <w:ind w:firstLine="482" w:firstLineChars="200"/>
        <w:rPr>
          <w:rFonts w:hint="eastAsia" w:ascii="宋体" w:hAnsi="宋体" w:eastAsia="宋体" w:cs="宋体"/>
          <w:b/>
          <w:bCs/>
          <w:color w:val="auto"/>
          <w:kern w:val="0"/>
          <w:sz w:val="24"/>
        </w:rPr>
      </w:pPr>
      <w:r>
        <w:rPr>
          <w:rFonts w:hint="eastAsia" w:ascii="宋体" w:hAnsi="宋体" w:eastAsia="宋体" w:cs="宋体"/>
          <w:b/>
          <w:bCs/>
          <w:color w:val="auto"/>
          <w:kern w:val="0"/>
          <w:sz w:val="24"/>
        </w:rPr>
        <w:t>二、质疑项目基本情况：</w:t>
      </w:r>
    </w:p>
    <w:p w14:paraId="1AE75A0C">
      <w:pPr>
        <w:spacing w:line="360" w:lineRule="auto"/>
        <w:ind w:left="25" w:leftChars="12" w:firstLine="472" w:firstLineChars="197"/>
        <w:contextualSpacing/>
        <w:rPr>
          <w:rFonts w:hint="eastAsia" w:ascii="宋体" w:hAnsi="宋体" w:eastAsia="宋体" w:cs="宋体"/>
          <w:color w:val="auto"/>
          <w:kern w:val="0"/>
          <w:sz w:val="24"/>
        </w:rPr>
      </w:pPr>
      <w:r>
        <w:rPr>
          <w:rFonts w:hint="eastAsia" w:ascii="宋体" w:hAnsi="宋体" w:eastAsia="宋体" w:cs="宋体"/>
          <w:bCs/>
          <w:color w:val="auto"/>
          <w:kern w:val="0"/>
          <w:sz w:val="24"/>
        </w:rPr>
        <w:t>质疑</w:t>
      </w:r>
      <w:r>
        <w:rPr>
          <w:rFonts w:hint="eastAsia" w:ascii="宋体" w:hAnsi="宋体" w:eastAsia="宋体" w:cs="宋体"/>
          <w:color w:val="auto"/>
          <w:kern w:val="0"/>
          <w:sz w:val="24"/>
        </w:rPr>
        <w:t>项目的名称：</w:t>
      </w:r>
      <w:bookmarkStart w:id="660" w:name="PO_3000001871_PM002_15"/>
      <w:r>
        <w:rPr>
          <w:rFonts w:hint="eastAsia" w:ascii="宋体" w:hAnsi="宋体" w:eastAsia="宋体" w:cs="宋体"/>
          <w:bCs/>
          <w:color w:val="auto"/>
          <w:kern w:val="0"/>
          <w:sz w:val="24"/>
          <w:u w:val="single"/>
        </w:rPr>
        <w:t>[项目采购-项目名称_]</w:t>
      </w:r>
      <w:bookmarkEnd w:id="660"/>
    </w:p>
    <w:p w14:paraId="1C690E06">
      <w:pPr>
        <w:spacing w:line="360" w:lineRule="auto"/>
        <w:ind w:left="25" w:leftChars="12" w:firstLine="472" w:firstLineChars="197"/>
        <w:contextualSpacing/>
        <w:rPr>
          <w:rFonts w:hint="eastAsia" w:ascii="宋体" w:hAnsi="宋体" w:eastAsia="宋体" w:cs="宋体"/>
          <w:color w:val="auto"/>
          <w:kern w:val="0"/>
          <w:sz w:val="24"/>
        </w:rPr>
      </w:pPr>
      <w:r>
        <w:rPr>
          <w:rFonts w:hint="eastAsia" w:ascii="宋体" w:hAnsi="宋体" w:eastAsia="宋体" w:cs="宋体"/>
          <w:bCs/>
          <w:color w:val="auto"/>
          <w:kern w:val="0"/>
          <w:sz w:val="24"/>
        </w:rPr>
        <w:t>质疑</w:t>
      </w:r>
      <w:r>
        <w:rPr>
          <w:rFonts w:hint="eastAsia" w:ascii="宋体" w:hAnsi="宋体" w:eastAsia="宋体" w:cs="宋体"/>
          <w:color w:val="auto"/>
          <w:kern w:val="0"/>
          <w:sz w:val="24"/>
        </w:rPr>
        <w:t>项目的编号：</w:t>
      </w:r>
      <w:bookmarkStart w:id="661" w:name="PO_3000001871_PM001_9"/>
      <w:r>
        <w:rPr>
          <w:rFonts w:hint="eastAsia" w:ascii="宋体" w:hAnsi="宋体" w:eastAsia="宋体" w:cs="宋体"/>
          <w:bCs/>
          <w:color w:val="auto"/>
          <w:kern w:val="0"/>
          <w:sz w:val="24"/>
          <w:u w:val="single"/>
        </w:rPr>
        <w:t>[项目采购-项目编号_]</w:t>
      </w:r>
      <w:bookmarkEnd w:id="661"/>
    </w:p>
    <w:p w14:paraId="11740963">
      <w:pPr>
        <w:spacing w:line="360" w:lineRule="auto"/>
        <w:ind w:left="25" w:leftChars="12" w:firstLine="472" w:firstLineChars="197"/>
        <w:contextualSpacing/>
        <w:rPr>
          <w:rFonts w:hint="eastAsia" w:ascii="宋体" w:hAnsi="宋体" w:eastAsia="宋体" w:cs="宋体"/>
          <w:color w:val="auto"/>
          <w:kern w:val="0"/>
          <w:sz w:val="24"/>
        </w:rPr>
      </w:pPr>
      <w:r>
        <w:rPr>
          <w:rFonts w:hint="eastAsia" w:ascii="宋体" w:hAnsi="宋体" w:eastAsia="宋体" w:cs="宋体"/>
          <w:color w:val="auto"/>
          <w:kern w:val="0"/>
          <w:sz w:val="24"/>
        </w:rPr>
        <w:t>采购人名称：</w:t>
      </w:r>
      <w:bookmarkStart w:id="662" w:name="PO_3000001871_PM026_8"/>
      <w:r>
        <w:rPr>
          <w:rFonts w:hint="eastAsia" w:ascii="宋体" w:hAnsi="宋体" w:eastAsia="宋体" w:cs="宋体"/>
          <w:bCs/>
          <w:color w:val="auto"/>
          <w:kern w:val="0"/>
          <w:sz w:val="24"/>
          <w:u w:val="single"/>
        </w:rPr>
        <w:t>[项目采购-采购人_]</w:t>
      </w:r>
      <w:bookmarkEnd w:id="662"/>
    </w:p>
    <w:p w14:paraId="3006A24B">
      <w:pPr>
        <w:spacing w:line="360" w:lineRule="auto"/>
        <w:ind w:left="25" w:leftChars="12" w:firstLine="472" w:firstLineChars="197"/>
        <w:contextualSpacing/>
        <w:rPr>
          <w:rFonts w:hint="eastAsia" w:ascii="宋体" w:hAnsi="宋体" w:eastAsia="宋体" w:cs="宋体"/>
          <w:color w:val="auto"/>
          <w:kern w:val="0"/>
          <w:sz w:val="24"/>
        </w:rPr>
      </w:pPr>
      <w:r>
        <w:rPr>
          <w:rFonts w:hint="eastAsia" w:ascii="宋体" w:hAnsi="宋体" w:eastAsia="宋体" w:cs="宋体"/>
          <w:color w:val="auto"/>
          <w:kern w:val="0"/>
          <w:sz w:val="24"/>
        </w:rPr>
        <w:t>质疑事项：</w:t>
      </w:r>
    </w:p>
    <w:p w14:paraId="3E628DDC">
      <w:pPr>
        <w:spacing w:line="360" w:lineRule="auto"/>
        <w:ind w:left="25" w:leftChars="12" w:firstLine="352" w:firstLineChars="147"/>
        <w:contextualSpacing/>
        <w:rPr>
          <w:rFonts w:hint="eastAsia" w:ascii="宋体" w:hAnsi="宋体" w:eastAsia="宋体" w:cs="宋体"/>
          <w:color w:val="auto"/>
          <w:kern w:val="0"/>
          <w:sz w:val="24"/>
        </w:rPr>
      </w:pPr>
      <w:r>
        <w:rPr>
          <w:rFonts w:hint="eastAsia" w:ascii="宋体" w:hAnsi="宋体" w:eastAsia="宋体" w:cs="宋体"/>
          <w:color w:val="auto"/>
          <w:kern w:val="0"/>
          <w:sz w:val="24"/>
        </w:rPr>
        <w:t>□采购文件   采购文件获取日期：</w:t>
      </w:r>
    </w:p>
    <w:p w14:paraId="7231FB9A">
      <w:pPr>
        <w:spacing w:line="360" w:lineRule="auto"/>
        <w:ind w:left="25" w:leftChars="12" w:firstLine="352" w:firstLineChars="147"/>
        <w:contextualSpacing/>
        <w:rPr>
          <w:rFonts w:hint="eastAsia" w:ascii="宋体" w:hAnsi="宋体" w:eastAsia="宋体" w:cs="宋体"/>
          <w:color w:val="auto"/>
          <w:kern w:val="0"/>
          <w:sz w:val="24"/>
        </w:rPr>
      </w:pPr>
      <w:r>
        <w:rPr>
          <w:rFonts w:hint="eastAsia" w:ascii="宋体" w:hAnsi="宋体" w:eastAsia="宋体" w:cs="宋体"/>
          <w:color w:val="auto"/>
          <w:kern w:val="0"/>
          <w:sz w:val="24"/>
        </w:rPr>
        <w:t xml:space="preserve">□采购过程   </w:t>
      </w:r>
    </w:p>
    <w:p w14:paraId="3478418E">
      <w:pPr>
        <w:spacing w:line="360" w:lineRule="auto"/>
        <w:ind w:left="25" w:leftChars="12" w:firstLine="352" w:firstLineChars="147"/>
        <w:contextualSpacing/>
        <w:rPr>
          <w:rFonts w:hint="eastAsia" w:ascii="宋体" w:hAnsi="宋体" w:eastAsia="宋体" w:cs="宋体"/>
          <w:bCs/>
          <w:color w:val="auto"/>
          <w:kern w:val="0"/>
          <w:sz w:val="24"/>
          <w:u w:val="single"/>
        </w:rPr>
      </w:pPr>
      <w:r>
        <w:rPr>
          <w:rFonts w:hint="eastAsia" w:ascii="宋体" w:hAnsi="宋体" w:eastAsia="宋体" w:cs="宋体"/>
          <w:color w:val="auto"/>
          <w:kern w:val="0"/>
          <w:sz w:val="24"/>
        </w:rPr>
        <w:t xml:space="preserve">□成交结果   </w:t>
      </w:r>
    </w:p>
    <w:p w14:paraId="42D410EC">
      <w:pPr>
        <w:spacing w:line="360" w:lineRule="auto"/>
        <w:ind w:left="25" w:leftChars="12" w:firstLine="472" w:firstLineChars="196"/>
        <w:contextualSpacing/>
        <w:rPr>
          <w:rFonts w:hint="eastAsia" w:ascii="宋体" w:hAnsi="宋体" w:eastAsia="宋体" w:cs="宋体"/>
          <w:b/>
          <w:color w:val="auto"/>
          <w:kern w:val="0"/>
          <w:sz w:val="24"/>
        </w:rPr>
      </w:pPr>
      <w:r>
        <w:rPr>
          <w:rFonts w:hint="eastAsia" w:ascii="宋体" w:hAnsi="宋体" w:eastAsia="宋体" w:cs="宋体"/>
          <w:b/>
          <w:color w:val="auto"/>
          <w:kern w:val="0"/>
          <w:sz w:val="24"/>
        </w:rPr>
        <w:t>三、质疑事项具体内容</w:t>
      </w:r>
    </w:p>
    <w:p w14:paraId="1CA6F8C0">
      <w:pPr>
        <w:spacing w:line="360" w:lineRule="auto"/>
        <w:ind w:left="25" w:leftChars="12" w:firstLine="472" w:firstLineChars="197"/>
        <w:contextualSpacing/>
        <w:rPr>
          <w:rFonts w:hint="eastAsia" w:ascii="宋体" w:hAnsi="宋体" w:eastAsia="宋体" w:cs="宋体"/>
          <w:color w:val="auto"/>
          <w:kern w:val="0"/>
          <w:sz w:val="24"/>
        </w:rPr>
      </w:pPr>
      <w:r>
        <w:rPr>
          <w:rFonts w:hint="eastAsia" w:ascii="宋体" w:hAnsi="宋体" w:eastAsia="宋体" w:cs="宋体"/>
          <w:color w:val="auto"/>
          <w:kern w:val="0"/>
          <w:sz w:val="24"/>
        </w:rPr>
        <w:t>质疑事项1：</w:t>
      </w:r>
    </w:p>
    <w:p w14:paraId="1DC02149">
      <w:pPr>
        <w:spacing w:line="360" w:lineRule="auto"/>
        <w:ind w:left="25" w:leftChars="12" w:firstLine="472" w:firstLineChars="197"/>
        <w:contextualSpacing/>
        <w:rPr>
          <w:rFonts w:hint="eastAsia" w:ascii="宋体" w:hAnsi="宋体" w:eastAsia="宋体" w:cs="宋体"/>
          <w:color w:val="auto"/>
          <w:kern w:val="0"/>
          <w:sz w:val="24"/>
        </w:rPr>
      </w:pPr>
      <w:r>
        <w:rPr>
          <w:rFonts w:hint="eastAsia" w:ascii="宋体" w:hAnsi="宋体" w:eastAsia="宋体" w:cs="宋体"/>
          <w:color w:val="auto"/>
          <w:kern w:val="0"/>
          <w:sz w:val="24"/>
        </w:rPr>
        <w:t>事实依据：</w:t>
      </w:r>
    </w:p>
    <w:p w14:paraId="1837214E">
      <w:pPr>
        <w:spacing w:line="360" w:lineRule="auto"/>
        <w:ind w:left="25" w:leftChars="12" w:firstLine="472" w:firstLineChars="197"/>
        <w:contextualSpacing/>
        <w:rPr>
          <w:rFonts w:hint="eastAsia" w:ascii="宋体" w:hAnsi="宋体" w:eastAsia="宋体" w:cs="宋体"/>
          <w:color w:val="auto"/>
          <w:kern w:val="0"/>
          <w:sz w:val="24"/>
        </w:rPr>
      </w:pPr>
      <w:r>
        <w:rPr>
          <w:rFonts w:hint="eastAsia" w:ascii="宋体" w:hAnsi="宋体" w:eastAsia="宋体" w:cs="宋体"/>
          <w:color w:val="auto"/>
          <w:kern w:val="0"/>
          <w:sz w:val="24"/>
        </w:rPr>
        <w:t>法律依据：</w:t>
      </w:r>
    </w:p>
    <w:p w14:paraId="147A6D37">
      <w:pPr>
        <w:spacing w:line="360" w:lineRule="auto"/>
        <w:ind w:left="25" w:leftChars="12" w:firstLine="472" w:firstLineChars="197"/>
        <w:contextualSpacing/>
        <w:rPr>
          <w:rFonts w:hint="eastAsia" w:ascii="宋体" w:hAnsi="宋体" w:eastAsia="宋体" w:cs="宋体"/>
          <w:color w:val="auto"/>
          <w:kern w:val="0"/>
          <w:sz w:val="24"/>
        </w:rPr>
      </w:pPr>
      <w:r>
        <w:rPr>
          <w:rFonts w:hint="eastAsia" w:ascii="宋体" w:hAnsi="宋体" w:eastAsia="宋体" w:cs="宋体"/>
          <w:color w:val="auto"/>
          <w:kern w:val="0"/>
          <w:sz w:val="24"/>
        </w:rPr>
        <w:t>质疑事项2</w:t>
      </w:r>
    </w:p>
    <w:p w14:paraId="6A6BC382">
      <w:pPr>
        <w:spacing w:line="360" w:lineRule="auto"/>
        <w:ind w:left="25" w:leftChars="12" w:firstLine="472" w:firstLineChars="197"/>
        <w:contextualSpacing/>
        <w:rPr>
          <w:rFonts w:hint="eastAsia" w:ascii="宋体" w:hAnsi="宋体" w:eastAsia="宋体" w:cs="宋体"/>
          <w:color w:val="auto"/>
          <w:kern w:val="0"/>
          <w:sz w:val="24"/>
        </w:rPr>
      </w:pPr>
      <w:r>
        <w:rPr>
          <w:rFonts w:hint="eastAsia" w:ascii="宋体" w:hAnsi="宋体" w:eastAsia="宋体" w:cs="宋体"/>
          <w:color w:val="auto"/>
          <w:kern w:val="0"/>
          <w:sz w:val="24"/>
        </w:rPr>
        <w:t>……</w:t>
      </w:r>
    </w:p>
    <w:p w14:paraId="3A7B7853">
      <w:pPr>
        <w:spacing w:line="360" w:lineRule="auto"/>
        <w:ind w:left="25" w:leftChars="12" w:firstLine="472" w:firstLineChars="197"/>
        <w:contextualSpacing/>
        <w:rPr>
          <w:rFonts w:hint="eastAsia" w:ascii="宋体" w:hAnsi="宋体" w:eastAsia="宋体" w:cs="宋体"/>
          <w:color w:val="auto"/>
          <w:kern w:val="0"/>
          <w:sz w:val="24"/>
        </w:rPr>
      </w:pPr>
      <w:r>
        <w:rPr>
          <w:rFonts w:hint="eastAsia" w:ascii="宋体" w:hAnsi="宋体" w:eastAsia="宋体" w:cs="宋体"/>
          <w:color w:val="auto"/>
          <w:kern w:val="0"/>
          <w:sz w:val="24"/>
        </w:rPr>
        <w:t>四、与质疑事项相关的质疑请求：</w:t>
      </w:r>
    </w:p>
    <w:p w14:paraId="57A30DF5">
      <w:pPr>
        <w:spacing w:line="360" w:lineRule="auto"/>
        <w:ind w:left="25" w:leftChars="12" w:firstLine="472" w:firstLineChars="197"/>
        <w:contextualSpacing/>
        <w:rPr>
          <w:rFonts w:hint="eastAsia" w:ascii="宋体" w:hAnsi="宋体" w:eastAsia="宋体" w:cs="宋体"/>
          <w:color w:val="auto"/>
          <w:kern w:val="0"/>
          <w:sz w:val="24"/>
        </w:rPr>
      </w:pPr>
      <w:r>
        <w:rPr>
          <w:rFonts w:hint="eastAsia" w:ascii="宋体" w:hAnsi="宋体" w:eastAsia="宋体" w:cs="宋体"/>
          <w:color w:val="auto"/>
          <w:kern w:val="0"/>
          <w:sz w:val="24"/>
        </w:rPr>
        <w:t>请求：</w:t>
      </w:r>
    </w:p>
    <w:p w14:paraId="73EED7C8">
      <w:pPr>
        <w:spacing w:line="360" w:lineRule="auto"/>
        <w:ind w:left="25" w:leftChars="12" w:firstLine="352" w:firstLineChars="147"/>
        <w:contextualSpacing/>
        <w:rPr>
          <w:rFonts w:hint="eastAsia" w:ascii="宋体" w:hAnsi="宋体" w:eastAsia="宋体" w:cs="宋体"/>
          <w:color w:val="auto"/>
          <w:kern w:val="0"/>
          <w:sz w:val="24"/>
        </w:rPr>
      </w:pPr>
    </w:p>
    <w:p w14:paraId="345F6C83">
      <w:pPr>
        <w:spacing w:line="360" w:lineRule="auto"/>
        <w:ind w:left="25" w:leftChars="12" w:firstLine="472" w:firstLineChars="197"/>
        <w:contextualSpacing/>
        <w:rPr>
          <w:rFonts w:hint="eastAsia" w:ascii="宋体" w:hAnsi="宋体" w:eastAsia="宋体" w:cs="宋体"/>
          <w:color w:val="auto"/>
          <w:kern w:val="0"/>
          <w:sz w:val="24"/>
        </w:rPr>
      </w:pPr>
      <w:r>
        <w:rPr>
          <w:rFonts w:hint="eastAsia" w:ascii="宋体" w:hAnsi="宋体" w:eastAsia="宋体" w:cs="宋体"/>
          <w:color w:val="auto"/>
          <w:kern w:val="0"/>
          <w:sz w:val="24"/>
        </w:rPr>
        <w:t>签字（签章）：                                       公章：</w:t>
      </w:r>
    </w:p>
    <w:p w14:paraId="4B165BFD">
      <w:pPr>
        <w:spacing w:line="360" w:lineRule="auto"/>
        <w:ind w:left="25" w:leftChars="12" w:firstLine="352" w:firstLineChars="147"/>
        <w:contextualSpacing/>
        <w:rPr>
          <w:rFonts w:hint="eastAsia" w:ascii="宋体" w:hAnsi="宋体" w:eastAsia="宋体" w:cs="宋体"/>
          <w:color w:val="auto"/>
          <w:kern w:val="0"/>
          <w:sz w:val="24"/>
        </w:rPr>
      </w:pPr>
    </w:p>
    <w:p w14:paraId="58E09CC8">
      <w:pPr>
        <w:spacing w:line="360" w:lineRule="auto"/>
        <w:ind w:left="25" w:leftChars="12" w:firstLine="472" w:firstLineChars="197"/>
        <w:contextualSpacing/>
        <w:rPr>
          <w:rFonts w:hint="eastAsia" w:ascii="宋体" w:hAnsi="宋体" w:eastAsia="宋体" w:cs="宋体"/>
          <w:color w:val="auto"/>
          <w:kern w:val="0"/>
          <w:sz w:val="24"/>
        </w:rPr>
      </w:pPr>
      <w:r>
        <w:rPr>
          <w:rFonts w:hint="eastAsia" w:ascii="宋体" w:hAnsi="宋体" w:eastAsia="宋体" w:cs="宋体"/>
          <w:color w:val="auto"/>
          <w:kern w:val="0"/>
          <w:sz w:val="24"/>
        </w:rPr>
        <w:t>日期：</w:t>
      </w:r>
    </w:p>
    <w:p w14:paraId="5944513C">
      <w:pPr>
        <w:spacing w:line="360" w:lineRule="auto"/>
        <w:ind w:firstLine="482"/>
        <w:rPr>
          <w:rFonts w:hint="eastAsia" w:ascii="宋体" w:hAnsi="宋体" w:eastAsia="宋体" w:cs="宋体"/>
          <w:b/>
          <w:color w:val="auto"/>
          <w:kern w:val="0"/>
          <w:sz w:val="24"/>
        </w:rPr>
      </w:pPr>
    </w:p>
    <w:p w14:paraId="22045074">
      <w:pPr>
        <w:spacing w:line="360" w:lineRule="auto"/>
        <w:ind w:firstLine="482"/>
        <w:rPr>
          <w:rFonts w:hint="eastAsia" w:ascii="宋体" w:hAnsi="宋体" w:eastAsia="宋体" w:cs="宋体"/>
          <w:b/>
          <w:color w:val="auto"/>
          <w:kern w:val="0"/>
          <w:sz w:val="24"/>
        </w:rPr>
      </w:pPr>
    </w:p>
    <w:p w14:paraId="08B16064">
      <w:pPr>
        <w:spacing w:line="360" w:lineRule="auto"/>
        <w:ind w:firstLine="482"/>
        <w:rPr>
          <w:rFonts w:hint="eastAsia" w:ascii="宋体" w:hAnsi="宋体" w:eastAsia="宋体" w:cs="宋体"/>
          <w:b/>
          <w:color w:val="auto"/>
          <w:kern w:val="0"/>
          <w:sz w:val="24"/>
        </w:rPr>
      </w:pPr>
      <w:r>
        <w:rPr>
          <w:rFonts w:hint="eastAsia" w:ascii="宋体" w:hAnsi="宋体" w:eastAsia="宋体" w:cs="宋体"/>
          <w:b/>
          <w:color w:val="auto"/>
          <w:kern w:val="0"/>
          <w:sz w:val="24"/>
        </w:rPr>
        <w:t>说明：</w:t>
      </w:r>
    </w:p>
    <w:p w14:paraId="59A1FAB5">
      <w:pPr>
        <w:spacing w:line="360" w:lineRule="auto"/>
        <w:ind w:left="25" w:leftChars="12" w:firstLine="354" w:firstLineChars="147"/>
        <w:contextualSpacing/>
        <w:rPr>
          <w:rFonts w:hint="eastAsia" w:ascii="宋体" w:hAnsi="宋体" w:eastAsia="宋体" w:cs="宋体"/>
          <w:b/>
          <w:bCs/>
          <w:color w:val="auto"/>
          <w:kern w:val="0"/>
          <w:sz w:val="24"/>
        </w:rPr>
      </w:pPr>
      <w:r>
        <w:rPr>
          <w:rFonts w:hint="eastAsia" w:ascii="宋体" w:hAnsi="宋体" w:eastAsia="宋体" w:cs="宋体"/>
          <w:b/>
          <w:color w:val="auto"/>
          <w:kern w:val="0"/>
          <w:sz w:val="24"/>
        </w:rPr>
        <w:t>1.供应商提出质疑时，应提交质疑函和必要的证明材料</w:t>
      </w:r>
      <w:r>
        <w:rPr>
          <w:rFonts w:hint="eastAsia" w:ascii="宋体" w:hAnsi="宋体" w:eastAsia="宋体" w:cs="宋体"/>
          <w:b/>
          <w:bCs/>
          <w:color w:val="auto"/>
          <w:kern w:val="0"/>
          <w:sz w:val="24"/>
        </w:rPr>
        <w:t>。</w:t>
      </w:r>
    </w:p>
    <w:p w14:paraId="3EB12F30">
      <w:pPr>
        <w:spacing w:line="360" w:lineRule="auto"/>
        <w:ind w:left="25" w:leftChars="12" w:firstLine="354" w:firstLineChars="147"/>
        <w:contextualSpacing/>
        <w:rPr>
          <w:rFonts w:hint="eastAsia" w:ascii="宋体" w:hAnsi="宋体" w:eastAsia="宋体" w:cs="宋体"/>
          <w:b/>
          <w:color w:val="auto"/>
          <w:kern w:val="0"/>
          <w:sz w:val="24"/>
        </w:rPr>
      </w:pPr>
      <w:r>
        <w:rPr>
          <w:rFonts w:hint="eastAsia" w:ascii="宋体" w:hAnsi="宋体" w:eastAsia="宋体" w:cs="宋体"/>
          <w:b/>
          <w:color w:val="auto"/>
          <w:kern w:val="0"/>
          <w:sz w:val="24"/>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38378B2E">
      <w:pPr>
        <w:spacing w:line="360" w:lineRule="auto"/>
        <w:ind w:left="25" w:leftChars="12" w:firstLine="354" w:firstLineChars="147"/>
        <w:contextualSpacing/>
        <w:rPr>
          <w:rFonts w:hint="eastAsia" w:ascii="宋体" w:hAnsi="宋体" w:eastAsia="宋体" w:cs="宋体"/>
          <w:b/>
          <w:color w:val="auto"/>
          <w:kern w:val="0"/>
          <w:sz w:val="24"/>
        </w:rPr>
      </w:pPr>
      <w:r>
        <w:rPr>
          <w:rFonts w:hint="eastAsia" w:ascii="宋体" w:hAnsi="宋体" w:eastAsia="宋体" w:cs="宋体"/>
          <w:b/>
          <w:color w:val="auto"/>
          <w:kern w:val="0"/>
          <w:sz w:val="24"/>
        </w:rPr>
        <w:t>3.质疑函的质疑事项应具体、明确，并有必要的事实依据和法律依据。</w:t>
      </w:r>
    </w:p>
    <w:p w14:paraId="4BAEF6C2">
      <w:pPr>
        <w:spacing w:line="360" w:lineRule="auto"/>
        <w:ind w:left="25" w:leftChars="12" w:firstLine="354" w:firstLineChars="147"/>
        <w:contextualSpacing/>
        <w:rPr>
          <w:rFonts w:hint="eastAsia" w:ascii="宋体" w:hAnsi="宋体" w:eastAsia="宋体" w:cs="宋体"/>
          <w:b/>
          <w:color w:val="auto"/>
          <w:kern w:val="0"/>
          <w:sz w:val="24"/>
        </w:rPr>
      </w:pPr>
      <w:r>
        <w:rPr>
          <w:rFonts w:hint="eastAsia" w:ascii="宋体" w:hAnsi="宋体" w:eastAsia="宋体" w:cs="宋体"/>
          <w:b/>
          <w:color w:val="auto"/>
          <w:kern w:val="0"/>
          <w:sz w:val="24"/>
        </w:rPr>
        <w:t>4.质疑函的质疑请求应与质疑事项相关。</w:t>
      </w:r>
    </w:p>
    <w:p w14:paraId="0AB19856">
      <w:pPr>
        <w:spacing w:line="360" w:lineRule="auto"/>
        <w:ind w:left="25" w:leftChars="12" w:firstLine="354" w:firstLineChars="147"/>
        <w:contextualSpacing/>
        <w:rPr>
          <w:rFonts w:hint="eastAsia" w:ascii="宋体" w:hAnsi="宋体" w:eastAsia="宋体" w:cs="宋体"/>
          <w:b/>
          <w:color w:val="auto"/>
          <w:kern w:val="0"/>
          <w:sz w:val="20"/>
          <w:szCs w:val="21"/>
        </w:rPr>
      </w:pPr>
      <w:r>
        <w:rPr>
          <w:rFonts w:hint="eastAsia" w:ascii="宋体" w:hAnsi="宋体" w:eastAsia="宋体" w:cs="宋体"/>
          <w:b/>
          <w:color w:val="auto"/>
          <w:kern w:val="0"/>
          <w:sz w:val="24"/>
        </w:rPr>
        <w:t>5.质疑供应商为法人或者其他组织的，质疑函应由法定代表人、主要负责人，或者其授权代表签字或者盖章，并加盖公章。</w:t>
      </w:r>
    </w:p>
    <w:p w14:paraId="006833CA">
      <w:pPr>
        <w:snapToGrid w:val="0"/>
        <w:ind w:firstLine="482"/>
        <w:rPr>
          <w:rFonts w:hint="eastAsia" w:ascii="宋体" w:hAnsi="宋体" w:eastAsia="宋体" w:cs="宋体"/>
          <w:b/>
          <w:color w:val="auto"/>
          <w:kern w:val="0"/>
          <w:sz w:val="24"/>
        </w:rPr>
      </w:pPr>
    </w:p>
    <w:p w14:paraId="3BBEFF56">
      <w:pPr>
        <w:spacing w:line="460" w:lineRule="exact"/>
        <w:jc w:val="center"/>
        <w:rPr>
          <w:rFonts w:hint="eastAsia" w:ascii="宋体" w:hAnsi="宋体" w:eastAsia="宋体" w:cs="宋体"/>
          <w:color w:val="auto"/>
          <w:sz w:val="44"/>
        </w:rPr>
      </w:pPr>
      <w:r>
        <w:rPr>
          <w:rFonts w:hint="eastAsia" w:ascii="宋体" w:hAnsi="宋体" w:eastAsia="宋体" w:cs="宋体"/>
          <w:color w:val="auto"/>
          <w:sz w:val="44"/>
        </w:rPr>
        <w:br w:type="page"/>
      </w:r>
    </w:p>
    <w:p w14:paraId="7E069848">
      <w:pPr>
        <w:spacing w:line="360" w:lineRule="auto"/>
        <w:jc w:val="center"/>
        <w:rPr>
          <w:rFonts w:hint="eastAsia" w:ascii="宋体" w:hAnsi="宋体" w:eastAsia="宋体" w:cs="宋体"/>
          <w:b/>
          <w:bCs/>
          <w:color w:val="auto"/>
          <w:sz w:val="32"/>
          <w:szCs w:val="32"/>
        </w:rPr>
      </w:pPr>
      <w:r>
        <w:rPr>
          <w:rFonts w:hint="eastAsia" w:ascii="宋体" w:hAnsi="宋体" w:eastAsia="宋体" w:cs="宋体"/>
          <w:b/>
          <w:bCs/>
          <w:color w:val="auto"/>
          <w:sz w:val="32"/>
          <w:szCs w:val="32"/>
        </w:rPr>
        <w:t>投诉书（格式）</w:t>
      </w:r>
    </w:p>
    <w:p w14:paraId="7900CE36">
      <w:pPr>
        <w:snapToGrid w:val="0"/>
        <w:spacing w:line="360" w:lineRule="auto"/>
        <w:ind w:firstLine="482" w:firstLineChars="200"/>
        <w:rPr>
          <w:rFonts w:hint="eastAsia" w:ascii="宋体" w:hAnsi="宋体" w:eastAsia="宋体" w:cs="宋体"/>
          <w:b/>
          <w:bCs/>
          <w:color w:val="auto"/>
          <w:kern w:val="0"/>
          <w:sz w:val="24"/>
        </w:rPr>
      </w:pPr>
      <w:r>
        <w:rPr>
          <w:rFonts w:hint="eastAsia" w:ascii="宋体" w:hAnsi="宋体" w:eastAsia="宋体" w:cs="宋体"/>
          <w:b/>
          <w:bCs/>
          <w:color w:val="auto"/>
          <w:kern w:val="0"/>
          <w:sz w:val="24"/>
        </w:rPr>
        <w:t>一、投诉相关主体基本情况：</w:t>
      </w:r>
    </w:p>
    <w:p w14:paraId="551BA85A">
      <w:pPr>
        <w:snapToGrid w:val="0"/>
        <w:spacing w:line="360" w:lineRule="auto"/>
        <w:ind w:firstLine="480" w:firstLineChars="200"/>
        <w:rPr>
          <w:rFonts w:hint="eastAsia" w:ascii="宋体" w:hAnsi="宋体" w:eastAsia="宋体" w:cs="宋体"/>
          <w:bCs/>
          <w:color w:val="auto"/>
          <w:kern w:val="0"/>
          <w:sz w:val="24"/>
          <w:u w:val="single"/>
        </w:rPr>
      </w:pPr>
      <w:r>
        <w:rPr>
          <w:rFonts w:hint="eastAsia" w:ascii="宋体" w:hAnsi="宋体" w:eastAsia="宋体" w:cs="宋体"/>
          <w:bCs/>
          <w:color w:val="auto"/>
          <w:kern w:val="0"/>
          <w:sz w:val="24"/>
        </w:rPr>
        <w:t>供应商：</w:t>
      </w:r>
    </w:p>
    <w:p w14:paraId="15112D0A">
      <w:pPr>
        <w:snapToGrid w:val="0"/>
        <w:spacing w:line="360" w:lineRule="auto"/>
        <w:ind w:firstLine="480" w:firstLineChars="200"/>
        <w:rPr>
          <w:rFonts w:hint="eastAsia" w:ascii="宋体" w:hAnsi="宋体" w:eastAsia="宋体" w:cs="宋体"/>
          <w:bCs/>
          <w:color w:val="auto"/>
          <w:kern w:val="0"/>
          <w:sz w:val="24"/>
        </w:rPr>
      </w:pPr>
      <w:r>
        <w:rPr>
          <w:rFonts w:hint="eastAsia" w:ascii="宋体" w:hAnsi="宋体" w:eastAsia="宋体" w:cs="宋体"/>
          <w:bCs/>
          <w:color w:val="auto"/>
          <w:kern w:val="0"/>
          <w:sz w:val="24"/>
        </w:rPr>
        <w:t>地址：邮编：</w:t>
      </w:r>
    </w:p>
    <w:p w14:paraId="233B24C8">
      <w:pPr>
        <w:snapToGrid w:val="0"/>
        <w:spacing w:line="360" w:lineRule="auto"/>
        <w:ind w:firstLine="480" w:firstLineChars="200"/>
        <w:rPr>
          <w:rFonts w:hint="eastAsia" w:ascii="宋体" w:hAnsi="宋体" w:eastAsia="宋体" w:cs="宋体"/>
          <w:bCs/>
          <w:color w:val="auto"/>
          <w:kern w:val="0"/>
          <w:sz w:val="24"/>
          <w:u w:val="single"/>
        </w:rPr>
      </w:pPr>
      <w:r>
        <w:rPr>
          <w:rFonts w:hint="eastAsia" w:ascii="宋体" w:hAnsi="宋体" w:eastAsia="宋体" w:cs="宋体"/>
          <w:bCs/>
          <w:color w:val="auto"/>
          <w:kern w:val="0"/>
          <w:sz w:val="24"/>
        </w:rPr>
        <w:t>法定代表人/主要负责人：</w:t>
      </w:r>
    </w:p>
    <w:p w14:paraId="175181F5">
      <w:pPr>
        <w:snapToGrid w:val="0"/>
        <w:spacing w:line="360" w:lineRule="auto"/>
        <w:ind w:firstLine="480" w:firstLineChars="200"/>
        <w:rPr>
          <w:rFonts w:hint="eastAsia" w:ascii="宋体" w:hAnsi="宋体" w:eastAsia="宋体" w:cs="宋体"/>
          <w:bCs/>
          <w:color w:val="auto"/>
          <w:kern w:val="0"/>
          <w:sz w:val="24"/>
        </w:rPr>
      </w:pPr>
      <w:r>
        <w:rPr>
          <w:rFonts w:hint="eastAsia" w:ascii="宋体" w:hAnsi="宋体" w:eastAsia="宋体" w:cs="宋体"/>
          <w:bCs/>
          <w:color w:val="auto"/>
          <w:kern w:val="0"/>
          <w:sz w:val="24"/>
        </w:rPr>
        <w:t>联系电话：</w:t>
      </w:r>
    </w:p>
    <w:p w14:paraId="642A4776">
      <w:pPr>
        <w:snapToGrid w:val="0"/>
        <w:spacing w:line="360" w:lineRule="auto"/>
        <w:ind w:firstLine="480" w:firstLineChars="200"/>
        <w:rPr>
          <w:rFonts w:hint="eastAsia" w:ascii="宋体" w:hAnsi="宋体" w:eastAsia="宋体" w:cs="宋体"/>
          <w:bCs/>
          <w:color w:val="auto"/>
          <w:kern w:val="0"/>
          <w:sz w:val="24"/>
          <w:u w:val="single"/>
        </w:rPr>
      </w:pPr>
      <w:r>
        <w:rPr>
          <w:rFonts w:hint="eastAsia" w:ascii="宋体" w:hAnsi="宋体" w:eastAsia="宋体" w:cs="宋体"/>
          <w:bCs/>
          <w:color w:val="auto"/>
          <w:kern w:val="0"/>
          <w:sz w:val="24"/>
        </w:rPr>
        <w:t>授权代表：联系电话：</w:t>
      </w:r>
    </w:p>
    <w:p w14:paraId="3A3DEE8E">
      <w:pPr>
        <w:snapToGrid w:val="0"/>
        <w:spacing w:line="360" w:lineRule="auto"/>
        <w:ind w:firstLine="480" w:firstLineChars="200"/>
        <w:rPr>
          <w:rFonts w:hint="eastAsia" w:ascii="宋体" w:hAnsi="宋体" w:eastAsia="宋体" w:cs="宋体"/>
          <w:bCs/>
          <w:color w:val="auto"/>
          <w:kern w:val="0"/>
          <w:sz w:val="24"/>
          <w:u w:val="single"/>
        </w:rPr>
      </w:pPr>
      <w:r>
        <w:rPr>
          <w:rFonts w:hint="eastAsia" w:ascii="宋体" w:hAnsi="宋体" w:eastAsia="宋体" w:cs="宋体"/>
          <w:bCs/>
          <w:color w:val="auto"/>
          <w:kern w:val="0"/>
          <w:sz w:val="24"/>
        </w:rPr>
        <w:t>地址：</w:t>
      </w:r>
    </w:p>
    <w:p w14:paraId="13772D3E">
      <w:pPr>
        <w:snapToGrid w:val="0"/>
        <w:spacing w:line="360" w:lineRule="auto"/>
        <w:ind w:firstLine="480" w:firstLineChars="200"/>
        <w:rPr>
          <w:rFonts w:hint="eastAsia" w:ascii="宋体" w:hAnsi="宋体" w:eastAsia="宋体" w:cs="宋体"/>
          <w:bCs/>
          <w:color w:val="auto"/>
          <w:kern w:val="0"/>
          <w:sz w:val="24"/>
        </w:rPr>
      </w:pPr>
      <w:r>
        <w:rPr>
          <w:rFonts w:hint="eastAsia" w:ascii="宋体" w:hAnsi="宋体" w:eastAsia="宋体" w:cs="宋体"/>
          <w:bCs/>
          <w:color w:val="auto"/>
          <w:kern w:val="0"/>
          <w:sz w:val="24"/>
        </w:rPr>
        <w:t>邮编：</w:t>
      </w:r>
    </w:p>
    <w:p w14:paraId="605BD97B">
      <w:pPr>
        <w:snapToGrid w:val="0"/>
        <w:spacing w:line="360" w:lineRule="auto"/>
        <w:ind w:firstLine="480" w:firstLineChars="200"/>
        <w:rPr>
          <w:rFonts w:hint="eastAsia" w:ascii="宋体" w:hAnsi="宋体" w:eastAsia="宋体" w:cs="宋体"/>
          <w:bCs/>
          <w:color w:val="auto"/>
          <w:kern w:val="0"/>
          <w:sz w:val="24"/>
        </w:rPr>
      </w:pPr>
      <w:r>
        <w:rPr>
          <w:rFonts w:hint="eastAsia" w:ascii="宋体" w:hAnsi="宋体" w:eastAsia="宋体" w:cs="宋体"/>
          <w:bCs/>
          <w:color w:val="auto"/>
          <w:kern w:val="0"/>
          <w:sz w:val="24"/>
        </w:rPr>
        <w:t>被投诉人1：</w:t>
      </w:r>
    </w:p>
    <w:p w14:paraId="2AAB17F6">
      <w:pPr>
        <w:snapToGrid w:val="0"/>
        <w:spacing w:line="360" w:lineRule="auto"/>
        <w:ind w:firstLine="480" w:firstLineChars="200"/>
        <w:rPr>
          <w:rFonts w:hint="eastAsia" w:ascii="宋体" w:hAnsi="宋体" w:eastAsia="宋体" w:cs="宋体"/>
          <w:bCs/>
          <w:color w:val="auto"/>
          <w:kern w:val="0"/>
          <w:sz w:val="24"/>
          <w:u w:val="single"/>
        </w:rPr>
      </w:pPr>
      <w:r>
        <w:rPr>
          <w:rFonts w:hint="eastAsia" w:ascii="宋体" w:hAnsi="宋体" w:eastAsia="宋体" w:cs="宋体"/>
          <w:bCs/>
          <w:color w:val="auto"/>
          <w:kern w:val="0"/>
          <w:sz w:val="24"/>
        </w:rPr>
        <w:t>地址：</w:t>
      </w:r>
    </w:p>
    <w:p w14:paraId="38BCF7C0">
      <w:pPr>
        <w:snapToGrid w:val="0"/>
        <w:spacing w:line="360" w:lineRule="auto"/>
        <w:ind w:firstLine="480" w:firstLineChars="200"/>
        <w:rPr>
          <w:rFonts w:hint="eastAsia" w:ascii="宋体" w:hAnsi="宋体" w:eastAsia="宋体" w:cs="宋体"/>
          <w:bCs/>
          <w:color w:val="auto"/>
          <w:kern w:val="0"/>
          <w:sz w:val="24"/>
        </w:rPr>
      </w:pPr>
      <w:r>
        <w:rPr>
          <w:rFonts w:hint="eastAsia" w:ascii="宋体" w:hAnsi="宋体" w:eastAsia="宋体" w:cs="宋体"/>
          <w:bCs/>
          <w:color w:val="auto"/>
          <w:kern w:val="0"/>
          <w:sz w:val="24"/>
        </w:rPr>
        <w:t>邮编：</w:t>
      </w:r>
    </w:p>
    <w:p w14:paraId="53ACC94D">
      <w:pPr>
        <w:snapToGrid w:val="0"/>
        <w:spacing w:line="360" w:lineRule="auto"/>
        <w:ind w:firstLine="480" w:firstLineChars="200"/>
        <w:rPr>
          <w:rFonts w:hint="eastAsia" w:ascii="宋体" w:hAnsi="宋体" w:eastAsia="宋体" w:cs="宋体"/>
          <w:bCs/>
          <w:color w:val="auto"/>
          <w:kern w:val="0"/>
          <w:sz w:val="24"/>
          <w:u w:val="single"/>
        </w:rPr>
      </w:pPr>
      <w:r>
        <w:rPr>
          <w:rFonts w:hint="eastAsia" w:ascii="宋体" w:hAnsi="宋体" w:eastAsia="宋体" w:cs="宋体"/>
          <w:bCs/>
          <w:color w:val="auto"/>
          <w:kern w:val="0"/>
          <w:sz w:val="24"/>
        </w:rPr>
        <w:t>联系人：联系电话：</w:t>
      </w:r>
    </w:p>
    <w:p w14:paraId="0D255169">
      <w:pPr>
        <w:snapToGrid w:val="0"/>
        <w:spacing w:line="360" w:lineRule="auto"/>
        <w:ind w:firstLine="480" w:firstLineChars="200"/>
        <w:rPr>
          <w:rFonts w:hint="eastAsia" w:ascii="宋体" w:hAnsi="宋体" w:eastAsia="宋体" w:cs="宋体"/>
          <w:bCs/>
          <w:color w:val="auto"/>
          <w:kern w:val="0"/>
          <w:sz w:val="24"/>
        </w:rPr>
      </w:pPr>
      <w:r>
        <w:rPr>
          <w:rFonts w:hint="eastAsia" w:ascii="宋体" w:hAnsi="宋体" w:eastAsia="宋体" w:cs="宋体"/>
          <w:bCs/>
          <w:color w:val="auto"/>
          <w:kern w:val="0"/>
          <w:sz w:val="24"/>
        </w:rPr>
        <w:t>被投诉人2：</w:t>
      </w:r>
    </w:p>
    <w:p w14:paraId="39602A40">
      <w:pPr>
        <w:snapToGrid w:val="0"/>
        <w:spacing w:line="360" w:lineRule="auto"/>
        <w:ind w:firstLine="480" w:firstLineChars="200"/>
        <w:rPr>
          <w:rFonts w:hint="eastAsia" w:ascii="宋体" w:hAnsi="宋体" w:eastAsia="宋体" w:cs="宋体"/>
          <w:bCs/>
          <w:color w:val="auto"/>
          <w:kern w:val="0"/>
          <w:sz w:val="24"/>
        </w:rPr>
      </w:pPr>
      <w:r>
        <w:rPr>
          <w:rFonts w:hint="eastAsia" w:ascii="宋体" w:hAnsi="宋体" w:eastAsia="宋体" w:cs="宋体"/>
          <w:bCs/>
          <w:color w:val="auto"/>
          <w:kern w:val="0"/>
          <w:sz w:val="24"/>
        </w:rPr>
        <w:t>……</w:t>
      </w:r>
    </w:p>
    <w:p w14:paraId="1AA23896">
      <w:pPr>
        <w:snapToGrid w:val="0"/>
        <w:spacing w:line="360" w:lineRule="auto"/>
        <w:ind w:firstLine="480" w:firstLineChars="200"/>
        <w:rPr>
          <w:rFonts w:hint="eastAsia" w:ascii="宋体" w:hAnsi="宋体" w:eastAsia="宋体" w:cs="宋体"/>
          <w:bCs/>
          <w:color w:val="auto"/>
          <w:kern w:val="0"/>
          <w:sz w:val="24"/>
          <w:u w:val="single"/>
        </w:rPr>
      </w:pPr>
      <w:r>
        <w:rPr>
          <w:rFonts w:hint="eastAsia" w:ascii="宋体" w:hAnsi="宋体" w:eastAsia="宋体" w:cs="宋体"/>
          <w:bCs/>
          <w:color w:val="auto"/>
          <w:kern w:val="0"/>
          <w:sz w:val="24"/>
        </w:rPr>
        <w:t>相关供应商：</w:t>
      </w:r>
    </w:p>
    <w:p w14:paraId="777E2B4A">
      <w:pPr>
        <w:snapToGrid w:val="0"/>
        <w:spacing w:line="360" w:lineRule="auto"/>
        <w:ind w:firstLine="480" w:firstLineChars="200"/>
        <w:rPr>
          <w:rFonts w:hint="eastAsia" w:ascii="宋体" w:hAnsi="宋体" w:eastAsia="宋体" w:cs="宋体"/>
          <w:bCs/>
          <w:color w:val="auto"/>
          <w:kern w:val="0"/>
          <w:sz w:val="24"/>
          <w:u w:val="single"/>
        </w:rPr>
      </w:pPr>
      <w:r>
        <w:rPr>
          <w:rFonts w:hint="eastAsia" w:ascii="宋体" w:hAnsi="宋体" w:eastAsia="宋体" w:cs="宋体"/>
          <w:bCs/>
          <w:color w:val="auto"/>
          <w:kern w:val="0"/>
          <w:sz w:val="24"/>
        </w:rPr>
        <w:t>地址：邮编：</w:t>
      </w:r>
    </w:p>
    <w:p w14:paraId="6B40A90B">
      <w:pPr>
        <w:snapToGrid w:val="0"/>
        <w:spacing w:line="360" w:lineRule="auto"/>
        <w:ind w:firstLine="480" w:firstLineChars="200"/>
        <w:rPr>
          <w:rFonts w:hint="eastAsia" w:ascii="宋体" w:hAnsi="宋体" w:eastAsia="宋体" w:cs="宋体"/>
          <w:bCs/>
          <w:color w:val="auto"/>
          <w:kern w:val="0"/>
          <w:sz w:val="24"/>
        </w:rPr>
      </w:pPr>
      <w:r>
        <w:rPr>
          <w:rFonts w:hint="eastAsia" w:ascii="宋体" w:hAnsi="宋体" w:eastAsia="宋体" w:cs="宋体"/>
          <w:bCs/>
          <w:color w:val="auto"/>
          <w:kern w:val="0"/>
          <w:sz w:val="24"/>
        </w:rPr>
        <w:t>联系人：联系电话：</w:t>
      </w:r>
    </w:p>
    <w:p w14:paraId="03420532">
      <w:pPr>
        <w:snapToGrid w:val="0"/>
        <w:spacing w:line="360" w:lineRule="auto"/>
        <w:ind w:firstLine="482" w:firstLineChars="200"/>
        <w:rPr>
          <w:rFonts w:hint="eastAsia" w:ascii="宋体" w:hAnsi="宋体" w:eastAsia="宋体" w:cs="宋体"/>
          <w:b/>
          <w:bCs/>
          <w:color w:val="auto"/>
          <w:kern w:val="0"/>
          <w:sz w:val="24"/>
        </w:rPr>
      </w:pPr>
      <w:r>
        <w:rPr>
          <w:rFonts w:hint="eastAsia" w:ascii="宋体" w:hAnsi="宋体" w:eastAsia="宋体" w:cs="宋体"/>
          <w:b/>
          <w:bCs/>
          <w:color w:val="auto"/>
          <w:kern w:val="0"/>
          <w:sz w:val="24"/>
        </w:rPr>
        <w:t>二、投诉项目基本情况：</w:t>
      </w:r>
    </w:p>
    <w:p w14:paraId="133D8F1F">
      <w:pPr>
        <w:spacing w:line="360" w:lineRule="auto"/>
        <w:ind w:left="25" w:leftChars="12" w:firstLine="472" w:firstLineChars="197"/>
        <w:rPr>
          <w:rFonts w:hint="eastAsia" w:ascii="宋体" w:hAnsi="宋体" w:eastAsia="宋体" w:cs="宋体"/>
          <w:color w:val="auto"/>
          <w:kern w:val="0"/>
          <w:sz w:val="24"/>
        </w:rPr>
      </w:pPr>
      <w:r>
        <w:rPr>
          <w:rFonts w:hint="eastAsia" w:ascii="宋体" w:hAnsi="宋体" w:eastAsia="宋体" w:cs="宋体"/>
          <w:bCs/>
          <w:color w:val="auto"/>
          <w:kern w:val="0"/>
          <w:sz w:val="24"/>
        </w:rPr>
        <w:t>采购</w:t>
      </w:r>
      <w:r>
        <w:rPr>
          <w:rFonts w:hint="eastAsia" w:ascii="宋体" w:hAnsi="宋体" w:eastAsia="宋体" w:cs="宋体"/>
          <w:color w:val="auto"/>
          <w:kern w:val="0"/>
          <w:sz w:val="24"/>
        </w:rPr>
        <w:t>项目的名称：</w:t>
      </w:r>
      <w:bookmarkStart w:id="663" w:name="PO_3000001871_PM002_16"/>
      <w:r>
        <w:rPr>
          <w:rFonts w:hint="eastAsia" w:ascii="宋体" w:hAnsi="宋体" w:eastAsia="宋体" w:cs="宋体"/>
          <w:bCs/>
          <w:color w:val="auto"/>
          <w:kern w:val="0"/>
          <w:sz w:val="24"/>
          <w:u w:val="single"/>
        </w:rPr>
        <w:t>[项目采购-项目名称_]</w:t>
      </w:r>
      <w:bookmarkEnd w:id="663"/>
    </w:p>
    <w:p w14:paraId="67904441">
      <w:pPr>
        <w:spacing w:line="360" w:lineRule="auto"/>
        <w:ind w:left="25" w:leftChars="12" w:firstLine="472" w:firstLineChars="197"/>
        <w:rPr>
          <w:rFonts w:hint="eastAsia" w:ascii="宋体" w:hAnsi="宋体" w:eastAsia="宋体" w:cs="宋体"/>
          <w:color w:val="auto"/>
          <w:kern w:val="0"/>
          <w:sz w:val="24"/>
        </w:rPr>
      </w:pPr>
      <w:r>
        <w:rPr>
          <w:rFonts w:hint="eastAsia" w:ascii="宋体" w:hAnsi="宋体" w:eastAsia="宋体" w:cs="宋体"/>
          <w:bCs/>
          <w:color w:val="auto"/>
          <w:kern w:val="0"/>
          <w:sz w:val="24"/>
        </w:rPr>
        <w:t>采购</w:t>
      </w:r>
      <w:r>
        <w:rPr>
          <w:rFonts w:hint="eastAsia" w:ascii="宋体" w:hAnsi="宋体" w:eastAsia="宋体" w:cs="宋体"/>
          <w:color w:val="auto"/>
          <w:kern w:val="0"/>
          <w:sz w:val="24"/>
        </w:rPr>
        <w:t>项目的编号：</w:t>
      </w:r>
      <w:bookmarkStart w:id="664" w:name="PO_3000001871_PM001_10"/>
      <w:r>
        <w:rPr>
          <w:rFonts w:hint="eastAsia" w:ascii="宋体" w:hAnsi="宋体" w:eastAsia="宋体" w:cs="宋体"/>
          <w:bCs/>
          <w:color w:val="auto"/>
          <w:kern w:val="0"/>
          <w:sz w:val="24"/>
          <w:u w:val="single"/>
        </w:rPr>
        <w:t>[项目采购-项目编号_]</w:t>
      </w:r>
      <w:bookmarkEnd w:id="664"/>
    </w:p>
    <w:p w14:paraId="616ECF44">
      <w:pPr>
        <w:spacing w:line="360" w:lineRule="auto"/>
        <w:ind w:left="25" w:leftChars="12" w:firstLine="472" w:firstLineChars="197"/>
        <w:rPr>
          <w:rFonts w:hint="eastAsia" w:ascii="宋体" w:hAnsi="宋体" w:eastAsia="宋体" w:cs="宋体"/>
          <w:bCs/>
          <w:color w:val="auto"/>
          <w:kern w:val="0"/>
          <w:sz w:val="24"/>
          <w:u w:val="single"/>
        </w:rPr>
      </w:pPr>
      <w:r>
        <w:rPr>
          <w:rFonts w:hint="eastAsia" w:ascii="宋体" w:hAnsi="宋体" w:eastAsia="宋体" w:cs="宋体"/>
          <w:color w:val="auto"/>
          <w:kern w:val="0"/>
          <w:sz w:val="24"/>
        </w:rPr>
        <w:t>采购人名称：</w:t>
      </w:r>
      <w:bookmarkStart w:id="665" w:name="PO_3000001871_PM026_9"/>
      <w:r>
        <w:rPr>
          <w:rFonts w:hint="eastAsia" w:ascii="宋体" w:hAnsi="宋体" w:eastAsia="宋体" w:cs="宋体"/>
          <w:bCs/>
          <w:color w:val="auto"/>
          <w:kern w:val="0"/>
          <w:sz w:val="24"/>
          <w:u w:val="single"/>
        </w:rPr>
        <w:t>[项目采购-采购人_]</w:t>
      </w:r>
      <w:bookmarkEnd w:id="665"/>
    </w:p>
    <w:p w14:paraId="561FAABD">
      <w:pPr>
        <w:spacing w:line="360" w:lineRule="auto"/>
        <w:ind w:left="25" w:leftChars="12" w:firstLine="472" w:firstLineChars="197"/>
        <w:rPr>
          <w:rFonts w:hint="eastAsia" w:ascii="宋体" w:hAnsi="宋体" w:eastAsia="宋体" w:cs="宋体"/>
          <w:bCs/>
          <w:color w:val="auto"/>
          <w:kern w:val="0"/>
          <w:sz w:val="24"/>
          <w:u w:val="single"/>
        </w:rPr>
      </w:pPr>
      <w:r>
        <w:rPr>
          <w:rFonts w:hint="eastAsia" w:ascii="宋体" w:hAnsi="宋体" w:eastAsia="宋体" w:cs="宋体"/>
          <w:color w:val="auto"/>
          <w:kern w:val="0"/>
          <w:sz w:val="24"/>
        </w:rPr>
        <w:t>代理机构名称：</w:t>
      </w:r>
      <w:bookmarkStart w:id="666" w:name="PO_3000001871_PM031_5"/>
      <w:r>
        <w:rPr>
          <w:rFonts w:hint="eastAsia" w:ascii="宋体" w:hAnsi="宋体" w:eastAsia="宋体" w:cs="宋体"/>
          <w:bCs/>
          <w:color w:val="auto"/>
          <w:kern w:val="0"/>
          <w:sz w:val="24"/>
          <w:u w:val="single"/>
        </w:rPr>
        <w:t>[项目采购-采购组织机构_]</w:t>
      </w:r>
      <w:bookmarkEnd w:id="666"/>
    </w:p>
    <w:p w14:paraId="186E8D07">
      <w:pPr>
        <w:spacing w:line="360" w:lineRule="auto"/>
        <w:ind w:left="25" w:leftChars="12" w:firstLine="472" w:firstLineChars="197"/>
        <w:rPr>
          <w:rFonts w:hint="eastAsia" w:ascii="宋体" w:hAnsi="宋体" w:eastAsia="宋体" w:cs="宋体"/>
          <w:bCs/>
          <w:color w:val="auto"/>
          <w:kern w:val="0"/>
          <w:sz w:val="24"/>
          <w:u w:val="single"/>
        </w:rPr>
      </w:pPr>
      <w:r>
        <w:rPr>
          <w:rFonts w:hint="eastAsia" w:ascii="宋体" w:hAnsi="宋体" w:eastAsia="宋体" w:cs="宋体"/>
          <w:bCs/>
          <w:color w:val="auto"/>
          <w:kern w:val="0"/>
          <w:sz w:val="24"/>
        </w:rPr>
        <w:t>招标文件公告：</w:t>
      </w:r>
      <w:r>
        <w:rPr>
          <w:rFonts w:hint="eastAsia" w:ascii="宋体" w:hAnsi="宋体" w:eastAsia="宋体" w:cs="宋体"/>
          <w:bCs/>
          <w:color w:val="auto"/>
          <w:kern w:val="0"/>
          <w:sz w:val="24"/>
          <w:u w:val="single"/>
        </w:rPr>
        <w:t>是/否</w:t>
      </w:r>
      <w:r>
        <w:rPr>
          <w:rFonts w:hint="eastAsia" w:ascii="宋体" w:hAnsi="宋体" w:eastAsia="宋体" w:cs="宋体"/>
          <w:bCs/>
          <w:color w:val="auto"/>
          <w:kern w:val="0"/>
          <w:sz w:val="24"/>
        </w:rPr>
        <w:t>公告期限：</w:t>
      </w:r>
    </w:p>
    <w:p w14:paraId="205B1FCA">
      <w:pPr>
        <w:spacing w:line="360" w:lineRule="auto"/>
        <w:ind w:left="25" w:leftChars="12" w:firstLine="472" w:firstLineChars="197"/>
        <w:rPr>
          <w:rFonts w:hint="eastAsia" w:ascii="宋体" w:hAnsi="宋体" w:eastAsia="宋体" w:cs="宋体"/>
          <w:b/>
          <w:color w:val="auto"/>
          <w:kern w:val="0"/>
          <w:sz w:val="24"/>
        </w:rPr>
      </w:pPr>
      <w:r>
        <w:rPr>
          <w:rFonts w:hint="eastAsia" w:ascii="宋体" w:hAnsi="宋体" w:eastAsia="宋体" w:cs="宋体"/>
          <w:bCs/>
          <w:color w:val="auto"/>
          <w:kern w:val="0"/>
          <w:sz w:val="24"/>
        </w:rPr>
        <w:t>采购结果公告：</w:t>
      </w:r>
      <w:r>
        <w:rPr>
          <w:rFonts w:hint="eastAsia" w:ascii="宋体" w:hAnsi="宋体" w:eastAsia="宋体" w:cs="宋体"/>
          <w:bCs/>
          <w:color w:val="auto"/>
          <w:kern w:val="0"/>
          <w:sz w:val="24"/>
          <w:u w:val="single"/>
        </w:rPr>
        <w:t>是/否</w:t>
      </w:r>
      <w:r>
        <w:rPr>
          <w:rFonts w:hint="eastAsia" w:ascii="宋体" w:hAnsi="宋体" w:eastAsia="宋体" w:cs="宋体"/>
          <w:bCs/>
          <w:color w:val="auto"/>
          <w:kern w:val="0"/>
          <w:sz w:val="24"/>
        </w:rPr>
        <w:t>公告期限：</w:t>
      </w:r>
    </w:p>
    <w:p w14:paraId="6D06D6DA">
      <w:pPr>
        <w:spacing w:line="360" w:lineRule="auto"/>
        <w:ind w:left="25" w:leftChars="12" w:firstLine="472" w:firstLineChars="196"/>
        <w:rPr>
          <w:rFonts w:hint="eastAsia" w:ascii="宋体" w:hAnsi="宋体" w:eastAsia="宋体" w:cs="宋体"/>
          <w:b/>
          <w:color w:val="auto"/>
          <w:kern w:val="0"/>
          <w:sz w:val="24"/>
        </w:rPr>
      </w:pPr>
      <w:r>
        <w:rPr>
          <w:rFonts w:hint="eastAsia" w:ascii="宋体" w:hAnsi="宋体" w:eastAsia="宋体" w:cs="宋体"/>
          <w:b/>
          <w:color w:val="auto"/>
          <w:kern w:val="0"/>
          <w:sz w:val="24"/>
        </w:rPr>
        <w:t>三、质疑基本情况</w:t>
      </w:r>
    </w:p>
    <w:p w14:paraId="4BB86A20">
      <w:pPr>
        <w:spacing w:line="360" w:lineRule="auto"/>
        <w:ind w:firstLine="480" w:firstLineChars="200"/>
        <w:rPr>
          <w:rFonts w:hint="eastAsia" w:ascii="宋体" w:hAnsi="宋体" w:eastAsia="宋体" w:cs="宋体"/>
          <w:color w:val="auto"/>
          <w:kern w:val="0"/>
          <w:sz w:val="24"/>
        </w:rPr>
      </w:pPr>
      <w:r>
        <w:rPr>
          <w:rFonts w:hint="eastAsia" w:ascii="宋体" w:hAnsi="宋体" w:eastAsia="宋体" w:cs="宋体"/>
          <w:color w:val="auto"/>
          <w:kern w:val="0"/>
          <w:sz w:val="24"/>
        </w:rPr>
        <w:t>投诉人于年月日，向提出质疑，质疑事项为：</w:t>
      </w:r>
    </w:p>
    <w:p w14:paraId="636515CF">
      <w:pPr>
        <w:spacing w:line="360" w:lineRule="auto"/>
        <w:ind w:firstLine="480"/>
        <w:rPr>
          <w:rFonts w:hint="eastAsia" w:ascii="宋体" w:hAnsi="宋体" w:eastAsia="宋体" w:cs="宋体"/>
          <w:bCs/>
          <w:color w:val="auto"/>
          <w:kern w:val="0"/>
          <w:sz w:val="24"/>
          <w:u w:val="single"/>
        </w:rPr>
      </w:pPr>
    </w:p>
    <w:p w14:paraId="79DC329C">
      <w:pPr>
        <w:spacing w:line="360" w:lineRule="auto"/>
        <w:ind w:firstLine="480"/>
        <w:rPr>
          <w:rFonts w:hint="eastAsia" w:ascii="宋体" w:hAnsi="宋体" w:eastAsia="宋体" w:cs="宋体"/>
          <w:bCs/>
          <w:color w:val="auto"/>
          <w:kern w:val="0"/>
          <w:sz w:val="24"/>
          <w:u w:val="single"/>
        </w:rPr>
      </w:pPr>
    </w:p>
    <w:p w14:paraId="7AE051F8">
      <w:pPr>
        <w:spacing w:line="360" w:lineRule="auto"/>
        <w:ind w:firstLine="480" w:firstLineChars="200"/>
        <w:rPr>
          <w:rFonts w:hint="eastAsia" w:ascii="宋体" w:hAnsi="宋体" w:eastAsia="宋体" w:cs="宋体"/>
          <w:color w:val="auto"/>
          <w:kern w:val="0"/>
          <w:sz w:val="24"/>
        </w:rPr>
      </w:pPr>
      <w:r>
        <w:rPr>
          <w:rFonts w:hint="eastAsia" w:ascii="宋体" w:hAnsi="宋体" w:eastAsia="宋体" w:cs="宋体"/>
          <w:bCs/>
          <w:color w:val="auto"/>
          <w:kern w:val="0"/>
          <w:sz w:val="24"/>
          <w:u w:val="single"/>
        </w:rPr>
        <w:t>采购人/代理机构</w:t>
      </w:r>
      <w:r>
        <w:rPr>
          <w:rFonts w:hint="eastAsia" w:ascii="宋体" w:hAnsi="宋体" w:eastAsia="宋体" w:cs="宋体"/>
          <w:bCs/>
          <w:color w:val="auto"/>
          <w:kern w:val="0"/>
          <w:sz w:val="24"/>
        </w:rPr>
        <w:t>于</w:t>
      </w:r>
      <w:r>
        <w:rPr>
          <w:rFonts w:hint="eastAsia" w:ascii="宋体" w:hAnsi="宋体" w:eastAsia="宋体" w:cs="宋体"/>
          <w:color w:val="auto"/>
          <w:kern w:val="0"/>
          <w:sz w:val="24"/>
        </w:rPr>
        <w:t>年月日，</w:t>
      </w:r>
      <w:r>
        <w:rPr>
          <w:rFonts w:hint="eastAsia" w:ascii="宋体" w:hAnsi="宋体" w:eastAsia="宋体" w:cs="宋体"/>
          <w:bCs/>
          <w:color w:val="auto"/>
          <w:kern w:val="0"/>
          <w:sz w:val="24"/>
        </w:rPr>
        <w:t xml:space="preserve">就质疑事项作出了答复/没有在法定期限内作出答复。                                                                                             </w:t>
      </w:r>
    </w:p>
    <w:p w14:paraId="5F8A00E1">
      <w:pPr>
        <w:spacing w:line="360" w:lineRule="auto"/>
        <w:ind w:left="25" w:leftChars="12" w:firstLine="472" w:firstLineChars="196"/>
        <w:rPr>
          <w:rFonts w:hint="eastAsia" w:ascii="宋体" w:hAnsi="宋体" w:eastAsia="宋体" w:cs="宋体"/>
          <w:b/>
          <w:color w:val="auto"/>
          <w:kern w:val="0"/>
          <w:sz w:val="24"/>
        </w:rPr>
      </w:pPr>
      <w:r>
        <w:rPr>
          <w:rFonts w:hint="eastAsia" w:ascii="宋体" w:hAnsi="宋体" w:eastAsia="宋体" w:cs="宋体"/>
          <w:b/>
          <w:color w:val="auto"/>
          <w:kern w:val="0"/>
          <w:sz w:val="24"/>
        </w:rPr>
        <w:t>四、投诉事项具体内容</w:t>
      </w:r>
    </w:p>
    <w:p w14:paraId="2A2BC39F">
      <w:pPr>
        <w:spacing w:line="360" w:lineRule="auto"/>
        <w:ind w:left="25" w:leftChars="12" w:firstLine="472" w:firstLineChars="197"/>
        <w:rPr>
          <w:rFonts w:hint="eastAsia" w:ascii="宋体" w:hAnsi="宋体" w:eastAsia="宋体" w:cs="宋体"/>
          <w:bCs/>
          <w:color w:val="auto"/>
          <w:kern w:val="0"/>
          <w:sz w:val="24"/>
          <w:u w:val="single"/>
        </w:rPr>
      </w:pPr>
      <w:r>
        <w:rPr>
          <w:rFonts w:hint="eastAsia" w:ascii="宋体" w:hAnsi="宋体" w:eastAsia="宋体" w:cs="宋体"/>
          <w:color w:val="auto"/>
          <w:kern w:val="0"/>
          <w:sz w:val="24"/>
        </w:rPr>
        <w:t>投诉事项1：</w:t>
      </w:r>
    </w:p>
    <w:p w14:paraId="6BCE5FFD">
      <w:pPr>
        <w:spacing w:line="360" w:lineRule="auto"/>
        <w:ind w:firstLine="480" w:firstLineChars="200"/>
        <w:rPr>
          <w:rFonts w:hint="eastAsia" w:ascii="宋体" w:hAnsi="宋体" w:eastAsia="宋体" w:cs="宋体"/>
          <w:bCs/>
          <w:color w:val="auto"/>
          <w:kern w:val="0"/>
          <w:sz w:val="24"/>
          <w:u w:val="single"/>
        </w:rPr>
      </w:pPr>
      <w:r>
        <w:rPr>
          <w:rFonts w:hint="eastAsia" w:ascii="宋体" w:hAnsi="宋体" w:eastAsia="宋体" w:cs="宋体"/>
          <w:bCs/>
          <w:color w:val="auto"/>
          <w:kern w:val="0"/>
          <w:sz w:val="24"/>
        </w:rPr>
        <w:t>事实依据：</w:t>
      </w:r>
    </w:p>
    <w:p w14:paraId="4D58F946">
      <w:pPr>
        <w:spacing w:line="360" w:lineRule="auto"/>
        <w:ind w:left="25" w:leftChars="12" w:firstLine="472" w:firstLineChars="197"/>
        <w:rPr>
          <w:rFonts w:hint="eastAsia" w:ascii="宋体" w:hAnsi="宋体" w:eastAsia="宋体" w:cs="宋体"/>
          <w:color w:val="auto"/>
          <w:kern w:val="0"/>
          <w:sz w:val="24"/>
        </w:rPr>
      </w:pPr>
    </w:p>
    <w:p w14:paraId="051F63D1">
      <w:pPr>
        <w:spacing w:line="360" w:lineRule="auto"/>
        <w:ind w:firstLine="480" w:firstLineChars="200"/>
        <w:rPr>
          <w:rFonts w:hint="eastAsia" w:ascii="宋体" w:hAnsi="宋体" w:eastAsia="宋体" w:cs="宋体"/>
          <w:bCs/>
          <w:color w:val="auto"/>
          <w:kern w:val="0"/>
          <w:sz w:val="24"/>
          <w:u w:val="single"/>
        </w:rPr>
      </w:pPr>
      <w:r>
        <w:rPr>
          <w:rFonts w:hint="eastAsia" w:ascii="宋体" w:hAnsi="宋体" w:eastAsia="宋体" w:cs="宋体"/>
          <w:bCs/>
          <w:color w:val="auto"/>
          <w:kern w:val="0"/>
          <w:sz w:val="24"/>
        </w:rPr>
        <w:t>法律依据：</w:t>
      </w:r>
    </w:p>
    <w:p w14:paraId="053D35F6">
      <w:pPr>
        <w:spacing w:line="360" w:lineRule="auto"/>
        <w:ind w:left="25" w:leftChars="12" w:firstLine="352" w:firstLineChars="147"/>
        <w:rPr>
          <w:rFonts w:hint="eastAsia" w:ascii="宋体" w:hAnsi="宋体" w:eastAsia="宋体" w:cs="宋体"/>
          <w:bCs/>
          <w:color w:val="auto"/>
          <w:kern w:val="0"/>
          <w:sz w:val="24"/>
          <w:u w:val="single"/>
        </w:rPr>
      </w:pPr>
    </w:p>
    <w:p w14:paraId="2B36C572">
      <w:pPr>
        <w:spacing w:line="360" w:lineRule="auto"/>
        <w:ind w:left="25" w:leftChars="12" w:firstLine="472" w:firstLineChars="197"/>
        <w:rPr>
          <w:rFonts w:hint="eastAsia" w:ascii="宋体" w:hAnsi="宋体" w:eastAsia="宋体" w:cs="宋体"/>
          <w:bCs/>
          <w:color w:val="auto"/>
          <w:kern w:val="0"/>
          <w:sz w:val="24"/>
        </w:rPr>
      </w:pPr>
      <w:r>
        <w:rPr>
          <w:rFonts w:hint="eastAsia" w:ascii="宋体" w:hAnsi="宋体" w:eastAsia="宋体" w:cs="宋体"/>
          <w:color w:val="auto"/>
          <w:kern w:val="0"/>
          <w:sz w:val="24"/>
        </w:rPr>
        <w:t xml:space="preserve">投诉事项2  </w:t>
      </w:r>
    </w:p>
    <w:p w14:paraId="14AA9807">
      <w:pPr>
        <w:spacing w:line="360" w:lineRule="auto"/>
        <w:ind w:left="25" w:leftChars="12" w:firstLine="472" w:firstLineChars="197"/>
        <w:rPr>
          <w:rFonts w:hint="eastAsia" w:ascii="宋体" w:hAnsi="宋体" w:eastAsia="宋体" w:cs="宋体"/>
          <w:bCs/>
          <w:color w:val="auto"/>
          <w:kern w:val="0"/>
          <w:sz w:val="24"/>
        </w:rPr>
      </w:pPr>
      <w:r>
        <w:rPr>
          <w:rFonts w:hint="eastAsia" w:ascii="宋体" w:hAnsi="宋体" w:eastAsia="宋体" w:cs="宋体"/>
          <w:bCs/>
          <w:color w:val="auto"/>
          <w:kern w:val="0"/>
          <w:sz w:val="24"/>
        </w:rPr>
        <w:t>……</w:t>
      </w:r>
    </w:p>
    <w:p w14:paraId="551EF0CF">
      <w:pPr>
        <w:spacing w:line="360" w:lineRule="auto"/>
        <w:ind w:left="25" w:leftChars="12" w:firstLine="472" w:firstLineChars="196"/>
        <w:rPr>
          <w:rFonts w:hint="eastAsia" w:ascii="宋体" w:hAnsi="宋体" w:eastAsia="宋体" w:cs="宋体"/>
          <w:b/>
          <w:color w:val="auto"/>
          <w:kern w:val="0"/>
          <w:sz w:val="24"/>
        </w:rPr>
      </w:pPr>
      <w:r>
        <w:rPr>
          <w:rFonts w:hint="eastAsia" w:ascii="宋体" w:hAnsi="宋体" w:eastAsia="宋体" w:cs="宋体"/>
          <w:b/>
          <w:color w:val="auto"/>
          <w:kern w:val="0"/>
          <w:sz w:val="24"/>
        </w:rPr>
        <w:t>五、与投诉事项相关的投诉请求：</w:t>
      </w:r>
    </w:p>
    <w:p w14:paraId="5D884D62">
      <w:pPr>
        <w:spacing w:line="360" w:lineRule="auto"/>
        <w:ind w:left="25" w:leftChars="12" w:firstLine="472" w:firstLineChars="197"/>
        <w:rPr>
          <w:rFonts w:hint="eastAsia" w:ascii="宋体" w:hAnsi="宋体" w:eastAsia="宋体" w:cs="宋体"/>
          <w:color w:val="auto"/>
          <w:kern w:val="0"/>
          <w:sz w:val="24"/>
        </w:rPr>
      </w:pPr>
      <w:r>
        <w:rPr>
          <w:rFonts w:hint="eastAsia" w:ascii="宋体" w:hAnsi="宋体" w:eastAsia="宋体" w:cs="宋体"/>
          <w:color w:val="auto"/>
          <w:kern w:val="0"/>
          <w:sz w:val="24"/>
        </w:rPr>
        <w:t>请求：</w:t>
      </w:r>
    </w:p>
    <w:p w14:paraId="4D230F79">
      <w:pPr>
        <w:spacing w:line="360" w:lineRule="auto"/>
        <w:ind w:left="25" w:leftChars="12" w:firstLine="352" w:firstLineChars="147"/>
        <w:rPr>
          <w:rFonts w:hint="eastAsia" w:ascii="宋体" w:hAnsi="宋体" w:eastAsia="宋体" w:cs="宋体"/>
          <w:color w:val="auto"/>
          <w:kern w:val="0"/>
          <w:sz w:val="24"/>
        </w:rPr>
      </w:pPr>
    </w:p>
    <w:p w14:paraId="61EF5CFA">
      <w:pPr>
        <w:spacing w:line="360" w:lineRule="auto"/>
        <w:ind w:left="25" w:leftChars="12" w:firstLine="472" w:firstLineChars="197"/>
        <w:rPr>
          <w:rFonts w:hint="eastAsia" w:ascii="宋体" w:hAnsi="宋体" w:eastAsia="宋体" w:cs="宋体"/>
          <w:color w:val="auto"/>
          <w:kern w:val="0"/>
          <w:sz w:val="24"/>
        </w:rPr>
      </w:pPr>
      <w:r>
        <w:rPr>
          <w:rFonts w:hint="eastAsia" w:ascii="宋体" w:hAnsi="宋体" w:eastAsia="宋体" w:cs="宋体"/>
          <w:color w:val="auto"/>
          <w:kern w:val="0"/>
          <w:sz w:val="24"/>
        </w:rPr>
        <w:t>签字（签章）：                                       公章：</w:t>
      </w:r>
    </w:p>
    <w:p w14:paraId="30F76FC6">
      <w:pPr>
        <w:spacing w:line="360" w:lineRule="auto"/>
        <w:ind w:left="25" w:leftChars="12" w:firstLine="352" w:firstLineChars="147"/>
        <w:rPr>
          <w:rFonts w:hint="eastAsia" w:ascii="宋体" w:hAnsi="宋体" w:eastAsia="宋体" w:cs="宋体"/>
          <w:color w:val="auto"/>
          <w:kern w:val="0"/>
          <w:sz w:val="24"/>
        </w:rPr>
      </w:pPr>
    </w:p>
    <w:p w14:paraId="1177A4C5">
      <w:pPr>
        <w:spacing w:line="360" w:lineRule="auto"/>
        <w:ind w:left="25" w:leftChars="12" w:firstLine="472" w:firstLineChars="197"/>
        <w:rPr>
          <w:rFonts w:hint="eastAsia" w:ascii="宋体" w:hAnsi="宋体" w:eastAsia="宋体" w:cs="宋体"/>
          <w:color w:val="auto"/>
          <w:kern w:val="0"/>
          <w:sz w:val="24"/>
        </w:rPr>
      </w:pPr>
      <w:r>
        <w:rPr>
          <w:rFonts w:hint="eastAsia" w:ascii="宋体" w:hAnsi="宋体" w:eastAsia="宋体" w:cs="宋体"/>
          <w:color w:val="auto"/>
          <w:kern w:val="0"/>
          <w:sz w:val="24"/>
        </w:rPr>
        <w:t>日期：</w:t>
      </w:r>
    </w:p>
    <w:p w14:paraId="5EA30E27">
      <w:pPr>
        <w:spacing w:line="360" w:lineRule="auto"/>
        <w:ind w:left="25" w:leftChars="12" w:firstLine="472" w:firstLineChars="197"/>
        <w:rPr>
          <w:rFonts w:hint="eastAsia" w:ascii="宋体" w:hAnsi="宋体" w:eastAsia="宋体" w:cs="宋体"/>
          <w:color w:val="auto"/>
          <w:kern w:val="0"/>
          <w:sz w:val="24"/>
        </w:rPr>
      </w:pPr>
    </w:p>
    <w:p w14:paraId="00DD159E">
      <w:pPr>
        <w:snapToGrid w:val="0"/>
        <w:spacing w:line="360" w:lineRule="auto"/>
        <w:ind w:firstLine="482"/>
        <w:rPr>
          <w:rFonts w:hint="eastAsia" w:ascii="宋体" w:hAnsi="宋体" w:eastAsia="宋体" w:cs="宋体"/>
          <w:b/>
          <w:color w:val="auto"/>
          <w:kern w:val="0"/>
          <w:sz w:val="24"/>
        </w:rPr>
      </w:pPr>
    </w:p>
    <w:p w14:paraId="3CCF866B">
      <w:pPr>
        <w:snapToGrid w:val="0"/>
        <w:spacing w:line="360" w:lineRule="auto"/>
        <w:ind w:firstLine="482"/>
        <w:rPr>
          <w:rFonts w:hint="eastAsia" w:ascii="宋体" w:hAnsi="宋体" w:eastAsia="宋体" w:cs="宋体"/>
          <w:b/>
          <w:color w:val="auto"/>
          <w:kern w:val="0"/>
          <w:sz w:val="24"/>
        </w:rPr>
      </w:pPr>
      <w:r>
        <w:rPr>
          <w:rFonts w:hint="eastAsia" w:ascii="宋体" w:hAnsi="宋体" w:eastAsia="宋体" w:cs="宋体"/>
          <w:b/>
          <w:color w:val="auto"/>
          <w:kern w:val="0"/>
          <w:sz w:val="24"/>
        </w:rPr>
        <w:t>说明：</w:t>
      </w:r>
    </w:p>
    <w:p w14:paraId="2F42E67F">
      <w:pPr>
        <w:spacing w:line="360" w:lineRule="auto"/>
        <w:ind w:left="25" w:leftChars="12" w:firstLine="354" w:firstLineChars="147"/>
        <w:rPr>
          <w:rFonts w:hint="eastAsia" w:ascii="宋体" w:hAnsi="宋体" w:eastAsia="宋体" w:cs="宋体"/>
          <w:b/>
          <w:bCs/>
          <w:color w:val="auto"/>
          <w:kern w:val="0"/>
          <w:sz w:val="24"/>
        </w:rPr>
      </w:pPr>
      <w:r>
        <w:rPr>
          <w:rFonts w:hint="eastAsia" w:ascii="宋体" w:hAnsi="宋体" w:eastAsia="宋体" w:cs="宋体"/>
          <w:b/>
          <w:color w:val="auto"/>
          <w:kern w:val="0"/>
          <w:sz w:val="24"/>
        </w:rPr>
        <w:t>1.投诉人提起投诉时，应当提交投诉书和必要的证明材料，并按照被投诉人和与投诉事项有关的供应商数量提供投诉书副本</w:t>
      </w:r>
      <w:r>
        <w:rPr>
          <w:rFonts w:hint="eastAsia" w:ascii="宋体" w:hAnsi="宋体" w:eastAsia="宋体" w:cs="宋体"/>
          <w:b/>
          <w:bCs/>
          <w:color w:val="auto"/>
          <w:kern w:val="0"/>
          <w:sz w:val="24"/>
        </w:rPr>
        <w:t>。</w:t>
      </w:r>
    </w:p>
    <w:p w14:paraId="570FD855">
      <w:pPr>
        <w:spacing w:line="360" w:lineRule="auto"/>
        <w:ind w:left="25" w:leftChars="12" w:firstLine="354" w:firstLineChars="147"/>
        <w:rPr>
          <w:rFonts w:hint="eastAsia" w:ascii="宋体" w:hAnsi="宋体" w:eastAsia="宋体" w:cs="宋体"/>
          <w:b/>
          <w:color w:val="auto"/>
          <w:kern w:val="0"/>
          <w:sz w:val="24"/>
        </w:rPr>
      </w:pPr>
      <w:r>
        <w:rPr>
          <w:rFonts w:hint="eastAsia" w:ascii="宋体" w:hAnsi="宋体" w:eastAsia="宋体" w:cs="宋体"/>
          <w:b/>
          <w:color w:val="auto"/>
          <w:kern w:val="0"/>
          <w:sz w:val="24"/>
        </w:rPr>
        <w:t>2.投诉人若委托代理人进行投诉的，投诉书应按要求列明“授权代表”的有关内容，并在附件中提交由投诉人签署的授权委托书。授权委托书应当载明代理人的姓名或者名称、代理事项、具体权限、期限和相关事项。</w:t>
      </w:r>
    </w:p>
    <w:p w14:paraId="04F2B029">
      <w:pPr>
        <w:spacing w:line="360" w:lineRule="auto"/>
        <w:ind w:left="25" w:leftChars="12" w:firstLine="354" w:firstLineChars="147"/>
        <w:rPr>
          <w:rFonts w:hint="eastAsia" w:ascii="宋体" w:hAnsi="宋体" w:eastAsia="宋体" w:cs="宋体"/>
          <w:b/>
          <w:color w:val="auto"/>
          <w:kern w:val="0"/>
          <w:sz w:val="24"/>
        </w:rPr>
      </w:pPr>
      <w:r>
        <w:rPr>
          <w:rFonts w:hint="eastAsia" w:ascii="宋体" w:hAnsi="宋体" w:eastAsia="宋体" w:cs="宋体"/>
          <w:b/>
          <w:color w:val="auto"/>
          <w:kern w:val="0"/>
          <w:sz w:val="24"/>
        </w:rPr>
        <w:t>3.投诉书应简要列明质疑事项，质疑函、质疑答复等作为附件材料提供。</w:t>
      </w:r>
    </w:p>
    <w:p w14:paraId="57BD739E">
      <w:pPr>
        <w:spacing w:line="360" w:lineRule="auto"/>
        <w:ind w:left="25" w:leftChars="12" w:firstLine="354" w:firstLineChars="147"/>
        <w:rPr>
          <w:rFonts w:hint="eastAsia" w:ascii="宋体" w:hAnsi="宋体" w:eastAsia="宋体" w:cs="宋体"/>
          <w:b/>
          <w:color w:val="auto"/>
          <w:kern w:val="0"/>
          <w:sz w:val="24"/>
        </w:rPr>
      </w:pPr>
      <w:r>
        <w:rPr>
          <w:rFonts w:hint="eastAsia" w:ascii="宋体" w:hAnsi="宋体" w:eastAsia="宋体" w:cs="宋体"/>
          <w:b/>
          <w:color w:val="auto"/>
          <w:kern w:val="0"/>
          <w:sz w:val="24"/>
        </w:rPr>
        <w:t>4.投诉书的投诉事项应具体、明确，并有必要的事实依据和法律依据。</w:t>
      </w:r>
    </w:p>
    <w:p w14:paraId="22C80E07">
      <w:pPr>
        <w:spacing w:line="360" w:lineRule="auto"/>
        <w:ind w:left="25" w:leftChars="12" w:firstLine="354" w:firstLineChars="147"/>
        <w:rPr>
          <w:rFonts w:hint="eastAsia" w:ascii="宋体" w:hAnsi="宋体" w:eastAsia="宋体" w:cs="宋体"/>
          <w:b/>
          <w:color w:val="auto"/>
          <w:kern w:val="0"/>
          <w:sz w:val="24"/>
        </w:rPr>
      </w:pPr>
      <w:r>
        <w:rPr>
          <w:rFonts w:hint="eastAsia" w:ascii="宋体" w:hAnsi="宋体" w:eastAsia="宋体" w:cs="宋体"/>
          <w:b/>
          <w:color w:val="auto"/>
          <w:kern w:val="0"/>
          <w:sz w:val="24"/>
        </w:rPr>
        <w:t>5.投诉书的投诉请求应与投诉事项相关。</w:t>
      </w:r>
    </w:p>
    <w:p w14:paraId="5230638A">
      <w:pPr>
        <w:spacing w:line="360" w:lineRule="auto"/>
        <w:ind w:left="25" w:leftChars="12" w:firstLine="354" w:firstLineChars="147"/>
        <w:rPr>
          <w:rFonts w:hint="eastAsia" w:ascii="宋体" w:hAnsi="宋体" w:eastAsia="宋体" w:cs="宋体"/>
          <w:b/>
          <w:color w:val="auto"/>
          <w:kern w:val="0"/>
          <w:sz w:val="20"/>
          <w:szCs w:val="21"/>
        </w:rPr>
      </w:pPr>
      <w:r>
        <w:rPr>
          <w:rFonts w:hint="eastAsia" w:ascii="宋体" w:hAnsi="宋体" w:eastAsia="宋体" w:cs="宋体"/>
          <w:b/>
          <w:color w:val="auto"/>
          <w:kern w:val="0"/>
          <w:sz w:val="24"/>
        </w:rPr>
        <w:t>6.投诉人为法人或者其他组织的，投诉书应由法定代表人、主要负责人，或者其授权代表签字或者盖章，并加盖公章。</w:t>
      </w:r>
    </w:p>
    <w:p w14:paraId="29730F69">
      <w:pPr>
        <w:pStyle w:val="3"/>
        <w:rPr>
          <w:rFonts w:hint="eastAsia" w:ascii="宋体" w:hAnsi="宋体" w:eastAsia="宋体" w:cs="宋体"/>
          <w:color w:val="auto"/>
          <w:sz w:val="24"/>
          <w:highlight w:val="none"/>
        </w:rPr>
      </w:pPr>
    </w:p>
    <w:p w14:paraId="18F5010B">
      <w:pPr>
        <w:pStyle w:val="3"/>
        <w:rPr>
          <w:rFonts w:hint="eastAsia" w:ascii="宋体" w:hAnsi="宋体" w:eastAsia="宋体" w:cs="宋体"/>
          <w:color w:val="auto"/>
          <w:sz w:val="24"/>
          <w:highlight w:val="none"/>
        </w:rPr>
      </w:pPr>
    </w:p>
    <w:p w14:paraId="49718D65">
      <w:pPr>
        <w:pStyle w:val="3"/>
        <w:rPr>
          <w:rFonts w:hint="eastAsia" w:ascii="宋体" w:hAnsi="宋体" w:eastAsia="宋体" w:cs="宋体"/>
          <w:color w:val="auto"/>
          <w:sz w:val="24"/>
          <w:highlight w:val="none"/>
        </w:rPr>
      </w:pPr>
    </w:p>
    <w:p w14:paraId="7E2B680E">
      <w:pPr>
        <w:rPr>
          <w:rFonts w:hint="eastAsia" w:ascii="宋体" w:hAnsi="宋体" w:eastAsia="宋体" w:cs="宋体"/>
        </w:rPr>
      </w:pPr>
    </w:p>
    <w:sectPr>
      <w:footerReference r:id="rId12" w:type="first"/>
      <w:footerReference r:id="rId11" w:type="default"/>
      <w:pgSz w:w="11910" w:h="16840"/>
      <w:pgMar w:top="1340" w:right="1500" w:bottom="280" w:left="1680" w:header="720" w:footer="720" w:gutter="0"/>
      <w:pgNumType w:fmt="decimal"/>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Wingdings 2">
    <w:altName w:val="Wingdings"/>
    <w:panose1 w:val="05020102010507070707"/>
    <w:charset w:val="02"/>
    <w:family w:val="roman"/>
    <w:pitch w:val="default"/>
    <w:sig w:usb0="00000000" w:usb1="00000000" w:usb2="00000000" w:usb3="00000000" w:csb0="80000000" w:csb1="00000000"/>
  </w:font>
  <w:font w:name="Kingsoft UE">
    <w:panose1 w:val="02000100010000000000"/>
    <w:charset w:val="00"/>
    <w:family w:val="auto"/>
    <w:pitch w:val="default"/>
    <w:sig w:usb0="00000001" w:usb1="00004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5B1CA9">
    <w:pPr>
      <w:pStyle w:val="19"/>
      <w:spacing w:beforeLines="0" w:afterLines="0"/>
      <w:jc w:val="center"/>
      <w:rPr>
        <w:rFonts w:hint="default"/>
        <w:sz w:val="18"/>
        <w:szCs w:val="24"/>
      </w:rPr>
    </w:pPr>
    <w:r>
      <w:rPr>
        <w:rFonts w:hint="default"/>
        <w:sz w:val="18"/>
        <w:szCs w:val="24"/>
      </w:rPr>
      <w:fldChar w:fldCharType="begin"/>
    </w:r>
    <w:r>
      <w:rPr>
        <w:rFonts w:hint="default"/>
        <w:sz w:val="18"/>
        <w:szCs w:val="24"/>
      </w:rPr>
      <w:instrText xml:space="preserve">PAGE   \* MERGEFORMAT</w:instrText>
    </w:r>
    <w:r>
      <w:rPr>
        <w:rFonts w:hint="default"/>
        <w:sz w:val="18"/>
        <w:szCs w:val="24"/>
      </w:rPr>
      <w:fldChar w:fldCharType="separate"/>
    </w:r>
    <w:r>
      <w:rPr>
        <w:rFonts w:hint="default"/>
        <w:sz w:val="18"/>
        <w:szCs w:val="24"/>
        <w:lang w:val="zh-CN"/>
      </w:rPr>
      <w:t>2</w:t>
    </w:r>
    <w:r>
      <w:rPr>
        <w:rFonts w:hint="default"/>
        <w:sz w:val="18"/>
        <w:szCs w:val="24"/>
        <w:lang w:val="zh-CN"/>
      </w:rPr>
      <w:fldChar w:fldCharType="end"/>
    </w:r>
  </w:p>
  <w:p w14:paraId="490BF806">
    <w:pPr>
      <w:pStyle w:val="19"/>
      <w:spacing w:beforeLines="0" w:afterLines="0"/>
      <w:rPr>
        <w:rFonts w:hint="default"/>
        <w:sz w:val="18"/>
        <w:szCs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D24049">
    <w:pPr>
      <w:pStyle w:val="19"/>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CDAAEC1">
                          <w:pPr>
                            <w:pStyle w:val="19"/>
                            <w:rPr>
                              <w:rFonts w:hint="eastAsia"/>
                            </w:rPr>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F+UJskBAACZ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UX5QmyQEAAJkDAAAOAAAAAAAAAAEAIAAAAB4BAABkcnMvZTJvRG9j&#10;LnhtbFBLBQYAAAAABgAGAFkBAABZBQAAAAA=&#10;">
              <v:fill on="f" focussize="0,0"/>
              <v:stroke on="f"/>
              <v:imagedata o:title=""/>
              <o:lock v:ext="edit" aspectratio="f"/>
              <v:textbox inset="0mm,0mm,0mm,0mm" style="mso-fit-shape-to-text:t;">
                <w:txbxContent>
                  <w:p w14:paraId="4CDAAEC1">
                    <w:pPr>
                      <w:pStyle w:val="19"/>
                      <w:rPr>
                        <w:rFonts w:hint="eastAsia"/>
                      </w:rPr>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EC4624">
    <w:pPr>
      <w:spacing w:line="1" w:lineRule="exact"/>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D44F875">
                          <w:pPr>
                            <w:pStyle w:val="19"/>
                          </w:pPr>
                          <w:r>
                            <w:fldChar w:fldCharType="begin"/>
                          </w:r>
                          <w:r>
                            <w:instrText xml:space="preserve"> PAGE  \* MERGEFORMAT </w:instrText>
                          </w:r>
                          <w:r>
                            <w:fldChar w:fldCharType="separate"/>
                          </w:r>
                          <w:r>
                            <w:t>75</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1fWDnscBAACZAwAADgAAAAAAAAABACAAAAAeAQAAZHJzL2Uyb0RvYy54&#10;bWxQSwUGAAAAAAYABgBZAQAAVwUAAAAA&#10;">
              <v:fill on="f" focussize="0,0"/>
              <v:stroke on="f"/>
              <v:imagedata o:title=""/>
              <o:lock v:ext="edit" aspectratio="f"/>
              <v:textbox inset="0mm,0mm,0mm,0mm" style="mso-fit-shape-to-text:t;">
                <w:txbxContent>
                  <w:p w14:paraId="7D44F875">
                    <w:pPr>
                      <w:pStyle w:val="19"/>
                    </w:pPr>
                    <w:r>
                      <w:fldChar w:fldCharType="begin"/>
                    </w:r>
                    <w:r>
                      <w:instrText xml:space="preserve"> PAGE  \* MERGEFORMAT </w:instrText>
                    </w:r>
                    <w:r>
                      <w:fldChar w:fldCharType="separate"/>
                    </w:r>
                    <w:r>
                      <w:t>75</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80D3E9">
    <w:pPr>
      <w:pStyle w:val="19"/>
      <w:jc w:val="center"/>
    </w:pPr>
    <w:r>
      <w:fldChar w:fldCharType="begin"/>
    </w:r>
    <w:r>
      <w:instrText xml:space="preserve">PAGE   \* MERGEFORMAT</w:instrText>
    </w:r>
    <w:r>
      <w:fldChar w:fldCharType="separate"/>
    </w:r>
    <w:r>
      <w:rPr>
        <w:lang w:val="zh-CN"/>
      </w:rPr>
      <w:t>100</w:t>
    </w:r>
    <w:r>
      <w:fldChar w:fldCharType="end"/>
    </w:r>
  </w:p>
  <w:p w14:paraId="230D9627">
    <w:pPr>
      <w:pStyle w:val="19"/>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4D586E">
    <w:pPr>
      <w:spacing w:beforeLines="0" w:afterLines="0"/>
      <w:rPr>
        <w:rFonts w:hint="eastAsia"/>
        <w:sz w:val="21"/>
        <w:szCs w:val="24"/>
      </w:rPr>
    </w:pPr>
    <w:r>
      <w:rPr>
        <w:rFonts w:hint="default" w:eastAsia="宋体"/>
        <w:sz w:val="21"/>
        <w:szCs w:val="24"/>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5A9831C3">
                          <w:pPr>
                            <w:tabs>
                              <w:tab w:val="center" w:pos="4153"/>
                              <w:tab w:val="right" w:pos="8306"/>
                            </w:tabs>
                            <w:spacing w:beforeLines="0" w:afterLines="0"/>
                            <w:rPr>
                              <w:rFonts w:hint="eastAsia"/>
                              <w:sz w:val="21"/>
                              <w:szCs w:val="24"/>
                            </w:rPr>
                          </w:pPr>
                          <w:r>
                            <w:rPr>
                              <w:rFonts w:hint="eastAsia"/>
                              <w:sz w:val="21"/>
                              <w:szCs w:val="24"/>
                            </w:rPr>
                            <w:fldChar w:fldCharType="begin"/>
                          </w:r>
                          <w:r>
                            <w:rPr>
                              <w:rFonts w:hint="eastAsia"/>
                              <w:sz w:val="21"/>
                              <w:szCs w:val="24"/>
                            </w:rPr>
                            <w:instrText xml:space="preserve"> PAGE  \* MERGEFORMAT </w:instrText>
                          </w:r>
                          <w:r>
                            <w:rPr>
                              <w:rFonts w:hint="eastAsia"/>
                              <w:sz w:val="21"/>
                              <w:szCs w:val="24"/>
                            </w:rPr>
                            <w:fldChar w:fldCharType="separate"/>
                          </w:r>
                          <w:r>
                            <w:rPr>
                              <w:rFonts w:hint="eastAsia"/>
                              <w:sz w:val="21"/>
                              <w:szCs w:val="24"/>
                            </w:rPr>
                            <w:t>68</w:t>
                          </w:r>
                          <w:r>
                            <w:rPr>
                              <w:rFonts w:hint="eastAsia"/>
                              <w:sz w:val="21"/>
                              <w:szCs w:val="24"/>
                            </w:rPr>
                            <w:fldChar w:fldCharType="end"/>
                          </w:r>
                        </w:p>
                      </w:txbxContent>
                    </wps:txbx>
                    <wps:bodyPr vert="horz" wrap="none" lIns="0" tIns="0" rIns="0" bIns="0" anchor="t" anchorCtr="0" upright="1">
                      <a:spAutoFit/>
                    </wps:bodyPr>
                  </wps:wsp>
                </a:graphicData>
              </a:graphic>
            </wp:anchor>
          </w:drawing>
        </mc:Choice>
        <mc:Fallback>
          <w:pict>
            <v:shape id="文本框 4"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CzSVju0AAAAAUBAAAP&#10;AAAAAAAAAAEAIAAAACIAAABkcnMvZG93bnJldi54bWxQSwECFAAUAAAACACHTuJApRBVM+cBAADI&#10;AwAADgAAAAAAAAABACAAAAAfAQAAZHJzL2Uyb0RvYy54bWxQSwUGAAAAAAYABgBZAQAAeAUAAAAA&#10;">
              <v:fill on="f" focussize="0,0"/>
              <v:stroke on="f" weight="0.5pt"/>
              <v:imagedata o:title=""/>
              <o:lock v:ext="edit" aspectratio="f"/>
              <v:textbox inset="0mm,0mm,0mm,0mm" style="mso-fit-shape-to-text:t;">
                <w:txbxContent>
                  <w:p w14:paraId="5A9831C3">
                    <w:pPr>
                      <w:tabs>
                        <w:tab w:val="center" w:pos="4153"/>
                        <w:tab w:val="right" w:pos="8306"/>
                      </w:tabs>
                      <w:spacing w:beforeLines="0" w:afterLines="0"/>
                      <w:rPr>
                        <w:rFonts w:hint="eastAsia"/>
                        <w:sz w:val="21"/>
                        <w:szCs w:val="24"/>
                      </w:rPr>
                    </w:pPr>
                    <w:r>
                      <w:rPr>
                        <w:rFonts w:hint="eastAsia"/>
                        <w:sz w:val="21"/>
                        <w:szCs w:val="24"/>
                      </w:rPr>
                      <w:fldChar w:fldCharType="begin"/>
                    </w:r>
                    <w:r>
                      <w:rPr>
                        <w:rFonts w:hint="eastAsia"/>
                        <w:sz w:val="21"/>
                        <w:szCs w:val="24"/>
                      </w:rPr>
                      <w:instrText xml:space="preserve"> PAGE  \* MERGEFORMAT </w:instrText>
                    </w:r>
                    <w:r>
                      <w:rPr>
                        <w:rFonts w:hint="eastAsia"/>
                        <w:sz w:val="21"/>
                        <w:szCs w:val="24"/>
                      </w:rPr>
                      <w:fldChar w:fldCharType="separate"/>
                    </w:r>
                    <w:r>
                      <w:rPr>
                        <w:rFonts w:hint="eastAsia"/>
                        <w:sz w:val="21"/>
                        <w:szCs w:val="24"/>
                      </w:rPr>
                      <w:t>68</w:t>
                    </w:r>
                    <w:r>
                      <w:rPr>
                        <w:rFonts w:hint="eastAsia"/>
                        <w:sz w:val="21"/>
                        <w:szCs w:val="24"/>
                      </w:rP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0BC33C">
    <w:pPr>
      <w:pStyle w:val="19"/>
      <w:jc w:val="cente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CC4DA97">
                          <w:pPr>
                            <w:pStyle w:val="19"/>
                            <w:jc w:val="center"/>
                          </w:pPr>
                          <w:r>
                            <w:fldChar w:fldCharType="begin"/>
                          </w:r>
                          <w:r>
                            <w:instrText xml:space="preserve"> PAGE  \* MERGEFORMAT </w:instrText>
                          </w:r>
                          <w:r>
                            <w:fldChar w:fldCharType="separate"/>
                          </w:r>
                          <w:r>
                            <w:t>95</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FxjdksgBAACb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VhS4rjFiV9+/rj8+nP5/Z2g&#10;DwXqA9SYdx8wMw3v/IDJsx/QmXkPKtr8RUYE4yjv+SqvHBIR+dF6tV5XGBIYmy+Izx6ehwjpvfSW&#10;ZKOhEedXZOWnj5DG1DklV3P+ThtTZmjcPw7EzB6Wex97zFYa9sNEaO/bM/LpcfQNdbjplJgPDpXN&#10;WzIbcTb2s3EMUR+6ska5HoTbY8ImSm+5wgg7FcaZFXbTfuWleHwvWQ//1PYv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BcY3ZLIAQAAmwMAAA4AAAAAAAAAAQAgAAAAHgEAAGRycy9lMm9Eb2Mu&#10;eG1sUEsFBgAAAAAGAAYAWQEAAFgFAAAAAA==&#10;">
              <v:fill on="f" focussize="0,0"/>
              <v:stroke on="f"/>
              <v:imagedata o:title=""/>
              <o:lock v:ext="edit" aspectratio="f"/>
              <v:textbox inset="0mm,0mm,0mm,0mm" style="mso-fit-shape-to-text:t;">
                <w:txbxContent>
                  <w:p w14:paraId="1CC4DA97">
                    <w:pPr>
                      <w:pStyle w:val="19"/>
                      <w:jc w:val="center"/>
                    </w:pPr>
                    <w:r>
                      <w:fldChar w:fldCharType="begin"/>
                    </w:r>
                    <w:r>
                      <w:instrText xml:space="preserve"> PAGE  \* MERGEFORMAT </w:instrText>
                    </w:r>
                    <w:r>
                      <w:fldChar w:fldCharType="separate"/>
                    </w:r>
                    <w:r>
                      <w:t>95</w:t>
                    </w:r>
                    <w:r>
                      <w:fldChar w:fldCharType="end"/>
                    </w:r>
                  </w:p>
                </w:txbxContent>
              </v:textbox>
            </v:shape>
          </w:pict>
        </mc:Fallback>
      </mc:AlternateContent>
    </w:r>
  </w:p>
  <w:p w14:paraId="5DE284E6">
    <w:pPr>
      <w:pStyle w:val="19"/>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05A0FA">
    <w:pPr>
      <w:pStyle w:val="19"/>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55709F7">
                          <w:pPr>
                            <w:pStyle w:val="19"/>
                            <w:rPr>
                              <w:rFonts w:hint="eastAsia"/>
                            </w:rPr>
                          </w:pPr>
                          <w:r>
                            <w:rPr>
                              <w:rFonts w:hint="eastAsia"/>
                            </w:rPr>
                            <w:fldChar w:fldCharType="begin"/>
                          </w:r>
                          <w:r>
                            <w:rPr>
                              <w:rFonts w:hint="eastAsia"/>
                            </w:rPr>
                            <w:instrText xml:space="preserve"> PAGE  \* MERGEFORMAT </w:instrText>
                          </w:r>
                          <w:r>
                            <w:rPr>
                              <w:rFonts w:hint="eastAsia"/>
                            </w:rPr>
                            <w:fldChar w:fldCharType="separate"/>
                          </w:r>
                          <w:r>
                            <w:t>63</w:t>
                          </w:r>
                          <w:r>
                            <w:rPr>
                              <w:rFonts w:hint="eastAsia"/>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L97GEPIAQAAmwMAAA4AAAAAAAAAAQAgAAAAHgEAAGRycy9lMm9Eb2Mu&#10;eG1sUEsFBgAAAAAGAAYAWQEAAFgFAAAAAA==&#10;">
              <v:fill on="f" focussize="0,0"/>
              <v:stroke on="f"/>
              <v:imagedata o:title=""/>
              <o:lock v:ext="edit" aspectratio="f"/>
              <v:textbox inset="0mm,0mm,0mm,0mm" style="mso-fit-shape-to-text:t;">
                <w:txbxContent>
                  <w:p w14:paraId="755709F7">
                    <w:pPr>
                      <w:pStyle w:val="19"/>
                      <w:rPr>
                        <w:rFonts w:hint="eastAsia"/>
                      </w:rPr>
                    </w:pPr>
                    <w:r>
                      <w:rPr>
                        <w:rFonts w:hint="eastAsia"/>
                      </w:rPr>
                      <w:fldChar w:fldCharType="begin"/>
                    </w:r>
                    <w:r>
                      <w:rPr>
                        <w:rFonts w:hint="eastAsia"/>
                      </w:rPr>
                      <w:instrText xml:space="preserve"> PAGE  \* MERGEFORMAT </w:instrText>
                    </w:r>
                    <w:r>
                      <w:rPr>
                        <w:rFonts w:hint="eastAsia"/>
                      </w:rPr>
                      <w:fldChar w:fldCharType="separate"/>
                    </w:r>
                    <w:r>
                      <w:t>63</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5756D1">
    <w:pPr>
      <w:pStyle w:val="20"/>
      <w:tabs>
        <w:tab w:val="center" w:pos="0"/>
        <w:tab w:val="clear" w:pos="4153"/>
      </w:tabs>
      <w:spacing w:beforeLines="0" w:afterLines="0"/>
      <w:jc w:val="both"/>
      <w:rPr>
        <w:rFonts w:hint="default"/>
        <w:sz w:val="18"/>
        <w:szCs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0F069C">
    <w:pPr>
      <w:pStyle w:val="20"/>
      <w:pBdr>
        <w:bottom w:val="none" w:color="auto" w:sz="0" w:space="1"/>
      </w:pBdr>
      <w:rPr>
        <w:rFonts w:hint="eastAsia"/>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446AC9">
    <w:pPr>
      <w:spacing w:beforeLines="0" w:afterLines="0" w:line="400" w:lineRule="exact"/>
      <w:rPr>
        <w:rFonts w:hint="eastAsia"/>
        <w:sz w:val="21"/>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EBFE40C"/>
    <w:multiLevelType w:val="multilevel"/>
    <w:tmpl w:val="8EBFE40C"/>
    <w:lvl w:ilvl="0" w:tentative="0">
      <w:start w:val="1"/>
      <w:numFmt w:val="decimal"/>
      <w:suff w:val="nothing"/>
      <w:lvlText w:val="（%1）"/>
      <w:lvlJc w:val="left"/>
      <w:rPr>
        <w:rFonts w:hint="default"/>
        <w:u w:val="none" w:color="auto"/>
      </w:r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abstractNum w:abstractNumId="1">
    <w:nsid w:val="94ECCC7F"/>
    <w:multiLevelType w:val="singleLevel"/>
    <w:tmpl w:val="94ECCC7F"/>
    <w:lvl w:ilvl="0" w:tentative="0">
      <w:start w:val="1"/>
      <w:numFmt w:val="decimal"/>
      <w:pStyle w:val="9"/>
      <w:lvlText w:val="%1."/>
      <w:lvlJc w:val="left"/>
      <w:pPr>
        <w:tabs>
          <w:tab w:val="left" w:pos="360"/>
        </w:tabs>
        <w:ind w:left="360" w:hanging="360"/>
      </w:pPr>
    </w:lvl>
  </w:abstractNum>
  <w:abstractNum w:abstractNumId="2">
    <w:nsid w:val="A8BB11CC"/>
    <w:multiLevelType w:val="multilevel"/>
    <w:tmpl w:val="A8BB11CC"/>
    <w:lvl w:ilvl="0" w:tentative="0">
      <w:start w:val="5"/>
      <w:numFmt w:val="decimal"/>
      <w:suff w:val="nothing"/>
      <w:lvlText w:val="%1、"/>
      <w:lvlJc w:val="left"/>
      <w:rPr>
        <w:rFonts w:hint="default"/>
        <w:u w:val="none" w:color="auto"/>
      </w:r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abstractNum w:abstractNumId="3">
    <w:nsid w:val="B9128FB0"/>
    <w:multiLevelType w:val="singleLevel"/>
    <w:tmpl w:val="B9128FB0"/>
    <w:lvl w:ilvl="0" w:tentative="0">
      <w:start w:val="1"/>
      <w:numFmt w:val="chineseCounting"/>
      <w:suff w:val="nothing"/>
      <w:lvlText w:val="%1、"/>
      <w:lvlJc w:val="left"/>
      <w:rPr>
        <w:rFonts w:hint="eastAsia"/>
      </w:rPr>
    </w:lvl>
  </w:abstractNum>
  <w:abstractNum w:abstractNumId="4">
    <w:nsid w:val="D370C4B2"/>
    <w:multiLevelType w:val="multilevel"/>
    <w:tmpl w:val="D370C4B2"/>
    <w:lvl w:ilvl="0" w:tentative="0">
      <w:start w:val="1"/>
      <w:numFmt w:val="decimal"/>
      <w:suff w:val="nothing"/>
      <w:lvlText w:val="（%1）"/>
      <w:lvlJc w:val="left"/>
      <w:rPr>
        <w:rFonts w:hint="default"/>
        <w:u w:val="none" w:color="auto"/>
      </w:r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abstractNum w:abstractNumId="5">
    <w:nsid w:val="F8BDD49A"/>
    <w:multiLevelType w:val="multilevel"/>
    <w:tmpl w:val="F8BDD49A"/>
    <w:lvl w:ilvl="0" w:tentative="0">
      <w:start w:val="4"/>
      <w:numFmt w:val="decimal"/>
      <w:suff w:val="nothing"/>
      <w:lvlText w:val="（%1）"/>
      <w:lvlJc w:val="left"/>
      <w:rPr>
        <w:rFonts w:hint="default"/>
        <w:u w:val="none" w:color="auto"/>
      </w:r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abstractNum w:abstractNumId="6">
    <w:nsid w:val="00000006"/>
    <w:multiLevelType w:val="multilevel"/>
    <w:tmpl w:val="00000006"/>
    <w:lvl w:ilvl="0" w:tentative="0">
      <w:start w:val="1"/>
      <w:numFmt w:val="decimal"/>
      <w:suff w:val="nothing"/>
      <w:lvlText w:val="（%1）"/>
      <w:lvlJc w:val="left"/>
      <w:rPr>
        <w:rFonts w:hint="default"/>
        <w:u w:val="none" w:color="auto"/>
      </w:r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abstractNum w:abstractNumId="7">
    <w:nsid w:val="0A8D7890"/>
    <w:multiLevelType w:val="multilevel"/>
    <w:tmpl w:val="0A8D7890"/>
    <w:lvl w:ilvl="0" w:tentative="0">
      <w:start w:val="1"/>
      <w:numFmt w:val="decimal"/>
      <w:lvlText w:val="%1."/>
      <w:lvlJc w:val="left"/>
      <w:pPr>
        <w:tabs>
          <w:tab w:val="left" w:pos="312"/>
        </w:tabs>
      </w:pPr>
      <w:rPr>
        <w:rFonts w:hint="default"/>
        <w:u w:val="none" w:color="auto"/>
      </w:r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abstractNum w:abstractNumId="8">
    <w:nsid w:val="27E2D8D2"/>
    <w:multiLevelType w:val="multilevel"/>
    <w:tmpl w:val="27E2D8D2"/>
    <w:lvl w:ilvl="0" w:tentative="0">
      <w:start w:val="1"/>
      <w:numFmt w:val="decimal"/>
      <w:suff w:val="nothing"/>
      <w:lvlText w:val="（%1）"/>
      <w:lvlJc w:val="left"/>
      <w:rPr>
        <w:rFonts w:hint="default"/>
        <w:u w:val="none" w:color="auto"/>
      </w:r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abstractNum w:abstractNumId="9">
    <w:nsid w:val="35A4653F"/>
    <w:multiLevelType w:val="singleLevel"/>
    <w:tmpl w:val="35A4653F"/>
    <w:lvl w:ilvl="0" w:tentative="0">
      <w:start w:val="1"/>
      <w:numFmt w:val="chineseCounting"/>
      <w:suff w:val="nothing"/>
      <w:lvlText w:val="%1、"/>
      <w:lvlJc w:val="left"/>
      <w:rPr>
        <w:rFonts w:hint="eastAsia"/>
      </w:rPr>
    </w:lvl>
  </w:abstractNum>
  <w:abstractNum w:abstractNumId="10">
    <w:nsid w:val="3B3D739F"/>
    <w:multiLevelType w:val="multilevel"/>
    <w:tmpl w:val="3B3D739F"/>
    <w:lvl w:ilvl="0" w:tentative="0">
      <w:start w:val="1"/>
      <w:numFmt w:val="decimal"/>
      <w:suff w:val="nothing"/>
      <w:lvlText w:val="（%1）"/>
      <w:lvlJc w:val="left"/>
      <w:rPr>
        <w:rFonts w:hint="default"/>
        <w:u w:val="none" w:color="auto"/>
      </w:r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abstractNum w:abstractNumId="11">
    <w:nsid w:val="4FC6D619"/>
    <w:multiLevelType w:val="multilevel"/>
    <w:tmpl w:val="4FC6D619"/>
    <w:lvl w:ilvl="0" w:tentative="0">
      <w:start w:val="1"/>
      <w:numFmt w:val="chineseCounting"/>
      <w:suff w:val="nothing"/>
      <w:lvlText w:val="（%1）"/>
      <w:lvlJc w:val="left"/>
      <w:rPr>
        <w:rFonts w:hint="default"/>
        <w:u w:val="none" w:color="auto"/>
      </w:r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abstractNum w:abstractNumId="12">
    <w:nsid w:val="595F8F47"/>
    <w:multiLevelType w:val="multilevel"/>
    <w:tmpl w:val="595F8F47"/>
    <w:lvl w:ilvl="0" w:tentative="0">
      <w:start w:val="9"/>
      <w:numFmt w:val="chineseCounting"/>
      <w:suff w:val="nothing"/>
      <w:lvlText w:val="%1、"/>
      <w:lvlJc w:val="left"/>
      <w:rPr>
        <w:rFonts w:hint="default"/>
        <w:u w:val="none" w:color="auto"/>
      </w:r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abstractNum w:abstractNumId="13">
    <w:nsid w:val="6A53F4EB"/>
    <w:multiLevelType w:val="multilevel"/>
    <w:tmpl w:val="6A53F4EB"/>
    <w:lvl w:ilvl="0" w:tentative="0">
      <w:start w:val="11"/>
      <w:numFmt w:val="decimal"/>
      <w:suff w:val="space"/>
      <w:lvlText w:val="%1."/>
      <w:lvlJc w:val="left"/>
      <w:rPr>
        <w:rFonts w:hint="default"/>
        <w:u w:val="none" w:color="auto"/>
      </w:r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abstractNum w:abstractNumId="14">
    <w:nsid w:val="6C688773"/>
    <w:multiLevelType w:val="multilevel"/>
    <w:tmpl w:val="6C688773"/>
    <w:lvl w:ilvl="0" w:tentative="0">
      <w:start w:val="1"/>
      <w:numFmt w:val="decimal"/>
      <w:suff w:val="nothing"/>
      <w:lvlText w:val="（%1）"/>
      <w:lvlJc w:val="left"/>
      <w:rPr>
        <w:rFonts w:hint="default"/>
        <w:u w:val="none" w:color="auto"/>
      </w:r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abstractNum w:abstractNumId="15">
    <w:nsid w:val="7763323F"/>
    <w:multiLevelType w:val="singleLevel"/>
    <w:tmpl w:val="7763323F"/>
    <w:lvl w:ilvl="0" w:tentative="0">
      <w:start w:val="1"/>
      <w:numFmt w:val="decimal"/>
      <w:lvlText w:val="%1."/>
      <w:lvlJc w:val="left"/>
      <w:rPr>
        <w:rFonts w:ascii="Times New Roman" w:hAnsi="Times New Roman" w:eastAsia="Times New Roman" w:cs="Times New Roman"/>
        <w:b w:val="0"/>
        <w:bCs w:val="0"/>
        <w:i w:val="0"/>
        <w:iCs w:val="0"/>
        <w:smallCaps w:val="0"/>
        <w:strike w:val="0"/>
        <w:color w:val="000000"/>
        <w:spacing w:val="0"/>
        <w:w w:val="100"/>
        <w:position w:val="0"/>
        <w:sz w:val="20"/>
        <w:szCs w:val="20"/>
        <w:u w:val="none"/>
        <w:shd w:val="clear" w:color="auto" w:fill="auto"/>
        <w:lang w:val="en-US" w:eastAsia="en-US" w:bidi="en-US"/>
      </w:rPr>
    </w:lvl>
  </w:abstractNum>
  <w:abstractNum w:abstractNumId="16">
    <w:nsid w:val="77633241"/>
    <w:multiLevelType w:val="singleLevel"/>
    <w:tmpl w:val="77633241"/>
    <w:lvl w:ilvl="0" w:tentative="0">
      <w:start w:val="1"/>
      <w:numFmt w:val="decimal"/>
      <w:lvlText w:val="%1."/>
      <w:lvlJc w:val="left"/>
      <w:rPr>
        <w:rFonts w:ascii="Times New Roman" w:hAnsi="Times New Roman" w:eastAsia="Times New Roman" w:cs="Times New Roman"/>
        <w:b w:val="0"/>
        <w:bCs w:val="0"/>
        <w:i w:val="0"/>
        <w:iCs w:val="0"/>
        <w:smallCaps w:val="0"/>
        <w:strike w:val="0"/>
        <w:color w:val="000000"/>
        <w:spacing w:val="0"/>
        <w:w w:val="100"/>
        <w:position w:val="0"/>
        <w:sz w:val="20"/>
        <w:szCs w:val="20"/>
        <w:u w:val="none"/>
        <w:shd w:val="clear" w:color="auto" w:fill="auto"/>
        <w:lang w:val="en-US" w:eastAsia="en-US" w:bidi="en-US"/>
      </w:rPr>
    </w:lvl>
  </w:abstractNum>
  <w:abstractNum w:abstractNumId="17">
    <w:nsid w:val="77633243"/>
    <w:multiLevelType w:val="singleLevel"/>
    <w:tmpl w:val="77633243"/>
    <w:lvl w:ilvl="0" w:tentative="0">
      <w:start w:val="1"/>
      <w:numFmt w:val="decimal"/>
      <w:lvlText w:val="%1."/>
      <w:lvlJc w:val="left"/>
      <w:rPr>
        <w:rFonts w:ascii="Times New Roman" w:hAnsi="Times New Roman" w:eastAsia="Times New Roman" w:cs="Times New Roman"/>
        <w:b w:val="0"/>
        <w:bCs w:val="0"/>
        <w:i w:val="0"/>
        <w:iCs w:val="0"/>
        <w:smallCaps w:val="0"/>
        <w:strike w:val="0"/>
        <w:color w:val="000000"/>
        <w:spacing w:val="0"/>
        <w:w w:val="100"/>
        <w:position w:val="0"/>
        <w:sz w:val="20"/>
        <w:szCs w:val="20"/>
        <w:u w:val="none"/>
        <w:shd w:val="clear" w:color="auto" w:fill="auto"/>
        <w:lang w:val="en-US" w:eastAsia="en-US" w:bidi="en-US"/>
      </w:rPr>
    </w:lvl>
  </w:abstractNum>
  <w:abstractNum w:abstractNumId="18">
    <w:nsid w:val="77633245"/>
    <w:multiLevelType w:val="singleLevel"/>
    <w:tmpl w:val="77633245"/>
    <w:lvl w:ilvl="0" w:tentative="0">
      <w:start w:val="2"/>
      <w:numFmt w:val="chineseCounting"/>
      <w:suff w:val="nothing"/>
      <w:lvlText w:val="（%1）"/>
      <w:lvlJc w:val="left"/>
      <w:rPr>
        <w:rFonts w:hint="eastAsia"/>
      </w:rPr>
    </w:lvl>
  </w:abstractNum>
  <w:num w:numId="1">
    <w:abstractNumId w:val="1"/>
  </w:num>
  <w:num w:numId="2">
    <w:abstractNumId w:val="16"/>
  </w:num>
  <w:num w:numId="3">
    <w:abstractNumId w:val="9"/>
  </w:num>
  <w:num w:numId="4">
    <w:abstractNumId w:val="17"/>
  </w:num>
  <w:num w:numId="5">
    <w:abstractNumId w:val="18"/>
  </w:num>
  <w:num w:numId="6">
    <w:abstractNumId w:val="3"/>
  </w:num>
  <w:num w:numId="7">
    <w:abstractNumId w:val="15"/>
  </w:num>
  <w:num w:numId="8">
    <w:abstractNumId w:val="6"/>
  </w:num>
  <w:num w:numId="9">
    <w:abstractNumId w:val="13"/>
  </w:num>
  <w:num w:numId="10">
    <w:abstractNumId w:val="0"/>
  </w:num>
  <w:num w:numId="11">
    <w:abstractNumId w:val="8"/>
  </w:num>
  <w:num w:numId="12">
    <w:abstractNumId w:val="10"/>
  </w:num>
  <w:num w:numId="13">
    <w:abstractNumId w:val="14"/>
  </w:num>
  <w:num w:numId="14">
    <w:abstractNumId w:val="5"/>
  </w:num>
  <w:num w:numId="15">
    <w:abstractNumId w:val="12"/>
  </w:num>
  <w:num w:numId="16">
    <w:abstractNumId w:val="4"/>
  </w:num>
  <w:num w:numId="17">
    <w:abstractNumId w:val="11"/>
  </w:num>
  <w:num w:numId="18">
    <w:abstractNumId w:val="7"/>
  </w:num>
  <w:num w:numId="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dit="forms" w:enforcement="1" w:cryptProviderType="rsaFull" w:cryptAlgorithmClass="hash" w:cryptAlgorithmType="typeAny" w:cryptAlgorithmSid="4" w:cryptSpinCount="0" w:hash="QcwXWk8IX9ey0CanSY6D+1K9XqQ=" w:salt="BGYm8LcLIXYjsdvMIFMeZw=="/>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B44D3"/>
    <w:rsid w:val="00294959"/>
    <w:rsid w:val="004277C9"/>
    <w:rsid w:val="004D2D93"/>
    <w:rsid w:val="0089189B"/>
    <w:rsid w:val="009F5FD7"/>
    <w:rsid w:val="00C85F20"/>
    <w:rsid w:val="00D348C5"/>
    <w:rsid w:val="00D9012D"/>
    <w:rsid w:val="00FC206D"/>
    <w:rsid w:val="012C1988"/>
    <w:rsid w:val="017B033D"/>
    <w:rsid w:val="017D4F5C"/>
    <w:rsid w:val="01822573"/>
    <w:rsid w:val="01CC4ADC"/>
    <w:rsid w:val="01E6152D"/>
    <w:rsid w:val="01EF3980"/>
    <w:rsid w:val="01F1594A"/>
    <w:rsid w:val="021F4265"/>
    <w:rsid w:val="02217FDE"/>
    <w:rsid w:val="02377801"/>
    <w:rsid w:val="024725F3"/>
    <w:rsid w:val="027F4D04"/>
    <w:rsid w:val="028B18FB"/>
    <w:rsid w:val="037B371D"/>
    <w:rsid w:val="03AC1B29"/>
    <w:rsid w:val="03BE185C"/>
    <w:rsid w:val="04161698"/>
    <w:rsid w:val="042B2878"/>
    <w:rsid w:val="042E253E"/>
    <w:rsid w:val="04583A5F"/>
    <w:rsid w:val="046C12B8"/>
    <w:rsid w:val="047F723D"/>
    <w:rsid w:val="04BA64C7"/>
    <w:rsid w:val="04BB2603"/>
    <w:rsid w:val="04BB27B8"/>
    <w:rsid w:val="04D806FC"/>
    <w:rsid w:val="04E6106A"/>
    <w:rsid w:val="04EF43C3"/>
    <w:rsid w:val="04F01EE9"/>
    <w:rsid w:val="04F512AE"/>
    <w:rsid w:val="04F73278"/>
    <w:rsid w:val="05373674"/>
    <w:rsid w:val="053E4A03"/>
    <w:rsid w:val="055629C0"/>
    <w:rsid w:val="059211F2"/>
    <w:rsid w:val="05940AC6"/>
    <w:rsid w:val="05C054C9"/>
    <w:rsid w:val="05C475BB"/>
    <w:rsid w:val="05E82BC0"/>
    <w:rsid w:val="0620235A"/>
    <w:rsid w:val="066C1A43"/>
    <w:rsid w:val="0680729D"/>
    <w:rsid w:val="06BD229F"/>
    <w:rsid w:val="06CD24E2"/>
    <w:rsid w:val="06D14F2F"/>
    <w:rsid w:val="06E11AE9"/>
    <w:rsid w:val="070457D8"/>
    <w:rsid w:val="072145DC"/>
    <w:rsid w:val="073C64C9"/>
    <w:rsid w:val="07707311"/>
    <w:rsid w:val="077A1300"/>
    <w:rsid w:val="07E06245"/>
    <w:rsid w:val="082779D0"/>
    <w:rsid w:val="08602EE2"/>
    <w:rsid w:val="086504F8"/>
    <w:rsid w:val="08A41020"/>
    <w:rsid w:val="08A52FEB"/>
    <w:rsid w:val="08E142E5"/>
    <w:rsid w:val="08EE4992"/>
    <w:rsid w:val="09565DE8"/>
    <w:rsid w:val="09775CC9"/>
    <w:rsid w:val="097E5D15"/>
    <w:rsid w:val="098D41AA"/>
    <w:rsid w:val="09BC05EC"/>
    <w:rsid w:val="09FB7366"/>
    <w:rsid w:val="0A1E4E03"/>
    <w:rsid w:val="0A287A2F"/>
    <w:rsid w:val="0A36214C"/>
    <w:rsid w:val="0A3D797F"/>
    <w:rsid w:val="0A6B75FC"/>
    <w:rsid w:val="0A6D18E6"/>
    <w:rsid w:val="0A7B367B"/>
    <w:rsid w:val="0A7D5FCD"/>
    <w:rsid w:val="0AE95411"/>
    <w:rsid w:val="0B12527D"/>
    <w:rsid w:val="0B156206"/>
    <w:rsid w:val="0B3D750A"/>
    <w:rsid w:val="0B5036E2"/>
    <w:rsid w:val="0B534F80"/>
    <w:rsid w:val="0B7F3FC7"/>
    <w:rsid w:val="0BBF43C3"/>
    <w:rsid w:val="0BD45D4F"/>
    <w:rsid w:val="0BD91ED5"/>
    <w:rsid w:val="0C2B47B0"/>
    <w:rsid w:val="0C434FF4"/>
    <w:rsid w:val="0C992E66"/>
    <w:rsid w:val="0CEC4112"/>
    <w:rsid w:val="0D0504FC"/>
    <w:rsid w:val="0D1D5845"/>
    <w:rsid w:val="0D1D75F3"/>
    <w:rsid w:val="0D407BD1"/>
    <w:rsid w:val="0D474670"/>
    <w:rsid w:val="0D5079C9"/>
    <w:rsid w:val="0D570D57"/>
    <w:rsid w:val="0D9378B6"/>
    <w:rsid w:val="0D9C5BE4"/>
    <w:rsid w:val="0DB24C9B"/>
    <w:rsid w:val="0DC21F49"/>
    <w:rsid w:val="0DC331A1"/>
    <w:rsid w:val="0DCD2DC7"/>
    <w:rsid w:val="0DE63E89"/>
    <w:rsid w:val="0DFF319D"/>
    <w:rsid w:val="0E601824"/>
    <w:rsid w:val="0EAC0C2F"/>
    <w:rsid w:val="0EDB1514"/>
    <w:rsid w:val="0EDB59B8"/>
    <w:rsid w:val="0EDB7766"/>
    <w:rsid w:val="0EE20786"/>
    <w:rsid w:val="0EE72544"/>
    <w:rsid w:val="0F0F2FF0"/>
    <w:rsid w:val="0F7A7B23"/>
    <w:rsid w:val="0FA53BB8"/>
    <w:rsid w:val="0FBA737B"/>
    <w:rsid w:val="10120F66"/>
    <w:rsid w:val="10741C20"/>
    <w:rsid w:val="108A4FA0"/>
    <w:rsid w:val="11405FA6"/>
    <w:rsid w:val="11651569"/>
    <w:rsid w:val="116E48C1"/>
    <w:rsid w:val="11AE4D38"/>
    <w:rsid w:val="11BF6ECB"/>
    <w:rsid w:val="11D010D8"/>
    <w:rsid w:val="11DC5CCF"/>
    <w:rsid w:val="11E626AA"/>
    <w:rsid w:val="1211524D"/>
    <w:rsid w:val="12244F80"/>
    <w:rsid w:val="12352BEA"/>
    <w:rsid w:val="12B40B75"/>
    <w:rsid w:val="12C7072D"/>
    <w:rsid w:val="12CA3D79"/>
    <w:rsid w:val="12D22989"/>
    <w:rsid w:val="12D9220E"/>
    <w:rsid w:val="12DE15D3"/>
    <w:rsid w:val="137E6912"/>
    <w:rsid w:val="139C49F3"/>
    <w:rsid w:val="13CA1B57"/>
    <w:rsid w:val="13D84274"/>
    <w:rsid w:val="13E0137B"/>
    <w:rsid w:val="13F50E66"/>
    <w:rsid w:val="142B6A9A"/>
    <w:rsid w:val="144731A8"/>
    <w:rsid w:val="145A112D"/>
    <w:rsid w:val="145E6E6F"/>
    <w:rsid w:val="14863CD0"/>
    <w:rsid w:val="149E0C82"/>
    <w:rsid w:val="14A23938"/>
    <w:rsid w:val="14E904B0"/>
    <w:rsid w:val="154D47EE"/>
    <w:rsid w:val="1598015F"/>
    <w:rsid w:val="15A00DC2"/>
    <w:rsid w:val="15B42ABF"/>
    <w:rsid w:val="15B85270"/>
    <w:rsid w:val="15DB004C"/>
    <w:rsid w:val="15FD6214"/>
    <w:rsid w:val="1618304E"/>
    <w:rsid w:val="16586527"/>
    <w:rsid w:val="166E7112"/>
    <w:rsid w:val="167C182F"/>
    <w:rsid w:val="16846B27"/>
    <w:rsid w:val="16897AA8"/>
    <w:rsid w:val="1699418F"/>
    <w:rsid w:val="16B07BAF"/>
    <w:rsid w:val="16DF591A"/>
    <w:rsid w:val="16F94C2D"/>
    <w:rsid w:val="172577D0"/>
    <w:rsid w:val="173043C7"/>
    <w:rsid w:val="17604CAC"/>
    <w:rsid w:val="177B1AE6"/>
    <w:rsid w:val="17A60B24"/>
    <w:rsid w:val="17AF79E2"/>
    <w:rsid w:val="17DF2075"/>
    <w:rsid w:val="17E256C1"/>
    <w:rsid w:val="17F51899"/>
    <w:rsid w:val="1853036D"/>
    <w:rsid w:val="186500A0"/>
    <w:rsid w:val="18756535"/>
    <w:rsid w:val="188E75F7"/>
    <w:rsid w:val="18A230A3"/>
    <w:rsid w:val="18BE1FCB"/>
    <w:rsid w:val="18BF5A03"/>
    <w:rsid w:val="18DA0A8E"/>
    <w:rsid w:val="18F6471E"/>
    <w:rsid w:val="190A1374"/>
    <w:rsid w:val="190D49C0"/>
    <w:rsid w:val="193463F1"/>
    <w:rsid w:val="193D16FC"/>
    <w:rsid w:val="193E101D"/>
    <w:rsid w:val="19517616"/>
    <w:rsid w:val="195720DF"/>
    <w:rsid w:val="1970121F"/>
    <w:rsid w:val="19832ED4"/>
    <w:rsid w:val="19AF1F1B"/>
    <w:rsid w:val="19B76557"/>
    <w:rsid w:val="19B80DD0"/>
    <w:rsid w:val="19C15671"/>
    <w:rsid w:val="19CA28B1"/>
    <w:rsid w:val="19D96F98"/>
    <w:rsid w:val="19FE035E"/>
    <w:rsid w:val="1A74642E"/>
    <w:rsid w:val="1A766595"/>
    <w:rsid w:val="1A9D7FC6"/>
    <w:rsid w:val="1A9F3D3E"/>
    <w:rsid w:val="1B083691"/>
    <w:rsid w:val="1B0B13D3"/>
    <w:rsid w:val="1B171B26"/>
    <w:rsid w:val="1B300E3A"/>
    <w:rsid w:val="1B3463D8"/>
    <w:rsid w:val="1B487F31"/>
    <w:rsid w:val="1B5543FC"/>
    <w:rsid w:val="1B6B3C20"/>
    <w:rsid w:val="1B7156DA"/>
    <w:rsid w:val="1B852F33"/>
    <w:rsid w:val="1BE35EAC"/>
    <w:rsid w:val="1C13053F"/>
    <w:rsid w:val="1C1E6EE4"/>
    <w:rsid w:val="1C346708"/>
    <w:rsid w:val="1C485D0F"/>
    <w:rsid w:val="1C6012AB"/>
    <w:rsid w:val="1C872CDB"/>
    <w:rsid w:val="1C931680"/>
    <w:rsid w:val="1C970CCA"/>
    <w:rsid w:val="1C9E3BBC"/>
    <w:rsid w:val="1CD23809"/>
    <w:rsid w:val="1CDA6E24"/>
    <w:rsid w:val="1D0460DA"/>
    <w:rsid w:val="1D444728"/>
    <w:rsid w:val="1D4E55A7"/>
    <w:rsid w:val="1D76522A"/>
    <w:rsid w:val="1D7A4260"/>
    <w:rsid w:val="1D9E02DC"/>
    <w:rsid w:val="1DA8115B"/>
    <w:rsid w:val="1DBB0E8E"/>
    <w:rsid w:val="1DC72909"/>
    <w:rsid w:val="1DCF493A"/>
    <w:rsid w:val="1E0D7210"/>
    <w:rsid w:val="1E403142"/>
    <w:rsid w:val="1EE00481"/>
    <w:rsid w:val="1EEC32CA"/>
    <w:rsid w:val="1EF86EC7"/>
    <w:rsid w:val="1F3507CD"/>
    <w:rsid w:val="1F656664"/>
    <w:rsid w:val="1F72557D"/>
    <w:rsid w:val="1F7E03C6"/>
    <w:rsid w:val="1F841754"/>
    <w:rsid w:val="1F971487"/>
    <w:rsid w:val="1FAF67D1"/>
    <w:rsid w:val="1FC26D2F"/>
    <w:rsid w:val="1FD14685"/>
    <w:rsid w:val="20142AD8"/>
    <w:rsid w:val="206C021E"/>
    <w:rsid w:val="20C91B14"/>
    <w:rsid w:val="20E56222"/>
    <w:rsid w:val="20FD17BE"/>
    <w:rsid w:val="21115269"/>
    <w:rsid w:val="213571AA"/>
    <w:rsid w:val="217575A6"/>
    <w:rsid w:val="217A696B"/>
    <w:rsid w:val="21921F06"/>
    <w:rsid w:val="219859DA"/>
    <w:rsid w:val="21DC4F15"/>
    <w:rsid w:val="223B434C"/>
    <w:rsid w:val="225B4C45"/>
    <w:rsid w:val="226323ED"/>
    <w:rsid w:val="22E5075C"/>
    <w:rsid w:val="22ED61CC"/>
    <w:rsid w:val="235B72E4"/>
    <w:rsid w:val="2378337E"/>
    <w:rsid w:val="23812232"/>
    <w:rsid w:val="23907E55"/>
    <w:rsid w:val="23F23130"/>
    <w:rsid w:val="23F944BF"/>
    <w:rsid w:val="240115C5"/>
    <w:rsid w:val="24523BCF"/>
    <w:rsid w:val="24561911"/>
    <w:rsid w:val="245A2A83"/>
    <w:rsid w:val="246A0F18"/>
    <w:rsid w:val="24855D52"/>
    <w:rsid w:val="24B14D99"/>
    <w:rsid w:val="24C26FA6"/>
    <w:rsid w:val="24CE594B"/>
    <w:rsid w:val="253B0B07"/>
    <w:rsid w:val="256516E0"/>
    <w:rsid w:val="257879D9"/>
    <w:rsid w:val="257A518B"/>
    <w:rsid w:val="25A246E2"/>
    <w:rsid w:val="25C12DBA"/>
    <w:rsid w:val="25CB455E"/>
    <w:rsid w:val="25D06C8E"/>
    <w:rsid w:val="26063582"/>
    <w:rsid w:val="261633B2"/>
    <w:rsid w:val="2629095F"/>
    <w:rsid w:val="266B0F78"/>
    <w:rsid w:val="268900EE"/>
    <w:rsid w:val="26937BFF"/>
    <w:rsid w:val="26B741BD"/>
    <w:rsid w:val="26C47CE7"/>
    <w:rsid w:val="26CB1A16"/>
    <w:rsid w:val="273216EA"/>
    <w:rsid w:val="273D2914"/>
    <w:rsid w:val="279664C8"/>
    <w:rsid w:val="27BF5A1F"/>
    <w:rsid w:val="27FA6A57"/>
    <w:rsid w:val="281F201A"/>
    <w:rsid w:val="281F64BE"/>
    <w:rsid w:val="28474D20"/>
    <w:rsid w:val="28BE7E3F"/>
    <w:rsid w:val="28C037FD"/>
    <w:rsid w:val="28EB63A0"/>
    <w:rsid w:val="292F2731"/>
    <w:rsid w:val="2939710B"/>
    <w:rsid w:val="293B2E83"/>
    <w:rsid w:val="29453D02"/>
    <w:rsid w:val="29693E94"/>
    <w:rsid w:val="29781580"/>
    <w:rsid w:val="29FD282F"/>
    <w:rsid w:val="2A197236"/>
    <w:rsid w:val="2A263B34"/>
    <w:rsid w:val="2A297180"/>
    <w:rsid w:val="2A2E4796"/>
    <w:rsid w:val="2A336250"/>
    <w:rsid w:val="2A4144C9"/>
    <w:rsid w:val="2A481912"/>
    <w:rsid w:val="2A4C2E6E"/>
    <w:rsid w:val="2A6E6574"/>
    <w:rsid w:val="2A77438F"/>
    <w:rsid w:val="2A7F3244"/>
    <w:rsid w:val="2A877F95"/>
    <w:rsid w:val="2AB7478C"/>
    <w:rsid w:val="2AB90504"/>
    <w:rsid w:val="2AE80DE9"/>
    <w:rsid w:val="2B0F3150"/>
    <w:rsid w:val="2B595843"/>
    <w:rsid w:val="2B65068C"/>
    <w:rsid w:val="2BC730F4"/>
    <w:rsid w:val="2BE315B0"/>
    <w:rsid w:val="2BE5357A"/>
    <w:rsid w:val="2C287027"/>
    <w:rsid w:val="2C365B84"/>
    <w:rsid w:val="2C8B5ED0"/>
    <w:rsid w:val="2CD930DF"/>
    <w:rsid w:val="2CE63FAE"/>
    <w:rsid w:val="2D205F22"/>
    <w:rsid w:val="2D314CC9"/>
    <w:rsid w:val="2D510EC7"/>
    <w:rsid w:val="2D8A7365"/>
    <w:rsid w:val="2DC21DC5"/>
    <w:rsid w:val="2DD702D0"/>
    <w:rsid w:val="2E0C4DEE"/>
    <w:rsid w:val="2E652751"/>
    <w:rsid w:val="2EA119DB"/>
    <w:rsid w:val="2EF53AD4"/>
    <w:rsid w:val="2EFE6E2D"/>
    <w:rsid w:val="2F177EEF"/>
    <w:rsid w:val="2F7412EB"/>
    <w:rsid w:val="2F854E58"/>
    <w:rsid w:val="2F9E416C"/>
    <w:rsid w:val="2FF344B8"/>
    <w:rsid w:val="2FF81ACE"/>
    <w:rsid w:val="300A6F60"/>
    <w:rsid w:val="307849BD"/>
    <w:rsid w:val="30B55C11"/>
    <w:rsid w:val="30DC319E"/>
    <w:rsid w:val="31124E12"/>
    <w:rsid w:val="314A45AB"/>
    <w:rsid w:val="31741628"/>
    <w:rsid w:val="31A737AC"/>
    <w:rsid w:val="31B859B9"/>
    <w:rsid w:val="31E0281A"/>
    <w:rsid w:val="31E7004C"/>
    <w:rsid w:val="320F4EAD"/>
    <w:rsid w:val="3234700A"/>
    <w:rsid w:val="325B4596"/>
    <w:rsid w:val="3278743C"/>
    <w:rsid w:val="327B2543"/>
    <w:rsid w:val="32870EE7"/>
    <w:rsid w:val="32F50547"/>
    <w:rsid w:val="32F95C49"/>
    <w:rsid w:val="33264BA4"/>
    <w:rsid w:val="333746BC"/>
    <w:rsid w:val="33770F5C"/>
    <w:rsid w:val="339B7340"/>
    <w:rsid w:val="33B421B0"/>
    <w:rsid w:val="33C30645"/>
    <w:rsid w:val="33E22AAC"/>
    <w:rsid w:val="33FE6BEC"/>
    <w:rsid w:val="340D7B12"/>
    <w:rsid w:val="340F388A"/>
    <w:rsid w:val="341744ED"/>
    <w:rsid w:val="344C063B"/>
    <w:rsid w:val="346C4839"/>
    <w:rsid w:val="346C5166"/>
    <w:rsid w:val="348A2F11"/>
    <w:rsid w:val="34A224AE"/>
    <w:rsid w:val="34A264AC"/>
    <w:rsid w:val="3518676F"/>
    <w:rsid w:val="351F7AFD"/>
    <w:rsid w:val="35441312"/>
    <w:rsid w:val="35645510"/>
    <w:rsid w:val="35661288"/>
    <w:rsid w:val="35784B06"/>
    <w:rsid w:val="35B50461"/>
    <w:rsid w:val="35B5220F"/>
    <w:rsid w:val="35BC072C"/>
    <w:rsid w:val="364D069A"/>
    <w:rsid w:val="36575075"/>
    <w:rsid w:val="365A3471"/>
    <w:rsid w:val="366003CD"/>
    <w:rsid w:val="36714388"/>
    <w:rsid w:val="36730100"/>
    <w:rsid w:val="367E6AA5"/>
    <w:rsid w:val="36BD75CE"/>
    <w:rsid w:val="36CA5847"/>
    <w:rsid w:val="36DD40B2"/>
    <w:rsid w:val="36F01751"/>
    <w:rsid w:val="370F76FD"/>
    <w:rsid w:val="375515B4"/>
    <w:rsid w:val="3776777C"/>
    <w:rsid w:val="37826121"/>
    <w:rsid w:val="37B40511"/>
    <w:rsid w:val="37F0752F"/>
    <w:rsid w:val="37F708BD"/>
    <w:rsid w:val="3828316D"/>
    <w:rsid w:val="384B0C09"/>
    <w:rsid w:val="387A3C2D"/>
    <w:rsid w:val="38D96215"/>
    <w:rsid w:val="38DB01DF"/>
    <w:rsid w:val="390414E4"/>
    <w:rsid w:val="39094D4C"/>
    <w:rsid w:val="392A6A70"/>
    <w:rsid w:val="392F4087"/>
    <w:rsid w:val="39535FC7"/>
    <w:rsid w:val="39916AF0"/>
    <w:rsid w:val="39A131D7"/>
    <w:rsid w:val="3A053765"/>
    <w:rsid w:val="3A180B88"/>
    <w:rsid w:val="3A1F5EA9"/>
    <w:rsid w:val="3A4122C4"/>
    <w:rsid w:val="3A490D14"/>
    <w:rsid w:val="3A6B7341"/>
    <w:rsid w:val="3A6F0BDF"/>
    <w:rsid w:val="3A88267B"/>
    <w:rsid w:val="3A992100"/>
    <w:rsid w:val="3AEE2AB9"/>
    <w:rsid w:val="3AF92B9E"/>
    <w:rsid w:val="3B343BD6"/>
    <w:rsid w:val="3B365BA1"/>
    <w:rsid w:val="3B6444BC"/>
    <w:rsid w:val="3B7A2583"/>
    <w:rsid w:val="3B800BCA"/>
    <w:rsid w:val="3BA50630"/>
    <w:rsid w:val="3BD86C58"/>
    <w:rsid w:val="3C060596"/>
    <w:rsid w:val="3C3C0F95"/>
    <w:rsid w:val="3C3D6ABB"/>
    <w:rsid w:val="3C6E4D25"/>
    <w:rsid w:val="3C7F70D3"/>
    <w:rsid w:val="3CD45671"/>
    <w:rsid w:val="3D251A29"/>
    <w:rsid w:val="3D385C00"/>
    <w:rsid w:val="3D5432CF"/>
    <w:rsid w:val="3D6407A3"/>
    <w:rsid w:val="3D87623F"/>
    <w:rsid w:val="3DD86A9B"/>
    <w:rsid w:val="3DE03BA2"/>
    <w:rsid w:val="3DEC2546"/>
    <w:rsid w:val="3E265A58"/>
    <w:rsid w:val="3E4F1453"/>
    <w:rsid w:val="3EC86B10"/>
    <w:rsid w:val="3EF773F5"/>
    <w:rsid w:val="3F122481"/>
    <w:rsid w:val="3F143684"/>
    <w:rsid w:val="3F1735F3"/>
    <w:rsid w:val="3F1E4982"/>
    <w:rsid w:val="3F253F62"/>
    <w:rsid w:val="3F5577CE"/>
    <w:rsid w:val="3F5860E5"/>
    <w:rsid w:val="3F732F1F"/>
    <w:rsid w:val="3F9410E8"/>
    <w:rsid w:val="3F9F3D14"/>
    <w:rsid w:val="4013200C"/>
    <w:rsid w:val="40153FD6"/>
    <w:rsid w:val="40251D40"/>
    <w:rsid w:val="40664832"/>
    <w:rsid w:val="40905D53"/>
    <w:rsid w:val="409F5F96"/>
    <w:rsid w:val="40B7508E"/>
    <w:rsid w:val="40D95ABE"/>
    <w:rsid w:val="41016309"/>
    <w:rsid w:val="412A3C09"/>
    <w:rsid w:val="413B5CBF"/>
    <w:rsid w:val="415428DD"/>
    <w:rsid w:val="41B810BD"/>
    <w:rsid w:val="41CE134F"/>
    <w:rsid w:val="41FB36A0"/>
    <w:rsid w:val="422425C9"/>
    <w:rsid w:val="423A5F76"/>
    <w:rsid w:val="426D634C"/>
    <w:rsid w:val="42813BA5"/>
    <w:rsid w:val="428E62C2"/>
    <w:rsid w:val="429338D8"/>
    <w:rsid w:val="429531AD"/>
    <w:rsid w:val="42F11657"/>
    <w:rsid w:val="43104F29"/>
    <w:rsid w:val="43140575"/>
    <w:rsid w:val="431C742A"/>
    <w:rsid w:val="432B3B11"/>
    <w:rsid w:val="436C1C33"/>
    <w:rsid w:val="437D25BE"/>
    <w:rsid w:val="43C57AC2"/>
    <w:rsid w:val="43EB05DF"/>
    <w:rsid w:val="44290050"/>
    <w:rsid w:val="442E1B0B"/>
    <w:rsid w:val="44427364"/>
    <w:rsid w:val="44557097"/>
    <w:rsid w:val="44847BAF"/>
    <w:rsid w:val="4492209A"/>
    <w:rsid w:val="44D85639"/>
    <w:rsid w:val="44E97F1E"/>
    <w:rsid w:val="44F20D8A"/>
    <w:rsid w:val="45036AF3"/>
    <w:rsid w:val="45085EB8"/>
    <w:rsid w:val="45183286"/>
    <w:rsid w:val="451A5BEB"/>
    <w:rsid w:val="45336CAD"/>
    <w:rsid w:val="45464C32"/>
    <w:rsid w:val="456652D4"/>
    <w:rsid w:val="45921C25"/>
    <w:rsid w:val="45941306"/>
    <w:rsid w:val="45CA720B"/>
    <w:rsid w:val="45E561F9"/>
    <w:rsid w:val="45EE77A4"/>
    <w:rsid w:val="45F11042"/>
    <w:rsid w:val="45FD79E7"/>
    <w:rsid w:val="46492C2C"/>
    <w:rsid w:val="46641814"/>
    <w:rsid w:val="466510E8"/>
    <w:rsid w:val="46A41C10"/>
    <w:rsid w:val="46AE0CE1"/>
    <w:rsid w:val="46E91D19"/>
    <w:rsid w:val="46FA3F26"/>
    <w:rsid w:val="470E352E"/>
    <w:rsid w:val="473C62ED"/>
    <w:rsid w:val="476C3789"/>
    <w:rsid w:val="47727F60"/>
    <w:rsid w:val="4799373F"/>
    <w:rsid w:val="47AA594C"/>
    <w:rsid w:val="47B42327"/>
    <w:rsid w:val="47B71E17"/>
    <w:rsid w:val="47BB1907"/>
    <w:rsid w:val="47CA7D9C"/>
    <w:rsid w:val="47D227AD"/>
    <w:rsid w:val="47F210A1"/>
    <w:rsid w:val="481E3C65"/>
    <w:rsid w:val="482E20D9"/>
    <w:rsid w:val="48861F15"/>
    <w:rsid w:val="48967C7F"/>
    <w:rsid w:val="48A203D1"/>
    <w:rsid w:val="48DD37B2"/>
    <w:rsid w:val="491D5CAA"/>
    <w:rsid w:val="491F1A22"/>
    <w:rsid w:val="49A308A5"/>
    <w:rsid w:val="4A1A5351"/>
    <w:rsid w:val="4A4554B8"/>
    <w:rsid w:val="4A5D0A54"/>
    <w:rsid w:val="4A5D6CA6"/>
    <w:rsid w:val="4A7604FF"/>
    <w:rsid w:val="4A9D70A2"/>
    <w:rsid w:val="4A9F72BE"/>
    <w:rsid w:val="4AC705C3"/>
    <w:rsid w:val="4AC9512F"/>
    <w:rsid w:val="4AD30D16"/>
    <w:rsid w:val="4AD4683C"/>
    <w:rsid w:val="4ADD1B95"/>
    <w:rsid w:val="4AFD2237"/>
    <w:rsid w:val="4B3774F7"/>
    <w:rsid w:val="4B3A0D95"/>
    <w:rsid w:val="4B5856BF"/>
    <w:rsid w:val="4B865D88"/>
    <w:rsid w:val="4B893ACB"/>
    <w:rsid w:val="4BA12BC2"/>
    <w:rsid w:val="4BC13264"/>
    <w:rsid w:val="4BCF3BD3"/>
    <w:rsid w:val="4BDC009E"/>
    <w:rsid w:val="4C196BFC"/>
    <w:rsid w:val="4C1D63D1"/>
    <w:rsid w:val="4C2A705C"/>
    <w:rsid w:val="4C325706"/>
    <w:rsid w:val="4C82409E"/>
    <w:rsid w:val="4C856040"/>
    <w:rsid w:val="4CC441C3"/>
    <w:rsid w:val="4CC823D1"/>
    <w:rsid w:val="4CF54420"/>
    <w:rsid w:val="4D1D096E"/>
    <w:rsid w:val="4D783DF7"/>
    <w:rsid w:val="4D7A7B6F"/>
    <w:rsid w:val="4DA41222"/>
    <w:rsid w:val="4DAB7D28"/>
    <w:rsid w:val="4DB43081"/>
    <w:rsid w:val="4DD86643"/>
    <w:rsid w:val="4E0336C0"/>
    <w:rsid w:val="4E102281"/>
    <w:rsid w:val="4E5C1022"/>
    <w:rsid w:val="4EAD5D22"/>
    <w:rsid w:val="4ED80FF1"/>
    <w:rsid w:val="4EFF657E"/>
    <w:rsid w:val="4F18763F"/>
    <w:rsid w:val="4F4641AC"/>
    <w:rsid w:val="4F7B53F3"/>
    <w:rsid w:val="4F7E3E6F"/>
    <w:rsid w:val="4F822D0B"/>
    <w:rsid w:val="4F895E47"/>
    <w:rsid w:val="50131BB5"/>
    <w:rsid w:val="501E0C85"/>
    <w:rsid w:val="504B57F2"/>
    <w:rsid w:val="505428F9"/>
    <w:rsid w:val="50901457"/>
    <w:rsid w:val="5097222A"/>
    <w:rsid w:val="50E84DEF"/>
    <w:rsid w:val="51022355"/>
    <w:rsid w:val="51134562"/>
    <w:rsid w:val="51542485"/>
    <w:rsid w:val="515D57DD"/>
    <w:rsid w:val="51D443D7"/>
    <w:rsid w:val="51E952C3"/>
    <w:rsid w:val="51FA302C"/>
    <w:rsid w:val="520420FD"/>
    <w:rsid w:val="520B0C7A"/>
    <w:rsid w:val="521C11F4"/>
    <w:rsid w:val="524751DF"/>
    <w:rsid w:val="525A7F6F"/>
    <w:rsid w:val="526F57C8"/>
    <w:rsid w:val="52756B57"/>
    <w:rsid w:val="52900D39"/>
    <w:rsid w:val="52A80CDA"/>
    <w:rsid w:val="52CA50F4"/>
    <w:rsid w:val="52E837CD"/>
    <w:rsid w:val="52F757BE"/>
    <w:rsid w:val="530F2B07"/>
    <w:rsid w:val="53195427"/>
    <w:rsid w:val="532D10B1"/>
    <w:rsid w:val="534D7664"/>
    <w:rsid w:val="536C7F5A"/>
    <w:rsid w:val="538C23AA"/>
    <w:rsid w:val="539A4AC7"/>
    <w:rsid w:val="53B96779"/>
    <w:rsid w:val="53D33B35"/>
    <w:rsid w:val="53DD2C05"/>
    <w:rsid w:val="54040192"/>
    <w:rsid w:val="540B7773"/>
    <w:rsid w:val="541D3A51"/>
    <w:rsid w:val="546649A9"/>
    <w:rsid w:val="5474356A"/>
    <w:rsid w:val="54AD25D8"/>
    <w:rsid w:val="54C17E31"/>
    <w:rsid w:val="5523306D"/>
    <w:rsid w:val="5552317F"/>
    <w:rsid w:val="5588094F"/>
    <w:rsid w:val="55986DE4"/>
    <w:rsid w:val="56044479"/>
    <w:rsid w:val="56343C80"/>
    <w:rsid w:val="563A433F"/>
    <w:rsid w:val="564B3E56"/>
    <w:rsid w:val="569F0646"/>
    <w:rsid w:val="56B063AF"/>
    <w:rsid w:val="56B51C18"/>
    <w:rsid w:val="56D77DE0"/>
    <w:rsid w:val="56DC0F52"/>
    <w:rsid w:val="57083E0D"/>
    <w:rsid w:val="573C40E7"/>
    <w:rsid w:val="574B7E86"/>
    <w:rsid w:val="57792C45"/>
    <w:rsid w:val="577C44E3"/>
    <w:rsid w:val="57833AC4"/>
    <w:rsid w:val="578F2469"/>
    <w:rsid w:val="57D4431F"/>
    <w:rsid w:val="57DC4038"/>
    <w:rsid w:val="580F7106"/>
    <w:rsid w:val="5813309A"/>
    <w:rsid w:val="581F309E"/>
    <w:rsid w:val="583F5C3D"/>
    <w:rsid w:val="584274DB"/>
    <w:rsid w:val="58B8779D"/>
    <w:rsid w:val="58F44C79"/>
    <w:rsid w:val="592D018B"/>
    <w:rsid w:val="59633BAD"/>
    <w:rsid w:val="596F60AE"/>
    <w:rsid w:val="597B0EF6"/>
    <w:rsid w:val="59C26B25"/>
    <w:rsid w:val="59CC1752"/>
    <w:rsid w:val="59E06FAB"/>
    <w:rsid w:val="5A2734CC"/>
    <w:rsid w:val="5A5B1DED"/>
    <w:rsid w:val="5AB13779"/>
    <w:rsid w:val="5ABF12B7"/>
    <w:rsid w:val="5AC36AE1"/>
    <w:rsid w:val="5AD00DCE"/>
    <w:rsid w:val="5ADD112C"/>
    <w:rsid w:val="5AE709EC"/>
    <w:rsid w:val="5B305D11"/>
    <w:rsid w:val="5B490B80"/>
    <w:rsid w:val="5B525C87"/>
    <w:rsid w:val="5B555777"/>
    <w:rsid w:val="5B8B2F47"/>
    <w:rsid w:val="5BA02E96"/>
    <w:rsid w:val="5BB1598F"/>
    <w:rsid w:val="5BDB3ECE"/>
    <w:rsid w:val="5C0F1DCA"/>
    <w:rsid w:val="5C1B251D"/>
    <w:rsid w:val="5C403D31"/>
    <w:rsid w:val="5C4528D4"/>
    <w:rsid w:val="5C583771"/>
    <w:rsid w:val="5C606182"/>
    <w:rsid w:val="5C621EFA"/>
    <w:rsid w:val="5CB63FF4"/>
    <w:rsid w:val="5CBF5F61"/>
    <w:rsid w:val="5CC93D27"/>
    <w:rsid w:val="5CDB3A5A"/>
    <w:rsid w:val="5D07484F"/>
    <w:rsid w:val="5D3970FE"/>
    <w:rsid w:val="5D3A69D3"/>
    <w:rsid w:val="5D720862"/>
    <w:rsid w:val="5D8B5480"/>
    <w:rsid w:val="5D99194B"/>
    <w:rsid w:val="5DB93D9B"/>
    <w:rsid w:val="5DC77DB3"/>
    <w:rsid w:val="5DD15589"/>
    <w:rsid w:val="5DD45079"/>
    <w:rsid w:val="5DE74DAC"/>
    <w:rsid w:val="5E736640"/>
    <w:rsid w:val="5E8C5954"/>
    <w:rsid w:val="5E9842F9"/>
    <w:rsid w:val="5EB84053"/>
    <w:rsid w:val="5ECC7AFE"/>
    <w:rsid w:val="5ECE1AC8"/>
    <w:rsid w:val="5EE66E12"/>
    <w:rsid w:val="5EF236E4"/>
    <w:rsid w:val="5F16521D"/>
    <w:rsid w:val="5F27742B"/>
    <w:rsid w:val="5F61435D"/>
    <w:rsid w:val="5F73441E"/>
    <w:rsid w:val="5F9525E6"/>
    <w:rsid w:val="5FA36AB1"/>
    <w:rsid w:val="5FB24F46"/>
    <w:rsid w:val="604C539B"/>
    <w:rsid w:val="606C3347"/>
    <w:rsid w:val="60887594"/>
    <w:rsid w:val="60BD0047"/>
    <w:rsid w:val="60DB227B"/>
    <w:rsid w:val="61096DE8"/>
    <w:rsid w:val="611B3B25"/>
    <w:rsid w:val="61734BA9"/>
    <w:rsid w:val="61761FA3"/>
    <w:rsid w:val="61B054B5"/>
    <w:rsid w:val="61B52ACC"/>
    <w:rsid w:val="61E0223F"/>
    <w:rsid w:val="61F950AE"/>
    <w:rsid w:val="620852F1"/>
    <w:rsid w:val="623E0D13"/>
    <w:rsid w:val="627A19DB"/>
    <w:rsid w:val="629A14FB"/>
    <w:rsid w:val="62A80882"/>
    <w:rsid w:val="62D81168"/>
    <w:rsid w:val="633D546F"/>
    <w:rsid w:val="63696607"/>
    <w:rsid w:val="638C5AAE"/>
    <w:rsid w:val="639F1C85"/>
    <w:rsid w:val="63C416EC"/>
    <w:rsid w:val="63CB36D7"/>
    <w:rsid w:val="63FF2724"/>
    <w:rsid w:val="641C32D6"/>
    <w:rsid w:val="64410F8F"/>
    <w:rsid w:val="64590086"/>
    <w:rsid w:val="648669A1"/>
    <w:rsid w:val="64AA7A10"/>
    <w:rsid w:val="64D433D4"/>
    <w:rsid w:val="64E2007C"/>
    <w:rsid w:val="655F68E6"/>
    <w:rsid w:val="657D45EA"/>
    <w:rsid w:val="65BA6903"/>
    <w:rsid w:val="65F22540"/>
    <w:rsid w:val="65F8567D"/>
    <w:rsid w:val="666B22F3"/>
    <w:rsid w:val="66AC6B93"/>
    <w:rsid w:val="66B617C0"/>
    <w:rsid w:val="66B8294F"/>
    <w:rsid w:val="66C0263F"/>
    <w:rsid w:val="66DB1226"/>
    <w:rsid w:val="67136C12"/>
    <w:rsid w:val="672506F4"/>
    <w:rsid w:val="67452B44"/>
    <w:rsid w:val="67582877"/>
    <w:rsid w:val="67717495"/>
    <w:rsid w:val="67780823"/>
    <w:rsid w:val="67D87514"/>
    <w:rsid w:val="67DD4B2A"/>
    <w:rsid w:val="680C5410"/>
    <w:rsid w:val="681A3FD0"/>
    <w:rsid w:val="682269E1"/>
    <w:rsid w:val="683B74A5"/>
    <w:rsid w:val="68531ADB"/>
    <w:rsid w:val="68614CFA"/>
    <w:rsid w:val="68F71C1C"/>
    <w:rsid w:val="69140A20"/>
    <w:rsid w:val="691F5044"/>
    <w:rsid w:val="692844CB"/>
    <w:rsid w:val="692E7D33"/>
    <w:rsid w:val="694036BC"/>
    <w:rsid w:val="695157D0"/>
    <w:rsid w:val="69561038"/>
    <w:rsid w:val="6961056E"/>
    <w:rsid w:val="698C4A5A"/>
    <w:rsid w:val="69BF6BDD"/>
    <w:rsid w:val="69CA10DE"/>
    <w:rsid w:val="6A070584"/>
    <w:rsid w:val="6A701C86"/>
    <w:rsid w:val="6A773014"/>
    <w:rsid w:val="6A7C1691"/>
    <w:rsid w:val="6AB53B3C"/>
    <w:rsid w:val="6AD246EE"/>
    <w:rsid w:val="6AED777A"/>
    <w:rsid w:val="6B3D425E"/>
    <w:rsid w:val="6BA77929"/>
    <w:rsid w:val="6BB838E4"/>
    <w:rsid w:val="6BDD77EF"/>
    <w:rsid w:val="6BE97F42"/>
    <w:rsid w:val="6C315445"/>
    <w:rsid w:val="6C6D2921"/>
    <w:rsid w:val="6C7D4B2E"/>
    <w:rsid w:val="6C847C6A"/>
    <w:rsid w:val="6C8639E2"/>
    <w:rsid w:val="6CA4030D"/>
    <w:rsid w:val="6CCF5389"/>
    <w:rsid w:val="6CE07597"/>
    <w:rsid w:val="6D0D5EB2"/>
    <w:rsid w:val="6D605FE2"/>
    <w:rsid w:val="6D741A8D"/>
    <w:rsid w:val="6D9D7236"/>
    <w:rsid w:val="6DC5678C"/>
    <w:rsid w:val="6DCC7B1B"/>
    <w:rsid w:val="6DDD4D4F"/>
    <w:rsid w:val="6DE22E9A"/>
    <w:rsid w:val="6E304B59"/>
    <w:rsid w:val="6E557B10"/>
    <w:rsid w:val="6E6164B5"/>
    <w:rsid w:val="6E910B04"/>
    <w:rsid w:val="6EF06AD7"/>
    <w:rsid w:val="6F0926A9"/>
    <w:rsid w:val="6F141779"/>
    <w:rsid w:val="6F165398"/>
    <w:rsid w:val="6F2936EC"/>
    <w:rsid w:val="6F375468"/>
    <w:rsid w:val="6F377216"/>
    <w:rsid w:val="6F563B40"/>
    <w:rsid w:val="6F8D32DA"/>
    <w:rsid w:val="6FA128E1"/>
    <w:rsid w:val="6FBD3BBF"/>
    <w:rsid w:val="700E4C63"/>
    <w:rsid w:val="70221C74"/>
    <w:rsid w:val="70310109"/>
    <w:rsid w:val="70846CB5"/>
    <w:rsid w:val="70BA01A5"/>
    <w:rsid w:val="70F80C27"/>
    <w:rsid w:val="70F96E79"/>
    <w:rsid w:val="71224B2C"/>
    <w:rsid w:val="712437CA"/>
    <w:rsid w:val="713A123F"/>
    <w:rsid w:val="718A5D23"/>
    <w:rsid w:val="71BC5926"/>
    <w:rsid w:val="71F63D03"/>
    <w:rsid w:val="721E46BD"/>
    <w:rsid w:val="721E646B"/>
    <w:rsid w:val="725453F3"/>
    <w:rsid w:val="725956F5"/>
    <w:rsid w:val="72793554"/>
    <w:rsid w:val="72E32F73"/>
    <w:rsid w:val="7309711B"/>
    <w:rsid w:val="73223D39"/>
    <w:rsid w:val="735D2FC3"/>
    <w:rsid w:val="736D5E71"/>
    <w:rsid w:val="73966C01"/>
    <w:rsid w:val="73C92407"/>
    <w:rsid w:val="73D15D1A"/>
    <w:rsid w:val="73F05BE5"/>
    <w:rsid w:val="743C0E2B"/>
    <w:rsid w:val="744228E5"/>
    <w:rsid w:val="744A04A3"/>
    <w:rsid w:val="74B13FC3"/>
    <w:rsid w:val="74C01A5C"/>
    <w:rsid w:val="74EE481B"/>
    <w:rsid w:val="7549549D"/>
    <w:rsid w:val="75614247"/>
    <w:rsid w:val="756D3991"/>
    <w:rsid w:val="7582514F"/>
    <w:rsid w:val="75905670"/>
    <w:rsid w:val="75A1188D"/>
    <w:rsid w:val="75B710B1"/>
    <w:rsid w:val="75B9571C"/>
    <w:rsid w:val="76164029"/>
    <w:rsid w:val="763E70DC"/>
    <w:rsid w:val="764C5E0A"/>
    <w:rsid w:val="766102D1"/>
    <w:rsid w:val="767251C4"/>
    <w:rsid w:val="76775080"/>
    <w:rsid w:val="768570F0"/>
    <w:rsid w:val="769431A0"/>
    <w:rsid w:val="76B055B6"/>
    <w:rsid w:val="76B61368"/>
    <w:rsid w:val="76D67314"/>
    <w:rsid w:val="76EC2FDC"/>
    <w:rsid w:val="7706409E"/>
    <w:rsid w:val="770B3462"/>
    <w:rsid w:val="77287154"/>
    <w:rsid w:val="7771703D"/>
    <w:rsid w:val="77846D70"/>
    <w:rsid w:val="778637D8"/>
    <w:rsid w:val="778C5026"/>
    <w:rsid w:val="77AE4268"/>
    <w:rsid w:val="77CE4490"/>
    <w:rsid w:val="77E93077"/>
    <w:rsid w:val="77FF4A56"/>
    <w:rsid w:val="78202F3D"/>
    <w:rsid w:val="782B18E2"/>
    <w:rsid w:val="78322C70"/>
    <w:rsid w:val="788039DC"/>
    <w:rsid w:val="78A05E2C"/>
    <w:rsid w:val="78FB7506"/>
    <w:rsid w:val="79064D08"/>
    <w:rsid w:val="791B260B"/>
    <w:rsid w:val="792B7DEB"/>
    <w:rsid w:val="793B5B55"/>
    <w:rsid w:val="79420C91"/>
    <w:rsid w:val="79752E15"/>
    <w:rsid w:val="79952967"/>
    <w:rsid w:val="79C43D9C"/>
    <w:rsid w:val="79F53F55"/>
    <w:rsid w:val="7A3525A4"/>
    <w:rsid w:val="7A3C7DD6"/>
    <w:rsid w:val="7A545120"/>
    <w:rsid w:val="7A637111"/>
    <w:rsid w:val="7AAD65DE"/>
    <w:rsid w:val="7B252618"/>
    <w:rsid w:val="7B42141C"/>
    <w:rsid w:val="7BD209F2"/>
    <w:rsid w:val="7BE129E3"/>
    <w:rsid w:val="7BFD27E5"/>
    <w:rsid w:val="7C38637B"/>
    <w:rsid w:val="7C5739AD"/>
    <w:rsid w:val="7C725D31"/>
    <w:rsid w:val="7C896BD7"/>
    <w:rsid w:val="7C9C5993"/>
    <w:rsid w:val="7CA12173"/>
    <w:rsid w:val="7D022F24"/>
    <w:rsid w:val="7D39684F"/>
    <w:rsid w:val="7D4939A5"/>
    <w:rsid w:val="7D5D6B3A"/>
    <w:rsid w:val="7D733B0F"/>
    <w:rsid w:val="7DA05D3C"/>
    <w:rsid w:val="7DAE3C65"/>
    <w:rsid w:val="7DBB429F"/>
    <w:rsid w:val="7E235535"/>
    <w:rsid w:val="7E464D80"/>
    <w:rsid w:val="7E67136F"/>
    <w:rsid w:val="7E7318ED"/>
    <w:rsid w:val="7E97382D"/>
    <w:rsid w:val="7EA06B86"/>
    <w:rsid w:val="7EC2387D"/>
    <w:rsid w:val="7EDE7AA8"/>
    <w:rsid w:val="7EDF0482"/>
    <w:rsid w:val="7EE36A72"/>
    <w:rsid w:val="7EF3379A"/>
    <w:rsid w:val="7F01339C"/>
    <w:rsid w:val="7F084A82"/>
    <w:rsid w:val="7F10538E"/>
    <w:rsid w:val="7F141322"/>
    <w:rsid w:val="7F364DF4"/>
    <w:rsid w:val="7F69341C"/>
    <w:rsid w:val="7F775DA9"/>
    <w:rsid w:val="7F8042C1"/>
    <w:rsid w:val="7FA81E25"/>
    <w:rsid w:val="7FB0104A"/>
    <w:rsid w:val="7FF371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semiHidden="0" w:name="heading 2"/>
    <w:lsdException w:qFormat="1" w:uiPriority="0" w:semiHidden="0" w:name="heading 3"/>
    <w:lsdException w:qFormat="1" w:unhideWhenUsed="0" w:uiPriority="99" w:semiHidden="0" w:name="heading 4"/>
    <w:lsdException w:qFormat="1"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iPriority="39"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qFormat="1" w:unhideWhenUsed="0" w:uiPriority="0" w:semiHidden="0" w:name="List Number"/>
    <w:lsdException w:qFormat="1" w:uiPriority="99"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iPriority="99"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iPriority="99" w:semiHidden="0" w:name="Body Text 3"/>
    <w:lsdException w:qFormat="1"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qFormat/>
    <w:uiPriority w:val="9"/>
    <w:pPr>
      <w:keepNext/>
      <w:keepLines/>
      <w:spacing w:before="340" w:after="330" w:line="578" w:lineRule="auto"/>
      <w:outlineLvl w:val="0"/>
    </w:pPr>
    <w:rPr>
      <w:b/>
      <w:bCs/>
      <w:kern w:val="44"/>
      <w:sz w:val="44"/>
      <w:szCs w:val="44"/>
    </w:rPr>
  </w:style>
  <w:style w:type="paragraph" w:styleId="5">
    <w:name w:val="heading 2"/>
    <w:basedOn w:val="1"/>
    <w:next w:val="1"/>
    <w:unhideWhenUsed/>
    <w:qFormat/>
    <w:uiPriority w:val="0"/>
    <w:pPr>
      <w:keepNext/>
      <w:keepLines/>
      <w:spacing w:beforeLines="0" w:afterLines="0" w:line="413" w:lineRule="auto"/>
      <w:outlineLvl w:val="1"/>
    </w:pPr>
    <w:rPr>
      <w:rFonts w:hint="default" w:ascii="Arial" w:hAnsi="Arial" w:eastAsia="黑体"/>
      <w:b/>
      <w:sz w:val="32"/>
      <w:szCs w:val="32"/>
    </w:rPr>
  </w:style>
  <w:style w:type="paragraph" w:styleId="6">
    <w:name w:val="heading 3"/>
    <w:basedOn w:val="1"/>
    <w:next w:val="1"/>
    <w:unhideWhenUsed/>
    <w:qFormat/>
    <w:uiPriority w:val="0"/>
    <w:pPr>
      <w:keepNext/>
      <w:keepLines/>
      <w:spacing w:before="260" w:beforeLines="0" w:after="260" w:afterLines="0" w:line="24" w:lineRule="auto"/>
      <w:outlineLvl w:val="2"/>
    </w:pPr>
    <w:rPr>
      <w:rFonts w:hint="eastAsia" w:ascii="宋体" w:hAnsi="宋体" w:eastAsia="宋体"/>
      <w:b/>
      <w:kern w:val="0"/>
      <w:sz w:val="24"/>
      <w:szCs w:val="32"/>
    </w:rPr>
  </w:style>
  <w:style w:type="paragraph" w:styleId="7">
    <w:name w:val="heading 4"/>
    <w:basedOn w:val="1"/>
    <w:next w:val="1"/>
    <w:qFormat/>
    <w:uiPriority w:val="99"/>
    <w:pPr>
      <w:tabs>
        <w:tab w:val="left" w:pos="2155"/>
      </w:tabs>
      <w:adjustRightInd w:val="0"/>
      <w:spacing w:line="360" w:lineRule="auto"/>
      <w:ind w:left="2155" w:hanging="1078"/>
      <w:textAlignment w:val="baseline"/>
      <w:outlineLvl w:val="3"/>
    </w:pPr>
    <w:rPr>
      <w:rFonts w:ascii="Arial" w:hAnsi="Times New Roman" w:eastAsia="黑体" w:cs="Times New Roman"/>
      <w:kern w:val="0"/>
      <w:sz w:val="28"/>
      <w:szCs w:val="20"/>
    </w:rPr>
  </w:style>
  <w:style w:type="paragraph" w:styleId="8">
    <w:name w:val="heading 5"/>
    <w:basedOn w:val="1"/>
    <w:next w:val="1"/>
    <w:unhideWhenUsed/>
    <w:qFormat/>
    <w:uiPriority w:val="0"/>
    <w:pPr>
      <w:keepNext/>
      <w:keepLines/>
      <w:spacing w:beforeLines="0" w:afterLines="0" w:line="372" w:lineRule="auto"/>
      <w:outlineLvl w:val="4"/>
    </w:pPr>
    <w:rPr>
      <w:rFonts w:hint="eastAsia"/>
      <w:b/>
      <w:sz w:val="28"/>
      <w:szCs w:val="28"/>
    </w:rPr>
  </w:style>
  <w:style w:type="character" w:default="1" w:styleId="24">
    <w:name w:val="Default Paragraph Font"/>
    <w:semiHidden/>
    <w:qFormat/>
    <w:uiPriority w:val="0"/>
  </w:style>
  <w:style w:type="table" w:default="1" w:styleId="23">
    <w:name w:val="Normal Table"/>
    <w:semiHidden/>
    <w:qFormat/>
    <w:uiPriority w:val="0"/>
    <w:tblPr>
      <w:tblCellMar>
        <w:top w:w="0" w:type="dxa"/>
        <w:left w:w="108" w:type="dxa"/>
        <w:bottom w:w="0" w:type="dxa"/>
        <w:right w:w="108" w:type="dxa"/>
      </w:tblCellMar>
    </w:tblPr>
  </w:style>
  <w:style w:type="paragraph" w:styleId="2">
    <w:name w:val="Body Text"/>
    <w:basedOn w:val="1"/>
    <w:next w:val="3"/>
    <w:unhideWhenUsed/>
    <w:qFormat/>
    <w:uiPriority w:val="0"/>
    <w:pPr>
      <w:spacing w:after="120"/>
    </w:pPr>
  </w:style>
  <w:style w:type="paragraph" w:customStyle="1" w:styleId="3">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styleId="9">
    <w:name w:val="List Number"/>
    <w:basedOn w:val="1"/>
    <w:qFormat/>
    <w:uiPriority w:val="0"/>
    <w:pPr>
      <w:numPr>
        <w:ilvl w:val="0"/>
        <w:numId w:val="1"/>
      </w:numPr>
    </w:pPr>
  </w:style>
  <w:style w:type="paragraph" w:styleId="10">
    <w:name w:val="Normal Indent"/>
    <w:basedOn w:val="1"/>
    <w:qFormat/>
    <w:uiPriority w:val="0"/>
    <w:pPr>
      <w:ind w:firstLine="420"/>
    </w:pPr>
    <w:rPr>
      <w:szCs w:val="20"/>
    </w:rPr>
  </w:style>
  <w:style w:type="paragraph" w:styleId="11">
    <w:name w:val="annotation text"/>
    <w:basedOn w:val="1"/>
    <w:qFormat/>
    <w:uiPriority w:val="0"/>
    <w:pPr>
      <w:jc w:val="left"/>
    </w:pPr>
  </w:style>
  <w:style w:type="paragraph" w:styleId="12">
    <w:name w:val="Body Text 3"/>
    <w:basedOn w:val="1"/>
    <w:unhideWhenUsed/>
    <w:qFormat/>
    <w:uiPriority w:val="99"/>
    <w:pPr>
      <w:spacing w:after="120"/>
    </w:pPr>
    <w:rPr>
      <w:sz w:val="16"/>
      <w:szCs w:val="16"/>
    </w:rPr>
  </w:style>
  <w:style w:type="paragraph" w:styleId="13">
    <w:name w:val="Body Text Indent"/>
    <w:basedOn w:val="1"/>
    <w:qFormat/>
    <w:uiPriority w:val="0"/>
    <w:pPr>
      <w:ind w:firstLine="830" w:firstLineChars="352"/>
    </w:pPr>
    <w:rPr>
      <w:rFonts w:ascii="仿宋_GB2312" w:eastAsia="仿宋_GB2312"/>
      <w:kern w:val="0"/>
      <w:sz w:val="32"/>
      <w:szCs w:val="20"/>
    </w:rPr>
  </w:style>
  <w:style w:type="paragraph" w:styleId="14">
    <w:name w:val="List 2"/>
    <w:basedOn w:val="1"/>
    <w:unhideWhenUsed/>
    <w:qFormat/>
    <w:uiPriority w:val="99"/>
    <w:pPr>
      <w:ind w:left="100" w:leftChars="200" w:hanging="200" w:hangingChars="200"/>
      <w:contextualSpacing/>
    </w:pPr>
  </w:style>
  <w:style w:type="paragraph" w:styleId="15">
    <w:name w:val="toc 3"/>
    <w:basedOn w:val="1"/>
    <w:next w:val="1"/>
    <w:qFormat/>
    <w:uiPriority w:val="0"/>
    <w:pPr>
      <w:ind w:left="840" w:leftChars="400"/>
    </w:pPr>
  </w:style>
  <w:style w:type="paragraph" w:styleId="16">
    <w:name w:val="Plain Text"/>
    <w:basedOn w:val="1"/>
    <w:qFormat/>
    <w:uiPriority w:val="0"/>
    <w:rPr>
      <w:rFonts w:ascii="宋体" w:hAnsi="Courier New"/>
      <w:kern w:val="0"/>
      <w:sz w:val="20"/>
      <w:szCs w:val="21"/>
    </w:rPr>
  </w:style>
  <w:style w:type="paragraph" w:styleId="17">
    <w:name w:val="Date"/>
    <w:basedOn w:val="1"/>
    <w:next w:val="1"/>
    <w:unhideWhenUsed/>
    <w:qFormat/>
    <w:uiPriority w:val="99"/>
    <w:pPr>
      <w:ind w:left="100" w:leftChars="2500"/>
    </w:pPr>
  </w:style>
  <w:style w:type="paragraph" w:styleId="18">
    <w:name w:val="Body Text Indent 2"/>
    <w:basedOn w:val="1"/>
    <w:unhideWhenUsed/>
    <w:qFormat/>
    <w:uiPriority w:val="0"/>
    <w:pPr>
      <w:spacing w:beforeLines="0" w:after="120" w:afterLines="0" w:line="480" w:lineRule="auto"/>
      <w:ind w:left="200" w:leftChars="200"/>
    </w:pPr>
    <w:rPr>
      <w:rFonts w:hint="eastAsia"/>
      <w:sz w:val="21"/>
      <w:szCs w:val="24"/>
    </w:rPr>
  </w:style>
  <w:style w:type="paragraph" w:styleId="19">
    <w:name w:val="footer"/>
    <w:basedOn w:val="1"/>
    <w:unhideWhenUsed/>
    <w:qFormat/>
    <w:uiPriority w:val="99"/>
    <w:pPr>
      <w:tabs>
        <w:tab w:val="center" w:pos="4153"/>
        <w:tab w:val="right" w:pos="8306"/>
      </w:tabs>
      <w:snapToGrid w:val="0"/>
      <w:jc w:val="left"/>
    </w:pPr>
    <w:rPr>
      <w:kern w:val="0"/>
      <w:sz w:val="18"/>
      <w:szCs w:val="18"/>
    </w:rPr>
  </w:style>
  <w:style w:type="paragraph" w:styleId="20">
    <w:name w:val="header"/>
    <w:basedOn w:val="1"/>
    <w:unhideWhenUsed/>
    <w:qFormat/>
    <w:uiPriority w:val="0"/>
    <w:pPr>
      <w:pBdr>
        <w:bottom w:val="single" w:color="auto" w:sz="6" w:space="1"/>
      </w:pBdr>
      <w:tabs>
        <w:tab w:val="center" w:pos="4153"/>
        <w:tab w:val="right" w:pos="8306"/>
      </w:tabs>
      <w:snapToGrid w:val="0"/>
      <w:jc w:val="center"/>
    </w:pPr>
    <w:rPr>
      <w:kern w:val="0"/>
      <w:sz w:val="18"/>
      <w:szCs w:val="18"/>
    </w:rPr>
  </w:style>
  <w:style w:type="paragraph" w:styleId="21">
    <w:name w:val="toc 1"/>
    <w:basedOn w:val="1"/>
    <w:next w:val="1"/>
    <w:unhideWhenUsed/>
    <w:qFormat/>
    <w:uiPriority w:val="39"/>
  </w:style>
  <w:style w:type="paragraph" w:styleId="22">
    <w:name w:val="toc 2"/>
    <w:basedOn w:val="1"/>
    <w:next w:val="1"/>
    <w:unhideWhenUsed/>
    <w:qFormat/>
    <w:uiPriority w:val="39"/>
    <w:pPr>
      <w:tabs>
        <w:tab w:val="right" w:leader="dot" w:pos="8296"/>
      </w:tabs>
      <w:ind w:left="420" w:leftChars="200"/>
    </w:pPr>
  </w:style>
  <w:style w:type="character" w:styleId="25">
    <w:name w:val="Hyperlink"/>
    <w:basedOn w:val="24"/>
    <w:unhideWhenUsed/>
    <w:qFormat/>
    <w:uiPriority w:val="99"/>
    <w:rPr>
      <w:color w:val="0000FF"/>
      <w:u w:val="single"/>
    </w:rPr>
  </w:style>
  <w:style w:type="paragraph" w:customStyle="1" w:styleId="26">
    <w:name w:val="Table Text"/>
    <w:basedOn w:val="1"/>
    <w:semiHidden/>
    <w:qFormat/>
    <w:uiPriority w:val="0"/>
    <w:rPr>
      <w:rFonts w:ascii="宋体" w:hAnsi="宋体" w:eastAsia="宋体" w:cs="宋体"/>
      <w:sz w:val="19"/>
      <w:szCs w:val="19"/>
      <w:lang w:val="en-US" w:eastAsia="en-US" w:bidi="ar-SA"/>
    </w:rPr>
  </w:style>
  <w:style w:type="paragraph" w:styleId="27">
    <w:name w:val="List Paragraph"/>
    <w:basedOn w:val="1"/>
    <w:qFormat/>
    <w:uiPriority w:val="34"/>
    <w:pPr>
      <w:ind w:firstLine="420" w:firstLineChars="200"/>
    </w:pPr>
  </w:style>
  <w:style w:type="paragraph" w:customStyle="1" w:styleId="28">
    <w:name w:val="标题 2_1"/>
    <w:basedOn w:val="29"/>
    <w:next w:val="29"/>
    <w:qFormat/>
    <w:uiPriority w:val="0"/>
    <w:pPr>
      <w:keepLines/>
      <w:spacing w:before="240" w:after="120" w:line="416" w:lineRule="auto"/>
      <w:jc w:val="center"/>
      <w:outlineLvl w:val="1"/>
    </w:pPr>
    <w:rPr>
      <w:rFonts w:ascii="宋体" w:hAnsi="宋体" w:eastAsia="黑体" w:cs="宋体"/>
      <w:b/>
      <w:bCs/>
      <w:sz w:val="36"/>
      <w:szCs w:val="21"/>
    </w:rPr>
  </w:style>
  <w:style w:type="paragraph" w:customStyle="1" w:styleId="29">
    <w:name w:val="正文_3_0"/>
    <w:basedOn w:val="30"/>
    <w:qFormat/>
    <w:uiPriority w:val="0"/>
    <w:pPr>
      <w:widowControl w:val="0"/>
      <w:jc w:val="both"/>
    </w:pPr>
    <w:rPr>
      <w:rFonts w:ascii="Calibri" w:hAnsi="Calibri"/>
      <w:kern w:val="2"/>
      <w:sz w:val="21"/>
      <w:szCs w:val="22"/>
      <w:lang w:val="en-US" w:eastAsia="zh-CN" w:bidi="ar-SA"/>
    </w:rPr>
  </w:style>
  <w:style w:type="paragraph" w:customStyle="1" w:styleId="30">
    <w:name w:val="正文_2"/>
    <w:qFormat/>
    <w:uiPriority w:val="0"/>
    <w:pPr>
      <w:widowControl w:val="0"/>
      <w:jc w:val="both"/>
    </w:pPr>
    <w:rPr>
      <w:rFonts w:ascii="Calibri" w:hAnsi="Calibri" w:eastAsia="宋体" w:cs="Times New Roman"/>
      <w:kern w:val="2"/>
      <w:sz w:val="21"/>
      <w:szCs w:val="24"/>
      <w:lang w:val="en-US" w:eastAsia="zh-CN" w:bidi="ar-SA"/>
    </w:rPr>
  </w:style>
  <w:style w:type="paragraph" w:customStyle="1" w:styleId="31">
    <w:name w:val="Body text|1_2"/>
    <w:basedOn w:val="32"/>
    <w:qFormat/>
    <w:uiPriority w:val="0"/>
    <w:pPr>
      <w:spacing w:line="360" w:lineRule="auto"/>
      <w:ind w:firstLine="400"/>
    </w:pPr>
    <w:rPr>
      <w:rFonts w:ascii="宋体" w:hAnsi="宋体" w:eastAsia="宋体" w:cs="宋体"/>
      <w:color w:val="auto"/>
      <w:sz w:val="20"/>
      <w:szCs w:val="20"/>
      <w:lang w:val="zh-CN" w:eastAsia="zh-CN" w:bidi="zh-CN"/>
    </w:rPr>
  </w:style>
  <w:style w:type="paragraph" w:customStyle="1" w:styleId="32">
    <w:name w:val="正文_3"/>
    <w:qFormat/>
    <w:uiPriority w:val="0"/>
    <w:pPr>
      <w:widowControl w:val="0"/>
    </w:pPr>
    <w:rPr>
      <w:rFonts w:ascii="Times New Roman" w:hAnsi="Times New Roman" w:eastAsia="Times New Roman" w:cs="Times New Roman"/>
      <w:color w:val="000000"/>
      <w:sz w:val="24"/>
      <w:szCs w:val="24"/>
      <w:lang w:val="en-US" w:eastAsia="en-US" w:bidi="en-US"/>
    </w:rPr>
  </w:style>
  <w:style w:type="paragraph" w:customStyle="1" w:styleId="33">
    <w:name w:val="样式5"/>
    <w:basedOn w:val="1"/>
    <w:qFormat/>
    <w:uiPriority w:val="0"/>
    <w:pPr>
      <w:adjustRightInd w:val="0"/>
      <w:spacing w:line="440" w:lineRule="exact"/>
      <w:ind w:left="2" w:firstLine="480" w:firstLineChars="200"/>
    </w:pPr>
    <w:rPr>
      <w:rFonts w:ascii="仿宋_GB2312" w:hAnsi="仿宋" w:eastAsia="仿宋_GB2312"/>
      <w:sz w:val="24"/>
    </w:rPr>
  </w:style>
  <w:style w:type="paragraph" w:customStyle="1" w:styleId="34">
    <w:name w:val="Other|1_2"/>
    <w:basedOn w:val="32"/>
    <w:qFormat/>
    <w:uiPriority w:val="0"/>
    <w:pPr>
      <w:spacing w:line="360" w:lineRule="auto"/>
      <w:ind w:firstLine="400"/>
    </w:pPr>
    <w:rPr>
      <w:rFonts w:ascii="宋体" w:hAnsi="宋体" w:eastAsia="宋体" w:cs="宋体"/>
      <w:color w:val="auto"/>
      <w:sz w:val="20"/>
      <w:szCs w:val="20"/>
      <w:lang w:val="zh-CN" w:eastAsia="zh-CN" w:bidi="zh-CN"/>
    </w:rPr>
  </w:style>
  <w:style w:type="paragraph" w:customStyle="1" w:styleId="35">
    <w:name w:val="标题 3_2"/>
    <w:basedOn w:val="32"/>
    <w:next w:val="32"/>
    <w:qFormat/>
    <w:uiPriority w:val="0"/>
    <w:pPr>
      <w:keepNext/>
      <w:keepLines/>
      <w:spacing w:before="240" w:beforeLines="0" w:after="120" w:afterLines="0" w:line="240" w:lineRule="auto"/>
      <w:outlineLvl w:val="2"/>
    </w:pPr>
    <w:rPr>
      <w:rFonts w:ascii="Times New Roman" w:hAnsi="Times New Roman" w:eastAsia="宋体"/>
      <w:b/>
      <w:color w:val="auto"/>
      <w:sz w:val="32"/>
      <w:szCs w:val="20"/>
      <w:lang w:bidi="ar-SA"/>
    </w:rPr>
  </w:style>
  <w:style w:type="paragraph" w:customStyle="1" w:styleId="36">
    <w:name w:val="正文_0"/>
    <w:qFormat/>
    <w:uiPriority w:val="0"/>
    <w:pPr>
      <w:widowControl w:val="0"/>
      <w:jc w:val="both"/>
    </w:pPr>
    <w:rPr>
      <w:rFonts w:ascii="Calibri" w:hAnsi="Calibri" w:eastAsia="宋体" w:cs="Times New Roman"/>
      <w:kern w:val="2"/>
      <w:sz w:val="21"/>
      <w:szCs w:val="24"/>
      <w:lang w:val="en-US" w:eastAsia="zh-CN" w:bidi="ar-SA"/>
    </w:rPr>
  </w:style>
  <w:style w:type="paragraph" w:customStyle="1" w:styleId="37">
    <w:name w:val="Normal_0"/>
    <w:qFormat/>
    <w:uiPriority w:val="0"/>
    <w:pPr>
      <w:widowControl w:val="0"/>
      <w:jc w:val="both"/>
    </w:pPr>
    <w:rPr>
      <w:rFonts w:ascii="Calibri" w:hAnsi="Calibri" w:eastAsia="宋体" w:cs="Times New Roman"/>
      <w:lang w:val="en-US" w:eastAsia="zh-CN" w:bidi="ar-SA"/>
    </w:rPr>
  </w:style>
  <w:style w:type="paragraph" w:customStyle="1" w:styleId="38">
    <w:name w:val="标题 3_0"/>
    <w:basedOn w:val="39"/>
    <w:next w:val="39"/>
    <w:qFormat/>
    <w:uiPriority w:val="0"/>
    <w:pPr>
      <w:keepNext/>
      <w:keepLines/>
      <w:spacing w:before="260" w:after="260" w:line="416" w:lineRule="auto"/>
      <w:outlineLvl w:val="2"/>
    </w:pPr>
    <w:rPr>
      <w:rFonts w:ascii="Times New Roman" w:hAnsi="Times New Roman"/>
      <w:b/>
      <w:bCs/>
      <w:sz w:val="32"/>
      <w:szCs w:val="32"/>
    </w:rPr>
  </w:style>
  <w:style w:type="paragraph" w:customStyle="1" w:styleId="39">
    <w:name w:val="正文_3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40">
    <w:name w:val="正文_3_0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41">
    <w:name w:val="正文_4"/>
    <w:qFormat/>
    <w:uiPriority w:val="0"/>
    <w:pPr>
      <w:widowControl w:val="0"/>
      <w:jc w:val="both"/>
    </w:pPr>
    <w:rPr>
      <w:rFonts w:ascii="Calibri" w:hAnsi="Calibri" w:eastAsia="宋体" w:cs="Times New Roman"/>
      <w:kern w:val="2"/>
      <w:sz w:val="21"/>
      <w:szCs w:val="22"/>
      <w:lang w:val="en-US" w:eastAsia="zh-CN" w:bidi="ar-SA"/>
    </w:rPr>
  </w:style>
  <w:style w:type="paragraph" w:customStyle="1" w:styleId="42">
    <w:name w:val="纯文本_0"/>
    <w:basedOn w:val="29"/>
    <w:qFormat/>
    <w:uiPriority w:val="0"/>
    <w:rPr>
      <w:rFonts w:ascii="宋体" w:hAnsi="Courier New"/>
      <w:kern w:val="0"/>
      <w:sz w:val="20"/>
      <w:szCs w:val="24"/>
    </w:rPr>
  </w:style>
  <w:style w:type="paragraph" w:customStyle="1" w:styleId="43">
    <w:name w:val="纯文本_1"/>
    <w:basedOn w:val="29"/>
    <w:qFormat/>
    <w:uiPriority w:val="0"/>
    <w:rPr>
      <w:rFonts w:ascii="宋体" w:hAnsi="Courier New"/>
      <w:szCs w:val="24"/>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6" Type="http://schemas.openxmlformats.org/officeDocument/2006/relationships/fontTable" Target="fontTable.xml"/><Relationship Id="rId25" Type="http://schemas.openxmlformats.org/officeDocument/2006/relationships/numbering" Target="numbering.xml"/><Relationship Id="rId24" Type="http://schemas.openxmlformats.org/officeDocument/2006/relationships/customXml" Target="../customXml/item1.xml"/><Relationship Id="rId23" Type="http://schemas.openxmlformats.org/officeDocument/2006/relationships/image" Target="media/image5.wmf"/><Relationship Id="rId22" Type="http://schemas.openxmlformats.org/officeDocument/2006/relationships/oleObject" Target="embeddings/oleObject5.bin"/><Relationship Id="rId21" Type="http://schemas.openxmlformats.org/officeDocument/2006/relationships/image" Target="media/image4.wmf"/><Relationship Id="rId20" Type="http://schemas.openxmlformats.org/officeDocument/2006/relationships/oleObject" Target="embeddings/oleObject4.bin"/><Relationship Id="rId2" Type="http://schemas.openxmlformats.org/officeDocument/2006/relationships/settings" Target="settings.xml"/><Relationship Id="rId19" Type="http://schemas.openxmlformats.org/officeDocument/2006/relationships/image" Target="media/image3.wmf"/><Relationship Id="rId18" Type="http://schemas.openxmlformats.org/officeDocument/2006/relationships/oleObject" Target="embeddings/oleObject3.bin"/><Relationship Id="rId17" Type="http://schemas.openxmlformats.org/officeDocument/2006/relationships/image" Target="media/image2.wmf"/><Relationship Id="rId16" Type="http://schemas.openxmlformats.org/officeDocument/2006/relationships/oleObject" Target="embeddings/oleObject2.bin"/><Relationship Id="rId15" Type="http://schemas.openxmlformats.org/officeDocument/2006/relationships/image" Target="media/image1.wmf"/><Relationship Id="rId14" Type="http://schemas.openxmlformats.org/officeDocument/2006/relationships/oleObject" Target="embeddings/oleObject1.bin"/><Relationship Id="rId13" Type="http://schemas.openxmlformats.org/officeDocument/2006/relationships/theme" Target="theme/theme1.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138</Pages>
  <Words>26901</Words>
  <Characters>28656</Characters>
  <Lines>0</Lines>
  <Paragraphs>0</Paragraphs>
  <TotalTime>0</TotalTime>
  <ScaleCrop>false</ScaleCrop>
  <LinksUpToDate>false</LinksUpToDate>
  <CharactersWithSpaces>29581</CharactersWithSpaces>
  <Application>WPS Office_12.1.0.25860_F1E327BC-269C-435d-A152-05C5408002CA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2025-11-10T08:39:00Z</dcterms:created>
  <dc:creator>Mr 黎</dc:creator>
  <cp:lastModifiedBy>AAAAAAA</cp:lastModifiedBy>
  <dcterms:modified xsi:type="dcterms:W3CDTF">2026-05-21T07:23:48Z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2052-12.1.0.25860</vt:lpwstr>
  </property>
  <property fmtid="{D5CDD505-2E9C-101B-9397-08002B2CF9AE}" pid="3" name="ICV">
    <vt:lpwstr>833CBEB02BDD4D6FBBF98666F6547591_13</vt:lpwstr>
  </property>
  <property fmtid="{D5CDD505-2E9C-101B-9397-08002B2CF9AE}" pid="4" name="KSOTemplateDocerSaveRecord">
    <vt:lpwstr>eyJoZGlkIjoiNDdjNDUyNTkxNGZhMjRiNGE5MTEzODI0NmJmZDdlMzAiLCJ1c2VySWQiOiIyMDM1NTEzNjgifQ==</vt:lpwstr>
  </property>
</Properties>
</file>