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8724DCF">
      <w:pPr>
        <w:tabs>
          <w:tab w:val="left" w:pos="1710"/>
        </w:tabs>
        <w:rPr>
          <w:color w:val="auto"/>
          <w:highlight w:val="none"/>
        </w:rPr>
      </w:pPr>
      <w:bookmarkStart w:id="0" w:name="_Toc183682338"/>
      <w:bookmarkStart w:id="1" w:name="_Toc217446030"/>
    </w:p>
    <w:p w14:paraId="7D555355">
      <w:pPr>
        <w:tabs>
          <w:tab w:val="left" w:pos="1710"/>
        </w:tabs>
        <w:rPr>
          <w:color w:val="auto"/>
          <w:highlight w:val="none"/>
        </w:rPr>
      </w:pPr>
    </w:p>
    <w:p w14:paraId="70721A79">
      <w:pPr>
        <w:spacing w:before="156" w:beforeLines="50" w:line="360" w:lineRule="auto"/>
        <w:jc w:val="center"/>
        <w:rPr>
          <w:rFonts w:ascii="宋体" w:hAnsi="宋体"/>
          <w:color w:val="auto"/>
          <w:sz w:val="36"/>
          <w:szCs w:val="36"/>
          <w:highlight w:val="none"/>
        </w:rPr>
      </w:pPr>
      <w:r>
        <w:rPr>
          <w:rFonts w:hint="eastAsia" w:ascii="宋体" w:hAnsi="宋体"/>
          <w:color w:val="auto"/>
          <w:sz w:val="52"/>
          <w:szCs w:val="52"/>
          <w:highlight w:val="none"/>
        </w:rPr>
        <w:t>广西宁涌工程管理有限公司</w:t>
      </w:r>
    </w:p>
    <w:p w14:paraId="646E8732">
      <w:pPr>
        <w:snapToGrid w:val="0"/>
        <w:spacing w:before="156" w:beforeLines="50" w:line="360" w:lineRule="auto"/>
        <w:jc w:val="center"/>
        <w:rPr>
          <w:rFonts w:ascii="方正小标宋简体" w:hAnsi="方正小标宋简体" w:eastAsia="方正小标宋简体" w:cs="方正小标宋简体"/>
          <w:color w:val="auto"/>
          <w:sz w:val="44"/>
          <w:szCs w:val="44"/>
          <w:highlight w:val="none"/>
        </w:rPr>
      </w:pPr>
      <w:r>
        <w:rPr>
          <w:rFonts w:hint="eastAsia" w:ascii="华文新魏" w:hAnsi="宋体" w:eastAsia="华文新魏"/>
          <w:color w:val="auto"/>
          <w:sz w:val="72"/>
          <w:szCs w:val="72"/>
          <w:highlight w:val="none"/>
        </w:rPr>
        <w:t>竞争性磋商文件</w:t>
      </w:r>
    </w:p>
    <w:p w14:paraId="7F457C7A">
      <w:pPr>
        <w:spacing w:before="312" w:beforeLines="100" w:after="156" w:afterLines="50" w:line="360" w:lineRule="auto"/>
        <w:jc w:val="center"/>
        <w:rPr>
          <w:rFonts w:ascii="宋体" w:hAnsi="宋体"/>
          <w:color w:val="auto"/>
          <w:szCs w:val="21"/>
          <w:highlight w:val="none"/>
        </w:rPr>
      </w:pPr>
      <w:r>
        <w:rPr>
          <w:rFonts w:hint="eastAsia" w:ascii="宋体" w:hAnsi="宋体"/>
          <w:color w:val="auto"/>
          <w:szCs w:val="21"/>
          <w:highlight w:val="none"/>
        </w:rPr>
        <w:t>（全流程电子化评标）</w:t>
      </w:r>
    </w:p>
    <w:p w14:paraId="27C54311">
      <w:pPr>
        <w:spacing w:line="360" w:lineRule="auto"/>
        <w:rPr>
          <w:rFonts w:ascii="宋体" w:hAnsi="宋体"/>
          <w:b/>
          <w:color w:val="auto"/>
          <w:sz w:val="32"/>
          <w:szCs w:val="32"/>
          <w:highlight w:val="none"/>
        </w:rPr>
      </w:pPr>
    </w:p>
    <w:p w14:paraId="55AAA8A2">
      <w:pPr>
        <w:spacing w:line="360" w:lineRule="auto"/>
        <w:jc w:val="center"/>
        <w:rPr>
          <w:rFonts w:ascii="宋体" w:hAnsi="宋体"/>
          <w:b/>
          <w:color w:val="auto"/>
          <w:sz w:val="32"/>
          <w:szCs w:val="32"/>
          <w:highlight w:val="none"/>
        </w:rPr>
      </w:pPr>
    </w:p>
    <w:p w14:paraId="31CAB460">
      <w:pPr>
        <w:spacing w:line="360" w:lineRule="auto"/>
        <w:ind w:firstLine="1606" w:firstLineChars="500"/>
        <w:rPr>
          <w:rFonts w:hint="eastAsia"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rPr>
        <w:t>项目名称：贵港市港南区人民法院移动办公</w:t>
      </w:r>
    </w:p>
    <w:p w14:paraId="0F14374E">
      <w:pPr>
        <w:spacing w:line="360" w:lineRule="auto"/>
        <w:ind w:firstLine="3213" w:firstLineChars="1000"/>
        <w:rPr>
          <w:rFonts w:hint="eastAsia" w:ascii="仿宋_GB2312" w:hAnsi="宋体" w:eastAsia="仿宋_GB2312"/>
          <w:b/>
          <w:color w:val="auto"/>
          <w:sz w:val="32"/>
          <w:szCs w:val="32"/>
          <w:highlight w:val="none"/>
          <w:lang w:val="en-US" w:eastAsia="zh-CN"/>
        </w:rPr>
      </w:pPr>
      <w:r>
        <w:rPr>
          <w:rFonts w:hint="eastAsia" w:ascii="仿宋_GB2312" w:hAnsi="宋体" w:eastAsia="仿宋_GB2312"/>
          <w:b/>
          <w:color w:val="auto"/>
          <w:sz w:val="32"/>
          <w:szCs w:val="32"/>
          <w:highlight w:val="none"/>
        </w:rPr>
        <w:t>办案专用通信服务</w:t>
      </w:r>
      <w:r>
        <w:rPr>
          <w:rFonts w:hint="eastAsia" w:ascii="仿宋_GB2312" w:hAnsi="宋体" w:eastAsia="仿宋_GB2312"/>
          <w:b/>
          <w:color w:val="auto"/>
          <w:sz w:val="32"/>
          <w:szCs w:val="32"/>
          <w:highlight w:val="none"/>
          <w:lang w:val="en-US" w:eastAsia="zh-CN"/>
        </w:rPr>
        <w:t>项目</w:t>
      </w:r>
    </w:p>
    <w:p w14:paraId="159A66C2">
      <w:pPr>
        <w:spacing w:line="360" w:lineRule="auto"/>
        <w:jc w:val="center"/>
        <w:rPr>
          <w:rFonts w:ascii="仿宋_GB2312" w:hAnsi="宋体" w:eastAsia="仿宋_GB2312"/>
          <w:b/>
          <w:color w:val="auto"/>
          <w:sz w:val="32"/>
          <w:szCs w:val="32"/>
          <w:highlight w:val="none"/>
        </w:rPr>
      </w:pPr>
    </w:p>
    <w:p w14:paraId="00127C1E">
      <w:pPr>
        <w:spacing w:line="360" w:lineRule="auto"/>
        <w:ind w:firstLine="1606" w:firstLineChars="500"/>
        <w:rPr>
          <w:rFonts w:hint="eastAsia" w:ascii="仿宋_GB2312" w:hAnsi="宋体" w:eastAsia="仿宋_GB2312"/>
          <w:b/>
          <w:color w:val="auto"/>
          <w:sz w:val="32"/>
          <w:szCs w:val="32"/>
          <w:highlight w:val="none"/>
          <w:lang w:val="en-US" w:eastAsia="zh-CN"/>
        </w:rPr>
      </w:pPr>
      <w:r>
        <w:rPr>
          <w:rFonts w:hint="eastAsia" w:ascii="仿宋_GB2312" w:hAnsi="宋体" w:eastAsia="仿宋_GB2312"/>
          <w:b/>
          <w:color w:val="auto"/>
          <w:sz w:val="32"/>
          <w:szCs w:val="32"/>
          <w:highlight w:val="none"/>
        </w:rPr>
        <w:t>项目编号：</w:t>
      </w:r>
      <w:r>
        <w:rPr>
          <w:rFonts w:hint="eastAsia" w:ascii="仿宋_GB2312" w:hAnsi="宋体" w:eastAsia="仿宋_GB2312"/>
          <w:b/>
          <w:color w:val="auto"/>
          <w:sz w:val="32"/>
          <w:szCs w:val="32"/>
          <w:highlight w:val="none"/>
          <w:lang w:eastAsia="zh-CN"/>
        </w:rPr>
        <w:t>GGZC2026-C3-990171-NYGC</w:t>
      </w:r>
    </w:p>
    <w:p w14:paraId="3A606699">
      <w:pPr>
        <w:spacing w:line="360" w:lineRule="auto"/>
        <w:rPr>
          <w:rFonts w:ascii="仿宋_GB2312" w:hAnsi="宋体" w:eastAsia="仿宋_GB2312"/>
          <w:b/>
          <w:color w:val="auto"/>
          <w:sz w:val="32"/>
          <w:szCs w:val="32"/>
          <w:highlight w:val="none"/>
        </w:rPr>
      </w:pPr>
    </w:p>
    <w:p w14:paraId="1F4CCB28">
      <w:pPr>
        <w:spacing w:line="360" w:lineRule="auto"/>
        <w:ind w:firstLine="1606" w:firstLineChars="500"/>
        <w:rPr>
          <w:rFonts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rPr>
        <w:t>采 购 人：贵港市港南区人民法院</w:t>
      </w:r>
    </w:p>
    <w:p w14:paraId="601A939F">
      <w:pPr>
        <w:spacing w:line="360" w:lineRule="auto"/>
        <w:jc w:val="center"/>
        <w:rPr>
          <w:rFonts w:ascii="仿宋_GB2312" w:hAnsi="宋体" w:eastAsia="仿宋_GB2312"/>
          <w:b/>
          <w:color w:val="auto"/>
          <w:sz w:val="32"/>
          <w:szCs w:val="32"/>
          <w:highlight w:val="none"/>
        </w:rPr>
      </w:pPr>
    </w:p>
    <w:p w14:paraId="769E2FA6">
      <w:pPr>
        <w:spacing w:line="360" w:lineRule="auto"/>
        <w:ind w:firstLine="1606" w:firstLineChars="500"/>
        <w:rPr>
          <w:rFonts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rPr>
        <w:t xml:space="preserve">采购代理机构：广西宁涌工程管理有限公司 </w:t>
      </w:r>
    </w:p>
    <w:p w14:paraId="2D96DAEF">
      <w:pPr>
        <w:spacing w:line="360" w:lineRule="auto"/>
        <w:jc w:val="center"/>
        <w:rPr>
          <w:rFonts w:ascii="仿宋_GB2312" w:hAnsi="宋体" w:eastAsia="仿宋_GB2312"/>
          <w:b/>
          <w:color w:val="auto"/>
          <w:sz w:val="32"/>
          <w:szCs w:val="32"/>
          <w:highlight w:val="none"/>
        </w:rPr>
      </w:pPr>
    </w:p>
    <w:p w14:paraId="0F59BE65">
      <w:pPr>
        <w:spacing w:line="360" w:lineRule="auto"/>
        <w:jc w:val="center"/>
        <w:rPr>
          <w:rFonts w:ascii="仿宋_GB2312" w:hAnsi="宋体" w:eastAsia="仿宋_GB2312"/>
          <w:b/>
          <w:color w:val="auto"/>
          <w:sz w:val="32"/>
          <w:szCs w:val="32"/>
          <w:highlight w:val="none"/>
        </w:rPr>
        <w:sectPr>
          <w:headerReference r:id="rId4" w:type="first"/>
          <w:footerReference r:id="rId6" w:type="first"/>
          <w:headerReference r:id="rId3" w:type="default"/>
          <w:footerReference r:id="rId5" w:type="default"/>
          <w:pgSz w:w="11906" w:h="16838"/>
          <w:pgMar w:top="1440" w:right="1440" w:bottom="1440" w:left="1587" w:header="851" w:footer="992" w:gutter="0"/>
          <w:pgNumType w:start="0"/>
          <w:cols w:space="720" w:num="1"/>
          <w:titlePg/>
          <w:docGrid w:type="lines" w:linePitch="312" w:charSpace="0"/>
        </w:sectPr>
      </w:pPr>
      <w:r>
        <w:rPr>
          <w:rFonts w:hint="eastAsia" w:ascii="仿宋_GB2312" w:hAnsi="宋体" w:eastAsia="仿宋_GB2312"/>
          <w:b/>
          <w:color w:val="auto"/>
          <w:sz w:val="32"/>
          <w:szCs w:val="32"/>
          <w:highlight w:val="none"/>
        </w:rPr>
        <w:t>202</w:t>
      </w:r>
      <w:r>
        <w:rPr>
          <w:rFonts w:hint="eastAsia" w:ascii="仿宋_GB2312" w:hAnsi="宋体" w:eastAsia="仿宋_GB2312"/>
          <w:b/>
          <w:color w:val="auto"/>
          <w:sz w:val="32"/>
          <w:szCs w:val="32"/>
          <w:highlight w:val="none"/>
          <w:lang w:val="en-US" w:eastAsia="zh-CN"/>
        </w:rPr>
        <w:t>6</w:t>
      </w:r>
      <w:r>
        <w:rPr>
          <w:rFonts w:hint="eastAsia" w:ascii="仿宋_GB2312" w:hAnsi="宋体" w:eastAsia="仿宋_GB2312"/>
          <w:b/>
          <w:color w:val="auto"/>
          <w:sz w:val="32"/>
          <w:szCs w:val="32"/>
          <w:highlight w:val="none"/>
        </w:rPr>
        <w:t>年0</w:t>
      </w:r>
      <w:r>
        <w:rPr>
          <w:rFonts w:hint="eastAsia" w:ascii="仿宋_GB2312" w:hAnsi="宋体" w:eastAsia="仿宋_GB2312"/>
          <w:b/>
          <w:color w:val="auto"/>
          <w:sz w:val="32"/>
          <w:szCs w:val="32"/>
          <w:highlight w:val="none"/>
          <w:lang w:val="en-US" w:eastAsia="zh-CN"/>
        </w:rPr>
        <w:t>6</w:t>
      </w:r>
      <w:r>
        <w:rPr>
          <w:rFonts w:hint="eastAsia" w:ascii="仿宋_GB2312" w:hAnsi="宋体" w:eastAsia="仿宋_GB2312"/>
          <w:b/>
          <w:color w:val="auto"/>
          <w:sz w:val="32"/>
          <w:szCs w:val="32"/>
          <w:highlight w:val="none"/>
        </w:rPr>
        <w:t>月</w:t>
      </w:r>
    </w:p>
    <w:p w14:paraId="03C0E2CB">
      <w:pPr>
        <w:rPr>
          <w:color w:val="auto"/>
          <w:sz w:val="32"/>
          <w:szCs w:val="32"/>
          <w:highlight w:val="none"/>
        </w:rPr>
      </w:pPr>
    </w:p>
    <w:p w14:paraId="3D2AB40E">
      <w:pPr>
        <w:pStyle w:val="27"/>
        <w:snapToGrid w:val="0"/>
        <w:spacing w:before="120" w:after="120" w:line="320" w:lineRule="exact"/>
        <w:jc w:val="center"/>
        <w:outlineLvl w:val="0"/>
        <w:rPr>
          <w:rFonts w:ascii="Times New Roman" w:hAnsi="Times New Roman" w:cs="Times New Roman"/>
          <w:color w:val="auto"/>
          <w:sz w:val="32"/>
          <w:szCs w:val="32"/>
          <w:highlight w:val="none"/>
        </w:rPr>
      </w:pPr>
      <w:bookmarkStart w:id="2" w:name="_Toc17133"/>
      <w:bookmarkStart w:id="3" w:name="_Toc13133"/>
      <w:r>
        <w:rPr>
          <w:rFonts w:ascii="Times New Roman" w:hAnsi="Times New Roman" w:cs="Times New Roman"/>
          <w:color w:val="auto"/>
          <w:sz w:val="32"/>
          <w:szCs w:val="32"/>
          <w:highlight w:val="none"/>
        </w:rPr>
        <w:t>目    录</w:t>
      </w:r>
      <w:bookmarkEnd w:id="2"/>
      <w:bookmarkEnd w:id="3"/>
    </w:p>
    <w:p w14:paraId="29BB221E">
      <w:pPr>
        <w:pStyle w:val="34"/>
        <w:tabs>
          <w:tab w:val="right" w:leader="dot" w:pos="9070"/>
          <w:tab w:val="clear" w:pos="8398"/>
        </w:tabs>
        <w:rPr>
          <w:color w:val="auto"/>
          <w:highlight w:val="none"/>
        </w:rPr>
      </w:pPr>
      <w:r>
        <w:rPr>
          <w:rFonts w:ascii="Times New Roman" w:hAnsi="Times New Roman"/>
          <w:color w:val="auto"/>
          <w:highlight w:val="none"/>
        </w:rPr>
        <w:fldChar w:fldCharType="begin"/>
      </w:r>
      <w:r>
        <w:rPr>
          <w:rStyle w:val="59"/>
          <w:rFonts w:ascii="Times New Roman" w:hAnsi="Times New Roman"/>
          <w:color w:val="auto"/>
          <w:highlight w:val="none"/>
        </w:rPr>
        <w:instrText xml:space="preserve"> TOC \o "1-1" \h \z \u </w:instrText>
      </w:r>
      <w:r>
        <w:rPr>
          <w:rFonts w:ascii="Times New Roman" w:hAnsi="Times New Roman"/>
          <w:color w:val="auto"/>
          <w:highlight w:val="none"/>
        </w:rPr>
        <w:fldChar w:fldCharType="separate"/>
      </w: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_Toc1833 </w:instrText>
      </w:r>
      <w:r>
        <w:rPr>
          <w:rFonts w:ascii="Times New Roman" w:hAnsi="Times New Roman"/>
          <w:color w:val="auto"/>
          <w:szCs w:val="28"/>
          <w:highlight w:val="none"/>
        </w:rPr>
        <w:fldChar w:fldCharType="separate"/>
      </w:r>
      <w:r>
        <w:rPr>
          <w:rFonts w:ascii="Times New Roman" w:hAnsi="Times New Roman" w:cs="Times New Roman"/>
          <w:color w:val="auto"/>
          <w:szCs w:val="32"/>
          <w:highlight w:val="none"/>
        </w:rPr>
        <w:t>第一章  竞争性磋商公告</w:t>
      </w:r>
      <w:r>
        <w:rPr>
          <w:color w:val="auto"/>
          <w:highlight w:val="none"/>
        </w:rPr>
        <w:tab/>
      </w:r>
      <w:r>
        <w:rPr>
          <w:color w:val="auto"/>
          <w:highlight w:val="none"/>
        </w:rPr>
        <w:fldChar w:fldCharType="begin"/>
      </w:r>
      <w:r>
        <w:rPr>
          <w:color w:val="auto"/>
          <w:highlight w:val="none"/>
        </w:rPr>
        <w:instrText xml:space="preserve"> PAGEREF _Toc1833 \h </w:instrText>
      </w:r>
      <w:r>
        <w:rPr>
          <w:color w:val="auto"/>
          <w:highlight w:val="none"/>
        </w:rPr>
        <w:fldChar w:fldCharType="separate"/>
      </w:r>
      <w:r>
        <w:rPr>
          <w:color w:val="auto"/>
          <w:highlight w:val="none"/>
        </w:rPr>
        <w:t>1</w:t>
      </w:r>
      <w:r>
        <w:rPr>
          <w:color w:val="auto"/>
          <w:highlight w:val="none"/>
        </w:rPr>
        <w:fldChar w:fldCharType="end"/>
      </w:r>
      <w:r>
        <w:rPr>
          <w:rFonts w:ascii="Times New Roman" w:hAnsi="Times New Roman"/>
          <w:color w:val="auto"/>
          <w:szCs w:val="28"/>
          <w:highlight w:val="none"/>
        </w:rPr>
        <w:fldChar w:fldCharType="end"/>
      </w:r>
    </w:p>
    <w:p w14:paraId="3DD4BA36">
      <w:pPr>
        <w:pStyle w:val="34"/>
        <w:tabs>
          <w:tab w:val="right" w:leader="dot" w:pos="9070"/>
          <w:tab w:val="clear" w:pos="8398"/>
        </w:tabs>
        <w:rPr>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_Toc27466 </w:instrText>
      </w:r>
      <w:r>
        <w:rPr>
          <w:rFonts w:ascii="Times New Roman" w:hAnsi="Times New Roman"/>
          <w:color w:val="auto"/>
          <w:szCs w:val="28"/>
          <w:highlight w:val="none"/>
        </w:rPr>
        <w:fldChar w:fldCharType="separate"/>
      </w:r>
      <w:r>
        <w:rPr>
          <w:rFonts w:ascii="Times New Roman" w:hAnsi="Times New Roman" w:cs="Times New Roman"/>
          <w:color w:val="auto"/>
          <w:szCs w:val="32"/>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_Toc27466 \h </w:instrText>
      </w:r>
      <w:r>
        <w:rPr>
          <w:color w:val="auto"/>
          <w:highlight w:val="none"/>
        </w:rPr>
        <w:fldChar w:fldCharType="separate"/>
      </w:r>
      <w:r>
        <w:rPr>
          <w:color w:val="auto"/>
          <w:highlight w:val="none"/>
        </w:rPr>
        <w:t>4</w:t>
      </w:r>
      <w:r>
        <w:rPr>
          <w:color w:val="auto"/>
          <w:highlight w:val="none"/>
        </w:rPr>
        <w:fldChar w:fldCharType="end"/>
      </w:r>
      <w:r>
        <w:rPr>
          <w:rFonts w:ascii="Times New Roman" w:hAnsi="Times New Roman"/>
          <w:color w:val="auto"/>
          <w:szCs w:val="28"/>
          <w:highlight w:val="none"/>
        </w:rPr>
        <w:fldChar w:fldCharType="end"/>
      </w:r>
    </w:p>
    <w:p w14:paraId="178AC345">
      <w:pPr>
        <w:pStyle w:val="34"/>
        <w:tabs>
          <w:tab w:val="right" w:leader="dot" w:pos="9070"/>
          <w:tab w:val="clear" w:pos="8398"/>
        </w:tabs>
        <w:rPr>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_Toc13886 </w:instrText>
      </w:r>
      <w:r>
        <w:rPr>
          <w:rFonts w:ascii="Times New Roman" w:hAnsi="Times New Roman"/>
          <w:color w:val="auto"/>
          <w:szCs w:val="28"/>
          <w:highlight w:val="none"/>
        </w:rPr>
        <w:fldChar w:fldCharType="separate"/>
      </w:r>
      <w:r>
        <w:rPr>
          <w:rFonts w:ascii="Times New Roman" w:hAnsi="Times New Roman" w:cs="Times New Roman"/>
          <w:color w:val="auto"/>
          <w:szCs w:val="32"/>
          <w:highlight w:val="none"/>
        </w:rPr>
        <w:t>第三章  供应商须知</w:t>
      </w:r>
      <w:r>
        <w:rPr>
          <w:color w:val="auto"/>
          <w:highlight w:val="none"/>
        </w:rPr>
        <w:tab/>
      </w:r>
      <w:r>
        <w:rPr>
          <w:color w:val="auto"/>
          <w:highlight w:val="none"/>
        </w:rPr>
        <w:fldChar w:fldCharType="begin"/>
      </w:r>
      <w:r>
        <w:rPr>
          <w:color w:val="auto"/>
          <w:highlight w:val="none"/>
        </w:rPr>
        <w:instrText xml:space="preserve"> PAGEREF _Toc13886 \h </w:instrText>
      </w:r>
      <w:r>
        <w:rPr>
          <w:color w:val="auto"/>
          <w:highlight w:val="none"/>
        </w:rPr>
        <w:fldChar w:fldCharType="separate"/>
      </w:r>
      <w:r>
        <w:rPr>
          <w:color w:val="auto"/>
          <w:highlight w:val="none"/>
        </w:rPr>
        <w:t>9</w:t>
      </w:r>
      <w:r>
        <w:rPr>
          <w:color w:val="auto"/>
          <w:highlight w:val="none"/>
        </w:rPr>
        <w:fldChar w:fldCharType="end"/>
      </w:r>
      <w:r>
        <w:rPr>
          <w:rFonts w:ascii="Times New Roman" w:hAnsi="Times New Roman"/>
          <w:color w:val="auto"/>
          <w:szCs w:val="28"/>
          <w:highlight w:val="none"/>
        </w:rPr>
        <w:fldChar w:fldCharType="end"/>
      </w:r>
    </w:p>
    <w:p w14:paraId="6C0763CA">
      <w:pPr>
        <w:pStyle w:val="34"/>
        <w:tabs>
          <w:tab w:val="right" w:leader="dot" w:pos="9070"/>
          <w:tab w:val="clear" w:pos="8398"/>
        </w:tabs>
        <w:rPr>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_Toc27660 </w:instrText>
      </w:r>
      <w:r>
        <w:rPr>
          <w:rFonts w:ascii="Times New Roman" w:hAnsi="Times New Roman"/>
          <w:color w:val="auto"/>
          <w:szCs w:val="28"/>
          <w:highlight w:val="none"/>
        </w:rPr>
        <w:fldChar w:fldCharType="separate"/>
      </w:r>
      <w:r>
        <w:rPr>
          <w:rFonts w:ascii="Times New Roman" w:hAnsi="Times New Roman" w:cs="Times New Roman"/>
          <w:color w:val="auto"/>
          <w:szCs w:val="32"/>
          <w:highlight w:val="none"/>
        </w:rPr>
        <w:t>第四章  评审方法及标准</w:t>
      </w:r>
      <w:r>
        <w:rPr>
          <w:color w:val="auto"/>
          <w:highlight w:val="none"/>
        </w:rPr>
        <w:tab/>
      </w:r>
      <w:r>
        <w:rPr>
          <w:color w:val="auto"/>
          <w:highlight w:val="none"/>
        </w:rPr>
        <w:fldChar w:fldCharType="begin"/>
      </w:r>
      <w:r>
        <w:rPr>
          <w:color w:val="auto"/>
          <w:highlight w:val="none"/>
        </w:rPr>
        <w:instrText xml:space="preserve"> PAGEREF _Toc27660 \h </w:instrText>
      </w:r>
      <w:r>
        <w:rPr>
          <w:color w:val="auto"/>
          <w:highlight w:val="none"/>
        </w:rPr>
        <w:fldChar w:fldCharType="separate"/>
      </w:r>
      <w:r>
        <w:rPr>
          <w:color w:val="auto"/>
          <w:highlight w:val="none"/>
        </w:rPr>
        <w:t>28</w:t>
      </w:r>
      <w:r>
        <w:rPr>
          <w:color w:val="auto"/>
          <w:highlight w:val="none"/>
        </w:rPr>
        <w:fldChar w:fldCharType="end"/>
      </w:r>
      <w:r>
        <w:rPr>
          <w:rFonts w:ascii="Times New Roman" w:hAnsi="Times New Roman"/>
          <w:color w:val="auto"/>
          <w:szCs w:val="28"/>
          <w:highlight w:val="none"/>
        </w:rPr>
        <w:fldChar w:fldCharType="end"/>
      </w:r>
    </w:p>
    <w:p w14:paraId="510ED39E">
      <w:pPr>
        <w:pStyle w:val="34"/>
        <w:tabs>
          <w:tab w:val="right" w:leader="dot" w:pos="9070"/>
          <w:tab w:val="clear" w:pos="8398"/>
        </w:tabs>
        <w:rPr>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_Toc20628 </w:instrText>
      </w:r>
      <w:r>
        <w:rPr>
          <w:rFonts w:ascii="Times New Roman" w:hAnsi="Times New Roman"/>
          <w:color w:val="auto"/>
          <w:szCs w:val="28"/>
          <w:highlight w:val="none"/>
        </w:rPr>
        <w:fldChar w:fldCharType="separate"/>
      </w:r>
      <w:r>
        <w:rPr>
          <w:rFonts w:ascii="Times New Roman" w:hAnsi="Times New Roman" w:cs="Times New Roman"/>
          <w:color w:val="auto"/>
          <w:szCs w:val="32"/>
          <w:highlight w:val="none"/>
        </w:rPr>
        <w:t>第五章  合同主要条款格式</w:t>
      </w:r>
      <w:r>
        <w:rPr>
          <w:color w:val="auto"/>
          <w:highlight w:val="none"/>
        </w:rPr>
        <w:tab/>
      </w:r>
      <w:r>
        <w:rPr>
          <w:color w:val="auto"/>
          <w:highlight w:val="none"/>
        </w:rPr>
        <w:fldChar w:fldCharType="begin"/>
      </w:r>
      <w:r>
        <w:rPr>
          <w:color w:val="auto"/>
          <w:highlight w:val="none"/>
        </w:rPr>
        <w:instrText xml:space="preserve"> PAGEREF _Toc20628 \h </w:instrText>
      </w:r>
      <w:r>
        <w:rPr>
          <w:color w:val="auto"/>
          <w:highlight w:val="none"/>
        </w:rPr>
        <w:fldChar w:fldCharType="separate"/>
      </w:r>
      <w:r>
        <w:rPr>
          <w:color w:val="auto"/>
          <w:highlight w:val="none"/>
        </w:rPr>
        <w:t>34</w:t>
      </w:r>
      <w:r>
        <w:rPr>
          <w:color w:val="auto"/>
          <w:highlight w:val="none"/>
        </w:rPr>
        <w:fldChar w:fldCharType="end"/>
      </w:r>
      <w:r>
        <w:rPr>
          <w:rFonts w:ascii="Times New Roman" w:hAnsi="Times New Roman"/>
          <w:color w:val="auto"/>
          <w:szCs w:val="28"/>
          <w:highlight w:val="none"/>
        </w:rPr>
        <w:fldChar w:fldCharType="end"/>
      </w:r>
    </w:p>
    <w:p w14:paraId="7C9DFFDD">
      <w:pPr>
        <w:pStyle w:val="34"/>
        <w:tabs>
          <w:tab w:val="right" w:leader="dot" w:pos="9070"/>
          <w:tab w:val="clear" w:pos="8398"/>
        </w:tabs>
        <w:rPr>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_Toc29524 </w:instrText>
      </w:r>
      <w:r>
        <w:rPr>
          <w:rFonts w:ascii="Times New Roman" w:hAnsi="Times New Roman"/>
          <w:color w:val="auto"/>
          <w:szCs w:val="28"/>
          <w:highlight w:val="none"/>
        </w:rPr>
        <w:fldChar w:fldCharType="separate"/>
      </w:r>
      <w:r>
        <w:rPr>
          <w:color w:val="auto"/>
          <w:szCs w:val="32"/>
          <w:highlight w:val="none"/>
        </w:rPr>
        <w:t>第六章  响应文件格式</w:t>
      </w:r>
      <w:r>
        <w:rPr>
          <w:color w:val="auto"/>
          <w:highlight w:val="none"/>
        </w:rPr>
        <w:tab/>
      </w:r>
      <w:r>
        <w:rPr>
          <w:color w:val="auto"/>
          <w:highlight w:val="none"/>
        </w:rPr>
        <w:fldChar w:fldCharType="begin"/>
      </w:r>
      <w:r>
        <w:rPr>
          <w:color w:val="auto"/>
          <w:highlight w:val="none"/>
        </w:rPr>
        <w:instrText xml:space="preserve"> PAGEREF _Toc29524 \h </w:instrText>
      </w:r>
      <w:r>
        <w:rPr>
          <w:color w:val="auto"/>
          <w:highlight w:val="none"/>
        </w:rPr>
        <w:fldChar w:fldCharType="separate"/>
      </w:r>
      <w:r>
        <w:rPr>
          <w:color w:val="auto"/>
          <w:highlight w:val="none"/>
        </w:rPr>
        <w:t>43</w:t>
      </w:r>
      <w:r>
        <w:rPr>
          <w:color w:val="auto"/>
          <w:highlight w:val="none"/>
        </w:rPr>
        <w:fldChar w:fldCharType="end"/>
      </w:r>
      <w:r>
        <w:rPr>
          <w:rFonts w:ascii="Times New Roman" w:hAnsi="Times New Roman"/>
          <w:color w:val="auto"/>
          <w:szCs w:val="28"/>
          <w:highlight w:val="none"/>
        </w:rPr>
        <w:fldChar w:fldCharType="end"/>
      </w:r>
    </w:p>
    <w:p w14:paraId="748B0B64">
      <w:pPr>
        <w:pStyle w:val="34"/>
        <w:ind w:firstLine="241"/>
        <w:rPr>
          <w:rFonts w:ascii="Times New Roman" w:hAnsi="Times New Roman"/>
          <w:color w:val="auto"/>
          <w:sz w:val="28"/>
          <w:szCs w:val="28"/>
          <w:highlight w:val="none"/>
        </w:rPr>
      </w:pPr>
      <w:r>
        <w:rPr>
          <w:rFonts w:ascii="Times New Roman" w:hAnsi="Times New Roman"/>
          <w:color w:val="auto"/>
          <w:szCs w:val="28"/>
          <w:highlight w:val="none"/>
        </w:rPr>
        <w:fldChar w:fldCharType="end"/>
      </w:r>
    </w:p>
    <w:p w14:paraId="06C5D85D">
      <w:pPr>
        <w:spacing w:before="120" w:beforeLines="50" w:line="480" w:lineRule="exact"/>
        <w:rPr>
          <w:color w:val="auto"/>
          <w:sz w:val="28"/>
          <w:szCs w:val="28"/>
          <w:highlight w:val="none"/>
        </w:rPr>
      </w:pPr>
    </w:p>
    <w:p w14:paraId="4B9053D5">
      <w:pPr>
        <w:spacing w:before="120" w:beforeLines="50" w:line="480" w:lineRule="exact"/>
        <w:rPr>
          <w:color w:val="auto"/>
          <w:sz w:val="30"/>
          <w:highlight w:val="none"/>
        </w:rPr>
        <w:sectPr>
          <w:headerReference r:id="rId7" w:type="first"/>
          <w:footerReference r:id="rId9" w:type="first"/>
          <w:footerReference r:id="rId8" w:type="default"/>
          <w:pgSz w:w="11906" w:h="16838"/>
          <w:pgMar w:top="1418" w:right="1418" w:bottom="1246" w:left="1418" w:header="851" w:footer="992" w:gutter="0"/>
          <w:pgNumType w:start="0"/>
          <w:cols w:space="720" w:num="1"/>
          <w:titlePg/>
          <w:docGrid w:linePitch="312" w:charSpace="0"/>
        </w:sectPr>
      </w:pPr>
    </w:p>
    <w:p w14:paraId="70BF5AD6">
      <w:pPr>
        <w:rPr>
          <w:color w:val="auto"/>
          <w:highlight w:val="none"/>
        </w:rPr>
      </w:pPr>
      <w:bookmarkStart w:id="4" w:name="_Toc254970630"/>
      <w:bookmarkStart w:id="5" w:name="_Toc254970489"/>
    </w:p>
    <w:p w14:paraId="383DF5FD">
      <w:pPr>
        <w:pStyle w:val="27"/>
        <w:snapToGrid w:val="0"/>
        <w:spacing w:before="120" w:after="120" w:line="320" w:lineRule="exact"/>
        <w:jc w:val="center"/>
        <w:outlineLvl w:val="0"/>
        <w:rPr>
          <w:rFonts w:ascii="Times New Roman" w:hAnsi="Times New Roman" w:cs="Times New Roman"/>
          <w:b/>
          <w:bCs/>
          <w:color w:val="auto"/>
          <w:sz w:val="44"/>
          <w:szCs w:val="44"/>
          <w:highlight w:val="none"/>
        </w:rPr>
      </w:pPr>
      <w:bookmarkStart w:id="6" w:name="_Toc1833"/>
      <w:r>
        <w:rPr>
          <w:rFonts w:ascii="Times New Roman" w:hAnsi="Times New Roman" w:cs="Times New Roman"/>
          <w:b/>
          <w:bCs/>
          <w:color w:val="auto"/>
          <w:sz w:val="44"/>
          <w:szCs w:val="44"/>
          <w:highlight w:val="none"/>
        </w:rPr>
        <w:t xml:space="preserve">第一章  </w:t>
      </w:r>
      <w:bookmarkEnd w:id="4"/>
      <w:bookmarkEnd w:id="5"/>
      <w:r>
        <w:rPr>
          <w:rFonts w:ascii="Times New Roman" w:hAnsi="Times New Roman" w:cs="Times New Roman"/>
          <w:b/>
          <w:bCs/>
          <w:color w:val="auto"/>
          <w:sz w:val="44"/>
          <w:szCs w:val="44"/>
          <w:highlight w:val="none"/>
        </w:rPr>
        <w:t>竞争性磋商公告</w:t>
      </w:r>
      <w:bookmarkEnd w:id="6"/>
    </w:p>
    <w:p w14:paraId="4F8A5D03">
      <w:pPr>
        <w:pStyle w:val="4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textAlignment w:val="auto"/>
        <w:rPr>
          <w:rFonts w:hint="eastAsia" w:asciiTheme="majorEastAsia" w:hAnsiTheme="majorEastAsia" w:eastAsiaTheme="majorEastAsia" w:cstheme="majorEastAsia"/>
          <w:i w:val="0"/>
          <w:iCs w:val="0"/>
          <w:caps w:val="0"/>
          <w:color w:val="auto"/>
          <w:spacing w:val="0"/>
          <w:sz w:val="21"/>
          <w:szCs w:val="21"/>
          <w:highlight w:val="none"/>
        </w:rPr>
      </w:pPr>
    </w:p>
    <w:p w14:paraId="125CF5CF">
      <w:pPr>
        <w:spacing w:line="400" w:lineRule="exact"/>
        <w:jc w:val="center"/>
        <w:outlineLvl w:val="1"/>
        <w:rPr>
          <w:rFonts w:ascii="宋体" w:hAnsi="宋体"/>
          <w:b/>
          <w:bCs/>
          <w:color w:val="auto"/>
          <w:sz w:val="32"/>
          <w:szCs w:val="32"/>
          <w:highlight w:val="none"/>
        </w:rPr>
      </w:pPr>
      <w:r>
        <w:rPr>
          <w:rFonts w:hint="eastAsia" w:ascii="宋体" w:hAnsi="宋体"/>
          <w:b/>
          <w:bCs/>
          <w:color w:val="auto"/>
          <w:sz w:val="32"/>
          <w:szCs w:val="32"/>
          <w:highlight w:val="none"/>
        </w:rPr>
        <w:t>竞争性磋商公告</w:t>
      </w:r>
    </w:p>
    <w:p w14:paraId="72FF9A24">
      <w:pPr>
        <w:spacing w:line="360" w:lineRule="auto"/>
        <w:rPr>
          <w:rFonts w:ascii="宋体" w:hAnsi="宋体"/>
          <w:color w:val="auto"/>
          <w:szCs w:val="21"/>
          <w:highlight w:val="none"/>
        </w:rPr>
      </w:pPr>
    </w:p>
    <w:p w14:paraId="21236F62">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项目概况</w:t>
      </w:r>
    </w:p>
    <w:p w14:paraId="4EF3B544">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r>
        <w:rPr>
          <w:rFonts w:hint="eastAsia" w:ascii="宋体" w:hAnsi="宋体" w:eastAsia="宋体"/>
          <w:color w:val="auto"/>
          <w:szCs w:val="21"/>
          <w:highlight w:val="none"/>
          <w:u w:val="single"/>
          <w:lang w:eastAsia="zh-CN"/>
        </w:rPr>
        <w:t>贵港市港南区人民法院移动办公办案专用通信服务</w:t>
      </w:r>
      <w:r>
        <w:rPr>
          <w:rFonts w:hint="eastAsia" w:ascii="宋体" w:hAnsi="宋体"/>
          <w:color w:val="auto"/>
          <w:szCs w:val="21"/>
          <w:highlight w:val="none"/>
          <w:u w:val="single"/>
          <w:lang w:eastAsia="zh-CN"/>
        </w:rPr>
        <w:t>项目</w:t>
      </w:r>
      <w:r>
        <w:rPr>
          <w:rFonts w:hint="eastAsia" w:ascii="宋体" w:hAnsi="宋体"/>
          <w:color w:val="auto"/>
          <w:szCs w:val="21"/>
          <w:highlight w:val="none"/>
        </w:rPr>
        <w:t>采购项目的潜在供应商应在广西政府采购云平台（https://www.gcy.zfcg.gxzf.gov.cn/）获取（下载）竞争性磋商文件，并于</w:t>
      </w:r>
      <w:r>
        <w:rPr>
          <w:rFonts w:hint="eastAsia" w:ascii="宋体" w:hAnsi="宋体"/>
          <w:color w:val="auto"/>
          <w:szCs w:val="21"/>
          <w:highlight w:val="none"/>
          <w:u w:val="single"/>
        </w:rPr>
        <w:t>202</w:t>
      </w:r>
      <w:r>
        <w:rPr>
          <w:rFonts w:hint="eastAsia" w:ascii="宋体" w:hAnsi="宋体"/>
          <w:color w:val="auto"/>
          <w:szCs w:val="21"/>
          <w:highlight w:val="none"/>
          <w:u w:val="single"/>
          <w:lang w:val="en-US" w:eastAsia="zh-CN"/>
        </w:rPr>
        <w:t>6</w:t>
      </w:r>
      <w:r>
        <w:rPr>
          <w:rFonts w:hint="eastAsia" w:ascii="宋体" w:hAnsi="宋体"/>
          <w:bCs/>
          <w:color w:val="auto"/>
          <w:szCs w:val="21"/>
          <w:highlight w:val="none"/>
          <w:u w:val="single"/>
        </w:rPr>
        <w:t>年</w:t>
      </w:r>
      <w:r>
        <w:rPr>
          <w:rFonts w:hint="eastAsia" w:ascii="宋体" w:hAnsi="宋体"/>
          <w:bCs/>
          <w:color w:val="auto"/>
          <w:szCs w:val="21"/>
          <w:highlight w:val="none"/>
          <w:u w:val="single"/>
          <w:lang w:val="en-US" w:eastAsia="zh-CN"/>
        </w:rPr>
        <w:t>06</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24</w:t>
      </w:r>
      <w:r>
        <w:rPr>
          <w:rFonts w:hint="eastAsia" w:ascii="宋体" w:hAnsi="宋体"/>
          <w:bCs/>
          <w:color w:val="auto"/>
          <w:szCs w:val="21"/>
          <w:highlight w:val="none"/>
          <w:u w:val="single"/>
        </w:rPr>
        <w:t>日</w:t>
      </w:r>
      <w:r>
        <w:rPr>
          <w:rFonts w:hint="eastAsia" w:ascii="宋体" w:hAnsi="宋体"/>
          <w:bCs/>
          <w:color w:val="auto"/>
          <w:szCs w:val="21"/>
          <w:highlight w:val="none"/>
          <w:u w:val="single"/>
          <w:lang w:val="en-US" w:eastAsia="zh-CN"/>
        </w:rPr>
        <w:t>15</w:t>
      </w:r>
      <w:r>
        <w:rPr>
          <w:rFonts w:hint="eastAsia" w:ascii="宋体" w:hAnsi="宋体"/>
          <w:bCs/>
          <w:color w:val="auto"/>
          <w:szCs w:val="21"/>
          <w:highlight w:val="none"/>
          <w:u w:val="single"/>
        </w:rPr>
        <w:t>时</w:t>
      </w:r>
      <w:r>
        <w:rPr>
          <w:rFonts w:hint="eastAsia" w:ascii="宋体" w:hAnsi="宋体"/>
          <w:bCs/>
          <w:color w:val="auto"/>
          <w:szCs w:val="21"/>
          <w:highlight w:val="none"/>
          <w:u w:val="single"/>
          <w:lang w:val="en-US" w:eastAsia="zh-CN"/>
        </w:rPr>
        <w:t>3</w:t>
      </w:r>
      <w:r>
        <w:rPr>
          <w:rFonts w:hint="eastAsia" w:ascii="宋体" w:hAnsi="宋体"/>
          <w:bCs/>
          <w:color w:val="auto"/>
          <w:szCs w:val="21"/>
          <w:highlight w:val="none"/>
          <w:u w:val="single"/>
        </w:rPr>
        <w:t>0分</w:t>
      </w:r>
      <w:r>
        <w:rPr>
          <w:rFonts w:hint="eastAsia" w:ascii="宋体" w:hAnsi="宋体"/>
          <w:bCs/>
          <w:color w:val="auto"/>
          <w:szCs w:val="21"/>
          <w:highlight w:val="none"/>
          <w:u w:val="single"/>
        </w:rPr>
        <w:t>（</w:t>
      </w:r>
      <w:r>
        <w:rPr>
          <w:rFonts w:hint="eastAsia" w:ascii="宋体" w:hAnsi="宋体"/>
          <w:bCs/>
          <w:color w:val="auto"/>
          <w:szCs w:val="21"/>
          <w:highlight w:val="none"/>
        </w:rPr>
        <w:t>北京时间）前提交（上传）</w:t>
      </w:r>
      <w:r>
        <w:rPr>
          <w:rFonts w:hint="eastAsia" w:ascii="宋体" w:hAnsi="宋体"/>
          <w:color w:val="auto"/>
          <w:szCs w:val="21"/>
          <w:highlight w:val="none"/>
        </w:rPr>
        <w:t>响应</w:t>
      </w:r>
      <w:r>
        <w:rPr>
          <w:rFonts w:hint="eastAsia" w:ascii="宋体" w:hAnsi="宋体"/>
          <w:bCs/>
          <w:color w:val="auto"/>
          <w:szCs w:val="21"/>
          <w:highlight w:val="none"/>
        </w:rPr>
        <w:t>文件</w:t>
      </w:r>
      <w:r>
        <w:rPr>
          <w:rFonts w:hint="eastAsia" w:ascii="宋体" w:hAnsi="宋体"/>
          <w:color w:val="auto"/>
          <w:szCs w:val="21"/>
          <w:highlight w:val="none"/>
        </w:rPr>
        <w:t>。</w:t>
      </w:r>
    </w:p>
    <w:p w14:paraId="1E5382B2">
      <w:pPr>
        <w:pStyle w:val="4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iCs w:val="0"/>
          <w:caps w:val="0"/>
          <w:color w:val="auto"/>
          <w:spacing w:val="0"/>
          <w:sz w:val="21"/>
          <w:szCs w:val="21"/>
          <w:highlight w:val="none"/>
        </w:rPr>
        <w:t xml:space="preserve">         </w:t>
      </w:r>
    </w:p>
    <w:p w14:paraId="43E93C9B">
      <w:pPr>
        <w:pStyle w:val="4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Theme="majorEastAsia" w:hAnsiTheme="majorEastAsia" w:eastAsiaTheme="majorEastAsia" w:cstheme="majorEastAsia"/>
          <w:i w:val="0"/>
          <w:iCs w:val="0"/>
          <w:caps w:val="0"/>
          <w:color w:val="auto"/>
          <w:spacing w:val="0"/>
          <w:sz w:val="21"/>
          <w:szCs w:val="21"/>
          <w:highlight w:val="none"/>
        </w:rPr>
      </w:pPr>
      <w:r>
        <w:rPr>
          <w:rStyle w:val="56"/>
          <w:rFonts w:hint="eastAsia" w:asciiTheme="majorEastAsia" w:hAnsiTheme="majorEastAsia" w:eastAsiaTheme="majorEastAsia" w:cstheme="majorEastAsia"/>
          <w:i w:val="0"/>
          <w:iCs w:val="0"/>
          <w:caps w:val="0"/>
          <w:color w:val="auto"/>
          <w:spacing w:val="0"/>
          <w:sz w:val="21"/>
          <w:szCs w:val="21"/>
          <w:highlight w:val="none"/>
        </w:rPr>
        <w:t>一、项目基本情况</w:t>
      </w:r>
    </w:p>
    <w:p w14:paraId="5F074FB1">
      <w:pPr>
        <w:pStyle w:val="4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iCs w:val="0"/>
          <w:caps w:val="0"/>
          <w:color w:val="auto"/>
          <w:spacing w:val="0"/>
          <w:sz w:val="21"/>
          <w:szCs w:val="21"/>
          <w:highlight w:val="none"/>
        </w:rPr>
        <w:t>项目编号：GGZC2026-C3-990171-NYGC</w:t>
      </w:r>
      <w:r>
        <w:rPr>
          <w:rFonts w:hint="eastAsia" w:asciiTheme="majorEastAsia" w:hAnsiTheme="majorEastAsia" w:eastAsiaTheme="majorEastAsia" w:cstheme="majorEastAsia"/>
          <w:i w:val="0"/>
          <w:iCs w:val="0"/>
          <w:caps w:val="0"/>
          <w:color w:val="auto"/>
          <w:spacing w:val="0"/>
          <w:sz w:val="21"/>
          <w:szCs w:val="21"/>
          <w:highlight w:val="none"/>
          <w:lang w:eastAsia="zh-CN"/>
        </w:rPr>
        <w:t> </w:t>
      </w:r>
    </w:p>
    <w:p w14:paraId="676EF1B3">
      <w:pPr>
        <w:pStyle w:val="4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iCs w:val="0"/>
          <w:caps w:val="0"/>
          <w:color w:val="auto"/>
          <w:spacing w:val="0"/>
          <w:sz w:val="21"/>
          <w:szCs w:val="21"/>
          <w:highlight w:val="none"/>
        </w:rPr>
        <w:t>项目名称：贵港市港南区人民法院移动办公办案专用通信服务</w:t>
      </w:r>
      <w:r>
        <w:rPr>
          <w:rFonts w:hint="eastAsia" w:asciiTheme="majorEastAsia" w:hAnsiTheme="majorEastAsia" w:eastAsiaTheme="majorEastAsia" w:cstheme="majorEastAsia"/>
          <w:i w:val="0"/>
          <w:iCs w:val="0"/>
          <w:caps w:val="0"/>
          <w:color w:val="auto"/>
          <w:spacing w:val="0"/>
          <w:sz w:val="21"/>
          <w:szCs w:val="21"/>
          <w:highlight w:val="none"/>
          <w:lang w:val="en-US" w:eastAsia="zh-CN"/>
        </w:rPr>
        <w:t>项目</w:t>
      </w:r>
    </w:p>
    <w:p w14:paraId="3D7343A2">
      <w:pPr>
        <w:pStyle w:val="4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iCs w:val="0"/>
          <w:caps w:val="0"/>
          <w:color w:val="auto"/>
          <w:spacing w:val="0"/>
          <w:sz w:val="21"/>
          <w:szCs w:val="21"/>
          <w:highlight w:val="none"/>
        </w:rPr>
        <w:t>采购方式：竞争性磋商 </w:t>
      </w:r>
    </w:p>
    <w:p w14:paraId="514B2D10">
      <w:pPr>
        <w:pStyle w:val="4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iCs w:val="0"/>
          <w:caps w:val="0"/>
          <w:color w:val="auto"/>
          <w:spacing w:val="0"/>
          <w:sz w:val="21"/>
          <w:szCs w:val="21"/>
          <w:highlight w:val="none"/>
        </w:rPr>
        <w:t>预算总金额（元）：</w:t>
      </w:r>
      <w:r>
        <w:rPr>
          <w:rFonts w:hint="eastAsia" w:asciiTheme="majorEastAsia" w:hAnsiTheme="majorEastAsia" w:eastAsiaTheme="majorEastAsia" w:cstheme="majorEastAsia"/>
          <w:i w:val="0"/>
          <w:iCs w:val="0"/>
          <w:caps w:val="0"/>
          <w:color w:val="auto"/>
          <w:spacing w:val="0"/>
          <w:sz w:val="21"/>
          <w:szCs w:val="21"/>
          <w:highlight w:val="none"/>
          <w:lang w:val="en-US" w:eastAsia="zh-CN"/>
        </w:rPr>
        <w:t>600000</w:t>
      </w:r>
      <w:r>
        <w:rPr>
          <w:rFonts w:hint="eastAsia" w:asciiTheme="majorEastAsia" w:hAnsiTheme="majorEastAsia" w:eastAsiaTheme="majorEastAsia" w:cstheme="majorEastAsia"/>
          <w:i w:val="0"/>
          <w:iCs w:val="0"/>
          <w:caps w:val="0"/>
          <w:color w:val="auto"/>
          <w:spacing w:val="0"/>
          <w:sz w:val="21"/>
          <w:szCs w:val="21"/>
          <w:highlight w:val="none"/>
        </w:rPr>
        <w:t>  </w:t>
      </w:r>
    </w:p>
    <w:p w14:paraId="4C6262C1">
      <w:pPr>
        <w:pStyle w:val="4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iCs w:val="0"/>
          <w:caps w:val="0"/>
          <w:color w:val="auto"/>
          <w:spacing w:val="0"/>
          <w:sz w:val="21"/>
          <w:szCs w:val="21"/>
          <w:highlight w:val="none"/>
        </w:rPr>
        <w:t>采购需求：</w:t>
      </w:r>
    </w:p>
    <w:p w14:paraId="4CF8036E">
      <w:pPr>
        <w:pStyle w:val="4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iCs w:val="0"/>
          <w:caps w:val="0"/>
          <w:color w:val="auto"/>
          <w:spacing w:val="0"/>
          <w:sz w:val="21"/>
          <w:szCs w:val="21"/>
          <w:highlight w:val="none"/>
          <w:shd w:val="clear" w:fill="F7F7F7"/>
        </w:rPr>
        <w:t>简要规格描述或项目基本概况介绍、用途：</w:t>
      </w:r>
      <w:r>
        <w:rPr>
          <w:rFonts w:hint="eastAsia" w:asciiTheme="majorEastAsia" w:hAnsiTheme="majorEastAsia" w:eastAsiaTheme="majorEastAsia" w:cstheme="majorEastAsia"/>
          <w:i w:val="0"/>
          <w:iCs w:val="0"/>
          <w:caps w:val="0"/>
          <w:color w:val="auto"/>
          <w:spacing w:val="0"/>
          <w:sz w:val="21"/>
          <w:szCs w:val="21"/>
          <w:highlight w:val="none"/>
          <w:shd w:val="clear" w:fill="F7F7F7"/>
          <w:lang w:val="en-US" w:eastAsia="zh-CN"/>
        </w:rPr>
        <w:t>拟采购</w:t>
      </w:r>
      <w:r>
        <w:rPr>
          <w:rFonts w:hint="eastAsia" w:asciiTheme="majorEastAsia" w:hAnsiTheme="majorEastAsia" w:eastAsiaTheme="majorEastAsia" w:cstheme="majorEastAsia"/>
          <w:i w:val="0"/>
          <w:iCs w:val="0"/>
          <w:caps w:val="0"/>
          <w:color w:val="auto"/>
          <w:spacing w:val="0"/>
          <w:sz w:val="21"/>
          <w:szCs w:val="21"/>
          <w:highlight w:val="none"/>
        </w:rPr>
        <w:t>贵港市港南区人民法院移动办公办案专用通信服务</w:t>
      </w:r>
      <w:r>
        <w:rPr>
          <w:rFonts w:hint="eastAsia" w:asciiTheme="majorEastAsia" w:hAnsiTheme="majorEastAsia" w:eastAsiaTheme="majorEastAsia" w:cstheme="majorEastAsia"/>
          <w:i w:val="0"/>
          <w:iCs w:val="0"/>
          <w:caps w:val="0"/>
          <w:color w:val="auto"/>
          <w:spacing w:val="0"/>
          <w:sz w:val="21"/>
          <w:szCs w:val="21"/>
          <w:highlight w:val="none"/>
          <w:shd w:val="clear" w:fill="F7F7F7"/>
        </w:rPr>
        <w:t>1项，具体内容和数量以采购文件中第三章《采购需求》为准。</w:t>
      </w:r>
    </w:p>
    <w:p w14:paraId="5A05C1BF">
      <w:pPr>
        <w:pStyle w:val="4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iCs w:val="0"/>
          <w:caps w:val="0"/>
          <w:color w:val="auto"/>
          <w:spacing w:val="0"/>
          <w:sz w:val="21"/>
          <w:szCs w:val="21"/>
          <w:highlight w:val="none"/>
          <w:shd w:val="clear" w:fill="F7F7F7"/>
        </w:rPr>
        <w:t>最高限价（如有）：</w:t>
      </w:r>
      <w:r>
        <w:rPr>
          <w:rFonts w:hint="eastAsia" w:asciiTheme="majorEastAsia" w:hAnsiTheme="majorEastAsia" w:eastAsiaTheme="majorEastAsia" w:cstheme="majorEastAsia"/>
          <w:i w:val="0"/>
          <w:iCs w:val="0"/>
          <w:caps w:val="0"/>
          <w:color w:val="auto"/>
          <w:spacing w:val="0"/>
          <w:sz w:val="21"/>
          <w:szCs w:val="21"/>
          <w:highlight w:val="none"/>
          <w:lang w:val="en-US" w:eastAsia="zh-CN"/>
        </w:rPr>
        <w:t>593168</w:t>
      </w:r>
      <w:r>
        <w:rPr>
          <w:rFonts w:hint="eastAsia" w:asciiTheme="majorEastAsia" w:hAnsiTheme="majorEastAsia" w:eastAsiaTheme="majorEastAsia" w:cstheme="majorEastAsia"/>
          <w:i w:val="0"/>
          <w:iCs w:val="0"/>
          <w:caps w:val="0"/>
          <w:color w:val="auto"/>
          <w:spacing w:val="0"/>
          <w:sz w:val="21"/>
          <w:szCs w:val="21"/>
          <w:highlight w:val="none"/>
          <w:shd w:val="clear" w:fill="F7F7F7"/>
        </w:rPr>
        <w:t>  </w:t>
      </w:r>
    </w:p>
    <w:p w14:paraId="4EC326E6">
      <w:pPr>
        <w:pStyle w:val="4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iCs w:val="0"/>
          <w:caps w:val="0"/>
          <w:color w:val="auto"/>
          <w:spacing w:val="0"/>
          <w:sz w:val="21"/>
          <w:szCs w:val="21"/>
          <w:highlight w:val="none"/>
          <w:shd w:val="clear" w:fill="F7F7F7"/>
        </w:rPr>
        <w:t>服务期限：</w:t>
      </w:r>
      <w:r>
        <w:rPr>
          <w:rStyle w:val="61"/>
          <w:rFonts w:hint="eastAsia" w:asciiTheme="majorEastAsia" w:hAnsiTheme="majorEastAsia" w:eastAsiaTheme="majorEastAsia" w:cstheme="majorEastAsia"/>
          <w:i w:val="0"/>
          <w:iCs w:val="0"/>
          <w:caps w:val="0"/>
          <w:color w:val="auto"/>
          <w:spacing w:val="0"/>
          <w:sz w:val="21"/>
          <w:szCs w:val="21"/>
          <w:highlight w:val="none"/>
          <w:shd w:val="clear" w:fill="F7F7F7"/>
          <w:lang w:eastAsia="zh-CN"/>
        </w:rPr>
        <w:t>自合同签订约定开始服务之日起</w:t>
      </w:r>
      <w:r>
        <w:rPr>
          <w:rStyle w:val="61"/>
          <w:rFonts w:hint="eastAsia" w:asciiTheme="majorEastAsia" w:hAnsiTheme="majorEastAsia" w:eastAsiaTheme="majorEastAsia" w:cstheme="majorEastAsia"/>
          <w:i w:val="0"/>
          <w:iCs w:val="0"/>
          <w:caps w:val="0"/>
          <w:color w:val="auto"/>
          <w:spacing w:val="0"/>
          <w:sz w:val="21"/>
          <w:szCs w:val="21"/>
          <w:highlight w:val="none"/>
          <w:shd w:val="clear" w:fill="F7F7F7"/>
          <w:lang w:val="en-US" w:eastAsia="zh-CN"/>
        </w:rPr>
        <w:t>36</w:t>
      </w:r>
      <w:r>
        <w:rPr>
          <w:rStyle w:val="61"/>
          <w:rFonts w:hint="eastAsia" w:asciiTheme="majorEastAsia" w:hAnsiTheme="majorEastAsia" w:eastAsiaTheme="majorEastAsia" w:cstheme="majorEastAsia"/>
          <w:i w:val="0"/>
          <w:iCs w:val="0"/>
          <w:caps w:val="0"/>
          <w:color w:val="auto"/>
          <w:spacing w:val="0"/>
          <w:sz w:val="21"/>
          <w:szCs w:val="21"/>
          <w:highlight w:val="none"/>
          <w:shd w:val="clear" w:fill="F7F7F7"/>
          <w:lang w:eastAsia="zh-CN"/>
        </w:rPr>
        <w:t>个月</w:t>
      </w:r>
      <w:r>
        <w:rPr>
          <w:rStyle w:val="61"/>
          <w:rFonts w:hint="eastAsia" w:asciiTheme="majorEastAsia" w:hAnsiTheme="majorEastAsia" w:eastAsiaTheme="majorEastAsia" w:cstheme="majorEastAsia"/>
          <w:i w:val="0"/>
          <w:iCs w:val="0"/>
          <w:caps w:val="0"/>
          <w:color w:val="auto"/>
          <w:spacing w:val="0"/>
          <w:sz w:val="21"/>
          <w:szCs w:val="21"/>
          <w:highlight w:val="none"/>
          <w:shd w:val="clear" w:fill="F7F7F7"/>
        </w:rPr>
        <w:t>。</w:t>
      </w:r>
    </w:p>
    <w:p w14:paraId="2ECDDAC9">
      <w:pPr>
        <w:pStyle w:val="4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iCs w:val="0"/>
          <w:caps w:val="0"/>
          <w:color w:val="auto"/>
          <w:spacing w:val="0"/>
          <w:sz w:val="21"/>
          <w:szCs w:val="21"/>
          <w:highlight w:val="none"/>
          <w:shd w:val="clear" w:fill="F7F7F7"/>
        </w:rPr>
        <w:t>本标项（</w:t>
      </w:r>
      <w:r>
        <w:rPr>
          <w:rStyle w:val="61"/>
          <w:rFonts w:hint="eastAsia" w:asciiTheme="majorEastAsia" w:hAnsiTheme="majorEastAsia" w:eastAsiaTheme="majorEastAsia" w:cstheme="majorEastAsia"/>
          <w:i w:val="0"/>
          <w:iCs w:val="0"/>
          <w:caps w:val="0"/>
          <w:color w:val="auto"/>
          <w:spacing w:val="0"/>
          <w:sz w:val="21"/>
          <w:szCs w:val="21"/>
          <w:highlight w:val="none"/>
          <w:shd w:val="clear" w:fill="F7F7F7"/>
        </w:rPr>
        <w:t>否</w:t>
      </w:r>
      <w:r>
        <w:rPr>
          <w:rFonts w:hint="eastAsia" w:asciiTheme="majorEastAsia" w:hAnsiTheme="majorEastAsia" w:eastAsiaTheme="majorEastAsia" w:cstheme="majorEastAsia"/>
          <w:i w:val="0"/>
          <w:iCs w:val="0"/>
          <w:caps w:val="0"/>
          <w:color w:val="auto"/>
          <w:spacing w:val="0"/>
          <w:sz w:val="21"/>
          <w:szCs w:val="21"/>
          <w:highlight w:val="none"/>
          <w:shd w:val="clear" w:fill="F7F7F7"/>
        </w:rPr>
        <w:t>）接受联合体投标</w:t>
      </w:r>
    </w:p>
    <w:p w14:paraId="26B64850">
      <w:pPr>
        <w:pStyle w:val="4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Theme="majorEastAsia" w:hAnsiTheme="majorEastAsia" w:eastAsiaTheme="majorEastAsia" w:cstheme="majorEastAsia"/>
          <w:i w:val="0"/>
          <w:iCs w:val="0"/>
          <w:caps w:val="0"/>
          <w:color w:val="auto"/>
          <w:spacing w:val="0"/>
          <w:sz w:val="21"/>
          <w:szCs w:val="21"/>
          <w:highlight w:val="none"/>
        </w:rPr>
      </w:pPr>
      <w:r>
        <w:rPr>
          <w:rStyle w:val="56"/>
          <w:rFonts w:hint="eastAsia" w:asciiTheme="majorEastAsia" w:hAnsiTheme="majorEastAsia" w:eastAsiaTheme="majorEastAsia" w:cstheme="majorEastAsia"/>
          <w:i w:val="0"/>
          <w:iCs w:val="0"/>
          <w:caps w:val="0"/>
          <w:color w:val="auto"/>
          <w:spacing w:val="0"/>
          <w:sz w:val="21"/>
          <w:szCs w:val="21"/>
          <w:highlight w:val="none"/>
        </w:rPr>
        <w:t>二、申请人的资格要求：</w:t>
      </w:r>
    </w:p>
    <w:p w14:paraId="48B7E998">
      <w:pPr>
        <w:pStyle w:val="4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iCs w:val="0"/>
          <w:caps w:val="0"/>
          <w:color w:val="auto"/>
          <w:spacing w:val="0"/>
          <w:sz w:val="21"/>
          <w:szCs w:val="21"/>
          <w:highlight w:val="none"/>
        </w:rPr>
        <w:t>1.满足《中华人民共和国政府采购法》第二十二条规定；</w:t>
      </w:r>
    </w:p>
    <w:p w14:paraId="2BC93784">
      <w:pPr>
        <w:pStyle w:val="4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iCs w:val="0"/>
          <w:caps w:val="0"/>
          <w:color w:val="auto"/>
          <w:spacing w:val="0"/>
          <w:sz w:val="21"/>
          <w:szCs w:val="21"/>
          <w:highlight w:val="none"/>
        </w:rPr>
        <w:t>2.落实政府采购政策需满足的资格要求：分标1：无 </w:t>
      </w:r>
    </w:p>
    <w:p w14:paraId="77C20435">
      <w:pPr>
        <w:pStyle w:val="4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iCs w:val="0"/>
          <w:caps w:val="0"/>
          <w:color w:val="auto"/>
          <w:spacing w:val="0"/>
          <w:sz w:val="21"/>
          <w:szCs w:val="21"/>
          <w:highlight w:val="none"/>
        </w:rPr>
        <w:t>3.本项目的特定资格要求：</w:t>
      </w:r>
      <w:r>
        <w:rPr>
          <w:rFonts w:hint="eastAsia" w:asciiTheme="majorEastAsia" w:hAnsiTheme="majorEastAsia" w:eastAsiaTheme="majorEastAsia" w:cstheme="majorEastAsia"/>
          <w:i w:val="0"/>
          <w:iCs w:val="0"/>
          <w:caps w:val="0"/>
          <w:color w:val="auto"/>
          <w:spacing w:val="0"/>
          <w:sz w:val="21"/>
          <w:szCs w:val="21"/>
          <w:highlight w:val="none"/>
        </w:rPr>
        <w:br w:type="textWrapping"/>
      </w:r>
      <w:r>
        <w:rPr>
          <w:rFonts w:hint="eastAsia" w:asciiTheme="majorEastAsia" w:hAnsiTheme="majorEastAsia" w:eastAsiaTheme="majorEastAsia" w:cstheme="majorEastAsia"/>
          <w:i w:val="0"/>
          <w:iCs w:val="0"/>
          <w:caps w:val="0"/>
          <w:color w:val="auto"/>
          <w:spacing w:val="0"/>
          <w:sz w:val="21"/>
          <w:szCs w:val="21"/>
          <w:highlight w:val="none"/>
        </w:rPr>
        <w:t>【分标1】</w:t>
      </w:r>
      <w:r>
        <w:rPr>
          <w:rFonts w:hint="eastAsia" w:asciiTheme="majorEastAsia" w:hAnsiTheme="majorEastAsia" w:eastAsiaTheme="majorEastAsia" w:cstheme="majorEastAsia"/>
          <w:i w:val="0"/>
          <w:iCs w:val="0"/>
          <w:caps w:val="0"/>
          <w:color w:val="auto"/>
          <w:spacing w:val="0"/>
          <w:sz w:val="21"/>
          <w:szCs w:val="21"/>
          <w:highlight w:val="none"/>
        </w:rPr>
        <w:br w:type="textWrapping"/>
      </w:r>
      <w:r>
        <w:rPr>
          <w:rFonts w:hint="eastAsia" w:asciiTheme="majorEastAsia" w:hAnsiTheme="majorEastAsia" w:eastAsiaTheme="majorEastAsia" w:cstheme="majorEastAsia"/>
          <w:i w:val="0"/>
          <w:iCs w:val="0"/>
          <w:caps w:val="0"/>
          <w:color w:val="auto"/>
          <w:spacing w:val="0"/>
          <w:sz w:val="21"/>
          <w:szCs w:val="21"/>
          <w:highlight w:val="none"/>
        </w:rPr>
        <w:t>（1）资质要求：无。</w:t>
      </w:r>
      <w:r>
        <w:rPr>
          <w:rFonts w:hint="eastAsia" w:asciiTheme="majorEastAsia" w:hAnsiTheme="majorEastAsia" w:eastAsiaTheme="majorEastAsia" w:cstheme="majorEastAsia"/>
          <w:i w:val="0"/>
          <w:iCs w:val="0"/>
          <w:caps w:val="0"/>
          <w:color w:val="auto"/>
          <w:spacing w:val="0"/>
          <w:sz w:val="21"/>
          <w:szCs w:val="21"/>
          <w:highlight w:val="none"/>
        </w:rPr>
        <w:br w:type="textWrapping"/>
      </w:r>
      <w:r>
        <w:rPr>
          <w:rFonts w:hint="eastAsia" w:asciiTheme="majorEastAsia" w:hAnsiTheme="majorEastAsia" w:eastAsiaTheme="majorEastAsia" w:cstheme="majorEastAsia"/>
          <w:i w:val="0"/>
          <w:iCs w:val="0"/>
          <w:caps w:val="0"/>
          <w:color w:val="auto"/>
          <w:spacing w:val="0"/>
          <w:sz w:val="21"/>
          <w:szCs w:val="21"/>
          <w:highlight w:val="none"/>
        </w:rPr>
        <w:t>（2）业绩要求：无。</w:t>
      </w:r>
      <w:r>
        <w:rPr>
          <w:rFonts w:hint="eastAsia" w:asciiTheme="majorEastAsia" w:hAnsiTheme="majorEastAsia" w:eastAsiaTheme="majorEastAsia" w:cstheme="majorEastAsia"/>
          <w:i w:val="0"/>
          <w:iCs w:val="0"/>
          <w:caps w:val="0"/>
          <w:color w:val="auto"/>
          <w:spacing w:val="0"/>
          <w:sz w:val="21"/>
          <w:szCs w:val="21"/>
          <w:highlight w:val="none"/>
        </w:rPr>
        <w:br w:type="textWrapping"/>
      </w:r>
      <w:r>
        <w:rPr>
          <w:rFonts w:hint="eastAsia" w:asciiTheme="majorEastAsia" w:hAnsiTheme="majorEastAsia" w:eastAsiaTheme="majorEastAsia" w:cstheme="majorEastAsia"/>
          <w:i w:val="0"/>
          <w:iCs w:val="0"/>
          <w:caps w:val="0"/>
          <w:color w:val="auto"/>
          <w:spacing w:val="0"/>
          <w:sz w:val="21"/>
          <w:szCs w:val="21"/>
          <w:highlight w:val="none"/>
        </w:rPr>
        <w:t>（3）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r>
        <w:rPr>
          <w:rFonts w:hint="eastAsia" w:asciiTheme="majorEastAsia" w:hAnsiTheme="majorEastAsia" w:eastAsiaTheme="majorEastAsia" w:cstheme="majorEastAsia"/>
          <w:i w:val="0"/>
          <w:iCs w:val="0"/>
          <w:caps w:val="0"/>
          <w:color w:val="auto"/>
          <w:spacing w:val="0"/>
          <w:sz w:val="21"/>
          <w:szCs w:val="21"/>
          <w:highlight w:val="none"/>
        </w:rPr>
        <w:br w:type="textWrapping"/>
      </w:r>
      <w:r>
        <w:rPr>
          <w:rFonts w:hint="eastAsia" w:asciiTheme="majorEastAsia" w:hAnsiTheme="majorEastAsia" w:eastAsiaTheme="majorEastAsia" w:cstheme="majorEastAsia"/>
          <w:i w:val="0"/>
          <w:iCs w:val="0"/>
          <w:caps w:val="0"/>
          <w:color w:val="auto"/>
          <w:spacing w:val="0"/>
          <w:sz w:val="21"/>
          <w:szCs w:val="21"/>
          <w:highlight w:val="none"/>
        </w:rPr>
        <w:t>（4）未被列入失信被执行人、重大税收违法失信主体、政府采购严重违法失信行为记录名单。</w:t>
      </w:r>
      <w:r>
        <w:rPr>
          <w:rFonts w:hint="eastAsia" w:asciiTheme="majorEastAsia" w:hAnsiTheme="majorEastAsia" w:eastAsiaTheme="majorEastAsia" w:cstheme="majorEastAsia"/>
          <w:i w:val="0"/>
          <w:iCs w:val="0"/>
          <w:caps w:val="0"/>
          <w:color w:val="auto"/>
          <w:spacing w:val="0"/>
          <w:sz w:val="21"/>
          <w:szCs w:val="21"/>
          <w:highlight w:val="none"/>
        </w:rPr>
        <w:br w:type="textWrapping"/>
      </w:r>
      <w:r>
        <w:rPr>
          <w:rFonts w:hint="eastAsia" w:asciiTheme="majorEastAsia" w:hAnsiTheme="majorEastAsia" w:eastAsiaTheme="majorEastAsia" w:cstheme="majorEastAsia"/>
          <w:b/>
          <w:bCs/>
          <w:i w:val="0"/>
          <w:iCs w:val="0"/>
          <w:caps w:val="0"/>
          <w:color w:val="auto"/>
          <w:spacing w:val="0"/>
          <w:sz w:val="21"/>
          <w:szCs w:val="21"/>
          <w:highlight w:val="none"/>
        </w:rPr>
        <w:t>（5）本项目允许分公司参与投标，分公司参与投标的，须取得总公司授权。</w:t>
      </w:r>
      <w:r>
        <w:rPr>
          <w:rFonts w:hint="eastAsia" w:asciiTheme="majorEastAsia" w:hAnsiTheme="majorEastAsia" w:eastAsiaTheme="majorEastAsia" w:cstheme="majorEastAsia"/>
          <w:i w:val="0"/>
          <w:iCs w:val="0"/>
          <w:caps w:val="0"/>
          <w:color w:val="auto"/>
          <w:spacing w:val="0"/>
          <w:sz w:val="21"/>
          <w:szCs w:val="21"/>
          <w:highlight w:val="none"/>
        </w:rPr>
        <w:br w:type="textWrapping"/>
      </w:r>
      <w:r>
        <w:rPr>
          <w:rFonts w:hint="eastAsia" w:asciiTheme="majorEastAsia" w:hAnsiTheme="majorEastAsia" w:eastAsiaTheme="majorEastAsia" w:cstheme="majorEastAsia"/>
          <w:i w:val="0"/>
          <w:iCs w:val="0"/>
          <w:caps w:val="0"/>
          <w:color w:val="auto"/>
          <w:spacing w:val="0"/>
          <w:sz w:val="21"/>
          <w:szCs w:val="21"/>
          <w:highlight w:val="none"/>
        </w:rPr>
        <w:t>（6）本项目不允许分包。</w:t>
      </w:r>
      <w:r>
        <w:rPr>
          <w:rFonts w:hint="eastAsia" w:asciiTheme="majorEastAsia" w:hAnsiTheme="majorEastAsia" w:eastAsiaTheme="majorEastAsia" w:cstheme="majorEastAsia"/>
          <w:i w:val="0"/>
          <w:iCs w:val="0"/>
          <w:caps w:val="0"/>
          <w:color w:val="auto"/>
          <w:spacing w:val="0"/>
          <w:sz w:val="21"/>
          <w:szCs w:val="21"/>
          <w:highlight w:val="none"/>
        </w:rPr>
        <w:br w:type="textWrapping"/>
      </w:r>
      <w:r>
        <w:rPr>
          <w:rFonts w:hint="eastAsia" w:asciiTheme="majorEastAsia" w:hAnsiTheme="majorEastAsia" w:eastAsiaTheme="majorEastAsia" w:cstheme="majorEastAsia"/>
          <w:i w:val="0"/>
          <w:iCs w:val="0"/>
          <w:caps w:val="0"/>
          <w:color w:val="auto"/>
          <w:spacing w:val="0"/>
          <w:sz w:val="21"/>
          <w:szCs w:val="21"/>
          <w:highlight w:val="none"/>
        </w:rPr>
        <w:t>（7）本项目不允许联合体。</w:t>
      </w:r>
      <w:r>
        <w:rPr>
          <w:rFonts w:hint="eastAsia" w:asciiTheme="majorEastAsia" w:hAnsiTheme="majorEastAsia" w:eastAsiaTheme="majorEastAsia" w:cstheme="majorEastAsia"/>
          <w:i w:val="0"/>
          <w:iCs w:val="0"/>
          <w:caps w:val="0"/>
          <w:color w:val="auto"/>
          <w:spacing w:val="0"/>
          <w:sz w:val="21"/>
          <w:szCs w:val="21"/>
          <w:highlight w:val="none"/>
        </w:rPr>
        <w:br w:type="textWrapping"/>
      </w:r>
      <w:r>
        <w:rPr>
          <w:rFonts w:hint="eastAsia" w:asciiTheme="majorEastAsia" w:hAnsiTheme="majorEastAsia" w:eastAsiaTheme="majorEastAsia" w:cstheme="majorEastAsia"/>
          <w:i w:val="0"/>
          <w:iCs w:val="0"/>
          <w:caps w:val="0"/>
          <w:color w:val="auto"/>
          <w:spacing w:val="0"/>
          <w:sz w:val="21"/>
          <w:szCs w:val="21"/>
          <w:highlight w:val="none"/>
        </w:rPr>
        <w:t>（8）按照磋商公告的规定获得采购文件。采购文件有规定时按要求提交磋商保证金。 </w:t>
      </w:r>
    </w:p>
    <w:p w14:paraId="292E867D">
      <w:pPr>
        <w:pStyle w:val="4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Theme="majorEastAsia" w:hAnsiTheme="majorEastAsia" w:eastAsiaTheme="majorEastAsia" w:cstheme="majorEastAsia"/>
          <w:i w:val="0"/>
          <w:iCs w:val="0"/>
          <w:caps w:val="0"/>
          <w:color w:val="auto"/>
          <w:spacing w:val="0"/>
          <w:sz w:val="21"/>
          <w:szCs w:val="21"/>
          <w:highlight w:val="none"/>
        </w:rPr>
      </w:pPr>
      <w:r>
        <w:rPr>
          <w:rStyle w:val="56"/>
          <w:rFonts w:hint="eastAsia" w:asciiTheme="majorEastAsia" w:hAnsiTheme="majorEastAsia" w:eastAsiaTheme="majorEastAsia" w:cstheme="majorEastAsia"/>
          <w:i w:val="0"/>
          <w:iCs w:val="0"/>
          <w:caps w:val="0"/>
          <w:color w:val="auto"/>
          <w:spacing w:val="0"/>
          <w:sz w:val="21"/>
          <w:szCs w:val="21"/>
          <w:highlight w:val="none"/>
        </w:rPr>
        <w:t>三、获取采购文件</w:t>
      </w:r>
    </w:p>
    <w:p w14:paraId="7FBF5265">
      <w:pPr>
        <w:pStyle w:val="4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iCs w:val="0"/>
          <w:caps w:val="0"/>
          <w:color w:val="auto"/>
          <w:spacing w:val="0"/>
          <w:sz w:val="21"/>
          <w:szCs w:val="21"/>
          <w:highlight w:val="none"/>
          <w:u w:val="none"/>
        </w:rPr>
        <w:t>时间：</w:t>
      </w:r>
      <w:r>
        <w:rPr>
          <w:rFonts w:hint="eastAsia" w:asciiTheme="majorEastAsia" w:hAnsiTheme="majorEastAsia" w:eastAsiaTheme="majorEastAsia" w:cstheme="majorEastAsia"/>
          <w:i w:val="0"/>
          <w:iCs w:val="0"/>
          <w:caps w:val="0"/>
          <w:color w:val="auto"/>
          <w:spacing w:val="0"/>
          <w:sz w:val="21"/>
          <w:szCs w:val="21"/>
          <w:highlight w:val="none"/>
          <w:u w:val="none"/>
          <w:lang w:eastAsia="zh-CN"/>
        </w:rPr>
        <w:t>2026</w:t>
      </w:r>
      <w:r>
        <w:rPr>
          <w:rFonts w:hint="eastAsia" w:asciiTheme="majorEastAsia" w:hAnsiTheme="majorEastAsia" w:eastAsiaTheme="majorEastAsia" w:cstheme="majorEastAsia"/>
          <w:i w:val="0"/>
          <w:iCs w:val="0"/>
          <w:caps w:val="0"/>
          <w:color w:val="auto"/>
          <w:spacing w:val="0"/>
          <w:sz w:val="21"/>
          <w:szCs w:val="21"/>
          <w:highlight w:val="none"/>
          <w:u w:val="none"/>
        </w:rPr>
        <w:t>年</w:t>
      </w:r>
      <w:r>
        <w:rPr>
          <w:rFonts w:hint="eastAsia" w:asciiTheme="majorEastAsia" w:hAnsiTheme="majorEastAsia" w:eastAsiaTheme="majorEastAsia" w:cstheme="majorEastAsia"/>
          <w:i w:val="0"/>
          <w:iCs w:val="0"/>
          <w:caps w:val="0"/>
          <w:color w:val="auto"/>
          <w:spacing w:val="0"/>
          <w:sz w:val="21"/>
          <w:szCs w:val="21"/>
          <w:highlight w:val="none"/>
          <w:u w:val="none"/>
          <w:lang w:val="en-US" w:eastAsia="zh-CN"/>
        </w:rPr>
        <w:t>6</w:t>
      </w:r>
      <w:r>
        <w:rPr>
          <w:rFonts w:hint="eastAsia" w:asciiTheme="majorEastAsia" w:hAnsiTheme="majorEastAsia" w:eastAsiaTheme="majorEastAsia" w:cstheme="majorEastAsia"/>
          <w:i w:val="0"/>
          <w:iCs w:val="0"/>
          <w:caps w:val="0"/>
          <w:color w:val="auto"/>
          <w:spacing w:val="0"/>
          <w:sz w:val="21"/>
          <w:szCs w:val="21"/>
          <w:highlight w:val="none"/>
          <w:u w:val="none"/>
        </w:rPr>
        <w:t>月</w:t>
      </w:r>
      <w:r>
        <w:rPr>
          <w:rFonts w:hint="eastAsia" w:asciiTheme="majorEastAsia" w:hAnsiTheme="majorEastAsia" w:eastAsiaTheme="majorEastAsia" w:cstheme="majorEastAsia"/>
          <w:i w:val="0"/>
          <w:iCs w:val="0"/>
          <w:caps w:val="0"/>
          <w:color w:val="auto"/>
          <w:spacing w:val="0"/>
          <w:sz w:val="21"/>
          <w:szCs w:val="21"/>
          <w:highlight w:val="none"/>
          <w:u w:val="none"/>
          <w:lang w:val="en-US" w:eastAsia="zh-CN"/>
        </w:rPr>
        <w:t>12</w:t>
      </w:r>
      <w:r>
        <w:rPr>
          <w:rFonts w:hint="eastAsia" w:asciiTheme="majorEastAsia" w:hAnsiTheme="majorEastAsia" w:eastAsiaTheme="majorEastAsia" w:cstheme="majorEastAsia"/>
          <w:i w:val="0"/>
          <w:iCs w:val="0"/>
          <w:caps w:val="0"/>
          <w:color w:val="auto"/>
          <w:spacing w:val="0"/>
          <w:sz w:val="21"/>
          <w:szCs w:val="21"/>
          <w:highlight w:val="none"/>
          <w:u w:val="none"/>
        </w:rPr>
        <w:t>日至</w:t>
      </w:r>
      <w:r>
        <w:rPr>
          <w:rFonts w:hint="eastAsia" w:asciiTheme="majorEastAsia" w:hAnsiTheme="majorEastAsia" w:eastAsiaTheme="majorEastAsia" w:cstheme="majorEastAsia"/>
          <w:i w:val="0"/>
          <w:iCs w:val="0"/>
          <w:caps w:val="0"/>
          <w:color w:val="auto"/>
          <w:spacing w:val="0"/>
          <w:sz w:val="21"/>
          <w:szCs w:val="21"/>
          <w:highlight w:val="none"/>
          <w:u w:val="none"/>
          <w:lang w:eastAsia="zh-CN"/>
        </w:rPr>
        <w:t>2026</w:t>
      </w:r>
      <w:r>
        <w:rPr>
          <w:rFonts w:hint="eastAsia" w:asciiTheme="majorEastAsia" w:hAnsiTheme="majorEastAsia" w:eastAsiaTheme="majorEastAsia" w:cstheme="majorEastAsia"/>
          <w:i w:val="0"/>
          <w:iCs w:val="0"/>
          <w:caps w:val="0"/>
          <w:color w:val="auto"/>
          <w:spacing w:val="0"/>
          <w:sz w:val="21"/>
          <w:szCs w:val="21"/>
          <w:highlight w:val="none"/>
          <w:u w:val="none"/>
        </w:rPr>
        <w:t>年</w:t>
      </w:r>
      <w:r>
        <w:rPr>
          <w:rFonts w:hint="eastAsia" w:asciiTheme="majorEastAsia" w:hAnsiTheme="majorEastAsia" w:eastAsiaTheme="majorEastAsia" w:cstheme="majorEastAsia"/>
          <w:i w:val="0"/>
          <w:iCs w:val="0"/>
          <w:caps w:val="0"/>
          <w:color w:val="auto"/>
          <w:spacing w:val="0"/>
          <w:sz w:val="21"/>
          <w:szCs w:val="21"/>
          <w:highlight w:val="none"/>
          <w:u w:val="none"/>
          <w:lang w:val="en-US" w:eastAsia="zh-CN"/>
        </w:rPr>
        <w:t>6</w:t>
      </w:r>
      <w:r>
        <w:rPr>
          <w:rFonts w:hint="eastAsia" w:asciiTheme="majorEastAsia" w:hAnsiTheme="majorEastAsia" w:eastAsiaTheme="majorEastAsia" w:cstheme="majorEastAsia"/>
          <w:i w:val="0"/>
          <w:iCs w:val="0"/>
          <w:caps w:val="0"/>
          <w:color w:val="auto"/>
          <w:spacing w:val="0"/>
          <w:sz w:val="21"/>
          <w:szCs w:val="21"/>
          <w:highlight w:val="none"/>
          <w:u w:val="none"/>
        </w:rPr>
        <w:t>月</w:t>
      </w:r>
      <w:r>
        <w:rPr>
          <w:rFonts w:hint="eastAsia" w:asciiTheme="majorEastAsia" w:hAnsiTheme="majorEastAsia" w:eastAsiaTheme="majorEastAsia" w:cstheme="majorEastAsia"/>
          <w:i w:val="0"/>
          <w:iCs w:val="0"/>
          <w:caps w:val="0"/>
          <w:color w:val="auto"/>
          <w:spacing w:val="0"/>
          <w:sz w:val="21"/>
          <w:szCs w:val="21"/>
          <w:highlight w:val="none"/>
          <w:u w:val="none"/>
          <w:lang w:val="en-US" w:eastAsia="zh-CN"/>
        </w:rPr>
        <w:t>24</w:t>
      </w:r>
      <w:r>
        <w:rPr>
          <w:rFonts w:hint="eastAsia" w:asciiTheme="majorEastAsia" w:hAnsiTheme="majorEastAsia" w:eastAsiaTheme="majorEastAsia" w:cstheme="majorEastAsia"/>
          <w:i w:val="0"/>
          <w:iCs w:val="0"/>
          <w:caps w:val="0"/>
          <w:color w:val="auto"/>
          <w:spacing w:val="0"/>
          <w:sz w:val="21"/>
          <w:szCs w:val="21"/>
          <w:highlight w:val="none"/>
          <w:u w:val="none"/>
        </w:rPr>
        <w:t>日</w:t>
      </w:r>
      <w:r>
        <w:rPr>
          <w:rFonts w:hint="eastAsia" w:asciiTheme="majorEastAsia" w:hAnsiTheme="majorEastAsia" w:eastAsiaTheme="majorEastAsia" w:cstheme="majorEastAsia"/>
          <w:i w:val="0"/>
          <w:iCs w:val="0"/>
          <w:caps w:val="0"/>
          <w:color w:val="auto"/>
          <w:spacing w:val="0"/>
          <w:sz w:val="21"/>
          <w:szCs w:val="21"/>
          <w:highlight w:val="none"/>
          <w:u w:val="none"/>
          <w:lang w:val="en-US" w:eastAsia="zh-CN"/>
        </w:rPr>
        <w:t>；</w:t>
      </w:r>
      <w:r>
        <w:rPr>
          <w:rFonts w:hint="eastAsia" w:asciiTheme="majorEastAsia" w:hAnsiTheme="majorEastAsia" w:eastAsiaTheme="majorEastAsia" w:cstheme="majorEastAsia"/>
          <w:i w:val="0"/>
          <w:iCs w:val="0"/>
          <w:caps w:val="0"/>
          <w:color w:val="auto"/>
          <w:spacing w:val="0"/>
          <w:sz w:val="21"/>
          <w:szCs w:val="21"/>
          <w:highlight w:val="none"/>
          <w:u w:val="none"/>
        </w:rPr>
        <w:t>每天上午00:00至12:00，下午12:00至23:59（北京时间，法定节假日除外）</w:t>
      </w:r>
    </w:p>
    <w:p w14:paraId="007CBC2D">
      <w:pPr>
        <w:pStyle w:val="4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iCs w:val="0"/>
          <w:caps w:val="0"/>
          <w:color w:val="auto"/>
          <w:spacing w:val="0"/>
          <w:sz w:val="21"/>
          <w:szCs w:val="21"/>
          <w:highlight w:val="none"/>
        </w:rPr>
        <w:t>地点（网址）：广西政府采购云平台（https://www.gcy.zfcg.gxzf.gov.cn/） </w:t>
      </w:r>
    </w:p>
    <w:p w14:paraId="1A3400AE">
      <w:pPr>
        <w:pStyle w:val="4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iCs w:val="0"/>
          <w:caps w:val="0"/>
          <w:color w:val="auto"/>
          <w:spacing w:val="0"/>
          <w:sz w:val="21"/>
          <w:szCs w:val="21"/>
          <w:highlight w:val="none"/>
        </w:rPr>
        <w:t>方式：供应商登录广西政府采购云平台在线申请获取采购文件（进入“项目采购”应用，在获取采购文件菜单中选择项目，申请获取采购文件） </w:t>
      </w:r>
    </w:p>
    <w:p w14:paraId="46F333E0">
      <w:pPr>
        <w:pStyle w:val="4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iCs w:val="0"/>
          <w:caps w:val="0"/>
          <w:color w:val="auto"/>
          <w:spacing w:val="0"/>
          <w:sz w:val="21"/>
          <w:szCs w:val="21"/>
          <w:highlight w:val="none"/>
        </w:rPr>
        <w:t>售价（元）：0 </w:t>
      </w:r>
    </w:p>
    <w:p w14:paraId="683C3E50">
      <w:pPr>
        <w:pStyle w:val="4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Theme="majorEastAsia" w:hAnsiTheme="majorEastAsia" w:eastAsiaTheme="majorEastAsia" w:cstheme="majorEastAsia"/>
          <w:i w:val="0"/>
          <w:iCs w:val="0"/>
          <w:caps w:val="0"/>
          <w:color w:val="auto"/>
          <w:spacing w:val="0"/>
          <w:sz w:val="21"/>
          <w:szCs w:val="21"/>
          <w:highlight w:val="none"/>
        </w:rPr>
      </w:pPr>
      <w:r>
        <w:rPr>
          <w:rStyle w:val="56"/>
          <w:rFonts w:hint="eastAsia" w:asciiTheme="majorEastAsia" w:hAnsiTheme="majorEastAsia" w:eastAsiaTheme="majorEastAsia" w:cstheme="majorEastAsia"/>
          <w:i w:val="0"/>
          <w:iCs w:val="0"/>
          <w:caps w:val="0"/>
          <w:color w:val="auto"/>
          <w:spacing w:val="0"/>
          <w:sz w:val="21"/>
          <w:szCs w:val="21"/>
          <w:highlight w:val="none"/>
        </w:rPr>
        <w:t>四、响应文件提交</w:t>
      </w:r>
      <w:r>
        <w:rPr>
          <w:rFonts w:hint="eastAsia" w:asciiTheme="majorEastAsia" w:hAnsiTheme="majorEastAsia" w:eastAsiaTheme="majorEastAsia" w:cstheme="majorEastAsia"/>
          <w:i w:val="0"/>
          <w:iCs w:val="0"/>
          <w:caps w:val="0"/>
          <w:color w:val="auto"/>
          <w:spacing w:val="0"/>
          <w:sz w:val="21"/>
          <w:szCs w:val="21"/>
          <w:highlight w:val="none"/>
        </w:rPr>
        <w:t> </w:t>
      </w:r>
    </w:p>
    <w:p w14:paraId="5985B59A">
      <w:pPr>
        <w:pStyle w:val="4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iCs w:val="0"/>
          <w:caps w:val="0"/>
          <w:color w:val="auto"/>
          <w:spacing w:val="0"/>
          <w:sz w:val="21"/>
          <w:szCs w:val="21"/>
          <w:highlight w:val="none"/>
        </w:rPr>
        <w:t>截止时间：</w:t>
      </w:r>
      <w:r>
        <w:rPr>
          <w:rFonts w:hint="eastAsia" w:asciiTheme="majorEastAsia" w:hAnsiTheme="majorEastAsia" w:eastAsiaTheme="majorEastAsia" w:cstheme="majorEastAsia"/>
          <w:i w:val="0"/>
          <w:iCs w:val="0"/>
          <w:caps w:val="0"/>
          <w:color w:val="auto"/>
          <w:spacing w:val="0"/>
          <w:sz w:val="21"/>
          <w:szCs w:val="21"/>
          <w:highlight w:val="none"/>
          <w:lang w:eastAsia="zh-CN"/>
        </w:rPr>
        <w:t>2026</w:t>
      </w:r>
      <w:r>
        <w:rPr>
          <w:rFonts w:hint="eastAsia" w:asciiTheme="majorEastAsia" w:hAnsiTheme="majorEastAsia" w:eastAsiaTheme="majorEastAsia" w:cstheme="majorEastAsia"/>
          <w:i w:val="0"/>
          <w:iCs w:val="0"/>
          <w:caps w:val="0"/>
          <w:color w:val="auto"/>
          <w:spacing w:val="0"/>
          <w:sz w:val="21"/>
          <w:szCs w:val="21"/>
          <w:highlight w:val="none"/>
        </w:rPr>
        <w:t>年</w:t>
      </w:r>
      <w:r>
        <w:rPr>
          <w:rFonts w:hint="eastAsia" w:asciiTheme="majorEastAsia" w:hAnsiTheme="majorEastAsia" w:eastAsiaTheme="majorEastAsia" w:cstheme="majorEastAsia"/>
          <w:i w:val="0"/>
          <w:iCs w:val="0"/>
          <w:caps w:val="0"/>
          <w:color w:val="auto"/>
          <w:spacing w:val="0"/>
          <w:sz w:val="21"/>
          <w:szCs w:val="21"/>
          <w:highlight w:val="none"/>
          <w:lang w:val="en-US" w:eastAsia="zh-CN"/>
        </w:rPr>
        <w:t>6</w:t>
      </w:r>
      <w:r>
        <w:rPr>
          <w:rFonts w:hint="eastAsia" w:asciiTheme="majorEastAsia" w:hAnsiTheme="majorEastAsia" w:eastAsiaTheme="majorEastAsia" w:cstheme="majorEastAsia"/>
          <w:i w:val="0"/>
          <w:iCs w:val="0"/>
          <w:caps w:val="0"/>
          <w:color w:val="auto"/>
          <w:spacing w:val="0"/>
          <w:sz w:val="21"/>
          <w:szCs w:val="21"/>
          <w:highlight w:val="none"/>
        </w:rPr>
        <w:t>月</w:t>
      </w:r>
      <w:r>
        <w:rPr>
          <w:rFonts w:hint="eastAsia" w:asciiTheme="majorEastAsia" w:hAnsiTheme="majorEastAsia" w:eastAsiaTheme="majorEastAsia" w:cstheme="majorEastAsia"/>
          <w:i w:val="0"/>
          <w:iCs w:val="0"/>
          <w:caps w:val="0"/>
          <w:color w:val="auto"/>
          <w:spacing w:val="0"/>
          <w:sz w:val="21"/>
          <w:szCs w:val="21"/>
          <w:highlight w:val="none"/>
          <w:lang w:val="en-US" w:eastAsia="zh-CN"/>
        </w:rPr>
        <w:t>24</w:t>
      </w:r>
      <w:r>
        <w:rPr>
          <w:rFonts w:hint="eastAsia" w:asciiTheme="majorEastAsia" w:hAnsiTheme="majorEastAsia" w:eastAsiaTheme="majorEastAsia" w:cstheme="majorEastAsia"/>
          <w:i w:val="0"/>
          <w:iCs w:val="0"/>
          <w:caps w:val="0"/>
          <w:color w:val="auto"/>
          <w:spacing w:val="0"/>
          <w:sz w:val="21"/>
          <w:szCs w:val="21"/>
          <w:highlight w:val="none"/>
        </w:rPr>
        <w:t>日</w:t>
      </w:r>
      <w:r>
        <w:rPr>
          <w:rFonts w:hint="eastAsia" w:asciiTheme="majorEastAsia" w:hAnsiTheme="majorEastAsia" w:eastAsiaTheme="majorEastAsia" w:cstheme="majorEastAsia"/>
          <w:i w:val="0"/>
          <w:iCs w:val="0"/>
          <w:caps w:val="0"/>
          <w:color w:val="auto"/>
          <w:spacing w:val="0"/>
          <w:sz w:val="21"/>
          <w:szCs w:val="21"/>
          <w:highlight w:val="none"/>
          <w:lang w:val="en-US" w:eastAsia="zh-CN"/>
        </w:rPr>
        <w:t>15</w:t>
      </w:r>
      <w:r>
        <w:rPr>
          <w:rFonts w:hint="eastAsia" w:asciiTheme="majorEastAsia" w:hAnsiTheme="majorEastAsia" w:eastAsiaTheme="majorEastAsia" w:cstheme="majorEastAsia"/>
          <w:i w:val="0"/>
          <w:iCs w:val="0"/>
          <w:caps w:val="0"/>
          <w:color w:val="auto"/>
          <w:spacing w:val="0"/>
          <w:sz w:val="21"/>
          <w:szCs w:val="21"/>
          <w:highlight w:val="none"/>
        </w:rPr>
        <w:t>:</w:t>
      </w:r>
      <w:r>
        <w:rPr>
          <w:rFonts w:hint="eastAsia" w:asciiTheme="majorEastAsia" w:hAnsiTheme="majorEastAsia" w:eastAsiaTheme="majorEastAsia" w:cstheme="majorEastAsia"/>
          <w:i w:val="0"/>
          <w:iCs w:val="0"/>
          <w:caps w:val="0"/>
          <w:color w:val="auto"/>
          <w:spacing w:val="0"/>
          <w:sz w:val="21"/>
          <w:szCs w:val="21"/>
          <w:highlight w:val="none"/>
          <w:lang w:val="en-US" w:eastAsia="zh-CN"/>
        </w:rPr>
        <w:t>3</w:t>
      </w:r>
      <w:r>
        <w:rPr>
          <w:rFonts w:hint="eastAsia" w:asciiTheme="majorEastAsia" w:hAnsiTheme="majorEastAsia" w:eastAsiaTheme="majorEastAsia" w:cstheme="majorEastAsia"/>
          <w:i w:val="0"/>
          <w:iCs w:val="0"/>
          <w:caps w:val="0"/>
          <w:color w:val="auto"/>
          <w:spacing w:val="0"/>
          <w:sz w:val="21"/>
          <w:szCs w:val="21"/>
          <w:highlight w:val="none"/>
        </w:rPr>
        <w:t>0（北京时间）</w:t>
      </w:r>
    </w:p>
    <w:p w14:paraId="22C0ED9D">
      <w:pPr>
        <w:pStyle w:val="4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iCs w:val="0"/>
          <w:caps w:val="0"/>
          <w:color w:val="auto"/>
          <w:spacing w:val="0"/>
          <w:sz w:val="21"/>
          <w:szCs w:val="21"/>
          <w:highlight w:val="none"/>
        </w:rPr>
        <w:t>地点（网址）：请登录广西政府采购云平台投标客户端投标。 </w:t>
      </w:r>
    </w:p>
    <w:p w14:paraId="5DBE4EC8">
      <w:pPr>
        <w:pStyle w:val="4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Theme="majorEastAsia" w:hAnsiTheme="majorEastAsia" w:eastAsiaTheme="majorEastAsia" w:cstheme="majorEastAsia"/>
          <w:i w:val="0"/>
          <w:iCs w:val="0"/>
          <w:caps w:val="0"/>
          <w:color w:val="auto"/>
          <w:spacing w:val="0"/>
          <w:sz w:val="21"/>
          <w:szCs w:val="21"/>
          <w:highlight w:val="none"/>
        </w:rPr>
      </w:pPr>
      <w:r>
        <w:rPr>
          <w:rStyle w:val="56"/>
          <w:rFonts w:hint="eastAsia" w:asciiTheme="majorEastAsia" w:hAnsiTheme="majorEastAsia" w:eastAsiaTheme="majorEastAsia" w:cstheme="majorEastAsia"/>
          <w:i w:val="0"/>
          <w:iCs w:val="0"/>
          <w:caps w:val="0"/>
          <w:color w:val="auto"/>
          <w:spacing w:val="0"/>
          <w:sz w:val="21"/>
          <w:szCs w:val="21"/>
          <w:highlight w:val="none"/>
        </w:rPr>
        <w:t>五、响应文件开启</w:t>
      </w:r>
      <w:r>
        <w:rPr>
          <w:rFonts w:hint="eastAsia" w:asciiTheme="majorEastAsia" w:hAnsiTheme="majorEastAsia" w:eastAsiaTheme="majorEastAsia" w:cstheme="majorEastAsia"/>
          <w:i w:val="0"/>
          <w:iCs w:val="0"/>
          <w:caps w:val="0"/>
          <w:color w:val="auto"/>
          <w:spacing w:val="0"/>
          <w:sz w:val="21"/>
          <w:szCs w:val="21"/>
          <w:highlight w:val="none"/>
        </w:rPr>
        <w:t> </w:t>
      </w:r>
    </w:p>
    <w:p w14:paraId="4A2C3A4F">
      <w:pPr>
        <w:pStyle w:val="4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iCs w:val="0"/>
          <w:caps w:val="0"/>
          <w:color w:val="auto"/>
          <w:spacing w:val="0"/>
          <w:sz w:val="21"/>
          <w:szCs w:val="21"/>
          <w:highlight w:val="none"/>
        </w:rPr>
        <w:t>开启时间：</w:t>
      </w:r>
      <w:r>
        <w:rPr>
          <w:rFonts w:hint="eastAsia" w:asciiTheme="majorEastAsia" w:hAnsiTheme="majorEastAsia" w:eastAsiaTheme="majorEastAsia" w:cstheme="majorEastAsia"/>
          <w:i w:val="0"/>
          <w:iCs w:val="0"/>
          <w:caps w:val="0"/>
          <w:color w:val="auto"/>
          <w:spacing w:val="0"/>
          <w:sz w:val="21"/>
          <w:szCs w:val="21"/>
          <w:highlight w:val="none"/>
          <w:lang w:eastAsia="zh-CN"/>
        </w:rPr>
        <w:t>2026</w:t>
      </w:r>
      <w:r>
        <w:rPr>
          <w:rFonts w:hint="eastAsia" w:asciiTheme="majorEastAsia" w:hAnsiTheme="majorEastAsia" w:eastAsiaTheme="majorEastAsia" w:cstheme="majorEastAsia"/>
          <w:i w:val="0"/>
          <w:iCs w:val="0"/>
          <w:caps w:val="0"/>
          <w:color w:val="auto"/>
          <w:spacing w:val="0"/>
          <w:sz w:val="21"/>
          <w:szCs w:val="21"/>
          <w:highlight w:val="none"/>
        </w:rPr>
        <w:t>年</w:t>
      </w:r>
      <w:r>
        <w:rPr>
          <w:rFonts w:hint="eastAsia" w:asciiTheme="majorEastAsia" w:hAnsiTheme="majorEastAsia" w:eastAsiaTheme="majorEastAsia" w:cstheme="majorEastAsia"/>
          <w:i w:val="0"/>
          <w:iCs w:val="0"/>
          <w:caps w:val="0"/>
          <w:color w:val="auto"/>
          <w:spacing w:val="0"/>
          <w:sz w:val="21"/>
          <w:szCs w:val="21"/>
          <w:highlight w:val="none"/>
          <w:lang w:val="en-US" w:eastAsia="zh-CN"/>
        </w:rPr>
        <w:t>6</w:t>
      </w:r>
      <w:r>
        <w:rPr>
          <w:rFonts w:hint="eastAsia" w:asciiTheme="majorEastAsia" w:hAnsiTheme="majorEastAsia" w:eastAsiaTheme="majorEastAsia" w:cstheme="majorEastAsia"/>
          <w:i w:val="0"/>
          <w:iCs w:val="0"/>
          <w:caps w:val="0"/>
          <w:color w:val="auto"/>
          <w:spacing w:val="0"/>
          <w:sz w:val="21"/>
          <w:szCs w:val="21"/>
          <w:highlight w:val="none"/>
        </w:rPr>
        <w:t>月</w:t>
      </w:r>
      <w:r>
        <w:rPr>
          <w:rFonts w:hint="eastAsia" w:asciiTheme="majorEastAsia" w:hAnsiTheme="majorEastAsia" w:eastAsiaTheme="majorEastAsia" w:cstheme="majorEastAsia"/>
          <w:i w:val="0"/>
          <w:iCs w:val="0"/>
          <w:caps w:val="0"/>
          <w:color w:val="auto"/>
          <w:spacing w:val="0"/>
          <w:sz w:val="21"/>
          <w:szCs w:val="21"/>
          <w:highlight w:val="none"/>
          <w:lang w:val="en-US" w:eastAsia="zh-CN"/>
        </w:rPr>
        <w:t>24</w:t>
      </w:r>
      <w:r>
        <w:rPr>
          <w:rFonts w:hint="eastAsia" w:asciiTheme="majorEastAsia" w:hAnsiTheme="majorEastAsia" w:eastAsiaTheme="majorEastAsia" w:cstheme="majorEastAsia"/>
          <w:i w:val="0"/>
          <w:iCs w:val="0"/>
          <w:caps w:val="0"/>
          <w:color w:val="auto"/>
          <w:spacing w:val="0"/>
          <w:sz w:val="21"/>
          <w:szCs w:val="21"/>
          <w:highlight w:val="none"/>
        </w:rPr>
        <w:t>日</w:t>
      </w:r>
      <w:r>
        <w:rPr>
          <w:rFonts w:hint="eastAsia" w:asciiTheme="majorEastAsia" w:hAnsiTheme="majorEastAsia" w:eastAsiaTheme="majorEastAsia" w:cstheme="majorEastAsia"/>
          <w:i w:val="0"/>
          <w:iCs w:val="0"/>
          <w:caps w:val="0"/>
          <w:color w:val="auto"/>
          <w:spacing w:val="0"/>
          <w:sz w:val="21"/>
          <w:szCs w:val="21"/>
          <w:highlight w:val="none"/>
          <w:lang w:val="en-US" w:eastAsia="zh-CN"/>
        </w:rPr>
        <w:t>15</w:t>
      </w:r>
      <w:r>
        <w:rPr>
          <w:rFonts w:hint="eastAsia" w:asciiTheme="majorEastAsia" w:hAnsiTheme="majorEastAsia" w:eastAsiaTheme="majorEastAsia" w:cstheme="majorEastAsia"/>
          <w:i w:val="0"/>
          <w:iCs w:val="0"/>
          <w:caps w:val="0"/>
          <w:color w:val="auto"/>
          <w:spacing w:val="0"/>
          <w:sz w:val="21"/>
          <w:szCs w:val="21"/>
          <w:highlight w:val="none"/>
        </w:rPr>
        <w:t>:</w:t>
      </w:r>
      <w:r>
        <w:rPr>
          <w:rFonts w:hint="eastAsia" w:asciiTheme="majorEastAsia" w:hAnsiTheme="majorEastAsia" w:eastAsiaTheme="majorEastAsia" w:cstheme="majorEastAsia"/>
          <w:i w:val="0"/>
          <w:iCs w:val="0"/>
          <w:caps w:val="0"/>
          <w:color w:val="auto"/>
          <w:spacing w:val="0"/>
          <w:sz w:val="21"/>
          <w:szCs w:val="21"/>
          <w:highlight w:val="none"/>
          <w:lang w:val="en-US" w:eastAsia="zh-CN"/>
        </w:rPr>
        <w:t>3</w:t>
      </w:r>
      <w:r>
        <w:rPr>
          <w:rFonts w:hint="eastAsia" w:asciiTheme="majorEastAsia" w:hAnsiTheme="majorEastAsia" w:eastAsiaTheme="majorEastAsia" w:cstheme="majorEastAsia"/>
          <w:i w:val="0"/>
          <w:iCs w:val="0"/>
          <w:caps w:val="0"/>
          <w:color w:val="auto"/>
          <w:spacing w:val="0"/>
          <w:sz w:val="21"/>
          <w:szCs w:val="21"/>
          <w:highlight w:val="none"/>
        </w:rPr>
        <w:t>0（北京时间）</w:t>
      </w:r>
    </w:p>
    <w:p w14:paraId="48956C7D">
      <w:pPr>
        <w:pStyle w:val="4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iCs w:val="0"/>
          <w:caps w:val="0"/>
          <w:color w:val="auto"/>
          <w:spacing w:val="0"/>
          <w:sz w:val="21"/>
          <w:szCs w:val="21"/>
          <w:highlight w:val="none"/>
        </w:rPr>
        <w:t>地点：供应商登录广西政府采购云平台电子开标大厅截标。 </w:t>
      </w:r>
    </w:p>
    <w:p w14:paraId="44DD1B8D">
      <w:pPr>
        <w:pStyle w:val="4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Theme="majorEastAsia" w:hAnsiTheme="majorEastAsia" w:eastAsiaTheme="majorEastAsia" w:cstheme="majorEastAsia"/>
          <w:i w:val="0"/>
          <w:iCs w:val="0"/>
          <w:caps w:val="0"/>
          <w:color w:val="auto"/>
          <w:spacing w:val="0"/>
          <w:sz w:val="21"/>
          <w:szCs w:val="21"/>
          <w:highlight w:val="none"/>
        </w:rPr>
      </w:pPr>
      <w:r>
        <w:rPr>
          <w:rStyle w:val="56"/>
          <w:rFonts w:hint="eastAsia" w:asciiTheme="majorEastAsia" w:hAnsiTheme="majorEastAsia" w:eastAsiaTheme="majorEastAsia" w:cstheme="majorEastAsia"/>
          <w:i w:val="0"/>
          <w:iCs w:val="0"/>
          <w:caps w:val="0"/>
          <w:color w:val="auto"/>
          <w:spacing w:val="0"/>
          <w:sz w:val="21"/>
          <w:szCs w:val="21"/>
          <w:highlight w:val="none"/>
        </w:rPr>
        <w:t>六、公告期限</w:t>
      </w:r>
    </w:p>
    <w:p w14:paraId="7990C57A">
      <w:pPr>
        <w:pStyle w:val="4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Theme="majorEastAsia" w:hAnsiTheme="majorEastAsia" w:eastAsiaTheme="majorEastAsia" w:cstheme="majorEastAsia"/>
          <w:i w:val="0"/>
          <w:iCs w:val="0"/>
          <w:caps w:val="0"/>
          <w:color w:val="auto"/>
          <w:spacing w:val="0"/>
          <w:sz w:val="21"/>
          <w:szCs w:val="21"/>
          <w:highlight w:val="none"/>
        </w:rPr>
      </w:pPr>
      <w:r>
        <w:rPr>
          <w:rFonts w:hint="eastAsia" w:asciiTheme="majorEastAsia" w:hAnsiTheme="majorEastAsia" w:eastAsiaTheme="majorEastAsia" w:cstheme="majorEastAsia"/>
          <w:i w:val="0"/>
          <w:iCs w:val="0"/>
          <w:caps w:val="0"/>
          <w:color w:val="auto"/>
          <w:spacing w:val="0"/>
          <w:sz w:val="21"/>
          <w:szCs w:val="21"/>
          <w:highlight w:val="none"/>
        </w:rPr>
        <w:t>自本公告发布之日起5个工作日。</w:t>
      </w:r>
    </w:p>
    <w:p w14:paraId="73C7C44E">
      <w:pPr>
        <w:pStyle w:val="4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Theme="majorEastAsia" w:hAnsiTheme="majorEastAsia" w:eastAsiaTheme="majorEastAsia" w:cstheme="majorEastAsia"/>
          <w:i w:val="0"/>
          <w:iCs w:val="0"/>
          <w:caps w:val="0"/>
          <w:color w:val="auto"/>
          <w:spacing w:val="0"/>
          <w:sz w:val="21"/>
          <w:szCs w:val="21"/>
          <w:highlight w:val="none"/>
        </w:rPr>
      </w:pPr>
      <w:r>
        <w:rPr>
          <w:rStyle w:val="56"/>
          <w:rFonts w:hint="eastAsia" w:asciiTheme="majorEastAsia" w:hAnsiTheme="majorEastAsia" w:eastAsiaTheme="majorEastAsia" w:cstheme="majorEastAsia"/>
          <w:i w:val="0"/>
          <w:iCs w:val="0"/>
          <w:caps w:val="0"/>
          <w:color w:val="auto"/>
          <w:spacing w:val="0"/>
          <w:sz w:val="21"/>
          <w:szCs w:val="21"/>
          <w:highlight w:val="none"/>
        </w:rPr>
        <w:t>七、其他补充事宜</w:t>
      </w:r>
      <w:r>
        <w:rPr>
          <w:rFonts w:hint="eastAsia" w:asciiTheme="majorEastAsia" w:hAnsiTheme="majorEastAsia" w:eastAsiaTheme="majorEastAsia" w:cstheme="majorEastAsia"/>
          <w:i w:val="0"/>
          <w:iCs w:val="0"/>
          <w:caps w:val="0"/>
          <w:color w:val="auto"/>
          <w:spacing w:val="0"/>
          <w:sz w:val="21"/>
          <w:szCs w:val="21"/>
          <w:highlight w:val="none"/>
        </w:rPr>
        <w:t> </w:t>
      </w:r>
    </w:p>
    <w:p w14:paraId="4F3A6339">
      <w:pPr>
        <w:spacing w:line="360" w:lineRule="auto"/>
        <w:rPr>
          <w:rFonts w:hint="eastAsia" w:asciiTheme="majorEastAsia" w:hAnsiTheme="majorEastAsia" w:eastAsiaTheme="majorEastAsia" w:cstheme="majorEastAsia"/>
          <w:i w:val="0"/>
          <w:iCs w:val="0"/>
          <w:caps w:val="0"/>
          <w:color w:val="auto"/>
          <w:spacing w:val="0"/>
          <w:sz w:val="21"/>
          <w:szCs w:val="21"/>
          <w:highlight w:val="none"/>
          <w:lang w:eastAsia="zh-CN"/>
        </w:rPr>
      </w:pPr>
      <w:r>
        <w:rPr>
          <w:rFonts w:hint="eastAsia" w:asciiTheme="majorEastAsia" w:hAnsiTheme="majorEastAsia" w:eastAsiaTheme="majorEastAsia" w:cstheme="majorEastAsia"/>
          <w:i w:val="0"/>
          <w:iCs w:val="0"/>
          <w:caps w:val="0"/>
          <w:color w:val="auto"/>
          <w:spacing w:val="0"/>
          <w:sz w:val="21"/>
          <w:szCs w:val="21"/>
          <w:highlight w:val="none"/>
        </w:rPr>
        <w:t>1.公告发布媒体：http：//www.ccgp.gov.cn（中国政府采购网）、http：//www.gxzfcg.gov.cn（广西壮族自治区政府采购网）、http：//ggzy.jgswj.gxzf.gov.cn/ggggzy/【全国公共资源交易平台（广西·贵港）】。</w:t>
      </w:r>
      <w:r>
        <w:rPr>
          <w:rFonts w:hint="eastAsia" w:asciiTheme="majorEastAsia" w:hAnsiTheme="majorEastAsia" w:eastAsiaTheme="majorEastAsia" w:cstheme="majorEastAsia"/>
          <w:i w:val="0"/>
          <w:iCs w:val="0"/>
          <w:caps w:val="0"/>
          <w:color w:val="auto"/>
          <w:spacing w:val="0"/>
          <w:sz w:val="21"/>
          <w:szCs w:val="21"/>
          <w:highlight w:val="none"/>
        </w:rPr>
        <w:br w:type="textWrapping"/>
      </w:r>
      <w:r>
        <w:rPr>
          <w:rFonts w:hint="eastAsia" w:asciiTheme="majorEastAsia" w:hAnsiTheme="majorEastAsia" w:eastAsiaTheme="majorEastAsia" w:cstheme="majorEastAsia"/>
          <w:i w:val="0"/>
          <w:iCs w:val="0"/>
          <w:caps w:val="0"/>
          <w:color w:val="auto"/>
          <w:spacing w:val="0"/>
          <w:sz w:val="21"/>
          <w:szCs w:val="21"/>
          <w:highlight w:val="none"/>
        </w:rPr>
        <w:t>2.需落实的政府采购政策：本项目适用政府采购促进中小企业、监狱企业发展、促进残疾人就业、节能环保等有关政策，具体详见采购文件。</w:t>
      </w:r>
      <w:r>
        <w:rPr>
          <w:rFonts w:hint="eastAsia" w:asciiTheme="majorEastAsia" w:hAnsiTheme="majorEastAsia" w:eastAsiaTheme="majorEastAsia" w:cstheme="majorEastAsia"/>
          <w:i w:val="0"/>
          <w:iCs w:val="0"/>
          <w:caps w:val="0"/>
          <w:color w:val="auto"/>
          <w:spacing w:val="0"/>
          <w:sz w:val="21"/>
          <w:szCs w:val="21"/>
          <w:highlight w:val="none"/>
        </w:rPr>
        <w:br w:type="textWrapping"/>
      </w:r>
      <w:r>
        <w:rPr>
          <w:rFonts w:hint="eastAsia" w:asciiTheme="majorEastAsia" w:hAnsiTheme="majorEastAsia" w:eastAsiaTheme="majorEastAsia" w:cstheme="majorEastAsia"/>
          <w:i w:val="0"/>
          <w:iCs w:val="0"/>
          <w:caps w:val="0"/>
          <w:color w:val="auto"/>
          <w:spacing w:val="0"/>
          <w:sz w:val="21"/>
          <w:szCs w:val="21"/>
          <w:highlight w:val="none"/>
        </w:rPr>
        <w:t>3.注意事项：</w:t>
      </w:r>
      <w:r>
        <w:rPr>
          <w:rFonts w:hint="eastAsia" w:asciiTheme="majorEastAsia" w:hAnsiTheme="majorEastAsia" w:eastAsiaTheme="majorEastAsia" w:cstheme="majorEastAsia"/>
          <w:i w:val="0"/>
          <w:iCs w:val="0"/>
          <w:caps w:val="0"/>
          <w:color w:val="auto"/>
          <w:spacing w:val="0"/>
          <w:sz w:val="21"/>
          <w:szCs w:val="21"/>
          <w:highlight w:val="none"/>
        </w:rPr>
        <w:br w:type="textWrapping"/>
      </w:r>
      <w:r>
        <w:rPr>
          <w:rFonts w:hint="eastAsia" w:asciiTheme="majorEastAsia" w:hAnsiTheme="majorEastAsia" w:eastAsiaTheme="majorEastAsia" w:cstheme="majorEastAsia"/>
          <w:i w:val="0"/>
          <w:iCs w:val="0"/>
          <w:caps w:val="0"/>
          <w:color w:val="auto"/>
          <w:spacing w:val="0"/>
          <w:sz w:val="21"/>
          <w:szCs w:val="21"/>
          <w:highlight w:val="none"/>
        </w:rPr>
        <w:t>（1）未进行网上注册并办理数字证书（CA认证）的供应商将无法参与本项目政府采购活动，潜在供应商应当在响应截止时间前，完成广西政府采购云平台上的CA数字证书办理及响应文件的提交。完成CA数字证书办理预计7日左右，建议各供应商抓紧时间办理。</w:t>
      </w:r>
      <w:r>
        <w:rPr>
          <w:rFonts w:hint="eastAsia" w:asciiTheme="majorEastAsia" w:hAnsiTheme="majorEastAsia" w:eastAsiaTheme="majorEastAsia" w:cstheme="majorEastAsia"/>
          <w:i w:val="0"/>
          <w:iCs w:val="0"/>
          <w:caps w:val="0"/>
          <w:color w:val="auto"/>
          <w:spacing w:val="0"/>
          <w:sz w:val="21"/>
          <w:szCs w:val="21"/>
          <w:highlight w:val="none"/>
        </w:rPr>
        <w:br w:type="textWrapping"/>
      </w:r>
      <w:r>
        <w:rPr>
          <w:rFonts w:hint="eastAsia" w:asciiTheme="majorEastAsia" w:hAnsiTheme="majorEastAsia" w:eastAsiaTheme="majorEastAsia" w:cstheme="majorEastAsia"/>
          <w:i w:val="0"/>
          <w:iCs w:val="0"/>
          <w:caps w:val="0"/>
          <w:color w:val="auto"/>
          <w:spacing w:val="0"/>
          <w:sz w:val="21"/>
          <w:szCs w:val="21"/>
          <w:highlight w:val="none"/>
        </w:rPr>
        <w:t>（2）为确保网上操作合法、有效和安全，请供应商确保在电子投标过程中能够对相关数据电文进行加密和使用电子签章，妥善保管CA数字证书并使用有效的CA数字证书参与整个招标活动。</w:t>
      </w:r>
      <w:r>
        <w:rPr>
          <w:rFonts w:hint="eastAsia" w:asciiTheme="majorEastAsia" w:hAnsiTheme="majorEastAsia" w:eastAsiaTheme="majorEastAsia" w:cstheme="majorEastAsia"/>
          <w:i w:val="0"/>
          <w:iCs w:val="0"/>
          <w:caps w:val="0"/>
          <w:color w:val="auto"/>
          <w:spacing w:val="0"/>
          <w:sz w:val="21"/>
          <w:szCs w:val="21"/>
          <w:highlight w:val="none"/>
        </w:rPr>
        <w:br w:type="textWrapping"/>
      </w:r>
      <w:r>
        <w:rPr>
          <w:rFonts w:hint="eastAsia" w:asciiTheme="majorEastAsia" w:hAnsiTheme="majorEastAsia" w:eastAsiaTheme="majorEastAsia" w:cstheme="majorEastAsia"/>
          <w:i w:val="0"/>
          <w:iCs w:val="0"/>
          <w:caps w:val="0"/>
          <w:color w:val="auto"/>
          <w:spacing w:val="0"/>
          <w:sz w:val="21"/>
          <w:szCs w:val="21"/>
          <w:highlight w:val="none"/>
        </w:rPr>
        <w:t>（3）若对项目采购电子交易系统操作有疑问，可登录广西政府采购云平台（https://www.gcy.zfcg.gxzf.gov.cn/），点击右侧咨询小采或帮助文档或拨打客服热线95763</w:t>
      </w:r>
      <w:r>
        <w:rPr>
          <w:rFonts w:hint="eastAsia" w:asciiTheme="majorEastAsia" w:hAnsiTheme="majorEastAsia" w:eastAsiaTheme="majorEastAsia" w:cstheme="majorEastAsia"/>
          <w:i w:val="0"/>
          <w:iCs w:val="0"/>
          <w:caps w:val="0"/>
          <w:color w:val="auto"/>
          <w:spacing w:val="0"/>
          <w:sz w:val="21"/>
          <w:szCs w:val="21"/>
          <w:highlight w:val="none"/>
          <w:lang w:eastAsia="zh-CN"/>
        </w:rPr>
        <w:t>。</w:t>
      </w:r>
      <w:r>
        <w:rPr>
          <w:rFonts w:hint="eastAsia" w:asciiTheme="majorEastAsia" w:hAnsiTheme="majorEastAsia" w:eastAsiaTheme="majorEastAsia" w:cstheme="majorEastAsia"/>
          <w:i w:val="0"/>
          <w:iCs w:val="0"/>
          <w:caps w:val="0"/>
          <w:color w:val="auto"/>
          <w:spacing w:val="0"/>
          <w:sz w:val="21"/>
          <w:szCs w:val="21"/>
          <w:highlight w:val="none"/>
        </w:rPr>
        <w:br w:type="textWrapping"/>
      </w:r>
      <w:r>
        <w:rPr>
          <w:rFonts w:hint="eastAsia" w:asciiTheme="majorEastAsia" w:hAnsiTheme="majorEastAsia" w:eastAsiaTheme="majorEastAsia" w:cstheme="majorEastAsia"/>
          <w:i w:val="0"/>
          <w:iCs w:val="0"/>
          <w:caps w:val="0"/>
          <w:color w:val="auto"/>
          <w:spacing w:val="0"/>
          <w:sz w:val="21"/>
          <w:szCs w:val="21"/>
          <w:highlight w:val="none"/>
        </w:rPr>
        <w:t>4.政府采购监督管理部门：贵港市财政局政府采购监督管理科</w:t>
      </w:r>
      <w:r>
        <w:rPr>
          <w:rFonts w:hint="eastAsia" w:asciiTheme="majorEastAsia" w:hAnsiTheme="majorEastAsia" w:eastAsiaTheme="majorEastAsia" w:cstheme="majorEastAsia"/>
          <w:i w:val="0"/>
          <w:iCs w:val="0"/>
          <w:caps w:val="0"/>
          <w:color w:val="auto"/>
          <w:spacing w:val="0"/>
          <w:sz w:val="21"/>
          <w:szCs w:val="21"/>
          <w:highlight w:val="none"/>
          <w:lang w:eastAsia="zh-CN"/>
        </w:rPr>
        <w:t>，</w:t>
      </w:r>
      <w:r>
        <w:rPr>
          <w:rFonts w:hint="eastAsia" w:asciiTheme="majorEastAsia" w:hAnsiTheme="majorEastAsia" w:eastAsiaTheme="majorEastAsia" w:cstheme="majorEastAsia"/>
          <w:i w:val="0"/>
          <w:iCs w:val="0"/>
          <w:caps w:val="0"/>
          <w:color w:val="auto"/>
          <w:spacing w:val="0"/>
          <w:sz w:val="21"/>
          <w:szCs w:val="21"/>
          <w:highlight w:val="none"/>
        </w:rPr>
        <w:t>电话：0775-4555290，0775-4564649</w:t>
      </w:r>
      <w:r>
        <w:rPr>
          <w:rFonts w:hint="eastAsia" w:asciiTheme="majorEastAsia" w:hAnsiTheme="majorEastAsia" w:eastAsiaTheme="majorEastAsia" w:cstheme="majorEastAsia"/>
          <w:i w:val="0"/>
          <w:iCs w:val="0"/>
          <w:caps w:val="0"/>
          <w:color w:val="auto"/>
          <w:spacing w:val="0"/>
          <w:sz w:val="21"/>
          <w:szCs w:val="21"/>
          <w:highlight w:val="none"/>
          <w:lang w:eastAsia="zh-CN"/>
        </w:rPr>
        <w:t>。</w:t>
      </w:r>
    </w:p>
    <w:p w14:paraId="739456CD">
      <w:pPr>
        <w:pStyle w:val="4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Theme="majorEastAsia" w:hAnsiTheme="majorEastAsia" w:eastAsiaTheme="majorEastAsia" w:cstheme="majorEastAsia"/>
          <w:i w:val="0"/>
          <w:iCs w:val="0"/>
          <w:caps w:val="0"/>
          <w:color w:val="auto"/>
          <w:spacing w:val="0"/>
          <w:sz w:val="21"/>
          <w:szCs w:val="21"/>
          <w:highlight w:val="none"/>
        </w:rPr>
      </w:pPr>
      <w:r>
        <w:rPr>
          <w:rStyle w:val="56"/>
          <w:rFonts w:hint="eastAsia" w:asciiTheme="majorEastAsia" w:hAnsiTheme="majorEastAsia" w:eastAsiaTheme="majorEastAsia" w:cstheme="majorEastAsia"/>
          <w:i w:val="0"/>
          <w:iCs w:val="0"/>
          <w:caps w:val="0"/>
          <w:color w:val="auto"/>
          <w:spacing w:val="0"/>
          <w:sz w:val="21"/>
          <w:szCs w:val="21"/>
          <w:highlight w:val="none"/>
        </w:rPr>
        <w:t>八、凡对本次招标提出询问，请按以下方式联系</w:t>
      </w:r>
    </w:p>
    <w:p w14:paraId="59D11815">
      <w:pPr>
        <w:pStyle w:val="4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iCs w:val="0"/>
          <w:caps w:val="0"/>
          <w:color w:val="auto"/>
          <w:spacing w:val="0"/>
          <w:sz w:val="21"/>
          <w:szCs w:val="21"/>
          <w:highlight w:val="none"/>
        </w:rPr>
        <w:t>1.采购人信息</w:t>
      </w:r>
    </w:p>
    <w:p w14:paraId="775C2569">
      <w:pPr>
        <w:pStyle w:val="4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iCs w:val="0"/>
          <w:caps w:val="0"/>
          <w:color w:val="auto"/>
          <w:spacing w:val="0"/>
          <w:sz w:val="21"/>
          <w:szCs w:val="21"/>
          <w:highlight w:val="none"/>
        </w:rPr>
        <w:t>名    称：贵港市港南区人民法院　 </w:t>
      </w:r>
    </w:p>
    <w:p w14:paraId="417FF253">
      <w:pPr>
        <w:pStyle w:val="4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iCs w:val="0"/>
          <w:caps w:val="0"/>
          <w:color w:val="auto"/>
          <w:spacing w:val="0"/>
          <w:sz w:val="21"/>
          <w:szCs w:val="21"/>
          <w:highlight w:val="none"/>
        </w:rPr>
        <w:t>地    址：贵港市港南区廉石路与西南大道交汇处　 </w:t>
      </w:r>
    </w:p>
    <w:p w14:paraId="470033E0">
      <w:pPr>
        <w:pStyle w:val="4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iCs w:val="0"/>
          <w:caps w:val="0"/>
          <w:color w:val="auto"/>
          <w:spacing w:val="0"/>
          <w:sz w:val="21"/>
          <w:szCs w:val="21"/>
          <w:highlight w:val="none"/>
        </w:rPr>
        <w:t>项目联系人：</w:t>
      </w:r>
      <w:r>
        <w:rPr>
          <w:rFonts w:hint="eastAsia" w:asciiTheme="majorEastAsia" w:hAnsiTheme="majorEastAsia" w:eastAsiaTheme="majorEastAsia" w:cstheme="majorEastAsia"/>
          <w:i w:val="0"/>
          <w:iCs w:val="0"/>
          <w:caps w:val="0"/>
          <w:color w:val="auto"/>
          <w:spacing w:val="0"/>
          <w:sz w:val="21"/>
          <w:szCs w:val="21"/>
          <w:highlight w:val="none"/>
          <w:lang w:val="en-US" w:eastAsia="zh-CN"/>
        </w:rPr>
        <w:t>马</w:t>
      </w:r>
      <w:r>
        <w:rPr>
          <w:rFonts w:hint="eastAsia" w:asciiTheme="majorEastAsia" w:hAnsiTheme="majorEastAsia" w:eastAsiaTheme="majorEastAsia" w:cstheme="majorEastAsia"/>
          <w:i w:val="0"/>
          <w:iCs w:val="0"/>
          <w:caps w:val="0"/>
          <w:color w:val="auto"/>
          <w:spacing w:val="0"/>
          <w:sz w:val="21"/>
          <w:szCs w:val="21"/>
          <w:highlight w:val="none"/>
        </w:rPr>
        <w:t>工 </w:t>
      </w:r>
    </w:p>
    <w:p w14:paraId="1C72EEE1">
      <w:pPr>
        <w:pStyle w:val="4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iCs w:val="0"/>
          <w:caps w:val="0"/>
          <w:color w:val="auto"/>
          <w:spacing w:val="0"/>
          <w:sz w:val="21"/>
          <w:szCs w:val="21"/>
          <w:highlight w:val="none"/>
        </w:rPr>
        <w:t>项目联系方式：0775-</w:t>
      </w:r>
      <w:r>
        <w:rPr>
          <w:rFonts w:hint="eastAsia" w:asciiTheme="majorEastAsia" w:hAnsiTheme="majorEastAsia" w:eastAsiaTheme="majorEastAsia" w:cstheme="majorEastAsia"/>
          <w:i w:val="0"/>
          <w:iCs w:val="0"/>
          <w:caps w:val="0"/>
          <w:color w:val="auto"/>
          <w:spacing w:val="0"/>
          <w:sz w:val="21"/>
          <w:szCs w:val="21"/>
          <w:highlight w:val="none"/>
          <w:lang w:val="en-US" w:eastAsia="zh-CN"/>
        </w:rPr>
        <w:t>4330550</w:t>
      </w:r>
      <w:r>
        <w:rPr>
          <w:rFonts w:hint="eastAsia" w:asciiTheme="majorEastAsia" w:hAnsiTheme="majorEastAsia" w:eastAsiaTheme="majorEastAsia" w:cstheme="majorEastAsia"/>
          <w:i w:val="0"/>
          <w:iCs w:val="0"/>
          <w:caps w:val="0"/>
          <w:color w:val="auto"/>
          <w:spacing w:val="0"/>
          <w:sz w:val="21"/>
          <w:szCs w:val="21"/>
          <w:highlight w:val="none"/>
        </w:rPr>
        <w:t>  </w:t>
      </w:r>
    </w:p>
    <w:p w14:paraId="0B3D9805">
      <w:pPr>
        <w:pStyle w:val="4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iCs w:val="0"/>
          <w:caps w:val="0"/>
          <w:color w:val="auto"/>
          <w:spacing w:val="0"/>
          <w:sz w:val="21"/>
          <w:szCs w:val="21"/>
          <w:highlight w:val="none"/>
        </w:rPr>
        <w:t>   </w:t>
      </w:r>
      <w:r>
        <w:rPr>
          <w:rFonts w:hint="eastAsia" w:asciiTheme="majorEastAsia" w:hAnsiTheme="majorEastAsia" w:eastAsiaTheme="majorEastAsia" w:cstheme="majorEastAsia"/>
          <w:i w:val="0"/>
          <w:iCs w:val="0"/>
          <w:caps w:val="0"/>
          <w:color w:val="auto"/>
          <w:spacing w:val="0"/>
          <w:sz w:val="21"/>
          <w:szCs w:val="21"/>
          <w:highlight w:val="none"/>
        </w:rPr>
        <w:br w:type="textWrapping"/>
      </w:r>
      <w:r>
        <w:rPr>
          <w:rFonts w:hint="eastAsia" w:asciiTheme="majorEastAsia" w:hAnsiTheme="majorEastAsia" w:eastAsiaTheme="majorEastAsia" w:cstheme="majorEastAsia"/>
          <w:i w:val="0"/>
          <w:iCs w:val="0"/>
          <w:caps w:val="0"/>
          <w:color w:val="auto"/>
          <w:spacing w:val="0"/>
          <w:sz w:val="21"/>
          <w:szCs w:val="21"/>
          <w:highlight w:val="none"/>
        </w:rPr>
        <w:t>2.采购代理机构信息</w:t>
      </w:r>
    </w:p>
    <w:p w14:paraId="7ED28163">
      <w:pPr>
        <w:pStyle w:val="4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iCs w:val="0"/>
          <w:caps w:val="0"/>
          <w:color w:val="auto"/>
          <w:spacing w:val="0"/>
          <w:sz w:val="21"/>
          <w:szCs w:val="21"/>
          <w:highlight w:val="none"/>
        </w:rPr>
        <w:t>名    称：广西宁涌工程管理有限公司</w:t>
      </w:r>
    </w:p>
    <w:p w14:paraId="5C8C6751">
      <w:pPr>
        <w:spacing w:line="360" w:lineRule="auto"/>
        <w:rPr>
          <w:rFonts w:hint="eastAsia" w:asciiTheme="majorEastAsia" w:hAnsiTheme="majorEastAsia" w:eastAsiaTheme="majorEastAsia" w:cstheme="majorEastAsia"/>
          <w:i w:val="0"/>
          <w:iCs w:val="0"/>
          <w:caps w:val="0"/>
          <w:color w:val="auto"/>
          <w:spacing w:val="0"/>
          <w:kern w:val="0"/>
          <w:sz w:val="21"/>
          <w:szCs w:val="21"/>
          <w:highlight w:val="none"/>
          <w:lang w:val="en-US" w:eastAsia="zh-CN" w:bidi="ar-SA"/>
        </w:rPr>
      </w:pPr>
      <w:r>
        <w:rPr>
          <w:rFonts w:hint="eastAsia" w:asciiTheme="majorEastAsia" w:hAnsiTheme="majorEastAsia" w:eastAsiaTheme="majorEastAsia" w:cstheme="majorEastAsia"/>
          <w:i w:val="0"/>
          <w:iCs w:val="0"/>
          <w:caps w:val="0"/>
          <w:color w:val="auto"/>
          <w:spacing w:val="0"/>
          <w:sz w:val="21"/>
          <w:szCs w:val="21"/>
          <w:highlight w:val="none"/>
        </w:rPr>
        <w:t>地    址：</w:t>
      </w:r>
      <w:r>
        <w:rPr>
          <w:rFonts w:hint="eastAsia" w:asciiTheme="majorEastAsia" w:hAnsiTheme="majorEastAsia" w:eastAsiaTheme="majorEastAsia" w:cstheme="majorEastAsia"/>
          <w:i w:val="0"/>
          <w:iCs w:val="0"/>
          <w:caps w:val="0"/>
          <w:color w:val="auto"/>
          <w:spacing w:val="0"/>
          <w:kern w:val="0"/>
          <w:sz w:val="21"/>
          <w:szCs w:val="21"/>
          <w:highlight w:val="none"/>
          <w:lang w:val="en-US" w:eastAsia="zh-CN" w:bidi="ar-SA"/>
        </w:rPr>
        <w:t>贵港市港北区荷城路华泰官邸2幢第12层1单元1204号 </w:t>
      </w:r>
    </w:p>
    <w:p w14:paraId="5CE1DD52">
      <w:pPr>
        <w:pStyle w:val="4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iCs w:val="0"/>
          <w:caps w:val="0"/>
          <w:color w:val="auto"/>
          <w:spacing w:val="0"/>
          <w:sz w:val="21"/>
          <w:szCs w:val="21"/>
          <w:highlight w:val="none"/>
        </w:rPr>
        <w:t>项目联系人：</w:t>
      </w:r>
      <w:r>
        <w:rPr>
          <w:rFonts w:hint="eastAsia" w:asciiTheme="majorEastAsia" w:hAnsiTheme="majorEastAsia" w:eastAsiaTheme="majorEastAsia" w:cstheme="majorEastAsia"/>
          <w:i w:val="0"/>
          <w:iCs w:val="0"/>
          <w:caps w:val="0"/>
          <w:color w:val="auto"/>
          <w:spacing w:val="0"/>
          <w:sz w:val="21"/>
          <w:szCs w:val="21"/>
          <w:highlight w:val="none"/>
          <w:lang w:val="en-US" w:eastAsia="zh-CN"/>
        </w:rPr>
        <w:t>梁</w:t>
      </w:r>
      <w:r>
        <w:rPr>
          <w:rFonts w:hint="eastAsia" w:asciiTheme="majorEastAsia" w:hAnsiTheme="majorEastAsia" w:eastAsiaTheme="majorEastAsia" w:cstheme="majorEastAsia"/>
          <w:i w:val="0"/>
          <w:iCs w:val="0"/>
          <w:caps w:val="0"/>
          <w:color w:val="auto"/>
          <w:spacing w:val="0"/>
          <w:sz w:val="21"/>
          <w:szCs w:val="21"/>
          <w:highlight w:val="none"/>
        </w:rPr>
        <w:t>工 </w:t>
      </w:r>
    </w:p>
    <w:p w14:paraId="73B3A374">
      <w:pPr>
        <w:pStyle w:val="4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i w:val="0"/>
          <w:iCs w:val="0"/>
          <w:caps w:val="0"/>
          <w:color w:val="auto"/>
          <w:spacing w:val="0"/>
          <w:sz w:val="21"/>
          <w:szCs w:val="21"/>
          <w:highlight w:val="none"/>
        </w:rPr>
        <w:t>项目联系方式：0775-</w:t>
      </w:r>
      <w:r>
        <w:rPr>
          <w:rFonts w:hint="eastAsia" w:asciiTheme="majorEastAsia" w:hAnsiTheme="majorEastAsia" w:eastAsiaTheme="majorEastAsia" w:cstheme="majorEastAsia"/>
          <w:i w:val="0"/>
          <w:iCs w:val="0"/>
          <w:caps w:val="0"/>
          <w:color w:val="auto"/>
          <w:spacing w:val="0"/>
          <w:sz w:val="21"/>
          <w:szCs w:val="21"/>
          <w:highlight w:val="none"/>
          <w:lang w:val="en-US" w:eastAsia="zh-CN"/>
        </w:rPr>
        <w:t>4250049</w:t>
      </w:r>
    </w:p>
    <w:p w14:paraId="5DB81E1D">
      <w:pPr>
        <w:spacing w:line="312" w:lineRule="auto"/>
        <w:ind w:right="420" w:firstLine="420" w:firstLineChars="200"/>
        <w:rPr>
          <w:color w:val="auto"/>
          <w:kern w:val="0"/>
          <w:szCs w:val="21"/>
          <w:highlight w:val="none"/>
          <w:u w:val="none"/>
        </w:rPr>
      </w:pPr>
      <w:r>
        <w:rPr>
          <w:color w:val="auto"/>
          <w:kern w:val="0"/>
          <w:szCs w:val="21"/>
          <w:highlight w:val="none"/>
          <w:u w:val="none"/>
        </w:rPr>
        <w:t xml:space="preserve">  </w:t>
      </w:r>
    </w:p>
    <w:p w14:paraId="039B42D1">
      <w:pPr>
        <w:spacing w:line="312" w:lineRule="auto"/>
        <w:ind w:firstLine="420" w:firstLineChars="200"/>
        <w:jc w:val="right"/>
        <w:rPr>
          <w:color w:val="auto"/>
          <w:kern w:val="0"/>
          <w:szCs w:val="21"/>
          <w:highlight w:val="none"/>
        </w:rPr>
      </w:pPr>
    </w:p>
    <w:p w14:paraId="35452B8C">
      <w:pPr>
        <w:spacing w:line="312" w:lineRule="auto"/>
        <w:ind w:right="105"/>
        <w:jc w:val="both"/>
        <w:rPr>
          <w:rFonts w:hint="eastAsia"/>
          <w:color w:val="auto"/>
          <w:kern w:val="0"/>
          <w:sz w:val="18"/>
          <w:szCs w:val="18"/>
          <w:highlight w:val="none"/>
        </w:rPr>
      </w:pPr>
    </w:p>
    <w:p w14:paraId="31FB1889">
      <w:pPr>
        <w:rPr>
          <w:color w:val="auto"/>
          <w:highlight w:val="none"/>
        </w:rPr>
      </w:pPr>
    </w:p>
    <w:p w14:paraId="3EC47729">
      <w:pPr>
        <w:rPr>
          <w:rFonts w:ascii="Times New Roman" w:hAnsi="Times New Roman" w:cs="Times New Roman"/>
          <w:color w:val="auto"/>
          <w:sz w:val="32"/>
          <w:szCs w:val="32"/>
          <w:highlight w:val="none"/>
        </w:rPr>
      </w:pPr>
      <w:bookmarkStart w:id="7" w:name="_Toc27466"/>
      <w:r>
        <w:rPr>
          <w:rFonts w:ascii="Times New Roman" w:hAnsi="Times New Roman" w:cs="Times New Roman"/>
          <w:color w:val="auto"/>
          <w:sz w:val="32"/>
          <w:szCs w:val="32"/>
          <w:highlight w:val="none"/>
        </w:rPr>
        <w:br w:type="page"/>
      </w:r>
    </w:p>
    <w:p w14:paraId="1DD2D873">
      <w:pPr>
        <w:pStyle w:val="27"/>
        <w:snapToGrid w:val="0"/>
        <w:spacing w:before="120" w:after="120" w:line="320" w:lineRule="exact"/>
        <w:jc w:val="center"/>
        <w:outlineLvl w:val="0"/>
        <w:rPr>
          <w:rFonts w:ascii="Times New Roman" w:hAnsi="Times New Roman" w:cs="Times New Roman"/>
          <w:color w:val="auto"/>
          <w:sz w:val="32"/>
          <w:szCs w:val="32"/>
          <w:highlight w:val="none"/>
        </w:rPr>
      </w:pPr>
      <w:r>
        <w:rPr>
          <w:rFonts w:ascii="Times New Roman" w:hAnsi="Times New Roman" w:cs="Times New Roman"/>
          <w:color w:val="auto"/>
          <w:sz w:val="32"/>
          <w:szCs w:val="32"/>
          <w:highlight w:val="none"/>
        </w:rPr>
        <w:t>第二章  采购需求</w:t>
      </w:r>
      <w:bookmarkEnd w:id="7"/>
    </w:p>
    <w:p w14:paraId="2D9A36DD">
      <w:pPr>
        <w:spacing w:before="120"/>
        <w:rPr>
          <w:rFonts w:ascii="宋体" w:hAnsi="宋体" w:cs="宋体"/>
          <w:b/>
          <w:bCs/>
          <w:color w:val="auto"/>
          <w:sz w:val="28"/>
          <w:szCs w:val="28"/>
          <w:highlight w:val="none"/>
        </w:rPr>
      </w:pPr>
      <w:bookmarkStart w:id="8" w:name="_Toc254970490"/>
      <w:bookmarkStart w:id="9" w:name="_Toc254970631"/>
    </w:p>
    <w:p w14:paraId="5A7B4B69">
      <w:pPr>
        <w:spacing w:line="360" w:lineRule="auto"/>
        <w:rPr>
          <w:rFonts w:ascii="黑体" w:hAnsi="黑体" w:eastAsia="黑体" w:cs="Arial"/>
          <w:b/>
          <w:color w:val="auto"/>
          <w:kern w:val="0"/>
          <w:sz w:val="28"/>
          <w:szCs w:val="28"/>
          <w:highlight w:val="none"/>
        </w:rPr>
      </w:pPr>
      <w:r>
        <w:rPr>
          <w:rFonts w:ascii="黑体" w:hAnsi="黑体" w:eastAsia="黑体" w:cs="Arial"/>
          <w:b/>
          <w:color w:val="auto"/>
          <w:kern w:val="0"/>
          <w:sz w:val="28"/>
          <w:szCs w:val="28"/>
          <w:highlight w:val="none"/>
        </w:rPr>
        <w:t>一、</w:t>
      </w:r>
      <w:r>
        <w:rPr>
          <w:rFonts w:hint="eastAsia" w:ascii="黑体" w:hAnsi="黑体" w:eastAsia="黑体" w:cs="Arial"/>
          <w:b/>
          <w:color w:val="auto"/>
          <w:kern w:val="0"/>
          <w:sz w:val="28"/>
          <w:szCs w:val="28"/>
          <w:highlight w:val="none"/>
        </w:rPr>
        <w:t>总体</w:t>
      </w:r>
      <w:r>
        <w:rPr>
          <w:rFonts w:ascii="黑体" w:hAnsi="黑体" w:eastAsia="黑体" w:cs="Arial"/>
          <w:b/>
          <w:color w:val="auto"/>
          <w:kern w:val="0"/>
          <w:sz w:val="28"/>
          <w:szCs w:val="28"/>
          <w:highlight w:val="none"/>
        </w:rPr>
        <w:t>要求</w:t>
      </w:r>
    </w:p>
    <w:p w14:paraId="255EB67C">
      <w:pPr>
        <w:spacing w:line="360" w:lineRule="auto"/>
        <w:rPr>
          <w:color w:val="auto"/>
          <w:szCs w:val="21"/>
          <w:highlight w:val="none"/>
        </w:rPr>
      </w:pPr>
      <w:r>
        <w:rPr>
          <w:color w:val="auto"/>
          <w:szCs w:val="21"/>
          <w:highlight w:val="none"/>
        </w:rPr>
        <w:t>1</w:t>
      </w:r>
      <w:r>
        <w:rPr>
          <w:rFonts w:hint="eastAsia"/>
          <w:color w:val="auto"/>
          <w:szCs w:val="21"/>
          <w:highlight w:val="none"/>
        </w:rPr>
        <w:t>.政府采购政策的应用</w:t>
      </w:r>
    </w:p>
    <w:p w14:paraId="67AB628B">
      <w:pPr>
        <w:spacing w:line="360" w:lineRule="auto"/>
        <w:rPr>
          <w:color w:val="auto"/>
          <w:szCs w:val="21"/>
          <w:highlight w:val="none"/>
        </w:rPr>
      </w:pPr>
      <w:r>
        <w:rPr>
          <w:rFonts w:hint="eastAsia"/>
          <w:color w:val="auto"/>
          <w:szCs w:val="21"/>
          <w:highlight w:val="none"/>
        </w:rPr>
        <w:t>详见采购文件“评审方法及标准</w:t>
      </w:r>
      <w:r>
        <w:rPr>
          <w:color w:val="auto"/>
          <w:szCs w:val="21"/>
          <w:highlight w:val="none"/>
        </w:rPr>
        <w:t>/政府采购政策应用说明”。</w:t>
      </w:r>
    </w:p>
    <w:p w14:paraId="017B6F3F">
      <w:pPr>
        <w:spacing w:line="360" w:lineRule="auto"/>
        <w:rPr>
          <w:color w:val="auto"/>
          <w:szCs w:val="21"/>
          <w:highlight w:val="none"/>
        </w:rPr>
      </w:pPr>
      <w:r>
        <w:rPr>
          <w:color w:val="auto"/>
          <w:szCs w:val="21"/>
          <w:highlight w:val="none"/>
        </w:rPr>
        <w:t>2</w:t>
      </w:r>
      <w:r>
        <w:rPr>
          <w:rFonts w:hint="eastAsia"/>
          <w:color w:val="auto"/>
          <w:szCs w:val="21"/>
          <w:highlight w:val="none"/>
        </w:rPr>
        <w:t>.采购需求要求未尽事宜</w:t>
      </w:r>
      <w:r>
        <w:rPr>
          <w:color w:val="auto"/>
          <w:szCs w:val="21"/>
          <w:highlight w:val="none"/>
        </w:rPr>
        <w:t>由</w:t>
      </w:r>
      <w:r>
        <w:rPr>
          <w:rFonts w:hint="eastAsia"/>
          <w:color w:val="auto"/>
          <w:szCs w:val="21"/>
          <w:highlight w:val="none"/>
        </w:rPr>
        <w:t>采购人与成交供应商</w:t>
      </w:r>
      <w:r>
        <w:rPr>
          <w:color w:val="auto"/>
          <w:szCs w:val="21"/>
          <w:highlight w:val="none"/>
        </w:rPr>
        <w:t>在采购合同中约定。</w:t>
      </w:r>
    </w:p>
    <w:p w14:paraId="66E9BA1B">
      <w:pPr>
        <w:spacing w:line="360" w:lineRule="auto"/>
        <w:rPr>
          <w:color w:val="auto"/>
          <w:szCs w:val="21"/>
          <w:highlight w:val="none"/>
        </w:rPr>
      </w:pPr>
      <w:r>
        <w:rPr>
          <w:color w:val="auto"/>
          <w:szCs w:val="21"/>
          <w:highlight w:val="none"/>
        </w:rPr>
        <w:t>3</w:t>
      </w:r>
      <w:r>
        <w:rPr>
          <w:rFonts w:hint="eastAsia"/>
          <w:color w:val="auto"/>
          <w:szCs w:val="21"/>
          <w:highlight w:val="none"/>
        </w:rPr>
        <w:t>.</w:t>
      </w:r>
      <w:r>
        <w:rPr>
          <w:color w:val="auto"/>
          <w:szCs w:val="21"/>
          <w:highlight w:val="none"/>
        </w:rPr>
        <w:t>标注“▲”的条款或要求系指实质性条款或实质性要求，必须满足，如存在负偏离将导致响应被否决。</w:t>
      </w:r>
    </w:p>
    <w:p w14:paraId="74216FF2">
      <w:pPr>
        <w:spacing w:line="360" w:lineRule="auto"/>
        <w:rPr>
          <w:rFonts w:ascii="黑体" w:hAnsi="黑体" w:eastAsia="黑体" w:cs="Arial"/>
          <w:b/>
          <w:color w:val="auto"/>
          <w:kern w:val="0"/>
          <w:sz w:val="28"/>
          <w:szCs w:val="28"/>
          <w:highlight w:val="none"/>
        </w:rPr>
      </w:pPr>
      <w:r>
        <w:rPr>
          <w:rFonts w:hint="eastAsia" w:ascii="黑体" w:hAnsi="黑体" w:eastAsia="黑体" w:cs="Arial"/>
          <w:b/>
          <w:color w:val="auto"/>
          <w:kern w:val="0"/>
          <w:sz w:val="28"/>
          <w:szCs w:val="28"/>
          <w:highlight w:val="none"/>
        </w:rPr>
        <w:t>二、技术要求</w:t>
      </w:r>
    </w:p>
    <w:p w14:paraId="53DC9D9B">
      <w:pPr>
        <w:spacing w:line="360" w:lineRule="auto"/>
        <w:rPr>
          <w:color w:val="auto"/>
          <w:szCs w:val="21"/>
          <w:highlight w:val="none"/>
        </w:rPr>
      </w:pPr>
      <w:r>
        <w:rPr>
          <w:rFonts w:hint="eastAsia"/>
          <w:color w:val="auto"/>
          <w:szCs w:val="21"/>
          <w:highlight w:val="none"/>
        </w:rPr>
        <w:t>1.需实现的功能、目标及应用场景</w:t>
      </w:r>
    </w:p>
    <w:p w14:paraId="737525F3">
      <w:pPr>
        <w:spacing w:line="360" w:lineRule="auto"/>
        <w:rPr>
          <w:color w:val="auto"/>
          <w:szCs w:val="21"/>
          <w:highlight w:val="none"/>
        </w:rPr>
      </w:pPr>
      <w:r>
        <w:rPr>
          <w:rFonts w:hint="eastAsia"/>
          <w:color w:val="auto"/>
          <w:szCs w:val="21"/>
          <w:highlight w:val="none"/>
        </w:rPr>
        <w:t>满足采购文件要求，验收达到合格标准。</w:t>
      </w:r>
    </w:p>
    <w:p w14:paraId="2156AFE8">
      <w:pPr>
        <w:spacing w:line="360" w:lineRule="auto"/>
        <w:rPr>
          <w:color w:val="auto"/>
          <w:szCs w:val="21"/>
          <w:highlight w:val="none"/>
        </w:rPr>
      </w:pPr>
      <w:bookmarkStart w:id="10" w:name="_Hlk89170486"/>
      <w:r>
        <w:rPr>
          <w:color w:val="auto"/>
          <w:szCs w:val="21"/>
          <w:highlight w:val="none"/>
        </w:rPr>
        <w:t>2</w:t>
      </w:r>
      <w:r>
        <w:rPr>
          <w:rFonts w:hint="eastAsia"/>
          <w:color w:val="auto"/>
          <w:szCs w:val="21"/>
          <w:highlight w:val="none"/>
        </w:rPr>
        <w:t>.</w:t>
      </w:r>
      <w:r>
        <w:rPr>
          <w:color w:val="auto"/>
          <w:szCs w:val="21"/>
          <w:highlight w:val="none"/>
        </w:rPr>
        <w:t>需执行的国家相关标准、行业标准、地方标准或者其他标准、规范</w:t>
      </w:r>
    </w:p>
    <w:p w14:paraId="1FC797D7">
      <w:pPr>
        <w:spacing w:line="360" w:lineRule="auto"/>
        <w:rPr>
          <w:i/>
          <w:color w:val="auto"/>
          <w:szCs w:val="21"/>
          <w:highlight w:val="none"/>
          <w:u w:val="single"/>
        </w:rPr>
      </w:pPr>
      <w:r>
        <w:rPr>
          <w:rFonts w:hint="eastAsia"/>
          <w:color w:val="auto"/>
          <w:szCs w:val="21"/>
          <w:highlight w:val="none"/>
        </w:rPr>
        <w:t>本项目应执行的国家相关标准、行业标准、地方标准或者其他标准、规范为：</w:t>
      </w:r>
      <w:r>
        <w:rPr>
          <w:rFonts w:hint="eastAsia"/>
          <w:i/>
          <w:color w:val="auto"/>
          <w:szCs w:val="21"/>
          <w:highlight w:val="none"/>
          <w:u w:val="single"/>
        </w:rPr>
        <w:t>详见技术指标要求</w:t>
      </w:r>
    </w:p>
    <w:bookmarkEnd w:id="10"/>
    <w:p w14:paraId="5E1F9CF4">
      <w:pPr>
        <w:spacing w:line="360" w:lineRule="auto"/>
        <w:rPr>
          <w:rFonts w:hint="eastAsia"/>
          <w:color w:val="auto"/>
          <w:szCs w:val="21"/>
          <w:highlight w:val="none"/>
        </w:rPr>
      </w:pPr>
      <w:r>
        <w:rPr>
          <w:rFonts w:hint="eastAsia"/>
          <w:color w:val="auto"/>
          <w:szCs w:val="21"/>
          <w:highlight w:val="none"/>
          <w:lang w:val="en-US" w:eastAsia="zh-CN"/>
        </w:rPr>
        <w:t>3.</w:t>
      </w:r>
      <w:r>
        <w:rPr>
          <w:rFonts w:hint="eastAsia"/>
          <w:color w:val="auto"/>
          <w:szCs w:val="21"/>
          <w:highlight w:val="none"/>
        </w:rPr>
        <w:t>标的所属行业：</w:t>
      </w:r>
    </w:p>
    <w:p w14:paraId="4B0CD051">
      <w:pPr>
        <w:numPr>
          <w:ilvl w:val="0"/>
          <w:numId w:val="0"/>
        </w:numPr>
        <w:spacing w:line="360" w:lineRule="auto"/>
        <w:rPr>
          <w:b/>
          <w:bCs/>
          <w:color w:val="auto"/>
          <w:sz w:val="40"/>
          <w:szCs w:val="40"/>
          <w:highlight w:val="none"/>
        </w:rPr>
      </w:pPr>
      <w:r>
        <w:rPr>
          <w:rFonts w:hint="eastAsia"/>
          <w:b/>
          <w:bCs/>
          <w:color w:val="auto"/>
          <w:sz w:val="40"/>
          <w:szCs w:val="40"/>
          <w:highlight w:val="none"/>
        </w:rPr>
        <w:t>软件和信息技术服务业</w:t>
      </w:r>
    </w:p>
    <w:p w14:paraId="743E9F96">
      <w:pPr>
        <w:spacing w:line="360" w:lineRule="auto"/>
        <w:rPr>
          <w:color w:val="auto"/>
          <w:szCs w:val="21"/>
          <w:highlight w:val="none"/>
        </w:rPr>
      </w:pPr>
      <w:r>
        <w:rPr>
          <w:color w:val="auto"/>
          <w:szCs w:val="21"/>
          <w:highlight w:val="none"/>
        </w:rPr>
        <w:t>4</w:t>
      </w:r>
      <w:r>
        <w:rPr>
          <w:rFonts w:hint="eastAsia"/>
          <w:color w:val="auto"/>
          <w:szCs w:val="21"/>
          <w:highlight w:val="none"/>
        </w:rPr>
        <w:t>.核心产品</w:t>
      </w:r>
    </w:p>
    <w:p w14:paraId="3762EF00">
      <w:pPr>
        <w:spacing w:line="360" w:lineRule="auto"/>
        <w:rPr>
          <w:color w:val="auto"/>
          <w:szCs w:val="21"/>
          <w:highlight w:val="none"/>
        </w:rPr>
      </w:pPr>
      <w:r>
        <w:rPr>
          <w:rFonts w:hint="eastAsia"/>
          <w:color w:val="auto"/>
          <w:szCs w:val="21"/>
          <w:highlight w:val="none"/>
        </w:rPr>
        <w:t>本项目为服务项目，不适用核心产品规定。</w:t>
      </w:r>
    </w:p>
    <w:p w14:paraId="7FDCDEE1">
      <w:pPr>
        <w:spacing w:line="360" w:lineRule="auto"/>
        <w:rPr>
          <w:rFonts w:hint="eastAsia"/>
          <w:color w:val="auto"/>
          <w:szCs w:val="21"/>
          <w:highlight w:val="none"/>
        </w:rPr>
      </w:pPr>
      <w:r>
        <w:rPr>
          <w:color w:val="auto"/>
          <w:szCs w:val="21"/>
          <w:highlight w:val="none"/>
        </w:rPr>
        <w:t>5</w:t>
      </w:r>
      <w:r>
        <w:rPr>
          <w:rFonts w:hint="eastAsia"/>
          <w:color w:val="auto"/>
          <w:szCs w:val="21"/>
          <w:highlight w:val="none"/>
        </w:rPr>
        <w:t>.服务内容和标准</w:t>
      </w:r>
      <w:bookmarkStart w:id="11" w:name="_Hlk132788047"/>
    </w:p>
    <w:bookmarkEnd w:id="11"/>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5"/>
        <w:gridCol w:w="1350"/>
        <w:gridCol w:w="727"/>
        <w:gridCol w:w="692"/>
        <w:gridCol w:w="6217"/>
      </w:tblGrid>
      <w:tr w14:paraId="41BCC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70249A1F">
            <w:pPr>
              <w:keepNext w:val="0"/>
              <w:keepLines w:val="0"/>
              <w:pageBreakBefore w:val="0"/>
              <w:tabs>
                <w:tab w:val="left" w:pos="180"/>
                <w:tab w:val="left" w:pos="1620"/>
              </w:tabs>
              <w:kinsoku/>
              <w:wordWrap/>
              <w:overflowPunct/>
              <w:topLinePunct w:val="0"/>
              <w:autoSpaceDE w:val="0"/>
              <w:autoSpaceDN w:val="0"/>
              <w:bidi w:val="0"/>
              <w:adjustRightInd w:val="0"/>
              <w:snapToGrid w:val="0"/>
              <w:spacing w:line="360" w:lineRule="auto"/>
              <w:ind w:firstLine="0" w:firstLineChars="0"/>
              <w:jc w:val="center"/>
              <w:rPr>
                <w:rFonts w:hint="eastAsia"/>
                <w:color w:val="auto"/>
                <w:szCs w:val="21"/>
                <w:highlight w:val="none"/>
                <w:vertAlign w:val="baseline"/>
              </w:rPr>
            </w:pPr>
            <w:r>
              <w:rPr>
                <w:rFonts w:hint="eastAsia" w:ascii="宋体" w:hAnsi="宋体" w:cs="宋体"/>
                <w:color w:val="auto"/>
                <w:szCs w:val="21"/>
                <w:highlight w:val="none"/>
              </w:rPr>
              <w:t>序号</w:t>
            </w:r>
          </w:p>
        </w:tc>
        <w:tc>
          <w:tcPr>
            <w:tcW w:w="1350" w:type="dxa"/>
            <w:vAlign w:val="center"/>
          </w:tcPr>
          <w:p w14:paraId="18124F40">
            <w:pPr>
              <w:keepNext w:val="0"/>
              <w:keepLines w:val="0"/>
              <w:pageBreakBefore w:val="0"/>
              <w:tabs>
                <w:tab w:val="left" w:pos="180"/>
                <w:tab w:val="left" w:pos="1620"/>
              </w:tabs>
              <w:kinsoku/>
              <w:wordWrap/>
              <w:overflowPunct/>
              <w:topLinePunct w:val="0"/>
              <w:autoSpaceDE w:val="0"/>
              <w:autoSpaceDN w:val="0"/>
              <w:bidi w:val="0"/>
              <w:adjustRightInd w:val="0"/>
              <w:snapToGrid w:val="0"/>
              <w:spacing w:line="360" w:lineRule="auto"/>
              <w:ind w:firstLine="0" w:firstLineChars="0"/>
              <w:jc w:val="center"/>
              <w:rPr>
                <w:rFonts w:hint="eastAsia"/>
                <w:color w:val="auto"/>
                <w:szCs w:val="21"/>
                <w:highlight w:val="none"/>
                <w:vertAlign w:val="baseline"/>
              </w:rPr>
            </w:pPr>
            <w:r>
              <w:rPr>
                <w:rFonts w:hint="eastAsia" w:ascii="宋体" w:hAnsi="宋体" w:cs="宋体"/>
                <w:color w:val="auto"/>
                <w:szCs w:val="21"/>
                <w:highlight w:val="none"/>
              </w:rPr>
              <w:t>标的名称</w:t>
            </w:r>
          </w:p>
        </w:tc>
        <w:tc>
          <w:tcPr>
            <w:tcW w:w="727" w:type="dxa"/>
            <w:vAlign w:val="center"/>
          </w:tcPr>
          <w:p w14:paraId="4A889AD0">
            <w:pPr>
              <w:keepNext w:val="0"/>
              <w:keepLines w:val="0"/>
              <w:pageBreakBefore w:val="0"/>
              <w:tabs>
                <w:tab w:val="left" w:pos="180"/>
                <w:tab w:val="left" w:pos="1620"/>
              </w:tabs>
              <w:kinsoku/>
              <w:wordWrap/>
              <w:overflowPunct/>
              <w:topLinePunct w:val="0"/>
              <w:autoSpaceDE w:val="0"/>
              <w:autoSpaceDN w:val="0"/>
              <w:bidi w:val="0"/>
              <w:adjustRightInd w:val="0"/>
              <w:snapToGrid w:val="0"/>
              <w:spacing w:line="360" w:lineRule="auto"/>
              <w:ind w:firstLine="0" w:firstLineChars="0"/>
              <w:jc w:val="center"/>
              <w:rPr>
                <w:rFonts w:hint="eastAsia"/>
                <w:color w:val="auto"/>
                <w:szCs w:val="21"/>
                <w:highlight w:val="none"/>
                <w:vertAlign w:val="baseline"/>
              </w:rPr>
            </w:pPr>
            <w:r>
              <w:rPr>
                <w:rFonts w:hint="eastAsia" w:ascii="宋体" w:hAnsi="宋体" w:cs="宋体"/>
                <w:color w:val="auto"/>
                <w:szCs w:val="21"/>
                <w:highlight w:val="none"/>
              </w:rPr>
              <w:t>数量</w:t>
            </w:r>
          </w:p>
        </w:tc>
        <w:tc>
          <w:tcPr>
            <w:tcW w:w="692" w:type="dxa"/>
            <w:vAlign w:val="center"/>
          </w:tcPr>
          <w:p w14:paraId="646D6454">
            <w:pPr>
              <w:keepNext w:val="0"/>
              <w:keepLines w:val="0"/>
              <w:pageBreakBefore w:val="0"/>
              <w:tabs>
                <w:tab w:val="left" w:pos="180"/>
                <w:tab w:val="left" w:pos="1620"/>
              </w:tabs>
              <w:kinsoku/>
              <w:wordWrap/>
              <w:overflowPunct/>
              <w:topLinePunct w:val="0"/>
              <w:autoSpaceDE w:val="0"/>
              <w:autoSpaceDN w:val="0"/>
              <w:bidi w:val="0"/>
              <w:adjustRightInd w:val="0"/>
              <w:snapToGrid w:val="0"/>
              <w:spacing w:line="360" w:lineRule="auto"/>
              <w:ind w:firstLine="0" w:firstLineChars="0"/>
              <w:jc w:val="center"/>
              <w:rPr>
                <w:rFonts w:hint="eastAsia"/>
                <w:color w:val="auto"/>
                <w:szCs w:val="21"/>
                <w:highlight w:val="none"/>
                <w:vertAlign w:val="baseline"/>
              </w:rPr>
            </w:pPr>
            <w:r>
              <w:rPr>
                <w:rFonts w:hint="eastAsia" w:ascii="宋体" w:hAnsi="宋体" w:cs="宋体"/>
                <w:color w:val="auto"/>
                <w:szCs w:val="21"/>
                <w:highlight w:val="none"/>
              </w:rPr>
              <w:t>单位</w:t>
            </w:r>
          </w:p>
        </w:tc>
        <w:tc>
          <w:tcPr>
            <w:tcW w:w="6217" w:type="dxa"/>
            <w:vAlign w:val="center"/>
          </w:tcPr>
          <w:p w14:paraId="221807F3">
            <w:pPr>
              <w:keepNext w:val="0"/>
              <w:keepLines w:val="0"/>
              <w:pageBreakBefore w:val="0"/>
              <w:tabs>
                <w:tab w:val="left" w:pos="180"/>
                <w:tab w:val="left" w:pos="1620"/>
              </w:tabs>
              <w:kinsoku/>
              <w:wordWrap/>
              <w:overflowPunct/>
              <w:topLinePunct w:val="0"/>
              <w:autoSpaceDE w:val="0"/>
              <w:autoSpaceDN w:val="0"/>
              <w:bidi w:val="0"/>
              <w:adjustRightInd w:val="0"/>
              <w:snapToGrid w:val="0"/>
              <w:spacing w:line="360" w:lineRule="auto"/>
              <w:ind w:firstLine="0" w:firstLineChars="0"/>
              <w:jc w:val="center"/>
              <w:rPr>
                <w:rFonts w:hint="default" w:eastAsia="宋体"/>
                <w:color w:val="auto"/>
                <w:szCs w:val="21"/>
                <w:highlight w:val="none"/>
                <w:vertAlign w:val="baseline"/>
                <w:lang w:val="en-US" w:eastAsia="zh-CN"/>
              </w:rPr>
            </w:pPr>
            <w:r>
              <w:rPr>
                <w:rFonts w:hint="eastAsia" w:ascii="宋体" w:hAnsi="宋体" w:cs="宋体"/>
                <w:color w:val="auto"/>
                <w:szCs w:val="21"/>
                <w:highlight w:val="none"/>
                <w:lang w:val="en-US" w:eastAsia="zh-CN"/>
              </w:rPr>
              <w:t>服务需求</w:t>
            </w:r>
          </w:p>
        </w:tc>
      </w:tr>
      <w:tr w14:paraId="0C8A1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5A3C9872">
            <w:pPr>
              <w:keepNext w:val="0"/>
              <w:keepLines w:val="0"/>
              <w:pageBreakBefore w:val="0"/>
              <w:tabs>
                <w:tab w:val="left" w:pos="180"/>
                <w:tab w:val="left" w:pos="1620"/>
              </w:tabs>
              <w:kinsoku/>
              <w:wordWrap/>
              <w:overflowPunct/>
              <w:topLinePunct w:val="0"/>
              <w:autoSpaceDE w:val="0"/>
              <w:autoSpaceDN w:val="0"/>
              <w:bidi w:val="0"/>
              <w:adjustRightInd w:val="0"/>
              <w:snapToGrid w:val="0"/>
              <w:spacing w:line="360" w:lineRule="auto"/>
              <w:ind w:firstLine="0" w:firstLineChars="0"/>
              <w:jc w:val="center"/>
              <w:rPr>
                <w:rFonts w:hint="eastAsia"/>
                <w:color w:val="auto"/>
                <w:sz w:val="21"/>
                <w:szCs w:val="21"/>
                <w:highlight w:val="none"/>
                <w:vertAlign w:val="baseline"/>
              </w:rPr>
            </w:pPr>
            <w:r>
              <w:rPr>
                <w:rFonts w:hint="eastAsia" w:ascii="宋体" w:hAnsi="宋体" w:cs="宋体"/>
                <w:color w:val="auto"/>
                <w:sz w:val="21"/>
                <w:szCs w:val="21"/>
                <w:highlight w:val="none"/>
              </w:rPr>
              <w:t>1</w:t>
            </w:r>
          </w:p>
        </w:tc>
        <w:tc>
          <w:tcPr>
            <w:tcW w:w="1350" w:type="dxa"/>
            <w:vAlign w:val="center"/>
          </w:tcPr>
          <w:p w14:paraId="0CCD3231">
            <w:pPr>
              <w:keepNext w:val="0"/>
              <w:keepLines w:val="0"/>
              <w:pageBreakBefore w:val="0"/>
              <w:widowControl/>
              <w:kinsoku/>
              <w:wordWrap/>
              <w:overflowPunct/>
              <w:topLinePunct w:val="0"/>
              <w:autoSpaceDE w:val="0"/>
              <w:autoSpaceDN w:val="0"/>
              <w:bidi w:val="0"/>
              <w:adjustRightInd w:val="0"/>
              <w:snapToGrid w:val="0"/>
              <w:spacing w:line="360" w:lineRule="auto"/>
              <w:ind w:firstLine="0" w:firstLineChars="0"/>
              <w:textAlignment w:val="center"/>
              <w:rPr>
                <w:rFonts w:hint="eastAsia" w:eastAsia="宋体"/>
                <w:color w:val="auto"/>
                <w:sz w:val="21"/>
                <w:szCs w:val="21"/>
                <w:highlight w:val="none"/>
                <w:vertAlign w:val="baseline"/>
                <w:lang w:eastAsia="zh-CN"/>
              </w:rPr>
            </w:pPr>
            <w:r>
              <w:rPr>
                <w:rFonts w:hint="eastAsia" w:ascii="宋体" w:hAnsi="宋体" w:cs="宋体"/>
                <w:color w:val="auto"/>
                <w:szCs w:val="21"/>
                <w:highlight w:val="none"/>
              </w:rPr>
              <w:t>贵港市港</w:t>
            </w:r>
            <w:r>
              <w:rPr>
                <w:rFonts w:hint="eastAsia" w:ascii="宋体" w:hAnsi="宋体" w:cs="宋体"/>
                <w:color w:val="auto"/>
                <w:szCs w:val="21"/>
                <w:highlight w:val="none"/>
                <w:lang w:val="en-US" w:eastAsia="zh-CN"/>
              </w:rPr>
              <w:t>南</w:t>
            </w:r>
            <w:r>
              <w:rPr>
                <w:rFonts w:hint="eastAsia" w:ascii="宋体" w:hAnsi="宋体" w:cs="宋体"/>
                <w:color w:val="auto"/>
                <w:szCs w:val="21"/>
                <w:highlight w:val="none"/>
              </w:rPr>
              <w:t>区人民法院202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年移动办公办案专用通信服务</w:t>
            </w:r>
          </w:p>
        </w:tc>
        <w:tc>
          <w:tcPr>
            <w:tcW w:w="727" w:type="dxa"/>
            <w:vAlign w:val="center"/>
          </w:tcPr>
          <w:p w14:paraId="2B6BC3C1">
            <w:pPr>
              <w:keepNext w:val="0"/>
              <w:keepLines w:val="0"/>
              <w:pageBreakBefore w:val="0"/>
              <w:tabs>
                <w:tab w:val="left" w:pos="180"/>
                <w:tab w:val="left" w:pos="1620"/>
              </w:tabs>
              <w:kinsoku/>
              <w:wordWrap/>
              <w:overflowPunct/>
              <w:topLinePunct w:val="0"/>
              <w:autoSpaceDE w:val="0"/>
              <w:autoSpaceDN w:val="0"/>
              <w:bidi w:val="0"/>
              <w:adjustRightInd w:val="0"/>
              <w:snapToGrid w:val="0"/>
              <w:spacing w:line="360" w:lineRule="auto"/>
              <w:ind w:firstLine="0" w:firstLineChars="0"/>
              <w:jc w:val="center"/>
              <w:rPr>
                <w:rFonts w:hint="eastAsia"/>
                <w:color w:val="auto"/>
                <w:sz w:val="21"/>
                <w:szCs w:val="21"/>
                <w:highlight w:val="none"/>
                <w:vertAlign w:val="baseline"/>
              </w:rPr>
            </w:pPr>
            <w:r>
              <w:rPr>
                <w:rFonts w:hint="eastAsia" w:ascii="宋体" w:hAnsi="宋体" w:cs="宋体"/>
                <w:i w:val="0"/>
                <w:iCs w:val="0"/>
                <w:color w:val="auto"/>
                <w:kern w:val="0"/>
                <w:sz w:val="21"/>
                <w:szCs w:val="21"/>
                <w:highlight w:val="none"/>
                <w:u w:val="none"/>
                <w:lang w:val="en-US" w:eastAsia="zh-CN" w:bidi="ar"/>
              </w:rPr>
              <w:t>1</w:t>
            </w:r>
          </w:p>
        </w:tc>
        <w:tc>
          <w:tcPr>
            <w:tcW w:w="692" w:type="dxa"/>
            <w:vAlign w:val="center"/>
          </w:tcPr>
          <w:p w14:paraId="2BF52900">
            <w:pPr>
              <w:keepNext w:val="0"/>
              <w:keepLines w:val="0"/>
              <w:pageBreakBefore w:val="0"/>
              <w:tabs>
                <w:tab w:val="left" w:pos="180"/>
                <w:tab w:val="left" w:pos="1620"/>
              </w:tabs>
              <w:kinsoku/>
              <w:wordWrap/>
              <w:overflowPunct/>
              <w:topLinePunct w:val="0"/>
              <w:autoSpaceDE w:val="0"/>
              <w:autoSpaceDN w:val="0"/>
              <w:bidi w:val="0"/>
              <w:adjustRightInd w:val="0"/>
              <w:snapToGrid w:val="0"/>
              <w:spacing w:line="360" w:lineRule="auto"/>
              <w:ind w:firstLine="0" w:firstLineChars="0"/>
              <w:jc w:val="center"/>
              <w:rPr>
                <w:rFonts w:hint="eastAsia" w:eastAsia="宋体"/>
                <w:color w:val="auto"/>
                <w:sz w:val="21"/>
                <w:szCs w:val="21"/>
                <w:highlight w:val="none"/>
                <w:vertAlign w:val="baseline"/>
                <w:lang w:eastAsia="zh-CN"/>
              </w:rPr>
            </w:pPr>
            <w:r>
              <w:rPr>
                <w:rFonts w:hint="eastAsia"/>
                <w:color w:val="auto"/>
                <w:sz w:val="21"/>
                <w:szCs w:val="21"/>
                <w:highlight w:val="none"/>
                <w:vertAlign w:val="baseline"/>
                <w:lang w:val="en-US" w:eastAsia="zh-CN"/>
              </w:rPr>
              <w:t>项</w:t>
            </w:r>
          </w:p>
        </w:tc>
        <w:tc>
          <w:tcPr>
            <w:tcW w:w="6217" w:type="dxa"/>
            <w:vAlign w:val="center"/>
          </w:tcPr>
          <w:p w14:paraId="3A94535F">
            <w:pPr>
              <w:keepNext w:val="0"/>
              <w:keepLines w:val="0"/>
              <w:pageBreakBefore w:val="0"/>
              <w:widowControl/>
              <w:kinsoku/>
              <w:wordWrap/>
              <w:overflowPunct/>
              <w:topLinePunct w:val="0"/>
              <w:autoSpaceDE w:val="0"/>
              <w:autoSpaceDN w:val="0"/>
              <w:bidi w:val="0"/>
              <w:adjustRightInd w:val="0"/>
              <w:snapToGrid w:val="0"/>
              <w:spacing w:line="360" w:lineRule="auto"/>
              <w:ind w:firstLine="0" w:firstLineChars="0"/>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服务主要内容</w:t>
            </w:r>
            <w:r>
              <w:rPr>
                <w:rFonts w:hint="eastAsia" w:ascii="宋体" w:hAnsi="宋体" w:cs="宋体"/>
                <w:color w:val="auto"/>
                <w:szCs w:val="21"/>
                <w:highlight w:val="none"/>
                <w:lang w:eastAsia="zh-CN"/>
              </w:rPr>
              <w:t>：</w:t>
            </w:r>
          </w:p>
          <w:p w14:paraId="3EFB2B97">
            <w:pPr>
              <w:keepNext w:val="0"/>
              <w:keepLines w:val="0"/>
              <w:pageBreakBefore w:val="0"/>
              <w:widowControl/>
              <w:kinsoku/>
              <w:wordWrap/>
              <w:overflowPunct/>
              <w:topLinePunct w:val="0"/>
              <w:autoSpaceDE w:val="0"/>
              <w:autoSpaceDN w:val="0"/>
              <w:bidi w:val="0"/>
              <w:adjustRightInd w:val="0"/>
              <w:snapToGrid w:val="0"/>
              <w:spacing w:line="360" w:lineRule="auto"/>
              <w:ind w:firstLine="0" w:firstLineChars="0"/>
              <w:textAlignment w:val="center"/>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
              </w:rPr>
              <w:t>(</w:t>
            </w:r>
            <w:r>
              <w:rPr>
                <w:rFonts w:hint="eastAsia" w:ascii="宋体" w:hAnsi="宋体" w:eastAsia="宋体" w:cs="宋体"/>
                <w:color w:val="auto"/>
                <w:szCs w:val="21"/>
                <w:highlight w:val="none"/>
                <w:lang w:val="en" w:eastAsia="zh-CN"/>
              </w:rPr>
              <w:t>一</w:t>
            </w:r>
            <w:r>
              <w:rPr>
                <w:rFonts w:hint="default" w:ascii="宋体" w:hAnsi="宋体" w:eastAsia="宋体" w:cs="宋体"/>
                <w:color w:val="auto"/>
                <w:szCs w:val="21"/>
                <w:highlight w:val="none"/>
                <w:lang w:val="en"/>
              </w:rPr>
              <w:t>)</w:t>
            </w:r>
            <w:r>
              <w:rPr>
                <w:rFonts w:hint="default" w:ascii="宋体" w:hAnsi="宋体" w:eastAsia="宋体" w:cs="宋体"/>
                <w:color w:val="auto"/>
                <w:szCs w:val="21"/>
                <w:highlight w:val="none"/>
              </w:rPr>
              <w:t>移动办公办案通信服务：</w:t>
            </w:r>
            <w:r>
              <w:rPr>
                <w:rFonts w:hint="default" w:ascii="宋体" w:hAnsi="宋体" w:eastAsia="宋体" w:cs="宋体"/>
                <w:color w:val="auto"/>
                <w:szCs w:val="21"/>
                <w:highlight w:val="none"/>
                <w:lang w:val="en-US" w:eastAsia="zh-CN"/>
              </w:rPr>
              <w:t>该服务依托我院移动办公办案平台，服务期</w:t>
            </w:r>
            <w:r>
              <w:rPr>
                <w:rFonts w:hint="eastAsia" w:ascii="宋体" w:hAnsi="宋体" w:eastAsia="宋体" w:cs="宋体"/>
                <w:color w:val="auto"/>
                <w:szCs w:val="21"/>
                <w:highlight w:val="none"/>
                <w:lang w:val="en-US" w:eastAsia="zh-CN"/>
              </w:rPr>
              <w:t>36</w:t>
            </w:r>
            <w:r>
              <w:rPr>
                <w:rFonts w:hint="default" w:ascii="宋体" w:hAnsi="宋体" w:eastAsia="宋体" w:cs="宋体"/>
                <w:color w:val="auto"/>
                <w:szCs w:val="21"/>
                <w:highlight w:val="none"/>
                <w:lang w:val="en-US" w:eastAsia="zh-CN"/>
              </w:rPr>
              <w:t>个月，服务期内提供不少于满足</w:t>
            </w:r>
            <w:r>
              <w:rPr>
                <w:rFonts w:hint="eastAsia" w:ascii="宋体" w:hAnsi="宋体" w:eastAsia="宋体" w:cs="宋体"/>
                <w:color w:val="auto"/>
                <w:szCs w:val="21"/>
                <w:highlight w:val="none"/>
                <w:lang w:val="en-US" w:eastAsia="zh-CN"/>
              </w:rPr>
              <w:t>80</w:t>
            </w:r>
            <w:r>
              <w:rPr>
                <w:rFonts w:hint="default" w:ascii="宋体" w:hAnsi="宋体" w:eastAsia="宋体" w:cs="宋体"/>
                <w:color w:val="auto"/>
                <w:szCs w:val="21"/>
                <w:highlight w:val="none"/>
                <w:lang w:val="en-US" w:eastAsia="zh-CN"/>
              </w:rPr>
              <w:t>人使用的移动办公办案5G通信数据流量服务以及配套的技术支撑服务，每人每月不少于120G全国高速定向流量，用于审判执行及相关辅助工作，助力我院打通远程办理法院相关业务，为干警随时随地办公办案提供更高效便利的服务，为公正高效地开展审判执行工作提供通信流量保障。</w:t>
            </w:r>
          </w:p>
          <w:p w14:paraId="2ABF7209">
            <w:pPr>
              <w:keepNext w:val="0"/>
              <w:keepLines w:val="0"/>
              <w:pageBreakBefore w:val="0"/>
              <w:widowControl/>
              <w:kinsoku/>
              <w:wordWrap/>
              <w:overflowPunct/>
              <w:topLinePunct w:val="0"/>
              <w:autoSpaceDE w:val="0"/>
              <w:autoSpaceDN w:val="0"/>
              <w:bidi w:val="0"/>
              <w:adjustRightInd w:val="0"/>
              <w:snapToGrid w:val="0"/>
              <w:spacing w:line="360" w:lineRule="auto"/>
              <w:ind w:firstLine="0" w:firstLineChars="0"/>
              <w:textAlignment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（二）提供定制化移动办公办案运行工具使用服务,移动办公办案服务的运行工具应满足系统全网通安全应用，同时支持法院专用的安全系统以及标准操作系统。 </w:t>
            </w:r>
          </w:p>
          <w:p w14:paraId="7951787B">
            <w:pPr>
              <w:keepNext w:val="0"/>
              <w:keepLines w:val="0"/>
              <w:pageBreakBefore w:val="0"/>
              <w:widowControl/>
              <w:kinsoku/>
              <w:wordWrap/>
              <w:overflowPunct/>
              <w:topLinePunct w:val="0"/>
              <w:autoSpaceDE w:val="0"/>
              <w:autoSpaceDN w:val="0"/>
              <w:bidi w:val="0"/>
              <w:adjustRightInd w:val="0"/>
              <w:snapToGrid w:val="0"/>
              <w:spacing w:line="360" w:lineRule="auto"/>
              <w:ind w:firstLine="0" w:firstLineChars="0"/>
              <w:textAlignment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（三）运行工具操作系统必须承诺支持对我院现有移动办公业务应用的兼容性，交付前我院有权要求成交供应商进行系统软件兼容性适配测试</w:t>
            </w:r>
            <w:r>
              <w:rPr>
                <w:rFonts w:hint="eastAsia" w:ascii="宋体" w:hAnsi="宋体" w:cs="宋体"/>
                <w:color w:val="auto"/>
                <w:szCs w:val="21"/>
                <w:highlight w:val="none"/>
                <w:lang w:val="en-US" w:eastAsia="zh-CN"/>
              </w:rPr>
              <w:t>。</w:t>
            </w:r>
          </w:p>
          <w:p w14:paraId="2E3471D2">
            <w:pPr>
              <w:keepNext w:val="0"/>
              <w:keepLines w:val="0"/>
              <w:pageBreakBefore w:val="0"/>
              <w:widowControl/>
              <w:kinsoku/>
              <w:wordWrap/>
              <w:overflowPunct/>
              <w:topLinePunct w:val="0"/>
              <w:autoSpaceDE w:val="0"/>
              <w:autoSpaceDN w:val="0"/>
              <w:bidi w:val="0"/>
              <w:adjustRightInd w:val="0"/>
              <w:snapToGrid w:val="0"/>
              <w:spacing w:line="360" w:lineRule="auto"/>
              <w:ind w:firstLine="0" w:firstLineChars="0"/>
              <w:textAlignment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（四）运行工具操作系统软件可持续升级，但不能影响移动办公安全接入的权限配置、数据安全和管理策略</w:t>
            </w:r>
            <w:r>
              <w:rPr>
                <w:rFonts w:hint="eastAsia" w:ascii="宋体" w:hAnsi="宋体" w:cs="宋体"/>
                <w:color w:val="auto"/>
                <w:szCs w:val="21"/>
                <w:highlight w:val="none"/>
                <w:lang w:val="en-US" w:eastAsia="zh-CN"/>
              </w:rPr>
              <w:t>。</w:t>
            </w:r>
          </w:p>
          <w:p w14:paraId="5DD408D1">
            <w:pPr>
              <w:keepNext w:val="0"/>
              <w:keepLines w:val="0"/>
              <w:pageBreakBefore w:val="0"/>
              <w:widowControl/>
              <w:kinsoku/>
              <w:wordWrap/>
              <w:overflowPunct/>
              <w:topLinePunct w:val="0"/>
              <w:autoSpaceDE w:val="0"/>
              <w:autoSpaceDN w:val="0"/>
              <w:bidi w:val="0"/>
              <w:adjustRightInd w:val="0"/>
              <w:snapToGrid w:val="0"/>
              <w:spacing w:line="360" w:lineRule="auto"/>
              <w:ind w:firstLine="0" w:firstLineChars="0"/>
              <w:textAlignment w:val="center"/>
              <w:rPr>
                <w:rFonts w:hint="eastAsia"/>
                <w:color w:val="auto"/>
                <w:sz w:val="21"/>
                <w:szCs w:val="21"/>
                <w:highlight w:val="none"/>
                <w:vertAlign w:val="baseline"/>
              </w:rPr>
            </w:pPr>
            <w:r>
              <w:rPr>
                <w:rFonts w:hint="eastAsia" w:ascii="宋体" w:hAnsi="宋体" w:eastAsia="宋体" w:cs="宋体"/>
                <w:color w:val="auto"/>
                <w:szCs w:val="21"/>
                <w:highlight w:val="none"/>
                <w:lang w:val="en-US" w:eastAsia="zh-CN"/>
              </w:rPr>
              <w:t>（五）安全功能服务要求：可基于安全技术实现对通话、文件、视频、讯息等业务数据的加密保护，为日常办公办案工作提供安全高效的通信服务</w:t>
            </w:r>
            <w:r>
              <w:rPr>
                <w:rFonts w:hint="eastAsia" w:ascii="宋体" w:hAnsi="宋体" w:cs="宋体"/>
                <w:color w:val="auto"/>
                <w:szCs w:val="21"/>
                <w:highlight w:val="none"/>
                <w:lang w:val="en-US" w:eastAsia="zh-CN"/>
              </w:rPr>
              <w:t>。</w:t>
            </w:r>
          </w:p>
        </w:tc>
      </w:tr>
    </w:tbl>
    <w:p w14:paraId="5AECAA15">
      <w:pPr>
        <w:keepNext w:val="0"/>
        <w:keepLines w:val="0"/>
        <w:pageBreakBefore w:val="0"/>
        <w:kinsoku/>
        <w:wordWrap/>
        <w:overflowPunct/>
        <w:topLinePunct w:val="0"/>
        <w:bidi w:val="0"/>
        <w:spacing w:line="360" w:lineRule="auto"/>
        <w:rPr>
          <w:rFonts w:hint="eastAsia" w:ascii="黑体" w:hAnsi="黑体" w:eastAsia="黑体" w:cs="Arial"/>
          <w:b/>
          <w:color w:val="auto"/>
          <w:kern w:val="0"/>
          <w:sz w:val="28"/>
          <w:szCs w:val="28"/>
          <w:highlight w:val="none"/>
        </w:rPr>
      </w:pPr>
      <w:r>
        <w:rPr>
          <w:rFonts w:hint="eastAsia" w:ascii="黑体" w:hAnsi="黑体" w:eastAsia="黑体" w:cs="Arial"/>
          <w:b/>
          <w:color w:val="auto"/>
          <w:kern w:val="0"/>
          <w:sz w:val="28"/>
          <w:szCs w:val="28"/>
          <w:highlight w:val="none"/>
        </w:rPr>
        <w:t>三、商务要求</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7"/>
        <w:gridCol w:w="7384"/>
      </w:tblGrid>
      <w:tr w14:paraId="2E17A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7" w:type="dxa"/>
            <w:vAlign w:val="center"/>
          </w:tcPr>
          <w:p w14:paraId="502804F8">
            <w:pPr>
              <w:keepNext w:val="0"/>
              <w:keepLines w:val="0"/>
              <w:pageBreakBefore w:val="0"/>
              <w:kinsoku/>
              <w:wordWrap/>
              <w:overflowPunct/>
              <w:topLinePunct w:val="0"/>
              <w:bidi w:val="0"/>
              <w:spacing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报价要求</w:t>
            </w:r>
          </w:p>
        </w:tc>
        <w:tc>
          <w:tcPr>
            <w:tcW w:w="7384" w:type="dxa"/>
          </w:tcPr>
          <w:p w14:paraId="7B47B5AB">
            <w:pPr>
              <w:keepNext w:val="0"/>
              <w:keepLines w:val="0"/>
              <w:pageBreakBefore w:val="0"/>
              <w:kinsoku/>
              <w:wordWrap/>
              <w:overflowPunct/>
              <w:topLinePunct w:val="0"/>
              <w:bidi w:val="0"/>
              <w:spacing w:line="360" w:lineRule="auto"/>
              <w:rPr>
                <w:color w:val="auto"/>
                <w:highlight w:val="none"/>
              </w:rPr>
            </w:pPr>
            <w:r>
              <w:rPr>
                <w:rFonts w:hint="eastAsia"/>
                <w:color w:val="auto"/>
                <w:szCs w:val="21"/>
                <w:highlight w:val="none"/>
              </w:rPr>
              <w:t>本次报价须为人民币报价，包含调试、技术协助、培训、维修、技术指导</w:t>
            </w:r>
            <w:r>
              <w:rPr>
                <w:rFonts w:hint="eastAsia"/>
                <w:color w:val="auto"/>
                <w:szCs w:val="21"/>
                <w:highlight w:val="none"/>
                <w:lang w:eastAsia="zh-CN"/>
              </w:rPr>
              <w:t>、</w:t>
            </w:r>
            <w:r>
              <w:rPr>
                <w:rFonts w:hint="eastAsia" w:ascii="宋体" w:hAnsi="宋体" w:eastAsia="宋体" w:cs="宋体"/>
                <w:color w:val="auto"/>
                <w:kern w:val="0"/>
                <w:sz w:val="21"/>
                <w:szCs w:val="21"/>
                <w:highlight w:val="none"/>
                <w:u w:val="none"/>
                <w:lang w:val="en-US" w:eastAsia="zh-CN" w:bidi="ar"/>
              </w:rPr>
              <w:t>运维服务费、系统更新升级、</w:t>
            </w:r>
            <w:r>
              <w:rPr>
                <w:rFonts w:hint="eastAsia"/>
                <w:color w:val="auto"/>
                <w:highlight w:val="none"/>
              </w:rPr>
              <w:t>必要的保险费用和各项税金</w:t>
            </w:r>
            <w:r>
              <w:rPr>
                <w:rFonts w:hint="eastAsia"/>
                <w:color w:val="auto"/>
                <w:szCs w:val="21"/>
                <w:highlight w:val="none"/>
              </w:rPr>
              <w:t>等类似服务内容的全部费用。对于本文件中明确列明必须报价的货物或服务，供应商应分别报价。对于本文件中未列明，而供应商认为必需的费用也需列入总报价。在合同实施时，采购人将不予支付成交供应商没有列入的项目费用，并认为此项目的费用已包括在响应总报价中。</w:t>
            </w:r>
          </w:p>
        </w:tc>
      </w:tr>
      <w:tr w14:paraId="5A37A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7" w:type="dxa"/>
            <w:vAlign w:val="center"/>
          </w:tcPr>
          <w:p w14:paraId="4BBA22E3">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u w:val="none"/>
                <w:lang w:val="en-US" w:eastAsia="zh-CN" w:bidi="ar"/>
              </w:rPr>
              <w:t>2.合同签订日期</w:t>
            </w:r>
          </w:p>
        </w:tc>
        <w:tc>
          <w:tcPr>
            <w:tcW w:w="7384" w:type="dxa"/>
          </w:tcPr>
          <w:p w14:paraId="2D6FAF0A">
            <w:pPr>
              <w:keepNext w:val="0"/>
              <w:keepLines w:val="0"/>
              <w:pageBreakBefore w:val="0"/>
              <w:kinsoku/>
              <w:wordWrap/>
              <w:overflowPunct/>
              <w:topLinePunct w:val="0"/>
              <w:bidi w:val="0"/>
              <w:spacing w:line="360" w:lineRule="auto"/>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u w:val="none"/>
                <w:lang w:val="en-US" w:eastAsia="zh-CN" w:bidi="ar"/>
              </w:rPr>
              <w:t>成交通知书发出后25日内。</w:t>
            </w:r>
          </w:p>
        </w:tc>
      </w:tr>
      <w:tr w14:paraId="3C508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7" w:type="dxa"/>
            <w:vAlign w:val="center"/>
          </w:tcPr>
          <w:p w14:paraId="69216F36">
            <w:pPr>
              <w:keepNext w:val="0"/>
              <w:keepLines w:val="0"/>
              <w:pageBreakBefore w:val="0"/>
              <w:kinsoku/>
              <w:wordWrap/>
              <w:overflowPunct/>
              <w:topLinePunct w:val="0"/>
              <w:bidi w:val="0"/>
              <w:spacing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服务期限</w:t>
            </w:r>
          </w:p>
        </w:tc>
        <w:tc>
          <w:tcPr>
            <w:tcW w:w="7384" w:type="dxa"/>
          </w:tcPr>
          <w:p w14:paraId="6DEAA2B3">
            <w:pPr>
              <w:keepNext w:val="0"/>
              <w:keepLines w:val="0"/>
              <w:pageBreakBefore w:val="0"/>
              <w:kinsoku/>
              <w:wordWrap/>
              <w:overflowPunct/>
              <w:topLinePunct w:val="0"/>
              <w:bidi w:val="0"/>
              <w:spacing w:line="360" w:lineRule="auto"/>
              <w:rPr>
                <w:color w:val="auto"/>
                <w:highlight w:val="none"/>
              </w:rPr>
            </w:pPr>
            <w:r>
              <w:rPr>
                <w:rFonts w:hint="eastAsia" w:ascii="宋体" w:hAnsi="宋体" w:cs="宋体"/>
                <w:color w:val="auto"/>
                <w:szCs w:val="21"/>
                <w:highlight w:val="none"/>
                <w:lang w:eastAsia="zh-CN"/>
              </w:rPr>
              <w:t>自合同签订约定开始服务之日起</w:t>
            </w:r>
            <w:r>
              <w:rPr>
                <w:rFonts w:hint="eastAsia" w:ascii="宋体" w:hAnsi="宋体" w:cs="宋体"/>
                <w:color w:val="auto"/>
                <w:szCs w:val="21"/>
                <w:highlight w:val="none"/>
                <w:lang w:val="en-US" w:eastAsia="zh-CN"/>
              </w:rPr>
              <w:t>36</w:t>
            </w:r>
            <w:r>
              <w:rPr>
                <w:rFonts w:hint="eastAsia" w:ascii="宋体" w:hAnsi="宋体" w:cs="宋体"/>
                <w:color w:val="auto"/>
                <w:szCs w:val="21"/>
                <w:highlight w:val="none"/>
                <w:lang w:eastAsia="zh-CN"/>
              </w:rPr>
              <w:t>个月</w:t>
            </w:r>
            <w:r>
              <w:rPr>
                <w:rFonts w:hint="eastAsia" w:ascii="宋体" w:hAnsi="宋体" w:cs="宋体"/>
                <w:color w:val="auto"/>
                <w:szCs w:val="21"/>
                <w:highlight w:val="none"/>
              </w:rPr>
              <w:t>。</w:t>
            </w:r>
          </w:p>
        </w:tc>
      </w:tr>
      <w:tr w14:paraId="2B6A7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7" w:type="dxa"/>
            <w:vAlign w:val="center"/>
          </w:tcPr>
          <w:p w14:paraId="5D6DFE33">
            <w:pPr>
              <w:keepNext w:val="0"/>
              <w:keepLines w:val="0"/>
              <w:pageBreakBefore w:val="0"/>
              <w:kinsoku/>
              <w:wordWrap/>
              <w:overflowPunct/>
              <w:topLinePunct w:val="0"/>
              <w:bidi w:val="0"/>
              <w:spacing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color w:val="auto"/>
                <w:szCs w:val="21"/>
                <w:highlight w:val="none"/>
              </w:rPr>
              <w:t>4.服务地点</w:t>
            </w:r>
          </w:p>
        </w:tc>
        <w:tc>
          <w:tcPr>
            <w:tcW w:w="7384" w:type="dxa"/>
          </w:tcPr>
          <w:p w14:paraId="282091EB">
            <w:pPr>
              <w:keepNext w:val="0"/>
              <w:keepLines w:val="0"/>
              <w:pageBreakBefore w:val="0"/>
              <w:kinsoku/>
              <w:wordWrap/>
              <w:overflowPunct/>
              <w:topLinePunct w:val="0"/>
              <w:bidi w:val="0"/>
              <w:spacing w:line="360" w:lineRule="auto"/>
              <w:rPr>
                <w:color w:val="auto"/>
                <w:highlight w:val="none"/>
              </w:rPr>
            </w:pPr>
            <w:r>
              <w:rPr>
                <w:rFonts w:hint="eastAsia"/>
                <w:color w:val="auto"/>
                <w:kern w:val="0"/>
                <w:szCs w:val="21"/>
                <w:highlight w:val="none"/>
                <w:u w:val="none"/>
                <w:lang w:eastAsia="zh-CN"/>
              </w:rPr>
              <w:t>采购人指定地点。</w:t>
            </w:r>
          </w:p>
        </w:tc>
      </w:tr>
      <w:tr w14:paraId="3F31F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7" w:type="dxa"/>
            <w:vAlign w:val="center"/>
          </w:tcPr>
          <w:p w14:paraId="328F7618">
            <w:pPr>
              <w:keepNext w:val="0"/>
              <w:keepLines w:val="0"/>
              <w:pageBreakBefore w:val="0"/>
              <w:kinsoku/>
              <w:wordWrap/>
              <w:overflowPunct/>
              <w:topLinePunct w:val="0"/>
              <w:bidi w:val="0"/>
              <w:spacing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color w:val="auto"/>
                <w:szCs w:val="21"/>
                <w:highlight w:val="none"/>
              </w:rPr>
              <w:t>5.验收标准</w:t>
            </w:r>
          </w:p>
        </w:tc>
        <w:tc>
          <w:tcPr>
            <w:tcW w:w="7384" w:type="dxa"/>
          </w:tcPr>
          <w:p w14:paraId="1BE47B4B">
            <w:pPr>
              <w:keepNext w:val="0"/>
              <w:keepLines w:val="0"/>
              <w:pageBreakBefore w:val="0"/>
              <w:kinsoku/>
              <w:wordWrap/>
              <w:overflowPunct/>
              <w:topLinePunct w:val="0"/>
              <w:bidi w:val="0"/>
              <w:spacing w:line="360" w:lineRule="auto"/>
              <w:rPr>
                <w:color w:val="auto"/>
                <w:highlight w:val="none"/>
              </w:rPr>
            </w:pPr>
            <w:r>
              <w:rPr>
                <w:rFonts w:hint="eastAsia" w:ascii="宋体" w:hAnsi="宋体" w:cs="宋体"/>
                <w:color w:val="auto"/>
                <w:szCs w:val="21"/>
                <w:highlight w:val="none"/>
              </w:rPr>
              <w:t>验收按相关规定、规范进行。验收时如发现所交付的成果有不符合磋商文件规定之情形者，采购人应做出详尽的现场记录，或由采购人/用户和成交人双方签署备忘录。此现场记录或备忘录可用作补充、缺失和更换的有效证据。由此产生的有关费用由成交人承担。</w:t>
            </w:r>
          </w:p>
        </w:tc>
      </w:tr>
      <w:tr w14:paraId="77BBF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71" w:type="dxa"/>
            <w:gridSpan w:val="2"/>
            <w:vAlign w:val="center"/>
          </w:tcPr>
          <w:p w14:paraId="67C546BC">
            <w:pPr>
              <w:keepNext w:val="0"/>
              <w:keepLines w:val="0"/>
              <w:pageBreakBefore w:val="0"/>
              <w:kinsoku/>
              <w:wordWrap/>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t>6.服务标准、期限、效率</w:t>
            </w:r>
          </w:p>
        </w:tc>
      </w:tr>
      <w:tr w14:paraId="33C67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571" w:type="dxa"/>
            <w:gridSpan w:val="2"/>
            <w:vAlign w:val="center"/>
          </w:tcPr>
          <w:p w14:paraId="3934775E">
            <w:pPr>
              <w:keepNext w:val="0"/>
              <w:keepLines w:val="0"/>
              <w:pageBreakBefore w:val="0"/>
              <w:kinsoku/>
              <w:wordWrap/>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t>6.1成交供应商在</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期内应当为采购人提供以下技术支持和服务：</w:t>
            </w:r>
          </w:p>
        </w:tc>
      </w:tr>
      <w:tr w14:paraId="0DCFA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7" w:type="dxa"/>
            <w:vAlign w:val="center"/>
          </w:tcPr>
          <w:p w14:paraId="21BA760E">
            <w:pPr>
              <w:keepNext w:val="0"/>
              <w:keepLines w:val="0"/>
              <w:pageBreakBefore w:val="0"/>
              <w:kinsoku/>
              <w:wordWrap/>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6.1.1电话咨询</w:t>
            </w:r>
          </w:p>
          <w:p w14:paraId="0C5CB0EC">
            <w:pPr>
              <w:keepNext w:val="0"/>
              <w:keepLines w:val="0"/>
              <w:pageBreakBefore w:val="0"/>
              <w:kinsoku/>
              <w:wordWrap/>
              <w:overflowPunct/>
              <w:topLinePunct w:val="0"/>
              <w:bidi w:val="0"/>
              <w:spacing w:line="360" w:lineRule="auto"/>
              <w:jc w:val="center"/>
              <w:rPr>
                <w:rFonts w:hint="eastAsia" w:ascii="宋体" w:hAnsi="宋体" w:eastAsia="宋体" w:cs="宋体"/>
                <w:b/>
                <w:color w:val="auto"/>
                <w:kern w:val="0"/>
                <w:sz w:val="28"/>
                <w:szCs w:val="28"/>
                <w:highlight w:val="none"/>
              </w:rPr>
            </w:pPr>
          </w:p>
        </w:tc>
        <w:tc>
          <w:tcPr>
            <w:tcW w:w="7384" w:type="dxa"/>
          </w:tcPr>
          <w:p w14:paraId="2F441536">
            <w:pPr>
              <w:keepNext w:val="0"/>
              <w:keepLines w:val="0"/>
              <w:pageBreakBefore w:val="0"/>
              <w:kinsoku/>
              <w:wordWrap/>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t>成交供应商应当为采购人提供技术援助电话，解答采购人在使用中遇到的问题，及时为采购人提出解决问题的建议。</w:t>
            </w:r>
          </w:p>
        </w:tc>
      </w:tr>
      <w:tr w14:paraId="50F66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7" w:type="dxa"/>
            <w:vAlign w:val="center"/>
          </w:tcPr>
          <w:p w14:paraId="4AD4C3D3">
            <w:pPr>
              <w:keepNext w:val="0"/>
              <w:keepLines w:val="0"/>
              <w:pageBreakBefore w:val="0"/>
              <w:kinsoku/>
              <w:wordWrap/>
              <w:overflowPunct/>
              <w:topLinePunct w:val="0"/>
              <w:bidi w:val="0"/>
              <w:spacing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color w:val="auto"/>
                <w:szCs w:val="21"/>
                <w:highlight w:val="none"/>
              </w:rPr>
              <w:t>6.1.2现场响应</w:t>
            </w:r>
          </w:p>
        </w:tc>
        <w:tc>
          <w:tcPr>
            <w:tcW w:w="7384" w:type="dxa"/>
          </w:tcPr>
          <w:p w14:paraId="48263DDB">
            <w:pPr>
              <w:keepNext w:val="0"/>
              <w:keepLines w:val="0"/>
              <w:pageBreakBefore w:val="0"/>
              <w:kinsoku/>
              <w:wordWrap/>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t>采购人遇到使用或技术问题，电话咨询不能解决的，成交供应商应在2小时内到达现场进行处理，到达现场后2小时内排除故障，恢复正常使用。</w:t>
            </w:r>
          </w:p>
        </w:tc>
      </w:tr>
      <w:tr w14:paraId="62A44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7" w:type="dxa"/>
            <w:vAlign w:val="center"/>
          </w:tcPr>
          <w:p w14:paraId="14AF296A">
            <w:pPr>
              <w:keepNext w:val="0"/>
              <w:keepLines w:val="0"/>
              <w:pageBreakBefore w:val="0"/>
              <w:kinsoku/>
              <w:wordWrap/>
              <w:overflowPunct/>
              <w:topLinePunct w:val="0"/>
              <w:bidi w:val="0"/>
              <w:spacing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color w:val="auto"/>
                <w:szCs w:val="21"/>
                <w:highlight w:val="none"/>
              </w:rPr>
              <w:t>6.1.3技术升级</w:t>
            </w:r>
          </w:p>
        </w:tc>
        <w:tc>
          <w:tcPr>
            <w:tcW w:w="7384" w:type="dxa"/>
          </w:tcPr>
          <w:p w14:paraId="39F44820">
            <w:pPr>
              <w:keepNext w:val="0"/>
              <w:keepLines w:val="0"/>
              <w:pageBreakBefore w:val="0"/>
              <w:kinsoku/>
              <w:wordWrap/>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lang w:val="en-US" w:eastAsia="zh-CN"/>
              </w:rPr>
              <w:t>质保</w:t>
            </w:r>
            <w:r>
              <w:rPr>
                <w:rFonts w:hint="eastAsia" w:ascii="宋体" w:hAnsi="宋体" w:eastAsia="宋体" w:cs="宋体"/>
                <w:color w:val="auto"/>
                <w:szCs w:val="21"/>
                <w:highlight w:val="none"/>
              </w:rPr>
              <w:t>期内，如果成交供应商的产品或服务升级，成交供应商应及时通知采购人，如采购人有相应要求，成交供应商应对采购人购买的产品或服务进行升级。</w:t>
            </w:r>
          </w:p>
        </w:tc>
      </w:tr>
      <w:tr w14:paraId="7C44F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7" w:type="dxa"/>
            <w:vAlign w:val="center"/>
          </w:tcPr>
          <w:p w14:paraId="5F0DFFE6">
            <w:pPr>
              <w:keepNext w:val="0"/>
              <w:keepLines w:val="0"/>
              <w:pageBreakBefore w:val="0"/>
              <w:kinsoku/>
              <w:wordWrap/>
              <w:overflowPunct/>
              <w:topLinePunct w:val="0"/>
              <w:bidi w:val="0"/>
              <w:spacing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color w:val="auto"/>
                <w:szCs w:val="21"/>
                <w:highlight w:val="none"/>
              </w:rPr>
              <w:t>7.培训</w:t>
            </w:r>
          </w:p>
        </w:tc>
        <w:tc>
          <w:tcPr>
            <w:tcW w:w="7384" w:type="dxa"/>
          </w:tcPr>
          <w:p w14:paraId="6A1DB6FF">
            <w:pPr>
              <w:keepNext w:val="0"/>
              <w:keepLines w:val="0"/>
              <w:pageBreakBefore w:val="0"/>
              <w:kinsoku/>
              <w:wordWrap/>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t>供应商对其提供</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rPr>
              <w:t>服务应尽培训义务</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供应商应提供对采购人的基本培训，使采购人使用人员熟练掌握所培训内容，熟练掌握全部功能，培训的相关费用包括在</w:t>
            </w:r>
            <w:r>
              <w:rPr>
                <w:rFonts w:hint="eastAsia" w:ascii="宋体" w:hAnsi="宋体" w:eastAsia="宋体" w:cs="宋体"/>
                <w:color w:val="auto"/>
                <w:szCs w:val="21"/>
                <w:highlight w:val="none"/>
                <w:lang w:val="en-US" w:eastAsia="zh-CN"/>
              </w:rPr>
              <w:t>竞标</w:t>
            </w:r>
            <w:r>
              <w:rPr>
                <w:rFonts w:hint="eastAsia" w:ascii="宋体" w:hAnsi="宋体" w:eastAsia="宋体" w:cs="宋体"/>
                <w:color w:val="auto"/>
                <w:szCs w:val="21"/>
                <w:highlight w:val="none"/>
              </w:rPr>
              <w:t>报价中，采购人不再另行支付。</w:t>
            </w:r>
          </w:p>
        </w:tc>
      </w:tr>
      <w:tr w14:paraId="1DF36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7" w:type="dxa"/>
            <w:vAlign w:val="center"/>
          </w:tcPr>
          <w:p w14:paraId="4B37C8FD">
            <w:pPr>
              <w:keepNext w:val="0"/>
              <w:keepLines w:val="0"/>
              <w:pageBreakBefore w:val="0"/>
              <w:kinsoku/>
              <w:wordWrap/>
              <w:overflowPunct/>
              <w:topLinePunct w:val="0"/>
              <w:bidi w:val="0"/>
              <w:spacing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color w:val="auto"/>
                <w:szCs w:val="21"/>
                <w:highlight w:val="none"/>
              </w:rPr>
              <w:t>8.付款方式、时间及条件</w:t>
            </w:r>
          </w:p>
        </w:tc>
        <w:tc>
          <w:tcPr>
            <w:tcW w:w="7384" w:type="dxa"/>
          </w:tcPr>
          <w:p w14:paraId="34AA40BC">
            <w:pPr>
              <w:keepNext w:val="0"/>
              <w:keepLines w:val="0"/>
              <w:pageBreakBefore w:val="0"/>
              <w:kinsoku/>
              <w:wordWrap/>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eastAsia="zh-CN"/>
              </w:rPr>
              <w:t>双方签订采购合同后</w:t>
            </w:r>
            <w:r>
              <w:rPr>
                <w:rFonts w:hint="eastAsia" w:ascii="宋体" w:hAnsi="宋体" w:cs="宋体"/>
                <w:color w:val="auto"/>
                <w:highlight w:val="none"/>
                <w:lang w:val="en-US" w:eastAsia="zh-CN"/>
              </w:rPr>
              <w:t>3</w:t>
            </w:r>
            <w:r>
              <w:rPr>
                <w:rFonts w:hint="eastAsia" w:ascii="宋体" w:hAnsi="宋体" w:eastAsia="宋体" w:cs="宋体"/>
                <w:color w:val="auto"/>
                <w:highlight w:val="none"/>
                <w:lang w:eastAsia="zh-CN"/>
              </w:rPr>
              <w:t>0个工作日内，采购人支付合同金额的30%作为合同预付款；在签订合同时，供应商明确表示无需预付款或者主动要求降低预付款比例的，采购人可不适用前述规定</w:t>
            </w:r>
            <w:r>
              <w:rPr>
                <w:rFonts w:hint="eastAsia" w:ascii="宋体" w:hAnsi="宋体" w:eastAsia="宋体" w:cs="宋体"/>
                <w:i w:val="0"/>
                <w:iCs w:val="0"/>
                <w:color w:val="auto"/>
                <w:kern w:val="0"/>
                <w:sz w:val="21"/>
                <w:szCs w:val="21"/>
                <w:highlight w:val="none"/>
                <w:u w:val="none"/>
                <w:lang w:val="en-US" w:eastAsia="zh-CN" w:bidi="ar"/>
              </w:rPr>
              <w:t>。服务技术设备到货并通过采购人验收合格，服务期满</w:t>
            </w:r>
            <w:r>
              <w:rPr>
                <w:rFonts w:hint="eastAsia" w:ascii="宋体" w:hAnsi="宋体" w:cs="宋体"/>
                <w:i w:val="0"/>
                <w:iCs w:val="0"/>
                <w:color w:val="auto"/>
                <w:kern w:val="0"/>
                <w:sz w:val="21"/>
                <w:szCs w:val="21"/>
                <w:highlight w:val="none"/>
                <w:u w:val="none"/>
                <w:lang w:val="en-US" w:eastAsia="zh-CN" w:bidi="ar"/>
              </w:rPr>
              <w:t>12</w:t>
            </w:r>
            <w:r>
              <w:rPr>
                <w:rFonts w:hint="eastAsia" w:ascii="宋体" w:hAnsi="宋体" w:eastAsia="宋体" w:cs="宋体"/>
                <w:i w:val="0"/>
                <w:iCs w:val="0"/>
                <w:color w:val="auto"/>
                <w:kern w:val="0"/>
                <w:sz w:val="21"/>
                <w:szCs w:val="21"/>
                <w:highlight w:val="none"/>
                <w:u w:val="none"/>
                <w:lang w:val="en-US" w:eastAsia="zh-CN" w:bidi="ar"/>
              </w:rPr>
              <w:t>个月后，支付40%合同款。服务期满</w:t>
            </w:r>
            <w:r>
              <w:rPr>
                <w:rFonts w:hint="eastAsia" w:ascii="宋体" w:hAnsi="宋体" w:cs="宋体"/>
                <w:i w:val="0"/>
                <w:iCs w:val="0"/>
                <w:color w:val="auto"/>
                <w:kern w:val="0"/>
                <w:sz w:val="21"/>
                <w:szCs w:val="21"/>
                <w:highlight w:val="none"/>
                <w:u w:val="none"/>
                <w:lang w:val="en-US" w:eastAsia="zh-CN" w:bidi="ar"/>
              </w:rPr>
              <w:t>24</w:t>
            </w:r>
            <w:r>
              <w:rPr>
                <w:rFonts w:hint="eastAsia" w:ascii="宋体" w:hAnsi="宋体" w:eastAsia="宋体" w:cs="宋体"/>
                <w:i w:val="0"/>
                <w:iCs w:val="0"/>
                <w:color w:val="auto"/>
                <w:kern w:val="0"/>
                <w:sz w:val="21"/>
                <w:szCs w:val="21"/>
                <w:highlight w:val="none"/>
                <w:u w:val="none"/>
                <w:lang w:val="en-US" w:eastAsia="zh-CN" w:bidi="ar"/>
              </w:rPr>
              <w:t>个月后，成交供应商向采购人提请支付剩余的合同款（30%）。</w:t>
            </w:r>
          </w:p>
        </w:tc>
      </w:tr>
      <w:tr w14:paraId="38E42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2187" w:type="dxa"/>
            <w:vAlign w:val="center"/>
          </w:tcPr>
          <w:p w14:paraId="0E117E43">
            <w:pPr>
              <w:keepNext w:val="0"/>
              <w:keepLines w:val="0"/>
              <w:pageBreakBefore w:val="0"/>
              <w:kinsoku/>
              <w:wordWrap/>
              <w:overflowPunct/>
              <w:topLinePunct w:val="0"/>
              <w:bidi w:val="0"/>
              <w:spacing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color w:val="auto"/>
                <w:szCs w:val="21"/>
                <w:highlight w:val="none"/>
              </w:rPr>
              <w:t>9.履约保证金</w:t>
            </w:r>
          </w:p>
        </w:tc>
        <w:tc>
          <w:tcPr>
            <w:tcW w:w="7384" w:type="dxa"/>
          </w:tcPr>
          <w:p w14:paraId="0D47F515">
            <w:pPr>
              <w:keepNext w:val="0"/>
              <w:keepLines w:val="0"/>
              <w:pageBreakBefore w:val="0"/>
              <w:kinsoku/>
              <w:wordWrap/>
              <w:overflowPunct/>
              <w:topLinePunct w:val="0"/>
              <w:bidi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无。</w:t>
            </w:r>
          </w:p>
        </w:tc>
      </w:tr>
      <w:tr w14:paraId="205D4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7" w:type="dxa"/>
            <w:vAlign w:val="center"/>
          </w:tcPr>
          <w:p w14:paraId="5F9CA1F2">
            <w:pPr>
              <w:keepNext w:val="0"/>
              <w:keepLines w:val="0"/>
              <w:pageBreakBefore w:val="0"/>
              <w:kinsoku/>
              <w:wordWrap/>
              <w:overflowPunct/>
              <w:topLinePunct w:val="0"/>
              <w:bidi w:val="0"/>
              <w:spacing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color w:val="auto"/>
                <w:szCs w:val="21"/>
                <w:highlight w:val="none"/>
              </w:rPr>
              <w:t>10.包装和运输要求</w:t>
            </w:r>
          </w:p>
        </w:tc>
        <w:tc>
          <w:tcPr>
            <w:tcW w:w="7384" w:type="dxa"/>
          </w:tcPr>
          <w:p w14:paraId="51C7974A">
            <w:pPr>
              <w:keepNext w:val="0"/>
              <w:keepLines w:val="0"/>
              <w:pageBreakBefore w:val="0"/>
              <w:kinsoku/>
              <w:wordWrap/>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财政部等三部门联合印发商品包装和快递包装政府采购需求标准（试行）》财办库【2020】123号文规定，若响应产品使用塑料、纸质、木质等包装材料时应满足《商品包装政府采购需求标准（试行）》要求，若响应产品需要快递包装，快递封装材料应满足《快递包装政府采购需求标准（试行）》要求。</w:t>
            </w:r>
          </w:p>
          <w:p w14:paraId="4FF6E0C3">
            <w:pPr>
              <w:keepNext w:val="0"/>
              <w:keepLines w:val="0"/>
              <w:pageBreakBefore w:val="0"/>
              <w:kinsoku/>
              <w:wordWrap/>
              <w:overflowPunct/>
              <w:topLinePunct w:val="0"/>
              <w:bidi w:val="0"/>
              <w:spacing w:line="360" w:lineRule="auto"/>
              <w:rPr>
                <w:rFonts w:hint="eastAsia" w:ascii="宋体" w:hAnsi="宋体" w:eastAsia="宋体" w:cs="宋体"/>
                <w:color w:val="auto"/>
                <w:highlight w:val="none"/>
                <w:lang w:eastAsia="zh-CN"/>
              </w:rPr>
            </w:pPr>
            <w:r>
              <w:rPr>
                <w:rFonts w:hint="eastAsia" w:ascii="宋体" w:hAnsi="宋体" w:eastAsia="宋体" w:cs="宋体"/>
                <w:color w:val="auto"/>
                <w:szCs w:val="21"/>
                <w:highlight w:val="none"/>
              </w:rPr>
              <w:t>运输要求详见采购文件合同主要条款格式部分</w:t>
            </w:r>
            <w:r>
              <w:rPr>
                <w:rFonts w:hint="eastAsia" w:ascii="宋体" w:hAnsi="宋体" w:eastAsia="宋体" w:cs="宋体"/>
                <w:color w:val="auto"/>
                <w:szCs w:val="21"/>
                <w:highlight w:val="none"/>
                <w:lang w:eastAsia="zh-CN"/>
              </w:rPr>
              <w:t>。</w:t>
            </w:r>
          </w:p>
        </w:tc>
      </w:tr>
      <w:tr w14:paraId="13D09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1" w:type="dxa"/>
            <w:gridSpan w:val="2"/>
            <w:vAlign w:val="center"/>
          </w:tcPr>
          <w:p w14:paraId="7D8B9658">
            <w:pPr>
              <w:keepNext w:val="0"/>
              <w:keepLines w:val="0"/>
              <w:pageBreakBefore w:val="0"/>
              <w:kinsoku/>
              <w:wordWrap/>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t>11.售后服务</w:t>
            </w:r>
          </w:p>
        </w:tc>
      </w:tr>
      <w:tr w14:paraId="7302F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1" w:type="dxa"/>
            <w:gridSpan w:val="2"/>
            <w:vAlign w:val="center"/>
          </w:tcPr>
          <w:p w14:paraId="16EF063B">
            <w:pPr>
              <w:keepNext w:val="0"/>
              <w:keepLines w:val="0"/>
              <w:pageBreakBefore w:val="0"/>
              <w:kinsoku/>
              <w:wordWrap/>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1使用咨询：提供7*24小时响应用户电话咨询服务，及时响应并解决问题或给出合理的意见与建议，必要情况可上门服务。</w:t>
            </w:r>
          </w:p>
        </w:tc>
      </w:tr>
      <w:tr w14:paraId="1E5F7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1" w:type="dxa"/>
            <w:gridSpan w:val="2"/>
            <w:vAlign w:val="center"/>
          </w:tcPr>
          <w:p w14:paraId="41181700">
            <w:pPr>
              <w:keepNext w:val="0"/>
              <w:keepLines w:val="0"/>
              <w:pageBreakBefore w:val="0"/>
              <w:kinsoku/>
              <w:wordWrap/>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11.2出现故障</w:t>
            </w:r>
            <w:r>
              <w:rPr>
                <w:rFonts w:hint="eastAsia" w:ascii="宋体" w:hAnsi="宋体" w:eastAsia="宋体" w:cs="宋体"/>
                <w:color w:val="auto"/>
                <w:szCs w:val="21"/>
                <w:highlight w:val="none"/>
              </w:rPr>
              <w:t>时，提供原厂的维修服务或零件更换服务，维修检测免费，更换的配件按不高于原厂价格收取。</w:t>
            </w:r>
          </w:p>
        </w:tc>
      </w:tr>
      <w:tr w14:paraId="68858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1" w:type="dxa"/>
            <w:gridSpan w:val="2"/>
            <w:vAlign w:val="center"/>
          </w:tcPr>
          <w:p w14:paraId="61346048">
            <w:pPr>
              <w:keepNext w:val="0"/>
              <w:keepLines w:val="0"/>
              <w:pageBreakBefore w:val="0"/>
              <w:kinsoku/>
              <w:wordWrap/>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完成终端入网登记、号码变更、操作系统补丁的升级和调优工作</w:t>
            </w:r>
          </w:p>
        </w:tc>
      </w:tr>
      <w:tr w14:paraId="781F6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1" w:type="dxa"/>
            <w:gridSpan w:val="2"/>
            <w:vAlign w:val="center"/>
          </w:tcPr>
          <w:p w14:paraId="556D712D">
            <w:pPr>
              <w:keepNext w:val="0"/>
              <w:keepLines w:val="0"/>
              <w:pageBreakBefore w:val="0"/>
              <w:kinsoku/>
              <w:wordWrap/>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4.提供现场培训服务，对</w:t>
            </w:r>
            <w:r>
              <w:rPr>
                <w:rFonts w:hint="eastAsia" w:ascii="宋体" w:hAnsi="宋体" w:eastAsia="宋体" w:cs="宋体"/>
                <w:color w:val="auto"/>
                <w:szCs w:val="21"/>
                <w:highlight w:val="none"/>
                <w:lang w:val="en-US" w:eastAsia="zh-CN"/>
              </w:rPr>
              <w:t>服务内容</w:t>
            </w:r>
            <w:r>
              <w:rPr>
                <w:rFonts w:hint="eastAsia" w:ascii="宋体" w:hAnsi="宋体" w:eastAsia="宋体" w:cs="宋体"/>
                <w:color w:val="auto"/>
                <w:szCs w:val="21"/>
                <w:highlight w:val="none"/>
              </w:rPr>
              <w:t>普及使用的安装调试、使用和维护进行详细的讲解，通过培训使相关技术人员能够对终端进行日常操作、维护、管理、监控；让使用人员熟悉终端安全工作系统的各项应用功能，从而达到工作不误的需求。</w:t>
            </w:r>
          </w:p>
        </w:tc>
      </w:tr>
      <w:tr w14:paraId="67108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7" w:type="dxa"/>
            <w:vAlign w:val="center"/>
          </w:tcPr>
          <w:p w14:paraId="512C25DF">
            <w:pPr>
              <w:keepNext w:val="0"/>
              <w:keepLines w:val="0"/>
              <w:pageBreakBefore w:val="0"/>
              <w:kinsoku/>
              <w:wordWrap/>
              <w:overflowPunct/>
              <w:topLinePunct w:val="0"/>
              <w:bidi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11.5</w:t>
            </w:r>
            <w:r>
              <w:rPr>
                <w:rFonts w:hint="eastAsia" w:ascii="宋体" w:hAnsi="宋体" w:eastAsia="宋体" w:cs="宋体"/>
                <w:color w:val="auto"/>
                <w:szCs w:val="21"/>
                <w:highlight w:val="none"/>
              </w:rPr>
              <w:t>质保期：</w:t>
            </w:r>
          </w:p>
        </w:tc>
        <w:tc>
          <w:tcPr>
            <w:tcW w:w="7384" w:type="dxa"/>
          </w:tcPr>
          <w:p w14:paraId="075A4907">
            <w:pPr>
              <w:keepNext w:val="0"/>
              <w:keepLines w:val="0"/>
              <w:pageBreakBefore w:val="0"/>
              <w:kinsoku/>
              <w:wordWrap/>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提供1年质保服务，在</w:t>
            </w:r>
            <w:r>
              <w:rPr>
                <w:rFonts w:hint="eastAsia" w:ascii="宋体" w:hAnsi="宋体" w:cs="宋体"/>
                <w:color w:val="auto"/>
                <w:szCs w:val="21"/>
                <w:highlight w:val="none"/>
                <w:lang w:val="en-US" w:eastAsia="zh-CN"/>
              </w:rPr>
              <w:t>服务</w:t>
            </w:r>
            <w:r>
              <w:rPr>
                <w:rFonts w:hint="eastAsia" w:ascii="宋体" w:hAnsi="宋体" w:eastAsia="宋体" w:cs="宋体"/>
                <w:color w:val="auto"/>
                <w:szCs w:val="21"/>
                <w:highlight w:val="none"/>
              </w:rPr>
              <w:t>期限内，</w:t>
            </w:r>
            <w:r>
              <w:rPr>
                <w:rFonts w:hint="eastAsia" w:ascii="宋体" w:hAnsi="宋体" w:eastAsia="宋体" w:cs="宋体"/>
                <w:color w:val="auto"/>
                <w:szCs w:val="21"/>
                <w:highlight w:val="none"/>
                <w:lang w:val="en-US" w:eastAsia="zh-CN"/>
              </w:rPr>
              <w:t>成交供应商</w:t>
            </w:r>
            <w:r>
              <w:rPr>
                <w:rFonts w:hint="eastAsia" w:ascii="宋体" w:hAnsi="宋体" w:eastAsia="宋体" w:cs="宋体"/>
                <w:color w:val="auto"/>
                <w:szCs w:val="21"/>
                <w:highlight w:val="none"/>
              </w:rPr>
              <w:t>严格遵守</w:t>
            </w:r>
            <w:r>
              <w:rPr>
                <w:rFonts w:hint="eastAsia" w:ascii="宋体" w:hAnsi="宋体" w:eastAsia="宋体" w:cs="宋体"/>
                <w:color w:val="auto"/>
                <w:szCs w:val="21"/>
                <w:highlight w:val="none"/>
                <w:lang w:eastAsia="zh-CN"/>
              </w:rPr>
              <w:t>相关规定条例</w:t>
            </w:r>
            <w:r>
              <w:rPr>
                <w:rFonts w:hint="eastAsia" w:ascii="宋体" w:hAnsi="宋体" w:eastAsia="宋体" w:cs="宋体"/>
                <w:color w:val="auto"/>
                <w:szCs w:val="21"/>
                <w:highlight w:val="none"/>
              </w:rPr>
              <w:t>，维护双方权益，保证采购人</w:t>
            </w:r>
            <w:r>
              <w:rPr>
                <w:rFonts w:hint="eastAsia" w:ascii="宋体" w:hAnsi="宋体" w:cs="宋体"/>
                <w:color w:val="auto"/>
                <w:szCs w:val="21"/>
                <w:highlight w:val="none"/>
                <w:lang w:val="en-US" w:eastAsia="zh-CN"/>
              </w:rPr>
              <w:t>通信</w:t>
            </w:r>
            <w:r>
              <w:rPr>
                <w:rFonts w:hint="eastAsia" w:ascii="宋体" w:hAnsi="宋体" w:eastAsia="宋体" w:cs="宋体"/>
                <w:color w:val="auto"/>
                <w:szCs w:val="21"/>
                <w:highlight w:val="none"/>
              </w:rPr>
              <w:t>畅通及安全。使用所有货物均要求是原厂新品，按国家有关产品“三包”规定执行“三包”。在质保期内设备运行发生故障，</w:t>
            </w:r>
            <w:r>
              <w:rPr>
                <w:rFonts w:hint="eastAsia" w:ascii="宋体" w:hAnsi="宋体" w:eastAsia="宋体" w:cs="宋体"/>
                <w:color w:val="auto"/>
                <w:szCs w:val="21"/>
                <w:highlight w:val="none"/>
                <w:lang w:val="en-US" w:eastAsia="zh-CN"/>
              </w:rPr>
              <w:t>成交供应商</w:t>
            </w:r>
            <w:r>
              <w:rPr>
                <w:rFonts w:hint="eastAsia" w:ascii="宋体" w:hAnsi="宋体" w:eastAsia="宋体" w:cs="宋体"/>
                <w:color w:val="auto"/>
                <w:szCs w:val="21"/>
                <w:highlight w:val="none"/>
              </w:rPr>
              <w:t>必须免费提供维修服务。</w:t>
            </w:r>
          </w:p>
        </w:tc>
      </w:tr>
      <w:tr w14:paraId="720F8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7" w:type="dxa"/>
            <w:vAlign w:val="center"/>
          </w:tcPr>
          <w:p w14:paraId="3441E535">
            <w:pPr>
              <w:keepNext w:val="0"/>
              <w:keepLines w:val="0"/>
              <w:pageBreakBefore w:val="0"/>
              <w:kinsoku/>
              <w:wordWrap/>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12.保险</w:t>
            </w:r>
          </w:p>
          <w:p w14:paraId="5E22916C">
            <w:pPr>
              <w:keepNext w:val="0"/>
              <w:keepLines w:val="0"/>
              <w:pageBreakBefore w:val="0"/>
              <w:kinsoku/>
              <w:wordWrap/>
              <w:overflowPunct/>
              <w:topLinePunct w:val="0"/>
              <w:bidi w:val="0"/>
              <w:spacing w:line="360" w:lineRule="auto"/>
              <w:jc w:val="center"/>
              <w:rPr>
                <w:rFonts w:hint="eastAsia" w:ascii="宋体" w:hAnsi="宋体" w:eastAsia="宋体" w:cs="宋体"/>
                <w:color w:val="auto"/>
                <w:szCs w:val="21"/>
                <w:highlight w:val="none"/>
              </w:rPr>
            </w:pPr>
          </w:p>
        </w:tc>
        <w:tc>
          <w:tcPr>
            <w:tcW w:w="7384" w:type="dxa"/>
          </w:tcPr>
          <w:p w14:paraId="50BFEC8A">
            <w:pPr>
              <w:keepNext w:val="0"/>
              <w:keepLines w:val="0"/>
              <w:pageBreakBefore w:val="0"/>
              <w:kinsoku/>
              <w:wordWrap/>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t>供应商负责办理运输和保险，将货物运抵交货地点。与运输、保险相关的费用由供应商承担。</w:t>
            </w:r>
          </w:p>
        </w:tc>
      </w:tr>
      <w:tr w14:paraId="08C95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9571" w:type="dxa"/>
            <w:gridSpan w:val="2"/>
            <w:vAlign w:val="center"/>
          </w:tcPr>
          <w:p w14:paraId="3ABE179F">
            <w:pPr>
              <w:keepNext w:val="0"/>
              <w:keepLines w:val="0"/>
              <w:pageBreakBefore w:val="0"/>
              <w:kinsoku/>
              <w:wordWrap/>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b/>
                <w:color w:val="auto"/>
                <w:kern w:val="0"/>
                <w:sz w:val="28"/>
                <w:szCs w:val="28"/>
                <w:highlight w:val="none"/>
              </w:rPr>
              <w:t>四、其他要求</w:t>
            </w:r>
          </w:p>
        </w:tc>
      </w:tr>
      <w:tr w14:paraId="503E3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1" w:type="dxa"/>
            <w:gridSpan w:val="2"/>
            <w:vAlign w:val="center"/>
          </w:tcPr>
          <w:p w14:paraId="3E36E6EB">
            <w:pPr>
              <w:keepNext w:val="0"/>
              <w:keepLines w:val="0"/>
              <w:pageBreakBefore w:val="0"/>
              <w:kinsoku/>
              <w:wordWrap/>
              <w:overflowPunct/>
              <w:topLinePunct w:val="0"/>
              <w:bidi w:val="0"/>
              <w:spacing w:line="360" w:lineRule="auto"/>
              <w:ind w:left="-2"/>
              <w:rPr>
                <w:rFonts w:hint="eastAsia" w:ascii="宋体" w:hAnsi="宋体" w:eastAsia="宋体" w:cs="宋体"/>
                <w:color w:val="auto"/>
                <w:highlight w:val="none"/>
              </w:rPr>
            </w:pPr>
            <w:r>
              <w:rPr>
                <w:rFonts w:hint="eastAsia" w:ascii="宋体" w:hAnsi="宋体" w:eastAsia="宋体" w:cs="宋体"/>
                <w:b/>
                <w:bCs/>
                <w:color w:val="auto"/>
                <w:szCs w:val="21"/>
                <w:highlight w:val="none"/>
              </w:rPr>
              <w:t>供应商应按根据项目需求结合自身</w:t>
            </w:r>
            <w:r>
              <w:rPr>
                <w:rFonts w:hint="eastAsia" w:ascii="宋体" w:hAnsi="宋体" w:eastAsia="宋体" w:cs="宋体"/>
                <w:b/>
                <w:bCs/>
                <w:i w:val="0"/>
                <w:iCs w:val="0"/>
                <w:color w:val="auto"/>
                <w:kern w:val="0"/>
                <w:sz w:val="21"/>
                <w:szCs w:val="21"/>
                <w:highlight w:val="none"/>
                <w:u w:val="none"/>
                <w:lang w:val="en-US" w:eastAsia="zh-CN" w:bidi="ar"/>
              </w:rPr>
              <w:t>情况撰写服务实施方案内容包含但不限于：技术方案、实施方案、售后服务方案、应急方案、运行维护方案、增值服务承诺</w:t>
            </w:r>
            <w:r>
              <w:rPr>
                <w:rFonts w:hint="eastAsia" w:ascii="宋体" w:hAnsi="宋体" w:eastAsia="宋体" w:cs="宋体"/>
                <w:b/>
                <w:bCs/>
                <w:color w:val="auto"/>
                <w:szCs w:val="21"/>
                <w:highlight w:val="none"/>
              </w:rPr>
              <w:t>等。</w:t>
            </w:r>
          </w:p>
        </w:tc>
      </w:tr>
    </w:tbl>
    <w:p w14:paraId="1EA43A24">
      <w:pPr>
        <w:spacing w:line="360" w:lineRule="auto"/>
        <w:rPr>
          <w:rFonts w:hint="eastAsia" w:ascii="黑体" w:hAnsi="黑体" w:eastAsia="黑体" w:cs="Arial"/>
          <w:b/>
          <w:color w:val="auto"/>
          <w:kern w:val="0"/>
          <w:sz w:val="28"/>
          <w:szCs w:val="28"/>
          <w:highlight w:val="none"/>
        </w:rPr>
      </w:pPr>
    </w:p>
    <w:p w14:paraId="1D81A9BD">
      <w:pPr>
        <w:spacing w:line="528" w:lineRule="exact"/>
        <w:rPr>
          <w:color w:val="auto"/>
          <w:sz w:val="28"/>
          <w:szCs w:val="28"/>
          <w:highlight w:val="none"/>
        </w:rPr>
      </w:pPr>
      <w:r>
        <w:rPr>
          <w:rFonts w:hint="eastAsia"/>
          <w:color w:val="auto"/>
          <w:sz w:val="28"/>
          <w:szCs w:val="28"/>
          <w:highlight w:val="none"/>
        </w:rPr>
        <w:t xml:space="preserve">附件1： </w:t>
      </w:r>
      <w:r>
        <w:rPr>
          <w:color w:val="auto"/>
          <w:sz w:val="28"/>
          <w:szCs w:val="28"/>
          <w:highlight w:val="none"/>
        </w:rPr>
        <w:t xml:space="preserve">               </w:t>
      </w:r>
    </w:p>
    <w:p w14:paraId="026DCAFA">
      <w:pPr>
        <w:spacing w:line="528" w:lineRule="exact"/>
        <w:ind w:firstLine="280" w:firstLineChars="100"/>
        <w:jc w:val="center"/>
        <w:rPr>
          <w:color w:val="auto"/>
          <w:sz w:val="28"/>
          <w:szCs w:val="28"/>
          <w:highlight w:val="none"/>
        </w:rPr>
      </w:pPr>
      <w:r>
        <w:rPr>
          <w:rFonts w:hint="eastAsia"/>
          <w:color w:val="auto"/>
          <w:sz w:val="28"/>
          <w:szCs w:val="28"/>
          <w:highlight w:val="none"/>
        </w:rPr>
        <w:t>中小微企业划型标准</w:t>
      </w:r>
    </w:p>
    <w:tbl>
      <w:tblPr>
        <w:tblStyle w:val="53"/>
        <w:tblW w:w="9437" w:type="dxa"/>
        <w:tblInd w:w="0" w:type="dxa"/>
        <w:tblLayout w:type="fixed"/>
        <w:tblCellMar>
          <w:top w:w="0" w:type="dxa"/>
          <w:left w:w="108" w:type="dxa"/>
          <w:bottom w:w="0" w:type="dxa"/>
          <w:right w:w="108" w:type="dxa"/>
        </w:tblCellMar>
      </w:tblPr>
      <w:tblGrid>
        <w:gridCol w:w="1696"/>
        <w:gridCol w:w="1701"/>
        <w:gridCol w:w="1134"/>
        <w:gridCol w:w="1846"/>
        <w:gridCol w:w="1570"/>
        <w:gridCol w:w="1490"/>
      </w:tblGrid>
      <w:tr w14:paraId="35E0A09D">
        <w:tblPrEx>
          <w:tblCellMar>
            <w:top w:w="0" w:type="dxa"/>
            <w:left w:w="108" w:type="dxa"/>
            <w:bottom w:w="0" w:type="dxa"/>
            <w:right w:w="108" w:type="dxa"/>
          </w:tblCellMar>
        </w:tblPrEx>
        <w:trPr>
          <w:trHeight w:val="279" w:hRule="atLeast"/>
        </w:trPr>
        <w:tc>
          <w:tcPr>
            <w:tcW w:w="1696" w:type="dxa"/>
            <w:tcBorders>
              <w:top w:val="single" w:color="auto" w:sz="4" w:space="0"/>
              <w:left w:val="single" w:color="auto" w:sz="4" w:space="0"/>
              <w:bottom w:val="single" w:color="auto" w:sz="4" w:space="0"/>
              <w:right w:val="single" w:color="auto" w:sz="4" w:space="0"/>
            </w:tcBorders>
            <w:noWrap w:val="0"/>
            <w:vAlign w:val="center"/>
          </w:tcPr>
          <w:p w14:paraId="2B241B13">
            <w:pPr>
              <w:widowControl/>
              <w:jc w:val="left"/>
              <w:rPr>
                <w:color w:val="auto"/>
                <w:szCs w:val="21"/>
                <w:highlight w:val="none"/>
              </w:rPr>
            </w:pPr>
            <w:r>
              <w:rPr>
                <w:rFonts w:hint="eastAsia"/>
                <w:color w:val="auto"/>
                <w:szCs w:val="21"/>
                <w:highlight w:val="none"/>
              </w:rPr>
              <w:t>行业名称</w:t>
            </w:r>
          </w:p>
        </w:tc>
        <w:tc>
          <w:tcPr>
            <w:tcW w:w="1701" w:type="dxa"/>
            <w:tcBorders>
              <w:top w:val="single" w:color="auto" w:sz="4" w:space="0"/>
              <w:left w:val="nil"/>
              <w:bottom w:val="single" w:color="auto" w:sz="4" w:space="0"/>
              <w:right w:val="single" w:color="auto" w:sz="4" w:space="0"/>
            </w:tcBorders>
            <w:noWrap w:val="0"/>
            <w:vAlign w:val="center"/>
          </w:tcPr>
          <w:p w14:paraId="59F91968">
            <w:pPr>
              <w:widowControl/>
              <w:jc w:val="left"/>
              <w:rPr>
                <w:color w:val="auto"/>
                <w:szCs w:val="21"/>
                <w:highlight w:val="none"/>
              </w:rPr>
            </w:pPr>
            <w:r>
              <w:rPr>
                <w:rFonts w:hint="eastAsia"/>
                <w:color w:val="auto"/>
                <w:szCs w:val="21"/>
                <w:highlight w:val="none"/>
              </w:rPr>
              <w:t>指标名称</w:t>
            </w:r>
          </w:p>
        </w:tc>
        <w:tc>
          <w:tcPr>
            <w:tcW w:w="1134" w:type="dxa"/>
            <w:tcBorders>
              <w:top w:val="single" w:color="auto" w:sz="4" w:space="0"/>
              <w:left w:val="nil"/>
              <w:bottom w:val="single" w:color="auto" w:sz="4" w:space="0"/>
              <w:right w:val="single" w:color="auto" w:sz="4" w:space="0"/>
            </w:tcBorders>
            <w:noWrap w:val="0"/>
            <w:vAlign w:val="center"/>
          </w:tcPr>
          <w:p w14:paraId="5363BA8B">
            <w:pPr>
              <w:widowControl/>
              <w:jc w:val="center"/>
              <w:rPr>
                <w:color w:val="auto"/>
                <w:szCs w:val="21"/>
                <w:highlight w:val="none"/>
              </w:rPr>
            </w:pPr>
            <w:r>
              <w:rPr>
                <w:rFonts w:hint="eastAsia"/>
                <w:color w:val="auto"/>
                <w:szCs w:val="21"/>
                <w:highlight w:val="none"/>
              </w:rPr>
              <w:t>计量单位</w:t>
            </w:r>
          </w:p>
        </w:tc>
        <w:tc>
          <w:tcPr>
            <w:tcW w:w="1846" w:type="dxa"/>
            <w:tcBorders>
              <w:top w:val="single" w:color="auto" w:sz="4" w:space="0"/>
              <w:left w:val="nil"/>
              <w:bottom w:val="single" w:color="auto" w:sz="4" w:space="0"/>
              <w:right w:val="single" w:color="auto" w:sz="4" w:space="0"/>
            </w:tcBorders>
            <w:noWrap w:val="0"/>
            <w:vAlign w:val="center"/>
          </w:tcPr>
          <w:p w14:paraId="57B4F03E">
            <w:pPr>
              <w:widowControl/>
              <w:jc w:val="left"/>
              <w:rPr>
                <w:color w:val="auto"/>
                <w:szCs w:val="21"/>
                <w:highlight w:val="none"/>
              </w:rPr>
            </w:pPr>
            <w:r>
              <w:rPr>
                <w:rFonts w:hint="eastAsia"/>
                <w:color w:val="auto"/>
                <w:szCs w:val="21"/>
                <w:highlight w:val="none"/>
              </w:rPr>
              <w:t>中型</w:t>
            </w:r>
          </w:p>
        </w:tc>
        <w:tc>
          <w:tcPr>
            <w:tcW w:w="1570" w:type="dxa"/>
            <w:tcBorders>
              <w:top w:val="single" w:color="auto" w:sz="4" w:space="0"/>
              <w:left w:val="nil"/>
              <w:bottom w:val="single" w:color="auto" w:sz="4" w:space="0"/>
              <w:right w:val="single" w:color="auto" w:sz="4" w:space="0"/>
            </w:tcBorders>
            <w:noWrap w:val="0"/>
            <w:vAlign w:val="center"/>
          </w:tcPr>
          <w:p w14:paraId="1C8CCDA8">
            <w:pPr>
              <w:widowControl/>
              <w:jc w:val="left"/>
              <w:rPr>
                <w:color w:val="auto"/>
                <w:szCs w:val="21"/>
                <w:highlight w:val="none"/>
              </w:rPr>
            </w:pPr>
            <w:r>
              <w:rPr>
                <w:rFonts w:hint="eastAsia"/>
                <w:color w:val="auto"/>
                <w:szCs w:val="21"/>
                <w:highlight w:val="none"/>
              </w:rPr>
              <w:t>小型</w:t>
            </w:r>
          </w:p>
        </w:tc>
        <w:tc>
          <w:tcPr>
            <w:tcW w:w="1490" w:type="dxa"/>
            <w:tcBorders>
              <w:top w:val="single" w:color="auto" w:sz="4" w:space="0"/>
              <w:left w:val="nil"/>
              <w:bottom w:val="single" w:color="auto" w:sz="4" w:space="0"/>
              <w:right w:val="single" w:color="auto" w:sz="4" w:space="0"/>
            </w:tcBorders>
            <w:noWrap w:val="0"/>
            <w:vAlign w:val="center"/>
          </w:tcPr>
          <w:p w14:paraId="483CFD8E">
            <w:pPr>
              <w:widowControl/>
              <w:jc w:val="left"/>
              <w:rPr>
                <w:color w:val="auto"/>
                <w:szCs w:val="21"/>
                <w:highlight w:val="none"/>
              </w:rPr>
            </w:pPr>
            <w:r>
              <w:rPr>
                <w:rFonts w:hint="eastAsia"/>
                <w:color w:val="auto"/>
                <w:szCs w:val="21"/>
                <w:highlight w:val="none"/>
              </w:rPr>
              <w:t>微型</w:t>
            </w:r>
          </w:p>
        </w:tc>
      </w:tr>
      <w:tr w14:paraId="28A336DD">
        <w:tblPrEx>
          <w:tblCellMar>
            <w:top w:w="0" w:type="dxa"/>
            <w:left w:w="108" w:type="dxa"/>
            <w:bottom w:w="0" w:type="dxa"/>
            <w:right w:w="108" w:type="dxa"/>
          </w:tblCellMar>
        </w:tblPrEx>
        <w:trPr>
          <w:trHeight w:val="220" w:hRule="atLeast"/>
        </w:trPr>
        <w:tc>
          <w:tcPr>
            <w:tcW w:w="1696" w:type="dxa"/>
            <w:tcBorders>
              <w:top w:val="nil"/>
              <w:left w:val="single" w:color="auto" w:sz="4" w:space="0"/>
              <w:bottom w:val="single" w:color="auto" w:sz="4" w:space="0"/>
              <w:right w:val="single" w:color="auto" w:sz="4" w:space="0"/>
            </w:tcBorders>
            <w:noWrap w:val="0"/>
            <w:vAlign w:val="bottom"/>
          </w:tcPr>
          <w:p w14:paraId="448FA47A">
            <w:pPr>
              <w:widowControl/>
              <w:jc w:val="center"/>
              <w:rPr>
                <w:color w:val="auto"/>
                <w:szCs w:val="21"/>
                <w:highlight w:val="none"/>
              </w:rPr>
            </w:pPr>
            <w:r>
              <w:rPr>
                <w:rFonts w:hint="eastAsia"/>
                <w:color w:val="auto"/>
                <w:szCs w:val="21"/>
                <w:highlight w:val="none"/>
              </w:rPr>
              <w:t>农、林、牧、渔</w:t>
            </w:r>
          </w:p>
        </w:tc>
        <w:tc>
          <w:tcPr>
            <w:tcW w:w="1701" w:type="dxa"/>
            <w:tcBorders>
              <w:top w:val="nil"/>
              <w:left w:val="nil"/>
              <w:bottom w:val="single" w:color="auto" w:sz="4" w:space="0"/>
              <w:right w:val="single" w:color="auto" w:sz="4" w:space="0"/>
            </w:tcBorders>
            <w:noWrap w:val="0"/>
            <w:vAlign w:val="center"/>
          </w:tcPr>
          <w:p w14:paraId="3A3647D0">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0EFAB8E6">
            <w:pPr>
              <w:widowControl/>
              <w:jc w:val="center"/>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6F9F7342">
            <w:pPr>
              <w:widowControl/>
              <w:jc w:val="left"/>
              <w:rPr>
                <w:color w:val="auto"/>
                <w:szCs w:val="21"/>
                <w:highlight w:val="none"/>
              </w:rPr>
            </w:pPr>
            <w:r>
              <w:rPr>
                <w:rFonts w:hint="eastAsia"/>
                <w:color w:val="auto"/>
                <w:szCs w:val="21"/>
                <w:highlight w:val="none"/>
              </w:rPr>
              <w:t>500≤Y＜20000</w:t>
            </w:r>
          </w:p>
        </w:tc>
        <w:tc>
          <w:tcPr>
            <w:tcW w:w="1570" w:type="dxa"/>
            <w:tcBorders>
              <w:top w:val="nil"/>
              <w:left w:val="nil"/>
              <w:bottom w:val="single" w:color="auto" w:sz="4" w:space="0"/>
              <w:right w:val="single" w:color="auto" w:sz="4" w:space="0"/>
            </w:tcBorders>
            <w:noWrap w:val="0"/>
            <w:vAlign w:val="center"/>
          </w:tcPr>
          <w:p w14:paraId="6B093210">
            <w:pPr>
              <w:widowControl/>
              <w:jc w:val="left"/>
              <w:rPr>
                <w:color w:val="auto"/>
                <w:szCs w:val="21"/>
                <w:highlight w:val="none"/>
              </w:rPr>
            </w:pPr>
            <w:r>
              <w:rPr>
                <w:rFonts w:hint="eastAsia"/>
                <w:color w:val="auto"/>
                <w:szCs w:val="21"/>
                <w:highlight w:val="none"/>
              </w:rPr>
              <w:t>50≤Y＜500</w:t>
            </w:r>
          </w:p>
        </w:tc>
        <w:tc>
          <w:tcPr>
            <w:tcW w:w="1490" w:type="dxa"/>
            <w:tcBorders>
              <w:top w:val="nil"/>
              <w:left w:val="nil"/>
              <w:bottom w:val="single" w:color="auto" w:sz="4" w:space="0"/>
              <w:right w:val="single" w:color="auto" w:sz="4" w:space="0"/>
            </w:tcBorders>
            <w:noWrap w:val="0"/>
            <w:vAlign w:val="center"/>
          </w:tcPr>
          <w:p w14:paraId="6352007A">
            <w:pPr>
              <w:widowControl/>
              <w:jc w:val="left"/>
              <w:rPr>
                <w:color w:val="auto"/>
                <w:szCs w:val="21"/>
                <w:highlight w:val="none"/>
              </w:rPr>
            </w:pPr>
            <w:r>
              <w:rPr>
                <w:rFonts w:hint="eastAsia"/>
                <w:color w:val="auto"/>
                <w:szCs w:val="21"/>
                <w:highlight w:val="none"/>
              </w:rPr>
              <w:t>Y＜50</w:t>
            </w:r>
          </w:p>
        </w:tc>
      </w:tr>
      <w:tr w14:paraId="5690BA95">
        <w:tblPrEx>
          <w:tblCellMar>
            <w:top w:w="0" w:type="dxa"/>
            <w:left w:w="108" w:type="dxa"/>
            <w:bottom w:w="0" w:type="dxa"/>
            <w:right w:w="108" w:type="dxa"/>
          </w:tblCellMar>
        </w:tblPrEx>
        <w:trPr>
          <w:trHeight w:val="284" w:hRule="atLeast"/>
        </w:trPr>
        <w:tc>
          <w:tcPr>
            <w:tcW w:w="1696" w:type="dxa"/>
            <w:vMerge w:val="restart"/>
            <w:tcBorders>
              <w:top w:val="nil"/>
              <w:left w:val="single" w:color="auto" w:sz="4" w:space="0"/>
              <w:bottom w:val="single" w:color="auto" w:sz="4" w:space="0"/>
              <w:right w:val="single" w:color="auto" w:sz="4" w:space="0"/>
            </w:tcBorders>
            <w:noWrap w:val="0"/>
            <w:vAlign w:val="bottom"/>
          </w:tcPr>
          <w:p w14:paraId="1605A500">
            <w:pPr>
              <w:widowControl/>
              <w:jc w:val="center"/>
              <w:rPr>
                <w:color w:val="auto"/>
                <w:szCs w:val="21"/>
                <w:highlight w:val="none"/>
              </w:rPr>
            </w:pPr>
            <w:r>
              <w:rPr>
                <w:rFonts w:hint="eastAsia"/>
                <w:color w:val="auto"/>
                <w:szCs w:val="21"/>
                <w:highlight w:val="none"/>
              </w:rPr>
              <w:t>工业</w:t>
            </w:r>
          </w:p>
        </w:tc>
        <w:tc>
          <w:tcPr>
            <w:tcW w:w="1701" w:type="dxa"/>
            <w:tcBorders>
              <w:top w:val="nil"/>
              <w:left w:val="nil"/>
              <w:bottom w:val="single" w:color="auto" w:sz="4" w:space="0"/>
              <w:right w:val="single" w:color="auto" w:sz="4" w:space="0"/>
            </w:tcBorders>
            <w:noWrap w:val="0"/>
            <w:vAlign w:val="center"/>
          </w:tcPr>
          <w:p w14:paraId="79E91884">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53B4F56E">
            <w:pPr>
              <w:widowControl/>
              <w:jc w:val="center"/>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05459BF1">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285A19E0">
            <w:pPr>
              <w:widowControl/>
              <w:jc w:val="left"/>
              <w:rPr>
                <w:color w:val="auto"/>
                <w:szCs w:val="21"/>
                <w:highlight w:val="none"/>
              </w:rPr>
            </w:pPr>
            <w:r>
              <w:rPr>
                <w:rFonts w:hint="eastAsia"/>
                <w:color w:val="auto"/>
                <w:szCs w:val="21"/>
                <w:highlight w:val="none"/>
              </w:rPr>
              <w:t>20≤X＜300</w:t>
            </w:r>
          </w:p>
        </w:tc>
        <w:tc>
          <w:tcPr>
            <w:tcW w:w="1490" w:type="dxa"/>
            <w:tcBorders>
              <w:top w:val="nil"/>
              <w:left w:val="nil"/>
              <w:bottom w:val="single" w:color="auto" w:sz="4" w:space="0"/>
              <w:right w:val="single" w:color="auto" w:sz="4" w:space="0"/>
            </w:tcBorders>
            <w:noWrap w:val="0"/>
            <w:vAlign w:val="center"/>
          </w:tcPr>
          <w:p w14:paraId="669AED57">
            <w:pPr>
              <w:widowControl/>
              <w:jc w:val="left"/>
              <w:rPr>
                <w:color w:val="auto"/>
                <w:szCs w:val="21"/>
                <w:highlight w:val="none"/>
              </w:rPr>
            </w:pPr>
            <w:r>
              <w:rPr>
                <w:rFonts w:hint="eastAsia"/>
                <w:color w:val="auto"/>
                <w:szCs w:val="21"/>
                <w:highlight w:val="none"/>
              </w:rPr>
              <w:t>X＜20</w:t>
            </w:r>
          </w:p>
        </w:tc>
      </w:tr>
      <w:tr w14:paraId="28B695A5">
        <w:tblPrEx>
          <w:tblCellMar>
            <w:top w:w="0" w:type="dxa"/>
            <w:left w:w="108" w:type="dxa"/>
            <w:bottom w:w="0" w:type="dxa"/>
            <w:right w:w="108" w:type="dxa"/>
          </w:tblCellMar>
        </w:tblPrEx>
        <w:trPr>
          <w:trHeight w:val="220" w:hRule="atLeast"/>
        </w:trPr>
        <w:tc>
          <w:tcPr>
            <w:tcW w:w="1696" w:type="dxa"/>
            <w:vMerge w:val="continue"/>
            <w:tcBorders>
              <w:top w:val="nil"/>
              <w:left w:val="single" w:color="auto" w:sz="4" w:space="0"/>
              <w:bottom w:val="single" w:color="auto" w:sz="4" w:space="0"/>
              <w:right w:val="single" w:color="auto" w:sz="4" w:space="0"/>
            </w:tcBorders>
            <w:noWrap w:val="0"/>
            <w:vAlign w:val="center"/>
          </w:tcPr>
          <w:p w14:paraId="382C2B52">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9188398">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ED9D990">
            <w:pPr>
              <w:widowControl/>
              <w:jc w:val="center"/>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07ED812B">
            <w:pPr>
              <w:widowControl/>
              <w:jc w:val="left"/>
              <w:rPr>
                <w:color w:val="auto"/>
                <w:szCs w:val="21"/>
                <w:highlight w:val="none"/>
              </w:rPr>
            </w:pPr>
            <w:r>
              <w:rPr>
                <w:rFonts w:hint="eastAsia"/>
                <w:color w:val="auto"/>
                <w:szCs w:val="21"/>
                <w:highlight w:val="none"/>
              </w:rPr>
              <w:t>2000≤Y＜40000</w:t>
            </w:r>
          </w:p>
        </w:tc>
        <w:tc>
          <w:tcPr>
            <w:tcW w:w="1570" w:type="dxa"/>
            <w:tcBorders>
              <w:top w:val="nil"/>
              <w:left w:val="nil"/>
              <w:bottom w:val="single" w:color="auto" w:sz="4" w:space="0"/>
              <w:right w:val="single" w:color="auto" w:sz="4" w:space="0"/>
            </w:tcBorders>
            <w:noWrap w:val="0"/>
            <w:vAlign w:val="center"/>
          </w:tcPr>
          <w:p w14:paraId="206F3F92">
            <w:pPr>
              <w:widowControl/>
              <w:jc w:val="left"/>
              <w:rPr>
                <w:color w:val="auto"/>
                <w:szCs w:val="21"/>
                <w:highlight w:val="none"/>
              </w:rPr>
            </w:pPr>
            <w:r>
              <w:rPr>
                <w:rFonts w:hint="eastAsia"/>
                <w:color w:val="auto"/>
                <w:szCs w:val="21"/>
                <w:highlight w:val="none"/>
              </w:rPr>
              <w:t>300≤Y＜2000</w:t>
            </w:r>
          </w:p>
        </w:tc>
        <w:tc>
          <w:tcPr>
            <w:tcW w:w="1490" w:type="dxa"/>
            <w:tcBorders>
              <w:top w:val="nil"/>
              <w:left w:val="nil"/>
              <w:bottom w:val="single" w:color="auto" w:sz="4" w:space="0"/>
              <w:right w:val="single" w:color="auto" w:sz="4" w:space="0"/>
            </w:tcBorders>
            <w:noWrap w:val="0"/>
            <w:vAlign w:val="center"/>
          </w:tcPr>
          <w:p w14:paraId="198CB5DC">
            <w:pPr>
              <w:widowControl/>
              <w:jc w:val="left"/>
              <w:rPr>
                <w:color w:val="auto"/>
                <w:szCs w:val="21"/>
                <w:highlight w:val="none"/>
              </w:rPr>
            </w:pPr>
            <w:r>
              <w:rPr>
                <w:rFonts w:hint="eastAsia"/>
                <w:color w:val="auto"/>
                <w:szCs w:val="21"/>
                <w:highlight w:val="none"/>
              </w:rPr>
              <w:t>Y＜300</w:t>
            </w:r>
          </w:p>
        </w:tc>
      </w:tr>
      <w:tr w14:paraId="3AA062C3">
        <w:tblPrEx>
          <w:tblCellMar>
            <w:top w:w="0" w:type="dxa"/>
            <w:left w:w="108" w:type="dxa"/>
            <w:bottom w:w="0" w:type="dxa"/>
            <w:right w:w="108" w:type="dxa"/>
          </w:tblCellMar>
        </w:tblPrEx>
        <w:trPr>
          <w:trHeight w:val="220" w:hRule="atLeast"/>
        </w:trPr>
        <w:tc>
          <w:tcPr>
            <w:tcW w:w="1696" w:type="dxa"/>
            <w:vMerge w:val="restart"/>
            <w:tcBorders>
              <w:top w:val="nil"/>
              <w:left w:val="single" w:color="auto" w:sz="4" w:space="0"/>
              <w:bottom w:val="single" w:color="auto" w:sz="4" w:space="0"/>
              <w:right w:val="single" w:color="auto" w:sz="4" w:space="0"/>
            </w:tcBorders>
            <w:noWrap w:val="0"/>
            <w:vAlign w:val="bottom"/>
          </w:tcPr>
          <w:p w14:paraId="5ADACBCC">
            <w:pPr>
              <w:widowControl/>
              <w:jc w:val="center"/>
              <w:rPr>
                <w:color w:val="auto"/>
                <w:szCs w:val="21"/>
                <w:highlight w:val="none"/>
              </w:rPr>
            </w:pPr>
            <w:r>
              <w:rPr>
                <w:rFonts w:hint="eastAsia"/>
                <w:color w:val="auto"/>
                <w:szCs w:val="21"/>
                <w:highlight w:val="none"/>
              </w:rPr>
              <w:t>建筑业</w:t>
            </w:r>
          </w:p>
        </w:tc>
        <w:tc>
          <w:tcPr>
            <w:tcW w:w="1701" w:type="dxa"/>
            <w:tcBorders>
              <w:top w:val="nil"/>
              <w:left w:val="nil"/>
              <w:bottom w:val="single" w:color="auto" w:sz="4" w:space="0"/>
              <w:right w:val="single" w:color="auto" w:sz="4" w:space="0"/>
            </w:tcBorders>
            <w:noWrap w:val="0"/>
            <w:vAlign w:val="center"/>
          </w:tcPr>
          <w:p w14:paraId="19990E1D">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67A7279">
            <w:pPr>
              <w:widowControl/>
              <w:jc w:val="center"/>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3C2CDE42">
            <w:pPr>
              <w:widowControl/>
              <w:jc w:val="left"/>
              <w:rPr>
                <w:color w:val="auto"/>
                <w:szCs w:val="21"/>
                <w:highlight w:val="none"/>
              </w:rPr>
            </w:pPr>
            <w:r>
              <w:rPr>
                <w:rFonts w:hint="eastAsia"/>
                <w:color w:val="auto"/>
                <w:szCs w:val="21"/>
                <w:highlight w:val="none"/>
              </w:rPr>
              <w:t>6000≤Y＜80000</w:t>
            </w:r>
          </w:p>
        </w:tc>
        <w:tc>
          <w:tcPr>
            <w:tcW w:w="1570" w:type="dxa"/>
            <w:tcBorders>
              <w:top w:val="nil"/>
              <w:left w:val="nil"/>
              <w:bottom w:val="single" w:color="auto" w:sz="4" w:space="0"/>
              <w:right w:val="single" w:color="auto" w:sz="4" w:space="0"/>
            </w:tcBorders>
            <w:noWrap w:val="0"/>
            <w:vAlign w:val="center"/>
          </w:tcPr>
          <w:p w14:paraId="340C693C">
            <w:pPr>
              <w:widowControl/>
              <w:jc w:val="left"/>
              <w:rPr>
                <w:color w:val="auto"/>
                <w:szCs w:val="21"/>
                <w:highlight w:val="none"/>
              </w:rPr>
            </w:pPr>
            <w:r>
              <w:rPr>
                <w:rFonts w:hint="eastAsia"/>
                <w:color w:val="auto"/>
                <w:szCs w:val="21"/>
                <w:highlight w:val="none"/>
              </w:rPr>
              <w:t>300≤Y＜6000</w:t>
            </w:r>
          </w:p>
        </w:tc>
        <w:tc>
          <w:tcPr>
            <w:tcW w:w="1490" w:type="dxa"/>
            <w:tcBorders>
              <w:top w:val="nil"/>
              <w:left w:val="nil"/>
              <w:bottom w:val="single" w:color="auto" w:sz="4" w:space="0"/>
              <w:right w:val="single" w:color="auto" w:sz="4" w:space="0"/>
            </w:tcBorders>
            <w:noWrap w:val="0"/>
            <w:vAlign w:val="center"/>
          </w:tcPr>
          <w:p w14:paraId="4408A3E0">
            <w:pPr>
              <w:widowControl/>
              <w:jc w:val="left"/>
              <w:rPr>
                <w:color w:val="auto"/>
                <w:szCs w:val="21"/>
                <w:highlight w:val="none"/>
              </w:rPr>
            </w:pPr>
            <w:r>
              <w:rPr>
                <w:rFonts w:hint="eastAsia"/>
                <w:color w:val="auto"/>
                <w:szCs w:val="21"/>
                <w:highlight w:val="none"/>
              </w:rPr>
              <w:t>Y＜300</w:t>
            </w:r>
          </w:p>
        </w:tc>
      </w:tr>
      <w:tr w14:paraId="3DDB5427">
        <w:tblPrEx>
          <w:tblCellMar>
            <w:top w:w="0" w:type="dxa"/>
            <w:left w:w="108" w:type="dxa"/>
            <w:bottom w:w="0" w:type="dxa"/>
            <w:right w:w="108" w:type="dxa"/>
          </w:tblCellMar>
        </w:tblPrEx>
        <w:trPr>
          <w:trHeight w:val="220" w:hRule="atLeast"/>
        </w:trPr>
        <w:tc>
          <w:tcPr>
            <w:tcW w:w="1696" w:type="dxa"/>
            <w:vMerge w:val="continue"/>
            <w:tcBorders>
              <w:top w:val="nil"/>
              <w:left w:val="single" w:color="auto" w:sz="4" w:space="0"/>
              <w:bottom w:val="single" w:color="auto" w:sz="4" w:space="0"/>
              <w:right w:val="single" w:color="auto" w:sz="4" w:space="0"/>
            </w:tcBorders>
            <w:noWrap w:val="0"/>
            <w:vAlign w:val="center"/>
          </w:tcPr>
          <w:p w14:paraId="4D4EB277">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EA23E33">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54D6306D">
            <w:pPr>
              <w:widowControl/>
              <w:jc w:val="center"/>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72517EF9">
            <w:pPr>
              <w:widowControl/>
              <w:jc w:val="left"/>
              <w:rPr>
                <w:color w:val="auto"/>
                <w:szCs w:val="21"/>
                <w:highlight w:val="none"/>
              </w:rPr>
            </w:pPr>
            <w:r>
              <w:rPr>
                <w:rFonts w:hint="eastAsia"/>
                <w:color w:val="auto"/>
                <w:szCs w:val="21"/>
                <w:highlight w:val="none"/>
              </w:rPr>
              <w:t>5000≤Z＜80000</w:t>
            </w:r>
          </w:p>
        </w:tc>
        <w:tc>
          <w:tcPr>
            <w:tcW w:w="1570" w:type="dxa"/>
            <w:tcBorders>
              <w:top w:val="nil"/>
              <w:left w:val="nil"/>
              <w:bottom w:val="single" w:color="auto" w:sz="4" w:space="0"/>
              <w:right w:val="single" w:color="auto" w:sz="4" w:space="0"/>
            </w:tcBorders>
            <w:noWrap w:val="0"/>
            <w:vAlign w:val="center"/>
          </w:tcPr>
          <w:p w14:paraId="63CE8617">
            <w:pPr>
              <w:widowControl/>
              <w:jc w:val="left"/>
              <w:rPr>
                <w:color w:val="auto"/>
                <w:szCs w:val="21"/>
                <w:highlight w:val="none"/>
              </w:rPr>
            </w:pPr>
            <w:r>
              <w:rPr>
                <w:rFonts w:hint="eastAsia"/>
                <w:color w:val="auto"/>
                <w:szCs w:val="21"/>
                <w:highlight w:val="none"/>
              </w:rPr>
              <w:t>300≤Z＜5000</w:t>
            </w:r>
          </w:p>
        </w:tc>
        <w:tc>
          <w:tcPr>
            <w:tcW w:w="1490" w:type="dxa"/>
            <w:tcBorders>
              <w:top w:val="nil"/>
              <w:left w:val="nil"/>
              <w:bottom w:val="single" w:color="auto" w:sz="4" w:space="0"/>
              <w:right w:val="single" w:color="auto" w:sz="4" w:space="0"/>
            </w:tcBorders>
            <w:noWrap w:val="0"/>
            <w:vAlign w:val="center"/>
          </w:tcPr>
          <w:p w14:paraId="5508A4D8">
            <w:pPr>
              <w:widowControl/>
              <w:jc w:val="left"/>
              <w:rPr>
                <w:color w:val="auto"/>
                <w:szCs w:val="21"/>
                <w:highlight w:val="none"/>
              </w:rPr>
            </w:pPr>
            <w:r>
              <w:rPr>
                <w:rFonts w:hint="eastAsia"/>
                <w:color w:val="auto"/>
                <w:szCs w:val="21"/>
                <w:highlight w:val="none"/>
              </w:rPr>
              <w:t>Z＜300</w:t>
            </w:r>
          </w:p>
        </w:tc>
      </w:tr>
      <w:tr w14:paraId="5D459575">
        <w:tblPrEx>
          <w:tblCellMar>
            <w:top w:w="0" w:type="dxa"/>
            <w:left w:w="108" w:type="dxa"/>
            <w:bottom w:w="0" w:type="dxa"/>
            <w:right w:w="108" w:type="dxa"/>
          </w:tblCellMar>
        </w:tblPrEx>
        <w:trPr>
          <w:trHeight w:val="220" w:hRule="atLeast"/>
        </w:trPr>
        <w:tc>
          <w:tcPr>
            <w:tcW w:w="1696" w:type="dxa"/>
            <w:vMerge w:val="restart"/>
            <w:tcBorders>
              <w:top w:val="nil"/>
              <w:left w:val="single" w:color="auto" w:sz="4" w:space="0"/>
              <w:bottom w:val="single" w:color="auto" w:sz="4" w:space="0"/>
              <w:right w:val="single" w:color="auto" w:sz="4" w:space="0"/>
            </w:tcBorders>
            <w:noWrap w:val="0"/>
            <w:vAlign w:val="bottom"/>
          </w:tcPr>
          <w:p w14:paraId="4F7A698A">
            <w:pPr>
              <w:widowControl/>
              <w:ind w:firstLine="315" w:firstLineChars="150"/>
              <w:rPr>
                <w:color w:val="auto"/>
                <w:szCs w:val="21"/>
                <w:highlight w:val="none"/>
              </w:rPr>
            </w:pPr>
            <w:r>
              <w:rPr>
                <w:rFonts w:hint="eastAsia"/>
                <w:color w:val="auto"/>
                <w:szCs w:val="21"/>
                <w:highlight w:val="none"/>
              </w:rPr>
              <w:t>批发业</w:t>
            </w:r>
          </w:p>
        </w:tc>
        <w:tc>
          <w:tcPr>
            <w:tcW w:w="1701" w:type="dxa"/>
            <w:tcBorders>
              <w:top w:val="nil"/>
              <w:left w:val="nil"/>
              <w:bottom w:val="single" w:color="auto" w:sz="4" w:space="0"/>
              <w:right w:val="single" w:color="auto" w:sz="4" w:space="0"/>
            </w:tcBorders>
            <w:noWrap w:val="0"/>
            <w:vAlign w:val="center"/>
          </w:tcPr>
          <w:p w14:paraId="5E9B7A41">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32608966">
            <w:pPr>
              <w:widowControl/>
              <w:jc w:val="center"/>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511776CD">
            <w:pPr>
              <w:widowControl/>
              <w:jc w:val="left"/>
              <w:rPr>
                <w:color w:val="auto"/>
                <w:szCs w:val="21"/>
                <w:highlight w:val="none"/>
              </w:rPr>
            </w:pPr>
            <w:r>
              <w:rPr>
                <w:rFonts w:hint="eastAsia"/>
                <w:color w:val="auto"/>
                <w:szCs w:val="21"/>
                <w:highlight w:val="none"/>
              </w:rPr>
              <w:t>20≤X＜200</w:t>
            </w:r>
          </w:p>
        </w:tc>
        <w:tc>
          <w:tcPr>
            <w:tcW w:w="1570" w:type="dxa"/>
            <w:tcBorders>
              <w:top w:val="nil"/>
              <w:left w:val="nil"/>
              <w:bottom w:val="single" w:color="auto" w:sz="4" w:space="0"/>
              <w:right w:val="single" w:color="auto" w:sz="4" w:space="0"/>
            </w:tcBorders>
            <w:noWrap w:val="0"/>
            <w:vAlign w:val="center"/>
          </w:tcPr>
          <w:p w14:paraId="5C9704F9">
            <w:pPr>
              <w:widowControl/>
              <w:jc w:val="left"/>
              <w:rPr>
                <w:color w:val="auto"/>
                <w:szCs w:val="21"/>
                <w:highlight w:val="none"/>
              </w:rPr>
            </w:pPr>
            <w:r>
              <w:rPr>
                <w:rFonts w:hint="eastAsia"/>
                <w:color w:val="auto"/>
                <w:szCs w:val="21"/>
                <w:highlight w:val="none"/>
              </w:rPr>
              <w:t>5≤X＜20</w:t>
            </w:r>
          </w:p>
        </w:tc>
        <w:tc>
          <w:tcPr>
            <w:tcW w:w="1490" w:type="dxa"/>
            <w:tcBorders>
              <w:top w:val="nil"/>
              <w:left w:val="nil"/>
              <w:bottom w:val="single" w:color="auto" w:sz="4" w:space="0"/>
              <w:right w:val="single" w:color="auto" w:sz="4" w:space="0"/>
            </w:tcBorders>
            <w:noWrap w:val="0"/>
            <w:vAlign w:val="center"/>
          </w:tcPr>
          <w:p w14:paraId="29E3EF3E">
            <w:pPr>
              <w:widowControl/>
              <w:jc w:val="left"/>
              <w:rPr>
                <w:color w:val="auto"/>
                <w:szCs w:val="21"/>
                <w:highlight w:val="none"/>
              </w:rPr>
            </w:pPr>
            <w:r>
              <w:rPr>
                <w:rFonts w:hint="eastAsia"/>
                <w:color w:val="auto"/>
                <w:szCs w:val="21"/>
                <w:highlight w:val="none"/>
              </w:rPr>
              <w:t>X＜5</w:t>
            </w:r>
          </w:p>
        </w:tc>
      </w:tr>
      <w:tr w14:paraId="2E28D5EE">
        <w:tblPrEx>
          <w:tblCellMar>
            <w:top w:w="0" w:type="dxa"/>
            <w:left w:w="108" w:type="dxa"/>
            <w:bottom w:w="0" w:type="dxa"/>
            <w:right w:w="108" w:type="dxa"/>
          </w:tblCellMar>
        </w:tblPrEx>
        <w:trPr>
          <w:trHeight w:val="220" w:hRule="atLeast"/>
        </w:trPr>
        <w:tc>
          <w:tcPr>
            <w:tcW w:w="1696" w:type="dxa"/>
            <w:vMerge w:val="continue"/>
            <w:tcBorders>
              <w:top w:val="nil"/>
              <w:left w:val="single" w:color="auto" w:sz="4" w:space="0"/>
              <w:bottom w:val="single" w:color="auto" w:sz="4" w:space="0"/>
              <w:right w:val="single" w:color="auto" w:sz="4" w:space="0"/>
            </w:tcBorders>
            <w:noWrap w:val="0"/>
            <w:vAlign w:val="center"/>
          </w:tcPr>
          <w:p w14:paraId="32A04FBB">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4B6C92A7">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7AE5F098">
            <w:pPr>
              <w:widowControl/>
              <w:jc w:val="center"/>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15B58E9F">
            <w:pPr>
              <w:widowControl/>
              <w:jc w:val="left"/>
              <w:rPr>
                <w:color w:val="auto"/>
                <w:szCs w:val="21"/>
                <w:highlight w:val="none"/>
              </w:rPr>
            </w:pPr>
            <w:r>
              <w:rPr>
                <w:rFonts w:hint="eastAsia"/>
                <w:color w:val="auto"/>
                <w:szCs w:val="21"/>
                <w:highlight w:val="none"/>
              </w:rPr>
              <w:t>5000≤Y＜40000</w:t>
            </w:r>
          </w:p>
        </w:tc>
        <w:tc>
          <w:tcPr>
            <w:tcW w:w="1570" w:type="dxa"/>
            <w:tcBorders>
              <w:top w:val="nil"/>
              <w:left w:val="nil"/>
              <w:bottom w:val="single" w:color="auto" w:sz="4" w:space="0"/>
              <w:right w:val="single" w:color="auto" w:sz="4" w:space="0"/>
            </w:tcBorders>
            <w:noWrap w:val="0"/>
            <w:vAlign w:val="center"/>
          </w:tcPr>
          <w:p w14:paraId="27F3FD73">
            <w:pPr>
              <w:widowControl/>
              <w:jc w:val="left"/>
              <w:rPr>
                <w:color w:val="auto"/>
                <w:szCs w:val="21"/>
                <w:highlight w:val="none"/>
              </w:rPr>
            </w:pPr>
            <w:r>
              <w:rPr>
                <w:rFonts w:hint="eastAsia"/>
                <w:color w:val="auto"/>
                <w:szCs w:val="21"/>
                <w:highlight w:val="none"/>
              </w:rPr>
              <w:t>1000≤Y＜5000</w:t>
            </w:r>
          </w:p>
        </w:tc>
        <w:tc>
          <w:tcPr>
            <w:tcW w:w="1490" w:type="dxa"/>
            <w:tcBorders>
              <w:top w:val="nil"/>
              <w:left w:val="nil"/>
              <w:bottom w:val="single" w:color="auto" w:sz="4" w:space="0"/>
              <w:right w:val="single" w:color="auto" w:sz="4" w:space="0"/>
            </w:tcBorders>
            <w:noWrap w:val="0"/>
            <w:vAlign w:val="center"/>
          </w:tcPr>
          <w:p w14:paraId="02E87EDF">
            <w:pPr>
              <w:widowControl/>
              <w:jc w:val="left"/>
              <w:rPr>
                <w:color w:val="auto"/>
                <w:szCs w:val="21"/>
                <w:highlight w:val="none"/>
              </w:rPr>
            </w:pPr>
            <w:r>
              <w:rPr>
                <w:rFonts w:hint="eastAsia"/>
                <w:color w:val="auto"/>
                <w:szCs w:val="21"/>
                <w:highlight w:val="none"/>
              </w:rPr>
              <w:t>Y＜1000</w:t>
            </w:r>
          </w:p>
        </w:tc>
      </w:tr>
      <w:tr w14:paraId="2D448013">
        <w:tblPrEx>
          <w:tblCellMar>
            <w:top w:w="0" w:type="dxa"/>
            <w:left w:w="108" w:type="dxa"/>
            <w:bottom w:w="0" w:type="dxa"/>
            <w:right w:w="108" w:type="dxa"/>
          </w:tblCellMar>
        </w:tblPrEx>
        <w:trPr>
          <w:trHeight w:val="220" w:hRule="atLeast"/>
        </w:trPr>
        <w:tc>
          <w:tcPr>
            <w:tcW w:w="1696" w:type="dxa"/>
            <w:vMerge w:val="restart"/>
            <w:tcBorders>
              <w:top w:val="nil"/>
              <w:left w:val="single" w:color="auto" w:sz="4" w:space="0"/>
              <w:bottom w:val="single" w:color="auto" w:sz="4" w:space="0"/>
              <w:right w:val="single" w:color="auto" w:sz="4" w:space="0"/>
            </w:tcBorders>
            <w:noWrap w:val="0"/>
            <w:vAlign w:val="bottom"/>
          </w:tcPr>
          <w:p w14:paraId="4C7F0AB5">
            <w:pPr>
              <w:widowControl/>
              <w:jc w:val="center"/>
              <w:rPr>
                <w:color w:val="auto"/>
                <w:szCs w:val="21"/>
                <w:highlight w:val="none"/>
              </w:rPr>
            </w:pPr>
            <w:r>
              <w:rPr>
                <w:rFonts w:hint="eastAsia"/>
                <w:color w:val="auto"/>
                <w:szCs w:val="21"/>
                <w:highlight w:val="none"/>
              </w:rPr>
              <w:t>零售业</w:t>
            </w:r>
          </w:p>
        </w:tc>
        <w:tc>
          <w:tcPr>
            <w:tcW w:w="1701" w:type="dxa"/>
            <w:tcBorders>
              <w:top w:val="nil"/>
              <w:left w:val="nil"/>
              <w:bottom w:val="single" w:color="auto" w:sz="4" w:space="0"/>
              <w:right w:val="single" w:color="auto" w:sz="4" w:space="0"/>
            </w:tcBorders>
            <w:noWrap w:val="0"/>
            <w:vAlign w:val="center"/>
          </w:tcPr>
          <w:p w14:paraId="5AC13174">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678B558C">
            <w:pPr>
              <w:widowControl/>
              <w:jc w:val="center"/>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51930F06">
            <w:pPr>
              <w:widowControl/>
              <w:jc w:val="left"/>
              <w:rPr>
                <w:color w:val="auto"/>
                <w:szCs w:val="21"/>
                <w:highlight w:val="none"/>
              </w:rPr>
            </w:pPr>
            <w:r>
              <w:rPr>
                <w:rFonts w:hint="eastAsia"/>
                <w:color w:val="auto"/>
                <w:szCs w:val="21"/>
                <w:highlight w:val="none"/>
              </w:rPr>
              <w:t>50≤X＜300</w:t>
            </w:r>
          </w:p>
        </w:tc>
        <w:tc>
          <w:tcPr>
            <w:tcW w:w="1570" w:type="dxa"/>
            <w:tcBorders>
              <w:top w:val="nil"/>
              <w:left w:val="nil"/>
              <w:bottom w:val="single" w:color="auto" w:sz="4" w:space="0"/>
              <w:right w:val="single" w:color="auto" w:sz="4" w:space="0"/>
            </w:tcBorders>
            <w:noWrap w:val="0"/>
            <w:vAlign w:val="center"/>
          </w:tcPr>
          <w:p w14:paraId="0A14A0A8">
            <w:pPr>
              <w:widowControl/>
              <w:jc w:val="left"/>
              <w:rPr>
                <w:color w:val="auto"/>
                <w:szCs w:val="21"/>
                <w:highlight w:val="none"/>
              </w:rPr>
            </w:pPr>
            <w:r>
              <w:rPr>
                <w:rFonts w:hint="eastAsia"/>
                <w:color w:val="auto"/>
                <w:szCs w:val="21"/>
                <w:highlight w:val="none"/>
              </w:rPr>
              <w:t>10≤X＜50</w:t>
            </w:r>
          </w:p>
        </w:tc>
        <w:tc>
          <w:tcPr>
            <w:tcW w:w="1490" w:type="dxa"/>
            <w:tcBorders>
              <w:top w:val="nil"/>
              <w:left w:val="nil"/>
              <w:bottom w:val="single" w:color="auto" w:sz="4" w:space="0"/>
              <w:right w:val="single" w:color="auto" w:sz="4" w:space="0"/>
            </w:tcBorders>
            <w:noWrap w:val="0"/>
            <w:vAlign w:val="center"/>
          </w:tcPr>
          <w:p w14:paraId="553E2DB6">
            <w:pPr>
              <w:widowControl/>
              <w:jc w:val="left"/>
              <w:rPr>
                <w:color w:val="auto"/>
                <w:szCs w:val="21"/>
                <w:highlight w:val="none"/>
              </w:rPr>
            </w:pPr>
            <w:r>
              <w:rPr>
                <w:rFonts w:hint="eastAsia"/>
                <w:color w:val="auto"/>
                <w:szCs w:val="21"/>
                <w:highlight w:val="none"/>
              </w:rPr>
              <w:t>X＜10</w:t>
            </w:r>
          </w:p>
        </w:tc>
      </w:tr>
      <w:tr w14:paraId="77C25FA9">
        <w:tblPrEx>
          <w:tblCellMar>
            <w:top w:w="0" w:type="dxa"/>
            <w:left w:w="108" w:type="dxa"/>
            <w:bottom w:w="0" w:type="dxa"/>
            <w:right w:w="108" w:type="dxa"/>
          </w:tblCellMar>
        </w:tblPrEx>
        <w:trPr>
          <w:trHeight w:val="220" w:hRule="atLeast"/>
        </w:trPr>
        <w:tc>
          <w:tcPr>
            <w:tcW w:w="1696" w:type="dxa"/>
            <w:vMerge w:val="continue"/>
            <w:tcBorders>
              <w:top w:val="nil"/>
              <w:left w:val="single" w:color="auto" w:sz="4" w:space="0"/>
              <w:bottom w:val="single" w:color="auto" w:sz="4" w:space="0"/>
              <w:right w:val="single" w:color="auto" w:sz="4" w:space="0"/>
            </w:tcBorders>
            <w:noWrap w:val="0"/>
            <w:vAlign w:val="center"/>
          </w:tcPr>
          <w:p w14:paraId="127F4CC7">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3FFE013D">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E5CCB18">
            <w:pPr>
              <w:widowControl/>
              <w:jc w:val="center"/>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3A412845">
            <w:pPr>
              <w:widowControl/>
              <w:jc w:val="left"/>
              <w:rPr>
                <w:color w:val="auto"/>
                <w:szCs w:val="21"/>
                <w:highlight w:val="none"/>
              </w:rPr>
            </w:pPr>
            <w:r>
              <w:rPr>
                <w:rFonts w:hint="eastAsia"/>
                <w:color w:val="auto"/>
                <w:szCs w:val="21"/>
                <w:highlight w:val="none"/>
              </w:rPr>
              <w:t>500≤Y＜20000</w:t>
            </w:r>
          </w:p>
        </w:tc>
        <w:tc>
          <w:tcPr>
            <w:tcW w:w="1570" w:type="dxa"/>
            <w:tcBorders>
              <w:top w:val="nil"/>
              <w:left w:val="nil"/>
              <w:bottom w:val="single" w:color="auto" w:sz="4" w:space="0"/>
              <w:right w:val="single" w:color="auto" w:sz="4" w:space="0"/>
            </w:tcBorders>
            <w:noWrap w:val="0"/>
            <w:vAlign w:val="center"/>
          </w:tcPr>
          <w:p w14:paraId="1C0AB311">
            <w:pPr>
              <w:widowControl/>
              <w:jc w:val="left"/>
              <w:rPr>
                <w:color w:val="auto"/>
                <w:szCs w:val="21"/>
                <w:highlight w:val="none"/>
              </w:rPr>
            </w:pPr>
            <w:r>
              <w:rPr>
                <w:rFonts w:hint="eastAsia"/>
                <w:color w:val="auto"/>
                <w:szCs w:val="21"/>
                <w:highlight w:val="none"/>
              </w:rPr>
              <w:t>100≤Y＜500</w:t>
            </w:r>
          </w:p>
        </w:tc>
        <w:tc>
          <w:tcPr>
            <w:tcW w:w="1490" w:type="dxa"/>
            <w:tcBorders>
              <w:top w:val="nil"/>
              <w:left w:val="nil"/>
              <w:bottom w:val="single" w:color="auto" w:sz="4" w:space="0"/>
              <w:right w:val="single" w:color="auto" w:sz="4" w:space="0"/>
            </w:tcBorders>
            <w:noWrap w:val="0"/>
            <w:vAlign w:val="center"/>
          </w:tcPr>
          <w:p w14:paraId="61026C4F">
            <w:pPr>
              <w:widowControl/>
              <w:jc w:val="left"/>
              <w:rPr>
                <w:color w:val="auto"/>
                <w:szCs w:val="21"/>
                <w:highlight w:val="none"/>
              </w:rPr>
            </w:pPr>
            <w:r>
              <w:rPr>
                <w:rFonts w:hint="eastAsia"/>
                <w:color w:val="auto"/>
                <w:szCs w:val="21"/>
                <w:highlight w:val="none"/>
              </w:rPr>
              <w:t>Y＜100</w:t>
            </w:r>
          </w:p>
        </w:tc>
      </w:tr>
      <w:tr w14:paraId="25BB5749">
        <w:tblPrEx>
          <w:tblCellMar>
            <w:top w:w="0" w:type="dxa"/>
            <w:left w:w="108" w:type="dxa"/>
            <w:bottom w:w="0" w:type="dxa"/>
            <w:right w:w="108" w:type="dxa"/>
          </w:tblCellMar>
        </w:tblPrEx>
        <w:trPr>
          <w:trHeight w:val="220" w:hRule="atLeast"/>
        </w:trPr>
        <w:tc>
          <w:tcPr>
            <w:tcW w:w="1696" w:type="dxa"/>
            <w:vMerge w:val="restart"/>
            <w:tcBorders>
              <w:top w:val="nil"/>
              <w:left w:val="single" w:color="auto" w:sz="4" w:space="0"/>
              <w:bottom w:val="single" w:color="auto" w:sz="4" w:space="0"/>
              <w:right w:val="single" w:color="auto" w:sz="4" w:space="0"/>
            </w:tcBorders>
            <w:noWrap w:val="0"/>
            <w:vAlign w:val="bottom"/>
          </w:tcPr>
          <w:p w14:paraId="37B63107">
            <w:pPr>
              <w:widowControl/>
              <w:jc w:val="center"/>
              <w:rPr>
                <w:color w:val="auto"/>
                <w:szCs w:val="21"/>
                <w:highlight w:val="none"/>
              </w:rPr>
            </w:pPr>
            <w:r>
              <w:rPr>
                <w:rFonts w:hint="eastAsia"/>
                <w:color w:val="auto"/>
                <w:szCs w:val="21"/>
                <w:highlight w:val="none"/>
              </w:rPr>
              <w:t>交通运输业</w:t>
            </w:r>
          </w:p>
        </w:tc>
        <w:tc>
          <w:tcPr>
            <w:tcW w:w="1701" w:type="dxa"/>
            <w:tcBorders>
              <w:top w:val="nil"/>
              <w:left w:val="nil"/>
              <w:bottom w:val="single" w:color="auto" w:sz="4" w:space="0"/>
              <w:right w:val="single" w:color="auto" w:sz="4" w:space="0"/>
            </w:tcBorders>
            <w:noWrap w:val="0"/>
            <w:vAlign w:val="center"/>
          </w:tcPr>
          <w:p w14:paraId="5248566B">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0C2F4B8C">
            <w:pPr>
              <w:widowControl/>
              <w:jc w:val="center"/>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4ED297D9">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5DD12ACC">
            <w:pPr>
              <w:widowControl/>
              <w:jc w:val="left"/>
              <w:rPr>
                <w:color w:val="auto"/>
                <w:szCs w:val="21"/>
                <w:highlight w:val="none"/>
              </w:rPr>
            </w:pPr>
            <w:r>
              <w:rPr>
                <w:rFonts w:hint="eastAsia"/>
                <w:color w:val="auto"/>
                <w:szCs w:val="21"/>
                <w:highlight w:val="none"/>
              </w:rPr>
              <w:t>20≤X＜300</w:t>
            </w:r>
          </w:p>
        </w:tc>
        <w:tc>
          <w:tcPr>
            <w:tcW w:w="1490" w:type="dxa"/>
            <w:tcBorders>
              <w:top w:val="nil"/>
              <w:left w:val="nil"/>
              <w:bottom w:val="single" w:color="auto" w:sz="4" w:space="0"/>
              <w:right w:val="single" w:color="auto" w:sz="4" w:space="0"/>
            </w:tcBorders>
            <w:noWrap w:val="0"/>
            <w:vAlign w:val="center"/>
          </w:tcPr>
          <w:p w14:paraId="70D0D3CA">
            <w:pPr>
              <w:widowControl/>
              <w:jc w:val="left"/>
              <w:rPr>
                <w:color w:val="auto"/>
                <w:szCs w:val="21"/>
                <w:highlight w:val="none"/>
              </w:rPr>
            </w:pPr>
            <w:r>
              <w:rPr>
                <w:rFonts w:hint="eastAsia"/>
                <w:color w:val="auto"/>
                <w:szCs w:val="21"/>
                <w:highlight w:val="none"/>
              </w:rPr>
              <w:t>X＜20</w:t>
            </w:r>
          </w:p>
        </w:tc>
      </w:tr>
      <w:tr w14:paraId="550DDEDC">
        <w:tblPrEx>
          <w:tblCellMar>
            <w:top w:w="0" w:type="dxa"/>
            <w:left w:w="108" w:type="dxa"/>
            <w:bottom w:w="0" w:type="dxa"/>
            <w:right w:w="108" w:type="dxa"/>
          </w:tblCellMar>
        </w:tblPrEx>
        <w:trPr>
          <w:trHeight w:val="220" w:hRule="atLeast"/>
        </w:trPr>
        <w:tc>
          <w:tcPr>
            <w:tcW w:w="1696" w:type="dxa"/>
            <w:vMerge w:val="continue"/>
            <w:tcBorders>
              <w:top w:val="nil"/>
              <w:left w:val="single" w:color="auto" w:sz="4" w:space="0"/>
              <w:bottom w:val="single" w:color="auto" w:sz="4" w:space="0"/>
              <w:right w:val="single" w:color="auto" w:sz="4" w:space="0"/>
            </w:tcBorders>
            <w:noWrap w:val="0"/>
            <w:vAlign w:val="center"/>
          </w:tcPr>
          <w:p w14:paraId="575A6F8D">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A0F5527">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58957702">
            <w:pPr>
              <w:widowControl/>
              <w:jc w:val="center"/>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03DEB87D">
            <w:pPr>
              <w:widowControl/>
              <w:jc w:val="left"/>
              <w:rPr>
                <w:color w:val="auto"/>
                <w:szCs w:val="21"/>
                <w:highlight w:val="none"/>
              </w:rPr>
            </w:pPr>
            <w:r>
              <w:rPr>
                <w:rFonts w:hint="eastAsia"/>
                <w:color w:val="auto"/>
                <w:szCs w:val="21"/>
                <w:highlight w:val="none"/>
              </w:rPr>
              <w:t>3000≤Y＜30000</w:t>
            </w:r>
          </w:p>
        </w:tc>
        <w:tc>
          <w:tcPr>
            <w:tcW w:w="1570" w:type="dxa"/>
            <w:tcBorders>
              <w:top w:val="nil"/>
              <w:left w:val="nil"/>
              <w:bottom w:val="single" w:color="auto" w:sz="4" w:space="0"/>
              <w:right w:val="single" w:color="auto" w:sz="4" w:space="0"/>
            </w:tcBorders>
            <w:noWrap w:val="0"/>
            <w:vAlign w:val="center"/>
          </w:tcPr>
          <w:p w14:paraId="7BA8A2ED">
            <w:pPr>
              <w:widowControl/>
              <w:jc w:val="left"/>
              <w:rPr>
                <w:color w:val="auto"/>
                <w:szCs w:val="21"/>
                <w:highlight w:val="none"/>
              </w:rPr>
            </w:pPr>
            <w:r>
              <w:rPr>
                <w:rFonts w:hint="eastAsia"/>
                <w:color w:val="auto"/>
                <w:szCs w:val="21"/>
                <w:highlight w:val="none"/>
              </w:rPr>
              <w:t>200≤Y＜3000</w:t>
            </w:r>
          </w:p>
        </w:tc>
        <w:tc>
          <w:tcPr>
            <w:tcW w:w="1490" w:type="dxa"/>
            <w:tcBorders>
              <w:top w:val="nil"/>
              <w:left w:val="nil"/>
              <w:bottom w:val="single" w:color="auto" w:sz="4" w:space="0"/>
              <w:right w:val="single" w:color="auto" w:sz="4" w:space="0"/>
            </w:tcBorders>
            <w:noWrap w:val="0"/>
            <w:vAlign w:val="center"/>
          </w:tcPr>
          <w:p w14:paraId="65A7425F">
            <w:pPr>
              <w:widowControl/>
              <w:jc w:val="left"/>
              <w:rPr>
                <w:color w:val="auto"/>
                <w:szCs w:val="21"/>
                <w:highlight w:val="none"/>
              </w:rPr>
            </w:pPr>
            <w:r>
              <w:rPr>
                <w:rFonts w:hint="eastAsia"/>
                <w:color w:val="auto"/>
                <w:szCs w:val="21"/>
                <w:highlight w:val="none"/>
              </w:rPr>
              <w:t>Y＜200</w:t>
            </w:r>
          </w:p>
        </w:tc>
      </w:tr>
      <w:tr w14:paraId="1B9DA079">
        <w:tblPrEx>
          <w:tblCellMar>
            <w:top w:w="0" w:type="dxa"/>
            <w:left w:w="108" w:type="dxa"/>
            <w:bottom w:w="0" w:type="dxa"/>
            <w:right w:w="108" w:type="dxa"/>
          </w:tblCellMar>
        </w:tblPrEx>
        <w:trPr>
          <w:trHeight w:val="220" w:hRule="atLeast"/>
        </w:trPr>
        <w:tc>
          <w:tcPr>
            <w:tcW w:w="1696" w:type="dxa"/>
            <w:vMerge w:val="restart"/>
            <w:tcBorders>
              <w:top w:val="nil"/>
              <w:left w:val="single" w:color="auto" w:sz="4" w:space="0"/>
              <w:bottom w:val="single" w:color="auto" w:sz="4" w:space="0"/>
              <w:right w:val="single" w:color="auto" w:sz="4" w:space="0"/>
            </w:tcBorders>
            <w:noWrap w:val="0"/>
            <w:vAlign w:val="bottom"/>
          </w:tcPr>
          <w:p w14:paraId="203DF131">
            <w:pPr>
              <w:widowControl/>
              <w:jc w:val="center"/>
              <w:rPr>
                <w:color w:val="auto"/>
                <w:szCs w:val="21"/>
                <w:highlight w:val="none"/>
              </w:rPr>
            </w:pPr>
            <w:r>
              <w:rPr>
                <w:rFonts w:hint="eastAsia"/>
                <w:color w:val="auto"/>
                <w:szCs w:val="21"/>
                <w:highlight w:val="none"/>
              </w:rPr>
              <w:t>仓储业</w:t>
            </w:r>
          </w:p>
        </w:tc>
        <w:tc>
          <w:tcPr>
            <w:tcW w:w="1701" w:type="dxa"/>
            <w:tcBorders>
              <w:top w:val="nil"/>
              <w:left w:val="nil"/>
              <w:bottom w:val="single" w:color="auto" w:sz="4" w:space="0"/>
              <w:right w:val="single" w:color="auto" w:sz="4" w:space="0"/>
            </w:tcBorders>
            <w:noWrap w:val="0"/>
            <w:vAlign w:val="center"/>
          </w:tcPr>
          <w:p w14:paraId="572110E2">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1923302E">
            <w:pPr>
              <w:widowControl/>
              <w:jc w:val="center"/>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4836E79F">
            <w:pPr>
              <w:widowControl/>
              <w:jc w:val="left"/>
              <w:rPr>
                <w:color w:val="auto"/>
                <w:szCs w:val="21"/>
                <w:highlight w:val="none"/>
              </w:rPr>
            </w:pPr>
            <w:r>
              <w:rPr>
                <w:rFonts w:hint="eastAsia"/>
                <w:color w:val="auto"/>
                <w:szCs w:val="21"/>
                <w:highlight w:val="none"/>
              </w:rPr>
              <w:t>100≤X＜200</w:t>
            </w:r>
          </w:p>
        </w:tc>
        <w:tc>
          <w:tcPr>
            <w:tcW w:w="1570" w:type="dxa"/>
            <w:tcBorders>
              <w:top w:val="nil"/>
              <w:left w:val="nil"/>
              <w:bottom w:val="single" w:color="auto" w:sz="4" w:space="0"/>
              <w:right w:val="single" w:color="auto" w:sz="4" w:space="0"/>
            </w:tcBorders>
            <w:noWrap w:val="0"/>
            <w:vAlign w:val="center"/>
          </w:tcPr>
          <w:p w14:paraId="6AC87004">
            <w:pPr>
              <w:widowControl/>
              <w:jc w:val="left"/>
              <w:rPr>
                <w:color w:val="auto"/>
                <w:szCs w:val="21"/>
                <w:highlight w:val="none"/>
              </w:rPr>
            </w:pPr>
            <w:r>
              <w:rPr>
                <w:rFonts w:hint="eastAsia"/>
                <w:color w:val="auto"/>
                <w:szCs w:val="21"/>
                <w:highlight w:val="none"/>
              </w:rPr>
              <w:t>20≤X＜100</w:t>
            </w:r>
          </w:p>
        </w:tc>
        <w:tc>
          <w:tcPr>
            <w:tcW w:w="1490" w:type="dxa"/>
            <w:tcBorders>
              <w:top w:val="nil"/>
              <w:left w:val="nil"/>
              <w:bottom w:val="single" w:color="auto" w:sz="4" w:space="0"/>
              <w:right w:val="single" w:color="auto" w:sz="4" w:space="0"/>
            </w:tcBorders>
            <w:noWrap w:val="0"/>
            <w:vAlign w:val="center"/>
          </w:tcPr>
          <w:p w14:paraId="7C32CD36">
            <w:pPr>
              <w:widowControl/>
              <w:jc w:val="left"/>
              <w:rPr>
                <w:color w:val="auto"/>
                <w:szCs w:val="21"/>
                <w:highlight w:val="none"/>
              </w:rPr>
            </w:pPr>
            <w:r>
              <w:rPr>
                <w:rFonts w:hint="eastAsia"/>
                <w:color w:val="auto"/>
                <w:szCs w:val="21"/>
                <w:highlight w:val="none"/>
              </w:rPr>
              <w:t>X＜20</w:t>
            </w:r>
          </w:p>
        </w:tc>
      </w:tr>
      <w:tr w14:paraId="5C20ABC8">
        <w:tblPrEx>
          <w:tblCellMar>
            <w:top w:w="0" w:type="dxa"/>
            <w:left w:w="108" w:type="dxa"/>
            <w:bottom w:w="0" w:type="dxa"/>
            <w:right w:w="108" w:type="dxa"/>
          </w:tblCellMar>
        </w:tblPrEx>
        <w:trPr>
          <w:trHeight w:val="220" w:hRule="atLeast"/>
        </w:trPr>
        <w:tc>
          <w:tcPr>
            <w:tcW w:w="1696" w:type="dxa"/>
            <w:vMerge w:val="continue"/>
            <w:tcBorders>
              <w:top w:val="nil"/>
              <w:left w:val="single" w:color="auto" w:sz="4" w:space="0"/>
              <w:bottom w:val="single" w:color="auto" w:sz="4" w:space="0"/>
              <w:right w:val="single" w:color="auto" w:sz="4" w:space="0"/>
            </w:tcBorders>
            <w:noWrap w:val="0"/>
            <w:vAlign w:val="center"/>
          </w:tcPr>
          <w:p w14:paraId="5F24FF63">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BE669BD">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1F55A0E9">
            <w:pPr>
              <w:widowControl/>
              <w:jc w:val="center"/>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7B4F6681">
            <w:pPr>
              <w:widowControl/>
              <w:jc w:val="left"/>
              <w:rPr>
                <w:color w:val="auto"/>
                <w:szCs w:val="21"/>
                <w:highlight w:val="none"/>
              </w:rPr>
            </w:pPr>
            <w:r>
              <w:rPr>
                <w:rFonts w:hint="eastAsia"/>
                <w:color w:val="auto"/>
                <w:szCs w:val="21"/>
                <w:highlight w:val="none"/>
              </w:rPr>
              <w:t>1000≤Y＜30000</w:t>
            </w:r>
          </w:p>
        </w:tc>
        <w:tc>
          <w:tcPr>
            <w:tcW w:w="1570" w:type="dxa"/>
            <w:tcBorders>
              <w:top w:val="nil"/>
              <w:left w:val="nil"/>
              <w:bottom w:val="single" w:color="auto" w:sz="4" w:space="0"/>
              <w:right w:val="single" w:color="auto" w:sz="4" w:space="0"/>
            </w:tcBorders>
            <w:noWrap w:val="0"/>
            <w:vAlign w:val="center"/>
          </w:tcPr>
          <w:p w14:paraId="460E3E5C">
            <w:pPr>
              <w:widowControl/>
              <w:jc w:val="left"/>
              <w:rPr>
                <w:color w:val="auto"/>
                <w:szCs w:val="21"/>
                <w:highlight w:val="none"/>
              </w:rPr>
            </w:pPr>
            <w:r>
              <w:rPr>
                <w:rFonts w:hint="eastAsia"/>
                <w:color w:val="auto"/>
                <w:szCs w:val="21"/>
                <w:highlight w:val="none"/>
              </w:rPr>
              <w:t>100≤Y＜1000</w:t>
            </w:r>
          </w:p>
        </w:tc>
        <w:tc>
          <w:tcPr>
            <w:tcW w:w="1490" w:type="dxa"/>
            <w:tcBorders>
              <w:top w:val="nil"/>
              <w:left w:val="nil"/>
              <w:bottom w:val="single" w:color="auto" w:sz="4" w:space="0"/>
              <w:right w:val="single" w:color="auto" w:sz="4" w:space="0"/>
            </w:tcBorders>
            <w:noWrap w:val="0"/>
            <w:vAlign w:val="center"/>
          </w:tcPr>
          <w:p w14:paraId="69AC3D40">
            <w:pPr>
              <w:widowControl/>
              <w:jc w:val="left"/>
              <w:rPr>
                <w:color w:val="auto"/>
                <w:szCs w:val="21"/>
                <w:highlight w:val="none"/>
              </w:rPr>
            </w:pPr>
            <w:r>
              <w:rPr>
                <w:rFonts w:hint="eastAsia"/>
                <w:color w:val="auto"/>
                <w:szCs w:val="21"/>
                <w:highlight w:val="none"/>
              </w:rPr>
              <w:t>Y＜100</w:t>
            </w:r>
          </w:p>
        </w:tc>
      </w:tr>
      <w:tr w14:paraId="25C6AFCA">
        <w:tblPrEx>
          <w:tblCellMar>
            <w:top w:w="0" w:type="dxa"/>
            <w:left w:w="108" w:type="dxa"/>
            <w:bottom w:w="0" w:type="dxa"/>
            <w:right w:w="108" w:type="dxa"/>
          </w:tblCellMar>
        </w:tblPrEx>
        <w:trPr>
          <w:trHeight w:val="220" w:hRule="atLeast"/>
        </w:trPr>
        <w:tc>
          <w:tcPr>
            <w:tcW w:w="1696" w:type="dxa"/>
            <w:vMerge w:val="restart"/>
            <w:tcBorders>
              <w:top w:val="nil"/>
              <w:left w:val="single" w:color="auto" w:sz="4" w:space="0"/>
              <w:bottom w:val="single" w:color="auto" w:sz="4" w:space="0"/>
              <w:right w:val="single" w:color="auto" w:sz="4" w:space="0"/>
            </w:tcBorders>
            <w:noWrap w:val="0"/>
            <w:vAlign w:val="bottom"/>
          </w:tcPr>
          <w:p w14:paraId="3AE125F6">
            <w:pPr>
              <w:widowControl/>
              <w:jc w:val="center"/>
              <w:rPr>
                <w:color w:val="auto"/>
                <w:szCs w:val="21"/>
                <w:highlight w:val="none"/>
              </w:rPr>
            </w:pPr>
            <w:r>
              <w:rPr>
                <w:rFonts w:hint="eastAsia"/>
                <w:color w:val="auto"/>
                <w:szCs w:val="21"/>
                <w:highlight w:val="none"/>
              </w:rPr>
              <w:t>邮政业</w:t>
            </w:r>
          </w:p>
        </w:tc>
        <w:tc>
          <w:tcPr>
            <w:tcW w:w="1701" w:type="dxa"/>
            <w:tcBorders>
              <w:top w:val="nil"/>
              <w:left w:val="nil"/>
              <w:bottom w:val="single" w:color="auto" w:sz="4" w:space="0"/>
              <w:right w:val="single" w:color="auto" w:sz="4" w:space="0"/>
            </w:tcBorders>
            <w:noWrap w:val="0"/>
            <w:vAlign w:val="center"/>
          </w:tcPr>
          <w:p w14:paraId="446B6429">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63966447">
            <w:pPr>
              <w:widowControl/>
              <w:jc w:val="center"/>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6E2842E1">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0D03314B">
            <w:pPr>
              <w:widowControl/>
              <w:jc w:val="left"/>
              <w:rPr>
                <w:color w:val="auto"/>
                <w:szCs w:val="21"/>
                <w:highlight w:val="none"/>
              </w:rPr>
            </w:pPr>
            <w:r>
              <w:rPr>
                <w:rFonts w:hint="eastAsia"/>
                <w:color w:val="auto"/>
                <w:szCs w:val="21"/>
                <w:highlight w:val="none"/>
              </w:rPr>
              <w:t>20≤X＜300</w:t>
            </w:r>
          </w:p>
        </w:tc>
        <w:tc>
          <w:tcPr>
            <w:tcW w:w="1490" w:type="dxa"/>
            <w:tcBorders>
              <w:top w:val="nil"/>
              <w:left w:val="nil"/>
              <w:bottom w:val="single" w:color="auto" w:sz="4" w:space="0"/>
              <w:right w:val="single" w:color="auto" w:sz="4" w:space="0"/>
            </w:tcBorders>
            <w:noWrap w:val="0"/>
            <w:vAlign w:val="center"/>
          </w:tcPr>
          <w:p w14:paraId="4E18E032">
            <w:pPr>
              <w:widowControl/>
              <w:jc w:val="left"/>
              <w:rPr>
                <w:color w:val="auto"/>
                <w:szCs w:val="21"/>
                <w:highlight w:val="none"/>
              </w:rPr>
            </w:pPr>
            <w:r>
              <w:rPr>
                <w:rFonts w:hint="eastAsia"/>
                <w:color w:val="auto"/>
                <w:szCs w:val="21"/>
                <w:highlight w:val="none"/>
              </w:rPr>
              <w:t>X＜20</w:t>
            </w:r>
          </w:p>
        </w:tc>
      </w:tr>
      <w:tr w14:paraId="7BB85591">
        <w:tblPrEx>
          <w:tblCellMar>
            <w:top w:w="0" w:type="dxa"/>
            <w:left w:w="108" w:type="dxa"/>
            <w:bottom w:w="0" w:type="dxa"/>
            <w:right w:w="108" w:type="dxa"/>
          </w:tblCellMar>
        </w:tblPrEx>
        <w:trPr>
          <w:trHeight w:val="220" w:hRule="atLeast"/>
        </w:trPr>
        <w:tc>
          <w:tcPr>
            <w:tcW w:w="1696" w:type="dxa"/>
            <w:vMerge w:val="continue"/>
            <w:tcBorders>
              <w:top w:val="nil"/>
              <w:left w:val="single" w:color="auto" w:sz="4" w:space="0"/>
              <w:bottom w:val="single" w:color="auto" w:sz="4" w:space="0"/>
              <w:right w:val="single" w:color="auto" w:sz="4" w:space="0"/>
            </w:tcBorders>
            <w:noWrap w:val="0"/>
            <w:vAlign w:val="center"/>
          </w:tcPr>
          <w:p w14:paraId="2587C7A8">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3DCEBB33">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162685C1">
            <w:pPr>
              <w:widowControl/>
              <w:jc w:val="center"/>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6E8DAD1E">
            <w:pPr>
              <w:widowControl/>
              <w:jc w:val="left"/>
              <w:rPr>
                <w:color w:val="auto"/>
                <w:szCs w:val="21"/>
                <w:highlight w:val="none"/>
              </w:rPr>
            </w:pPr>
            <w:r>
              <w:rPr>
                <w:rFonts w:hint="eastAsia"/>
                <w:color w:val="auto"/>
                <w:szCs w:val="21"/>
                <w:highlight w:val="none"/>
              </w:rPr>
              <w:t>2000≤Y＜30000</w:t>
            </w:r>
          </w:p>
        </w:tc>
        <w:tc>
          <w:tcPr>
            <w:tcW w:w="1570" w:type="dxa"/>
            <w:tcBorders>
              <w:top w:val="nil"/>
              <w:left w:val="nil"/>
              <w:bottom w:val="single" w:color="auto" w:sz="4" w:space="0"/>
              <w:right w:val="single" w:color="auto" w:sz="4" w:space="0"/>
            </w:tcBorders>
            <w:noWrap w:val="0"/>
            <w:vAlign w:val="center"/>
          </w:tcPr>
          <w:p w14:paraId="0908F265">
            <w:pPr>
              <w:widowControl/>
              <w:jc w:val="left"/>
              <w:rPr>
                <w:color w:val="auto"/>
                <w:szCs w:val="21"/>
                <w:highlight w:val="none"/>
              </w:rPr>
            </w:pPr>
            <w:r>
              <w:rPr>
                <w:rFonts w:hint="eastAsia"/>
                <w:color w:val="auto"/>
                <w:szCs w:val="21"/>
                <w:highlight w:val="none"/>
              </w:rPr>
              <w:t>100≤Y＜2000</w:t>
            </w:r>
          </w:p>
        </w:tc>
        <w:tc>
          <w:tcPr>
            <w:tcW w:w="1490" w:type="dxa"/>
            <w:tcBorders>
              <w:top w:val="nil"/>
              <w:left w:val="nil"/>
              <w:bottom w:val="single" w:color="auto" w:sz="4" w:space="0"/>
              <w:right w:val="single" w:color="auto" w:sz="4" w:space="0"/>
            </w:tcBorders>
            <w:noWrap w:val="0"/>
            <w:vAlign w:val="center"/>
          </w:tcPr>
          <w:p w14:paraId="546FE4A4">
            <w:pPr>
              <w:widowControl/>
              <w:jc w:val="left"/>
              <w:rPr>
                <w:color w:val="auto"/>
                <w:szCs w:val="21"/>
                <w:highlight w:val="none"/>
              </w:rPr>
            </w:pPr>
            <w:r>
              <w:rPr>
                <w:rFonts w:hint="eastAsia"/>
                <w:color w:val="auto"/>
                <w:szCs w:val="21"/>
                <w:highlight w:val="none"/>
              </w:rPr>
              <w:t>Y＜100</w:t>
            </w:r>
          </w:p>
        </w:tc>
      </w:tr>
      <w:tr w14:paraId="06E27AD6">
        <w:tblPrEx>
          <w:tblCellMar>
            <w:top w:w="0" w:type="dxa"/>
            <w:left w:w="108" w:type="dxa"/>
            <w:bottom w:w="0" w:type="dxa"/>
            <w:right w:w="108" w:type="dxa"/>
          </w:tblCellMar>
        </w:tblPrEx>
        <w:trPr>
          <w:trHeight w:val="220" w:hRule="atLeast"/>
        </w:trPr>
        <w:tc>
          <w:tcPr>
            <w:tcW w:w="1696" w:type="dxa"/>
            <w:vMerge w:val="restart"/>
            <w:tcBorders>
              <w:top w:val="nil"/>
              <w:left w:val="single" w:color="auto" w:sz="4" w:space="0"/>
              <w:bottom w:val="single" w:color="auto" w:sz="4" w:space="0"/>
              <w:right w:val="single" w:color="auto" w:sz="4" w:space="0"/>
            </w:tcBorders>
            <w:noWrap w:val="0"/>
            <w:vAlign w:val="bottom"/>
          </w:tcPr>
          <w:p w14:paraId="3F0A7AB8">
            <w:pPr>
              <w:widowControl/>
              <w:jc w:val="center"/>
              <w:rPr>
                <w:color w:val="auto"/>
                <w:szCs w:val="21"/>
                <w:highlight w:val="none"/>
              </w:rPr>
            </w:pPr>
            <w:r>
              <w:rPr>
                <w:rFonts w:hint="eastAsia"/>
                <w:color w:val="auto"/>
                <w:szCs w:val="21"/>
                <w:highlight w:val="none"/>
              </w:rPr>
              <w:t>住宿业</w:t>
            </w:r>
          </w:p>
        </w:tc>
        <w:tc>
          <w:tcPr>
            <w:tcW w:w="1701" w:type="dxa"/>
            <w:tcBorders>
              <w:top w:val="nil"/>
              <w:left w:val="nil"/>
              <w:bottom w:val="single" w:color="auto" w:sz="4" w:space="0"/>
              <w:right w:val="single" w:color="auto" w:sz="4" w:space="0"/>
            </w:tcBorders>
            <w:noWrap w:val="0"/>
            <w:vAlign w:val="center"/>
          </w:tcPr>
          <w:p w14:paraId="3E6E3942">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3F624019">
            <w:pPr>
              <w:widowControl/>
              <w:jc w:val="center"/>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6BCD763F">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6C0A187C">
            <w:pPr>
              <w:widowControl/>
              <w:jc w:val="left"/>
              <w:rPr>
                <w:color w:val="auto"/>
                <w:szCs w:val="21"/>
                <w:highlight w:val="none"/>
              </w:rPr>
            </w:pPr>
            <w:r>
              <w:rPr>
                <w:rFonts w:hint="eastAsia"/>
                <w:color w:val="auto"/>
                <w:szCs w:val="21"/>
                <w:highlight w:val="none"/>
              </w:rPr>
              <w:t>10≤X＜100</w:t>
            </w:r>
          </w:p>
        </w:tc>
        <w:tc>
          <w:tcPr>
            <w:tcW w:w="1490" w:type="dxa"/>
            <w:tcBorders>
              <w:top w:val="nil"/>
              <w:left w:val="nil"/>
              <w:bottom w:val="single" w:color="auto" w:sz="4" w:space="0"/>
              <w:right w:val="single" w:color="auto" w:sz="4" w:space="0"/>
            </w:tcBorders>
            <w:noWrap w:val="0"/>
            <w:vAlign w:val="center"/>
          </w:tcPr>
          <w:p w14:paraId="2F50FB6C">
            <w:pPr>
              <w:widowControl/>
              <w:jc w:val="left"/>
              <w:rPr>
                <w:color w:val="auto"/>
                <w:szCs w:val="21"/>
                <w:highlight w:val="none"/>
              </w:rPr>
            </w:pPr>
            <w:r>
              <w:rPr>
                <w:rFonts w:hint="eastAsia"/>
                <w:color w:val="auto"/>
                <w:szCs w:val="21"/>
                <w:highlight w:val="none"/>
              </w:rPr>
              <w:t>X＜10</w:t>
            </w:r>
          </w:p>
        </w:tc>
      </w:tr>
      <w:tr w14:paraId="6DBAAD04">
        <w:tblPrEx>
          <w:tblCellMar>
            <w:top w:w="0" w:type="dxa"/>
            <w:left w:w="108" w:type="dxa"/>
            <w:bottom w:w="0" w:type="dxa"/>
            <w:right w:w="108" w:type="dxa"/>
          </w:tblCellMar>
        </w:tblPrEx>
        <w:trPr>
          <w:trHeight w:val="220" w:hRule="atLeast"/>
        </w:trPr>
        <w:tc>
          <w:tcPr>
            <w:tcW w:w="1696" w:type="dxa"/>
            <w:vMerge w:val="continue"/>
            <w:tcBorders>
              <w:top w:val="nil"/>
              <w:left w:val="single" w:color="auto" w:sz="4" w:space="0"/>
              <w:bottom w:val="single" w:color="auto" w:sz="4" w:space="0"/>
              <w:right w:val="single" w:color="auto" w:sz="4" w:space="0"/>
            </w:tcBorders>
            <w:noWrap w:val="0"/>
            <w:vAlign w:val="center"/>
          </w:tcPr>
          <w:p w14:paraId="2A18CFBB">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878A9F9">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7A14AD0F">
            <w:pPr>
              <w:widowControl/>
              <w:jc w:val="center"/>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4EED92B6">
            <w:pPr>
              <w:widowControl/>
              <w:jc w:val="left"/>
              <w:rPr>
                <w:color w:val="auto"/>
                <w:szCs w:val="21"/>
                <w:highlight w:val="none"/>
              </w:rPr>
            </w:pPr>
            <w:r>
              <w:rPr>
                <w:rFonts w:hint="eastAsia"/>
                <w:color w:val="auto"/>
                <w:szCs w:val="21"/>
                <w:highlight w:val="none"/>
              </w:rPr>
              <w:t>2000≤Y＜10000</w:t>
            </w:r>
          </w:p>
        </w:tc>
        <w:tc>
          <w:tcPr>
            <w:tcW w:w="1570" w:type="dxa"/>
            <w:tcBorders>
              <w:top w:val="nil"/>
              <w:left w:val="nil"/>
              <w:bottom w:val="single" w:color="auto" w:sz="4" w:space="0"/>
              <w:right w:val="single" w:color="auto" w:sz="4" w:space="0"/>
            </w:tcBorders>
            <w:noWrap w:val="0"/>
            <w:vAlign w:val="center"/>
          </w:tcPr>
          <w:p w14:paraId="1969A5EB">
            <w:pPr>
              <w:widowControl/>
              <w:jc w:val="left"/>
              <w:rPr>
                <w:color w:val="auto"/>
                <w:szCs w:val="21"/>
                <w:highlight w:val="none"/>
              </w:rPr>
            </w:pPr>
            <w:r>
              <w:rPr>
                <w:rFonts w:hint="eastAsia"/>
                <w:color w:val="auto"/>
                <w:szCs w:val="21"/>
                <w:highlight w:val="none"/>
              </w:rPr>
              <w:t>100≤Y＜2000</w:t>
            </w:r>
          </w:p>
        </w:tc>
        <w:tc>
          <w:tcPr>
            <w:tcW w:w="1490" w:type="dxa"/>
            <w:tcBorders>
              <w:top w:val="nil"/>
              <w:left w:val="nil"/>
              <w:bottom w:val="single" w:color="auto" w:sz="4" w:space="0"/>
              <w:right w:val="single" w:color="auto" w:sz="4" w:space="0"/>
            </w:tcBorders>
            <w:noWrap w:val="0"/>
            <w:vAlign w:val="center"/>
          </w:tcPr>
          <w:p w14:paraId="2DDE7DBE">
            <w:pPr>
              <w:widowControl/>
              <w:jc w:val="left"/>
              <w:rPr>
                <w:color w:val="auto"/>
                <w:szCs w:val="21"/>
                <w:highlight w:val="none"/>
              </w:rPr>
            </w:pPr>
            <w:r>
              <w:rPr>
                <w:rFonts w:hint="eastAsia"/>
                <w:color w:val="auto"/>
                <w:szCs w:val="21"/>
                <w:highlight w:val="none"/>
              </w:rPr>
              <w:t>Y＜100</w:t>
            </w:r>
          </w:p>
        </w:tc>
      </w:tr>
      <w:tr w14:paraId="5E7C70EF">
        <w:tblPrEx>
          <w:tblCellMar>
            <w:top w:w="0" w:type="dxa"/>
            <w:left w:w="108" w:type="dxa"/>
            <w:bottom w:w="0" w:type="dxa"/>
            <w:right w:w="108" w:type="dxa"/>
          </w:tblCellMar>
        </w:tblPrEx>
        <w:trPr>
          <w:trHeight w:val="220" w:hRule="atLeast"/>
        </w:trPr>
        <w:tc>
          <w:tcPr>
            <w:tcW w:w="1696" w:type="dxa"/>
            <w:vMerge w:val="restart"/>
            <w:tcBorders>
              <w:top w:val="nil"/>
              <w:left w:val="single" w:color="auto" w:sz="4" w:space="0"/>
              <w:bottom w:val="single" w:color="auto" w:sz="4" w:space="0"/>
              <w:right w:val="single" w:color="auto" w:sz="4" w:space="0"/>
            </w:tcBorders>
            <w:noWrap w:val="0"/>
            <w:vAlign w:val="bottom"/>
          </w:tcPr>
          <w:p w14:paraId="590F93A3">
            <w:pPr>
              <w:widowControl/>
              <w:jc w:val="center"/>
              <w:rPr>
                <w:color w:val="auto"/>
                <w:szCs w:val="21"/>
                <w:highlight w:val="none"/>
              </w:rPr>
            </w:pPr>
            <w:r>
              <w:rPr>
                <w:rFonts w:hint="eastAsia"/>
                <w:color w:val="auto"/>
                <w:szCs w:val="21"/>
                <w:highlight w:val="none"/>
              </w:rPr>
              <w:t>餐饮业</w:t>
            </w:r>
          </w:p>
        </w:tc>
        <w:tc>
          <w:tcPr>
            <w:tcW w:w="1701" w:type="dxa"/>
            <w:tcBorders>
              <w:top w:val="nil"/>
              <w:left w:val="nil"/>
              <w:bottom w:val="single" w:color="auto" w:sz="4" w:space="0"/>
              <w:right w:val="single" w:color="auto" w:sz="4" w:space="0"/>
            </w:tcBorders>
            <w:noWrap w:val="0"/>
            <w:vAlign w:val="center"/>
          </w:tcPr>
          <w:p w14:paraId="6D3F97BA">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55F8814A">
            <w:pPr>
              <w:widowControl/>
              <w:jc w:val="center"/>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44852859">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0B2A1D6B">
            <w:pPr>
              <w:widowControl/>
              <w:jc w:val="left"/>
              <w:rPr>
                <w:color w:val="auto"/>
                <w:szCs w:val="21"/>
                <w:highlight w:val="none"/>
              </w:rPr>
            </w:pPr>
            <w:r>
              <w:rPr>
                <w:rFonts w:hint="eastAsia"/>
                <w:color w:val="auto"/>
                <w:szCs w:val="21"/>
                <w:highlight w:val="none"/>
              </w:rPr>
              <w:t>10≤X＜100</w:t>
            </w:r>
          </w:p>
        </w:tc>
        <w:tc>
          <w:tcPr>
            <w:tcW w:w="1490" w:type="dxa"/>
            <w:tcBorders>
              <w:top w:val="nil"/>
              <w:left w:val="nil"/>
              <w:bottom w:val="single" w:color="auto" w:sz="4" w:space="0"/>
              <w:right w:val="single" w:color="auto" w:sz="4" w:space="0"/>
            </w:tcBorders>
            <w:noWrap w:val="0"/>
            <w:vAlign w:val="center"/>
          </w:tcPr>
          <w:p w14:paraId="29B2179D">
            <w:pPr>
              <w:widowControl/>
              <w:jc w:val="left"/>
              <w:rPr>
                <w:color w:val="auto"/>
                <w:szCs w:val="21"/>
                <w:highlight w:val="none"/>
              </w:rPr>
            </w:pPr>
            <w:r>
              <w:rPr>
                <w:rFonts w:hint="eastAsia"/>
                <w:color w:val="auto"/>
                <w:szCs w:val="21"/>
                <w:highlight w:val="none"/>
              </w:rPr>
              <w:t>X＜10</w:t>
            </w:r>
          </w:p>
        </w:tc>
      </w:tr>
      <w:tr w14:paraId="3BEFFEAD">
        <w:tblPrEx>
          <w:tblCellMar>
            <w:top w:w="0" w:type="dxa"/>
            <w:left w:w="108" w:type="dxa"/>
            <w:bottom w:w="0" w:type="dxa"/>
            <w:right w:w="108" w:type="dxa"/>
          </w:tblCellMar>
        </w:tblPrEx>
        <w:trPr>
          <w:trHeight w:val="220" w:hRule="atLeast"/>
        </w:trPr>
        <w:tc>
          <w:tcPr>
            <w:tcW w:w="1696" w:type="dxa"/>
            <w:vMerge w:val="continue"/>
            <w:tcBorders>
              <w:top w:val="nil"/>
              <w:left w:val="single" w:color="auto" w:sz="4" w:space="0"/>
              <w:bottom w:val="single" w:color="auto" w:sz="4" w:space="0"/>
              <w:right w:val="single" w:color="auto" w:sz="4" w:space="0"/>
            </w:tcBorders>
            <w:noWrap w:val="0"/>
            <w:vAlign w:val="center"/>
          </w:tcPr>
          <w:p w14:paraId="48967AD8">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43038F87">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45BD580">
            <w:pPr>
              <w:widowControl/>
              <w:jc w:val="center"/>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708822F0">
            <w:pPr>
              <w:widowControl/>
              <w:jc w:val="left"/>
              <w:rPr>
                <w:color w:val="auto"/>
                <w:szCs w:val="21"/>
                <w:highlight w:val="none"/>
              </w:rPr>
            </w:pPr>
            <w:r>
              <w:rPr>
                <w:rFonts w:hint="eastAsia"/>
                <w:color w:val="auto"/>
                <w:szCs w:val="21"/>
                <w:highlight w:val="none"/>
              </w:rPr>
              <w:t>2000≤Y＜10000</w:t>
            </w:r>
          </w:p>
        </w:tc>
        <w:tc>
          <w:tcPr>
            <w:tcW w:w="1570" w:type="dxa"/>
            <w:tcBorders>
              <w:top w:val="nil"/>
              <w:left w:val="nil"/>
              <w:bottom w:val="single" w:color="auto" w:sz="4" w:space="0"/>
              <w:right w:val="single" w:color="auto" w:sz="4" w:space="0"/>
            </w:tcBorders>
            <w:noWrap w:val="0"/>
            <w:vAlign w:val="center"/>
          </w:tcPr>
          <w:p w14:paraId="253ACA9C">
            <w:pPr>
              <w:widowControl/>
              <w:jc w:val="left"/>
              <w:rPr>
                <w:color w:val="auto"/>
                <w:szCs w:val="21"/>
                <w:highlight w:val="none"/>
              </w:rPr>
            </w:pPr>
            <w:r>
              <w:rPr>
                <w:rFonts w:hint="eastAsia"/>
                <w:color w:val="auto"/>
                <w:szCs w:val="21"/>
                <w:highlight w:val="none"/>
              </w:rPr>
              <w:t>100≤Y＜2000</w:t>
            </w:r>
          </w:p>
        </w:tc>
        <w:tc>
          <w:tcPr>
            <w:tcW w:w="1490" w:type="dxa"/>
            <w:tcBorders>
              <w:top w:val="nil"/>
              <w:left w:val="nil"/>
              <w:bottom w:val="single" w:color="auto" w:sz="4" w:space="0"/>
              <w:right w:val="single" w:color="auto" w:sz="4" w:space="0"/>
            </w:tcBorders>
            <w:noWrap w:val="0"/>
            <w:vAlign w:val="center"/>
          </w:tcPr>
          <w:p w14:paraId="08B0803F">
            <w:pPr>
              <w:widowControl/>
              <w:jc w:val="left"/>
              <w:rPr>
                <w:color w:val="auto"/>
                <w:szCs w:val="21"/>
                <w:highlight w:val="none"/>
              </w:rPr>
            </w:pPr>
            <w:r>
              <w:rPr>
                <w:rFonts w:hint="eastAsia"/>
                <w:color w:val="auto"/>
                <w:szCs w:val="21"/>
                <w:highlight w:val="none"/>
              </w:rPr>
              <w:t>Y＜100</w:t>
            </w:r>
          </w:p>
        </w:tc>
      </w:tr>
      <w:tr w14:paraId="79106332">
        <w:tblPrEx>
          <w:tblCellMar>
            <w:top w:w="0" w:type="dxa"/>
            <w:left w:w="108" w:type="dxa"/>
            <w:bottom w:w="0" w:type="dxa"/>
            <w:right w:w="108" w:type="dxa"/>
          </w:tblCellMar>
        </w:tblPrEx>
        <w:trPr>
          <w:trHeight w:val="220" w:hRule="atLeast"/>
        </w:trPr>
        <w:tc>
          <w:tcPr>
            <w:tcW w:w="1696" w:type="dxa"/>
            <w:vMerge w:val="restart"/>
            <w:tcBorders>
              <w:top w:val="nil"/>
              <w:left w:val="single" w:color="auto" w:sz="4" w:space="0"/>
              <w:bottom w:val="single" w:color="auto" w:sz="4" w:space="0"/>
              <w:right w:val="single" w:color="auto" w:sz="4" w:space="0"/>
            </w:tcBorders>
            <w:noWrap w:val="0"/>
            <w:vAlign w:val="bottom"/>
          </w:tcPr>
          <w:p w14:paraId="05E4E4E9">
            <w:pPr>
              <w:widowControl/>
              <w:jc w:val="center"/>
              <w:rPr>
                <w:color w:val="auto"/>
                <w:szCs w:val="21"/>
                <w:highlight w:val="none"/>
              </w:rPr>
            </w:pPr>
            <w:r>
              <w:rPr>
                <w:rFonts w:hint="eastAsia"/>
                <w:color w:val="auto"/>
                <w:szCs w:val="21"/>
                <w:highlight w:val="none"/>
              </w:rPr>
              <w:t>信息传输业</w:t>
            </w:r>
          </w:p>
        </w:tc>
        <w:tc>
          <w:tcPr>
            <w:tcW w:w="1701" w:type="dxa"/>
            <w:tcBorders>
              <w:top w:val="nil"/>
              <w:left w:val="nil"/>
              <w:bottom w:val="single" w:color="auto" w:sz="4" w:space="0"/>
              <w:right w:val="single" w:color="auto" w:sz="4" w:space="0"/>
            </w:tcBorders>
            <w:noWrap w:val="0"/>
            <w:vAlign w:val="center"/>
          </w:tcPr>
          <w:p w14:paraId="475EC249">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61DAEB49">
            <w:pPr>
              <w:widowControl/>
              <w:jc w:val="center"/>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73B3797A">
            <w:pPr>
              <w:widowControl/>
              <w:jc w:val="left"/>
              <w:rPr>
                <w:color w:val="auto"/>
                <w:szCs w:val="21"/>
                <w:highlight w:val="none"/>
              </w:rPr>
            </w:pPr>
            <w:r>
              <w:rPr>
                <w:rFonts w:hint="eastAsia"/>
                <w:color w:val="auto"/>
                <w:szCs w:val="21"/>
                <w:highlight w:val="none"/>
              </w:rPr>
              <w:t>100≤X＜2000</w:t>
            </w:r>
          </w:p>
        </w:tc>
        <w:tc>
          <w:tcPr>
            <w:tcW w:w="1570" w:type="dxa"/>
            <w:tcBorders>
              <w:top w:val="nil"/>
              <w:left w:val="nil"/>
              <w:bottom w:val="single" w:color="auto" w:sz="4" w:space="0"/>
              <w:right w:val="single" w:color="auto" w:sz="4" w:space="0"/>
            </w:tcBorders>
            <w:noWrap w:val="0"/>
            <w:vAlign w:val="center"/>
          </w:tcPr>
          <w:p w14:paraId="47EAED48">
            <w:pPr>
              <w:widowControl/>
              <w:jc w:val="left"/>
              <w:rPr>
                <w:color w:val="auto"/>
                <w:szCs w:val="21"/>
                <w:highlight w:val="none"/>
              </w:rPr>
            </w:pPr>
            <w:r>
              <w:rPr>
                <w:rFonts w:hint="eastAsia"/>
                <w:color w:val="auto"/>
                <w:szCs w:val="21"/>
                <w:highlight w:val="none"/>
              </w:rPr>
              <w:t>10≤X＜100</w:t>
            </w:r>
          </w:p>
        </w:tc>
        <w:tc>
          <w:tcPr>
            <w:tcW w:w="1490" w:type="dxa"/>
            <w:tcBorders>
              <w:top w:val="nil"/>
              <w:left w:val="nil"/>
              <w:bottom w:val="single" w:color="auto" w:sz="4" w:space="0"/>
              <w:right w:val="single" w:color="auto" w:sz="4" w:space="0"/>
            </w:tcBorders>
            <w:noWrap w:val="0"/>
            <w:vAlign w:val="center"/>
          </w:tcPr>
          <w:p w14:paraId="7A56955B">
            <w:pPr>
              <w:widowControl/>
              <w:jc w:val="left"/>
              <w:rPr>
                <w:color w:val="auto"/>
                <w:szCs w:val="21"/>
                <w:highlight w:val="none"/>
              </w:rPr>
            </w:pPr>
            <w:r>
              <w:rPr>
                <w:rFonts w:hint="eastAsia"/>
                <w:color w:val="auto"/>
                <w:szCs w:val="21"/>
                <w:highlight w:val="none"/>
              </w:rPr>
              <w:t>X＜10</w:t>
            </w:r>
          </w:p>
        </w:tc>
      </w:tr>
      <w:tr w14:paraId="5D528CE0">
        <w:tblPrEx>
          <w:tblCellMar>
            <w:top w:w="0" w:type="dxa"/>
            <w:left w:w="108" w:type="dxa"/>
            <w:bottom w:w="0" w:type="dxa"/>
            <w:right w:w="108" w:type="dxa"/>
          </w:tblCellMar>
        </w:tblPrEx>
        <w:trPr>
          <w:trHeight w:val="220" w:hRule="atLeast"/>
        </w:trPr>
        <w:tc>
          <w:tcPr>
            <w:tcW w:w="1696" w:type="dxa"/>
            <w:vMerge w:val="continue"/>
            <w:tcBorders>
              <w:top w:val="nil"/>
              <w:left w:val="single" w:color="auto" w:sz="4" w:space="0"/>
              <w:bottom w:val="single" w:color="auto" w:sz="4" w:space="0"/>
              <w:right w:val="single" w:color="auto" w:sz="4" w:space="0"/>
            </w:tcBorders>
            <w:noWrap w:val="0"/>
            <w:vAlign w:val="center"/>
          </w:tcPr>
          <w:p w14:paraId="3D87AEC9">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4B8A51E9">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1FDFD1C0">
            <w:pPr>
              <w:widowControl/>
              <w:jc w:val="center"/>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4FD57BA3">
            <w:pPr>
              <w:widowControl/>
              <w:jc w:val="left"/>
              <w:rPr>
                <w:color w:val="auto"/>
                <w:szCs w:val="21"/>
                <w:highlight w:val="none"/>
              </w:rPr>
            </w:pPr>
            <w:r>
              <w:rPr>
                <w:rFonts w:hint="eastAsia"/>
                <w:color w:val="auto"/>
                <w:szCs w:val="21"/>
                <w:highlight w:val="none"/>
              </w:rPr>
              <w:t>1000≤Y＜100000</w:t>
            </w:r>
          </w:p>
        </w:tc>
        <w:tc>
          <w:tcPr>
            <w:tcW w:w="1570" w:type="dxa"/>
            <w:tcBorders>
              <w:top w:val="nil"/>
              <w:left w:val="nil"/>
              <w:bottom w:val="single" w:color="auto" w:sz="4" w:space="0"/>
              <w:right w:val="single" w:color="auto" w:sz="4" w:space="0"/>
            </w:tcBorders>
            <w:noWrap w:val="0"/>
            <w:vAlign w:val="center"/>
          </w:tcPr>
          <w:p w14:paraId="34FBEB0A">
            <w:pPr>
              <w:widowControl/>
              <w:jc w:val="left"/>
              <w:rPr>
                <w:color w:val="auto"/>
                <w:szCs w:val="21"/>
                <w:highlight w:val="none"/>
              </w:rPr>
            </w:pPr>
            <w:r>
              <w:rPr>
                <w:rFonts w:hint="eastAsia"/>
                <w:color w:val="auto"/>
                <w:szCs w:val="21"/>
                <w:highlight w:val="none"/>
              </w:rPr>
              <w:t>100≤Y＜1000</w:t>
            </w:r>
          </w:p>
        </w:tc>
        <w:tc>
          <w:tcPr>
            <w:tcW w:w="1490" w:type="dxa"/>
            <w:tcBorders>
              <w:top w:val="nil"/>
              <w:left w:val="nil"/>
              <w:bottom w:val="single" w:color="auto" w:sz="4" w:space="0"/>
              <w:right w:val="single" w:color="auto" w:sz="4" w:space="0"/>
            </w:tcBorders>
            <w:noWrap w:val="0"/>
            <w:vAlign w:val="center"/>
          </w:tcPr>
          <w:p w14:paraId="2E153A04">
            <w:pPr>
              <w:widowControl/>
              <w:jc w:val="left"/>
              <w:rPr>
                <w:color w:val="auto"/>
                <w:szCs w:val="21"/>
                <w:highlight w:val="none"/>
              </w:rPr>
            </w:pPr>
            <w:r>
              <w:rPr>
                <w:rFonts w:hint="eastAsia"/>
                <w:color w:val="auto"/>
                <w:szCs w:val="21"/>
                <w:highlight w:val="none"/>
              </w:rPr>
              <w:t>Y＜100</w:t>
            </w:r>
          </w:p>
        </w:tc>
      </w:tr>
      <w:tr w14:paraId="5975CE49">
        <w:tblPrEx>
          <w:tblCellMar>
            <w:top w:w="0" w:type="dxa"/>
            <w:left w:w="108" w:type="dxa"/>
            <w:bottom w:w="0" w:type="dxa"/>
            <w:right w:w="108" w:type="dxa"/>
          </w:tblCellMar>
        </w:tblPrEx>
        <w:trPr>
          <w:trHeight w:val="220" w:hRule="atLeast"/>
        </w:trPr>
        <w:tc>
          <w:tcPr>
            <w:tcW w:w="1696" w:type="dxa"/>
            <w:vMerge w:val="restart"/>
            <w:tcBorders>
              <w:top w:val="nil"/>
              <w:left w:val="single" w:color="auto" w:sz="4" w:space="0"/>
              <w:bottom w:val="single" w:color="auto" w:sz="4" w:space="0"/>
              <w:right w:val="single" w:color="auto" w:sz="4" w:space="0"/>
            </w:tcBorders>
            <w:noWrap w:val="0"/>
            <w:vAlign w:val="bottom"/>
          </w:tcPr>
          <w:p w14:paraId="336849B1">
            <w:pPr>
              <w:widowControl/>
              <w:jc w:val="center"/>
              <w:rPr>
                <w:color w:val="auto"/>
                <w:szCs w:val="21"/>
                <w:highlight w:val="none"/>
              </w:rPr>
            </w:pPr>
            <w:r>
              <w:rPr>
                <w:rFonts w:hint="eastAsia"/>
                <w:color w:val="auto"/>
                <w:szCs w:val="21"/>
                <w:highlight w:val="none"/>
              </w:rPr>
              <w:t>软件和信息技术服务业</w:t>
            </w:r>
          </w:p>
        </w:tc>
        <w:tc>
          <w:tcPr>
            <w:tcW w:w="1701" w:type="dxa"/>
            <w:tcBorders>
              <w:top w:val="nil"/>
              <w:left w:val="nil"/>
              <w:bottom w:val="single" w:color="auto" w:sz="4" w:space="0"/>
              <w:right w:val="single" w:color="auto" w:sz="4" w:space="0"/>
            </w:tcBorders>
            <w:noWrap w:val="0"/>
            <w:vAlign w:val="center"/>
          </w:tcPr>
          <w:p w14:paraId="2EE26B97">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78731785">
            <w:pPr>
              <w:widowControl/>
              <w:jc w:val="center"/>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07CA94C6">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6B7544A8">
            <w:pPr>
              <w:widowControl/>
              <w:jc w:val="left"/>
              <w:rPr>
                <w:color w:val="auto"/>
                <w:szCs w:val="21"/>
                <w:highlight w:val="none"/>
              </w:rPr>
            </w:pPr>
            <w:r>
              <w:rPr>
                <w:rFonts w:hint="eastAsia"/>
                <w:color w:val="auto"/>
                <w:szCs w:val="21"/>
                <w:highlight w:val="none"/>
              </w:rPr>
              <w:t>10≤X＜100</w:t>
            </w:r>
          </w:p>
        </w:tc>
        <w:tc>
          <w:tcPr>
            <w:tcW w:w="1490" w:type="dxa"/>
            <w:tcBorders>
              <w:top w:val="nil"/>
              <w:left w:val="nil"/>
              <w:bottom w:val="single" w:color="auto" w:sz="4" w:space="0"/>
              <w:right w:val="single" w:color="auto" w:sz="4" w:space="0"/>
            </w:tcBorders>
            <w:noWrap w:val="0"/>
            <w:vAlign w:val="center"/>
          </w:tcPr>
          <w:p w14:paraId="3EF6FB5B">
            <w:pPr>
              <w:widowControl/>
              <w:jc w:val="left"/>
              <w:rPr>
                <w:color w:val="auto"/>
                <w:szCs w:val="21"/>
                <w:highlight w:val="none"/>
              </w:rPr>
            </w:pPr>
            <w:r>
              <w:rPr>
                <w:rFonts w:hint="eastAsia"/>
                <w:color w:val="auto"/>
                <w:szCs w:val="21"/>
                <w:highlight w:val="none"/>
              </w:rPr>
              <w:t>X＜10</w:t>
            </w:r>
          </w:p>
        </w:tc>
      </w:tr>
      <w:tr w14:paraId="24B91D82">
        <w:tblPrEx>
          <w:tblCellMar>
            <w:top w:w="0" w:type="dxa"/>
            <w:left w:w="108" w:type="dxa"/>
            <w:bottom w:w="0" w:type="dxa"/>
            <w:right w:w="108" w:type="dxa"/>
          </w:tblCellMar>
        </w:tblPrEx>
        <w:trPr>
          <w:trHeight w:val="220" w:hRule="atLeast"/>
        </w:trPr>
        <w:tc>
          <w:tcPr>
            <w:tcW w:w="1696" w:type="dxa"/>
            <w:vMerge w:val="continue"/>
            <w:tcBorders>
              <w:top w:val="nil"/>
              <w:left w:val="single" w:color="auto" w:sz="4" w:space="0"/>
              <w:bottom w:val="single" w:color="auto" w:sz="4" w:space="0"/>
              <w:right w:val="single" w:color="auto" w:sz="4" w:space="0"/>
            </w:tcBorders>
            <w:noWrap w:val="0"/>
            <w:vAlign w:val="center"/>
          </w:tcPr>
          <w:p w14:paraId="17425B39">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E8EFEA0">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3F30AE5A">
            <w:pPr>
              <w:widowControl/>
              <w:jc w:val="center"/>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6E0C3D58">
            <w:pPr>
              <w:widowControl/>
              <w:jc w:val="left"/>
              <w:rPr>
                <w:color w:val="auto"/>
                <w:szCs w:val="21"/>
                <w:highlight w:val="none"/>
              </w:rPr>
            </w:pPr>
            <w:r>
              <w:rPr>
                <w:rFonts w:hint="eastAsia"/>
                <w:color w:val="auto"/>
                <w:szCs w:val="21"/>
                <w:highlight w:val="none"/>
              </w:rPr>
              <w:t>1000≤Y＜10000</w:t>
            </w:r>
          </w:p>
        </w:tc>
        <w:tc>
          <w:tcPr>
            <w:tcW w:w="1570" w:type="dxa"/>
            <w:tcBorders>
              <w:top w:val="nil"/>
              <w:left w:val="nil"/>
              <w:bottom w:val="single" w:color="auto" w:sz="4" w:space="0"/>
              <w:right w:val="single" w:color="auto" w:sz="4" w:space="0"/>
            </w:tcBorders>
            <w:noWrap w:val="0"/>
            <w:vAlign w:val="center"/>
          </w:tcPr>
          <w:p w14:paraId="4CCF7757">
            <w:pPr>
              <w:widowControl/>
              <w:jc w:val="left"/>
              <w:rPr>
                <w:color w:val="auto"/>
                <w:szCs w:val="21"/>
                <w:highlight w:val="none"/>
              </w:rPr>
            </w:pPr>
            <w:r>
              <w:rPr>
                <w:rFonts w:hint="eastAsia"/>
                <w:color w:val="auto"/>
                <w:szCs w:val="21"/>
                <w:highlight w:val="none"/>
              </w:rPr>
              <w:t>50≤Y＜1000</w:t>
            </w:r>
          </w:p>
        </w:tc>
        <w:tc>
          <w:tcPr>
            <w:tcW w:w="1490" w:type="dxa"/>
            <w:tcBorders>
              <w:top w:val="nil"/>
              <w:left w:val="nil"/>
              <w:bottom w:val="single" w:color="auto" w:sz="4" w:space="0"/>
              <w:right w:val="single" w:color="auto" w:sz="4" w:space="0"/>
            </w:tcBorders>
            <w:noWrap w:val="0"/>
            <w:vAlign w:val="center"/>
          </w:tcPr>
          <w:p w14:paraId="693F08B9">
            <w:pPr>
              <w:widowControl/>
              <w:jc w:val="left"/>
              <w:rPr>
                <w:color w:val="auto"/>
                <w:szCs w:val="21"/>
                <w:highlight w:val="none"/>
              </w:rPr>
            </w:pPr>
            <w:r>
              <w:rPr>
                <w:rFonts w:hint="eastAsia"/>
                <w:color w:val="auto"/>
                <w:szCs w:val="21"/>
                <w:highlight w:val="none"/>
              </w:rPr>
              <w:t>Y＜50</w:t>
            </w:r>
          </w:p>
        </w:tc>
      </w:tr>
      <w:tr w14:paraId="11C6BA4A">
        <w:tblPrEx>
          <w:tblCellMar>
            <w:top w:w="0" w:type="dxa"/>
            <w:left w:w="108" w:type="dxa"/>
            <w:bottom w:w="0" w:type="dxa"/>
            <w:right w:w="108" w:type="dxa"/>
          </w:tblCellMar>
        </w:tblPrEx>
        <w:trPr>
          <w:trHeight w:val="220" w:hRule="atLeast"/>
        </w:trPr>
        <w:tc>
          <w:tcPr>
            <w:tcW w:w="1696" w:type="dxa"/>
            <w:vMerge w:val="restart"/>
            <w:tcBorders>
              <w:top w:val="nil"/>
              <w:left w:val="single" w:color="auto" w:sz="4" w:space="0"/>
              <w:bottom w:val="single" w:color="auto" w:sz="4" w:space="0"/>
              <w:right w:val="single" w:color="auto" w:sz="4" w:space="0"/>
            </w:tcBorders>
            <w:noWrap w:val="0"/>
            <w:vAlign w:val="bottom"/>
          </w:tcPr>
          <w:p w14:paraId="56761522">
            <w:pPr>
              <w:widowControl/>
              <w:jc w:val="center"/>
              <w:rPr>
                <w:color w:val="auto"/>
                <w:szCs w:val="21"/>
                <w:highlight w:val="none"/>
              </w:rPr>
            </w:pPr>
            <w:r>
              <w:rPr>
                <w:rFonts w:hint="eastAsia"/>
                <w:color w:val="auto"/>
                <w:szCs w:val="21"/>
                <w:highlight w:val="none"/>
              </w:rPr>
              <w:t>房地产开发经营</w:t>
            </w:r>
          </w:p>
        </w:tc>
        <w:tc>
          <w:tcPr>
            <w:tcW w:w="1701" w:type="dxa"/>
            <w:tcBorders>
              <w:top w:val="nil"/>
              <w:left w:val="nil"/>
              <w:bottom w:val="single" w:color="auto" w:sz="4" w:space="0"/>
              <w:right w:val="single" w:color="auto" w:sz="4" w:space="0"/>
            </w:tcBorders>
            <w:noWrap w:val="0"/>
            <w:vAlign w:val="center"/>
          </w:tcPr>
          <w:p w14:paraId="5965BB92">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1C5F3573">
            <w:pPr>
              <w:widowControl/>
              <w:jc w:val="center"/>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1AA44D30">
            <w:pPr>
              <w:widowControl/>
              <w:jc w:val="left"/>
              <w:rPr>
                <w:color w:val="auto"/>
                <w:szCs w:val="21"/>
                <w:highlight w:val="none"/>
              </w:rPr>
            </w:pPr>
            <w:r>
              <w:rPr>
                <w:rFonts w:hint="eastAsia"/>
                <w:color w:val="auto"/>
                <w:szCs w:val="21"/>
                <w:highlight w:val="none"/>
              </w:rPr>
              <w:t>1000≤Y＜200000</w:t>
            </w:r>
          </w:p>
        </w:tc>
        <w:tc>
          <w:tcPr>
            <w:tcW w:w="1570" w:type="dxa"/>
            <w:tcBorders>
              <w:top w:val="nil"/>
              <w:left w:val="nil"/>
              <w:bottom w:val="single" w:color="auto" w:sz="4" w:space="0"/>
              <w:right w:val="single" w:color="auto" w:sz="4" w:space="0"/>
            </w:tcBorders>
            <w:noWrap w:val="0"/>
            <w:vAlign w:val="center"/>
          </w:tcPr>
          <w:p w14:paraId="3B2BBAF6">
            <w:pPr>
              <w:widowControl/>
              <w:jc w:val="left"/>
              <w:rPr>
                <w:color w:val="auto"/>
                <w:szCs w:val="21"/>
                <w:highlight w:val="none"/>
              </w:rPr>
            </w:pPr>
            <w:r>
              <w:rPr>
                <w:rFonts w:hint="eastAsia"/>
                <w:color w:val="auto"/>
                <w:szCs w:val="21"/>
                <w:highlight w:val="none"/>
              </w:rPr>
              <w:t>100≤X＜1000</w:t>
            </w:r>
          </w:p>
        </w:tc>
        <w:tc>
          <w:tcPr>
            <w:tcW w:w="1490" w:type="dxa"/>
            <w:tcBorders>
              <w:top w:val="nil"/>
              <w:left w:val="nil"/>
              <w:bottom w:val="single" w:color="auto" w:sz="4" w:space="0"/>
              <w:right w:val="single" w:color="auto" w:sz="4" w:space="0"/>
            </w:tcBorders>
            <w:noWrap w:val="0"/>
            <w:vAlign w:val="center"/>
          </w:tcPr>
          <w:p w14:paraId="769D8BFF">
            <w:pPr>
              <w:widowControl/>
              <w:jc w:val="left"/>
              <w:rPr>
                <w:color w:val="auto"/>
                <w:szCs w:val="21"/>
                <w:highlight w:val="none"/>
              </w:rPr>
            </w:pPr>
            <w:r>
              <w:rPr>
                <w:rFonts w:hint="eastAsia"/>
                <w:color w:val="auto"/>
                <w:szCs w:val="21"/>
                <w:highlight w:val="none"/>
              </w:rPr>
              <w:t>X＜100</w:t>
            </w:r>
          </w:p>
        </w:tc>
      </w:tr>
      <w:tr w14:paraId="35100EB9">
        <w:tblPrEx>
          <w:tblCellMar>
            <w:top w:w="0" w:type="dxa"/>
            <w:left w:w="108" w:type="dxa"/>
            <w:bottom w:w="0" w:type="dxa"/>
            <w:right w:w="108" w:type="dxa"/>
          </w:tblCellMar>
        </w:tblPrEx>
        <w:trPr>
          <w:trHeight w:val="220" w:hRule="atLeast"/>
        </w:trPr>
        <w:tc>
          <w:tcPr>
            <w:tcW w:w="1696" w:type="dxa"/>
            <w:vMerge w:val="continue"/>
            <w:tcBorders>
              <w:top w:val="nil"/>
              <w:left w:val="single" w:color="auto" w:sz="4" w:space="0"/>
              <w:bottom w:val="single" w:color="auto" w:sz="4" w:space="0"/>
              <w:right w:val="single" w:color="auto" w:sz="4" w:space="0"/>
            </w:tcBorders>
            <w:noWrap w:val="0"/>
            <w:vAlign w:val="center"/>
          </w:tcPr>
          <w:p w14:paraId="1E063930">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7EA1020">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53E23C8F">
            <w:pPr>
              <w:widowControl/>
              <w:jc w:val="center"/>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482FC8C5">
            <w:pPr>
              <w:widowControl/>
              <w:jc w:val="left"/>
              <w:rPr>
                <w:color w:val="auto"/>
                <w:szCs w:val="21"/>
                <w:highlight w:val="none"/>
              </w:rPr>
            </w:pPr>
            <w:r>
              <w:rPr>
                <w:rFonts w:hint="eastAsia"/>
                <w:color w:val="auto"/>
                <w:szCs w:val="21"/>
                <w:highlight w:val="none"/>
              </w:rPr>
              <w:t>5000≤Z＜10000</w:t>
            </w:r>
          </w:p>
        </w:tc>
        <w:tc>
          <w:tcPr>
            <w:tcW w:w="1570" w:type="dxa"/>
            <w:tcBorders>
              <w:top w:val="nil"/>
              <w:left w:val="nil"/>
              <w:bottom w:val="single" w:color="auto" w:sz="4" w:space="0"/>
              <w:right w:val="single" w:color="auto" w:sz="4" w:space="0"/>
            </w:tcBorders>
            <w:noWrap w:val="0"/>
            <w:vAlign w:val="center"/>
          </w:tcPr>
          <w:p w14:paraId="3303699A">
            <w:pPr>
              <w:widowControl/>
              <w:jc w:val="left"/>
              <w:rPr>
                <w:color w:val="auto"/>
                <w:szCs w:val="21"/>
                <w:highlight w:val="none"/>
              </w:rPr>
            </w:pPr>
            <w:r>
              <w:rPr>
                <w:rFonts w:hint="eastAsia"/>
                <w:color w:val="auto"/>
                <w:szCs w:val="21"/>
                <w:highlight w:val="none"/>
              </w:rPr>
              <w:t>2000≤Y＜5000</w:t>
            </w:r>
          </w:p>
        </w:tc>
        <w:tc>
          <w:tcPr>
            <w:tcW w:w="1490" w:type="dxa"/>
            <w:tcBorders>
              <w:top w:val="nil"/>
              <w:left w:val="nil"/>
              <w:bottom w:val="single" w:color="auto" w:sz="4" w:space="0"/>
              <w:right w:val="single" w:color="auto" w:sz="4" w:space="0"/>
            </w:tcBorders>
            <w:noWrap w:val="0"/>
            <w:vAlign w:val="center"/>
          </w:tcPr>
          <w:p w14:paraId="30641DC6">
            <w:pPr>
              <w:widowControl/>
              <w:jc w:val="left"/>
              <w:rPr>
                <w:color w:val="auto"/>
                <w:szCs w:val="21"/>
                <w:highlight w:val="none"/>
              </w:rPr>
            </w:pPr>
            <w:r>
              <w:rPr>
                <w:rFonts w:hint="eastAsia"/>
                <w:color w:val="auto"/>
                <w:szCs w:val="21"/>
                <w:highlight w:val="none"/>
              </w:rPr>
              <w:t>Y＜2000</w:t>
            </w:r>
          </w:p>
        </w:tc>
      </w:tr>
      <w:tr w14:paraId="6D7C4C2D">
        <w:tblPrEx>
          <w:tblCellMar>
            <w:top w:w="0" w:type="dxa"/>
            <w:left w:w="108" w:type="dxa"/>
            <w:bottom w:w="0" w:type="dxa"/>
            <w:right w:w="108" w:type="dxa"/>
          </w:tblCellMar>
        </w:tblPrEx>
        <w:trPr>
          <w:trHeight w:val="220" w:hRule="atLeast"/>
        </w:trPr>
        <w:tc>
          <w:tcPr>
            <w:tcW w:w="1696" w:type="dxa"/>
            <w:vMerge w:val="restart"/>
            <w:tcBorders>
              <w:top w:val="nil"/>
              <w:left w:val="single" w:color="auto" w:sz="4" w:space="0"/>
              <w:bottom w:val="single" w:color="auto" w:sz="4" w:space="0"/>
              <w:right w:val="single" w:color="auto" w:sz="4" w:space="0"/>
            </w:tcBorders>
            <w:noWrap w:val="0"/>
            <w:vAlign w:val="bottom"/>
          </w:tcPr>
          <w:p w14:paraId="3C49CE4A">
            <w:pPr>
              <w:widowControl/>
              <w:jc w:val="center"/>
              <w:rPr>
                <w:color w:val="auto"/>
                <w:szCs w:val="21"/>
                <w:highlight w:val="none"/>
              </w:rPr>
            </w:pPr>
            <w:r>
              <w:rPr>
                <w:rFonts w:hint="eastAsia"/>
                <w:color w:val="auto"/>
                <w:szCs w:val="21"/>
                <w:highlight w:val="none"/>
              </w:rPr>
              <w:t>物业管理</w:t>
            </w:r>
          </w:p>
        </w:tc>
        <w:tc>
          <w:tcPr>
            <w:tcW w:w="1701" w:type="dxa"/>
            <w:tcBorders>
              <w:top w:val="nil"/>
              <w:left w:val="nil"/>
              <w:bottom w:val="single" w:color="auto" w:sz="4" w:space="0"/>
              <w:right w:val="single" w:color="auto" w:sz="4" w:space="0"/>
            </w:tcBorders>
            <w:noWrap w:val="0"/>
            <w:vAlign w:val="center"/>
          </w:tcPr>
          <w:p w14:paraId="2F2F3915">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435042EE">
            <w:pPr>
              <w:widowControl/>
              <w:jc w:val="center"/>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3DD5FAA2">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20CF5567">
            <w:pPr>
              <w:widowControl/>
              <w:jc w:val="left"/>
              <w:rPr>
                <w:color w:val="auto"/>
                <w:szCs w:val="21"/>
                <w:highlight w:val="none"/>
              </w:rPr>
            </w:pPr>
            <w:r>
              <w:rPr>
                <w:rFonts w:hint="eastAsia"/>
                <w:color w:val="auto"/>
                <w:szCs w:val="21"/>
                <w:highlight w:val="none"/>
              </w:rPr>
              <w:t>100≤X＜300</w:t>
            </w:r>
          </w:p>
        </w:tc>
        <w:tc>
          <w:tcPr>
            <w:tcW w:w="1490" w:type="dxa"/>
            <w:tcBorders>
              <w:top w:val="nil"/>
              <w:left w:val="nil"/>
              <w:bottom w:val="single" w:color="auto" w:sz="4" w:space="0"/>
              <w:right w:val="single" w:color="auto" w:sz="4" w:space="0"/>
            </w:tcBorders>
            <w:noWrap w:val="0"/>
            <w:vAlign w:val="center"/>
          </w:tcPr>
          <w:p w14:paraId="13BDA207">
            <w:pPr>
              <w:widowControl/>
              <w:jc w:val="left"/>
              <w:rPr>
                <w:color w:val="auto"/>
                <w:szCs w:val="21"/>
                <w:highlight w:val="none"/>
              </w:rPr>
            </w:pPr>
            <w:r>
              <w:rPr>
                <w:rFonts w:hint="eastAsia"/>
                <w:color w:val="auto"/>
                <w:szCs w:val="21"/>
                <w:highlight w:val="none"/>
              </w:rPr>
              <w:t>X＜100</w:t>
            </w:r>
          </w:p>
        </w:tc>
      </w:tr>
      <w:tr w14:paraId="557EB071">
        <w:tblPrEx>
          <w:tblCellMar>
            <w:top w:w="0" w:type="dxa"/>
            <w:left w:w="108" w:type="dxa"/>
            <w:bottom w:w="0" w:type="dxa"/>
            <w:right w:w="108" w:type="dxa"/>
          </w:tblCellMar>
        </w:tblPrEx>
        <w:trPr>
          <w:trHeight w:val="220" w:hRule="atLeast"/>
        </w:trPr>
        <w:tc>
          <w:tcPr>
            <w:tcW w:w="1696" w:type="dxa"/>
            <w:vMerge w:val="continue"/>
            <w:tcBorders>
              <w:top w:val="nil"/>
              <w:left w:val="single" w:color="auto" w:sz="4" w:space="0"/>
              <w:bottom w:val="single" w:color="auto" w:sz="4" w:space="0"/>
              <w:right w:val="single" w:color="auto" w:sz="4" w:space="0"/>
            </w:tcBorders>
            <w:noWrap w:val="0"/>
            <w:vAlign w:val="center"/>
          </w:tcPr>
          <w:p w14:paraId="364063E0">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338403EE">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15C8F24F">
            <w:pPr>
              <w:widowControl/>
              <w:jc w:val="center"/>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0910F95E">
            <w:pPr>
              <w:widowControl/>
              <w:jc w:val="left"/>
              <w:rPr>
                <w:color w:val="auto"/>
                <w:szCs w:val="21"/>
                <w:highlight w:val="none"/>
              </w:rPr>
            </w:pPr>
            <w:r>
              <w:rPr>
                <w:rFonts w:hint="eastAsia"/>
                <w:color w:val="auto"/>
                <w:szCs w:val="21"/>
                <w:highlight w:val="none"/>
              </w:rPr>
              <w:t>1000≤Y＜5000</w:t>
            </w:r>
          </w:p>
        </w:tc>
        <w:tc>
          <w:tcPr>
            <w:tcW w:w="1570" w:type="dxa"/>
            <w:tcBorders>
              <w:top w:val="nil"/>
              <w:left w:val="nil"/>
              <w:bottom w:val="single" w:color="auto" w:sz="4" w:space="0"/>
              <w:right w:val="single" w:color="auto" w:sz="4" w:space="0"/>
            </w:tcBorders>
            <w:noWrap w:val="0"/>
            <w:vAlign w:val="center"/>
          </w:tcPr>
          <w:p w14:paraId="7E6A6B1F">
            <w:pPr>
              <w:widowControl/>
              <w:jc w:val="left"/>
              <w:rPr>
                <w:color w:val="auto"/>
                <w:szCs w:val="21"/>
                <w:highlight w:val="none"/>
              </w:rPr>
            </w:pPr>
            <w:r>
              <w:rPr>
                <w:rFonts w:hint="eastAsia"/>
                <w:color w:val="auto"/>
                <w:szCs w:val="21"/>
                <w:highlight w:val="none"/>
              </w:rPr>
              <w:t>500≤Y＜1000</w:t>
            </w:r>
          </w:p>
        </w:tc>
        <w:tc>
          <w:tcPr>
            <w:tcW w:w="1490" w:type="dxa"/>
            <w:tcBorders>
              <w:top w:val="nil"/>
              <w:left w:val="nil"/>
              <w:bottom w:val="single" w:color="auto" w:sz="4" w:space="0"/>
              <w:right w:val="single" w:color="auto" w:sz="4" w:space="0"/>
            </w:tcBorders>
            <w:noWrap w:val="0"/>
            <w:vAlign w:val="center"/>
          </w:tcPr>
          <w:p w14:paraId="5D415564">
            <w:pPr>
              <w:widowControl/>
              <w:jc w:val="left"/>
              <w:rPr>
                <w:color w:val="auto"/>
                <w:szCs w:val="21"/>
                <w:highlight w:val="none"/>
              </w:rPr>
            </w:pPr>
            <w:r>
              <w:rPr>
                <w:rFonts w:hint="eastAsia"/>
                <w:color w:val="auto"/>
                <w:szCs w:val="21"/>
                <w:highlight w:val="none"/>
              </w:rPr>
              <w:t>Y＜500</w:t>
            </w:r>
          </w:p>
        </w:tc>
      </w:tr>
      <w:tr w14:paraId="3054E8D9">
        <w:tblPrEx>
          <w:tblCellMar>
            <w:top w:w="0" w:type="dxa"/>
            <w:left w:w="108" w:type="dxa"/>
            <w:bottom w:w="0" w:type="dxa"/>
            <w:right w:w="108" w:type="dxa"/>
          </w:tblCellMar>
        </w:tblPrEx>
        <w:trPr>
          <w:trHeight w:val="220" w:hRule="atLeast"/>
        </w:trPr>
        <w:tc>
          <w:tcPr>
            <w:tcW w:w="1696" w:type="dxa"/>
            <w:vMerge w:val="restart"/>
            <w:tcBorders>
              <w:top w:val="nil"/>
              <w:left w:val="single" w:color="auto" w:sz="4" w:space="0"/>
              <w:bottom w:val="single" w:color="auto" w:sz="4" w:space="0"/>
              <w:right w:val="single" w:color="auto" w:sz="4" w:space="0"/>
            </w:tcBorders>
            <w:noWrap w:val="0"/>
            <w:vAlign w:val="bottom"/>
          </w:tcPr>
          <w:p w14:paraId="2C14EE63">
            <w:pPr>
              <w:widowControl/>
              <w:jc w:val="center"/>
              <w:rPr>
                <w:color w:val="auto"/>
                <w:szCs w:val="21"/>
                <w:highlight w:val="none"/>
              </w:rPr>
            </w:pPr>
            <w:r>
              <w:rPr>
                <w:rFonts w:hint="eastAsia"/>
                <w:color w:val="auto"/>
                <w:szCs w:val="21"/>
                <w:highlight w:val="none"/>
              </w:rPr>
              <w:t>租赁和商务服务业</w:t>
            </w:r>
          </w:p>
        </w:tc>
        <w:tc>
          <w:tcPr>
            <w:tcW w:w="1701" w:type="dxa"/>
            <w:tcBorders>
              <w:top w:val="nil"/>
              <w:left w:val="nil"/>
              <w:bottom w:val="single" w:color="auto" w:sz="4" w:space="0"/>
              <w:right w:val="single" w:color="auto" w:sz="4" w:space="0"/>
            </w:tcBorders>
            <w:noWrap w:val="0"/>
            <w:vAlign w:val="center"/>
          </w:tcPr>
          <w:p w14:paraId="4ED85CA0">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37A6A6CE">
            <w:pPr>
              <w:widowControl/>
              <w:jc w:val="center"/>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53E1218D">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605F5E55">
            <w:pPr>
              <w:widowControl/>
              <w:jc w:val="left"/>
              <w:rPr>
                <w:color w:val="auto"/>
                <w:szCs w:val="21"/>
                <w:highlight w:val="none"/>
              </w:rPr>
            </w:pPr>
            <w:r>
              <w:rPr>
                <w:rFonts w:hint="eastAsia"/>
                <w:color w:val="auto"/>
                <w:szCs w:val="21"/>
                <w:highlight w:val="none"/>
              </w:rPr>
              <w:t>10≤X＜100</w:t>
            </w:r>
          </w:p>
        </w:tc>
        <w:tc>
          <w:tcPr>
            <w:tcW w:w="1490" w:type="dxa"/>
            <w:tcBorders>
              <w:top w:val="nil"/>
              <w:left w:val="nil"/>
              <w:bottom w:val="single" w:color="auto" w:sz="4" w:space="0"/>
              <w:right w:val="single" w:color="auto" w:sz="4" w:space="0"/>
            </w:tcBorders>
            <w:noWrap w:val="0"/>
            <w:vAlign w:val="center"/>
          </w:tcPr>
          <w:p w14:paraId="7588F440">
            <w:pPr>
              <w:widowControl/>
              <w:jc w:val="left"/>
              <w:rPr>
                <w:color w:val="auto"/>
                <w:szCs w:val="21"/>
                <w:highlight w:val="none"/>
              </w:rPr>
            </w:pPr>
            <w:r>
              <w:rPr>
                <w:rFonts w:hint="eastAsia"/>
                <w:color w:val="auto"/>
                <w:szCs w:val="21"/>
                <w:highlight w:val="none"/>
              </w:rPr>
              <w:t>X＜10</w:t>
            </w:r>
          </w:p>
        </w:tc>
      </w:tr>
      <w:tr w14:paraId="12A936F1">
        <w:tblPrEx>
          <w:tblCellMar>
            <w:top w:w="0" w:type="dxa"/>
            <w:left w:w="108" w:type="dxa"/>
            <w:bottom w:w="0" w:type="dxa"/>
            <w:right w:w="108" w:type="dxa"/>
          </w:tblCellMar>
        </w:tblPrEx>
        <w:trPr>
          <w:trHeight w:val="220" w:hRule="atLeast"/>
        </w:trPr>
        <w:tc>
          <w:tcPr>
            <w:tcW w:w="1696" w:type="dxa"/>
            <w:vMerge w:val="continue"/>
            <w:tcBorders>
              <w:top w:val="nil"/>
              <w:left w:val="single" w:color="auto" w:sz="4" w:space="0"/>
              <w:bottom w:val="single" w:color="auto" w:sz="4" w:space="0"/>
              <w:right w:val="single" w:color="auto" w:sz="4" w:space="0"/>
            </w:tcBorders>
            <w:noWrap w:val="0"/>
            <w:vAlign w:val="center"/>
          </w:tcPr>
          <w:p w14:paraId="64760692">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38766182">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66BFE6E6">
            <w:pPr>
              <w:widowControl/>
              <w:jc w:val="center"/>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59B13C25">
            <w:pPr>
              <w:widowControl/>
              <w:jc w:val="left"/>
              <w:rPr>
                <w:color w:val="auto"/>
                <w:szCs w:val="21"/>
                <w:highlight w:val="none"/>
              </w:rPr>
            </w:pPr>
            <w:r>
              <w:rPr>
                <w:rFonts w:hint="eastAsia"/>
                <w:color w:val="auto"/>
                <w:szCs w:val="21"/>
                <w:highlight w:val="none"/>
              </w:rPr>
              <w:t>8000≤Z＜120000</w:t>
            </w:r>
          </w:p>
        </w:tc>
        <w:tc>
          <w:tcPr>
            <w:tcW w:w="1570" w:type="dxa"/>
            <w:tcBorders>
              <w:top w:val="nil"/>
              <w:left w:val="nil"/>
              <w:bottom w:val="single" w:color="auto" w:sz="4" w:space="0"/>
              <w:right w:val="single" w:color="auto" w:sz="4" w:space="0"/>
            </w:tcBorders>
            <w:noWrap w:val="0"/>
            <w:vAlign w:val="center"/>
          </w:tcPr>
          <w:p w14:paraId="4F14EFAF">
            <w:pPr>
              <w:widowControl/>
              <w:jc w:val="left"/>
              <w:rPr>
                <w:color w:val="auto"/>
                <w:szCs w:val="21"/>
                <w:highlight w:val="none"/>
              </w:rPr>
            </w:pPr>
            <w:r>
              <w:rPr>
                <w:rFonts w:hint="eastAsia"/>
                <w:color w:val="auto"/>
                <w:szCs w:val="21"/>
                <w:highlight w:val="none"/>
              </w:rPr>
              <w:t>100≤Z＜8000</w:t>
            </w:r>
          </w:p>
        </w:tc>
        <w:tc>
          <w:tcPr>
            <w:tcW w:w="1490" w:type="dxa"/>
            <w:tcBorders>
              <w:top w:val="nil"/>
              <w:left w:val="nil"/>
              <w:bottom w:val="single" w:color="auto" w:sz="4" w:space="0"/>
              <w:right w:val="single" w:color="auto" w:sz="4" w:space="0"/>
            </w:tcBorders>
            <w:noWrap w:val="0"/>
            <w:vAlign w:val="center"/>
          </w:tcPr>
          <w:p w14:paraId="06119ACB">
            <w:pPr>
              <w:widowControl/>
              <w:jc w:val="left"/>
              <w:rPr>
                <w:color w:val="auto"/>
                <w:szCs w:val="21"/>
                <w:highlight w:val="none"/>
              </w:rPr>
            </w:pPr>
            <w:r>
              <w:rPr>
                <w:rFonts w:hint="eastAsia"/>
                <w:color w:val="auto"/>
                <w:szCs w:val="21"/>
                <w:highlight w:val="none"/>
              </w:rPr>
              <w:t>Y＜100</w:t>
            </w:r>
          </w:p>
        </w:tc>
      </w:tr>
      <w:tr w14:paraId="6A46E7C8">
        <w:tblPrEx>
          <w:tblCellMar>
            <w:top w:w="0" w:type="dxa"/>
            <w:left w:w="108" w:type="dxa"/>
            <w:bottom w:w="0" w:type="dxa"/>
            <w:right w:w="108" w:type="dxa"/>
          </w:tblCellMar>
        </w:tblPrEx>
        <w:trPr>
          <w:trHeight w:val="220" w:hRule="atLeast"/>
        </w:trPr>
        <w:tc>
          <w:tcPr>
            <w:tcW w:w="1696" w:type="dxa"/>
            <w:tcBorders>
              <w:top w:val="nil"/>
              <w:left w:val="single" w:color="auto" w:sz="4" w:space="0"/>
              <w:bottom w:val="single" w:color="auto" w:sz="4" w:space="0"/>
              <w:right w:val="single" w:color="auto" w:sz="4" w:space="0"/>
            </w:tcBorders>
            <w:noWrap w:val="0"/>
            <w:vAlign w:val="bottom"/>
          </w:tcPr>
          <w:p w14:paraId="4A0CF6B6">
            <w:pPr>
              <w:widowControl/>
              <w:jc w:val="center"/>
              <w:rPr>
                <w:color w:val="auto"/>
                <w:szCs w:val="21"/>
                <w:highlight w:val="none"/>
              </w:rPr>
            </w:pPr>
            <w:r>
              <w:rPr>
                <w:rFonts w:hint="eastAsia"/>
                <w:color w:val="auto"/>
                <w:szCs w:val="21"/>
                <w:highlight w:val="none"/>
              </w:rPr>
              <w:t>其他未列明行业</w:t>
            </w:r>
          </w:p>
        </w:tc>
        <w:tc>
          <w:tcPr>
            <w:tcW w:w="1701" w:type="dxa"/>
            <w:tcBorders>
              <w:top w:val="nil"/>
              <w:left w:val="nil"/>
              <w:bottom w:val="single" w:color="auto" w:sz="4" w:space="0"/>
              <w:right w:val="single" w:color="auto" w:sz="4" w:space="0"/>
            </w:tcBorders>
            <w:noWrap w:val="0"/>
            <w:vAlign w:val="center"/>
          </w:tcPr>
          <w:p w14:paraId="75D71C34">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6C9B5935">
            <w:pPr>
              <w:widowControl/>
              <w:jc w:val="center"/>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08AEE572">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684E1A98">
            <w:pPr>
              <w:widowControl/>
              <w:jc w:val="left"/>
              <w:rPr>
                <w:color w:val="auto"/>
                <w:szCs w:val="21"/>
                <w:highlight w:val="none"/>
              </w:rPr>
            </w:pPr>
            <w:r>
              <w:rPr>
                <w:rFonts w:hint="eastAsia"/>
                <w:color w:val="auto"/>
                <w:szCs w:val="21"/>
                <w:highlight w:val="none"/>
              </w:rPr>
              <w:t>10≤X＜100</w:t>
            </w:r>
          </w:p>
        </w:tc>
        <w:tc>
          <w:tcPr>
            <w:tcW w:w="1490" w:type="dxa"/>
            <w:tcBorders>
              <w:top w:val="nil"/>
              <w:left w:val="nil"/>
              <w:bottom w:val="single" w:color="auto" w:sz="4" w:space="0"/>
              <w:right w:val="single" w:color="auto" w:sz="4" w:space="0"/>
            </w:tcBorders>
            <w:noWrap w:val="0"/>
            <w:vAlign w:val="center"/>
          </w:tcPr>
          <w:p w14:paraId="39CFB2BC">
            <w:pPr>
              <w:widowControl/>
              <w:jc w:val="left"/>
              <w:rPr>
                <w:color w:val="auto"/>
                <w:szCs w:val="21"/>
                <w:highlight w:val="none"/>
              </w:rPr>
            </w:pPr>
            <w:r>
              <w:rPr>
                <w:rFonts w:hint="eastAsia"/>
                <w:color w:val="auto"/>
                <w:szCs w:val="21"/>
                <w:highlight w:val="none"/>
              </w:rPr>
              <w:t>X＜10</w:t>
            </w:r>
          </w:p>
        </w:tc>
      </w:tr>
    </w:tbl>
    <w:p w14:paraId="3C0158BD">
      <w:pPr>
        <w:spacing w:line="360" w:lineRule="auto"/>
        <w:ind w:left="0" w:leftChars="0" w:firstLine="0" w:firstLineChars="0"/>
        <w:rPr>
          <w:color w:val="auto"/>
          <w:szCs w:val="21"/>
          <w:highlight w:val="none"/>
        </w:rPr>
      </w:pPr>
      <w:r>
        <w:rPr>
          <w:rFonts w:hint="eastAsia"/>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70DC7ADB">
      <w:pPr>
        <w:spacing w:line="360" w:lineRule="auto"/>
        <w:rPr>
          <w:color w:val="auto"/>
          <w:sz w:val="28"/>
          <w:szCs w:val="28"/>
          <w:highlight w:val="none"/>
        </w:rPr>
      </w:pPr>
      <w:r>
        <w:rPr>
          <w:color w:val="auto"/>
          <w:szCs w:val="21"/>
          <w:highlight w:val="none"/>
        </w:rPr>
        <w:br w:type="page"/>
      </w:r>
      <w:r>
        <w:rPr>
          <w:rFonts w:hint="eastAsia"/>
          <w:color w:val="auto"/>
          <w:sz w:val="28"/>
          <w:szCs w:val="28"/>
          <w:highlight w:val="none"/>
        </w:rPr>
        <w:t>附件2：</w:t>
      </w:r>
    </w:p>
    <w:p w14:paraId="017902CA">
      <w:pPr>
        <w:spacing w:line="360" w:lineRule="auto"/>
        <w:rPr>
          <w:rFonts w:hint="eastAsia"/>
          <w:color w:val="auto"/>
          <w:szCs w:val="21"/>
          <w:highlight w:val="none"/>
        </w:rPr>
        <w:sectPr>
          <w:footerReference r:id="rId12" w:type="first"/>
          <w:headerReference r:id="rId10" w:type="default"/>
          <w:footerReference r:id="rId11" w:type="default"/>
          <w:pgSz w:w="11906" w:h="16838"/>
          <w:pgMar w:top="851" w:right="1133" w:bottom="850" w:left="1418" w:header="851" w:footer="797" w:gutter="0"/>
          <w:cols w:space="720" w:num="1"/>
          <w:docGrid w:linePitch="312" w:charSpace="0"/>
        </w:sectPr>
      </w:pPr>
      <w:r>
        <w:rPr>
          <w:rFonts w:ascii="宋体" w:hAnsi="宋体" w:cs="宋体"/>
          <w:color w:val="auto"/>
          <w:position w:val="-335"/>
          <w:sz w:val="20"/>
          <w:szCs w:val="20"/>
          <w:highlight w:val="none"/>
        </w:rPr>
        <w:drawing>
          <wp:anchor distT="0" distB="0" distL="114300" distR="114300" simplePos="0" relativeHeight="251659264" behindDoc="0" locked="0" layoutInCell="1" allowOverlap="1">
            <wp:simplePos x="0" y="0"/>
            <wp:positionH relativeFrom="column">
              <wp:posOffset>1905</wp:posOffset>
            </wp:positionH>
            <wp:positionV relativeFrom="paragraph">
              <wp:posOffset>204470</wp:posOffset>
            </wp:positionV>
            <wp:extent cx="5573395" cy="8125460"/>
            <wp:effectExtent l="0" t="0" r="8255" b="889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25"/>
                    <a:stretch>
                      <a:fillRect/>
                    </a:stretch>
                  </pic:blipFill>
                  <pic:spPr>
                    <a:xfrm>
                      <a:off x="0" y="0"/>
                      <a:ext cx="5573395" cy="8125460"/>
                    </a:xfrm>
                    <a:prstGeom prst="rect">
                      <a:avLst/>
                    </a:prstGeom>
                    <a:noFill/>
                    <a:ln>
                      <a:noFill/>
                    </a:ln>
                  </pic:spPr>
                </pic:pic>
              </a:graphicData>
            </a:graphic>
          </wp:anchor>
        </w:drawing>
      </w:r>
    </w:p>
    <w:bookmarkEnd w:id="8"/>
    <w:bookmarkEnd w:id="9"/>
    <w:p w14:paraId="4ADA1E14">
      <w:pPr>
        <w:pStyle w:val="27"/>
        <w:snapToGrid w:val="0"/>
        <w:spacing w:before="120" w:after="120" w:line="320" w:lineRule="exact"/>
        <w:jc w:val="center"/>
        <w:outlineLvl w:val="0"/>
        <w:rPr>
          <w:rFonts w:ascii="Times New Roman" w:hAnsi="Times New Roman" w:cs="Times New Roman"/>
          <w:color w:val="auto"/>
          <w:sz w:val="32"/>
          <w:szCs w:val="32"/>
          <w:highlight w:val="none"/>
        </w:rPr>
      </w:pPr>
      <w:bookmarkStart w:id="12" w:name="_Toc13886"/>
      <w:r>
        <w:rPr>
          <w:rFonts w:ascii="Times New Roman" w:hAnsi="Times New Roman" w:cs="Times New Roman"/>
          <w:color w:val="auto"/>
          <w:sz w:val="32"/>
          <w:szCs w:val="32"/>
          <w:highlight w:val="none"/>
        </w:rPr>
        <w:t>第三章  供应商须知</w:t>
      </w:r>
      <w:bookmarkEnd w:id="12"/>
      <w:bookmarkStart w:id="13" w:name="_Toc254970526"/>
      <w:bookmarkStart w:id="14" w:name="_Toc254970667"/>
    </w:p>
    <w:p w14:paraId="043203FE">
      <w:pPr>
        <w:pStyle w:val="4"/>
        <w:spacing w:before="40" w:after="40"/>
        <w:jc w:val="center"/>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供应商须知前附表</w:t>
      </w:r>
      <w:bookmarkEnd w:id="13"/>
      <w:bookmarkEnd w:id="14"/>
      <w:bookmarkStart w:id="15" w:name="_投标人须知前附表"/>
      <w:bookmarkEnd w:id="15"/>
      <w:bookmarkStart w:id="16" w:name="_Hlk19088833"/>
    </w:p>
    <w:tbl>
      <w:tblPr>
        <w:tblStyle w:val="53"/>
        <w:tblW w:w="921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7"/>
        <w:gridCol w:w="1248"/>
        <w:gridCol w:w="7229"/>
      </w:tblGrid>
      <w:tr w14:paraId="1DD4E9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7396B98">
            <w:pPr>
              <w:jc w:val="center"/>
              <w:rPr>
                <w:b/>
                <w:color w:val="auto"/>
                <w:szCs w:val="21"/>
                <w:highlight w:val="none"/>
              </w:rPr>
            </w:pPr>
            <w:r>
              <w:rPr>
                <w:b/>
                <w:color w:val="auto"/>
                <w:szCs w:val="21"/>
                <w:highlight w:val="none"/>
              </w:rPr>
              <w:t>条款号</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196D146A">
            <w:pPr>
              <w:jc w:val="center"/>
              <w:rPr>
                <w:b/>
                <w:color w:val="auto"/>
                <w:szCs w:val="21"/>
                <w:highlight w:val="none"/>
              </w:rPr>
            </w:pPr>
            <w:r>
              <w:rPr>
                <w:b/>
                <w:color w:val="auto"/>
                <w:szCs w:val="21"/>
                <w:highlight w:val="none"/>
              </w:rPr>
              <w:t>要点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A69C402">
            <w:pPr>
              <w:jc w:val="center"/>
              <w:rPr>
                <w:b/>
                <w:color w:val="auto"/>
                <w:szCs w:val="21"/>
                <w:highlight w:val="none"/>
              </w:rPr>
            </w:pPr>
            <w:r>
              <w:rPr>
                <w:b/>
                <w:color w:val="auto"/>
                <w:szCs w:val="21"/>
                <w:highlight w:val="none"/>
              </w:rPr>
              <w:t>内容、要求</w:t>
            </w:r>
          </w:p>
        </w:tc>
      </w:tr>
      <w:tr w14:paraId="2D8D02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F22B02E">
            <w:pPr>
              <w:spacing w:line="300" w:lineRule="exact"/>
              <w:jc w:val="center"/>
              <w:rPr>
                <w:b/>
                <w:color w:val="auto"/>
                <w:szCs w:val="21"/>
                <w:highlight w:val="none"/>
              </w:rPr>
            </w:pPr>
            <w:r>
              <w:rPr>
                <w:b/>
                <w:color w:val="auto"/>
                <w:szCs w:val="21"/>
                <w:highlight w:val="none"/>
              </w:rPr>
              <w:t>1.3.1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26E490F9">
            <w:pPr>
              <w:spacing w:line="300" w:lineRule="exact"/>
              <w:jc w:val="center"/>
              <w:rPr>
                <w:color w:val="auto"/>
                <w:szCs w:val="21"/>
                <w:highlight w:val="none"/>
              </w:rPr>
            </w:pPr>
            <w:r>
              <w:rPr>
                <w:color w:val="auto"/>
                <w:szCs w:val="21"/>
                <w:highlight w:val="none"/>
              </w:rPr>
              <w:t>项目基本信息</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4126A41C">
            <w:pPr>
              <w:spacing w:line="300" w:lineRule="exact"/>
              <w:jc w:val="left"/>
              <w:rPr>
                <w:rFonts w:hint="eastAsia" w:eastAsia="宋体"/>
                <w:color w:val="auto"/>
                <w:szCs w:val="21"/>
                <w:highlight w:val="none"/>
                <w:lang w:eastAsia="zh-CN"/>
              </w:rPr>
            </w:pPr>
            <w:r>
              <w:rPr>
                <w:color w:val="auto"/>
                <w:szCs w:val="21"/>
                <w:highlight w:val="none"/>
              </w:rPr>
              <w:t>项目名称：</w:t>
            </w:r>
            <w:r>
              <w:rPr>
                <w:rFonts w:hint="eastAsia"/>
                <w:color w:val="auto"/>
                <w:szCs w:val="21"/>
                <w:highlight w:val="none"/>
                <w:lang w:eastAsia="zh-CN"/>
              </w:rPr>
              <w:t>贵港市港</w:t>
            </w:r>
            <w:r>
              <w:rPr>
                <w:rFonts w:hint="eastAsia"/>
                <w:color w:val="auto"/>
                <w:szCs w:val="21"/>
                <w:highlight w:val="none"/>
                <w:lang w:val="en-US" w:eastAsia="zh-CN"/>
              </w:rPr>
              <w:t>南</w:t>
            </w:r>
            <w:r>
              <w:rPr>
                <w:rFonts w:hint="eastAsia"/>
                <w:color w:val="auto"/>
                <w:szCs w:val="21"/>
                <w:highlight w:val="none"/>
                <w:lang w:eastAsia="zh-CN"/>
              </w:rPr>
              <w:t>区人民法院2026年移动办公办案专用通信服务项目</w:t>
            </w:r>
          </w:p>
          <w:p w14:paraId="171A92C2">
            <w:pPr>
              <w:spacing w:line="300" w:lineRule="exact"/>
              <w:jc w:val="left"/>
              <w:rPr>
                <w:rFonts w:hint="eastAsia" w:eastAsia="宋体"/>
                <w:color w:val="auto"/>
                <w:szCs w:val="21"/>
                <w:highlight w:val="none"/>
                <w:lang w:eastAsia="zh-CN"/>
              </w:rPr>
            </w:pPr>
            <w:r>
              <w:rPr>
                <w:color w:val="auto"/>
                <w:szCs w:val="21"/>
                <w:highlight w:val="none"/>
              </w:rPr>
              <w:t>项目编号：</w:t>
            </w:r>
            <w:r>
              <w:rPr>
                <w:rFonts w:hint="eastAsia"/>
                <w:color w:val="auto"/>
                <w:szCs w:val="21"/>
                <w:highlight w:val="none"/>
                <w:lang w:val="en-US" w:eastAsia="zh-CN"/>
              </w:rPr>
              <w:t>GGZC2026-C3-990171-NYGC</w:t>
            </w:r>
          </w:p>
          <w:p w14:paraId="16312B31">
            <w:pPr>
              <w:spacing w:line="300" w:lineRule="exact"/>
              <w:jc w:val="left"/>
              <w:rPr>
                <w:color w:val="auto"/>
                <w:szCs w:val="21"/>
                <w:highlight w:val="none"/>
              </w:rPr>
            </w:pPr>
            <w:r>
              <w:rPr>
                <w:rFonts w:hint="eastAsia"/>
                <w:color w:val="auto"/>
                <w:szCs w:val="21"/>
                <w:highlight w:val="none"/>
              </w:rPr>
              <w:t>采购计划号：</w:t>
            </w:r>
          </w:p>
        </w:tc>
      </w:tr>
      <w:tr w14:paraId="388381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66180B0B">
            <w:pPr>
              <w:spacing w:line="300" w:lineRule="exact"/>
              <w:jc w:val="center"/>
              <w:rPr>
                <w:b/>
                <w:color w:val="auto"/>
                <w:szCs w:val="21"/>
                <w:highlight w:val="none"/>
              </w:rPr>
            </w:pPr>
            <w:r>
              <w:rPr>
                <w:b/>
                <w:color w:val="auto"/>
                <w:szCs w:val="21"/>
                <w:highlight w:val="none"/>
              </w:rPr>
              <w:t>1.3.2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0384CE33">
            <w:pPr>
              <w:spacing w:line="300" w:lineRule="exact"/>
              <w:jc w:val="center"/>
              <w:rPr>
                <w:color w:val="auto"/>
                <w:szCs w:val="21"/>
                <w:highlight w:val="none"/>
                <w:lang w:val="zh-CN"/>
              </w:rPr>
            </w:pPr>
            <w:r>
              <w:rPr>
                <w:rFonts w:hint="eastAsia"/>
                <w:color w:val="auto"/>
                <w:szCs w:val="21"/>
                <w:highlight w:val="none"/>
                <w:lang w:val="zh-CN"/>
              </w:rPr>
              <w:t>采购方式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E89E51C">
            <w:pPr>
              <w:spacing w:line="300" w:lineRule="exact"/>
              <w:jc w:val="left"/>
              <w:rPr>
                <w:color w:val="auto"/>
                <w:szCs w:val="21"/>
                <w:highlight w:val="none"/>
              </w:rPr>
            </w:pPr>
            <w:r>
              <w:rPr>
                <w:rFonts w:hint="eastAsia"/>
                <w:color w:val="auto"/>
                <w:szCs w:val="21"/>
                <w:highlight w:val="none"/>
              </w:rPr>
              <w:t>竞争性磋商。</w:t>
            </w:r>
          </w:p>
        </w:tc>
      </w:tr>
      <w:tr w14:paraId="0BF5A8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73630786">
            <w:pPr>
              <w:spacing w:line="300" w:lineRule="exact"/>
              <w:jc w:val="center"/>
              <w:rPr>
                <w:b/>
                <w:color w:val="auto"/>
                <w:szCs w:val="21"/>
                <w:highlight w:val="none"/>
              </w:rPr>
            </w:pPr>
            <w:r>
              <w:rPr>
                <w:b/>
                <w:color w:val="auto"/>
                <w:szCs w:val="21"/>
                <w:highlight w:val="none"/>
              </w:rPr>
              <w:t>1.4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A150D78">
            <w:pPr>
              <w:spacing w:line="300" w:lineRule="exact"/>
              <w:jc w:val="center"/>
              <w:rPr>
                <w:rFonts w:hint="eastAsia"/>
                <w:color w:val="auto"/>
                <w:szCs w:val="21"/>
                <w:highlight w:val="none"/>
                <w:lang w:val="zh-CN"/>
              </w:rPr>
            </w:pPr>
            <w:r>
              <w:rPr>
                <w:rFonts w:hint="eastAsia"/>
                <w:color w:val="auto"/>
                <w:szCs w:val="21"/>
                <w:highlight w:val="none"/>
                <w:lang w:val="zh-CN"/>
              </w:rPr>
              <w:t>促进中小企业发展措施</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FB5FBD8">
            <w:pPr>
              <w:spacing w:line="300" w:lineRule="exact"/>
              <w:jc w:val="left"/>
              <w:rPr>
                <w:rFonts w:hint="eastAsia"/>
                <w:color w:val="auto"/>
                <w:szCs w:val="21"/>
                <w:highlight w:val="none"/>
              </w:rPr>
            </w:pPr>
            <w:r>
              <w:rPr>
                <w:rFonts w:hint="eastAsia"/>
                <w:color w:val="auto"/>
                <w:szCs w:val="21"/>
                <w:highlight w:val="none"/>
              </w:rPr>
              <w:t>本项目非专门面向中小微企业采购。</w:t>
            </w:r>
          </w:p>
        </w:tc>
      </w:tr>
      <w:tr w14:paraId="35BC08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589D9DA1">
            <w:pPr>
              <w:spacing w:line="300" w:lineRule="exact"/>
              <w:jc w:val="center"/>
              <w:rPr>
                <w:b/>
                <w:color w:val="auto"/>
                <w:szCs w:val="21"/>
                <w:highlight w:val="none"/>
              </w:rPr>
            </w:pPr>
            <w:r>
              <w:rPr>
                <w:b/>
                <w:color w:val="auto"/>
                <w:szCs w:val="21"/>
                <w:highlight w:val="none"/>
              </w:rPr>
              <w:t>1.5.1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14C7B573">
            <w:pPr>
              <w:spacing w:line="300" w:lineRule="exact"/>
              <w:jc w:val="center"/>
              <w:rPr>
                <w:color w:val="auto"/>
                <w:szCs w:val="21"/>
                <w:highlight w:val="none"/>
              </w:rPr>
            </w:pPr>
            <w:r>
              <w:rPr>
                <w:color w:val="auto"/>
                <w:szCs w:val="21"/>
                <w:highlight w:val="none"/>
                <w:lang w:val="zh-CN"/>
              </w:rPr>
              <w:t>供应商资格条件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0203E8B">
            <w:pPr>
              <w:spacing w:line="300" w:lineRule="exact"/>
              <w:jc w:val="left"/>
              <w:rPr>
                <w:color w:val="auto"/>
                <w:szCs w:val="21"/>
                <w:highlight w:val="none"/>
              </w:rPr>
            </w:pPr>
            <w:r>
              <w:rPr>
                <w:rFonts w:hint="eastAsia"/>
                <w:color w:val="auto"/>
                <w:szCs w:val="21"/>
                <w:highlight w:val="none"/>
              </w:rPr>
              <w:t>详</w:t>
            </w:r>
            <w:r>
              <w:rPr>
                <w:color w:val="auto"/>
                <w:szCs w:val="21"/>
                <w:highlight w:val="none"/>
              </w:rPr>
              <w:t>见</w:t>
            </w:r>
            <w:r>
              <w:rPr>
                <w:rFonts w:hint="eastAsia"/>
                <w:color w:val="auto"/>
                <w:szCs w:val="21"/>
                <w:highlight w:val="none"/>
              </w:rPr>
              <w:t>磋商</w:t>
            </w:r>
            <w:r>
              <w:rPr>
                <w:color w:val="auto"/>
                <w:szCs w:val="21"/>
                <w:highlight w:val="none"/>
              </w:rPr>
              <w:t>公告</w:t>
            </w:r>
            <w:r>
              <w:rPr>
                <w:rFonts w:hint="eastAsia"/>
                <w:color w:val="auto"/>
                <w:szCs w:val="21"/>
                <w:highlight w:val="none"/>
              </w:rPr>
              <w:t>。</w:t>
            </w:r>
          </w:p>
        </w:tc>
      </w:tr>
      <w:tr w14:paraId="225EDF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37" w:type="dxa"/>
            <w:tcBorders>
              <w:top w:val="single" w:color="auto" w:sz="4" w:space="0"/>
              <w:left w:val="single" w:color="auto" w:sz="4" w:space="0"/>
              <w:right w:val="single" w:color="auto" w:sz="4" w:space="0"/>
            </w:tcBorders>
            <w:noWrap w:val="0"/>
            <w:vAlign w:val="center"/>
          </w:tcPr>
          <w:p w14:paraId="3C6CF915">
            <w:pPr>
              <w:spacing w:line="300" w:lineRule="exact"/>
              <w:jc w:val="center"/>
              <w:rPr>
                <w:b/>
                <w:color w:val="auto"/>
                <w:szCs w:val="21"/>
                <w:highlight w:val="none"/>
              </w:rPr>
            </w:pPr>
            <w:bookmarkStart w:id="17" w:name="_Hlk85555568"/>
            <w:r>
              <w:rPr>
                <w:b/>
                <w:color w:val="auto"/>
                <w:szCs w:val="21"/>
                <w:highlight w:val="none"/>
              </w:rPr>
              <w:t>1.5.3</w:t>
            </w:r>
          </w:p>
        </w:tc>
        <w:tc>
          <w:tcPr>
            <w:tcW w:w="1248" w:type="dxa"/>
            <w:tcBorders>
              <w:top w:val="single" w:color="auto" w:sz="4" w:space="0"/>
              <w:left w:val="single" w:color="auto" w:sz="4" w:space="0"/>
              <w:right w:val="single" w:color="auto" w:sz="4" w:space="0"/>
            </w:tcBorders>
            <w:noWrap w:val="0"/>
            <w:vAlign w:val="center"/>
          </w:tcPr>
          <w:p w14:paraId="42F83132">
            <w:pPr>
              <w:spacing w:line="300" w:lineRule="exact"/>
              <w:jc w:val="center"/>
              <w:rPr>
                <w:color w:val="auto"/>
                <w:szCs w:val="21"/>
                <w:highlight w:val="none"/>
              </w:rPr>
            </w:pPr>
            <w:r>
              <w:rPr>
                <w:rFonts w:hint="eastAsia"/>
                <w:color w:val="auto"/>
                <w:szCs w:val="21"/>
                <w:highlight w:val="none"/>
              </w:rPr>
              <w:t>联合体</w:t>
            </w:r>
          </w:p>
        </w:tc>
        <w:tc>
          <w:tcPr>
            <w:tcW w:w="7229" w:type="dxa"/>
            <w:tcBorders>
              <w:top w:val="single" w:color="auto" w:sz="4" w:space="0"/>
              <w:left w:val="single" w:color="auto" w:sz="4" w:space="0"/>
              <w:right w:val="single" w:color="auto" w:sz="4" w:space="0"/>
            </w:tcBorders>
            <w:noWrap w:val="0"/>
            <w:vAlign w:val="center"/>
          </w:tcPr>
          <w:p w14:paraId="79B11BB6">
            <w:pPr>
              <w:spacing w:line="300" w:lineRule="exact"/>
              <w:jc w:val="left"/>
              <w:rPr>
                <w:color w:val="auto"/>
                <w:szCs w:val="21"/>
                <w:highlight w:val="none"/>
              </w:rPr>
            </w:pPr>
            <w:r>
              <w:rPr>
                <w:rFonts w:hint="eastAsia"/>
                <w:color w:val="auto"/>
                <w:szCs w:val="21"/>
                <w:highlight w:val="none"/>
              </w:rPr>
              <w:t>是否接受联合体详见磋商公告</w:t>
            </w:r>
          </w:p>
        </w:tc>
      </w:tr>
      <w:bookmarkEnd w:id="17"/>
      <w:tr w14:paraId="64F937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46908454">
            <w:pPr>
              <w:spacing w:line="300" w:lineRule="exact"/>
              <w:jc w:val="center"/>
              <w:rPr>
                <w:b/>
                <w:color w:val="auto"/>
                <w:szCs w:val="21"/>
                <w:highlight w:val="none"/>
              </w:rPr>
            </w:pPr>
            <w:r>
              <w:rPr>
                <w:b/>
                <w:color w:val="auto"/>
                <w:szCs w:val="21"/>
                <w:highlight w:val="none"/>
              </w:rPr>
              <w:t>1.6</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44E7F66">
            <w:pPr>
              <w:spacing w:line="300" w:lineRule="exact"/>
              <w:jc w:val="center"/>
              <w:rPr>
                <w:color w:val="auto"/>
                <w:szCs w:val="21"/>
                <w:highlight w:val="none"/>
              </w:rPr>
            </w:pPr>
            <w:r>
              <w:rPr>
                <w:rFonts w:hint="eastAsia"/>
                <w:color w:val="auto"/>
                <w:szCs w:val="21"/>
                <w:highlight w:val="none"/>
              </w:rPr>
              <w:t>踏勘</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92EEBDE">
            <w:pPr>
              <w:pStyle w:val="18"/>
              <w:rPr>
                <w:rFonts w:hint="eastAsia"/>
                <w:color w:val="auto"/>
                <w:szCs w:val="21"/>
                <w:highlight w:val="none"/>
              </w:rPr>
            </w:pPr>
            <w:r>
              <w:rPr>
                <w:color w:val="auto"/>
                <w:szCs w:val="21"/>
                <w:highlight w:val="none"/>
              </w:rPr>
              <w:sym w:font="Wingdings 2" w:char="0052"/>
            </w:r>
            <w:r>
              <w:rPr>
                <w:rFonts w:hint="eastAsia"/>
                <w:color w:val="auto"/>
                <w:szCs w:val="21"/>
                <w:highlight w:val="none"/>
                <w:lang w:val="en-US" w:eastAsia="zh-CN"/>
              </w:rPr>
              <w:t>不组织</w:t>
            </w:r>
            <w:r>
              <w:rPr>
                <w:rFonts w:hint="eastAsia"/>
                <w:color w:val="auto"/>
                <w:szCs w:val="21"/>
                <w:highlight w:val="none"/>
              </w:rPr>
              <w:t xml:space="preserve"> </w:t>
            </w:r>
          </w:p>
          <w:p w14:paraId="40149715">
            <w:pPr>
              <w:pStyle w:val="18"/>
              <w:rPr>
                <w:rFonts w:hint="eastAsia" w:eastAsia="宋体"/>
                <w:color w:val="auto"/>
                <w:szCs w:val="21"/>
                <w:highlight w:val="none"/>
                <w:lang w:val="en-US" w:eastAsia="zh-CN"/>
              </w:rPr>
            </w:pPr>
            <w:r>
              <w:rPr>
                <w:rFonts w:hint="eastAsia"/>
                <w:color w:val="auto"/>
                <w:szCs w:val="21"/>
                <w:highlight w:val="none"/>
              </w:rPr>
              <w:t>□</w:t>
            </w:r>
            <w:r>
              <w:rPr>
                <w:rFonts w:hint="eastAsia"/>
                <w:color w:val="auto"/>
                <w:szCs w:val="21"/>
                <w:highlight w:val="none"/>
                <w:lang w:val="en-US" w:eastAsia="zh-CN"/>
              </w:rPr>
              <w:t>组织</w:t>
            </w:r>
          </w:p>
          <w:p w14:paraId="5B7F744D">
            <w:pP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踏勘时间：              </w:t>
            </w:r>
          </w:p>
          <w:p w14:paraId="423FFCCE">
            <w:pP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踏勘</w:t>
            </w:r>
            <w:r>
              <w:rPr>
                <w:rFonts w:hint="eastAsia" w:cs="Times New Roman"/>
                <w:color w:val="auto"/>
                <w:kern w:val="2"/>
                <w:sz w:val="21"/>
                <w:szCs w:val="21"/>
                <w:highlight w:val="none"/>
                <w:lang w:val="en-US" w:eastAsia="zh-CN" w:bidi="ar-SA"/>
              </w:rPr>
              <w:t>集中</w:t>
            </w:r>
            <w:r>
              <w:rPr>
                <w:rFonts w:hint="eastAsia" w:ascii="Times New Roman" w:hAnsi="Times New Roman" w:eastAsia="宋体" w:cs="Times New Roman"/>
                <w:color w:val="auto"/>
                <w:kern w:val="2"/>
                <w:sz w:val="21"/>
                <w:szCs w:val="21"/>
                <w:highlight w:val="none"/>
                <w:lang w:val="en-US" w:eastAsia="zh-CN" w:bidi="ar-SA"/>
              </w:rPr>
              <w:t xml:space="preserve">地点：           </w:t>
            </w:r>
          </w:p>
          <w:p w14:paraId="242E1833">
            <w:pPr>
              <w:pStyle w:val="18"/>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联系人及电话</w:t>
            </w:r>
            <w:r>
              <w:rPr>
                <w:rFonts w:hint="eastAsia" w:ascii="Times New Roman" w:hAnsi="Times New Roman" w:eastAsia="宋体" w:cs="Times New Roman"/>
                <w:color w:val="auto"/>
                <w:kern w:val="2"/>
                <w:sz w:val="21"/>
                <w:szCs w:val="21"/>
                <w:highlight w:val="none"/>
                <w:lang w:val="en-US" w:eastAsia="zh-CN" w:bidi="ar-SA"/>
              </w:rPr>
              <w:t>：</w:t>
            </w:r>
          </w:p>
          <w:p w14:paraId="02838363">
            <w:pPr>
              <w:pStyle w:val="18"/>
              <w:rPr>
                <w:color w:val="auto"/>
                <w:szCs w:val="21"/>
                <w:highlight w:val="none"/>
              </w:rPr>
            </w:pPr>
            <w:r>
              <w:rPr>
                <w:rFonts w:hint="eastAsia"/>
                <w:color w:val="auto"/>
                <w:szCs w:val="21"/>
                <w:highlight w:val="none"/>
                <w:lang w:eastAsia="zh-CN"/>
              </w:rPr>
              <w:t>□</w:t>
            </w:r>
            <w:r>
              <w:rPr>
                <w:rFonts w:hint="eastAsia"/>
                <w:color w:val="auto"/>
                <w:szCs w:val="21"/>
                <w:highlight w:val="none"/>
              </w:rPr>
              <w:t>可申请踏勘</w:t>
            </w:r>
            <w:r>
              <w:rPr>
                <w:rFonts w:hint="eastAsia"/>
                <w:color w:val="auto"/>
                <w:szCs w:val="21"/>
                <w:highlight w:val="none"/>
                <w:lang w:eastAsia="zh-CN"/>
              </w:rPr>
              <w:t>，</w:t>
            </w:r>
            <w:r>
              <w:rPr>
                <w:rFonts w:hint="eastAsia"/>
                <w:color w:val="auto"/>
                <w:szCs w:val="21"/>
                <w:highlight w:val="none"/>
              </w:rPr>
              <w:t xml:space="preserve">如有需要供应商自行踏勘   </w:t>
            </w:r>
          </w:p>
        </w:tc>
      </w:tr>
      <w:tr w14:paraId="33C37B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20511EC2">
            <w:pPr>
              <w:spacing w:line="300" w:lineRule="exact"/>
              <w:jc w:val="center"/>
              <w:rPr>
                <w:b/>
                <w:color w:val="auto"/>
                <w:szCs w:val="21"/>
                <w:highlight w:val="none"/>
              </w:rPr>
            </w:pPr>
            <w:r>
              <w:rPr>
                <w:b/>
                <w:color w:val="auto"/>
                <w:szCs w:val="21"/>
                <w:highlight w:val="none"/>
              </w:rPr>
              <w:t>1.7.2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B66E61B">
            <w:pPr>
              <w:spacing w:line="300" w:lineRule="exact"/>
              <w:jc w:val="center"/>
              <w:rPr>
                <w:color w:val="auto"/>
                <w:szCs w:val="21"/>
                <w:highlight w:val="none"/>
              </w:rPr>
            </w:pPr>
            <w:r>
              <w:rPr>
                <w:color w:val="auto"/>
                <w:szCs w:val="21"/>
                <w:highlight w:val="none"/>
              </w:rPr>
              <w:t>分包</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0DF7C56">
            <w:pPr>
              <w:spacing w:line="300" w:lineRule="exact"/>
              <w:jc w:val="left"/>
              <w:rPr>
                <w:color w:val="auto"/>
                <w:szCs w:val="21"/>
                <w:highlight w:val="none"/>
              </w:rPr>
            </w:pPr>
            <w:r>
              <w:rPr>
                <w:rFonts w:hint="eastAsia"/>
                <w:color w:val="auto"/>
                <w:szCs w:val="21"/>
                <w:highlight w:val="none"/>
              </w:rPr>
              <w:t>是否接受分包详见磋商公告</w:t>
            </w:r>
          </w:p>
        </w:tc>
      </w:tr>
      <w:tr w14:paraId="70C3D8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25544884">
            <w:pPr>
              <w:spacing w:line="300" w:lineRule="exact"/>
              <w:jc w:val="center"/>
              <w:rPr>
                <w:b/>
                <w:color w:val="auto"/>
                <w:szCs w:val="21"/>
                <w:highlight w:val="none"/>
              </w:rPr>
            </w:pPr>
            <w:r>
              <w:rPr>
                <w:rFonts w:hint="eastAsia"/>
                <w:b/>
                <w:color w:val="auto"/>
                <w:szCs w:val="21"/>
                <w:highlight w:val="none"/>
                <w:lang w:val="en-US" w:eastAsia="zh-CN"/>
              </w:rPr>
              <w:t>1.9</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38AA823A">
            <w:pPr>
              <w:spacing w:line="300" w:lineRule="exact"/>
              <w:jc w:val="center"/>
              <w:rPr>
                <w:color w:val="auto"/>
                <w:szCs w:val="21"/>
                <w:highlight w:val="none"/>
              </w:rPr>
            </w:pPr>
            <w:r>
              <w:rPr>
                <w:rFonts w:hint="eastAsia"/>
                <w:color w:val="auto"/>
                <w:szCs w:val="21"/>
                <w:highlight w:val="none"/>
                <w:lang w:val="en-US" w:eastAsia="zh-CN"/>
              </w:rPr>
              <w:t>对本国产品的支持政策</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BF7505C">
            <w:pPr>
              <w:spacing w:line="300" w:lineRule="exact"/>
              <w:jc w:val="left"/>
              <w:rPr>
                <w:rFonts w:hint="eastAsia"/>
                <w:color w:val="auto"/>
                <w:szCs w:val="21"/>
                <w:highlight w:val="none"/>
              </w:rPr>
            </w:pPr>
            <w:r>
              <w:rPr>
                <w:rFonts w:hint="eastAsia"/>
                <w:color w:val="auto"/>
                <w:szCs w:val="21"/>
                <w:highlight w:val="none"/>
              </w:rPr>
              <w:t>□适用</w:t>
            </w:r>
          </w:p>
          <w:p w14:paraId="596B0A00">
            <w:pPr>
              <w:spacing w:line="300" w:lineRule="exact"/>
              <w:jc w:val="left"/>
              <w:rPr>
                <w:rFonts w:hint="eastAsia"/>
                <w:color w:val="auto"/>
                <w:szCs w:val="21"/>
                <w:highlight w:val="none"/>
              </w:rPr>
            </w:pPr>
            <w:r>
              <w:rPr>
                <w:rFonts w:hint="eastAsia"/>
                <w:color w:val="auto"/>
                <w:szCs w:val="21"/>
                <w:highlight w:val="none"/>
                <w:lang w:eastAsia="zh-CN"/>
              </w:rPr>
              <w:t>☑</w:t>
            </w:r>
            <w:r>
              <w:rPr>
                <w:rFonts w:hint="eastAsia"/>
                <w:color w:val="auto"/>
                <w:szCs w:val="21"/>
                <w:highlight w:val="none"/>
              </w:rPr>
              <w:t>不适用</w:t>
            </w:r>
          </w:p>
        </w:tc>
      </w:tr>
      <w:tr w14:paraId="39BBEC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23C224F2">
            <w:pPr>
              <w:spacing w:line="300" w:lineRule="exact"/>
              <w:jc w:val="center"/>
              <w:rPr>
                <w:b/>
                <w:color w:val="auto"/>
                <w:szCs w:val="21"/>
                <w:highlight w:val="none"/>
              </w:rPr>
            </w:pPr>
            <w:r>
              <w:rPr>
                <w:b/>
                <w:color w:val="auto"/>
                <w:szCs w:val="21"/>
                <w:highlight w:val="none"/>
              </w:rPr>
              <w:t>2.3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F043085">
            <w:pPr>
              <w:spacing w:line="300" w:lineRule="exact"/>
              <w:jc w:val="center"/>
              <w:rPr>
                <w:color w:val="auto"/>
                <w:szCs w:val="21"/>
                <w:highlight w:val="none"/>
              </w:rPr>
            </w:pPr>
            <w:r>
              <w:rPr>
                <w:rFonts w:hint="eastAsia"/>
                <w:color w:val="auto"/>
                <w:szCs w:val="21"/>
                <w:highlight w:val="none"/>
              </w:rPr>
              <w:t>采购文件</w:t>
            </w:r>
            <w:r>
              <w:rPr>
                <w:color w:val="auto"/>
                <w:szCs w:val="21"/>
                <w:highlight w:val="none"/>
              </w:rPr>
              <w:t>澄清、修改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F8F03A8">
            <w:pPr>
              <w:spacing w:line="300" w:lineRule="exact"/>
              <w:jc w:val="left"/>
              <w:rPr>
                <w:color w:val="auto"/>
                <w:szCs w:val="21"/>
                <w:highlight w:val="none"/>
              </w:rPr>
            </w:pPr>
            <w:r>
              <w:rPr>
                <w:color w:val="auto"/>
                <w:szCs w:val="21"/>
                <w:highlight w:val="none"/>
              </w:rPr>
              <w:t>在</w:t>
            </w:r>
            <w:r>
              <w:rPr>
                <w:rFonts w:hint="eastAsia"/>
                <w:color w:val="auto"/>
                <w:szCs w:val="21"/>
                <w:highlight w:val="none"/>
              </w:rPr>
              <w:t>磋商</w:t>
            </w:r>
            <w:r>
              <w:rPr>
                <w:color w:val="auto"/>
                <w:szCs w:val="21"/>
                <w:highlight w:val="none"/>
              </w:rPr>
              <w:t>公告发布媒介发布</w:t>
            </w:r>
            <w:r>
              <w:rPr>
                <w:rFonts w:hint="eastAsia"/>
                <w:color w:val="auto"/>
                <w:szCs w:val="21"/>
                <w:highlight w:val="none"/>
              </w:rPr>
              <w:t>。</w:t>
            </w:r>
          </w:p>
        </w:tc>
      </w:tr>
      <w:tr w14:paraId="3C6609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114618D">
            <w:pPr>
              <w:spacing w:line="300" w:lineRule="exact"/>
              <w:jc w:val="center"/>
              <w:rPr>
                <w:rFonts w:hint="eastAsia" w:eastAsia="宋体"/>
                <w:b/>
                <w:color w:val="auto"/>
                <w:szCs w:val="21"/>
                <w:highlight w:val="none"/>
                <w:lang w:eastAsia="zh-CN"/>
              </w:rPr>
            </w:pPr>
            <w:r>
              <w:rPr>
                <w:b/>
                <w:color w:val="auto"/>
                <w:szCs w:val="21"/>
                <w:highlight w:val="none"/>
              </w:rPr>
              <w:t>2.</w:t>
            </w:r>
            <w:r>
              <w:rPr>
                <w:rFonts w:hint="eastAsia"/>
                <w:b/>
                <w:color w:val="auto"/>
                <w:szCs w:val="21"/>
                <w:highlight w:val="none"/>
                <w:lang w:val="en-US" w:eastAsia="zh-CN"/>
              </w:rPr>
              <w:t>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3F216838">
            <w:pPr>
              <w:spacing w:line="300" w:lineRule="exact"/>
              <w:jc w:val="center"/>
              <w:rPr>
                <w:color w:val="auto"/>
                <w:szCs w:val="21"/>
                <w:highlight w:val="none"/>
              </w:rPr>
            </w:pPr>
            <w:r>
              <w:rPr>
                <w:color w:val="auto"/>
                <w:szCs w:val="21"/>
                <w:highlight w:val="none"/>
              </w:rPr>
              <w:t>确认收到澄清、修改发布的方式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9CE11A7">
            <w:pPr>
              <w:spacing w:line="300" w:lineRule="exact"/>
              <w:jc w:val="left"/>
              <w:rPr>
                <w:color w:val="auto"/>
                <w:szCs w:val="21"/>
                <w:highlight w:val="none"/>
              </w:rPr>
            </w:pPr>
            <w:r>
              <w:rPr>
                <w:color w:val="auto"/>
                <w:szCs w:val="21"/>
                <w:highlight w:val="none"/>
              </w:rPr>
              <w:t>澄清、修改文件</w:t>
            </w:r>
            <w:r>
              <w:rPr>
                <w:rFonts w:hint="eastAsia"/>
                <w:color w:val="auto"/>
                <w:szCs w:val="21"/>
                <w:highlight w:val="none"/>
              </w:rPr>
              <w:t>自磋商</w:t>
            </w:r>
            <w:r>
              <w:rPr>
                <w:color w:val="auto"/>
                <w:szCs w:val="21"/>
                <w:highlight w:val="none"/>
              </w:rPr>
              <w:t>公告发布媒</w:t>
            </w:r>
            <w:r>
              <w:rPr>
                <w:rFonts w:hint="eastAsia"/>
                <w:color w:val="auto"/>
                <w:szCs w:val="21"/>
                <w:highlight w:val="none"/>
              </w:rPr>
              <w:t>体</w:t>
            </w:r>
            <w:r>
              <w:rPr>
                <w:color w:val="auto"/>
                <w:szCs w:val="21"/>
                <w:highlight w:val="none"/>
              </w:rPr>
              <w:t>发布之日起，视为供应商已收到该澄清、修改。供应商未及时关注</w:t>
            </w:r>
            <w:r>
              <w:rPr>
                <w:rFonts w:hint="eastAsia"/>
                <w:color w:val="auto"/>
                <w:szCs w:val="21"/>
                <w:highlight w:val="none"/>
              </w:rPr>
              <w:t>磋商</w:t>
            </w:r>
            <w:r>
              <w:rPr>
                <w:color w:val="auto"/>
                <w:szCs w:val="21"/>
                <w:highlight w:val="none"/>
              </w:rPr>
              <w:t>公告发布媒</w:t>
            </w:r>
            <w:r>
              <w:rPr>
                <w:rFonts w:hint="eastAsia"/>
                <w:color w:val="auto"/>
                <w:szCs w:val="21"/>
                <w:highlight w:val="none"/>
              </w:rPr>
              <w:t>体</w:t>
            </w:r>
            <w:r>
              <w:rPr>
                <w:color w:val="auto"/>
                <w:szCs w:val="21"/>
                <w:highlight w:val="none"/>
              </w:rPr>
              <w:t>造成的损失，由供应商自行负责。</w:t>
            </w:r>
          </w:p>
        </w:tc>
      </w:tr>
      <w:tr w14:paraId="040A3A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F537BC7">
            <w:pPr>
              <w:spacing w:line="300" w:lineRule="exact"/>
              <w:jc w:val="center"/>
              <w:rPr>
                <w:b/>
                <w:color w:val="auto"/>
                <w:szCs w:val="21"/>
                <w:highlight w:val="none"/>
              </w:rPr>
            </w:pPr>
            <w:r>
              <w:rPr>
                <w:b/>
                <w:color w:val="auto"/>
                <w:szCs w:val="21"/>
                <w:highlight w:val="none"/>
              </w:rPr>
              <w:t>3.4.1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12E39DF">
            <w:pPr>
              <w:spacing w:line="300" w:lineRule="exact"/>
              <w:jc w:val="center"/>
              <w:rPr>
                <w:color w:val="auto"/>
                <w:szCs w:val="21"/>
                <w:highlight w:val="none"/>
              </w:rPr>
            </w:pPr>
            <w:r>
              <w:rPr>
                <w:rFonts w:hint="eastAsia"/>
                <w:color w:val="auto"/>
                <w:szCs w:val="21"/>
                <w:highlight w:val="none"/>
              </w:rPr>
              <w:t>响应</w:t>
            </w:r>
            <w:r>
              <w:rPr>
                <w:color w:val="auto"/>
                <w:szCs w:val="21"/>
                <w:highlight w:val="none"/>
              </w:rPr>
              <w:t>有效期</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E70156A">
            <w:pPr>
              <w:spacing w:line="300" w:lineRule="exact"/>
              <w:jc w:val="left"/>
              <w:rPr>
                <w:color w:val="auto"/>
                <w:szCs w:val="21"/>
                <w:highlight w:val="none"/>
              </w:rPr>
            </w:pPr>
            <w:r>
              <w:rPr>
                <w:color w:val="auto"/>
                <w:szCs w:val="21"/>
                <w:highlight w:val="none"/>
              </w:rPr>
              <w:t>响应截止之日起90天。</w:t>
            </w:r>
          </w:p>
        </w:tc>
      </w:tr>
      <w:tr w14:paraId="0A4420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7A45DF53">
            <w:pPr>
              <w:spacing w:line="300" w:lineRule="exact"/>
              <w:jc w:val="center"/>
              <w:rPr>
                <w:b/>
                <w:color w:val="auto"/>
                <w:szCs w:val="21"/>
                <w:highlight w:val="none"/>
              </w:rPr>
            </w:pPr>
            <w:r>
              <w:rPr>
                <w:b/>
                <w:color w:val="auto"/>
                <w:szCs w:val="21"/>
                <w:highlight w:val="none"/>
              </w:rPr>
              <w:t>3.5</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B0AF3B9">
            <w:pPr>
              <w:spacing w:line="300" w:lineRule="exact"/>
              <w:jc w:val="center"/>
              <w:rPr>
                <w:color w:val="auto"/>
                <w:szCs w:val="21"/>
                <w:highlight w:val="none"/>
              </w:rPr>
            </w:pPr>
            <w:r>
              <w:rPr>
                <w:rFonts w:hint="eastAsia"/>
                <w:color w:val="auto"/>
                <w:szCs w:val="21"/>
                <w:highlight w:val="none"/>
              </w:rPr>
              <w:t>磋商</w:t>
            </w:r>
            <w:r>
              <w:rPr>
                <w:color w:val="auto"/>
                <w:szCs w:val="21"/>
                <w:highlight w:val="none"/>
              </w:rPr>
              <w:t>保证金</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8CFABB6">
            <w:pPr>
              <w:spacing w:line="300" w:lineRule="exact"/>
              <w:jc w:val="left"/>
              <w:rPr>
                <w:b/>
                <w:bCs/>
                <w:color w:val="auto"/>
                <w:szCs w:val="21"/>
                <w:highlight w:val="none"/>
              </w:rPr>
            </w:pPr>
            <w:r>
              <w:rPr>
                <w:rFonts w:hint="eastAsia"/>
                <w:b/>
                <w:bCs/>
                <w:color w:val="auto"/>
                <w:szCs w:val="21"/>
                <w:highlight w:val="none"/>
              </w:rPr>
              <w:t>无，本项目不用缴纳保证金。</w:t>
            </w:r>
          </w:p>
        </w:tc>
      </w:tr>
      <w:tr w14:paraId="6825B2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737" w:type="dxa"/>
            <w:tcBorders>
              <w:left w:val="single" w:color="auto" w:sz="4" w:space="0"/>
              <w:right w:val="single" w:color="auto" w:sz="4" w:space="0"/>
            </w:tcBorders>
            <w:noWrap w:val="0"/>
            <w:vAlign w:val="center"/>
          </w:tcPr>
          <w:p w14:paraId="50243923">
            <w:pPr>
              <w:spacing w:line="300" w:lineRule="exact"/>
              <w:jc w:val="center"/>
              <w:rPr>
                <w:b/>
                <w:color w:val="auto"/>
                <w:szCs w:val="21"/>
                <w:highlight w:val="none"/>
              </w:rPr>
            </w:pPr>
            <w:r>
              <w:rPr>
                <w:rFonts w:hint="eastAsia"/>
                <w:b/>
                <w:color w:val="auto"/>
                <w:szCs w:val="21"/>
                <w:highlight w:val="none"/>
              </w:rPr>
              <w:t>3</w:t>
            </w:r>
            <w:r>
              <w:rPr>
                <w:b/>
                <w:color w:val="auto"/>
                <w:szCs w:val="21"/>
                <w:highlight w:val="none"/>
              </w:rPr>
              <w:t>.6</w:t>
            </w:r>
          </w:p>
        </w:tc>
        <w:tc>
          <w:tcPr>
            <w:tcW w:w="1248" w:type="dxa"/>
            <w:tcBorders>
              <w:top w:val="single" w:color="auto" w:sz="4" w:space="0"/>
              <w:left w:val="single" w:color="auto" w:sz="4" w:space="0"/>
              <w:right w:val="single" w:color="auto" w:sz="4" w:space="0"/>
            </w:tcBorders>
            <w:noWrap w:val="0"/>
            <w:vAlign w:val="center"/>
          </w:tcPr>
          <w:p w14:paraId="0F8448CF">
            <w:pPr>
              <w:spacing w:line="300" w:lineRule="exact"/>
              <w:jc w:val="center"/>
              <w:rPr>
                <w:color w:val="auto"/>
                <w:szCs w:val="21"/>
                <w:highlight w:val="none"/>
              </w:rPr>
            </w:pPr>
            <w:r>
              <w:rPr>
                <w:rFonts w:hint="eastAsia"/>
                <w:color w:val="auto"/>
                <w:szCs w:val="21"/>
                <w:highlight w:val="none"/>
              </w:rPr>
              <w:t>响应文件的编制</w:t>
            </w:r>
          </w:p>
        </w:tc>
        <w:tc>
          <w:tcPr>
            <w:tcW w:w="7229" w:type="dxa"/>
            <w:tcBorders>
              <w:top w:val="single" w:color="auto" w:sz="4" w:space="0"/>
              <w:left w:val="single" w:color="auto" w:sz="4" w:space="0"/>
              <w:right w:val="single" w:color="auto" w:sz="4" w:space="0"/>
            </w:tcBorders>
            <w:noWrap w:val="0"/>
            <w:vAlign w:val="center"/>
          </w:tcPr>
          <w:p w14:paraId="1D0D6439">
            <w:pPr>
              <w:spacing w:line="300" w:lineRule="exact"/>
              <w:jc w:val="left"/>
              <w:rPr>
                <w:color w:val="auto"/>
                <w:szCs w:val="21"/>
                <w:highlight w:val="none"/>
              </w:rPr>
            </w:pPr>
            <w:r>
              <w:rPr>
                <w:rFonts w:hint="eastAsia" w:hAnsi="宋体"/>
                <w:color w:val="auto"/>
                <w:szCs w:val="21"/>
                <w:highlight w:val="none"/>
              </w:rPr>
              <w:t>响应文件应按第六章响应文件格式分别编制并使用下载的广西政府采购云平台新版客户端制作并上传。</w:t>
            </w:r>
          </w:p>
        </w:tc>
      </w:tr>
      <w:tr w14:paraId="18C94D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74745240">
            <w:pPr>
              <w:spacing w:line="300" w:lineRule="exact"/>
              <w:jc w:val="center"/>
              <w:rPr>
                <w:b/>
                <w:color w:val="auto"/>
                <w:szCs w:val="21"/>
                <w:highlight w:val="none"/>
              </w:rPr>
            </w:pPr>
            <w:r>
              <w:rPr>
                <w:b/>
                <w:color w:val="auto"/>
                <w:szCs w:val="21"/>
                <w:highlight w:val="none"/>
              </w:rPr>
              <w:t>3.7</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9BB3D8A">
            <w:pPr>
              <w:spacing w:line="300" w:lineRule="exact"/>
              <w:jc w:val="center"/>
              <w:rPr>
                <w:color w:val="auto"/>
                <w:szCs w:val="21"/>
                <w:highlight w:val="none"/>
              </w:rPr>
            </w:pPr>
            <w:r>
              <w:rPr>
                <w:color w:val="auto"/>
                <w:szCs w:val="21"/>
                <w:highlight w:val="none"/>
              </w:rPr>
              <w:t>响应文件递交</w:t>
            </w:r>
            <w:r>
              <w:rPr>
                <w:rFonts w:hint="eastAsia"/>
                <w:color w:val="auto"/>
                <w:szCs w:val="21"/>
                <w:highlight w:val="none"/>
              </w:rPr>
              <w:t>截止时间及截标时间</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BDE3AF4">
            <w:pPr>
              <w:spacing w:line="300" w:lineRule="exact"/>
              <w:jc w:val="left"/>
              <w:rPr>
                <w:color w:val="auto"/>
                <w:szCs w:val="21"/>
                <w:highlight w:val="none"/>
              </w:rPr>
            </w:pPr>
            <w:r>
              <w:rPr>
                <w:rFonts w:hint="eastAsia"/>
                <w:color w:val="auto"/>
                <w:kern w:val="0"/>
                <w:szCs w:val="21"/>
                <w:highlight w:val="none"/>
              </w:rPr>
              <w:t>见磋商公告要求</w:t>
            </w:r>
            <w:r>
              <w:rPr>
                <w:rFonts w:hint="eastAsia"/>
                <w:color w:val="auto"/>
                <w:szCs w:val="21"/>
                <w:highlight w:val="none"/>
              </w:rPr>
              <w:t>。</w:t>
            </w:r>
          </w:p>
        </w:tc>
      </w:tr>
      <w:tr w14:paraId="751936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3C3D1EF">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24D9AF27">
            <w:pPr>
              <w:spacing w:line="300" w:lineRule="exact"/>
              <w:jc w:val="center"/>
              <w:rPr>
                <w:color w:val="auto"/>
                <w:szCs w:val="20"/>
                <w:highlight w:val="none"/>
              </w:rPr>
            </w:pPr>
            <w:r>
              <w:rPr>
                <w:rFonts w:hint="eastAsia"/>
                <w:color w:val="auto"/>
                <w:szCs w:val="21"/>
                <w:highlight w:val="none"/>
              </w:rPr>
              <w:t>备份响应文件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3D82590">
            <w:pPr>
              <w:spacing w:line="276" w:lineRule="auto"/>
              <w:rPr>
                <w:rFonts w:ascii="宋体" w:hAnsi="宋体"/>
                <w:color w:val="auto"/>
                <w:szCs w:val="21"/>
                <w:highlight w:val="none"/>
              </w:rPr>
            </w:pPr>
            <w:r>
              <w:rPr>
                <w:rFonts w:hint="eastAsia" w:ascii="宋体" w:hAnsi="宋体"/>
                <w:color w:val="auto"/>
                <w:szCs w:val="21"/>
                <w:highlight w:val="none"/>
              </w:rPr>
              <w:t>本项目</w:t>
            </w:r>
            <w:r>
              <w:rPr>
                <w:color w:val="auto"/>
                <w:sz w:val="22"/>
                <w:szCs w:val="22"/>
                <w:highlight w:val="none"/>
              </w:rPr>
              <w:sym w:font="Wingdings 2" w:char="00A3"/>
            </w:r>
            <w:r>
              <w:rPr>
                <w:rFonts w:hint="eastAsia"/>
                <w:color w:val="auto"/>
                <w:szCs w:val="21"/>
                <w:highlight w:val="none"/>
              </w:rPr>
              <w:t xml:space="preserve">接受   </w:t>
            </w:r>
            <w:r>
              <w:rPr>
                <w:rFonts w:hint="eastAsia"/>
                <w:color w:val="auto"/>
                <w:szCs w:val="21"/>
                <w:highlight w:val="none"/>
                <w:lang w:eastAsia="zh-CN"/>
              </w:rPr>
              <w:t>☑</w:t>
            </w:r>
            <w:r>
              <w:rPr>
                <w:rFonts w:hint="eastAsia"/>
                <w:color w:val="auto"/>
                <w:szCs w:val="21"/>
                <w:highlight w:val="none"/>
              </w:rPr>
              <w:t>不接受</w:t>
            </w:r>
            <w:r>
              <w:rPr>
                <w:rFonts w:hint="eastAsia" w:ascii="宋体" w:hAnsi="宋体"/>
                <w:color w:val="auto"/>
                <w:szCs w:val="21"/>
                <w:highlight w:val="none"/>
              </w:rPr>
              <w:t>备份响应文件</w:t>
            </w:r>
          </w:p>
          <w:p w14:paraId="58D946A3">
            <w:pPr>
              <w:spacing w:line="276" w:lineRule="auto"/>
              <w:rPr>
                <w:rFonts w:hint="eastAsia"/>
                <w:color w:val="auto"/>
                <w:sz w:val="22"/>
                <w:szCs w:val="22"/>
                <w:highlight w:val="none"/>
              </w:rPr>
            </w:pPr>
            <w:r>
              <w:rPr>
                <w:rFonts w:hint="eastAsia" w:ascii="宋体" w:hAnsi="宋体"/>
                <w:color w:val="auto"/>
                <w:szCs w:val="21"/>
                <w:highlight w:val="none"/>
              </w:rPr>
              <w:t>以广西政府采购云平台自动生成的备份文件为依据，当项目允许接受备份响应文件时，供应商才可以按规定上传备份响应文件。</w:t>
            </w:r>
          </w:p>
        </w:tc>
      </w:tr>
      <w:tr w14:paraId="5EBF35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1963B771">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0ACE7254">
            <w:pPr>
              <w:spacing w:line="300" w:lineRule="exact"/>
              <w:jc w:val="center"/>
              <w:rPr>
                <w:color w:val="auto"/>
                <w:szCs w:val="21"/>
                <w:highlight w:val="none"/>
              </w:rPr>
            </w:pPr>
            <w:r>
              <w:rPr>
                <w:rFonts w:hint="eastAsia"/>
                <w:color w:val="auto"/>
                <w:szCs w:val="20"/>
                <w:highlight w:val="none"/>
              </w:rPr>
              <w:t>演示</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FE662DE">
            <w:pPr>
              <w:spacing w:line="276" w:lineRule="auto"/>
              <w:rPr>
                <w:color w:val="auto"/>
                <w:szCs w:val="21"/>
                <w:highlight w:val="none"/>
              </w:rPr>
            </w:pPr>
            <w:r>
              <w:rPr>
                <w:color w:val="auto"/>
                <w:sz w:val="22"/>
                <w:szCs w:val="22"/>
                <w:highlight w:val="none"/>
              </w:rPr>
              <w:sym w:font="Wingdings 2" w:char="F052"/>
            </w:r>
            <w:r>
              <w:rPr>
                <w:rFonts w:hint="eastAsia"/>
                <w:color w:val="auto"/>
                <w:szCs w:val="21"/>
                <w:highlight w:val="none"/>
              </w:rPr>
              <w:t>否   □是</w:t>
            </w:r>
          </w:p>
          <w:p w14:paraId="301A5474">
            <w:pPr>
              <w:spacing w:line="276" w:lineRule="auto"/>
              <w:rPr>
                <w:color w:val="auto"/>
                <w:szCs w:val="21"/>
                <w:highlight w:val="none"/>
                <w:u w:val="single"/>
              </w:rPr>
            </w:pPr>
            <w:r>
              <w:rPr>
                <w:rFonts w:hint="eastAsia"/>
                <w:color w:val="auto"/>
                <w:szCs w:val="21"/>
                <w:highlight w:val="none"/>
              </w:rPr>
              <w:t>演示内容：</w:t>
            </w:r>
            <w:r>
              <w:rPr>
                <w:rFonts w:hint="eastAsia"/>
                <w:color w:val="auto"/>
                <w:szCs w:val="21"/>
                <w:highlight w:val="none"/>
                <w:u w:val="single"/>
              </w:rPr>
              <w:t xml:space="preserve"> </w:t>
            </w:r>
            <w:r>
              <w:rPr>
                <w:color w:val="auto"/>
                <w:szCs w:val="21"/>
                <w:highlight w:val="none"/>
                <w:u w:val="single"/>
              </w:rPr>
              <w:t xml:space="preserve">              </w:t>
            </w:r>
          </w:p>
          <w:p w14:paraId="62CE0EFD">
            <w:pPr>
              <w:spacing w:line="276" w:lineRule="auto"/>
              <w:rPr>
                <w:color w:val="auto"/>
                <w:szCs w:val="21"/>
                <w:highlight w:val="none"/>
              </w:rPr>
            </w:pPr>
            <w:r>
              <w:rPr>
                <w:rFonts w:hint="eastAsia"/>
                <w:color w:val="auto"/>
                <w:szCs w:val="21"/>
                <w:highlight w:val="none"/>
              </w:rPr>
              <w:t>演示形式：</w:t>
            </w:r>
            <w:r>
              <w:rPr>
                <w:color w:val="auto"/>
                <w:szCs w:val="21"/>
                <w:highlight w:val="none"/>
              </w:rPr>
              <w:t xml:space="preserve"> </w:t>
            </w:r>
          </w:p>
        </w:tc>
      </w:tr>
      <w:tr w14:paraId="16A942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4B37F2F8">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5C85226">
            <w:pPr>
              <w:spacing w:line="300" w:lineRule="exact"/>
              <w:jc w:val="center"/>
              <w:rPr>
                <w:color w:val="auto"/>
                <w:szCs w:val="21"/>
                <w:highlight w:val="none"/>
              </w:rPr>
            </w:pPr>
            <w:r>
              <w:rPr>
                <w:rFonts w:hint="eastAsia"/>
                <w:color w:val="auto"/>
                <w:szCs w:val="20"/>
                <w:highlight w:val="none"/>
              </w:rPr>
              <w:t>样品</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A9D41BA">
            <w:pPr>
              <w:spacing w:line="276" w:lineRule="auto"/>
              <w:rPr>
                <w:color w:val="auto"/>
                <w:szCs w:val="21"/>
                <w:highlight w:val="none"/>
              </w:rPr>
            </w:pPr>
            <w:r>
              <w:rPr>
                <w:color w:val="auto"/>
                <w:sz w:val="24"/>
                <w:highlight w:val="none"/>
              </w:rPr>
              <w:sym w:font="Wingdings 2" w:char="F052"/>
            </w:r>
            <w:r>
              <w:rPr>
                <w:rFonts w:hint="eastAsia"/>
                <w:color w:val="auto"/>
                <w:szCs w:val="21"/>
                <w:highlight w:val="none"/>
              </w:rPr>
              <w:t>否   □是</w:t>
            </w:r>
          </w:p>
          <w:p w14:paraId="59B8717D">
            <w:pPr>
              <w:spacing w:line="276" w:lineRule="auto"/>
              <w:rPr>
                <w:color w:val="auto"/>
                <w:szCs w:val="21"/>
                <w:highlight w:val="none"/>
                <w:u w:val="single"/>
              </w:rPr>
            </w:pPr>
            <w:r>
              <w:rPr>
                <w:rFonts w:hint="eastAsia"/>
                <w:color w:val="auto"/>
                <w:szCs w:val="21"/>
                <w:highlight w:val="none"/>
              </w:rPr>
              <w:t>样品制作的标准和要求：</w:t>
            </w:r>
            <w:r>
              <w:rPr>
                <w:rFonts w:hint="eastAsia"/>
                <w:color w:val="auto"/>
                <w:szCs w:val="21"/>
                <w:highlight w:val="none"/>
                <w:u w:val="single"/>
              </w:rPr>
              <w:t xml:space="preserve"> </w:t>
            </w:r>
            <w:r>
              <w:rPr>
                <w:color w:val="auto"/>
                <w:szCs w:val="21"/>
                <w:highlight w:val="none"/>
                <w:u w:val="single"/>
              </w:rPr>
              <w:t xml:space="preserve">              </w:t>
            </w:r>
          </w:p>
          <w:p w14:paraId="23CF6F3D">
            <w:pPr>
              <w:spacing w:line="276" w:lineRule="auto"/>
              <w:rPr>
                <w:color w:val="auto"/>
                <w:szCs w:val="21"/>
                <w:highlight w:val="none"/>
                <w:u w:val="single"/>
              </w:rPr>
            </w:pPr>
            <w:r>
              <w:rPr>
                <w:rFonts w:hint="eastAsia"/>
                <w:color w:val="auto"/>
                <w:szCs w:val="21"/>
                <w:highlight w:val="none"/>
              </w:rPr>
              <w:t>样品检测机构的要求：</w:t>
            </w:r>
            <w:r>
              <w:rPr>
                <w:rFonts w:hint="eastAsia"/>
                <w:color w:val="auto"/>
                <w:szCs w:val="21"/>
                <w:highlight w:val="none"/>
                <w:u w:val="single"/>
              </w:rPr>
              <w:t xml:space="preserve"> </w:t>
            </w:r>
            <w:r>
              <w:rPr>
                <w:color w:val="auto"/>
                <w:szCs w:val="21"/>
                <w:highlight w:val="none"/>
                <w:u w:val="single"/>
              </w:rPr>
              <w:t xml:space="preserve">               </w:t>
            </w:r>
          </w:p>
          <w:p w14:paraId="54D68B4D">
            <w:pPr>
              <w:spacing w:line="276" w:lineRule="auto"/>
              <w:rPr>
                <w:color w:val="auto"/>
                <w:szCs w:val="21"/>
                <w:highlight w:val="none"/>
                <w:u w:val="single"/>
              </w:rPr>
            </w:pPr>
            <w:r>
              <w:rPr>
                <w:rFonts w:hint="eastAsia"/>
                <w:color w:val="auto"/>
                <w:szCs w:val="21"/>
                <w:highlight w:val="none"/>
              </w:rPr>
              <w:t>检测内容：</w:t>
            </w:r>
            <w:r>
              <w:rPr>
                <w:rFonts w:hint="eastAsia"/>
                <w:color w:val="auto"/>
                <w:szCs w:val="21"/>
                <w:highlight w:val="none"/>
                <w:u w:val="single"/>
              </w:rPr>
              <w:t xml:space="preserve"> </w:t>
            </w:r>
            <w:r>
              <w:rPr>
                <w:color w:val="auto"/>
                <w:szCs w:val="21"/>
                <w:highlight w:val="none"/>
                <w:u w:val="single"/>
              </w:rPr>
              <w:t xml:space="preserve">                    </w:t>
            </w:r>
          </w:p>
          <w:p w14:paraId="16F6CF42">
            <w:pPr>
              <w:spacing w:line="276" w:lineRule="auto"/>
              <w:rPr>
                <w:color w:val="auto"/>
                <w:szCs w:val="21"/>
                <w:highlight w:val="none"/>
              </w:rPr>
            </w:pPr>
            <w:r>
              <w:rPr>
                <w:rFonts w:hint="eastAsia"/>
                <w:color w:val="auto"/>
                <w:szCs w:val="21"/>
                <w:highlight w:val="none"/>
              </w:rPr>
              <w:t>样品递交方式：</w:t>
            </w:r>
            <w:r>
              <w:rPr>
                <w:color w:val="auto"/>
                <w:szCs w:val="21"/>
                <w:highlight w:val="none"/>
              </w:rPr>
              <w:t xml:space="preserve"> </w:t>
            </w:r>
          </w:p>
        </w:tc>
      </w:tr>
      <w:tr w14:paraId="0D3C48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22E8D5">
            <w:pPr>
              <w:spacing w:line="300" w:lineRule="exact"/>
              <w:jc w:val="center"/>
              <w:rPr>
                <w:rFonts w:hint="eastAsia" w:ascii="Times New Roman" w:hAnsi="Times New Roman" w:eastAsia="宋体" w:cs="Times New Roman"/>
                <w:b/>
                <w:color w:val="auto"/>
                <w:kern w:val="2"/>
                <w:sz w:val="21"/>
                <w:szCs w:val="21"/>
                <w:highlight w:val="none"/>
                <w:lang w:val="en-US" w:eastAsia="zh-CN" w:bidi="ar-SA"/>
              </w:rPr>
            </w:pPr>
            <w:r>
              <w:rPr>
                <w:rFonts w:hint="eastAsia"/>
                <w:b/>
                <w:color w:val="auto"/>
                <w:szCs w:val="21"/>
                <w:highlight w:val="none"/>
              </w:rPr>
              <w:t>6.</w:t>
            </w:r>
            <w:r>
              <w:rPr>
                <w:b/>
                <w:color w:val="auto"/>
                <w:szCs w:val="21"/>
                <w:highlight w:val="none"/>
              </w:rPr>
              <w:t>3</w:t>
            </w:r>
            <w:r>
              <w:rPr>
                <w:rFonts w:hint="eastAsia"/>
                <w:b/>
                <w:color w:val="auto"/>
                <w:szCs w:val="21"/>
                <w:highlight w:val="none"/>
              </w:rPr>
              <w:t>.</w:t>
            </w:r>
            <w:r>
              <w:rPr>
                <w:b/>
                <w:color w:val="auto"/>
                <w:szCs w:val="21"/>
                <w:highlight w:val="none"/>
              </w:rPr>
              <w:t>5</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E56CD4">
            <w:pPr>
              <w:spacing w:line="300" w:lineRule="exact"/>
              <w:jc w:val="center"/>
              <w:rPr>
                <w:rFonts w:hint="eastAsia"/>
                <w:color w:val="auto"/>
                <w:szCs w:val="21"/>
                <w:highlight w:val="none"/>
                <w:lang w:val="en-US" w:eastAsia="zh-CN"/>
              </w:rPr>
            </w:pPr>
            <w:r>
              <w:rPr>
                <w:rFonts w:hint="eastAsia"/>
                <w:color w:val="auto"/>
                <w:szCs w:val="21"/>
                <w:highlight w:val="none"/>
                <w:lang w:val="en-US" w:eastAsia="zh-CN"/>
              </w:rPr>
              <w:t>异常低价审查</w:t>
            </w:r>
          </w:p>
          <w:p w14:paraId="3B634E2F">
            <w:pPr>
              <w:spacing w:line="300" w:lineRule="exact"/>
              <w:jc w:val="center"/>
              <w:rPr>
                <w:rFonts w:hint="eastAsia" w:ascii="Times New Roman" w:hAnsi="Times New Roman" w:eastAsia="宋体" w:cs="Times New Roman"/>
                <w:color w:val="auto"/>
                <w:kern w:val="2"/>
                <w:sz w:val="21"/>
                <w:szCs w:val="21"/>
                <w:highlight w:val="none"/>
                <w:lang w:val="en-US" w:eastAsia="zh-CN" w:bidi="ar-SA"/>
              </w:rPr>
            </w:pPr>
          </w:p>
        </w:tc>
        <w:tc>
          <w:tcPr>
            <w:tcW w:w="72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A98908">
            <w:pPr>
              <w:spacing w:line="300" w:lineRule="exact"/>
              <w:jc w:val="left"/>
              <w:rPr>
                <w:rFonts w:hint="eastAsia"/>
                <w:color w:val="auto"/>
                <w:szCs w:val="21"/>
                <w:highlight w:val="none"/>
                <w:lang w:val="en-US" w:eastAsia="zh-CN"/>
              </w:rPr>
            </w:pPr>
            <w:r>
              <w:rPr>
                <w:rFonts w:hint="eastAsia"/>
                <w:color w:val="auto"/>
                <w:szCs w:val="21"/>
                <w:highlight w:val="none"/>
                <w:lang w:eastAsia="zh-CN"/>
              </w:rPr>
              <w:t>☑</w:t>
            </w:r>
            <w:r>
              <w:rPr>
                <w:rFonts w:hint="eastAsia"/>
                <w:color w:val="auto"/>
                <w:szCs w:val="21"/>
                <w:highlight w:val="none"/>
                <w:lang w:val="en-US" w:eastAsia="zh-CN"/>
              </w:rPr>
              <w:t>评审中出现下列情形之一的，评审委员会应当启动异常低价响应审查程序：</w:t>
            </w:r>
          </w:p>
          <w:p w14:paraId="3A4E7DAF">
            <w:pPr>
              <w:spacing w:line="276" w:lineRule="auto"/>
              <w:rPr>
                <w:rFonts w:hint="default"/>
                <w:color w:val="auto"/>
                <w:szCs w:val="21"/>
                <w:highlight w:val="none"/>
                <w:lang w:val="en-US" w:eastAsia="zh-CN"/>
              </w:rPr>
            </w:pPr>
            <w:r>
              <w:rPr>
                <w:rFonts w:hint="eastAsia"/>
                <w:color w:val="auto"/>
                <w:szCs w:val="21"/>
                <w:highlight w:val="none"/>
                <w:lang w:val="en-US" w:eastAsia="zh-CN"/>
              </w:rPr>
              <w:t>（1）投标（响应）报价低于全部通过符合性审查供应商投标（响应）报价平均值50%的，即投标（响应）报价&lt;全部通过符合性审查供应商投标（响应）报价平均值×50%；</w:t>
            </w:r>
          </w:p>
          <w:p w14:paraId="6738F83D">
            <w:pPr>
              <w:spacing w:line="276" w:lineRule="auto"/>
              <w:rPr>
                <w:rFonts w:hint="eastAsia"/>
                <w:color w:val="auto"/>
                <w:szCs w:val="21"/>
                <w:highlight w:val="none"/>
                <w:lang w:val="en-US" w:eastAsia="zh-CN"/>
              </w:rPr>
            </w:pPr>
            <w:r>
              <w:rPr>
                <w:rFonts w:hint="eastAsia"/>
                <w:color w:val="auto"/>
                <w:szCs w:val="21"/>
                <w:highlight w:val="none"/>
                <w:lang w:val="en-US" w:eastAsia="zh-CN"/>
              </w:rPr>
              <w:t>（2）投标（响应）报价低于通过符合性审查的次低报价供应商投标（响应）报价50%的，即投标（响应）报价&lt;通过符合性审查的次低报价供应商投标（响应）报价×50%；</w:t>
            </w:r>
          </w:p>
          <w:p w14:paraId="60A5002C">
            <w:pPr>
              <w:spacing w:line="276" w:lineRule="auto"/>
              <w:rPr>
                <w:rFonts w:hint="eastAsia"/>
                <w:color w:val="auto"/>
                <w:szCs w:val="21"/>
                <w:highlight w:val="none"/>
                <w:lang w:val="en-US" w:eastAsia="zh-CN"/>
              </w:rPr>
            </w:pPr>
            <w:r>
              <w:rPr>
                <w:rFonts w:hint="eastAsia"/>
                <w:color w:val="auto"/>
                <w:szCs w:val="21"/>
                <w:highlight w:val="none"/>
                <w:lang w:val="en-US" w:eastAsia="zh-CN"/>
              </w:rPr>
              <w:t>（3）投标（响应）报价低于采购项目最高限价45%的，即投标（响应）报价&lt;采购项目最高限价×45%；</w:t>
            </w:r>
          </w:p>
          <w:p w14:paraId="36F41CE9">
            <w:pPr>
              <w:spacing w:line="276" w:lineRule="auto"/>
              <w:rPr>
                <w:rFonts w:hint="eastAsia"/>
                <w:color w:val="auto"/>
                <w:szCs w:val="21"/>
                <w:highlight w:val="none"/>
                <w:lang w:val="en-US" w:eastAsia="zh-CN"/>
              </w:rPr>
            </w:pPr>
            <w:r>
              <w:rPr>
                <w:rFonts w:hint="eastAsia"/>
                <w:color w:val="auto"/>
                <w:szCs w:val="21"/>
                <w:highlight w:val="none"/>
                <w:lang w:val="en-US" w:eastAsia="zh-CN"/>
              </w:rPr>
              <w:t>（4）评审委员会基于专业判断，认为供应商报价过低，有可能影响产品质量或者不能诚信履约的其他情形。</w:t>
            </w:r>
          </w:p>
          <w:p w14:paraId="10E246D8">
            <w:pPr>
              <w:pStyle w:val="20"/>
              <w:rPr>
                <w:rFonts w:hint="eastAsia"/>
                <w:color w:val="auto"/>
                <w:sz w:val="21"/>
                <w:szCs w:val="21"/>
                <w:highlight w:val="none"/>
                <w:lang w:val="en-US" w:eastAsia="zh-CN"/>
              </w:rPr>
            </w:pPr>
            <w:r>
              <w:rPr>
                <w:color w:val="auto"/>
                <w:sz w:val="21"/>
                <w:szCs w:val="21"/>
                <w:highlight w:val="none"/>
              </w:rPr>
              <w:sym w:font="Wingdings 2" w:char="00A3"/>
            </w:r>
            <w:r>
              <w:rPr>
                <w:rFonts w:hint="eastAsia"/>
                <w:color w:val="auto"/>
                <w:sz w:val="21"/>
                <w:szCs w:val="21"/>
                <w:highlight w:val="none"/>
                <w:lang w:val="en-US" w:eastAsia="zh-CN"/>
              </w:rPr>
              <w:t>评审中出现下列情形之一的，评审委员会应当启动异常低价响应审查程序</w:t>
            </w:r>
            <w:r>
              <w:rPr>
                <w:rFonts w:hint="eastAsia"/>
                <w:color w:val="auto"/>
                <w:sz w:val="21"/>
                <w:szCs w:val="21"/>
                <w:highlight w:val="none"/>
                <w:lang w:eastAsia="zh-CN"/>
              </w:rPr>
              <w:t>：</w:t>
            </w:r>
          </w:p>
          <w:p w14:paraId="2C6C3FCD">
            <w:pPr>
              <w:pStyle w:val="20"/>
              <w:rPr>
                <w:rFonts w:hint="default"/>
                <w:color w:val="auto"/>
                <w:sz w:val="21"/>
                <w:szCs w:val="21"/>
                <w:highlight w:val="none"/>
                <w:lang w:val="en-US" w:eastAsia="zh-CN"/>
              </w:rPr>
            </w:pPr>
            <w:r>
              <w:rPr>
                <w:rFonts w:hint="eastAsia"/>
                <w:color w:val="auto"/>
                <w:sz w:val="21"/>
                <w:szCs w:val="21"/>
                <w:highlight w:val="none"/>
                <w:lang w:val="en-US" w:eastAsia="zh-CN"/>
              </w:rPr>
              <w:t>（1）投标（响应）报价低于全部通过符合性审查供应商投标（响应）报价平均值</w:t>
            </w:r>
            <w:r>
              <w:rPr>
                <w:rFonts w:hint="eastAsia"/>
                <w:color w:val="auto"/>
                <w:sz w:val="21"/>
                <w:szCs w:val="21"/>
                <w:highlight w:val="none"/>
                <w:u w:val="single"/>
                <w:lang w:val="en-US" w:eastAsia="zh-CN"/>
              </w:rPr>
              <w:t xml:space="preserve">     </w:t>
            </w:r>
            <w:r>
              <w:rPr>
                <w:rFonts w:hint="eastAsia"/>
                <w:color w:val="auto"/>
                <w:sz w:val="21"/>
                <w:szCs w:val="21"/>
                <w:highlight w:val="none"/>
                <w:lang w:val="en-US" w:eastAsia="zh-CN"/>
              </w:rPr>
              <w:t>%的，即投标（响应）报价&lt;全部通过符合性审查供应商投标（响应）报价平均值×</w:t>
            </w:r>
            <w:r>
              <w:rPr>
                <w:rFonts w:hint="eastAsia"/>
                <w:color w:val="auto"/>
                <w:sz w:val="21"/>
                <w:szCs w:val="21"/>
                <w:highlight w:val="none"/>
                <w:u w:val="single"/>
                <w:lang w:val="en-US" w:eastAsia="zh-CN"/>
              </w:rPr>
              <w:t xml:space="preserve">      </w:t>
            </w:r>
            <w:r>
              <w:rPr>
                <w:rFonts w:hint="eastAsia"/>
                <w:color w:val="auto"/>
                <w:sz w:val="21"/>
                <w:szCs w:val="21"/>
                <w:highlight w:val="none"/>
                <w:lang w:val="en-US" w:eastAsia="zh-CN"/>
              </w:rPr>
              <w:t>%；</w:t>
            </w:r>
          </w:p>
          <w:p w14:paraId="53E77C45">
            <w:pPr>
              <w:pStyle w:val="20"/>
              <w:rPr>
                <w:rFonts w:hint="eastAsia"/>
                <w:color w:val="auto"/>
                <w:sz w:val="21"/>
                <w:szCs w:val="21"/>
                <w:highlight w:val="none"/>
                <w:lang w:val="en-US" w:eastAsia="zh-CN"/>
              </w:rPr>
            </w:pPr>
            <w:r>
              <w:rPr>
                <w:rFonts w:hint="eastAsia"/>
                <w:color w:val="auto"/>
                <w:sz w:val="21"/>
                <w:szCs w:val="21"/>
                <w:highlight w:val="none"/>
                <w:lang w:val="en-US" w:eastAsia="zh-CN"/>
              </w:rPr>
              <w:t>（2）投标（响应）报价低于通过符合性审查的次低报价供应商投标（响应）报价</w:t>
            </w:r>
            <w:r>
              <w:rPr>
                <w:rFonts w:hint="eastAsia"/>
                <w:color w:val="auto"/>
                <w:sz w:val="21"/>
                <w:szCs w:val="21"/>
                <w:highlight w:val="none"/>
                <w:u w:val="single"/>
                <w:lang w:val="en-US" w:eastAsia="zh-CN"/>
              </w:rPr>
              <w:t xml:space="preserve">      </w:t>
            </w:r>
            <w:r>
              <w:rPr>
                <w:rFonts w:hint="eastAsia"/>
                <w:color w:val="auto"/>
                <w:sz w:val="21"/>
                <w:szCs w:val="21"/>
                <w:highlight w:val="none"/>
                <w:lang w:val="en-US" w:eastAsia="zh-CN"/>
              </w:rPr>
              <w:t xml:space="preserve">  %的，即投标（响应）报价&lt;通过符合性审查的次低报价供应商投标（响应）报价×</w:t>
            </w:r>
            <w:r>
              <w:rPr>
                <w:rFonts w:hint="eastAsia"/>
                <w:color w:val="auto"/>
                <w:sz w:val="21"/>
                <w:szCs w:val="21"/>
                <w:highlight w:val="none"/>
                <w:u w:val="single"/>
                <w:lang w:val="en-US" w:eastAsia="zh-CN"/>
              </w:rPr>
              <w:t xml:space="preserve">       </w:t>
            </w:r>
            <w:r>
              <w:rPr>
                <w:rFonts w:hint="eastAsia"/>
                <w:color w:val="auto"/>
                <w:sz w:val="21"/>
                <w:szCs w:val="21"/>
                <w:highlight w:val="none"/>
                <w:lang w:val="en-US" w:eastAsia="zh-CN"/>
              </w:rPr>
              <w:t>%；</w:t>
            </w:r>
          </w:p>
          <w:p w14:paraId="17F7D108">
            <w:pPr>
              <w:pStyle w:val="20"/>
              <w:rPr>
                <w:rFonts w:hint="eastAsia"/>
                <w:color w:val="auto"/>
                <w:sz w:val="21"/>
                <w:szCs w:val="21"/>
                <w:highlight w:val="none"/>
                <w:lang w:val="en-US" w:eastAsia="zh-CN"/>
              </w:rPr>
            </w:pPr>
            <w:r>
              <w:rPr>
                <w:rFonts w:hint="eastAsia"/>
                <w:color w:val="auto"/>
                <w:sz w:val="21"/>
                <w:szCs w:val="21"/>
                <w:highlight w:val="none"/>
                <w:lang w:val="en-US" w:eastAsia="zh-CN"/>
              </w:rPr>
              <w:t>（3）投标（响应）报价低于采购项目最高限价</w:t>
            </w:r>
            <w:r>
              <w:rPr>
                <w:rFonts w:hint="eastAsia"/>
                <w:color w:val="auto"/>
                <w:sz w:val="21"/>
                <w:szCs w:val="21"/>
                <w:highlight w:val="none"/>
                <w:u w:val="single"/>
                <w:lang w:val="en-US" w:eastAsia="zh-CN"/>
              </w:rPr>
              <w:t xml:space="preserve">      </w:t>
            </w:r>
            <w:r>
              <w:rPr>
                <w:rFonts w:hint="eastAsia"/>
                <w:color w:val="auto"/>
                <w:sz w:val="21"/>
                <w:szCs w:val="21"/>
                <w:highlight w:val="none"/>
                <w:lang w:val="en-US" w:eastAsia="zh-CN"/>
              </w:rPr>
              <w:t>%的，即投标（响应）报价&lt;采购项目最高限价×</w:t>
            </w:r>
            <w:r>
              <w:rPr>
                <w:rFonts w:hint="eastAsia"/>
                <w:color w:val="auto"/>
                <w:sz w:val="21"/>
                <w:szCs w:val="21"/>
                <w:highlight w:val="none"/>
                <w:u w:val="single"/>
                <w:lang w:val="en-US" w:eastAsia="zh-CN"/>
              </w:rPr>
              <w:t xml:space="preserve">       </w:t>
            </w:r>
            <w:r>
              <w:rPr>
                <w:rFonts w:hint="eastAsia"/>
                <w:color w:val="auto"/>
                <w:sz w:val="21"/>
                <w:szCs w:val="21"/>
                <w:highlight w:val="none"/>
                <w:lang w:val="en-US" w:eastAsia="zh-CN"/>
              </w:rPr>
              <w:t>%；</w:t>
            </w:r>
          </w:p>
          <w:p w14:paraId="23E258FA">
            <w:pPr>
              <w:spacing w:line="276" w:lineRule="auto"/>
              <w:rPr>
                <w:color w:val="auto"/>
                <w:kern w:val="2"/>
                <w:sz w:val="22"/>
                <w:szCs w:val="22"/>
                <w:highlight w:val="none"/>
                <w:lang w:val="en-US" w:eastAsia="zh-CN" w:bidi="ar-SA"/>
              </w:rPr>
            </w:pPr>
            <w:r>
              <w:rPr>
                <w:rFonts w:hint="eastAsia"/>
                <w:color w:val="auto"/>
                <w:sz w:val="21"/>
                <w:szCs w:val="21"/>
                <w:highlight w:val="none"/>
                <w:lang w:val="en-US" w:eastAsia="zh-CN"/>
              </w:rPr>
              <w:t>（4）评审委员会基于专业判断，认为供应商报价过低，有可能影响产品质量或者不能诚信履约的其他情形。</w:t>
            </w:r>
          </w:p>
        </w:tc>
      </w:tr>
      <w:tr w14:paraId="0087D2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160C55E7">
            <w:pPr>
              <w:spacing w:line="300" w:lineRule="exact"/>
              <w:jc w:val="center"/>
              <w:rPr>
                <w:b/>
                <w:color w:val="auto"/>
                <w:szCs w:val="21"/>
                <w:highlight w:val="none"/>
              </w:rPr>
            </w:pPr>
            <w:r>
              <w:rPr>
                <w:b/>
                <w:color w:val="auto"/>
                <w:szCs w:val="21"/>
                <w:highlight w:val="none"/>
              </w:rPr>
              <w:t>6.5</w:t>
            </w:r>
            <w:r>
              <w:rPr>
                <w:rFonts w:hint="eastAsia"/>
                <w:b/>
                <w:color w:val="auto"/>
                <w:szCs w:val="21"/>
                <w:highlight w:val="none"/>
              </w:rPr>
              <w:t>.1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7D1B65B">
            <w:pPr>
              <w:spacing w:line="300" w:lineRule="exact"/>
              <w:jc w:val="center"/>
              <w:rPr>
                <w:color w:val="auto"/>
                <w:szCs w:val="21"/>
                <w:highlight w:val="none"/>
              </w:rPr>
            </w:pPr>
            <w:r>
              <w:rPr>
                <w:rFonts w:hint="eastAsia"/>
                <w:color w:val="auto"/>
                <w:szCs w:val="21"/>
                <w:highlight w:val="none"/>
              </w:rPr>
              <w:t>结果</w:t>
            </w:r>
            <w:r>
              <w:rPr>
                <w:color w:val="auto"/>
                <w:szCs w:val="21"/>
                <w:highlight w:val="none"/>
              </w:rPr>
              <w:t>公告</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0082070">
            <w:pPr>
              <w:spacing w:line="300" w:lineRule="exact"/>
              <w:jc w:val="left"/>
              <w:rPr>
                <w:color w:val="auto"/>
                <w:szCs w:val="21"/>
                <w:highlight w:val="none"/>
              </w:rPr>
            </w:pPr>
            <w:r>
              <w:rPr>
                <w:color w:val="auto"/>
                <w:szCs w:val="21"/>
                <w:highlight w:val="none"/>
              </w:rPr>
              <w:t>采购代理机构在采购人依法确认成交供应商后2个工作日内在磋商公告发布的媒体上发布</w:t>
            </w:r>
            <w:r>
              <w:rPr>
                <w:rFonts w:hint="eastAsia"/>
                <w:color w:val="auto"/>
                <w:szCs w:val="21"/>
                <w:highlight w:val="none"/>
              </w:rPr>
              <w:t>结果</w:t>
            </w:r>
            <w:r>
              <w:rPr>
                <w:color w:val="auto"/>
                <w:szCs w:val="21"/>
                <w:highlight w:val="none"/>
              </w:rPr>
              <w:t>公告</w:t>
            </w:r>
            <w:r>
              <w:rPr>
                <w:rFonts w:hint="eastAsia"/>
                <w:color w:val="auto"/>
                <w:szCs w:val="21"/>
                <w:highlight w:val="none"/>
              </w:rPr>
              <w:t>。</w:t>
            </w:r>
          </w:p>
        </w:tc>
      </w:tr>
      <w:tr w14:paraId="220AD2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1AE15964">
            <w:pPr>
              <w:spacing w:line="300" w:lineRule="exact"/>
              <w:jc w:val="center"/>
              <w:rPr>
                <w:b/>
                <w:color w:val="auto"/>
                <w:szCs w:val="21"/>
                <w:highlight w:val="none"/>
              </w:rPr>
            </w:pPr>
            <w:r>
              <w:rPr>
                <w:b/>
                <w:color w:val="auto"/>
                <w:szCs w:val="21"/>
                <w:highlight w:val="none"/>
              </w:rPr>
              <w:t>6.5.2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D50E589">
            <w:pPr>
              <w:spacing w:line="300" w:lineRule="exact"/>
              <w:jc w:val="center"/>
              <w:rPr>
                <w:color w:val="auto"/>
                <w:szCs w:val="21"/>
                <w:highlight w:val="none"/>
              </w:rPr>
            </w:pPr>
            <w:r>
              <w:rPr>
                <w:rFonts w:hint="eastAsia"/>
                <w:color w:val="auto"/>
                <w:szCs w:val="21"/>
                <w:highlight w:val="none"/>
              </w:rPr>
              <w:t>成交通知书</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8B0BBBD">
            <w:pPr>
              <w:spacing w:line="300" w:lineRule="exact"/>
              <w:jc w:val="left"/>
              <w:rPr>
                <w:color w:val="auto"/>
                <w:szCs w:val="21"/>
                <w:highlight w:val="none"/>
              </w:rPr>
            </w:pPr>
            <w:r>
              <w:rPr>
                <w:rFonts w:hint="eastAsia"/>
                <w:color w:val="auto"/>
                <w:szCs w:val="21"/>
                <w:highlight w:val="none"/>
              </w:rPr>
              <w:t>采购代理机构通过广西政府采购云平台发出</w:t>
            </w:r>
            <w:r>
              <w:rPr>
                <w:color w:val="auto"/>
                <w:szCs w:val="21"/>
                <w:highlight w:val="none"/>
              </w:rPr>
              <w:t>成交通知书。</w:t>
            </w:r>
          </w:p>
          <w:p w14:paraId="2B83F004">
            <w:pPr>
              <w:spacing w:line="300" w:lineRule="exact"/>
              <w:jc w:val="left"/>
              <w:rPr>
                <w:color w:val="auto"/>
                <w:szCs w:val="21"/>
                <w:highlight w:val="none"/>
              </w:rPr>
            </w:pPr>
            <w:r>
              <w:rPr>
                <w:rFonts w:hint="eastAsia"/>
                <w:color w:val="auto"/>
                <w:szCs w:val="21"/>
                <w:highlight w:val="none"/>
              </w:rPr>
              <w:t>成交通知书在广西政府采购云平台推送之日起，视为成交供应商已收到，成交供应商自行承担未及时查收的后果。</w:t>
            </w:r>
          </w:p>
        </w:tc>
      </w:tr>
      <w:tr w14:paraId="4EFA59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38C451A9">
            <w:pPr>
              <w:spacing w:line="300" w:lineRule="exact"/>
              <w:jc w:val="center"/>
              <w:rPr>
                <w:b/>
                <w:color w:val="auto"/>
                <w:szCs w:val="21"/>
                <w:highlight w:val="none"/>
              </w:rPr>
            </w:pPr>
            <w:r>
              <w:rPr>
                <w:b/>
                <w:color w:val="auto"/>
                <w:szCs w:val="21"/>
                <w:highlight w:val="none"/>
              </w:rPr>
              <w:t>8.1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A264341">
            <w:pPr>
              <w:spacing w:line="300" w:lineRule="exact"/>
              <w:jc w:val="center"/>
              <w:rPr>
                <w:color w:val="auto"/>
                <w:szCs w:val="21"/>
                <w:highlight w:val="none"/>
              </w:rPr>
            </w:pPr>
            <w:r>
              <w:rPr>
                <w:rFonts w:hint="eastAsia"/>
                <w:color w:val="auto"/>
                <w:szCs w:val="21"/>
                <w:highlight w:val="none"/>
              </w:rPr>
              <w:t>质疑</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CA10822">
            <w:pPr>
              <w:spacing w:line="300" w:lineRule="exact"/>
              <w:jc w:val="left"/>
              <w:rPr>
                <w:color w:val="auto"/>
                <w:szCs w:val="21"/>
                <w:highlight w:val="none"/>
              </w:rPr>
            </w:pPr>
            <w:r>
              <w:rPr>
                <w:rFonts w:hint="eastAsia"/>
                <w:color w:val="auto"/>
                <w:szCs w:val="21"/>
                <w:highlight w:val="none"/>
              </w:rPr>
              <w:t>（1）供应商</w:t>
            </w:r>
            <w:r>
              <w:rPr>
                <w:color w:val="auto"/>
                <w:szCs w:val="21"/>
                <w:highlight w:val="none"/>
              </w:rPr>
              <w:t>认为</w:t>
            </w:r>
            <w:r>
              <w:rPr>
                <w:rFonts w:hint="eastAsia"/>
                <w:color w:val="auto"/>
                <w:szCs w:val="21"/>
                <w:highlight w:val="none"/>
              </w:rPr>
              <w:t>采购文件</w:t>
            </w:r>
            <w:r>
              <w:rPr>
                <w:color w:val="auto"/>
                <w:szCs w:val="21"/>
                <w:highlight w:val="none"/>
              </w:rPr>
              <w:t>、</w:t>
            </w:r>
            <w:r>
              <w:rPr>
                <w:rFonts w:hint="eastAsia"/>
                <w:color w:val="auto"/>
                <w:szCs w:val="21"/>
                <w:highlight w:val="none"/>
              </w:rPr>
              <w:t>采购</w:t>
            </w:r>
            <w:r>
              <w:rPr>
                <w:color w:val="auto"/>
                <w:szCs w:val="21"/>
                <w:highlight w:val="none"/>
              </w:rPr>
              <w:t>过程、</w:t>
            </w:r>
            <w:r>
              <w:rPr>
                <w:rFonts w:hint="eastAsia"/>
                <w:color w:val="auto"/>
                <w:szCs w:val="21"/>
                <w:highlight w:val="none"/>
              </w:rPr>
              <w:t>中标或者成交</w:t>
            </w:r>
            <w:r>
              <w:rPr>
                <w:color w:val="auto"/>
                <w:szCs w:val="21"/>
                <w:highlight w:val="none"/>
              </w:rPr>
              <w:t>结果使自己的权益受到损害的，可以在知道或者应知其权益受到损害之日起7个工作日内，</w:t>
            </w:r>
            <w:r>
              <w:rPr>
                <w:rFonts w:hint="eastAsia"/>
                <w:color w:val="auto"/>
                <w:szCs w:val="21"/>
                <w:highlight w:val="none"/>
              </w:rPr>
              <w:t>通过以下方式</w:t>
            </w:r>
            <w:r>
              <w:rPr>
                <w:color w:val="auto"/>
                <w:szCs w:val="21"/>
                <w:highlight w:val="none"/>
              </w:rPr>
              <w:t>向采购人、采购代理机构提出质疑。提出质疑的</w:t>
            </w:r>
            <w:r>
              <w:rPr>
                <w:rFonts w:hint="eastAsia"/>
                <w:color w:val="auto"/>
                <w:szCs w:val="21"/>
                <w:highlight w:val="none"/>
              </w:rPr>
              <w:t>供应商</w:t>
            </w:r>
            <w:r>
              <w:rPr>
                <w:color w:val="auto"/>
                <w:szCs w:val="21"/>
                <w:highlight w:val="none"/>
              </w:rPr>
              <w:t>必须是参与本项目采购活动的供应商</w:t>
            </w:r>
            <w:r>
              <w:rPr>
                <w:rFonts w:hint="eastAsia"/>
                <w:color w:val="auto"/>
                <w:szCs w:val="21"/>
                <w:highlight w:val="none"/>
              </w:rPr>
              <w:t>，并须在</w:t>
            </w:r>
            <w:r>
              <w:rPr>
                <w:color w:val="auto"/>
                <w:szCs w:val="21"/>
                <w:highlight w:val="none"/>
              </w:rPr>
              <w:t>法定质疑期内一次性提出针对同一采购程序环节的质疑。质疑函应使用财政部发布的</w:t>
            </w:r>
            <w:r>
              <w:rPr>
                <w:rFonts w:hint="eastAsia"/>
                <w:color w:val="auto"/>
                <w:szCs w:val="21"/>
                <w:highlight w:val="none"/>
              </w:rPr>
              <w:t>政府采购供应商质疑函范本，并应按照“质疑函制作说明”进行制作。</w:t>
            </w:r>
          </w:p>
          <w:p w14:paraId="1C1E1907">
            <w:pPr>
              <w:spacing w:line="300" w:lineRule="exact"/>
              <w:jc w:val="left"/>
              <w:rPr>
                <w:rFonts w:hint="eastAsia"/>
                <w:color w:val="auto"/>
                <w:szCs w:val="21"/>
                <w:highlight w:val="none"/>
              </w:rPr>
            </w:pPr>
            <w:r>
              <w:rPr>
                <w:rFonts w:hint="eastAsia"/>
                <w:color w:val="auto"/>
                <w:szCs w:val="21"/>
                <w:highlight w:val="none"/>
              </w:rPr>
              <w:t>（2）</w:t>
            </w:r>
            <w:r>
              <w:rPr>
                <w:color w:val="auto"/>
                <w:szCs w:val="21"/>
                <w:highlight w:val="none"/>
              </w:rPr>
              <w:t>本项目不接受传真、移动通信</w:t>
            </w:r>
            <w:r>
              <w:rPr>
                <w:rFonts w:hint="eastAsia"/>
                <w:color w:val="auto"/>
                <w:szCs w:val="21"/>
                <w:highlight w:val="none"/>
              </w:rPr>
              <w:t>、广西政府采购云平台</w:t>
            </w:r>
            <w:r>
              <w:rPr>
                <w:color w:val="auto"/>
                <w:szCs w:val="21"/>
                <w:highlight w:val="none"/>
              </w:rPr>
              <w:t>等</w:t>
            </w:r>
            <w:r>
              <w:rPr>
                <w:rFonts w:hint="eastAsia"/>
                <w:color w:val="auto"/>
                <w:szCs w:val="21"/>
                <w:highlight w:val="none"/>
              </w:rPr>
              <w:t>方式</w:t>
            </w:r>
            <w:r>
              <w:rPr>
                <w:color w:val="auto"/>
                <w:szCs w:val="21"/>
                <w:highlight w:val="none"/>
              </w:rPr>
              <w:t>送达的质疑材料</w:t>
            </w:r>
            <w:r>
              <w:rPr>
                <w:rFonts w:hint="eastAsia"/>
                <w:color w:val="auto"/>
                <w:szCs w:val="21"/>
                <w:highlight w:val="none"/>
              </w:rPr>
              <w:t>，供应商可通过现场或邮寄方式递交书面质疑材料。供应商应于质疑有效期内将质疑函原件递交或邮寄至磋商公告中采购代理机构信息中的联系人。</w:t>
            </w:r>
          </w:p>
        </w:tc>
      </w:tr>
      <w:tr w14:paraId="75CB01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58"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3A20A93F">
            <w:pPr>
              <w:spacing w:line="300" w:lineRule="exact"/>
              <w:jc w:val="center"/>
              <w:rPr>
                <w:b/>
                <w:color w:val="auto"/>
                <w:szCs w:val="21"/>
                <w:highlight w:val="none"/>
              </w:rPr>
            </w:pPr>
            <w:r>
              <w:rPr>
                <w:b/>
                <w:color w:val="auto"/>
                <w:szCs w:val="21"/>
                <w:highlight w:val="none"/>
              </w:rPr>
              <w:t>9.1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29D9E4D">
            <w:pPr>
              <w:spacing w:line="300" w:lineRule="exact"/>
              <w:jc w:val="center"/>
              <w:rPr>
                <w:color w:val="auto"/>
                <w:szCs w:val="21"/>
                <w:highlight w:val="none"/>
              </w:rPr>
            </w:pPr>
            <w:r>
              <w:rPr>
                <w:color w:val="auto"/>
                <w:szCs w:val="20"/>
                <w:highlight w:val="none"/>
              </w:rPr>
              <w:t>代理服务费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4BC9CBEF">
            <w:pPr>
              <w:rPr>
                <w:color w:val="auto"/>
                <w:szCs w:val="21"/>
                <w:highlight w:val="none"/>
              </w:rPr>
            </w:pPr>
            <w:r>
              <w:rPr>
                <w:color w:val="auto"/>
                <w:szCs w:val="21"/>
                <w:highlight w:val="none"/>
              </w:rPr>
              <w:t>（1）</w:t>
            </w:r>
            <w:r>
              <w:rPr>
                <w:color w:val="auto"/>
                <w:szCs w:val="20"/>
                <w:highlight w:val="none"/>
              </w:rPr>
              <w:t>代理服务费</w:t>
            </w:r>
          </w:p>
          <w:p w14:paraId="79360631">
            <w:pPr>
              <w:spacing w:line="300" w:lineRule="exact"/>
              <w:jc w:val="left"/>
              <w:rPr>
                <w:color w:val="auto"/>
                <w:szCs w:val="21"/>
                <w:highlight w:val="none"/>
              </w:rPr>
            </w:pPr>
            <w:r>
              <w:rPr>
                <w:color w:val="auto"/>
                <w:szCs w:val="21"/>
                <w:highlight w:val="none"/>
              </w:rPr>
              <w:sym w:font="Wingdings 2" w:char="00A3"/>
            </w:r>
            <w:r>
              <w:rPr>
                <w:color w:val="auto"/>
                <w:szCs w:val="21"/>
                <w:highlight w:val="none"/>
              </w:rPr>
              <w:t>采购代理机构向成交供应商收取代理服务费。本项目代理服务费</w:t>
            </w:r>
            <w:r>
              <w:rPr>
                <w:rFonts w:hint="eastAsia"/>
                <w:color w:val="auto"/>
                <w:szCs w:val="21"/>
                <w:highlight w:val="none"/>
              </w:rPr>
              <w:t>按照</w:t>
            </w:r>
            <w:r>
              <w:rPr>
                <w:color w:val="auto"/>
                <w:szCs w:val="21"/>
                <w:highlight w:val="none"/>
              </w:rPr>
              <w:t>《招标代理服务费管理暂行办法》 (计价格﹝2002﹞1980号)、《国家发展改革委关于降低部分建设项目收费标准规范收费行为等有关问题的通知》(发改价格﹝2011﹞534号)</w:t>
            </w:r>
            <w:r>
              <w:rPr>
                <w:rFonts w:hint="eastAsia"/>
                <w:color w:val="auto"/>
                <w:szCs w:val="21"/>
                <w:highlight w:val="none"/>
              </w:rPr>
              <w:t>的</w:t>
            </w:r>
            <w:r>
              <w:rPr>
                <w:color w:val="auto"/>
                <w:szCs w:val="21"/>
                <w:highlight w:val="none"/>
              </w:rPr>
              <w:t>规定</w:t>
            </w:r>
            <w:r>
              <w:rPr>
                <w:rFonts w:hint="eastAsia"/>
                <w:color w:val="auto"/>
                <w:szCs w:val="21"/>
                <w:highlight w:val="none"/>
              </w:rPr>
              <w:t>采用</w:t>
            </w:r>
            <w:r>
              <w:rPr>
                <w:color w:val="auto"/>
                <w:szCs w:val="21"/>
                <w:highlight w:val="none"/>
              </w:rPr>
              <w:t>差额定率累进</w:t>
            </w:r>
            <w:r>
              <w:rPr>
                <w:rFonts w:hint="eastAsia"/>
                <w:color w:val="auto"/>
                <w:szCs w:val="21"/>
                <w:highlight w:val="none"/>
              </w:rPr>
              <w:t>法</w:t>
            </w:r>
            <w:r>
              <w:rPr>
                <w:color w:val="auto"/>
                <w:szCs w:val="21"/>
                <w:highlight w:val="none"/>
              </w:rPr>
              <w:t>计算</w:t>
            </w:r>
            <w:r>
              <w:rPr>
                <w:rFonts w:hint="eastAsia"/>
                <w:color w:val="auto"/>
                <w:szCs w:val="21"/>
                <w:highlight w:val="none"/>
              </w:rPr>
              <w:t>。按服务类收费标准计取</w:t>
            </w:r>
            <w:r>
              <w:rPr>
                <w:rFonts w:hint="eastAsia"/>
                <w:color w:val="auto"/>
                <w:szCs w:val="21"/>
                <w:highlight w:val="none"/>
                <w:lang w:eastAsia="zh-CN"/>
              </w:rPr>
              <w:t>。</w:t>
            </w:r>
            <w:r>
              <w:rPr>
                <w:color w:val="auto"/>
                <w:szCs w:val="21"/>
                <w:highlight w:val="none"/>
              </w:rPr>
              <w:t>具体费率</w:t>
            </w:r>
            <w:r>
              <w:rPr>
                <w:rFonts w:hint="eastAsia"/>
                <w:color w:val="auto"/>
                <w:szCs w:val="21"/>
                <w:highlight w:val="none"/>
              </w:rPr>
              <w:t>如下：</w:t>
            </w:r>
          </w:p>
          <w:p w14:paraId="2421DCA7">
            <w:pPr>
              <w:spacing w:line="300" w:lineRule="exact"/>
              <w:jc w:val="left"/>
              <w:rPr>
                <w:color w:val="auto"/>
                <w:szCs w:val="21"/>
                <w:highlight w:val="none"/>
              </w:rPr>
            </w:pPr>
            <w:r>
              <w:rPr>
                <w:rFonts w:hint="eastAsia"/>
                <w:color w:val="auto"/>
                <w:szCs w:val="21"/>
                <w:highlight w:val="none"/>
              </w:rPr>
              <w:t>①成交金额在1</w:t>
            </w:r>
            <w:r>
              <w:rPr>
                <w:color w:val="auto"/>
                <w:szCs w:val="21"/>
                <w:highlight w:val="none"/>
              </w:rPr>
              <w:t>00</w:t>
            </w:r>
            <w:r>
              <w:rPr>
                <w:rFonts w:hint="eastAsia"/>
                <w:color w:val="auto"/>
                <w:szCs w:val="21"/>
                <w:highlight w:val="none"/>
              </w:rPr>
              <w:t>万元以下的：</w:t>
            </w:r>
          </w:p>
          <w:p w14:paraId="73499B63">
            <w:pPr>
              <w:spacing w:line="300" w:lineRule="exact"/>
              <w:jc w:val="left"/>
              <w:rPr>
                <w:color w:val="auto"/>
                <w:szCs w:val="21"/>
                <w:highlight w:val="none"/>
              </w:rPr>
            </w:pPr>
            <w:r>
              <w:rPr>
                <w:rFonts w:hint="eastAsia"/>
                <w:color w:val="auto"/>
                <w:szCs w:val="21"/>
                <w:highlight w:val="none"/>
              </w:rPr>
              <w:t>货物</w:t>
            </w:r>
            <w:r>
              <w:rPr>
                <w:color w:val="auto"/>
                <w:szCs w:val="21"/>
                <w:highlight w:val="none"/>
              </w:rPr>
              <w:t>1.5％</w:t>
            </w:r>
            <w:r>
              <w:rPr>
                <w:rFonts w:hint="eastAsia"/>
                <w:color w:val="auto"/>
                <w:szCs w:val="21"/>
                <w:highlight w:val="none"/>
              </w:rPr>
              <w:t>；</w:t>
            </w:r>
            <w:r>
              <w:rPr>
                <w:color w:val="auto"/>
                <w:szCs w:val="21"/>
                <w:highlight w:val="none"/>
              </w:rPr>
              <w:t>服务招标1.5％</w:t>
            </w:r>
            <w:r>
              <w:rPr>
                <w:rFonts w:hint="eastAsia"/>
                <w:color w:val="auto"/>
                <w:szCs w:val="21"/>
                <w:highlight w:val="none"/>
              </w:rPr>
              <w:t>；</w:t>
            </w:r>
            <w:r>
              <w:rPr>
                <w:color w:val="auto"/>
                <w:szCs w:val="21"/>
                <w:highlight w:val="none"/>
              </w:rPr>
              <w:t>工程招标1.0％</w:t>
            </w:r>
            <w:r>
              <w:rPr>
                <w:rFonts w:hint="eastAsia"/>
                <w:color w:val="auto"/>
                <w:szCs w:val="21"/>
                <w:highlight w:val="none"/>
              </w:rPr>
              <w:t>；</w:t>
            </w:r>
          </w:p>
          <w:p w14:paraId="08E08702">
            <w:pPr>
              <w:spacing w:line="300" w:lineRule="exact"/>
              <w:jc w:val="left"/>
              <w:rPr>
                <w:color w:val="auto"/>
                <w:szCs w:val="21"/>
                <w:highlight w:val="none"/>
              </w:rPr>
            </w:pPr>
            <w:r>
              <w:rPr>
                <w:rFonts w:hint="eastAsia"/>
                <w:color w:val="auto"/>
                <w:szCs w:val="21"/>
                <w:highlight w:val="none"/>
              </w:rPr>
              <w:t>②成交金额在</w:t>
            </w:r>
            <w:r>
              <w:rPr>
                <w:color w:val="auto"/>
                <w:szCs w:val="21"/>
                <w:highlight w:val="none"/>
              </w:rPr>
              <w:t>100-500</w:t>
            </w:r>
            <w:r>
              <w:rPr>
                <w:rFonts w:hint="eastAsia"/>
                <w:color w:val="auto"/>
                <w:szCs w:val="21"/>
                <w:highlight w:val="none"/>
              </w:rPr>
              <w:t>万元之间：</w:t>
            </w:r>
          </w:p>
          <w:p w14:paraId="1FB80A87">
            <w:pPr>
              <w:spacing w:line="300" w:lineRule="exact"/>
              <w:jc w:val="left"/>
              <w:rPr>
                <w:color w:val="auto"/>
                <w:szCs w:val="21"/>
                <w:highlight w:val="none"/>
              </w:rPr>
            </w:pPr>
            <w:r>
              <w:rPr>
                <w:rFonts w:hint="eastAsia"/>
                <w:color w:val="auto"/>
                <w:szCs w:val="21"/>
                <w:highlight w:val="none"/>
              </w:rPr>
              <w:t>货物</w:t>
            </w:r>
            <w:r>
              <w:rPr>
                <w:color w:val="auto"/>
                <w:szCs w:val="21"/>
                <w:highlight w:val="none"/>
              </w:rPr>
              <w:t>1.1％</w:t>
            </w:r>
            <w:r>
              <w:rPr>
                <w:rFonts w:hint="eastAsia"/>
                <w:color w:val="auto"/>
                <w:szCs w:val="21"/>
                <w:highlight w:val="none"/>
              </w:rPr>
              <w:t>；</w:t>
            </w:r>
            <w:r>
              <w:rPr>
                <w:color w:val="auto"/>
                <w:szCs w:val="21"/>
                <w:highlight w:val="none"/>
              </w:rPr>
              <w:t>服务招标0.8％</w:t>
            </w:r>
            <w:r>
              <w:rPr>
                <w:rFonts w:hint="eastAsia"/>
                <w:color w:val="auto"/>
                <w:szCs w:val="21"/>
                <w:highlight w:val="none"/>
              </w:rPr>
              <w:t>；</w:t>
            </w:r>
            <w:r>
              <w:rPr>
                <w:color w:val="auto"/>
                <w:szCs w:val="21"/>
                <w:highlight w:val="none"/>
              </w:rPr>
              <w:t>工程招标0.7％</w:t>
            </w:r>
            <w:r>
              <w:rPr>
                <w:rFonts w:hint="eastAsia"/>
                <w:color w:val="auto"/>
                <w:szCs w:val="21"/>
                <w:highlight w:val="none"/>
              </w:rPr>
              <w:t>；</w:t>
            </w:r>
          </w:p>
          <w:p w14:paraId="5746C03D">
            <w:pPr>
              <w:spacing w:line="300" w:lineRule="exact"/>
              <w:jc w:val="left"/>
              <w:rPr>
                <w:color w:val="auto"/>
                <w:szCs w:val="21"/>
                <w:highlight w:val="none"/>
              </w:rPr>
            </w:pPr>
            <w:r>
              <w:rPr>
                <w:rFonts w:hint="eastAsia"/>
                <w:color w:val="auto"/>
                <w:szCs w:val="21"/>
                <w:highlight w:val="none"/>
              </w:rPr>
              <w:t>③成交金额在</w:t>
            </w:r>
            <w:r>
              <w:rPr>
                <w:color w:val="auto"/>
                <w:szCs w:val="21"/>
                <w:highlight w:val="none"/>
              </w:rPr>
              <w:t>5</w:t>
            </w:r>
            <w:r>
              <w:rPr>
                <w:rFonts w:hint="eastAsia"/>
                <w:color w:val="auto"/>
                <w:szCs w:val="21"/>
                <w:highlight w:val="none"/>
              </w:rPr>
              <w:t>0</w:t>
            </w:r>
            <w:r>
              <w:rPr>
                <w:color w:val="auto"/>
                <w:szCs w:val="21"/>
                <w:highlight w:val="none"/>
              </w:rPr>
              <w:t>0-1</w:t>
            </w:r>
            <w:r>
              <w:rPr>
                <w:rFonts w:hint="eastAsia"/>
                <w:color w:val="auto"/>
                <w:szCs w:val="21"/>
                <w:highlight w:val="none"/>
              </w:rPr>
              <w:t>00</w:t>
            </w:r>
            <w:r>
              <w:rPr>
                <w:color w:val="auto"/>
                <w:szCs w:val="21"/>
                <w:highlight w:val="none"/>
              </w:rPr>
              <w:t>0</w:t>
            </w:r>
            <w:r>
              <w:rPr>
                <w:rFonts w:hint="eastAsia"/>
                <w:color w:val="auto"/>
                <w:szCs w:val="21"/>
                <w:highlight w:val="none"/>
              </w:rPr>
              <w:t>万元之间：</w:t>
            </w:r>
          </w:p>
          <w:p w14:paraId="12EF95C0">
            <w:pPr>
              <w:spacing w:line="300" w:lineRule="exact"/>
              <w:jc w:val="left"/>
              <w:rPr>
                <w:color w:val="auto"/>
                <w:szCs w:val="21"/>
                <w:highlight w:val="none"/>
              </w:rPr>
            </w:pPr>
            <w:r>
              <w:rPr>
                <w:rFonts w:hint="eastAsia"/>
                <w:color w:val="auto"/>
                <w:szCs w:val="21"/>
                <w:highlight w:val="none"/>
              </w:rPr>
              <w:t>货物</w:t>
            </w:r>
            <w:r>
              <w:rPr>
                <w:color w:val="auto"/>
                <w:szCs w:val="21"/>
                <w:highlight w:val="none"/>
              </w:rPr>
              <w:t>0.8％</w:t>
            </w:r>
            <w:r>
              <w:rPr>
                <w:rFonts w:hint="eastAsia"/>
                <w:color w:val="auto"/>
                <w:szCs w:val="21"/>
                <w:highlight w:val="none"/>
              </w:rPr>
              <w:t>；</w:t>
            </w:r>
            <w:r>
              <w:rPr>
                <w:color w:val="auto"/>
                <w:szCs w:val="21"/>
                <w:highlight w:val="none"/>
              </w:rPr>
              <w:t>服务招标0.45％</w:t>
            </w:r>
            <w:r>
              <w:rPr>
                <w:rFonts w:hint="eastAsia"/>
                <w:color w:val="auto"/>
                <w:szCs w:val="21"/>
                <w:highlight w:val="none"/>
              </w:rPr>
              <w:t>；</w:t>
            </w:r>
            <w:r>
              <w:rPr>
                <w:color w:val="auto"/>
                <w:szCs w:val="21"/>
                <w:highlight w:val="none"/>
              </w:rPr>
              <w:t>工程招标0.55％</w:t>
            </w:r>
            <w:r>
              <w:rPr>
                <w:rFonts w:hint="eastAsia"/>
                <w:color w:val="auto"/>
                <w:szCs w:val="21"/>
                <w:highlight w:val="none"/>
              </w:rPr>
              <w:t>；</w:t>
            </w:r>
          </w:p>
          <w:p w14:paraId="32F870E5">
            <w:pPr>
              <w:spacing w:line="300" w:lineRule="exact"/>
              <w:jc w:val="left"/>
              <w:rPr>
                <w:color w:val="auto"/>
                <w:szCs w:val="21"/>
                <w:highlight w:val="none"/>
              </w:rPr>
            </w:pPr>
            <w:r>
              <w:rPr>
                <w:rFonts w:hint="eastAsia"/>
                <w:color w:val="auto"/>
                <w:szCs w:val="21"/>
                <w:highlight w:val="none"/>
              </w:rPr>
              <w:t>④成交金额在</w:t>
            </w:r>
            <w:r>
              <w:rPr>
                <w:color w:val="auto"/>
                <w:szCs w:val="21"/>
                <w:highlight w:val="none"/>
              </w:rPr>
              <w:t>1000-5000</w:t>
            </w:r>
            <w:r>
              <w:rPr>
                <w:rFonts w:hint="eastAsia"/>
                <w:color w:val="auto"/>
                <w:szCs w:val="21"/>
                <w:highlight w:val="none"/>
              </w:rPr>
              <w:t>万元之间：</w:t>
            </w:r>
          </w:p>
          <w:p w14:paraId="38145330">
            <w:pPr>
              <w:spacing w:line="300" w:lineRule="exact"/>
              <w:jc w:val="left"/>
              <w:rPr>
                <w:color w:val="auto"/>
                <w:szCs w:val="21"/>
                <w:highlight w:val="none"/>
              </w:rPr>
            </w:pPr>
            <w:r>
              <w:rPr>
                <w:rFonts w:hint="eastAsia"/>
                <w:color w:val="auto"/>
                <w:szCs w:val="21"/>
                <w:highlight w:val="none"/>
              </w:rPr>
              <w:t>货物</w:t>
            </w:r>
            <w:r>
              <w:rPr>
                <w:color w:val="auto"/>
                <w:szCs w:val="21"/>
                <w:highlight w:val="none"/>
              </w:rPr>
              <w:t>0.5％</w:t>
            </w:r>
            <w:r>
              <w:rPr>
                <w:rFonts w:hint="eastAsia"/>
                <w:color w:val="auto"/>
                <w:szCs w:val="21"/>
                <w:highlight w:val="none"/>
              </w:rPr>
              <w:t>；</w:t>
            </w:r>
            <w:r>
              <w:rPr>
                <w:color w:val="auto"/>
                <w:szCs w:val="21"/>
                <w:highlight w:val="none"/>
              </w:rPr>
              <w:t>服务招标0.25％</w:t>
            </w:r>
            <w:r>
              <w:rPr>
                <w:rFonts w:hint="eastAsia"/>
                <w:color w:val="auto"/>
                <w:szCs w:val="21"/>
                <w:highlight w:val="none"/>
              </w:rPr>
              <w:t>；</w:t>
            </w:r>
            <w:r>
              <w:rPr>
                <w:color w:val="auto"/>
                <w:szCs w:val="21"/>
                <w:highlight w:val="none"/>
              </w:rPr>
              <w:t>工程招标0.35％</w:t>
            </w:r>
            <w:r>
              <w:rPr>
                <w:rFonts w:hint="eastAsia"/>
                <w:color w:val="auto"/>
                <w:szCs w:val="21"/>
                <w:highlight w:val="none"/>
              </w:rPr>
              <w:t>；</w:t>
            </w:r>
          </w:p>
          <w:p w14:paraId="5A71CF0D">
            <w:pPr>
              <w:spacing w:line="300" w:lineRule="exact"/>
              <w:jc w:val="left"/>
              <w:rPr>
                <w:color w:val="auto"/>
                <w:szCs w:val="21"/>
                <w:highlight w:val="none"/>
              </w:rPr>
            </w:pPr>
            <w:r>
              <w:rPr>
                <w:rFonts w:hint="eastAsia"/>
                <w:color w:val="auto"/>
                <w:szCs w:val="21"/>
                <w:highlight w:val="none"/>
              </w:rPr>
              <w:t>……</w:t>
            </w:r>
          </w:p>
          <w:p w14:paraId="2AF23ECE">
            <w:pPr>
              <w:spacing w:line="300" w:lineRule="exact"/>
              <w:jc w:val="left"/>
              <w:rPr>
                <w:color w:val="auto"/>
                <w:szCs w:val="21"/>
                <w:highlight w:val="none"/>
              </w:rPr>
            </w:pPr>
            <w:r>
              <w:rPr>
                <w:color w:val="auto"/>
                <w:szCs w:val="21"/>
                <w:highlight w:val="none"/>
              </w:rPr>
              <w:t>差额定率累进</w:t>
            </w:r>
            <w:r>
              <w:rPr>
                <w:rFonts w:hint="eastAsia"/>
                <w:color w:val="auto"/>
                <w:szCs w:val="21"/>
                <w:highlight w:val="none"/>
              </w:rPr>
              <w:t>法</w:t>
            </w:r>
            <w:r>
              <w:rPr>
                <w:color w:val="auto"/>
                <w:szCs w:val="21"/>
                <w:highlight w:val="none"/>
              </w:rPr>
              <w:t>计算</w:t>
            </w:r>
            <w:r>
              <w:rPr>
                <w:rFonts w:hint="eastAsia"/>
                <w:color w:val="auto"/>
                <w:szCs w:val="21"/>
                <w:highlight w:val="none"/>
              </w:rPr>
              <w:t>过程示例：</w:t>
            </w:r>
          </w:p>
          <w:p w14:paraId="0CCF0EC4">
            <w:pPr>
              <w:spacing w:line="300" w:lineRule="exact"/>
              <w:jc w:val="left"/>
              <w:rPr>
                <w:color w:val="auto"/>
                <w:szCs w:val="21"/>
                <w:highlight w:val="none"/>
              </w:rPr>
            </w:pPr>
            <w:r>
              <w:rPr>
                <w:color w:val="auto"/>
                <w:szCs w:val="21"/>
                <w:highlight w:val="none"/>
              </w:rPr>
              <w:t>例如：某货物招标代理业务成交金额为300万元，招标代理服务费金额按如下计算：</w:t>
            </w:r>
          </w:p>
          <w:p w14:paraId="0613FC5F">
            <w:pPr>
              <w:spacing w:line="300" w:lineRule="exact"/>
              <w:jc w:val="left"/>
              <w:rPr>
                <w:color w:val="auto"/>
                <w:szCs w:val="21"/>
                <w:highlight w:val="none"/>
              </w:rPr>
            </w:pPr>
            <w:r>
              <w:rPr>
                <w:color w:val="auto"/>
                <w:szCs w:val="21"/>
                <w:highlight w:val="none"/>
              </w:rPr>
              <w:t>100万元×1.5%＝1.5万元</w:t>
            </w:r>
          </w:p>
          <w:p w14:paraId="0543C495">
            <w:pPr>
              <w:spacing w:line="300" w:lineRule="exact"/>
              <w:jc w:val="left"/>
              <w:rPr>
                <w:color w:val="auto"/>
                <w:szCs w:val="21"/>
                <w:highlight w:val="none"/>
              </w:rPr>
            </w:pPr>
            <w:r>
              <w:rPr>
                <w:color w:val="auto"/>
                <w:szCs w:val="21"/>
                <w:highlight w:val="none"/>
              </w:rPr>
              <w:t>（300－100）万元×1.1%＝2.2万元</w:t>
            </w:r>
          </w:p>
          <w:p w14:paraId="14B803B6">
            <w:pPr>
              <w:spacing w:line="300" w:lineRule="exact"/>
              <w:jc w:val="left"/>
              <w:rPr>
                <w:color w:val="auto"/>
                <w:szCs w:val="21"/>
                <w:highlight w:val="none"/>
              </w:rPr>
            </w:pPr>
            <w:r>
              <w:rPr>
                <w:color w:val="auto"/>
                <w:szCs w:val="21"/>
                <w:highlight w:val="none"/>
              </w:rPr>
              <w:t>合计收费＝1.5＋2.2=3.7万元</w:t>
            </w:r>
          </w:p>
          <w:p w14:paraId="131514C7">
            <w:pPr>
              <w:spacing w:line="300" w:lineRule="exact"/>
              <w:jc w:val="left"/>
              <w:rPr>
                <w:rFonts w:hint="eastAsia"/>
                <w:color w:val="auto"/>
                <w:szCs w:val="21"/>
                <w:highlight w:val="none"/>
              </w:rPr>
            </w:pPr>
            <w:r>
              <w:rPr>
                <w:color w:val="auto"/>
                <w:szCs w:val="21"/>
                <w:highlight w:val="none"/>
              </w:rPr>
              <w:sym w:font="Wingdings 2" w:char="0052"/>
            </w:r>
            <w:r>
              <w:rPr>
                <w:color w:val="auto"/>
                <w:szCs w:val="21"/>
                <w:highlight w:val="none"/>
              </w:rPr>
              <w:t>采购代理机构</w:t>
            </w:r>
            <w:r>
              <w:rPr>
                <w:color w:val="auto"/>
                <w:szCs w:val="20"/>
                <w:highlight w:val="none"/>
              </w:rPr>
              <w:t>向成交供应商收取代理服务费</w:t>
            </w:r>
            <w:r>
              <w:rPr>
                <w:rFonts w:hint="eastAsia"/>
                <w:color w:val="auto"/>
                <w:szCs w:val="20"/>
                <w:highlight w:val="none"/>
              </w:rPr>
              <w:t>，</w:t>
            </w:r>
            <w:r>
              <w:rPr>
                <w:color w:val="auto"/>
                <w:szCs w:val="20"/>
                <w:highlight w:val="none"/>
              </w:rPr>
              <w:t>具体金额为</w:t>
            </w:r>
            <w:r>
              <w:rPr>
                <w:rFonts w:hint="eastAsia"/>
                <w:color w:val="auto"/>
                <w:szCs w:val="20"/>
                <w:highlight w:val="none"/>
                <w:u w:val="single"/>
              </w:rPr>
              <w:t xml:space="preserve"> </w:t>
            </w:r>
            <w:r>
              <w:rPr>
                <w:rFonts w:hint="eastAsia"/>
                <w:color w:val="auto"/>
                <w:szCs w:val="20"/>
                <w:highlight w:val="none"/>
                <w:u w:val="single"/>
                <w:lang w:eastAsia="zh-CN"/>
              </w:rPr>
              <w:t>￥</w:t>
            </w:r>
            <w:r>
              <w:rPr>
                <w:rFonts w:hint="eastAsia"/>
                <w:color w:val="auto"/>
                <w:szCs w:val="20"/>
                <w:highlight w:val="none"/>
                <w:u w:val="single"/>
                <w:lang w:val="en-US" w:eastAsia="zh-CN"/>
              </w:rPr>
              <w:t>7200.00</w:t>
            </w:r>
            <w:r>
              <w:rPr>
                <w:rFonts w:hint="eastAsia"/>
                <w:color w:val="auto"/>
                <w:szCs w:val="20"/>
                <w:highlight w:val="none"/>
                <w:u w:val="single"/>
              </w:rPr>
              <w:t xml:space="preserve">  </w:t>
            </w:r>
            <w:r>
              <w:rPr>
                <w:rFonts w:hint="eastAsia"/>
                <w:color w:val="auto"/>
                <w:szCs w:val="20"/>
                <w:highlight w:val="none"/>
              </w:rPr>
              <w:t>。</w:t>
            </w:r>
          </w:p>
          <w:p w14:paraId="522F6BB9">
            <w:pPr>
              <w:spacing w:line="300" w:lineRule="exact"/>
              <w:jc w:val="left"/>
              <w:rPr>
                <w:rFonts w:hint="eastAsia"/>
                <w:color w:val="auto"/>
                <w:szCs w:val="21"/>
                <w:highlight w:val="none"/>
              </w:rPr>
            </w:pPr>
            <w:r>
              <w:rPr>
                <w:rFonts w:hint="eastAsia"/>
                <w:color w:val="auto"/>
                <w:szCs w:val="21"/>
                <w:highlight w:val="none"/>
              </w:rPr>
              <w:t xml:space="preserve">开户名称：广西宁涌工程管理有限公司 </w:t>
            </w:r>
          </w:p>
          <w:p w14:paraId="63F0FDF0">
            <w:pPr>
              <w:spacing w:line="300" w:lineRule="exact"/>
              <w:jc w:val="left"/>
              <w:rPr>
                <w:rFonts w:hint="eastAsia"/>
                <w:color w:val="auto"/>
                <w:szCs w:val="21"/>
                <w:highlight w:val="none"/>
              </w:rPr>
            </w:pPr>
            <w:r>
              <w:rPr>
                <w:rFonts w:hint="eastAsia"/>
                <w:color w:val="auto"/>
                <w:szCs w:val="21"/>
                <w:highlight w:val="none"/>
              </w:rPr>
              <w:t>开户银行：中国工商银行股份有限公司贵港市广场支行</w:t>
            </w:r>
          </w:p>
          <w:p w14:paraId="68732F28">
            <w:pPr>
              <w:spacing w:line="300" w:lineRule="exact"/>
              <w:jc w:val="left"/>
              <w:rPr>
                <w:rFonts w:hint="eastAsia"/>
                <w:color w:val="auto"/>
                <w:kern w:val="0"/>
                <w:szCs w:val="21"/>
                <w:highlight w:val="none"/>
              </w:rPr>
            </w:pPr>
            <w:r>
              <w:rPr>
                <w:rFonts w:hint="eastAsia"/>
                <w:color w:val="auto"/>
                <w:szCs w:val="21"/>
                <w:highlight w:val="none"/>
              </w:rPr>
              <w:t>银行账号：2116710609100160077</w:t>
            </w:r>
          </w:p>
        </w:tc>
      </w:tr>
      <w:tr w14:paraId="3E2FD8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2075A1B7">
            <w:pPr>
              <w:spacing w:line="300" w:lineRule="exact"/>
              <w:jc w:val="center"/>
              <w:rPr>
                <w:b/>
                <w:color w:val="auto"/>
                <w:szCs w:val="21"/>
                <w:highlight w:val="none"/>
              </w:rPr>
            </w:pPr>
            <w:r>
              <w:rPr>
                <w:b/>
                <w:color w:val="auto"/>
                <w:szCs w:val="21"/>
                <w:highlight w:val="none"/>
              </w:rPr>
              <w:t>9.3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3C9EE750">
            <w:pPr>
              <w:spacing w:line="300" w:lineRule="exact"/>
              <w:jc w:val="center"/>
              <w:rPr>
                <w:color w:val="auto"/>
                <w:szCs w:val="20"/>
                <w:highlight w:val="none"/>
              </w:rPr>
            </w:pPr>
            <w:r>
              <w:rPr>
                <w:rFonts w:hint="eastAsia"/>
                <w:color w:val="auto"/>
                <w:szCs w:val="20"/>
                <w:highlight w:val="none"/>
              </w:rPr>
              <w:t>附件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084F5C8">
            <w:pPr>
              <w:spacing w:line="276" w:lineRule="auto"/>
              <w:rPr>
                <w:color w:val="auto"/>
                <w:szCs w:val="21"/>
                <w:highlight w:val="none"/>
              </w:rPr>
            </w:pPr>
            <w:r>
              <w:rPr>
                <w:color w:val="auto"/>
                <w:sz w:val="22"/>
                <w:szCs w:val="22"/>
                <w:highlight w:val="none"/>
              </w:rPr>
              <w:sym w:font="Wingdings 2" w:char="F052"/>
            </w:r>
            <w:r>
              <w:rPr>
                <w:rFonts w:hint="eastAsia"/>
                <w:color w:val="auto"/>
                <w:szCs w:val="21"/>
                <w:highlight w:val="none"/>
              </w:rPr>
              <w:t>无</w:t>
            </w:r>
          </w:p>
          <w:p w14:paraId="093C97FD">
            <w:pPr>
              <w:spacing w:line="276" w:lineRule="auto"/>
              <w:rPr>
                <w:color w:val="auto"/>
                <w:szCs w:val="21"/>
                <w:highlight w:val="none"/>
                <w:u w:val="single"/>
              </w:rPr>
            </w:pPr>
            <w:r>
              <w:rPr>
                <w:rFonts w:hint="eastAsia"/>
                <w:color w:val="auto"/>
                <w:szCs w:val="21"/>
                <w:highlight w:val="none"/>
              </w:rPr>
              <w:t>□有，详见：</w:t>
            </w:r>
            <w:r>
              <w:rPr>
                <w:rFonts w:hint="eastAsia"/>
                <w:color w:val="auto"/>
                <w:szCs w:val="21"/>
                <w:highlight w:val="none"/>
                <w:u w:val="single"/>
              </w:rPr>
              <w:t xml:space="preserve"> </w:t>
            </w:r>
            <w:r>
              <w:rPr>
                <w:color w:val="auto"/>
                <w:szCs w:val="21"/>
                <w:highlight w:val="none"/>
                <w:u w:val="single"/>
              </w:rPr>
              <w:t xml:space="preserve">         </w:t>
            </w:r>
          </w:p>
        </w:tc>
      </w:tr>
      <w:tr w14:paraId="136A24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435FB442">
            <w:pPr>
              <w:spacing w:line="300" w:lineRule="exact"/>
              <w:jc w:val="center"/>
              <w:rPr>
                <w:b/>
                <w:color w:val="auto"/>
                <w:szCs w:val="21"/>
                <w:highlight w:val="none"/>
              </w:rPr>
            </w:pPr>
            <w:r>
              <w:rPr>
                <w:b/>
                <w:color w:val="auto"/>
                <w:szCs w:val="21"/>
                <w:highlight w:val="none"/>
              </w:rPr>
              <w:t>9.3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3A57BDD">
            <w:pPr>
              <w:spacing w:line="300" w:lineRule="exact"/>
              <w:jc w:val="center"/>
              <w:rPr>
                <w:color w:val="auto"/>
                <w:szCs w:val="20"/>
                <w:highlight w:val="none"/>
              </w:rPr>
            </w:pPr>
            <w:r>
              <w:rPr>
                <w:rFonts w:hint="eastAsia"/>
                <w:color w:val="auto"/>
                <w:szCs w:val="20"/>
                <w:highlight w:val="none"/>
              </w:rPr>
              <w:t>图纸</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F50926C">
            <w:pPr>
              <w:spacing w:line="276" w:lineRule="auto"/>
              <w:rPr>
                <w:color w:val="auto"/>
                <w:szCs w:val="21"/>
                <w:highlight w:val="none"/>
              </w:rPr>
            </w:pPr>
            <w:r>
              <w:rPr>
                <w:color w:val="auto"/>
                <w:sz w:val="22"/>
                <w:szCs w:val="22"/>
                <w:highlight w:val="none"/>
              </w:rPr>
              <w:sym w:font="Wingdings 2" w:char="F052"/>
            </w:r>
            <w:r>
              <w:rPr>
                <w:rFonts w:hint="eastAsia"/>
                <w:color w:val="auto"/>
                <w:szCs w:val="21"/>
                <w:highlight w:val="none"/>
              </w:rPr>
              <w:t>无</w:t>
            </w:r>
          </w:p>
          <w:p w14:paraId="5616494F">
            <w:pPr>
              <w:spacing w:line="276" w:lineRule="auto"/>
              <w:rPr>
                <w:color w:val="auto"/>
                <w:szCs w:val="21"/>
                <w:highlight w:val="none"/>
                <w:u w:val="single"/>
              </w:rPr>
            </w:pPr>
            <w:r>
              <w:rPr>
                <w:rFonts w:hint="eastAsia"/>
                <w:color w:val="auto"/>
                <w:szCs w:val="21"/>
                <w:highlight w:val="none"/>
              </w:rPr>
              <w:t>□有，详见：</w:t>
            </w:r>
            <w:r>
              <w:rPr>
                <w:rFonts w:hint="eastAsia"/>
                <w:color w:val="auto"/>
                <w:szCs w:val="21"/>
                <w:highlight w:val="none"/>
                <w:u w:val="single"/>
              </w:rPr>
              <w:t xml:space="preserve"> </w:t>
            </w:r>
            <w:r>
              <w:rPr>
                <w:color w:val="auto"/>
                <w:szCs w:val="21"/>
                <w:highlight w:val="none"/>
                <w:u w:val="single"/>
              </w:rPr>
              <w:t xml:space="preserve">            </w:t>
            </w:r>
          </w:p>
        </w:tc>
      </w:tr>
      <w:tr w14:paraId="51AFC0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7AB2A801">
            <w:pPr>
              <w:spacing w:line="300" w:lineRule="exact"/>
              <w:jc w:val="center"/>
              <w:rPr>
                <w:b/>
                <w:color w:val="auto"/>
                <w:szCs w:val="21"/>
                <w:highlight w:val="none"/>
              </w:rPr>
            </w:pPr>
            <w:r>
              <w:rPr>
                <w:b/>
                <w:color w:val="auto"/>
                <w:szCs w:val="21"/>
                <w:highlight w:val="none"/>
              </w:rPr>
              <w:t>9.4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DC491C0">
            <w:pPr>
              <w:spacing w:line="300" w:lineRule="exact"/>
              <w:jc w:val="center"/>
              <w:rPr>
                <w:color w:val="auto"/>
                <w:szCs w:val="20"/>
                <w:highlight w:val="none"/>
              </w:rPr>
            </w:pPr>
            <w:r>
              <w:rPr>
                <w:rFonts w:hint="eastAsia"/>
                <w:color w:val="auto"/>
                <w:szCs w:val="20"/>
                <w:highlight w:val="none"/>
              </w:rPr>
              <w:t>其他事项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D5F7764">
            <w:pPr>
              <w:spacing w:line="276" w:lineRule="auto"/>
              <w:rPr>
                <w:rFonts w:hint="eastAsia"/>
                <w:color w:val="auto"/>
                <w:szCs w:val="21"/>
                <w:highlight w:val="none"/>
              </w:rPr>
            </w:pPr>
            <w:r>
              <w:rPr>
                <w:rFonts w:hint="eastAsia"/>
                <w:color w:val="auto"/>
                <w:szCs w:val="21"/>
                <w:highlight w:val="none"/>
              </w:rPr>
              <w:t>构成本采购文件的各个组成文件应互为解释，互为说明：</w:t>
            </w:r>
          </w:p>
          <w:p w14:paraId="576AC7CA">
            <w:pPr>
              <w:spacing w:line="276" w:lineRule="auto"/>
              <w:rPr>
                <w:color w:val="auto"/>
                <w:sz w:val="24"/>
                <w:highlight w:val="none"/>
              </w:rPr>
            </w:pPr>
            <w:r>
              <w:rPr>
                <w:rFonts w:hint="eastAsia"/>
                <w:color w:val="auto"/>
                <w:szCs w:val="21"/>
                <w:highlight w:val="none"/>
              </w:rPr>
              <w:t>除采购文件中有特别规定外，仅适用于招标投标阶段的规定，按更正公告（澄清公告）、磋商公告、采购需求、供应商须知、评审方法及标准、合同条款格式、响应文件格式的先后顺序解释；同一组成文件中就同一事项的规定或者约定不一致的，以编排顺序在后者为准；同一组成文件不同版本之间有不一致的，以形成时间在后者为准；更正公告（澄清公告）与同步更新的采购文件不一致时以更正公告（澄清公告）为准。按本款前述规定仍不能形成结论的，由采购人或者采购代理机构负责解释。</w:t>
            </w:r>
          </w:p>
        </w:tc>
      </w:tr>
    </w:tbl>
    <w:p w14:paraId="18BBB907">
      <w:pPr>
        <w:rPr>
          <w:rFonts w:hint="eastAsia"/>
          <w:color w:val="auto"/>
          <w:highlight w:val="none"/>
        </w:rPr>
      </w:pPr>
    </w:p>
    <w:bookmarkEnd w:id="16"/>
    <w:p w14:paraId="033D9726">
      <w:pPr>
        <w:spacing w:before="120" w:line="320" w:lineRule="atLeast"/>
        <w:outlineLvl w:val="1"/>
        <w:rPr>
          <w:b/>
          <w:bCs/>
          <w:color w:val="auto"/>
          <w:kern w:val="0"/>
          <w:szCs w:val="21"/>
          <w:highlight w:val="none"/>
        </w:rPr>
      </w:pPr>
      <w:r>
        <w:rPr>
          <w:color w:val="auto"/>
          <w:szCs w:val="21"/>
          <w:highlight w:val="none"/>
        </w:rPr>
        <w:br w:type="page"/>
      </w:r>
      <w:r>
        <w:rPr>
          <w:b/>
          <w:bCs/>
          <w:color w:val="auto"/>
          <w:kern w:val="0"/>
          <w:szCs w:val="21"/>
          <w:highlight w:val="none"/>
        </w:rPr>
        <w:t>1．总则</w:t>
      </w:r>
    </w:p>
    <w:p w14:paraId="31891C82">
      <w:pPr>
        <w:spacing w:before="120" w:line="320" w:lineRule="atLeast"/>
        <w:ind w:firstLine="422" w:firstLineChars="200"/>
        <w:outlineLvl w:val="2"/>
        <w:rPr>
          <w:b/>
          <w:bCs/>
          <w:color w:val="auto"/>
          <w:kern w:val="0"/>
          <w:szCs w:val="21"/>
          <w:highlight w:val="none"/>
        </w:rPr>
      </w:pPr>
      <w:bookmarkStart w:id="18" w:name="_Toc254970527"/>
      <w:bookmarkStart w:id="19" w:name="_Toc254970668"/>
      <w:r>
        <w:rPr>
          <w:b/>
          <w:bCs/>
          <w:color w:val="auto"/>
          <w:kern w:val="0"/>
          <w:szCs w:val="21"/>
          <w:highlight w:val="none"/>
        </w:rPr>
        <w:t>1.1适用范围</w:t>
      </w:r>
      <w:bookmarkEnd w:id="18"/>
      <w:bookmarkEnd w:id="19"/>
    </w:p>
    <w:p w14:paraId="5BEE876B">
      <w:pPr>
        <w:spacing w:before="120" w:line="320" w:lineRule="atLeast"/>
        <w:ind w:firstLine="420" w:firstLineChars="200"/>
        <w:rPr>
          <w:color w:val="auto"/>
          <w:szCs w:val="21"/>
          <w:highlight w:val="none"/>
        </w:rPr>
      </w:pPr>
      <w:r>
        <w:rPr>
          <w:color w:val="auto"/>
          <w:szCs w:val="21"/>
          <w:highlight w:val="none"/>
        </w:rPr>
        <w:t>本采购文件适用于供应商须知前附表所述项目的</w:t>
      </w:r>
      <w:r>
        <w:rPr>
          <w:rFonts w:hint="eastAsia"/>
          <w:color w:val="auto"/>
          <w:szCs w:val="21"/>
          <w:highlight w:val="none"/>
        </w:rPr>
        <w:t>政府采购活动。</w:t>
      </w:r>
    </w:p>
    <w:p w14:paraId="1324098E">
      <w:pPr>
        <w:spacing w:before="120" w:line="320" w:lineRule="atLeast"/>
        <w:ind w:firstLine="422" w:firstLineChars="200"/>
        <w:outlineLvl w:val="2"/>
        <w:rPr>
          <w:b/>
          <w:bCs/>
          <w:color w:val="auto"/>
          <w:kern w:val="0"/>
          <w:szCs w:val="21"/>
          <w:highlight w:val="none"/>
        </w:rPr>
      </w:pPr>
      <w:bookmarkStart w:id="20" w:name="_Toc254970528"/>
      <w:bookmarkStart w:id="21" w:name="_Toc254970669"/>
      <w:r>
        <w:rPr>
          <w:b/>
          <w:bCs/>
          <w:color w:val="auto"/>
          <w:kern w:val="0"/>
          <w:szCs w:val="21"/>
          <w:highlight w:val="none"/>
        </w:rPr>
        <w:t>1.2定义</w:t>
      </w:r>
      <w:bookmarkEnd w:id="20"/>
      <w:bookmarkEnd w:id="21"/>
    </w:p>
    <w:p w14:paraId="60914E69">
      <w:pPr>
        <w:spacing w:before="120" w:line="320" w:lineRule="atLeast"/>
        <w:ind w:firstLine="420" w:firstLineChars="200"/>
        <w:rPr>
          <w:color w:val="auto"/>
          <w:szCs w:val="21"/>
          <w:highlight w:val="none"/>
        </w:rPr>
      </w:pPr>
      <w:r>
        <w:rPr>
          <w:color w:val="auto"/>
          <w:szCs w:val="21"/>
          <w:highlight w:val="none"/>
        </w:rPr>
        <w:t>1.2.1“采购人”系指依法进行政府采购的国家机关、事业单位、团体组织。</w:t>
      </w:r>
    </w:p>
    <w:p w14:paraId="04FFA0A9">
      <w:pPr>
        <w:spacing w:before="120" w:line="320" w:lineRule="atLeast"/>
        <w:ind w:firstLine="420" w:firstLineChars="200"/>
        <w:rPr>
          <w:color w:val="auto"/>
          <w:szCs w:val="21"/>
          <w:highlight w:val="none"/>
        </w:rPr>
      </w:pPr>
      <w:r>
        <w:rPr>
          <w:color w:val="auto"/>
          <w:szCs w:val="21"/>
          <w:highlight w:val="none"/>
        </w:rPr>
        <w:t>1.2.2“供应商”系</w:t>
      </w:r>
      <w:r>
        <w:rPr>
          <w:color w:val="auto"/>
          <w:highlight w:val="none"/>
        </w:rPr>
        <w:t>指响应招标、参加投标竞争的法人</w:t>
      </w:r>
      <w:r>
        <w:rPr>
          <w:rFonts w:hint="eastAsia"/>
          <w:color w:val="auto"/>
          <w:highlight w:val="none"/>
        </w:rPr>
        <w:t>（</w:t>
      </w:r>
      <w:r>
        <w:rPr>
          <w:rFonts w:hint="eastAsia"/>
          <w:color w:val="auto"/>
          <w:highlight w:val="none"/>
          <w:lang w:eastAsia="zh-CN"/>
        </w:rPr>
        <w:t>或</w:t>
      </w:r>
      <w:r>
        <w:rPr>
          <w:rFonts w:hint="eastAsia"/>
          <w:color w:val="auto"/>
          <w:highlight w:val="none"/>
        </w:rPr>
        <w:t>分支机构负责人）</w:t>
      </w:r>
      <w:r>
        <w:rPr>
          <w:color w:val="auto"/>
          <w:highlight w:val="none"/>
        </w:rPr>
        <w:t>、其他组织或者自然人</w:t>
      </w:r>
      <w:r>
        <w:rPr>
          <w:color w:val="auto"/>
          <w:szCs w:val="21"/>
          <w:highlight w:val="none"/>
        </w:rPr>
        <w:t>。</w:t>
      </w:r>
    </w:p>
    <w:p w14:paraId="55A999A7">
      <w:pPr>
        <w:spacing w:before="120" w:line="360" w:lineRule="auto"/>
        <w:ind w:firstLine="420" w:firstLineChars="200"/>
        <w:rPr>
          <w:rFonts w:hint="eastAsia"/>
          <w:color w:val="auto"/>
          <w:highlight w:val="none"/>
        </w:rPr>
      </w:pPr>
      <w:r>
        <w:rPr>
          <w:rFonts w:hint="eastAsia"/>
          <w:color w:val="auto"/>
          <w:highlight w:val="none"/>
        </w:rPr>
        <w:t>1.2.3</w:t>
      </w:r>
      <w:r>
        <w:rPr>
          <w:color w:val="auto"/>
          <w:highlight w:val="none"/>
        </w:rPr>
        <w:t>本</w:t>
      </w:r>
      <w:r>
        <w:rPr>
          <w:rFonts w:hint="eastAsia"/>
          <w:color w:val="auto"/>
          <w:highlight w:val="none"/>
        </w:rPr>
        <w:t>文件</w:t>
      </w:r>
      <w:r>
        <w:rPr>
          <w:color w:val="auto"/>
          <w:highlight w:val="none"/>
        </w:rPr>
        <w:t>中的</w:t>
      </w:r>
      <w:r>
        <w:rPr>
          <w:rFonts w:hint="eastAsia"/>
          <w:color w:val="auto"/>
          <w:highlight w:val="none"/>
        </w:rPr>
        <w:t>“法定代表人（或分支机构负责人）”若无特别说明，当</w:t>
      </w:r>
      <w:r>
        <w:rPr>
          <w:color w:val="auto"/>
          <w:highlight w:val="none"/>
        </w:rPr>
        <w:t>供应商是</w:t>
      </w:r>
      <w:r>
        <w:rPr>
          <w:rFonts w:hint="eastAsia"/>
          <w:color w:val="auto"/>
          <w:highlight w:val="none"/>
        </w:rPr>
        <w:t>企业的，是指企业法人（</w:t>
      </w:r>
      <w:r>
        <w:rPr>
          <w:rFonts w:hint="eastAsia"/>
          <w:color w:val="auto"/>
          <w:highlight w:val="none"/>
          <w:lang w:eastAsia="zh-CN"/>
        </w:rPr>
        <w:t>或</w:t>
      </w:r>
      <w:r>
        <w:rPr>
          <w:rFonts w:hint="eastAsia"/>
          <w:color w:val="auto"/>
          <w:highlight w:val="none"/>
        </w:rPr>
        <w:t>分支机构负责人）营业执照上的法定代表人（或分支机构负责人）；当</w:t>
      </w:r>
      <w:r>
        <w:rPr>
          <w:color w:val="auto"/>
          <w:highlight w:val="none"/>
        </w:rPr>
        <w:t>供应商是</w:t>
      </w:r>
      <w:r>
        <w:rPr>
          <w:rFonts w:hint="eastAsia"/>
          <w:color w:val="auto"/>
          <w:highlight w:val="none"/>
        </w:rPr>
        <w:t>事业单位的，是指事业单位法人证书上的法定代表人；当</w:t>
      </w:r>
      <w:r>
        <w:rPr>
          <w:color w:val="auto"/>
          <w:highlight w:val="none"/>
        </w:rPr>
        <w:t>供应商是</w:t>
      </w:r>
      <w:r>
        <w:rPr>
          <w:rFonts w:hint="eastAsia"/>
          <w:color w:val="auto"/>
          <w:highlight w:val="none"/>
        </w:rPr>
        <w:t>社会团体、民办非企业的，是指法人登记证书中的法定代表人；当</w:t>
      </w:r>
      <w:r>
        <w:rPr>
          <w:color w:val="auto"/>
          <w:highlight w:val="none"/>
        </w:rPr>
        <w:t>供应商是</w:t>
      </w:r>
      <w:r>
        <w:rPr>
          <w:rFonts w:hint="eastAsia"/>
          <w:color w:val="auto"/>
          <w:highlight w:val="none"/>
        </w:rPr>
        <w:t>个体工商户的，是指个体工商户营业执照上的经营者；</w:t>
      </w:r>
      <w:r>
        <w:rPr>
          <w:color w:val="auto"/>
          <w:highlight w:val="none"/>
        </w:rPr>
        <w:t>当供应商是自然人</w:t>
      </w:r>
      <w:r>
        <w:rPr>
          <w:rFonts w:hint="eastAsia"/>
          <w:color w:val="auto"/>
          <w:highlight w:val="none"/>
        </w:rPr>
        <w:t>的，是指参与本项目响应的自然人本人。</w:t>
      </w:r>
      <w:r>
        <w:rPr>
          <w:color w:val="auto"/>
          <w:highlight w:val="none"/>
        </w:rPr>
        <w:br w:type="textWrapping"/>
      </w:r>
      <w:r>
        <w:rPr>
          <w:color w:val="auto"/>
          <w:highlight w:val="none"/>
        </w:rPr>
        <w:t xml:space="preserve">    </w:t>
      </w:r>
      <w:r>
        <w:rPr>
          <w:rFonts w:hint="eastAsia"/>
          <w:color w:val="auto"/>
          <w:highlight w:val="none"/>
        </w:rPr>
        <w:t>1.2.4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0523F2B6">
      <w:pPr>
        <w:widowControl/>
        <w:spacing w:line="360" w:lineRule="auto"/>
        <w:ind w:firstLine="420" w:firstLineChars="200"/>
        <w:jc w:val="left"/>
        <w:rPr>
          <w:color w:val="auto"/>
          <w:szCs w:val="21"/>
          <w:highlight w:val="none"/>
        </w:rPr>
      </w:pPr>
      <w:r>
        <w:rPr>
          <w:color w:val="auto"/>
          <w:szCs w:val="21"/>
          <w:highlight w:val="none"/>
        </w:rPr>
        <w:t>1.2.</w:t>
      </w:r>
      <w:r>
        <w:rPr>
          <w:rFonts w:hint="eastAsia"/>
          <w:color w:val="auto"/>
          <w:szCs w:val="21"/>
          <w:highlight w:val="none"/>
        </w:rPr>
        <w:t>5</w:t>
      </w:r>
      <w:r>
        <w:rPr>
          <w:color w:val="auto"/>
          <w:szCs w:val="21"/>
          <w:highlight w:val="none"/>
        </w:rPr>
        <w:t>“书面形式”如无特殊规定，</w:t>
      </w:r>
      <w:r>
        <w:rPr>
          <w:rFonts w:hint="eastAsia"/>
          <w:color w:val="auto"/>
          <w:szCs w:val="21"/>
          <w:highlight w:val="none"/>
        </w:rPr>
        <w:t>书面形式是合同书、信件、电报、电传等可以有形地表现所载内容的形式。以电子数据交换、电子邮件等方式能够有形地表现所载内容，并可以随时调取查用的数据电文，视为书面形式。</w:t>
      </w:r>
      <w:r>
        <w:rPr>
          <w:color w:val="auto"/>
          <w:szCs w:val="21"/>
          <w:highlight w:val="none"/>
        </w:rPr>
        <w:t xml:space="preserve">采购文件如有特殊规定，以采购文件规定为准。 </w:t>
      </w:r>
    </w:p>
    <w:p w14:paraId="0FCEFBB9">
      <w:pPr>
        <w:spacing w:before="120" w:line="320" w:lineRule="atLeast"/>
        <w:ind w:firstLine="420" w:firstLineChars="200"/>
        <w:rPr>
          <w:color w:val="auto"/>
          <w:szCs w:val="21"/>
          <w:highlight w:val="none"/>
        </w:rPr>
      </w:pPr>
      <w:r>
        <w:rPr>
          <w:color w:val="auto"/>
          <w:szCs w:val="21"/>
          <w:highlight w:val="none"/>
        </w:rPr>
        <w:t>1.2.</w:t>
      </w:r>
      <w:r>
        <w:rPr>
          <w:rFonts w:hint="eastAsia"/>
          <w:color w:val="auto"/>
          <w:szCs w:val="21"/>
          <w:highlight w:val="none"/>
        </w:rPr>
        <w:t>6本项目的技术商务要求重要性分为“▲”（如有）、“#”（如有）和一般无标识指标。▲代表实质性要求指标，</w:t>
      </w:r>
      <w:r>
        <w:rPr>
          <w:rFonts w:hint="eastAsia"/>
          <w:b/>
          <w:bCs/>
          <w:color w:val="auto"/>
          <w:szCs w:val="21"/>
          <w:highlight w:val="none"/>
        </w:rPr>
        <w:t>不满足该指标项将导致响应被否决</w:t>
      </w:r>
      <w:r>
        <w:rPr>
          <w:rFonts w:hint="eastAsia"/>
          <w:color w:val="auto"/>
          <w:szCs w:val="21"/>
          <w:highlight w:val="none"/>
        </w:rPr>
        <w:t>，#代表重要指标，无标识则表示一般指标项。</w:t>
      </w:r>
    </w:p>
    <w:p w14:paraId="79B56E73">
      <w:pPr>
        <w:spacing w:before="120" w:line="320" w:lineRule="atLeast"/>
        <w:ind w:firstLine="420" w:firstLineChars="200"/>
        <w:rPr>
          <w:color w:val="auto"/>
          <w:szCs w:val="21"/>
          <w:highlight w:val="none"/>
        </w:rPr>
      </w:pPr>
      <w:r>
        <w:rPr>
          <w:color w:val="auto"/>
          <w:szCs w:val="21"/>
          <w:highlight w:val="none"/>
        </w:rPr>
        <w:t>1.2.</w:t>
      </w:r>
      <w:r>
        <w:rPr>
          <w:rFonts w:hint="eastAsia"/>
          <w:color w:val="auto"/>
          <w:szCs w:val="21"/>
          <w:highlight w:val="none"/>
        </w:rPr>
        <w:t>7 本</w:t>
      </w:r>
      <w:r>
        <w:rPr>
          <w:color w:val="auto"/>
          <w:szCs w:val="21"/>
          <w:highlight w:val="none"/>
        </w:rPr>
        <w:t>采购文件</w:t>
      </w:r>
      <w:r>
        <w:rPr>
          <w:rFonts w:hint="eastAsia"/>
          <w:color w:val="auto"/>
          <w:szCs w:val="21"/>
          <w:highlight w:val="none"/>
        </w:rPr>
        <w:t>出现多种选项的条款，以“</w:t>
      </w:r>
      <w:r>
        <w:rPr>
          <w:color w:val="auto"/>
          <w:highlight w:val="none"/>
        </w:rPr>
        <w:sym w:font="Wingdings 2" w:char="F052"/>
      </w:r>
      <w:r>
        <w:rPr>
          <w:rFonts w:hint="eastAsia"/>
          <w:color w:val="auto"/>
          <w:szCs w:val="21"/>
          <w:highlight w:val="none"/>
        </w:rPr>
        <w:t>”表示本条款所选择的方式。</w:t>
      </w:r>
    </w:p>
    <w:p w14:paraId="5892BBD6">
      <w:pPr>
        <w:spacing w:before="120" w:line="320" w:lineRule="atLeast"/>
        <w:ind w:firstLine="420" w:firstLineChars="200"/>
        <w:rPr>
          <w:rFonts w:hint="eastAsia"/>
          <w:color w:val="auto"/>
          <w:szCs w:val="21"/>
          <w:highlight w:val="none"/>
        </w:rPr>
      </w:pPr>
      <w:r>
        <w:rPr>
          <w:rFonts w:hint="eastAsia"/>
          <w:color w:val="auto"/>
          <w:szCs w:val="21"/>
          <w:highlight w:val="none"/>
        </w:rPr>
        <w:t>1.</w:t>
      </w:r>
      <w:r>
        <w:rPr>
          <w:color w:val="auto"/>
          <w:szCs w:val="21"/>
          <w:highlight w:val="none"/>
        </w:rPr>
        <w:t>2</w:t>
      </w:r>
      <w:r>
        <w:rPr>
          <w:rFonts w:hint="eastAsia"/>
          <w:color w:val="auto"/>
          <w:szCs w:val="21"/>
          <w:highlight w:val="none"/>
        </w:rPr>
        <w:t>.</w:t>
      </w:r>
      <w:r>
        <w:rPr>
          <w:color w:val="auto"/>
          <w:szCs w:val="21"/>
          <w:highlight w:val="none"/>
        </w:rPr>
        <w:t>8 “</w:t>
      </w:r>
      <w:r>
        <w:rPr>
          <w:rFonts w:hint="eastAsia"/>
          <w:color w:val="auto"/>
          <w:szCs w:val="21"/>
          <w:highlight w:val="none"/>
        </w:rPr>
        <w:t>电子交易平台</w:t>
      </w:r>
      <w:r>
        <w:rPr>
          <w:color w:val="auto"/>
          <w:szCs w:val="21"/>
          <w:highlight w:val="none"/>
        </w:rPr>
        <w:t>”</w:t>
      </w:r>
      <w:r>
        <w:rPr>
          <w:rFonts w:hint="eastAsia"/>
          <w:color w:val="auto"/>
          <w:szCs w:val="21"/>
          <w:highlight w:val="none"/>
        </w:rPr>
        <w:t>是指以数据电文形式在线完成采购活动的信息平台，本采购文件中也称</w:t>
      </w:r>
      <w:r>
        <w:rPr>
          <w:color w:val="auto"/>
          <w:szCs w:val="21"/>
          <w:highlight w:val="none"/>
        </w:rPr>
        <w:t>“</w:t>
      </w:r>
      <w:r>
        <w:rPr>
          <w:rFonts w:hint="eastAsia"/>
          <w:color w:val="auto"/>
          <w:szCs w:val="21"/>
          <w:highlight w:val="none"/>
        </w:rPr>
        <w:t>广西政府采购云平台</w:t>
      </w:r>
      <w:r>
        <w:rPr>
          <w:color w:val="auto"/>
          <w:szCs w:val="21"/>
          <w:highlight w:val="none"/>
        </w:rPr>
        <w:t>”</w:t>
      </w:r>
      <w:r>
        <w:rPr>
          <w:rFonts w:hint="eastAsia"/>
          <w:color w:val="auto"/>
          <w:szCs w:val="21"/>
          <w:highlight w:val="none"/>
        </w:rPr>
        <w:t>。</w:t>
      </w:r>
    </w:p>
    <w:p w14:paraId="4F90C754">
      <w:pPr>
        <w:spacing w:before="120" w:line="320" w:lineRule="atLeast"/>
        <w:ind w:firstLine="422" w:firstLineChars="200"/>
        <w:outlineLvl w:val="2"/>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.3</w:t>
      </w:r>
      <w:r>
        <w:rPr>
          <w:rFonts w:hint="eastAsia"/>
          <w:b/>
          <w:bCs/>
          <w:color w:val="auto"/>
          <w:kern w:val="0"/>
          <w:szCs w:val="21"/>
          <w:highlight w:val="none"/>
        </w:rPr>
        <w:t>项目信息</w:t>
      </w:r>
    </w:p>
    <w:p w14:paraId="219A1CEA">
      <w:pPr>
        <w:spacing w:before="120" w:line="320" w:lineRule="atLeast"/>
        <w:ind w:firstLine="420" w:firstLineChars="200"/>
        <w:rPr>
          <w:color w:val="auto"/>
          <w:szCs w:val="21"/>
          <w:highlight w:val="none"/>
        </w:rPr>
      </w:pPr>
      <w:r>
        <w:rPr>
          <w:rFonts w:hint="eastAsia"/>
          <w:color w:val="auto"/>
          <w:szCs w:val="21"/>
          <w:highlight w:val="none"/>
        </w:rPr>
        <w:t>1</w:t>
      </w:r>
      <w:r>
        <w:rPr>
          <w:color w:val="auto"/>
          <w:szCs w:val="21"/>
          <w:highlight w:val="none"/>
        </w:rPr>
        <w:t>.3.1</w:t>
      </w:r>
      <w:r>
        <w:rPr>
          <w:rFonts w:hint="eastAsia"/>
          <w:color w:val="auto"/>
          <w:szCs w:val="21"/>
          <w:highlight w:val="none"/>
        </w:rPr>
        <w:t>项目名称及编号：详见供应商须知前附表</w:t>
      </w:r>
    </w:p>
    <w:p w14:paraId="6ADC5877">
      <w:pPr>
        <w:spacing w:before="120" w:line="320" w:lineRule="atLeast"/>
        <w:ind w:firstLine="420" w:firstLineChars="200"/>
        <w:rPr>
          <w:color w:val="auto"/>
          <w:szCs w:val="21"/>
          <w:highlight w:val="none"/>
        </w:rPr>
      </w:pPr>
      <w:r>
        <w:rPr>
          <w:rFonts w:hint="eastAsia"/>
          <w:color w:val="auto"/>
          <w:szCs w:val="21"/>
          <w:highlight w:val="none"/>
        </w:rPr>
        <w:t>1</w:t>
      </w:r>
      <w:r>
        <w:rPr>
          <w:color w:val="auto"/>
          <w:szCs w:val="21"/>
          <w:highlight w:val="none"/>
        </w:rPr>
        <w:t>.3.2</w:t>
      </w:r>
      <w:r>
        <w:rPr>
          <w:rFonts w:hint="eastAsia"/>
          <w:color w:val="auto"/>
          <w:szCs w:val="21"/>
          <w:highlight w:val="none"/>
        </w:rPr>
        <w:t>采购方式：详见供应商须知前附表</w:t>
      </w:r>
    </w:p>
    <w:p w14:paraId="2CF817E7">
      <w:pPr>
        <w:spacing w:before="120" w:line="320" w:lineRule="atLeast"/>
        <w:ind w:firstLine="422" w:firstLineChars="200"/>
        <w:outlineLvl w:val="2"/>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.4</w:t>
      </w:r>
      <w:r>
        <w:rPr>
          <w:rFonts w:hint="eastAsia"/>
          <w:b/>
          <w:bCs/>
          <w:color w:val="auto"/>
          <w:kern w:val="0"/>
          <w:szCs w:val="21"/>
          <w:highlight w:val="none"/>
        </w:rPr>
        <w:t>促进中小企业发展政策</w:t>
      </w:r>
    </w:p>
    <w:p w14:paraId="3613D7D9">
      <w:pPr>
        <w:spacing w:before="120" w:line="320" w:lineRule="atLeast"/>
        <w:ind w:left="2" w:leftChars="1" w:firstLine="420" w:firstLineChars="200"/>
        <w:rPr>
          <w:color w:val="auto"/>
          <w:szCs w:val="21"/>
          <w:highlight w:val="none"/>
        </w:rPr>
      </w:pPr>
      <w:r>
        <w:rPr>
          <w:color w:val="auto"/>
          <w:szCs w:val="21"/>
          <w:highlight w:val="none"/>
        </w:rPr>
        <w:t>1.4.1</w:t>
      </w:r>
      <w:r>
        <w:rPr>
          <w:rFonts w:hint="eastAsia"/>
          <w:color w:val="auto"/>
          <w:szCs w:val="21"/>
          <w:highlight w:val="none"/>
        </w:rPr>
        <w:t>本项目落实促进中小企业发展政策措施在前附表规定。依据促进中小企业发展政策获得政府采购合同的，小微企业不得将合同分包给大中型企业，中型企业不得将合同分包给大型企业。</w:t>
      </w:r>
    </w:p>
    <w:p w14:paraId="59E224BF">
      <w:pPr>
        <w:spacing w:before="120" w:line="320" w:lineRule="atLeast"/>
        <w:ind w:left="2" w:leftChars="1" w:firstLine="420" w:firstLineChars="200"/>
        <w:rPr>
          <w:color w:val="auto"/>
          <w:szCs w:val="21"/>
          <w:highlight w:val="none"/>
        </w:rPr>
      </w:pPr>
      <w:bookmarkStart w:id="22" w:name="_Hlk92205820"/>
      <w:r>
        <w:rPr>
          <w:rFonts w:hint="eastAsia"/>
          <w:color w:val="auto"/>
          <w:szCs w:val="21"/>
          <w:highlight w:val="none"/>
        </w:rPr>
        <w:t>根 据《政府采购促进中小企业发展管理办法》（财库[2020]46号）第九条以及《广西壮族自治区财政厅 广西壮族自治区工业和信息化厅转发财政部 工业和信息化部政府采购促进中小企业发展管理办法的通知》（桂财采[2021]70号）规定，价格扣除比例在第四章评审方法及标准中规定，对小型企业和微型企业同等对待，不作区分。</w:t>
      </w:r>
    </w:p>
    <w:p w14:paraId="3280771A">
      <w:pPr>
        <w:spacing w:before="120" w:line="320" w:lineRule="atLeast"/>
        <w:ind w:left="2" w:leftChars="1" w:firstLine="420" w:firstLineChars="200"/>
        <w:rPr>
          <w:color w:val="auto"/>
          <w:szCs w:val="21"/>
          <w:highlight w:val="none"/>
        </w:rPr>
      </w:pPr>
      <w:r>
        <w:rPr>
          <w:color w:val="auto"/>
          <w:szCs w:val="21"/>
          <w:highlight w:val="none"/>
        </w:rPr>
        <w:t>1.4.2</w:t>
      </w:r>
      <w:r>
        <w:rPr>
          <w:rFonts w:hint="eastAsia"/>
          <w:color w:val="auto"/>
          <w:szCs w:val="21"/>
          <w:highlight w:val="none"/>
        </w:rPr>
        <w:t>中小企业定义</w:t>
      </w:r>
    </w:p>
    <w:p w14:paraId="7B8F8509">
      <w:pPr>
        <w:spacing w:before="120" w:line="320" w:lineRule="atLeast"/>
        <w:ind w:firstLine="420" w:firstLineChars="200"/>
        <w:rPr>
          <w:color w:val="auto"/>
          <w:szCs w:val="21"/>
          <w:highlight w:val="none"/>
        </w:rPr>
      </w:pPr>
      <w:r>
        <w:rPr>
          <w:color w:val="auto"/>
          <w:szCs w:val="21"/>
          <w:highlight w:val="none"/>
        </w:rPr>
        <w:t>1.4.2.1</w:t>
      </w:r>
      <w:r>
        <w:rPr>
          <w:rFonts w:hint="eastAsia"/>
          <w:color w:val="auto"/>
          <w:szCs w:val="21"/>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2CCAE8F9">
      <w:pPr>
        <w:spacing w:before="120" w:line="320" w:lineRule="atLeast"/>
        <w:ind w:left="2" w:leftChars="1" w:firstLine="420" w:firstLineChars="200"/>
        <w:rPr>
          <w:color w:val="auto"/>
          <w:szCs w:val="21"/>
          <w:highlight w:val="none"/>
        </w:rPr>
      </w:pPr>
      <w:r>
        <w:rPr>
          <w:color w:val="auto"/>
          <w:szCs w:val="21"/>
          <w:highlight w:val="none"/>
        </w:rPr>
        <w:t>1.4.2.2</w:t>
      </w:r>
      <w:r>
        <w:rPr>
          <w:rFonts w:hint="eastAsia"/>
          <w:color w:val="auto"/>
          <w:szCs w:val="21"/>
          <w:highlight w:val="none"/>
        </w:rPr>
        <w:t>供应商提供的货物、工程或者服务符合下列情形的，享受本款规定的促进中小企业发展政策：</w:t>
      </w:r>
    </w:p>
    <w:p w14:paraId="203F6B60">
      <w:pPr>
        <w:spacing w:before="120" w:line="320" w:lineRule="atLeast"/>
        <w:ind w:left="2" w:leftChars="1" w:firstLine="420" w:firstLineChars="200"/>
        <w:rPr>
          <w:color w:val="auto"/>
          <w:szCs w:val="21"/>
          <w:highlight w:val="none"/>
        </w:rPr>
      </w:pPr>
      <w:r>
        <w:rPr>
          <w:rFonts w:hint="eastAsia"/>
          <w:color w:val="auto"/>
          <w:szCs w:val="21"/>
          <w:highlight w:val="none"/>
        </w:rPr>
        <w:t>在货物采购项目中，货物由中小企业制造，即货物由中小企业生产且使用该中小企业商号或者注册商标；</w:t>
      </w:r>
    </w:p>
    <w:p w14:paraId="66911C66">
      <w:pPr>
        <w:spacing w:before="120" w:line="320" w:lineRule="atLeast"/>
        <w:ind w:left="2" w:leftChars="1" w:firstLine="420" w:firstLineChars="200"/>
        <w:rPr>
          <w:color w:val="auto"/>
          <w:szCs w:val="21"/>
          <w:highlight w:val="none"/>
        </w:rPr>
      </w:pPr>
      <w:r>
        <w:rPr>
          <w:rFonts w:hint="eastAsia"/>
          <w:color w:val="auto"/>
          <w:szCs w:val="21"/>
          <w:highlight w:val="none"/>
        </w:rPr>
        <w:t>在工程采购项目中，工程由中小企业承建，即工程施工单位为中小企业；</w:t>
      </w:r>
    </w:p>
    <w:p w14:paraId="51A4821E">
      <w:pPr>
        <w:spacing w:before="120" w:line="320" w:lineRule="atLeast"/>
        <w:ind w:left="2" w:leftChars="1" w:firstLine="420" w:firstLineChars="200"/>
        <w:rPr>
          <w:color w:val="auto"/>
          <w:szCs w:val="21"/>
          <w:highlight w:val="none"/>
        </w:rPr>
      </w:pPr>
      <w:r>
        <w:rPr>
          <w:rFonts w:hint="eastAsia"/>
          <w:color w:val="auto"/>
          <w:szCs w:val="21"/>
          <w:highlight w:val="none"/>
        </w:rPr>
        <w:t>在服务采购项目中，服务由中小企业承接，即提供服务的人员为中小企业依照《中华人民共和国劳动合同法》订立劳动合同的从业人员。</w:t>
      </w:r>
    </w:p>
    <w:p w14:paraId="4979A2E7">
      <w:pPr>
        <w:spacing w:before="120" w:line="320" w:lineRule="atLeast"/>
        <w:ind w:left="2" w:leftChars="1" w:firstLine="420" w:firstLineChars="200"/>
        <w:rPr>
          <w:color w:val="auto"/>
          <w:szCs w:val="21"/>
          <w:highlight w:val="none"/>
        </w:rPr>
      </w:pPr>
      <w:r>
        <w:rPr>
          <w:rFonts w:hint="eastAsia"/>
          <w:color w:val="auto"/>
          <w:szCs w:val="21"/>
          <w:highlight w:val="none"/>
        </w:rPr>
        <w:t>在货物采购项目中，供应商提供的货物既有中小企业制造货物，也有大型企业制造货物的，不享受本款规定的促进中小企业发展政策。</w:t>
      </w:r>
    </w:p>
    <w:p w14:paraId="7F06C9C1">
      <w:pPr>
        <w:spacing w:before="120" w:line="320" w:lineRule="atLeast"/>
        <w:ind w:firstLine="420" w:firstLineChars="200"/>
        <w:rPr>
          <w:color w:val="auto"/>
          <w:szCs w:val="21"/>
          <w:highlight w:val="none"/>
        </w:rPr>
      </w:pPr>
      <w:r>
        <w:rPr>
          <w:color w:val="auto"/>
          <w:szCs w:val="21"/>
          <w:highlight w:val="none"/>
        </w:rPr>
        <w:t>1.4.2</w:t>
      </w:r>
      <w:r>
        <w:rPr>
          <w:rFonts w:hint="eastAsia"/>
          <w:color w:val="auto"/>
          <w:szCs w:val="21"/>
          <w:highlight w:val="none"/>
        </w:rPr>
        <w:t>.</w:t>
      </w:r>
      <w:r>
        <w:rPr>
          <w:color w:val="auto"/>
          <w:szCs w:val="21"/>
          <w:highlight w:val="none"/>
        </w:rPr>
        <w:t>3</w:t>
      </w:r>
      <w:r>
        <w:rPr>
          <w:rFonts w:hint="eastAsia"/>
          <w:color w:val="auto"/>
          <w:szCs w:val="21"/>
          <w:highlight w:val="none"/>
        </w:rPr>
        <w:t>本项目标的所属行业在第二章采购需求中规定。供应商根据中小企业划分标准（《关于印发中小企业划型标准规定的通知》（工信部联企业〔2011〕300号）判断是否为中小企业。（见附件）</w:t>
      </w:r>
    </w:p>
    <w:p w14:paraId="0047DC0A">
      <w:pPr>
        <w:spacing w:before="120" w:line="320" w:lineRule="atLeast"/>
        <w:ind w:firstLine="420" w:firstLineChars="200"/>
        <w:rPr>
          <w:color w:val="auto"/>
          <w:szCs w:val="21"/>
          <w:highlight w:val="none"/>
        </w:rPr>
      </w:pPr>
      <w:r>
        <w:rPr>
          <w:rFonts w:hint="eastAsia"/>
          <w:color w:val="auto"/>
          <w:szCs w:val="21"/>
          <w:highlight w:val="none"/>
        </w:rPr>
        <w:t>符合条件的货物制造商、工程施工单位、服务承接单位为中小企业的，应按采购文件规定在响应文件中提供声明函。</w:t>
      </w:r>
    </w:p>
    <w:p w14:paraId="6D0DA74A">
      <w:pPr>
        <w:spacing w:before="120" w:line="320" w:lineRule="atLeast"/>
        <w:ind w:firstLine="420" w:firstLineChars="200"/>
        <w:rPr>
          <w:color w:val="auto"/>
          <w:szCs w:val="21"/>
          <w:highlight w:val="none"/>
        </w:rPr>
      </w:pPr>
      <w:r>
        <w:rPr>
          <w:color w:val="auto"/>
          <w:szCs w:val="21"/>
          <w:highlight w:val="none"/>
        </w:rPr>
        <w:t>1.4</w:t>
      </w:r>
      <w:r>
        <w:rPr>
          <w:rFonts w:hint="eastAsia"/>
          <w:color w:val="auto"/>
          <w:szCs w:val="21"/>
          <w:highlight w:val="none"/>
        </w:rPr>
        <w:t>.</w:t>
      </w:r>
      <w:r>
        <w:rPr>
          <w:color w:val="auto"/>
          <w:szCs w:val="21"/>
          <w:highlight w:val="none"/>
        </w:rPr>
        <w:t>2</w:t>
      </w:r>
      <w:r>
        <w:rPr>
          <w:rFonts w:hint="eastAsia"/>
          <w:color w:val="auto"/>
          <w:szCs w:val="21"/>
          <w:highlight w:val="none"/>
        </w:rPr>
        <w:t>.</w:t>
      </w:r>
      <w:r>
        <w:rPr>
          <w:color w:val="auto"/>
          <w:szCs w:val="21"/>
          <w:highlight w:val="none"/>
        </w:rPr>
        <w:t>4</w:t>
      </w:r>
      <w:r>
        <w:rPr>
          <w:rFonts w:hint="eastAsia"/>
          <w:color w:val="auto"/>
          <w:szCs w:val="21"/>
          <w:highlight w:val="none"/>
        </w:rPr>
        <w:t>视同中小企业情形</w:t>
      </w:r>
    </w:p>
    <w:p w14:paraId="75CA8596">
      <w:pPr>
        <w:spacing w:before="120" w:line="320" w:lineRule="atLeast"/>
        <w:ind w:firstLine="420" w:firstLineChars="200"/>
        <w:rPr>
          <w:color w:val="auto"/>
          <w:szCs w:val="21"/>
          <w:highlight w:val="none"/>
        </w:rPr>
      </w:pPr>
      <w:r>
        <w:rPr>
          <w:rFonts w:hint="eastAsia"/>
          <w:color w:val="auto"/>
          <w:szCs w:val="21"/>
          <w:highlight w:val="none"/>
        </w:rPr>
        <w:t>（1）符合中小企业划分标准的个体工商户，视同中小企业。</w:t>
      </w:r>
    </w:p>
    <w:p w14:paraId="30347A0E">
      <w:pPr>
        <w:spacing w:before="120" w:line="320" w:lineRule="atLeast"/>
        <w:ind w:firstLine="420" w:firstLineChars="200"/>
        <w:rPr>
          <w:color w:val="auto"/>
          <w:szCs w:val="21"/>
          <w:highlight w:val="none"/>
        </w:rPr>
      </w:pPr>
      <w:r>
        <w:rPr>
          <w:rFonts w:hint="eastAsia"/>
          <w:color w:val="auto"/>
          <w:szCs w:val="21"/>
          <w:highlight w:val="none"/>
        </w:rPr>
        <w:t>（2）以联合体形式参加政府采购活动，联合体各方均为中小企业的，联合体视同中小企业。其中，联合体各方均为小微企业的，联合体视同小微企业。</w:t>
      </w:r>
    </w:p>
    <w:p w14:paraId="2B092BDE">
      <w:pPr>
        <w:spacing w:before="120" w:line="320" w:lineRule="atLeast"/>
        <w:ind w:firstLine="420" w:firstLineChars="200"/>
        <w:rPr>
          <w:color w:val="auto"/>
          <w:szCs w:val="21"/>
          <w:highlight w:val="none"/>
        </w:rPr>
      </w:pPr>
      <w:r>
        <w:rPr>
          <w:rFonts w:hint="eastAsia"/>
          <w:color w:val="auto"/>
          <w:szCs w:val="21"/>
          <w:highlight w:val="none"/>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115B2CCE">
      <w:pPr>
        <w:spacing w:before="120" w:line="320" w:lineRule="atLeast"/>
        <w:ind w:left="2" w:leftChars="1" w:firstLine="420" w:firstLineChars="200"/>
        <w:rPr>
          <w:rFonts w:hint="eastAsia"/>
          <w:color w:val="auto"/>
          <w:szCs w:val="21"/>
          <w:highlight w:val="none"/>
        </w:rPr>
      </w:pPr>
      <w:r>
        <w:rPr>
          <w:rFonts w:hint="eastAsia"/>
          <w:color w:val="auto"/>
          <w:szCs w:val="21"/>
          <w:highlight w:val="none"/>
        </w:rPr>
        <w:t>符合条件的货物制造商、工程施工单位、服务承接单位为监狱企业或残疾人福利性单位的，应按采购文件规定在响应文件中提供相关证明文件。</w:t>
      </w:r>
      <w:bookmarkEnd w:id="22"/>
    </w:p>
    <w:p w14:paraId="6510F904">
      <w:pPr>
        <w:spacing w:before="120" w:line="320" w:lineRule="atLeast"/>
        <w:ind w:firstLine="422" w:firstLineChars="200"/>
        <w:outlineLvl w:val="2"/>
        <w:rPr>
          <w:b/>
          <w:bCs/>
          <w:color w:val="auto"/>
          <w:kern w:val="0"/>
          <w:szCs w:val="21"/>
          <w:highlight w:val="none"/>
        </w:rPr>
      </w:pPr>
      <w:r>
        <w:rPr>
          <w:b/>
          <w:bCs/>
          <w:color w:val="auto"/>
          <w:kern w:val="0"/>
          <w:szCs w:val="21"/>
          <w:highlight w:val="none"/>
        </w:rPr>
        <w:t>1.5供应商资格</w:t>
      </w:r>
      <w:r>
        <w:rPr>
          <w:rFonts w:hint="eastAsia"/>
          <w:b/>
          <w:bCs/>
          <w:color w:val="auto"/>
          <w:kern w:val="0"/>
          <w:szCs w:val="21"/>
          <w:highlight w:val="none"/>
        </w:rPr>
        <w:t>要求</w:t>
      </w:r>
    </w:p>
    <w:p w14:paraId="7BEA4472">
      <w:pPr>
        <w:spacing w:before="120" w:line="320" w:lineRule="atLeast"/>
        <w:ind w:firstLine="420" w:firstLineChars="200"/>
        <w:rPr>
          <w:color w:val="auto"/>
          <w:szCs w:val="21"/>
          <w:highlight w:val="none"/>
        </w:rPr>
      </w:pPr>
      <w:r>
        <w:rPr>
          <w:color w:val="auto"/>
          <w:szCs w:val="21"/>
          <w:highlight w:val="none"/>
        </w:rPr>
        <w:t>1.5.1</w:t>
      </w:r>
      <w:r>
        <w:rPr>
          <w:rFonts w:hint="eastAsia"/>
          <w:color w:val="auto"/>
          <w:szCs w:val="21"/>
          <w:highlight w:val="none"/>
        </w:rPr>
        <w:t>供应商资格要求：详见供应商须知前附表</w:t>
      </w:r>
    </w:p>
    <w:p w14:paraId="09FE97FF">
      <w:pPr>
        <w:spacing w:before="120" w:line="320" w:lineRule="atLeast"/>
        <w:ind w:firstLine="420" w:firstLineChars="200"/>
        <w:rPr>
          <w:color w:val="auto"/>
          <w:szCs w:val="21"/>
          <w:highlight w:val="none"/>
        </w:rPr>
      </w:pPr>
      <w:r>
        <w:rPr>
          <w:color w:val="auto"/>
          <w:szCs w:val="21"/>
          <w:highlight w:val="none"/>
        </w:rPr>
        <w:t>1.5.2按照磋商公告的规定获得采购文件。</w:t>
      </w:r>
    </w:p>
    <w:p w14:paraId="554E4088">
      <w:pPr>
        <w:spacing w:before="120" w:line="320" w:lineRule="atLeast"/>
        <w:ind w:firstLine="420" w:firstLineChars="200"/>
        <w:rPr>
          <w:color w:val="auto"/>
          <w:szCs w:val="21"/>
          <w:highlight w:val="none"/>
        </w:rPr>
      </w:pPr>
      <w:r>
        <w:rPr>
          <w:color w:val="auto"/>
          <w:szCs w:val="21"/>
          <w:highlight w:val="none"/>
        </w:rPr>
        <w:t>1.5.3本项目是否接受联合体响应，见“供应商须知前附表”规定。</w:t>
      </w:r>
    </w:p>
    <w:p w14:paraId="403DD7FC">
      <w:pPr>
        <w:spacing w:before="120" w:line="320" w:lineRule="atLeast"/>
        <w:ind w:firstLine="420" w:firstLineChars="200"/>
        <w:rPr>
          <w:color w:val="auto"/>
          <w:szCs w:val="21"/>
          <w:highlight w:val="none"/>
        </w:rPr>
      </w:pPr>
      <w:r>
        <w:rPr>
          <w:rFonts w:hint="eastAsia"/>
          <w:color w:val="auto"/>
          <w:szCs w:val="21"/>
          <w:highlight w:val="none"/>
        </w:rPr>
        <w:t xml:space="preserve">如接受联合体响应，联合体响应要求如下： </w:t>
      </w:r>
    </w:p>
    <w:p w14:paraId="56F17D7C">
      <w:pPr>
        <w:spacing w:before="120" w:line="320" w:lineRule="atLeast"/>
        <w:ind w:firstLine="420" w:firstLineChars="200"/>
        <w:rPr>
          <w:color w:val="auto"/>
          <w:szCs w:val="21"/>
          <w:highlight w:val="none"/>
        </w:rPr>
      </w:pPr>
      <w:r>
        <w:rPr>
          <w:rFonts w:hint="eastAsia"/>
          <w:color w:val="auto"/>
          <w:szCs w:val="21"/>
          <w:highlight w:val="none"/>
        </w:rPr>
        <w:t>（1）供应商可以组成一个响应联合体，以一个供应商的身份共同参加响应。联合体响应的，须提供《联合体协议书》（格式后附）</w:t>
      </w:r>
    </w:p>
    <w:p w14:paraId="0C1506EB">
      <w:pPr>
        <w:spacing w:before="120" w:line="320" w:lineRule="atLeast"/>
        <w:ind w:firstLine="420" w:firstLineChars="200"/>
        <w:rPr>
          <w:color w:val="auto"/>
          <w:szCs w:val="21"/>
          <w:highlight w:val="none"/>
        </w:rPr>
      </w:pPr>
      <w:r>
        <w:rPr>
          <w:rFonts w:hint="eastAsia"/>
          <w:color w:val="auto"/>
          <w:szCs w:val="21"/>
          <w:highlight w:val="none"/>
        </w:rPr>
        <w:t>（2）以联合体形式参加响应的，联合体各方均必须具备《中华人民共和国政府采购法》第二十二条第一款规定的基本条件。本项目有特殊要求规定供应商特定条件的，联合体各方中至少有一方必须符合采购文件规定的特定条件。</w:t>
      </w:r>
    </w:p>
    <w:p w14:paraId="697A315D">
      <w:pPr>
        <w:spacing w:before="120" w:line="320" w:lineRule="atLeast"/>
        <w:ind w:firstLine="420" w:firstLineChars="200"/>
        <w:rPr>
          <w:color w:val="auto"/>
          <w:szCs w:val="21"/>
          <w:highlight w:val="none"/>
        </w:rPr>
      </w:pPr>
      <w:r>
        <w:rPr>
          <w:rFonts w:hint="eastAsia"/>
          <w:color w:val="auto"/>
          <w:szCs w:val="21"/>
          <w:highlight w:val="none"/>
        </w:rPr>
        <w:t>（3）联合体各方之间必须签订联合体协议，协议书必须明确主体方（或者牵头方）并明确约定联合体各方承担的工作和相应的责任，并将联合响应协议放入响应文件。联合体各方必须共同与采购人签订采购合同，就采购合同约定的事项对采购人承担连带责任。</w:t>
      </w:r>
    </w:p>
    <w:p w14:paraId="6CD17A91">
      <w:pPr>
        <w:spacing w:before="120" w:line="320" w:lineRule="atLeast"/>
        <w:ind w:firstLine="420" w:firstLineChars="200"/>
        <w:rPr>
          <w:color w:val="auto"/>
          <w:szCs w:val="21"/>
          <w:highlight w:val="none"/>
        </w:rPr>
      </w:pPr>
      <w:r>
        <w:rPr>
          <w:rFonts w:hint="eastAsia"/>
          <w:color w:val="auto"/>
          <w:szCs w:val="21"/>
          <w:highlight w:val="none"/>
        </w:rPr>
        <w:t>（4）以联合体形式参加政府采购活动的，联合体各方不得再单独参加或者与其他供应商另外组成联合体参加同一合同项下的政府采购活动。</w:t>
      </w:r>
    </w:p>
    <w:p w14:paraId="547AB87D">
      <w:pPr>
        <w:spacing w:before="120" w:line="320" w:lineRule="atLeast"/>
        <w:ind w:firstLine="420" w:firstLineChars="200"/>
        <w:rPr>
          <w:color w:val="auto"/>
          <w:szCs w:val="21"/>
          <w:highlight w:val="none"/>
        </w:rPr>
      </w:pPr>
      <w:r>
        <w:rPr>
          <w:rFonts w:hint="eastAsia"/>
          <w:color w:val="auto"/>
          <w:szCs w:val="21"/>
          <w:highlight w:val="none"/>
        </w:rPr>
        <w:t>（5）联合体中有同类资质的供应商按照联合体分工承担相同工作的，应当按照资质等级较低的供应商确定资质等级。</w:t>
      </w:r>
    </w:p>
    <w:p w14:paraId="602E1A11">
      <w:pPr>
        <w:spacing w:before="120" w:line="320" w:lineRule="atLeast"/>
        <w:ind w:firstLine="420" w:firstLineChars="200"/>
        <w:rPr>
          <w:color w:val="auto"/>
          <w:szCs w:val="21"/>
          <w:highlight w:val="none"/>
        </w:rPr>
      </w:pPr>
      <w:r>
        <w:rPr>
          <w:rFonts w:hint="eastAsia"/>
          <w:color w:val="auto"/>
          <w:szCs w:val="21"/>
          <w:highlight w:val="none"/>
        </w:rPr>
        <w:t>（6）联合体响应业绩、履约能力按照联合体各方其中较高的一方认定并计算（采购文件其他章节另有规定的除外）。</w:t>
      </w:r>
    </w:p>
    <w:p w14:paraId="60B84B6C">
      <w:pPr>
        <w:spacing w:before="120" w:line="320" w:lineRule="atLeast"/>
        <w:ind w:firstLine="420" w:firstLineChars="200"/>
        <w:rPr>
          <w:color w:val="auto"/>
          <w:szCs w:val="21"/>
          <w:highlight w:val="none"/>
        </w:rPr>
      </w:pPr>
      <w:r>
        <w:rPr>
          <w:rFonts w:hint="eastAsia"/>
          <w:color w:val="auto"/>
          <w:szCs w:val="21"/>
          <w:highlight w:val="none"/>
        </w:rPr>
        <w:t>（7）供应商为联合体的，可以由联合体中的一方或者多方共同交纳磋商保证金，其交纳的保证金对联合体各方均具有约束力。</w:t>
      </w:r>
    </w:p>
    <w:p w14:paraId="42F49932">
      <w:pPr>
        <w:spacing w:before="120" w:line="320" w:lineRule="atLeast"/>
        <w:ind w:firstLine="420" w:firstLineChars="200"/>
        <w:rPr>
          <w:color w:val="auto"/>
          <w:szCs w:val="21"/>
          <w:highlight w:val="none"/>
        </w:rPr>
      </w:pPr>
      <w:r>
        <w:rPr>
          <w:rFonts w:hint="eastAsia"/>
          <w:color w:val="auto"/>
          <w:szCs w:val="21"/>
          <w:highlight w:val="none"/>
        </w:rPr>
        <w:t>（8）联合体各方均应按照采购文件的规定提交资格证明文件。</w:t>
      </w:r>
    </w:p>
    <w:p w14:paraId="6B33D3A3">
      <w:pPr>
        <w:spacing w:before="120" w:line="320" w:lineRule="atLeast"/>
        <w:ind w:firstLine="422" w:firstLineChars="200"/>
        <w:outlineLvl w:val="2"/>
        <w:rPr>
          <w:b/>
          <w:bCs/>
          <w:color w:val="auto"/>
          <w:kern w:val="0"/>
          <w:szCs w:val="21"/>
          <w:highlight w:val="none"/>
        </w:rPr>
      </w:pPr>
      <w:bookmarkStart w:id="23" w:name="_Toc254970672"/>
      <w:bookmarkStart w:id="24" w:name="_Toc254970531"/>
      <w:r>
        <w:rPr>
          <w:b/>
          <w:bCs/>
          <w:color w:val="auto"/>
          <w:kern w:val="0"/>
          <w:szCs w:val="21"/>
          <w:highlight w:val="none"/>
        </w:rPr>
        <w:t>1.6现场踏勘及响应费用</w:t>
      </w:r>
      <w:bookmarkEnd w:id="23"/>
      <w:bookmarkEnd w:id="24"/>
    </w:p>
    <w:p w14:paraId="708A979F">
      <w:pPr>
        <w:spacing w:before="120" w:line="320" w:lineRule="atLeast"/>
        <w:ind w:firstLine="420" w:firstLineChars="200"/>
        <w:rPr>
          <w:color w:val="auto"/>
          <w:szCs w:val="21"/>
          <w:highlight w:val="none"/>
        </w:rPr>
      </w:pPr>
      <w:r>
        <w:rPr>
          <w:color w:val="auto"/>
          <w:szCs w:val="21"/>
          <w:highlight w:val="none"/>
        </w:rPr>
        <w:t>1.6.1前附表如规定现场踏勘的，供应商应按规定时间地点参加踏勘。</w:t>
      </w:r>
    </w:p>
    <w:p w14:paraId="05480B27">
      <w:pPr>
        <w:spacing w:before="120" w:line="320" w:lineRule="atLeast"/>
        <w:ind w:firstLine="420" w:firstLineChars="200"/>
        <w:rPr>
          <w:color w:val="auto"/>
          <w:szCs w:val="21"/>
          <w:highlight w:val="none"/>
        </w:rPr>
      </w:pPr>
      <w:r>
        <w:rPr>
          <w:color w:val="auto"/>
          <w:szCs w:val="21"/>
          <w:highlight w:val="none"/>
        </w:rPr>
        <w:t>1.6.2供应商均应自行承担所有与响应有关的全部费用（采购文件有相关的规定除外）。</w:t>
      </w:r>
    </w:p>
    <w:p w14:paraId="2A3106C1">
      <w:pPr>
        <w:spacing w:before="120" w:line="320" w:lineRule="atLeast"/>
        <w:ind w:firstLine="422" w:firstLineChars="200"/>
        <w:outlineLvl w:val="2"/>
        <w:rPr>
          <w:b/>
          <w:bCs/>
          <w:color w:val="auto"/>
          <w:kern w:val="0"/>
          <w:szCs w:val="21"/>
          <w:highlight w:val="none"/>
        </w:rPr>
      </w:pPr>
      <w:r>
        <w:rPr>
          <w:b/>
          <w:bCs/>
          <w:color w:val="auto"/>
          <w:kern w:val="0"/>
          <w:szCs w:val="21"/>
          <w:highlight w:val="none"/>
        </w:rPr>
        <w:t>1.7转包与分包</w:t>
      </w:r>
    </w:p>
    <w:p w14:paraId="29484501">
      <w:pPr>
        <w:spacing w:before="120" w:line="320" w:lineRule="atLeast"/>
        <w:ind w:firstLine="420" w:firstLineChars="200"/>
        <w:rPr>
          <w:color w:val="auto"/>
          <w:szCs w:val="21"/>
          <w:highlight w:val="none"/>
        </w:rPr>
      </w:pPr>
      <w:r>
        <w:rPr>
          <w:color w:val="auto"/>
          <w:szCs w:val="21"/>
          <w:highlight w:val="none"/>
        </w:rPr>
        <w:t>1.7.1如</w:t>
      </w:r>
      <w:r>
        <w:rPr>
          <w:rFonts w:hint="eastAsia"/>
          <w:color w:val="auto"/>
          <w:szCs w:val="21"/>
          <w:highlight w:val="none"/>
        </w:rPr>
        <w:t>采购文件</w:t>
      </w:r>
      <w:r>
        <w:rPr>
          <w:color w:val="auto"/>
          <w:szCs w:val="21"/>
          <w:highlight w:val="none"/>
        </w:rPr>
        <w:t>其他地方无特别规定</w:t>
      </w:r>
      <w:r>
        <w:rPr>
          <w:rFonts w:hint="eastAsia"/>
          <w:color w:val="auto"/>
          <w:szCs w:val="21"/>
          <w:highlight w:val="none"/>
        </w:rPr>
        <w:t>，</w:t>
      </w:r>
      <w:r>
        <w:rPr>
          <w:color w:val="auto"/>
          <w:szCs w:val="21"/>
          <w:highlight w:val="none"/>
        </w:rPr>
        <w:t>本项目不允许转包。</w:t>
      </w:r>
    </w:p>
    <w:p w14:paraId="3CBC8BD6">
      <w:pPr>
        <w:spacing w:before="120" w:line="320" w:lineRule="atLeast"/>
        <w:ind w:firstLine="420" w:firstLineChars="200"/>
        <w:rPr>
          <w:color w:val="auto"/>
          <w:szCs w:val="21"/>
          <w:highlight w:val="none"/>
        </w:rPr>
      </w:pPr>
      <w:r>
        <w:rPr>
          <w:color w:val="auto"/>
          <w:szCs w:val="21"/>
          <w:highlight w:val="none"/>
        </w:rPr>
        <w:t>1.7.2</w:t>
      </w:r>
      <w:r>
        <w:rPr>
          <w:rFonts w:hint="eastAsia"/>
          <w:color w:val="auto"/>
          <w:szCs w:val="21"/>
          <w:highlight w:val="none"/>
        </w:rPr>
        <w:t>本项目是否允许分包详见“供应商须知前附表”，本项目不允许违法分包。供应商根据采购文件的规定和采购项目的实际情况，拟在成交后将成交项目的非主体、非关键性工作分包的，应当在响应文件中载明分包承担主体，分包承担主体应当具备相应资质条件且不得再次分包。</w:t>
      </w:r>
    </w:p>
    <w:p w14:paraId="2474858F">
      <w:pPr>
        <w:spacing w:before="120" w:line="276" w:lineRule="auto"/>
        <w:ind w:firstLine="422" w:firstLineChars="200"/>
        <w:outlineLvl w:val="2"/>
        <w:rPr>
          <w:b/>
          <w:bCs/>
          <w:color w:val="auto"/>
          <w:kern w:val="0"/>
          <w:szCs w:val="21"/>
          <w:highlight w:val="none"/>
        </w:rPr>
      </w:pPr>
      <w:bookmarkStart w:id="25" w:name="_Toc254970673"/>
      <w:bookmarkStart w:id="26" w:name="_Toc254970532"/>
      <w:r>
        <w:rPr>
          <w:b/>
          <w:bCs/>
          <w:color w:val="auto"/>
          <w:kern w:val="0"/>
          <w:szCs w:val="21"/>
          <w:highlight w:val="none"/>
        </w:rPr>
        <w:t>1.8特别说明</w:t>
      </w:r>
      <w:bookmarkEnd w:id="25"/>
      <w:bookmarkEnd w:id="26"/>
    </w:p>
    <w:p w14:paraId="0862C263">
      <w:pPr>
        <w:spacing w:line="276" w:lineRule="auto"/>
        <w:ind w:firstLine="420" w:firstLineChars="200"/>
        <w:rPr>
          <w:color w:val="auto"/>
          <w:szCs w:val="21"/>
          <w:highlight w:val="none"/>
        </w:rPr>
      </w:pPr>
      <w:r>
        <w:rPr>
          <w:color w:val="auto"/>
          <w:szCs w:val="21"/>
          <w:highlight w:val="none"/>
        </w:rPr>
        <w:t>1.8.1 供应商应保证其提供的联系方式（电话、传真、电子邮件）有效，以保证往来函件（澄清、修改等）能及时通知供应商，并能及时反馈，否则采购人</w:t>
      </w:r>
      <w:r>
        <w:rPr>
          <w:rFonts w:hint="eastAsia"/>
          <w:color w:val="auto"/>
          <w:szCs w:val="21"/>
          <w:highlight w:val="none"/>
        </w:rPr>
        <w:t>及代理机构</w:t>
      </w:r>
      <w:r>
        <w:rPr>
          <w:color w:val="auto"/>
          <w:szCs w:val="21"/>
          <w:highlight w:val="none"/>
        </w:rPr>
        <w:t>不承担由此引起的一切后果。</w:t>
      </w:r>
    </w:p>
    <w:p w14:paraId="2629E1B2">
      <w:pPr>
        <w:spacing w:before="120" w:line="320" w:lineRule="atLeast"/>
        <w:ind w:firstLine="420" w:firstLineChars="200"/>
        <w:rPr>
          <w:color w:val="auto"/>
          <w:szCs w:val="21"/>
          <w:highlight w:val="none"/>
        </w:rPr>
      </w:pPr>
      <w:r>
        <w:rPr>
          <w:color w:val="auto"/>
          <w:szCs w:val="21"/>
          <w:highlight w:val="none"/>
        </w:rPr>
        <w:t>1.8.2供应商应仔细阅读采购文件的所有内容，按照采购文件的要求提交响应文件，并对所提供的全部资料的真实性承担法律责任。</w:t>
      </w:r>
    </w:p>
    <w:p w14:paraId="0D032434">
      <w:pPr>
        <w:spacing w:before="120" w:line="360" w:lineRule="auto"/>
        <w:ind w:firstLine="420" w:firstLineChars="200"/>
        <w:rPr>
          <w:color w:val="auto"/>
          <w:szCs w:val="21"/>
          <w:highlight w:val="none"/>
        </w:rPr>
      </w:pPr>
      <w:r>
        <w:rPr>
          <w:color w:val="auto"/>
          <w:szCs w:val="21"/>
          <w:highlight w:val="none"/>
        </w:rPr>
        <w:t>1.8.3供应商在响应活动中提供任何虚假材料，</w:t>
      </w:r>
      <w:r>
        <w:rPr>
          <w:rFonts w:hint="eastAsia"/>
          <w:color w:val="auto"/>
          <w:szCs w:val="21"/>
          <w:highlight w:val="none"/>
        </w:rPr>
        <w:t>将</w:t>
      </w:r>
      <w:r>
        <w:rPr>
          <w:color w:val="auto"/>
          <w:szCs w:val="21"/>
          <w:highlight w:val="none"/>
        </w:rPr>
        <w:t xml:space="preserve">报监管部门查处； </w:t>
      </w:r>
    </w:p>
    <w:p w14:paraId="0983ED9D">
      <w:pPr>
        <w:spacing w:before="120" w:line="276" w:lineRule="auto"/>
        <w:ind w:firstLine="422" w:firstLineChars="200"/>
        <w:outlineLvl w:val="2"/>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w:t>
      </w:r>
      <w:r>
        <w:rPr>
          <w:rFonts w:hint="eastAsia"/>
          <w:b/>
          <w:bCs/>
          <w:color w:val="auto"/>
          <w:kern w:val="0"/>
          <w:szCs w:val="21"/>
          <w:highlight w:val="none"/>
          <w:lang w:val="en-US" w:eastAsia="zh-CN"/>
        </w:rPr>
        <w:t xml:space="preserve">9 </w:t>
      </w:r>
      <w:r>
        <w:rPr>
          <w:rFonts w:hint="eastAsia"/>
          <w:b/>
          <w:bCs/>
          <w:color w:val="auto"/>
          <w:kern w:val="0"/>
          <w:szCs w:val="21"/>
          <w:highlight w:val="none"/>
        </w:rPr>
        <w:t>对本国产品的支持政策</w:t>
      </w:r>
    </w:p>
    <w:p w14:paraId="1735F010">
      <w:pPr>
        <w:spacing w:before="120" w:line="360" w:lineRule="auto"/>
        <w:ind w:left="819" w:leftChars="190" w:hanging="420" w:hangingChars="200"/>
        <w:rPr>
          <w:rFonts w:hint="default"/>
          <w:color w:val="auto"/>
          <w:szCs w:val="21"/>
          <w:highlight w:val="none"/>
          <w:lang w:val="en-US" w:eastAsia="zh-CN"/>
        </w:rPr>
      </w:pPr>
      <w:r>
        <w:rPr>
          <w:rFonts w:hint="eastAsia"/>
          <w:color w:val="auto"/>
          <w:szCs w:val="21"/>
          <w:highlight w:val="none"/>
          <w:lang w:val="en-US" w:eastAsia="zh-CN"/>
        </w:rPr>
        <w:t>1.9.1</w:t>
      </w:r>
      <w:r>
        <w:rPr>
          <w:rFonts w:hint="default"/>
          <w:color w:val="auto"/>
          <w:szCs w:val="21"/>
          <w:highlight w:val="none"/>
          <w:lang w:val="en-US" w:eastAsia="zh-CN"/>
        </w:rPr>
        <w:t>本国产品标准</w:t>
      </w:r>
    </w:p>
    <w:p w14:paraId="23A141A3">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“本国产品标准的产品”是指：符合《国务院办公厅关于在政府采购中实施本国产品标准及相关政策的通知》（国办发〔2025〕34号）规定的本国产品标准的产品。</w:t>
      </w:r>
    </w:p>
    <w:p w14:paraId="2222B240">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本国产品标准的产品应当符合以下条件：</w:t>
      </w:r>
    </w:p>
    <w:p w14:paraId="70E067E5">
      <w:pPr>
        <w:spacing w:line="276" w:lineRule="auto"/>
        <w:ind w:firstLine="420" w:firstLineChars="200"/>
        <w:rPr>
          <w:rFonts w:hint="default"/>
          <w:color w:val="auto"/>
          <w:szCs w:val="21"/>
          <w:highlight w:val="none"/>
          <w:lang w:val="en-US" w:eastAsia="zh-CN"/>
        </w:rPr>
      </w:pPr>
      <w:r>
        <w:rPr>
          <w:rFonts w:hint="eastAsia"/>
          <w:color w:val="auto"/>
          <w:szCs w:val="21"/>
          <w:highlight w:val="none"/>
          <w:lang w:val="en-US" w:eastAsia="zh-CN"/>
        </w:rPr>
        <w:t>（1）</w:t>
      </w:r>
      <w:r>
        <w:rPr>
          <w:rFonts w:hint="default"/>
          <w:color w:val="auto"/>
          <w:szCs w:val="21"/>
          <w:highlight w:val="none"/>
          <w:lang w:val="en-US" w:eastAsia="zh-CN"/>
        </w:rPr>
        <w:t>在中国境内生产</w:t>
      </w:r>
      <w:r>
        <w:rPr>
          <w:rFonts w:hint="eastAsia"/>
          <w:color w:val="auto"/>
          <w:szCs w:val="21"/>
          <w:highlight w:val="none"/>
          <w:lang w:val="en-US" w:eastAsia="zh-CN"/>
        </w:rPr>
        <w:t>。</w:t>
      </w:r>
      <w:r>
        <w:rPr>
          <w:rFonts w:hint="default"/>
          <w:color w:val="auto"/>
          <w:szCs w:val="21"/>
          <w:highlight w:val="none"/>
          <w:lang w:val="en-US" w:eastAsia="zh-CN"/>
        </w:rPr>
        <w:t>产品应当在中国境内生产，即在中华人民共和国关境内</w:t>
      </w:r>
      <w:r>
        <w:rPr>
          <w:rFonts w:hint="eastAsia" w:ascii="Times New Roman" w:hAnsi="Times New Roman" w:eastAsia="宋体" w:cs="Times New Roman"/>
          <w:color w:val="auto"/>
          <w:kern w:val="2"/>
          <w:sz w:val="21"/>
          <w:szCs w:val="21"/>
          <w:highlight w:val="none"/>
          <w:lang w:val="en-US" w:eastAsia="zh-CN" w:bidi="ar-SA"/>
        </w:rPr>
        <w:t>（含保税区、综合保税区等海关特殊监管区域）</w:t>
      </w:r>
      <w:r>
        <w:rPr>
          <w:rFonts w:hint="default"/>
          <w:color w:val="auto"/>
          <w:szCs w:val="21"/>
          <w:highlight w:val="none"/>
          <w:lang w:val="en-US" w:eastAsia="zh-CN"/>
        </w:rPr>
        <w:t>实现从原材料、组件到产品的属性改变；属性改变是指经过制造、加工或者组装等工序，产生完全不同于原材料、组件的新产品，并具有新的名称和特征（用途），属性改变不包括以下细微操作：</w:t>
      </w:r>
    </w:p>
    <w:p w14:paraId="0102001E">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①为确保产品在运输或者储存期间保持某种状态而进行的操作；</w:t>
      </w:r>
    </w:p>
    <w:p w14:paraId="4A58D069">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②为产品运输或者销售进行的包装或者展示；</w:t>
      </w:r>
    </w:p>
    <w:p w14:paraId="3272DA22">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③在产品或者其包装上粘贴或者印刷品牌、标志、标识以及其他用于区别的标记；</w:t>
      </w:r>
    </w:p>
    <w:p w14:paraId="153A2491">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④简单的上漆、磨光和分装；</w:t>
      </w:r>
    </w:p>
    <w:p w14:paraId="7D1505C8">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⑤其他不属于属性改变的情形；</w:t>
      </w:r>
    </w:p>
    <w:p w14:paraId="2FE38ACE">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（2）</w:t>
      </w:r>
      <w:r>
        <w:rPr>
          <w:rFonts w:hint="default"/>
          <w:color w:val="auto"/>
          <w:szCs w:val="21"/>
          <w:highlight w:val="none"/>
          <w:lang w:val="en-US" w:eastAsia="zh-CN"/>
        </w:rPr>
        <w:t>中国境内生产的组件成本占比达到规定比例</w:t>
      </w:r>
      <w:r>
        <w:rPr>
          <w:rFonts w:hint="eastAsia"/>
          <w:color w:val="auto"/>
          <w:szCs w:val="21"/>
          <w:highlight w:val="none"/>
          <w:lang w:val="en-US" w:eastAsia="zh-CN"/>
        </w:rPr>
        <w:t>。</w:t>
      </w:r>
    </w:p>
    <w:p w14:paraId="35274560">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①产品在中国境内生产的组件成本占比应当达到规定比例，计算公式为：产品在中国境内生产的组件成本/产品总成本≥规定比例；</w:t>
      </w:r>
    </w:p>
    <w:p w14:paraId="2761051E">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②产品在中国境内生产的组件成本，按照《中国境内生产的组件成本核算基本规则》计算；</w:t>
      </w:r>
    </w:p>
    <w:p w14:paraId="27020F74">
      <w:pPr>
        <w:spacing w:line="276" w:lineRule="auto"/>
        <w:ind w:firstLine="420" w:firstLineChars="200"/>
        <w:rPr>
          <w:rFonts w:hint="default"/>
          <w:color w:val="auto"/>
          <w:szCs w:val="21"/>
          <w:highlight w:val="none"/>
          <w:lang w:val="en-US" w:eastAsia="zh-CN"/>
        </w:rPr>
      </w:pPr>
      <w:r>
        <w:rPr>
          <w:rFonts w:hint="eastAsia"/>
          <w:color w:val="auto"/>
          <w:szCs w:val="21"/>
          <w:highlight w:val="none"/>
          <w:lang w:val="en-US" w:eastAsia="zh-CN"/>
        </w:rPr>
        <w:t>③中国境内生产的组件成本占比相关要求实施前，符合第（1）项条件的产品在政府采购活动中视同本国产品。</w:t>
      </w:r>
    </w:p>
    <w:p w14:paraId="6178B395">
      <w:pPr>
        <w:spacing w:line="276" w:lineRule="auto"/>
        <w:ind w:firstLine="420" w:firstLineChars="200"/>
        <w:rPr>
          <w:rFonts w:hint="default"/>
          <w:color w:val="auto"/>
          <w:szCs w:val="21"/>
          <w:highlight w:val="none"/>
          <w:lang w:val="en-US" w:eastAsia="zh-CN"/>
        </w:rPr>
      </w:pPr>
      <w:r>
        <w:rPr>
          <w:rFonts w:hint="eastAsia"/>
          <w:color w:val="auto"/>
          <w:szCs w:val="21"/>
          <w:highlight w:val="none"/>
          <w:lang w:val="en-US" w:eastAsia="zh-CN"/>
        </w:rPr>
        <w:t>（3）</w:t>
      </w:r>
      <w:r>
        <w:rPr>
          <w:rFonts w:hint="default"/>
          <w:color w:val="auto"/>
          <w:szCs w:val="21"/>
          <w:highlight w:val="none"/>
          <w:lang w:val="en-US" w:eastAsia="zh-CN"/>
        </w:rPr>
        <w:t>特定产品的关键组件和工序在中国境内完成。</w:t>
      </w:r>
    </w:p>
    <w:p w14:paraId="423F8CFB">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①对特定产品，在符合第（1）项和第（2）项条件的基础上，应当符合财政部会同有关行业主管部门确定的其关键组件、关键工序在中国境内生产、完成等要求；</w:t>
      </w:r>
    </w:p>
    <w:p w14:paraId="29E41AF2">
      <w:pPr>
        <w:spacing w:line="276" w:lineRule="auto"/>
        <w:ind w:firstLine="420" w:firstLineChars="200"/>
        <w:rPr>
          <w:rFonts w:hint="default"/>
          <w:color w:val="auto"/>
          <w:szCs w:val="21"/>
          <w:highlight w:val="none"/>
          <w:lang w:val="en-US" w:eastAsia="zh-CN"/>
        </w:rPr>
      </w:pPr>
      <w:r>
        <w:rPr>
          <w:rFonts w:hint="eastAsia"/>
          <w:color w:val="auto"/>
          <w:szCs w:val="21"/>
          <w:highlight w:val="none"/>
          <w:lang w:val="en-US" w:eastAsia="zh-CN"/>
        </w:rPr>
        <w:t>②特定产品的关键组件、关键工序符合相关要求实施前，符合第（1）项和第（2）项条件的产品在政府采购活动中视同本国产品。</w:t>
      </w:r>
    </w:p>
    <w:p w14:paraId="415588CF">
      <w:pPr>
        <w:spacing w:before="120" w:line="360" w:lineRule="auto"/>
        <w:ind w:left="819" w:leftChars="190" w:hanging="420" w:hangingChars="200"/>
        <w:rPr>
          <w:rFonts w:hint="eastAsia"/>
          <w:color w:val="auto"/>
          <w:szCs w:val="21"/>
          <w:highlight w:val="none"/>
          <w:lang w:val="en-US" w:eastAsia="zh-CN"/>
        </w:rPr>
      </w:pPr>
      <w:r>
        <w:rPr>
          <w:rFonts w:hint="eastAsia"/>
          <w:color w:val="auto"/>
          <w:szCs w:val="21"/>
          <w:highlight w:val="none"/>
          <w:lang w:val="en-US" w:eastAsia="zh-CN"/>
        </w:rPr>
        <w:t>1.9.2 本国产品标准的适用范围</w:t>
      </w:r>
    </w:p>
    <w:p w14:paraId="2D739E9B">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r>
        <w:rPr>
          <w:rFonts w:hint="eastAsia"/>
          <w:b/>
          <w:bCs/>
          <w:color w:val="auto"/>
          <w:szCs w:val="21"/>
          <w:highlight w:val="none"/>
          <w:lang w:val="en-US" w:eastAsia="zh-CN"/>
        </w:rPr>
        <w:t>本项目是否适用对本国产品的支持政策详见供应商须知前附表。</w:t>
      </w:r>
    </w:p>
    <w:p w14:paraId="36DC1745">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中华人民共和国缔结或者共同参加的国际条约、协定对政府采购中本国产品政策另有规定的，按照有关条约、协定执行。</w:t>
      </w:r>
    </w:p>
    <w:p w14:paraId="18FAB59F">
      <w:pPr>
        <w:spacing w:before="120" w:line="320" w:lineRule="atLeast"/>
        <w:ind w:firstLine="420" w:firstLineChars="200"/>
        <w:rPr>
          <w:rFonts w:hint="default"/>
          <w:color w:val="auto"/>
          <w:szCs w:val="21"/>
          <w:highlight w:val="none"/>
          <w:lang w:val="en-US" w:eastAsia="zh-CN"/>
        </w:rPr>
      </w:pPr>
      <w:r>
        <w:rPr>
          <w:rFonts w:hint="eastAsia" w:ascii="Times New Roman" w:eastAsia="宋体"/>
          <w:color w:val="auto"/>
          <w:szCs w:val="21"/>
          <w:highlight w:val="none"/>
          <w:lang w:val="en-US" w:eastAsia="zh-CN"/>
        </w:rPr>
        <w:t>1.9.3 价格评审优惠</w:t>
      </w:r>
    </w:p>
    <w:p w14:paraId="4B3D05C6">
      <w:pPr>
        <w:spacing w:before="120" w:line="320" w:lineRule="atLeast"/>
        <w:ind w:firstLine="420" w:firstLineChars="200"/>
        <w:rPr>
          <w:rFonts w:hint="eastAsia"/>
          <w:color w:val="auto"/>
          <w:szCs w:val="21"/>
          <w:highlight w:val="none"/>
        </w:rPr>
      </w:pPr>
      <w:r>
        <w:rPr>
          <w:rFonts w:hint="eastAsia"/>
          <w:color w:val="auto"/>
          <w:szCs w:val="21"/>
          <w:highlight w:val="none"/>
        </w:rPr>
        <w:t>既有本国产品又有非本国产品参与竞争的，依法对本国产品给予价格评审优惠，对本国产品的报价给予20%的价格扣除，用扣除后的价格参与评审。</w:t>
      </w:r>
    </w:p>
    <w:p w14:paraId="5E760CD3">
      <w:pPr>
        <w:spacing w:before="120" w:line="320" w:lineRule="atLeast"/>
        <w:ind w:firstLine="420" w:firstLineChars="200"/>
        <w:rPr>
          <w:rFonts w:hint="eastAsia"/>
          <w:color w:val="auto"/>
          <w:szCs w:val="21"/>
          <w:highlight w:val="none"/>
        </w:rPr>
      </w:pPr>
      <w:r>
        <w:rPr>
          <w:rFonts w:hint="eastAsia"/>
          <w:color w:val="auto"/>
          <w:szCs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CB8898D">
      <w:pPr>
        <w:spacing w:before="120" w:line="320" w:lineRule="atLeast"/>
        <w:ind w:firstLine="420" w:firstLineChars="200"/>
        <w:rPr>
          <w:rFonts w:hint="eastAsia"/>
          <w:color w:val="auto"/>
          <w:szCs w:val="21"/>
          <w:highlight w:val="none"/>
          <w:lang w:eastAsia="zh-CN"/>
        </w:rPr>
      </w:pPr>
      <w:r>
        <w:rPr>
          <w:rFonts w:hint="eastAsia"/>
          <w:color w:val="auto"/>
          <w:szCs w:val="21"/>
          <w:highlight w:val="none"/>
        </w:rPr>
        <w:t>价格扣除比例在第四章评审方法及标准中规定</w:t>
      </w:r>
      <w:r>
        <w:rPr>
          <w:rFonts w:hint="eastAsia" w:eastAsia="宋体"/>
          <w:color w:val="auto"/>
          <w:szCs w:val="21"/>
          <w:highlight w:val="none"/>
          <w:lang w:eastAsia="zh-CN"/>
        </w:rPr>
        <w:t>。</w:t>
      </w:r>
    </w:p>
    <w:p w14:paraId="5851C88A">
      <w:pPr>
        <w:spacing w:before="120" w:line="320" w:lineRule="atLeast"/>
        <w:ind w:firstLine="420" w:firstLineChars="200"/>
        <w:rPr>
          <w:rFonts w:hint="eastAsia"/>
          <w:color w:val="auto"/>
          <w:szCs w:val="21"/>
          <w:highlight w:val="none"/>
          <w:lang w:val="en-US" w:eastAsia="zh-CN"/>
        </w:rPr>
      </w:pPr>
      <w:r>
        <w:rPr>
          <w:rFonts w:hint="eastAsia" w:ascii="Times New Roman" w:eastAsia="宋体"/>
          <w:color w:val="auto"/>
          <w:szCs w:val="21"/>
          <w:highlight w:val="none"/>
          <w:lang w:val="en-US" w:eastAsia="zh-CN"/>
        </w:rPr>
        <w:t>1.9.4政策执行要求</w:t>
      </w:r>
    </w:p>
    <w:p w14:paraId="0BCF661E">
      <w:pPr>
        <w:spacing w:before="120" w:line="320" w:lineRule="atLeast"/>
        <w:ind w:firstLine="420" w:firstLineChars="200"/>
        <w:rPr>
          <w:rFonts w:hint="eastAsia"/>
          <w:color w:val="auto"/>
          <w:szCs w:val="21"/>
          <w:highlight w:val="none"/>
          <w:lang w:val="en-US" w:eastAsia="zh-CN"/>
        </w:rPr>
      </w:pPr>
      <w:r>
        <w:rPr>
          <w:rFonts w:hint="eastAsia" w:ascii="Times New Roman" w:eastAsia="宋体"/>
          <w:color w:val="auto"/>
          <w:szCs w:val="21"/>
          <w:highlight w:val="none"/>
          <w:lang w:val="en-US" w:eastAsia="zh-CN"/>
        </w:rPr>
        <w:t>19.4.1产品在中国境内生产的组件成本核算规则：产品在中国境内生产的组件成本，按照《中国境内生产的组件成本核算基本规则》计算。</w:t>
      </w:r>
    </w:p>
    <w:p w14:paraId="0E3E6822">
      <w:pPr>
        <w:spacing w:before="120" w:line="360" w:lineRule="auto"/>
        <w:ind w:firstLine="2520" w:firstLineChars="1200"/>
        <w:rPr>
          <w:rFonts w:hint="eastAsia"/>
          <w:color w:val="auto"/>
          <w:szCs w:val="21"/>
          <w:highlight w:val="none"/>
          <w:lang w:eastAsia="zh-CN"/>
        </w:rPr>
      </w:pPr>
      <w:r>
        <w:rPr>
          <w:rFonts w:hint="eastAsia" w:eastAsia="宋体"/>
          <w:color w:val="auto"/>
          <w:szCs w:val="21"/>
          <w:highlight w:val="none"/>
          <w:lang w:eastAsia="zh-CN"/>
        </w:rPr>
        <w:t>《中国境内生产的组件成本核算基本规则》</w:t>
      </w:r>
    </w:p>
    <w:p w14:paraId="26FF60BE">
      <w:pPr>
        <w:spacing w:before="120" w:line="240" w:lineRule="auto"/>
        <w:ind w:firstLine="420" w:firstLineChars="200"/>
        <w:rPr>
          <w:rFonts w:hint="eastAsia"/>
          <w:color w:val="auto"/>
          <w:szCs w:val="21"/>
          <w:highlight w:val="none"/>
        </w:rPr>
      </w:pPr>
      <w:r>
        <w:rPr>
          <w:rFonts w:hint="eastAsia"/>
          <w:color w:val="auto"/>
          <w:szCs w:val="21"/>
          <w:highlight w:val="no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5128A678">
      <w:pPr>
        <w:numPr>
          <w:ilvl w:val="0"/>
          <w:numId w:val="0"/>
        </w:numPr>
        <w:spacing w:before="120" w:line="240" w:lineRule="auto"/>
        <w:ind w:firstLine="420" w:firstLineChars="200"/>
        <w:rPr>
          <w:rFonts w:hint="eastAsia"/>
          <w:color w:val="auto"/>
          <w:szCs w:val="21"/>
          <w:highlight w:val="none"/>
        </w:rPr>
      </w:pPr>
      <w:r>
        <w:rPr>
          <w:rFonts w:hint="eastAsia" w:ascii="Times New Roman" w:eastAsia="宋体"/>
          <w:color w:val="auto"/>
          <w:szCs w:val="21"/>
          <w:highlight w:val="none"/>
          <w:lang w:val="en-US" w:eastAsia="zh-CN"/>
        </w:rPr>
        <w:t>1.</w:t>
      </w:r>
      <w:r>
        <w:rPr>
          <w:rFonts w:hint="eastAsia"/>
          <w:color w:val="auto"/>
          <w:szCs w:val="21"/>
          <w:highlight w:val="none"/>
        </w:rPr>
        <w:t>产品的一级组件是指直接组成产品的组件。产品的二级组件是指直接组成产品一级组件的组件。一级组件不可分解的，视同二级组件。</w:t>
      </w:r>
    </w:p>
    <w:p w14:paraId="5262BAC1">
      <w:pPr>
        <w:numPr>
          <w:ilvl w:val="0"/>
          <w:numId w:val="0"/>
        </w:numPr>
        <w:spacing w:before="120" w:line="240" w:lineRule="auto"/>
        <w:ind w:firstLine="420" w:firstLineChars="200"/>
        <w:rPr>
          <w:rFonts w:hint="eastAsia"/>
          <w:color w:val="auto"/>
          <w:szCs w:val="21"/>
          <w:highlight w:val="none"/>
        </w:rPr>
      </w:pPr>
      <w:r>
        <w:rPr>
          <w:rFonts w:hint="eastAsia" w:ascii="Times New Roman" w:eastAsia="宋体"/>
          <w:color w:val="auto"/>
          <w:szCs w:val="21"/>
          <w:highlight w:val="none"/>
          <w:lang w:val="en-US" w:eastAsia="zh-CN"/>
        </w:rPr>
        <w:t>2.</w:t>
      </w:r>
      <w:r>
        <w:rPr>
          <w:rFonts w:hint="eastAsia"/>
          <w:color w:val="auto"/>
          <w:szCs w:val="21"/>
          <w:highlight w:val="none"/>
        </w:rPr>
        <w:t>二级组件在中国境内生产的，其全部成本计入中国境内生产的组件成本；二级组件不在中国境内生产的，其成本不计入中国境内生产的组件成本。</w:t>
      </w:r>
    </w:p>
    <w:p w14:paraId="17470F88">
      <w:pPr>
        <w:spacing w:before="120" w:line="240" w:lineRule="auto"/>
        <w:ind w:firstLine="420" w:firstLineChars="200"/>
        <w:rPr>
          <w:rFonts w:hint="eastAsia"/>
          <w:color w:val="auto"/>
          <w:szCs w:val="21"/>
          <w:highlight w:val="none"/>
        </w:rPr>
      </w:pPr>
      <w:r>
        <w:rPr>
          <w:rFonts w:hint="eastAsia" w:ascii="Times New Roman" w:eastAsia="宋体"/>
          <w:color w:val="auto"/>
          <w:szCs w:val="21"/>
          <w:highlight w:val="none"/>
          <w:lang w:val="en-US" w:eastAsia="zh-CN"/>
        </w:rPr>
        <w:t>3.</w:t>
      </w:r>
      <w:r>
        <w:rPr>
          <w:rFonts w:hint="eastAsia"/>
          <w:color w:val="auto"/>
          <w:szCs w:val="21"/>
          <w:highlight w:val="none"/>
        </w:rPr>
        <w:t>产品总成本和组件成本以相关会计核算数据、采购合同、进货记录等为基础进行计算。</w:t>
      </w:r>
    </w:p>
    <w:p w14:paraId="7B0DA4B9">
      <w:pPr>
        <w:spacing w:before="120" w:line="240" w:lineRule="auto"/>
        <w:ind w:firstLine="420" w:firstLineChars="200"/>
        <w:rPr>
          <w:rFonts w:hint="eastAsia"/>
          <w:color w:val="auto"/>
          <w:szCs w:val="21"/>
          <w:highlight w:val="none"/>
          <w:lang w:val="en-US" w:eastAsia="zh-CN"/>
        </w:rPr>
      </w:pPr>
      <w:r>
        <w:rPr>
          <w:rFonts w:hint="eastAsia" w:ascii="Times New Roman" w:eastAsia="宋体"/>
          <w:color w:val="auto"/>
          <w:szCs w:val="21"/>
          <w:highlight w:val="none"/>
          <w:lang w:val="en-US" w:eastAsia="zh-CN"/>
        </w:rPr>
        <w:t>4.</w:t>
      </w:r>
      <w:r>
        <w:rPr>
          <w:rFonts w:hint="eastAsia"/>
          <w:color w:val="auto"/>
          <w:szCs w:val="21"/>
          <w:highlight w:val="none"/>
        </w:rPr>
        <w:t>需要对成本核算规则予以进一步明确的其他有关事项，由财政部会同有关部门另行规定。</w:t>
      </w:r>
    </w:p>
    <w:p w14:paraId="496E4220">
      <w:p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1.9.4.2证明材料提交与审查：供应商需在投标（响应）文件中对其提供的产品出具《关于符合本国产品标准的声明函》（样式见响应文件格式）或财政部会同有关部门规定的有关证明文件。</w:t>
      </w:r>
      <w:r>
        <w:rPr>
          <w:rFonts w:hint="eastAsia"/>
          <w:b/>
          <w:bCs/>
          <w:color w:val="auto"/>
          <w:szCs w:val="21"/>
          <w:highlight w:val="none"/>
          <w:lang w:val="en-US" w:eastAsia="zh-CN"/>
        </w:rPr>
        <w:t>医疗器械产品凭药品监督管理部门授予的准字号注册证直接认定属于在中国境内生产的产品。</w:t>
      </w:r>
      <w:r>
        <w:rPr>
          <w:rFonts w:hint="eastAsia"/>
          <w:color w:val="auto"/>
          <w:szCs w:val="21"/>
          <w:highlight w:val="none"/>
          <w:lang w:val="en-US" w:eastAsia="zh-CN"/>
        </w:rPr>
        <w:t>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采购人、采购代理机构应当随中标、成交结果同时公告中标、成交供应商提供的《声明函》或有关证明文件。</w:t>
      </w:r>
    </w:p>
    <w:p w14:paraId="1D2E3370">
      <w:pPr>
        <w:pStyle w:val="20"/>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评审委员会应对《声明函》的完整性、准确性进行审查，对《声明函》内容含义不明确、同类事项与投标（响应）文件表述不一致或存在明显文字错误的，应当以书面形式要求供应商澄清、说明或者补正；经澄清、说明或者补正后仍不符合要求的，不认定为本国产品。</w:t>
      </w:r>
    </w:p>
    <w:p w14:paraId="69C1BF47">
      <w:pPr>
        <w:pStyle w:val="20"/>
        <w:ind w:firstLine="420" w:firstLineChars="200"/>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澄清补正应当按照“6.3.3澄清、说明或补正”的规定提交。</w:t>
      </w:r>
    </w:p>
    <w:p w14:paraId="1C22056C">
      <w:pPr>
        <w:pStyle w:val="20"/>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1.9.4.3成本核算与承诺</w:t>
      </w:r>
    </w:p>
    <w:p w14:paraId="36EC83CE">
      <w:pPr>
        <w:pStyle w:val="20"/>
        <w:ind w:firstLine="420" w:firstLineChars="200"/>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供应商应依据《中国境内生产的组件成本核算基本规则》核算产品成本占比，并对核算结果负责，按要求提交《</w:t>
      </w:r>
      <w:r>
        <w:rPr>
          <w:rFonts w:hint="eastAsia" w:ascii="Times New Roman" w:hAnsi="Times New Roman" w:eastAsia="宋体" w:cs="Times New Roman"/>
          <w:color w:val="auto"/>
          <w:kern w:val="2"/>
          <w:sz w:val="21"/>
          <w:szCs w:val="21"/>
          <w:highlight w:val="none"/>
          <w:lang w:val="en-US" w:eastAsia="zh-CN" w:bidi="ar-SA"/>
        </w:rPr>
        <w:t>关于符合</w:t>
      </w:r>
      <w:r>
        <w:rPr>
          <w:rFonts w:hint="default" w:ascii="Times New Roman" w:hAnsi="Times New Roman" w:eastAsia="宋体" w:cs="Times New Roman"/>
          <w:color w:val="auto"/>
          <w:kern w:val="2"/>
          <w:sz w:val="21"/>
          <w:szCs w:val="21"/>
          <w:highlight w:val="none"/>
          <w:lang w:val="en-US" w:eastAsia="zh-CN" w:bidi="ar-SA"/>
        </w:rPr>
        <w:t>本国产品</w:t>
      </w:r>
      <w:r>
        <w:rPr>
          <w:rFonts w:hint="eastAsia" w:ascii="Times New Roman" w:hAnsi="Times New Roman" w:eastAsia="宋体" w:cs="Times New Roman"/>
          <w:color w:val="auto"/>
          <w:kern w:val="2"/>
          <w:sz w:val="21"/>
          <w:szCs w:val="21"/>
          <w:highlight w:val="none"/>
          <w:lang w:val="en-US" w:eastAsia="zh-CN" w:bidi="ar-SA"/>
        </w:rPr>
        <w:t>标准的</w:t>
      </w:r>
      <w:r>
        <w:rPr>
          <w:rFonts w:hint="default" w:ascii="Times New Roman" w:hAnsi="Times New Roman" w:eastAsia="宋体" w:cs="Times New Roman"/>
          <w:color w:val="auto"/>
          <w:kern w:val="2"/>
          <w:sz w:val="21"/>
          <w:szCs w:val="21"/>
          <w:highlight w:val="none"/>
          <w:lang w:val="en-US" w:eastAsia="zh-CN" w:bidi="ar-SA"/>
        </w:rPr>
        <w:t>成本占比承诺函》</w:t>
      </w:r>
      <w:r>
        <w:rPr>
          <w:rFonts w:hint="eastAsia" w:ascii="Times New Roman" w:hAnsi="Times New Roman" w:eastAsia="宋体" w:cs="Times New Roman"/>
          <w:color w:val="auto"/>
          <w:kern w:val="2"/>
          <w:sz w:val="21"/>
          <w:szCs w:val="21"/>
          <w:highlight w:val="none"/>
          <w:lang w:val="en-US" w:eastAsia="zh-CN" w:bidi="ar-SA"/>
        </w:rPr>
        <w:t>（如适用）</w:t>
      </w:r>
      <w:r>
        <w:rPr>
          <w:rFonts w:hint="default" w:ascii="Times New Roman" w:hAnsi="Times New Roman" w:eastAsia="宋体" w:cs="Times New Roman"/>
          <w:color w:val="auto"/>
          <w:kern w:val="2"/>
          <w:sz w:val="21"/>
          <w:szCs w:val="21"/>
          <w:highlight w:val="none"/>
          <w:lang w:val="en-US" w:eastAsia="zh-CN" w:bidi="ar-SA"/>
        </w:rPr>
        <w:t>（参考模板</w:t>
      </w:r>
      <w:r>
        <w:rPr>
          <w:rFonts w:hint="eastAsia" w:ascii="Times New Roman" w:hAnsi="Times New Roman" w:eastAsia="宋体" w:cs="Times New Roman"/>
          <w:color w:val="auto"/>
          <w:kern w:val="2"/>
          <w:sz w:val="21"/>
          <w:szCs w:val="21"/>
          <w:highlight w:val="none"/>
          <w:lang w:val="en-US" w:eastAsia="zh-CN" w:bidi="ar-SA"/>
        </w:rPr>
        <w:t>详见响应文件格式</w:t>
      </w:r>
      <w:r>
        <w:rPr>
          <w:rFonts w:hint="default" w:ascii="Times New Roman" w:hAnsi="Times New Roman" w:eastAsia="宋体" w:cs="Times New Roman"/>
          <w:color w:val="auto"/>
          <w:kern w:val="2"/>
          <w:sz w:val="21"/>
          <w:szCs w:val="21"/>
          <w:highlight w:val="none"/>
          <w:lang w:val="en-US" w:eastAsia="zh-CN" w:bidi="ar-SA"/>
        </w:rPr>
        <w:t>）。相关成本核算的原始凭证应妥善留存，以备核查。采购人可在履约验收环节对相关材料进行抽查。</w:t>
      </w:r>
    </w:p>
    <w:p w14:paraId="333F5497">
      <w:pPr>
        <w:spacing w:before="120" w:line="320" w:lineRule="atLeast"/>
        <w:ind w:firstLine="420" w:firstLineChars="200"/>
        <w:rPr>
          <w:rFonts w:hint="default"/>
          <w:color w:val="auto"/>
          <w:szCs w:val="21"/>
          <w:highlight w:val="none"/>
          <w:lang w:val="en-US" w:eastAsia="zh-CN"/>
        </w:rPr>
      </w:pPr>
      <w:r>
        <w:rPr>
          <w:rFonts w:hint="eastAsia" w:ascii="Times New Roman" w:eastAsia="宋体"/>
          <w:color w:val="auto"/>
          <w:szCs w:val="21"/>
          <w:highlight w:val="none"/>
          <w:lang w:val="en-US" w:eastAsia="zh-CN"/>
        </w:rPr>
        <w:t>1.9.5 争议处理</w:t>
      </w:r>
    </w:p>
    <w:p w14:paraId="078A66A9">
      <w:pPr>
        <w:spacing w:before="120" w:line="360" w:lineRule="auto"/>
        <w:ind w:firstLine="420" w:firstLineChars="200"/>
        <w:rPr>
          <w:color w:val="auto"/>
          <w:szCs w:val="21"/>
          <w:highlight w:val="none"/>
        </w:rPr>
      </w:pPr>
      <w:r>
        <w:rPr>
          <w:rFonts w:hint="eastAsia" w:ascii="Times New Roman" w:eastAsia="宋体"/>
          <w:color w:val="auto"/>
          <w:szCs w:val="21"/>
          <w:highlight w:val="none"/>
          <w:lang w:val="en-US" w:eastAsia="zh-CN"/>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7A3DE1B9">
      <w:pPr>
        <w:spacing w:before="120" w:line="320" w:lineRule="atLeast"/>
        <w:ind w:left="2" w:leftChars="1" w:firstLine="422" w:firstLineChars="200"/>
        <w:outlineLvl w:val="1"/>
        <w:rPr>
          <w:b/>
          <w:bCs/>
          <w:color w:val="auto"/>
          <w:kern w:val="0"/>
          <w:szCs w:val="21"/>
          <w:highlight w:val="none"/>
        </w:rPr>
      </w:pPr>
      <w:bookmarkStart w:id="27" w:name="_Toc254970675"/>
      <w:bookmarkStart w:id="28" w:name="_Toc254970534"/>
      <w:r>
        <w:rPr>
          <w:b/>
          <w:bCs/>
          <w:color w:val="auto"/>
          <w:kern w:val="0"/>
          <w:szCs w:val="21"/>
          <w:highlight w:val="none"/>
        </w:rPr>
        <w:t>2．采购文件</w:t>
      </w:r>
      <w:bookmarkEnd w:id="27"/>
      <w:bookmarkEnd w:id="28"/>
    </w:p>
    <w:p w14:paraId="56D7A6D6">
      <w:pPr>
        <w:spacing w:before="120" w:line="320" w:lineRule="atLeast"/>
        <w:ind w:firstLine="422" w:firstLineChars="200"/>
        <w:outlineLvl w:val="2"/>
        <w:rPr>
          <w:b/>
          <w:bCs/>
          <w:color w:val="auto"/>
          <w:kern w:val="0"/>
          <w:szCs w:val="21"/>
          <w:highlight w:val="none"/>
        </w:rPr>
      </w:pPr>
      <w:r>
        <w:rPr>
          <w:b/>
          <w:bCs/>
          <w:color w:val="auto"/>
          <w:kern w:val="0"/>
          <w:szCs w:val="21"/>
          <w:highlight w:val="none"/>
        </w:rPr>
        <w:t>2.1采购文件的构成</w:t>
      </w:r>
    </w:p>
    <w:p w14:paraId="5E340189">
      <w:pPr>
        <w:spacing w:before="120" w:line="320" w:lineRule="atLeast"/>
        <w:ind w:firstLine="420" w:firstLineChars="200"/>
        <w:rPr>
          <w:color w:val="auto"/>
          <w:szCs w:val="21"/>
          <w:highlight w:val="none"/>
        </w:rPr>
      </w:pPr>
      <w:r>
        <w:rPr>
          <w:color w:val="auto"/>
          <w:szCs w:val="21"/>
          <w:highlight w:val="none"/>
        </w:rPr>
        <w:t>第一章 磋商公告</w:t>
      </w:r>
    </w:p>
    <w:p w14:paraId="603B673B">
      <w:pPr>
        <w:spacing w:before="120" w:line="320" w:lineRule="atLeast"/>
        <w:ind w:firstLine="420" w:firstLineChars="200"/>
        <w:rPr>
          <w:color w:val="auto"/>
          <w:szCs w:val="21"/>
          <w:highlight w:val="none"/>
        </w:rPr>
      </w:pPr>
      <w:r>
        <w:rPr>
          <w:color w:val="auto"/>
          <w:szCs w:val="21"/>
          <w:highlight w:val="none"/>
        </w:rPr>
        <w:t>第二章 采购需求</w:t>
      </w:r>
    </w:p>
    <w:p w14:paraId="73E754B5">
      <w:pPr>
        <w:spacing w:before="120" w:line="320" w:lineRule="atLeast"/>
        <w:ind w:firstLine="420" w:firstLineChars="200"/>
        <w:rPr>
          <w:color w:val="auto"/>
          <w:szCs w:val="21"/>
          <w:highlight w:val="none"/>
        </w:rPr>
      </w:pPr>
      <w:r>
        <w:rPr>
          <w:color w:val="auto"/>
          <w:szCs w:val="21"/>
          <w:highlight w:val="none"/>
        </w:rPr>
        <w:t>第三章 供应商须知</w:t>
      </w:r>
    </w:p>
    <w:p w14:paraId="1FD7A905">
      <w:pPr>
        <w:spacing w:before="120" w:line="320" w:lineRule="atLeast"/>
        <w:ind w:firstLine="420" w:firstLineChars="200"/>
        <w:rPr>
          <w:color w:val="auto"/>
          <w:szCs w:val="21"/>
          <w:highlight w:val="none"/>
        </w:rPr>
      </w:pPr>
      <w:r>
        <w:rPr>
          <w:color w:val="auto"/>
          <w:szCs w:val="21"/>
          <w:highlight w:val="none"/>
        </w:rPr>
        <w:t>第四章 评审方法及标准</w:t>
      </w:r>
    </w:p>
    <w:p w14:paraId="71DDF041">
      <w:pPr>
        <w:spacing w:before="120" w:line="320" w:lineRule="atLeast"/>
        <w:ind w:firstLine="420" w:firstLineChars="200"/>
        <w:rPr>
          <w:color w:val="auto"/>
          <w:szCs w:val="21"/>
          <w:highlight w:val="none"/>
        </w:rPr>
      </w:pPr>
      <w:r>
        <w:rPr>
          <w:color w:val="auto"/>
          <w:szCs w:val="21"/>
          <w:highlight w:val="none"/>
        </w:rPr>
        <w:t>第五章 合同主要条款格式</w:t>
      </w:r>
    </w:p>
    <w:p w14:paraId="5492420C">
      <w:pPr>
        <w:spacing w:before="120" w:line="320" w:lineRule="atLeast"/>
        <w:ind w:firstLine="420" w:firstLineChars="200"/>
        <w:rPr>
          <w:color w:val="auto"/>
          <w:szCs w:val="21"/>
          <w:highlight w:val="none"/>
        </w:rPr>
      </w:pPr>
      <w:r>
        <w:rPr>
          <w:color w:val="auto"/>
          <w:szCs w:val="21"/>
          <w:highlight w:val="none"/>
        </w:rPr>
        <w:t>第六章 响应文件格式</w:t>
      </w:r>
    </w:p>
    <w:p w14:paraId="3BD39CA8">
      <w:pPr>
        <w:spacing w:before="120" w:line="320" w:lineRule="atLeast"/>
        <w:ind w:firstLine="422" w:firstLineChars="200"/>
        <w:outlineLvl w:val="2"/>
        <w:rPr>
          <w:b/>
          <w:bCs/>
          <w:color w:val="auto"/>
          <w:kern w:val="0"/>
          <w:szCs w:val="21"/>
          <w:highlight w:val="none"/>
        </w:rPr>
      </w:pPr>
      <w:r>
        <w:rPr>
          <w:b/>
          <w:bCs/>
          <w:color w:val="auto"/>
          <w:kern w:val="0"/>
          <w:szCs w:val="21"/>
          <w:highlight w:val="none"/>
        </w:rPr>
        <w:t>2.2供应商的风险</w:t>
      </w:r>
    </w:p>
    <w:p w14:paraId="24D32595">
      <w:pPr>
        <w:spacing w:before="120" w:line="320" w:lineRule="atLeast"/>
        <w:ind w:firstLine="420" w:firstLineChars="200"/>
        <w:rPr>
          <w:color w:val="auto"/>
          <w:szCs w:val="21"/>
          <w:highlight w:val="none"/>
        </w:rPr>
      </w:pPr>
      <w:r>
        <w:rPr>
          <w:color w:val="auto"/>
          <w:szCs w:val="21"/>
          <w:highlight w:val="none"/>
        </w:rPr>
        <w:t>供应商没有按照采购文件要求提供全部资料，或者供应商没有对采购文件在各方面作出实质性响应是供应商的风险，并可能导致其响应被否决。</w:t>
      </w:r>
    </w:p>
    <w:p w14:paraId="6382B41A">
      <w:pPr>
        <w:spacing w:before="120" w:line="320" w:lineRule="atLeast"/>
        <w:ind w:firstLine="422" w:firstLineChars="200"/>
        <w:outlineLvl w:val="2"/>
        <w:rPr>
          <w:b/>
          <w:color w:val="auto"/>
          <w:szCs w:val="21"/>
          <w:highlight w:val="none"/>
        </w:rPr>
      </w:pPr>
      <w:r>
        <w:rPr>
          <w:b/>
          <w:bCs/>
          <w:color w:val="auto"/>
          <w:kern w:val="0"/>
          <w:szCs w:val="21"/>
          <w:highlight w:val="none"/>
        </w:rPr>
        <w:t>2.3采购文件的澄清与修改</w:t>
      </w:r>
    </w:p>
    <w:p w14:paraId="3D2F2A05">
      <w:pPr>
        <w:spacing w:before="120" w:line="320" w:lineRule="atLeast"/>
        <w:ind w:firstLine="420" w:firstLineChars="200"/>
        <w:rPr>
          <w:color w:val="auto"/>
          <w:szCs w:val="21"/>
          <w:highlight w:val="none"/>
        </w:rPr>
      </w:pPr>
      <w:r>
        <w:rPr>
          <w:color w:val="auto"/>
          <w:szCs w:val="21"/>
          <w:highlight w:val="none"/>
        </w:rPr>
        <w:t>2.3.1</w:t>
      </w:r>
      <w:r>
        <w:rPr>
          <w:rFonts w:hint="eastAsia"/>
          <w:color w:val="auto"/>
          <w:szCs w:val="21"/>
          <w:highlight w:val="none"/>
        </w:rPr>
        <w:t>任何已获得采购文件的潜在供应商，均可</w:t>
      </w:r>
      <w:r>
        <w:rPr>
          <w:color w:val="auto"/>
          <w:szCs w:val="21"/>
          <w:highlight w:val="none"/>
        </w:rPr>
        <w:t>以书面形式要求采购代理机构作出书面解释、澄清</w:t>
      </w:r>
      <w:r>
        <w:rPr>
          <w:rFonts w:hint="eastAsia"/>
          <w:color w:val="auto"/>
          <w:szCs w:val="21"/>
          <w:highlight w:val="none"/>
        </w:rPr>
        <w:t>。</w:t>
      </w:r>
    </w:p>
    <w:p w14:paraId="27DED9A6">
      <w:pPr>
        <w:spacing w:before="120" w:line="320" w:lineRule="atLeast"/>
        <w:ind w:firstLine="420" w:firstLineChars="200"/>
        <w:rPr>
          <w:rFonts w:hint="eastAsia"/>
          <w:color w:val="auto"/>
          <w:szCs w:val="21"/>
          <w:highlight w:val="none"/>
        </w:rPr>
      </w:pPr>
      <w:r>
        <w:rPr>
          <w:color w:val="auto"/>
          <w:szCs w:val="21"/>
          <w:highlight w:val="none"/>
        </w:rPr>
        <w:t>2.3.2</w:t>
      </w:r>
      <w:r>
        <w:rPr>
          <w:rFonts w:hint="eastAsia"/>
          <w:color w:val="auto"/>
          <w:szCs w:val="21"/>
          <w:highlight w:val="none"/>
        </w:rPr>
        <w:t>采购人、采购代理机构可以对已发出的采购文件进行必要的澄清或者修改，澄清或者修改的内容可能影响响应文件编制的，采购人、采购代理机构应当在提交首次响应文件截止之日3个工作日前，在供应商须知前附表规定的方式通知所有获取采购文件的潜在供应商，不足3个工作日的，采购人、采购代理机构应当顺延提交首次响应文件截止时间。</w:t>
      </w:r>
      <w:r>
        <w:rPr>
          <w:color w:val="auto"/>
          <w:szCs w:val="21"/>
          <w:highlight w:val="none"/>
        </w:rPr>
        <w:t xml:space="preserve"> </w:t>
      </w:r>
    </w:p>
    <w:p w14:paraId="4C139BC4">
      <w:pPr>
        <w:spacing w:before="120" w:line="320" w:lineRule="atLeast"/>
        <w:ind w:firstLine="420" w:firstLineChars="200"/>
        <w:rPr>
          <w:color w:val="auto"/>
          <w:szCs w:val="21"/>
          <w:highlight w:val="none"/>
        </w:rPr>
      </w:pPr>
      <w:r>
        <w:rPr>
          <w:color w:val="auto"/>
          <w:szCs w:val="21"/>
          <w:highlight w:val="none"/>
        </w:rPr>
        <w:t>2.3.3采购文件澄清、答复、修改、补充的内容为采购文件的组成部分。当采购文件与采购文件的答复、澄清、修改、补充通知就同一内容的表述不一致时，以最后发出的公告或书面文件为准。</w:t>
      </w:r>
    </w:p>
    <w:p w14:paraId="452B6395">
      <w:pPr>
        <w:spacing w:before="120" w:line="320" w:lineRule="atLeast"/>
        <w:ind w:left="2" w:leftChars="1" w:firstLine="422" w:firstLineChars="200"/>
        <w:outlineLvl w:val="1"/>
        <w:rPr>
          <w:b/>
          <w:bCs/>
          <w:color w:val="auto"/>
          <w:kern w:val="0"/>
          <w:szCs w:val="21"/>
          <w:highlight w:val="none"/>
        </w:rPr>
      </w:pPr>
      <w:bookmarkStart w:id="29" w:name="_Toc254970535"/>
      <w:bookmarkStart w:id="30" w:name="_Toc254970676"/>
      <w:r>
        <w:rPr>
          <w:b/>
          <w:bCs/>
          <w:color w:val="auto"/>
          <w:kern w:val="0"/>
          <w:szCs w:val="21"/>
          <w:highlight w:val="none"/>
        </w:rPr>
        <w:t>3．响应文件</w:t>
      </w:r>
      <w:bookmarkEnd w:id="29"/>
      <w:bookmarkEnd w:id="30"/>
    </w:p>
    <w:p w14:paraId="424FFAEA">
      <w:pPr>
        <w:spacing w:before="120" w:line="320" w:lineRule="atLeast"/>
        <w:ind w:firstLine="422" w:firstLineChars="200"/>
        <w:outlineLvl w:val="2"/>
        <w:rPr>
          <w:b/>
          <w:bCs/>
          <w:color w:val="auto"/>
          <w:kern w:val="0"/>
          <w:szCs w:val="21"/>
          <w:highlight w:val="none"/>
        </w:rPr>
      </w:pPr>
      <w:bookmarkStart w:id="31" w:name="_Toc254970677"/>
      <w:bookmarkStart w:id="32" w:name="_Toc254970536"/>
      <w:r>
        <w:rPr>
          <w:b/>
          <w:bCs/>
          <w:color w:val="auto"/>
          <w:kern w:val="0"/>
          <w:szCs w:val="21"/>
          <w:highlight w:val="none"/>
        </w:rPr>
        <w:t>3.1响应文件的组成</w:t>
      </w:r>
      <w:bookmarkEnd w:id="31"/>
      <w:bookmarkEnd w:id="32"/>
    </w:p>
    <w:p w14:paraId="5006F00C">
      <w:pPr>
        <w:spacing w:before="120" w:line="320" w:lineRule="atLeast"/>
        <w:ind w:firstLine="420" w:firstLineChars="200"/>
        <w:rPr>
          <w:color w:val="auto"/>
          <w:szCs w:val="21"/>
          <w:highlight w:val="none"/>
        </w:rPr>
      </w:pPr>
      <w:r>
        <w:rPr>
          <w:color w:val="auto"/>
          <w:szCs w:val="21"/>
          <w:highlight w:val="none"/>
        </w:rPr>
        <w:t>响应文件由第六章“响应文件格式”规定的</w:t>
      </w:r>
      <w:r>
        <w:rPr>
          <w:rFonts w:hint="eastAsia"/>
          <w:color w:val="auto"/>
          <w:szCs w:val="21"/>
          <w:highlight w:val="none"/>
        </w:rPr>
        <w:t>内容</w:t>
      </w:r>
      <w:r>
        <w:rPr>
          <w:color w:val="auto"/>
          <w:szCs w:val="21"/>
          <w:highlight w:val="none"/>
        </w:rPr>
        <w:t>和供应商所作的一切有效补充、修改和承诺等文件组成</w:t>
      </w:r>
      <w:r>
        <w:rPr>
          <w:rFonts w:hint="eastAsia"/>
          <w:color w:val="auto"/>
          <w:szCs w:val="21"/>
          <w:highlight w:val="none"/>
        </w:rPr>
        <w:t>。</w:t>
      </w:r>
    </w:p>
    <w:p w14:paraId="3A2FC4C0">
      <w:pPr>
        <w:spacing w:before="120" w:line="320" w:lineRule="atLeast"/>
        <w:ind w:firstLine="422" w:firstLineChars="200"/>
        <w:outlineLvl w:val="2"/>
        <w:rPr>
          <w:b/>
          <w:bCs/>
          <w:color w:val="auto"/>
          <w:kern w:val="0"/>
          <w:szCs w:val="21"/>
          <w:highlight w:val="none"/>
        </w:rPr>
      </w:pPr>
      <w:bookmarkStart w:id="33" w:name="_Toc254970678"/>
      <w:bookmarkStart w:id="34" w:name="_Toc254970537"/>
      <w:r>
        <w:rPr>
          <w:b/>
          <w:color w:val="auto"/>
          <w:szCs w:val="21"/>
          <w:highlight w:val="none"/>
        </w:rPr>
        <w:t>3.2</w:t>
      </w:r>
      <w:r>
        <w:rPr>
          <w:b/>
          <w:bCs/>
          <w:color w:val="auto"/>
          <w:kern w:val="0"/>
          <w:szCs w:val="21"/>
          <w:highlight w:val="none"/>
        </w:rPr>
        <w:t>响应文件的语言及计量</w:t>
      </w:r>
      <w:bookmarkEnd w:id="33"/>
      <w:bookmarkEnd w:id="34"/>
    </w:p>
    <w:p w14:paraId="60061A74">
      <w:pPr>
        <w:spacing w:before="120" w:line="320" w:lineRule="atLeast"/>
        <w:ind w:firstLine="420" w:firstLineChars="200"/>
        <w:rPr>
          <w:color w:val="auto"/>
          <w:szCs w:val="21"/>
          <w:highlight w:val="none"/>
        </w:rPr>
      </w:pPr>
      <w:r>
        <w:rPr>
          <w:color w:val="auto"/>
          <w:szCs w:val="21"/>
          <w:highlight w:val="none"/>
        </w:rPr>
        <w:t>3.2.1</w:t>
      </w:r>
      <w:r>
        <w:rPr>
          <w:rFonts w:hint="eastAsia"/>
          <w:color w:val="auto"/>
          <w:szCs w:val="21"/>
          <w:highlight w:val="none"/>
        </w:rPr>
        <w:t>响应文件以及供应商与采购人就有关响应事宜的所有来往函电，均应以中文书写（除专用术语外，与招标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1422ADD3">
      <w:pPr>
        <w:spacing w:before="120" w:line="320" w:lineRule="atLeast"/>
        <w:ind w:firstLine="420" w:firstLineChars="200"/>
        <w:rPr>
          <w:color w:val="auto"/>
          <w:szCs w:val="21"/>
          <w:highlight w:val="none"/>
        </w:rPr>
      </w:pPr>
      <w:r>
        <w:rPr>
          <w:color w:val="auto"/>
          <w:szCs w:val="21"/>
          <w:highlight w:val="none"/>
        </w:rPr>
        <w:t>3.2.2计量单位采购文件已有明确规定的，响应使用采购文件规定的计量单位；采购文件没有规定的，应采用中华人民共和国法定计量单位。</w:t>
      </w:r>
    </w:p>
    <w:p w14:paraId="330ED220">
      <w:pPr>
        <w:spacing w:before="120" w:line="320" w:lineRule="atLeast"/>
        <w:ind w:firstLine="422" w:firstLineChars="200"/>
        <w:outlineLvl w:val="2"/>
        <w:rPr>
          <w:b/>
          <w:bCs/>
          <w:color w:val="auto"/>
          <w:kern w:val="0"/>
          <w:szCs w:val="21"/>
          <w:highlight w:val="none"/>
        </w:rPr>
      </w:pPr>
      <w:bookmarkStart w:id="35" w:name="_Toc254970679"/>
      <w:bookmarkStart w:id="36" w:name="_Toc254970538"/>
      <w:r>
        <w:rPr>
          <w:b/>
          <w:bCs/>
          <w:color w:val="auto"/>
          <w:kern w:val="0"/>
          <w:szCs w:val="21"/>
          <w:highlight w:val="none"/>
        </w:rPr>
        <w:t>3.3响应报价</w:t>
      </w:r>
      <w:bookmarkEnd w:id="35"/>
      <w:bookmarkEnd w:id="36"/>
    </w:p>
    <w:p w14:paraId="243313A2">
      <w:pPr>
        <w:spacing w:before="120" w:line="320" w:lineRule="atLeast"/>
        <w:ind w:firstLine="420" w:firstLineChars="200"/>
        <w:rPr>
          <w:color w:val="auto"/>
          <w:szCs w:val="21"/>
          <w:highlight w:val="none"/>
        </w:rPr>
      </w:pPr>
      <w:r>
        <w:rPr>
          <w:color w:val="auto"/>
          <w:szCs w:val="21"/>
          <w:highlight w:val="none"/>
        </w:rPr>
        <w:t>3.3.1响应报价应按采购文件中相关附表格式填写。</w:t>
      </w:r>
    </w:p>
    <w:p w14:paraId="5D94AFC9">
      <w:pPr>
        <w:spacing w:before="120" w:line="320" w:lineRule="atLeast"/>
        <w:ind w:firstLine="420" w:firstLineChars="200"/>
        <w:rPr>
          <w:color w:val="auto"/>
          <w:szCs w:val="21"/>
          <w:highlight w:val="none"/>
        </w:rPr>
      </w:pPr>
      <w:r>
        <w:rPr>
          <w:color w:val="auto"/>
          <w:szCs w:val="21"/>
          <w:highlight w:val="none"/>
        </w:rPr>
        <w:t>3.3.2响应文件只允许有一个报价，有选择的或有条件的报价将不予接受。</w:t>
      </w:r>
    </w:p>
    <w:p w14:paraId="20980138">
      <w:pPr>
        <w:suppressAutoHyphens/>
        <w:spacing w:before="120" w:line="320" w:lineRule="atLeast"/>
        <w:ind w:firstLine="420" w:firstLineChars="200"/>
        <w:rPr>
          <w:color w:val="auto"/>
          <w:kern w:val="1"/>
          <w:szCs w:val="21"/>
          <w:highlight w:val="none"/>
        </w:rPr>
      </w:pPr>
      <w:r>
        <w:rPr>
          <w:color w:val="auto"/>
          <w:kern w:val="1"/>
          <w:szCs w:val="21"/>
          <w:highlight w:val="none"/>
        </w:rPr>
        <w:t>3.3.3对于本文件中未列明，而供应商认为必需的费用也需列入</w:t>
      </w:r>
      <w:r>
        <w:rPr>
          <w:rFonts w:hint="eastAsia"/>
          <w:color w:val="auto"/>
          <w:kern w:val="1"/>
          <w:szCs w:val="21"/>
          <w:highlight w:val="none"/>
        </w:rPr>
        <w:t>响应报价</w:t>
      </w:r>
      <w:r>
        <w:rPr>
          <w:color w:val="auto"/>
          <w:kern w:val="1"/>
          <w:szCs w:val="21"/>
          <w:highlight w:val="none"/>
        </w:rPr>
        <w:t>。在合同实施时，采购人将不予支付成交供应商没有列入的项目费用，并认为此项目的费用已包括在</w:t>
      </w:r>
      <w:r>
        <w:rPr>
          <w:rFonts w:hint="eastAsia"/>
          <w:color w:val="auto"/>
          <w:kern w:val="1"/>
          <w:szCs w:val="21"/>
          <w:highlight w:val="none"/>
        </w:rPr>
        <w:t>响应报价</w:t>
      </w:r>
      <w:r>
        <w:rPr>
          <w:color w:val="auto"/>
          <w:kern w:val="1"/>
          <w:szCs w:val="21"/>
          <w:highlight w:val="none"/>
        </w:rPr>
        <w:t>中。</w:t>
      </w:r>
    </w:p>
    <w:p w14:paraId="5C6AE565">
      <w:pPr>
        <w:suppressAutoHyphens/>
        <w:spacing w:before="120" w:line="320" w:lineRule="atLeast"/>
        <w:ind w:firstLine="420" w:firstLineChars="200"/>
        <w:rPr>
          <w:b/>
          <w:bCs/>
          <w:color w:val="auto"/>
          <w:kern w:val="1"/>
          <w:szCs w:val="21"/>
          <w:highlight w:val="none"/>
        </w:rPr>
      </w:pPr>
      <w:r>
        <w:rPr>
          <w:rFonts w:hint="eastAsia"/>
          <w:color w:val="auto"/>
          <w:kern w:val="1"/>
          <w:szCs w:val="21"/>
          <w:highlight w:val="none"/>
        </w:rPr>
        <w:t>3</w:t>
      </w:r>
      <w:r>
        <w:rPr>
          <w:color w:val="auto"/>
          <w:kern w:val="1"/>
          <w:szCs w:val="21"/>
          <w:highlight w:val="none"/>
        </w:rPr>
        <w:t>.3.4</w:t>
      </w:r>
      <w:r>
        <w:rPr>
          <w:rFonts w:hint="eastAsia"/>
          <w:color w:val="auto"/>
          <w:kern w:val="1"/>
          <w:szCs w:val="21"/>
          <w:highlight w:val="none"/>
        </w:rPr>
        <w:t>采购人不接受供应商给予的赠品、回扣或者与采购无关的其他商品、服务。</w:t>
      </w:r>
    </w:p>
    <w:p w14:paraId="1FB63132">
      <w:pPr>
        <w:spacing w:before="120" w:line="320" w:lineRule="atLeast"/>
        <w:ind w:firstLine="422" w:firstLineChars="200"/>
        <w:outlineLvl w:val="2"/>
        <w:rPr>
          <w:b/>
          <w:bCs/>
          <w:color w:val="auto"/>
          <w:kern w:val="0"/>
          <w:szCs w:val="21"/>
          <w:highlight w:val="none"/>
        </w:rPr>
      </w:pPr>
      <w:r>
        <w:rPr>
          <w:b/>
          <w:bCs/>
          <w:color w:val="auto"/>
          <w:kern w:val="0"/>
          <w:szCs w:val="21"/>
          <w:highlight w:val="none"/>
        </w:rPr>
        <w:t>3.4响应有效期</w:t>
      </w:r>
    </w:p>
    <w:p w14:paraId="04B2D407">
      <w:pPr>
        <w:spacing w:before="120" w:line="320" w:lineRule="atLeast"/>
        <w:ind w:firstLine="420" w:firstLineChars="200"/>
        <w:rPr>
          <w:color w:val="auto"/>
          <w:szCs w:val="21"/>
          <w:highlight w:val="none"/>
        </w:rPr>
      </w:pPr>
      <w:r>
        <w:rPr>
          <w:color w:val="auto"/>
          <w:szCs w:val="21"/>
          <w:highlight w:val="none"/>
        </w:rPr>
        <w:t>3.4.1如采购文件其他地方无特别规定</w:t>
      </w:r>
      <w:r>
        <w:rPr>
          <w:rFonts w:hint="eastAsia"/>
          <w:color w:val="auto"/>
          <w:szCs w:val="21"/>
          <w:highlight w:val="none"/>
        </w:rPr>
        <w:t>，</w:t>
      </w:r>
      <w:r>
        <w:rPr>
          <w:color w:val="auto"/>
          <w:szCs w:val="21"/>
          <w:highlight w:val="none"/>
        </w:rPr>
        <w:t>响应有效期则为响应截止之日起90天</w:t>
      </w:r>
      <w:r>
        <w:rPr>
          <w:rFonts w:hint="eastAsia"/>
          <w:color w:val="auto"/>
          <w:szCs w:val="21"/>
          <w:highlight w:val="none"/>
        </w:rPr>
        <w:t>。</w:t>
      </w:r>
      <w:r>
        <w:rPr>
          <w:color w:val="auto"/>
          <w:szCs w:val="21"/>
          <w:highlight w:val="none"/>
        </w:rPr>
        <w:t>在响应有效期内响应文件应保持有效。</w:t>
      </w:r>
      <w:r>
        <w:rPr>
          <w:b/>
          <w:bCs/>
          <w:color w:val="auto"/>
          <w:szCs w:val="21"/>
          <w:highlight w:val="none"/>
        </w:rPr>
        <w:t>有效期不足的响应文件将被否决</w:t>
      </w:r>
      <w:r>
        <w:rPr>
          <w:color w:val="auto"/>
          <w:szCs w:val="21"/>
          <w:highlight w:val="none"/>
        </w:rPr>
        <w:t>。</w:t>
      </w:r>
    </w:p>
    <w:p w14:paraId="09241475">
      <w:pPr>
        <w:spacing w:before="120" w:line="320" w:lineRule="atLeast"/>
        <w:ind w:firstLine="420" w:firstLineChars="200"/>
        <w:rPr>
          <w:color w:val="auto"/>
          <w:szCs w:val="21"/>
          <w:highlight w:val="none"/>
        </w:rPr>
      </w:pPr>
      <w:r>
        <w:rPr>
          <w:color w:val="auto"/>
          <w:szCs w:val="21"/>
          <w:highlight w:val="none"/>
        </w:rPr>
        <w:t>3.4.2在特殊情况下，采购人可与供应商协商延长响应文件的有效期，这种要求和答复均以书面形式进行。</w:t>
      </w:r>
    </w:p>
    <w:p w14:paraId="5B4AB222">
      <w:pPr>
        <w:spacing w:before="120" w:line="320" w:lineRule="atLeast"/>
        <w:ind w:firstLine="420" w:firstLineChars="200"/>
        <w:rPr>
          <w:color w:val="auto"/>
          <w:szCs w:val="21"/>
          <w:highlight w:val="none"/>
        </w:rPr>
      </w:pPr>
      <w:r>
        <w:rPr>
          <w:color w:val="auto"/>
          <w:szCs w:val="21"/>
          <w:highlight w:val="none"/>
        </w:rPr>
        <w:t>3.4.3</w:t>
      </w:r>
      <w:r>
        <w:rPr>
          <w:rFonts w:hint="eastAsia"/>
          <w:color w:val="auto"/>
          <w:szCs w:val="21"/>
          <w:highlight w:val="none"/>
        </w:rPr>
        <w:t>供应商同意延长的响应有效期的，如本项目要求提交保证金则应相应延长其磋商保证金的有效期，但不得要求或被允许修改或撤销其响应文件；供应商拒绝延长的，其响应无效，但供应商有权收回其磋商保证金。</w:t>
      </w:r>
    </w:p>
    <w:p w14:paraId="044AD5D0">
      <w:pPr>
        <w:spacing w:before="120" w:line="320" w:lineRule="atLeast"/>
        <w:ind w:firstLine="422" w:firstLineChars="200"/>
        <w:outlineLvl w:val="2"/>
        <w:rPr>
          <w:b/>
          <w:bCs/>
          <w:color w:val="auto"/>
          <w:kern w:val="0"/>
          <w:szCs w:val="21"/>
          <w:highlight w:val="none"/>
        </w:rPr>
      </w:pPr>
      <w:bookmarkStart w:id="37" w:name="_Toc254970541"/>
      <w:bookmarkStart w:id="38" w:name="_Toc254970682"/>
      <w:r>
        <w:rPr>
          <w:b/>
          <w:bCs/>
          <w:color w:val="auto"/>
          <w:kern w:val="0"/>
          <w:szCs w:val="21"/>
          <w:highlight w:val="none"/>
        </w:rPr>
        <w:t>3.5磋商保证金</w:t>
      </w:r>
      <w:bookmarkEnd w:id="37"/>
      <w:bookmarkEnd w:id="38"/>
    </w:p>
    <w:p w14:paraId="76A5BA61">
      <w:pPr>
        <w:spacing w:before="120" w:line="320" w:lineRule="atLeast"/>
        <w:ind w:firstLine="420" w:firstLineChars="200"/>
        <w:rPr>
          <w:color w:val="auto"/>
          <w:szCs w:val="21"/>
          <w:highlight w:val="none"/>
        </w:rPr>
      </w:pPr>
      <w:r>
        <w:rPr>
          <w:color w:val="auto"/>
          <w:szCs w:val="21"/>
          <w:highlight w:val="none"/>
        </w:rPr>
        <w:t>3.5.1供应商须按须知前附表规定提交磋商保证金，</w:t>
      </w:r>
      <w:r>
        <w:rPr>
          <w:b/>
          <w:bCs/>
          <w:color w:val="auto"/>
          <w:szCs w:val="21"/>
          <w:highlight w:val="none"/>
        </w:rPr>
        <w:t>否则其响应将被否决</w:t>
      </w:r>
      <w:r>
        <w:rPr>
          <w:color w:val="auto"/>
          <w:szCs w:val="21"/>
          <w:highlight w:val="none"/>
        </w:rPr>
        <w:t>。除采购文件规定不予退还保证金的情形外，代理机构在规定时间内退回供应商的磋商保证金（供应商自行承担因未按供应商须知前附表要求交纳导致磋商保证金无法及时退还的责任）。</w:t>
      </w:r>
    </w:p>
    <w:p w14:paraId="4BBE178A">
      <w:pPr>
        <w:spacing w:before="120" w:line="320" w:lineRule="atLeast"/>
        <w:ind w:firstLine="420" w:firstLineChars="200"/>
        <w:rPr>
          <w:color w:val="auto"/>
          <w:szCs w:val="21"/>
          <w:highlight w:val="none"/>
        </w:rPr>
      </w:pPr>
      <w:r>
        <w:rPr>
          <w:color w:val="auto"/>
          <w:szCs w:val="21"/>
          <w:highlight w:val="none"/>
        </w:rPr>
        <w:t>3.5.2磋商保证金币种应与响应报价币种相同。</w:t>
      </w:r>
    </w:p>
    <w:p w14:paraId="26850CE8">
      <w:pPr>
        <w:spacing w:before="120" w:line="320" w:lineRule="atLeast"/>
        <w:ind w:firstLine="420" w:firstLineChars="200"/>
        <w:rPr>
          <w:color w:val="auto"/>
          <w:szCs w:val="21"/>
          <w:highlight w:val="none"/>
        </w:rPr>
      </w:pPr>
      <w:r>
        <w:rPr>
          <w:color w:val="auto"/>
          <w:szCs w:val="21"/>
          <w:highlight w:val="none"/>
        </w:rPr>
        <w:t>3.5.3未成交供应商的磋商保证金在成交通知书发出后5个工作日内退还。成交供应商的磋商保证金在合同签订后5个工作日内退还（办理退还手续时需要向采购代理机构提供两份合同复印件）。</w:t>
      </w:r>
    </w:p>
    <w:p w14:paraId="59F4B3E1">
      <w:pPr>
        <w:spacing w:before="120" w:line="320" w:lineRule="atLeast"/>
        <w:ind w:firstLine="420" w:firstLineChars="200"/>
        <w:rPr>
          <w:color w:val="auto"/>
          <w:szCs w:val="21"/>
          <w:highlight w:val="none"/>
        </w:rPr>
      </w:pPr>
      <w:r>
        <w:rPr>
          <w:color w:val="auto"/>
          <w:szCs w:val="21"/>
          <w:highlight w:val="none"/>
        </w:rPr>
        <w:t>3.5.4供应商有下列情形之一的，磋商保证金将不予退还：</w:t>
      </w:r>
    </w:p>
    <w:p w14:paraId="1A0415F0">
      <w:pPr>
        <w:numPr>
          <w:ilvl w:val="0"/>
          <w:numId w:val="1"/>
        </w:numPr>
        <w:spacing w:before="120" w:line="320" w:lineRule="atLeast"/>
        <w:rPr>
          <w:color w:val="auto"/>
          <w:szCs w:val="21"/>
          <w:highlight w:val="none"/>
        </w:rPr>
      </w:pPr>
      <w:r>
        <w:rPr>
          <w:color w:val="auto"/>
          <w:szCs w:val="21"/>
          <w:highlight w:val="none"/>
        </w:rPr>
        <w:t>供应商在响应有效期内撤销响应文件的；</w:t>
      </w:r>
    </w:p>
    <w:p w14:paraId="3D984973">
      <w:pPr>
        <w:numPr>
          <w:ilvl w:val="0"/>
          <w:numId w:val="1"/>
        </w:numPr>
        <w:spacing w:before="120" w:line="320" w:lineRule="atLeast"/>
        <w:rPr>
          <w:color w:val="auto"/>
          <w:szCs w:val="21"/>
          <w:highlight w:val="none"/>
        </w:rPr>
      </w:pPr>
      <w:r>
        <w:rPr>
          <w:color w:val="auto"/>
          <w:szCs w:val="21"/>
          <w:highlight w:val="none"/>
        </w:rPr>
        <w:t>供应商在响应过程中弄虚作假，提供虚假材料的；</w:t>
      </w:r>
    </w:p>
    <w:p w14:paraId="6FA251B6">
      <w:pPr>
        <w:numPr>
          <w:ilvl w:val="0"/>
          <w:numId w:val="1"/>
        </w:numPr>
        <w:spacing w:before="120" w:line="320" w:lineRule="atLeast"/>
        <w:rPr>
          <w:color w:val="auto"/>
          <w:szCs w:val="21"/>
          <w:highlight w:val="none"/>
        </w:rPr>
      </w:pPr>
      <w:r>
        <w:rPr>
          <w:color w:val="auto"/>
          <w:szCs w:val="21"/>
          <w:highlight w:val="none"/>
        </w:rPr>
        <w:t>成交供应商无正当理由不与采购人签订合同的；</w:t>
      </w:r>
    </w:p>
    <w:p w14:paraId="546288E7">
      <w:pPr>
        <w:numPr>
          <w:ilvl w:val="0"/>
          <w:numId w:val="1"/>
        </w:numPr>
        <w:spacing w:before="120" w:line="320" w:lineRule="atLeast"/>
        <w:rPr>
          <w:color w:val="auto"/>
          <w:szCs w:val="21"/>
          <w:highlight w:val="none"/>
        </w:rPr>
      </w:pPr>
      <w:r>
        <w:rPr>
          <w:color w:val="auto"/>
          <w:szCs w:val="21"/>
          <w:highlight w:val="none"/>
        </w:rPr>
        <w:t>将成交项目转让给他人或者在响应文件中未说明且未经采购人同意，将成交项目分包给他人的；</w:t>
      </w:r>
    </w:p>
    <w:p w14:paraId="369DC5AB">
      <w:pPr>
        <w:numPr>
          <w:ilvl w:val="0"/>
          <w:numId w:val="1"/>
        </w:numPr>
        <w:spacing w:before="120" w:line="320" w:lineRule="atLeast"/>
        <w:rPr>
          <w:color w:val="auto"/>
          <w:szCs w:val="21"/>
          <w:highlight w:val="none"/>
        </w:rPr>
      </w:pPr>
      <w:r>
        <w:rPr>
          <w:rFonts w:hint="eastAsia"/>
          <w:color w:val="auto"/>
          <w:szCs w:val="21"/>
          <w:highlight w:val="none"/>
        </w:rPr>
        <w:t>供应商与采购人、其他供应商或者采购代理机构恶意串通的；</w:t>
      </w:r>
    </w:p>
    <w:p w14:paraId="08A0613F">
      <w:pPr>
        <w:numPr>
          <w:ilvl w:val="0"/>
          <w:numId w:val="1"/>
        </w:numPr>
        <w:spacing w:before="120" w:line="320" w:lineRule="atLeast"/>
        <w:rPr>
          <w:color w:val="auto"/>
          <w:szCs w:val="21"/>
          <w:highlight w:val="none"/>
        </w:rPr>
      </w:pPr>
      <w:r>
        <w:rPr>
          <w:color w:val="auto"/>
          <w:szCs w:val="21"/>
          <w:highlight w:val="none"/>
        </w:rPr>
        <w:t>拒绝履行合同义务的；</w:t>
      </w:r>
    </w:p>
    <w:p w14:paraId="286DCE11">
      <w:pPr>
        <w:numPr>
          <w:ilvl w:val="0"/>
          <w:numId w:val="1"/>
        </w:numPr>
        <w:spacing w:before="120" w:line="320" w:lineRule="atLeast"/>
        <w:rPr>
          <w:color w:val="auto"/>
          <w:szCs w:val="21"/>
          <w:highlight w:val="none"/>
        </w:rPr>
      </w:pPr>
      <w:r>
        <w:rPr>
          <w:color w:val="auto"/>
          <w:szCs w:val="21"/>
          <w:highlight w:val="none"/>
        </w:rPr>
        <w:t>其他严重扰乱招</w:t>
      </w:r>
      <w:r>
        <w:rPr>
          <w:rFonts w:hint="eastAsia"/>
          <w:color w:val="auto"/>
          <w:szCs w:val="21"/>
          <w:highlight w:val="none"/>
        </w:rPr>
        <w:t>投标</w:t>
      </w:r>
      <w:r>
        <w:rPr>
          <w:color w:val="auto"/>
          <w:szCs w:val="21"/>
          <w:highlight w:val="none"/>
        </w:rPr>
        <w:t>程序的</w:t>
      </w:r>
      <w:r>
        <w:rPr>
          <w:rFonts w:hint="eastAsia"/>
          <w:color w:val="auto"/>
          <w:szCs w:val="21"/>
          <w:highlight w:val="none"/>
        </w:rPr>
        <w:t>。</w:t>
      </w:r>
    </w:p>
    <w:p w14:paraId="15C03DDF">
      <w:pPr>
        <w:spacing w:before="120" w:line="320" w:lineRule="atLeast"/>
        <w:ind w:firstLine="422" w:firstLineChars="200"/>
        <w:outlineLvl w:val="2"/>
        <w:rPr>
          <w:b/>
          <w:bCs/>
          <w:color w:val="auto"/>
          <w:kern w:val="0"/>
          <w:szCs w:val="21"/>
          <w:highlight w:val="none"/>
        </w:rPr>
      </w:pPr>
      <w:bookmarkStart w:id="39" w:name="_Toc254970542"/>
      <w:bookmarkStart w:id="40" w:name="_Toc254970683"/>
      <w:r>
        <w:rPr>
          <w:b/>
          <w:bCs/>
          <w:color w:val="auto"/>
          <w:kern w:val="0"/>
          <w:szCs w:val="21"/>
          <w:highlight w:val="none"/>
        </w:rPr>
        <w:t>3.6响应文件的</w:t>
      </w:r>
      <w:bookmarkEnd w:id="39"/>
      <w:bookmarkEnd w:id="40"/>
      <w:r>
        <w:rPr>
          <w:b/>
          <w:bCs/>
          <w:color w:val="auto"/>
          <w:kern w:val="0"/>
          <w:szCs w:val="21"/>
          <w:highlight w:val="none"/>
        </w:rPr>
        <w:t>编制要求</w:t>
      </w:r>
    </w:p>
    <w:p w14:paraId="6CD325AE">
      <w:pPr>
        <w:spacing w:before="120" w:line="320" w:lineRule="atLeast"/>
        <w:ind w:firstLine="420" w:firstLineChars="200"/>
        <w:rPr>
          <w:b/>
          <w:bCs/>
          <w:color w:val="auto"/>
          <w:kern w:val="0"/>
          <w:szCs w:val="21"/>
          <w:highlight w:val="none"/>
        </w:rPr>
      </w:pPr>
      <w:r>
        <w:rPr>
          <w:rFonts w:hint="eastAsia"/>
          <w:color w:val="auto"/>
          <w:kern w:val="0"/>
          <w:szCs w:val="21"/>
          <w:highlight w:val="none"/>
        </w:rPr>
        <w:t>3</w:t>
      </w:r>
      <w:r>
        <w:rPr>
          <w:color w:val="auto"/>
          <w:kern w:val="0"/>
          <w:szCs w:val="21"/>
          <w:highlight w:val="none"/>
        </w:rPr>
        <w:t>.6.1</w:t>
      </w:r>
      <w:r>
        <w:rPr>
          <w:rFonts w:hint="eastAsia"/>
          <w:color w:val="auto"/>
          <w:szCs w:val="21"/>
          <w:highlight w:val="none"/>
        </w:rPr>
        <w:t>供应商应先安装广西政府采购云平台新版客户端，通过账号密码或C</w:t>
      </w:r>
      <w:r>
        <w:rPr>
          <w:color w:val="auto"/>
          <w:szCs w:val="21"/>
          <w:highlight w:val="none"/>
        </w:rPr>
        <w:t>A</w:t>
      </w:r>
      <w:r>
        <w:rPr>
          <w:rFonts w:hint="eastAsia"/>
          <w:color w:val="auto"/>
          <w:szCs w:val="21"/>
          <w:highlight w:val="none"/>
        </w:rPr>
        <w:t>登录客户端制作响应文件。</w:t>
      </w:r>
    </w:p>
    <w:p w14:paraId="795077F3">
      <w:pPr>
        <w:spacing w:before="120" w:line="320" w:lineRule="atLeast"/>
        <w:ind w:firstLine="420" w:firstLineChars="200"/>
        <w:rPr>
          <w:color w:val="auto"/>
          <w:szCs w:val="21"/>
          <w:highlight w:val="none"/>
        </w:rPr>
      </w:pPr>
      <w:r>
        <w:rPr>
          <w:color w:val="auto"/>
          <w:szCs w:val="21"/>
          <w:highlight w:val="none"/>
        </w:rPr>
        <w:t>3.6.2</w:t>
      </w:r>
      <w:r>
        <w:rPr>
          <w:rFonts w:hint="eastAsia"/>
          <w:color w:val="auto"/>
          <w:szCs w:val="21"/>
          <w:highlight w:val="none"/>
        </w:rPr>
        <w:t>供应商应按本采购文件规定的格式和顺序编制响应文件并进行关联定位，以便磋商小组在评审时，点击评分项可直接定位到该评分项内容。如对采购文件的某项要求，供应商的响应文件未能关联定位提供相应的内容与其对应，则磋商小组在评审时如做出对供应商不利的评审由供应商自行承担。响应文件如内容不完整、编排混乱导致响应文件被误读、漏读，或者在按采购文件规定的部位查找不到相关内容的，由供应商自行承担。</w:t>
      </w:r>
    </w:p>
    <w:p w14:paraId="230E571E">
      <w:pPr>
        <w:spacing w:before="120" w:line="320" w:lineRule="atLeast"/>
        <w:ind w:firstLine="420" w:firstLineChars="200"/>
        <w:rPr>
          <w:color w:val="auto"/>
          <w:szCs w:val="21"/>
          <w:highlight w:val="none"/>
        </w:rPr>
      </w:pPr>
      <w:r>
        <w:rPr>
          <w:color w:val="auto"/>
          <w:szCs w:val="21"/>
          <w:highlight w:val="none"/>
        </w:rPr>
        <w:t xml:space="preserve">3.6.3 </w:t>
      </w:r>
      <w:r>
        <w:rPr>
          <w:rFonts w:hint="eastAsia"/>
          <w:color w:val="auto"/>
          <w:szCs w:val="21"/>
          <w:highlight w:val="none"/>
        </w:rPr>
        <w:t>供应商的响应文件未按照采购文件要求签署、盖章的，其响应无效。</w:t>
      </w:r>
    </w:p>
    <w:p w14:paraId="42541D26">
      <w:pPr>
        <w:spacing w:before="120" w:line="320" w:lineRule="atLeast"/>
        <w:ind w:firstLine="420" w:firstLineChars="200"/>
        <w:rPr>
          <w:color w:val="auto"/>
          <w:szCs w:val="21"/>
          <w:highlight w:val="none"/>
        </w:rPr>
      </w:pPr>
      <w:r>
        <w:rPr>
          <w:color w:val="auto"/>
          <w:szCs w:val="21"/>
          <w:highlight w:val="none"/>
        </w:rPr>
        <w:t>3.6.4</w:t>
      </w:r>
      <w:r>
        <w:rPr>
          <w:rFonts w:hint="eastAsia"/>
          <w:color w:val="auto"/>
          <w:szCs w:val="21"/>
          <w:highlight w:val="none"/>
        </w:rPr>
        <w:t>为确保网上操作合法、有效和安全，供应商应当在响应截止时间前完成在广西政府采购云平台的身份认证，确保在电子投标过程中能够对相关数据电文进行加密和使用电子签名。</w:t>
      </w:r>
    </w:p>
    <w:p w14:paraId="48450458">
      <w:pPr>
        <w:spacing w:before="120" w:line="320" w:lineRule="atLeast"/>
        <w:ind w:firstLine="420" w:firstLineChars="200"/>
        <w:rPr>
          <w:color w:val="auto"/>
          <w:szCs w:val="21"/>
          <w:highlight w:val="none"/>
        </w:rPr>
      </w:pPr>
      <w:r>
        <w:rPr>
          <w:rFonts w:hint="eastAsia"/>
          <w:color w:val="auto"/>
          <w:szCs w:val="21"/>
          <w:highlight w:val="none"/>
        </w:rPr>
        <w:t>3</w:t>
      </w:r>
      <w:r>
        <w:rPr>
          <w:color w:val="auto"/>
          <w:szCs w:val="21"/>
          <w:highlight w:val="none"/>
        </w:rPr>
        <w:t>.6.5</w:t>
      </w:r>
      <w:r>
        <w:rPr>
          <w:rFonts w:hint="eastAsia"/>
          <w:color w:val="auto"/>
          <w:szCs w:val="21"/>
          <w:highlight w:val="none"/>
        </w:rPr>
        <w:t>响应文件中标注的供应商名称应与主体资格证明（如营业执照、事业单位法人证书、执业许可证、个体工商户营业执照、自然人身份证等）和公章/电子签章一致，</w:t>
      </w:r>
      <w:r>
        <w:rPr>
          <w:rFonts w:hint="eastAsia"/>
          <w:b/>
          <w:bCs/>
          <w:color w:val="auto"/>
          <w:szCs w:val="21"/>
          <w:highlight w:val="none"/>
        </w:rPr>
        <w:t>否则作无效响应处理。</w:t>
      </w:r>
    </w:p>
    <w:p w14:paraId="6B41A96B">
      <w:pPr>
        <w:spacing w:before="120" w:line="320" w:lineRule="atLeast"/>
        <w:ind w:firstLine="422" w:firstLineChars="200"/>
        <w:outlineLvl w:val="2"/>
        <w:rPr>
          <w:b/>
          <w:bCs/>
          <w:color w:val="auto"/>
          <w:kern w:val="0"/>
          <w:szCs w:val="21"/>
          <w:highlight w:val="none"/>
        </w:rPr>
      </w:pPr>
      <w:r>
        <w:rPr>
          <w:b/>
          <w:bCs/>
          <w:color w:val="auto"/>
          <w:kern w:val="0"/>
          <w:szCs w:val="21"/>
          <w:highlight w:val="none"/>
        </w:rPr>
        <w:t>3.7响应文件的递交、修改和撤回</w:t>
      </w:r>
    </w:p>
    <w:p w14:paraId="50B05760">
      <w:pPr>
        <w:spacing w:before="120" w:line="320" w:lineRule="atLeast"/>
        <w:ind w:firstLine="420" w:firstLineChars="200"/>
        <w:rPr>
          <w:color w:val="auto"/>
          <w:szCs w:val="21"/>
          <w:highlight w:val="none"/>
        </w:rPr>
      </w:pPr>
      <w:r>
        <w:rPr>
          <w:color w:val="auto"/>
          <w:szCs w:val="21"/>
          <w:highlight w:val="none"/>
        </w:rPr>
        <w:t>3.7.1</w:t>
      </w:r>
      <w:r>
        <w:rPr>
          <w:rFonts w:hint="eastAsia"/>
          <w:color w:val="auto"/>
          <w:szCs w:val="21"/>
          <w:highlight w:val="none"/>
        </w:rPr>
        <w:t xml:space="preserve">供应商必须在“供应商须知前附表”规定的响应文件截标时间和响应地点提交电子版响应文件。电子响应文件应在制作完成后，在响应截止时间前通过有效数字证书（CA认证锁）进行电子签章、加密，然后通过网络将加密的电子响应文件递交至广西政府采购云平台。 </w:t>
      </w:r>
    </w:p>
    <w:p w14:paraId="2EAC191E">
      <w:pPr>
        <w:spacing w:before="120" w:line="320" w:lineRule="atLeast"/>
        <w:ind w:firstLine="420" w:firstLineChars="200"/>
        <w:rPr>
          <w:color w:val="auto"/>
          <w:szCs w:val="21"/>
          <w:highlight w:val="none"/>
        </w:rPr>
      </w:pPr>
      <w:r>
        <w:rPr>
          <w:rFonts w:hint="eastAsia"/>
          <w:color w:val="auto"/>
          <w:szCs w:val="21"/>
          <w:highlight w:val="none"/>
        </w:rPr>
        <w:t>3</w:t>
      </w:r>
      <w:r>
        <w:rPr>
          <w:color w:val="auto"/>
          <w:szCs w:val="21"/>
          <w:highlight w:val="none"/>
        </w:rPr>
        <w:t>.7.2</w:t>
      </w:r>
      <w:r>
        <w:rPr>
          <w:rFonts w:hint="eastAsia"/>
          <w:color w:val="auto"/>
          <w:szCs w:val="21"/>
          <w:highlight w:val="none"/>
        </w:rPr>
        <w:t xml:space="preserve">未在规定时间内提交或者未按照采购文件要求签章、加密的电子响应文件，广西政府采购云平台将拒收。 </w:t>
      </w:r>
    </w:p>
    <w:p w14:paraId="25324CE9">
      <w:pPr>
        <w:spacing w:before="120" w:line="320" w:lineRule="atLeast"/>
        <w:ind w:left="2" w:leftChars="1" w:firstLine="420" w:firstLineChars="200"/>
        <w:rPr>
          <w:color w:val="auto"/>
          <w:szCs w:val="21"/>
          <w:highlight w:val="none"/>
        </w:rPr>
      </w:pPr>
      <w:bookmarkStart w:id="41" w:name="_Toc254970544"/>
      <w:bookmarkStart w:id="42" w:name="_Toc254970685"/>
      <w:r>
        <w:rPr>
          <w:rFonts w:hint="eastAsia"/>
          <w:color w:val="auto"/>
          <w:szCs w:val="21"/>
          <w:highlight w:val="none"/>
        </w:rPr>
        <w:t>3</w:t>
      </w:r>
      <w:r>
        <w:rPr>
          <w:color w:val="auto"/>
          <w:szCs w:val="21"/>
          <w:highlight w:val="none"/>
        </w:rPr>
        <w:t>.7.3</w:t>
      </w:r>
      <w:r>
        <w:rPr>
          <w:rFonts w:hint="eastAsia"/>
          <w:color w:val="auto"/>
          <w:szCs w:val="21"/>
          <w:highlight w:val="none"/>
        </w:rPr>
        <w:t>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广西政府采购云平台将拒收。</w:t>
      </w:r>
    </w:p>
    <w:p w14:paraId="666450A5">
      <w:pPr>
        <w:spacing w:before="120" w:line="320" w:lineRule="atLeast"/>
        <w:ind w:left="2" w:leftChars="1" w:firstLine="420" w:firstLineChars="200"/>
        <w:rPr>
          <w:color w:val="auto"/>
          <w:szCs w:val="21"/>
          <w:highlight w:val="none"/>
        </w:rPr>
      </w:pPr>
      <w:r>
        <w:rPr>
          <w:color w:val="auto"/>
          <w:szCs w:val="21"/>
          <w:highlight w:val="none"/>
        </w:rPr>
        <w:t>3.7.4</w:t>
      </w:r>
      <w:r>
        <w:rPr>
          <w:rFonts w:hint="eastAsia"/>
          <w:color w:val="auto"/>
          <w:szCs w:val="21"/>
          <w:highlight w:val="none"/>
        </w:rPr>
        <w:t>在响应截止时间前，除供应商补充、修改或者撤回响应文件外，任何单位和个人不得解密或提取响应文件。</w:t>
      </w:r>
    </w:p>
    <w:p w14:paraId="2546FF1E">
      <w:pPr>
        <w:spacing w:before="120" w:line="320" w:lineRule="atLeast"/>
        <w:ind w:left="2" w:leftChars="1" w:firstLine="420" w:firstLineChars="200"/>
        <w:rPr>
          <w:color w:val="auto"/>
          <w:szCs w:val="21"/>
          <w:highlight w:val="none"/>
        </w:rPr>
      </w:pPr>
      <w:r>
        <w:rPr>
          <w:color w:val="auto"/>
          <w:szCs w:val="21"/>
          <w:highlight w:val="none"/>
        </w:rPr>
        <w:t>3.7.5</w:t>
      </w:r>
      <w:r>
        <w:rPr>
          <w:rFonts w:hint="eastAsia"/>
          <w:color w:val="auto"/>
          <w:szCs w:val="21"/>
          <w:highlight w:val="none"/>
        </w:rPr>
        <w:t>在响应截止时间止提交电子版响应文件的供应商不足3家时，电子版响应文件由代理机构在广西政府采购云平台操作退回，除此之外采购人和采购代理机构对已提交的响应文件概不退回。</w:t>
      </w:r>
    </w:p>
    <w:p w14:paraId="1F26F36E">
      <w:pPr>
        <w:spacing w:before="120" w:line="320" w:lineRule="atLeast"/>
        <w:ind w:left="2" w:leftChars="1" w:firstLine="420" w:firstLineChars="200"/>
        <w:rPr>
          <w:rFonts w:hint="eastAsia"/>
          <w:color w:val="auto"/>
          <w:szCs w:val="21"/>
          <w:highlight w:val="none"/>
        </w:rPr>
      </w:pPr>
      <w:bookmarkStart w:id="43" w:name="_Hlk93046827"/>
      <w:r>
        <w:rPr>
          <w:rFonts w:hint="eastAsia"/>
          <w:color w:val="auto"/>
          <w:szCs w:val="21"/>
          <w:highlight w:val="none"/>
        </w:rPr>
        <w:t>3</w:t>
      </w:r>
      <w:r>
        <w:rPr>
          <w:color w:val="auto"/>
          <w:szCs w:val="21"/>
          <w:highlight w:val="none"/>
        </w:rPr>
        <w:t>.7.6</w:t>
      </w:r>
      <w:r>
        <w:rPr>
          <w:rFonts w:hint="eastAsia"/>
          <w:color w:val="auto"/>
          <w:szCs w:val="21"/>
          <w:highlight w:val="none"/>
        </w:rPr>
        <w:t>采购文件</w:t>
      </w:r>
      <w:bookmarkStart w:id="44" w:name="_Hlk106638610"/>
      <w:r>
        <w:rPr>
          <w:rFonts w:hint="eastAsia"/>
          <w:color w:val="auto"/>
          <w:szCs w:val="21"/>
          <w:highlight w:val="none"/>
        </w:rPr>
        <w:t>未允许同一供应商提交两个或以上不同的响应文件，但存在</w:t>
      </w:r>
      <w:r>
        <w:rPr>
          <w:rFonts w:hint="eastAsia"/>
          <w:color w:val="auto"/>
          <w:highlight w:val="none"/>
        </w:rPr>
        <w:t>同</w:t>
      </w:r>
      <w:r>
        <w:rPr>
          <w:rFonts w:hint="eastAsia"/>
          <w:color w:val="auto"/>
          <w:szCs w:val="21"/>
          <w:highlight w:val="none"/>
        </w:rPr>
        <w:t>一供应商提交两个或以上不同的响应文件的</w:t>
      </w:r>
      <w:bookmarkEnd w:id="44"/>
      <w:r>
        <w:rPr>
          <w:rFonts w:hint="eastAsia"/>
          <w:color w:val="auto"/>
          <w:szCs w:val="21"/>
          <w:highlight w:val="none"/>
        </w:rPr>
        <w:t>，</w:t>
      </w:r>
      <w:r>
        <w:rPr>
          <w:rFonts w:hint="eastAsia"/>
          <w:b/>
          <w:bCs/>
          <w:color w:val="auto"/>
          <w:szCs w:val="21"/>
          <w:highlight w:val="none"/>
        </w:rPr>
        <w:t>其响应无效。</w:t>
      </w:r>
      <w:r>
        <w:rPr>
          <w:rFonts w:hint="eastAsia"/>
          <w:color w:val="auto"/>
          <w:szCs w:val="21"/>
          <w:highlight w:val="none"/>
        </w:rPr>
        <w:t>供应商在同一响应文件中对某项技术、商务要求提供有选择性的响应参数或方案等同于提交两个或以上不同的响应文件。</w:t>
      </w:r>
      <w:bookmarkEnd w:id="43"/>
    </w:p>
    <w:p w14:paraId="3F9545E3">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4．截标</w:t>
      </w:r>
      <w:bookmarkEnd w:id="41"/>
      <w:bookmarkEnd w:id="42"/>
    </w:p>
    <w:p w14:paraId="794C7061">
      <w:pPr>
        <w:spacing w:before="120" w:line="320" w:lineRule="atLeast"/>
        <w:ind w:firstLine="422" w:firstLineChars="200"/>
        <w:outlineLvl w:val="2"/>
        <w:rPr>
          <w:b/>
          <w:bCs/>
          <w:color w:val="auto"/>
          <w:kern w:val="0"/>
          <w:szCs w:val="21"/>
          <w:highlight w:val="none"/>
        </w:rPr>
      </w:pPr>
      <w:r>
        <w:rPr>
          <w:b/>
          <w:bCs/>
          <w:color w:val="auto"/>
          <w:kern w:val="0"/>
          <w:szCs w:val="21"/>
          <w:highlight w:val="none"/>
        </w:rPr>
        <w:t>4.1截标准备</w:t>
      </w:r>
    </w:p>
    <w:p w14:paraId="6BAA310E">
      <w:pPr>
        <w:spacing w:before="120" w:line="276" w:lineRule="auto"/>
        <w:ind w:firstLine="420" w:firstLineChars="200"/>
        <w:rPr>
          <w:color w:val="auto"/>
          <w:szCs w:val="21"/>
          <w:highlight w:val="none"/>
        </w:rPr>
      </w:pPr>
      <w:r>
        <w:rPr>
          <w:color w:val="auto"/>
          <w:szCs w:val="21"/>
          <w:highlight w:val="none"/>
        </w:rPr>
        <w:t>本项目响应截止时间及地点见“供应商须知前附表”规定。</w:t>
      </w:r>
    </w:p>
    <w:p w14:paraId="2222E543">
      <w:pPr>
        <w:autoSpaceDE w:val="0"/>
        <w:autoSpaceDN w:val="0"/>
        <w:adjustRightInd w:val="0"/>
        <w:spacing w:line="276" w:lineRule="auto"/>
        <w:ind w:firstLine="420" w:firstLineChars="200"/>
        <w:rPr>
          <w:color w:val="auto"/>
          <w:szCs w:val="21"/>
          <w:highlight w:val="none"/>
        </w:rPr>
      </w:pPr>
      <w:r>
        <w:rPr>
          <w:rFonts w:hint="eastAsia"/>
          <w:color w:val="auto"/>
          <w:szCs w:val="21"/>
          <w:highlight w:val="none"/>
        </w:rPr>
        <w:t>全流程电子化项目没有现场递交响应文件及现场截标环节。采购代理机构将按照采购文件规定的时间通过广西政府采购云平台组织线上截标活动、开启响应文件，所有供应商均应当准时在线参加。供应商</w:t>
      </w:r>
      <w:r>
        <w:rPr>
          <w:color w:val="auto"/>
          <w:szCs w:val="21"/>
          <w:highlight w:val="none"/>
        </w:rPr>
        <w:t>如不</w:t>
      </w:r>
      <w:r>
        <w:rPr>
          <w:rFonts w:hint="eastAsia"/>
          <w:color w:val="auto"/>
          <w:szCs w:val="21"/>
          <w:highlight w:val="none"/>
        </w:rPr>
        <w:t>参加</w:t>
      </w:r>
      <w:r>
        <w:rPr>
          <w:color w:val="auto"/>
          <w:szCs w:val="21"/>
          <w:highlight w:val="none"/>
        </w:rPr>
        <w:t>截标大会的，</w:t>
      </w:r>
      <w:r>
        <w:rPr>
          <w:rFonts w:hint="eastAsia"/>
          <w:color w:val="auto"/>
          <w:szCs w:val="21"/>
          <w:highlight w:val="none"/>
        </w:rPr>
        <w:t>视同认可截标结果，</w:t>
      </w:r>
      <w:r>
        <w:rPr>
          <w:color w:val="auto"/>
          <w:szCs w:val="21"/>
          <w:highlight w:val="none"/>
        </w:rPr>
        <w:t>事后不得对采购相关人员、截标过程和截标结果提出异议</w:t>
      </w:r>
      <w:r>
        <w:rPr>
          <w:rFonts w:hint="eastAsia"/>
          <w:color w:val="auto"/>
          <w:szCs w:val="21"/>
          <w:highlight w:val="none"/>
        </w:rPr>
        <w:t>，同时供应商因未在线参加截标而导致响应文件无法按时解密等一切后果由供应商自己承担。</w:t>
      </w:r>
    </w:p>
    <w:p w14:paraId="0CB9ABA7">
      <w:pPr>
        <w:spacing w:before="120" w:line="276" w:lineRule="auto"/>
        <w:ind w:firstLine="420" w:firstLineChars="200"/>
        <w:rPr>
          <w:color w:val="auto"/>
          <w:szCs w:val="21"/>
          <w:highlight w:val="none"/>
        </w:rPr>
      </w:pPr>
      <w:r>
        <w:rPr>
          <w:rFonts w:hint="eastAsia"/>
          <w:color w:val="auto"/>
          <w:szCs w:val="21"/>
          <w:highlight w:val="none"/>
        </w:rPr>
        <w:t xml:space="preserve">如供应商成功解密响应文件，但未在广西政府采购云平台电子开标大厅参加截标的，视同认可截标过程和结果，由此产生的后果由供应商自行负责。 </w:t>
      </w:r>
    </w:p>
    <w:p w14:paraId="2BF8A5A1">
      <w:pPr>
        <w:spacing w:before="120" w:line="320" w:lineRule="atLeast"/>
        <w:ind w:firstLine="422" w:firstLineChars="200"/>
        <w:outlineLvl w:val="2"/>
        <w:rPr>
          <w:b/>
          <w:bCs/>
          <w:color w:val="auto"/>
          <w:kern w:val="0"/>
          <w:szCs w:val="21"/>
          <w:highlight w:val="none"/>
        </w:rPr>
      </w:pPr>
      <w:r>
        <w:rPr>
          <w:b/>
          <w:bCs/>
          <w:color w:val="auto"/>
          <w:kern w:val="0"/>
          <w:szCs w:val="21"/>
          <w:highlight w:val="none"/>
        </w:rPr>
        <w:t>4.2截标程序</w:t>
      </w:r>
    </w:p>
    <w:p w14:paraId="47DB4B57">
      <w:pPr>
        <w:spacing w:before="120" w:line="320" w:lineRule="atLeast"/>
        <w:ind w:firstLine="420" w:firstLineChars="200"/>
        <w:rPr>
          <w:color w:val="auto"/>
          <w:szCs w:val="21"/>
          <w:highlight w:val="none"/>
        </w:rPr>
      </w:pPr>
      <w:r>
        <w:rPr>
          <w:color w:val="auto"/>
          <w:szCs w:val="21"/>
          <w:highlight w:val="none"/>
        </w:rPr>
        <w:t>4.2.1</w:t>
      </w:r>
      <w:r>
        <w:rPr>
          <w:rFonts w:hint="eastAsia"/>
          <w:color w:val="auto"/>
          <w:szCs w:val="21"/>
          <w:highlight w:val="none"/>
        </w:rPr>
        <w:t>供应商登录广西政府采购云平台进入开标大厅签到。</w:t>
      </w:r>
    </w:p>
    <w:p w14:paraId="0CF453F8">
      <w:pPr>
        <w:spacing w:before="120" w:line="320" w:lineRule="atLeast"/>
        <w:ind w:firstLine="420" w:firstLineChars="200"/>
        <w:rPr>
          <w:color w:val="auto"/>
          <w:szCs w:val="21"/>
          <w:highlight w:val="none"/>
        </w:rPr>
      </w:pPr>
      <w:r>
        <w:rPr>
          <w:rFonts w:hint="eastAsia"/>
          <w:color w:val="auto"/>
          <w:szCs w:val="21"/>
          <w:highlight w:val="none"/>
        </w:rPr>
        <w:t>4</w:t>
      </w:r>
      <w:r>
        <w:rPr>
          <w:color w:val="auto"/>
          <w:szCs w:val="21"/>
          <w:highlight w:val="none"/>
        </w:rPr>
        <w:t>.2.2</w:t>
      </w:r>
      <w:r>
        <w:rPr>
          <w:rFonts w:hint="eastAsia"/>
          <w:color w:val="auto"/>
          <w:szCs w:val="21"/>
          <w:highlight w:val="none"/>
        </w:rPr>
        <w:t>解密电子响应文件。广西政府采购云平台按截标时间自动提取所有响应文件。采购代理机构在广西政府采购云平台向各供应商发出电子加密响应文件开始解密通知，由供应商平台设置时间内自行进行响应文件解密。供应商须使用加密时所用的CA锁准时登录到广西政府采购云平台电子开标大厅签到并对电子响应文件解密。截标后供应商未及时进行解密的，代理机构可通知供应商。</w:t>
      </w:r>
      <w:bookmarkStart w:id="45" w:name="_Hlk106639817"/>
      <w:r>
        <w:rPr>
          <w:rFonts w:hint="eastAsia"/>
          <w:color w:val="auto"/>
          <w:highlight w:val="none"/>
        </w:rPr>
        <w:t>通知后供应商仍未在上述规定时间内解密响应文件</w:t>
      </w:r>
      <w:bookmarkEnd w:id="45"/>
      <w:r>
        <w:rPr>
          <w:rFonts w:hint="eastAsia"/>
          <w:color w:val="auto"/>
          <w:szCs w:val="21"/>
          <w:highlight w:val="none"/>
        </w:rPr>
        <w:t>，或者供应商没预留联系方式或预留联系方式无效导致代理机构无法联系到供应商进行解密的，均视为无效响应。</w:t>
      </w:r>
    </w:p>
    <w:p w14:paraId="44F285BA">
      <w:pPr>
        <w:spacing w:before="120" w:line="320" w:lineRule="atLeast"/>
        <w:ind w:firstLine="420" w:firstLineChars="200"/>
        <w:rPr>
          <w:rFonts w:hint="eastAsia"/>
          <w:color w:val="auto"/>
          <w:szCs w:val="21"/>
          <w:highlight w:val="none"/>
        </w:rPr>
      </w:pPr>
      <w:r>
        <w:rPr>
          <w:rFonts w:hint="eastAsia"/>
          <w:color w:val="auto"/>
          <w:szCs w:val="21"/>
          <w:highlight w:val="none"/>
        </w:rPr>
        <w:t>4</w:t>
      </w:r>
      <w:r>
        <w:rPr>
          <w:color w:val="auto"/>
          <w:szCs w:val="21"/>
          <w:highlight w:val="none"/>
        </w:rPr>
        <w:t>.2.3</w:t>
      </w:r>
      <w:bookmarkStart w:id="46" w:name="_Hlk106637968"/>
      <w:r>
        <w:rPr>
          <w:rFonts w:hint="eastAsia"/>
          <w:color w:val="auto"/>
          <w:szCs w:val="21"/>
          <w:highlight w:val="none"/>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bookmarkEnd w:id="46"/>
    <w:p w14:paraId="1CCF0378">
      <w:pPr>
        <w:spacing w:before="120" w:line="320" w:lineRule="atLeast"/>
        <w:ind w:firstLine="420" w:firstLineChars="200"/>
        <w:rPr>
          <w:color w:val="auto"/>
          <w:szCs w:val="21"/>
          <w:highlight w:val="none"/>
        </w:rPr>
      </w:pPr>
      <w:r>
        <w:rPr>
          <w:rFonts w:hint="eastAsia"/>
          <w:color w:val="auto"/>
          <w:szCs w:val="21"/>
          <w:highlight w:val="none"/>
        </w:rPr>
        <w:t>4</w:t>
      </w:r>
      <w:r>
        <w:rPr>
          <w:color w:val="auto"/>
          <w:szCs w:val="21"/>
          <w:highlight w:val="none"/>
        </w:rPr>
        <w:t>.2.4</w:t>
      </w:r>
      <w:r>
        <w:rPr>
          <w:rFonts w:hint="eastAsia"/>
          <w:color w:val="auto"/>
          <w:szCs w:val="21"/>
          <w:highlight w:val="none"/>
        </w:rPr>
        <w:t>解密异常情况处理：详见本章</w:t>
      </w:r>
      <w:r>
        <w:rPr>
          <w:color w:val="auto"/>
          <w:szCs w:val="21"/>
          <w:highlight w:val="none"/>
        </w:rPr>
        <w:t>9.2</w:t>
      </w:r>
      <w:r>
        <w:rPr>
          <w:rFonts w:hint="eastAsia"/>
          <w:color w:val="auto"/>
          <w:szCs w:val="21"/>
          <w:highlight w:val="none"/>
        </w:rPr>
        <w:t>电子交易活动的中止。</w:t>
      </w:r>
    </w:p>
    <w:p w14:paraId="17BCFD4A">
      <w:pPr>
        <w:spacing w:before="120" w:line="320" w:lineRule="atLeast"/>
        <w:ind w:firstLine="420" w:firstLineChars="200"/>
        <w:rPr>
          <w:color w:val="auto"/>
          <w:szCs w:val="21"/>
          <w:highlight w:val="none"/>
        </w:rPr>
      </w:pPr>
      <w:r>
        <w:rPr>
          <w:color w:val="auto"/>
          <w:szCs w:val="21"/>
          <w:highlight w:val="none"/>
        </w:rPr>
        <w:t>4.2.5截标结束。</w:t>
      </w:r>
    </w:p>
    <w:p w14:paraId="6A906B65">
      <w:pPr>
        <w:pStyle w:val="27"/>
        <w:snapToGrid w:val="0"/>
        <w:spacing w:line="440" w:lineRule="exact"/>
        <w:ind w:firstLine="422" w:firstLineChars="200"/>
        <w:rPr>
          <w:rFonts w:hAnsi="宋体"/>
          <w:color w:val="auto"/>
          <w:highlight w:val="none"/>
        </w:rPr>
      </w:pPr>
      <w:r>
        <w:rPr>
          <w:rFonts w:hint="eastAsia" w:hAnsi="宋体"/>
          <w:b/>
          <w:bCs/>
          <w:color w:val="auto"/>
          <w:highlight w:val="none"/>
        </w:rPr>
        <w:t>特别说明：</w:t>
      </w:r>
      <w:r>
        <w:rPr>
          <w:rFonts w:hint="eastAsia" w:hAnsi="宋体"/>
          <w:color w:val="auto"/>
          <w:highlight w:val="none"/>
        </w:rPr>
        <w:t>如遇广西政府采购云平台电子化截标或评审程序调整的，按调整后的程序执行。</w:t>
      </w:r>
    </w:p>
    <w:p w14:paraId="55E9E3E8">
      <w:pPr>
        <w:spacing w:before="120" w:line="320" w:lineRule="atLeast"/>
        <w:ind w:firstLine="422" w:firstLineChars="200"/>
        <w:outlineLvl w:val="2"/>
        <w:rPr>
          <w:b/>
          <w:bCs/>
          <w:color w:val="auto"/>
          <w:kern w:val="0"/>
          <w:szCs w:val="21"/>
          <w:highlight w:val="none"/>
        </w:rPr>
      </w:pPr>
      <w:r>
        <w:rPr>
          <w:b/>
          <w:bCs/>
          <w:color w:val="auto"/>
          <w:kern w:val="0"/>
          <w:szCs w:val="21"/>
          <w:highlight w:val="none"/>
        </w:rPr>
        <w:t>4.3演示</w:t>
      </w:r>
    </w:p>
    <w:p w14:paraId="22BA3632">
      <w:pPr>
        <w:spacing w:before="120" w:line="320" w:lineRule="atLeast"/>
        <w:ind w:firstLine="420" w:firstLineChars="200"/>
        <w:rPr>
          <w:color w:val="auto"/>
          <w:szCs w:val="21"/>
          <w:highlight w:val="none"/>
        </w:rPr>
      </w:pPr>
      <w:r>
        <w:rPr>
          <w:color w:val="auto"/>
          <w:szCs w:val="21"/>
          <w:highlight w:val="none"/>
        </w:rPr>
        <w:t>4.3.1“供应商须知前附表”规定在截标会议结束后进行演示的，供应商应按规定进行演示。</w:t>
      </w:r>
    </w:p>
    <w:p w14:paraId="7C3ED0E3">
      <w:pPr>
        <w:spacing w:before="120" w:line="320" w:lineRule="atLeast"/>
        <w:ind w:firstLine="420" w:firstLineChars="200"/>
        <w:rPr>
          <w:color w:val="auto"/>
          <w:szCs w:val="21"/>
          <w:highlight w:val="none"/>
        </w:rPr>
      </w:pPr>
      <w:r>
        <w:rPr>
          <w:color w:val="auto"/>
          <w:szCs w:val="21"/>
          <w:highlight w:val="none"/>
        </w:rPr>
        <w:t>4.3.2未按规定时间进行演示可能引起的演示分数被计为0分或响应无效等后果由供应商自行承担。</w:t>
      </w:r>
    </w:p>
    <w:p w14:paraId="7071EA34">
      <w:pPr>
        <w:spacing w:before="120" w:line="320" w:lineRule="atLeast"/>
        <w:ind w:firstLine="422" w:firstLineChars="200"/>
        <w:outlineLvl w:val="2"/>
        <w:rPr>
          <w:color w:val="auto"/>
          <w:szCs w:val="21"/>
          <w:highlight w:val="none"/>
        </w:rPr>
      </w:pPr>
      <w:r>
        <w:rPr>
          <w:b/>
          <w:bCs/>
          <w:color w:val="auto"/>
          <w:kern w:val="0"/>
          <w:szCs w:val="21"/>
          <w:highlight w:val="none"/>
        </w:rPr>
        <w:t>4.4样品</w:t>
      </w:r>
    </w:p>
    <w:p w14:paraId="65A26316">
      <w:pPr>
        <w:spacing w:before="120" w:line="320" w:lineRule="atLeast"/>
        <w:ind w:firstLine="420" w:firstLineChars="200"/>
        <w:rPr>
          <w:color w:val="auto"/>
          <w:szCs w:val="21"/>
          <w:highlight w:val="none"/>
        </w:rPr>
      </w:pPr>
      <w:r>
        <w:rPr>
          <w:color w:val="auto"/>
          <w:szCs w:val="21"/>
          <w:highlight w:val="none"/>
        </w:rPr>
        <w:t>4.4.1“供应商须知前附表”规定递交样品的，供应商应按前附表规定递交样品，递交样品时应附样品递交表（格式见第六章）。</w:t>
      </w:r>
    </w:p>
    <w:p w14:paraId="5B1247B2">
      <w:pPr>
        <w:spacing w:before="120" w:line="320" w:lineRule="atLeast"/>
        <w:ind w:firstLine="420" w:firstLineChars="200"/>
        <w:rPr>
          <w:color w:val="auto"/>
          <w:szCs w:val="21"/>
          <w:highlight w:val="none"/>
        </w:rPr>
      </w:pPr>
      <w:r>
        <w:rPr>
          <w:color w:val="auto"/>
          <w:szCs w:val="21"/>
          <w:highlight w:val="none"/>
        </w:rPr>
        <w:t>4.4.2未按规定时间递交样品可能引起的样品分数被计为0分或响应无效等后果由供应商自行承担。</w:t>
      </w:r>
    </w:p>
    <w:p w14:paraId="266FF001">
      <w:pPr>
        <w:spacing w:before="120" w:line="320" w:lineRule="atLeast"/>
        <w:ind w:firstLine="420" w:firstLineChars="200"/>
        <w:rPr>
          <w:color w:val="auto"/>
          <w:szCs w:val="21"/>
          <w:highlight w:val="none"/>
        </w:rPr>
      </w:pPr>
      <w:bookmarkStart w:id="47" w:name="_Toc254970686"/>
      <w:bookmarkStart w:id="48" w:name="_Toc254970545"/>
      <w:r>
        <w:rPr>
          <w:color w:val="auto"/>
          <w:szCs w:val="21"/>
          <w:highlight w:val="none"/>
        </w:rPr>
        <w:t>4.4.3样品封存或退还的说明请见第六章响应文件格式所附样品递交表。</w:t>
      </w:r>
    </w:p>
    <w:p w14:paraId="4485B3B5">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5．</w:t>
      </w:r>
      <w:r>
        <w:rPr>
          <w:rFonts w:hint="eastAsia"/>
          <w:b/>
          <w:bCs/>
          <w:color w:val="auto"/>
          <w:kern w:val="0"/>
          <w:szCs w:val="21"/>
          <w:highlight w:val="none"/>
        </w:rPr>
        <w:t>资格审查</w:t>
      </w:r>
    </w:p>
    <w:p w14:paraId="25ACEB3E">
      <w:pPr>
        <w:spacing w:before="120" w:line="320" w:lineRule="atLeast"/>
        <w:ind w:left="2" w:leftChars="1" w:firstLine="420" w:firstLineChars="200"/>
        <w:outlineLvl w:val="2"/>
        <w:rPr>
          <w:bCs/>
          <w:color w:val="auto"/>
          <w:kern w:val="0"/>
          <w:szCs w:val="21"/>
          <w:highlight w:val="none"/>
        </w:rPr>
      </w:pPr>
      <w:r>
        <w:rPr>
          <w:rFonts w:hint="eastAsia"/>
          <w:bCs/>
          <w:color w:val="auto"/>
          <w:kern w:val="0"/>
          <w:szCs w:val="21"/>
          <w:highlight w:val="none"/>
        </w:rPr>
        <w:t>5</w:t>
      </w:r>
      <w:r>
        <w:rPr>
          <w:bCs/>
          <w:color w:val="auto"/>
          <w:kern w:val="0"/>
          <w:szCs w:val="21"/>
          <w:highlight w:val="none"/>
        </w:rPr>
        <w:t>.1</w:t>
      </w:r>
      <w:r>
        <w:rPr>
          <w:rFonts w:hint="eastAsia"/>
          <w:bCs/>
          <w:color w:val="auto"/>
          <w:kern w:val="0"/>
          <w:szCs w:val="21"/>
          <w:highlight w:val="none"/>
        </w:rPr>
        <w:t>截标</w:t>
      </w:r>
      <w:r>
        <w:rPr>
          <w:rFonts w:ascii="宋体" w:hAnsi="宋体"/>
          <w:bCs/>
          <w:color w:val="auto"/>
          <w:szCs w:val="21"/>
          <w:highlight w:val="none"/>
        </w:rPr>
        <w:t>后，</w:t>
      </w:r>
      <w:r>
        <w:rPr>
          <w:rFonts w:hint="eastAsia" w:ascii="宋体" w:hAnsi="宋体"/>
          <w:bCs/>
          <w:color w:val="auto"/>
          <w:szCs w:val="21"/>
          <w:highlight w:val="none"/>
        </w:rPr>
        <w:t>磋商小组通过电子交易平台</w:t>
      </w:r>
      <w:r>
        <w:rPr>
          <w:rFonts w:ascii="宋体" w:hAnsi="宋体"/>
          <w:bCs/>
          <w:color w:val="auto"/>
          <w:szCs w:val="21"/>
          <w:highlight w:val="none"/>
        </w:rPr>
        <w:t>对供应商的资格进行审查。</w:t>
      </w:r>
      <w:r>
        <w:rPr>
          <w:rFonts w:hint="eastAsia" w:ascii="宋体" w:hAnsi="宋体"/>
          <w:bCs/>
          <w:color w:val="auto"/>
          <w:szCs w:val="21"/>
          <w:highlight w:val="none"/>
        </w:rPr>
        <w:t>资格审查</w:t>
      </w:r>
      <w:r>
        <w:rPr>
          <w:rFonts w:hint="eastAsia"/>
          <w:bCs/>
          <w:color w:val="auto"/>
          <w:kern w:val="0"/>
          <w:szCs w:val="21"/>
          <w:highlight w:val="none"/>
        </w:rPr>
        <w:t>是根据法律法规和采购文件的规定，对供应商的基本资格条件、特定资格条件进行审查。</w:t>
      </w:r>
    </w:p>
    <w:p w14:paraId="1955725A">
      <w:pPr>
        <w:spacing w:before="120" w:line="320" w:lineRule="atLeast"/>
        <w:ind w:left="2" w:leftChars="1" w:firstLine="420" w:firstLineChars="200"/>
        <w:outlineLvl w:val="2"/>
        <w:rPr>
          <w:bCs/>
          <w:color w:val="auto"/>
          <w:kern w:val="0"/>
          <w:szCs w:val="21"/>
          <w:highlight w:val="none"/>
        </w:rPr>
      </w:pPr>
      <w:r>
        <w:rPr>
          <w:rFonts w:hint="eastAsia"/>
          <w:bCs/>
          <w:color w:val="auto"/>
          <w:kern w:val="0"/>
          <w:szCs w:val="21"/>
          <w:highlight w:val="none"/>
        </w:rPr>
        <w:t>5.</w:t>
      </w:r>
      <w:r>
        <w:rPr>
          <w:bCs/>
          <w:color w:val="auto"/>
          <w:kern w:val="0"/>
          <w:szCs w:val="21"/>
          <w:highlight w:val="none"/>
        </w:rPr>
        <w:t>2</w:t>
      </w:r>
      <w:r>
        <w:rPr>
          <w:rFonts w:hint="eastAsia"/>
          <w:bCs/>
          <w:color w:val="auto"/>
          <w:kern w:val="0"/>
          <w:szCs w:val="21"/>
          <w:highlight w:val="none"/>
        </w:rPr>
        <w:t>资格审查标准在第四章评审方法及标准中规定，符合资格审查标准要求的供应商即为资格审查合格。</w:t>
      </w:r>
    </w:p>
    <w:p w14:paraId="5FE2A4BC">
      <w:pPr>
        <w:spacing w:before="120" w:line="276" w:lineRule="auto"/>
        <w:ind w:left="2" w:leftChars="1" w:firstLine="420" w:firstLineChars="200"/>
        <w:outlineLvl w:val="2"/>
        <w:rPr>
          <w:bCs/>
          <w:color w:val="auto"/>
          <w:kern w:val="0"/>
          <w:szCs w:val="21"/>
          <w:highlight w:val="none"/>
        </w:rPr>
      </w:pPr>
      <w:r>
        <w:rPr>
          <w:bCs/>
          <w:color w:val="auto"/>
          <w:kern w:val="0"/>
          <w:szCs w:val="21"/>
          <w:highlight w:val="none"/>
        </w:rPr>
        <w:t>5.3</w:t>
      </w:r>
      <w:r>
        <w:rPr>
          <w:rFonts w:hint="eastAsia"/>
          <w:bCs/>
          <w:color w:val="auto"/>
          <w:kern w:val="0"/>
          <w:szCs w:val="21"/>
          <w:highlight w:val="none"/>
        </w:rPr>
        <w:t>供应商有下列情形之一的，资格审查不合格，作无效响应处理：</w:t>
      </w:r>
    </w:p>
    <w:p w14:paraId="7F02DF8A">
      <w:pPr>
        <w:spacing w:line="276" w:lineRule="auto"/>
        <w:ind w:firstLine="420" w:firstLineChars="200"/>
        <w:rPr>
          <w:rFonts w:hAnsi="宋体"/>
          <w:color w:val="auto"/>
          <w:highlight w:val="none"/>
        </w:rPr>
      </w:pPr>
      <w:r>
        <w:rPr>
          <w:rFonts w:hint="eastAsia"/>
          <w:color w:val="auto"/>
          <w:szCs w:val="21"/>
          <w:highlight w:val="none"/>
        </w:rPr>
        <w:t>5</w:t>
      </w:r>
      <w:r>
        <w:rPr>
          <w:color w:val="auto"/>
          <w:szCs w:val="21"/>
          <w:highlight w:val="none"/>
        </w:rPr>
        <w:t>.3.1</w:t>
      </w:r>
      <w:r>
        <w:rPr>
          <w:rFonts w:hint="eastAsia"/>
          <w:color w:val="auto"/>
          <w:szCs w:val="21"/>
          <w:highlight w:val="none"/>
        </w:rPr>
        <w:t>不具备采购文件中规定的资格要求或资格条件的；</w:t>
      </w:r>
      <w:r>
        <w:rPr>
          <w:color w:val="auto"/>
          <w:szCs w:val="21"/>
          <w:highlight w:val="none"/>
        </w:rPr>
        <w:t xml:space="preserve"> </w:t>
      </w:r>
      <w:r>
        <w:rPr>
          <w:rFonts w:hint="eastAsia" w:hAnsi="宋体"/>
          <w:color w:val="auto"/>
          <w:highlight w:val="none"/>
        </w:rPr>
        <w:t>（注：广西政府采购云平台已与“信用中国”平台做接口，可直接在线查询）</w:t>
      </w:r>
    </w:p>
    <w:p w14:paraId="226EA991">
      <w:pPr>
        <w:spacing w:before="120" w:line="276" w:lineRule="auto"/>
        <w:ind w:firstLine="420" w:firstLineChars="200"/>
        <w:rPr>
          <w:color w:val="auto"/>
          <w:szCs w:val="21"/>
          <w:highlight w:val="none"/>
        </w:rPr>
      </w:pPr>
      <w:r>
        <w:rPr>
          <w:rFonts w:hint="eastAsia"/>
          <w:color w:val="auto"/>
          <w:szCs w:val="21"/>
          <w:highlight w:val="none"/>
        </w:rPr>
        <w:t>5</w:t>
      </w:r>
      <w:r>
        <w:rPr>
          <w:color w:val="auto"/>
          <w:szCs w:val="21"/>
          <w:highlight w:val="none"/>
        </w:rPr>
        <w:t>.3.2</w:t>
      </w:r>
      <w:r>
        <w:rPr>
          <w:rFonts w:hint="eastAsia"/>
          <w:color w:val="auto"/>
          <w:szCs w:val="21"/>
          <w:highlight w:val="none"/>
        </w:rPr>
        <w:t>响应文件缺少任何一项资格证明文件或不符合第四章评审方法及标准中资格审查标准规定的评审内容的。</w:t>
      </w:r>
    </w:p>
    <w:p w14:paraId="306ECBD2">
      <w:pPr>
        <w:spacing w:before="120" w:line="320" w:lineRule="atLeast"/>
        <w:ind w:left="2" w:leftChars="1" w:firstLine="422" w:firstLineChars="200"/>
        <w:outlineLvl w:val="1"/>
        <w:rPr>
          <w:rFonts w:hint="eastAsia"/>
          <w:b/>
          <w:bCs/>
          <w:color w:val="auto"/>
          <w:kern w:val="0"/>
          <w:szCs w:val="21"/>
          <w:highlight w:val="none"/>
        </w:rPr>
      </w:pPr>
      <w:r>
        <w:rPr>
          <w:b/>
          <w:bCs/>
          <w:color w:val="auto"/>
          <w:kern w:val="0"/>
          <w:szCs w:val="21"/>
          <w:highlight w:val="none"/>
        </w:rPr>
        <w:t>6．评审</w:t>
      </w:r>
    </w:p>
    <w:bookmarkEnd w:id="47"/>
    <w:bookmarkEnd w:id="48"/>
    <w:p w14:paraId="2D0FF68B">
      <w:pPr>
        <w:spacing w:before="120" w:line="320" w:lineRule="atLeast"/>
        <w:ind w:firstLine="422" w:firstLineChars="200"/>
        <w:outlineLvl w:val="2"/>
        <w:rPr>
          <w:b/>
          <w:bCs/>
          <w:color w:val="auto"/>
          <w:kern w:val="0"/>
          <w:szCs w:val="21"/>
          <w:highlight w:val="none"/>
        </w:rPr>
      </w:pPr>
      <w:r>
        <w:rPr>
          <w:b/>
          <w:bCs/>
          <w:color w:val="auto"/>
          <w:kern w:val="0"/>
          <w:szCs w:val="21"/>
          <w:highlight w:val="none"/>
        </w:rPr>
        <w:t>6.1组建磋商小组</w:t>
      </w:r>
    </w:p>
    <w:p w14:paraId="37AF944C">
      <w:pPr>
        <w:spacing w:before="120" w:line="320" w:lineRule="atLeast"/>
        <w:ind w:firstLine="420" w:firstLineChars="200"/>
        <w:rPr>
          <w:color w:val="auto"/>
          <w:szCs w:val="21"/>
          <w:highlight w:val="none"/>
        </w:rPr>
      </w:pPr>
      <w:r>
        <w:rPr>
          <w:rFonts w:hint="eastAsia"/>
          <w:color w:val="auto"/>
          <w:szCs w:val="21"/>
          <w:highlight w:val="none"/>
        </w:rPr>
        <w:t>6.1.1</w:t>
      </w:r>
      <w:r>
        <w:rPr>
          <w:color w:val="auto"/>
          <w:szCs w:val="21"/>
          <w:highlight w:val="none"/>
        </w:rPr>
        <w:t>本项目</w:t>
      </w:r>
      <w:r>
        <w:rPr>
          <w:rFonts w:hint="eastAsia"/>
          <w:color w:val="auto"/>
          <w:szCs w:val="21"/>
          <w:highlight w:val="none"/>
        </w:rPr>
        <w:t>评审工作由</w:t>
      </w:r>
      <w:r>
        <w:rPr>
          <w:color w:val="auto"/>
          <w:szCs w:val="21"/>
          <w:highlight w:val="none"/>
        </w:rPr>
        <w:t>磋商小组</w:t>
      </w:r>
      <w:r>
        <w:rPr>
          <w:rFonts w:hint="eastAsia"/>
          <w:color w:val="auto"/>
          <w:szCs w:val="21"/>
          <w:highlight w:val="none"/>
        </w:rPr>
        <w:t>负责，磋商小组</w:t>
      </w:r>
      <w:r>
        <w:rPr>
          <w:color w:val="auto"/>
          <w:szCs w:val="21"/>
          <w:highlight w:val="none"/>
        </w:rPr>
        <w:t>由</w:t>
      </w:r>
      <w:r>
        <w:rPr>
          <w:rFonts w:hint="eastAsia"/>
          <w:color w:val="auto"/>
          <w:szCs w:val="21"/>
          <w:highlight w:val="none"/>
        </w:rPr>
        <w:t>评审专家</w:t>
      </w:r>
      <w:r>
        <w:rPr>
          <w:color w:val="auto"/>
          <w:szCs w:val="21"/>
          <w:highlight w:val="none"/>
        </w:rPr>
        <w:t>和采购人代表</w:t>
      </w:r>
      <w:r>
        <w:rPr>
          <w:rFonts w:hint="eastAsia"/>
          <w:color w:val="auto"/>
          <w:szCs w:val="21"/>
          <w:highlight w:val="none"/>
        </w:rPr>
        <w:t>（如有）</w:t>
      </w:r>
      <w:r>
        <w:rPr>
          <w:color w:val="auto"/>
          <w:szCs w:val="21"/>
          <w:highlight w:val="none"/>
        </w:rPr>
        <w:t>组成。</w:t>
      </w:r>
      <w:r>
        <w:rPr>
          <w:rFonts w:hint="eastAsia"/>
          <w:color w:val="auto"/>
          <w:szCs w:val="21"/>
          <w:highlight w:val="none"/>
        </w:rPr>
        <w:t>磋商小组评审时必须公平、公正、客观，不带任何倾向性和启发性；不得向外界透露任何与评审有关的内容；任何单位和个人不得干扰、影响评标的正常进行；磋商小组及有关工作人员不得私下与供应商接触，不得收受利害关系人的财物或者其他好处；</w:t>
      </w:r>
      <w:r>
        <w:rPr>
          <w:color w:val="auto"/>
          <w:szCs w:val="21"/>
          <w:highlight w:val="none"/>
        </w:rPr>
        <w:t>评审专家发现本人与参加采购活动的供应商有利害关系的，应当主动提出回避</w:t>
      </w:r>
      <w:r>
        <w:rPr>
          <w:rFonts w:hint="eastAsia"/>
          <w:color w:val="auto"/>
          <w:szCs w:val="21"/>
          <w:highlight w:val="none"/>
        </w:rPr>
        <w:t>。</w:t>
      </w:r>
    </w:p>
    <w:p w14:paraId="6F2AF47A">
      <w:pPr>
        <w:spacing w:before="120" w:line="320" w:lineRule="atLeast"/>
        <w:ind w:firstLine="420" w:firstLineChars="200"/>
        <w:rPr>
          <w:color w:val="auto"/>
          <w:szCs w:val="21"/>
          <w:highlight w:val="none"/>
        </w:rPr>
      </w:pPr>
      <w:r>
        <w:rPr>
          <w:rFonts w:hint="eastAsia"/>
          <w:color w:val="auto"/>
          <w:szCs w:val="21"/>
          <w:highlight w:val="none"/>
        </w:rPr>
        <w:t>6.1.2磋商小组成员应当通过电子交易平台进行独立评审，磋商小组成员对需要共同认定的事项存在争议的，应当按照少数服从多数的原则作出结论。持不同意见的磋商小组成员应当在评审报告上签署不同意见及理由，否则视为同意评审报告。如果在评审过程中出现法律法规和采购文件均没有明确规定的情形时，由磋商小组现场协商确定，协商不一致的，由全体磋商小组成员投票表决，应当按照少数服从多数的原则作出结论并记录在评审报告中。</w:t>
      </w:r>
    </w:p>
    <w:p w14:paraId="05CF5D02">
      <w:pPr>
        <w:spacing w:before="120" w:line="320" w:lineRule="atLeast"/>
        <w:ind w:firstLine="420" w:firstLineChars="200"/>
        <w:rPr>
          <w:color w:val="auto"/>
          <w:szCs w:val="21"/>
          <w:highlight w:val="none"/>
        </w:rPr>
      </w:pPr>
      <w:r>
        <w:rPr>
          <w:rFonts w:hint="eastAsia"/>
          <w:color w:val="auto"/>
          <w:szCs w:val="21"/>
          <w:highlight w:val="none"/>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4901D669">
      <w:pPr>
        <w:spacing w:before="120" w:line="320" w:lineRule="atLeast"/>
        <w:ind w:firstLine="420" w:firstLineChars="200"/>
        <w:rPr>
          <w:color w:val="auto"/>
          <w:szCs w:val="21"/>
          <w:highlight w:val="none"/>
        </w:rPr>
      </w:pPr>
      <w:r>
        <w:rPr>
          <w:rFonts w:hint="eastAsia"/>
          <w:color w:val="auto"/>
          <w:szCs w:val="21"/>
          <w:highlight w:val="none"/>
        </w:rPr>
        <w:t>6.1.4本项目评审过程实行全程网上留痕及录音、录像监控，供应商在评审过程中所进行的试图影响评审结果的不公正活动，可能导致其响应按无效处理。</w:t>
      </w:r>
    </w:p>
    <w:p w14:paraId="570FDA41">
      <w:pPr>
        <w:spacing w:before="120" w:line="320" w:lineRule="atLeast"/>
        <w:ind w:firstLine="422" w:firstLineChars="200"/>
        <w:outlineLvl w:val="2"/>
        <w:rPr>
          <w:b/>
          <w:bCs/>
          <w:color w:val="auto"/>
          <w:kern w:val="0"/>
          <w:szCs w:val="21"/>
          <w:highlight w:val="none"/>
        </w:rPr>
      </w:pPr>
      <w:r>
        <w:rPr>
          <w:b/>
          <w:bCs/>
          <w:color w:val="auto"/>
          <w:kern w:val="0"/>
          <w:szCs w:val="21"/>
          <w:highlight w:val="none"/>
        </w:rPr>
        <w:t>6.2</w:t>
      </w:r>
      <w:r>
        <w:rPr>
          <w:rFonts w:hint="eastAsia"/>
          <w:b/>
          <w:bCs/>
          <w:color w:val="auto"/>
          <w:kern w:val="0"/>
          <w:szCs w:val="21"/>
          <w:highlight w:val="none"/>
        </w:rPr>
        <w:t>评审方法及依据</w:t>
      </w:r>
    </w:p>
    <w:p w14:paraId="7F1CBE66">
      <w:pPr>
        <w:spacing w:before="120" w:line="320" w:lineRule="atLeast"/>
        <w:ind w:firstLine="420" w:firstLineChars="200"/>
        <w:rPr>
          <w:bCs/>
          <w:color w:val="auto"/>
          <w:kern w:val="0"/>
          <w:szCs w:val="21"/>
          <w:highlight w:val="none"/>
        </w:rPr>
      </w:pPr>
      <w:r>
        <w:rPr>
          <w:bCs/>
          <w:color w:val="auto"/>
          <w:kern w:val="0"/>
          <w:szCs w:val="21"/>
          <w:highlight w:val="none"/>
        </w:rPr>
        <w:t>6.2.1</w:t>
      </w:r>
      <w:r>
        <w:rPr>
          <w:rFonts w:hint="eastAsia"/>
          <w:bCs/>
          <w:color w:val="auto"/>
          <w:kern w:val="0"/>
          <w:szCs w:val="21"/>
          <w:highlight w:val="none"/>
        </w:rPr>
        <w:t>本项目采用第四章评审方法及标准规定的方法进行评审。</w:t>
      </w:r>
    </w:p>
    <w:p w14:paraId="7A276E14">
      <w:pPr>
        <w:suppressAutoHyphens/>
        <w:spacing w:before="120" w:line="320" w:lineRule="atLeast"/>
        <w:ind w:firstLine="420" w:firstLineChars="200"/>
        <w:rPr>
          <w:bCs/>
          <w:color w:val="auto"/>
          <w:kern w:val="0"/>
          <w:szCs w:val="21"/>
          <w:highlight w:val="none"/>
        </w:rPr>
      </w:pPr>
      <w:r>
        <w:rPr>
          <w:bCs/>
          <w:color w:val="auto"/>
          <w:kern w:val="0"/>
          <w:szCs w:val="21"/>
          <w:highlight w:val="none"/>
        </w:rPr>
        <w:t>6.2.2</w:t>
      </w:r>
      <w:r>
        <w:rPr>
          <w:rFonts w:hint="eastAsia"/>
          <w:bCs/>
          <w:color w:val="auto"/>
          <w:kern w:val="0"/>
          <w:szCs w:val="21"/>
          <w:highlight w:val="none"/>
        </w:rPr>
        <w:t>磋商小组</w:t>
      </w:r>
      <w:r>
        <w:rPr>
          <w:color w:val="auto"/>
          <w:highlight w:val="none"/>
        </w:rPr>
        <w:t>以</w:t>
      </w:r>
      <w:r>
        <w:rPr>
          <w:rFonts w:hint="eastAsia"/>
          <w:color w:val="auto"/>
          <w:highlight w:val="none"/>
        </w:rPr>
        <w:t>采购</w:t>
      </w:r>
      <w:r>
        <w:rPr>
          <w:color w:val="auto"/>
          <w:highlight w:val="none"/>
        </w:rPr>
        <w:t>文件、补充文件、</w:t>
      </w:r>
      <w:r>
        <w:rPr>
          <w:rFonts w:hint="eastAsia"/>
          <w:color w:val="auto"/>
          <w:highlight w:val="none"/>
        </w:rPr>
        <w:t>响应</w:t>
      </w:r>
      <w:r>
        <w:rPr>
          <w:color w:val="auto"/>
          <w:highlight w:val="none"/>
        </w:rPr>
        <w:t>文件、澄清及答复为评审依据</w:t>
      </w:r>
      <w:r>
        <w:rPr>
          <w:rFonts w:hint="eastAsia"/>
          <w:color w:val="auto"/>
          <w:highlight w:val="none"/>
        </w:rPr>
        <w:t>，</w:t>
      </w:r>
      <w:r>
        <w:rPr>
          <w:rFonts w:hint="eastAsia"/>
          <w:bCs/>
          <w:color w:val="auto"/>
          <w:kern w:val="0"/>
          <w:szCs w:val="21"/>
          <w:highlight w:val="none"/>
        </w:rPr>
        <w:t>第四章评审方法及标准没有规定的评审方法、标准及因素，不得作为评审依据。</w:t>
      </w:r>
    </w:p>
    <w:p w14:paraId="5FF51EFF">
      <w:pPr>
        <w:spacing w:before="120" w:line="320" w:lineRule="atLeast"/>
        <w:ind w:firstLine="422" w:firstLineChars="200"/>
        <w:outlineLvl w:val="2"/>
        <w:rPr>
          <w:b/>
          <w:bCs/>
          <w:color w:val="auto"/>
          <w:kern w:val="0"/>
          <w:szCs w:val="21"/>
          <w:highlight w:val="none"/>
        </w:rPr>
      </w:pPr>
      <w:r>
        <w:rPr>
          <w:b/>
          <w:bCs/>
          <w:color w:val="auto"/>
          <w:kern w:val="0"/>
          <w:szCs w:val="21"/>
          <w:highlight w:val="none"/>
        </w:rPr>
        <w:t>6.3评审</w:t>
      </w:r>
      <w:r>
        <w:rPr>
          <w:rFonts w:hint="eastAsia"/>
          <w:b/>
          <w:bCs/>
          <w:color w:val="auto"/>
          <w:kern w:val="0"/>
          <w:szCs w:val="21"/>
          <w:highlight w:val="none"/>
        </w:rPr>
        <w:t>程序</w:t>
      </w:r>
    </w:p>
    <w:p w14:paraId="7F1C0DF0">
      <w:pPr>
        <w:spacing w:before="120" w:line="320" w:lineRule="atLeast"/>
        <w:ind w:firstLine="420" w:firstLineChars="200"/>
        <w:rPr>
          <w:color w:val="auto"/>
          <w:highlight w:val="none"/>
        </w:rPr>
      </w:pPr>
      <w:r>
        <w:rPr>
          <w:color w:val="auto"/>
          <w:highlight w:val="none"/>
        </w:rPr>
        <w:t>6.</w:t>
      </w:r>
      <w:bookmarkStart w:id="49" w:name="_Hlk19175507"/>
      <w:bookmarkStart w:id="50" w:name="_Hlk80956880"/>
      <w:r>
        <w:rPr>
          <w:color w:val="auto"/>
          <w:highlight w:val="none"/>
        </w:rPr>
        <w:t>3.1</w:t>
      </w:r>
      <w:r>
        <w:rPr>
          <w:rFonts w:hint="eastAsia"/>
          <w:color w:val="auto"/>
          <w:highlight w:val="none"/>
        </w:rPr>
        <w:t>符合性审查</w:t>
      </w:r>
    </w:p>
    <w:p w14:paraId="22EE26DC">
      <w:pPr>
        <w:spacing w:before="120" w:line="320" w:lineRule="atLeast"/>
        <w:ind w:firstLine="420" w:firstLineChars="200"/>
        <w:rPr>
          <w:color w:val="auto"/>
          <w:szCs w:val="21"/>
          <w:highlight w:val="none"/>
        </w:rPr>
      </w:pPr>
      <w:r>
        <w:rPr>
          <w:bCs/>
          <w:color w:val="auto"/>
          <w:kern w:val="1"/>
          <w:szCs w:val="21"/>
          <w:highlight w:val="none"/>
        </w:rPr>
        <w:t>资格审查结束后，</w:t>
      </w:r>
      <w:r>
        <w:rPr>
          <w:rFonts w:hint="eastAsia" w:hAnsi="宋体"/>
          <w:color w:val="auto"/>
          <w:highlight w:val="none"/>
        </w:rPr>
        <w:t>磋商小组对</w:t>
      </w:r>
      <w:r>
        <w:rPr>
          <w:color w:val="auto"/>
          <w:highlight w:val="none"/>
        </w:rPr>
        <w:t>通过资格审查的供应商</w:t>
      </w:r>
      <w:r>
        <w:rPr>
          <w:rFonts w:hint="eastAsia" w:hAnsi="宋体"/>
          <w:color w:val="auto"/>
          <w:highlight w:val="none"/>
        </w:rPr>
        <w:t>的响应文件报价、商务资信、技术等方面实质性内容进行符合性审查，</w:t>
      </w:r>
      <w:r>
        <w:rPr>
          <w:rFonts w:hint="eastAsia"/>
          <w:color w:val="auto"/>
          <w:szCs w:val="21"/>
          <w:highlight w:val="none"/>
        </w:rPr>
        <w:t>符合性审查标准</w:t>
      </w:r>
      <w:r>
        <w:rPr>
          <w:color w:val="auto"/>
          <w:szCs w:val="21"/>
          <w:highlight w:val="none"/>
        </w:rPr>
        <w:t>详见第四章评审方法及标准。</w:t>
      </w:r>
    </w:p>
    <w:bookmarkEnd w:id="49"/>
    <w:bookmarkEnd w:id="50"/>
    <w:p w14:paraId="7D51EEE1">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.3.2</w:t>
      </w:r>
      <w:r>
        <w:rPr>
          <w:rFonts w:hAnsi="宋体"/>
          <w:color w:val="auto"/>
          <w:highlight w:val="none"/>
        </w:rPr>
        <w:t>强制性</w:t>
      </w:r>
      <w:r>
        <w:rPr>
          <w:color w:val="auto"/>
          <w:szCs w:val="21"/>
          <w:highlight w:val="none"/>
        </w:rPr>
        <w:t>采购要求</w:t>
      </w:r>
      <w:r>
        <w:rPr>
          <w:rFonts w:hint="eastAsia"/>
          <w:color w:val="auto"/>
          <w:szCs w:val="21"/>
          <w:highlight w:val="none"/>
        </w:rPr>
        <w:t>（仅适用于货物采购项目）</w:t>
      </w:r>
    </w:p>
    <w:p w14:paraId="2345C843">
      <w:pPr>
        <w:suppressAutoHyphens/>
        <w:spacing w:before="120" w:line="320" w:lineRule="atLeast"/>
        <w:ind w:firstLine="422" w:firstLineChars="201"/>
        <w:rPr>
          <w:color w:val="auto"/>
          <w:szCs w:val="21"/>
          <w:highlight w:val="none"/>
        </w:rPr>
      </w:pPr>
      <w:bookmarkStart w:id="51" w:name="_Hlk47714684"/>
      <w:r>
        <w:rPr>
          <w:rFonts w:hint="eastAsia"/>
          <w:color w:val="auto"/>
          <w:szCs w:val="21"/>
          <w:highlight w:val="none"/>
        </w:rPr>
        <w:t>（1）</w:t>
      </w:r>
      <w:bookmarkEnd w:id="51"/>
      <w:r>
        <w:rPr>
          <w:rFonts w:hint="eastAsia"/>
          <w:color w:val="auto"/>
          <w:szCs w:val="21"/>
          <w:highlight w:val="none"/>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供应商的响应货物必须使用政府强制采购的节能产品，否则响应文件作无效处理；属于品目清单内非标注“★”的产品时，应优先采购。</w:t>
      </w:r>
    </w:p>
    <w:p w14:paraId="3B8FAEDB">
      <w:pPr>
        <w:spacing w:before="120" w:line="276" w:lineRule="auto"/>
        <w:ind w:firstLine="420" w:firstLineChars="200"/>
        <w:rPr>
          <w:color w:val="auto"/>
          <w:szCs w:val="21"/>
          <w:highlight w:val="none"/>
        </w:rPr>
      </w:pPr>
      <w:bookmarkStart w:id="52" w:name="_Hlk19176155"/>
      <w:r>
        <w:rPr>
          <w:rFonts w:hint="eastAsia"/>
          <w:color w:val="auto"/>
          <w:szCs w:val="21"/>
          <w:highlight w:val="none"/>
        </w:rPr>
        <w:t>（2）根据《关于调整网络安全专用产品安全管理有关事项的公告》（2023年1号）及关于调整《网络关键设备和网络安全专用产品目录》（2023年2号）的公告规定，本项目采购需求中的产品如果包括《网络关键设备和网络安全专用产品目录》的网络安全专用产品，</w:t>
      </w:r>
      <w:r>
        <w:rPr>
          <w:rFonts w:hint="eastAsia"/>
          <w:color w:val="auto"/>
          <w:szCs w:val="21"/>
          <w:highlight w:val="none"/>
          <w:lang w:eastAsia="zh-CN"/>
        </w:rPr>
        <w:t>供应商</w:t>
      </w:r>
      <w:r>
        <w:rPr>
          <w:rFonts w:hint="eastAsia"/>
          <w:color w:val="auto"/>
          <w:szCs w:val="21"/>
          <w:highlight w:val="none"/>
        </w:rPr>
        <w:t>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0AD28FC0">
      <w:pPr>
        <w:spacing w:before="120" w:line="276" w:lineRule="auto"/>
        <w:ind w:firstLine="420" w:firstLineChars="200"/>
        <w:rPr>
          <w:rFonts w:hint="eastAsia"/>
          <w:color w:val="auto"/>
          <w:szCs w:val="21"/>
          <w:highlight w:val="none"/>
        </w:rPr>
      </w:pPr>
      <w:r>
        <w:rPr>
          <w:rFonts w:hint="eastAsia"/>
          <w:color w:val="auto"/>
          <w:szCs w:val="21"/>
          <w:highlight w:val="none"/>
        </w:rPr>
        <w:t>注：网络安全专用产品在中共中央网络安全和信息化委员会办公室网站上发布的《网络关键设备和网络安全专用产品目录》中查询。</w:t>
      </w:r>
      <w:r>
        <w:rPr>
          <w:color w:val="auto"/>
          <w:szCs w:val="21"/>
          <w:highlight w:val="none"/>
        </w:rPr>
        <w:t xml:space="preserve"> </w:t>
      </w:r>
      <w:r>
        <w:rPr>
          <w:rFonts w:hint="eastAsia"/>
          <w:color w:val="auto"/>
          <w:szCs w:val="21"/>
          <w:highlight w:val="none"/>
          <w:lang w:eastAsia="zh-CN"/>
        </w:rPr>
        <w:t>“</w:t>
      </w:r>
      <w:r>
        <w:rPr>
          <w:rFonts w:hint="eastAsia"/>
          <w:color w:val="auto"/>
          <w:szCs w:val="21"/>
          <w:highlight w:val="none"/>
          <w:lang w:val="en-US" w:eastAsia="zh-CN"/>
        </w:rPr>
        <w:t>网络安全专用产品”内“产品类别”</w:t>
      </w:r>
      <w:r>
        <w:rPr>
          <w:rFonts w:hint="eastAsia"/>
          <w:color w:val="auto"/>
          <w:szCs w:val="21"/>
          <w:highlight w:val="none"/>
        </w:rPr>
        <w:t>共</w:t>
      </w:r>
      <w:r>
        <w:rPr>
          <w:rFonts w:hint="eastAsia"/>
          <w:color w:val="auto"/>
          <w:szCs w:val="21"/>
          <w:highlight w:val="none"/>
          <w:lang w:val="en-US" w:eastAsia="zh-CN"/>
        </w:rPr>
        <w:t>34</w:t>
      </w:r>
      <w:r>
        <w:rPr>
          <w:rFonts w:hint="eastAsia"/>
          <w:color w:val="auto"/>
          <w:szCs w:val="21"/>
          <w:highlight w:val="none"/>
        </w:rPr>
        <w:t>类：数据备份与恢复产品、防火墙、入侵检测系统（I</w:t>
      </w:r>
      <w:r>
        <w:rPr>
          <w:color w:val="auto"/>
          <w:szCs w:val="21"/>
          <w:highlight w:val="none"/>
        </w:rPr>
        <w:t>DS</w:t>
      </w:r>
      <w:r>
        <w:rPr>
          <w:rFonts w:hint="eastAsia"/>
          <w:color w:val="auto"/>
          <w:szCs w:val="21"/>
          <w:highlight w:val="none"/>
        </w:rPr>
        <w:t>）、入侵防御系统（</w:t>
      </w:r>
      <w:r>
        <w:rPr>
          <w:color w:val="auto"/>
          <w:szCs w:val="21"/>
          <w:highlight w:val="none"/>
        </w:rPr>
        <w:t>IPS</w:t>
      </w:r>
      <w:r>
        <w:rPr>
          <w:rFonts w:hint="eastAsia"/>
          <w:color w:val="auto"/>
          <w:szCs w:val="21"/>
          <w:highlight w:val="none"/>
        </w:rPr>
        <w:t>）、</w:t>
      </w:r>
      <w:r>
        <w:rPr>
          <w:rFonts w:hint="eastAsia"/>
          <w:color w:val="auto"/>
          <w:szCs w:val="21"/>
          <w:highlight w:val="none"/>
          <w:lang w:val="en-US" w:eastAsia="zh-CN"/>
        </w:rPr>
        <w:t>网络和终端隔离产品</w:t>
      </w:r>
      <w:r>
        <w:rPr>
          <w:rFonts w:hint="eastAsia"/>
          <w:color w:val="auto"/>
          <w:szCs w:val="21"/>
          <w:highlight w:val="none"/>
        </w:rPr>
        <w:t>、反垃圾邮件产品、网络综合审计</w:t>
      </w:r>
      <w:r>
        <w:rPr>
          <w:rFonts w:hint="eastAsia"/>
          <w:color w:val="auto"/>
          <w:szCs w:val="21"/>
          <w:highlight w:val="none"/>
          <w:lang w:val="en-US" w:eastAsia="zh-CN"/>
        </w:rPr>
        <w:t>产品</w:t>
      </w:r>
      <w:r>
        <w:rPr>
          <w:rFonts w:hint="eastAsia"/>
          <w:color w:val="auto"/>
          <w:szCs w:val="21"/>
          <w:highlight w:val="none"/>
        </w:rPr>
        <w:t>、网络脆弱性扫描产品、安全数据库系统、网站恢复产品</w:t>
      </w:r>
      <w:r>
        <w:rPr>
          <w:rFonts w:hint="eastAsia"/>
          <w:color w:val="auto"/>
          <w:szCs w:val="21"/>
          <w:highlight w:val="none"/>
          <w:lang w:eastAsia="zh-CN"/>
        </w:rPr>
        <w:t>、</w:t>
      </w:r>
      <w:r>
        <w:rPr>
          <w:rFonts w:hint="eastAsia"/>
          <w:color w:val="auto"/>
          <w:szCs w:val="21"/>
          <w:highlight w:val="none"/>
          <w:lang w:val="en-US" w:eastAsia="zh-CN"/>
        </w:rPr>
        <w:t>虚拟专用网产品、防病毒网关、统一威胁管理产品（UTM）、病毒防治产品、安全操作系统、安全网络存储、公钥基础设施、网络安全态势感知产品、信息系统安全管理平台、网络型流量控制产品、负载均衡产品、信息过滤产品、抗拒绝服务攻击产品、终端接入控制产品、USB移动存储介质管理系统、文件加密产品、数据泄露防护产品、数据销毁软件产品、安全配置检查产品、运维安全管理产品、日志分析产品、身份鉴别产品、终端安全监护产品、电子文档安全管理产品。</w:t>
      </w:r>
    </w:p>
    <w:p w14:paraId="7E0BB13F">
      <w:pPr>
        <w:spacing w:before="120" w:line="320" w:lineRule="atLeast"/>
        <w:ind w:firstLine="420" w:firstLineChars="200"/>
        <w:rPr>
          <w:color w:val="auto"/>
          <w:highlight w:val="none"/>
        </w:rPr>
      </w:pPr>
      <w:r>
        <w:rPr>
          <w:color w:val="auto"/>
          <w:highlight w:val="none"/>
        </w:rPr>
        <w:t>6.3.3澄清、说明或补正</w:t>
      </w:r>
    </w:p>
    <w:p w14:paraId="11A89751">
      <w:pPr>
        <w:spacing w:before="120" w:line="320" w:lineRule="atLeast"/>
        <w:ind w:firstLine="420" w:firstLineChars="200"/>
        <w:rPr>
          <w:color w:val="auto"/>
          <w:highlight w:val="none"/>
        </w:rPr>
      </w:pPr>
      <w:r>
        <w:rPr>
          <w:rFonts w:hint="eastAsia"/>
          <w:color w:val="auto"/>
          <w:highlight w:val="none"/>
        </w:rPr>
        <w:t>（1）对响应文件中含义不明确、同类问题表述不一致或者有明显文字和计算错误的内容，磋商小组应在广西政府采购云平台发布电子澄清函，要求供应商在平台设置的时间内作出必要的澄清、说明或者补正。供应商在广西政府采购云平台接收到电子澄清函后根据澄清函内容直接在线编辑或上传PDF格式回函，电子澄清答复函使用CA证书加盖单位电子签章后提交至磋商小组。供应商的澄清、说明或者补正不得超出响应文件的范围或者改变响应文件的实质性内容。供应商未在规定时间内进行澄清、说明或者补正的，按无效响应处理。</w:t>
      </w:r>
    </w:p>
    <w:p w14:paraId="50F0CE37">
      <w:pPr>
        <w:spacing w:before="120" w:line="320" w:lineRule="atLeast"/>
        <w:ind w:firstLine="420" w:firstLineChars="200"/>
        <w:rPr>
          <w:color w:val="auto"/>
          <w:highlight w:val="none"/>
        </w:rPr>
      </w:pPr>
      <w:r>
        <w:rPr>
          <w:rFonts w:hint="eastAsia"/>
          <w:color w:val="auto"/>
          <w:highlight w:val="none"/>
        </w:rPr>
        <w:t>（2）异常情况处理：如遇无法正常使用线上发送澄清函的情况，将以书面形式执行。磋商小组以书面形式要求供应商在规定时间内作出必要的澄清、说明或者补正。供应商的澄清、说明或者补正必须采用书面形式，并加盖公章或者由法定代表人</w:t>
      </w:r>
      <w:r>
        <w:rPr>
          <w:rFonts w:hint="eastAsia"/>
          <w:color w:val="auto"/>
          <w:szCs w:val="21"/>
          <w:highlight w:val="none"/>
          <w:lang w:eastAsia="zh-CN"/>
        </w:rPr>
        <w:t>（或分支机构负责人）</w:t>
      </w:r>
      <w:r>
        <w:rPr>
          <w:rFonts w:hint="eastAsia"/>
          <w:color w:val="auto"/>
          <w:highlight w:val="none"/>
        </w:rPr>
        <w:t>或者其授权的代表签字。</w:t>
      </w:r>
    </w:p>
    <w:p w14:paraId="0B9056E0">
      <w:pPr>
        <w:spacing w:before="120" w:line="320" w:lineRule="atLeast"/>
        <w:ind w:firstLine="420" w:firstLineChars="200"/>
        <w:rPr>
          <w:color w:val="auto"/>
          <w:highlight w:val="none"/>
        </w:rPr>
      </w:pPr>
      <w:r>
        <w:rPr>
          <w:color w:val="auto"/>
          <w:highlight w:val="none"/>
        </w:rPr>
        <w:t>6.3.4</w:t>
      </w:r>
      <w:r>
        <w:rPr>
          <w:rFonts w:hint="eastAsia"/>
          <w:color w:val="auto"/>
          <w:highlight w:val="none"/>
        </w:rPr>
        <w:t>报价</w:t>
      </w:r>
      <w:r>
        <w:rPr>
          <w:color w:val="auto"/>
          <w:highlight w:val="none"/>
        </w:rPr>
        <w:t>修正</w:t>
      </w:r>
    </w:p>
    <w:p w14:paraId="408C4C6E">
      <w:pPr>
        <w:spacing w:before="120" w:line="320" w:lineRule="atLeast"/>
        <w:ind w:firstLine="420" w:firstLineChars="200"/>
        <w:rPr>
          <w:color w:val="auto"/>
          <w:highlight w:val="none"/>
        </w:rPr>
      </w:pPr>
      <w:r>
        <w:rPr>
          <w:rFonts w:hint="eastAsia"/>
          <w:color w:val="auto"/>
          <w:highlight w:val="none"/>
        </w:rPr>
        <w:t>（1）报价出现前后不一致的，按照下列规定修正：</w:t>
      </w:r>
    </w:p>
    <w:p w14:paraId="26F65C62">
      <w:pPr>
        <w:spacing w:before="120" w:line="320" w:lineRule="atLeast"/>
        <w:ind w:firstLine="420" w:firstLineChars="200"/>
        <w:rPr>
          <w:color w:val="auto"/>
          <w:szCs w:val="21"/>
          <w:highlight w:val="none"/>
        </w:rPr>
      </w:pPr>
      <w:r>
        <w:rPr>
          <w:rFonts w:hint="eastAsia" w:ascii="宋体" w:hAnsi="宋体"/>
          <w:color w:val="auto"/>
          <w:szCs w:val="21"/>
          <w:highlight w:val="none"/>
        </w:rPr>
        <w:t>①</w:t>
      </w:r>
      <w:r>
        <w:rPr>
          <w:color w:val="auto"/>
          <w:szCs w:val="21"/>
          <w:highlight w:val="none"/>
        </w:rPr>
        <w:t>响应文件中开标一览表（报价表）内容与响应文件中相应内容不一致的，以开标一览表（报价表）为准；</w:t>
      </w:r>
    </w:p>
    <w:p w14:paraId="36CCA591">
      <w:pPr>
        <w:spacing w:before="120" w:line="320" w:lineRule="atLeast"/>
        <w:ind w:firstLine="420" w:firstLineChars="200"/>
        <w:rPr>
          <w:color w:val="auto"/>
          <w:szCs w:val="21"/>
          <w:highlight w:val="none"/>
        </w:rPr>
      </w:pPr>
      <w:r>
        <w:rPr>
          <w:rFonts w:ascii="宋体" w:hAnsi="宋体"/>
          <w:color w:val="auto"/>
          <w:szCs w:val="21"/>
          <w:highlight w:val="none"/>
        </w:rPr>
        <w:t>②</w:t>
      </w:r>
      <w:r>
        <w:rPr>
          <w:color w:val="auto"/>
          <w:szCs w:val="21"/>
          <w:highlight w:val="none"/>
        </w:rPr>
        <w:t>大写金额和小写金额不一致的，以大写金额为准；</w:t>
      </w:r>
    </w:p>
    <w:p w14:paraId="3C2149EE">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单价金额小数点或者百分比有明显错位的，以开标一览表的总价为准，并修改单价；</w:t>
      </w:r>
    </w:p>
    <w:p w14:paraId="2DB37C98">
      <w:pPr>
        <w:spacing w:before="120" w:line="320" w:lineRule="atLeast"/>
        <w:ind w:firstLine="420" w:firstLineChars="200"/>
        <w:rPr>
          <w:color w:val="auto"/>
          <w:szCs w:val="21"/>
          <w:highlight w:val="none"/>
        </w:rPr>
      </w:pPr>
      <w:r>
        <w:rPr>
          <w:rFonts w:hint="eastAsia"/>
          <w:color w:val="auto"/>
          <w:szCs w:val="21"/>
          <w:highlight w:val="none"/>
        </w:rPr>
        <w:t>④</w:t>
      </w:r>
      <w:r>
        <w:rPr>
          <w:color w:val="auto"/>
          <w:szCs w:val="21"/>
          <w:highlight w:val="none"/>
        </w:rPr>
        <w:t>总价金额与按单价汇总金额不一致的，以单价金额计算结果为准</w:t>
      </w:r>
      <w:r>
        <w:rPr>
          <w:rFonts w:hint="eastAsia"/>
          <w:color w:val="auto"/>
          <w:szCs w:val="21"/>
          <w:highlight w:val="none"/>
        </w:rPr>
        <w:t>。</w:t>
      </w:r>
    </w:p>
    <w:p w14:paraId="357D4F44">
      <w:pPr>
        <w:spacing w:before="120" w:line="320" w:lineRule="atLeast"/>
        <w:ind w:firstLine="420" w:firstLineChars="200"/>
        <w:rPr>
          <w:color w:val="auto"/>
          <w:szCs w:val="21"/>
          <w:highlight w:val="none"/>
        </w:rPr>
      </w:pPr>
      <w:r>
        <w:rPr>
          <w:rFonts w:hint="eastAsia"/>
          <w:color w:val="auto"/>
          <w:szCs w:val="21"/>
          <w:highlight w:val="none"/>
        </w:rPr>
        <w:t>同时出现两种以上不一致的，按照上述</w:t>
      </w:r>
      <w:r>
        <w:rPr>
          <w:rFonts w:hint="eastAsia" w:ascii="宋体" w:hAnsi="宋体"/>
          <w:color w:val="auto"/>
          <w:szCs w:val="21"/>
          <w:highlight w:val="none"/>
        </w:rPr>
        <w:t>①-</w:t>
      </w:r>
      <w:r>
        <w:rPr>
          <w:rFonts w:hint="eastAsia"/>
          <w:color w:val="auto"/>
          <w:szCs w:val="21"/>
          <w:highlight w:val="none"/>
        </w:rPr>
        <w:t>④顺序修正。修正后的报价按照上述“</w:t>
      </w:r>
      <w:r>
        <w:rPr>
          <w:color w:val="auto"/>
          <w:szCs w:val="21"/>
          <w:highlight w:val="none"/>
        </w:rPr>
        <w:t>6.3.3</w:t>
      </w:r>
      <w:r>
        <w:rPr>
          <w:rFonts w:hint="eastAsia"/>
          <w:color w:val="auto"/>
          <w:szCs w:val="21"/>
          <w:highlight w:val="none"/>
        </w:rPr>
        <w:t>澄清、说明或补正”的规定经供应商确认后产生约束力，供应商不确认的，其响应无效。</w:t>
      </w:r>
    </w:p>
    <w:p w14:paraId="2EE59561">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2</w:t>
      </w:r>
      <w:r>
        <w:rPr>
          <w:rFonts w:hint="eastAsia"/>
          <w:color w:val="auto"/>
          <w:szCs w:val="21"/>
          <w:highlight w:val="none"/>
        </w:rPr>
        <w:t>）经供应商确认修正后的报价若超过采购预算金额或者最高限价，其响应文件作无效响应处理。</w:t>
      </w:r>
    </w:p>
    <w:p w14:paraId="67129933">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）经供应商确认修正后的报价作为签订合同的依据，并以此报价计算价格分。</w:t>
      </w:r>
    </w:p>
    <w:p w14:paraId="5258A885">
      <w:pPr>
        <w:spacing w:before="120" w:line="320" w:lineRule="atLeast"/>
        <w:ind w:firstLine="420" w:firstLineChars="200"/>
        <w:rPr>
          <w:rFonts w:hint="eastAsia"/>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）如磋商过程中有多轮报价的，磋商小组在每一轮报价均应按上述规则修正报价。</w:t>
      </w:r>
    </w:p>
    <w:p w14:paraId="421C48EE">
      <w:p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6.3.5异常低价审查</w:t>
      </w:r>
    </w:p>
    <w:p w14:paraId="5953A9EB">
      <w:pPr>
        <w:spacing w:before="120" w:line="320" w:lineRule="atLeast"/>
        <w:ind w:firstLine="420" w:firstLineChars="200"/>
        <w:rPr>
          <w:color w:val="auto"/>
          <w:szCs w:val="21"/>
          <w:highlight w:val="none"/>
        </w:rPr>
      </w:pPr>
      <w:r>
        <w:rPr>
          <w:color w:val="auto"/>
          <w:szCs w:val="21"/>
          <w:highlight w:val="none"/>
        </w:rPr>
        <w:t>本项目</w:t>
      </w:r>
      <w:r>
        <w:rPr>
          <w:rFonts w:hint="eastAsia"/>
          <w:color w:val="auto"/>
          <w:szCs w:val="21"/>
          <w:highlight w:val="none"/>
          <w:lang w:val="en-US" w:eastAsia="zh-CN"/>
        </w:rPr>
        <w:t>异常低价审查情形见</w:t>
      </w:r>
      <w:r>
        <w:rPr>
          <w:color w:val="auto"/>
          <w:szCs w:val="21"/>
          <w:highlight w:val="none"/>
        </w:rPr>
        <w:t>“</w:t>
      </w:r>
      <w:r>
        <w:rPr>
          <w:rFonts w:hint="eastAsia"/>
          <w:color w:val="auto"/>
          <w:szCs w:val="21"/>
          <w:highlight w:val="none"/>
          <w:lang w:val="en-US" w:eastAsia="zh-CN"/>
        </w:rPr>
        <w:t>供应商</w:t>
      </w:r>
      <w:r>
        <w:rPr>
          <w:rFonts w:hint="eastAsia"/>
          <w:color w:val="auto"/>
          <w:szCs w:val="21"/>
          <w:highlight w:val="none"/>
          <w:lang w:eastAsia="zh-CN"/>
        </w:rPr>
        <w:t>须知</w:t>
      </w:r>
      <w:r>
        <w:rPr>
          <w:color w:val="auto"/>
          <w:szCs w:val="21"/>
          <w:highlight w:val="none"/>
        </w:rPr>
        <w:t>前附表”规定。</w:t>
      </w:r>
    </w:p>
    <w:p w14:paraId="6BFF4C10">
      <w:pPr>
        <w:numPr>
          <w:ilvl w:val="0"/>
          <w:numId w:val="0"/>
        </w:num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BF3AF65">
      <w:pPr>
        <w:numPr>
          <w:ilvl w:val="0"/>
          <w:numId w:val="0"/>
        </w:numPr>
        <w:spacing w:before="120" w:line="320" w:lineRule="atLeast"/>
        <w:ind w:firstLine="420" w:firstLineChars="200"/>
        <w:rPr>
          <w:rFonts w:hint="eastAsia"/>
          <w:strike/>
          <w:dstrike w:val="0"/>
          <w:color w:val="auto"/>
          <w:szCs w:val="21"/>
          <w:highlight w:val="none"/>
          <w:lang w:val="en-US" w:eastAsia="zh-CN"/>
        </w:rPr>
      </w:pPr>
      <w:r>
        <w:rPr>
          <w:rFonts w:hint="eastAsia"/>
          <w:color w:val="auto"/>
          <w:szCs w:val="21"/>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w:t>
      </w:r>
      <w:r>
        <w:rPr>
          <w:rFonts w:hint="eastAsia"/>
          <w:strike w:val="0"/>
          <w:dstrike w:val="0"/>
          <w:color w:val="auto"/>
          <w:szCs w:val="21"/>
          <w:highlight w:val="none"/>
          <w:lang w:val="en-US" w:eastAsia="zh-CN"/>
        </w:rPr>
        <w:t>投标（响应）供应商不能提供书面说明、证明材料，或者提供的书面说明、证明材料不能证明其报价合理性的，评审委员会应当将其作为无效投标（响应）处理。</w:t>
      </w:r>
    </w:p>
    <w:p w14:paraId="1D07FE73">
      <w:pPr>
        <w:numPr>
          <w:ilvl w:val="0"/>
          <w:numId w:val="0"/>
        </w:num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159C602">
      <w:pPr>
        <w:numPr>
          <w:ilvl w:val="0"/>
          <w:numId w:val="0"/>
        </w:num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异常低价投标审查的启动原因、审查意见和审查结果应当在评审报告中记录，并随供应商提供的相关书面说明及证明材料，以及评审委员会有关互联网浏览、查询历史一并归档。</w:t>
      </w:r>
    </w:p>
    <w:p w14:paraId="1A1F95F7">
      <w:pPr>
        <w:numPr>
          <w:ilvl w:val="0"/>
          <w:numId w:val="0"/>
        </w:numPr>
        <w:spacing w:before="120" w:line="320" w:lineRule="atLeast"/>
        <w:ind w:firstLine="420" w:firstLineChars="200"/>
        <w:rPr>
          <w:rFonts w:hint="eastAsia"/>
          <w:color w:val="auto"/>
          <w:szCs w:val="21"/>
          <w:highlight w:val="none"/>
        </w:rPr>
      </w:pPr>
      <w:r>
        <w:rPr>
          <w:rFonts w:hint="eastAsia"/>
          <w:color w:val="auto"/>
          <w:szCs w:val="21"/>
          <w:highlight w:val="none"/>
        </w:rPr>
        <w:t>书面证明应当按照上述“</w:t>
      </w:r>
      <w:r>
        <w:rPr>
          <w:color w:val="auto"/>
          <w:szCs w:val="21"/>
          <w:highlight w:val="none"/>
        </w:rPr>
        <w:t>6.3.3</w:t>
      </w:r>
      <w:r>
        <w:rPr>
          <w:rFonts w:hint="eastAsia"/>
          <w:color w:val="auto"/>
          <w:szCs w:val="21"/>
          <w:highlight w:val="none"/>
        </w:rPr>
        <w:t>澄清、说明或补正”的规定提交</w:t>
      </w:r>
      <w:r>
        <w:rPr>
          <w:rFonts w:hint="eastAsia"/>
          <w:color w:val="auto"/>
          <w:szCs w:val="21"/>
          <w:highlight w:val="none"/>
          <w:lang w:val="en-US" w:eastAsia="zh-CN"/>
        </w:rPr>
        <w:t>。</w:t>
      </w:r>
    </w:p>
    <w:p w14:paraId="27224172">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.3.</w:t>
      </w:r>
      <w:r>
        <w:rPr>
          <w:rFonts w:hint="eastAsia"/>
          <w:color w:val="auto"/>
          <w:szCs w:val="21"/>
          <w:highlight w:val="none"/>
          <w:lang w:val="en-US" w:eastAsia="zh-CN"/>
        </w:rPr>
        <w:t>6</w:t>
      </w:r>
      <w:r>
        <w:rPr>
          <w:rFonts w:hint="eastAsia"/>
          <w:color w:val="auto"/>
          <w:szCs w:val="21"/>
          <w:highlight w:val="none"/>
        </w:rPr>
        <w:t>相同品牌认定（仅适用于货物采购项目）</w:t>
      </w:r>
    </w:p>
    <w:p w14:paraId="5DBEB1E5">
      <w:pPr>
        <w:spacing w:before="120" w:line="320" w:lineRule="atLeast"/>
        <w:ind w:firstLine="420" w:firstLineChars="200"/>
        <w:rPr>
          <w:color w:val="auto"/>
          <w:szCs w:val="21"/>
          <w:highlight w:val="none"/>
        </w:rPr>
      </w:pPr>
      <w:r>
        <w:rPr>
          <w:rFonts w:hint="eastAsia"/>
          <w:color w:val="auto"/>
          <w:szCs w:val="21"/>
          <w:highlight w:val="none"/>
        </w:rPr>
        <w:t>（1）单一产品采购项目，</w:t>
      </w:r>
      <w:r>
        <w:rPr>
          <w:color w:val="auto"/>
          <w:highlight w:val="none"/>
        </w:rPr>
        <w:t>不同供应商提供的产品品牌相同时，</w:t>
      </w:r>
      <w:r>
        <w:rPr>
          <w:rFonts w:hint="eastAsia"/>
          <w:color w:val="auto"/>
          <w:highlight w:val="none"/>
        </w:rPr>
        <w:t>按以下</w:t>
      </w:r>
      <w:r>
        <w:rPr>
          <w:color w:val="auto"/>
          <w:highlight w:val="none"/>
        </w:rPr>
        <w:t>规定</w:t>
      </w:r>
      <w:r>
        <w:rPr>
          <w:rFonts w:hint="eastAsia"/>
          <w:color w:val="auto"/>
          <w:highlight w:val="none"/>
        </w:rPr>
        <w:t>确定</w:t>
      </w:r>
      <w:r>
        <w:rPr>
          <w:bCs/>
          <w:color w:val="auto"/>
          <w:kern w:val="0"/>
          <w:szCs w:val="21"/>
          <w:highlight w:val="none"/>
        </w:rPr>
        <w:t>相同品牌的响应有效性</w:t>
      </w:r>
      <w:r>
        <w:rPr>
          <w:color w:val="auto"/>
          <w:highlight w:val="none"/>
        </w:rPr>
        <w:t>。</w:t>
      </w:r>
    </w:p>
    <w:bookmarkEnd w:id="52"/>
    <w:p w14:paraId="7B6B595F">
      <w:pPr>
        <w:spacing w:before="120" w:line="320" w:lineRule="atLeast"/>
        <w:ind w:firstLine="420" w:firstLineChars="200"/>
        <w:rPr>
          <w:color w:val="auto"/>
          <w:szCs w:val="21"/>
          <w:highlight w:val="none"/>
        </w:rPr>
      </w:pPr>
      <w:r>
        <w:rPr>
          <w:rFonts w:hint="eastAsia"/>
          <w:color w:val="auto"/>
          <w:szCs w:val="21"/>
          <w:highlight w:val="none"/>
        </w:rPr>
        <w:t>提供相同品牌产品且通过资格审查、符合性审查的不同供应商参加同一合同项下响应的，按一家供应商计算，评审后得分最高的同品牌供应商获得中标人推荐资格；评审得分相同的，由采购人或者采购人委托磋商小组按照采购文件规定的方式确定一个供应商获得成交供应商推荐资格，采购文件未规定的采取随机抽取方式确定，其他同品牌供应商不作为成交候选人。</w:t>
      </w:r>
    </w:p>
    <w:p w14:paraId="298C4EA7">
      <w:pPr>
        <w:spacing w:before="120" w:line="320" w:lineRule="atLeast"/>
        <w:ind w:firstLine="420" w:firstLineChars="200"/>
        <w:rPr>
          <w:color w:val="auto"/>
          <w:szCs w:val="21"/>
          <w:highlight w:val="none"/>
        </w:rPr>
      </w:pPr>
      <w:r>
        <w:rPr>
          <w:rFonts w:hint="eastAsia"/>
          <w:color w:val="auto"/>
          <w:szCs w:val="21"/>
          <w:highlight w:val="none"/>
        </w:rPr>
        <w:t>（2）非单一产品采购项目，</w:t>
      </w:r>
      <w:r>
        <w:rPr>
          <w:color w:val="auto"/>
          <w:szCs w:val="21"/>
          <w:highlight w:val="none"/>
        </w:rPr>
        <w:t>采购人应当确定核心产品，并在采购文件中载明。</w:t>
      </w:r>
      <w:r>
        <w:rPr>
          <w:rFonts w:hint="eastAsia"/>
          <w:color w:val="auto"/>
          <w:szCs w:val="21"/>
          <w:highlight w:val="none"/>
        </w:rPr>
        <w:t>不同</w:t>
      </w:r>
      <w:r>
        <w:rPr>
          <w:color w:val="auto"/>
          <w:szCs w:val="21"/>
          <w:highlight w:val="none"/>
        </w:rPr>
        <w:t>供应商提供的核心产品品牌相同的，按上述规定处理。核心产品</w:t>
      </w:r>
      <w:r>
        <w:rPr>
          <w:rFonts w:hint="eastAsia"/>
          <w:color w:val="auto"/>
          <w:szCs w:val="21"/>
          <w:highlight w:val="none"/>
        </w:rPr>
        <w:t>在第二章</w:t>
      </w:r>
      <w:r>
        <w:rPr>
          <w:color w:val="auto"/>
          <w:szCs w:val="21"/>
          <w:highlight w:val="none"/>
        </w:rPr>
        <w:t>采购需求规定。</w:t>
      </w:r>
    </w:p>
    <w:p w14:paraId="35AAEF70">
      <w:pPr>
        <w:spacing w:before="120" w:line="320" w:lineRule="atLeast"/>
        <w:ind w:firstLine="420" w:firstLineChars="200"/>
        <w:rPr>
          <w:rFonts w:hint="eastAsia"/>
          <w:color w:val="auto"/>
          <w:highlight w:val="none"/>
        </w:rPr>
      </w:pPr>
      <w:r>
        <w:rPr>
          <w:color w:val="auto"/>
          <w:highlight w:val="none"/>
        </w:rPr>
        <w:t>6.3.</w:t>
      </w:r>
      <w:r>
        <w:rPr>
          <w:rFonts w:hint="eastAsia"/>
          <w:color w:val="auto"/>
          <w:highlight w:val="none"/>
          <w:lang w:val="en-US" w:eastAsia="zh-CN"/>
        </w:rPr>
        <w:t>7</w:t>
      </w:r>
      <w:r>
        <w:rPr>
          <w:rFonts w:hint="eastAsia"/>
          <w:color w:val="auto"/>
          <w:highlight w:val="none"/>
        </w:rPr>
        <w:t>磋商</w:t>
      </w:r>
    </w:p>
    <w:p w14:paraId="27204F00">
      <w:pPr>
        <w:spacing w:before="120" w:line="320" w:lineRule="atLeast"/>
        <w:ind w:firstLine="420" w:firstLineChars="200"/>
        <w:rPr>
          <w:rFonts w:hint="eastAsia"/>
          <w:color w:val="auto"/>
          <w:highlight w:val="none"/>
        </w:rPr>
      </w:pPr>
      <w:r>
        <w:rPr>
          <w:rFonts w:hint="eastAsia"/>
          <w:color w:val="auto"/>
          <w:highlight w:val="none"/>
        </w:rPr>
        <w:t>（1）磋商小组按照“供应商须知前附表” 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24C52722">
      <w:pPr>
        <w:spacing w:before="120" w:line="320" w:lineRule="atLeast"/>
        <w:ind w:firstLine="420" w:firstLineChars="200"/>
        <w:rPr>
          <w:color w:val="auto"/>
          <w:highlight w:val="none"/>
        </w:rPr>
      </w:pPr>
      <w:r>
        <w:rPr>
          <w:rFonts w:hint="eastAsia"/>
          <w:color w:val="auto"/>
          <w:highlight w:val="none"/>
        </w:rPr>
        <w:t>（2）在磋商过程中，磋商小组可以根据采购文件和磋商情况实质性变动采购需求中的技术、服务要求以及合同草案条款，但不得变动采购文件中的其他内容。实质性变动的内容，须经采购人代表确认。</w:t>
      </w:r>
    </w:p>
    <w:p w14:paraId="26DEFE5B">
      <w:pPr>
        <w:spacing w:before="120" w:line="320" w:lineRule="atLeast"/>
        <w:ind w:firstLine="420" w:firstLineChars="200"/>
        <w:rPr>
          <w:color w:val="auto"/>
          <w:highlight w:val="none"/>
        </w:rPr>
      </w:pPr>
      <w:r>
        <w:rPr>
          <w:rFonts w:hint="eastAsia"/>
          <w:color w:val="auto"/>
          <w:highlight w:val="none"/>
        </w:rPr>
        <w:t>对采购文件作出的实质性变动是采购文件的有效组成部分，由磋商小组通过广西政府采购云平台以书面形式同时通知所有参加磋商的供应商。</w:t>
      </w:r>
    </w:p>
    <w:p w14:paraId="3DA463E1">
      <w:pPr>
        <w:spacing w:before="120" w:line="320" w:lineRule="atLeast"/>
        <w:ind w:firstLine="420" w:firstLineChars="200"/>
        <w:rPr>
          <w:rFonts w:hint="eastAsia"/>
          <w:color w:val="auto"/>
          <w:highlight w:val="none"/>
        </w:rPr>
      </w:pPr>
      <w:r>
        <w:rPr>
          <w:rFonts w:hint="eastAsia"/>
          <w:color w:val="auto"/>
          <w:highlight w:val="none"/>
        </w:rPr>
        <w:t>（3）供应商必须按照采购文件的变动情况和磋商小组的要求重新提交响应文件，并在广西政府采购云平台在线编辑或上传PDF格式，使用电子签章后提交至磋商小组。参加磋商的供应商未在规定时间内重新提交响应文件的，视同退出磋商。</w:t>
      </w:r>
    </w:p>
    <w:p w14:paraId="1D236381">
      <w:pPr>
        <w:spacing w:before="120" w:line="320" w:lineRule="atLeast"/>
        <w:ind w:firstLine="420" w:firstLineChars="200"/>
        <w:rPr>
          <w:color w:val="auto"/>
          <w:highlight w:val="none"/>
        </w:rPr>
      </w:pPr>
      <w:r>
        <w:rPr>
          <w:rFonts w:hint="eastAsia"/>
          <w:color w:val="auto"/>
          <w:highlight w:val="none"/>
        </w:rPr>
        <w:t>（4）供应商的法定代表人</w:t>
      </w:r>
      <w:r>
        <w:rPr>
          <w:rFonts w:hint="eastAsia"/>
          <w:color w:val="auto"/>
          <w:szCs w:val="21"/>
          <w:highlight w:val="none"/>
          <w:lang w:eastAsia="zh-CN"/>
        </w:rPr>
        <w:t>（或分支机构负责人）</w:t>
      </w:r>
      <w:r>
        <w:rPr>
          <w:rFonts w:hint="eastAsia"/>
          <w:color w:val="auto"/>
          <w:highlight w:val="none"/>
        </w:rPr>
        <w:t>或其授权代表无须到现场参加磋商，提问及回答/响应均通过广西政府采购云平台进行。磋商过程中使用的电子签章应为供应商上传响应文件的同一签章。</w:t>
      </w:r>
    </w:p>
    <w:p w14:paraId="4060133C">
      <w:pPr>
        <w:spacing w:before="120" w:line="320" w:lineRule="atLeast"/>
        <w:ind w:firstLine="420" w:firstLineChars="200"/>
        <w:rPr>
          <w:color w:val="auto"/>
          <w:highlight w:val="none"/>
        </w:rPr>
      </w:pPr>
      <w:r>
        <w:rPr>
          <w:rFonts w:hint="eastAsia"/>
          <w:color w:val="auto"/>
          <w:highlight w:val="none"/>
        </w:rPr>
        <w:t>6</w:t>
      </w:r>
      <w:r>
        <w:rPr>
          <w:color w:val="auto"/>
          <w:highlight w:val="none"/>
        </w:rPr>
        <w:t>.3.</w:t>
      </w:r>
      <w:r>
        <w:rPr>
          <w:rFonts w:hint="eastAsia"/>
          <w:color w:val="auto"/>
          <w:highlight w:val="none"/>
          <w:lang w:val="en-US" w:eastAsia="zh-CN"/>
        </w:rPr>
        <w:t>8</w:t>
      </w:r>
      <w:r>
        <w:rPr>
          <w:rFonts w:hint="eastAsia"/>
          <w:color w:val="auto"/>
          <w:highlight w:val="none"/>
        </w:rPr>
        <w:t>最后报价</w:t>
      </w:r>
    </w:p>
    <w:p w14:paraId="4F9E48F2">
      <w:pPr>
        <w:spacing w:before="120" w:line="320" w:lineRule="atLeast"/>
        <w:ind w:firstLine="420" w:firstLineChars="200"/>
        <w:rPr>
          <w:rFonts w:hint="eastAsia"/>
          <w:color w:val="auto"/>
          <w:highlight w:val="none"/>
        </w:rPr>
      </w:pPr>
      <w:r>
        <w:rPr>
          <w:rFonts w:hint="eastAsia"/>
          <w:color w:val="auto"/>
          <w:highlight w:val="none"/>
        </w:rPr>
        <w:t xml:space="preserve">（1）采购文件能够详细列明采购标的的技术、服务要求的，磋商结束后，磋商小组应当要求所有实质性响应的供应商在规定时间内提交最后报价，提交最后报价的供应商不得少于3家。 </w:t>
      </w:r>
    </w:p>
    <w:p w14:paraId="790D240F">
      <w:pPr>
        <w:spacing w:before="120" w:line="320" w:lineRule="atLeast"/>
        <w:ind w:firstLine="420" w:firstLineChars="200"/>
        <w:rPr>
          <w:rFonts w:hint="eastAsia"/>
          <w:color w:val="auto"/>
          <w:highlight w:val="none"/>
        </w:rPr>
      </w:pPr>
      <w:r>
        <w:rPr>
          <w:rFonts w:hint="eastAsia"/>
          <w:color w:val="auto"/>
          <w:highlight w:val="none"/>
        </w:rPr>
        <w:t>采购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220BA24B">
      <w:pPr>
        <w:spacing w:before="120" w:line="320" w:lineRule="atLeast"/>
        <w:ind w:firstLine="420" w:firstLineChars="200"/>
        <w:rPr>
          <w:color w:val="auto"/>
          <w:highlight w:val="none"/>
        </w:rPr>
      </w:pPr>
      <w:r>
        <w:rPr>
          <w:rFonts w:hint="eastAsia"/>
          <w:color w:val="auto"/>
          <w:highlight w:val="none"/>
        </w:rPr>
        <w:t>最后报价是供应商响应文件的有效组成部分。</w:t>
      </w:r>
    </w:p>
    <w:p w14:paraId="2937C997">
      <w:pPr>
        <w:spacing w:before="120" w:line="320" w:lineRule="atLeast"/>
        <w:ind w:firstLine="420" w:firstLineChars="200"/>
        <w:rPr>
          <w:color w:val="auto"/>
          <w:highlight w:val="none"/>
        </w:rPr>
      </w:pPr>
      <w:r>
        <w:rPr>
          <w:rFonts w:hint="eastAsia"/>
          <w:color w:val="auto"/>
          <w:highlight w:val="none"/>
        </w:rPr>
        <w:t>（2）如符合“市场竞争不充分的科研项目、需要扶持的科技成果转化项目、政府购买服务项目（含政府和社会资本合作项目）的，提交最后报价的供应商可以为2家。</w:t>
      </w:r>
    </w:p>
    <w:p w14:paraId="0173AED0">
      <w:pPr>
        <w:spacing w:before="120" w:line="320" w:lineRule="atLeast"/>
        <w:ind w:firstLine="420" w:firstLineChars="200"/>
        <w:rPr>
          <w:rFonts w:hint="eastAsia"/>
          <w:color w:val="auto"/>
          <w:highlight w:val="none"/>
        </w:rPr>
      </w:pPr>
      <w:r>
        <w:rPr>
          <w:rFonts w:hint="eastAsia"/>
          <w:color w:val="auto"/>
          <w:highlight w:val="none"/>
        </w:rPr>
        <w:t>（3）最后报价要求通过广西政府采购云平台发出，供应商需在广西政府采购云平台设置的时间内报价，最后报价不得超过采购预算金额且具有唯一性，否则否决其响应。</w:t>
      </w:r>
    </w:p>
    <w:p w14:paraId="677EB522">
      <w:pPr>
        <w:spacing w:before="120" w:line="320" w:lineRule="atLeast"/>
        <w:ind w:firstLine="420" w:firstLineChars="200"/>
        <w:rPr>
          <w:rFonts w:hint="eastAsia"/>
          <w:color w:val="auto"/>
          <w:highlight w:val="none"/>
        </w:rPr>
      </w:pPr>
      <w:r>
        <w:rPr>
          <w:rFonts w:hint="eastAsia"/>
          <w:color w:val="auto"/>
          <w:highlight w:val="none"/>
        </w:rPr>
        <w:t>（4）已提交响应文件的供应商，在提交最后报价之前，可以根据磋商情况退出磋商，退出磋商的供应商的响应文件无效。磋商小组在评审报告中注明退出磋商的供应商名单。采购人、采购代理机构应当退还退出磋商的供应商的磋商保证金。</w:t>
      </w:r>
    </w:p>
    <w:p w14:paraId="3D96FE4E">
      <w:pPr>
        <w:spacing w:before="120" w:line="320" w:lineRule="atLeast"/>
        <w:ind w:firstLine="420" w:firstLineChars="200"/>
        <w:rPr>
          <w:rFonts w:hint="eastAsia"/>
          <w:color w:val="auto"/>
          <w:highlight w:val="none"/>
        </w:rPr>
      </w:pPr>
      <w:r>
        <w:rPr>
          <w:rFonts w:hint="eastAsia"/>
          <w:color w:val="auto"/>
          <w:highlight w:val="none"/>
        </w:rPr>
        <w:t>（5）供应商未在规定时间内提交最后报价的，视同退出磋商。</w:t>
      </w:r>
    </w:p>
    <w:p w14:paraId="00E6FE0C">
      <w:pPr>
        <w:spacing w:before="120" w:line="320" w:lineRule="atLeast"/>
        <w:ind w:firstLine="420" w:firstLineChars="200"/>
        <w:rPr>
          <w:color w:val="auto"/>
          <w:highlight w:val="none"/>
        </w:rPr>
      </w:pPr>
      <w:r>
        <w:rPr>
          <w:rFonts w:hint="eastAsia"/>
          <w:color w:val="auto"/>
          <w:highlight w:val="none"/>
        </w:rPr>
        <w:t>（6）最后报价结束后，磋商小组不得再与供应商进行任何形式的商谈。</w:t>
      </w:r>
    </w:p>
    <w:p w14:paraId="252C606F">
      <w:pPr>
        <w:spacing w:before="120" w:line="320" w:lineRule="atLeast"/>
        <w:ind w:firstLine="420" w:firstLineChars="200"/>
        <w:rPr>
          <w:color w:val="auto"/>
          <w:szCs w:val="21"/>
          <w:highlight w:val="none"/>
        </w:rPr>
      </w:pPr>
      <w:r>
        <w:rPr>
          <w:color w:val="auto"/>
          <w:szCs w:val="21"/>
          <w:highlight w:val="none"/>
        </w:rPr>
        <w:t>6.3.</w:t>
      </w:r>
      <w:r>
        <w:rPr>
          <w:rFonts w:hint="eastAsia"/>
          <w:color w:val="auto"/>
          <w:szCs w:val="21"/>
          <w:highlight w:val="none"/>
          <w:lang w:val="en-US" w:eastAsia="zh-CN"/>
        </w:rPr>
        <w:t>9</w:t>
      </w:r>
      <w:r>
        <w:rPr>
          <w:color w:val="auto"/>
          <w:szCs w:val="21"/>
          <w:highlight w:val="none"/>
        </w:rPr>
        <w:t>串通投标认定</w:t>
      </w:r>
    </w:p>
    <w:p w14:paraId="2990BDC6">
      <w:pPr>
        <w:spacing w:before="120" w:line="320" w:lineRule="atLeast"/>
        <w:ind w:firstLine="420" w:firstLineChars="200"/>
        <w:rPr>
          <w:color w:val="auto"/>
          <w:highlight w:val="none"/>
        </w:rPr>
      </w:pPr>
      <w:r>
        <w:rPr>
          <w:color w:val="auto"/>
          <w:szCs w:val="21"/>
          <w:highlight w:val="none"/>
        </w:rPr>
        <w:t>磋商小组须根据</w:t>
      </w:r>
      <w:r>
        <w:rPr>
          <w:rFonts w:hint="eastAsia"/>
          <w:color w:val="auto"/>
          <w:szCs w:val="21"/>
          <w:highlight w:val="none"/>
        </w:rPr>
        <w:t>以下</w:t>
      </w:r>
      <w:r>
        <w:rPr>
          <w:color w:val="auto"/>
          <w:szCs w:val="21"/>
          <w:highlight w:val="none"/>
        </w:rPr>
        <w:t>规定</w:t>
      </w:r>
      <w:r>
        <w:rPr>
          <w:rFonts w:hint="eastAsia"/>
          <w:color w:val="auto"/>
          <w:szCs w:val="21"/>
          <w:highlight w:val="none"/>
        </w:rPr>
        <w:t>认定</w:t>
      </w:r>
      <w:r>
        <w:rPr>
          <w:color w:val="auto"/>
          <w:szCs w:val="21"/>
          <w:highlight w:val="none"/>
        </w:rPr>
        <w:t>供应商是否有</w:t>
      </w:r>
      <w:r>
        <w:rPr>
          <w:bCs/>
          <w:color w:val="auto"/>
          <w:kern w:val="0"/>
          <w:szCs w:val="21"/>
          <w:highlight w:val="none"/>
        </w:rPr>
        <w:t>串通投标的行为</w:t>
      </w:r>
      <w:r>
        <w:rPr>
          <w:color w:val="auto"/>
          <w:highlight w:val="none"/>
        </w:rPr>
        <w:t>。</w:t>
      </w:r>
    </w:p>
    <w:p w14:paraId="47A8A8A9">
      <w:pPr>
        <w:spacing w:before="120" w:line="320" w:lineRule="atLeast"/>
        <w:ind w:firstLine="420" w:firstLineChars="200"/>
        <w:rPr>
          <w:color w:val="auto"/>
          <w:szCs w:val="21"/>
          <w:highlight w:val="none"/>
        </w:rPr>
      </w:pPr>
      <w:bookmarkStart w:id="53" w:name="_Hlk19122026"/>
      <w:r>
        <w:rPr>
          <w:rFonts w:hint="eastAsia"/>
          <w:color w:val="auto"/>
          <w:szCs w:val="21"/>
          <w:highlight w:val="none"/>
        </w:rPr>
        <w:t>（1）</w:t>
      </w:r>
      <w:bookmarkEnd w:id="53"/>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桂财采[2016]42号</w:t>
      </w:r>
      <w:r>
        <w:rPr>
          <w:rFonts w:hint="eastAsia"/>
          <w:color w:val="auto"/>
          <w:szCs w:val="21"/>
          <w:highlight w:val="none"/>
        </w:rPr>
        <w:t>）</w:t>
      </w:r>
      <w:r>
        <w:rPr>
          <w:color w:val="auto"/>
          <w:szCs w:val="21"/>
          <w:highlight w:val="none"/>
        </w:rPr>
        <w:t>规定，出现下述情况的，相关供应商的投标作无效投标处理。</w:t>
      </w:r>
    </w:p>
    <w:p w14:paraId="76DB5ADD">
      <w:pPr>
        <w:spacing w:before="120" w:line="320" w:lineRule="atLeast"/>
        <w:ind w:firstLine="420" w:firstLineChars="200"/>
        <w:rPr>
          <w:color w:val="auto"/>
          <w:szCs w:val="21"/>
          <w:highlight w:val="none"/>
        </w:rPr>
      </w:pPr>
      <w:bookmarkStart w:id="54" w:name="_Hlk19122039"/>
      <w:r>
        <w:rPr>
          <w:rFonts w:hint="eastAsia" w:ascii="宋体" w:hAnsi="宋体" w:cs="宋体"/>
          <w:color w:val="auto"/>
          <w:szCs w:val="21"/>
          <w:highlight w:val="none"/>
        </w:rPr>
        <w:t>①</w:t>
      </w:r>
      <w:r>
        <w:rPr>
          <w:color w:val="auto"/>
          <w:szCs w:val="21"/>
          <w:highlight w:val="none"/>
        </w:rPr>
        <w:t>单位负责人为同一人或者存在直接控股、管理关系，参加同一合同项下政府采购活动的不同供应商。</w:t>
      </w:r>
    </w:p>
    <w:p w14:paraId="1A2E93E9">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授权给供应商后参加同一合同项（分标、分包）投标的生产厂商。</w:t>
      </w:r>
    </w:p>
    <w:p w14:paraId="3E233425">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视为或被认定为串通投标的相关供应商。</w:t>
      </w:r>
    </w:p>
    <w:bookmarkEnd w:id="54"/>
    <w:p w14:paraId="432C751F">
      <w:pPr>
        <w:spacing w:before="120" w:line="320" w:lineRule="atLeast"/>
        <w:ind w:firstLine="420" w:firstLineChars="200"/>
        <w:rPr>
          <w:color w:val="auto"/>
          <w:szCs w:val="21"/>
          <w:highlight w:val="none"/>
        </w:rPr>
      </w:pPr>
      <w:bookmarkStart w:id="55" w:name="_Hlk19122058"/>
      <w:r>
        <w:rPr>
          <w:rFonts w:hint="eastAsia"/>
          <w:color w:val="auto"/>
          <w:szCs w:val="21"/>
          <w:highlight w:val="none"/>
        </w:rPr>
        <w:t>（2）</w:t>
      </w:r>
      <w:bookmarkEnd w:id="55"/>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桂财采[2016]42号</w:t>
      </w:r>
      <w:r>
        <w:rPr>
          <w:rFonts w:hint="eastAsia"/>
          <w:color w:val="auto"/>
          <w:szCs w:val="21"/>
          <w:highlight w:val="none"/>
        </w:rPr>
        <w:t>）</w:t>
      </w:r>
      <w:r>
        <w:rPr>
          <w:color w:val="auto"/>
          <w:szCs w:val="21"/>
          <w:highlight w:val="none"/>
        </w:rPr>
        <w:t>规定，有下列情形之一的视为供应商相互串通投标，响应文件将被视为无效。</w:t>
      </w:r>
    </w:p>
    <w:p w14:paraId="7D21FA2E">
      <w:pPr>
        <w:spacing w:before="120" w:line="320" w:lineRule="atLeast"/>
        <w:ind w:firstLine="420" w:firstLineChars="200"/>
        <w:rPr>
          <w:color w:val="auto"/>
          <w:szCs w:val="21"/>
          <w:highlight w:val="none"/>
        </w:rPr>
      </w:pPr>
      <w:bookmarkStart w:id="56" w:name="_Hlk19122048"/>
      <w:r>
        <w:rPr>
          <w:rFonts w:hint="eastAsia" w:ascii="宋体" w:hAnsi="宋体" w:cs="宋体"/>
          <w:color w:val="auto"/>
          <w:szCs w:val="21"/>
          <w:highlight w:val="none"/>
        </w:rPr>
        <w:t>①</w:t>
      </w:r>
      <w:r>
        <w:rPr>
          <w:color w:val="auto"/>
          <w:szCs w:val="21"/>
          <w:highlight w:val="none"/>
        </w:rPr>
        <w:t>不同供应商的响应文件由同一单位或者个人编制；或不同供应商报名的IP地址一致的；</w:t>
      </w:r>
    </w:p>
    <w:p w14:paraId="1FE11733">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不同供应商委托同一单位或者个人办理投标事宜；</w:t>
      </w:r>
    </w:p>
    <w:p w14:paraId="50549E99">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不同的供应商的响应文件载明的项目管理员为同一个人；</w:t>
      </w:r>
    </w:p>
    <w:p w14:paraId="5A7D5FA0">
      <w:pPr>
        <w:spacing w:before="120" w:line="320" w:lineRule="atLeast"/>
        <w:ind w:firstLine="420" w:firstLineChars="200"/>
        <w:rPr>
          <w:color w:val="auto"/>
          <w:szCs w:val="21"/>
          <w:highlight w:val="none"/>
        </w:rPr>
      </w:pPr>
      <w:r>
        <w:rPr>
          <w:rFonts w:hint="eastAsia"/>
          <w:color w:val="auto"/>
          <w:szCs w:val="21"/>
          <w:highlight w:val="none"/>
        </w:rPr>
        <w:t>④</w:t>
      </w:r>
      <w:r>
        <w:rPr>
          <w:color w:val="auto"/>
          <w:szCs w:val="21"/>
          <w:highlight w:val="none"/>
        </w:rPr>
        <w:t>不同供应商的响应文件异常一致或投标报价呈规律性差异；</w:t>
      </w:r>
    </w:p>
    <w:p w14:paraId="0F6749C6">
      <w:pPr>
        <w:spacing w:before="120" w:line="320" w:lineRule="atLeast"/>
        <w:ind w:firstLine="420" w:firstLineChars="200"/>
        <w:rPr>
          <w:color w:val="auto"/>
          <w:szCs w:val="21"/>
          <w:highlight w:val="none"/>
        </w:rPr>
      </w:pPr>
      <w:r>
        <w:rPr>
          <w:rFonts w:hint="eastAsia"/>
          <w:color w:val="auto"/>
          <w:szCs w:val="21"/>
          <w:highlight w:val="none"/>
        </w:rPr>
        <w:t>⑤</w:t>
      </w:r>
      <w:r>
        <w:rPr>
          <w:color w:val="auto"/>
          <w:szCs w:val="21"/>
          <w:highlight w:val="none"/>
        </w:rPr>
        <w:t>不同供应商的响应文件相互混装；</w:t>
      </w:r>
    </w:p>
    <w:p w14:paraId="02935C70">
      <w:pPr>
        <w:spacing w:before="120" w:line="320" w:lineRule="atLeast"/>
        <w:ind w:firstLine="420" w:firstLineChars="200"/>
        <w:rPr>
          <w:color w:val="auto"/>
          <w:szCs w:val="21"/>
          <w:highlight w:val="none"/>
        </w:rPr>
      </w:pPr>
      <w:r>
        <w:rPr>
          <w:rFonts w:hint="eastAsia"/>
          <w:color w:val="auto"/>
          <w:szCs w:val="21"/>
          <w:highlight w:val="none"/>
        </w:rPr>
        <w:t>⑥</w:t>
      </w:r>
      <w:r>
        <w:rPr>
          <w:color w:val="auto"/>
          <w:szCs w:val="21"/>
          <w:highlight w:val="none"/>
        </w:rPr>
        <w:t>不同供应商的保证金从同一单位或者个人账户转出。</w:t>
      </w:r>
    </w:p>
    <w:bookmarkEnd w:id="56"/>
    <w:p w14:paraId="16632645">
      <w:pPr>
        <w:spacing w:before="120" w:line="320" w:lineRule="atLeast"/>
        <w:ind w:firstLine="420" w:firstLineChars="200"/>
        <w:rPr>
          <w:color w:val="auto"/>
          <w:szCs w:val="21"/>
          <w:highlight w:val="none"/>
        </w:rPr>
      </w:pPr>
      <w:bookmarkStart w:id="57" w:name="_Hlk19122102"/>
      <w:r>
        <w:rPr>
          <w:rFonts w:hint="eastAsia"/>
          <w:color w:val="auto"/>
          <w:szCs w:val="21"/>
          <w:highlight w:val="none"/>
        </w:rPr>
        <w:t>（3）</w:t>
      </w:r>
      <w:bookmarkEnd w:id="57"/>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桂财采[2016]42号</w:t>
      </w:r>
      <w:r>
        <w:rPr>
          <w:rFonts w:hint="eastAsia"/>
          <w:color w:val="auto"/>
          <w:szCs w:val="21"/>
          <w:highlight w:val="none"/>
        </w:rPr>
        <w:t>）</w:t>
      </w:r>
      <w:r>
        <w:rPr>
          <w:color w:val="auto"/>
          <w:szCs w:val="21"/>
          <w:highlight w:val="none"/>
        </w:rPr>
        <w:t>规定，供应商有下列情形之一的，属于恶意串通行为，响应文件将被视为无效。</w:t>
      </w:r>
    </w:p>
    <w:p w14:paraId="44684C9B">
      <w:pPr>
        <w:spacing w:before="120" w:line="320" w:lineRule="atLeast"/>
        <w:ind w:firstLine="420" w:firstLineChars="200"/>
        <w:rPr>
          <w:color w:val="auto"/>
          <w:szCs w:val="21"/>
          <w:highlight w:val="none"/>
        </w:rPr>
      </w:pPr>
      <w:bookmarkStart w:id="58" w:name="_Hlk19122095"/>
      <w:r>
        <w:rPr>
          <w:rFonts w:hint="eastAsia"/>
          <w:color w:val="auto"/>
          <w:szCs w:val="21"/>
          <w:highlight w:val="none"/>
        </w:rPr>
        <w:t>①</w:t>
      </w:r>
      <w:r>
        <w:rPr>
          <w:color w:val="auto"/>
          <w:szCs w:val="21"/>
          <w:highlight w:val="none"/>
        </w:rPr>
        <w:t>供应商直接或者间接从采购人或者采购代理机构处获得其他供应商的相关信息并修改其响应文件或者响应文件；</w:t>
      </w:r>
    </w:p>
    <w:p w14:paraId="02CE141D">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供应商按照采购人或者采购代理机构的授意撤换、修改响应文件或者响应文件;；</w:t>
      </w:r>
    </w:p>
    <w:p w14:paraId="2DBE63A3">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供应商之间协商报价、技术方案等响应文件或者响应文件的实质性内容；</w:t>
      </w:r>
    </w:p>
    <w:p w14:paraId="1943CB7E">
      <w:pPr>
        <w:spacing w:before="120" w:line="320" w:lineRule="atLeast"/>
        <w:ind w:firstLine="420" w:firstLineChars="200"/>
        <w:rPr>
          <w:color w:val="auto"/>
          <w:szCs w:val="21"/>
          <w:highlight w:val="none"/>
        </w:rPr>
      </w:pPr>
      <w:r>
        <w:rPr>
          <w:rFonts w:hint="eastAsia"/>
          <w:color w:val="auto"/>
          <w:szCs w:val="21"/>
          <w:highlight w:val="none"/>
        </w:rPr>
        <w:t>④</w:t>
      </w:r>
      <w:r>
        <w:rPr>
          <w:color w:val="auto"/>
          <w:szCs w:val="21"/>
          <w:highlight w:val="none"/>
        </w:rPr>
        <w:t>属于同一集团、协会、商会等组织成员的供应商按照该组织要求协同参加政府采购活动；</w:t>
      </w:r>
    </w:p>
    <w:p w14:paraId="1DD70255">
      <w:pPr>
        <w:spacing w:before="120" w:line="320" w:lineRule="atLeast"/>
        <w:ind w:firstLine="420" w:firstLineChars="200"/>
        <w:rPr>
          <w:color w:val="auto"/>
          <w:szCs w:val="21"/>
          <w:highlight w:val="none"/>
        </w:rPr>
      </w:pPr>
      <w:r>
        <w:rPr>
          <w:rFonts w:hint="eastAsia"/>
          <w:color w:val="auto"/>
          <w:szCs w:val="21"/>
          <w:highlight w:val="none"/>
        </w:rPr>
        <w:t>⑤</w:t>
      </w:r>
      <w:r>
        <w:rPr>
          <w:color w:val="auto"/>
          <w:szCs w:val="21"/>
          <w:highlight w:val="none"/>
        </w:rPr>
        <w:t>供应商之间事先约定一致抬高或者压低投标报价，或者在招标项目中事先约定轮流以高价位或者低价位中标，或者事先约定由某一特定供应商中标，然后再参加投标；</w:t>
      </w:r>
    </w:p>
    <w:p w14:paraId="30ABB20C">
      <w:pPr>
        <w:spacing w:before="120" w:line="320" w:lineRule="atLeast"/>
        <w:ind w:firstLine="420" w:firstLineChars="200"/>
        <w:rPr>
          <w:color w:val="auto"/>
          <w:szCs w:val="21"/>
          <w:highlight w:val="none"/>
        </w:rPr>
      </w:pPr>
      <w:r>
        <w:rPr>
          <w:rFonts w:hint="eastAsia"/>
          <w:color w:val="auto"/>
          <w:szCs w:val="21"/>
          <w:highlight w:val="none"/>
        </w:rPr>
        <w:t>⑥</w:t>
      </w:r>
      <w:r>
        <w:rPr>
          <w:color w:val="auto"/>
          <w:szCs w:val="21"/>
          <w:highlight w:val="none"/>
        </w:rPr>
        <w:t>供应商之间商定部分供应商放弃参加政府采购活动或者放弃中标；</w:t>
      </w:r>
    </w:p>
    <w:p w14:paraId="3D1A3C46">
      <w:pPr>
        <w:spacing w:before="120" w:line="320" w:lineRule="atLeast"/>
        <w:ind w:firstLine="420" w:firstLineChars="200"/>
        <w:rPr>
          <w:color w:val="auto"/>
          <w:szCs w:val="21"/>
          <w:highlight w:val="none"/>
        </w:rPr>
      </w:pPr>
      <w:r>
        <w:rPr>
          <w:rFonts w:hint="eastAsia"/>
          <w:color w:val="auto"/>
          <w:szCs w:val="21"/>
          <w:highlight w:val="none"/>
        </w:rPr>
        <w:t>⑦</w:t>
      </w:r>
      <w:r>
        <w:rPr>
          <w:color w:val="auto"/>
          <w:szCs w:val="21"/>
          <w:highlight w:val="none"/>
        </w:rPr>
        <w:t>供应商与采购人或者采购代理机构之间、供应商相互之间，为谋求特定供应商中标或者排斥其他供应商的其他串通行为。</w:t>
      </w:r>
    </w:p>
    <w:bookmarkEnd w:id="58"/>
    <w:p w14:paraId="20A09357">
      <w:pPr>
        <w:spacing w:before="120" w:line="320" w:lineRule="atLeast"/>
        <w:ind w:firstLine="420" w:firstLineChars="200"/>
        <w:rPr>
          <w:color w:val="auto"/>
          <w:szCs w:val="21"/>
          <w:highlight w:val="none"/>
        </w:rPr>
      </w:pPr>
      <w:r>
        <w:rPr>
          <w:color w:val="auto"/>
          <w:szCs w:val="21"/>
          <w:highlight w:val="none"/>
        </w:rPr>
        <w:t>6.3.</w:t>
      </w:r>
      <w:r>
        <w:rPr>
          <w:rFonts w:hint="eastAsia"/>
          <w:color w:val="auto"/>
          <w:szCs w:val="21"/>
          <w:highlight w:val="none"/>
          <w:lang w:val="en-US" w:eastAsia="zh-CN"/>
        </w:rPr>
        <w:t>10</w:t>
      </w:r>
      <w:r>
        <w:rPr>
          <w:color w:val="auto"/>
          <w:szCs w:val="21"/>
          <w:highlight w:val="none"/>
        </w:rPr>
        <w:t>响应</w:t>
      </w:r>
      <w:r>
        <w:rPr>
          <w:rFonts w:hint="eastAsia"/>
          <w:color w:val="auto"/>
          <w:szCs w:val="21"/>
          <w:highlight w:val="none"/>
        </w:rPr>
        <w:t>无效</w:t>
      </w:r>
      <w:r>
        <w:rPr>
          <w:color w:val="auto"/>
          <w:szCs w:val="21"/>
          <w:highlight w:val="none"/>
        </w:rPr>
        <w:t>认定</w:t>
      </w:r>
    </w:p>
    <w:p w14:paraId="105A21D3">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1）在</w:t>
      </w:r>
      <w:r>
        <w:rPr>
          <w:rFonts w:hint="eastAsia"/>
          <w:color w:val="auto"/>
          <w:szCs w:val="21"/>
          <w:highlight w:val="none"/>
        </w:rPr>
        <w:t>评审过程中</w:t>
      </w:r>
      <w:r>
        <w:rPr>
          <w:color w:val="auto"/>
          <w:szCs w:val="21"/>
          <w:highlight w:val="none"/>
        </w:rPr>
        <w:t>如发现下列情形之一的，响应文件将被视为无效：</w:t>
      </w:r>
    </w:p>
    <w:p w14:paraId="67C6A24F">
      <w:pPr>
        <w:spacing w:before="120" w:line="320" w:lineRule="atLeast"/>
        <w:ind w:firstLine="420" w:firstLineChars="200"/>
        <w:rPr>
          <w:color w:val="auto"/>
          <w:highlight w:val="none"/>
        </w:rPr>
      </w:pPr>
      <w:r>
        <w:rPr>
          <w:rFonts w:hint="eastAsia"/>
          <w:color w:val="auto"/>
          <w:szCs w:val="21"/>
          <w:highlight w:val="none"/>
        </w:rPr>
        <w:t>①</w:t>
      </w:r>
      <w:r>
        <w:rPr>
          <w:color w:val="auto"/>
          <w:szCs w:val="21"/>
          <w:highlight w:val="none"/>
        </w:rPr>
        <w:t>响应文件</w:t>
      </w:r>
      <w:r>
        <w:rPr>
          <w:rFonts w:hint="eastAsia"/>
          <w:color w:val="auto"/>
          <w:szCs w:val="21"/>
          <w:highlight w:val="none"/>
        </w:rPr>
        <w:t>存在法律、法规及监督部门有关文件规定的无效情形</w:t>
      </w:r>
      <w:r>
        <w:rPr>
          <w:color w:val="auto"/>
          <w:szCs w:val="21"/>
          <w:highlight w:val="none"/>
        </w:rPr>
        <w:t>。</w:t>
      </w:r>
    </w:p>
    <w:p w14:paraId="0BB2894C">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响应文件</w:t>
      </w:r>
      <w:r>
        <w:rPr>
          <w:rFonts w:hint="eastAsia"/>
          <w:color w:val="auto"/>
          <w:szCs w:val="21"/>
          <w:highlight w:val="none"/>
        </w:rPr>
        <w:t>存在采购文件规定的无效情形。</w:t>
      </w:r>
    </w:p>
    <w:p w14:paraId="27B6A3D0">
      <w:pPr>
        <w:spacing w:before="120" w:line="320" w:lineRule="atLeast"/>
        <w:ind w:firstLine="420" w:firstLineChars="200"/>
        <w:rPr>
          <w:color w:val="auto"/>
          <w:szCs w:val="21"/>
          <w:highlight w:val="none"/>
        </w:rPr>
      </w:pPr>
      <w:bookmarkStart w:id="59" w:name="_Hlk19113313"/>
      <w:r>
        <w:rPr>
          <w:rFonts w:hint="eastAsia"/>
          <w:color w:val="auto"/>
          <w:szCs w:val="21"/>
          <w:highlight w:val="none"/>
        </w:rPr>
        <w:t>（2）根据</w:t>
      </w:r>
      <w:r>
        <w:rPr>
          <w:color w:val="auto"/>
          <w:szCs w:val="21"/>
          <w:highlight w:val="none"/>
        </w:rPr>
        <w:t>财库</w:t>
      </w:r>
      <w:r>
        <w:rPr>
          <w:rFonts w:hint="eastAsia"/>
          <w:color w:val="auto"/>
          <w:szCs w:val="21"/>
          <w:highlight w:val="none"/>
        </w:rPr>
        <w:t>《</w:t>
      </w:r>
      <w:r>
        <w:rPr>
          <w:color w:val="auto"/>
          <w:szCs w:val="21"/>
          <w:highlight w:val="none"/>
        </w:rPr>
        <w:t>关于促进政府采购公平竞争优化营商环境的通知</w:t>
      </w:r>
      <w:r>
        <w:rPr>
          <w:rFonts w:hint="eastAsia"/>
          <w:color w:val="auto"/>
          <w:szCs w:val="21"/>
          <w:highlight w:val="none"/>
        </w:rPr>
        <w:t>》（</w:t>
      </w:r>
      <w:r>
        <w:rPr>
          <w:color w:val="auto"/>
          <w:szCs w:val="21"/>
          <w:highlight w:val="none"/>
        </w:rPr>
        <w:t>〔2019〕38号</w:t>
      </w:r>
      <w:r>
        <w:rPr>
          <w:rFonts w:hint="eastAsia"/>
          <w:color w:val="auto"/>
          <w:szCs w:val="21"/>
          <w:highlight w:val="none"/>
        </w:rPr>
        <w:t>）以及《广西壮族自治区财政厅转发财政部关于促进政府采购公平竞争优化营商环境的通知》（桂财采〔2019〕41号）规定，磋商小组不得因装订、纸张、文件排序等非实质性的格式、形式问题认定投标无效或否决投标，从而限制和影响供应商投标（响应）。</w:t>
      </w:r>
    </w:p>
    <w:bookmarkEnd w:id="59"/>
    <w:p w14:paraId="463FA828">
      <w:pPr>
        <w:spacing w:before="120" w:line="320" w:lineRule="atLeast"/>
        <w:ind w:firstLine="420" w:firstLineChars="200"/>
        <w:rPr>
          <w:color w:val="auto"/>
          <w:szCs w:val="21"/>
          <w:highlight w:val="none"/>
        </w:rPr>
      </w:pPr>
      <w:bookmarkStart w:id="60" w:name="_Hlk19113363"/>
      <w:r>
        <w:rPr>
          <w:color w:val="auto"/>
          <w:szCs w:val="21"/>
          <w:highlight w:val="none"/>
        </w:rPr>
        <w:t>6.3.1</w:t>
      </w:r>
      <w:r>
        <w:rPr>
          <w:rFonts w:hint="eastAsia"/>
          <w:color w:val="auto"/>
          <w:szCs w:val="21"/>
          <w:highlight w:val="none"/>
          <w:lang w:val="en-US" w:eastAsia="zh-CN"/>
        </w:rPr>
        <w:t>1</w:t>
      </w:r>
      <w:r>
        <w:rPr>
          <w:color w:val="auto"/>
          <w:szCs w:val="21"/>
          <w:highlight w:val="none"/>
        </w:rPr>
        <w:t>比较与评价</w:t>
      </w:r>
    </w:p>
    <w:p w14:paraId="76A87349">
      <w:pPr>
        <w:spacing w:before="120" w:line="320" w:lineRule="atLeast"/>
        <w:ind w:firstLine="420" w:firstLineChars="200"/>
        <w:rPr>
          <w:color w:val="auto"/>
          <w:szCs w:val="21"/>
          <w:highlight w:val="none"/>
        </w:rPr>
      </w:pPr>
      <w:r>
        <w:rPr>
          <w:rFonts w:hint="eastAsia"/>
          <w:color w:val="auto"/>
          <w:szCs w:val="21"/>
          <w:highlight w:val="none"/>
        </w:rPr>
        <w:t>（1）磋商小组</w:t>
      </w:r>
      <w:r>
        <w:rPr>
          <w:color w:val="auto"/>
          <w:szCs w:val="21"/>
          <w:highlight w:val="none"/>
        </w:rPr>
        <w:t>按采购文件中规定的评审方法和标准，</w:t>
      </w:r>
      <w:r>
        <w:rPr>
          <w:rFonts w:hint="eastAsia"/>
          <w:color w:val="auto"/>
          <w:szCs w:val="21"/>
          <w:highlight w:val="none"/>
        </w:rPr>
        <w:t>对提交最后报价的供应商的响应文件和最后报价进行综合评分。</w:t>
      </w:r>
    </w:p>
    <w:p w14:paraId="1092593B">
      <w:pPr>
        <w:spacing w:before="120" w:line="320" w:lineRule="atLeast"/>
        <w:ind w:firstLine="420" w:firstLineChars="200"/>
        <w:rPr>
          <w:color w:val="auto"/>
          <w:szCs w:val="21"/>
          <w:highlight w:val="none"/>
        </w:rPr>
      </w:pPr>
      <w:r>
        <w:rPr>
          <w:rFonts w:hint="eastAsia"/>
          <w:color w:val="auto"/>
          <w:szCs w:val="21"/>
          <w:highlight w:val="none"/>
        </w:rPr>
        <w:t>（2）</w:t>
      </w:r>
      <w:r>
        <w:rPr>
          <w:color w:val="auto"/>
          <w:szCs w:val="21"/>
          <w:highlight w:val="none"/>
        </w:rPr>
        <w:t>磋商小组各成员独立对每个有效供应商的响应文件进行评价</w:t>
      </w:r>
      <w:r>
        <w:rPr>
          <w:rFonts w:hint="eastAsia"/>
          <w:color w:val="auto"/>
          <w:szCs w:val="21"/>
          <w:highlight w:val="none"/>
        </w:rPr>
        <w:t>、打分。评价打分</w:t>
      </w:r>
      <w:r>
        <w:rPr>
          <w:color w:val="auto"/>
          <w:szCs w:val="21"/>
          <w:highlight w:val="none"/>
        </w:rPr>
        <w:t>有误的应及时进行修正。</w:t>
      </w:r>
      <w:r>
        <w:rPr>
          <w:rFonts w:hint="eastAsia"/>
          <w:color w:val="auto"/>
          <w:szCs w:val="21"/>
          <w:highlight w:val="none"/>
        </w:rPr>
        <w:t>评分</w:t>
      </w:r>
      <w:r>
        <w:rPr>
          <w:color w:val="auto"/>
          <w:szCs w:val="21"/>
          <w:highlight w:val="none"/>
        </w:rPr>
        <w:t>标准如有客观分定义，磋商小组所有成员的客观分</w:t>
      </w:r>
      <w:r>
        <w:rPr>
          <w:rFonts w:hint="eastAsia"/>
          <w:color w:val="auto"/>
          <w:szCs w:val="21"/>
          <w:highlight w:val="none"/>
        </w:rPr>
        <w:t>评分分值</w:t>
      </w:r>
      <w:r>
        <w:rPr>
          <w:color w:val="auto"/>
          <w:szCs w:val="21"/>
          <w:highlight w:val="none"/>
        </w:rPr>
        <w:t>应当一致。</w:t>
      </w:r>
    </w:p>
    <w:p w14:paraId="6699CEA6">
      <w:pPr>
        <w:spacing w:before="120" w:line="320" w:lineRule="atLeast"/>
        <w:ind w:firstLine="420" w:firstLineChars="200"/>
        <w:rPr>
          <w:rFonts w:hint="eastAsia"/>
          <w:color w:val="auto"/>
          <w:szCs w:val="21"/>
          <w:highlight w:val="none"/>
        </w:rPr>
      </w:pPr>
      <w:r>
        <w:rPr>
          <w:rFonts w:hint="eastAsia"/>
          <w:color w:val="auto"/>
          <w:szCs w:val="21"/>
          <w:highlight w:val="none"/>
        </w:rPr>
        <w:t>（3）磋商小组按综合评分由高到低的排列顺序推荐</w:t>
      </w:r>
      <w:r>
        <w:rPr>
          <w:color w:val="auto"/>
          <w:szCs w:val="21"/>
          <w:highlight w:val="none"/>
        </w:rPr>
        <w:t>3</w:t>
      </w:r>
      <w:r>
        <w:rPr>
          <w:rFonts w:hint="eastAsia"/>
          <w:color w:val="auto"/>
          <w:szCs w:val="21"/>
          <w:highlight w:val="none"/>
        </w:rPr>
        <w:t>名以上成交候选供应商，排名第一的为第一成交候选供应商。</w:t>
      </w:r>
      <w:r>
        <w:rPr>
          <w:color w:val="auto"/>
          <w:szCs w:val="21"/>
          <w:highlight w:val="none"/>
        </w:rPr>
        <w:t>若</w:t>
      </w:r>
      <w:r>
        <w:rPr>
          <w:rFonts w:hint="eastAsia"/>
          <w:color w:val="auto"/>
          <w:szCs w:val="21"/>
          <w:highlight w:val="none"/>
        </w:rPr>
        <w:t>成交</w:t>
      </w:r>
      <w:r>
        <w:rPr>
          <w:color w:val="auto"/>
          <w:szCs w:val="21"/>
          <w:highlight w:val="none"/>
        </w:rPr>
        <w:t>候选人综合</w:t>
      </w:r>
      <w:r>
        <w:rPr>
          <w:rFonts w:hint="eastAsia"/>
          <w:color w:val="auto"/>
          <w:szCs w:val="21"/>
          <w:highlight w:val="none"/>
        </w:rPr>
        <w:t>评</w:t>
      </w:r>
      <w:r>
        <w:rPr>
          <w:color w:val="auto"/>
          <w:szCs w:val="21"/>
          <w:highlight w:val="none"/>
        </w:rPr>
        <w:t>分相同的，按</w:t>
      </w:r>
      <w:r>
        <w:rPr>
          <w:rFonts w:hint="eastAsia"/>
          <w:color w:val="auto"/>
          <w:szCs w:val="21"/>
          <w:highlight w:val="none"/>
        </w:rPr>
        <w:t>最后</w:t>
      </w:r>
      <w:r>
        <w:rPr>
          <w:color w:val="auto"/>
          <w:szCs w:val="21"/>
          <w:highlight w:val="none"/>
        </w:rPr>
        <w:t>报价由低到高顺序排列；综合</w:t>
      </w:r>
      <w:r>
        <w:rPr>
          <w:rFonts w:hint="eastAsia"/>
          <w:color w:val="auto"/>
          <w:szCs w:val="21"/>
          <w:highlight w:val="none"/>
        </w:rPr>
        <w:t>评</w:t>
      </w:r>
      <w:r>
        <w:rPr>
          <w:color w:val="auto"/>
          <w:szCs w:val="21"/>
          <w:highlight w:val="none"/>
        </w:rPr>
        <w:t>分且</w:t>
      </w:r>
      <w:r>
        <w:rPr>
          <w:rFonts w:hint="eastAsia"/>
          <w:color w:val="auto"/>
          <w:szCs w:val="21"/>
          <w:highlight w:val="none"/>
        </w:rPr>
        <w:t>最后</w:t>
      </w:r>
      <w:r>
        <w:rPr>
          <w:color w:val="auto"/>
          <w:szCs w:val="21"/>
          <w:highlight w:val="none"/>
        </w:rPr>
        <w:t>报价相同的</w:t>
      </w:r>
      <w:r>
        <w:rPr>
          <w:color w:val="auto"/>
          <w:highlight w:val="none"/>
        </w:rPr>
        <w:t>并列</w:t>
      </w:r>
      <w:r>
        <w:rPr>
          <w:color w:val="auto"/>
          <w:szCs w:val="21"/>
          <w:highlight w:val="none"/>
        </w:rPr>
        <w:t>；</w:t>
      </w:r>
      <w:r>
        <w:rPr>
          <w:rFonts w:hint="eastAsia"/>
          <w:color w:val="auto"/>
          <w:szCs w:val="21"/>
          <w:highlight w:val="none"/>
        </w:rPr>
        <w:t>成交</w:t>
      </w:r>
      <w:r>
        <w:rPr>
          <w:color w:val="auto"/>
          <w:szCs w:val="21"/>
          <w:highlight w:val="none"/>
        </w:rPr>
        <w:t>候选人并列的，按技术部分</w:t>
      </w:r>
      <w:r>
        <w:rPr>
          <w:rFonts w:hint="eastAsia"/>
          <w:color w:val="auto"/>
          <w:szCs w:val="21"/>
          <w:highlight w:val="none"/>
        </w:rPr>
        <w:t>评</w:t>
      </w:r>
      <w:r>
        <w:rPr>
          <w:color w:val="auto"/>
          <w:szCs w:val="21"/>
          <w:highlight w:val="none"/>
        </w:rPr>
        <w:t>分由高到低顺序排列，若综合评分、</w:t>
      </w:r>
      <w:r>
        <w:rPr>
          <w:rFonts w:hint="eastAsia"/>
          <w:color w:val="auto"/>
          <w:szCs w:val="21"/>
          <w:highlight w:val="none"/>
        </w:rPr>
        <w:t>最后</w:t>
      </w:r>
      <w:r>
        <w:rPr>
          <w:color w:val="auto"/>
          <w:szCs w:val="21"/>
          <w:highlight w:val="none"/>
        </w:rPr>
        <w:t>报价、技术部分</w:t>
      </w:r>
      <w:r>
        <w:rPr>
          <w:rFonts w:hint="eastAsia"/>
          <w:color w:val="auto"/>
          <w:szCs w:val="21"/>
          <w:highlight w:val="none"/>
        </w:rPr>
        <w:t>评分</w:t>
      </w:r>
      <w:r>
        <w:rPr>
          <w:color w:val="auto"/>
          <w:szCs w:val="21"/>
          <w:highlight w:val="none"/>
        </w:rPr>
        <w:t>均相同的，按商务</w:t>
      </w:r>
      <w:r>
        <w:rPr>
          <w:rFonts w:hint="eastAsia"/>
          <w:color w:val="auto"/>
          <w:szCs w:val="21"/>
          <w:highlight w:val="none"/>
        </w:rPr>
        <w:t>资信</w:t>
      </w:r>
      <w:r>
        <w:rPr>
          <w:color w:val="auto"/>
          <w:szCs w:val="21"/>
          <w:highlight w:val="none"/>
        </w:rPr>
        <w:t>部分</w:t>
      </w:r>
      <w:r>
        <w:rPr>
          <w:rFonts w:hint="eastAsia"/>
          <w:color w:val="auto"/>
          <w:szCs w:val="21"/>
          <w:highlight w:val="none"/>
        </w:rPr>
        <w:t>评</w:t>
      </w:r>
      <w:r>
        <w:rPr>
          <w:color w:val="auto"/>
          <w:szCs w:val="21"/>
          <w:highlight w:val="none"/>
        </w:rPr>
        <w:t>分由高到低顺序排列。</w:t>
      </w:r>
      <w:r>
        <w:rPr>
          <w:rFonts w:hint="eastAsia"/>
          <w:color w:val="auto"/>
          <w:szCs w:val="21"/>
          <w:highlight w:val="none"/>
        </w:rPr>
        <w:t>若综合评分、最后报价、技术部分评分、商务资信部分评分均相同的，由采购人自行决定。</w:t>
      </w:r>
    </w:p>
    <w:p w14:paraId="5CF18826">
      <w:pPr>
        <w:spacing w:before="120" w:line="320" w:lineRule="atLeast"/>
        <w:ind w:firstLine="420" w:firstLineChars="200"/>
        <w:rPr>
          <w:color w:val="auto"/>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）磋商小组根据评审记录及评审结果编写评审报告，磋商小组成员均应当在评审报告上签字，对自己的评审意见承担法律责任。</w:t>
      </w:r>
      <w:r>
        <w:rPr>
          <w:color w:val="auto"/>
          <w:highlight w:val="none"/>
        </w:rPr>
        <w:t>评审报告签署前，经复核发现存在以</w:t>
      </w:r>
      <w:r>
        <w:rPr>
          <w:rFonts w:hint="eastAsia"/>
          <w:color w:val="auto"/>
          <w:highlight w:val="none"/>
        </w:rPr>
        <w:t>下</w:t>
      </w:r>
      <w:r>
        <w:rPr>
          <w:color w:val="auto"/>
          <w:highlight w:val="none"/>
        </w:rPr>
        <w:t>情形之一的，磋商小组应当当场修改评审结果，并在评审报告中记载；评审报告签署后，采购人或者采购代理机构发现存在以</w:t>
      </w:r>
      <w:r>
        <w:rPr>
          <w:rFonts w:hint="eastAsia"/>
          <w:color w:val="auto"/>
          <w:highlight w:val="none"/>
        </w:rPr>
        <w:t>下</w:t>
      </w:r>
      <w:r>
        <w:rPr>
          <w:color w:val="auto"/>
          <w:highlight w:val="none"/>
        </w:rPr>
        <w:t>情形之一的，应当组织原磋商小组进行重新评审。</w:t>
      </w:r>
    </w:p>
    <w:p w14:paraId="659D27EB">
      <w:pPr>
        <w:spacing w:before="120" w:line="320" w:lineRule="atLeast"/>
        <w:ind w:firstLine="420" w:firstLineChars="200"/>
        <w:rPr>
          <w:color w:val="auto"/>
          <w:highlight w:val="none"/>
        </w:rPr>
      </w:pPr>
      <w:r>
        <w:rPr>
          <w:rFonts w:hint="eastAsia"/>
          <w:color w:val="auto"/>
          <w:highlight w:val="none"/>
        </w:rPr>
        <w:t>资格性检查认定错误、分值汇总计算错误、分项评分超出评分标准范围、客观分评分不一致、经磋商小组一致认定评分畸高、畸低。</w:t>
      </w:r>
    </w:p>
    <w:bookmarkEnd w:id="60"/>
    <w:p w14:paraId="0EFC6D5D">
      <w:pPr>
        <w:spacing w:before="120" w:line="320" w:lineRule="atLeast"/>
        <w:ind w:firstLine="422" w:firstLineChars="200"/>
        <w:outlineLvl w:val="2"/>
        <w:rPr>
          <w:b/>
          <w:bCs/>
          <w:color w:val="auto"/>
          <w:kern w:val="0"/>
          <w:szCs w:val="21"/>
          <w:highlight w:val="none"/>
        </w:rPr>
      </w:pPr>
      <w:r>
        <w:rPr>
          <w:b/>
          <w:bCs/>
          <w:color w:val="auto"/>
          <w:kern w:val="0"/>
          <w:szCs w:val="21"/>
          <w:highlight w:val="none"/>
        </w:rPr>
        <w:t>6.4确定成交供应商</w:t>
      </w:r>
    </w:p>
    <w:p w14:paraId="021AC714">
      <w:pPr>
        <w:spacing w:before="120" w:line="276" w:lineRule="auto"/>
        <w:ind w:firstLine="420" w:firstLineChars="200"/>
        <w:rPr>
          <w:color w:val="auto"/>
          <w:szCs w:val="21"/>
          <w:highlight w:val="none"/>
        </w:rPr>
      </w:pPr>
      <w:r>
        <w:rPr>
          <w:rFonts w:hint="eastAsia"/>
          <w:color w:val="auto"/>
          <w:szCs w:val="21"/>
          <w:highlight w:val="none"/>
        </w:rPr>
        <w:t>6.4</w:t>
      </w:r>
      <w:r>
        <w:rPr>
          <w:color w:val="auto"/>
          <w:szCs w:val="21"/>
          <w:highlight w:val="none"/>
        </w:rPr>
        <w:t>.1采购代理机构在评审结束后2个工作日内将评审报告送采购人，采购人在5个工作日内按照评审报告中推荐的成交候选供应商顺序确定成交供应商。</w:t>
      </w:r>
    </w:p>
    <w:p w14:paraId="7BE57F2F">
      <w:pPr>
        <w:spacing w:before="120" w:line="276" w:lineRule="auto"/>
        <w:ind w:firstLine="420" w:firstLineChars="200"/>
        <w:rPr>
          <w:color w:val="auto"/>
          <w:szCs w:val="21"/>
          <w:highlight w:val="none"/>
        </w:rPr>
      </w:pPr>
      <w:r>
        <w:rPr>
          <w:color w:val="auto"/>
          <w:szCs w:val="21"/>
          <w:highlight w:val="none"/>
        </w:rPr>
        <w:t>6.4.2</w:t>
      </w:r>
      <w:r>
        <w:rPr>
          <w:rFonts w:hint="eastAsia"/>
          <w:color w:val="auto"/>
          <w:szCs w:val="21"/>
          <w:highlight w:val="none"/>
        </w:rPr>
        <w:t>采购人、采购代理机构认为供应商对采购过程、成交结果提出的质疑成立且影响或者可能影响成交结果的，合格供应商符合法定数量时，可以从合格的成交候选供应商中另行确定成交供应商的，应当依法另行确定成交供应商；否则应当重新开展采购活动。</w:t>
      </w:r>
    </w:p>
    <w:p w14:paraId="574B3BAA">
      <w:pPr>
        <w:spacing w:before="120" w:line="320" w:lineRule="atLeast"/>
        <w:ind w:firstLine="422" w:firstLineChars="200"/>
        <w:outlineLvl w:val="2"/>
        <w:rPr>
          <w:b/>
          <w:bCs/>
          <w:color w:val="auto"/>
          <w:kern w:val="0"/>
          <w:szCs w:val="21"/>
          <w:highlight w:val="none"/>
        </w:rPr>
      </w:pPr>
      <w:r>
        <w:rPr>
          <w:b/>
          <w:bCs/>
          <w:color w:val="auto"/>
          <w:kern w:val="0"/>
          <w:szCs w:val="21"/>
          <w:highlight w:val="none"/>
        </w:rPr>
        <w:t>6.5</w:t>
      </w:r>
      <w:r>
        <w:rPr>
          <w:rFonts w:hint="eastAsia"/>
          <w:b/>
          <w:bCs/>
          <w:color w:val="auto"/>
          <w:kern w:val="0"/>
          <w:szCs w:val="21"/>
          <w:highlight w:val="none"/>
        </w:rPr>
        <w:t>结果公告</w:t>
      </w:r>
    </w:p>
    <w:p w14:paraId="5536FBA0">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.5.1自成交供应商确定后2个工作日内，采购代理机构</w:t>
      </w:r>
      <w:r>
        <w:rPr>
          <w:rFonts w:hint="eastAsia"/>
          <w:color w:val="auto"/>
          <w:szCs w:val="21"/>
          <w:highlight w:val="none"/>
        </w:rPr>
        <w:t>按照供应商须知</w:t>
      </w:r>
      <w:r>
        <w:rPr>
          <w:rFonts w:hint="eastAsia"/>
          <w:color w:val="auto"/>
          <w:kern w:val="0"/>
          <w:szCs w:val="21"/>
          <w:highlight w:val="none"/>
        </w:rPr>
        <w:t>前附表的规定</w:t>
      </w:r>
      <w:r>
        <w:rPr>
          <w:color w:val="auto"/>
          <w:kern w:val="0"/>
          <w:szCs w:val="21"/>
          <w:highlight w:val="none"/>
        </w:rPr>
        <w:t>公告</w:t>
      </w:r>
      <w:r>
        <w:rPr>
          <w:color w:val="auto"/>
          <w:szCs w:val="21"/>
          <w:highlight w:val="none"/>
        </w:rPr>
        <w:t>成交结果。</w:t>
      </w:r>
    </w:p>
    <w:p w14:paraId="56150E47">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.5.2在发布</w:t>
      </w:r>
      <w:r>
        <w:rPr>
          <w:rFonts w:hint="eastAsia"/>
          <w:color w:val="auto"/>
          <w:szCs w:val="21"/>
          <w:highlight w:val="none"/>
        </w:rPr>
        <w:t>结果</w:t>
      </w:r>
      <w:r>
        <w:rPr>
          <w:color w:val="auto"/>
          <w:szCs w:val="21"/>
          <w:highlight w:val="none"/>
        </w:rPr>
        <w:t>公告的同时，采购代理机构以供应商须知前附表规定的形式向成交供应商发出成交通知书。成交通知书发出后，采购人改变成交结果，或者成交供应商放弃成交，应当承担相应的法律责任。</w:t>
      </w:r>
    </w:p>
    <w:p w14:paraId="342B8876">
      <w:pPr>
        <w:suppressAutoHyphens/>
        <w:spacing w:before="120" w:line="320" w:lineRule="atLeast"/>
        <w:ind w:firstLine="422" w:firstLineChars="200"/>
        <w:outlineLvl w:val="2"/>
        <w:rPr>
          <w:b/>
          <w:bCs/>
          <w:color w:val="auto"/>
          <w:kern w:val="0"/>
          <w:szCs w:val="21"/>
          <w:highlight w:val="none"/>
        </w:rPr>
      </w:pPr>
      <w:r>
        <w:rPr>
          <w:b/>
          <w:bCs/>
          <w:color w:val="auto"/>
          <w:kern w:val="0"/>
          <w:szCs w:val="21"/>
          <w:highlight w:val="none"/>
        </w:rPr>
        <w:t>6.6</w:t>
      </w:r>
      <w:r>
        <w:rPr>
          <w:rFonts w:hint="eastAsia"/>
          <w:b/>
          <w:bCs/>
          <w:color w:val="auto"/>
          <w:kern w:val="0"/>
          <w:szCs w:val="21"/>
          <w:highlight w:val="none"/>
        </w:rPr>
        <w:t>废标</w:t>
      </w:r>
    </w:p>
    <w:p w14:paraId="4AEAAE42">
      <w:pPr>
        <w:spacing w:before="120" w:line="320" w:lineRule="atLeast"/>
        <w:ind w:firstLine="420" w:firstLineChars="200"/>
        <w:rPr>
          <w:color w:val="auto"/>
          <w:kern w:val="1"/>
          <w:szCs w:val="21"/>
          <w:highlight w:val="none"/>
        </w:rPr>
      </w:pPr>
      <w:r>
        <w:rPr>
          <w:color w:val="auto"/>
          <w:kern w:val="1"/>
          <w:szCs w:val="21"/>
          <w:highlight w:val="none"/>
        </w:rPr>
        <w:t>6.6.1</w:t>
      </w:r>
      <w:r>
        <w:rPr>
          <w:rFonts w:hint="eastAsia"/>
          <w:color w:val="auto"/>
          <w:kern w:val="1"/>
          <w:szCs w:val="21"/>
          <w:highlight w:val="none"/>
        </w:rPr>
        <w:t xml:space="preserve">出现下列情形之一，将导致项目废标： </w:t>
      </w:r>
    </w:p>
    <w:p w14:paraId="326FA1CA">
      <w:pPr>
        <w:spacing w:before="120" w:line="320" w:lineRule="atLeast"/>
        <w:ind w:firstLine="420" w:firstLineChars="200"/>
        <w:rPr>
          <w:color w:val="auto"/>
          <w:szCs w:val="21"/>
          <w:highlight w:val="none"/>
        </w:rPr>
      </w:pPr>
      <w:r>
        <w:rPr>
          <w:rFonts w:hint="eastAsia"/>
          <w:color w:val="auto"/>
          <w:kern w:val="1"/>
          <w:szCs w:val="21"/>
          <w:highlight w:val="none"/>
        </w:rPr>
        <w:t>（1</w:t>
      </w:r>
      <w:r>
        <w:rPr>
          <w:rFonts w:hint="eastAsia"/>
          <w:color w:val="auto"/>
          <w:szCs w:val="21"/>
          <w:highlight w:val="none"/>
        </w:rPr>
        <w:t>）符合专业条件的供应商或者对采购文件做实质性响应的供应商不足三家；</w:t>
      </w:r>
    </w:p>
    <w:p w14:paraId="15916840">
      <w:pPr>
        <w:spacing w:before="120" w:line="320" w:lineRule="atLeast"/>
        <w:ind w:firstLine="420" w:firstLineChars="200"/>
        <w:rPr>
          <w:color w:val="auto"/>
          <w:szCs w:val="21"/>
          <w:highlight w:val="none"/>
        </w:rPr>
      </w:pPr>
      <w:r>
        <w:rPr>
          <w:rFonts w:hint="eastAsia"/>
          <w:color w:val="auto"/>
          <w:szCs w:val="21"/>
          <w:highlight w:val="none"/>
        </w:rPr>
        <w:t>（2）出现影响采购公正的违法、违规行为的；</w:t>
      </w:r>
    </w:p>
    <w:p w14:paraId="0E6EE8CB">
      <w:pPr>
        <w:spacing w:before="120" w:line="320" w:lineRule="atLeast"/>
        <w:ind w:firstLine="420" w:firstLineChars="200"/>
        <w:rPr>
          <w:color w:val="auto"/>
          <w:szCs w:val="21"/>
          <w:highlight w:val="none"/>
        </w:rPr>
      </w:pPr>
      <w:r>
        <w:rPr>
          <w:rFonts w:hint="eastAsia"/>
          <w:color w:val="auto"/>
          <w:szCs w:val="21"/>
          <w:highlight w:val="none"/>
        </w:rPr>
        <w:t>（3）供应商的报价均超过了采购预算，采购人不能支付的；</w:t>
      </w:r>
    </w:p>
    <w:p w14:paraId="71B4C1B3">
      <w:pPr>
        <w:spacing w:before="120" w:line="320" w:lineRule="atLeast"/>
        <w:ind w:firstLine="420" w:firstLineChars="200"/>
        <w:rPr>
          <w:color w:val="auto"/>
          <w:highlight w:val="none"/>
        </w:rPr>
      </w:pPr>
      <w:r>
        <w:rPr>
          <w:rFonts w:hint="eastAsia"/>
          <w:color w:val="auto"/>
          <w:szCs w:val="21"/>
          <w:highlight w:val="none"/>
        </w:rPr>
        <w:t>（4）</w:t>
      </w:r>
      <w:r>
        <w:rPr>
          <w:rFonts w:hint="eastAsia"/>
          <w:color w:val="auto"/>
          <w:highlight w:val="none"/>
        </w:rPr>
        <w:t>因发生重大变故或采购任务取消的。</w:t>
      </w:r>
    </w:p>
    <w:p w14:paraId="5BD1300F">
      <w:pPr>
        <w:spacing w:before="120" w:line="320" w:lineRule="atLeast"/>
        <w:ind w:firstLine="420" w:firstLineChars="200"/>
        <w:rPr>
          <w:color w:val="auto"/>
          <w:szCs w:val="21"/>
          <w:highlight w:val="none"/>
        </w:rPr>
      </w:pPr>
      <w:r>
        <w:rPr>
          <w:color w:val="auto"/>
          <w:kern w:val="1"/>
          <w:szCs w:val="21"/>
          <w:highlight w:val="none"/>
        </w:rPr>
        <w:t>6.6.2</w:t>
      </w:r>
      <w:r>
        <w:rPr>
          <w:rFonts w:hint="eastAsia"/>
          <w:color w:val="auto"/>
          <w:kern w:val="1"/>
          <w:szCs w:val="21"/>
          <w:highlight w:val="none"/>
        </w:rPr>
        <w:t>废标后</w:t>
      </w:r>
      <w:r>
        <w:rPr>
          <w:rFonts w:hint="eastAsia"/>
          <w:color w:val="auto"/>
          <w:szCs w:val="21"/>
          <w:highlight w:val="none"/>
        </w:rPr>
        <w:t>采购</w:t>
      </w:r>
      <w:r>
        <w:rPr>
          <w:rFonts w:hint="eastAsia"/>
          <w:color w:val="auto"/>
          <w:kern w:val="1"/>
          <w:szCs w:val="21"/>
          <w:highlight w:val="none"/>
        </w:rPr>
        <w:t>代理机构将发布废标公告通知供应商。</w:t>
      </w:r>
    </w:p>
    <w:p w14:paraId="67EECBB6">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7．合同</w:t>
      </w:r>
    </w:p>
    <w:p w14:paraId="14442116">
      <w:pPr>
        <w:spacing w:before="120" w:line="320" w:lineRule="atLeast"/>
        <w:ind w:firstLine="422" w:firstLineChars="200"/>
        <w:outlineLvl w:val="2"/>
        <w:rPr>
          <w:b/>
          <w:bCs/>
          <w:color w:val="auto"/>
          <w:kern w:val="0"/>
          <w:szCs w:val="21"/>
          <w:highlight w:val="none"/>
        </w:rPr>
      </w:pPr>
      <w:r>
        <w:rPr>
          <w:b/>
          <w:bCs/>
          <w:color w:val="auto"/>
          <w:kern w:val="0"/>
          <w:szCs w:val="21"/>
          <w:highlight w:val="none"/>
        </w:rPr>
        <w:t>7.1合同授予标准</w:t>
      </w:r>
    </w:p>
    <w:p w14:paraId="6B8E9F06">
      <w:pPr>
        <w:spacing w:before="120" w:line="320" w:lineRule="atLeast"/>
        <w:ind w:firstLine="420" w:firstLineChars="200"/>
        <w:rPr>
          <w:color w:val="auto"/>
          <w:szCs w:val="21"/>
          <w:highlight w:val="none"/>
        </w:rPr>
      </w:pPr>
      <w:r>
        <w:rPr>
          <w:color w:val="auto"/>
          <w:szCs w:val="21"/>
          <w:highlight w:val="none"/>
        </w:rPr>
        <w:t>合同将授予被确定实质上响应采购文件要求，具备履行合同能力，综合评分排名第一的供应商。在</w:t>
      </w:r>
      <w:r>
        <w:rPr>
          <w:rFonts w:hint="eastAsia"/>
          <w:color w:val="auto"/>
          <w:szCs w:val="21"/>
          <w:highlight w:val="none"/>
        </w:rPr>
        <w:t>成交通知书</w:t>
      </w:r>
      <w:r>
        <w:rPr>
          <w:color w:val="auto"/>
          <w:szCs w:val="21"/>
          <w:highlight w:val="none"/>
        </w:rPr>
        <w:t>发出前或签订合同前，如果</w:t>
      </w:r>
      <w:r>
        <w:rPr>
          <w:rFonts w:hint="eastAsia"/>
          <w:color w:val="auto"/>
          <w:szCs w:val="21"/>
          <w:highlight w:val="none"/>
        </w:rPr>
        <w:t>成交供应商</w:t>
      </w:r>
      <w:r>
        <w:rPr>
          <w:color w:val="auto"/>
          <w:szCs w:val="21"/>
          <w:highlight w:val="none"/>
        </w:rPr>
        <w:t>的组织机构</w:t>
      </w:r>
      <w:r>
        <w:rPr>
          <w:rFonts w:hint="eastAsia"/>
          <w:color w:val="auto"/>
          <w:szCs w:val="21"/>
          <w:highlight w:val="none"/>
        </w:rPr>
        <w:t>、</w:t>
      </w:r>
      <w:r>
        <w:rPr>
          <w:color w:val="auto"/>
          <w:szCs w:val="21"/>
          <w:highlight w:val="none"/>
        </w:rPr>
        <w:t>经营、财务状况发生较大变化，可能造成不能履行合同、无法按照</w:t>
      </w:r>
      <w:r>
        <w:rPr>
          <w:rFonts w:hint="eastAsia"/>
          <w:color w:val="auto"/>
          <w:szCs w:val="21"/>
          <w:highlight w:val="none"/>
        </w:rPr>
        <w:t>采购文件</w:t>
      </w:r>
      <w:r>
        <w:rPr>
          <w:color w:val="auto"/>
          <w:szCs w:val="21"/>
          <w:highlight w:val="none"/>
        </w:rPr>
        <w:t>要求提交履约保证金等情形，不符合成交条件或不满足供应商资格条件要求 ，应在</w:t>
      </w:r>
      <w:r>
        <w:rPr>
          <w:rFonts w:hint="eastAsia"/>
          <w:color w:val="auto"/>
          <w:szCs w:val="21"/>
          <w:highlight w:val="none"/>
        </w:rPr>
        <w:t>成交通知书</w:t>
      </w:r>
      <w:r>
        <w:rPr>
          <w:color w:val="auto"/>
          <w:szCs w:val="21"/>
          <w:highlight w:val="none"/>
        </w:rPr>
        <w:t>发出前或签订合同前及时书面告知采购人</w:t>
      </w:r>
      <w:r>
        <w:rPr>
          <w:rFonts w:hint="eastAsia"/>
          <w:color w:val="auto"/>
          <w:szCs w:val="21"/>
          <w:highlight w:val="none"/>
        </w:rPr>
        <w:t>，</w:t>
      </w:r>
      <w:r>
        <w:rPr>
          <w:color w:val="auto"/>
          <w:szCs w:val="21"/>
          <w:highlight w:val="none"/>
        </w:rPr>
        <w:t>未主动告知</w:t>
      </w:r>
      <w:r>
        <w:rPr>
          <w:rFonts w:hint="eastAsia"/>
          <w:color w:val="auto"/>
          <w:szCs w:val="21"/>
          <w:highlight w:val="none"/>
        </w:rPr>
        <w:t>，</w:t>
      </w:r>
      <w:r>
        <w:rPr>
          <w:color w:val="auto"/>
          <w:szCs w:val="21"/>
          <w:highlight w:val="none"/>
        </w:rPr>
        <w:t>给采购人造成损失的</w:t>
      </w:r>
      <w:r>
        <w:rPr>
          <w:rFonts w:hint="eastAsia"/>
          <w:color w:val="auto"/>
          <w:szCs w:val="21"/>
          <w:highlight w:val="none"/>
        </w:rPr>
        <w:t>，</w:t>
      </w:r>
      <w:r>
        <w:rPr>
          <w:color w:val="auto"/>
          <w:szCs w:val="21"/>
          <w:highlight w:val="none"/>
        </w:rPr>
        <w:t>采购人有权</w:t>
      </w:r>
      <w:r>
        <w:rPr>
          <w:rFonts w:hint="eastAsia"/>
          <w:color w:val="auto"/>
          <w:szCs w:val="21"/>
          <w:highlight w:val="none"/>
        </w:rPr>
        <w:t>取消其成交资格并</w:t>
      </w:r>
      <w:r>
        <w:rPr>
          <w:color w:val="auto"/>
          <w:szCs w:val="21"/>
          <w:highlight w:val="none"/>
        </w:rPr>
        <w:t>没收磋商保证金</w:t>
      </w:r>
      <w:r>
        <w:rPr>
          <w:rFonts w:hint="eastAsia"/>
          <w:color w:val="auto"/>
          <w:szCs w:val="21"/>
          <w:highlight w:val="none"/>
        </w:rPr>
        <w:t>。</w:t>
      </w:r>
    </w:p>
    <w:p w14:paraId="5508AB56">
      <w:pPr>
        <w:spacing w:before="120" w:line="320" w:lineRule="atLeast"/>
        <w:ind w:firstLine="422" w:firstLineChars="200"/>
        <w:outlineLvl w:val="2"/>
        <w:rPr>
          <w:b/>
          <w:bCs/>
          <w:color w:val="auto"/>
          <w:kern w:val="0"/>
          <w:szCs w:val="21"/>
          <w:highlight w:val="none"/>
        </w:rPr>
      </w:pPr>
      <w:r>
        <w:rPr>
          <w:b/>
          <w:bCs/>
          <w:color w:val="auto"/>
          <w:kern w:val="0"/>
          <w:szCs w:val="21"/>
          <w:highlight w:val="none"/>
        </w:rPr>
        <w:t>7.2签订合同</w:t>
      </w:r>
    </w:p>
    <w:p w14:paraId="2FC0F15D">
      <w:pPr>
        <w:spacing w:before="120" w:line="320" w:lineRule="atLeast"/>
        <w:ind w:firstLine="420" w:firstLineChars="200"/>
        <w:rPr>
          <w:color w:val="auto"/>
          <w:szCs w:val="21"/>
          <w:highlight w:val="none"/>
        </w:rPr>
      </w:pPr>
      <w:r>
        <w:rPr>
          <w:color w:val="auto"/>
          <w:szCs w:val="21"/>
          <w:highlight w:val="none"/>
        </w:rPr>
        <w:t>7.2.1如</w:t>
      </w:r>
      <w:r>
        <w:rPr>
          <w:rFonts w:hint="eastAsia"/>
          <w:color w:val="auto"/>
          <w:szCs w:val="21"/>
          <w:highlight w:val="none"/>
        </w:rPr>
        <w:t>采购文件</w:t>
      </w:r>
      <w:r>
        <w:rPr>
          <w:color w:val="auto"/>
          <w:szCs w:val="21"/>
          <w:highlight w:val="none"/>
        </w:rPr>
        <w:t>无</w:t>
      </w:r>
      <w:r>
        <w:rPr>
          <w:rFonts w:hint="eastAsia"/>
          <w:color w:val="auto"/>
          <w:szCs w:val="21"/>
          <w:highlight w:val="none"/>
        </w:rPr>
        <w:t>特别</w:t>
      </w:r>
      <w:r>
        <w:rPr>
          <w:color w:val="auto"/>
          <w:szCs w:val="21"/>
          <w:highlight w:val="none"/>
        </w:rPr>
        <w:t>规定，</w:t>
      </w:r>
      <w:r>
        <w:rPr>
          <w:rFonts w:hint="eastAsia"/>
          <w:color w:val="auto"/>
          <w:szCs w:val="21"/>
          <w:highlight w:val="none"/>
        </w:rPr>
        <w:t>成交供应商按采购文件确定的事项签订政府采购合同。</w:t>
      </w:r>
    </w:p>
    <w:p w14:paraId="60037D3B">
      <w:pPr>
        <w:spacing w:before="120" w:line="320" w:lineRule="atLeast"/>
        <w:ind w:firstLine="420" w:firstLineChars="200"/>
        <w:rPr>
          <w:color w:val="auto"/>
          <w:szCs w:val="21"/>
          <w:highlight w:val="none"/>
        </w:rPr>
      </w:pPr>
      <w:r>
        <w:rPr>
          <w:color w:val="auto"/>
          <w:szCs w:val="21"/>
          <w:highlight w:val="none"/>
        </w:rPr>
        <w:t>7.2.2</w:t>
      </w:r>
      <w:r>
        <w:rPr>
          <w:rFonts w:hint="eastAsia"/>
          <w:color w:val="auto"/>
          <w:szCs w:val="21"/>
          <w:highlight w:val="none"/>
        </w:rPr>
        <w:t>政府采购合同应当包括采购人与成交供应商的名称和住所、标的、数量、质量、价款或者报酬、履行期限及地点和方式、验收要求、违约责任、解决争议的方法等内容。</w:t>
      </w:r>
      <w:r>
        <w:rPr>
          <w:color w:val="auto"/>
          <w:szCs w:val="21"/>
          <w:highlight w:val="none"/>
        </w:rPr>
        <w:t>采购文件、成交供应商的响应文件及澄清文件等，均为签订政府采购合同的依据。</w:t>
      </w:r>
    </w:p>
    <w:p w14:paraId="26BE7434">
      <w:pPr>
        <w:spacing w:before="120" w:line="320" w:lineRule="atLeast"/>
        <w:ind w:firstLine="420" w:firstLineChars="200"/>
        <w:rPr>
          <w:color w:val="auto"/>
          <w:szCs w:val="21"/>
          <w:highlight w:val="none"/>
        </w:rPr>
      </w:pPr>
      <w:r>
        <w:rPr>
          <w:color w:val="auto"/>
          <w:szCs w:val="21"/>
          <w:highlight w:val="none"/>
        </w:rPr>
        <w:t>7.2.3如成交供应商不按成交通知书的规定签订合同，</w:t>
      </w:r>
      <w:r>
        <w:rPr>
          <w:rFonts w:hint="eastAsia"/>
          <w:color w:val="auto"/>
          <w:szCs w:val="21"/>
          <w:highlight w:val="none"/>
        </w:rPr>
        <w:t>其磋商保证金将不予退还，并报由同级政府采购监督管理部门处理。</w:t>
      </w:r>
    </w:p>
    <w:p w14:paraId="51FC6BC3">
      <w:pPr>
        <w:spacing w:before="120" w:line="320" w:lineRule="atLeast"/>
        <w:ind w:firstLine="420" w:firstLineChars="200"/>
        <w:rPr>
          <w:color w:val="auto"/>
          <w:szCs w:val="21"/>
          <w:highlight w:val="none"/>
        </w:rPr>
      </w:pPr>
      <w:r>
        <w:rPr>
          <w:rFonts w:hint="eastAsia"/>
          <w:color w:val="auto"/>
          <w:szCs w:val="21"/>
          <w:highlight w:val="none"/>
        </w:rPr>
        <w:t>7</w:t>
      </w:r>
      <w:r>
        <w:rPr>
          <w:color w:val="auto"/>
          <w:szCs w:val="21"/>
          <w:highlight w:val="none"/>
        </w:rPr>
        <w:t>.2.4</w:t>
      </w:r>
      <w:r>
        <w:rPr>
          <w:rFonts w:hint="eastAsia"/>
          <w:color w:val="auto"/>
          <w:szCs w:val="21"/>
          <w:highlight w:val="none"/>
        </w:rPr>
        <w:t>成交供应商拒绝与采购人签订合同的，采购人可以按照评审报告推荐的成交候选人名单排序，确定下一候选人为成交供应商，也可以重新开展政府采购活动。</w:t>
      </w:r>
    </w:p>
    <w:p w14:paraId="3F81CF38">
      <w:pPr>
        <w:spacing w:before="120" w:line="320" w:lineRule="atLeast"/>
        <w:ind w:firstLine="420" w:firstLineChars="200"/>
        <w:rPr>
          <w:rFonts w:hint="eastAsia"/>
          <w:color w:val="auto"/>
          <w:szCs w:val="21"/>
          <w:highlight w:val="none"/>
        </w:rPr>
      </w:pPr>
      <w:bookmarkStart w:id="61" w:name="_Hlk155170999"/>
      <w:r>
        <w:rPr>
          <w:rFonts w:hint="eastAsia"/>
          <w:color w:val="auto"/>
          <w:szCs w:val="21"/>
          <w:highlight w:val="none"/>
        </w:rPr>
        <w:t>7</w:t>
      </w:r>
      <w:r>
        <w:rPr>
          <w:color w:val="auto"/>
          <w:szCs w:val="21"/>
          <w:highlight w:val="none"/>
        </w:rPr>
        <w:t>.2.5</w:t>
      </w:r>
      <w:r>
        <w:rPr>
          <w:rFonts w:hint="eastAsia"/>
          <w:color w:val="auto"/>
          <w:szCs w:val="21"/>
          <w:highlight w:val="none"/>
        </w:rPr>
        <w:t>采购人因不可抗力原因迟延签订合同的，应当自不可抗力事由消除之日起5个工作日内完成合同签订事宜。</w:t>
      </w:r>
      <w:bookmarkEnd w:id="61"/>
    </w:p>
    <w:p w14:paraId="7844BC33">
      <w:pPr>
        <w:spacing w:before="120" w:line="320" w:lineRule="atLeast"/>
        <w:ind w:firstLine="422" w:firstLineChars="200"/>
        <w:outlineLvl w:val="2"/>
        <w:rPr>
          <w:b/>
          <w:bCs/>
          <w:color w:val="auto"/>
          <w:kern w:val="0"/>
          <w:szCs w:val="21"/>
          <w:highlight w:val="none"/>
        </w:rPr>
      </w:pPr>
      <w:r>
        <w:rPr>
          <w:b/>
          <w:bCs/>
          <w:color w:val="auto"/>
          <w:kern w:val="0"/>
          <w:szCs w:val="21"/>
          <w:highlight w:val="none"/>
        </w:rPr>
        <w:t>7.3合同公告</w:t>
      </w:r>
    </w:p>
    <w:p w14:paraId="601CB944">
      <w:pPr>
        <w:spacing w:before="120" w:line="320" w:lineRule="atLeast"/>
        <w:ind w:firstLine="420" w:firstLineChars="200"/>
        <w:rPr>
          <w:color w:val="auto"/>
          <w:szCs w:val="21"/>
          <w:highlight w:val="none"/>
        </w:rPr>
      </w:pPr>
      <w:r>
        <w:rPr>
          <w:color w:val="auto"/>
          <w:szCs w:val="21"/>
          <w:highlight w:val="none"/>
        </w:rPr>
        <w:t>7.3.1如</w:t>
      </w:r>
      <w:r>
        <w:rPr>
          <w:rFonts w:hint="eastAsia"/>
          <w:color w:val="auto"/>
          <w:szCs w:val="21"/>
          <w:highlight w:val="none"/>
        </w:rPr>
        <w:t>采购文件</w:t>
      </w:r>
      <w:r>
        <w:rPr>
          <w:color w:val="auto"/>
          <w:szCs w:val="21"/>
          <w:highlight w:val="none"/>
        </w:rPr>
        <w:t>无特殊规定</w:t>
      </w:r>
      <w:r>
        <w:rPr>
          <w:rFonts w:hint="eastAsia"/>
          <w:color w:val="auto"/>
          <w:szCs w:val="21"/>
          <w:highlight w:val="none"/>
        </w:rPr>
        <w:t>，</w:t>
      </w:r>
      <w:r>
        <w:rPr>
          <w:color w:val="auto"/>
          <w:szCs w:val="21"/>
          <w:highlight w:val="none"/>
        </w:rPr>
        <w:t>成交供应商应在签订合同后1个工作日内，将政府采购合同副本送采购代理机构</w:t>
      </w:r>
      <w:r>
        <w:rPr>
          <w:rFonts w:hint="eastAsia"/>
          <w:color w:val="auto"/>
          <w:szCs w:val="21"/>
          <w:highlight w:val="none"/>
        </w:rPr>
        <w:t>存档</w:t>
      </w:r>
      <w:r>
        <w:rPr>
          <w:color w:val="auto"/>
          <w:szCs w:val="21"/>
          <w:highlight w:val="none"/>
        </w:rPr>
        <w:t>。</w:t>
      </w:r>
    </w:p>
    <w:p w14:paraId="34637FDA">
      <w:pPr>
        <w:spacing w:before="120" w:line="320" w:lineRule="atLeast"/>
        <w:ind w:firstLine="420" w:firstLineChars="200"/>
        <w:rPr>
          <w:color w:val="auto"/>
          <w:szCs w:val="21"/>
          <w:highlight w:val="none"/>
        </w:rPr>
      </w:pPr>
      <w:r>
        <w:rPr>
          <w:color w:val="auto"/>
          <w:szCs w:val="21"/>
          <w:highlight w:val="none"/>
        </w:rPr>
        <w:t>7.3.2采购人应当自政府采购合同签订之日起2个工作日内，将政府采购合同在省级以上人民政府财政部门指定的媒体上公告，但政府采购合同中涉及国家秘密、商业秘密的内容除外。</w:t>
      </w:r>
    </w:p>
    <w:p w14:paraId="0588BD68">
      <w:pPr>
        <w:spacing w:before="120" w:line="320" w:lineRule="atLeast"/>
        <w:ind w:firstLine="420" w:firstLineChars="200"/>
        <w:rPr>
          <w:rFonts w:hint="eastAsia"/>
          <w:color w:val="auto"/>
          <w:szCs w:val="21"/>
          <w:highlight w:val="none"/>
        </w:rPr>
      </w:pPr>
      <w:bookmarkStart w:id="62" w:name="_Hlk155171014"/>
      <w:r>
        <w:rPr>
          <w:rFonts w:hint="eastAsia"/>
          <w:color w:val="auto"/>
          <w:szCs w:val="21"/>
          <w:highlight w:val="none"/>
        </w:rPr>
        <w:t>7</w:t>
      </w:r>
      <w:r>
        <w:rPr>
          <w:color w:val="auto"/>
          <w:szCs w:val="21"/>
          <w:highlight w:val="none"/>
        </w:rPr>
        <w:t xml:space="preserve">.3.3 </w:t>
      </w:r>
      <w:r>
        <w:rPr>
          <w:rFonts w:hint="eastAsia"/>
          <w:color w:val="auto"/>
          <w:szCs w:val="21"/>
          <w:highlight w:val="none"/>
        </w:rPr>
        <w:t>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bookmarkEnd w:id="62"/>
    </w:p>
    <w:p w14:paraId="5CB46D5F">
      <w:pPr>
        <w:spacing w:before="120" w:line="320" w:lineRule="atLeast"/>
        <w:ind w:firstLine="422" w:firstLineChars="200"/>
        <w:outlineLvl w:val="2"/>
        <w:rPr>
          <w:b/>
          <w:bCs/>
          <w:color w:val="auto"/>
          <w:kern w:val="0"/>
          <w:szCs w:val="21"/>
          <w:highlight w:val="none"/>
        </w:rPr>
      </w:pPr>
      <w:r>
        <w:rPr>
          <w:b/>
          <w:bCs/>
          <w:color w:val="auto"/>
          <w:kern w:val="0"/>
          <w:szCs w:val="21"/>
          <w:highlight w:val="none"/>
        </w:rPr>
        <w:t>7.4 履行合同</w:t>
      </w:r>
    </w:p>
    <w:p w14:paraId="1DA2BDC1">
      <w:pPr>
        <w:spacing w:before="120" w:line="320" w:lineRule="atLeast"/>
        <w:ind w:firstLine="420" w:firstLineChars="200"/>
        <w:rPr>
          <w:color w:val="auto"/>
          <w:szCs w:val="21"/>
          <w:highlight w:val="none"/>
        </w:rPr>
      </w:pPr>
      <w:bookmarkStart w:id="63" w:name="_Toc308164814"/>
      <w:bookmarkStart w:id="64" w:name="_Toc217446070"/>
      <w:r>
        <w:rPr>
          <w:color w:val="auto"/>
          <w:szCs w:val="21"/>
          <w:highlight w:val="none"/>
        </w:rPr>
        <w:t>7.4.1</w:t>
      </w:r>
      <w:r>
        <w:rPr>
          <w:rFonts w:hint="eastAsia"/>
          <w:color w:val="auto"/>
          <w:szCs w:val="21"/>
          <w:highlight w:val="none"/>
        </w:rPr>
        <w:t>采购人与成交供应商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p w14:paraId="797A1171">
      <w:pPr>
        <w:spacing w:before="120" w:line="320" w:lineRule="atLeast"/>
        <w:ind w:firstLine="422" w:firstLineChars="200"/>
        <w:rPr>
          <w:b/>
          <w:bCs/>
          <w:color w:val="auto"/>
          <w:kern w:val="0"/>
          <w:szCs w:val="21"/>
          <w:highlight w:val="none"/>
        </w:rPr>
      </w:pPr>
      <w:r>
        <w:rPr>
          <w:b/>
          <w:bCs/>
          <w:color w:val="auto"/>
          <w:kern w:val="0"/>
          <w:szCs w:val="21"/>
          <w:highlight w:val="none"/>
        </w:rPr>
        <w:t>7.5履约验收</w:t>
      </w:r>
      <w:bookmarkEnd w:id="63"/>
      <w:bookmarkEnd w:id="64"/>
    </w:p>
    <w:p w14:paraId="602F026E">
      <w:pPr>
        <w:spacing w:before="120" w:line="320" w:lineRule="atLeast"/>
        <w:ind w:firstLine="420" w:firstLineChars="200"/>
        <w:rPr>
          <w:color w:val="auto"/>
          <w:szCs w:val="21"/>
          <w:highlight w:val="none"/>
        </w:rPr>
      </w:pPr>
      <w:r>
        <w:rPr>
          <w:color w:val="auto"/>
          <w:szCs w:val="21"/>
          <w:highlight w:val="none"/>
        </w:rPr>
        <w:t>7.5.1采购人可以根据政府采购项目具体情况自行组织验收，或者委托政府采购代理机构、国家认可的质量检测机构开展采购项目履约验收工作。</w:t>
      </w:r>
    </w:p>
    <w:p w14:paraId="14FC2A23">
      <w:pPr>
        <w:spacing w:before="120" w:line="320" w:lineRule="atLeast"/>
        <w:ind w:firstLine="420" w:firstLineChars="200"/>
        <w:rPr>
          <w:color w:val="auto"/>
          <w:szCs w:val="21"/>
          <w:highlight w:val="none"/>
        </w:rPr>
      </w:pPr>
      <w:r>
        <w:rPr>
          <w:color w:val="auto"/>
          <w:szCs w:val="21"/>
          <w:highlight w:val="none"/>
        </w:rPr>
        <w:t>7.5.2验收结果合格的，成交供应商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4986B077">
      <w:pPr>
        <w:spacing w:before="120" w:line="320" w:lineRule="atLeast"/>
        <w:ind w:firstLine="420" w:firstLineChars="200"/>
        <w:rPr>
          <w:color w:val="auto"/>
          <w:szCs w:val="21"/>
          <w:highlight w:val="none"/>
        </w:rPr>
      </w:pPr>
      <w:r>
        <w:rPr>
          <w:color w:val="auto"/>
          <w:szCs w:val="21"/>
          <w:highlight w:val="none"/>
        </w:rPr>
        <w:t>7.5.3采购合同项目完成验收后，采购人应当将验收原始记录、验收书等资料作为该采购项目档案妥善保管，不得伪造、变造、隐匿或者销毁，验收资料保存期为采购结束之日起至少保存15年。</w:t>
      </w:r>
    </w:p>
    <w:p w14:paraId="0784FA26">
      <w:pPr>
        <w:spacing w:before="120" w:line="320" w:lineRule="atLeast"/>
        <w:ind w:firstLine="420" w:firstLineChars="200"/>
        <w:rPr>
          <w:color w:val="auto"/>
          <w:szCs w:val="21"/>
          <w:highlight w:val="none"/>
        </w:rPr>
      </w:pPr>
      <w:r>
        <w:rPr>
          <w:color w:val="auto"/>
          <w:szCs w:val="21"/>
          <w:highlight w:val="none"/>
        </w:rPr>
        <w:t>7.5.4本项目将严格按照本采购文件及合同有关规定进行合同履约验收。采购文件或合同未规定的按财政部关于进一步加强政府采购需求和履约验收管理的指导意见（财库〔2016〕205号）以及《广西壮族自治区政府采购项目履约验收管理办法》（桂财采〔2015〕22号）的规定执行。</w:t>
      </w:r>
    </w:p>
    <w:p w14:paraId="58604533">
      <w:pPr>
        <w:spacing w:before="120" w:line="320" w:lineRule="atLeast"/>
        <w:ind w:left="2" w:leftChars="1" w:firstLine="422" w:firstLineChars="200"/>
        <w:outlineLvl w:val="1"/>
        <w:rPr>
          <w:b/>
          <w:bCs/>
          <w:color w:val="auto"/>
          <w:kern w:val="0"/>
          <w:szCs w:val="21"/>
          <w:highlight w:val="none"/>
        </w:rPr>
      </w:pPr>
      <w:bookmarkStart w:id="65" w:name="_Toc254970533"/>
      <w:bookmarkStart w:id="66" w:name="_Toc254970674"/>
      <w:r>
        <w:rPr>
          <w:b/>
          <w:bCs/>
          <w:color w:val="auto"/>
          <w:kern w:val="0"/>
          <w:szCs w:val="21"/>
          <w:highlight w:val="none"/>
        </w:rPr>
        <w:t>8．质疑和投诉</w:t>
      </w:r>
      <w:bookmarkEnd w:id="65"/>
      <w:bookmarkEnd w:id="66"/>
    </w:p>
    <w:p w14:paraId="45A601E5">
      <w:pPr>
        <w:spacing w:before="120" w:line="320" w:lineRule="atLeast"/>
        <w:ind w:firstLine="422" w:firstLineChars="200"/>
        <w:outlineLvl w:val="2"/>
        <w:rPr>
          <w:b/>
          <w:bCs/>
          <w:color w:val="auto"/>
          <w:kern w:val="0"/>
          <w:szCs w:val="21"/>
          <w:highlight w:val="none"/>
        </w:rPr>
      </w:pPr>
      <w:r>
        <w:rPr>
          <w:b/>
          <w:bCs/>
          <w:color w:val="auto"/>
          <w:kern w:val="0"/>
          <w:szCs w:val="21"/>
          <w:highlight w:val="none"/>
        </w:rPr>
        <w:t>8.1质疑</w:t>
      </w:r>
    </w:p>
    <w:p w14:paraId="4836E9CF">
      <w:pPr>
        <w:spacing w:before="120" w:line="320" w:lineRule="atLeast"/>
        <w:ind w:firstLine="420" w:firstLineChars="200"/>
        <w:rPr>
          <w:color w:val="auto"/>
          <w:szCs w:val="21"/>
          <w:highlight w:val="none"/>
        </w:rPr>
      </w:pPr>
      <w:r>
        <w:rPr>
          <w:color w:val="auto"/>
          <w:szCs w:val="21"/>
          <w:highlight w:val="none"/>
        </w:rPr>
        <w:t>8.1.1质疑内容、时限</w:t>
      </w:r>
    </w:p>
    <w:p w14:paraId="307B62C3">
      <w:pPr>
        <w:spacing w:before="120" w:line="320" w:lineRule="atLeast"/>
        <w:ind w:firstLine="420" w:firstLineChars="200"/>
        <w:rPr>
          <w:color w:val="auto"/>
          <w:szCs w:val="21"/>
          <w:highlight w:val="none"/>
        </w:rPr>
      </w:pPr>
      <w:r>
        <w:rPr>
          <w:rFonts w:hint="eastAsia"/>
          <w:color w:val="auto"/>
          <w:szCs w:val="21"/>
          <w:highlight w:val="none"/>
        </w:rPr>
        <w:t>（1）供应商对政府采购活动有疑问的，可以向采购人或采购代理机构提出询问。采购人或者采购代理机构应当在3个工作日内对供应商依法提出的询问作出答复。</w:t>
      </w:r>
    </w:p>
    <w:p w14:paraId="2A5AFBB9">
      <w:pPr>
        <w:spacing w:before="120" w:line="320" w:lineRule="atLeast"/>
        <w:ind w:firstLine="420" w:firstLineChars="200"/>
        <w:rPr>
          <w:color w:val="auto"/>
          <w:szCs w:val="21"/>
          <w:highlight w:val="none"/>
        </w:rPr>
      </w:pPr>
      <w:r>
        <w:rPr>
          <w:rFonts w:hint="eastAsia"/>
          <w:color w:val="auto"/>
          <w:szCs w:val="21"/>
          <w:highlight w:val="none"/>
        </w:rPr>
        <w:t>（2）供应商为认为采购文件、采购过程、中标或者成交结果使自己的权益受到损害的，可以在知道或者应知其权益受到损害之日起7个工作日内向采购人或采购代理机构提出质疑。采购人或</w:t>
      </w:r>
      <w:r>
        <w:rPr>
          <w:color w:val="auto"/>
          <w:szCs w:val="21"/>
          <w:highlight w:val="none"/>
        </w:rPr>
        <w:t>采购代理机构在收到供应商书面质疑后7个工作日内，对质疑内容作出答复。</w:t>
      </w:r>
    </w:p>
    <w:p w14:paraId="73DF2D11">
      <w:pPr>
        <w:spacing w:before="120" w:line="320" w:lineRule="atLeast"/>
        <w:ind w:firstLine="420" w:firstLineChars="200"/>
        <w:rPr>
          <w:color w:val="auto"/>
          <w:szCs w:val="21"/>
          <w:highlight w:val="none"/>
        </w:rPr>
      </w:pPr>
      <w:r>
        <w:rPr>
          <w:color w:val="auto"/>
          <w:szCs w:val="21"/>
          <w:highlight w:val="none"/>
        </w:rPr>
        <w:t>8.1.2质疑形式</w:t>
      </w:r>
    </w:p>
    <w:p w14:paraId="6D9C10C4">
      <w:pPr>
        <w:spacing w:before="120" w:line="320" w:lineRule="atLeast"/>
        <w:ind w:firstLine="420" w:firstLineChars="200"/>
        <w:rPr>
          <w:color w:val="auto"/>
          <w:szCs w:val="21"/>
          <w:highlight w:val="none"/>
        </w:rPr>
      </w:pPr>
      <w:r>
        <w:rPr>
          <w:color w:val="auto"/>
          <w:szCs w:val="21"/>
          <w:highlight w:val="none"/>
        </w:rPr>
        <w:t>质疑应当采用</w:t>
      </w:r>
      <w:r>
        <w:rPr>
          <w:rFonts w:hint="eastAsia"/>
          <w:color w:val="auto"/>
          <w:szCs w:val="21"/>
          <w:highlight w:val="none"/>
        </w:rPr>
        <w:t>供应商</w:t>
      </w:r>
      <w:r>
        <w:rPr>
          <w:color w:val="auto"/>
          <w:szCs w:val="21"/>
          <w:highlight w:val="none"/>
        </w:rPr>
        <w:t>须知前附表所规定的形式，质疑书应明确阐述</w:t>
      </w:r>
      <w:r>
        <w:rPr>
          <w:rFonts w:hint="eastAsia"/>
          <w:color w:val="auto"/>
          <w:szCs w:val="21"/>
          <w:highlight w:val="none"/>
        </w:rPr>
        <w:t>采购文件</w:t>
      </w:r>
      <w:r>
        <w:rPr>
          <w:color w:val="auto"/>
          <w:szCs w:val="21"/>
          <w:highlight w:val="none"/>
        </w:rPr>
        <w:t>、</w:t>
      </w:r>
      <w:r>
        <w:rPr>
          <w:rFonts w:hint="eastAsia"/>
          <w:color w:val="auto"/>
          <w:szCs w:val="21"/>
          <w:highlight w:val="none"/>
        </w:rPr>
        <w:t>采购</w:t>
      </w:r>
      <w:r>
        <w:rPr>
          <w:color w:val="auto"/>
          <w:szCs w:val="21"/>
          <w:highlight w:val="none"/>
        </w:rPr>
        <w:t>过程或成交结果中使自己合法权益受到损害的实质性内容，提供相关事实、依据和证据及其来源或线索，便于有关单位调查、答复和处理。</w:t>
      </w:r>
    </w:p>
    <w:p w14:paraId="3D8C6533">
      <w:pPr>
        <w:spacing w:before="120" w:line="320" w:lineRule="atLeast"/>
        <w:ind w:firstLine="420" w:firstLineChars="200"/>
        <w:rPr>
          <w:color w:val="auto"/>
          <w:szCs w:val="21"/>
          <w:highlight w:val="none"/>
        </w:rPr>
      </w:pPr>
      <w:r>
        <w:rPr>
          <w:rFonts w:hint="eastAsia"/>
          <w:color w:val="auto"/>
          <w:szCs w:val="21"/>
          <w:highlight w:val="none"/>
        </w:rPr>
        <w:t>8</w:t>
      </w:r>
      <w:r>
        <w:rPr>
          <w:color w:val="auto"/>
          <w:szCs w:val="21"/>
          <w:highlight w:val="none"/>
        </w:rPr>
        <w:t>.1.3</w:t>
      </w:r>
      <w:r>
        <w:rPr>
          <w:rFonts w:hint="eastAsia"/>
          <w:color w:val="auto"/>
          <w:highlight w:val="none"/>
        </w:rPr>
        <w:t xml:space="preserve"> </w:t>
      </w:r>
      <w:r>
        <w:rPr>
          <w:rFonts w:hint="eastAsia"/>
          <w:color w:val="auto"/>
          <w:szCs w:val="21"/>
          <w:highlight w:val="none"/>
        </w:rPr>
        <w:t>供应商提出质疑应当提交质疑函和必要的证明材料。质疑函应当包括下列内容：</w:t>
      </w:r>
    </w:p>
    <w:p w14:paraId="0F075B8E">
      <w:pPr>
        <w:spacing w:before="120" w:line="320" w:lineRule="atLeast"/>
        <w:ind w:firstLine="420" w:firstLineChars="200"/>
        <w:rPr>
          <w:color w:val="auto"/>
          <w:szCs w:val="21"/>
          <w:highlight w:val="none"/>
        </w:rPr>
      </w:pPr>
      <w:r>
        <w:rPr>
          <w:rFonts w:hint="eastAsia"/>
          <w:color w:val="auto"/>
          <w:szCs w:val="21"/>
          <w:highlight w:val="none"/>
        </w:rPr>
        <w:t>（1）供应商的姓名或者名称、地址、邮编、联系人及联系电话；</w:t>
      </w:r>
    </w:p>
    <w:p w14:paraId="5E95C660">
      <w:pPr>
        <w:spacing w:before="120" w:line="320" w:lineRule="atLeast"/>
        <w:ind w:firstLine="420" w:firstLineChars="200"/>
        <w:rPr>
          <w:color w:val="auto"/>
          <w:szCs w:val="21"/>
          <w:highlight w:val="none"/>
        </w:rPr>
      </w:pPr>
      <w:r>
        <w:rPr>
          <w:rFonts w:hint="eastAsia"/>
          <w:color w:val="auto"/>
          <w:szCs w:val="21"/>
          <w:highlight w:val="none"/>
        </w:rPr>
        <w:t>（2）质疑项目的名称、编号；</w:t>
      </w:r>
    </w:p>
    <w:p w14:paraId="080B08FB">
      <w:pPr>
        <w:spacing w:before="120" w:line="320" w:lineRule="atLeast"/>
        <w:ind w:firstLine="420" w:firstLineChars="200"/>
        <w:rPr>
          <w:color w:val="auto"/>
          <w:szCs w:val="21"/>
          <w:highlight w:val="none"/>
        </w:rPr>
      </w:pPr>
      <w:r>
        <w:rPr>
          <w:rFonts w:hint="eastAsia"/>
          <w:color w:val="auto"/>
          <w:szCs w:val="21"/>
          <w:highlight w:val="none"/>
        </w:rPr>
        <w:t>（3）具体、明确的质疑事项和与质疑事项相关的请求；</w:t>
      </w:r>
    </w:p>
    <w:p w14:paraId="2EC3BBAF">
      <w:pPr>
        <w:spacing w:before="120" w:line="320" w:lineRule="atLeast"/>
        <w:ind w:firstLine="420" w:firstLineChars="200"/>
        <w:rPr>
          <w:color w:val="auto"/>
          <w:szCs w:val="21"/>
          <w:highlight w:val="none"/>
        </w:rPr>
      </w:pPr>
      <w:r>
        <w:rPr>
          <w:rFonts w:hint="eastAsia"/>
          <w:color w:val="auto"/>
          <w:szCs w:val="21"/>
          <w:highlight w:val="none"/>
        </w:rPr>
        <w:t>（4）事实依据；</w:t>
      </w:r>
    </w:p>
    <w:p w14:paraId="6489AE9D">
      <w:pPr>
        <w:spacing w:before="120" w:line="320" w:lineRule="atLeast"/>
        <w:ind w:firstLine="420" w:firstLineChars="200"/>
        <w:rPr>
          <w:color w:val="auto"/>
          <w:szCs w:val="21"/>
          <w:highlight w:val="none"/>
        </w:rPr>
      </w:pPr>
      <w:r>
        <w:rPr>
          <w:rFonts w:hint="eastAsia"/>
          <w:color w:val="auto"/>
          <w:szCs w:val="21"/>
          <w:highlight w:val="none"/>
        </w:rPr>
        <w:t>（5）必要的法律依据；</w:t>
      </w:r>
    </w:p>
    <w:p w14:paraId="1B856548">
      <w:pPr>
        <w:spacing w:before="120" w:line="320" w:lineRule="atLeast"/>
        <w:ind w:firstLine="420" w:firstLineChars="200"/>
        <w:rPr>
          <w:color w:val="auto"/>
          <w:szCs w:val="21"/>
          <w:highlight w:val="none"/>
        </w:rPr>
      </w:pPr>
      <w:r>
        <w:rPr>
          <w:rFonts w:hint="eastAsia"/>
          <w:color w:val="auto"/>
          <w:szCs w:val="21"/>
          <w:highlight w:val="none"/>
        </w:rPr>
        <w:t>（6）提出质疑的日期。</w:t>
      </w:r>
    </w:p>
    <w:p w14:paraId="60E419F9">
      <w:pPr>
        <w:spacing w:before="120" w:line="320" w:lineRule="atLeast"/>
        <w:ind w:firstLine="420" w:firstLineChars="200"/>
        <w:rPr>
          <w:color w:val="auto"/>
          <w:szCs w:val="21"/>
          <w:highlight w:val="none"/>
        </w:rPr>
      </w:pPr>
      <w:r>
        <w:rPr>
          <w:rFonts w:hint="eastAsia"/>
          <w:color w:val="auto"/>
          <w:szCs w:val="21"/>
          <w:highlight w:val="none"/>
        </w:rPr>
        <w:t>供应商为自然人的，应当由本人签字；供应商为法人</w:t>
      </w:r>
      <w:r>
        <w:rPr>
          <w:rFonts w:hint="eastAsia"/>
          <w:color w:val="auto"/>
          <w:highlight w:val="none"/>
        </w:rPr>
        <w:t>（</w:t>
      </w:r>
      <w:r>
        <w:rPr>
          <w:rFonts w:hint="eastAsia"/>
          <w:color w:val="auto"/>
          <w:highlight w:val="none"/>
          <w:lang w:eastAsia="zh-CN"/>
        </w:rPr>
        <w:t>或</w:t>
      </w:r>
      <w:r>
        <w:rPr>
          <w:rFonts w:hint="eastAsia"/>
          <w:color w:val="auto"/>
          <w:highlight w:val="none"/>
        </w:rPr>
        <w:t>分支机构负责人）</w:t>
      </w:r>
      <w:r>
        <w:rPr>
          <w:rFonts w:hint="eastAsia"/>
          <w:color w:val="auto"/>
          <w:szCs w:val="21"/>
          <w:highlight w:val="none"/>
        </w:rPr>
        <w:t>或者其他组织的，应当由法定代表人</w:t>
      </w:r>
      <w:r>
        <w:rPr>
          <w:rFonts w:hint="eastAsia"/>
          <w:color w:val="auto"/>
          <w:highlight w:val="none"/>
        </w:rPr>
        <w:t>（</w:t>
      </w:r>
      <w:r>
        <w:rPr>
          <w:rFonts w:hint="eastAsia"/>
          <w:color w:val="auto"/>
          <w:highlight w:val="none"/>
          <w:lang w:eastAsia="zh-CN"/>
        </w:rPr>
        <w:t>或</w:t>
      </w:r>
      <w:r>
        <w:rPr>
          <w:rFonts w:hint="eastAsia"/>
          <w:color w:val="auto"/>
          <w:highlight w:val="none"/>
        </w:rPr>
        <w:t>分支机构负责人）</w:t>
      </w:r>
      <w:r>
        <w:rPr>
          <w:rFonts w:hint="eastAsia"/>
          <w:color w:val="auto"/>
          <w:szCs w:val="21"/>
          <w:highlight w:val="none"/>
        </w:rPr>
        <w:t>、主要负责人，或者其授权代表签字或者盖章，并加盖公章。</w:t>
      </w:r>
      <w:r>
        <w:rPr>
          <w:color w:val="auto"/>
          <w:szCs w:val="21"/>
          <w:highlight w:val="none"/>
        </w:rPr>
        <w:t xml:space="preserve"> </w:t>
      </w:r>
    </w:p>
    <w:p w14:paraId="7734CC99">
      <w:pPr>
        <w:spacing w:before="120" w:line="320" w:lineRule="atLeast"/>
        <w:ind w:firstLine="422" w:firstLineChars="200"/>
        <w:outlineLvl w:val="2"/>
        <w:rPr>
          <w:b/>
          <w:bCs/>
          <w:color w:val="auto"/>
          <w:kern w:val="0"/>
          <w:szCs w:val="21"/>
          <w:highlight w:val="none"/>
        </w:rPr>
      </w:pPr>
      <w:r>
        <w:rPr>
          <w:b/>
          <w:bCs/>
          <w:color w:val="auto"/>
          <w:kern w:val="0"/>
          <w:szCs w:val="21"/>
          <w:highlight w:val="none"/>
        </w:rPr>
        <w:t>8.2投诉</w:t>
      </w:r>
    </w:p>
    <w:p w14:paraId="4BB938E0">
      <w:pPr>
        <w:spacing w:before="120" w:line="320" w:lineRule="atLeast"/>
        <w:ind w:firstLine="420" w:firstLineChars="200"/>
        <w:rPr>
          <w:color w:val="auto"/>
          <w:szCs w:val="21"/>
          <w:highlight w:val="none"/>
        </w:rPr>
      </w:pPr>
      <w:r>
        <w:rPr>
          <w:color w:val="auto"/>
          <w:szCs w:val="21"/>
          <w:highlight w:val="none"/>
        </w:rPr>
        <w:t>8.2.1供应商对采购人、采购代理机构的答复不满意，或者采购人、采购代理机构未在规定时间内答复的，可在答复期满后15个工作日内按有关规定，向同级财政部门投诉。</w:t>
      </w:r>
    </w:p>
    <w:p w14:paraId="484A9EC3">
      <w:pPr>
        <w:spacing w:before="120" w:line="320" w:lineRule="atLeast"/>
        <w:ind w:firstLine="420" w:firstLineChars="200"/>
        <w:rPr>
          <w:color w:val="auto"/>
          <w:szCs w:val="21"/>
          <w:highlight w:val="none"/>
        </w:rPr>
      </w:pPr>
      <w:r>
        <w:rPr>
          <w:color w:val="auto"/>
          <w:szCs w:val="21"/>
          <w:highlight w:val="none"/>
        </w:rPr>
        <w:t>8.2.</w:t>
      </w:r>
      <w:r>
        <w:rPr>
          <w:rFonts w:hint="eastAsia"/>
          <w:color w:val="auto"/>
          <w:szCs w:val="21"/>
          <w:highlight w:val="none"/>
        </w:rPr>
        <w:t>2投诉</w:t>
      </w:r>
      <w:r>
        <w:rPr>
          <w:color w:val="auto"/>
          <w:szCs w:val="21"/>
          <w:highlight w:val="none"/>
        </w:rPr>
        <w:t>书应使用财政部发布的</w:t>
      </w:r>
      <w:r>
        <w:rPr>
          <w:rFonts w:hint="eastAsia"/>
          <w:color w:val="auto"/>
          <w:szCs w:val="21"/>
          <w:highlight w:val="none"/>
        </w:rPr>
        <w:t>政府采购供应投诉书范本，并应按照“投诉书制作说明”进行编写。</w:t>
      </w:r>
    </w:p>
    <w:p w14:paraId="71814809">
      <w:pPr>
        <w:spacing w:before="120" w:line="320" w:lineRule="atLeast"/>
        <w:ind w:firstLine="422" w:firstLineChars="200"/>
        <w:outlineLvl w:val="1"/>
        <w:rPr>
          <w:b/>
          <w:bCs/>
          <w:color w:val="auto"/>
          <w:kern w:val="0"/>
          <w:szCs w:val="21"/>
          <w:highlight w:val="none"/>
        </w:rPr>
      </w:pPr>
      <w:r>
        <w:rPr>
          <w:b/>
          <w:bCs/>
          <w:color w:val="auto"/>
          <w:kern w:val="0"/>
          <w:szCs w:val="21"/>
          <w:highlight w:val="none"/>
        </w:rPr>
        <w:t>9．其他事项</w:t>
      </w:r>
    </w:p>
    <w:p w14:paraId="57DEA025">
      <w:pPr>
        <w:spacing w:before="120" w:line="320" w:lineRule="atLeast"/>
        <w:ind w:firstLine="420" w:firstLineChars="200"/>
        <w:rPr>
          <w:color w:val="auto"/>
          <w:szCs w:val="21"/>
          <w:highlight w:val="none"/>
        </w:rPr>
      </w:pPr>
      <w:r>
        <w:rPr>
          <w:color w:val="auto"/>
          <w:szCs w:val="21"/>
          <w:highlight w:val="none"/>
        </w:rPr>
        <w:t>9.1代理服务收费由采购代理机构向成交供应商收取。签订合同前，成交供应商应向采购代理机构一次付清代理服务费。</w:t>
      </w:r>
    </w:p>
    <w:p w14:paraId="20E860C4">
      <w:pPr>
        <w:spacing w:before="120" w:line="276" w:lineRule="auto"/>
        <w:ind w:firstLine="420" w:firstLineChars="200"/>
        <w:rPr>
          <w:color w:val="auto"/>
          <w:szCs w:val="21"/>
          <w:highlight w:val="none"/>
        </w:rPr>
      </w:pPr>
      <w:r>
        <w:rPr>
          <w:color w:val="auto"/>
          <w:szCs w:val="21"/>
          <w:highlight w:val="none"/>
        </w:rPr>
        <w:t>9.2</w:t>
      </w:r>
      <w:r>
        <w:rPr>
          <w:rFonts w:hint="eastAsia"/>
          <w:color w:val="auto"/>
          <w:szCs w:val="21"/>
          <w:highlight w:val="none"/>
        </w:rPr>
        <w:t>电子交易活动的中止。采购过程中出现以下情形，导致电子交易平台无法正常运行，或者无法保证电子交易的公平、公正和安全时，采购机构可中止电子交易活动：</w:t>
      </w:r>
    </w:p>
    <w:p w14:paraId="63CC3771">
      <w:pPr>
        <w:spacing w:before="120" w:line="276" w:lineRule="auto"/>
        <w:ind w:firstLine="420" w:firstLineChars="200"/>
        <w:rPr>
          <w:color w:val="auto"/>
          <w:szCs w:val="21"/>
          <w:highlight w:val="none"/>
        </w:rPr>
      </w:pPr>
      <w:r>
        <w:rPr>
          <w:rFonts w:hint="eastAsia"/>
          <w:color w:val="auto"/>
          <w:szCs w:val="21"/>
          <w:highlight w:val="none"/>
        </w:rPr>
        <w:t xml:space="preserve">（1）电子交易平台发生故障而无法登录访问的； </w:t>
      </w:r>
    </w:p>
    <w:p w14:paraId="726CE6EA">
      <w:pPr>
        <w:spacing w:before="120" w:line="276" w:lineRule="auto"/>
        <w:ind w:firstLine="420" w:firstLineChars="200"/>
        <w:rPr>
          <w:color w:val="auto"/>
          <w:szCs w:val="21"/>
          <w:highlight w:val="none"/>
        </w:rPr>
      </w:pPr>
      <w:r>
        <w:rPr>
          <w:rFonts w:hint="eastAsia"/>
          <w:color w:val="auto"/>
          <w:szCs w:val="21"/>
          <w:highlight w:val="none"/>
        </w:rPr>
        <w:t>（2）电子交易平台应用或数据库出现错误，不能进行正常操作的；</w:t>
      </w:r>
    </w:p>
    <w:p w14:paraId="4143F582">
      <w:pPr>
        <w:spacing w:before="120" w:line="276" w:lineRule="auto"/>
        <w:ind w:firstLine="420" w:firstLineChars="200"/>
        <w:rPr>
          <w:color w:val="auto"/>
          <w:szCs w:val="21"/>
          <w:highlight w:val="none"/>
        </w:rPr>
      </w:pPr>
      <w:r>
        <w:rPr>
          <w:rFonts w:hint="eastAsia"/>
          <w:color w:val="auto"/>
          <w:szCs w:val="21"/>
          <w:highlight w:val="none"/>
        </w:rPr>
        <w:t>（3）电子交易平台发现严重安全漏洞，有潜在泄密危险的；</w:t>
      </w:r>
    </w:p>
    <w:p w14:paraId="1B53A358">
      <w:pPr>
        <w:spacing w:before="120" w:line="276" w:lineRule="auto"/>
        <w:ind w:firstLine="420" w:firstLineChars="200"/>
        <w:rPr>
          <w:color w:val="auto"/>
          <w:szCs w:val="21"/>
          <w:highlight w:val="none"/>
        </w:rPr>
      </w:pPr>
      <w:r>
        <w:rPr>
          <w:rFonts w:hint="eastAsia"/>
          <w:color w:val="auto"/>
          <w:szCs w:val="21"/>
          <w:highlight w:val="none"/>
        </w:rPr>
        <w:t xml:space="preserve">（4）病毒发作导致不能进行正常操作的； </w:t>
      </w:r>
    </w:p>
    <w:p w14:paraId="01E2FDC1">
      <w:pPr>
        <w:spacing w:before="120" w:line="276" w:lineRule="auto"/>
        <w:ind w:firstLine="420" w:firstLineChars="200"/>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）其他无法保证电子交易的公平、公正和安全的情况。</w:t>
      </w:r>
    </w:p>
    <w:p w14:paraId="6C7FE8E7">
      <w:pPr>
        <w:tabs>
          <w:tab w:val="left" w:pos="4820"/>
        </w:tabs>
        <w:spacing w:before="120" w:line="360" w:lineRule="auto"/>
        <w:ind w:firstLine="420" w:firstLineChars="200"/>
        <w:rPr>
          <w:color w:val="auto"/>
          <w:szCs w:val="21"/>
          <w:highlight w:val="none"/>
        </w:rPr>
      </w:pPr>
      <w:r>
        <w:rPr>
          <w:rFonts w:hint="eastAsia"/>
          <w:color w:val="auto"/>
          <w:szCs w:val="21"/>
          <w:highlight w:val="none"/>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Pr>
          <w:color w:val="auto"/>
          <w:szCs w:val="21"/>
          <w:highlight w:val="none"/>
        </w:rPr>
        <w:t xml:space="preserve"> </w:t>
      </w:r>
    </w:p>
    <w:p w14:paraId="19798282">
      <w:pPr>
        <w:spacing w:line="360" w:lineRule="auto"/>
        <w:ind w:firstLine="420"/>
        <w:rPr>
          <w:color w:val="auto"/>
          <w:szCs w:val="21"/>
          <w:highlight w:val="none"/>
        </w:rPr>
      </w:pPr>
      <w:r>
        <w:rPr>
          <w:color w:val="auto"/>
          <w:szCs w:val="21"/>
          <w:highlight w:val="none"/>
        </w:rPr>
        <w:t>9.3</w:t>
      </w:r>
      <w:r>
        <w:rPr>
          <w:rFonts w:hint="eastAsia"/>
          <w:color w:val="auto"/>
          <w:szCs w:val="21"/>
          <w:highlight w:val="none"/>
        </w:rPr>
        <w:t>本项目的附件及图纸</w:t>
      </w:r>
      <w:r>
        <w:rPr>
          <w:color w:val="auto"/>
          <w:szCs w:val="21"/>
          <w:highlight w:val="none"/>
        </w:rPr>
        <w:t>详见供应商须知前附表</w:t>
      </w:r>
      <w:r>
        <w:rPr>
          <w:rFonts w:hint="eastAsia"/>
          <w:color w:val="auto"/>
          <w:szCs w:val="21"/>
          <w:highlight w:val="none"/>
        </w:rPr>
        <w:t>。</w:t>
      </w:r>
    </w:p>
    <w:p w14:paraId="2CF816A4">
      <w:pPr>
        <w:spacing w:line="360" w:lineRule="auto"/>
        <w:ind w:firstLine="420"/>
        <w:rPr>
          <w:rFonts w:hint="eastAsia"/>
          <w:color w:val="auto"/>
          <w:szCs w:val="21"/>
          <w:highlight w:val="none"/>
        </w:rPr>
      </w:pPr>
      <w:r>
        <w:rPr>
          <w:color w:val="auto"/>
          <w:szCs w:val="21"/>
          <w:highlight w:val="none"/>
        </w:rPr>
        <w:t>9.4</w:t>
      </w:r>
      <w:r>
        <w:rPr>
          <w:rFonts w:hint="eastAsia"/>
          <w:color w:val="auto"/>
          <w:szCs w:val="21"/>
          <w:highlight w:val="none"/>
        </w:rPr>
        <w:t>本项目的其他事项</w:t>
      </w:r>
      <w:r>
        <w:rPr>
          <w:color w:val="auto"/>
          <w:szCs w:val="21"/>
          <w:highlight w:val="none"/>
        </w:rPr>
        <w:t>详见供应商须知前附表</w:t>
      </w:r>
      <w:r>
        <w:rPr>
          <w:rFonts w:hint="eastAsia"/>
          <w:color w:val="auto"/>
          <w:szCs w:val="21"/>
          <w:highlight w:val="none"/>
        </w:rPr>
        <w:t>。</w:t>
      </w:r>
    </w:p>
    <w:p w14:paraId="5FD96AA9">
      <w:pPr>
        <w:spacing w:line="360" w:lineRule="auto"/>
        <w:ind w:firstLine="420"/>
        <w:rPr>
          <w:b/>
          <w:bCs/>
          <w:color w:val="auto"/>
          <w:kern w:val="0"/>
          <w:szCs w:val="21"/>
          <w:highlight w:val="none"/>
        </w:rPr>
      </w:pPr>
      <w:r>
        <w:rPr>
          <w:b/>
          <w:bCs/>
          <w:color w:val="auto"/>
          <w:kern w:val="0"/>
          <w:szCs w:val="21"/>
          <w:highlight w:val="none"/>
        </w:rPr>
        <w:t>10．</w:t>
      </w:r>
      <w:r>
        <w:rPr>
          <w:rFonts w:hint="eastAsia"/>
          <w:b/>
          <w:bCs/>
          <w:color w:val="auto"/>
          <w:kern w:val="0"/>
          <w:szCs w:val="21"/>
          <w:highlight w:val="none"/>
        </w:rPr>
        <w:t>其他说明</w:t>
      </w:r>
    </w:p>
    <w:p w14:paraId="432A5976">
      <w:pPr>
        <w:spacing w:line="360" w:lineRule="auto"/>
        <w:ind w:firstLine="420"/>
        <w:rPr>
          <w:color w:val="auto"/>
          <w:kern w:val="0"/>
          <w:szCs w:val="21"/>
          <w:highlight w:val="none"/>
        </w:rPr>
      </w:pPr>
      <w:r>
        <w:rPr>
          <w:rFonts w:hint="eastAsia"/>
          <w:b/>
          <w:bCs/>
          <w:color w:val="auto"/>
          <w:kern w:val="0"/>
          <w:szCs w:val="21"/>
          <w:highlight w:val="none"/>
        </w:rPr>
        <w:t>1</w:t>
      </w:r>
      <w:r>
        <w:rPr>
          <w:b/>
          <w:bCs/>
          <w:color w:val="auto"/>
          <w:kern w:val="0"/>
          <w:szCs w:val="21"/>
          <w:highlight w:val="none"/>
        </w:rPr>
        <w:t>0.1</w:t>
      </w:r>
      <w:r>
        <w:rPr>
          <w:rFonts w:hint="eastAsia"/>
          <w:color w:val="auto"/>
          <w:kern w:val="0"/>
          <w:szCs w:val="21"/>
          <w:highlight w:val="none"/>
        </w:rPr>
        <w:t>其余未尽事宜按</w:t>
      </w:r>
      <w:r>
        <w:rPr>
          <w:color w:val="auto"/>
          <w:kern w:val="0"/>
          <w:szCs w:val="21"/>
          <w:highlight w:val="none"/>
        </w:rPr>
        <w:t>《中华人民共和国政府采购法》、《中华人民共和国政府采购法实施条例》</w:t>
      </w:r>
      <w:r>
        <w:rPr>
          <w:rFonts w:hint="eastAsia"/>
          <w:color w:val="auto"/>
          <w:kern w:val="0"/>
          <w:szCs w:val="21"/>
          <w:highlight w:val="none"/>
        </w:rPr>
        <w:t>的相关规定执行。</w:t>
      </w:r>
    </w:p>
    <w:p w14:paraId="46242DD8">
      <w:pPr>
        <w:spacing w:line="360" w:lineRule="auto"/>
        <w:ind w:firstLine="420"/>
        <w:rPr>
          <w:rFonts w:hint="eastAsia"/>
          <w:color w:val="auto"/>
          <w:sz w:val="32"/>
          <w:szCs w:val="32"/>
          <w:highlight w:val="none"/>
        </w:rPr>
        <w:sectPr>
          <w:headerReference r:id="rId14" w:type="first"/>
          <w:headerReference r:id="rId13" w:type="default"/>
          <w:pgSz w:w="11906" w:h="16838"/>
          <w:pgMar w:top="993" w:right="1133" w:bottom="1246" w:left="1418" w:header="851" w:footer="992" w:gutter="0"/>
          <w:cols w:space="720" w:num="1"/>
          <w:titlePg/>
          <w:docGrid w:linePitch="312" w:charSpace="0"/>
        </w:sectPr>
      </w:pPr>
      <w:r>
        <w:rPr>
          <w:b/>
          <w:bCs/>
          <w:color w:val="auto"/>
          <w:kern w:val="0"/>
          <w:szCs w:val="21"/>
          <w:highlight w:val="none"/>
        </w:rPr>
        <w:t>10.2</w:t>
      </w:r>
      <w:r>
        <w:rPr>
          <w:rFonts w:hint="eastAsia"/>
          <w:color w:val="auto"/>
          <w:highlight w:val="none"/>
        </w:rPr>
        <w:t>本</w:t>
      </w:r>
      <w:r>
        <w:rPr>
          <w:color w:val="auto"/>
          <w:highlight w:val="none"/>
        </w:rPr>
        <w:t>采购文件是根据国家有关法律及有关政策、法规和参照国际惯例编制，解释权属采购代理机构</w:t>
      </w:r>
    </w:p>
    <w:p w14:paraId="1E4BFB14">
      <w:pPr>
        <w:pStyle w:val="27"/>
        <w:snapToGrid w:val="0"/>
        <w:spacing w:before="120" w:after="120" w:line="320" w:lineRule="exact"/>
        <w:jc w:val="center"/>
        <w:outlineLvl w:val="0"/>
        <w:rPr>
          <w:rFonts w:ascii="Times New Roman" w:hAnsi="Times New Roman" w:cs="Times New Roman"/>
          <w:color w:val="auto"/>
          <w:sz w:val="32"/>
          <w:szCs w:val="32"/>
          <w:highlight w:val="none"/>
        </w:rPr>
      </w:pPr>
      <w:bookmarkStart w:id="67" w:name="_Toc27660"/>
      <w:bookmarkStart w:id="68" w:name="_Toc254970690"/>
      <w:bookmarkStart w:id="69" w:name="_Toc254970549"/>
      <w:r>
        <w:rPr>
          <w:rFonts w:ascii="Times New Roman" w:hAnsi="Times New Roman" w:cs="Times New Roman"/>
          <w:color w:val="auto"/>
          <w:sz w:val="32"/>
          <w:szCs w:val="32"/>
          <w:highlight w:val="none"/>
        </w:rPr>
        <w:t>第四章  评审方法及标准</w:t>
      </w:r>
      <w:bookmarkEnd w:id="67"/>
    </w:p>
    <w:p w14:paraId="0D60927A">
      <w:pPr>
        <w:spacing w:before="120" w:line="320" w:lineRule="atLeast"/>
        <w:ind w:firstLine="413" w:firstLineChars="196"/>
        <w:outlineLvl w:val="1"/>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评审</w:t>
      </w:r>
      <w:r>
        <w:rPr>
          <w:rFonts w:hint="eastAsia"/>
          <w:b/>
          <w:bCs/>
          <w:color w:val="auto"/>
          <w:kern w:val="0"/>
          <w:szCs w:val="21"/>
          <w:highlight w:val="none"/>
        </w:rPr>
        <w:t>方法</w:t>
      </w:r>
    </w:p>
    <w:p w14:paraId="09FF64CF">
      <w:pPr>
        <w:suppressAutoHyphens/>
        <w:spacing w:before="120" w:line="320" w:lineRule="atLeast"/>
        <w:ind w:firstLine="420" w:firstLineChars="200"/>
        <w:rPr>
          <w:color w:val="auto"/>
          <w:kern w:val="1"/>
          <w:szCs w:val="21"/>
          <w:highlight w:val="none"/>
        </w:rPr>
      </w:pPr>
      <w:r>
        <w:rPr>
          <w:color w:val="auto"/>
          <w:szCs w:val="21"/>
          <w:highlight w:val="none"/>
        </w:rPr>
        <w:t>本项目采用</w:t>
      </w:r>
      <w:r>
        <w:rPr>
          <w:bCs/>
          <w:color w:val="auto"/>
          <w:kern w:val="1"/>
          <w:szCs w:val="21"/>
          <w:highlight w:val="none"/>
        </w:rPr>
        <w:t>综合评分法</w:t>
      </w:r>
      <w:r>
        <w:rPr>
          <w:color w:val="auto"/>
          <w:szCs w:val="21"/>
          <w:highlight w:val="none"/>
        </w:rPr>
        <w:t>进行评审</w:t>
      </w:r>
      <w:r>
        <w:rPr>
          <w:bCs/>
          <w:color w:val="auto"/>
          <w:kern w:val="1"/>
          <w:szCs w:val="21"/>
          <w:highlight w:val="none"/>
        </w:rPr>
        <w:t>。</w:t>
      </w:r>
      <w:r>
        <w:rPr>
          <w:color w:val="auto"/>
          <w:szCs w:val="21"/>
          <w:highlight w:val="none"/>
        </w:rPr>
        <w:t>综合评分法，是指响应文件满足采购文件全部实质性要求且按照评审因素的量化指标评审得分最高的</w:t>
      </w:r>
      <w:r>
        <w:rPr>
          <w:rFonts w:hint="eastAsia"/>
          <w:color w:val="auto"/>
          <w:szCs w:val="21"/>
          <w:highlight w:val="none"/>
        </w:rPr>
        <w:t>供应商</w:t>
      </w:r>
      <w:r>
        <w:rPr>
          <w:color w:val="auto"/>
          <w:szCs w:val="21"/>
          <w:highlight w:val="none"/>
        </w:rPr>
        <w:t>为</w:t>
      </w:r>
      <w:r>
        <w:rPr>
          <w:rFonts w:hint="eastAsia"/>
          <w:color w:val="auto"/>
          <w:szCs w:val="21"/>
          <w:highlight w:val="none"/>
        </w:rPr>
        <w:t>成交</w:t>
      </w:r>
      <w:r>
        <w:rPr>
          <w:color w:val="auto"/>
          <w:szCs w:val="21"/>
          <w:highlight w:val="none"/>
        </w:rPr>
        <w:t>候选人的评审方法。</w:t>
      </w:r>
    </w:p>
    <w:p w14:paraId="4163B413">
      <w:pPr>
        <w:suppressAutoHyphens/>
        <w:spacing w:before="120" w:line="320" w:lineRule="atLeast"/>
        <w:ind w:firstLine="420" w:firstLineChars="200"/>
        <w:rPr>
          <w:color w:val="auto"/>
          <w:kern w:val="1"/>
          <w:szCs w:val="21"/>
          <w:highlight w:val="none"/>
        </w:rPr>
      </w:pPr>
      <w:r>
        <w:rPr>
          <w:rFonts w:hint="eastAsia"/>
          <w:color w:val="auto"/>
          <w:kern w:val="1"/>
          <w:szCs w:val="21"/>
          <w:highlight w:val="none"/>
        </w:rPr>
        <w:t>本项目评审的其他详细规定在第三章供应商须知中规定。</w:t>
      </w:r>
    </w:p>
    <w:p w14:paraId="3921CEF4">
      <w:pPr>
        <w:spacing w:before="120" w:line="320" w:lineRule="atLeast"/>
        <w:ind w:firstLine="413" w:firstLineChars="196"/>
        <w:outlineLvl w:val="1"/>
        <w:rPr>
          <w:rFonts w:hint="eastAsia"/>
          <w:b/>
          <w:color w:val="auto"/>
          <w:kern w:val="0"/>
          <w:szCs w:val="21"/>
          <w:highlight w:val="none"/>
        </w:rPr>
      </w:pPr>
      <w:r>
        <w:rPr>
          <w:b/>
          <w:color w:val="auto"/>
          <w:kern w:val="0"/>
          <w:szCs w:val="21"/>
          <w:highlight w:val="none"/>
        </w:rPr>
        <w:t>2</w:t>
      </w:r>
      <w:r>
        <w:rPr>
          <w:rFonts w:hint="eastAsia"/>
          <w:b/>
          <w:color w:val="auto"/>
          <w:kern w:val="0"/>
          <w:szCs w:val="21"/>
          <w:highlight w:val="none"/>
        </w:rPr>
        <w:t>.资格审查标准</w:t>
      </w:r>
      <w:r>
        <w:rPr>
          <w:rFonts w:hint="eastAsia"/>
          <w:b/>
          <w:bCs/>
          <w:color w:val="auto"/>
          <w:kern w:val="0"/>
          <w:szCs w:val="21"/>
          <w:highlight w:val="none"/>
        </w:rPr>
        <w:t>（不满足任何一项审查内容要求，资格审查即为不合格；</w:t>
      </w:r>
      <w:bookmarkStart w:id="70" w:name="_Hlk160525103"/>
      <w:r>
        <w:rPr>
          <w:rFonts w:hint="eastAsia"/>
          <w:b/>
          <w:bCs/>
          <w:color w:val="auto"/>
          <w:kern w:val="0"/>
          <w:szCs w:val="21"/>
          <w:highlight w:val="none"/>
        </w:rPr>
        <w:t>联合体投标的，联合体各方均应提交第一项基本资格要求的资格证明文件）</w:t>
      </w:r>
      <w:bookmarkEnd w:id="70"/>
    </w:p>
    <w:tbl>
      <w:tblPr>
        <w:tblStyle w:val="53"/>
        <w:tblW w:w="893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6242"/>
      </w:tblGrid>
      <w:tr w14:paraId="78B0E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6" w:type="dxa"/>
            <w:noWrap w:val="0"/>
            <w:vAlign w:val="center"/>
          </w:tcPr>
          <w:p w14:paraId="44DFDBFC">
            <w:pPr>
              <w:spacing w:line="240" w:lineRule="exact"/>
              <w:jc w:val="center"/>
              <w:rPr>
                <w:b/>
                <w:color w:val="auto"/>
                <w:kern w:val="0"/>
                <w:szCs w:val="21"/>
                <w:highlight w:val="none"/>
              </w:rPr>
            </w:pPr>
            <w:r>
              <w:rPr>
                <w:rFonts w:hint="eastAsia"/>
                <w:b/>
                <w:color w:val="auto"/>
                <w:kern w:val="0"/>
                <w:szCs w:val="21"/>
                <w:highlight w:val="none"/>
              </w:rPr>
              <w:t>审查</w:t>
            </w:r>
            <w:r>
              <w:rPr>
                <w:b/>
                <w:color w:val="auto"/>
                <w:kern w:val="0"/>
                <w:szCs w:val="21"/>
                <w:highlight w:val="none"/>
              </w:rPr>
              <w:t>因素</w:t>
            </w:r>
          </w:p>
        </w:tc>
        <w:tc>
          <w:tcPr>
            <w:tcW w:w="1843" w:type="dxa"/>
            <w:noWrap w:val="0"/>
            <w:vAlign w:val="center"/>
          </w:tcPr>
          <w:p w14:paraId="789102D9">
            <w:pPr>
              <w:spacing w:line="240" w:lineRule="exact"/>
              <w:jc w:val="center"/>
              <w:rPr>
                <w:b/>
                <w:color w:val="auto"/>
                <w:kern w:val="0"/>
                <w:szCs w:val="21"/>
                <w:highlight w:val="none"/>
              </w:rPr>
            </w:pPr>
            <w:r>
              <w:rPr>
                <w:rFonts w:hint="eastAsia"/>
                <w:b/>
                <w:color w:val="auto"/>
                <w:kern w:val="0"/>
                <w:szCs w:val="21"/>
                <w:highlight w:val="none"/>
              </w:rPr>
              <w:t>审查</w:t>
            </w:r>
            <w:r>
              <w:rPr>
                <w:b/>
                <w:color w:val="auto"/>
                <w:kern w:val="0"/>
                <w:szCs w:val="21"/>
                <w:highlight w:val="none"/>
              </w:rPr>
              <w:t>内容</w:t>
            </w:r>
          </w:p>
        </w:tc>
        <w:tc>
          <w:tcPr>
            <w:tcW w:w="6242" w:type="dxa"/>
            <w:noWrap w:val="0"/>
            <w:vAlign w:val="center"/>
          </w:tcPr>
          <w:p w14:paraId="7BE2E2FD">
            <w:pPr>
              <w:spacing w:line="240" w:lineRule="exact"/>
              <w:jc w:val="center"/>
              <w:rPr>
                <w:b/>
                <w:color w:val="auto"/>
                <w:kern w:val="0"/>
                <w:szCs w:val="21"/>
                <w:highlight w:val="none"/>
              </w:rPr>
            </w:pPr>
            <w:r>
              <w:rPr>
                <w:rFonts w:hint="eastAsia"/>
                <w:b/>
                <w:color w:val="auto"/>
                <w:kern w:val="0"/>
                <w:szCs w:val="21"/>
                <w:highlight w:val="none"/>
              </w:rPr>
              <w:t>说明</w:t>
            </w:r>
          </w:p>
        </w:tc>
      </w:tr>
      <w:tr w14:paraId="2855D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846" w:type="dxa"/>
            <w:vMerge w:val="restart"/>
            <w:noWrap w:val="0"/>
            <w:vAlign w:val="center"/>
          </w:tcPr>
          <w:p w14:paraId="38BFC097">
            <w:pPr>
              <w:spacing w:line="240" w:lineRule="exact"/>
              <w:rPr>
                <w:color w:val="auto"/>
                <w:szCs w:val="21"/>
                <w:highlight w:val="none"/>
                <w:lang w:val="zh-CN"/>
              </w:rPr>
            </w:pPr>
            <w:r>
              <w:rPr>
                <w:color w:val="auto"/>
                <w:szCs w:val="21"/>
                <w:highlight w:val="none"/>
                <w:lang w:val="zh-CN"/>
              </w:rPr>
              <w:t>供应商应符合的</w:t>
            </w:r>
            <w:r>
              <w:rPr>
                <w:rFonts w:hint="eastAsia"/>
                <w:color w:val="auto"/>
                <w:szCs w:val="21"/>
                <w:highlight w:val="none"/>
                <w:lang w:val="zh-CN"/>
              </w:rPr>
              <w:t>基本</w:t>
            </w:r>
            <w:r>
              <w:rPr>
                <w:color w:val="auto"/>
                <w:szCs w:val="21"/>
                <w:highlight w:val="none"/>
              </w:rPr>
              <w:t>资格</w:t>
            </w:r>
            <w:r>
              <w:rPr>
                <w:rFonts w:hint="eastAsia"/>
                <w:color w:val="auto"/>
                <w:szCs w:val="21"/>
                <w:highlight w:val="none"/>
              </w:rPr>
              <w:t>要求</w:t>
            </w:r>
          </w:p>
        </w:tc>
        <w:tc>
          <w:tcPr>
            <w:tcW w:w="1843" w:type="dxa"/>
            <w:noWrap w:val="0"/>
            <w:vAlign w:val="center"/>
          </w:tcPr>
          <w:p w14:paraId="7A17CEA5">
            <w:pPr>
              <w:spacing w:line="240" w:lineRule="exact"/>
              <w:jc w:val="left"/>
              <w:rPr>
                <w:color w:val="auto"/>
                <w:szCs w:val="21"/>
                <w:highlight w:val="none"/>
              </w:rPr>
            </w:pPr>
            <w:r>
              <w:rPr>
                <w:color w:val="auto"/>
                <w:szCs w:val="21"/>
                <w:highlight w:val="none"/>
              </w:rPr>
              <w:t>（1）具有独立承担民事责任的能力</w:t>
            </w:r>
          </w:p>
        </w:tc>
        <w:tc>
          <w:tcPr>
            <w:tcW w:w="6242" w:type="dxa"/>
            <w:noWrap w:val="0"/>
            <w:vAlign w:val="center"/>
          </w:tcPr>
          <w:p w14:paraId="596930E6">
            <w:pPr>
              <w:spacing w:line="240" w:lineRule="exact"/>
              <w:jc w:val="left"/>
              <w:rPr>
                <w:rFonts w:hint="eastAsia" w:eastAsia="宋体"/>
                <w:color w:val="auto"/>
                <w:szCs w:val="21"/>
                <w:highlight w:val="none"/>
                <w:lang w:eastAsia="zh-CN"/>
              </w:rPr>
            </w:pPr>
            <w:r>
              <w:rPr>
                <w:color w:val="auto"/>
                <w:spacing w:val="10"/>
                <w:highlight w:val="none"/>
              </w:rPr>
              <w:t>审查供应商为法人或者其他组织的，提供营业执照等证明文件（如营业执照或者事业单位法人证书或者执业许可证等</w:t>
            </w:r>
            <w:r>
              <w:rPr>
                <w:color w:val="auto"/>
                <w:spacing w:val="22"/>
                <w:highlight w:val="none"/>
              </w:rPr>
              <w:t>），</w:t>
            </w:r>
            <w:r>
              <w:rPr>
                <w:color w:val="auto"/>
                <w:spacing w:val="10"/>
                <w:highlight w:val="none"/>
              </w:rPr>
              <w:t>供应商为自然人的，</w:t>
            </w:r>
            <w:r>
              <w:rPr>
                <w:color w:val="auto"/>
                <w:spacing w:val="8"/>
                <w:highlight w:val="none"/>
              </w:rPr>
              <w:t>提供身份证复印件</w:t>
            </w:r>
            <w:r>
              <w:rPr>
                <w:rFonts w:hint="eastAsia"/>
                <w:color w:val="auto"/>
                <w:spacing w:val="8"/>
                <w:highlight w:val="none"/>
                <w:lang w:eastAsia="zh-CN"/>
              </w:rPr>
              <w:t>。</w:t>
            </w:r>
          </w:p>
        </w:tc>
      </w:tr>
      <w:tr w14:paraId="4D15A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5658C3ED">
            <w:pPr>
              <w:spacing w:line="240" w:lineRule="exact"/>
              <w:rPr>
                <w:color w:val="auto"/>
                <w:szCs w:val="21"/>
                <w:highlight w:val="none"/>
                <w:lang w:val="zh-CN"/>
              </w:rPr>
            </w:pPr>
          </w:p>
        </w:tc>
        <w:tc>
          <w:tcPr>
            <w:tcW w:w="1843" w:type="dxa"/>
            <w:noWrap w:val="0"/>
            <w:vAlign w:val="center"/>
          </w:tcPr>
          <w:p w14:paraId="3F007CA8">
            <w:pPr>
              <w:spacing w:line="240" w:lineRule="exact"/>
              <w:jc w:val="left"/>
              <w:rPr>
                <w:color w:val="auto"/>
                <w:szCs w:val="21"/>
                <w:highlight w:val="none"/>
              </w:rPr>
            </w:pPr>
            <w:r>
              <w:rPr>
                <w:color w:val="auto"/>
                <w:szCs w:val="21"/>
                <w:highlight w:val="none"/>
                <w:lang w:val="zh-CN"/>
              </w:rPr>
              <w:t>（2）</w:t>
            </w:r>
            <w:r>
              <w:rPr>
                <w:color w:val="auto"/>
                <w:szCs w:val="21"/>
                <w:highlight w:val="none"/>
              </w:rPr>
              <w:t>具有良好的商业信誉和健全的财务会计制度</w:t>
            </w:r>
          </w:p>
        </w:tc>
        <w:tc>
          <w:tcPr>
            <w:tcW w:w="6242" w:type="dxa"/>
            <w:noWrap w:val="0"/>
            <w:vAlign w:val="center"/>
          </w:tcPr>
          <w:p w14:paraId="2E6A5C9E">
            <w:pPr>
              <w:spacing w:line="240" w:lineRule="exact"/>
              <w:jc w:val="left"/>
              <w:rPr>
                <w:color w:val="auto"/>
                <w:szCs w:val="21"/>
                <w:highlight w:val="none"/>
              </w:rPr>
            </w:pPr>
            <w:r>
              <w:rPr>
                <w:rFonts w:hint="eastAsia"/>
                <w:color w:val="auto"/>
                <w:szCs w:val="21"/>
                <w:highlight w:val="none"/>
              </w:rPr>
              <w:t>提供：政府采购项目投标资格承诺函（详见附件一）</w:t>
            </w:r>
          </w:p>
          <w:p w14:paraId="7F1ACE7B">
            <w:pPr>
              <w:spacing w:line="240" w:lineRule="exact"/>
              <w:jc w:val="left"/>
              <w:rPr>
                <w:color w:val="auto"/>
                <w:szCs w:val="21"/>
                <w:highlight w:val="none"/>
              </w:rPr>
            </w:pPr>
            <w:r>
              <w:rPr>
                <w:rFonts w:hint="eastAsia"/>
                <w:color w:val="auto"/>
                <w:szCs w:val="21"/>
                <w:highlight w:val="none"/>
              </w:rPr>
              <w:t>注：不提供、不按内容提供或不</w:t>
            </w:r>
            <w:r>
              <w:rPr>
                <w:color w:val="auto"/>
                <w:szCs w:val="21"/>
                <w:highlight w:val="none"/>
              </w:rPr>
              <w:t>按要求签字盖章</w:t>
            </w:r>
            <w:r>
              <w:rPr>
                <w:rFonts w:hint="eastAsia"/>
                <w:color w:val="auto"/>
                <w:szCs w:val="21"/>
                <w:highlight w:val="none"/>
              </w:rPr>
              <w:t>，视为不合格。</w:t>
            </w:r>
          </w:p>
        </w:tc>
      </w:tr>
      <w:tr w14:paraId="6988D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42F94FCF">
            <w:pPr>
              <w:spacing w:line="240" w:lineRule="exact"/>
              <w:rPr>
                <w:color w:val="auto"/>
                <w:szCs w:val="21"/>
                <w:highlight w:val="none"/>
                <w:lang w:val="zh-CN"/>
              </w:rPr>
            </w:pPr>
          </w:p>
        </w:tc>
        <w:tc>
          <w:tcPr>
            <w:tcW w:w="1843" w:type="dxa"/>
            <w:noWrap w:val="0"/>
            <w:vAlign w:val="center"/>
          </w:tcPr>
          <w:p w14:paraId="219AE0C9">
            <w:pPr>
              <w:spacing w:line="240" w:lineRule="exact"/>
              <w:jc w:val="left"/>
              <w:rPr>
                <w:color w:val="auto"/>
                <w:szCs w:val="21"/>
                <w:highlight w:val="none"/>
              </w:rPr>
            </w:pPr>
            <w:r>
              <w:rPr>
                <w:color w:val="auto"/>
                <w:szCs w:val="21"/>
                <w:highlight w:val="none"/>
                <w:lang w:val="zh-CN"/>
              </w:rPr>
              <w:t>（3）具有履行合同所必需的设备和专业技术能力</w:t>
            </w:r>
          </w:p>
        </w:tc>
        <w:tc>
          <w:tcPr>
            <w:tcW w:w="6242" w:type="dxa"/>
            <w:noWrap w:val="0"/>
            <w:vAlign w:val="center"/>
          </w:tcPr>
          <w:p w14:paraId="2C1DDA4D">
            <w:pPr>
              <w:spacing w:line="240" w:lineRule="exact"/>
              <w:jc w:val="left"/>
              <w:rPr>
                <w:color w:val="auto"/>
                <w:szCs w:val="21"/>
                <w:highlight w:val="none"/>
              </w:rPr>
            </w:pPr>
            <w:r>
              <w:rPr>
                <w:rFonts w:hint="eastAsia"/>
                <w:color w:val="auto"/>
                <w:szCs w:val="21"/>
                <w:highlight w:val="none"/>
              </w:rPr>
              <w:t>提供：政府采购项目投标资格承诺函（详见附件一）</w:t>
            </w:r>
          </w:p>
          <w:p w14:paraId="52CDD862">
            <w:pPr>
              <w:spacing w:line="240" w:lineRule="exact"/>
              <w:jc w:val="left"/>
              <w:rPr>
                <w:color w:val="auto"/>
                <w:szCs w:val="21"/>
                <w:highlight w:val="none"/>
              </w:rPr>
            </w:pPr>
            <w:r>
              <w:rPr>
                <w:rFonts w:hint="eastAsia"/>
                <w:color w:val="auto"/>
                <w:szCs w:val="21"/>
                <w:highlight w:val="none"/>
              </w:rPr>
              <w:t>注：不提供、不按内容提供或不</w:t>
            </w:r>
            <w:r>
              <w:rPr>
                <w:color w:val="auto"/>
                <w:szCs w:val="21"/>
                <w:highlight w:val="none"/>
              </w:rPr>
              <w:t>按要求签字盖章</w:t>
            </w:r>
            <w:r>
              <w:rPr>
                <w:rFonts w:hint="eastAsia"/>
                <w:color w:val="auto"/>
                <w:szCs w:val="21"/>
                <w:highlight w:val="none"/>
              </w:rPr>
              <w:t>，视为不合格。</w:t>
            </w:r>
          </w:p>
        </w:tc>
      </w:tr>
      <w:tr w14:paraId="36187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2F0B493F">
            <w:pPr>
              <w:spacing w:line="240" w:lineRule="exact"/>
              <w:rPr>
                <w:color w:val="auto"/>
                <w:szCs w:val="21"/>
                <w:highlight w:val="none"/>
                <w:lang w:val="zh-CN"/>
              </w:rPr>
            </w:pPr>
          </w:p>
        </w:tc>
        <w:tc>
          <w:tcPr>
            <w:tcW w:w="1843" w:type="dxa"/>
            <w:noWrap w:val="0"/>
            <w:vAlign w:val="center"/>
          </w:tcPr>
          <w:p w14:paraId="3228FF97">
            <w:pPr>
              <w:spacing w:line="240" w:lineRule="exact"/>
              <w:jc w:val="left"/>
              <w:rPr>
                <w:color w:val="auto"/>
                <w:szCs w:val="21"/>
                <w:highlight w:val="none"/>
              </w:rPr>
            </w:pPr>
            <w:r>
              <w:rPr>
                <w:color w:val="auto"/>
                <w:szCs w:val="21"/>
                <w:highlight w:val="none"/>
                <w:lang w:val="zh-CN"/>
              </w:rPr>
              <w:t>（4）有依法缴纳税收和社会保障金的良好记录</w:t>
            </w:r>
          </w:p>
        </w:tc>
        <w:tc>
          <w:tcPr>
            <w:tcW w:w="6242" w:type="dxa"/>
            <w:noWrap w:val="0"/>
            <w:vAlign w:val="center"/>
          </w:tcPr>
          <w:p w14:paraId="1DEF4CF5">
            <w:pPr>
              <w:spacing w:line="240" w:lineRule="exact"/>
              <w:jc w:val="left"/>
              <w:rPr>
                <w:color w:val="auto"/>
                <w:szCs w:val="21"/>
                <w:highlight w:val="none"/>
              </w:rPr>
            </w:pPr>
            <w:r>
              <w:rPr>
                <w:rFonts w:hint="eastAsia"/>
                <w:color w:val="auto"/>
                <w:szCs w:val="21"/>
                <w:highlight w:val="none"/>
              </w:rPr>
              <w:t>提供：政府采购项目投标资格承诺函（详见附件一）</w:t>
            </w:r>
          </w:p>
          <w:p w14:paraId="779BAE93">
            <w:pPr>
              <w:spacing w:line="240" w:lineRule="exact"/>
              <w:jc w:val="left"/>
              <w:rPr>
                <w:color w:val="auto"/>
                <w:szCs w:val="21"/>
                <w:highlight w:val="none"/>
              </w:rPr>
            </w:pPr>
            <w:r>
              <w:rPr>
                <w:rFonts w:hint="eastAsia"/>
                <w:color w:val="auto"/>
                <w:szCs w:val="21"/>
                <w:highlight w:val="none"/>
              </w:rPr>
              <w:t>注：不提供、不按内容提供或不</w:t>
            </w:r>
            <w:r>
              <w:rPr>
                <w:color w:val="auto"/>
                <w:szCs w:val="21"/>
                <w:highlight w:val="none"/>
              </w:rPr>
              <w:t>按要求签字盖章</w:t>
            </w:r>
            <w:r>
              <w:rPr>
                <w:rFonts w:hint="eastAsia"/>
                <w:color w:val="auto"/>
                <w:szCs w:val="21"/>
                <w:highlight w:val="none"/>
              </w:rPr>
              <w:t>，视为不合格。</w:t>
            </w:r>
          </w:p>
        </w:tc>
      </w:tr>
      <w:tr w14:paraId="5184A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5811D21B">
            <w:pPr>
              <w:spacing w:line="240" w:lineRule="exact"/>
              <w:rPr>
                <w:color w:val="auto"/>
                <w:szCs w:val="21"/>
                <w:highlight w:val="none"/>
                <w:lang w:val="zh-CN"/>
              </w:rPr>
            </w:pPr>
          </w:p>
        </w:tc>
        <w:tc>
          <w:tcPr>
            <w:tcW w:w="1843" w:type="dxa"/>
            <w:noWrap w:val="0"/>
            <w:vAlign w:val="center"/>
          </w:tcPr>
          <w:p w14:paraId="18D75CFA">
            <w:pPr>
              <w:spacing w:line="240" w:lineRule="exact"/>
              <w:jc w:val="left"/>
              <w:rPr>
                <w:rFonts w:hint="eastAsia"/>
                <w:color w:val="auto"/>
                <w:szCs w:val="21"/>
                <w:highlight w:val="none"/>
              </w:rPr>
            </w:pPr>
            <w:r>
              <w:rPr>
                <w:color w:val="auto"/>
                <w:szCs w:val="21"/>
                <w:highlight w:val="none"/>
              </w:rPr>
              <w:t>（5）参加政府采购活动前三年内，在经营活动中没有重大违法记录</w:t>
            </w:r>
          </w:p>
        </w:tc>
        <w:tc>
          <w:tcPr>
            <w:tcW w:w="6242" w:type="dxa"/>
            <w:noWrap w:val="0"/>
            <w:vAlign w:val="center"/>
          </w:tcPr>
          <w:p w14:paraId="30118DFF">
            <w:pPr>
              <w:spacing w:line="240" w:lineRule="exact"/>
              <w:jc w:val="left"/>
              <w:rPr>
                <w:color w:val="auto"/>
                <w:szCs w:val="21"/>
                <w:highlight w:val="none"/>
              </w:rPr>
            </w:pPr>
            <w:r>
              <w:rPr>
                <w:color w:val="auto"/>
                <w:spacing w:val="7"/>
                <w:highlight w:val="none"/>
              </w:rPr>
              <w:t>审查无重大违法记录声明。</w:t>
            </w:r>
            <w:r>
              <w:rPr>
                <w:rFonts w:hint="eastAsia"/>
                <w:color w:val="auto"/>
                <w:spacing w:val="7"/>
                <w:highlight w:val="none"/>
                <w:lang w:val="en-US" w:eastAsia="zh-CN"/>
              </w:rPr>
              <w:t>必</w:t>
            </w:r>
            <w:r>
              <w:rPr>
                <w:color w:val="auto"/>
                <w:spacing w:val="7"/>
                <w:highlight w:val="none"/>
              </w:rPr>
              <w:t>须提供，格式见第六章响应文件格式</w:t>
            </w:r>
            <w:r>
              <w:rPr>
                <w:rFonts w:ascii="Arial" w:hAnsi="Arial" w:eastAsia="Arial" w:cs="Arial"/>
                <w:color w:val="auto"/>
                <w:spacing w:val="7"/>
                <w:highlight w:val="none"/>
              </w:rPr>
              <w:t>“</w:t>
            </w:r>
            <w:r>
              <w:rPr>
                <w:rFonts w:ascii="Arial" w:hAnsi="Arial" w:eastAsia="Arial" w:cs="Arial"/>
                <w:color w:val="auto"/>
                <w:spacing w:val="-21"/>
                <w:highlight w:val="none"/>
              </w:rPr>
              <w:t xml:space="preserve"> </w:t>
            </w:r>
            <w:r>
              <w:rPr>
                <w:color w:val="auto"/>
                <w:spacing w:val="7"/>
                <w:highlight w:val="none"/>
              </w:rPr>
              <w:t>响应声</w:t>
            </w:r>
            <w:r>
              <w:rPr>
                <w:color w:val="auto"/>
                <w:spacing w:val="-2"/>
                <w:highlight w:val="none"/>
              </w:rPr>
              <w:t>明书</w:t>
            </w:r>
            <w:r>
              <w:rPr>
                <w:rFonts w:ascii="Arial" w:hAnsi="Arial" w:eastAsia="Arial" w:cs="Arial"/>
                <w:color w:val="auto"/>
                <w:spacing w:val="-2"/>
                <w:highlight w:val="none"/>
              </w:rPr>
              <w:t>”</w:t>
            </w:r>
            <w:r>
              <w:rPr>
                <w:color w:val="auto"/>
                <w:spacing w:val="-2"/>
                <w:highlight w:val="none"/>
              </w:rPr>
              <w:t>。</w:t>
            </w:r>
          </w:p>
          <w:p w14:paraId="4514EF3E">
            <w:pPr>
              <w:spacing w:line="240" w:lineRule="exact"/>
              <w:jc w:val="left"/>
              <w:rPr>
                <w:color w:val="auto"/>
                <w:szCs w:val="21"/>
                <w:highlight w:val="none"/>
              </w:rPr>
            </w:pPr>
            <w:r>
              <w:rPr>
                <w:rFonts w:hint="eastAsia"/>
                <w:color w:val="auto"/>
                <w:szCs w:val="21"/>
                <w:highlight w:val="none"/>
              </w:rPr>
              <w:t>注：不提供、不按内容提供或不</w:t>
            </w:r>
            <w:r>
              <w:rPr>
                <w:color w:val="auto"/>
                <w:szCs w:val="21"/>
                <w:highlight w:val="none"/>
              </w:rPr>
              <w:t>按要求签字盖章</w:t>
            </w:r>
            <w:r>
              <w:rPr>
                <w:rFonts w:hint="eastAsia"/>
                <w:color w:val="auto"/>
                <w:szCs w:val="21"/>
                <w:highlight w:val="none"/>
              </w:rPr>
              <w:t>，视为不合格。</w:t>
            </w:r>
          </w:p>
        </w:tc>
      </w:tr>
      <w:tr w14:paraId="1177E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591A00E8">
            <w:pPr>
              <w:spacing w:line="240" w:lineRule="exact"/>
              <w:rPr>
                <w:color w:val="auto"/>
                <w:szCs w:val="21"/>
                <w:highlight w:val="none"/>
                <w:lang w:val="zh-CN"/>
              </w:rPr>
            </w:pPr>
          </w:p>
        </w:tc>
        <w:tc>
          <w:tcPr>
            <w:tcW w:w="1843" w:type="dxa"/>
            <w:noWrap w:val="0"/>
            <w:vAlign w:val="center"/>
          </w:tcPr>
          <w:p w14:paraId="5EE015F2">
            <w:pPr>
              <w:spacing w:line="240" w:lineRule="exact"/>
              <w:jc w:val="left"/>
              <w:rPr>
                <w:color w:val="auto"/>
                <w:szCs w:val="21"/>
                <w:highlight w:val="none"/>
              </w:rPr>
            </w:pPr>
            <w:r>
              <w:rPr>
                <w:color w:val="auto"/>
                <w:szCs w:val="21"/>
                <w:highlight w:val="none"/>
              </w:rPr>
              <w:t>（6）具备法律、行政法规规定的其他要求</w:t>
            </w:r>
          </w:p>
        </w:tc>
        <w:tc>
          <w:tcPr>
            <w:tcW w:w="6242" w:type="dxa"/>
            <w:noWrap w:val="0"/>
            <w:vAlign w:val="center"/>
          </w:tcPr>
          <w:p w14:paraId="2FADEDEA">
            <w:pPr>
              <w:spacing w:line="240" w:lineRule="exact"/>
              <w:jc w:val="left"/>
              <w:rPr>
                <w:color w:val="auto"/>
                <w:szCs w:val="21"/>
                <w:highlight w:val="none"/>
              </w:rPr>
            </w:pPr>
            <w:r>
              <w:rPr>
                <w:color w:val="auto"/>
                <w:szCs w:val="21"/>
                <w:highlight w:val="none"/>
              </w:rPr>
              <w:t>无。</w:t>
            </w:r>
          </w:p>
        </w:tc>
      </w:tr>
      <w:tr w14:paraId="57C21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noWrap w:val="0"/>
            <w:vAlign w:val="center"/>
          </w:tcPr>
          <w:p w14:paraId="6485F237">
            <w:pPr>
              <w:spacing w:line="240" w:lineRule="exact"/>
              <w:rPr>
                <w:color w:val="auto"/>
                <w:szCs w:val="21"/>
                <w:highlight w:val="none"/>
                <w:lang w:val="zh-CN"/>
              </w:rPr>
            </w:pPr>
            <w:r>
              <w:rPr>
                <w:rFonts w:hint="eastAsia"/>
                <w:color w:val="auto"/>
                <w:kern w:val="0"/>
                <w:szCs w:val="21"/>
                <w:highlight w:val="none"/>
              </w:rPr>
              <w:t>采购政策</w:t>
            </w:r>
          </w:p>
        </w:tc>
        <w:tc>
          <w:tcPr>
            <w:tcW w:w="1843" w:type="dxa"/>
            <w:noWrap w:val="0"/>
            <w:vAlign w:val="center"/>
          </w:tcPr>
          <w:p w14:paraId="3DB6B075">
            <w:pPr>
              <w:spacing w:line="240" w:lineRule="exact"/>
              <w:jc w:val="left"/>
              <w:rPr>
                <w:color w:val="auto"/>
                <w:szCs w:val="21"/>
                <w:highlight w:val="none"/>
              </w:rPr>
            </w:pPr>
            <w:r>
              <w:rPr>
                <w:rFonts w:hint="eastAsia"/>
                <w:color w:val="auto"/>
                <w:szCs w:val="21"/>
                <w:highlight w:val="none"/>
              </w:rPr>
              <w:t>落实政府采购政策需满足的资格要求</w:t>
            </w:r>
          </w:p>
        </w:tc>
        <w:tc>
          <w:tcPr>
            <w:tcW w:w="6242" w:type="dxa"/>
            <w:noWrap w:val="0"/>
            <w:vAlign w:val="center"/>
          </w:tcPr>
          <w:p w14:paraId="37C54C61">
            <w:pPr>
              <w:spacing w:line="240" w:lineRule="exact"/>
              <w:rPr>
                <w:rFonts w:hint="eastAsia" w:eastAsia="宋体"/>
                <w:color w:val="auto"/>
                <w:szCs w:val="21"/>
                <w:highlight w:val="none"/>
                <w:lang w:eastAsia="zh-CN"/>
              </w:rPr>
            </w:pPr>
            <w:r>
              <w:rPr>
                <w:rFonts w:hint="eastAsia"/>
                <w:color w:val="auto"/>
                <w:szCs w:val="21"/>
                <w:highlight w:val="none"/>
              </w:rPr>
              <w:t>无</w:t>
            </w:r>
            <w:r>
              <w:rPr>
                <w:rFonts w:hint="eastAsia"/>
                <w:color w:val="auto"/>
                <w:szCs w:val="21"/>
                <w:highlight w:val="none"/>
                <w:lang w:eastAsia="zh-CN"/>
              </w:rPr>
              <w:t>。</w:t>
            </w:r>
          </w:p>
        </w:tc>
      </w:tr>
      <w:tr w14:paraId="71020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846" w:type="dxa"/>
            <w:vMerge w:val="restart"/>
            <w:noWrap w:val="0"/>
            <w:vAlign w:val="center"/>
          </w:tcPr>
          <w:p w14:paraId="4129ABA9">
            <w:pPr>
              <w:spacing w:line="240" w:lineRule="exact"/>
              <w:rPr>
                <w:color w:val="auto"/>
                <w:szCs w:val="21"/>
                <w:highlight w:val="none"/>
              </w:rPr>
            </w:pPr>
            <w:r>
              <w:rPr>
                <w:color w:val="auto"/>
                <w:szCs w:val="21"/>
                <w:highlight w:val="none"/>
                <w:lang w:val="zh-CN"/>
              </w:rPr>
              <w:t>供应商应符合的</w:t>
            </w:r>
            <w:r>
              <w:rPr>
                <w:color w:val="auto"/>
                <w:szCs w:val="21"/>
                <w:highlight w:val="none"/>
              </w:rPr>
              <w:t>特定资格</w:t>
            </w:r>
            <w:r>
              <w:rPr>
                <w:rFonts w:hint="eastAsia"/>
                <w:color w:val="auto"/>
                <w:szCs w:val="21"/>
                <w:highlight w:val="none"/>
              </w:rPr>
              <w:t>要求</w:t>
            </w:r>
          </w:p>
        </w:tc>
        <w:tc>
          <w:tcPr>
            <w:tcW w:w="1843" w:type="dxa"/>
            <w:noWrap w:val="0"/>
            <w:vAlign w:val="center"/>
          </w:tcPr>
          <w:p w14:paraId="3510AB33">
            <w:pPr>
              <w:spacing w:line="240" w:lineRule="exact"/>
              <w:jc w:val="left"/>
              <w:rPr>
                <w:color w:val="auto"/>
                <w:szCs w:val="21"/>
                <w:highlight w:val="none"/>
              </w:rPr>
            </w:pPr>
            <w:r>
              <w:rPr>
                <w:color w:val="auto"/>
                <w:szCs w:val="21"/>
                <w:highlight w:val="none"/>
              </w:rPr>
              <w:t>（1）资质</w:t>
            </w:r>
            <w:r>
              <w:rPr>
                <w:rFonts w:hint="eastAsia"/>
                <w:color w:val="auto"/>
                <w:szCs w:val="21"/>
                <w:highlight w:val="none"/>
              </w:rPr>
              <w:t>要求</w:t>
            </w:r>
          </w:p>
        </w:tc>
        <w:tc>
          <w:tcPr>
            <w:tcW w:w="6242" w:type="dxa"/>
            <w:noWrap w:val="0"/>
            <w:vAlign w:val="center"/>
          </w:tcPr>
          <w:p w14:paraId="4746F940">
            <w:pPr>
              <w:spacing w:line="240" w:lineRule="exact"/>
              <w:jc w:val="left"/>
              <w:rPr>
                <w:color w:val="auto"/>
                <w:szCs w:val="21"/>
                <w:highlight w:val="none"/>
              </w:rPr>
            </w:pPr>
            <w:r>
              <w:rPr>
                <w:color w:val="auto"/>
                <w:szCs w:val="21"/>
                <w:highlight w:val="none"/>
              </w:rPr>
              <w:t>须符合</w:t>
            </w:r>
            <w:r>
              <w:rPr>
                <w:rFonts w:hint="eastAsia"/>
                <w:color w:val="auto"/>
                <w:szCs w:val="21"/>
                <w:highlight w:val="none"/>
              </w:rPr>
              <w:t>“磋商公告”</w:t>
            </w:r>
            <w:r>
              <w:rPr>
                <w:color w:val="auto"/>
                <w:szCs w:val="21"/>
                <w:highlight w:val="none"/>
              </w:rPr>
              <w:t>的要求</w:t>
            </w:r>
          </w:p>
        </w:tc>
      </w:tr>
      <w:tr w14:paraId="785F7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22934BA3">
            <w:pPr>
              <w:spacing w:line="240" w:lineRule="exact"/>
              <w:rPr>
                <w:color w:val="auto"/>
                <w:szCs w:val="21"/>
                <w:highlight w:val="none"/>
              </w:rPr>
            </w:pPr>
          </w:p>
        </w:tc>
        <w:tc>
          <w:tcPr>
            <w:tcW w:w="1843" w:type="dxa"/>
            <w:noWrap w:val="0"/>
            <w:vAlign w:val="center"/>
          </w:tcPr>
          <w:p w14:paraId="0D5B9097">
            <w:pPr>
              <w:spacing w:line="240" w:lineRule="exact"/>
              <w:jc w:val="left"/>
              <w:rPr>
                <w:color w:val="auto"/>
                <w:szCs w:val="21"/>
                <w:highlight w:val="none"/>
              </w:rPr>
            </w:pPr>
            <w:r>
              <w:rPr>
                <w:color w:val="auto"/>
                <w:szCs w:val="21"/>
                <w:highlight w:val="none"/>
              </w:rPr>
              <w:t>（2）业绩要求</w:t>
            </w:r>
          </w:p>
        </w:tc>
        <w:tc>
          <w:tcPr>
            <w:tcW w:w="6242" w:type="dxa"/>
            <w:noWrap w:val="0"/>
            <w:vAlign w:val="center"/>
          </w:tcPr>
          <w:p w14:paraId="4702B9B9">
            <w:pPr>
              <w:spacing w:line="240" w:lineRule="exact"/>
              <w:jc w:val="left"/>
              <w:rPr>
                <w:color w:val="auto"/>
                <w:szCs w:val="21"/>
                <w:highlight w:val="none"/>
              </w:rPr>
            </w:pPr>
            <w:r>
              <w:rPr>
                <w:color w:val="auto"/>
                <w:szCs w:val="21"/>
                <w:highlight w:val="none"/>
              </w:rPr>
              <w:t>须符合</w:t>
            </w:r>
            <w:r>
              <w:rPr>
                <w:rFonts w:hint="eastAsia"/>
                <w:color w:val="auto"/>
                <w:szCs w:val="21"/>
                <w:highlight w:val="none"/>
              </w:rPr>
              <w:t>“磋商公告”</w:t>
            </w:r>
            <w:r>
              <w:rPr>
                <w:color w:val="auto"/>
                <w:szCs w:val="21"/>
                <w:highlight w:val="none"/>
              </w:rPr>
              <w:t>的要求</w:t>
            </w:r>
          </w:p>
        </w:tc>
      </w:tr>
      <w:tr w14:paraId="6FCFA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0" w:hRule="atLeast"/>
        </w:trPr>
        <w:tc>
          <w:tcPr>
            <w:tcW w:w="846" w:type="dxa"/>
            <w:vMerge w:val="continue"/>
            <w:noWrap w:val="0"/>
            <w:vAlign w:val="center"/>
          </w:tcPr>
          <w:p w14:paraId="223698A4">
            <w:pPr>
              <w:spacing w:line="240" w:lineRule="exact"/>
              <w:jc w:val="left"/>
              <w:rPr>
                <w:color w:val="auto"/>
                <w:szCs w:val="21"/>
                <w:highlight w:val="none"/>
              </w:rPr>
            </w:pPr>
          </w:p>
        </w:tc>
        <w:tc>
          <w:tcPr>
            <w:tcW w:w="1843" w:type="dxa"/>
            <w:noWrap w:val="0"/>
            <w:vAlign w:val="center"/>
          </w:tcPr>
          <w:p w14:paraId="4F9AAC89">
            <w:pPr>
              <w:spacing w:line="240" w:lineRule="exact"/>
              <w:jc w:val="left"/>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）供应商不得参加响应的情形</w:t>
            </w:r>
          </w:p>
        </w:tc>
        <w:tc>
          <w:tcPr>
            <w:tcW w:w="6242" w:type="dxa"/>
            <w:noWrap w:val="0"/>
            <w:vAlign w:val="center"/>
          </w:tcPr>
          <w:p w14:paraId="0820356B">
            <w:pPr>
              <w:spacing w:line="240" w:lineRule="exact"/>
              <w:jc w:val="left"/>
              <w:rPr>
                <w:color w:val="auto"/>
                <w:kern w:val="0"/>
                <w:szCs w:val="21"/>
                <w:highlight w:val="none"/>
              </w:rPr>
            </w:pPr>
            <w:r>
              <w:rPr>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color w:val="auto"/>
                <w:kern w:val="0"/>
                <w:szCs w:val="21"/>
                <w:highlight w:val="none"/>
              </w:rPr>
              <w:t>本</w:t>
            </w:r>
            <w:r>
              <w:rPr>
                <w:color w:val="auto"/>
                <w:kern w:val="0"/>
                <w:szCs w:val="21"/>
                <w:highlight w:val="none"/>
              </w:rPr>
              <w:t>项目的采购活动。</w:t>
            </w:r>
          </w:p>
          <w:p w14:paraId="57C0858B">
            <w:pPr>
              <w:spacing w:line="240" w:lineRule="exact"/>
              <w:jc w:val="left"/>
              <w:rPr>
                <w:color w:val="auto"/>
                <w:szCs w:val="21"/>
                <w:highlight w:val="none"/>
              </w:rPr>
            </w:pPr>
            <w:r>
              <w:rPr>
                <w:color w:val="auto"/>
                <w:szCs w:val="21"/>
                <w:highlight w:val="none"/>
              </w:rPr>
              <w:t>须提供，格式见第六章</w:t>
            </w:r>
            <w:r>
              <w:rPr>
                <w:rFonts w:hint="eastAsia"/>
                <w:color w:val="auto"/>
                <w:szCs w:val="21"/>
                <w:highlight w:val="none"/>
              </w:rPr>
              <w:t>响应</w:t>
            </w:r>
            <w:r>
              <w:rPr>
                <w:color w:val="auto"/>
                <w:szCs w:val="21"/>
                <w:highlight w:val="none"/>
              </w:rPr>
              <w:t>文件格式“</w:t>
            </w:r>
            <w:r>
              <w:rPr>
                <w:rFonts w:hint="eastAsia"/>
                <w:color w:val="auto"/>
                <w:szCs w:val="21"/>
                <w:highlight w:val="none"/>
              </w:rPr>
              <w:t>供应商直接控股股东、管理关系信息表</w:t>
            </w:r>
            <w:r>
              <w:rPr>
                <w:color w:val="auto"/>
                <w:szCs w:val="21"/>
                <w:highlight w:val="none"/>
              </w:rPr>
              <w:t>”。</w:t>
            </w:r>
          </w:p>
        </w:tc>
      </w:tr>
      <w:tr w14:paraId="56D3F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409F78DA">
            <w:pPr>
              <w:spacing w:line="240" w:lineRule="exact"/>
              <w:jc w:val="left"/>
              <w:rPr>
                <w:color w:val="auto"/>
                <w:kern w:val="0"/>
                <w:szCs w:val="21"/>
                <w:highlight w:val="none"/>
              </w:rPr>
            </w:pPr>
          </w:p>
        </w:tc>
        <w:tc>
          <w:tcPr>
            <w:tcW w:w="1843" w:type="dxa"/>
            <w:noWrap w:val="0"/>
            <w:vAlign w:val="center"/>
          </w:tcPr>
          <w:p w14:paraId="6B105F70">
            <w:pPr>
              <w:spacing w:line="240" w:lineRule="exact"/>
              <w:jc w:val="left"/>
              <w:rPr>
                <w:color w:val="auto"/>
                <w:kern w:val="0"/>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）诚信要求</w:t>
            </w:r>
          </w:p>
        </w:tc>
        <w:tc>
          <w:tcPr>
            <w:tcW w:w="6242" w:type="dxa"/>
            <w:noWrap w:val="0"/>
            <w:vAlign w:val="top"/>
          </w:tcPr>
          <w:p w14:paraId="37762CB5">
            <w:pPr>
              <w:spacing w:line="240" w:lineRule="exact"/>
              <w:jc w:val="left"/>
              <w:rPr>
                <w:color w:val="auto"/>
                <w:kern w:val="0"/>
                <w:szCs w:val="21"/>
                <w:highlight w:val="none"/>
              </w:rPr>
            </w:pPr>
            <w:r>
              <w:rPr>
                <w:rFonts w:hint="eastAsia"/>
                <w:color w:val="auto"/>
                <w:szCs w:val="21"/>
                <w:highlight w:val="none"/>
              </w:rPr>
              <w:t>未被列入失信被执行人、</w:t>
            </w:r>
            <w:r>
              <w:rPr>
                <w:color w:val="auto"/>
                <w:szCs w:val="21"/>
                <w:highlight w:val="none"/>
              </w:rPr>
              <w:t>重大税收违法失信主体、政府采购严重违法失信行为记录名单</w:t>
            </w:r>
            <w:r>
              <w:rPr>
                <w:rFonts w:hint="eastAsia"/>
                <w:color w:val="auto"/>
                <w:szCs w:val="21"/>
                <w:highlight w:val="none"/>
              </w:rPr>
              <w:t>。</w:t>
            </w:r>
          </w:p>
        </w:tc>
      </w:tr>
      <w:tr w14:paraId="3AC29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068E47D4">
            <w:pPr>
              <w:spacing w:line="240" w:lineRule="exact"/>
              <w:jc w:val="left"/>
              <w:rPr>
                <w:color w:val="auto"/>
                <w:kern w:val="0"/>
                <w:szCs w:val="21"/>
                <w:highlight w:val="none"/>
              </w:rPr>
            </w:pPr>
          </w:p>
        </w:tc>
        <w:tc>
          <w:tcPr>
            <w:tcW w:w="1843" w:type="dxa"/>
            <w:noWrap w:val="0"/>
            <w:vAlign w:val="center"/>
          </w:tcPr>
          <w:p w14:paraId="73FDB0F5">
            <w:pPr>
              <w:spacing w:line="240" w:lineRule="exact"/>
              <w:jc w:val="left"/>
              <w:rPr>
                <w:color w:val="auto"/>
                <w:szCs w:val="21"/>
                <w:highlight w:val="none"/>
              </w:rPr>
            </w:pPr>
            <w:r>
              <w:rPr>
                <w:rFonts w:hint="eastAsia"/>
                <w:color w:val="auto"/>
                <w:szCs w:val="21"/>
                <w:highlight w:val="none"/>
              </w:rPr>
              <w:t>（5）分公司</w:t>
            </w:r>
          </w:p>
        </w:tc>
        <w:tc>
          <w:tcPr>
            <w:tcW w:w="6242" w:type="dxa"/>
            <w:noWrap w:val="0"/>
            <w:vAlign w:val="center"/>
          </w:tcPr>
          <w:p w14:paraId="7385EF2A">
            <w:pPr>
              <w:spacing w:line="240" w:lineRule="exact"/>
              <w:rPr>
                <w:color w:val="auto"/>
                <w:szCs w:val="21"/>
                <w:highlight w:val="none"/>
              </w:rPr>
            </w:pPr>
            <w:r>
              <w:rPr>
                <w:rFonts w:hint="eastAsia"/>
                <w:b/>
                <w:bCs/>
                <w:color w:val="auto"/>
                <w:kern w:val="0"/>
                <w:szCs w:val="21"/>
                <w:highlight w:val="none"/>
              </w:rPr>
              <w:t>本项目允许分公司参与投标</w:t>
            </w:r>
            <w:r>
              <w:rPr>
                <w:rFonts w:hint="eastAsia"/>
                <w:b/>
                <w:bCs/>
                <w:color w:val="auto"/>
                <w:kern w:val="0"/>
                <w:szCs w:val="21"/>
                <w:highlight w:val="none"/>
                <w:lang w:eastAsia="zh-CN"/>
              </w:rPr>
              <w:t>，</w:t>
            </w:r>
            <w:r>
              <w:rPr>
                <w:rFonts w:hint="eastAsia"/>
                <w:b/>
                <w:bCs/>
                <w:color w:val="auto"/>
                <w:kern w:val="0"/>
                <w:szCs w:val="21"/>
                <w:highlight w:val="none"/>
              </w:rPr>
              <w:t>分公司参与投标</w:t>
            </w:r>
            <w:r>
              <w:rPr>
                <w:rFonts w:hint="eastAsia"/>
                <w:b/>
                <w:bCs/>
                <w:color w:val="auto"/>
                <w:kern w:val="0"/>
                <w:szCs w:val="21"/>
                <w:highlight w:val="none"/>
                <w:lang w:eastAsia="zh-CN"/>
              </w:rPr>
              <w:t>的，须取得总公司授权</w:t>
            </w:r>
            <w:r>
              <w:rPr>
                <w:rFonts w:hint="eastAsia"/>
                <w:b/>
                <w:bCs/>
                <w:color w:val="auto"/>
                <w:kern w:val="0"/>
                <w:szCs w:val="21"/>
                <w:highlight w:val="none"/>
              </w:rPr>
              <w:t>。</w:t>
            </w:r>
          </w:p>
        </w:tc>
      </w:tr>
      <w:tr w14:paraId="26621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0DAA80B5">
            <w:pPr>
              <w:spacing w:line="240" w:lineRule="exact"/>
              <w:jc w:val="left"/>
              <w:rPr>
                <w:color w:val="auto"/>
                <w:kern w:val="0"/>
                <w:szCs w:val="21"/>
                <w:highlight w:val="none"/>
              </w:rPr>
            </w:pPr>
          </w:p>
        </w:tc>
        <w:tc>
          <w:tcPr>
            <w:tcW w:w="1843" w:type="dxa"/>
            <w:noWrap w:val="0"/>
            <w:vAlign w:val="center"/>
          </w:tcPr>
          <w:p w14:paraId="140725E8">
            <w:pPr>
              <w:spacing w:line="240" w:lineRule="exact"/>
              <w:jc w:val="left"/>
              <w:rPr>
                <w:rFonts w:hint="eastAsia"/>
                <w:color w:val="auto"/>
                <w:szCs w:val="21"/>
                <w:highlight w:val="none"/>
              </w:rPr>
            </w:pPr>
            <w:r>
              <w:rPr>
                <w:rFonts w:hint="eastAsia"/>
                <w:color w:val="auto"/>
                <w:szCs w:val="21"/>
                <w:highlight w:val="none"/>
              </w:rPr>
              <w:t>（</w:t>
            </w:r>
            <w:r>
              <w:rPr>
                <w:color w:val="auto"/>
                <w:szCs w:val="21"/>
                <w:highlight w:val="none"/>
              </w:rPr>
              <w:t>6</w:t>
            </w:r>
            <w:r>
              <w:rPr>
                <w:rFonts w:hint="eastAsia"/>
                <w:color w:val="auto"/>
                <w:szCs w:val="21"/>
                <w:highlight w:val="none"/>
              </w:rPr>
              <w:t>）分包</w:t>
            </w:r>
          </w:p>
        </w:tc>
        <w:tc>
          <w:tcPr>
            <w:tcW w:w="6242" w:type="dxa"/>
            <w:noWrap w:val="0"/>
            <w:vAlign w:val="center"/>
          </w:tcPr>
          <w:p w14:paraId="5BD92C6C">
            <w:pPr>
              <w:spacing w:line="240" w:lineRule="exact"/>
              <w:rPr>
                <w:rFonts w:hint="eastAsia"/>
                <w:color w:val="auto"/>
                <w:szCs w:val="21"/>
                <w:highlight w:val="none"/>
                <w:lang w:val="zh-CN"/>
              </w:rPr>
            </w:pPr>
            <w:r>
              <w:rPr>
                <w:color w:val="auto"/>
                <w:szCs w:val="21"/>
                <w:highlight w:val="none"/>
              </w:rPr>
              <w:t>须符合</w:t>
            </w:r>
            <w:r>
              <w:rPr>
                <w:rFonts w:hint="eastAsia"/>
                <w:color w:val="auto"/>
                <w:szCs w:val="21"/>
                <w:highlight w:val="none"/>
              </w:rPr>
              <w:t>“磋商公告”</w:t>
            </w:r>
            <w:r>
              <w:rPr>
                <w:color w:val="auto"/>
                <w:szCs w:val="21"/>
                <w:highlight w:val="none"/>
              </w:rPr>
              <w:t>的要求</w:t>
            </w:r>
          </w:p>
        </w:tc>
      </w:tr>
      <w:tr w14:paraId="25281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624A77FD">
            <w:pPr>
              <w:spacing w:line="240" w:lineRule="exact"/>
              <w:jc w:val="left"/>
              <w:rPr>
                <w:color w:val="auto"/>
                <w:kern w:val="0"/>
                <w:szCs w:val="21"/>
                <w:highlight w:val="none"/>
              </w:rPr>
            </w:pPr>
          </w:p>
        </w:tc>
        <w:tc>
          <w:tcPr>
            <w:tcW w:w="1843" w:type="dxa"/>
            <w:noWrap w:val="0"/>
            <w:vAlign w:val="center"/>
          </w:tcPr>
          <w:p w14:paraId="3B7F4B14">
            <w:pPr>
              <w:spacing w:line="240" w:lineRule="exact"/>
              <w:jc w:val="left"/>
              <w:rPr>
                <w:rFonts w:hint="eastAsia"/>
                <w:color w:val="auto"/>
                <w:szCs w:val="21"/>
                <w:highlight w:val="none"/>
              </w:rPr>
            </w:pPr>
            <w:r>
              <w:rPr>
                <w:rFonts w:hint="eastAsia"/>
                <w:color w:val="auto"/>
                <w:szCs w:val="21"/>
                <w:highlight w:val="none"/>
              </w:rPr>
              <w:t>（</w:t>
            </w:r>
            <w:r>
              <w:rPr>
                <w:color w:val="auto"/>
                <w:szCs w:val="21"/>
                <w:highlight w:val="none"/>
              </w:rPr>
              <w:t>7</w:t>
            </w:r>
            <w:r>
              <w:rPr>
                <w:rFonts w:hint="eastAsia"/>
                <w:color w:val="auto"/>
                <w:szCs w:val="21"/>
                <w:highlight w:val="none"/>
              </w:rPr>
              <w:t>）联合体</w:t>
            </w:r>
          </w:p>
        </w:tc>
        <w:tc>
          <w:tcPr>
            <w:tcW w:w="6242" w:type="dxa"/>
            <w:noWrap w:val="0"/>
            <w:vAlign w:val="center"/>
          </w:tcPr>
          <w:p w14:paraId="009CB6DF">
            <w:pPr>
              <w:spacing w:line="240" w:lineRule="exact"/>
              <w:rPr>
                <w:rFonts w:hint="eastAsia"/>
                <w:color w:val="auto"/>
                <w:szCs w:val="21"/>
                <w:highlight w:val="none"/>
              </w:rPr>
            </w:pPr>
            <w:r>
              <w:rPr>
                <w:rFonts w:hint="eastAsia"/>
                <w:color w:val="auto"/>
                <w:szCs w:val="21"/>
                <w:highlight w:val="none"/>
                <w:lang w:val="zh-CN"/>
              </w:rPr>
              <w:t>须符合“磋商公告”的要求</w:t>
            </w:r>
          </w:p>
        </w:tc>
      </w:tr>
      <w:tr w14:paraId="14A99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3A5BBFAB">
            <w:pPr>
              <w:spacing w:line="240" w:lineRule="exact"/>
              <w:jc w:val="left"/>
              <w:rPr>
                <w:color w:val="auto"/>
                <w:kern w:val="0"/>
                <w:szCs w:val="21"/>
                <w:highlight w:val="none"/>
              </w:rPr>
            </w:pPr>
          </w:p>
        </w:tc>
        <w:tc>
          <w:tcPr>
            <w:tcW w:w="1843" w:type="dxa"/>
            <w:noWrap w:val="0"/>
            <w:vAlign w:val="center"/>
          </w:tcPr>
          <w:p w14:paraId="59BAC4CC">
            <w:pPr>
              <w:spacing w:line="240" w:lineRule="exact"/>
              <w:jc w:val="left"/>
              <w:rPr>
                <w:color w:val="auto"/>
                <w:szCs w:val="21"/>
                <w:highlight w:val="none"/>
              </w:rPr>
            </w:pPr>
            <w:r>
              <w:rPr>
                <w:rFonts w:hint="eastAsia"/>
                <w:color w:val="auto"/>
                <w:szCs w:val="21"/>
                <w:highlight w:val="none"/>
              </w:rPr>
              <w:t>（</w:t>
            </w:r>
            <w:r>
              <w:rPr>
                <w:color w:val="auto"/>
                <w:szCs w:val="21"/>
                <w:highlight w:val="none"/>
              </w:rPr>
              <w:t>8</w:t>
            </w:r>
            <w:r>
              <w:rPr>
                <w:rFonts w:hint="eastAsia"/>
                <w:color w:val="auto"/>
                <w:szCs w:val="21"/>
                <w:highlight w:val="none"/>
              </w:rPr>
              <w:t>）其他要求</w:t>
            </w:r>
          </w:p>
        </w:tc>
        <w:tc>
          <w:tcPr>
            <w:tcW w:w="6242" w:type="dxa"/>
            <w:noWrap w:val="0"/>
            <w:vAlign w:val="top"/>
          </w:tcPr>
          <w:p w14:paraId="4F5E06EA">
            <w:pPr>
              <w:spacing w:line="312" w:lineRule="auto"/>
              <w:jc w:val="left"/>
              <w:rPr>
                <w:color w:val="auto"/>
                <w:kern w:val="0"/>
                <w:szCs w:val="21"/>
                <w:highlight w:val="none"/>
              </w:rPr>
            </w:pPr>
            <w:r>
              <w:rPr>
                <w:rFonts w:hint="eastAsia"/>
                <w:color w:val="auto"/>
                <w:kern w:val="0"/>
                <w:szCs w:val="21"/>
                <w:highlight w:val="none"/>
              </w:rPr>
              <w:t>按</w:t>
            </w:r>
            <w:r>
              <w:rPr>
                <w:color w:val="auto"/>
                <w:kern w:val="0"/>
                <w:szCs w:val="21"/>
                <w:highlight w:val="none"/>
              </w:rPr>
              <w:t>照</w:t>
            </w:r>
            <w:r>
              <w:rPr>
                <w:rFonts w:hint="eastAsia"/>
                <w:color w:val="auto"/>
                <w:kern w:val="0"/>
                <w:szCs w:val="21"/>
                <w:highlight w:val="none"/>
              </w:rPr>
              <w:t>磋商</w:t>
            </w:r>
            <w:r>
              <w:rPr>
                <w:color w:val="auto"/>
                <w:kern w:val="0"/>
                <w:szCs w:val="21"/>
                <w:highlight w:val="none"/>
              </w:rPr>
              <w:t>公告规定获得</w:t>
            </w:r>
            <w:r>
              <w:rPr>
                <w:rFonts w:hint="eastAsia"/>
                <w:color w:val="auto"/>
                <w:kern w:val="0"/>
                <w:szCs w:val="21"/>
                <w:highlight w:val="none"/>
              </w:rPr>
              <w:t>采购</w:t>
            </w:r>
            <w:r>
              <w:rPr>
                <w:color w:val="auto"/>
                <w:kern w:val="0"/>
                <w:szCs w:val="21"/>
                <w:highlight w:val="none"/>
              </w:rPr>
              <w:t>文件。</w:t>
            </w:r>
          </w:p>
        </w:tc>
      </w:tr>
    </w:tbl>
    <w:p w14:paraId="52B2202F">
      <w:pPr>
        <w:spacing w:before="120" w:line="320" w:lineRule="atLeast"/>
        <w:ind w:firstLine="413" w:firstLineChars="196"/>
        <w:outlineLvl w:val="1"/>
        <w:rPr>
          <w:color w:val="auto"/>
          <w:szCs w:val="21"/>
          <w:highlight w:val="none"/>
        </w:rPr>
      </w:pPr>
      <w:r>
        <w:rPr>
          <w:b/>
          <w:bCs/>
          <w:color w:val="auto"/>
          <w:kern w:val="0"/>
          <w:szCs w:val="21"/>
          <w:highlight w:val="none"/>
        </w:rPr>
        <w:t>3</w:t>
      </w:r>
      <w:r>
        <w:rPr>
          <w:rFonts w:hint="eastAsia"/>
          <w:b/>
          <w:bCs/>
          <w:color w:val="auto"/>
          <w:kern w:val="0"/>
          <w:szCs w:val="21"/>
          <w:highlight w:val="none"/>
        </w:rPr>
        <w:t>.</w:t>
      </w:r>
      <w:r>
        <w:rPr>
          <w:b/>
          <w:bCs/>
          <w:color w:val="auto"/>
          <w:kern w:val="0"/>
          <w:szCs w:val="21"/>
          <w:highlight w:val="none"/>
        </w:rPr>
        <w:t>符合性审查</w:t>
      </w:r>
      <w:r>
        <w:rPr>
          <w:rFonts w:hint="eastAsia"/>
          <w:b/>
          <w:bCs/>
          <w:color w:val="auto"/>
          <w:kern w:val="0"/>
          <w:szCs w:val="21"/>
          <w:highlight w:val="none"/>
        </w:rPr>
        <w:t>标准（不满足任何一项审查内容要求，符合性审查即为不合格）</w:t>
      </w:r>
    </w:p>
    <w:tbl>
      <w:tblPr>
        <w:tblStyle w:val="53"/>
        <w:tblW w:w="893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2333"/>
        <w:gridCol w:w="5085"/>
      </w:tblGrid>
      <w:tr w14:paraId="74ADD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2" w:type="dxa"/>
            <w:noWrap w:val="0"/>
            <w:vAlign w:val="center"/>
          </w:tcPr>
          <w:p w14:paraId="39551210">
            <w:pPr>
              <w:spacing w:line="240" w:lineRule="exact"/>
              <w:jc w:val="center"/>
              <w:rPr>
                <w:b/>
                <w:color w:val="auto"/>
                <w:kern w:val="0"/>
                <w:szCs w:val="21"/>
                <w:highlight w:val="none"/>
              </w:rPr>
            </w:pPr>
            <w:bookmarkStart w:id="71" w:name="_Hlk48146640"/>
            <w:bookmarkStart w:id="72" w:name="_Hlk20388968"/>
            <w:r>
              <w:rPr>
                <w:rFonts w:hint="eastAsia"/>
                <w:b/>
                <w:color w:val="auto"/>
                <w:kern w:val="0"/>
                <w:szCs w:val="21"/>
                <w:highlight w:val="none"/>
              </w:rPr>
              <w:t>审查</w:t>
            </w:r>
            <w:r>
              <w:rPr>
                <w:b/>
                <w:color w:val="auto"/>
                <w:kern w:val="0"/>
                <w:szCs w:val="21"/>
                <w:highlight w:val="none"/>
              </w:rPr>
              <w:t>因素</w:t>
            </w:r>
          </w:p>
        </w:tc>
        <w:tc>
          <w:tcPr>
            <w:tcW w:w="2333" w:type="dxa"/>
            <w:noWrap w:val="0"/>
            <w:vAlign w:val="center"/>
          </w:tcPr>
          <w:p w14:paraId="199DF36D">
            <w:pPr>
              <w:spacing w:line="240" w:lineRule="exact"/>
              <w:jc w:val="center"/>
              <w:rPr>
                <w:b/>
                <w:color w:val="auto"/>
                <w:kern w:val="0"/>
                <w:szCs w:val="21"/>
                <w:highlight w:val="none"/>
              </w:rPr>
            </w:pPr>
            <w:r>
              <w:rPr>
                <w:rFonts w:hint="eastAsia"/>
                <w:b/>
                <w:color w:val="auto"/>
                <w:kern w:val="0"/>
                <w:szCs w:val="21"/>
                <w:highlight w:val="none"/>
              </w:rPr>
              <w:t>审查内容</w:t>
            </w:r>
          </w:p>
        </w:tc>
        <w:tc>
          <w:tcPr>
            <w:tcW w:w="5085" w:type="dxa"/>
            <w:noWrap w:val="0"/>
            <w:vAlign w:val="top"/>
          </w:tcPr>
          <w:p w14:paraId="4581D01E">
            <w:pPr>
              <w:spacing w:line="240" w:lineRule="exact"/>
              <w:jc w:val="center"/>
              <w:rPr>
                <w:b/>
                <w:color w:val="auto"/>
                <w:kern w:val="0"/>
                <w:szCs w:val="21"/>
                <w:highlight w:val="none"/>
              </w:rPr>
            </w:pPr>
          </w:p>
          <w:p w14:paraId="28037F71">
            <w:pPr>
              <w:spacing w:line="240" w:lineRule="exact"/>
              <w:jc w:val="center"/>
              <w:rPr>
                <w:b/>
                <w:color w:val="auto"/>
                <w:kern w:val="0"/>
                <w:szCs w:val="21"/>
                <w:highlight w:val="none"/>
              </w:rPr>
            </w:pPr>
            <w:r>
              <w:rPr>
                <w:rFonts w:hint="eastAsia"/>
                <w:b/>
                <w:color w:val="auto"/>
                <w:kern w:val="0"/>
                <w:szCs w:val="21"/>
                <w:highlight w:val="none"/>
              </w:rPr>
              <w:t>说明</w:t>
            </w:r>
          </w:p>
        </w:tc>
      </w:tr>
      <w:tr w14:paraId="50686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1512" w:type="dxa"/>
            <w:vMerge w:val="restart"/>
            <w:noWrap w:val="0"/>
            <w:vAlign w:val="center"/>
          </w:tcPr>
          <w:p w14:paraId="65FA315F">
            <w:pPr>
              <w:spacing w:line="240" w:lineRule="exact"/>
              <w:jc w:val="center"/>
              <w:rPr>
                <w:color w:val="auto"/>
                <w:kern w:val="0"/>
                <w:szCs w:val="21"/>
                <w:highlight w:val="none"/>
              </w:rPr>
            </w:pPr>
            <w:r>
              <w:rPr>
                <w:rFonts w:hint="eastAsia"/>
                <w:color w:val="auto"/>
                <w:kern w:val="0"/>
                <w:szCs w:val="21"/>
                <w:highlight w:val="none"/>
              </w:rPr>
              <w:t>商务资信</w:t>
            </w:r>
          </w:p>
        </w:tc>
        <w:tc>
          <w:tcPr>
            <w:tcW w:w="2333" w:type="dxa"/>
            <w:noWrap w:val="0"/>
            <w:vAlign w:val="center"/>
          </w:tcPr>
          <w:p w14:paraId="01D63FF5">
            <w:pPr>
              <w:spacing w:line="240" w:lineRule="exact"/>
              <w:rPr>
                <w:color w:val="auto"/>
                <w:highlight w:val="none"/>
              </w:rPr>
            </w:pPr>
            <w:r>
              <w:rPr>
                <w:rFonts w:hint="eastAsia"/>
                <w:color w:val="auto"/>
                <w:highlight w:val="none"/>
              </w:rPr>
              <w:t>法定代表人</w:t>
            </w:r>
            <w:r>
              <w:rPr>
                <w:rFonts w:hint="eastAsia"/>
                <w:color w:val="auto"/>
                <w:szCs w:val="21"/>
                <w:highlight w:val="none"/>
                <w:lang w:eastAsia="zh-CN"/>
              </w:rPr>
              <w:t>（或分支机构负责人）</w:t>
            </w:r>
            <w:r>
              <w:rPr>
                <w:rFonts w:hint="eastAsia"/>
                <w:color w:val="auto"/>
                <w:highlight w:val="none"/>
              </w:rPr>
              <w:t>身份证明及授权委托书</w:t>
            </w:r>
          </w:p>
        </w:tc>
        <w:tc>
          <w:tcPr>
            <w:tcW w:w="5085" w:type="dxa"/>
            <w:noWrap w:val="0"/>
            <w:vAlign w:val="center"/>
          </w:tcPr>
          <w:p w14:paraId="28293E7A">
            <w:pPr>
              <w:spacing w:line="240" w:lineRule="exact"/>
              <w:rPr>
                <w:color w:val="auto"/>
                <w:szCs w:val="21"/>
                <w:highlight w:val="none"/>
              </w:rPr>
            </w:pPr>
            <w:r>
              <w:rPr>
                <w:rFonts w:hint="eastAsia"/>
                <w:color w:val="auto"/>
                <w:szCs w:val="21"/>
                <w:highlight w:val="none"/>
              </w:rPr>
              <w:t>授权</w:t>
            </w:r>
            <w:r>
              <w:rPr>
                <w:color w:val="auto"/>
                <w:szCs w:val="21"/>
                <w:highlight w:val="none"/>
              </w:rPr>
              <w:t>代表</w:t>
            </w:r>
            <w:r>
              <w:rPr>
                <w:rFonts w:hint="eastAsia"/>
                <w:color w:val="auto"/>
                <w:szCs w:val="21"/>
                <w:highlight w:val="none"/>
              </w:rPr>
              <w:t>参加响应</w:t>
            </w:r>
            <w:r>
              <w:rPr>
                <w:color w:val="auto"/>
                <w:szCs w:val="21"/>
                <w:highlight w:val="none"/>
              </w:rPr>
              <w:t>时审查</w:t>
            </w:r>
            <w:r>
              <w:rPr>
                <w:color w:val="auto"/>
                <w:highlight w:val="none"/>
              </w:rPr>
              <w:t>：</w:t>
            </w:r>
            <w:r>
              <w:rPr>
                <w:rFonts w:ascii="宋体" w:hAnsi="宋体"/>
                <w:color w:val="auto"/>
                <w:szCs w:val="21"/>
                <w:highlight w:val="none"/>
              </w:rPr>
              <w:t>法定代表人</w:t>
            </w:r>
            <w:r>
              <w:rPr>
                <w:rFonts w:hint="eastAsia" w:ascii="宋体" w:hAnsi="宋体"/>
                <w:color w:val="auto"/>
                <w:szCs w:val="21"/>
                <w:highlight w:val="none"/>
              </w:rPr>
              <w:t>（或分支机构负责人）</w:t>
            </w:r>
            <w:r>
              <w:rPr>
                <w:rFonts w:ascii="宋体" w:hAnsi="宋体"/>
                <w:color w:val="auto"/>
                <w:szCs w:val="21"/>
                <w:highlight w:val="none"/>
              </w:rPr>
              <w:t>授权委托书及附件</w:t>
            </w:r>
            <w:r>
              <w:rPr>
                <w:color w:val="auto"/>
                <w:szCs w:val="21"/>
                <w:highlight w:val="none"/>
              </w:rPr>
              <w:t xml:space="preserve"> </w:t>
            </w:r>
          </w:p>
          <w:p w14:paraId="1E0D3ECB">
            <w:pPr>
              <w:spacing w:line="240" w:lineRule="exact"/>
              <w:rPr>
                <w:rFonts w:ascii="宋体" w:hAnsi="宋体"/>
                <w:color w:val="auto"/>
                <w:szCs w:val="21"/>
                <w:highlight w:val="none"/>
              </w:rPr>
            </w:pPr>
            <w:r>
              <w:rPr>
                <w:rFonts w:hint="eastAsia"/>
                <w:color w:val="auto"/>
                <w:szCs w:val="21"/>
                <w:highlight w:val="none"/>
              </w:rPr>
              <w:t>法定代表人（或分支机构负责人）直接参加响应</w:t>
            </w:r>
            <w:r>
              <w:rPr>
                <w:color w:val="auto"/>
                <w:szCs w:val="21"/>
                <w:highlight w:val="none"/>
              </w:rPr>
              <w:t>时审查</w:t>
            </w:r>
            <w:r>
              <w:rPr>
                <w:color w:val="auto"/>
                <w:highlight w:val="none"/>
              </w:rPr>
              <w:t>：</w:t>
            </w:r>
            <w:r>
              <w:rPr>
                <w:rFonts w:ascii="宋体" w:hAnsi="宋体"/>
                <w:color w:val="auto"/>
                <w:szCs w:val="21"/>
                <w:highlight w:val="none"/>
              </w:rPr>
              <w:t>法定代表人</w:t>
            </w:r>
            <w:r>
              <w:rPr>
                <w:rFonts w:hint="eastAsia" w:ascii="宋体" w:hAnsi="宋体"/>
                <w:color w:val="auto"/>
                <w:szCs w:val="21"/>
                <w:highlight w:val="none"/>
              </w:rPr>
              <w:t>（或分支机构负责人）</w:t>
            </w:r>
            <w:r>
              <w:rPr>
                <w:rFonts w:ascii="宋体" w:hAnsi="宋体"/>
                <w:color w:val="auto"/>
                <w:szCs w:val="21"/>
                <w:highlight w:val="none"/>
              </w:rPr>
              <w:t>身份证明</w:t>
            </w:r>
            <w:r>
              <w:rPr>
                <w:rFonts w:hint="eastAsia" w:ascii="宋体" w:hAnsi="宋体"/>
                <w:color w:val="auto"/>
                <w:szCs w:val="21"/>
                <w:highlight w:val="none"/>
              </w:rPr>
              <w:t>及</w:t>
            </w:r>
            <w:r>
              <w:rPr>
                <w:rFonts w:ascii="宋体" w:hAnsi="宋体"/>
                <w:color w:val="auto"/>
                <w:szCs w:val="21"/>
                <w:highlight w:val="none"/>
              </w:rPr>
              <w:t>附件</w:t>
            </w:r>
          </w:p>
          <w:p w14:paraId="1026F538">
            <w:pPr>
              <w:spacing w:line="240" w:lineRule="exact"/>
              <w:rPr>
                <w:color w:val="auto"/>
                <w:highlight w:val="none"/>
              </w:rPr>
            </w:pPr>
            <w:r>
              <w:rPr>
                <w:rFonts w:ascii="宋体" w:hAnsi="宋体"/>
                <w:color w:val="auto"/>
                <w:szCs w:val="21"/>
                <w:highlight w:val="none"/>
              </w:rPr>
              <w:t>格式及附件见第六章响应文件格式要求</w:t>
            </w:r>
          </w:p>
        </w:tc>
      </w:tr>
      <w:tr w14:paraId="4BB3E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2" w:type="dxa"/>
            <w:vMerge w:val="continue"/>
            <w:noWrap w:val="0"/>
            <w:vAlign w:val="center"/>
          </w:tcPr>
          <w:p w14:paraId="256C35FD">
            <w:pPr>
              <w:spacing w:line="240" w:lineRule="exact"/>
              <w:jc w:val="center"/>
              <w:rPr>
                <w:color w:val="auto"/>
                <w:kern w:val="0"/>
                <w:szCs w:val="21"/>
                <w:highlight w:val="none"/>
              </w:rPr>
            </w:pPr>
          </w:p>
        </w:tc>
        <w:tc>
          <w:tcPr>
            <w:tcW w:w="2333" w:type="dxa"/>
            <w:noWrap w:val="0"/>
            <w:vAlign w:val="center"/>
          </w:tcPr>
          <w:p w14:paraId="1FFE7AC4">
            <w:pPr>
              <w:spacing w:line="240" w:lineRule="exact"/>
              <w:rPr>
                <w:color w:val="auto"/>
                <w:szCs w:val="21"/>
                <w:highlight w:val="none"/>
              </w:rPr>
            </w:pPr>
            <w:r>
              <w:rPr>
                <w:rFonts w:hint="eastAsia"/>
                <w:color w:val="auto"/>
                <w:szCs w:val="21"/>
                <w:highlight w:val="none"/>
              </w:rPr>
              <w:t>实质性条款响应</w:t>
            </w:r>
          </w:p>
        </w:tc>
        <w:tc>
          <w:tcPr>
            <w:tcW w:w="5085" w:type="dxa"/>
            <w:noWrap w:val="0"/>
            <w:vAlign w:val="center"/>
          </w:tcPr>
          <w:p w14:paraId="23EB001C">
            <w:pPr>
              <w:spacing w:line="240" w:lineRule="exact"/>
              <w:rPr>
                <w:color w:val="auto"/>
                <w:szCs w:val="21"/>
                <w:highlight w:val="none"/>
              </w:rPr>
            </w:pPr>
            <w:r>
              <w:rPr>
                <w:rFonts w:hint="eastAsia" w:ascii="宋体" w:hAnsi="宋体"/>
                <w:color w:val="auto"/>
                <w:szCs w:val="21"/>
                <w:highlight w:val="none"/>
              </w:rPr>
              <w:t>采购文件实质性要求响应均无负偏离</w:t>
            </w:r>
          </w:p>
        </w:tc>
      </w:tr>
      <w:tr w14:paraId="1C2C6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2" w:type="dxa"/>
            <w:vMerge w:val="continue"/>
            <w:noWrap w:val="0"/>
            <w:vAlign w:val="center"/>
          </w:tcPr>
          <w:p w14:paraId="3ED58C05">
            <w:pPr>
              <w:spacing w:line="240" w:lineRule="exact"/>
              <w:jc w:val="center"/>
              <w:rPr>
                <w:color w:val="auto"/>
                <w:kern w:val="0"/>
                <w:szCs w:val="21"/>
                <w:highlight w:val="none"/>
              </w:rPr>
            </w:pPr>
          </w:p>
        </w:tc>
        <w:tc>
          <w:tcPr>
            <w:tcW w:w="2333" w:type="dxa"/>
            <w:noWrap w:val="0"/>
            <w:vAlign w:val="center"/>
          </w:tcPr>
          <w:p w14:paraId="0DC7C550">
            <w:pPr>
              <w:spacing w:line="240" w:lineRule="exact"/>
              <w:rPr>
                <w:color w:val="auto"/>
                <w:szCs w:val="21"/>
                <w:highlight w:val="none"/>
              </w:rPr>
            </w:pPr>
            <w:r>
              <w:rPr>
                <w:rFonts w:hint="eastAsia"/>
                <w:color w:val="auto"/>
                <w:szCs w:val="21"/>
                <w:highlight w:val="none"/>
              </w:rPr>
              <w:t>串通投标</w:t>
            </w:r>
          </w:p>
        </w:tc>
        <w:tc>
          <w:tcPr>
            <w:tcW w:w="5085" w:type="dxa"/>
            <w:noWrap w:val="0"/>
            <w:vAlign w:val="center"/>
          </w:tcPr>
          <w:p w14:paraId="4D518935">
            <w:pPr>
              <w:spacing w:line="240" w:lineRule="exact"/>
              <w:rPr>
                <w:color w:val="auto"/>
                <w:szCs w:val="21"/>
                <w:highlight w:val="none"/>
              </w:rPr>
            </w:pPr>
            <w:r>
              <w:rPr>
                <w:rFonts w:hint="eastAsia" w:ascii="宋体" w:hAnsi="宋体"/>
                <w:color w:val="auto"/>
                <w:szCs w:val="21"/>
                <w:highlight w:val="none"/>
              </w:rPr>
              <w:t>不属于供应商须知正文第</w:t>
            </w:r>
            <w:r>
              <w:rPr>
                <w:rFonts w:ascii="宋体" w:hAnsi="宋体"/>
                <w:color w:val="auto"/>
                <w:szCs w:val="21"/>
                <w:highlight w:val="none"/>
              </w:rPr>
              <w:t>6</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w:t>
            </w:r>
            <w:r>
              <w:rPr>
                <w:rFonts w:ascii="宋体" w:hAnsi="宋体"/>
                <w:color w:val="auto"/>
                <w:szCs w:val="21"/>
                <w:highlight w:val="none"/>
              </w:rPr>
              <w:t>8</w:t>
            </w:r>
            <w:r>
              <w:rPr>
                <w:rFonts w:hint="eastAsia" w:ascii="宋体" w:hAnsi="宋体"/>
                <w:color w:val="auto"/>
                <w:szCs w:val="21"/>
                <w:highlight w:val="none"/>
              </w:rPr>
              <w:t>规定的串通投标情形，见</w:t>
            </w:r>
            <w:r>
              <w:rPr>
                <w:rFonts w:ascii="宋体" w:hAnsi="宋体"/>
                <w:color w:val="auto"/>
                <w:szCs w:val="21"/>
                <w:highlight w:val="none"/>
              </w:rPr>
              <w:t>第六章响应文件格式要求</w:t>
            </w:r>
          </w:p>
        </w:tc>
      </w:tr>
      <w:tr w14:paraId="3F0D4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2" w:type="dxa"/>
            <w:noWrap w:val="0"/>
            <w:vAlign w:val="center"/>
          </w:tcPr>
          <w:p w14:paraId="009776F9">
            <w:pPr>
              <w:spacing w:line="240" w:lineRule="exact"/>
              <w:jc w:val="center"/>
              <w:rPr>
                <w:color w:val="auto"/>
                <w:kern w:val="0"/>
                <w:szCs w:val="21"/>
                <w:highlight w:val="none"/>
              </w:rPr>
            </w:pPr>
            <w:r>
              <w:rPr>
                <w:rFonts w:hint="eastAsia" w:ascii="宋体" w:hAnsi="宋体" w:eastAsia="宋体" w:cs="Times New Roman"/>
                <w:color w:val="auto"/>
                <w:szCs w:val="21"/>
                <w:highlight w:val="none"/>
              </w:rPr>
              <w:t>技术</w:t>
            </w:r>
          </w:p>
        </w:tc>
        <w:tc>
          <w:tcPr>
            <w:tcW w:w="2333" w:type="dxa"/>
            <w:noWrap w:val="0"/>
            <w:vAlign w:val="center"/>
          </w:tcPr>
          <w:p w14:paraId="655EC484">
            <w:pPr>
              <w:spacing w:line="240" w:lineRule="exact"/>
              <w:jc w:val="both"/>
              <w:rPr>
                <w:rFonts w:hint="eastAsia"/>
                <w:color w:val="auto"/>
                <w:szCs w:val="21"/>
                <w:highlight w:val="none"/>
              </w:rPr>
            </w:pPr>
            <w:r>
              <w:rPr>
                <w:rFonts w:hint="eastAsia" w:ascii="宋体" w:hAnsi="宋体" w:eastAsia="宋体" w:cs="Times New Roman"/>
                <w:color w:val="auto"/>
                <w:szCs w:val="21"/>
                <w:highlight w:val="none"/>
              </w:rPr>
              <w:t>实质性条款响应</w:t>
            </w:r>
          </w:p>
        </w:tc>
        <w:tc>
          <w:tcPr>
            <w:tcW w:w="5085" w:type="dxa"/>
            <w:noWrap w:val="0"/>
            <w:vAlign w:val="center"/>
          </w:tcPr>
          <w:p w14:paraId="75458EF5">
            <w:pPr>
              <w:spacing w:line="240" w:lineRule="exact"/>
              <w:jc w:val="both"/>
              <w:rPr>
                <w:rFonts w:hint="eastAsia" w:ascii="宋体" w:hAnsi="宋体"/>
                <w:color w:val="auto"/>
                <w:szCs w:val="21"/>
                <w:highlight w:val="none"/>
              </w:rPr>
            </w:pPr>
            <w:r>
              <w:rPr>
                <w:rFonts w:hint="eastAsia" w:ascii="宋体" w:hAnsi="宋体" w:eastAsia="宋体" w:cs="Times New Roman"/>
                <w:color w:val="auto"/>
                <w:szCs w:val="21"/>
                <w:highlight w:val="none"/>
              </w:rPr>
              <w:t>采购文件实质性要求响应均无负偏离</w:t>
            </w:r>
          </w:p>
        </w:tc>
      </w:tr>
      <w:tr w14:paraId="1AF67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restart"/>
            <w:noWrap w:val="0"/>
            <w:vAlign w:val="center"/>
          </w:tcPr>
          <w:p w14:paraId="6132D926">
            <w:pPr>
              <w:spacing w:line="240" w:lineRule="exact"/>
              <w:jc w:val="center"/>
              <w:rPr>
                <w:color w:val="auto"/>
                <w:kern w:val="0"/>
                <w:szCs w:val="21"/>
                <w:highlight w:val="none"/>
              </w:rPr>
            </w:pPr>
            <w:r>
              <w:rPr>
                <w:rFonts w:hint="eastAsia"/>
                <w:color w:val="auto"/>
                <w:kern w:val="0"/>
                <w:szCs w:val="21"/>
                <w:highlight w:val="none"/>
              </w:rPr>
              <w:t>报价</w:t>
            </w:r>
          </w:p>
        </w:tc>
        <w:tc>
          <w:tcPr>
            <w:tcW w:w="2333" w:type="dxa"/>
            <w:noWrap w:val="0"/>
            <w:vAlign w:val="center"/>
          </w:tcPr>
          <w:p w14:paraId="1C3DBB1D">
            <w:pPr>
              <w:spacing w:line="240" w:lineRule="exact"/>
              <w:rPr>
                <w:color w:val="auto"/>
                <w:szCs w:val="21"/>
                <w:highlight w:val="none"/>
              </w:rPr>
            </w:pPr>
            <w:r>
              <w:rPr>
                <w:rFonts w:hint="eastAsia"/>
                <w:color w:val="auto"/>
                <w:szCs w:val="21"/>
                <w:highlight w:val="none"/>
              </w:rPr>
              <w:t>有效报价</w:t>
            </w:r>
          </w:p>
        </w:tc>
        <w:tc>
          <w:tcPr>
            <w:tcW w:w="5085" w:type="dxa"/>
            <w:noWrap w:val="0"/>
            <w:vAlign w:val="center"/>
          </w:tcPr>
          <w:p w14:paraId="2F71B759">
            <w:pPr>
              <w:spacing w:line="240" w:lineRule="exact"/>
              <w:rPr>
                <w:bCs/>
                <w:color w:val="auto"/>
                <w:kern w:val="0"/>
                <w:szCs w:val="21"/>
                <w:highlight w:val="none"/>
              </w:rPr>
            </w:pPr>
            <w:r>
              <w:rPr>
                <w:rFonts w:hint="eastAsia"/>
                <w:color w:val="auto"/>
                <w:highlight w:val="none"/>
              </w:rPr>
              <w:t>报价未超出采购预算金额，也未超出最高限价（如有）</w:t>
            </w:r>
          </w:p>
        </w:tc>
      </w:tr>
      <w:tr w14:paraId="3FD7D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noWrap w:val="0"/>
            <w:vAlign w:val="center"/>
          </w:tcPr>
          <w:p w14:paraId="258E911A">
            <w:pPr>
              <w:spacing w:line="240" w:lineRule="exact"/>
              <w:jc w:val="center"/>
              <w:rPr>
                <w:color w:val="auto"/>
                <w:kern w:val="0"/>
                <w:szCs w:val="21"/>
                <w:highlight w:val="none"/>
              </w:rPr>
            </w:pPr>
          </w:p>
        </w:tc>
        <w:tc>
          <w:tcPr>
            <w:tcW w:w="2333" w:type="dxa"/>
            <w:noWrap w:val="0"/>
            <w:vAlign w:val="center"/>
          </w:tcPr>
          <w:p w14:paraId="7AF07860">
            <w:pPr>
              <w:spacing w:line="240" w:lineRule="exact"/>
              <w:rPr>
                <w:bCs/>
                <w:color w:val="auto"/>
                <w:kern w:val="0"/>
                <w:szCs w:val="21"/>
                <w:highlight w:val="none"/>
              </w:rPr>
            </w:pPr>
            <w:r>
              <w:rPr>
                <w:rFonts w:hint="eastAsia"/>
                <w:bCs/>
                <w:color w:val="auto"/>
                <w:kern w:val="0"/>
                <w:szCs w:val="21"/>
                <w:highlight w:val="none"/>
              </w:rPr>
              <w:t>漏项报价</w:t>
            </w:r>
          </w:p>
        </w:tc>
        <w:tc>
          <w:tcPr>
            <w:tcW w:w="5085" w:type="dxa"/>
            <w:noWrap w:val="0"/>
            <w:vAlign w:val="center"/>
          </w:tcPr>
          <w:p w14:paraId="61BB4E97">
            <w:pPr>
              <w:spacing w:line="240" w:lineRule="exact"/>
              <w:rPr>
                <w:rFonts w:hAnsi="宋体"/>
                <w:color w:val="auto"/>
                <w:szCs w:val="21"/>
                <w:highlight w:val="none"/>
              </w:rPr>
            </w:pPr>
            <w:r>
              <w:rPr>
                <w:rFonts w:hint="eastAsia" w:ascii="宋体" w:hAnsi="宋体"/>
                <w:color w:val="auto"/>
                <w:szCs w:val="21"/>
                <w:highlight w:val="none"/>
              </w:rPr>
              <w:t>未就所投分标进行报价或者存在漏项报价；</w:t>
            </w:r>
          </w:p>
        </w:tc>
      </w:tr>
      <w:tr w14:paraId="17FF7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noWrap w:val="0"/>
            <w:vAlign w:val="center"/>
          </w:tcPr>
          <w:p w14:paraId="09E15467">
            <w:pPr>
              <w:spacing w:line="240" w:lineRule="exact"/>
              <w:jc w:val="center"/>
              <w:rPr>
                <w:color w:val="auto"/>
                <w:kern w:val="0"/>
                <w:szCs w:val="21"/>
                <w:highlight w:val="none"/>
              </w:rPr>
            </w:pPr>
          </w:p>
        </w:tc>
        <w:tc>
          <w:tcPr>
            <w:tcW w:w="2333" w:type="dxa"/>
            <w:noWrap w:val="0"/>
            <w:vAlign w:val="center"/>
          </w:tcPr>
          <w:p w14:paraId="526AA93C">
            <w:pPr>
              <w:spacing w:line="240" w:lineRule="exact"/>
              <w:rPr>
                <w:rFonts w:hAnsi="宋体"/>
                <w:color w:val="auto"/>
                <w:szCs w:val="21"/>
                <w:highlight w:val="none"/>
              </w:rPr>
            </w:pPr>
            <w:r>
              <w:rPr>
                <w:rFonts w:hint="eastAsia" w:hAnsi="宋体"/>
                <w:color w:val="auto"/>
                <w:szCs w:val="21"/>
                <w:highlight w:val="none"/>
              </w:rPr>
              <w:t>响应报价唯一性</w:t>
            </w:r>
          </w:p>
        </w:tc>
        <w:tc>
          <w:tcPr>
            <w:tcW w:w="5085" w:type="dxa"/>
            <w:noWrap w:val="0"/>
            <w:vAlign w:val="center"/>
          </w:tcPr>
          <w:p w14:paraId="2E5CCC27">
            <w:pPr>
              <w:spacing w:line="240" w:lineRule="exact"/>
              <w:rPr>
                <w:color w:val="auto"/>
                <w:szCs w:val="21"/>
                <w:highlight w:val="none"/>
              </w:rPr>
            </w:pPr>
            <w:r>
              <w:rPr>
                <w:rFonts w:hint="eastAsia" w:ascii="宋体" w:hAnsi="宋体"/>
                <w:color w:val="auto"/>
                <w:szCs w:val="21"/>
                <w:highlight w:val="none"/>
              </w:rPr>
              <w:t>不存在有选择、有条件的最后报价（采购文件允许有备选方案或者其他约定的除外）</w:t>
            </w:r>
          </w:p>
        </w:tc>
      </w:tr>
      <w:tr w14:paraId="17F76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noWrap w:val="0"/>
            <w:vAlign w:val="center"/>
          </w:tcPr>
          <w:p w14:paraId="02581615">
            <w:pPr>
              <w:spacing w:line="240" w:lineRule="exact"/>
              <w:jc w:val="center"/>
              <w:rPr>
                <w:color w:val="auto"/>
                <w:kern w:val="0"/>
                <w:szCs w:val="21"/>
                <w:highlight w:val="none"/>
              </w:rPr>
            </w:pPr>
          </w:p>
        </w:tc>
        <w:tc>
          <w:tcPr>
            <w:tcW w:w="2333" w:type="dxa"/>
            <w:noWrap w:val="0"/>
            <w:vAlign w:val="center"/>
          </w:tcPr>
          <w:p w14:paraId="651CD25A">
            <w:pPr>
              <w:spacing w:line="240" w:lineRule="exact"/>
              <w:rPr>
                <w:rFonts w:ascii="宋体" w:hAnsi="宋体"/>
                <w:color w:val="auto"/>
                <w:szCs w:val="21"/>
                <w:highlight w:val="none"/>
              </w:rPr>
            </w:pPr>
            <w:r>
              <w:rPr>
                <w:rFonts w:hint="eastAsia"/>
                <w:color w:val="auto"/>
                <w:szCs w:val="21"/>
                <w:highlight w:val="none"/>
              </w:rPr>
              <w:t>响应有效期</w:t>
            </w:r>
          </w:p>
        </w:tc>
        <w:tc>
          <w:tcPr>
            <w:tcW w:w="5085" w:type="dxa"/>
            <w:noWrap w:val="0"/>
            <w:vAlign w:val="center"/>
          </w:tcPr>
          <w:p w14:paraId="6069E9B1">
            <w:pPr>
              <w:spacing w:line="240" w:lineRule="exact"/>
              <w:rPr>
                <w:color w:val="auto"/>
                <w:szCs w:val="21"/>
                <w:highlight w:val="none"/>
              </w:rPr>
            </w:pPr>
            <w:r>
              <w:rPr>
                <w:rFonts w:hint="eastAsia" w:ascii="宋体" w:hAnsi="宋体"/>
                <w:color w:val="auto"/>
                <w:szCs w:val="21"/>
                <w:highlight w:val="none"/>
              </w:rPr>
              <w:t>满足采购文件规定</w:t>
            </w:r>
          </w:p>
        </w:tc>
      </w:tr>
      <w:bookmarkEnd w:id="71"/>
      <w:bookmarkEnd w:id="72"/>
    </w:tbl>
    <w:p w14:paraId="2A4E3BC3">
      <w:pPr>
        <w:spacing w:before="120" w:line="320" w:lineRule="atLeast"/>
        <w:rPr>
          <w:rFonts w:hint="eastAsia"/>
          <w:color w:val="auto"/>
          <w:highlight w:val="none"/>
        </w:rPr>
      </w:pPr>
    </w:p>
    <w:p w14:paraId="04946843">
      <w:pPr>
        <w:tabs>
          <w:tab w:val="left" w:pos="1950"/>
        </w:tabs>
        <w:spacing w:before="120" w:line="320" w:lineRule="atLeast"/>
        <w:jc w:val="left"/>
        <w:outlineLvl w:val="1"/>
        <w:rPr>
          <w:b/>
          <w:bCs/>
          <w:color w:val="auto"/>
          <w:kern w:val="0"/>
          <w:szCs w:val="21"/>
          <w:highlight w:val="none"/>
        </w:rPr>
      </w:pPr>
    </w:p>
    <w:p w14:paraId="191A2996">
      <w:pPr>
        <w:tabs>
          <w:tab w:val="left" w:pos="1950"/>
        </w:tabs>
        <w:spacing w:before="120" w:line="320" w:lineRule="atLeast"/>
        <w:jc w:val="left"/>
        <w:outlineLvl w:val="1"/>
        <w:rPr>
          <w:b/>
          <w:bCs/>
          <w:color w:val="auto"/>
          <w:kern w:val="0"/>
          <w:szCs w:val="21"/>
          <w:highlight w:val="none"/>
        </w:rPr>
      </w:pPr>
    </w:p>
    <w:p w14:paraId="61C91F1A">
      <w:pPr>
        <w:tabs>
          <w:tab w:val="left" w:pos="1950"/>
        </w:tabs>
        <w:spacing w:before="120" w:line="320" w:lineRule="atLeast"/>
        <w:jc w:val="left"/>
        <w:outlineLvl w:val="1"/>
        <w:rPr>
          <w:b/>
          <w:bCs/>
          <w:color w:val="auto"/>
          <w:kern w:val="0"/>
          <w:szCs w:val="21"/>
          <w:highlight w:val="none"/>
        </w:rPr>
      </w:pPr>
    </w:p>
    <w:p w14:paraId="5E1067CE">
      <w:pPr>
        <w:tabs>
          <w:tab w:val="left" w:pos="1950"/>
        </w:tabs>
        <w:spacing w:before="120" w:line="320" w:lineRule="atLeast"/>
        <w:jc w:val="left"/>
        <w:outlineLvl w:val="1"/>
        <w:rPr>
          <w:b/>
          <w:bCs/>
          <w:color w:val="auto"/>
          <w:kern w:val="0"/>
          <w:szCs w:val="21"/>
          <w:highlight w:val="none"/>
        </w:rPr>
      </w:pPr>
    </w:p>
    <w:p w14:paraId="7D48BFC9">
      <w:pPr>
        <w:tabs>
          <w:tab w:val="left" w:pos="1950"/>
        </w:tabs>
        <w:spacing w:before="120" w:line="320" w:lineRule="atLeast"/>
        <w:jc w:val="left"/>
        <w:outlineLvl w:val="1"/>
        <w:rPr>
          <w:b/>
          <w:bCs/>
          <w:color w:val="auto"/>
          <w:kern w:val="0"/>
          <w:szCs w:val="21"/>
          <w:highlight w:val="none"/>
        </w:rPr>
      </w:pPr>
    </w:p>
    <w:p w14:paraId="420EABF4">
      <w:pPr>
        <w:tabs>
          <w:tab w:val="left" w:pos="1950"/>
        </w:tabs>
        <w:spacing w:before="120" w:line="320" w:lineRule="atLeast"/>
        <w:jc w:val="left"/>
        <w:outlineLvl w:val="1"/>
        <w:rPr>
          <w:b/>
          <w:bCs/>
          <w:color w:val="auto"/>
          <w:kern w:val="0"/>
          <w:szCs w:val="21"/>
          <w:highlight w:val="none"/>
        </w:rPr>
      </w:pPr>
    </w:p>
    <w:p w14:paraId="486647DD">
      <w:pPr>
        <w:tabs>
          <w:tab w:val="left" w:pos="1950"/>
        </w:tabs>
        <w:spacing w:before="120" w:line="320" w:lineRule="atLeast"/>
        <w:jc w:val="left"/>
        <w:outlineLvl w:val="1"/>
        <w:rPr>
          <w:b/>
          <w:bCs/>
          <w:color w:val="auto"/>
          <w:kern w:val="0"/>
          <w:szCs w:val="21"/>
          <w:highlight w:val="none"/>
        </w:rPr>
      </w:pPr>
    </w:p>
    <w:p w14:paraId="41D4267D">
      <w:pPr>
        <w:tabs>
          <w:tab w:val="left" w:pos="1950"/>
        </w:tabs>
        <w:spacing w:before="120" w:line="320" w:lineRule="atLeast"/>
        <w:jc w:val="left"/>
        <w:outlineLvl w:val="1"/>
        <w:rPr>
          <w:b/>
          <w:bCs/>
          <w:color w:val="auto"/>
          <w:kern w:val="0"/>
          <w:szCs w:val="21"/>
          <w:highlight w:val="none"/>
        </w:rPr>
      </w:pPr>
    </w:p>
    <w:p w14:paraId="0DE56F07">
      <w:pPr>
        <w:tabs>
          <w:tab w:val="left" w:pos="1950"/>
        </w:tabs>
        <w:spacing w:before="120" w:line="320" w:lineRule="atLeast"/>
        <w:jc w:val="left"/>
        <w:outlineLvl w:val="1"/>
        <w:rPr>
          <w:b/>
          <w:bCs/>
          <w:color w:val="auto"/>
          <w:kern w:val="0"/>
          <w:szCs w:val="21"/>
          <w:highlight w:val="none"/>
        </w:rPr>
      </w:pPr>
    </w:p>
    <w:p w14:paraId="3C5E82DE">
      <w:pPr>
        <w:tabs>
          <w:tab w:val="left" w:pos="1950"/>
        </w:tabs>
        <w:spacing w:before="120" w:line="320" w:lineRule="atLeast"/>
        <w:jc w:val="left"/>
        <w:outlineLvl w:val="1"/>
        <w:rPr>
          <w:b/>
          <w:bCs/>
          <w:color w:val="auto"/>
          <w:kern w:val="0"/>
          <w:szCs w:val="21"/>
          <w:highlight w:val="none"/>
        </w:rPr>
      </w:pPr>
    </w:p>
    <w:p w14:paraId="63071C88">
      <w:pPr>
        <w:tabs>
          <w:tab w:val="left" w:pos="1950"/>
        </w:tabs>
        <w:spacing w:before="120" w:line="320" w:lineRule="atLeast"/>
        <w:jc w:val="left"/>
        <w:outlineLvl w:val="1"/>
        <w:rPr>
          <w:b/>
          <w:bCs/>
          <w:color w:val="auto"/>
          <w:kern w:val="0"/>
          <w:szCs w:val="21"/>
          <w:highlight w:val="none"/>
        </w:rPr>
      </w:pPr>
    </w:p>
    <w:p w14:paraId="3E90A59B">
      <w:pPr>
        <w:tabs>
          <w:tab w:val="left" w:pos="1950"/>
        </w:tabs>
        <w:spacing w:before="120" w:line="320" w:lineRule="atLeast"/>
        <w:jc w:val="left"/>
        <w:outlineLvl w:val="1"/>
        <w:rPr>
          <w:b/>
          <w:bCs/>
          <w:color w:val="auto"/>
          <w:kern w:val="0"/>
          <w:szCs w:val="21"/>
          <w:highlight w:val="none"/>
        </w:rPr>
      </w:pPr>
    </w:p>
    <w:p w14:paraId="5F3F773E">
      <w:pPr>
        <w:tabs>
          <w:tab w:val="left" w:pos="1950"/>
        </w:tabs>
        <w:spacing w:before="120" w:line="320" w:lineRule="atLeast"/>
        <w:jc w:val="left"/>
        <w:outlineLvl w:val="1"/>
        <w:rPr>
          <w:b/>
          <w:bCs/>
          <w:color w:val="auto"/>
          <w:kern w:val="0"/>
          <w:szCs w:val="21"/>
          <w:highlight w:val="none"/>
        </w:rPr>
      </w:pPr>
    </w:p>
    <w:p w14:paraId="0433EFBF">
      <w:pPr>
        <w:tabs>
          <w:tab w:val="left" w:pos="1950"/>
        </w:tabs>
        <w:spacing w:before="120" w:line="320" w:lineRule="atLeast"/>
        <w:jc w:val="left"/>
        <w:outlineLvl w:val="1"/>
        <w:rPr>
          <w:b/>
          <w:bCs/>
          <w:color w:val="auto"/>
          <w:kern w:val="0"/>
          <w:szCs w:val="21"/>
          <w:highlight w:val="none"/>
        </w:rPr>
      </w:pPr>
    </w:p>
    <w:p w14:paraId="15130C5D">
      <w:pPr>
        <w:tabs>
          <w:tab w:val="left" w:pos="1950"/>
        </w:tabs>
        <w:spacing w:before="120" w:line="320" w:lineRule="atLeast"/>
        <w:jc w:val="left"/>
        <w:outlineLvl w:val="1"/>
        <w:rPr>
          <w:rFonts w:hint="eastAsia"/>
          <w:b/>
          <w:bCs/>
          <w:color w:val="auto"/>
          <w:kern w:val="0"/>
          <w:szCs w:val="21"/>
          <w:highlight w:val="none"/>
        </w:rPr>
      </w:pPr>
      <w:r>
        <w:rPr>
          <w:b/>
          <w:bCs/>
          <w:color w:val="auto"/>
          <w:kern w:val="0"/>
          <w:szCs w:val="21"/>
          <w:highlight w:val="none"/>
        </w:rPr>
        <w:t>4.</w:t>
      </w:r>
      <w:r>
        <w:rPr>
          <w:rFonts w:hint="eastAsia"/>
          <w:b/>
          <w:bCs/>
          <w:color w:val="auto"/>
          <w:kern w:val="0"/>
          <w:szCs w:val="21"/>
          <w:highlight w:val="none"/>
        </w:rPr>
        <w:t>评审标准</w:t>
      </w:r>
    </w:p>
    <w:p w14:paraId="155567A4">
      <w:pPr>
        <w:rPr>
          <w:color w:val="auto"/>
          <w:highlight w:val="none"/>
        </w:rPr>
      </w:pPr>
    </w:p>
    <w:p w14:paraId="10FED9E3">
      <w:pPr>
        <w:ind w:firstLine="420" w:firstLineChars="200"/>
        <w:rPr>
          <w:color w:val="auto"/>
          <w:highlight w:val="none"/>
        </w:rPr>
      </w:pPr>
      <w:r>
        <w:rPr>
          <w:rFonts w:hint="eastAsia"/>
          <w:color w:val="auto"/>
          <w:highlight w:val="none"/>
        </w:rPr>
        <w:t>（1）技术及商务资信分</w:t>
      </w:r>
    </w:p>
    <w:tbl>
      <w:tblPr>
        <w:tblStyle w:val="53"/>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776"/>
        <w:gridCol w:w="6382"/>
        <w:gridCol w:w="750"/>
        <w:gridCol w:w="738"/>
      </w:tblGrid>
      <w:tr w14:paraId="25174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2" w:hRule="atLeast"/>
          <w:jc w:val="center"/>
        </w:trPr>
        <w:tc>
          <w:tcPr>
            <w:tcW w:w="708" w:type="dxa"/>
            <w:noWrap w:val="0"/>
            <w:vAlign w:val="center"/>
          </w:tcPr>
          <w:p w14:paraId="5E45B9CA">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776" w:type="dxa"/>
            <w:noWrap w:val="0"/>
            <w:vAlign w:val="center"/>
          </w:tcPr>
          <w:p w14:paraId="64F4D3B6">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类型</w:t>
            </w:r>
          </w:p>
        </w:tc>
        <w:tc>
          <w:tcPr>
            <w:tcW w:w="6382" w:type="dxa"/>
            <w:noWrap w:val="0"/>
            <w:vAlign w:val="center"/>
          </w:tcPr>
          <w:p w14:paraId="21ABCF47">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评分标准</w:t>
            </w:r>
          </w:p>
        </w:tc>
        <w:tc>
          <w:tcPr>
            <w:tcW w:w="750" w:type="dxa"/>
            <w:noWrap w:val="0"/>
            <w:vAlign w:val="center"/>
          </w:tcPr>
          <w:p w14:paraId="3BD9BF4C">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分值权重</w:t>
            </w:r>
          </w:p>
        </w:tc>
        <w:tc>
          <w:tcPr>
            <w:tcW w:w="738" w:type="dxa"/>
            <w:noWrap w:val="0"/>
            <w:vAlign w:val="center"/>
          </w:tcPr>
          <w:p w14:paraId="6A538365">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说明</w:t>
            </w:r>
          </w:p>
        </w:tc>
      </w:tr>
      <w:tr w14:paraId="11490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2" w:hRule="atLeast"/>
          <w:jc w:val="center"/>
        </w:trPr>
        <w:tc>
          <w:tcPr>
            <w:tcW w:w="708" w:type="dxa"/>
            <w:noWrap w:val="0"/>
            <w:vAlign w:val="center"/>
          </w:tcPr>
          <w:p w14:paraId="73F2E538">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w:t>
            </w:r>
          </w:p>
        </w:tc>
        <w:tc>
          <w:tcPr>
            <w:tcW w:w="776" w:type="dxa"/>
            <w:noWrap w:val="0"/>
            <w:vAlign w:val="center"/>
          </w:tcPr>
          <w:p w14:paraId="7227C471">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技术</w:t>
            </w:r>
            <w:r>
              <w:rPr>
                <w:rFonts w:hint="eastAsia" w:ascii="宋体" w:hAnsi="宋体" w:eastAsia="宋体" w:cs="宋体"/>
                <w:color w:val="auto"/>
                <w:szCs w:val="21"/>
                <w:highlight w:val="none"/>
                <w:lang w:eastAsia="zh-CN"/>
              </w:rPr>
              <w:t>分</w:t>
            </w:r>
          </w:p>
        </w:tc>
        <w:tc>
          <w:tcPr>
            <w:tcW w:w="6382" w:type="dxa"/>
            <w:noWrap w:val="0"/>
            <w:vAlign w:val="center"/>
          </w:tcPr>
          <w:p w14:paraId="01831BF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技术方案分（满分</w:t>
            </w:r>
            <w:r>
              <w:rPr>
                <w:rFonts w:hint="eastAsia" w:ascii="宋体" w:hAnsi="宋体" w:cs="宋体"/>
                <w:b/>
                <w:bCs/>
                <w:i w:val="0"/>
                <w:iCs w:val="0"/>
                <w:color w:val="auto"/>
                <w:kern w:val="0"/>
                <w:sz w:val="21"/>
                <w:szCs w:val="21"/>
                <w:highlight w:val="none"/>
                <w:u w:val="none"/>
                <w:lang w:val="en-US" w:eastAsia="zh-CN" w:bidi="ar"/>
              </w:rPr>
              <w:t>20</w:t>
            </w:r>
            <w:r>
              <w:rPr>
                <w:rFonts w:hint="eastAsia" w:ascii="宋体" w:hAnsi="宋体" w:eastAsia="宋体" w:cs="宋体"/>
                <w:b/>
                <w:bCs/>
                <w:i w:val="0"/>
                <w:iCs w:val="0"/>
                <w:color w:val="auto"/>
                <w:kern w:val="0"/>
                <w:sz w:val="21"/>
                <w:szCs w:val="21"/>
                <w:highlight w:val="none"/>
                <w:u w:val="none"/>
                <w:lang w:val="en-US" w:eastAsia="zh-CN" w:bidi="ar"/>
              </w:rPr>
              <w:t>分）</w:t>
            </w:r>
          </w:p>
          <w:p w14:paraId="7AB5990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一档(</w:t>
            </w: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分):供应商提供的技术线路不明确，技术方案不完整，技术线路不明确，无法满足项目服务所需的技术要求的。</w:t>
            </w:r>
          </w:p>
          <w:p w14:paraId="2C0E8A7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二档(</w:t>
            </w:r>
            <w:r>
              <w:rPr>
                <w:rFonts w:hint="eastAsia" w:ascii="宋体" w:hAnsi="宋体" w:cs="宋体"/>
                <w:i w:val="0"/>
                <w:iCs w:val="0"/>
                <w:color w:val="auto"/>
                <w:kern w:val="0"/>
                <w:sz w:val="21"/>
                <w:szCs w:val="21"/>
                <w:highlight w:val="none"/>
                <w:u w:val="none"/>
                <w:lang w:val="en-US" w:eastAsia="zh-CN" w:bidi="ar"/>
              </w:rPr>
              <w:t>8</w:t>
            </w:r>
            <w:r>
              <w:rPr>
                <w:rFonts w:hint="eastAsia" w:ascii="宋体" w:hAnsi="宋体" w:eastAsia="宋体" w:cs="宋体"/>
                <w:i w:val="0"/>
                <w:iCs w:val="0"/>
                <w:color w:val="auto"/>
                <w:kern w:val="0"/>
                <w:sz w:val="21"/>
                <w:szCs w:val="21"/>
                <w:highlight w:val="none"/>
                <w:u w:val="none"/>
                <w:lang w:val="en-US" w:eastAsia="zh-CN" w:bidi="ar"/>
              </w:rPr>
              <w:t>分):供应商提供的技术线路有大概轮廓，技术方案浅显，综合评定能基本项目服务所需的技术要求。</w:t>
            </w:r>
          </w:p>
          <w:p w14:paraId="656B989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三档(</w:t>
            </w:r>
            <w:r>
              <w:rPr>
                <w:rFonts w:hint="eastAsia" w:ascii="宋体" w:hAnsi="宋体" w:cs="宋体"/>
                <w:i w:val="0"/>
                <w:iCs w:val="0"/>
                <w:color w:val="auto"/>
                <w:kern w:val="0"/>
                <w:sz w:val="21"/>
                <w:szCs w:val="21"/>
                <w:highlight w:val="none"/>
                <w:u w:val="none"/>
                <w:lang w:val="en-US" w:eastAsia="zh-CN" w:bidi="ar"/>
              </w:rPr>
              <w:t>12</w:t>
            </w:r>
            <w:r>
              <w:rPr>
                <w:rFonts w:hint="eastAsia" w:ascii="宋体" w:hAnsi="宋体" w:eastAsia="宋体" w:cs="宋体"/>
                <w:i w:val="0"/>
                <w:iCs w:val="0"/>
                <w:color w:val="auto"/>
                <w:kern w:val="0"/>
                <w:sz w:val="21"/>
                <w:szCs w:val="21"/>
                <w:highlight w:val="none"/>
                <w:u w:val="none"/>
                <w:lang w:val="en-US" w:eastAsia="zh-CN" w:bidi="ar"/>
              </w:rPr>
              <w:t>分):供应商提供的技术线路合理，技术方案内容描述简单，对总体需求理解不全，综合评定能满足项目服务所需的技术要求。</w:t>
            </w:r>
          </w:p>
          <w:p w14:paraId="794C6D7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四档(</w:t>
            </w: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分):供应商提供的技术线路明确合理，技术方案内容描述详细、可行，项目技术方案具有一定的稳定性和安全性，能保障业务系统基本不受影响，对总体需求理解全面，综合评定能充分满足项目服务所需的技术要求。</w:t>
            </w:r>
          </w:p>
          <w:p w14:paraId="674F325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五档(</w:t>
            </w:r>
            <w:r>
              <w:rPr>
                <w:rFonts w:hint="eastAsia" w:ascii="宋体" w:hAnsi="宋体" w:cs="宋体"/>
                <w:i w:val="0"/>
                <w:iCs w:val="0"/>
                <w:color w:val="auto"/>
                <w:kern w:val="0"/>
                <w:sz w:val="21"/>
                <w:szCs w:val="21"/>
                <w:highlight w:val="none"/>
                <w:u w:val="none"/>
                <w:lang w:val="en-US" w:eastAsia="zh-CN" w:bidi="ar"/>
              </w:rPr>
              <w:t>20</w:t>
            </w:r>
            <w:r>
              <w:rPr>
                <w:rFonts w:hint="eastAsia" w:ascii="宋体" w:hAnsi="宋体" w:eastAsia="宋体" w:cs="宋体"/>
                <w:i w:val="0"/>
                <w:iCs w:val="0"/>
                <w:color w:val="auto"/>
                <w:kern w:val="0"/>
                <w:sz w:val="21"/>
                <w:szCs w:val="21"/>
                <w:highlight w:val="none"/>
                <w:u w:val="none"/>
                <w:lang w:val="en-US" w:eastAsia="zh-CN" w:bidi="ar"/>
              </w:rPr>
              <w:t>分):供应商提供的技术线路明确合理对目标的达成有针对性，技术方案详细、对本项目的对现状和需求的分析比较完整、逻辑清晰，能够把握本项目的技术重点、难点和要点，对本项目理解准确、用户需求描述完整清晰，方案能根据需求进行设计，各主要服务项目有详细设计，能详述技术框架、功能设计等，方案可靠性高、可扩展性好、安全性高，充分满足采购人实际需求。</w:t>
            </w:r>
          </w:p>
          <w:p w14:paraId="63B1F02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lang w:val="en-US" w:eastAsia="zh-CN"/>
              </w:rPr>
            </w:pPr>
            <w:r>
              <w:rPr>
                <w:rFonts w:hint="eastAsia" w:ascii="宋体" w:hAnsi="宋体" w:eastAsia="宋体" w:cs="宋体"/>
                <w:bCs/>
                <w:color w:val="auto"/>
                <w:szCs w:val="21"/>
                <w:highlight w:val="none"/>
              </w:rPr>
              <w:t>备注：未提供本项内容</w:t>
            </w:r>
            <w:r>
              <w:rPr>
                <w:rFonts w:hint="eastAsia" w:ascii="宋体" w:hAnsi="宋体" w:eastAsia="宋体" w:cs="宋体"/>
                <w:bCs/>
                <w:color w:val="auto"/>
                <w:szCs w:val="21"/>
                <w:highlight w:val="none"/>
                <w:lang w:val="en-US" w:eastAsia="zh-CN"/>
              </w:rPr>
              <w:t>或</w:t>
            </w:r>
            <w:r>
              <w:rPr>
                <w:rFonts w:hint="eastAsia" w:ascii="宋体" w:hAnsi="宋体" w:eastAsia="宋体" w:cs="宋体"/>
                <w:color w:val="auto"/>
                <w:sz w:val="21"/>
                <w:highlight w:val="none"/>
              </w:rPr>
              <w:t>提供</w:t>
            </w:r>
            <w:r>
              <w:rPr>
                <w:rFonts w:hint="eastAsia" w:ascii="宋体" w:hAnsi="宋体" w:eastAsia="宋体" w:cs="宋体"/>
                <w:color w:val="auto"/>
                <w:sz w:val="21"/>
                <w:highlight w:val="none"/>
                <w:lang w:val="en-US" w:eastAsia="zh-CN"/>
              </w:rPr>
              <w:t>的</w:t>
            </w:r>
            <w:r>
              <w:rPr>
                <w:rFonts w:hint="eastAsia" w:ascii="宋体" w:hAnsi="宋体" w:eastAsia="宋体" w:cs="宋体"/>
                <w:color w:val="auto"/>
                <w:sz w:val="21"/>
                <w:highlight w:val="none"/>
              </w:rPr>
              <w:t>内容与项目实际情况不符</w:t>
            </w:r>
            <w:r>
              <w:rPr>
                <w:rFonts w:hint="eastAsia" w:ascii="宋体" w:hAnsi="宋体" w:eastAsia="宋体" w:cs="宋体"/>
                <w:bCs/>
                <w:color w:val="auto"/>
                <w:szCs w:val="21"/>
                <w:highlight w:val="none"/>
              </w:rPr>
              <w:t>的，得0分</w:t>
            </w:r>
            <w:r>
              <w:rPr>
                <w:rFonts w:hint="eastAsia" w:ascii="宋体" w:hAnsi="宋体" w:eastAsia="宋体" w:cs="宋体"/>
                <w:bCs/>
                <w:color w:val="auto"/>
                <w:szCs w:val="21"/>
                <w:highlight w:val="none"/>
                <w:lang w:eastAsia="zh-CN"/>
              </w:rPr>
              <w:t>。</w:t>
            </w:r>
          </w:p>
        </w:tc>
        <w:tc>
          <w:tcPr>
            <w:tcW w:w="750" w:type="dxa"/>
            <w:noWrap w:val="0"/>
            <w:vAlign w:val="center"/>
          </w:tcPr>
          <w:p w14:paraId="3A8A7A3B">
            <w:pPr>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20</w:t>
            </w:r>
            <w:r>
              <w:rPr>
                <w:rFonts w:hint="eastAsia" w:ascii="宋体" w:hAnsi="宋体" w:eastAsia="宋体" w:cs="宋体"/>
                <w:color w:val="auto"/>
                <w:szCs w:val="21"/>
                <w:highlight w:val="none"/>
                <w:lang w:val="en-US" w:eastAsia="zh-CN"/>
              </w:rPr>
              <w:t>分</w:t>
            </w:r>
          </w:p>
        </w:tc>
        <w:tc>
          <w:tcPr>
            <w:tcW w:w="738" w:type="dxa"/>
            <w:noWrap w:val="0"/>
            <w:vAlign w:val="center"/>
          </w:tcPr>
          <w:p w14:paraId="0D227683">
            <w:pP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主观分</w:t>
            </w:r>
          </w:p>
        </w:tc>
      </w:tr>
      <w:tr w14:paraId="4047A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2" w:hRule="atLeast"/>
          <w:jc w:val="center"/>
        </w:trPr>
        <w:tc>
          <w:tcPr>
            <w:tcW w:w="708" w:type="dxa"/>
            <w:shd w:val="clear" w:color="auto" w:fill="auto"/>
            <w:noWrap w:val="0"/>
            <w:vAlign w:val="center"/>
          </w:tcPr>
          <w:p w14:paraId="31E6F843">
            <w:pPr>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Cs w:val="21"/>
                <w:highlight w:val="none"/>
                <w:lang w:val="en-US" w:eastAsia="zh-CN"/>
              </w:rPr>
              <w:t>2</w:t>
            </w:r>
          </w:p>
        </w:tc>
        <w:tc>
          <w:tcPr>
            <w:tcW w:w="776" w:type="dxa"/>
            <w:shd w:val="clear" w:color="auto" w:fill="auto"/>
            <w:noWrap w:val="0"/>
            <w:vAlign w:val="center"/>
          </w:tcPr>
          <w:p w14:paraId="5008BA80">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技术</w:t>
            </w:r>
            <w:r>
              <w:rPr>
                <w:rFonts w:hint="eastAsia" w:ascii="宋体" w:hAnsi="宋体" w:eastAsia="宋体" w:cs="宋体"/>
                <w:color w:val="auto"/>
                <w:szCs w:val="21"/>
                <w:highlight w:val="none"/>
                <w:lang w:eastAsia="zh-CN"/>
              </w:rPr>
              <w:t>分</w:t>
            </w:r>
          </w:p>
        </w:tc>
        <w:tc>
          <w:tcPr>
            <w:tcW w:w="6382" w:type="dxa"/>
            <w:shd w:val="clear" w:color="auto" w:fill="auto"/>
            <w:noWrap w:val="0"/>
            <w:vAlign w:val="center"/>
          </w:tcPr>
          <w:p w14:paraId="12DC72A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实施方案分（满分16分）</w:t>
            </w:r>
          </w:p>
          <w:p w14:paraId="4D2A53C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一档(4 分):供应商提供的系统建设实施方案不完整，无法满足项目的实施要求的。</w:t>
            </w:r>
          </w:p>
          <w:p w14:paraId="118135F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二档(8 分):供应商提供的系统建设实施方案较完整，基本满足项目实施要求。</w:t>
            </w:r>
          </w:p>
          <w:p w14:paraId="500D9D6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三档(12 分):供应商提供的系统建设实施方案完整满足采购文件要求，项目实施计划可行，项目管理组织机构及人员职能满足要求。</w:t>
            </w:r>
          </w:p>
          <w:p w14:paraId="56BEF71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四档(16 分):供应商提供的系统建设实施方案描述详细、全面，完全满足采购文件要求，熟悉本项目实施背景情况，项目管理组织机构及人员职能清晰，人员配置合理进度安排合理，可行性强，项目实施组织方案完整，能详细说明各个阶段工作安排和进度计划，能提供系统联调及验收方案，实施方案成熟，有针对性。</w:t>
            </w:r>
          </w:p>
          <w:p w14:paraId="594D7DF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备注：未提供本项内容或提供的内容与项目实际情况不符的，得0分。</w:t>
            </w:r>
          </w:p>
        </w:tc>
        <w:tc>
          <w:tcPr>
            <w:tcW w:w="750" w:type="dxa"/>
            <w:shd w:val="clear" w:color="auto" w:fill="auto"/>
            <w:noWrap w:val="0"/>
            <w:vAlign w:val="center"/>
          </w:tcPr>
          <w:p w14:paraId="2D95C1AF">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16分</w:t>
            </w:r>
          </w:p>
        </w:tc>
        <w:tc>
          <w:tcPr>
            <w:tcW w:w="738" w:type="dxa"/>
            <w:shd w:val="clear" w:color="auto" w:fill="auto"/>
            <w:noWrap w:val="0"/>
            <w:vAlign w:val="center"/>
          </w:tcPr>
          <w:p w14:paraId="7AC727CE">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eastAsia="zh-CN"/>
              </w:rPr>
              <w:t>主观分</w:t>
            </w:r>
          </w:p>
        </w:tc>
      </w:tr>
      <w:tr w14:paraId="5CC0F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noWrap w:val="0"/>
            <w:vAlign w:val="center"/>
          </w:tcPr>
          <w:p w14:paraId="36E3C27A">
            <w:pPr>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3</w:t>
            </w:r>
          </w:p>
        </w:tc>
        <w:tc>
          <w:tcPr>
            <w:tcW w:w="776" w:type="dxa"/>
            <w:noWrap w:val="0"/>
            <w:vAlign w:val="center"/>
          </w:tcPr>
          <w:p w14:paraId="61010A4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w:t>
            </w:r>
            <w:r>
              <w:rPr>
                <w:rFonts w:hint="eastAsia" w:ascii="宋体" w:hAnsi="宋体" w:eastAsia="宋体" w:cs="宋体"/>
                <w:color w:val="auto"/>
                <w:szCs w:val="21"/>
                <w:highlight w:val="none"/>
                <w:lang w:eastAsia="zh-CN"/>
              </w:rPr>
              <w:t>分</w:t>
            </w:r>
          </w:p>
        </w:tc>
        <w:tc>
          <w:tcPr>
            <w:tcW w:w="6382" w:type="dxa"/>
            <w:noWrap w:val="0"/>
            <w:vAlign w:val="center"/>
          </w:tcPr>
          <w:p w14:paraId="62D1A70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售后服务方案分（满分</w:t>
            </w:r>
            <w:r>
              <w:rPr>
                <w:rFonts w:hint="eastAsia" w:ascii="宋体" w:hAnsi="宋体" w:cs="宋体"/>
                <w:b/>
                <w:bCs/>
                <w:i w:val="0"/>
                <w:iCs w:val="0"/>
                <w:color w:val="auto"/>
                <w:kern w:val="0"/>
                <w:sz w:val="21"/>
                <w:szCs w:val="21"/>
                <w:highlight w:val="none"/>
                <w:u w:val="none"/>
                <w:lang w:val="en-US" w:eastAsia="zh-CN" w:bidi="ar"/>
              </w:rPr>
              <w:t>16</w:t>
            </w:r>
            <w:r>
              <w:rPr>
                <w:rFonts w:hint="eastAsia" w:ascii="宋体" w:hAnsi="宋体" w:eastAsia="宋体" w:cs="宋体"/>
                <w:b/>
                <w:bCs/>
                <w:i w:val="0"/>
                <w:iCs w:val="0"/>
                <w:color w:val="auto"/>
                <w:kern w:val="0"/>
                <w:sz w:val="21"/>
                <w:szCs w:val="21"/>
                <w:highlight w:val="none"/>
                <w:u w:val="none"/>
                <w:lang w:val="en-US" w:eastAsia="zh-CN" w:bidi="ar"/>
              </w:rPr>
              <w:t>分）</w:t>
            </w:r>
          </w:p>
          <w:p w14:paraId="243F161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一档（</w:t>
            </w:r>
            <w:r>
              <w:rPr>
                <w:rFonts w:hint="eastAsia" w:ascii="宋体" w:hAnsi="宋体" w:eastAsia="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分）：售后服务方案基本合理、可行，</w:t>
            </w:r>
            <w:r>
              <w:rPr>
                <w:rFonts w:hint="eastAsia" w:ascii="宋体" w:hAnsi="宋体" w:eastAsia="宋体" w:cs="宋体"/>
                <w:color w:val="auto"/>
                <w:sz w:val="21"/>
                <w:highlight w:val="none"/>
              </w:rPr>
              <w:t>响应速度慢</w:t>
            </w:r>
            <w:r>
              <w:rPr>
                <w:rFonts w:hint="eastAsia" w:ascii="宋体" w:hAnsi="宋体" w:eastAsia="宋体" w:cs="宋体"/>
                <w:i w:val="0"/>
                <w:iCs w:val="0"/>
                <w:color w:val="auto"/>
                <w:kern w:val="0"/>
                <w:sz w:val="21"/>
                <w:szCs w:val="21"/>
                <w:highlight w:val="none"/>
                <w:u w:val="none"/>
                <w:lang w:val="en-US" w:eastAsia="zh-CN" w:bidi="ar"/>
              </w:rPr>
              <w:t>、服务经验欠缺。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二档（</w:t>
            </w:r>
            <w:r>
              <w:rPr>
                <w:rFonts w:hint="eastAsia" w:ascii="宋体" w:hAnsi="宋体" w:cs="宋体"/>
                <w:i w:val="0"/>
                <w:iCs w:val="0"/>
                <w:color w:val="auto"/>
                <w:kern w:val="0"/>
                <w:sz w:val="21"/>
                <w:szCs w:val="21"/>
                <w:highlight w:val="none"/>
                <w:u w:val="none"/>
                <w:lang w:val="en-US" w:eastAsia="zh-CN" w:bidi="ar"/>
              </w:rPr>
              <w:t>8</w:t>
            </w:r>
            <w:r>
              <w:rPr>
                <w:rFonts w:hint="eastAsia" w:ascii="宋体" w:hAnsi="宋体" w:eastAsia="宋体" w:cs="宋体"/>
                <w:i w:val="0"/>
                <w:iCs w:val="0"/>
                <w:color w:val="auto"/>
                <w:kern w:val="0"/>
                <w:sz w:val="21"/>
                <w:szCs w:val="21"/>
                <w:highlight w:val="none"/>
                <w:u w:val="none"/>
                <w:lang w:val="en-US" w:eastAsia="zh-CN" w:bidi="ar"/>
              </w:rPr>
              <w:t>分）：在一档的基础上，提供服务流程及组织架构，服务响应措施较有力。</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三档（</w:t>
            </w:r>
            <w:r>
              <w:rPr>
                <w:rFonts w:hint="eastAsia" w:ascii="宋体" w:hAnsi="宋体" w:cs="宋体"/>
                <w:i w:val="0"/>
                <w:iCs w:val="0"/>
                <w:color w:val="auto"/>
                <w:kern w:val="0"/>
                <w:sz w:val="21"/>
                <w:szCs w:val="21"/>
                <w:highlight w:val="none"/>
                <w:u w:val="none"/>
                <w:lang w:val="en-US" w:eastAsia="zh-CN" w:bidi="ar"/>
              </w:rPr>
              <w:t>12</w:t>
            </w:r>
            <w:r>
              <w:rPr>
                <w:rFonts w:hint="eastAsia" w:ascii="宋体" w:hAnsi="宋体" w:eastAsia="宋体" w:cs="宋体"/>
                <w:i w:val="0"/>
                <w:iCs w:val="0"/>
                <w:color w:val="auto"/>
                <w:kern w:val="0"/>
                <w:sz w:val="21"/>
                <w:szCs w:val="21"/>
                <w:highlight w:val="none"/>
                <w:u w:val="none"/>
                <w:lang w:val="en-US" w:eastAsia="zh-CN" w:bidi="ar"/>
              </w:rPr>
              <w:t>分）：在二档的基础上，承诺</w:t>
            </w:r>
            <w:r>
              <w:rPr>
                <w:rFonts w:hint="eastAsia" w:ascii="宋体" w:hAnsi="宋体" w:eastAsia="宋体" w:cs="宋体"/>
                <w:b w:val="0"/>
                <w:bCs w:val="0"/>
                <w:color w:val="auto"/>
                <w:kern w:val="2"/>
                <w:sz w:val="21"/>
                <w:szCs w:val="21"/>
                <w:highlight w:val="none"/>
                <w:lang w:val="en-US" w:eastAsia="zh-CN" w:bidi="ar-SA"/>
              </w:rPr>
              <w:t>服务期内出现故障，</w:t>
            </w: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eastAsia="宋体" w:cs="宋体"/>
                <w:color w:val="auto"/>
                <w:sz w:val="21"/>
                <w:highlight w:val="none"/>
              </w:rPr>
              <w:t>小时内电话响应，</w:t>
            </w:r>
            <w:r>
              <w:rPr>
                <w:rFonts w:hint="eastAsia" w:ascii="宋体" w:hAnsi="宋体" w:eastAsia="宋体" w:cs="宋体"/>
                <w:color w:val="auto"/>
                <w:sz w:val="21"/>
                <w:highlight w:val="none"/>
                <w:lang w:val="en-US" w:eastAsia="zh-CN"/>
              </w:rPr>
              <w:t>1.5</w:t>
            </w:r>
            <w:r>
              <w:rPr>
                <w:rFonts w:hint="eastAsia" w:ascii="宋体" w:hAnsi="宋体" w:eastAsia="宋体" w:cs="宋体"/>
                <w:color w:val="auto"/>
                <w:sz w:val="21"/>
                <w:highlight w:val="none"/>
              </w:rPr>
              <w:t>小时内</w:t>
            </w:r>
            <w:r>
              <w:rPr>
                <w:rFonts w:hint="eastAsia" w:ascii="宋体" w:hAnsi="宋体" w:eastAsia="宋体" w:cs="宋体"/>
                <w:i w:val="0"/>
                <w:iCs w:val="0"/>
                <w:color w:val="auto"/>
                <w:kern w:val="0"/>
                <w:sz w:val="21"/>
                <w:szCs w:val="21"/>
                <w:highlight w:val="none"/>
                <w:u w:val="none"/>
                <w:lang w:val="en-US" w:eastAsia="zh-CN" w:bidi="ar"/>
              </w:rPr>
              <w:t>到达现场处理</w:t>
            </w:r>
            <w:r>
              <w:rPr>
                <w:rFonts w:hint="eastAsia" w:ascii="宋体" w:hAnsi="宋体" w:eastAsia="宋体" w:cs="宋体"/>
                <w:color w:val="auto"/>
                <w:sz w:val="21"/>
                <w:highlight w:val="none"/>
                <w:lang w:eastAsia="zh-CN"/>
              </w:rPr>
              <w:t>，</w:t>
            </w:r>
            <w:r>
              <w:rPr>
                <w:rFonts w:hint="eastAsia" w:ascii="宋体" w:hAnsi="宋体" w:eastAsia="宋体" w:cs="宋体"/>
                <w:i w:val="0"/>
                <w:iCs w:val="0"/>
                <w:color w:val="auto"/>
                <w:kern w:val="0"/>
                <w:sz w:val="21"/>
                <w:szCs w:val="21"/>
                <w:highlight w:val="none"/>
                <w:u w:val="none"/>
                <w:lang w:val="en-US" w:eastAsia="zh-CN" w:bidi="ar"/>
              </w:rPr>
              <w:t>重大故障承诺在18小时内修复，售后服务人员不少于3人。</w:t>
            </w:r>
          </w:p>
          <w:p w14:paraId="013A156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四档（</w:t>
            </w:r>
            <w:r>
              <w:rPr>
                <w:rFonts w:hint="eastAsia" w:ascii="宋体" w:hAnsi="宋体" w:cs="宋体"/>
                <w:i w:val="0"/>
                <w:iCs w:val="0"/>
                <w:color w:val="auto"/>
                <w:kern w:val="0"/>
                <w:sz w:val="21"/>
                <w:szCs w:val="21"/>
                <w:highlight w:val="none"/>
                <w:u w:val="none"/>
                <w:lang w:val="en-US" w:eastAsia="zh-CN" w:bidi="ar"/>
              </w:rPr>
              <w:t>16</w:t>
            </w:r>
            <w:r>
              <w:rPr>
                <w:rFonts w:hint="eastAsia" w:ascii="宋体" w:hAnsi="宋体" w:eastAsia="宋体" w:cs="宋体"/>
                <w:i w:val="0"/>
                <w:iCs w:val="0"/>
                <w:color w:val="auto"/>
                <w:kern w:val="0"/>
                <w:sz w:val="21"/>
                <w:szCs w:val="21"/>
                <w:highlight w:val="none"/>
                <w:u w:val="none"/>
                <w:lang w:val="en-US" w:eastAsia="zh-CN" w:bidi="ar"/>
              </w:rPr>
              <w:t>分）：在三档的基础上，售后服务方案论述准确详细全面，售后保障措施表述清晰完整，有培训计划和定期回访计划；</w:t>
            </w:r>
            <w:r>
              <w:rPr>
                <w:rFonts w:hint="eastAsia" w:ascii="宋体" w:hAnsi="宋体" w:eastAsia="宋体" w:cs="宋体"/>
                <w:b w:val="0"/>
                <w:bCs w:val="0"/>
                <w:color w:val="auto"/>
                <w:kern w:val="2"/>
                <w:sz w:val="21"/>
                <w:szCs w:val="21"/>
                <w:highlight w:val="none"/>
                <w:lang w:val="en-US" w:eastAsia="zh-CN" w:bidi="ar-SA"/>
              </w:rPr>
              <w:t>服务期内出现故障，</w:t>
            </w:r>
            <w:r>
              <w:rPr>
                <w:rFonts w:hint="eastAsia" w:ascii="宋体" w:hAnsi="宋体" w:eastAsia="宋体" w:cs="宋体"/>
                <w:i w:val="0"/>
                <w:iCs w:val="0"/>
                <w:color w:val="auto"/>
                <w:kern w:val="0"/>
                <w:sz w:val="21"/>
                <w:szCs w:val="21"/>
                <w:highlight w:val="none"/>
                <w:u w:val="none"/>
                <w:lang w:val="en-US" w:eastAsia="zh-CN" w:bidi="ar"/>
              </w:rPr>
              <w:t>半</w:t>
            </w:r>
            <w:r>
              <w:rPr>
                <w:rFonts w:hint="eastAsia" w:ascii="宋体" w:hAnsi="宋体" w:eastAsia="宋体" w:cs="宋体"/>
                <w:color w:val="auto"/>
                <w:sz w:val="21"/>
                <w:highlight w:val="none"/>
              </w:rPr>
              <w:t>小时内电话响应，</w:t>
            </w:r>
            <w:r>
              <w:rPr>
                <w:rFonts w:hint="eastAsia" w:ascii="宋体" w:hAnsi="宋体" w:eastAsia="宋体" w:cs="宋体"/>
                <w:color w:val="auto"/>
                <w:sz w:val="21"/>
                <w:highlight w:val="none"/>
                <w:lang w:val="en-US" w:eastAsia="zh-CN"/>
              </w:rPr>
              <w:t>1</w:t>
            </w:r>
            <w:r>
              <w:rPr>
                <w:rFonts w:hint="eastAsia" w:ascii="宋体" w:hAnsi="宋体" w:eastAsia="宋体" w:cs="宋体"/>
                <w:color w:val="auto"/>
                <w:sz w:val="21"/>
                <w:highlight w:val="none"/>
              </w:rPr>
              <w:t>小时内</w:t>
            </w:r>
            <w:r>
              <w:rPr>
                <w:rFonts w:hint="eastAsia" w:ascii="宋体" w:hAnsi="宋体" w:eastAsia="宋体" w:cs="宋体"/>
                <w:i w:val="0"/>
                <w:iCs w:val="0"/>
                <w:color w:val="auto"/>
                <w:kern w:val="0"/>
                <w:sz w:val="21"/>
                <w:szCs w:val="21"/>
                <w:highlight w:val="none"/>
                <w:u w:val="none"/>
                <w:lang w:val="en-US" w:eastAsia="zh-CN" w:bidi="ar"/>
              </w:rPr>
              <w:t>到达现场处理</w:t>
            </w:r>
            <w:r>
              <w:rPr>
                <w:rFonts w:hint="eastAsia" w:ascii="宋体" w:hAnsi="宋体" w:eastAsia="宋体" w:cs="宋体"/>
                <w:color w:val="auto"/>
                <w:sz w:val="21"/>
                <w:highlight w:val="none"/>
                <w:lang w:eastAsia="zh-CN"/>
              </w:rPr>
              <w:t>，</w:t>
            </w:r>
            <w:r>
              <w:rPr>
                <w:rFonts w:hint="eastAsia" w:ascii="宋体" w:hAnsi="宋体" w:eastAsia="宋体" w:cs="宋体"/>
                <w:i w:val="0"/>
                <w:iCs w:val="0"/>
                <w:color w:val="auto"/>
                <w:kern w:val="0"/>
                <w:sz w:val="21"/>
                <w:szCs w:val="21"/>
                <w:highlight w:val="none"/>
                <w:u w:val="none"/>
                <w:lang w:val="en-US" w:eastAsia="zh-CN" w:bidi="ar"/>
              </w:rPr>
              <w:t>重大故障承诺在12小时内修复，拟投入售后服务人员不少于5人。</w:t>
            </w:r>
          </w:p>
          <w:p w14:paraId="4E51935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Cs/>
                <w:color w:val="auto"/>
                <w:szCs w:val="21"/>
                <w:highlight w:val="none"/>
              </w:rPr>
              <w:t>备注：未提供本项内容</w:t>
            </w:r>
            <w:r>
              <w:rPr>
                <w:rFonts w:hint="eastAsia" w:ascii="宋体" w:hAnsi="宋体" w:eastAsia="宋体" w:cs="宋体"/>
                <w:bCs/>
                <w:color w:val="auto"/>
                <w:szCs w:val="21"/>
                <w:highlight w:val="none"/>
                <w:lang w:val="en-US" w:eastAsia="zh-CN"/>
              </w:rPr>
              <w:t>或</w:t>
            </w:r>
            <w:r>
              <w:rPr>
                <w:rFonts w:hint="eastAsia" w:ascii="宋体" w:hAnsi="宋体" w:eastAsia="宋体" w:cs="宋体"/>
                <w:color w:val="auto"/>
                <w:sz w:val="21"/>
                <w:highlight w:val="none"/>
              </w:rPr>
              <w:t>提供</w:t>
            </w:r>
            <w:r>
              <w:rPr>
                <w:rFonts w:hint="eastAsia" w:ascii="宋体" w:hAnsi="宋体" w:eastAsia="宋体" w:cs="宋体"/>
                <w:color w:val="auto"/>
                <w:sz w:val="21"/>
                <w:highlight w:val="none"/>
                <w:lang w:val="en-US" w:eastAsia="zh-CN"/>
              </w:rPr>
              <w:t>的</w:t>
            </w:r>
            <w:r>
              <w:rPr>
                <w:rFonts w:hint="eastAsia" w:ascii="宋体" w:hAnsi="宋体" w:eastAsia="宋体" w:cs="宋体"/>
                <w:color w:val="auto"/>
                <w:sz w:val="21"/>
                <w:highlight w:val="none"/>
              </w:rPr>
              <w:t>内容与项目实际情况不符</w:t>
            </w:r>
            <w:r>
              <w:rPr>
                <w:rFonts w:hint="eastAsia" w:ascii="宋体" w:hAnsi="宋体" w:eastAsia="宋体" w:cs="宋体"/>
                <w:bCs/>
                <w:color w:val="auto"/>
                <w:szCs w:val="21"/>
                <w:highlight w:val="none"/>
              </w:rPr>
              <w:t>的，得0分</w:t>
            </w:r>
            <w:r>
              <w:rPr>
                <w:rFonts w:hint="eastAsia" w:ascii="宋体" w:hAnsi="宋体" w:eastAsia="宋体" w:cs="宋体"/>
                <w:bCs/>
                <w:color w:val="auto"/>
                <w:szCs w:val="21"/>
                <w:highlight w:val="none"/>
                <w:lang w:eastAsia="zh-CN"/>
              </w:rPr>
              <w:t>。</w:t>
            </w:r>
          </w:p>
        </w:tc>
        <w:tc>
          <w:tcPr>
            <w:tcW w:w="750" w:type="dxa"/>
            <w:noWrap w:val="0"/>
            <w:vAlign w:val="center"/>
          </w:tcPr>
          <w:p w14:paraId="7440F5A8">
            <w:pP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16</w:t>
            </w:r>
            <w:r>
              <w:rPr>
                <w:rFonts w:hint="eastAsia" w:ascii="宋体" w:hAnsi="宋体" w:eastAsia="宋体" w:cs="宋体"/>
                <w:color w:val="auto"/>
                <w:szCs w:val="21"/>
                <w:highlight w:val="none"/>
                <w:lang w:val="en-US" w:eastAsia="zh-CN"/>
              </w:rPr>
              <w:t>分</w:t>
            </w:r>
          </w:p>
        </w:tc>
        <w:tc>
          <w:tcPr>
            <w:tcW w:w="738" w:type="dxa"/>
            <w:noWrap w:val="0"/>
            <w:vAlign w:val="center"/>
          </w:tcPr>
          <w:p w14:paraId="74D7F377">
            <w:pP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主观分</w:t>
            </w:r>
          </w:p>
        </w:tc>
      </w:tr>
      <w:tr w14:paraId="76AB5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noWrap w:val="0"/>
            <w:vAlign w:val="center"/>
          </w:tcPr>
          <w:p w14:paraId="23EEB0A5">
            <w:pPr>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4</w:t>
            </w:r>
          </w:p>
        </w:tc>
        <w:tc>
          <w:tcPr>
            <w:tcW w:w="776" w:type="dxa"/>
            <w:noWrap w:val="0"/>
            <w:vAlign w:val="center"/>
          </w:tcPr>
          <w:p w14:paraId="242BE83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w:t>
            </w:r>
            <w:r>
              <w:rPr>
                <w:rFonts w:hint="eastAsia" w:ascii="宋体" w:hAnsi="宋体" w:eastAsia="宋体" w:cs="宋体"/>
                <w:color w:val="auto"/>
                <w:szCs w:val="21"/>
                <w:highlight w:val="none"/>
                <w:lang w:eastAsia="zh-CN"/>
              </w:rPr>
              <w:t>分</w:t>
            </w:r>
          </w:p>
        </w:tc>
        <w:tc>
          <w:tcPr>
            <w:tcW w:w="6382" w:type="dxa"/>
            <w:noWrap w:val="0"/>
            <w:vAlign w:val="center"/>
          </w:tcPr>
          <w:p w14:paraId="59477C9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应急方案、运行维护方案分（满分</w:t>
            </w:r>
            <w:r>
              <w:rPr>
                <w:rFonts w:hint="eastAsia" w:ascii="宋体" w:hAnsi="宋体" w:cs="宋体"/>
                <w:b/>
                <w:bCs/>
                <w:i w:val="0"/>
                <w:iCs w:val="0"/>
                <w:color w:val="auto"/>
                <w:kern w:val="0"/>
                <w:sz w:val="21"/>
                <w:szCs w:val="21"/>
                <w:highlight w:val="none"/>
                <w:u w:val="none"/>
                <w:lang w:val="en-US" w:eastAsia="zh-CN" w:bidi="ar"/>
              </w:rPr>
              <w:t>16</w:t>
            </w:r>
            <w:r>
              <w:rPr>
                <w:rFonts w:hint="eastAsia" w:ascii="宋体" w:hAnsi="宋体" w:eastAsia="宋体" w:cs="宋体"/>
                <w:b/>
                <w:bCs/>
                <w:i w:val="0"/>
                <w:iCs w:val="0"/>
                <w:color w:val="auto"/>
                <w:kern w:val="0"/>
                <w:sz w:val="21"/>
                <w:szCs w:val="21"/>
                <w:highlight w:val="none"/>
                <w:u w:val="none"/>
                <w:lang w:val="en-US" w:eastAsia="zh-CN" w:bidi="ar"/>
              </w:rPr>
              <w:t>分）</w:t>
            </w:r>
          </w:p>
          <w:p w14:paraId="7EAF846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一档(4分):提供的应急保障方案，运行维护方案不全面，保障响应措施不全面。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二档（</w:t>
            </w:r>
            <w:r>
              <w:rPr>
                <w:rFonts w:hint="eastAsia" w:ascii="宋体" w:hAnsi="宋体" w:cs="宋体"/>
                <w:i w:val="0"/>
                <w:iCs w:val="0"/>
                <w:color w:val="auto"/>
                <w:kern w:val="0"/>
                <w:sz w:val="21"/>
                <w:szCs w:val="21"/>
                <w:highlight w:val="none"/>
                <w:u w:val="none"/>
                <w:lang w:val="en-US" w:eastAsia="zh-CN" w:bidi="ar"/>
              </w:rPr>
              <w:t>8</w:t>
            </w:r>
            <w:r>
              <w:rPr>
                <w:rFonts w:hint="eastAsia" w:ascii="宋体" w:hAnsi="宋体" w:eastAsia="宋体" w:cs="宋体"/>
                <w:i w:val="0"/>
                <w:iCs w:val="0"/>
                <w:color w:val="auto"/>
                <w:kern w:val="0"/>
                <w:sz w:val="21"/>
                <w:szCs w:val="21"/>
                <w:highlight w:val="none"/>
                <w:u w:val="none"/>
                <w:lang w:val="en-US" w:eastAsia="zh-CN" w:bidi="ar"/>
              </w:rPr>
              <w:t>分）：提供的应急保障方案，运行维护方案基本合理、可行，保障响应措施较完整、有服务经验。</w:t>
            </w:r>
          </w:p>
          <w:p w14:paraId="7979937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三档(</w:t>
            </w:r>
            <w:r>
              <w:rPr>
                <w:rFonts w:hint="eastAsia" w:ascii="宋体" w:hAnsi="宋体" w:cs="宋体"/>
                <w:i w:val="0"/>
                <w:iCs w:val="0"/>
                <w:color w:val="auto"/>
                <w:kern w:val="0"/>
                <w:sz w:val="21"/>
                <w:szCs w:val="21"/>
                <w:highlight w:val="none"/>
                <w:u w:val="none"/>
                <w:lang w:val="en-US" w:eastAsia="zh-CN" w:bidi="ar"/>
              </w:rPr>
              <w:t>12</w:t>
            </w:r>
            <w:r>
              <w:rPr>
                <w:rFonts w:hint="eastAsia" w:ascii="宋体" w:hAnsi="宋体" w:eastAsia="宋体" w:cs="宋体"/>
                <w:i w:val="0"/>
                <w:iCs w:val="0"/>
                <w:color w:val="auto"/>
                <w:kern w:val="0"/>
                <w:sz w:val="21"/>
                <w:szCs w:val="21"/>
                <w:highlight w:val="none"/>
                <w:u w:val="none"/>
                <w:lang w:val="en-US" w:eastAsia="zh-CN" w:bidi="ar"/>
              </w:rPr>
              <w:t>分):</w:t>
            </w:r>
            <w:r>
              <w:rPr>
                <w:rFonts w:hint="eastAsia" w:ascii="宋体" w:hAnsi="宋体" w:eastAsia="宋体" w:cs="宋体"/>
                <w:color w:val="auto"/>
                <w:sz w:val="21"/>
                <w:szCs w:val="21"/>
                <w:highlight w:val="none"/>
              </w:rPr>
              <w:t>满足采购文件要求，</w:t>
            </w:r>
            <w:r>
              <w:rPr>
                <w:rFonts w:hint="eastAsia" w:ascii="宋体" w:hAnsi="宋体" w:eastAsia="宋体" w:cs="宋体"/>
                <w:i w:val="0"/>
                <w:iCs w:val="0"/>
                <w:color w:val="auto"/>
                <w:kern w:val="0"/>
                <w:sz w:val="21"/>
                <w:szCs w:val="21"/>
                <w:highlight w:val="none"/>
                <w:u w:val="none"/>
                <w:lang w:val="en-US" w:eastAsia="zh-CN" w:bidi="ar"/>
              </w:rPr>
              <w:t>提供的应急保障方案，运行维护方案、</w:t>
            </w:r>
            <w:r>
              <w:rPr>
                <w:rFonts w:hint="eastAsia" w:ascii="宋体" w:hAnsi="宋体" w:eastAsia="宋体" w:cs="宋体"/>
                <w:color w:val="auto"/>
                <w:sz w:val="21"/>
                <w:szCs w:val="21"/>
                <w:highlight w:val="none"/>
              </w:rPr>
              <w:t>故障处理流程、维护服务方式、售后响应时间及故障修复时间</w:t>
            </w:r>
            <w:r>
              <w:rPr>
                <w:rFonts w:hint="eastAsia" w:ascii="宋体" w:hAnsi="宋体" w:eastAsia="宋体" w:cs="宋体"/>
                <w:color w:val="auto"/>
                <w:sz w:val="21"/>
                <w:szCs w:val="21"/>
                <w:highlight w:val="none"/>
                <w:lang w:eastAsia="zh-CN"/>
              </w:rPr>
              <w:t>，</w:t>
            </w:r>
            <w:r>
              <w:rPr>
                <w:rFonts w:hint="eastAsia" w:ascii="宋体" w:hAnsi="宋体" w:eastAsia="宋体" w:cs="宋体"/>
                <w:i w:val="0"/>
                <w:iCs w:val="0"/>
                <w:color w:val="auto"/>
                <w:kern w:val="0"/>
                <w:sz w:val="21"/>
                <w:szCs w:val="21"/>
                <w:highlight w:val="none"/>
                <w:u w:val="none"/>
                <w:lang w:val="en-US" w:eastAsia="zh-CN" w:bidi="ar"/>
              </w:rPr>
              <w:t>基本合理、可行，保障响应措施较完整、服务经验丰富。</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四档(</w:t>
            </w: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分):</w:t>
            </w:r>
            <w:r>
              <w:rPr>
                <w:rFonts w:hint="eastAsia" w:ascii="宋体" w:hAnsi="宋体" w:eastAsia="宋体" w:cs="宋体"/>
                <w:color w:val="auto"/>
                <w:sz w:val="21"/>
                <w:szCs w:val="21"/>
                <w:highlight w:val="none"/>
              </w:rPr>
              <w:t>满足采购文件要求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并提供有详细</w:t>
            </w:r>
            <w:r>
              <w:rPr>
                <w:rFonts w:hint="eastAsia" w:ascii="宋体" w:hAnsi="宋体" w:eastAsia="宋体" w:cs="宋体"/>
                <w:i w:val="0"/>
                <w:iCs w:val="0"/>
                <w:color w:val="auto"/>
                <w:kern w:val="0"/>
                <w:sz w:val="21"/>
                <w:szCs w:val="21"/>
                <w:highlight w:val="none"/>
                <w:u w:val="none"/>
                <w:lang w:val="en-US" w:eastAsia="zh-CN" w:bidi="ar"/>
              </w:rPr>
              <w:t>应急保障方案、系统维护方案、提供整体维护保障解决方案和运行维护应急预案,提供一站式、全面、专业的维护服务，整体方案</w:t>
            </w:r>
            <w:r>
              <w:rPr>
                <w:rFonts w:hint="eastAsia" w:ascii="宋体" w:hAnsi="宋体" w:eastAsia="宋体" w:cs="宋体"/>
                <w:bCs/>
                <w:color w:val="auto"/>
                <w:sz w:val="21"/>
                <w:szCs w:val="21"/>
                <w:highlight w:val="none"/>
                <w:lang w:val="en-US" w:eastAsia="zh-CN"/>
              </w:rPr>
              <w:t>表述精准清晰，方案可操作性强、内容</w:t>
            </w:r>
            <w:r>
              <w:rPr>
                <w:rFonts w:hint="eastAsia" w:ascii="宋体" w:hAnsi="宋体" w:eastAsia="宋体" w:cs="宋体"/>
                <w:i w:val="0"/>
                <w:iCs w:val="0"/>
                <w:color w:val="auto"/>
                <w:kern w:val="0"/>
                <w:sz w:val="21"/>
                <w:szCs w:val="21"/>
                <w:highlight w:val="none"/>
                <w:u w:val="none"/>
                <w:lang w:val="en-US" w:eastAsia="zh-CN" w:bidi="ar"/>
              </w:rPr>
              <w:t>全面。</w:t>
            </w:r>
          </w:p>
          <w:p w14:paraId="316B2864">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Cs/>
                <w:color w:val="auto"/>
                <w:szCs w:val="21"/>
                <w:highlight w:val="none"/>
              </w:rPr>
              <w:t>备注：未提供本项内容</w:t>
            </w:r>
            <w:r>
              <w:rPr>
                <w:rFonts w:hint="eastAsia" w:ascii="宋体" w:hAnsi="宋体" w:eastAsia="宋体" w:cs="宋体"/>
                <w:bCs/>
                <w:color w:val="auto"/>
                <w:szCs w:val="21"/>
                <w:highlight w:val="none"/>
                <w:lang w:val="en-US" w:eastAsia="zh-CN"/>
              </w:rPr>
              <w:t>或</w:t>
            </w:r>
            <w:r>
              <w:rPr>
                <w:rFonts w:hint="eastAsia" w:ascii="宋体" w:hAnsi="宋体" w:eastAsia="宋体" w:cs="宋体"/>
                <w:color w:val="auto"/>
                <w:sz w:val="21"/>
                <w:highlight w:val="none"/>
              </w:rPr>
              <w:t>提供</w:t>
            </w:r>
            <w:r>
              <w:rPr>
                <w:rFonts w:hint="eastAsia" w:ascii="宋体" w:hAnsi="宋体" w:eastAsia="宋体" w:cs="宋体"/>
                <w:color w:val="auto"/>
                <w:sz w:val="21"/>
                <w:highlight w:val="none"/>
                <w:lang w:val="en-US" w:eastAsia="zh-CN"/>
              </w:rPr>
              <w:t>的</w:t>
            </w:r>
            <w:r>
              <w:rPr>
                <w:rFonts w:hint="eastAsia" w:ascii="宋体" w:hAnsi="宋体" w:eastAsia="宋体" w:cs="宋体"/>
                <w:color w:val="auto"/>
                <w:sz w:val="21"/>
                <w:highlight w:val="none"/>
              </w:rPr>
              <w:t>内容与项目实际情况不符</w:t>
            </w:r>
            <w:r>
              <w:rPr>
                <w:rFonts w:hint="eastAsia" w:ascii="宋体" w:hAnsi="宋体" w:eastAsia="宋体" w:cs="宋体"/>
                <w:bCs/>
                <w:color w:val="auto"/>
                <w:szCs w:val="21"/>
                <w:highlight w:val="none"/>
              </w:rPr>
              <w:t>的，得0分</w:t>
            </w:r>
            <w:r>
              <w:rPr>
                <w:rFonts w:hint="eastAsia" w:ascii="宋体" w:hAnsi="宋体" w:eastAsia="宋体" w:cs="宋体"/>
                <w:bCs/>
                <w:color w:val="auto"/>
                <w:szCs w:val="21"/>
                <w:highlight w:val="none"/>
                <w:lang w:eastAsia="zh-CN"/>
              </w:rPr>
              <w:t>。</w:t>
            </w:r>
          </w:p>
        </w:tc>
        <w:tc>
          <w:tcPr>
            <w:tcW w:w="750" w:type="dxa"/>
            <w:noWrap w:val="0"/>
            <w:vAlign w:val="center"/>
          </w:tcPr>
          <w:p w14:paraId="325955E5">
            <w:pP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16</w:t>
            </w:r>
            <w:r>
              <w:rPr>
                <w:rFonts w:hint="eastAsia" w:ascii="宋体" w:hAnsi="宋体" w:eastAsia="宋体" w:cs="宋体"/>
                <w:color w:val="auto"/>
                <w:szCs w:val="21"/>
                <w:highlight w:val="none"/>
                <w:lang w:val="en-US" w:eastAsia="zh-CN"/>
              </w:rPr>
              <w:t>分</w:t>
            </w:r>
          </w:p>
        </w:tc>
        <w:tc>
          <w:tcPr>
            <w:tcW w:w="738" w:type="dxa"/>
            <w:noWrap w:val="0"/>
            <w:vAlign w:val="center"/>
          </w:tcPr>
          <w:p w14:paraId="3942AC8F">
            <w:pP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主观分</w:t>
            </w:r>
          </w:p>
        </w:tc>
      </w:tr>
      <w:tr w14:paraId="150BC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noWrap w:val="0"/>
            <w:vAlign w:val="center"/>
          </w:tcPr>
          <w:p w14:paraId="68A68840">
            <w:pPr>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5</w:t>
            </w:r>
          </w:p>
        </w:tc>
        <w:tc>
          <w:tcPr>
            <w:tcW w:w="776" w:type="dxa"/>
            <w:noWrap w:val="0"/>
            <w:vAlign w:val="center"/>
          </w:tcPr>
          <w:p w14:paraId="4903249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商务资信分</w:t>
            </w:r>
          </w:p>
        </w:tc>
        <w:tc>
          <w:tcPr>
            <w:tcW w:w="6382" w:type="dxa"/>
            <w:noWrap w:val="0"/>
            <w:vAlign w:val="center"/>
          </w:tcPr>
          <w:p w14:paraId="25306B54">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综合实力分（满分</w:t>
            </w:r>
            <w:r>
              <w:rPr>
                <w:rFonts w:hint="eastAsia" w:ascii="宋体" w:hAnsi="宋体" w:eastAsia="宋体" w:cs="宋体"/>
                <w:b/>
                <w:bCs/>
                <w:color w:val="auto"/>
                <w:szCs w:val="21"/>
                <w:highlight w:val="none"/>
                <w:lang w:val="en-US" w:eastAsia="zh-CN"/>
              </w:rPr>
              <w:t>6</w:t>
            </w:r>
            <w:r>
              <w:rPr>
                <w:rFonts w:hint="eastAsia" w:ascii="宋体" w:hAnsi="宋体" w:eastAsia="宋体" w:cs="宋体"/>
                <w:b/>
                <w:bCs/>
                <w:color w:val="auto"/>
                <w:szCs w:val="21"/>
                <w:highlight w:val="none"/>
              </w:rPr>
              <w:t>分）</w:t>
            </w:r>
          </w:p>
          <w:p w14:paraId="41B7BF77">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供应商或其上级公司</w:t>
            </w:r>
            <w:r>
              <w:rPr>
                <w:rFonts w:hint="eastAsia" w:ascii="宋体" w:hAnsi="宋体" w:eastAsia="宋体" w:cs="宋体"/>
                <w:color w:val="auto"/>
                <w:szCs w:val="21"/>
                <w:highlight w:val="none"/>
                <w:lang w:val="en-US" w:eastAsia="zh-CN"/>
              </w:rPr>
              <w:t>通过</w:t>
            </w:r>
            <w:r>
              <w:rPr>
                <w:rFonts w:hint="eastAsia" w:ascii="宋体" w:hAnsi="宋体" w:eastAsia="宋体" w:cs="宋体"/>
                <w:color w:val="auto"/>
                <w:szCs w:val="21"/>
                <w:highlight w:val="none"/>
              </w:rPr>
              <w:t>质量管理体系认证、信息技术服务管理体系认证、信息安全管理体系认证，</w:t>
            </w:r>
            <w:r>
              <w:rPr>
                <w:rFonts w:hint="eastAsia" w:ascii="宋体" w:hAnsi="宋体" w:eastAsia="宋体" w:cs="宋体"/>
                <w:color w:val="auto"/>
                <w:szCs w:val="21"/>
                <w:highlight w:val="none"/>
                <w:lang w:val="en-US" w:eastAsia="zh-CN"/>
              </w:rPr>
              <w:t>竞</w:t>
            </w:r>
            <w:r>
              <w:rPr>
                <w:rFonts w:hint="eastAsia" w:ascii="宋体" w:hAnsi="宋体" w:eastAsia="宋体" w:cs="宋体"/>
                <w:color w:val="auto"/>
                <w:szCs w:val="21"/>
                <w:highlight w:val="none"/>
              </w:rPr>
              <w:t>标时提供有效期内的证书复印件，并加盖</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公章，每提供一份得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分，满分</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分。</w:t>
            </w:r>
          </w:p>
        </w:tc>
        <w:tc>
          <w:tcPr>
            <w:tcW w:w="750" w:type="dxa"/>
            <w:noWrap w:val="0"/>
            <w:vAlign w:val="center"/>
          </w:tcPr>
          <w:p w14:paraId="3DA98174">
            <w:pPr>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6分</w:t>
            </w:r>
          </w:p>
        </w:tc>
        <w:tc>
          <w:tcPr>
            <w:tcW w:w="738" w:type="dxa"/>
            <w:noWrap w:val="0"/>
            <w:vAlign w:val="center"/>
          </w:tcPr>
          <w:p w14:paraId="0A88F0D6">
            <w:pP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客观分</w:t>
            </w:r>
          </w:p>
        </w:tc>
      </w:tr>
      <w:tr w14:paraId="099EB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noWrap w:val="0"/>
            <w:vAlign w:val="center"/>
          </w:tcPr>
          <w:p w14:paraId="7DABE512">
            <w:pPr>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6</w:t>
            </w:r>
          </w:p>
        </w:tc>
        <w:tc>
          <w:tcPr>
            <w:tcW w:w="776" w:type="dxa"/>
            <w:noWrap w:val="0"/>
            <w:vAlign w:val="center"/>
          </w:tcPr>
          <w:p w14:paraId="3A1E36B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商务资信分</w:t>
            </w:r>
          </w:p>
        </w:tc>
        <w:tc>
          <w:tcPr>
            <w:tcW w:w="6382" w:type="dxa"/>
            <w:noWrap w:val="0"/>
            <w:vAlign w:val="center"/>
          </w:tcPr>
          <w:p w14:paraId="0704DEDC">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增值服务承诺分（满分</w:t>
            </w:r>
            <w:r>
              <w:rPr>
                <w:rFonts w:hint="eastAsia" w:ascii="宋体" w:hAnsi="宋体" w:cs="宋体"/>
                <w:b/>
                <w:bCs/>
                <w:i w:val="0"/>
                <w:iCs w:val="0"/>
                <w:color w:val="auto"/>
                <w:kern w:val="0"/>
                <w:sz w:val="21"/>
                <w:szCs w:val="21"/>
                <w:highlight w:val="none"/>
                <w:u w:val="none"/>
                <w:lang w:val="en-US" w:eastAsia="zh-CN" w:bidi="ar"/>
              </w:rPr>
              <w:t>5</w:t>
            </w:r>
            <w:r>
              <w:rPr>
                <w:rFonts w:hint="eastAsia" w:ascii="宋体" w:hAnsi="宋体" w:eastAsia="宋体" w:cs="宋体"/>
                <w:b/>
                <w:bCs/>
                <w:i w:val="0"/>
                <w:iCs w:val="0"/>
                <w:color w:val="auto"/>
                <w:kern w:val="0"/>
                <w:sz w:val="21"/>
                <w:szCs w:val="21"/>
                <w:highlight w:val="none"/>
                <w:u w:val="none"/>
                <w:lang w:val="en-US" w:eastAsia="zh-CN" w:bidi="ar"/>
              </w:rPr>
              <w:t>分）</w:t>
            </w:r>
          </w:p>
          <w:p w14:paraId="17AD362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在提供120G /人/月的高速流量基础上，每增加15G /人/月，加</w:t>
            </w:r>
            <w:r>
              <w:rPr>
                <w:rFonts w:hint="eastAsia" w:ascii="宋体" w:hAnsi="宋体" w:eastAsia="宋体" w:cs="宋体"/>
                <w:i w:val="0"/>
                <w:iCs w:val="0"/>
                <w:color w:val="auto"/>
                <w:kern w:val="0"/>
                <w:sz w:val="21"/>
                <w:szCs w:val="21"/>
                <w:highlight w:val="none"/>
                <w:u w:val="none"/>
                <w:lang w:val="en-US" w:eastAsia="zh-CN" w:bidi="ar"/>
              </w:rPr>
              <w:t>2</w:t>
            </w: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分，满分</w:t>
            </w: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分。</w:t>
            </w:r>
          </w:p>
        </w:tc>
        <w:tc>
          <w:tcPr>
            <w:tcW w:w="750" w:type="dxa"/>
            <w:noWrap w:val="0"/>
            <w:vAlign w:val="center"/>
          </w:tcPr>
          <w:p w14:paraId="2E6FE03C">
            <w:pPr>
              <w:rPr>
                <w:rFonts w:hint="eastAsia"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5</w:t>
            </w:r>
            <w:r>
              <w:rPr>
                <w:rFonts w:hint="eastAsia" w:ascii="宋体" w:hAnsi="宋体" w:eastAsia="宋体" w:cs="宋体"/>
                <w:b w:val="0"/>
                <w:bCs w:val="0"/>
                <w:color w:val="auto"/>
                <w:szCs w:val="21"/>
                <w:highlight w:val="none"/>
                <w:lang w:val="en-US" w:eastAsia="zh-CN"/>
              </w:rPr>
              <w:t>分</w:t>
            </w:r>
          </w:p>
        </w:tc>
        <w:tc>
          <w:tcPr>
            <w:tcW w:w="738" w:type="dxa"/>
            <w:noWrap w:val="0"/>
            <w:vAlign w:val="center"/>
          </w:tcPr>
          <w:p w14:paraId="00F36694">
            <w:pP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客观分</w:t>
            </w:r>
          </w:p>
        </w:tc>
      </w:tr>
      <w:tr w14:paraId="18E7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noWrap w:val="0"/>
            <w:vAlign w:val="center"/>
          </w:tcPr>
          <w:p w14:paraId="53EC9243">
            <w:pPr>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7</w:t>
            </w:r>
          </w:p>
        </w:tc>
        <w:tc>
          <w:tcPr>
            <w:tcW w:w="776" w:type="dxa"/>
            <w:noWrap w:val="0"/>
            <w:vAlign w:val="center"/>
          </w:tcPr>
          <w:p w14:paraId="74D704B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商务资信分</w:t>
            </w:r>
          </w:p>
        </w:tc>
        <w:tc>
          <w:tcPr>
            <w:tcW w:w="6382" w:type="dxa"/>
            <w:noWrap w:val="0"/>
            <w:vAlign w:val="center"/>
          </w:tcPr>
          <w:p w14:paraId="367B118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w:t>
            </w:r>
            <w:r>
              <w:rPr>
                <w:rFonts w:hint="eastAsia" w:ascii="宋体" w:hAnsi="宋体" w:eastAsia="宋体" w:cs="宋体"/>
                <w:i w:val="0"/>
                <w:iCs w:val="0"/>
                <w:color w:val="auto"/>
                <w:kern w:val="0"/>
                <w:sz w:val="21"/>
                <w:szCs w:val="21"/>
                <w:highlight w:val="none"/>
                <w:u w:val="none"/>
                <w:lang w:val="en-US" w:eastAsia="zh-CN" w:bidi="ar"/>
              </w:rPr>
              <w:t>自2022年以来有类似项目</w:t>
            </w:r>
            <w:r>
              <w:rPr>
                <w:rFonts w:hint="eastAsia" w:ascii="宋体" w:hAnsi="宋体" w:eastAsia="宋体" w:cs="宋体"/>
                <w:b/>
                <w:bCs/>
                <w:i w:val="0"/>
                <w:iCs w:val="0"/>
                <w:color w:val="auto"/>
                <w:kern w:val="0"/>
                <w:sz w:val="21"/>
                <w:szCs w:val="21"/>
                <w:highlight w:val="none"/>
                <w:u w:val="none"/>
                <w:lang w:val="en-US" w:eastAsia="zh-CN" w:bidi="ar"/>
              </w:rPr>
              <w:t>（通信服务）</w:t>
            </w:r>
            <w:r>
              <w:rPr>
                <w:rFonts w:hint="eastAsia" w:ascii="宋体" w:hAnsi="宋体" w:eastAsia="宋体" w:cs="宋体"/>
                <w:i w:val="0"/>
                <w:iCs w:val="0"/>
                <w:color w:val="auto"/>
                <w:kern w:val="0"/>
                <w:sz w:val="21"/>
                <w:szCs w:val="21"/>
                <w:highlight w:val="none"/>
                <w:u w:val="none"/>
                <w:lang w:val="en-US" w:eastAsia="zh-CN" w:bidi="ar"/>
              </w:rPr>
              <w:t>业绩，每提供1份，得2分，满分</w:t>
            </w: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分。【以合同或者中标(成交)通知书复印件为准，</w:t>
            </w:r>
            <w:r>
              <w:rPr>
                <w:rFonts w:hint="eastAsia" w:ascii="宋体" w:hAnsi="宋体" w:eastAsia="宋体" w:cs="宋体"/>
                <w:b/>
                <w:bCs/>
                <w:i w:val="0"/>
                <w:iCs w:val="0"/>
                <w:color w:val="auto"/>
                <w:kern w:val="0"/>
                <w:sz w:val="21"/>
                <w:szCs w:val="21"/>
                <w:highlight w:val="none"/>
                <w:u w:val="none"/>
                <w:lang w:val="en-US" w:eastAsia="zh-CN" w:bidi="ar"/>
              </w:rPr>
              <w:t>时间以资料的落款时间为准</w:t>
            </w:r>
            <w:r>
              <w:rPr>
                <w:rFonts w:hint="eastAsia" w:ascii="宋体" w:hAnsi="宋体" w:eastAsia="宋体" w:cs="宋体"/>
                <w:i w:val="0"/>
                <w:iCs w:val="0"/>
                <w:color w:val="auto"/>
                <w:kern w:val="0"/>
                <w:sz w:val="21"/>
                <w:szCs w:val="21"/>
                <w:highlight w:val="none"/>
                <w:u w:val="none"/>
                <w:lang w:val="en-US" w:eastAsia="zh-CN" w:bidi="ar"/>
              </w:rPr>
              <w:t>，并加盖供应商公章】</w:t>
            </w:r>
          </w:p>
        </w:tc>
        <w:tc>
          <w:tcPr>
            <w:tcW w:w="750" w:type="dxa"/>
            <w:noWrap w:val="0"/>
            <w:vAlign w:val="center"/>
          </w:tcPr>
          <w:p w14:paraId="4C4B9445">
            <w:pPr>
              <w:rPr>
                <w:rFonts w:hint="eastAsia"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6</w:t>
            </w:r>
            <w:r>
              <w:rPr>
                <w:rFonts w:hint="eastAsia" w:ascii="宋体" w:hAnsi="宋体" w:eastAsia="宋体" w:cs="宋体"/>
                <w:b w:val="0"/>
                <w:bCs w:val="0"/>
                <w:color w:val="auto"/>
                <w:szCs w:val="21"/>
                <w:highlight w:val="none"/>
                <w:lang w:val="en-US" w:eastAsia="zh-CN"/>
              </w:rPr>
              <w:t>分</w:t>
            </w:r>
          </w:p>
        </w:tc>
        <w:tc>
          <w:tcPr>
            <w:tcW w:w="738" w:type="dxa"/>
            <w:noWrap w:val="0"/>
            <w:vAlign w:val="center"/>
          </w:tcPr>
          <w:p w14:paraId="5E203EDF">
            <w:pP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客观分</w:t>
            </w:r>
          </w:p>
        </w:tc>
      </w:tr>
    </w:tbl>
    <w:p w14:paraId="62D4B4F7">
      <w:pPr>
        <w:ind w:firstLine="315" w:firstLineChars="150"/>
        <w:rPr>
          <w:color w:val="auto"/>
          <w:highlight w:val="none"/>
          <w:lang w:val="zh-CN"/>
        </w:rPr>
      </w:pPr>
      <w:r>
        <w:rPr>
          <w:rFonts w:hint="eastAsia"/>
          <w:color w:val="auto"/>
          <w:highlight w:val="none"/>
          <w:lang w:val="zh-CN"/>
        </w:rPr>
        <w:t>（2）最后报价分</w:t>
      </w:r>
    </w:p>
    <w:tbl>
      <w:tblPr>
        <w:tblStyle w:val="53"/>
        <w:tblW w:w="9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996"/>
        <w:gridCol w:w="3011"/>
        <w:gridCol w:w="1126"/>
        <w:gridCol w:w="2492"/>
      </w:tblGrid>
      <w:tr w14:paraId="0BE4A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70" w:type="dxa"/>
            <w:noWrap w:val="0"/>
            <w:vAlign w:val="center"/>
          </w:tcPr>
          <w:p w14:paraId="4193E14A">
            <w:pPr>
              <w:jc w:val="center"/>
              <w:rPr>
                <w:b/>
                <w:color w:val="auto"/>
                <w:szCs w:val="21"/>
                <w:highlight w:val="none"/>
              </w:rPr>
            </w:pPr>
            <w:r>
              <w:rPr>
                <w:b/>
                <w:color w:val="auto"/>
                <w:szCs w:val="21"/>
                <w:highlight w:val="none"/>
              </w:rPr>
              <w:t>序号</w:t>
            </w:r>
          </w:p>
        </w:tc>
        <w:tc>
          <w:tcPr>
            <w:tcW w:w="1996" w:type="dxa"/>
            <w:noWrap w:val="0"/>
            <w:vAlign w:val="center"/>
          </w:tcPr>
          <w:p w14:paraId="07F781C6">
            <w:pPr>
              <w:jc w:val="center"/>
              <w:rPr>
                <w:b/>
                <w:color w:val="auto"/>
                <w:szCs w:val="21"/>
                <w:highlight w:val="none"/>
              </w:rPr>
            </w:pPr>
            <w:r>
              <w:rPr>
                <w:rFonts w:hint="eastAsia"/>
                <w:b/>
                <w:color w:val="auto"/>
                <w:szCs w:val="21"/>
                <w:highlight w:val="none"/>
              </w:rPr>
              <w:t>类型</w:t>
            </w:r>
          </w:p>
        </w:tc>
        <w:tc>
          <w:tcPr>
            <w:tcW w:w="3011" w:type="dxa"/>
            <w:noWrap w:val="0"/>
            <w:vAlign w:val="center"/>
          </w:tcPr>
          <w:p w14:paraId="058D2267">
            <w:pPr>
              <w:jc w:val="center"/>
              <w:rPr>
                <w:b/>
                <w:color w:val="auto"/>
                <w:szCs w:val="21"/>
                <w:highlight w:val="none"/>
              </w:rPr>
            </w:pPr>
            <w:r>
              <w:rPr>
                <w:rFonts w:hint="eastAsia"/>
                <w:b/>
                <w:color w:val="auto"/>
                <w:szCs w:val="21"/>
                <w:highlight w:val="none"/>
              </w:rPr>
              <w:t>评分标准</w:t>
            </w:r>
          </w:p>
        </w:tc>
        <w:tc>
          <w:tcPr>
            <w:tcW w:w="1126" w:type="dxa"/>
            <w:noWrap w:val="0"/>
            <w:vAlign w:val="center"/>
          </w:tcPr>
          <w:p w14:paraId="7BB3C352">
            <w:pPr>
              <w:jc w:val="center"/>
              <w:rPr>
                <w:b/>
                <w:color w:val="auto"/>
                <w:szCs w:val="21"/>
                <w:highlight w:val="none"/>
              </w:rPr>
            </w:pPr>
            <w:r>
              <w:rPr>
                <w:rFonts w:hint="eastAsia"/>
                <w:b/>
                <w:color w:val="auto"/>
                <w:szCs w:val="21"/>
                <w:highlight w:val="none"/>
              </w:rPr>
              <w:t>分值权重</w:t>
            </w:r>
          </w:p>
        </w:tc>
        <w:tc>
          <w:tcPr>
            <w:tcW w:w="2492" w:type="dxa"/>
            <w:noWrap w:val="0"/>
            <w:vAlign w:val="center"/>
          </w:tcPr>
          <w:p w14:paraId="519EE806">
            <w:pPr>
              <w:jc w:val="center"/>
              <w:rPr>
                <w:b/>
                <w:color w:val="auto"/>
                <w:szCs w:val="21"/>
                <w:highlight w:val="none"/>
              </w:rPr>
            </w:pPr>
            <w:r>
              <w:rPr>
                <w:b/>
                <w:color w:val="auto"/>
                <w:szCs w:val="21"/>
                <w:highlight w:val="none"/>
              </w:rPr>
              <w:t>说明</w:t>
            </w:r>
          </w:p>
        </w:tc>
      </w:tr>
      <w:tr w14:paraId="3C5E8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70" w:type="dxa"/>
            <w:noWrap w:val="0"/>
            <w:vAlign w:val="center"/>
          </w:tcPr>
          <w:p w14:paraId="54E4BEFD">
            <w:pPr>
              <w:jc w:val="center"/>
              <w:rPr>
                <w:b/>
                <w:color w:val="auto"/>
                <w:szCs w:val="21"/>
                <w:highlight w:val="none"/>
              </w:rPr>
            </w:pPr>
            <w:r>
              <w:rPr>
                <w:rFonts w:hint="eastAsia"/>
                <w:b/>
                <w:color w:val="auto"/>
                <w:szCs w:val="21"/>
                <w:highlight w:val="none"/>
              </w:rPr>
              <w:t>1</w:t>
            </w:r>
          </w:p>
        </w:tc>
        <w:tc>
          <w:tcPr>
            <w:tcW w:w="1996" w:type="dxa"/>
            <w:noWrap w:val="0"/>
            <w:vAlign w:val="center"/>
          </w:tcPr>
          <w:p w14:paraId="7E3FFDA2">
            <w:pPr>
              <w:rPr>
                <w:color w:val="auto"/>
                <w:szCs w:val="21"/>
                <w:highlight w:val="none"/>
              </w:rPr>
            </w:pPr>
            <w:r>
              <w:rPr>
                <w:rFonts w:hint="eastAsia"/>
                <w:color w:val="auto"/>
                <w:szCs w:val="21"/>
                <w:highlight w:val="none"/>
              </w:rPr>
              <w:t>响应报价分</w:t>
            </w:r>
          </w:p>
        </w:tc>
        <w:tc>
          <w:tcPr>
            <w:tcW w:w="3011" w:type="dxa"/>
            <w:noWrap w:val="0"/>
            <w:vAlign w:val="center"/>
          </w:tcPr>
          <w:p w14:paraId="305BC536">
            <w:pPr>
              <w:spacing w:line="360" w:lineRule="auto"/>
              <w:rPr>
                <w:color w:val="auto"/>
                <w:szCs w:val="21"/>
                <w:highlight w:val="none"/>
              </w:rPr>
            </w:pPr>
            <w:r>
              <w:rPr>
                <w:rFonts w:hint="eastAsia"/>
                <w:color w:val="auto"/>
                <w:szCs w:val="21"/>
                <w:highlight w:val="none"/>
              </w:rPr>
              <w:t>以满足采购文件要求且响应价格最低的响应报价为评审基准价，其价格分为满分。其他供应商的价格分统一按照下列公式计算：响应报价得分</w:t>
            </w:r>
            <w:r>
              <w:rPr>
                <w:color w:val="auto"/>
                <w:szCs w:val="21"/>
                <w:highlight w:val="none"/>
              </w:rPr>
              <w:t>=（评审基准价/响应报价）×响应报价分满分分值。</w:t>
            </w:r>
          </w:p>
        </w:tc>
        <w:tc>
          <w:tcPr>
            <w:tcW w:w="1126" w:type="dxa"/>
            <w:noWrap w:val="0"/>
            <w:vAlign w:val="center"/>
          </w:tcPr>
          <w:p w14:paraId="0C95EA65">
            <w:pPr>
              <w:spacing w:line="360" w:lineRule="auto"/>
              <w:jc w:val="center"/>
              <w:rPr>
                <w:rFonts w:hint="default" w:eastAsia="宋体"/>
                <w:color w:val="auto"/>
                <w:szCs w:val="21"/>
                <w:highlight w:val="none"/>
                <w:lang w:val="en-US" w:eastAsia="zh-CN"/>
              </w:rPr>
            </w:pPr>
            <w:r>
              <w:rPr>
                <w:rFonts w:hint="eastAsia"/>
                <w:color w:val="auto"/>
                <w:szCs w:val="21"/>
                <w:highlight w:val="none"/>
                <w:lang w:val="en-US" w:eastAsia="zh-CN"/>
              </w:rPr>
              <w:t>15</w:t>
            </w:r>
          </w:p>
        </w:tc>
        <w:tc>
          <w:tcPr>
            <w:tcW w:w="2492" w:type="dxa"/>
            <w:noWrap w:val="0"/>
            <w:vAlign w:val="center"/>
          </w:tcPr>
          <w:p w14:paraId="21029638">
            <w:pPr>
              <w:spacing w:line="360" w:lineRule="auto"/>
              <w:rPr>
                <w:color w:val="auto"/>
                <w:szCs w:val="21"/>
                <w:highlight w:val="none"/>
              </w:rPr>
            </w:pPr>
            <w:r>
              <w:rPr>
                <w:rFonts w:hint="eastAsia"/>
                <w:color w:val="auto"/>
                <w:szCs w:val="21"/>
                <w:highlight w:val="none"/>
              </w:rPr>
              <w:t>响应报价计算时均为供应商的实际响应报价进行政策性扣除后的价格，最终成交金额＝响应报价。政策性扣除计算方法见后。</w:t>
            </w:r>
          </w:p>
        </w:tc>
      </w:tr>
    </w:tbl>
    <w:p w14:paraId="02896A3F">
      <w:pPr>
        <w:rPr>
          <w:color w:val="auto"/>
          <w:highlight w:val="none"/>
        </w:rPr>
      </w:pPr>
    </w:p>
    <w:p w14:paraId="5844203D">
      <w:pPr>
        <w:spacing w:before="120" w:line="320" w:lineRule="atLeast"/>
        <w:ind w:firstLine="316" w:firstLineChars="150"/>
        <w:rPr>
          <w:rFonts w:hint="eastAsia"/>
          <w:b/>
          <w:bCs/>
          <w:color w:val="auto"/>
          <w:kern w:val="0"/>
          <w:szCs w:val="21"/>
          <w:highlight w:val="none"/>
        </w:rPr>
      </w:pPr>
      <w:r>
        <w:rPr>
          <w:rFonts w:hint="eastAsia"/>
          <w:b/>
          <w:bCs/>
          <w:color w:val="auto"/>
          <w:kern w:val="0"/>
          <w:szCs w:val="21"/>
          <w:highlight w:val="none"/>
        </w:rPr>
        <w:t>注：涉及政府采购价格评审优惠政策叠加的，按照相关政策要求统一从对应报价的基础上进行价格扣除，用</w:t>
      </w:r>
      <w:r>
        <w:rPr>
          <w:rFonts w:hint="eastAsia"/>
          <w:b/>
          <w:bCs/>
          <w:color w:val="auto"/>
          <w:kern w:val="0"/>
          <w:szCs w:val="21"/>
          <w:highlight w:val="none"/>
          <w:lang w:eastAsia="zh-CN"/>
        </w:rPr>
        <w:t>响应</w:t>
      </w:r>
      <w:r>
        <w:rPr>
          <w:rFonts w:hint="eastAsia"/>
          <w:b/>
          <w:bCs/>
          <w:color w:val="auto"/>
          <w:kern w:val="0"/>
          <w:szCs w:val="21"/>
          <w:highlight w:val="none"/>
        </w:rPr>
        <w:t>总价减去扣除金额之和的价格参加评审。</w:t>
      </w:r>
    </w:p>
    <w:p w14:paraId="5885888A">
      <w:pPr>
        <w:spacing w:before="120" w:line="320" w:lineRule="atLeast"/>
        <w:ind w:firstLine="316" w:firstLineChars="150"/>
        <w:rPr>
          <w:rFonts w:hint="eastAsia" w:eastAsia="宋体"/>
          <w:b/>
          <w:bCs/>
          <w:color w:val="auto"/>
          <w:kern w:val="0"/>
          <w:szCs w:val="21"/>
          <w:highlight w:val="none"/>
          <w:lang w:eastAsia="zh-CN"/>
        </w:rPr>
      </w:pPr>
      <w:r>
        <w:rPr>
          <w:b/>
          <w:bCs/>
          <w:color w:val="auto"/>
          <w:kern w:val="0"/>
          <w:szCs w:val="21"/>
          <w:highlight w:val="none"/>
        </w:rPr>
        <w:t>政策性扣除计算方法</w:t>
      </w:r>
      <w:r>
        <w:rPr>
          <w:rFonts w:hint="eastAsia"/>
          <w:b/>
          <w:bCs/>
          <w:color w:val="auto"/>
          <w:kern w:val="0"/>
          <w:szCs w:val="21"/>
          <w:highlight w:val="none"/>
          <w:lang w:eastAsia="zh-CN"/>
        </w:rPr>
        <w:t>：</w:t>
      </w:r>
    </w:p>
    <w:p w14:paraId="1DFB4437">
      <w:pPr>
        <w:spacing w:before="120" w:line="320" w:lineRule="atLeast"/>
        <w:ind w:firstLine="315" w:firstLineChars="150"/>
        <w:rPr>
          <w:rFonts w:hint="eastAsia"/>
          <w:color w:val="auto"/>
          <w:szCs w:val="21"/>
          <w:highlight w:val="none"/>
        </w:rPr>
      </w:pPr>
      <w:r>
        <w:rPr>
          <w:rFonts w:hint="eastAsia"/>
          <w:color w:val="auto"/>
          <w:szCs w:val="21"/>
          <w:highlight w:val="none"/>
          <w:lang w:val="en-US" w:eastAsia="zh-CN"/>
        </w:rPr>
        <w:t>1）</w:t>
      </w:r>
      <w:r>
        <w:rPr>
          <w:rFonts w:hint="eastAsia" w:ascii="Times New Roman" w:eastAsia="宋体"/>
          <w:color w:val="auto"/>
          <w:szCs w:val="21"/>
          <w:highlight w:val="none"/>
          <w:lang w:val="en-US" w:eastAsia="zh-CN"/>
        </w:rPr>
        <w:t>小微企业的价格扣除计算:</w:t>
      </w:r>
      <w:r>
        <w:rPr>
          <w:rFonts w:hint="eastAsia"/>
          <w:color w:val="auto"/>
          <w:szCs w:val="21"/>
          <w:highlight w:val="none"/>
        </w:rPr>
        <w:t>供应商</w:t>
      </w:r>
      <w:r>
        <w:rPr>
          <w:rFonts w:hint="eastAsia"/>
          <w:color w:val="auto"/>
          <w:szCs w:val="21"/>
          <w:highlight w:val="none"/>
          <w:lang w:eastAsia="zh-CN"/>
        </w:rPr>
        <w:t>响应</w:t>
      </w:r>
      <w:r>
        <w:rPr>
          <w:color w:val="auto"/>
          <w:szCs w:val="21"/>
          <w:highlight w:val="none"/>
        </w:rPr>
        <w:t>报价将按相应比例进行扣除，用扣除后的价格参与评审（计算价格分）</w:t>
      </w:r>
      <w:r>
        <w:rPr>
          <w:rFonts w:hint="eastAsia"/>
          <w:color w:val="auto"/>
          <w:szCs w:val="21"/>
          <w:highlight w:val="none"/>
        </w:rPr>
        <w:t>，价格扣除比例分别如下：</w:t>
      </w:r>
    </w:p>
    <w:p w14:paraId="652CA233">
      <w:pPr>
        <w:rPr>
          <w:color w:val="auto"/>
          <w:highlight w:val="none"/>
        </w:rPr>
      </w:pPr>
    </w:p>
    <w:tbl>
      <w:tblPr>
        <w:tblStyle w:val="53"/>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4962"/>
        <w:gridCol w:w="2551"/>
      </w:tblGrid>
      <w:tr w14:paraId="761B0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top"/>
          </w:tcPr>
          <w:p w14:paraId="50252C8D">
            <w:pPr>
              <w:spacing w:before="120" w:line="320" w:lineRule="atLeast"/>
              <w:jc w:val="center"/>
              <w:rPr>
                <w:color w:val="auto"/>
                <w:szCs w:val="21"/>
                <w:highlight w:val="none"/>
              </w:rPr>
            </w:pPr>
            <w:r>
              <w:rPr>
                <w:rFonts w:hint="eastAsia"/>
                <w:color w:val="auto"/>
                <w:szCs w:val="21"/>
                <w:highlight w:val="none"/>
              </w:rPr>
              <w:t>独立响应</w:t>
            </w:r>
          </w:p>
        </w:tc>
        <w:tc>
          <w:tcPr>
            <w:tcW w:w="4962" w:type="dxa"/>
            <w:noWrap w:val="0"/>
            <w:vAlign w:val="top"/>
          </w:tcPr>
          <w:p w14:paraId="2C5406B2">
            <w:pPr>
              <w:spacing w:before="120" w:line="320" w:lineRule="atLeast"/>
              <w:rPr>
                <w:color w:val="auto"/>
                <w:szCs w:val="21"/>
                <w:highlight w:val="none"/>
              </w:rPr>
            </w:pPr>
            <w:r>
              <w:rPr>
                <w:rFonts w:hint="eastAsia"/>
                <w:color w:val="auto"/>
                <w:szCs w:val="21"/>
                <w:highlight w:val="none"/>
              </w:rPr>
              <w:t>供应商均为所列企业之一（小型企业、微型企业、残疾人福利企业、监狱企业）</w:t>
            </w:r>
          </w:p>
        </w:tc>
        <w:tc>
          <w:tcPr>
            <w:tcW w:w="2551" w:type="dxa"/>
            <w:noWrap w:val="0"/>
            <w:vAlign w:val="top"/>
          </w:tcPr>
          <w:p w14:paraId="5584A516">
            <w:pPr>
              <w:spacing w:before="120" w:line="320" w:lineRule="atLeast"/>
              <w:rPr>
                <w:color w:val="auto"/>
                <w:szCs w:val="21"/>
                <w:highlight w:val="none"/>
              </w:rPr>
            </w:pPr>
            <w:r>
              <w:rPr>
                <w:rFonts w:hint="eastAsia"/>
                <w:color w:val="auto"/>
                <w:szCs w:val="21"/>
                <w:highlight w:val="none"/>
              </w:rPr>
              <w:t>价格扣除响应报价的10%</w:t>
            </w:r>
          </w:p>
        </w:tc>
      </w:tr>
      <w:tr w14:paraId="4825A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restart"/>
            <w:noWrap w:val="0"/>
            <w:vAlign w:val="top"/>
          </w:tcPr>
          <w:p w14:paraId="043091A2">
            <w:pPr>
              <w:spacing w:before="120" w:line="320" w:lineRule="atLeast"/>
              <w:jc w:val="center"/>
              <w:rPr>
                <w:color w:val="auto"/>
                <w:szCs w:val="21"/>
                <w:highlight w:val="none"/>
              </w:rPr>
            </w:pPr>
            <w:r>
              <w:rPr>
                <w:rFonts w:hint="eastAsia"/>
                <w:color w:val="auto"/>
                <w:szCs w:val="21"/>
                <w:highlight w:val="none"/>
              </w:rPr>
              <w:t>联合体或</w:t>
            </w:r>
          </w:p>
          <w:p w14:paraId="6CE0BE95">
            <w:pPr>
              <w:spacing w:before="120" w:line="320" w:lineRule="atLeast"/>
              <w:jc w:val="center"/>
              <w:rPr>
                <w:color w:val="auto"/>
                <w:szCs w:val="21"/>
                <w:highlight w:val="none"/>
              </w:rPr>
            </w:pPr>
            <w:r>
              <w:rPr>
                <w:rFonts w:hint="eastAsia"/>
                <w:color w:val="auto"/>
                <w:szCs w:val="21"/>
                <w:highlight w:val="none"/>
              </w:rPr>
              <w:t>分包</w:t>
            </w:r>
          </w:p>
        </w:tc>
        <w:tc>
          <w:tcPr>
            <w:tcW w:w="4962" w:type="dxa"/>
            <w:noWrap w:val="0"/>
            <w:vAlign w:val="top"/>
          </w:tcPr>
          <w:p w14:paraId="2FFD9F52">
            <w:pPr>
              <w:spacing w:before="120" w:line="320" w:lineRule="atLeast"/>
              <w:rPr>
                <w:color w:val="auto"/>
                <w:szCs w:val="21"/>
                <w:highlight w:val="none"/>
              </w:rPr>
            </w:pPr>
            <w:r>
              <w:rPr>
                <w:rFonts w:hint="eastAsia"/>
                <w:color w:val="auto"/>
                <w:szCs w:val="21"/>
                <w:highlight w:val="none"/>
              </w:rPr>
              <w:t>小微企业承接的金额比例为1</w:t>
            </w:r>
            <w:r>
              <w:rPr>
                <w:color w:val="auto"/>
                <w:szCs w:val="21"/>
                <w:highlight w:val="none"/>
              </w:rPr>
              <w:t>00</w:t>
            </w:r>
            <w:r>
              <w:rPr>
                <w:rFonts w:hint="eastAsia"/>
                <w:color w:val="auto"/>
                <w:szCs w:val="21"/>
                <w:highlight w:val="none"/>
              </w:rPr>
              <w:t>%</w:t>
            </w:r>
          </w:p>
        </w:tc>
        <w:tc>
          <w:tcPr>
            <w:tcW w:w="2551" w:type="dxa"/>
            <w:noWrap w:val="0"/>
            <w:vAlign w:val="top"/>
          </w:tcPr>
          <w:p w14:paraId="72B5B9F5">
            <w:pPr>
              <w:spacing w:before="120" w:line="320" w:lineRule="atLeast"/>
              <w:rPr>
                <w:color w:val="auto"/>
                <w:szCs w:val="21"/>
                <w:highlight w:val="none"/>
              </w:rPr>
            </w:pPr>
            <w:r>
              <w:rPr>
                <w:rFonts w:hint="eastAsia"/>
                <w:color w:val="auto"/>
                <w:szCs w:val="21"/>
                <w:highlight w:val="none"/>
              </w:rPr>
              <w:t>价格扣除响应报价的10%</w:t>
            </w:r>
          </w:p>
        </w:tc>
      </w:tr>
      <w:tr w14:paraId="54770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continue"/>
            <w:noWrap w:val="0"/>
            <w:vAlign w:val="top"/>
          </w:tcPr>
          <w:p w14:paraId="3451D653">
            <w:pPr>
              <w:spacing w:before="120" w:line="320" w:lineRule="atLeast"/>
              <w:rPr>
                <w:color w:val="auto"/>
                <w:szCs w:val="21"/>
                <w:highlight w:val="none"/>
              </w:rPr>
            </w:pPr>
          </w:p>
        </w:tc>
        <w:tc>
          <w:tcPr>
            <w:tcW w:w="4962" w:type="dxa"/>
            <w:noWrap w:val="0"/>
            <w:vAlign w:val="top"/>
          </w:tcPr>
          <w:p w14:paraId="6498A7BE">
            <w:pPr>
              <w:spacing w:before="120" w:line="320" w:lineRule="atLeast"/>
              <w:rPr>
                <w:color w:val="auto"/>
                <w:szCs w:val="21"/>
                <w:highlight w:val="none"/>
              </w:rPr>
            </w:pPr>
            <w:r>
              <w:rPr>
                <w:rFonts w:hint="eastAsia"/>
                <w:color w:val="auto"/>
                <w:szCs w:val="21"/>
                <w:highlight w:val="none"/>
              </w:rPr>
              <w:t>小微企业承接的金额比例达到合同总金额3</w:t>
            </w:r>
            <w:r>
              <w:rPr>
                <w:color w:val="auto"/>
                <w:szCs w:val="21"/>
                <w:highlight w:val="none"/>
              </w:rPr>
              <w:t>0%</w:t>
            </w:r>
            <w:r>
              <w:rPr>
                <w:rFonts w:hint="eastAsia"/>
                <w:color w:val="auto"/>
                <w:szCs w:val="21"/>
                <w:highlight w:val="none"/>
              </w:rPr>
              <w:t>以上</w:t>
            </w:r>
          </w:p>
        </w:tc>
        <w:tc>
          <w:tcPr>
            <w:tcW w:w="2551" w:type="dxa"/>
            <w:noWrap w:val="0"/>
            <w:vAlign w:val="top"/>
          </w:tcPr>
          <w:p w14:paraId="445B1DDE">
            <w:pPr>
              <w:spacing w:before="120" w:line="320" w:lineRule="atLeast"/>
              <w:rPr>
                <w:color w:val="auto"/>
                <w:szCs w:val="21"/>
                <w:highlight w:val="none"/>
              </w:rPr>
            </w:pPr>
            <w:r>
              <w:rPr>
                <w:rFonts w:hint="eastAsia"/>
                <w:color w:val="auto"/>
                <w:szCs w:val="21"/>
                <w:highlight w:val="none"/>
              </w:rPr>
              <w:t>价格扣除响应报价的</w:t>
            </w:r>
            <w:r>
              <w:rPr>
                <w:color w:val="auto"/>
                <w:szCs w:val="21"/>
                <w:highlight w:val="none"/>
              </w:rPr>
              <w:t>4</w:t>
            </w:r>
            <w:r>
              <w:rPr>
                <w:rFonts w:hint="eastAsia"/>
                <w:color w:val="auto"/>
                <w:szCs w:val="21"/>
                <w:highlight w:val="none"/>
              </w:rPr>
              <w:t>%</w:t>
            </w:r>
          </w:p>
        </w:tc>
      </w:tr>
      <w:tr w14:paraId="1FE7D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0" w:type="dxa"/>
            <w:gridSpan w:val="3"/>
            <w:noWrap w:val="0"/>
            <w:vAlign w:val="top"/>
          </w:tcPr>
          <w:p w14:paraId="3AD0C37B">
            <w:pPr>
              <w:spacing w:before="120" w:line="320" w:lineRule="atLeast"/>
              <w:rPr>
                <w:color w:val="auto"/>
                <w:szCs w:val="21"/>
                <w:highlight w:val="none"/>
              </w:rPr>
            </w:pPr>
            <w:r>
              <w:rPr>
                <w:rFonts w:hint="eastAsia"/>
                <w:color w:val="auto"/>
                <w:szCs w:val="21"/>
                <w:highlight w:val="none"/>
              </w:rPr>
              <w:t>注：未提供《中小企业声明函》、《分包意向协议书》或《联合体协议书》或不符合条件的，不享受价格扣除优惠。</w:t>
            </w:r>
          </w:p>
        </w:tc>
      </w:tr>
    </w:tbl>
    <w:p w14:paraId="629055CE">
      <w:pPr>
        <w:spacing w:before="120" w:line="320" w:lineRule="atLeast"/>
        <w:ind w:firstLine="422" w:firstLineChars="200"/>
        <w:rPr>
          <w:rFonts w:hint="default"/>
          <w:b/>
          <w:bCs/>
          <w:color w:val="auto"/>
          <w:szCs w:val="21"/>
          <w:highlight w:val="none"/>
          <w:lang w:val="en-US"/>
        </w:rPr>
      </w:pPr>
      <w:r>
        <w:rPr>
          <w:rFonts w:hint="eastAsia"/>
          <w:b/>
          <w:bCs/>
          <w:color w:val="auto"/>
          <w:szCs w:val="21"/>
          <w:highlight w:val="none"/>
          <w:lang w:val="en-US" w:eastAsia="zh-CN"/>
        </w:rPr>
        <w:t>2）本国产品的价格扣除计算：</w:t>
      </w:r>
      <w:r>
        <w:rPr>
          <w:rFonts w:hint="eastAsia"/>
          <w:color w:val="auto"/>
          <w:szCs w:val="21"/>
          <w:highlight w:val="none"/>
        </w:rPr>
        <w:t>供应商</w:t>
      </w:r>
      <w:r>
        <w:rPr>
          <w:rFonts w:hint="eastAsia"/>
          <w:color w:val="auto"/>
          <w:szCs w:val="21"/>
          <w:highlight w:val="none"/>
          <w:lang w:eastAsia="zh-CN"/>
        </w:rPr>
        <w:t>响应</w:t>
      </w:r>
      <w:r>
        <w:rPr>
          <w:rFonts w:hint="eastAsia"/>
          <w:color w:val="auto"/>
          <w:szCs w:val="21"/>
          <w:highlight w:val="none"/>
        </w:rPr>
        <w:t>报价将按相应比例进行扣除，用扣除后的价格参与评审（计算价格分），价格扣除比例分别如下：</w:t>
      </w:r>
      <w:r>
        <w:rPr>
          <w:rFonts w:hint="eastAsia"/>
          <w:b/>
          <w:bCs/>
          <w:color w:val="auto"/>
          <w:szCs w:val="21"/>
          <w:highlight w:val="none"/>
          <w:lang w:val="en-US" w:eastAsia="zh-CN"/>
        </w:rPr>
        <w:t>【备注：本项目不适用】</w:t>
      </w:r>
    </w:p>
    <w:tbl>
      <w:tblPr>
        <w:tblStyle w:val="53"/>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9"/>
        <w:gridCol w:w="4550"/>
        <w:gridCol w:w="2551"/>
      </w:tblGrid>
      <w:tr w14:paraId="07A07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shd w:val="clear" w:color="auto" w:fill="auto"/>
            <w:noWrap w:val="0"/>
            <w:vAlign w:val="top"/>
          </w:tcPr>
          <w:p w14:paraId="0220BD4B">
            <w:pPr>
              <w:spacing w:before="120" w:line="320" w:lineRule="atLeast"/>
              <w:ind w:firstLine="420" w:firstLineChars="200"/>
              <w:rPr>
                <w:rFonts w:hint="default"/>
                <w:color w:val="auto"/>
                <w:szCs w:val="21"/>
                <w:highlight w:val="none"/>
                <w:lang w:val="en-US" w:eastAsia="zh-CN"/>
              </w:rPr>
            </w:pPr>
            <w:r>
              <w:rPr>
                <w:rFonts w:hint="eastAsia"/>
                <w:color w:val="auto"/>
                <w:szCs w:val="21"/>
                <w:highlight w:val="none"/>
                <w:lang w:val="en-US" w:eastAsia="zh-CN"/>
              </w:rPr>
              <w:t>采购项目或者采购包中为单一产品</w:t>
            </w:r>
          </w:p>
        </w:tc>
        <w:tc>
          <w:tcPr>
            <w:tcW w:w="4550" w:type="dxa"/>
            <w:shd w:val="clear" w:color="auto" w:fill="auto"/>
            <w:noWrap w:val="0"/>
            <w:vAlign w:val="top"/>
          </w:tcPr>
          <w:p w14:paraId="05068942">
            <w:pPr>
              <w:spacing w:before="120" w:line="320" w:lineRule="atLeast"/>
              <w:ind w:firstLine="420" w:firstLineChars="200"/>
              <w:rPr>
                <w:rFonts w:hint="eastAsia"/>
                <w:color w:val="auto"/>
                <w:szCs w:val="21"/>
                <w:highlight w:val="none"/>
                <w:lang w:eastAsia="zh-CN"/>
              </w:rPr>
            </w:pPr>
            <w:r>
              <w:rPr>
                <w:rFonts w:hint="eastAsia"/>
                <w:color w:val="auto"/>
                <w:szCs w:val="21"/>
                <w:highlight w:val="none"/>
              </w:rPr>
              <w:t>若</w:t>
            </w:r>
            <w:r>
              <w:rPr>
                <w:rFonts w:hint="eastAsia"/>
                <w:color w:val="auto"/>
                <w:szCs w:val="21"/>
                <w:highlight w:val="none"/>
                <w:lang w:val="en-US" w:eastAsia="zh-CN"/>
              </w:rPr>
              <w:t>本项目</w:t>
            </w:r>
            <w:r>
              <w:rPr>
                <w:rFonts w:hint="eastAsia"/>
                <w:color w:val="auto"/>
                <w:szCs w:val="21"/>
                <w:highlight w:val="none"/>
              </w:rPr>
              <w:t>既有本国产品又有非本国产品参与竞争的</w:t>
            </w:r>
            <w:r>
              <w:rPr>
                <w:rFonts w:hint="eastAsia"/>
                <w:color w:val="auto"/>
                <w:szCs w:val="21"/>
                <w:highlight w:val="none"/>
                <w:lang w:eastAsia="zh-CN"/>
              </w:rPr>
              <w:t>，</w:t>
            </w:r>
            <w:r>
              <w:rPr>
                <w:rFonts w:hint="eastAsia"/>
                <w:color w:val="auto"/>
                <w:szCs w:val="21"/>
                <w:highlight w:val="none"/>
              </w:rPr>
              <w:t>供应商所提供</w:t>
            </w:r>
            <w:r>
              <w:rPr>
                <w:rFonts w:hint="eastAsia"/>
                <w:color w:val="auto"/>
                <w:szCs w:val="21"/>
                <w:highlight w:val="none"/>
                <w:lang w:val="en-US" w:eastAsia="zh-CN"/>
              </w:rPr>
              <w:t>符合</w:t>
            </w:r>
            <w:r>
              <w:rPr>
                <w:rFonts w:hint="eastAsia"/>
                <w:color w:val="auto"/>
                <w:szCs w:val="21"/>
                <w:highlight w:val="none"/>
              </w:rPr>
              <w:t>本国产品标准的产品</w:t>
            </w:r>
          </w:p>
        </w:tc>
        <w:tc>
          <w:tcPr>
            <w:tcW w:w="2551" w:type="dxa"/>
            <w:vMerge w:val="restart"/>
            <w:shd w:val="clear" w:color="auto" w:fill="auto"/>
            <w:noWrap w:val="0"/>
            <w:vAlign w:val="top"/>
          </w:tcPr>
          <w:p w14:paraId="11B5EADA">
            <w:pPr>
              <w:spacing w:before="120" w:line="320" w:lineRule="atLeast"/>
              <w:ind w:firstLine="420" w:firstLineChars="200"/>
              <w:rPr>
                <w:rFonts w:hint="eastAsia"/>
                <w:color w:val="auto"/>
                <w:szCs w:val="21"/>
                <w:highlight w:val="none"/>
              </w:rPr>
            </w:pPr>
          </w:p>
          <w:p w14:paraId="20C489F9">
            <w:pPr>
              <w:spacing w:before="120" w:line="320" w:lineRule="atLeast"/>
              <w:ind w:firstLine="420" w:firstLineChars="200"/>
              <w:rPr>
                <w:rFonts w:hint="eastAsia"/>
                <w:color w:val="auto"/>
                <w:szCs w:val="21"/>
                <w:highlight w:val="none"/>
              </w:rPr>
            </w:pPr>
          </w:p>
          <w:p w14:paraId="30E20D3C">
            <w:pPr>
              <w:spacing w:before="120" w:line="320" w:lineRule="atLeast"/>
              <w:ind w:firstLine="420" w:firstLineChars="200"/>
              <w:rPr>
                <w:rFonts w:hint="eastAsia"/>
                <w:color w:val="auto"/>
                <w:szCs w:val="21"/>
                <w:highlight w:val="none"/>
              </w:rPr>
            </w:pPr>
          </w:p>
          <w:p w14:paraId="6BEF8C6F">
            <w:pPr>
              <w:spacing w:before="120" w:line="320" w:lineRule="atLeast"/>
              <w:ind w:firstLine="420" w:firstLineChars="200"/>
              <w:rPr>
                <w:rFonts w:hint="eastAsia"/>
                <w:color w:val="auto"/>
                <w:szCs w:val="21"/>
                <w:highlight w:val="none"/>
              </w:rPr>
            </w:pPr>
            <w:r>
              <w:rPr>
                <w:rFonts w:hint="eastAsia"/>
                <w:color w:val="auto"/>
                <w:szCs w:val="21"/>
                <w:highlight w:val="none"/>
              </w:rPr>
              <w:t>价格扣除</w:t>
            </w:r>
            <w:r>
              <w:rPr>
                <w:rFonts w:hint="eastAsia"/>
                <w:color w:val="auto"/>
                <w:szCs w:val="21"/>
                <w:highlight w:val="none"/>
                <w:lang w:val="en-US" w:eastAsia="zh-CN"/>
              </w:rPr>
              <w:t>全部产品报价</w:t>
            </w:r>
            <w:r>
              <w:rPr>
                <w:rFonts w:hint="eastAsia"/>
                <w:color w:val="auto"/>
                <w:szCs w:val="21"/>
                <w:highlight w:val="none"/>
              </w:rPr>
              <w:t>的</w:t>
            </w:r>
            <w:r>
              <w:rPr>
                <w:rFonts w:hint="eastAsia"/>
                <w:color w:val="auto"/>
                <w:szCs w:val="21"/>
                <w:highlight w:val="none"/>
                <w:lang w:val="en-US" w:eastAsia="zh-CN"/>
              </w:rPr>
              <w:t>20</w:t>
            </w:r>
            <w:r>
              <w:rPr>
                <w:rFonts w:hint="eastAsia"/>
                <w:color w:val="auto"/>
                <w:szCs w:val="21"/>
                <w:highlight w:val="none"/>
              </w:rPr>
              <w:t>%</w:t>
            </w:r>
          </w:p>
        </w:tc>
      </w:tr>
      <w:tr w14:paraId="76D65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shd w:val="clear" w:color="auto" w:fill="auto"/>
            <w:noWrap w:val="0"/>
            <w:vAlign w:val="top"/>
          </w:tcPr>
          <w:p w14:paraId="445AC51B">
            <w:pPr>
              <w:spacing w:before="120" w:line="320" w:lineRule="atLeast"/>
              <w:ind w:firstLine="420" w:firstLineChars="200"/>
              <w:rPr>
                <w:rFonts w:hint="eastAsia"/>
                <w:color w:val="auto"/>
                <w:szCs w:val="21"/>
                <w:highlight w:val="none"/>
              </w:rPr>
            </w:pPr>
            <w:r>
              <w:rPr>
                <w:rFonts w:hint="eastAsia"/>
                <w:color w:val="auto"/>
                <w:szCs w:val="21"/>
                <w:highlight w:val="none"/>
              </w:rPr>
              <w:t>采购项目或者采购包中含有多种产品</w:t>
            </w:r>
          </w:p>
        </w:tc>
        <w:tc>
          <w:tcPr>
            <w:tcW w:w="4550" w:type="dxa"/>
            <w:shd w:val="clear" w:color="auto" w:fill="auto"/>
            <w:noWrap w:val="0"/>
            <w:vAlign w:val="top"/>
          </w:tcPr>
          <w:p w14:paraId="3F084467">
            <w:pPr>
              <w:spacing w:before="120" w:line="320" w:lineRule="atLeast"/>
              <w:ind w:firstLine="420" w:firstLineChars="200"/>
              <w:rPr>
                <w:rFonts w:hint="eastAsia"/>
                <w:color w:val="auto"/>
                <w:szCs w:val="21"/>
                <w:highlight w:val="none"/>
                <w:lang w:eastAsia="zh-CN"/>
              </w:rPr>
            </w:pPr>
            <w:r>
              <w:rPr>
                <w:rFonts w:hint="eastAsia"/>
                <w:color w:val="auto"/>
                <w:szCs w:val="21"/>
                <w:highlight w:val="none"/>
              </w:rPr>
              <w:t>若</w:t>
            </w:r>
            <w:r>
              <w:rPr>
                <w:rFonts w:hint="eastAsia"/>
                <w:color w:val="auto"/>
                <w:szCs w:val="21"/>
                <w:highlight w:val="none"/>
                <w:lang w:val="en-US" w:eastAsia="zh-CN"/>
              </w:rPr>
              <w:t>本项目</w:t>
            </w:r>
            <w:r>
              <w:rPr>
                <w:rFonts w:hint="eastAsia"/>
                <w:color w:val="auto"/>
                <w:szCs w:val="21"/>
                <w:highlight w:val="none"/>
              </w:rPr>
              <w:t>既有本国产品又有非本国产品参与竞争的</w:t>
            </w:r>
            <w:r>
              <w:rPr>
                <w:rFonts w:hint="eastAsia"/>
                <w:color w:val="auto"/>
                <w:szCs w:val="21"/>
                <w:highlight w:val="none"/>
                <w:lang w:eastAsia="zh-CN"/>
              </w:rPr>
              <w:t>，</w:t>
            </w:r>
            <w:r>
              <w:rPr>
                <w:rFonts w:hint="eastAsia"/>
                <w:color w:val="auto"/>
                <w:szCs w:val="21"/>
                <w:highlight w:val="none"/>
              </w:rPr>
              <w:t>供应商</w:t>
            </w:r>
            <w:r>
              <w:rPr>
                <w:rFonts w:hint="eastAsia"/>
                <w:color w:val="auto"/>
                <w:szCs w:val="21"/>
                <w:highlight w:val="none"/>
                <w:lang w:val="en-US" w:eastAsia="zh-CN"/>
              </w:rPr>
              <w:t>提供符合</w:t>
            </w:r>
            <w:r>
              <w:rPr>
                <w:rFonts w:hint="eastAsia"/>
                <w:color w:val="auto"/>
                <w:szCs w:val="21"/>
                <w:highlight w:val="none"/>
              </w:rPr>
              <w:t>本国产品标准的产品成本之和占该供应商提供的全部产品成本之和的比例达到80%以上时</w:t>
            </w:r>
            <w:r>
              <w:rPr>
                <w:rFonts w:hint="eastAsia"/>
                <w:color w:val="auto"/>
                <w:szCs w:val="21"/>
                <w:highlight w:val="none"/>
                <w:lang w:eastAsia="zh-CN"/>
              </w:rPr>
              <w:t>。</w:t>
            </w:r>
            <w:r>
              <w:rPr>
                <w:rFonts w:hint="eastAsia"/>
                <w:color w:val="auto"/>
                <w:szCs w:val="21"/>
                <w:highlight w:val="none"/>
                <w:lang w:val="en-US" w:eastAsia="zh-CN"/>
              </w:rPr>
              <w:t>供应商须在响应文件提交《关于符合本国产品标准的成本占比承诺函》。如供应商所有产品均为本国产品且填写《关于符合本国产品标准的声明函》的，无须填写《关于符合本国产品标准的成本占比承诺函》。</w:t>
            </w:r>
          </w:p>
        </w:tc>
        <w:tc>
          <w:tcPr>
            <w:tcW w:w="2551" w:type="dxa"/>
            <w:vMerge w:val="continue"/>
            <w:shd w:val="clear" w:color="auto" w:fill="auto"/>
            <w:noWrap w:val="0"/>
            <w:vAlign w:val="top"/>
          </w:tcPr>
          <w:p w14:paraId="16971917">
            <w:pPr>
              <w:spacing w:before="120" w:line="320" w:lineRule="atLeast"/>
              <w:ind w:firstLine="420" w:firstLineChars="200"/>
              <w:rPr>
                <w:rFonts w:hint="eastAsia"/>
                <w:color w:val="auto"/>
                <w:szCs w:val="21"/>
                <w:highlight w:val="none"/>
              </w:rPr>
            </w:pPr>
          </w:p>
        </w:tc>
      </w:tr>
      <w:tr w14:paraId="5A183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0" w:type="dxa"/>
            <w:gridSpan w:val="3"/>
            <w:shd w:val="clear" w:color="auto" w:fill="auto"/>
            <w:noWrap w:val="0"/>
            <w:vAlign w:val="top"/>
          </w:tcPr>
          <w:p w14:paraId="7F3C1BEB">
            <w:pPr>
              <w:spacing w:before="120" w:line="320" w:lineRule="atLeast"/>
              <w:rPr>
                <w:rFonts w:hint="eastAsia"/>
                <w:color w:val="auto"/>
                <w:szCs w:val="21"/>
                <w:highlight w:val="none"/>
              </w:rPr>
            </w:pPr>
            <w:r>
              <w:rPr>
                <w:rFonts w:hint="eastAsia"/>
                <w:color w:val="auto"/>
                <w:szCs w:val="21"/>
                <w:highlight w:val="none"/>
              </w:rPr>
              <w:t>注：未提供《关于符合本国产品标准的声明函》</w:t>
            </w:r>
            <w:r>
              <w:rPr>
                <w:rFonts w:hint="eastAsia"/>
                <w:color w:val="auto"/>
                <w:szCs w:val="21"/>
                <w:highlight w:val="none"/>
                <w:lang w:eastAsia="zh-CN"/>
              </w:rPr>
              <w:t>、《</w:t>
            </w:r>
            <w:r>
              <w:rPr>
                <w:rFonts w:hint="eastAsia"/>
                <w:color w:val="auto"/>
                <w:szCs w:val="21"/>
                <w:highlight w:val="none"/>
                <w:lang w:val="en-US" w:eastAsia="zh-CN"/>
              </w:rPr>
              <w:t>关于符合本国产品标准的成本占比承诺函》（如适用）或</w:t>
            </w:r>
            <w:r>
              <w:rPr>
                <w:rFonts w:hint="eastAsia"/>
                <w:color w:val="auto"/>
                <w:szCs w:val="21"/>
                <w:highlight w:val="none"/>
              </w:rPr>
              <w:t>不符合条件的，不享受价格扣除优惠。</w:t>
            </w:r>
          </w:p>
        </w:tc>
      </w:tr>
    </w:tbl>
    <w:p w14:paraId="2004A8F6">
      <w:pPr>
        <w:spacing w:before="120" w:line="320" w:lineRule="atLeast"/>
        <w:ind w:firstLine="420" w:firstLineChars="200"/>
        <w:rPr>
          <w:rFonts w:hint="default"/>
          <w:color w:val="auto"/>
          <w:szCs w:val="21"/>
          <w:highlight w:val="none"/>
          <w:lang w:val="en-US" w:eastAsia="zh-CN"/>
        </w:rPr>
      </w:pPr>
      <w:r>
        <w:rPr>
          <w:rFonts w:hint="eastAsia"/>
          <w:color w:val="auto"/>
          <w:szCs w:val="21"/>
          <w:highlight w:val="none"/>
          <w:lang w:val="en-US" w:eastAsia="zh-CN"/>
        </w:rPr>
        <w:t>3）评审报价计算示例：</w:t>
      </w:r>
    </w:p>
    <w:p w14:paraId="46A29161">
      <w:p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a.供应商若符合中小企业支持政策的要求，计算公式具体为：评审报价＝响应总报价－（响应总报价*小微企业价格扣除比例）</w:t>
      </w:r>
    </w:p>
    <w:p w14:paraId="26D52B04">
      <w:p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b.供应商若符合本国产品支持政策的要求，计算公式具体为：评审报价＝响应总报价－（全部产品的总报价*20%）</w:t>
      </w:r>
    </w:p>
    <w:p w14:paraId="14821371">
      <w:p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c.供应商若同时符合中小企业、本国产品扶持政策的要求，计算公式具体为：评审报价＝响应总报价－（响应总报价*小微企业价格扣除比例）－（全部产品的总报价*20%）</w:t>
      </w:r>
    </w:p>
    <w:p w14:paraId="2137679D">
      <w:pPr>
        <w:spacing w:before="120" w:line="320" w:lineRule="atLeast"/>
        <w:ind w:firstLine="420" w:firstLineChars="200"/>
        <w:rPr>
          <w:rFonts w:hint="default"/>
          <w:color w:val="auto"/>
          <w:szCs w:val="21"/>
          <w:highlight w:val="none"/>
          <w:lang w:val="en-US" w:eastAsia="zh-CN"/>
        </w:rPr>
      </w:pPr>
      <w:r>
        <w:rPr>
          <w:rFonts w:hint="eastAsia"/>
          <w:color w:val="auto"/>
          <w:szCs w:val="21"/>
          <w:highlight w:val="none"/>
          <w:lang w:val="en-US" w:eastAsia="zh-CN"/>
        </w:rPr>
        <w:t>备注：全部产品是指货物或服务采购项目或采购包中包含的全部货物、服务产品。</w:t>
      </w:r>
    </w:p>
    <w:p w14:paraId="07D2858F">
      <w:pPr>
        <w:ind w:firstLine="315" w:firstLineChars="150"/>
        <w:rPr>
          <w:color w:val="auto"/>
          <w:highlight w:val="none"/>
        </w:rPr>
      </w:pPr>
      <w:r>
        <w:rPr>
          <w:rFonts w:hint="eastAsia"/>
          <w:color w:val="auto"/>
          <w:highlight w:val="none"/>
        </w:rPr>
        <w:t>（</w:t>
      </w:r>
      <w:r>
        <w:rPr>
          <w:color w:val="auto"/>
          <w:highlight w:val="none"/>
        </w:rPr>
        <w:t>3</w:t>
      </w:r>
      <w:r>
        <w:rPr>
          <w:rFonts w:hint="eastAsia"/>
          <w:color w:val="auto"/>
          <w:highlight w:val="none"/>
        </w:rPr>
        <w:t>）</w:t>
      </w:r>
      <w:r>
        <w:rPr>
          <w:color w:val="auto"/>
          <w:highlight w:val="none"/>
        </w:rPr>
        <w:t>综合得分</w:t>
      </w:r>
    </w:p>
    <w:tbl>
      <w:tblPr>
        <w:tblStyle w:val="53"/>
        <w:tblW w:w="8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2693"/>
        <w:gridCol w:w="2690"/>
        <w:gridCol w:w="2387"/>
      </w:tblGrid>
      <w:tr w14:paraId="6D960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1110" w:type="dxa"/>
            <w:noWrap w:val="0"/>
            <w:vAlign w:val="center"/>
          </w:tcPr>
          <w:p w14:paraId="5478AE00">
            <w:pPr>
              <w:jc w:val="center"/>
              <w:rPr>
                <w:b/>
                <w:color w:val="auto"/>
                <w:szCs w:val="21"/>
                <w:highlight w:val="none"/>
              </w:rPr>
            </w:pPr>
            <w:r>
              <w:rPr>
                <w:rFonts w:hint="eastAsia"/>
                <w:b/>
                <w:color w:val="auto"/>
                <w:szCs w:val="21"/>
                <w:highlight w:val="none"/>
              </w:rPr>
              <w:t>分项</w:t>
            </w:r>
          </w:p>
        </w:tc>
        <w:tc>
          <w:tcPr>
            <w:tcW w:w="2693" w:type="dxa"/>
            <w:noWrap w:val="0"/>
            <w:vAlign w:val="center"/>
          </w:tcPr>
          <w:p w14:paraId="4E1B4AAF">
            <w:pPr>
              <w:jc w:val="center"/>
              <w:rPr>
                <w:b/>
                <w:color w:val="auto"/>
                <w:szCs w:val="21"/>
                <w:highlight w:val="none"/>
              </w:rPr>
            </w:pPr>
            <w:r>
              <w:rPr>
                <w:rFonts w:hint="eastAsia"/>
                <w:b/>
                <w:color w:val="auto"/>
                <w:szCs w:val="21"/>
                <w:highlight w:val="none"/>
              </w:rPr>
              <w:t>技术及商务资信分</w:t>
            </w:r>
          </w:p>
        </w:tc>
        <w:tc>
          <w:tcPr>
            <w:tcW w:w="2690" w:type="dxa"/>
            <w:noWrap w:val="0"/>
            <w:vAlign w:val="center"/>
          </w:tcPr>
          <w:p w14:paraId="430BF6B6">
            <w:pPr>
              <w:jc w:val="center"/>
              <w:rPr>
                <w:b/>
                <w:color w:val="auto"/>
                <w:szCs w:val="21"/>
                <w:highlight w:val="none"/>
              </w:rPr>
            </w:pPr>
            <w:r>
              <w:rPr>
                <w:rFonts w:hint="eastAsia"/>
                <w:b/>
                <w:color w:val="auto"/>
                <w:szCs w:val="21"/>
                <w:highlight w:val="none"/>
              </w:rPr>
              <w:t>响应报价得分</w:t>
            </w:r>
          </w:p>
        </w:tc>
        <w:tc>
          <w:tcPr>
            <w:tcW w:w="2387" w:type="dxa"/>
            <w:noWrap w:val="0"/>
            <w:vAlign w:val="center"/>
          </w:tcPr>
          <w:p w14:paraId="14FFD3E4">
            <w:pPr>
              <w:jc w:val="center"/>
              <w:rPr>
                <w:b/>
                <w:color w:val="auto"/>
                <w:szCs w:val="21"/>
                <w:highlight w:val="none"/>
              </w:rPr>
            </w:pPr>
            <w:r>
              <w:rPr>
                <w:rFonts w:hint="eastAsia"/>
                <w:b/>
                <w:color w:val="auto"/>
                <w:szCs w:val="21"/>
                <w:highlight w:val="none"/>
              </w:rPr>
              <w:t>总分</w:t>
            </w:r>
          </w:p>
        </w:tc>
      </w:tr>
      <w:tr w14:paraId="00E6F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1110" w:type="dxa"/>
            <w:noWrap w:val="0"/>
            <w:vAlign w:val="center"/>
          </w:tcPr>
          <w:p w14:paraId="51CA36D6">
            <w:pPr>
              <w:jc w:val="center"/>
              <w:rPr>
                <w:b/>
                <w:color w:val="auto"/>
                <w:szCs w:val="21"/>
                <w:highlight w:val="none"/>
              </w:rPr>
            </w:pPr>
            <w:r>
              <w:rPr>
                <w:rFonts w:hint="eastAsia"/>
                <w:b/>
                <w:color w:val="auto"/>
                <w:szCs w:val="21"/>
                <w:highlight w:val="none"/>
              </w:rPr>
              <w:t>分值</w:t>
            </w:r>
          </w:p>
        </w:tc>
        <w:tc>
          <w:tcPr>
            <w:tcW w:w="2693" w:type="dxa"/>
            <w:noWrap w:val="0"/>
            <w:vAlign w:val="center"/>
          </w:tcPr>
          <w:p w14:paraId="024E5D9B">
            <w:pPr>
              <w:jc w:val="center"/>
              <w:rPr>
                <w:rFonts w:hint="default" w:eastAsia="宋体"/>
                <w:color w:val="auto"/>
                <w:szCs w:val="21"/>
                <w:highlight w:val="none"/>
                <w:lang w:val="en-US" w:eastAsia="zh-CN"/>
              </w:rPr>
            </w:pPr>
            <w:r>
              <w:rPr>
                <w:rFonts w:hint="eastAsia"/>
                <w:color w:val="auto"/>
                <w:szCs w:val="21"/>
                <w:highlight w:val="none"/>
                <w:lang w:val="en-US" w:eastAsia="zh-CN"/>
              </w:rPr>
              <w:t>85</w:t>
            </w:r>
          </w:p>
        </w:tc>
        <w:tc>
          <w:tcPr>
            <w:tcW w:w="2690" w:type="dxa"/>
            <w:noWrap w:val="0"/>
            <w:vAlign w:val="center"/>
          </w:tcPr>
          <w:p w14:paraId="6AD5D354">
            <w:pPr>
              <w:jc w:val="center"/>
              <w:rPr>
                <w:rFonts w:hint="default" w:eastAsia="宋体"/>
                <w:color w:val="auto"/>
                <w:szCs w:val="21"/>
                <w:highlight w:val="none"/>
                <w:lang w:val="en-US" w:eastAsia="zh-CN"/>
              </w:rPr>
            </w:pPr>
            <w:r>
              <w:rPr>
                <w:rFonts w:hint="eastAsia"/>
                <w:color w:val="auto"/>
                <w:szCs w:val="21"/>
                <w:highlight w:val="none"/>
                <w:lang w:val="en-US" w:eastAsia="zh-CN"/>
              </w:rPr>
              <w:t>15</w:t>
            </w:r>
          </w:p>
        </w:tc>
        <w:tc>
          <w:tcPr>
            <w:tcW w:w="2387" w:type="dxa"/>
            <w:noWrap w:val="0"/>
            <w:vAlign w:val="center"/>
          </w:tcPr>
          <w:p w14:paraId="53FA5359">
            <w:pPr>
              <w:jc w:val="center"/>
              <w:rPr>
                <w:rFonts w:hint="default" w:eastAsia="宋体"/>
                <w:color w:val="auto"/>
                <w:szCs w:val="21"/>
                <w:highlight w:val="none"/>
                <w:lang w:val="en-US" w:eastAsia="zh-CN"/>
              </w:rPr>
            </w:pPr>
            <w:r>
              <w:rPr>
                <w:rFonts w:hint="eastAsia"/>
                <w:color w:val="auto"/>
                <w:szCs w:val="21"/>
                <w:highlight w:val="none"/>
                <w:lang w:val="en-US" w:eastAsia="zh-CN"/>
              </w:rPr>
              <w:t>100</w:t>
            </w:r>
          </w:p>
        </w:tc>
      </w:tr>
      <w:tr w14:paraId="3B660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8880" w:type="dxa"/>
            <w:gridSpan w:val="4"/>
            <w:noWrap w:val="0"/>
            <w:vAlign w:val="center"/>
          </w:tcPr>
          <w:p w14:paraId="28FFADF5">
            <w:pPr>
              <w:rPr>
                <w:color w:val="auto"/>
                <w:szCs w:val="21"/>
                <w:highlight w:val="none"/>
              </w:rPr>
            </w:pPr>
            <w:r>
              <w:rPr>
                <w:rFonts w:hint="eastAsia"/>
                <w:color w:val="auto"/>
                <w:szCs w:val="21"/>
                <w:highlight w:val="none"/>
              </w:rPr>
              <w:t>综合得分</w:t>
            </w:r>
            <w:r>
              <w:rPr>
                <w:color w:val="auto"/>
                <w:szCs w:val="21"/>
                <w:highlight w:val="none"/>
              </w:rPr>
              <w:t>=</w:t>
            </w:r>
            <w:r>
              <w:rPr>
                <w:rFonts w:hint="eastAsia"/>
                <w:color w:val="auto"/>
                <w:szCs w:val="21"/>
                <w:highlight w:val="none"/>
              </w:rPr>
              <w:t>技术及商务资信分+响应报价得分（</w:t>
            </w:r>
            <w:r>
              <w:rPr>
                <w:rFonts w:hint="eastAsia"/>
                <w:color w:val="auto"/>
                <w:highlight w:val="none"/>
              </w:rPr>
              <w:t>注：各</w:t>
            </w:r>
            <w:r>
              <w:rPr>
                <w:color w:val="auto"/>
                <w:szCs w:val="21"/>
                <w:highlight w:val="none"/>
              </w:rPr>
              <w:t>项评分分值计算保留小数点后两位，小数点后第三位“四舍五入”</w:t>
            </w:r>
            <w:r>
              <w:rPr>
                <w:rFonts w:hint="eastAsia"/>
                <w:color w:val="auto"/>
                <w:szCs w:val="21"/>
                <w:highlight w:val="none"/>
              </w:rPr>
              <w:t>）</w:t>
            </w:r>
          </w:p>
        </w:tc>
      </w:tr>
    </w:tbl>
    <w:p w14:paraId="15C64892">
      <w:pPr>
        <w:spacing w:before="120" w:line="320" w:lineRule="atLeast"/>
        <w:ind w:firstLine="420" w:firstLineChars="200"/>
        <w:rPr>
          <w:color w:val="auto"/>
          <w:highlight w:val="none"/>
        </w:rPr>
      </w:pPr>
      <w:r>
        <w:rPr>
          <w:color w:val="auto"/>
          <w:highlight w:val="none"/>
        </w:rPr>
        <w:t>4.1</w:t>
      </w:r>
      <w:r>
        <w:rPr>
          <w:rFonts w:hint="eastAsia"/>
          <w:color w:val="auto"/>
          <w:highlight w:val="none"/>
        </w:rPr>
        <w:t>偏离认定说明</w:t>
      </w:r>
    </w:p>
    <w:p w14:paraId="33299F46">
      <w:pPr>
        <w:spacing w:before="120" w:line="320" w:lineRule="atLeast"/>
        <w:ind w:firstLine="420" w:firstLineChars="200"/>
        <w:rPr>
          <w:color w:val="auto"/>
          <w:szCs w:val="21"/>
          <w:highlight w:val="none"/>
        </w:rPr>
      </w:pPr>
      <w:bookmarkStart w:id="73" w:name="_Hlk132792081"/>
      <w:r>
        <w:rPr>
          <w:rFonts w:hint="eastAsia"/>
          <w:color w:val="auto"/>
          <w:szCs w:val="21"/>
          <w:highlight w:val="none"/>
        </w:rPr>
        <w:t>供应商根据采购需求中技术参数为基准，填写响应表，对于响应表或证明材料与技术参数不符的，按如下规定：</w:t>
      </w:r>
    </w:p>
    <w:p w14:paraId="0D9B4796">
      <w:pPr>
        <w:spacing w:before="120" w:line="320" w:lineRule="atLeast"/>
        <w:ind w:firstLine="420" w:firstLineChars="200"/>
        <w:rPr>
          <w:color w:val="auto"/>
          <w:szCs w:val="21"/>
          <w:highlight w:val="none"/>
        </w:rPr>
      </w:pPr>
      <w:r>
        <w:rPr>
          <w:rFonts w:hint="eastAsia"/>
          <w:color w:val="auto"/>
          <w:szCs w:val="21"/>
          <w:highlight w:val="none"/>
        </w:rPr>
        <w:t>（1）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59727F47">
      <w:pPr>
        <w:spacing w:before="120" w:line="320" w:lineRule="atLeast"/>
        <w:ind w:firstLine="420" w:firstLineChars="200"/>
        <w:rPr>
          <w:color w:val="auto"/>
          <w:szCs w:val="21"/>
          <w:highlight w:val="none"/>
        </w:rPr>
      </w:pPr>
      <w:r>
        <w:rPr>
          <w:rFonts w:hint="eastAsia"/>
          <w:color w:val="auto"/>
          <w:szCs w:val="21"/>
          <w:highlight w:val="none"/>
        </w:rPr>
        <w:t>（2）响应表中响应的内容与证明材料不一致的，以证明材料为准作为评审依据。</w:t>
      </w:r>
    </w:p>
    <w:p w14:paraId="745F9564">
      <w:pPr>
        <w:spacing w:before="120" w:line="320" w:lineRule="atLeast"/>
        <w:ind w:firstLine="420" w:firstLineChars="200"/>
        <w:rPr>
          <w:color w:val="auto"/>
          <w:szCs w:val="21"/>
          <w:highlight w:val="none"/>
        </w:rPr>
      </w:pPr>
      <w:r>
        <w:rPr>
          <w:rFonts w:hint="eastAsia"/>
          <w:color w:val="auto"/>
          <w:szCs w:val="21"/>
          <w:highlight w:val="none"/>
        </w:rPr>
        <w:t>（3）同时出现以上两种情况的，按照（1）-（2）顺序认定。</w:t>
      </w:r>
    </w:p>
    <w:p w14:paraId="4A52D20E">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）响应表与采购需求中技术参数比较有漏项的，如为实质性参数漏项，视为未响应；如为非实质性参数漏项，视为负偏离。</w:t>
      </w:r>
    </w:p>
    <w:p w14:paraId="62137856">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）一项技术参数有多条小项要求的，必须全部响应。如只响应部分参数，视为漏项，按照（4）判定。评审时以每一条技术参数为评审依据。</w:t>
      </w:r>
    </w:p>
    <w:p w14:paraId="51D53532">
      <w:pPr>
        <w:spacing w:before="120" w:line="320" w:lineRule="atLeast"/>
        <w:ind w:firstLine="420" w:firstLineChars="200"/>
        <w:rPr>
          <w:color w:val="auto"/>
          <w:szCs w:val="21"/>
          <w:highlight w:val="none"/>
        </w:rPr>
      </w:pPr>
      <w:r>
        <w:rPr>
          <w:rFonts w:hint="eastAsia"/>
          <w:color w:val="auto"/>
          <w:szCs w:val="21"/>
          <w:highlight w:val="none"/>
        </w:rPr>
        <w:t>（</w:t>
      </w:r>
      <w:r>
        <w:rPr>
          <w:rFonts w:hint="eastAsia"/>
          <w:color w:val="auto"/>
          <w:szCs w:val="21"/>
          <w:highlight w:val="none"/>
          <w:lang w:val="en-US" w:eastAsia="zh-CN"/>
        </w:rPr>
        <w:t>6</w:t>
      </w:r>
      <w:r>
        <w:rPr>
          <w:rFonts w:hint="eastAsia"/>
          <w:color w:val="auto"/>
          <w:szCs w:val="21"/>
          <w:highlight w:val="none"/>
        </w:rPr>
        <w:t>）如采购需求中技术参数有特殊要求与上述说明不一致的，以特殊要求为准。</w:t>
      </w:r>
    </w:p>
    <w:bookmarkEnd w:id="73"/>
    <w:p w14:paraId="2C42A7C2">
      <w:pPr>
        <w:pStyle w:val="27"/>
        <w:snapToGrid w:val="0"/>
        <w:spacing w:before="120" w:after="120" w:line="320" w:lineRule="exact"/>
        <w:jc w:val="center"/>
        <w:outlineLvl w:val="0"/>
        <w:rPr>
          <w:rFonts w:ascii="Times New Roman" w:hAnsi="Times New Roman" w:cs="Times New Roman"/>
          <w:color w:val="auto"/>
          <w:sz w:val="32"/>
          <w:szCs w:val="32"/>
          <w:highlight w:val="none"/>
        </w:rPr>
      </w:pPr>
      <w:r>
        <w:rPr>
          <w:color w:val="auto"/>
          <w:highlight w:val="none"/>
        </w:rPr>
        <w:br w:type="page"/>
      </w:r>
      <w:bookmarkStart w:id="74" w:name="_Toc20628"/>
      <w:r>
        <w:rPr>
          <w:rFonts w:ascii="Times New Roman" w:hAnsi="Times New Roman" w:cs="Times New Roman"/>
          <w:color w:val="auto"/>
          <w:sz w:val="32"/>
          <w:szCs w:val="32"/>
          <w:highlight w:val="none"/>
        </w:rPr>
        <w:t>第五章  合同主要条款格式</w:t>
      </w:r>
      <w:bookmarkEnd w:id="74"/>
    </w:p>
    <w:p w14:paraId="536C0EF9">
      <w:pPr>
        <w:pStyle w:val="27"/>
        <w:snapToGrid w:val="0"/>
        <w:jc w:val="center"/>
        <w:rPr>
          <w:rFonts w:ascii="Times New Roman" w:hAnsi="Times New Roman" w:cs="Times New Roman"/>
          <w:b/>
          <w:color w:val="auto"/>
          <w:sz w:val="24"/>
          <w:szCs w:val="24"/>
          <w:highlight w:val="none"/>
        </w:rPr>
      </w:pPr>
    </w:p>
    <w:p w14:paraId="55DF12F3">
      <w:pPr>
        <w:spacing w:before="120" w:line="320" w:lineRule="atLeast"/>
        <w:ind w:firstLine="422" w:firstLineChars="200"/>
        <w:jc w:val="center"/>
        <w:outlineLvl w:val="1"/>
        <w:rPr>
          <w:b/>
          <w:bCs/>
          <w:color w:val="auto"/>
          <w:kern w:val="0"/>
          <w:szCs w:val="21"/>
          <w:highlight w:val="none"/>
        </w:rPr>
      </w:pPr>
      <w:r>
        <w:rPr>
          <w:b/>
          <w:bCs/>
          <w:color w:val="auto"/>
          <w:kern w:val="0"/>
          <w:szCs w:val="21"/>
          <w:highlight w:val="none"/>
        </w:rPr>
        <w:t>广西壮族自治区政府采购合同</w:t>
      </w:r>
    </w:p>
    <w:tbl>
      <w:tblPr>
        <w:tblStyle w:val="53"/>
        <w:tblW w:w="0" w:type="auto"/>
        <w:tblInd w:w="0" w:type="dxa"/>
        <w:tblLayout w:type="autofit"/>
        <w:tblCellMar>
          <w:top w:w="0" w:type="dxa"/>
          <w:left w:w="108" w:type="dxa"/>
          <w:bottom w:w="0" w:type="dxa"/>
          <w:right w:w="108" w:type="dxa"/>
        </w:tblCellMar>
      </w:tblPr>
      <w:tblGrid>
        <w:gridCol w:w="2325"/>
        <w:gridCol w:w="2317"/>
        <w:gridCol w:w="2325"/>
        <w:gridCol w:w="2319"/>
      </w:tblGrid>
      <w:tr w14:paraId="581C5DCC">
        <w:tblPrEx>
          <w:tblCellMar>
            <w:top w:w="0" w:type="dxa"/>
            <w:left w:w="108" w:type="dxa"/>
            <w:bottom w:w="0" w:type="dxa"/>
            <w:right w:w="108" w:type="dxa"/>
          </w:tblCellMar>
        </w:tblPrEx>
        <w:tc>
          <w:tcPr>
            <w:tcW w:w="2336" w:type="dxa"/>
            <w:noWrap w:val="0"/>
            <w:vAlign w:val="top"/>
          </w:tcPr>
          <w:p w14:paraId="0FBAF028">
            <w:pPr>
              <w:snapToGrid w:val="0"/>
              <w:spacing w:line="360" w:lineRule="exact"/>
              <w:ind w:right="480"/>
              <w:jc w:val="left"/>
              <w:rPr>
                <w:bCs/>
                <w:color w:val="auto"/>
                <w:szCs w:val="21"/>
                <w:highlight w:val="none"/>
              </w:rPr>
            </w:pPr>
            <w:r>
              <w:rPr>
                <w:rFonts w:hint="eastAsia"/>
                <w:bCs/>
                <w:color w:val="auto"/>
                <w:szCs w:val="21"/>
                <w:highlight w:val="none"/>
              </w:rPr>
              <w:t>合同编号：</w:t>
            </w:r>
          </w:p>
        </w:tc>
        <w:tc>
          <w:tcPr>
            <w:tcW w:w="2336" w:type="dxa"/>
            <w:noWrap w:val="0"/>
            <w:vAlign w:val="top"/>
          </w:tcPr>
          <w:p w14:paraId="7F6218EF">
            <w:pPr>
              <w:snapToGrid w:val="0"/>
              <w:spacing w:line="360" w:lineRule="exact"/>
              <w:ind w:right="480"/>
              <w:jc w:val="left"/>
              <w:rPr>
                <w:bCs/>
                <w:color w:val="auto"/>
                <w:szCs w:val="21"/>
                <w:highlight w:val="none"/>
              </w:rPr>
            </w:pPr>
          </w:p>
        </w:tc>
        <w:tc>
          <w:tcPr>
            <w:tcW w:w="2336" w:type="dxa"/>
            <w:noWrap w:val="0"/>
            <w:vAlign w:val="top"/>
          </w:tcPr>
          <w:p w14:paraId="38F586F6">
            <w:pPr>
              <w:snapToGrid w:val="0"/>
              <w:spacing w:line="360" w:lineRule="exact"/>
              <w:ind w:right="480"/>
              <w:jc w:val="left"/>
              <w:rPr>
                <w:bCs/>
                <w:color w:val="auto"/>
                <w:szCs w:val="21"/>
                <w:highlight w:val="none"/>
              </w:rPr>
            </w:pPr>
            <w:r>
              <w:rPr>
                <w:rFonts w:hint="eastAsia"/>
                <w:bCs/>
                <w:color w:val="auto"/>
                <w:szCs w:val="21"/>
                <w:highlight w:val="none"/>
              </w:rPr>
              <w:t>采购计划号：</w:t>
            </w:r>
          </w:p>
        </w:tc>
        <w:tc>
          <w:tcPr>
            <w:tcW w:w="2337" w:type="dxa"/>
            <w:noWrap w:val="0"/>
            <w:vAlign w:val="top"/>
          </w:tcPr>
          <w:p w14:paraId="1804D7D2">
            <w:pPr>
              <w:snapToGrid w:val="0"/>
              <w:spacing w:line="360" w:lineRule="exact"/>
              <w:ind w:right="480"/>
              <w:jc w:val="left"/>
              <w:rPr>
                <w:bCs/>
                <w:color w:val="auto"/>
                <w:szCs w:val="21"/>
                <w:highlight w:val="none"/>
              </w:rPr>
            </w:pPr>
          </w:p>
        </w:tc>
      </w:tr>
      <w:tr w14:paraId="2B8EC49A">
        <w:tblPrEx>
          <w:tblCellMar>
            <w:top w:w="0" w:type="dxa"/>
            <w:left w:w="108" w:type="dxa"/>
            <w:bottom w:w="0" w:type="dxa"/>
            <w:right w:w="108" w:type="dxa"/>
          </w:tblCellMar>
        </w:tblPrEx>
        <w:tc>
          <w:tcPr>
            <w:tcW w:w="2336" w:type="dxa"/>
            <w:noWrap w:val="0"/>
            <w:vAlign w:val="top"/>
          </w:tcPr>
          <w:p w14:paraId="773B1334">
            <w:pPr>
              <w:snapToGrid w:val="0"/>
              <w:spacing w:line="360" w:lineRule="exact"/>
              <w:ind w:right="480"/>
              <w:jc w:val="left"/>
              <w:rPr>
                <w:bCs/>
                <w:color w:val="auto"/>
                <w:szCs w:val="21"/>
                <w:highlight w:val="none"/>
              </w:rPr>
            </w:pPr>
            <w:r>
              <w:rPr>
                <w:rFonts w:hint="eastAsia"/>
                <w:bCs/>
                <w:color w:val="auto"/>
                <w:szCs w:val="21"/>
                <w:highlight w:val="none"/>
              </w:rPr>
              <w:t>项目名称：</w:t>
            </w:r>
          </w:p>
        </w:tc>
        <w:tc>
          <w:tcPr>
            <w:tcW w:w="2336" w:type="dxa"/>
            <w:noWrap w:val="0"/>
            <w:vAlign w:val="top"/>
          </w:tcPr>
          <w:p w14:paraId="0B0EA2DA">
            <w:pPr>
              <w:snapToGrid w:val="0"/>
              <w:spacing w:line="360" w:lineRule="exact"/>
              <w:ind w:right="480"/>
              <w:jc w:val="left"/>
              <w:rPr>
                <w:bCs/>
                <w:color w:val="auto"/>
                <w:szCs w:val="21"/>
                <w:highlight w:val="none"/>
              </w:rPr>
            </w:pPr>
          </w:p>
        </w:tc>
        <w:tc>
          <w:tcPr>
            <w:tcW w:w="2336" w:type="dxa"/>
            <w:noWrap w:val="0"/>
            <w:vAlign w:val="top"/>
          </w:tcPr>
          <w:p w14:paraId="500DCE01">
            <w:pPr>
              <w:snapToGrid w:val="0"/>
              <w:spacing w:line="360" w:lineRule="exact"/>
              <w:ind w:right="480"/>
              <w:jc w:val="left"/>
              <w:rPr>
                <w:bCs/>
                <w:color w:val="auto"/>
                <w:szCs w:val="21"/>
                <w:highlight w:val="none"/>
              </w:rPr>
            </w:pPr>
            <w:r>
              <w:rPr>
                <w:rFonts w:hint="eastAsia"/>
                <w:bCs/>
                <w:color w:val="auto"/>
                <w:szCs w:val="21"/>
                <w:highlight w:val="none"/>
              </w:rPr>
              <w:t>项目编号：</w:t>
            </w:r>
          </w:p>
        </w:tc>
        <w:tc>
          <w:tcPr>
            <w:tcW w:w="2337" w:type="dxa"/>
            <w:noWrap w:val="0"/>
            <w:vAlign w:val="top"/>
          </w:tcPr>
          <w:p w14:paraId="73404D63">
            <w:pPr>
              <w:snapToGrid w:val="0"/>
              <w:spacing w:line="360" w:lineRule="exact"/>
              <w:ind w:right="480"/>
              <w:jc w:val="left"/>
              <w:rPr>
                <w:bCs/>
                <w:color w:val="auto"/>
                <w:szCs w:val="21"/>
                <w:highlight w:val="none"/>
              </w:rPr>
            </w:pPr>
          </w:p>
        </w:tc>
      </w:tr>
      <w:tr w14:paraId="678B3E8A">
        <w:tblPrEx>
          <w:tblCellMar>
            <w:top w:w="0" w:type="dxa"/>
            <w:left w:w="108" w:type="dxa"/>
            <w:bottom w:w="0" w:type="dxa"/>
            <w:right w:w="108" w:type="dxa"/>
          </w:tblCellMar>
        </w:tblPrEx>
        <w:tc>
          <w:tcPr>
            <w:tcW w:w="2336" w:type="dxa"/>
            <w:noWrap w:val="0"/>
            <w:vAlign w:val="top"/>
          </w:tcPr>
          <w:p w14:paraId="7F00DFB7">
            <w:pPr>
              <w:snapToGrid w:val="0"/>
              <w:spacing w:line="360" w:lineRule="exact"/>
              <w:jc w:val="left"/>
              <w:rPr>
                <w:bCs/>
                <w:color w:val="auto"/>
                <w:szCs w:val="21"/>
                <w:highlight w:val="none"/>
              </w:rPr>
            </w:pPr>
            <w:r>
              <w:rPr>
                <w:rFonts w:hint="eastAsia"/>
                <w:bCs/>
                <w:color w:val="auto"/>
                <w:szCs w:val="21"/>
                <w:highlight w:val="none"/>
              </w:rPr>
              <w:t>采购人（甲方）：</w:t>
            </w:r>
          </w:p>
        </w:tc>
        <w:tc>
          <w:tcPr>
            <w:tcW w:w="2336" w:type="dxa"/>
            <w:noWrap w:val="0"/>
            <w:vAlign w:val="top"/>
          </w:tcPr>
          <w:p w14:paraId="6689B9D1">
            <w:pPr>
              <w:snapToGrid w:val="0"/>
              <w:spacing w:line="360" w:lineRule="exact"/>
              <w:ind w:right="480"/>
              <w:jc w:val="left"/>
              <w:rPr>
                <w:bCs/>
                <w:color w:val="auto"/>
                <w:szCs w:val="21"/>
                <w:highlight w:val="none"/>
              </w:rPr>
            </w:pPr>
          </w:p>
        </w:tc>
        <w:tc>
          <w:tcPr>
            <w:tcW w:w="2336" w:type="dxa"/>
            <w:noWrap w:val="0"/>
            <w:vAlign w:val="top"/>
          </w:tcPr>
          <w:p w14:paraId="69E9A4D3">
            <w:pPr>
              <w:snapToGrid w:val="0"/>
              <w:spacing w:line="360" w:lineRule="exact"/>
              <w:jc w:val="left"/>
              <w:rPr>
                <w:bCs/>
                <w:color w:val="auto"/>
                <w:szCs w:val="21"/>
                <w:highlight w:val="none"/>
              </w:rPr>
            </w:pPr>
            <w:r>
              <w:rPr>
                <w:rFonts w:hint="eastAsia"/>
                <w:bCs/>
                <w:color w:val="auto"/>
                <w:szCs w:val="21"/>
                <w:highlight w:val="none"/>
              </w:rPr>
              <w:t>供应商（乙方）：</w:t>
            </w:r>
          </w:p>
        </w:tc>
        <w:tc>
          <w:tcPr>
            <w:tcW w:w="2337" w:type="dxa"/>
            <w:noWrap w:val="0"/>
            <w:vAlign w:val="top"/>
          </w:tcPr>
          <w:p w14:paraId="14373C48">
            <w:pPr>
              <w:snapToGrid w:val="0"/>
              <w:spacing w:line="360" w:lineRule="exact"/>
              <w:ind w:right="480"/>
              <w:jc w:val="left"/>
              <w:rPr>
                <w:bCs/>
                <w:color w:val="auto"/>
                <w:szCs w:val="21"/>
                <w:highlight w:val="none"/>
              </w:rPr>
            </w:pPr>
          </w:p>
        </w:tc>
      </w:tr>
      <w:tr w14:paraId="2BBB2B5C">
        <w:tblPrEx>
          <w:tblCellMar>
            <w:top w:w="0" w:type="dxa"/>
            <w:left w:w="108" w:type="dxa"/>
            <w:bottom w:w="0" w:type="dxa"/>
            <w:right w:w="108" w:type="dxa"/>
          </w:tblCellMar>
        </w:tblPrEx>
        <w:tc>
          <w:tcPr>
            <w:tcW w:w="2336" w:type="dxa"/>
            <w:noWrap w:val="0"/>
            <w:vAlign w:val="top"/>
          </w:tcPr>
          <w:p w14:paraId="4FF840F9">
            <w:pPr>
              <w:snapToGrid w:val="0"/>
              <w:spacing w:line="360" w:lineRule="exact"/>
              <w:ind w:right="480"/>
              <w:jc w:val="left"/>
              <w:rPr>
                <w:bCs/>
                <w:color w:val="auto"/>
                <w:szCs w:val="21"/>
                <w:highlight w:val="none"/>
              </w:rPr>
            </w:pPr>
            <w:r>
              <w:rPr>
                <w:rFonts w:hint="eastAsia"/>
                <w:bCs/>
                <w:color w:val="auto"/>
                <w:szCs w:val="21"/>
                <w:highlight w:val="none"/>
              </w:rPr>
              <w:t>签订地点：</w:t>
            </w:r>
          </w:p>
        </w:tc>
        <w:tc>
          <w:tcPr>
            <w:tcW w:w="2336" w:type="dxa"/>
            <w:noWrap w:val="0"/>
            <w:vAlign w:val="top"/>
          </w:tcPr>
          <w:p w14:paraId="349695F0">
            <w:pPr>
              <w:snapToGrid w:val="0"/>
              <w:spacing w:line="360" w:lineRule="exact"/>
              <w:ind w:right="480"/>
              <w:jc w:val="left"/>
              <w:rPr>
                <w:bCs/>
                <w:color w:val="auto"/>
                <w:szCs w:val="21"/>
                <w:highlight w:val="none"/>
              </w:rPr>
            </w:pPr>
          </w:p>
        </w:tc>
        <w:tc>
          <w:tcPr>
            <w:tcW w:w="2336" w:type="dxa"/>
            <w:noWrap w:val="0"/>
            <w:vAlign w:val="top"/>
          </w:tcPr>
          <w:p w14:paraId="7EE265AA">
            <w:pPr>
              <w:snapToGrid w:val="0"/>
              <w:spacing w:line="360" w:lineRule="exact"/>
              <w:ind w:right="480"/>
              <w:jc w:val="left"/>
              <w:rPr>
                <w:bCs/>
                <w:color w:val="auto"/>
                <w:szCs w:val="21"/>
                <w:highlight w:val="none"/>
              </w:rPr>
            </w:pPr>
            <w:r>
              <w:rPr>
                <w:rFonts w:hint="eastAsia"/>
                <w:bCs/>
                <w:color w:val="auto"/>
                <w:szCs w:val="21"/>
                <w:highlight w:val="none"/>
              </w:rPr>
              <w:t>签订时间：</w:t>
            </w:r>
          </w:p>
        </w:tc>
        <w:tc>
          <w:tcPr>
            <w:tcW w:w="2337" w:type="dxa"/>
            <w:noWrap w:val="0"/>
            <w:vAlign w:val="top"/>
          </w:tcPr>
          <w:p w14:paraId="57E3E3E5">
            <w:pPr>
              <w:snapToGrid w:val="0"/>
              <w:spacing w:line="360" w:lineRule="exact"/>
              <w:ind w:right="480"/>
              <w:jc w:val="left"/>
              <w:rPr>
                <w:bCs/>
                <w:color w:val="auto"/>
                <w:szCs w:val="21"/>
                <w:highlight w:val="none"/>
              </w:rPr>
            </w:pPr>
          </w:p>
        </w:tc>
      </w:tr>
    </w:tbl>
    <w:p w14:paraId="2CCF2460">
      <w:pPr>
        <w:snapToGrid w:val="0"/>
        <w:spacing w:line="360" w:lineRule="exact"/>
        <w:ind w:right="480" w:firstLine="5985" w:firstLineChars="2850"/>
        <w:rPr>
          <w:bCs/>
          <w:color w:val="auto"/>
          <w:szCs w:val="21"/>
          <w:highlight w:val="none"/>
        </w:rPr>
      </w:pPr>
    </w:p>
    <w:p w14:paraId="59F7DA8B">
      <w:pPr>
        <w:pStyle w:val="27"/>
        <w:spacing w:line="300" w:lineRule="exact"/>
        <w:ind w:firstLine="420" w:firstLineChars="200"/>
        <w:rPr>
          <w:rFonts w:ascii="Times New Roman" w:hAnsi="Times New Roman" w:cs="Times New Roman"/>
          <w:color w:val="auto"/>
          <w:highlight w:val="none"/>
        </w:rPr>
      </w:pPr>
      <w:r>
        <w:rPr>
          <w:rFonts w:ascii="Times New Roman" w:hAnsi="Times New Roman" w:cs="Times New Roman"/>
          <w:color w:val="auto"/>
          <w:highlight w:val="none"/>
        </w:rPr>
        <w:t>根据《中华人民共和国政府采购法》</w:t>
      </w:r>
      <w:r>
        <w:rPr>
          <w:rFonts w:hint="eastAsia" w:ascii="Times New Roman" w:hAnsi="Times New Roman" w:cs="Times New Roman"/>
          <w:color w:val="auto"/>
          <w:highlight w:val="none"/>
        </w:rPr>
        <w:t>、</w:t>
      </w:r>
      <w:r>
        <w:rPr>
          <w:rFonts w:ascii="Times New Roman" w:hAnsi="Times New Roman" w:cs="Times New Roman"/>
          <w:color w:val="auto"/>
          <w:highlight w:val="none"/>
        </w:rPr>
        <w:t>《中华人民共和国政府采购法</w:t>
      </w:r>
      <w:r>
        <w:rPr>
          <w:rFonts w:hint="eastAsia" w:ascii="Times New Roman" w:hAnsi="Times New Roman" w:cs="Times New Roman"/>
          <w:color w:val="auto"/>
          <w:highlight w:val="none"/>
        </w:rPr>
        <w:t>实施条例</w:t>
      </w:r>
      <w:r>
        <w:rPr>
          <w:rFonts w:ascii="Times New Roman" w:hAnsi="Times New Roman" w:cs="Times New Roman"/>
          <w:color w:val="auto"/>
          <w:highlight w:val="none"/>
        </w:rPr>
        <w:t>》等法律、法规规定，按照采购文件规定</w:t>
      </w:r>
      <w:r>
        <w:rPr>
          <w:rFonts w:hint="eastAsia" w:ascii="Times New Roman" w:hAnsi="Times New Roman" w:cs="Times New Roman"/>
          <w:color w:val="auto"/>
          <w:highlight w:val="none"/>
        </w:rPr>
        <w:t>、</w:t>
      </w:r>
      <w:r>
        <w:rPr>
          <w:rFonts w:ascii="Times New Roman" w:hAnsi="Times New Roman" w:cs="Times New Roman"/>
          <w:color w:val="auto"/>
          <w:highlight w:val="none"/>
        </w:rPr>
        <w:t>乙方响应文件及其承诺</w:t>
      </w:r>
      <w:r>
        <w:rPr>
          <w:rFonts w:hint="eastAsia" w:ascii="Times New Roman" w:hAnsi="Times New Roman" w:cs="Times New Roman"/>
          <w:color w:val="auto"/>
          <w:highlight w:val="none"/>
        </w:rPr>
        <w:t>和中标通知书</w:t>
      </w:r>
      <w:r>
        <w:rPr>
          <w:rFonts w:ascii="Times New Roman" w:hAnsi="Times New Roman" w:cs="Times New Roman"/>
          <w:color w:val="auto"/>
          <w:highlight w:val="none"/>
        </w:rPr>
        <w:t>，甲乙双方签订本合同。</w:t>
      </w:r>
    </w:p>
    <w:p w14:paraId="5E4C40C5">
      <w:pPr>
        <w:snapToGrid w:val="0"/>
        <w:spacing w:line="360" w:lineRule="exact"/>
        <w:ind w:firstLine="422" w:firstLineChars="200"/>
        <w:rPr>
          <w:b/>
          <w:color w:val="auto"/>
          <w:szCs w:val="21"/>
          <w:highlight w:val="none"/>
        </w:rPr>
      </w:pPr>
      <w:r>
        <w:rPr>
          <w:b/>
          <w:color w:val="auto"/>
          <w:szCs w:val="21"/>
          <w:highlight w:val="none"/>
        </w:rPr>
        <w:t>第一条　项目概况及服务范围</w:t>
      </w:r>
    </w:p>
    <w:p w14:paraId="60443322">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1.项目名称：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9D02D1E">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2.服务内容及范围：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rPr>
        <w:t xml:space="preserve">  </w:t>
      </w:r>
    </w:p>
    <w:p w14:paraId="5F7B7922">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3.服务期：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A14C962">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4.交付时间及地点：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64581494">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5.报价要求：本次报价须为人民币报价，包含调试、技术协助、培训、维修、技术指导</w:t>
      </w:r>
      <w:r>
        <w:rPr>
          <w:rFonts w:hint="eastAsia" w:ascii="宋体" w:hAnsi="宋体" w:eastAsia="宋体" w:cs="宋体"/>
          <w:color w:val="auto"/>
          <w:szCs w:val="21"/>
          <w:highlight w:val="none"/>
          <w:lang w:eastAsia="zh-CN"/>
        </w:rPr>
        <w:t>、</w:t>
      </w:r>
      <w:r>
        <w:rPr>
          <w:rFonts w:hint="eastAsia" w:ascii="宋体" w:hAnsi="宋体" w:eastAsia="宋体" w:cs="宋体"/>
          <w:color w:val="auto"/>
          <w:kern w:val="0"/>
          <w:sz w:val="21"/>
          <w:szCs w:val="21"/>
          <w:highlight w:val="none"/>
          <w:u w:val="none"/>
          <w:lang w:val="en-US" w:eastAsia="zh-CN" w:bidi="ar"/>
        </w:rPr>
        <w:t>运维服务费、系统更新升级、</w:t>
      </w:r>
      <w:r>
        <w:rPr>
          <w:rFonts w:hint="eastAsia" w:ascii="宋体" w:hAnsi="宋体" w:eastAsia="宋体" w:cs="宋体"/>
          <w:color w:val="auto"/>
          <w:highlight w:val="none"/>
        </w:rPr>
        <w:t>必要的保险费用和各项税金</w:t>
      </w:r>
      <w:r>
        <w:rPr>
          <w:rFonts w:hint="eastAsia" w:ascii="宋体" w:hAnsi="宋体" w:eastAsia="宋体" w:cs="宋体"/>
          <w:color w:val="auto"/>
          <w:szCs w:val="21"/>
          <w:highlight w:val="none"/>
        </w:rPr>
        <w:t>等类似服务内容的全部费用。对于本文件中明确列明必须报价的货物或服务，供应商应分别报价。对于本文件中未列明，而供应商认为必需的费用也需列入总报价。在合同实施时，采购人将不予支付成交供应商没有列入的项目费用，并认为此项目的费用已包括在响应总报价中。</w:t>
      </w:r>
    </w:p>
    <w:p w14:paraId="20457272">
      <w:pPr>
        <w:pStyle w:val="27"/>
        <w:spacing w:line="3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6.合同价格形式：</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固定总价  □固定单价  □成本补偿 □绩效激励 □其他</w:t>
      </w:r>
    </w:p>
    <w:p w14:paraId="603BF320">
      <w:pPr>
        <w:snapToGrid w:val="0"/>
        <w:spacing w:line="360" w:lineRule="exact"/>
        <w:ind w:firstLine="422" w:firstLineChars="200"/>
        <w:rPr>
          <w:b/>
          <w:color w:val="auto"/>
          <w:szCs w:val="21"/>
          <w:highlight w:val="none"/>
        </w:rPr>
      </w:pPr>
      <w:r>
        <w:rPr>
          <w:b/>
          <w:color w:val="auto"/>
          <w:szCs w:val="21"/>
          <w:highlight w:val="none"/>
        </w:rPr>
        <w:t>第二条　服务交付成果（产品）清单</w:t>
      </w:r>
    </w:p>
    <w:tbl>
      <w:tblPr>
        <w:tblStyle w:val="53"/>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1583"/>
        <w:gridCol w:w="926"/>
        <w:gridCol w:w="1201"/>
        <w:gridCol w:w="1311"/>
        <w:gridCol w:w="1748"/>
        <w:gridCol w:w="1748"/>
      </w:tblGrid>
      <w:tr w14:paraId="3DD93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trPr>
        <w:tc>
          <w:tcPr>
            <w:tcW w:w="602" w:type="dxa"/>
            <w:noWrap w:val="0"/>
            <w:vAlign w:val="center"/>
          </w:tcPr>
          <w:p w14:paraId="0F91C5A8">
            <w:pPr>
              <w:snapToGrid w:val="0"/>
              <w:spacing w:line="360" w:lineRule="exact"/>
              <w:jc w:val="center"/>
              <w:rPr>
                <w:color w:val="auto"/>
                <w:szCs w:val="21"/>
                <w:highlight w:val="none"/>
              </w:rPr>
            </w:pPr>
            <w:r>
              <w:rPr>
                <w:color w:val="auto"/>
                <w:szCs w:val="21"/>
                <w:highlight w:val="none"/>
              </w:rPr>
              <w:t>序号</w:t>
            </w:r>
          </w:p>
        </w:tc>
        <w:tc>
          <w:tcPr>
            <w:tcW w:w="1583" w:type="dxa"/>
            <w:noWrap w:val="0"/>
            <w:vAlign w:val="center"/>
          </w:tcPr>
          <w:p w14:paraId="32502DAE">
            <w:pPr>
              <w:snapToGrid w:val="0"/>
              <w:spacing w:line="360" w:lineRule="exact"/>
              <w:jc w:val="center"/>
              <w:rPr>
                <w:color w:val="auto"/>
                <w:szCs w:val="21"/>
                <w:highlight w:val="none"/>
              </w:rPr>
            </w:pPr>
            <w:r>
              <w:rPr>
                <w:color w:val="auto"/>
                <w:szCs w:val="21"/>
                <w:highlight w:val="none"/>
              </w:rPr>
              <w:t>服务名称</w:t>
            </w:r>
          </w:p>
        </w:tc>
        <w:tc>
          <w:tcPr>
            <w:tcW w:w="926" w:type="dxa"/>
            <w:noWrap w:val="0"/>
            <w:vAlign w:val="center"/>
          </w:tcPr>
          <w:p w14:paraId="79876CC6">
            <w:pPr>
              <w:snapToGrid w:val="0"/>
              <w:spacing w:line="360" w:lineRule="exact"/>
              <w:jc w:val="center"/>
              <w:rPr>
                <w:color w:val="auto"/>
                <w:szCs w:val="21"/>
                <w:highlight w:val="none"/>
              </w:rPr>
            </w:pPr>
            <w:r>
              <w:rPr>
                <w:color w:val="auto"/>
                <w:szCs w:val="21"/>
                <w:highlight w:val="none"/>
              </w:rPr>
              <w:t>数  量</w:t>
            </w:r>
          </w:p>
        </w:tc>
        <w:tc>
          <w:tcPr>
            <w:tcW w:w="1201" w:type="dxa"/>
            <w:noWrap w:val="0"/>
            <w:vAlign w:val="center"/>
          </w:tcPr>
          <w:p w14:paraId="04C4BC27">
            <w:pPr>
              <w:snapToGrid w:val="0"/>
              <w:spacing w:line="360" w:lineRule="exact"/>
              <w:jc w:val="center"/>
              <w:rPr>
                <w:color w:val="auto"/>
                <w:szCs w:val="21"/>
                <w:highlight w:val="none"/>
              </w:rPr>
            </w:pPr>
            <w:r>
              <w:rPr>
                <w:color w:val="auto"/>
                <w:szCs w:val="21"/>
                <w:highlight w:val="none"/>
              </w:rPr>
              <w:t>单位</w:t>
            </w:r>
          </w:p>
        </w:tc>
        <w:tc>
          <w:tcPr>
            <w:tcW w:w="1311" w:type="dxa"/>
            <w:noWrap w:val="0"/>
            <w:vAlign w:val="center"/>
          </w:tcPr>
          <w:p w14:paraId="68158DD2">
            <w:pPr>
              <w:snapToGrid w:val="0"/>
              <w:spacing w:line="360" w:lineRule="exact"/>
              <w:jc w:val="center"/>
              <w:rPr>
                <w:color w:val="auto"/>
                <w:szCs w:val="21"/>
                <w:highlight w:val="none"/>
              </w:rPr>
            </w:pPr>
            <w:r>
              <w:rPr>
                <w:color w:val="auto"/>
                <w:szCs w:val="21"/>
                <w:highlight w:val="none"/>
              </w:rPr>
              <w:t>单  价</w:t>
            </w:r>
          </w:p>
          <w:p w14:paraId="0B6EB48E">
            <w:pPr>
              <w:snapToGrid w:val="0"/>
              <w:spacing w:line="360" w:lineRule="exact"/>
              <w:jc w:val="center"/>
              <w:rPr>
                <w:color w:val="auto"/>
                <w:szCs w:val="21"/>
                <w:highlight w:val="none"/>
              </w:rPr>
            </w:pPr>
            <w:r>
              <w:rPr>
                <w:color w:val="auto"/>
                <w:szCs w:val="21"/>
                <w:highlight w:val="none"/>
              </w:rPr>
              <w:t>（元）</w:t>
            </w:r>
          </w:p>
        </w:tc>
        <w:tc>
          <w:tcPr>
            <w:tcW w:w="1748" w:type="dxa"/>
            <w:noWrap w:val="0"/>
            <w:vAlign w:val="center"/>
          </w:tcPr>
          <w:p w14:paraId="4200419C">
            <w:pPr>
              <w:snapToGrid w:val="0"/>
              <w:spacing w:line="360" w:lineRule="exact"/>
              <w:jc w:val="center"/>
              <w:rPr>
                <w:color w:val="auto"/>
                <w:szCs w:val="21"/>
                <w:highlight w:val="none"/>
              </w:rPr>
            </w:pPr>
            <w:r>
              <w:rPr>
                <w:color w:val="auto"/>
                <w:szCs w:val="21"/>
                <w:highlight w:val="none"/>
              </w:rPr>
              <w:t>金  额</w:t>
            </w:r>
          </w:p>
          <w:p w14:paraId="7EF91B66">
            <w:pPr>
              <w:snapToGrid w:val="0"/>
              <w:spacing w:line="360" w:lineRule="exact"/>
              <w:jc w:val="center"/>
              <w:rPr>
                <w:color w:val="auto"/>
                <w:szCs w:val="21"/>
                <w:highlight w:val="none"/>
              </w:rPr>
            </w:pPr>
            <w:r>
              <w:rPr>
                <w:color w:val="auto"/>
                <w:szCs w:val="21"/>
                <w:highlight w:val="none"/>
              </w:rPr>
              <w:t>（元）</w:t>
            </w:r>
          </w:p>
        </w:tc>
        <w:tc>
          <w:tcPr>
            <w:tcW w:w="1748" w:type="dxa"/>
            <w:noWrap w:val="0"/>
            <w:vAlign w:val="top"/>
          </w:tcPr>
          <w:p w14:paraId="3E607C6F">
            <w:pPr>
              <w:snapToGrid w:val="0"/>
              <w:spacing w:line="360" w:lineRule="exact"/>
              <w:jc w:val="center"/>
              <w:rPr>
                <w:color w:val="auto"/>
                <w:szCs w:val="21"/>
                <w:highlight w:val="none"/>
              </w:rPr>
            </w:pPr>
            <w:r>
              <w:rPr>
                <w:color w:val="auto"/>
                <w:szCs w:val="21"/>
                <w:highlight w:val="none"/>
              </w:rPr>
              <w:t>备注</w:t>
            </w:r>
          </w:p>
        </w:tc>
      </w:tr>
      <w:tr w14:paraId="49698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602" w:type="dxa"/>
            <w:noWrap w:val="0"/>
            <w:vAlign w:val="center"/>
          </w:tcPr>
          <w:p w14:paraId="26E80A45">
            <w:pPr>
              <w:snapToGrid w:val="0"/>
              <w:spacing w:line="360" w:lineRule="exact"/>
              <w:jc w:val="center"/>
              <w:rPr>
                <w:color w:val="auto"/>
                <w:szCs w:val="21"/>
                <w:highlight w:val="none"/>
              </w:rPr>
            </w:pPr>
            <w:r>
              <w:rPr>
                <w:color w:val="auto"/>
                <w:szCs w:val="21"/>
                <w:highlight w:val="none"/>
              </w:rPr>
              <w:t>1</w:t>
            </w:r>
          </w:p>
        </w:tc>
        <w:tc>
          <w:tcPr>
            <w:tcW w:w="1583" w:type="dxa"/>
            <w:noWrap w:val="0"/>
            <w:vAlign w:val="center"/>
          </w:tcPr>
          <w:p w14:paraId="4406E8E2">
            <w:pPr>
              <w:snapToGrid w:val="0"/>
              <w:spacing w:line="360" w:lineRule="exact"/>
              <w:jc w:val="center"/>
              <w:rPr>
                <w:color w:val="auto"/>
                <w:szCs w:val="21"/>
                <w:highlight w:val="none"/>
              </w:rPr>
            </w:pPr>
          </w:p>
        </w:tc>
        <w:tc>
          <w:tcPr>
            <w:tcW w:w="926" w:type="dxa"/>
            <w:noWrap w:val="0"/>
            <w:vAlign w:val="top"/>
          </w:tcPr>
          <w:p w14:paraId="2F8621B6">
            <w:pPr>
              <w:snapToGrid w:val="0"/>
              <w:spacing w:line="360" w:lineRule="exact"/>
              <w:jc w:val="center"/>
              <w:rPr>
                <w:color w:val="auto"/>
                <w:szCs w:val="21"/>
                <w:highlight w:val="none"/>
              </w:rPr>
            </w:pPr>
          </w:p>
        </w:tc>
        <w:tc>
          <w:tcPr>
            <w:tcW w:w="1201" w:type="dxa"/>
            <w:noWrap w:val="0"/>
            <w:vAlign w:val="top"/>
          </w:tcPr>
          <w:p w14:paraId="2C297FEF">
            <w:pPr>
              <w:snapToGrid w:val="0"/>
              <w:spacing w:line="360" w:lineRule="exact"/>
              <w:jc w:val="center"/>
              <w:rPr>
                <w:color w:val="auto"/>
                <w:szCs w:val="21"/>
                <w:highlight w:val="none"/>
              </w:rPr>
            </w:pPr>
          </w:p>
        </w:tc>
        <w:tc>
          <w:tcPr>
            <w:tcW w:w="1311" w:type="dxa"/>
            <w:noWrap w:val="0"/>
            <w:vAlign w:val="center"/>
          </w:tcPr>
          <w:p w14:paraId="3EC93651">
            <w:pPr>
              <w:snapToGrid w:val="0"/>
              <w:spacing w:line="360" w:lineRule="exact"/>
              <w:jc w:val="center"/>
              <w:rPr>
                <w:color w:val="auto"/>
                <w:szCs w:val="21"/>
                <w:highlight w:val="none"/>
              </w:rPr>
            </w:pPr>
          </w:p>
        </w:tc>
        <w:tc>
          <w:tcPr>
            <w:tcW w:w="1748" w:type="dxa"/>
            <w:noWrap w:val="0"/>
            <w:vAlign w:val="center"/>
          </w:tcPr>
          <w:p w14:paraId="48841544">
            <w:pPr>
              <w:snapToGrid w:val="0"/>
              <w:spacing w:line="360" w:lineRule="exact"/>
              <w:jc w:val="center"/>
              <w:rPr>
                <w:color w:val="auto"/>
                <w:szCs w:val="21"/>
                <w:highlight w:val="none"/>
              </w:rPr>
            </w:pPr>
          </w:p>
        </w:tc>
        <w:tc>
          <w:tcPr>
            <w:tcW w:w="1748" w:type="dxa"/>
            <w:vMerge w:val="restart"/>
            <w:noWrap w:val="0"/>
            <w:vAlign w:val="top"/>
          </w:tcPr>
          <w:p w14:paraId="5A42D5A0">
            <w:pPr>
              <w:snapToGrid w:val="0"/>
              <w:spacing w:line="360" w:lineRule="exact"/>
              <w:jc w:val="left"/>
              <w:rPr>
                <w:color w:val="auto"/>
                <w:szCs w:val="21"/>
                <w:highlight w:val="none"/>
              </w:rPr>
            </w:pPr>
          </w:p>
        </w:tc>
      </w:tr>
      <w:tr w14:paraId="211F0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602" w:type="dxa"/>
            <w:noWrap w:val="0"/>
            <w:vAlign w:val="center"/>
          </w:tcPr>
          <w:p w14:paraId="0902BD3A">
            <w:pPr>
              <w:snapToGrid w:val="0"/>
              <w:spacing w:line="360" w:lineRule="exact"/>
              <w:jc w:val="center"/>
              <w:rPr>
                <w:color w:val="auto"/>
                <w:szCs w:val="21"/>
                <w:highlight w:val="none"/>
              </w:rPr>
            </w:pPr>
            <w:r>
              <w:rPr>
                <w:color w:val="auto"/>
                <w:szCs w:val="21"/>
                <w:highlight w:val="none"/>
              </w:rPr>
              <w:t>2</w:t>
            </w:r>
          </w:p>
        </w:tc>
        <w:tc>
          <w:tcPr>
            <w:tcW w:w="1583" w:type="dxa"/>
            <w:noWrap w:val="0"/>
            <w:vAlign w:val="center"/>
          </w:tcPr>
          <w:p w14:paraId="78D42986">
            <w:pPr>
              <w:snapToGrid w:val="0"/>
              <w:spacing w:line="360" w:lineRule="exact"/>
              <w:jc w:val="center"/>
              <w:rPr>
                <w:color w:val="auto"/>
                <w:szCs w:val="21"/>
                <w:highlight w:val="none"/>
              </w:rPr>
            </w:pPr>
          </w:p>
        </w:tc>
        <w:tc>
          <w:tcPr>
            <w:tcW w:w="926" w:type="dxa"/>
            <w:noWrap w:val="0"/>
            <w:vAlign w:val="top"/>
          </w:tcPr>
          <w:p w14:paraId="390C7311">
            <w:pPr>
              <w:snapToGrid w:val="0"/>
              <w:spacing w:line="360" w:lineRule="exact"/>
              <w:jc w:val="center"/>
              <w:rPr>
                <w:color w:val="auto"/>
                <w:szCs w:val="21"/>
                <w:highlight w:val="none"/>
              </w:rPr>
            </w:pPr>
          </w:p>
        </w:tc>
        <w:tc>
          <w:tcPr>
            <w:tcW w:w="1201" w:type="dxa"/>
            <w:noWrap w:val="0"/>
            <w:vAlign w:val="top"/>
          </w:tcPr>
          <w:p w14:paraId="23B51BC0">
            <w:pPr>
              <w:snapToGrid w:val="0"/>
              <w:spacing w:line="360" w:lineRule="exact"/>
              <w:jc w:val="center"/>
              <w:rPr>
                <w:color w:val="auto"/>
                <w:szCs w:val="21"/>
                <w:highlight w:val="none"/>
              </w:rPr>
            </w:pPr>
          </w:p>
        </w:tc>
        <w:tc>
          <w:tcPr>
            <w:tcW w:w="1311" w:type="dxa"/>
            <w:noWrap w:val="0"/>
            <w:vAlign w:val="center"/>
          </w:tcPr>
          <w:p w14:paraId="600C0299">
            <w:pPr>
              <w:snapToGrid w:val="0"/>
              <w:spacing w:line="360" w:lineRule="exact"/>
              <w:jc w:val="center"/>
              <w:rPr>
                <w:color w:val="auto"/>
                <w:szCs w:val="21"/>
                <w:highlight w:val="none"/>
              </w:rPr>
            </w:pPr>
          </w:p>
        </w:tc>
        <w:tc>
          <w:tcPr>
            <w:tcW w:w="1748" w:type="dxa"/>
            <w:noWrap w:val="0"/>
            <w:vAlign w:val="center"/>
          </w:tcPr>
          <w:p w14:paraId="1474AAA6">
            <w:pPr>
              <w:snapToGrid w:val="0"/>
              <w:spacing w:line="360" w:lineRule="exact"/>
              <w:jc w:val="center"/>
              <w:rPr>
                <w:color w:val="auto"/>
                <w:szCs w:val="21"/>
                <w:highlight w:val="none"/>
              </w:rPr>
            </w:pPr>
          </w:p>
        </w:tc>
        <w:tc>
          <w:tcPr>
            <w:tcW w:w="1748" w:type="dxa"/>
            <w:vMerge w:val="continue"/>
            <w:noWrap w:val="0"/>
            <w:vAlign w:val="top"/>
          </w:tcPr>
          <w:p w14:paraId="6740A1EB">
            <w:pPr>
              <w:snapToGrid w:val="0"/>
              <w:spacing w:line="360" w:lineRule="exact"/>
              <w:jc w:val="center"/>
              <w:rPr>
                <w:color w:val="auto"/>
                <w:szCs w:val="21"/>
                <w:highlight w:val="none"/>
              </w:rPr>
            </w:pPr>
          </w:p>
        </w:tc>
      </w:tr>
      <w:tr w14:paraId="54C4F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602" w:type="dxa"/>
            <w:noWrap w:val="0"/>
            <w:vAlign w:val="center"/>
          </w:tcPr>
          <w:p w14:paraId="18B29573">
            <w:pPr>
              <w:snapToGrid w:val="0"/>
              <w:spacing w:line="360" w:lineRule="exact"/>
              <w:jc w:val="center"/>
              <w:rPr>
                <w:color w:val="auto"/>
                <w:szCs w:val="21"/>
                <w:highlight w:val="none"/>
              </w:rPr>
            </w:pPr>
            <w:r>
              <w:rPr>
                <w:color w:val="auto"/>
                <w:szCs w:val="21"/>
                <w:highlight w:val="none"/>
              </w:rPr>
              <w:t>3</w:t>
            </w:r>
          </w:p>
        </w:tc>
        <w:tc>
          <w:tcPr>
            <w:tcW w:w="1583" w:type="dxa"/>
            <w:noWrap w:val="0"/>
            <w:vAlign w:val="center"/>
          </w:tcPr>
          <w:p w14:paraId="6A021762">
            <w:pPr>
              <w:snapToGrid w:val="0"/>
              <w:spacing w:line="360" w:lineRule="exact"/>
              <w:jc w:val="center"/>
              <w:rPr>
                <w:color w:val="auto"/>
                <w:szCs w:val="21"/>
                <w:highlight w:val="none"/>
              </w:rPr>
            </w:pPr>
          </w:p>
        </w:tc>
        <w:tc>
          <w:tcPr>
            <w:tcW w:w="926" w:type="dxa"/>
            <w:noWrap w:val="0"/>
            <w:vAlign w:val="top"/>
          </w:tcPr>
          <w:p w14:paraId="06100555">
            <w:pPr>
              <w:snapToGrid w:val="0"/>
              <w:spacing w:line="360" w:lineRule="exact"/>
              <w:jc w:val="center"/>
              <w:rPr>
                <w:color w:val="auto"/>
                <w:szCs w:val="21"/>
                <w:highlight w:val="none"/>
              </w:rPr>
            </w:pPr>
          </w:p>
        </w:tc>
        <w:tc>
          <w:tcPr>
            <w:tcW w:w="1201" w:type="dxa"/>
            <w:noWrap w:val="0"/>
            <w:vAlign w:val="top"/>
          </w:tcPr>
          <w:p w14:paraId="4F0E51D6">
            <w:pPr>
              <w:snapToGrid w:val="0"/>
              <w:spacing w:line="360" w:lineRule="exact"/>
              <w:jc w:val="center"/>
              <w:rPr>
                <w:color w:val="auto"/>
                <w:szCs w:val="21"/>
                <w:highlight w:val="none"/>
              </w:rPr>
            </w:pPr>
          </w:p>
        </w:tc>
        <w:tc>
          <w:tcPr>
            <w:tcW w:w="1311" w:type="dxa"/>
            <w:noWrap w:val="0"/>
            <w:vAlign w:val="center"/>
          </w:tcPr>
          <w:p w14:paraId="24DD310E">
            <w:pPr>
              <w:snapToGrid w:val="0"/>
              <w:spacing w:line="360" w:lineRule="exact"/>
              <w:jc w:val="center"/>
              <w:rPr>
                <w:color w:val="auto"/>
                <w:szCs w:val="21"/>
                <w:highlight w:val="none"/>
              </w:rPr>
            </w:pPr>
          </w:p>
        </w:tc>
        <w:tc>
          <w:tcPr>
            <w:tcW w:w="1748" w:type="dxa"/>
            <w:noWrap w:val="0"/>
            <w:vAlign w:val="center"/>
          </w:tcPr>
          <w:p w14:paraId="3E19666D">
            <w:pPr>
              <w:snapToGrid w:val="0"/>
              <w:spacing w:line="360" w:lineRule="exact"/>
              <w:jc w:val="center"/>
              <w:rPr>
                <w:color w:val="auto"/>
                <w:szCs w:val="21"/>
                <w:highlight w:val="none"/>
              </w:rPr>
            </w:pPr>
          </w:p>
        </w:tc>
        <w:tc>
          <w:tcPr>
            <w:tcW w:w="1748" w:type="dxa"/>
            <w:vMerge w:val="continue"/>
            <w:noWrap w:val="0"/>
            <w:vAlign w:val="top"/>
          </w:tcPr>
          <w:p w14:paraId="762F1856">
            <w:pPr>
              <w:snapToGrid w:val="0"/>
              <w:spacing w:line="360" w:lineRule="exact"/>
              <w:jc w:val="center"/>
              <w:rPr>
                <w:color w:val="auto"/>
                <w:szCs w:val="21"/>
                <w:highlight w:val="none"/>
              </w:rPr>
            </w:pPr>
          </w:p>
        </w:tc>
      </w:tr>
      <w:tr w14:paraId="3366C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602" w:type="dxa"/>
            <w:noWrap w:val="0"/>
            <w:vAlign w:val="center"/>
          </w:tcPr>
          <w:p w14:paraId="2BA9EA9D">
            <w:pPr>
              <w:snapToGrid w:val="0"/>
              <w:spacing w:line="360" w:lineRule="exact"/>
              <w:jc w:val="center"/>
              <w:rPr>
                <w:color w:val="auto"/>
                <w:szCs w:val="21"/>
                <w:highlight w:val="none"/>
              </w:rPr>
            </w:pPr>
          </w:p>
        </w:tc>
        <w:tc>
          <w:tcPr>
            <w:tcW w:w="8517" w:type="dxa"/>
            <w:gridSpan w:val="6"/>
            <w:noWrap w:val="0"/>
            <w:vAlign w:val="center"/>
          </w:tcPr>
          <w:p w14:paraId="2C37A900">
            <w:pPr>
              <w:snapToGrid w:val="0"/>
              <w:spacing w:line="360" w:lineRule="exact"/>
              <w:jc w:val="left"/>
              <w:rPr>
                <w:color w:val="auto"/>
                <w:szCs w:val="21"/>
                <w:highlight w:val="none"/>
              </w:rPr>
            </w:pPr>
            <w:r>
              <w:rPr>
                <w:rFonts w:hint="eastAsia"/>
                <w:color w:val="auto"/>
                <w:szCs w:val="21"/>
                <w:highlight w:val="none"/>
              </w:rPr>
              <w:t>总价（人民币）</w:t>
            </w:r>
            <w:r>
              <w:rPr>
                <w:color w:val="auto"/>
                <w:szCs w:val="21"/>
                <w:highlight w:val="none"/>
              </w:rPr>
              <w:t>（大写）                          （小写）</w:t>
            </w:r>
          </w:p>
        </w:tc>
      </w:tr>
    </w:tbl>
    <w:p w14:paraId="5BFD06D7">
      <w:pPr>
        <w:snapToGrid w:val="0"/>
        <w:spacing w:line="360" w:lineRule="exact"/>
        <w:ind w:firstLine="422" w:firstLineChars="200"/>
        <w:rPr>
          <w:b/>
          <w:color w:val="auto"/>
          <w:szCs w:val="21"/>
          <w:highlight w:val="none"/>
        </w:rPr>
      </w:pPr>
      <w:r>
        <w:rPr>
          <w:b/>
          <w:color w:val="auto"/>
          <w:szCs w:val="21"/>
          <w:highlight w:val="none"/>
        </w:rPr>
        <w:t>第三条  甲方权利和义务</w:t>
      </w:r>
    </w:p>
    <w:p w14:paraId="6B47B406">
      <w:pPr>
        <w:snapToGrid w:val="0"/>
        <w:spacing w:line="360" w:lineRule="exact"/>
        <w:ind w:firstLine="420" w:firstLineChars="200"/>
        <w:rPr>
          <w:color w:val="auto"/>
          <w:szCs w:val="21"/>
          <w:highlight w:val="none"/>
        </w:rPr>
      </w:pPr>
      <w:r>
        <w:rPr>
          <w:color w:val="auto"/>
          <w:szCs w:val="21"/>
          <w:highlight w:val="none"/>
        </w:rPr>
        <w:t>1. 甲方有权要求乙方按时、按质、按量、按计划与合同协议约定完成本项目，并有权对乙方工作情况进行监督。</w:t>
      </w:r>
    </w:p>
    <w:p w14:paraId="3C979479">
      <w:pPr>
        <w:snapToGrid w:val="0"/>
        <w:spacing w:line="360" w:lineRule="exact"/>
        <w:ind w:firstLine="420" w:firstLineChars="200"/>
        <w:rPr>
          <w:color w:val="auto"/>
          <w:szCs w:val="21"/>
          <w:highlight w:val="none"/>
        </w:rPr>
      </w:pPr>
      <w:r>
        <w:rPr>
          <w:color w:val="auto"/>
          <w:szCs w:val="21"/>
          <w:highlight w:val="none"/>
        </w:rPr>
        <w:t>2. 根据项目进度，甲方有权及时对乙方提交的方案提出修改意见，并要求乙方按修改意见完成服务工作。</w:t>
      </w:r>
    </w:p>
    <w:p w14:paraId="20B5E8E3">
      <w:pPr>
        <w:snapToGrid w:val="0"/>
        <w:spacing w:line="360" w:lineRule="exact"/>
        <w:ind w:firstLine="420" w:firstLineChars="200"/>
        <w:rPr>
          <w:color w:val="auto"/>
          <w:szCs w:val="21"/>
          <w:highlight w:val="none"/>
        </w:rPr>
      </w:pPr>
      <w:r>
        <w:rPr>
          <w:color w:val="auto"/>
          <w:szCs w:val="21"/>
          <w:highlight w:val="none"/>
        </w:rPr>
        <w:t>3. 乙方配备的项目投入人员应得到甲方的认可；对派遣到甲方的服务人员进行管理、考核、检查与奖惩。</w:t>
      </w:r>
    </w:p>
    <w:p w14:paraId="5819FA41">
      <w:pPr>
        <w:snapToGrid w:val="0"/>
        <w:spacing w:line="360" w:lineRule="exact"/>
        <w:ind w:firstLine="420" w:firstLineChars="200"/>
        <w:rPr>
          <w:strike/>
          <w:color w:val="auto"/>
          <w:szCs w:val="21"/>
          <w:highlight w:val="none"/>
        </w:rPr>
      </w:pPr>
      <w:r>
        <w:rPr>
          <w:color w:val="auto"/>
          <w:szCs w:val="21"/>
          <w:highlight w:val="none"/>
        </w:rPr>
        <w:t>4.甲方有权要求乙方更换不合格的工作人员。</w:t>
      </w:r>
    </w:p>
    <w:p w14:paraId="095CD305">
      <w:pPr>
        <w:snapToGrid w:val="0"/>
        <w:spacing w:line="360" w:lineRule="exact"/>
        <w:ind w:firstLine="420" w:firstLineChars="200"/>
        <w:rPr>
          <w:color w:val="auto"/>
          <w:szCs w:val="21"/>
          <w:highlight w:val="none"/>
        </w:rPr>
      </w:pPr>
      <w:r>
        <w:rPr>
          <w:color w:val="auto"/>
          <w:szCs w:val="21"/>
          <w:highlight w:val="none"/>
        </w:rPr>
        <w:t>5. 按合同要求及时向乙方支付产品和服务费用。</w:t>
      </w:r>
    </w:p>
    <w:p w14:paraId="7DA5689F">
      <w:pPr>
        <w:snapToGrid w:val="0"/>
        <w:spacing w:line="360" w:lineRule="exact"/>
        <w:ind w:firstLine="420" w:firstLineChars="200"/>
        <w:rPr>
          <w:rFonts w:hint="eastAsia"/>
          <w:color w:val="auto"/>
          <w:szCs w:val="21"/>
          <w:highlight w:val="none"/>
        </w:rPr>
      </w:pPr>
      <w:r>
        <w:rPr>
          <w:rFonts w:hint="eastAsia"/>
          <w:color w:val="auto"/>
          <w:szCs w:val="21"/>
          <w:highlight w:val="none"/>
        </w:rPr>
        <w:t>6</w:t>
      </w:r>
      <w:r>
        <w:rPr>
          <w:color w:val="auto"/>
          <w:szCs w:val="21"/>
          <w:highlight w:val="none"/>
        </w:rPr>
        <w:t>.</w:t>
      </w:r>
      <w:r>
        <w:rPr>
          <w:rFonts w:hint="eastAsia"/>
          <w:color w:val="auto"/>
          <w:highlight w:val="none"/>
        </w:rPr>
        <w:t xml:space="preserve"> </w:t>
      </w:r>
      <w:r>
        <w:rPr>
          <w:rFonts w:hint="eastAsia"/>
          <w:color w:val="auto"/>
          <w:szCs w:val="21"/>
          <w:highlight w:val="none"/>
        </w:rPr>
        <w:t>如采购项目涉及采购标的的知识产权归属的，产权归属为：</w:t>
      </w:r>
      <w:r>
        <w:rPr>
          <w:rFonts w:hint="eastAsia"/>
          <w:color w:val="auto"/>
          <w:szCs w:val="21"/>
          <w:highlight w:val="none"/>
          <w:u w:val="single"/>
        </w:rPr>
        <w:t xml:space="preserve">    甲方    </w:t>
      </w:r>
      <w:r>
        <w:rPr>
          <w:rFonts w:hint="eastAsia"/>
          <w:color w:val="auto"/>
          <w:szCs w:val="21"/>
          <w:highlight w:val="none"/>
        </w:rPr>
        <w:t xml:space="preserve">    </w:t>
      </w:r>
    </w:p>
    <w:p w14:paraId="41124119">
      <w:pPr>
        <w:snapToGrid w:val="0"/>
        <w:spacing w:line="360" w:lineRule="exact"/>
        <w:ind w:firstLine="420" w:firstLineChars="200"/>
        <w:rPr>
          <w:rFonts w:hint="eastAsia"/>
          <w:color w:val="auto"/>
          <w:szCs w:val="21"/>
          <w:highlight w:val="none"/>
          <w:u w:val="single"/>
        </w:rPr>
      </w:pPr>
      <w:r>
        <w:rPr>
          <w:rFonts w:hint="eastAsia"/>
          <w:color w:val="auto"/>
          <w:highlight w:val="none"/>
        </w:rPr>
        <w:t>7.产权纠纷</w:t>
      </w:r>
      <w:r>
        <w:rPr>
          <w:rFonts w:hint="eastAsia"/>
          <w:color w:val="auto"/>
          <w:szCs w:val="21"/>
          <w:highlight w:val="none"/>
        </w:rPr>
        <w:t>处理方式：</w:t>
      </w:r>
      <w:r>
        <w:rPr>
          <w:rFonts w:hint="eastAsia"/>
          <w:color w:val="auto"/>
          <w:szCs w:val="21"/>
          <w:highlight w:val="none"/>
          <w:u w:val="single"/>
        </w:rPr>
        <w:t>采购人在中华人民共和国境内使用供应商提供的产品及服务时免受第三方提出的侵犯其专利权或其它知识产权的起诉。如果第三方提出侵权指控，乙方应妥善处理纠纷并承担由此而引起的一切法律责任和费用。</w:t>
      </w:r>
    </w:p>
    <w:p w14:paraId="766E043B">
      <w:pPr>
        <w:snapToGrid w:val="0"/>
        <w:spacing w:line="360" w:lineRule="exact"/>
        <w:ind w:firstLine="422" w:firstLineChars="200"/>
        <w:rPr>
          <w:b/>
          <w:color w:val="auto"/>
          <w:szCs w:val="21"/>
          <w:highlight w:val="none"/>
        </w:rPr>
      </w:pPr>
      <w:r>
        <w:rPr>
          <w:b/>
          <w:color w:val="auto"/>
          <w:szCs w:val="21"/>
          <w:highlight w:val="none"/>
        </w:rPr>
        <w:t>第四条  乙方权利和义务</w:t>
      </w:r>
    </w:p>
    <w:p w14:paraId="08A371E0">
      <w:pPr>
        <w:snapToGrid w:val="0"/>
        <w:spacing w:line="360" w:lineRule="exact"/>
        <w:ind w:firstLine="420" w:firstLineChars="200"/>
        <w:rPr>
          <w:color w:val="auto"/>
          <w:szCs w:val="21"/>
          <w:highlight w:val="none"/>
        </w:rPr>
      </w:pPr>
      <w:r>
        <w:rPr>
          <w:color w:val="auto"/>
          <w:szCs w:val="21"/>
          <w:highlight w:val="none"/>
        </w:rPr>
        <w:t>1. 严格履行合同文件（含采购文件、响应文件等）约定和承诺的服务内容和质量标准，保证甲方项目的相关工作质量和进度。</w:t>
      </w:r>
    </w:p>
    <w:p w14:paraId="7B347563">
      <w:pPr>
        <w:snapToGrid w:val="0"/>
        <w:spacing w:line="360" w:lineRule="exact"/>
        <w:ind w:firstLine="420" w:firstLineChars="200"/>
        <w:rPr>
          <w:color w:val="auto"/>
          <w:szCs w:val="21"/>
          <w:highlight w:val="none"/>
        </w:rPr>
      </w:pPr>
      <w:r>
        <w:rPr>
          <w:color w:val="auto"/>
          <w:szCs w:val="21"/>
          <w:highlight w:val="none"/>
        </w:rPr>
        <w:t>2. 必须严格实施乙方响应文件中承诺的人力资源配置。在必须补充或更换人员时，必须补充或更换优于或等同于响应文件所承诺资质的服务人员，并需取得甲方书面同意。</w:t>
      </w:r>
    </w:p>
    <w:p w14:paraId="465BB5FB">
      <w:pPr>
        <w:snapToGrid w:val="0"/>
        <w:spacing w:line="360" w:lineRule="exact"/>
        <w:ind w:firstLine="420" w:firstLineChars="200"/>
        <w:rPr>
          <w:color w:val="auto"/>
          <w:szCs w:val="21"/>
          <w:highlight w:val="none"/>
        </w:rPr>
      </w:pPr>
      <w:r>
        <w:rPr>
          <w:color w:val="auto"/>
          <w:szCs w:val="21"/>
          <w:highlight w:val="none"/>
        </w:rPr>
        <w:t>3. 乙方项目负责人及服务团队成员须与响应文件保持一致。合同存续期内，未经甲方书面要求或同意，项目负责人不应调整。项目负责人及服务团队成员必须保证在岗工作时间和重要活动在岗，如有变化，须取得甲方同意。</w:t>
      </w:r>
    </w:p>
    <w:p w14:paraId="708E1CD8">
      <w:pPr>
        <w:snapToGrid w:val="0"/>
        <w:spacing w:line="360" w:lineRule="exact"/>
        <w:ind w:firstLine="420" w:firstLineChars="200"/>
        <w:rPr>
          <w:color w:val="auto"/>
          <w:szCs w:val="21"/>
          <w:highlight w:val="none"/>
        </w:rPr>
      </w:pPr>
      <w:r>
        <w:rPr>
          <w:color w:val="auto"/>
          <w:szCs w:val="21"/>
          <w:highlight w:val="none"/>
        </w:rPr>
        <w:t>4.乙方依本合同约定向甲方提供的报告、资料、文件等内容及服务成果后，甲方即对上述内容享有充分、完整和排他的著作权和知识产权。未经甲方书面许可，乙方不得向任何第三方提供上述报告、资料、文件等内容及服务成果。即使向履行本合同有关的人员提供，也应注意保密并限于履行合同的必需范围。</w:t>
      </w:r>
    </w:p>
    <w:p w14:paraId="504AA708">
      <w:pPr>
        <w:snapToGrid w:val="0"/>
        <w:spacing w:line="360" w:lineRule="exact"/>
        <w:ind w:firstLine="420" w:firstLineChars="200"/>
        <w:rPr>
          <w:color w:val="auto"/>
          <w:szCs w:val="21"/>
          <w:highlight w:val="none"/>
        </w:rPr>
      </w:pPr>
      <w:r>
        <w:rPr>
          <w:color w:val="auto"/>
          <w:szCs w:val="21"/>
          <w:highlight w:val="none"/>
        </w:rPr>
        <w:t>5. 乙方服务人员应履行保密义务。如乙方因违反本条约定给甲方造成损失的，乙方应当承担相应的法律责任，并赔偿由此给甲方造成的一切损失。</w:t>
      </w:r>
    </w:p>
    <w:p w14:paraId="22AE728B">
      <w:pPr>
        <w:snapToGrid w:val="0"/>
        <w:spacing w:line="360" w:lineRule="exact"/>
        <w:ind w:firstLine="420" w:firstLineChars="200"/>
        <w:rPr>
          <w:rFonts w:hint="eastAsia"/>
          <w:color w:val="auto"/>
          <w:szCs w:val="21"/>
          <w:highlight w:val="none"/>
        </w:rPr>
      </w:pPr>
      <w:r>
        <w:rPr>
          <w:color w:val="auto"/>
          <w:szCs w:val="21"/>
          <w:highlight w:val="none"/>
        </w:rPr>
        <w:t>6. 按照合同约定收取服务费，当甲方出现无故拖欠费用时，乙方有权采取适当方式进行催缴，若甲方仍未支付费用，乙方有权停止工作。</w:t>
      </w:r>
    </w:p>
    <w:p w14:paraId="066AB13A">
      <w:pPr>
        <w:snapToGrid w:val="0"/>
        <w:spacing w:line="360" w:lineRule="exact"/>
        <w:ind w:firstLine="422" w:firstLineChars="200"/>
        <w:rPr>
          <w:b/>
          <w:color w:val="auto"/>
          <w:szCs w:val="21"/>
          <w:highlight w:val="none"/>
        </w:rPr>
      </w:pPr>
      <w:r>
        <w:rPr>
          <w:b/>
          <w:color w:val="auto"/>
          <w:szCs w:val="21"/>
          <w:highlight w:val="none"/>
        </w:rPr>
        <w:t>第五条  包装和运输</w:t>
      </w:r>
    </w:p>
    <w:p w14:paraId="1BBD793F">
      <w:pPr>
        <w:snapToGrid w:val="0"/>
        <w:spacing w:line="360" w:lineRule="exact"/>
        <w:ind w:firstLine="420" w:firstLineChars="200"/>
        <w:rPr>
          <w:color w:val="auto"/>
          <w:szCs w:val="21"/>
          <w:highlight w:val="none"/>
        </w:rPr>
      </w:pPr>
      <w:r>
        <w:rPr>
          <w:color w:val="auto"/>
          <w:szCs w:val="21"/>
          <w:highlight w:val="none"/>
        </w:rPr>
        <w:t>1.乙方提供的服务交付成果或产品均应按采购文件要求的包装材料、包装标准、包装方式进行包装，每一包装单元内应附详细的交付清单和质量合格证，如有缺失应及时补齐，否则视为逾期交付。</w:t>
      </w:r>
    </w:p>
    <w:p w14:paraId="710C264E">
      <w:pPr>
        <w:snapToGrid w:val="0"/>
        <w:spacing w:line="360" w:lineRule="exact"/>
        <w:ind w:firstLine="420" w:firstLineChars="200"/>
        <w:rPr>
          <w:color w:val="auto"/>
          <w:szCs w:val="21"/>
          <w:highlight w:val="none"/>
        </w:rPr>
      </w:pPr>
      <w:r>
        <w:rPr>
          <w:color w:val="auto"/>
          <w:szCs w:val="21"/>
          <w:highlight w:val="none"/>
        </w:rPr>
        <w:t>2. 乙方负责服务交付成果、产品的运输。服务交付成果、产品的运输方式由乙方自定。服务交付成果、产品运输合理损耗及计算方法由乙方负责。</w:t>
      </w:r>
    </w:p>
    <w:p w14:paraId="41502D6C">
      <w:pPr>
        <w:pStyle w:val="27"/>
        <w:spacing w:line="300" w:lineRule="exact"/>
        <w:ind w:firstLine="420" w:firstLineChars="200"/>
        <w:rPr>
          <w:rFonts w:hint="eastAsia"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乙方提供的产品包装及快递包装应满足《财政部等三部门联合印发商品包装和快递包装政府采购需求标准（试行）》财办库【2020】123号文要求。</w:t>
      </w:r>
    </w:p>
    <w:p w14:paraId="7087C9D2">
      <w:pPr>
        <w:snapToGrid w:val="0"/>
        <w:spacing w:line="360" w:lineRule="exact"/>
        <w:ind w:firstLine="422" w:firstLineChars="200"/>
        <w:rPr>
          <w:color w:val="auto"/>
          <w:szCs w:val="21"/>
          <w:highlight w:val="none"/>
        </w:rPr>
      </w:pPr>
      <w:r>
        <w:rPr>
          <w:b/>
          <w:color w:val="auto"/>
          <w:szCs w:val="21"/>
          <w:highlight w:val="none"/>
        </w:rPr>
        <w:t>第六条  交付和验收</w:t>
      </w:r>
    </w:p>
    <w:p w14:paraId="66A0A87E">
      <w:pPr>
        <w:snapToGrid w:val="0"/>
        <w:spacing w:line="360" w:lineRule="exact"/>
        <w:ind w:firstLine="420" w:firstLineChars="200"/>
        <w:rPr>
          <w:color w:val="auto"/>
          <w:szCs w:val="21"/>
          <w:highlight w:val="none"/>
        </w:rPr>
      </w:pPr>
      <w:r>
        <w:rPr>
          <w:color w:val="auto"/>
          <w:szCs w:val="21"/>
          <w:highlight w:val="none"/>
        </w:rPr>
        <w:t>1.交付使用时间：</w:t>
      </w:r>
      <w:r>
        <w:rPr>
          <w:color w:val="auto"/>
          <w:szCs w:val="21"/>
          <w:highlight w:val="none"/>
          <w:u w:val="single"/>
        </w:rPr>
        <w:t>按乙方响应文件中所承诺的时间</w:t>
      </w:r>
      <w:r>
        <w:rPr>
          <w:color w:val="auto"/>
          <w:szCs w:val="21"/>
          <w:highlight w:val="none"/>
        </w:rPr>
        <w:t>；地点：</w:t>
      </w:r>
      <w:r>
        <w:rPr>
          <w:color w:val="auto"/>
          <w:szCs w:val="21"/>
          <w:highlight w:val="none"/>
          <w:u w:val="single"/>
        </w:rPr>
        <w:t>甲方指定地点</w:t>
      </w:r>
      <w:r>
        <w:rPr>
          <w:color w:val="auto"/>
          <w:szCs w:val="21"/>
          <w:highlight w:val="none"/>
        </w:rPr>
        <w:t>。</w:t>
      </w:r>
    </w:p>
    <w:p w14:paraId="322E7118">
      <w:pPr>
        <w:snapToGrid w:val="0"/>
        <w:spacing w:line="300" w:lineRule="exact"/>
        <w:ind w:firstLine="420" w:firstLineChars="200"/>
        <w:rPr>
          <w:color w:val="auto"/>
          <w:highlight w:val="none"/>
        </w:rPr>
      </w:pPr>
      <w:r>
        <w:rPr>
          <w:color w:val="auto"/>
          <w:highlight w:val="none"/>
        </w:rPr>
        <w:t>2.</w:t>
      </w:r>
      <w:r>
        <w:rPr>
          <w:rFonts w:hint="eastAsia"/>
          <w:color w:val="auto"/>
          <w:highlight w:val="none"/>
        </w:rPr>
        <w:t>交付标准：</w:t>
      </w:r>
      <w:r>
        <w:rPr>
          <w:color w:val="auto"/>
          <w:highlight w:val="none"/>
        </w:rPr>
        <w:t>乙方交</w:t>
      </w:r>
      <w:r>
        <w:rPr>
          <w:rFonts w:hint="eastAsia"/>
          <w:color w:val="auto"/>
          <w:highlight w:val="none"/>
        </w:rPr>
        <w:t>付</w:t>
      </w:r>
      <w:r>
        <w:rPr>
          <w:color w:val="auto"/>
          <w:highlight w:val="none"/>
        </w:rPr>
        <w:t>前应对</w:t>
      </w:r>
      <w:r>
        <w:rPr>
          <w:color w:val="auto"/>
          <w:szCs w:val="21"/>
          <w:highlight w:val="none"/>
        </w:rPr>
        <w:t>产品或服务成果</w:t>
      </w:r>
      <w:r>
        <w:rPr>
          <w:color w:val="auto"/>
          <w:highlight w:val="none"/>
        </w:rPr>
        <w:t>作出全面检查</w:t>
      </w:r>
      <w:r>
        <w:rPr>
          <w:rFonts w:hint="eastAsia"/>
          <w:color w:val="auto"/>
          <w:highlight w:val="none"/>
        </w:rPr>
        <w:t>后</w:t>
      </w:r>
      <w:r>
        <w:rPr>
          <w:color w:val="auto"/>
          <w:highlight w:val="none"/>
        </w:rPr>
        <w:t>，</w:t>
      </w:r>
      <w:r>
        <w:rPr>
          <w:color w:val="auto"/>
          <w:szCs w:val="21"/>
          <w:highlight w:val="none"/>
        </w:rPr>
        <w:t>将</w:t>
      </w:r>
      <w:r>
        <w:rPr>
          <w:rFonts w:hint="eastAsia"/>
          <w:color w:val="auto"/>
          <w:szCs w:val="21"/>
          <w:highlight w:val="none"/>
        </w:rPr>
        <w:t>符合合同文件要求的</w:t>
      </w:r>
      <w:r>
        <w:rPr>
          <w:color w:val="auto"/>
          <w:szCs w:val="21"/>
          <w:highlight w:val="none"/>
        </w:rPr>
        <w:t>产品或服务成果交付给甲方。</w:t>
      </w:r>
    </w:p>
    <w:p w14:paraId="28F86529">
      <w:pPr>
        <w:snapToGrid w:val="0"/>
        <w:spacing w:line="300" w:lineRule="exact"/>
        <w:ind w:firstLine="420" w:firstLineChars="200"/>
        <w:rPr>
          <w:color w:val="auto"/>
          <w:highlight w:val="none"/>
        </w:rPr>
      </w:pPr>
      <w:r>
        <w:rPr>
          <w:rFonts w:hint="eastAsia"/>
          <w:color w:val="auto"/>
          <w:highlight w:val="none"/>
        </w:rPr>
        <w:t>3</w:t>
      </w:r>
      <w:r>
        <w:rPr>
          <w:color w:val="auto"/>
          <w:highlight w:val="none"/>
        </w:rPr>
        <w:t>.</w:t>
      </w:r>
      <w:r>
        <w:rPr>
          <w:rFonts w:hint="eastAsia"/>
          <w:color w:val="auto"/>
          <w:highlight w:val="none"/>
        </w:rPr>
        <w:t>验收程序：验收一般分为到货验收和最终验收两次单项验收。经甲方同意，两次单项验收可以合并进行。本项目采用的验收方式为：</w:t>
      </w:r>
      <w:r>
        <w:rPr>
          <w:rFonts w:hint="eastAsia"/>
          <w:color w:val="auto"/>
          <w:highlight w:val="none"/>
        </w:rPr>
        <w:sym w:font="Wingdings 2" w:char="00A3"/>
      </w:r>
      <w:r>
        <w:rPr>
          <w:rFonts w:hint="eastAsia"/>
          <w:color w:val="auto"/>
          <w:highlight w:val="none"/>
        </w:rPr>
        <w:t xml:space="preserve">到货验收（如有）  </w:t>
      </w:r>
      <w:r>
        <w:rPr>
          <w:rFonts w:hint="eastAsia"/>
          <w:color w:val="auto"/>
          <w:highlight w:val="none"/>
        </w:rPr>
        <w:sym w:font="Wingdings 2" w:char="00A3"/>
      </w:r>
      <w:r>
        <w:rPr>
          <w:rFonts w:hint="eastAsia"/>
          <w:color w:val="auto"/>
          <w:highlight w:val="none"/>
        </w:rPr>
        <w:t>最终验收  □合并验收</w:t>
      </w:r>
    </w:p>
    <w:p w14:paraId="7416870A">
      <w:pPr>
        <w:snapToGrid w:val="0"/>
        <w:spacing w:line="300" w:lineRule="exact"/>
        <w:ind w:firstLine="420" w:firstLineChars="200"/>
        <w:rPr>
          <w:color w:val="auto"/>
          <w:highlight w:val="none"/>
        </w:rPr>
      </w:pPr>
      <w:r>
        <w:rPr>
          <w:rFonts w:hint="eastAsia"/>
          <w:color w:val="auto"/>
          <w:highlight w:val="none"/>
        </w:rPr>
        <w:t>（1）到货验收：</w:t>
      </w:r>
      <w:r>
        <w:rPr>
          <w:rFonts w:hint="eastAsia"/>
          <w:color w:val="auto"/>
          <w:szCs w:val="21"/>
          <w:highlight w:val="none"/>
        </w:rPr>
        <w:t>在项目中如有提供货物的，</w:t>
      </w:r>
      <w:r>
        <w:rPr>
          <w:color w:val="auto"/>
          <w:highlight w:val="none"/>
        </w:rPr>
        <w:t>甲方</w:t>
      </w:r>
      <w:r>
        <w:rPr>
          <w:rFonts w:hint="eastAsia"/>
          <w:color w:val="auto"/>
          <w:highlight w:val="none"/>
        </w:rPr>
        <w:t>在接到</w:t>
      </w:r>
      <w:r>
        <w:rPr>
          <w:color w:val="auto"/>
          <w:highlight w:val="none"/>
        </w:rPr>
        <w:t>乙方</w:t>
      </w:r>
      <w:r>
        <w:rPr>
          <w:rFonts w:hint="eastAsia"/>
          <w:color w:val="auto"/>
          <w:highlight w:val="none"/>
        </w:rPr>
        <w:t>通知后对交付</w:t>
      </w:r>
      <w:r>
        <w:rPr>
          <w:color w:val="auto"/>
          <w:highlight w:val="none"/>
        </w:rPr>
        <w:t>的</w:t>
      </w:r>
      <w:r>
        <w:rPr>
          <w:color w:val="auto"/>
          <w:szCs w:val="21"/>
          <w:highlight w:val="none"/>
        </w:rPr>
        <w:t>产品</w:t>
      </w:r>
      <w:r>
        <w:rPr>
          <w:color w:val="auto"/>
          <w:highlight w:val="none"/>
        </w:rPr>
        <w:t>依据</w:t>
      </w:r>
      <w:r>
        <w:rPr>
          <w:rFonts w:hint="eastAsia"/>
          <w:color w:val="auto"/>
          <w:highlight w:val="none"/>
        </w:rPr>
        <w:t>验收标准</w:t>
      </w:r>
      <w:r>
        <w:rPr>
          <w:color w:val="auto"/>
          <w:highlight w:val="none"/>
        </w:rPr>
        <w:t>进行</w:t>
      </w:r>
      <w:r>
        <w:rPr>
          <w:rFonts w:hint="eastAsia"/>
          <w:color w:val="auto"/>
          <w:highlight w:val="none"/>
        </w:rPr>
        <w:t>到货验收</w:t>
      </w:r>
      <w:r>
        <w:rPr>
          <w:color w:val="auto"/>
          <w:highlight w:val="none"/>
        </w:rPr>
        <w:t>，</w:t>
      </w:r>
      <w:r>
        <w:rPr>
          <w:rFonts w:hint="eastAsia"/>
          <w:color w:val="auto"/>
          <w:highlight w:val="none"/>
        </w:rPr>
        <w:t>对品牌、规格型号、</w:t>
      </w:r>
      <w:r>
        <w:rPr>
          <w:color w:val="auto"/>
          <w:highlight w:val="none"/>
        </w:rPr>
        <w:t>外观、</w:t>
      </w:r>
      <w:r>
        <w:rPr>
          <w:rFonts w:hint="eastAsia"/>
          <w:color w:val="auto"/>
          <w:highlight w:val="none"/>
        </w:rPr>
        <w:t>有关资料及备品备件、包装要求</w:t>
      </w:r>
      <w:r>
        <w:rPr>
          <w:color w:val="auto"/>
          <w:highlight w:val="none"/>
        </w:rPr>
        <w:t>符合采购文件</w:t>
      </w:r>
      <w:r>
        <w:rPr>
          <w:rFonts w:hint="eastAsia"/>
          <w:color w:val="auto"/>
          <w:highlight w:val="none"/>
        </w:rPr>
        <w:t>及合同</w:t>
      </w:r>
      <w:r>
        <w:rPr>
          <w:color w:val="auto"/>
          <w:highlight w:val="none"/>
        </w:rPr>
        <w:t>要求的，</w:t>
      </w:r>
      <w:r>
        <w:rPr>
          <w:rFonts w:hint="eastAsia"/>
          <w:color w:val="auto"/>
          <w:highlight w:val="none"/>
        </w:rPr>
        <w:t>视为到货验收合格</w:t>
      </w:r>
      <w:r>
        <w:rPr>
          <w:color w:val="auto"/>
          <w:highlight w:val="none"/>
        </w:rPr>
        <w:t>给予签收</w:t>
      </w:r>
      <w:r>
        <w:rPr>
          <w:rFonts w:hint="eastAsia"/>
          <w:color w:val="auto"/>
          <w:highlight w:val="none"/>
        </w:rPr>
        <w:t>。</w:t>
      </w:r>
    </w:p>
    <w:p w14:paraId="614AFF75">
      <w:pPr>
        <w:snapToGrid w:val="0"/>
        <w:spacing w:line="300" w:lineRule="exact"/>
        <w:ind w:firstLine="420" w:firstLineChars="200"/>
        <w:rPr>
          <w:rFonts w:hint="eastAsia"/>
          <w:color w:val="auto"/>
          <w:highlight w:val="none"/>
        </w:rPr>
      </w:pPr>
      <w:r>
        <w:rPr>
          <w:rFonts w:hint="eastAsia"/>
          <w:color w:val="auto"/>
          <w:highlight w:val="none"/>
        </w:rPr>
        <w:t>（2）最终验收：交付的</w:t>
      </w:r>
      <w:r>
        <w:rPr>
          <w:color w:val="auto"/>
          <w:szCs w:val="21"/>
          <w:highlight w:val="none"/>
        </w:rPr>
        <w:t>产品或服务成果</w:t>
      </w:r>
      <w:r>
        <w:rPr>
          <w:rFonts w:hint="eastAsia"/>
          <w:color w:val="auto"/>
          <w:szCs w:val="21"/>
          <w:highlight w:val="none"/>
        </w:rPr>
        <w:t>在</w:t>
      </w:r>
      <w:r>
        <w:rPr>
          <w:rFonts w:hint="eastAsia"/>
          <w:color w:val="auto"/>
          <w:highlight w:val="none"/>
        </w:rPr>
        <w:t>满足合同交付标准后，依照本合同验收标准进行最终验收。甲方在乙方通知后进行最终验收。</w:t>
      </w:r>
    </w:p>
    <w:p w14:paraId="0B823EFE">
      <w:pPr>
        <w:snapToGrid w:val="0"/>
        <w:spacing w:line="300" w:lineRule="exact"/>
        <w:ind w:firstLine="420" w:firstLineChars="200"/>
        <w:rPr>
          <w:rFonts w:hint="eastAsia"/>
          <w:color w:val="auto"/>
          <w:highlight w:val="none"/>
        </w:rPr>
      </w:pPr>
      <w:r>
        <w:rPr>
          <w:rFonts w:hint="eastAsia"/>
          <w:color w:val="auto"/>
          <w:highlight w:val="none"/>
        </w:rPr>
        <w:t>（3）合并验收：</w:t>
      </w:r>
      <w:r>
        <w:rPr>
          <w:rStyle w:val="60"/>
          <w:rFonts w:hint="eastAsia"/>
          <w:color w:val="auto"/>
          <w:highlight w:val="none"/>
        </w:rPr>
        <w:t>将以上两项验收合并进行。</w:t>
      </w:r>
    </w:p>
    <w:p w14:paraId="4908A7C0">
      <w:pPr>
        <w:snapToGrid w:val="0"/>
        <w:spacing w:line="300" w:lineRule="exact"/>
        <w:ind w:firstLine="420" w:firstLineChars="200"/>
        <w:rPr>
          <w:rFonts w:hint="eastAsia"/>
          <w:color w:val="auto"/>
          <w:highlight w:val="none"/>
        </w:rPr>
      </w:pPr>
      <w:r>
        <w:rPr>
          <w:rFonts w:hint="eastAsia"/>
          <w:color w:val="auto"/>
          <w:highlight w:val="none"/>
        </w:rPr>
        <w:t>4.</w:t>
      </w:r>
      <w:r>
        <w:rPr>
          <w:color w:val="auto"/>
          <w:highlight w:val="none"/>
        </w:rPr>
        <w:t>验收标准：</w:t>
      </w:r>
      <w:r>
        <w:rPr>
          <w:rFonts w:hint="eastAsia" w:ascii="宋体" w:hAnsi="宋体" w:cs="宋体"/>
          <w:color w:val="auto"/>
          <w:szCs w:val="21"/>
          <w:highlight w:val="none"/>
        </w:rPr>
        <w:t>验收按相关规定、规范进行。验收时如发现所交付的成果有不符合磋商文件规定之情形者，</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应做出详尽的现场记录，或由</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/用户和</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双方签署备忘录。此现场记录或备忘录可用作补充、缺失和更换的有效证据。由此产生的有关费用由</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承担。</w:t>
      </w:r>
    </w:p>
    <w:p w14:paraId="3B267800">
      <w:pPr>
        <w:pStyle w:val="27"/>
        <w:spacing w:line="300" w:lineRule="exact"/>
        <w:ind w:firstLine="420" w:firstLineChars="200"/>
        <w:jc w:val="left"/>
        <w:rPr>
          <w:rFonts w:hint="eastAsia"/>
          <w:color w:val="auto"/>
          <w:highlight w:val="none"/>
        </w:rPr>
      </w:pPr>
      <w:r>
        <w:rPr>
          <w:rFonts w:hint="eastAsia" w:ascii="Times New Roman" w:hAnsi="Times New Roman" w:cs="Times New Roman"/>
          <w:color w:val="auto"/>
          <w:highlight w:val="none"/>
        </w:rPr>
        <w:t>5</w:t>
      </w:r>
      <w:r>
        <w:rPr>
          <w:rFonts w:ascii="Times New Roman" w:hAnsi="Times New Roman" w:cs="Times New Roman"/>
          <w:color w:val="auto"/>
          <w:highlight w:val="none"/>
        </w:rPr>
        <w:t>.</w:t>
      </w:r>
      <w:r>
        <w:rPr>
          <w:rFonts w:hint="eastAsia" w:ascii="Times New Roman" w:hAnsi="Times New Roman" w:cs="Times New Roman"/>
          <w:color w:val="auto"/>
          <w:highlight w:val="none"/>
        </w:rPr>
        <w:t>验收地点及验收期限：验收地点为产品</w:t>
      </w:r>
      <w:r>
        <w:rPr>
          <w:color w:val="auto"/>
          <w:highlight w:val="none"/>
        </w:rPr>
        <w:t>或服务成果</w:t>
      </w:r>
      <w:r>
        <w:rPr>
          <w:rFonts w:hint="eastAsia" w:ascii="Times New Roman" w:hAnsi="Times New Roman" w:cs="Times New Roman"/>
          <w:color w:val="auto"/>
          <w:highlight w:val="none"/>
        </w:rPr>
        <w:t>交付地点；</w:t>
      </w:r>
      <w:r>
        <w:rPr>
          <w:rFonts w:hint="eastAsia"/>
          <w:color w:val="auto"/>
          <w:highlight w:val="none"/>
        </w:rPr>
        <w:t>各单项验收应在甲方收到乙方的书面验收申请后5个工作日内组织。乙方在提出验收申请时，应确保已具备验收条件。</w:t>
      </w:r>
      <w:r>
        <w:rPr>
          <w:color w:val="auto"/>
          <w:highlight w:val="none"/>
        </w:rPr>
        <w:t>甲方</w:t>
      </w:r>
      <w:r>
        <w:rPr>
          <w:rFonts w:hint="eastAsia"/>
          <w:color w:val="auto"/>
          <w:highlight w:val="none"/>
        </w:rPr>
        <w:t>收到乙方书面通知后</w:t>
      </w:r>
      <w:r>
        <w:rPr>
          <w:color w:val="auto"/>
          <w:highlight w:val="none"/>
        </w:rPr>
        <w:t>无故不进行验收工作</w:t>
      </w:r>
      <w:r>
        <w:rPr>
          <w:rFonts w:hint="eastAsia"/>
          <w:color w:val="auto"/>
          <w:highlight w:val="none"/>
        </w:rPr>
        <w:t>的，验收期限结束之日起视为当次单项验收合格。</w:t>
      </w:r>
    </w:p>
    <w:p w14:paraId="306A8C5F">
      <w:pPr>
        <w:pStyle w:val="27"/>
        <w:spacing w:line="300" w:lineRule="exact"/>
        <w:ind w:firstLine="420" w:firstLineChars="200"/>
        <w:jc w:val="left"/>
        <w:rPr>
          <w:rFonts w:hint="eastAsia"/>
          <w:color w:val="auto"/>
          <w:highlight w:val="none"/>
        </w:rPr>
      </w:pPr>
      <w:r>
        <w:rPr>
          <w:rFonts w:hint="eastAsia" w:ascii="Times New Roman" w:hAnsi="Times New Roman" w:cs="Times New Roman"/>
          <w:color w:val="auto"/>
          <w:highlight w:val="none"/>
        </w:rPr>
        <w:t>6.</w:t>
      </w:r>
      <w:r>
        <w:rPr>
          <w:rFonts w:ascii="Times New Roman" w:hAnsi="Times New Roman" w:cs="Times New Roman"/>
          <w:color w:val="auto"/>
          <w:highlight w:val="none"/>
        </w:rPr>
        <w:t>验收</w:t>
      </w:r>
      <w:r>
        <w:rPr>
          <w:rFonts w:hint="eastAsia" w:ascii="Times New Roman" w:hAnsi="Times New Roman" w:cs="Times New Roman"/>
          <w:color w:val="auto"/>
          <w:highlight w:val="none"/>
        </w:rPr>
        <w:t>结果：在任一单项验收环节，甲、乙双方代表均应在场，交付的产品</w:t>
      </w:r>
      <w:r>
        <w:rPr>
          <w:color w:val="auto"/>
          <w:highlight w:val="none"/>
        </w:rPr>
        <w:t>或服务成果</w:t>
      </w:r>
      <w:r>
        <w:rPr>
          <w:rFonts w:hint="eastAsia" w:ascii="Times New Roman" w:hAnsi="Times New Roman" w:cs="Times New Roman"/>
          <w:color w:val="auto"/>
          <w:highlight w:val="none"/>
        </w:rPr>
        <w:t>符合验收标准的为单项验收合格，不符合验收标准的为单项验收不合格。验收结果由甲方出具</w:t>
      </w:r>
      <w:r>
        <w:rPr>
          <w:color w:val="auto"/>
          <w:highlight w:val="none"/>
        </w:rPr>
        <w:t>验收结果报告</w:t>
      </w:r>
      <w:r>
        <w:rPr>
          <w:rFonts w:hint="eastAsia"/>
          <w:color w:val="auto"/>
          <w:highlight w:val="none"/>
        </w:rPr>
        <w:t>或</w:t>
      </w:r>
      <w:r>
        <w:rPr>
          <w:color w:val="auto"/>
          <w:highlight w:val="none"/>
        </w:rPr>
        <w:t>验收书</w:t>
      </w:r>
      <w:r>
        <w:rPr>
          <w:rFonts w:hint="eastAsia"/>
          <w:color w:val="auto"/>
          <w:highlight w:val="none"/>
        </w:rPr>
        <w:t>，</w:t>
      </w:r>
      <w:r>
        <w:rPr>
          <w:color w:val="auto"/>
          <w:highlight w:val="none"/>
        </w:rPr>
        <w:t>列明各项标准的验收情况</w:t>
      </w:r>
      <w:r>
        <w:rPr>
          <w:rFonts w:hint="eastAsia"/>
          <w:color w:val="auto"/>
          <w:highlight w:val="none"/>
        </w:rPr>
        <w:t>，由甲、乙双方代表共同签字确认并加盖甲方公章</w:t>
      </w:r>
      <w:r>
        <w:rPr>
          <w:color w:val="auto"/>
          <w:highlight w:val="none"/>
        </w:rPr>
        <w:t>，甲乙双方各执一份</w:t>
      </w:r>
      <w:r>
        <w:rPr>
          <w:rFonts w:hint="eastAsia"/>
          <w:color w:val="auto"/>
          <w:highlight w:val="none"/>
        </w:rPr>
        <w:t>。验收结果报告或验收书经双方代表签字后即视为验收结果已通知甲、乙双方。如乙方对验收结果有异议的，应在验收现场以书面的形式出具说明，否则视为认可验收结果。</w:t>
      </w:r>
    </w:p>
    <w:p w14:paraId="156FE9E3">
      <w:pPr>
        <w:pStyle w:val="27"/>
        <w:spacing w:line="300" w:lineRule="exact"/>
        <w:ind w:firstLine="420" w:firstLineChars="200"/>
        <w:jc w:val="left"/>
        <w:rPr>
          <w:rFonts w:hint="eastAsia"/>
          <w:color w:val="auto"/>
          <w:highlight w:val="none"/>
        </w:rPr>
      </w:pPr>
      <w:r>
        <w:rPr>
          <w:rFonts w:hint="eastAsia" w:ascii="Times New Roman" w:hAnsi="Times New Roman" w:cs="Times New Roman"/>
          <w:color w:val="auto"/>
          <w:highlight w:val="none"/>
        </w:rPr>
        <w:t>7.不予签收或单项验收不合格的，</w:t>
      </w:r>
      <w:r>
        <w:rPr>
          <w:rFonts w:hint="eastAsia"/>
          <w:color w:val="auto"/>
          <w:highlight w:val="none"/>
        </w:rPr>
        <w:t>乙方应在当次验收后</w:t>
      </w:r>
      <w:r>
        <w:rPr>
          <w:rFonts w:hint="eastAsia"/>
          <w:color w:val="auto"/>
          <w:highlight w:val="none"/>
          <w:u w:val="single"/>
        </w:rPr>
        <w:t>5</w:t>
      </w:r>
      <w:r>
        <w:rPr>
          <w:rFonts w:hint="eastAsia"/>
          <w:color w:val="auto"/>
          <w:highlight w:val="none"/>
        </w:rPr>
        <w:t>个工作日内就不符合要求项以补充、更换、修理等甲方认可的方式进行整改并重新验收，未按时进行整改或整改后重新验收仍不合格的</w:t>
      </w:r>
      <w:r>
        <w:rPr>
          <w:color w:val="auto"/>
          <w:highlight w:val="none"/>
        </w:rPr>
        <w:t>视为逾期</w:t>
      </w:r>
      <w:r>
        <w:rPr>
          <w:rFonts w:hint="eastAsia"/>
          <w:color w:val="auto"/>
          <w:highlight w:val="none"/>
        </w:rPr>
        <w:t>交付，逾期交付最长不得超过</w:t>
      </w:r>
      <w:r>
        <w:rPr>
          <w:rFonts w:hint="eastAsia"/>
          <w:color w:val="auto"/>
          <w:highlight w:val="none"/>
          <w:u w:val="single"/>
        </w:rPr>
        <w:t>3</w:t>
      </w:r>
      <w:r>
        <w:rPr>
          <w:color w:val="auto"/>
          <w:highlight w:val="none"/>
          <w:u w:val="single"/>
        </w:rPr>
        <w:t>0</w:t>
      </w:r>
      <w:r>
        <w:rPr>
          <w:rFonts w:hint="eastAsia"/>
          <w:color w:val="auto"/>
          <w:highlight w:val="none"/>
        </w:rPr>
        <w:t>日，超过</w:t>
      </w:r>
      <w:r>
        <w:rPr>
          <w:color w:val="auto"/>
          <w:highlight w:val="none"/>
          <w:u w:val="single"/>
        </w:rPr>
        <w:t>30</w:t>
      </w:r>
      <w:r>
        <w:rPr>
          <w:rFonts w:hint="eastAsia"/>
          <w:color w:val="auto"/>
          <w:highlight w:val="none"/>
        </w:rPr>
        <w:t>日则视为最终验收不合格</w:t>
      </w:r>
      <w:r>
        <w:rPr>
          <w:color w:val="auto"/>
          <w:highlight w:val="none"/>
        </w:rPr>
        <w:t>。</w:t>
      </w:r>
      <w:r>
        <w:rPr>
          <w:rFonts w:hint="eastAsia"/>
          <w:color w:val="auto"/>
          <w:highlight w:val="none"/>
        </w:rPr>
        <w:t>逾期交付不影响本条第1款约定的使用时间。</w:t>
      </w:r>
    </w:p>
    <w:p w14:paraId="1062C591">
      <w:pPr>
        <w:snapToGrid w:val="0"/>
        <w:spacing w:line="360" w:lineRule="exact"/>
        <w:ind w:firstLine="420" w:firstLineChars="200"/>
        <w:rPr>
          <w:color w:val="auto"/>
          <w:szCs w:val="21"/>
          <w:highlight w:val="none"/>
        </w:rPr>
      </w:pPr>
      <w:r>
        <w:rPr>
          <w:rFonts w:hint="eastAsia"/>
          <w:color w:val="auto"/>
          <w:szCs w:val="21"/>
          <w:highlight w:val="none"/>
        </w:rPr>
        <w:t>8</w:t>
      </w:r>
      <w:r>
        <w:rPr>
          <w:color w:val="auto"/>
          <w:szCs w:val="21"/>
          <w:highlight w:val="none"/>
        </w:rPr>
        <w:t>.甲方</w:t>
      </w:r>
      <w:r>
        <w:rPr>
          <w:rFonts w:hint="eastAsia"/>
          <w:color w:val="auto"/>
          <w:highlight w:val="none"/>
        </w:rPr>
        <w:t>有权委托第三方机构组织验收</w:t>
      </w:r>
      <w:r>
        <w:rPr>
          <w:color w:val="auto"/>
          <w:highlight w:val="none"/>
        </w:rPr>
        <w:t>，</w:t>
      </w:r>
      <w:r>
        <w:rPr>
          <w:rFonts w:hint="eastAsia"/>
          <w:color w:val="auto"/>
          <w:highlight w:val="none"/>
        </w:rPr>
        <w:t>验收按上述规定执行，</w:t>
      </w:r>
      <w:r>
        <w:rPr>
          <w:color w:val="auto"/>
          <w:highlight w:val="none"/>
        </w:rPr>
        <w:t>乙方</w:t>
      </w:r>
      <w:r>
        <w:rPr>
          <w:rFonts w:hint="eastAsia"/>
          <w:color w:val="auto"/>
          <w:highlight w:val="none"/>
        </w:rPr>
        <w:t>应予以</w:t>
      </w:r>
      <w:r>
        <w:rPr>
          <w:color w:val="auto"/>
          <w:highlight w:val="none"/>
        </w:rPr>
        <w:t>配合。</w:t>
      </w:r>
    </w:p>
    <w:p w14:paraId="137973E2">
      <w:pPr>
        <w:pStyle w:val="27"/>
        <w:spacing w:line="300" w:lineRule="exact"/>
        <w:ind w:firstLine="420" w:firstLineChars="200"/>
        <w:jc w:val="left"/>
        <w:rPr>
          <w:color w:val="auto"/>
          <w:szCs w:val="21"/>
          <w:highlight w:val="none"/>
        </w:rPr>
      </w:pPr>
      <w:r>
        <w:rPr>
          <w:rFonts w:hint="eastAsia"/>
          <w:color w:val="auto"/>
          <w:szCs w:val="21"/>
          <w:highlight w:val="none"/>
        </w:rPr>
        <w:t>9</w:t>
      </w:r>
      <w:r>
        <w:rPr>
          <w:color w:val="auto"/>
          <w:szCs w:val="21"/>
          <w:highlight w:val="none"/>
        </w:rPr>
        <w:t>. 其他未尽事宜应严格按照《关于印发广西壮族自治区政府采购项目履约验收管理办法的通知》[桂财采〔2015〕22号]以及《财政部关于进一步加强政府采购需求和履约验收管理的指导意见》[财库〔2016〕205号]规定执行。</w:t>
      </w:r>
    </w:p>
    <w:p w14:paraId="5157EA61">
      <w:pPr>
        <w:snapToGrid w:val="0"/>
        <w:spacing w:line="300" w:lineRule="exact"/>
        <w:ind w:firstLine="420" w:firstLineChars="200"/>
        <w:rPr>
          <w:color w:val="auto"/>
          <w:szCs w:val="21"/>
          <w:highlight w:val="none"/>
        </w:rPr>
      </w:pPr>
      <w:r>
        <w:rPr>
          <w:rFonts w:hint="eastAsia"/>
          <w:color w:val="auto"/>
          <w:szCs w:val="21"/>
          <w:highlight w:val="none"/>
        </w:rPr>
        <w:t>10</w:t>
      </w:r>
      <w:r>
        <w:rPr>
          <w:color w:val="auto"/>
          <w:szCs w:val="21"/>
          <w:highlight w:val="none"/>
        </w:rPr>
        <w:t>.甲方委托第三方组织</w:t>
      </w:r>
      <w:r>
        <w:rPr>
          <w:rFonts w:hint="eastAsia"/>
          <w:color w:val="auto"/>
          <w:szCs w:val="21"/>
          <w:highlight w:val="none"/>
        </w:rPr>
        <w:t>验收</w:t>
      </w:r>
      <w:r>
        <w:rPr>
          <w:color w:val="auto"/>
          <w:szCs w:val="21"/>
          <w:highlight w:val="none"/>
        </w:rPr>
        <w:t>的，其验收时间</w:t>
      </w:r>
      <w:r>
        <w:rPr>
          <w:rFonts w:hint="eastAsia"/>
          <w:color w:val="auto"/>
          <w:szCs w:val="21"/>
          <w:highlight w:val="none"/>
        </w:rPr>
        <w:t>、验收程序</w:t>
      </w:r>
      <w:r>
        <w:rPr>
          <w:color w:val="auto"/>
          <w:szCs w:val="21"/>
          <w:highlight w:val="none"/>
        </w:rPr>
        <w:t>以该项目验收方案确定的验收时间</w:t>
      </w:r>
      <w:r>
        <w:rPr>
          <w:rFonts w:hint="eastAsia"/>
          <w:color w:val="auto"/>
          <w:szCs w:val="21"/>
          <w:highlight w:val="none"/>
        </w:rPr>
        <w:t>、验收程序</w:t>
      </w:r>
      <w:r>
        <w:rPr>
          <w:color w:val="auto"/>
          <w:szCs w:val="21"/>
          <w:highlight w:val="none"/>
        </w:rPr>
        <w:t>为准，验收结果以该项目验收报告结论为准。</w:t>
      </w:r>
    </w:p>
    <w:p w14:paraId="23BA2884">
      <w:pPr>
        <w:snapToGrid w:val="0"/>
        <w:spacing w:line="300" w:lineRule="exact"/>
        <w:ind w:firstLine="420" w:firstLineChars="200"/>
        <w:rPr>
          <w:rFonts w:hint="eastAsia" w:ascii="Times New Roman" w:hAnsi="Times New Roman" w:cs="Times New Roman"/>
          <w:color w:val="auto"/>
          <w:highlight w:val="none"/>
        </w:rPr>
      </w:pPr>
      <w:r>
        <w:rPr>
          <w:rFonts w:hint="eastAsia" w:ascii="Times New Roman" w:hAnsi="Times New Roman" w:cs="Times New Roman"/>
          <w:color w:val="auto"/>
          <w:highlight w:val="none"/>
        </w:rPr>
        <w:t>11</w:t>
      </w:r>
      <w:r>
        <w:rPr>
          <w:rFonts w:ascii="Times New Roman" w:hAnsi="Times New Roman" w:cs="Times New Roman"/>
          <w:color w:val="auto"/>
          <w:highlight w:val="none"/>
        </w:rPr>
        <w:t>.</w:t>
      </w:r>
      <w:r>
        <w:rPr>
          <w:rFonts w:hint="eastAsia" w:ascii="Times New Roman" w:hAnsi="Times New Roman" w:cs="Times New Roman"/>
          <w:color w:val="auto"/>
          <w:highlight w:val="none"/>
        </w:rPr>
        <w:t>履约验收方案详见附件。</w:t>
      </w:r>
    </w:p>
    <w:p w14:paraId="393E24F4">
      <w:pPr>
        <w:snapToGrid w:val="0"/>
        <w:spacing w:line="360" w:lineRule="exact"/>
        <w:ind w:firstLine="422" w:firstLineChars="200"/>
        <w:rPr>
          <w:b/>
          <w:color w:val="auto"/>
          <w:szCs w:val="21"/>
          <w:highlight w:val="none"/>
        </w:rPr>
      </w:pPr>
      <w:r>
        <w:rPr>
          <w:b/>
          <w:color w:val="auto"/>
          <w:szCs w:val="21"/>
          <w:highlight w:val="none"/>
        </w:rPr>
        <w:t>第七条  安装和培训</w:t>
      </w:r>
    </w:p>
    <w:p w14:paraId="58F9B9BA">
      <w:pPr>
        <w:snapToGrid w:val="0"/>
        <w:spacing w:line="360" w:lineRule="exact"/>
        <w:ind w:firstLine="420" w:firstLineChars="200"/>
        <w:rPr>
          <w:color w:val="auto"/>
          <w:szCs w:val="21"/>
          <w:highlight w:val="none"/>
        </w:rPr>
      </w:pPr>
      <w:r>
        <w:rPr>
          <w:color w:val="auto"/>
          <w:szCs w:val="21"/>
          <w:highlight w:val="none"/>
        </w:rPr>
        <w:t>1.甲方应提供必要安装条件（如场地、电源、水源等）。</w:t>
      </w:r>
    </w:p>
    <w:p w14:paraId="4E34B052">
      <w:pPr>
        <w:snapToGrid w:val="0"/>
        <w:spacing w:line="360" w:lineRule="exact"/>
        <w:ind w:firstLine="420" w:firstLineChars="200"/>
        <w:rPr>
          <w:color w:val="auto"/>
          <w:szCs w:val="21"/>
          <w:highlight w:val="none"/>
          <w:u w:val="single"/>
        </w:rPr>
      </w:pPr>
      <w:r>
        <w:rPr>
          <w:color w:val="auto"/>
          <w:szCs w:val="21"/>
          <w:highlight w:val="none"/>
        </w:rPr>
        <w:t>2.乙方负责甲方有关人员的培训。培训时间、地点：</w:t>
      </w:r>
      <w:r>
        <w:rPr>
          <w:color w:val="auto"/>
          <w:szCs w:val="21"/>
          <w:highlight w:val="none"/>
          <w:u w:val="single"/>
        </w:rPr>
        <w:t xml:space="preserve"> 由甲方决定。</w:t>
      </w:r>
    </w:p>
    <w:p w14:paraId="57839485">
      <w:pPr>
        <w:snapToGrid w:val="0"/>
        <w:spacing w:line="360" w:lineRule="exact"/>
        <w:ind w:firstLine="422" w:firstLineChars="200"/>
        <w:rPr>
          <w:b/>
          <w:color w:val="auto"/>
          <w:szCs w:val="21"/>
          <w:highlight w:val="none"/>
        </w:rPr>
      </w:pPr>
      <w:r>
        <w:rPr>
          <w:b/>
          <w:color w:val="auto"/>
          <w:szCs w:val="21"/>
          <w:highlight w:val="none"/>
        </w:rPr>
        <w:t>第八条  售后服务、质保期</w:t>
      </w:r>
    </w:p>
    <w:p w14:paraId="449861FB">
      <w:pPr>
        <w:snapToGrid w:val="0"/>
        <w:spacing w:line="276" w:lineRule="auto"/>
        <w:ind w:firstLine="420" w:firstLineChars="200"/>
        <w:rPr>
          <w:color w:val="auto"/>
          <w:szCs w:val="21"/>
          <w:highlight w:val="none"/>
        </w:rPr>
      </w:pPr>
      <w:r>
        <w:rPr>
          <w:color w:val="auto"/>
          <w:szCs w:val="21"/>
          <w:highlight w:val="none"/>
        </w:rPr>
        <w:t>1.乙方应按照国家有关法律法规和“三包”规定以及</w:t>
      </w:r>
      <w:r>
        <w:rPr>
          <w:rFonts w:hint="eastAsia"/>
          <w:color w:val="auto"/>
          <w:szCs w:val="21"/>
          <w:highlight w:val="none"/>
        </w:rPr>
        <w:t>采购文件、响应文件</w:t>
      </w:r>
      <w:r>
        <w:rPr>
          <w:color w:val="auto"/>
          <w:szCs w:val="21"/>
          <w:highlight w:val="none"/>
        </w:rPr>
        <w:t>和本合同附件，为甲方提供售后服务。</w:t>
      </w:r>
    </w:p>
    <w:p w14:paraId="79731C0F">
      <w:pPr>
        <w:snapToGrid w:val="0"/>
        <w:spacing w:line="276" w:lineRule="auto"/>
        <w:ind w:firstLine="420" w:firstLineChars="200"/>
        <w:rPr>
          <w:color w:val="auto"/>
          <w:szCs w:val="21"/>
          <w:highlight w:val="none"/>
          <w:u w:val="single"/>
        </w:rPr>
      </w:pPr>
      <w:r>
        <w:rPr>
          <w:color w:val="auto"/>
          <w:szCs w:val="21"/>
          <w:highlight w:val="none"/>
        </w:rPr>
        <w:t>2.</w:t>
      </w:r>
      <w:r>
        <w:rPr>
          <w:rFonts w:hint="eastAsia"/>
          <w:color w:val="auto"/>
          <w:szCs w:val="21"/>
          <w:highlight w:val="none"/>
        </w:rPr>
        <w:t>产品</w:t>
      </w:r>
      <w:r>
        <w:rPr>
          <w:color w:val="auto"/>
          <w:szCs w:val="21"/>
          <w:highlight w:val="none"/>
        </w:rPr>
        <w:t>或服务成果质保期：</w:t>
      </w:r>
      <w:r>
        <w:rPr>
          <w:color w:val="auto"/>
          <w:szCs w:val="21"/>
          <w:highlight w:val="none"/>
          <w:u w:val="single"/>
        </w:rPr>
        <w:t>按乙方承诺，但是不得低于国家相关标准</w:t>
      </w:r>
      <w:r>
        <w:rPr>
          <w:color w:val="auto"/>
          <w:szCs w:val="21"/>
          <w:highlight w:val="none"/>
        </w:rPr>
        <w:t>。</w:t>
      </w:r>
    </w:p>
    <w:p w14:paraId="1E92C6C1">
      <w:pPr>
        <w:snapToGrid w:val="0"/>
        <w:spacing w:line="276" w:lineRule="auto"/>
        <w:ind w:firstLine="420" w:firstLineChars="200"/>
        <w:rPr>
          <w:color w:val="auto"/>
          <w:szCs w:val="21"/>
          <w:highlight w:val="none"/>
        </w:rPr>
      </w:pPr>
      <w:r>
        <w:rPr>
          <w:color w:val="auto"/>
          <w:szCs w:val="21"/>
          <w:highlight w:val="none"/>
        </w:rPr>
        <w:t>3.按采购文件规定的服务质量标准，并达到或优于中标人承诺的标准。</w:t>
      </w:r>
    </w:p>
    <w:p w14:paraId="15382880">
      <w:pPr>
        <w:snapToGrid w:val="0"/>
        <w:spacing w:line="276" w:lineRule="auto"/>
        <w:ind w:firstLine="420" w:firstLineChars="200"/>
        <w:rPr>
          <w:rFonts w:hint="eastAsia"/>
          <w:color w:val="auto"/>
          <w:szCs w:val="21"/>
          <w:highlight w:val="none"/>
        </w:rPr>
      </w:pPr>
      <w:r>
        <w:rPr>
          <w:color w:val="auto"/>
          <w:szCs w:val="21"/>
          <w:highlight w:val="none"/>
        </w:rPr>
        <w:t>4.乙方所提供的</w:t>
      </w:r>
      <w:r>
        <w:rPr>
          <w:rFonts w:hint="eastAsia"/>
          <w:color w:val="auto"/>
          <w:szCs w:val="21"/>
          <w:highlight w:val="none"/>
        </w:rPr>
        <w:t>服务内容、标准</w:t>
      </w:r>
      <w:r>
        <w:rPr>
          <w:color w:val="auto"/>
          <w:szCs w:val="21"/>
          <w:highlight w:val="none"/>
        </w:rPr>
        <w:t>必须与</w:t>
      </w:r>
      <w:r>
        <w:rPr>
          <w:rFonts w:hint="eastAsia"/>
          <w:color w:val="auto"/>
          <w:szCs w:val="21"/>
          <w:highlight w:val="none"/>
        </w:rPr>
        <w:t>采购文件、响应文件</w:t>
      </w:r>
      <w:r>
        <w:rPr>
          <w:color w:val="auto"/>
          <w:szCs w:val="21"/>
          <w:highlight w:val="none"/>
        </w:rPr>
        <w:t>和承诺相一致。</w:t>
      </w:r>
    </w:p>
    <w:p w14:paraId="343E3E37">
      <w:pPr>
        <w:snapToGrid w:val="0"/>
        <w:spacing w:line="276" w:lineRule="auto"/>
        <w:ind w:firstLine="420" w:firstLineChars="200"/>
        <w:rPr>
          <w:color w:val="auto"/>
          <w:szCs w:val="21"/>
          <w:highlight w:val="none"/>
        </w:rPr>
      </w:pPr>
      <w:r>
        <w:rPr>
          <w:color w:val="auto"/>
          <w:szCs w:val="21"/>
          <w:highlight w:val="none"/>
        </w:rPr>
        <w:t>5.如在使用过程中发生质量问题，乙方在接到甲方通知后在</w:t>
      </w:r>
      <w:r>
        <w:rPr>
          <w:color w:val="auto"/>
          <w:szCs w:val="21"/>
          <w:highlight w:val="none"/>
          <w:u w:val="single"/>
        </w:rPr>
        <w:t xml:space="preserve">    </w:t>
      </w:r>
      <w:r>
        <w:rPr>
          <w:color w:val="auto"/>
          <w:szCs w:val="21"/>
          <w:highlight w:val="none"/>
        </w:rPr>
        <w:t>小时内到达甲方现场。</w:t>
      </w:r>
    </w:p>
    <w:p w14:paraId="30B7F5EE">
      <w:pPr>
        <w:snapToGrid w:val="0"/>
        <w:spacing w:line="276" w:lineRule="auto"/>
        <w:ind w:firstLine="420" w:firstLineChars="200"/>
        <w:rPr>
          <w:color w:val="auto"/>
          <w:szCs w:val="21"/>
          <w:highlight w:val="none"/>
        </w:rPr>
      </w:pPr>
      <w:r>
        <w:rPr>
          <w:color w:val="auto"/>
          <w:szCs w:val="21"/>
          <w:highlight w:val="none"/>
        </w:rPr>
        <w:t>6.在质保期内，乙方应对</w:t>
      </w:r>
      <w:r>
        <w:rPr>
          <w:rFonts w:hint="eastAsia"/>
          <w:color w:val="auto"/>
          <w:szCs w:val="21"/>
          <w:highlight w:val="none"/>
        </w:rPr>
        <w:t>产品</w:t>
      </w:r>
      <w:r>
        <w:rPr>
          <w:color w:val="auto"/>
          <w:szCs w:val="21"/>
          <w:highlight w:val="none"/>
        </w:rPr>
        <w:t>或服务成果出现的质量及安全问题负责处理解决并承担一切费用。</w:t>
      </w:r>
    </w:p>
    <w:p w14:paraId="5C4A9BEF">
      <w:pPr>
        <w:snapToGrid w:val="0"/>
        <w:spacing w:line="276" w:lineRule="auto"/>
        <w:ind w:firstLine="420" w:firstLineChars="200"/>
        <w:rPr>
          <w:rFonts w:hint="eastAsia"/>
          <w:color w:val="auto"/>
          <w:szCs w:val="21"/>
          <w:highlight w:val="none"/>
        </w:rPr>
      </w:pPr>
      <w:r>
        <w:rPr>
          <w:rFonts w:hint="eastAsia"/>
          <w:color w:val="auto"/>
          <w:szCs w:val="21"/>
          <w:highlight w:val="none"/>
        </w:rPr>
        <w:t>7</w:t>
      </w:r>
      <w:r>
        <w:rPr>
          <w:color w:val="auto"/>
          <w:szCs w:val="21"/>
          <w:highlight w:val="none"/>
        </w:rPr>
        <w:t>.乙方提供的服务承诺和售后服务及质保期责任等其它具体约定事项。</w:t>
      </w:r>
    </w:p>
    <w:p w14:paraId="2D040710">
      <w:pPr>
        <w:snapToGrid w:val="0"/>
        <w:spacing w:line="360" w:lineRule="exact"/>
        <w:ind w:firstLine="422" w:firstLineChars="200"/>
        <w:rPr>
          <w:color w:val="auto"/>
          <w:szCs w:val="21"/>
          <w:highlight w:val="none"/>
        </w:rPr>
      </w:pPr>
      <w:r>
        <w:rPr>
          <w:b/>
          <w:color w:val="auto"/>
          <w:szCs w:val="21"/>
          <w:highlight w:val="none"/>
        </w:rPr>
        <w:t>第九条　付款方式</w:t>
      </w:r>
    </w:p>
    <w:p w14:paraId="20AD9E18">
      <w:pPr>
        <w:snapToGrid w:val="0"/>
        <w:spacing w:line="360" w:lineRule="exact"/>
        <w:ind w:firstLine="420" w:firstLineChars="200"/>
        <w:rPr>
          <w:color w:val="auto"/>
          <w:szCs w:val="21"/>
          <w:highlight w:val="none"/>
        </w:rPr>
      </w:pPr>
      <w:r>
        <w:rPr>
          <w:color w:val="auto"/>
          <w:szCs w:val="21"/>
          <w:highlight w:val="none"/>
        </w:rPr>
        <w:t>1.资金性质：</w:t>
      </w:r>
      <w:r>
        <w:rPr>
          <w:color w:val="auto"/>
          <w:szCs w:val="21"/>
          <w:highlight w:val="none"/>
          <w:u w:val="single"/>
        </w:rPr>
        <w:t>财政性资金。</w:t>
      </w:r>
      <w:bookmarkStart w:id="102" w:name="_GoBack"/>
      <w:bookmarkEnd w:id="102"/>
    </w:p>
    <w:p w14:paraId="7E05A2DD">
      <w:pPr>
        <w:snapToGrid w:val="0"/>
        <w:spacing w:line="360" w:lineRule="exact"/>
        <w:ind w:firstLine="420" w:firstLineChars="200"/>
        <w:rPr>
          <w:color w:val="auto"/>
          <w:szCs w:val="21"/>
          <w:highlight w:val="none"/>
        </w:rPr>
      </w:pPr>
      <w:r>
        <w:rPr>
          <w:color w:val="auto"/>
          <w:szCs w:val="21"/>
          <w:highlight w:val="none"/>
        </w:rPr>
        <w:t>2.付款方式：</w:t>
      </w:r>
    </w:p>
    <w:p w14:paraId="07DFB8B1">
      <w:pPr>
        <w:snapToGrid w:val="0"/>
        <w:spacing w:line="300" w:lineRule="exact"/>
        <w:ind w:firstLine="420" w:firstLineChars="200"/>
        <w:rPr>
          <w:color w:val="auto"/>
          <w:szCs w:val="21"/>
          <w:highlight w:val="none"/>
        </w:rPr>
      </w:pPr>
      <w:r>
        <w:rPr>
          <w:rFonts w:hint="eastAsia" w:ascii="宋体" w:hAnsi="宋体" w:eastAsia="宋体" w:cs="宋体"/>
          <w:color w:val="auto"/>
          <w:highlight w:val="none"/>
          <w:lang w:eastAsia="zh-CN"/>
        </w:rPr>
        <w:t>双方签订采购合同后</w:t>
      </w:r>
      <w:r>
        <w:rPr>
          <w:rFonts w:hint="eastAsia" w:ascii="宋体" w:hAnsi="宋体" w:cs="宋体"/>
          <w:color w:val="auto"/>
          <w:highlight w:val="none"/>
          <w:lang w:val="en-US" w:eastAsia="zh-CN"/>
        </w:rPr>
        <w:t>3</w:t>
      </w:r>
      <w:r>
        <w:rPr>
          <w:rFonts w:hint="eastAsia" w:ascii="宋体" w:hAnsi="宋体" w:eastAsia="宋体" w:cs="宋体"/>
          <w:color w:val="auto"/>
          <w:highlight w:val="none"/>
          <w:lang w:eastAsia="zh-CN"/>
        </w:rPr>
        <w:t>0个工作日内，</w:t>
      </w:r>
      <w:r>
        <w:rPr>
          <w:rFonts w:hint="eastAsia" w:ascii="宋体" w:hAnsi="宋体" w:eastAsia="宋体" w:cs="宋体"/>
          <w:color w:val="auto"/>
          <w:highlight w:val="none"/>
          <w:lang w:val="en-US" w:eastAsia="zh-CN"/>
        </w:rPr>
        <w:t>甲方</w:t>
      </w:r>
      <w:r>
        <w:rPr>
          <w:rFonts w:hint="eastAsia" w:ascii="宋体" w:hAnsi="宋体" w:eastAsia="宋体" w:cs="宋体"/>
          <w:color w:val="auto"/>
          <w:highlight w:val="none"/>
          <w:lang w:eastAsia="zh-CN"/>
        </w:rPr>
        <w:t>支付合同金额的30%作为合同预付款；在签订合同时，</w:t>
      </w:r>
      <w:r>
        <w:rPr>
          <w:rFonts w:hint="eastAsia" w:ascii="宋体" w:hAnsi="宋体" w:eastAsia="宋体" w:cs="宋体"/>
          <w:color w:val="auto"/>
          <w:highlight w:val="none"/>
          <w:lang w:val="en-US" w:eastAsia="zh-CN"/>
        </w:rPr>
        <w:t>乙方</w:t>
      </w:r>
      <w:r>
        <w:rPr>
          <w:rFonts w:hint="eastAsia" w:ascii="宋体" w:hAnsi="宋体" w:eastAsia="宋体" w:cs="宋体"/>
          <w:color w:val="auto"/>
          <w:highlight w:val="none"/>
          <w:lang w:eastAsia="zh-CN"/>
        </w:rPr>
        <w:t>明确表示无需预付款或者主动要求降低预付款比例的，</w:t>
      </w:r>
      <w:r>
        <w:rPr>
          <w:rFonts w:hint="eastAsia" w:ascii="宋体" w:hAnsi="宋体" w:eastAsia="宋体" w:cs="宋体"/>
          <w:color w:val="auto"/>
          <w:highlight w:val="none"/>
          <w:lang w:val="en-US" w:eastAsia="zh-CN"/>
        </w:rPr>
        <w:t>甲方</w:t>
      </w:r>
      <w:r>
        <w:rPr>
          <w:rFonts w:hint="eastAsia" w:ascii="宋体" w:hAnsi="宋体" w:eastAsia="宋体" w:cs="宋体"/>
          <w:color w:val="auto"/>
          <w:highlight w:val="none"/>
          <w:lang w:eastAsia="zh-CN"/>
        </w:rPr>
        <w:t>可不适用前述规定</w:t>
      </w:r>
      <w:r>
        <w:rPr>
          <w:rFonts w:hint="eastAsia" w:ascii="宋体" w:hAnsi="宋体" w:eastAsia="宋体" w:cs="宋体"/>
          <w:i w:val="0"/>
          <w:iCs w:val="0"/>
          <w:color w:val="auto"/>
          <w:kern w:val="0"/>
          <w:sz w:val="21"/>
          <w:szCs w:val="21"/>
          <w:highlight w:val="none"/>
          <w:u w:val="none"/>
          <w:lang w:val="en-US" w:eastAsia="zh-CN" w:bidi="ar"/>
        </w:rPr>
        <w:t>。服务技术设备到货并通过</w:t>
      </w:r>
      <w:r>
        <w:rPr>
          <w:rFonts w:hint="eastAsia" w:ascii="宋体" w:hAnsi="宋体" w:eastAsia="宋体" w:cs="宋体"/>
          <w:color w:val="auto"/>
          <w:highlight w:val="none"/>
          <w:lang w:val="en-US" w:eastAsia="zh-CN"/>
        </w:rPr>
        <w:t>甲方</w:t>
      </w:r>
      <w:r>
        <w:rPr>
          <w:rFonts w:hint="eastAsia" w:ascii="宋体" w:hAnsi="宋体" w:eastAsia="宋体" w:cs="宋体"/>
          <w:i w:val="0"/>
          <w:iCs w:val="0"/>
          <w:color w:val="auto"/>
          <w:kern w:val="0"/>
          <w:sz w:val="21"/>
          <w:szCs w:val="21"/>
          <w:highlight w:val="none"/>
          <w:u w:val="none"/>
          <w:lang w:val="en-US" w:eastAsia="zh-CN" w:bidi="ar"/>
        </w:rPr>
        <w:t>验收合格，服务期满</w:t>
      </w:r>
      <w:r>
        <w:rPr>
          <w:rFonts w:hint="eastAsia" w:ascii="宋体" w:hAnsi="宋体" w:cs="宋体"/>
          <w:i w:val="0"/>
          <w:iCs w:val="0"/>
          <w:color w:val="auto"/>
          <w:kern w:val="0"/>
          <w:sz w:val="21"/>
          <w:szCs w:val="21"/>
          <w:highlight w:val="none"/>
          <w:u w:val="none"/>
          <w:lang w:val="en-US" w:eastAsia="zh-CN" w:bidi="ar"/>
        </w:rPr>
        <w:t>12</w:t>
      </w:r>
      <w:r>
        <w:rPr>
          <w:rFonts w:hint="eastAsia" w:ascii="宋体" w:hAnsi="宋体" w:eastAsia="宋体" w:cs="宋体"/>
          <w:i w:val="0"/>
          <w:iCs w:val="0"/>
          <w:color w:val="auto"/>
          <w:kern w:val="0"/>
          <w:sz w:val="21"/>
          <w:szCs w:val="21"/>
          <w:highlight w:val="none"/>
          <w:u w:val="none"/>
          <w:lang w:val="en-US" w:eastAsia="zh-CN" w:bidi="ar"/>
        </w:rPr>
        <w:t>个月后，支付40%合同款。服务期满</w:t>
      </w:r>
      <w:r>
        <w:rPr>
          <w:rFonts w:hint="eastAsia" w:ascii="宋体" w:hAnsi="宋体" w:cs="宋体"/>
          <w:i w:val="0"/>
          <w:iCs w:val="0"/>
          <w:color w:val="auto"/>
          <w:kern w:val="0"/>
          <w:sz w:val="21"/>
          <w:szCs w:val="21"/>
          <w:highlight w:val="none"/>
          <w:u w:val="none"/>
          <w:lang w:val="en-US" w:eastAsia="zh-CN" w:bidi="ar"/>
        </w:rPr>
        <w:t>24</w:t>
      </w:r>
      <w:r>
        <w:rPr>
          <w:rFonts w:hint="eastAsia" w:ascii="宋体" w:hAnsi="宋体" w:eastAsia="宋体" w:cs="宋体"/>
          <w:i w:val="0"/>
          <w:iCs w:val="0"/>
          <w:color w:val="auto"/>
          <w:kern w:val="0"/>
          <w:sz w:val="21"/>
          <w:szCs w:val="21"/>
          <w:highlight w:val="none"/>
          <w:u w:val="none"/>
          <w:lang w:val="en-US" w:eastAsia="zh-CN" w:bidi="ar"/>
        </w:rPr>
        <w:t>个月后，乙方向</w:t>
      </w:r>
      <w:r>
        <w:rPr>
          <w:rFonts w:hint="eastAsia" w:ascii="宋体" w:hAnsi="宋体" w:eastAsia="宋体" w:cs="宋体"/>
          <w:color w:val="auto"/>
          <w:highlight w:val="none"/>
          <w:lang w:val="en-US" w:eastAsia="zh-CN"/>
        </w:rPr>
        <w:t>甲方</w:t>
      </w:r>
      <w:r>
        <w:rPr>
          <w:rFonts w:hint="eastAsia" w:ascii="宋体" w:hAnsi="宋体" w:eastAsia="宋体" w:cs="宋体"/>
          <w:i w:val="0"/>
          <w:iCs w:val="0"/>
          <w:color w:val="auto"/>
          <w:kern w:val="0"/>
          <w:sz w:val="21"/>
          <w:szCs w:val="21"/>
          <w:highlight w:val="none"/>
          <w:u w:val="none"/>
          <w:lang w:val="en-US" w:eastAsia="zh-CN" w:bidi="ar"/>
        </w:rPr>
        <w:t>提请支付剩余的合同款（30%）。</w:t>
      </w:r>
    </w:p>
    <w:p w14:paraId="5B6DFE0F">
      <w:pPr>
        <w:snapToGrid w:val="0"/>
        <w:spacing w:line="360" w:lineRule="exact"/>
        <w:ind w:firstLine="422" w:firstLineChars="200"/>
        <w:rPr>
          <w:b/>
          <w:color w:val="auto"/>
          <w:szCs w:val="21"/>
          <w:highlight w:val="none"/>
        </w:rPr>
      </w:pPr>
      <w:r>
        <w:rPr>
          <w:b/>
          <w:color w:val="auto"/>
          <w:szCs w:val="21"/>
          <w:highlight w:val="none"/>
        </w:rPr>
        <w:t>第十条</w:t>
      </w:r>
      <w:r>
        <w:rPr>
          <w:rFonts w:hint="eastAsia"/>
          <w:b/>
          <w:color w:val="auto"/>
          <w:szCs w:val="21"/>
          <w:highlight w:val="none"/>
          <w:lang w:val="en-US" w:eastAsia="zh-CN"/>
        </w:rPr>
        <w:t xml:space="preserve"> </w:t>
      </w:r>
      <w:r>
        <w:rPr>
          <w:b/>
          <w:color w:val="auto"/>
          <w:szCs w:val="21"/>
          <w:highlight w:val="none"/>
        </w:rPr>
        <w:t xml:space="preserve">履约保证金   </w:t>
      </w:r>
    </w:p>
    <w:p w14:paraId="4BB50193">
      <w:pPr>
        <w:snapToGrid w:val="0"/>
        <w:spacing w:line="360" w:lineRule="exact"/>
        <w:ind w:firstLine="422" w:firstLineChars="200"/>
        <w:rPr>
          <w:rFonts w:hint="eastAsia" w:eastAsia="宋体"/>
          <w:b/>
          <w:color w:val="auto"/>
          <w:szCs w:val="21"/>
          <w:highlight w:val="none"/>
          <w:lang w:eastAsia="zh-CN"/>
        </w:rPr>
      </w:pPr>
      <w:r>
        <w:rPr>
          <w:rFonts w:hint="eastAsia"/>
          <w:b/>
          <w:color w:val="auto"/>
          <w:szCs w:val="21"/>
          <w:highlight w:val="none"/>
          <w:lang w:eastAsia="zh-CN"/>
        </w:rPr>
        <w:t>无</w:t>
      </w:r>
    </w:p>
    <w:p w14:paraId="2EBB1DB9">
      <w:pPr>
        <w:snapToGrid w:val="0"/>
        <w:spacing w:line="360" w:lineRule="exact"/>
        <w:ind w:firstLine="422" w:firstLineChars="200"/>
        <w:rPr>
          <w:b/>
          <w:color w:val="auto"/>
          <w:szCs w:val="21"/>
          <w:highlight w:val="none"/>
        </w:rPr>
      </w:pPr>
      <w:r>
        <w:rPr>
          <w:b/>
          <w:color w:val="auto"/>
          <w:szCs w:val="21"/>
          <w:highlight w:val="none"/>
        </w:rPr>
        <w:t>第十一条 税费</w:t>
      </w:r>
    </w:p>
    <w:p w14:paraId="5A41C28F">
      <w:pPr>
        <w:snapToGrid w:val="0"/>
        <w:spacing w:line="360" w:lineRule="exact"/>
        <w:ind w:firstLine="420" w:firstLineChars="200"/>
        <w:rPr>
          <w:color w:val="auto"/>
          <w:szCs w:val="21"/>
          <w:highlight w:val="none"/>
        </w:rPr>
      </w:pPr>
      <w:r>
        <w:rPr>
          <w:color w:val="auto"/>
          <w:szCs w:val="21"/>
          <w:highlight w:val="none"/>
        </w:rPr>
        <w:t>本合同执行中相关的一切税费均由乙方</w:t>
      </w:r>
      <w:r>
        <w:rPr>
          <w:rFonts w:hint="eastAsia"/>
          <w:color w:val="auto"/>
          <w:szCs w:val="21"/>
          <w:highlight w:val="none"/>
        </w:rPr>
        <w:t>承</w:t>
      </w:r>
      <w:r>
        <w:rPr>
          <w:color w:val="auto"/>
          <w:szCs w:val="21"/>
          <w:highlight w:val="none"/>
        </w:rPr>
        <w:t>担。</w:t>
      </w:r>
    </w:p>
    <w:p w14:paraId="1563135B">
      <w:pPr>
        <w:snapToGrid w:val="0"/>
        <w:spacing w:line="360" w:lineRule="exact"/>
        <w:ind w:firstLine="422" w:firstLineChars="200"/>
        <w:rPr>
          <w:b/>
          <w:color w:val="auto"/>
          <w:szCs w:val="21"/>
          <w:highlight w:val="none"/>
        </w:rPr>
      </w:pPr>
      <w:r>
        <w:rPr>
          <w:b/>
          <w:color w:val="auto"/>
          <w:szCs w:val="21"/>
          <w:highlight w:val="none"/>
        </w:rPr>
        <w:t>第十</w:t>
      </w:r>
      <w:r>
        <w:rPr>
          <w:rFonts w:hint="eastAsia"/>
          <w:b/>
          <w:color w:val="auto"/>
          <w:szCs w:val="21"/>
          <w:highlight w:val="none"/>
        </w:rPr>
        <w:t>二</w:t>
      </w:r>
      <w:r>
        <w:rPr>
          <w:b/>
          <w:color w:val="auto"/>
          <w:szCs w:val="21"/>
          <w:highlight w:val="none"/>
        </w:rPr>
        <w:t>条　违约责任</w:t>
      </w:r>
    </w:p>
    <w:p w14:paraId="25D33A8D">
      <w:pPr>
        <w:snapToGrid w:val="0"/>
        <w:spacing w:line="300" w:lineRule="exact"/>
        <w:ind w:firstLine="420" w:firstLineChars="200"/>
        <w:rPr>
          <w:color w:val="auto"/>
          <w:szCs w:val="21"/>
          <w:highlight w:val="none"/>
        </w:rPr>
      </w:pPr>
      <w:r>
        <w:rPr>
          <w:color w:val="auto"/>
          <w:szCs w:val="21"/>
          <w:highlight w:val="none"/>
        </w:rPr>
        <w:t>1.</w:t>
      </w:r>
      <w:r>
        <w:rPr>
          <w:rFonts w:eastAsia="微软雅黑"/>
          <w:color w:val="auto"/>
          <w:szCs w:val="21"/>
          <w:highlight w:val="none"/>
        </w:rPr>
        <w:t xml:space="preserve"> </w:t>
      </w:r>
      <w:r>
        <w:rPr>
          <w:color w:val="auto"/>
          <w:szCs w:val="21"/>
          <w:highlight w:val="none"/>
        </w:rPr>
        <w:t>若因乙方原因而未能履行合同或最终验收不合格的，甲方</w:t>
      </w:r>
      <w:r>
        <w:rPr>
          <w:rFonts w:hint="eastAsia"/>
          <w:color w:val="auto"/>
          <w:szCs w:val="21"/>
          <w:highlight w:val="none"/>
        </w:rPr>
        <w:t>有权</w:t>
      </w:r>
      <w:r>
        <w:rPr>
          <w:color w:val="auto"/>
          <w:szCs w:val="21"/>
          <w:highlight w:val="none"/>
        </w:rPr>
        <w:t>解除合同，由此产生的费用由乙方承担</w:t>
      </w:r>
      <w:r>
        <w:rPr>
          <w:rFonts w:hint="eastAsia"/>
          <w:color w:val="auto"/>
          <w:szCs w:val="21"/>
          <w:highlight w:val="none"/>
        </w:rPr>
        <w:t>，给甲方造成其他损失的，乙方应进行赔偿，并承担甲方追究的其他违约责任。</w:t>
      </w:r>
    </w:p>
    <w:p w14:paraId="446AAD87">
      <w:pPr>
        <w:snapToGrid w:val="0"/>
        <w:spacing w:line="300" w:lineRule="exact"/>
        <w:ind w:firstLine="420" w:firstLineChars="200"/>
        <w:rPr>
          <w:color w:val="auto"/>
          <w:szCs w:val="21"/>
          <w:highlight w:val="none"/>
        </w:rPr>
      </w:pPr>
      <w:r>
        <w:rPr>
          <w:rFonts w:hint="eastAsia"/>
          <w:color w:val="auto"/>
          <w:szCs w:val="21"/>
          <w:highlight w:val="none"/>
        </w:rPr>
        <w:t>2</w:t>
      </w:r>
      <w:r>
        <w:rPr>
          <w:color w:val="auto"/>
          <w:szCs w:val="21"/>
          <w:highlight w:val="none"/>
        </w:rPr>
        <w:t>.乙方逾期交</w:t>
      </w:r>
      <w:r>
        <w:rPr>
          <w:rFonts w:hint="eastAsia"/>
          <w:color w:val="auto"/>
          <w:szCs w:val="21"/>
          <w:highlight w:val="none"/>
        </w:rPr>
        <w:t>付产品</w:t>
      </w:r>
      <w:r>
        <w:rPr>
          <w:color w:val="auto"/>
          <w:szCs w:val="21"/>
          <w:highlight w:val="none"/>
        </w:rPr>
        <w:t>或服务成果的，</w:t>
      </w:r>
      <w:r>
        <w:rPr>
          <w:rFonts w:hint="eastAsia"/>
          <w:color w:val="auto"/>
          <w:szCs w:val="21"/>
          <w:highlight w:val="none"/>
        </w:rPr>
        <w:t>应</w:t>
      </w:r>
      <w:r>
        <w:rPr>
          <w:color w:val="auto"/>
          <w:szCs w:val="21"/>
          <w:highlight w:val="none"/>
        </w:rPr>
        <w:t>向</w:t>
      </w:r>
      <w:r>
        <w:rPr>
          <w:rFonts w:hint="eastAsia"/>
          <w:color w:val="auto"/>
          <w:szCs w:val="21"/>
          <w:highlight w:val="none"/>
        </w:rPr>
        <w:t>甲</w:t>
      </w:r>
      <w:r>
        <w:rPr>
          <w:color w:val="auto"/>
          <w:szCs w:val="21"/>
          <w:highlight w:val="none"/>
        </w:rPr>
        <w:t>方</w:t>
      </w:r>
      <w:r>
        <w:rPr>
          <w:rFonts w:hint="eastAsia"/>
          <w:color w:val="auto"/>
          <w:szCs w:val="21"/>
          <w:highlight w:val="none"/>
        </w:rPr>
        <w:t>支付</w:t>
      </w:r>
      <w:r>
        <w:rPr>
          <w:color w:val="auto"/>
          <w:szCs w:val="21"/>
          <w:highlight w:val="none"/>
        </w:rPr>
        <w:t>违约</w:t>
      </w:r>
      <w:r>
        <w:rPr>
          <w:rFonts w:hint="eastAsia"/>
          <w:color w:val="auto"/>
          <w:szCs w:val="21"/>
          <w:highlight w:val="none"/>
        </w:rPr>
        <w:t>金，标准为合同总价</w:t>
      </w:r>
      <w:r>
        <w:rPr>
          <w:color w:val="auto"/>
          <w:szCs w:val="21"/>
          <w:highlight w:val="none"/>
          <w:u w:val="single"/>
        </w:rPr>
        <w:t>3‰</w:t>
      </w:r>
      <w:r>
        <w:rPr>
          <w:color w:val="auto"/>
          <w:szCs w:val="21"/>
          <w:highlight w:val="none"/>
        </w:rPr>
        <w:t>/</w:t>
      </w:r>
      <w:r>
        <w:rPr>
          <w:rFonts w:hint="eastAsia"/>
          <w:color w:val="auto"/>
          <w:szCs w:val="21"/>
          <w:highlight w:val="none"/>
        </w:rPr>
        <w:t>日</w:t>
      </w:r>
      <w:r>
        <w:rPr>
          <w:color w:val="auto"/>
          <w:szCs w:val="21"/>
          <w:highlight w:val="none"/>
        </w:rPr>
        <w:t>，但违约金累计不得超过</w:t>
      </w:r>
      <w:r>
        <w:rPr>
          <w:rFonts w:hint="eastAsia"/>
          <w:color w:val="auto"/>
          <w:highlight w:val="none"/>
        </w:rPr>
        <w:t>合同总金额</w:t>
      </w:r>
      <w:r>
        <w:rPr>
          <w:color w:val="auto"/>
          <w:szCs w:val="21"/>
          <w:highlight w:val="none"/>
          <w:u w:val="single"/>
        </w:rPr>
        <w:t>5%</w:t>
      </w:r>
      <w:r>
        <w:rPr>
          <w:color w:val="auto"/>
          <w:szCs w:val="21"/>
          <w:highlight w:val="none"/>
          <w:u w:val="none"/>
        </w:rPr>
        <w:t>，</w:t>
      </w:r>
      <w:r>
        <w:rPr>
          <w:color w:val="auto"/>
          <w:szCs w:val="21"/>
          <w:highlight w:val="none"/>
        </w:rPr>
        <w:t>甲方延期付</w:t>
      </w:r>
      <w:r>
        <w:rPr>
          <w:rFonts w:hint="eastAsia"/>
          <w:color w:val="auto"/>
          <w:szCs w:val="21"/>
          <w:highlight w:val="none"/>
        </w:rPr>
        <w:t>产品或服务费用</w:t>
      </w:r>
      <w:r>
        <w:rPr>
          <w:color w:val="auto"/>
          <w:szCs w:val="21"/>
          <w:highlight w:val="none"/>
        </w:rPr>
        <w:t>的，</w:t>
      </w:r>
      <w:r>
        <w:rPr>
          <w:rFonts w:hint="eastAsia"/>
          <w:color w:val="auto"/>
          <w:szCs w:val="21"/>
          <w:highlight w:val="none"/>
        </w:rPr>
        <w:t>应</w:t>
      </w:r>
      <w:r>
        <w:rPr>
          <w:color w:val="auto"/>
          <w:szCs w:val="21"/>
          <w:highlight w:val="none"/>
        </w:rPr>
        <w:t>向乙方</w:t>
      </w:r>
      <w:r>
        <w:rPr>
          <w:rFonts w:hint="eastAsia"/>
          <w:color w:val="auto"/>
          <w:szCs w:val="21"/>
          <w:highlight w:val="none"/>
        </w:rPr>
        <w:t>支</w:t>
      </w:r>
      <w:r>
        <w:rPr>
          <w:color w:val="auto"/>
          <w:szCs w:val="21"/>
          <w:highlight w:val="none"/>
        </w:rPr>
        <w:t>付延期滞纳金</w:t>
      </w:r>
      <w:r>
        <w:rPr>
          <w:rFonts w:hint="eastAsia"/>
          <w:color w:val="auto"/>
          <w:szCs w:val="21"/>
          <w:highlight w:val="none"/>
        </w:rPr>
        <w:t>，标准为合同总价</w:t>
      </w:r>
      <w:r>
        <w:rPr>
          <w:color w:val="auto"/>
          <w:szCs w:val="21"/>
          <w:highlight w:val="none"/>
        </w:rPr>
        <w:t>额</w:t>
      </w:r>
      <w:r>
        <w:rPr>
          <w:color w:val="auto"/>
          <w:szCs w:val="21"/>
          <w:highlight w:val="none"/>
          <w:u w:val="single"/>
        </w:rPr>
        <w:t>3‰/</w:t>
      </w:r>
      <w:r>
        <w:rPr>
          <w:rFonts w:hint="eastAsia"/>
          <w:color w:val="auto"/>
          <w:szCs w:val="21"/>
          <w:highlight w:val="none"/>
          <w:u w:val="single"/>
        </w:rPr>
        <w:t>日</w:t>
      </w:r>
      <w:r>
        <w:rPr>
          <w:color w:val="auto"/>
          <w:szCs w:val="21"/>
          <w:highlight w:val="none"/>
        </w:rPr>
        <w:t>，但滞纳金累计不得超过</w:t>
      </w:r>
      <w:r>
        <w:rPr>
          <w:rFonts w:hint="eastAsia"/>
          <w:color w:val="auto"/>
          <w:highlight w:val="none"/>
        </w:rPr>
        <w:t>合同总金额</w:t>
      </w:r>
      <w:r>
        <w:rPr>
          <w:color w:val="auto"/>
          <w:szCs w:val="21"/>
          <w:highlight w:val="none"/>
          <w:u w:val="single"/>
        </w:rPr>
        <w:t>5%</w:t>
      </w:r>
      <w:r>
        <w:rPr>
          <w:color w:val="auto"/>
          <w:szCs w:val="21"/>
          <w:highlight w:val="none"/>
        </w:rPr>
        <w:t>。</w:t>
      </w:r>
    </w:p>
    <w:p w14:paraId="786839B1">
      <w:pPr>
        <w:snapToGrid w:val="0"/>
        <w:spacing w:line="360" w:lineRule="exact"/>
        <w:ind w:firstLine="420" w:firstLineChars="200"/>
        <w:rPr>
          <w:color w:val="auto"/>
          <w:szCs w:val="21"/>
          <w:highlight w:val="none"/>
        </w:rPr>
      </w:pPr>
      <w:r>
        <w:rPr>
          <w:rFonts w:hint="eastAsia"/>
          <w:color w:val="auto"/>
          <w:szCs w:val="21"/>
          <w:highlight w:val="none"/>
        </w:rPr>
        <w:t>3</w:t>
      </w:r>
      <w:r>
        <w:rPr>
          <w:color w:val="auto"/>
          <w:szCs w:val="21"/>
          <w:highlight w:val="none"/>
        </w:rPr>
        <w:t>. 乙方未得到甲方同意，擅自更换项目负责人及服务团队成员时，甲方有权书面通知乙方解除合同，且无需支付合同解除后的合同后续费用。同时，乙方必须退还甲方已付出的所有服务费用，并赔偿由此给甲方造成的全部损失。</w:t>
      </w:r>
    </w:p>
    <w:p w14:paraId="7446C670">
      <w:pPr>
        <w:snapToGrid w:val="0"/>
        <w:spacing w:line="360" w:lineRule="exact"/>
        <w:ind w:firstLine="420" w:firstLineChars="200"/>
        <w:rPr>
          <w:color w:val="auto"/>
          <w:szCs w:val="21"/>
          <w:highlight w:val="none"/>
        </w:rPr>
      </w:pPr>
      <w:r>
        <w:rPr>
          <w:rFonts w:hint="eastAsia"/>
          <w:color w:val="auto"/>
          <w:szCs w:val="21"/>
          <w:highlight w:val="none"/>
        </w:rPr>
        <w:t>4</w:t>
      </w:r>
      <w:r>
        <w:rPr>
          <w:color w:val="auto"/>
          <w:szCs w:val="21"/>
          <w:highlight w:val="none"/>
        </w:rPr>
        <w:t>.乙方或乙方人员违反保密义务时，甲方有权书面通知乙方解除合同，且无需支付合同解除后的合同后续费用。同时，乙方必须退还甲方已付出的所有咨询费用，并赔偿由此给甲方造成的全部损失。</w:t>
      </w:r>
    </w:p>
    <w:p w14:paraId="601D1153">
      <w:pPr>
        <w:snapToGrid w:val="0"/>
        <w:spacing w:line="360" w:lineRule="exact"/>
        <w:ind w:firstLine="420" w:firstLineChars="200"/>
        <w:rPr>
          <w:color w:val="auto"/>
          <w:szCs w:val="21"/>
          <w:highlight w:val="none"/>
        </w:rPr>
      </w:pPr>
      <w:r>
        <w:rPr>
          <w:rFonts w:hint="eastAsia"/>
          <w:color w:val="auto"/>
          <w:szCs w:val="21"/>
          <w:highlight w:val="none"/>
        </w:rPr>
        <w:t>5</w:t>
      </w:r>
      <w:r>
        <w:rPr>
          <w:color w:val="auto"/>
          <w:szCs w:val="21"/>
          <w:highlight w:val="none"/>
        </w:rPr>
        <w:t>.乙方未按本合同和响应文件中规定的服务承诺提供售后服务的，乙方应按本合同</w:t>
      </w:r>
      <w:r>
        <w:rPr>
          <w:rStyle w:val="60"/>
          <w:rFonts w:hint="eastAsia"/>
          <w:color w:val="auto"/>
          <w:highlight w:val="none"/>
        </w:rPr>
        <w:t>总</w:t>
      </w:r>
      <w:r>
        <w:rPr>
          <w:color w:val="auto"/>
          <w:szCs w:val="21"/>
          <w:highlight w:val="none"/>
        </w:rPr>
        <w:t>金额</w:t>
      </w:r>
      <w:r>
        <w:rPr>
          <w:color w:val="auto"/>
          <w:szCs w:val="21"/>
          <w:highlight w:val="none"/>
          <w:u w:val="single"/>
        </w:rPr>
        <w:t xml:space="preserve"> 5%</w:t>
      </w:r>
      <w:r>
        <w:rPr>
          <w:color w:val="auto"/>
          <w:szCs w:val="21"/>
          <w:highlight w:val="none"/>
        </w:rPr>
        <w:t>向甲方支付违约金。</w:t>
      </w:r>
    </w:p>
    <w:p w14:paraId="2373E005">
      <w:pPr>
        <w:snapToGrid w:val="0"/>
        <w:spacing w:line="360" w:lineRule="exact"/>
        <w:ind w:firstLine="420" w:firstLineChars="200"/>
        <w:rPr>
          <w:color w:val="auto"/>
          <w:szCs w:val="21"/>
          <w:highlight w:val="none"/>
        </w:rPr>
      </w:pPr>
      <w:r>
        <w:rPr>
          <w:rFonts w:hint="eastAsia"/>
          <w:color w:val="auto"/>
          <w:szCs w:val="21"/>
          <w:highlight w:val="none"/>
        </w:rPr>
        <w:t>6</w:t>
      </w:r>
      <w:r>
        <w:rPr>
          <w:color w:val="auto"/>
          <w:szCs w:val="21"/>
          <w:highlight w:val="none"/>
        </w:rPr>
        <w:t>.乙方提供的</w:t>
      </w:r>
      <w:r>
        <w:rPr>
          <w:rFonts w:hint="eastAsia"/>
          <w:color w:val="auto"/>
          <w:szCs w:val="21"/>
          <w:highlight w:val="none"/>
        </w:rPr>
        <w:t>产品</w:t>
      </w:r>
      <w:r>
        <w:rPr>
          <w:color w:val="auto"/>
          <w:szCs w:val="21"/>
          <w:highlight w:val="none"/>
        </w:rPr>
        <w:t>或服务成果在质量保证期内，因设计、工艺或材料的缺陷和其它质量原因造成的问题，由乙方负责，费用从质量保证金中扣除，质量保证金不足以支付的，由乙方另行支付。</w:t>
      </w:r>
    </w:p>
    <w:p w14:paraId="44415EC9">
      <w:pPr>
        <w:snapToGrid w:val="0"/>
        <w:spacing w:line="360" w:lineRule="exact"/>
        <w:ind w:firstLine="420" w:firstLineChars="200"/>
        <w:jc w:val="left"/>
        <w:rPr>
          <w:color w:val="auto"/>
          <w:szCs w:val="21"/>
          <w:highlight w:val="none"/>
        </w:rPr>
      </w:pPr>
      <w:r>
        <w:rPr>
          <w:rFonts w:hint="eastAsia"/>
          <w:color w:val="auto"/>
          <w:szCs w:val="21"/>
          <w:highlight w:val="none"/>
        </w:rPr>
        <w:t>7</w:t>
      </w:r>
      <w:r>
        <w:rPr>
          <w:color w:val="auto"/>
          <w:szCs w:val="21"/>
          <w:highlight w:val="none"/>
        </w:rPr>
        <w:t>.乙方提供的</w:t>
      </w:r>
      <w:r>
        <w:rPr>
          <w:rFonts w:hint="eastAsia"/>
          <w:color w:val="auto"/>
          <w:szCs w:val="21"/>
          <w:highlight w:val="none"/>
        </w:rPr>
        <w:t>产品</w:t>
      </w:r>
      <w:r>
        <w:rPr>
          <w:color w:val="auto"/>
          <w:szCs w:val="21"/>
          <w:highlight w:val="none"/>
        </w:rPr>
        <w:t>或服务如侵犯了第三方合法权益而引发的任何纠纷或诉讼，均由乙方负责交涉并承担全部责任。</w:t>
      </w:r>
    </w:p>
    <w:p w14:paraId="4F8F07A0">
      <w:pPr>
        <w:snapToGrid w:val="0"/>
        <w:spacing w:line="360" w:lineRule="exact"/>
        <w:ind w:firstLine="420" w:firstLineChars="200"/>
        <w:rPr>
          <w:color w:val="auto"/>
          <w:szCs w:val="21"/>
          <w:highlight w:val="none"/>
        </w:rPr>
      </w:pPr>
      <w:r>
        <w:rPr>
          <w:rFonts w:hint="eastAsia"/>
          <w:color w:val="auto"/>
          <w:szCs w:val="21"/>
          <w:highlight w:val="none"/>
        </w:rPr>
        <w:t>8</w:t>
      </w:r>
      <w:r>
        <w:rPr>
          <w:color w:val="auto"/>
          <w:szCs w:val="21"/>
          <w:highlight w:val="none"/>
        </w:rPr>
        <w:t>.其它违约行为按违约</w:t>
      </w:r>
      <w:r>
        <w:rPr>
          <w:rFonts w:hint="eastAsia"/>
          <w:color w:val="auto"/>
          <w:szCs w:val="21"/>
          <w:highlight w:val="none"/>
        </w:rPr>
        <w:t>部分产品</w:t>
      </w:r>
      <w:r>
        <w:rPr>
          <w:color w:val="auto"/>
          <w:szCs w:val="21"/>
          <w:highlight w:val="none"/>
        </w:rPr>
        <w:t>或服务费用金额5%收取违约金并赔偿经济损失。</w:t>
      </w:r>
    </w:p>
    <w:p w14:paraId="55A1351F">
      <w:pPr>
        <w:snapToGrid w:val="0"/>
        <w:spacing w:line="360" w:lineRule="exact"/>
        <w:ind w:firstLine="420" w:firstLineChars="200"/>
        <w:jc w:val="left"/>
        <w:rPr>
          <w:rFonts w:hint="eastAsia"/>
          <w:color w:val="auto"/>
          <w:szCs w:val="21"/>
          <w:highlight w:val="none"/>
        </w:rPr>
      </w:pPr>
      <w:r>
        <w:rPr>
          <w:rFonts w:hint="eastAsia"/>
          <w:color w:val="auto"/>
          <w:szCs w:val="21"/>
          <w:highlight w:val="none"/>
        </w:rPr>
        <w:t>9</w:t>
      </w:r>
      <w:r>
        <w:rPr>
          <w:color w:val="auto"/>
          <w:szCs w:val="21"/>
          <w:highlight w:val="none"/>
        </w:rPr>
        <w:t>.</w:t>
      </w:r>
      <w:r>
        <w:rPr>
          <w:rFonts w:hint="eastAsia"/>
          <w:color w:val="auto"/>
          <w:szCs w:val="21"/>
          <w:highlight w:val="none"/>
        </w:rPr>
        <w:t>因甲方原因导致变更、中止或者终止政府采购合同的，应当依照合同约定对乙方受到的损失予以赔偿或者补偿。</w:t>
      </w:r>
      <w:r>
        <w:rPr>
          <w:color w:val="auto"/>
          <w:szCs w:val="21"/>
          <w:highlight w:val="none"/>
        </w:rPr>
        <w:t>赔偿（补偿）标准：</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按实际损失赔偿</w:t>
      </w:r>
      <w:r>
        <w:rPr>
          <w:color w:val="auto"/>
          <w:szCs w:val="21"/>
          <w:highlight w:val="none"/>
          <w:u w:val="single"/>
        </w:rPr>
        <w:t xml:space="preserve">  </w:t>
      </w:r>
      <w:r>
        <w:rPr>
          <w:rFonts w:hint="eastAsia"/>
          <w:color w:val="auto"/>
          <w:szCs w:val="21"/>
          <w:highlight w:val="none"/>
        </w:rPr>
        <w:t>。</w:t>
      </w:r>
    </w:p>
    <w:p w14:paraId="0D823B1F">
      <w:pPr>
        <w:snapToGrid w:val="0"/>
        <w:spacing w:line="360" w:lineRule="exact"/>
        <w:ind w:firstLine="422" w:firstLineChars="200"/>
        <w:rPr>
          <w:rFonts w:ascii="Times New Roman" w:hAnsi="Times New Roman" w:cs="Times New Roman"/>
          <w:b/>
          <w:color w:val="auto"/>
          <w:highlight w:val="none"/>
        </w:rPr>
      </w:pPr>
      <w:r>
        <w:rPr>
          <w:rFonts w:ascii="Times New Roman" w:hAnsi="Times New Roman" w:cs="Times New Roman"/>
          <w:b/>
          <w:color w:val="auto"/>
          <w:highlight w:val="none"/>
        </w:rPr>
        <w:t>第十</w:t>
      </w:r>
      <w:r>
        <w:rPr>
          <w:rFonts w:hint="eastAsia" w:ascii="Times New Roman" w:hAnsi="Times New Roman" w:cs="Times New Roman"/>
          <w:b/>
          <w:color w:val="auto"/>
          <w:highlight w:val="none"/>
        </w:rPr>
        <w:t>三</w:t>
      </w:r>
      <w:r>
        <w:rPr>
          <w:rFonts w:ascii="Times New Roman" w:hAnsi="Times New Roman" w:cs="Times New Roman"/>
          <w:b/>
          <w:color w:val="auto"/>
          <w:highlight w:val="none"/>
        </w:rPr>
        <w:t xml:space="preserve">条 </w:t>
      </w:r>
      <w:r>
        <w:rPr>
          <w:rFonts w:ascii="Times New Roman" w:hAnsi="Times New Roman" w:eastAsia="宋体" w:cs="Times New Roman"/>
          <w:b/>
          <w:color w:val="auto"/>
          <w:szCs w:val="21"/>
          <w:highlight w:val="none"/>
        </w:rPr>
        <w:t>不可抗力</w:t>
      </w:r>
      <w:r>
        <w:rPr>
          <w:rFonts w:ascii="Times New Roman" w:hAnsi="Times New Roman" w:cs="Times New Roman"/>
          <w:b/>
          <w:color w:val="auto"/>
          <w:highlight w:val="none"/>
        </w:rPr>
        <w:t>事件处理</w:t>
      </w:r>
    </w:p>
    <w:p w14:paraId="39C82150">
      <w:pPr>
        <w:snapToGrid w:val="0"/>
        <w:spacing w:line="360" w:lineRule="exact"/>
        <w:ind w:firstLine="420" w:firstLineChars="200"/>
        <w:rPr>
          <w:color w:val="auto"/>
          <w:szCs w:val="21"/>
          <w:highlight w:val="none"/>
        </w:rPr>
      </w:pPr>
      <w:r>
        <w:rPr>
          <w:color w:val="auto"/>
          <w:szCs w:val="21"/>
          <w:highlight w:val="none"/>
        </w:rPr>
        <w:t>1.在合同有效期内，任何一方因不可抗力事件导致不能履行合同，则合同履行期可延长，其延长期与不可抗力影响期相同。</w:t>
      </w:r>
    </w:p>
    <w:p w14:paraId="3A2AFCBF">
      <w:pPr>
        <w:snapToGrid w:val="0"/>
        <w:spacing w:line="360" w:lineRule="exact"/>
        <w:ind w:firstLine="420" w:firstLineChars="200"/>
        <w:rPr>
          <w:color w:val="auto"/>
          <w:szCs w:val="21"/>
          <w:highlight w:val="none"/>
        </w:rPr>
      </w:pPr>
      <w:r>
        <w:rPr>
          <w:color w:val="auto"/>
          <w:szCs w:val="21"/>
          <w:highlight w:val="none"/>
        </w:rPr>
        <w:t>2.不可抗力事件发生后，应立即通知对方，并寄送有关权威机构出具的证明。</w:t>
      </w:r>
    </w:p>
    <w:p w14:paraId="1C257584">
      <w:pPr>
        <w:snapToGrid w:val="0"/>
        <w:spacing w:line="360" w:lineRule="exact"/>
        <w:ind w:firstLine="420" w:firstLineChars="200"/>
        <w:rPr>
          <w:color w:val="auto"/>
          <w:szCs w:val="21"/>
          <w:highlight w:val="none"/>
        </w:rPr>
      </w:pPr>
      <w:r>
        <w:rPr>
          <w:color w:val="auto"/>
          <w:szCs w:val="21"/>
          <w:highlight w:val="none"/>
        </w:rPr>
        <w:t>3.不可抗力事件延续一百二十天以上，双方应通过友好协商，确定是否继续履行合同。</w:t>
      </w:r>
    </w:p>
    <w:p w14:paraId="5C62B9E5">
      <w:pPr>
        <w:snapToGrid w:val="0"/>
        <w:spacing w:line="360" w:lineRule="exact"/>
        <w:ind w:firstLine="422" w:firstLineChars="200"/>
        <w:rPr>
          <w:color w:val="auto"/>
          <w:szCs w:val="21"/>
          <w:highlight w:val="none"/>
        </w:rPr>
      </w:pPr>
      <w:r>
        <w:rPr>
          <w:b/>
          <w:color w:val="auto"/>
          <w:szCs w:val="21"/>
          <w:highlight w:val="none"/>
        </w:rPr>
        <w:t>第十</w:t>
      </w:r>
      <w:r>
        <w:rPr>
          <w:rFonts w:hint="eastAsia"/>
          <w:b/>
          <w:color w:val="auto"/>
          <w:szCs w:val="21"/>
          <w:highlight w:val="none"/>
        </w:rPr>
        <w:t>四</w:t>
      </w:r>
      <w:r>
        <w:rPr>
          <w:b/>
          <w:color w:val="auto"/>
          <w:szCs w:val="21"/>
          <w:highlight w:val="none"/>
        </w:rPr>
        <w:t>条  合同争议解决</w:t>
      </w:r>
    </w:p>
    <w:p w14:paraId="510BB645">
      <w:pPr>
        <w:snapToGrid w:val="0"/>
        <w:spacing w:line="360" w:lineRule="exact"/>
        <w:ind w:firstLine="420" w:firstLineChars="200"/>
        <w:rPr>
          <w:color w:val="auto"/>
          <w:szCs w:val="21"/>
          <w:highlight w:val="none"/>
        </w:rPr>
      </w:pPr>
      <w:r>
        <w:rPr>
          <w:color w:val="auto"/>
          <w:szCs w:val="21"/>
          <w:highlight w:val="none"/>
        </w:rPr>
        <w:t>1</w:t>
      </w:r>
      <w:r>
        <w:rPr>
          <w:rFonts w:hint="eastAsia"/>
          <w:color w:val="auto"/>
          <w:szCs w:val="21"/>
          <w:highlight w:val="none"/>
        </w:rPr>
        <w:t>.</w:t>
      </w:r>
      <w:r>
        <w:rPr>
          <w:color w:val="auto"/>
          <w:szCs w:val="21"/>
          <w:highlight w:val="none"/>
        </w:rPr>
        <w:t>因</w:t>
      </w:r>
      <w:r>
        <w:rPr>
          <w:rFonts w:hint="eastAsia"/>
          <w:color w:val="auto"/>
          <w:szCs w:val="21"/>
          <w:highlight w:val="none"/>
        </w:rPr>
        <w:t>产品</w:t>
      </w:r>
      <w:r>
        <w:rPr>
          <w:color w:val="auto"/>
          <w:szCs w:val="21"/>
          <w:highlight w:val="none"/>
        </w:rPr>
        <w:t>或服务成果质量问题</w:t>
      </w:r>
      <w:r>
        <w:rPr>
          <w:rFonts w:hint="eastAsia"/>
          <w:color w:val="auto"/>
          <w:szCs w:val="21"/>
          <w:highlight w:val="none"/>
        </w:rPr>
        <w:t>或验收结果</w:t>
      </w:r>
      <w:r>
        <w:rPr>
          <w:color w:val="auto"/>
          <w:szCs w:val="21"/>
          <w:highlight w:val="none"/>
        </w:rPr>
        <w:t>发生争议的，应邀请国家认</w:t>
      </w:r>
      <w:r>
        <w:rPr>
          <w:rFonts w:hint="eastAsia"/>
          <w:color w:val="auto"/>
          <w:szCs w:val="21"/>
          <w:highlight w:val="none"/>
        </w:rPr>
        <w:t>定</w:t>
      </w:r>
      <w:r>
        <w:rPr>
          <w:color w:val="auto"/>
          <w:szCs w:val="21"/>
          <w:highlight w:val="none"/>
        </w:rPr>
        <w:t>的质量检测机构按照国家标准对</w:t>
      </w:r>
      <w:r>
        <w:rPr>
          <w:rFonts w:hint="eastAsia"/>
          <w:color w:val="auto"/>
          <w:szCs w:val="21"/>
          <w:highlight w:val="none"/>
        </w:rPr>
        <w:t>产品</w:t>
      </w:r>
      <w:r>
        <w:rPr>
          <w:color w:val="auto"/>
          <w:szCs w:val="21"/>
          <w:highlight w:val="none"/>
        </w:rPr>
        <w:t>或服务成果质量进行验收。</w:t>
      </w:r>
      <w:r>
        <w:rPr>
          <w:rFonts w:hint="eastAsia"/>
          <w:color w:val="auto"/>
          <w:szCs w:val="21"/>
          <w:highlight w:val="none"/>
        </w:rPr>
        <w:t>产品</w:t>
      </w:r>
      <w:r>
        <w:rPr>
          <w:color w:val="auto"/>
          <w:szCs w:val="21"/>
          <w:highlight w:val="none"/>
        </w:rPr>
        <w:t>或服务成果符合国家标准的，鉴定费由甲方承担；</w:t>
      </w:r>
      <w:r>
        <w:rPr>
          <w:rFonts w:hint="eastAsia"/>
          <w:color w:val="auto"/>
          <w:szCs w:val="21"/>
          <w:highlight w:val="none"/>
        </w:rPr>
        <w:t>产品</w:t>
      </w:r>
      <w:r>
        <w:rPr>
          <w:color w:val="auto"/>
          <w:szCs w:val="21"/>
          <w:highlight w:val="none"/>
        </w:rPr>
        <w:t>或服务成果不符合国家标准的，鉴定费由乙方承担。</w:t>
      </w:r>
    </w:p>
    <w:p w14:paraId="27163F51">
      <w:pPr>
        <w:snapToGrid w:val="0"/>
        <w:spacing w:line="360" w:lineRule="exact"/>
        <w:ind w:firstLine="420" w:firstLineChars="200"/>
        <w:rPr>
          <w:color w:val="auto"/>
          <w:szCs w:val="21"/>
          <w:highlight w:val="none"/>
        </w:rPr>
      </w:pPr>
      <w:r>
        <w:rPr>
          <w:color w:val="auto"/>
          <w:szCs w:val="21"/>
          <w:highlight w:val="none"/>
        </w:rPr>
        <w:t>2</w:t>
      </w:r>
      <w:r>
        <w:rPr>
          <w:rFonts w:hint="eastAsia"/>
          <w:color w:val="auto"/>
          <w:szCs w:val="21"/>
          <w:highlight w:val="none"/>
        </w:rPr>
        <w:t>.</w:t>
      </w:r>
      <w:r>
        <w:rPr>
          <w:color w:val="auto"/>
          <w:szCs w:val="21"/>
          <w:highlight w:val="none"/>
        </w:rPr>
        <w:t>因履行本合同引起的或与本合同有关的争议，甲乙双方应首先通过友好协商解决，如果协商不能解决，可向甲方所在地人民法院提起诉讼。</w:t>
      </w:r>
    </w:p>
    <w:p w14:paraId="34600D20">
      <w:pPr>
        <w:snapToGrid w:val="0"/>
        <w:spacing w:line="360" w:lineRule="exact"/>
        <w:ind w:firstLine="420" w:firstLineChars="200"/>
        <w:rPr>
          <w:color w:val="auto"/>
          <w:szCs w:val="21"/>
          <w:highlight w:val="none"/>
        </w:rPr>
      </w:pPr>
      <w:r>
        <w:rPr>
          <w:color w:val="auto"/>
          <w:szCs w:val="21"/>
          <w:highlight w:val="none"/>
        </w:rPr>
        <w:t>3</w:t>
      </w:r>
      <w:r>
        <w:rPr>
          <w:rFonts w:hint="eastAsia"/>
          <w:color w:val="auto"/>
          <w:szCs w:val="21"/>
          <w:highlight w:val="none"/>
        </w:rPr>
        <w:t>.</w:t>
      </w:r>
      <w:r>
        <w:rPr>
          <w:color w:val="auto"/>
          <w:szCs w:val="21"/>
          <w:highlight w:val="none"/>
        </w:rPr>
        <w:t>诉讼期间，本合同继续履行。</w:t>
      </w:r>
    </w:p>
    <w:p w14:paraId="1626399F">
      <w:pPr>
        <w:snapToGrid w:val="0"/>
        <w:spacing w:line="360" w:lineRule="exact"/>
        <w:ind w:firstLine="422" w:firstLineChars="200"/>
        <w:rPr>
          <w:rFonts w:ascii="Times New Roman" w:hAnsi="Times New Roman" w:cs="Times New Roman"/>
          <w:b/>
          <w:color w:val="auto"/>
          <w:highlight w:val="none"/>
        </w:rPr>
      </w:pPr>
      <w:r>
        <w:rPr>
          <w:rFonts w:ascii="Times New Roman" w:hAnsi="Times New Roman" w:cs="Times New Roman"/>
          <w:b/>
          <w:color w:val="auto"/>
          <w:highlight w:val="none"/>
        </w:rPr>
        <w:t>第十</w:t>
      </w:r>
      <w:r>
        <w:rPr>
          <w:rFonts w:hint="eastAsia" w:ascii="Times New Roman" w:hAnsi="Times New Roman" w:cs="Times New Roman"/>
          <w:b/>
          <w:color w:val="auto"/>
          <w:highlight w:val="none"/>
        </w:rPr>
        <w:t>五</w:t>
      </w:r>
      <w:r>
        <w:rPr>
          <w:rFonts w:ascii="Times New Roman" w:hAnsi="Times New Roman" w:cs="Times New Roman"/>
          <w:b/>
          <w:color w:val="auto"/>
          <w:highlight w:val="none"/>
        </w:rPr>
        <w:t>条 合同</w:t>
      </w:r>
      <w:r>
        <w:rPr>
          <w:rFonts w:ascii="Times New Roman" w:hAnsi="Times New Roman" w:eastAsia="宋体" w:cs="Times New Roman"/>
          <w:b/>
          <w:color w:val="auto"/>
          <w:szCs w:val="21"/>
          <w:highlight w:val="none"/>
        </w:rPr>
        <w:t>生效</w:t>
      </w:r>
      <w:r>
        <w:rPr>
          <w:rFonts w:ascii="Times New Roman" w:hAnsi="Times New Roman" w:cs="Times New Roman"/>
          <w:b/>
          <w:color w:val="auto"/>
          <w:highlight w:val="none"/>
        </w:rPr>
        <w:t>及其它</w:t>
      </w:r>
    </w:p>
    <w:p w14:paraId="54775CCD">
      <w:pPr>
        <w:snapToGrid w:val="0"/>
        <w:spacing w:line="300" w:lineRule="exact"/>
        <w:ind w:firstLine="420" w:firstLineChars="200"/>
        <w:rPr>
          <w:color w:val="auto"/>
          <w:szCs w:val="21"/>
          <w:highlight w:val="none"/>
          <w:u w:val="single"/>
        </w:rPr>
      </w:pPr>
      <w:r>
        <w:rPr>
          <w:color w:val="auto"/>
          <w:szCs w:val="21"/>
          <w:highlight w:val="none"/>
          <w:u w:val="single"/>
        </w:rPr>
        <w:t>1</w:t>
      </w:r>
      <w:r>
        <w:rPr>
          <w:rFonts w:hint="eastAsia"/>
          <w:color w:val="auto"/>
          <w:szCs w:val="21"/>
          <w:highlight w:val="none"/>
          <w:u w:val="single"/>
        </w:rPr>
        <w:t>.</w:t>
      </w:r>
      <w:r>
        <w:rPr>
          <w:color w:val="auto"/>
          <w:szCs w:val="21"/>
          <w:highlight w:val="none"/>
          <w:u w:val="single"/>
        </w:rPr>
        <w:t>本合同履行期限为：         ；合同履行地点为：                    ；合同履行的方式： 按照本合同约定</w:t>
      </w:r>
      <w:r>
        <w:rPr>
          <w:color w:val="auto"/>
          <w:szCs w:val="21"/>
          <w:highlight w:val="none"/>
          <w:u w:val="none"/>
        </w:rPr>
        <w:t>。</w:t>
      </w:r>
    </w:p>
    <w:p w14:paraId="7884A69E">
      <w:pPr>
        <w:snapToGrid w:val="0"/>
        <w:spacing w:line="300" w:lineRule="exact"/>
        <w:ind w:firstLine="420" w:firstLineChars="200"/>
        <w:rPr>
          <w:color w:val="auto"/>
          <w:szCs w:val="21"/>
          <w:highlight w:val="none"/>
        </w:rPr>
      </w:pPr>
      <w:r>
        <w:rPr>
          <w:color w:val="auto"/>
          <w:szCs w:val="21"/>
          <w:highlight w:val="none"/>
        </w:rPr>
        <w:t>2</w:t>
      </w:r>
      <w:r>
        <w:rPr>
          <w:rFonts w:hint="eastAsia"/>
          <w:color w:val="auto"/>
          <w:szCs w:val="21"/>
          <w:highlight w:val="none"/>
        </w:rPr>
        <w:t>.</w:t>
      </w:r>
      <w:r>
        <w:rPr>
          <w:color w:val="auto"/>
          <w:szCs w:val="21"/>
          <w:highlight w:val="none"/>
        </w:rPr>
        <w:t>合同经双方法定代表人</w:t>
      </w:r>
      <w:r>
        <w:rPr>
          <w:rFonts w:hint="eastAsia"/>
          <w:color w:val="auto"/>
          <w:szCs w:val="21"/>
          <w:highlight w:val="none"/>
        </w:rPr>
        <w:t>（或分支机构负责人）</w:t>
      </w:r>
      <w:r>
        <w:rPr>
          <w:color w:val="auto"/>
          <w:szCs w:val="21"/>
          <w:highlight w:val="none"/>
        </w:rPr>
        <w:t>或授权代表签字并加盖单位公章后生效。</w:t>
      </w:r>
    </w:p>
    <w:p w14:paraId="3C23F044">
      <w:pPr>
        <w:snapToGrid w:val="0"/>
        <w:spacing w:line="300" w:lineRule="exact"/>
        <w:ind w:firstLine="420" w:firstLineChars="200"/>
        <w:rPr>
          <w:color w:val="auto"/>
          <w:szCs w:val="21"/>
          <w:highlight w:val="none"/>
        </w:rPr>
      </w:pPr>
      <w:r>
        <w:rPr>
          <w:color w:val="auto"/>
          <w:szCs w:val="21"/>
          <w:highlight w:val="none"/>
        </w:rPr>
        <w:t>3</w:t>
      </w:r>
      <w:r>
        <w:rPr>
          <w:rFonts w:hint="eastAsia"/>
          <w:color w:val="auto"/>
          <w:szCs w:val="21"/>
          <w:highlight w:val="none"/>
        </w:rPr>
        <w:t>.</w:t>
      </w:r>
      <w:r>
        <w:rPr>
          <w:color w:val="auto"/>
          <w:szCs w:val="21"/>
          <w:highlight w:val="none"/>
        </w:rPr>
        <w:t>合同执行中涉及采购资金和采购内容修改或补充的，须经财政部门</w:t>
      </w:r>
      <w:r>
        <w:rPr>
          <w:rFonts w:hint="eastAsia"/>
          <w:color w:val="auto"/>
          <w:szCs w:val="21"/>
          <w:highlight w:val="none"/>
        </w:rPr>
        <w:t>备案</w:t>
      </w:r>
      <w:r>
        <w:rPr>
          <w:color w:val="auto"/>
          <w:szCs w:val="21"/>
          <w:highlight w:val="none"/>
        </w:rPr>
        <w:t>，</w:t>
      </w:r>
      <w:r>
        <w:rPr>
          <w:rFonts w:hint="eastAsia"/>
          <w:color w:val="auto"/>
          <w:szCs w:val="21"/>
          <w:highlight w:val="none"/>
        </w:rPr>
        <w:t>经</w:t>
      </w:r>
      <w:r>
        <w:rPr>
          <w:color w:val="auto"/>
          <w:szCs w:val="21"/>
          <w:highlight w:val="none"/>
        </w:rPr>
        <w:t>财政部门</w:t>
      </w:r>
      <w:r>
        <w:rPr>
          <w:rFonts w:hint="eastAsia"/>
          <w:color w:val="auto"/>
          <w:szCs w:val="21"/>
          <w:highlight w:val="none"/>
        </w:rPr>
        <w:t>同意后</w:t>
      </w:r>
      <w:r>
        <w:rPr>
          <w:color w:val="auto"/>
          <w:szCs w:val="21"/>
          <w:highlight w:val="none"/>
        </w:rPr>
        <w:t>签书面补充协议。</w:t>
      </w:r>
    </w:p>
    <w:p w14:paraId="410553B6">
      <w:pPr>
        <w:snapToGrid w:val="0"/>
        <w:spacing w:line="300" w:lineRule="exact"/>
        <w:ind w:firstLine="420" w:firstLineChars="200"/>
        <w:rPr>
          <w:color w:val="auto"/>
          <w:szCs w:val="21"/>
          <w:highlight w:val="none"/>
        </w:rPr>
      </w:pPr>
      <w:r>
        <w:rPr>
          <w:color w:val="auto"/>
          <w:szCs w:val="21"/>
          <w:highlight w:val="none"/>
        </w:rPr>
        <w:t>4</w:t>
      </w:r>
      <w:r>
        <w:rPr>
          <w:rFonts w:hint="eastAsia"/>
          <w:color w:val="auto"/>
          <w:szCs w:val="21"/>
          <w:highlight w:val="none"/>
        </w:rPr>
        <w:t>.如无特别说明，</w:t>
      </w:r>
      <w:r>
        <w:rPr>
          <w:color w:val="auto"/>
          <w:szCs w:val="21"/>
          <w:highlight w:val="none"/>
        </w:rPr>
        <w:t>本合同使用货币币制为人民币</w:t>
      </w:r>
      <w:r>
        <w:rPr>
          <w:rFonts w:hint="eastAsia"/>
          <w:color w:val="auto"/>
          <w:szCs w:val="21"/>
          <w:highlight w:val="none"/>
        </w:rPr>
        <w:t>，使用单位为中国国家法定计量单位。</w:t>
      </w:r>
    </w:p>
    <w:p w14:paraId="25E3969B">
      <w:pPr>
        <w:snapToGrid w:val="0"/>
        <w:spacing w:line="300" w:lineRule="exact"/>
        <w:ind w:firstLine="420" w:firstLineChars="200"/>
        <w:rPr>
          <w:color w:val="auto"/>
          <w:szCs w:val="21"/>
          <w:highlight w:val="none"/>
        </w:rPr>
      </w:pPr>
      <w:r>
        <w:rPr>
          <w:rFonts w:hint="eastAsia"/>
          <w:color w:val="auto"/>
          <w:szCs w:val="21"/>
          <w:highlight w:val="none"/>
        </w:rPr>
        <w:t>5.本合同中提及的招标与谈判、磋商、询价、单一来源采购为同一含义，提及的投标与响应为同一含义，提及的中标与成交为同一含义。</w:t>
      </w:r>
    </w:p>
    <w:p w14:paraId="68A95C2F">
      <w:pPr>
        <w:snapToGrid w:val="0"/>
        <w:spacing w:line="300" w:lineRule="exact"/>
        <w:ind w:firstLine="420" w:firstLineChars="200"/>
        <w:rPr>
          <w:color w:val="auto"/>
          <w:szCs w:val="21"/>
          <w:highlight w:val="none"/>
        </w:rPr>
      </w:pPr>
      <w:r>
        <w:rPr>
          <w:rFonts w:hint="eastAsia"/>
          <w:color w:val="auto"/>
          <w:szCs w:val="21"/>
          <w:highlight w:val="none"/>
        </w:rPr>
        <w:t>6.</w:t>
      </w:r>
      <w:r>
        <w:rPr>
          <w:color w:val="auto"/>
          <w:szCs w:val="21"/>
          <w:highlight w:val="none"/>
        </w:rPr>
        <w:t>本合同未尽事宜，遵照《</w:t>
      </w:r>
      <w:r>
        <w:rPr>
          <w:rFonts w:hint="eastAsia"/>
          <w:color w:val="auto"/>
          <w:szCs w:val="21"/>
          <w:highlight w:val="none"/>
        </w:rPr>
        <w:t>民法典</w:t>
      </w:r>
      <w:r>
        <w:rPr>
          <w:color w:val="auto"/>
          <w:szCs w:val="21"/>
          <w:highlight w:val="none"/>
        </w:rPr>
        <w:t>》有关条文执行。</w:t>
      </w:r>
    </w:p>
    <w:p w14:paraId="0B241CE9">
      <w:pPr>
        <w:snapToGrid w:val="0"/>
        <w:spacing w:line="300" w:lineRule="exact"/>
        <w:ind w:firstLine="420" w:firstLineChars="200"/>
        <w:rPr>
          <w:rFonts w:hint="eastAsia" w:eastAsia="宋体"/>
          <w:color w:val="auto"/>
          <w:szCs w:val="21"/>
          <w:highlight w:val="none"/>
          <w:lang w:eastAsia="zh-CN"/>
        </w:rPr>
      </w:pPr>
      <w:r>
        <w:rPr>
          <w:rFonts w:hint="eastAsia"/>
          <w:color w:val="auto"/>
          <w:szCs w:val="21"/>
          <w:highlight w:val="none"/>
        </w:rPr>
        <w:t xml:space="preserve">7.本合同（□是  </w:t>
      </w:r>
      <w:r>
        <w:rPr>
          <w:color w:val="auto"/>
          <w:szCs w:val="21"/>
          <w:highlight w:val="none"/>
        </w:rPr>
        <w:sym w:font="Wingdings 2" w:char="F052"/>
      </w:r>
      <w:r>
        <w:rPr>
          <w:rFonts w:hint="eastAsia"/>
          <w:color w:val="auto"/>
          <w:szCs w:val="21"/>
          <w:highlight w:val="none"/>
        </w:rPr>
        <w:t>否）为中小企业预留合同</w:t>
      </w:r>
      <w:r>
        <w:rPr>
          <w:rFonts w:hint="eastAsia"/>
          <w:color w:val="auto"/>
          <w:szCs w:val="21"/>
          <w:highlight w:val="none"/>
          <w:lang w:eastAsia="zh-CN"/>
        </w:rPr>
        <w:t>。</w:t>
      </w:r>
    </w:p>
    <w:p w14:paraId="1D3A7A53">
      <w:pPr>
        <w:snapToGrid w:val="0"/>
        <w:spacing w:line="360" w:lineRule="exact"/>
        <w:ind w:firstLine="422" w:firstLineChars="200"/>
        <w:rPr>
          <w:b/>
          <w:color w:val="auto"/>
          <w:szCs w:val="21"/>
          <w:highlight w:val="none"/>
        </w:rPr>
      </w:pPr>
      <w:r>
        <w:rPr>
          <w:b/>
          <w:color w:val="auto"/>
          <w:szCs w:val="21"/>
          <w:highlight w:val="none"/>
        </w:rPr>
        <w:t>第十</w:t>
      </w:r>
      <w:r>
        <w:rPr>
          <w:rFonts w:hint="eastAsia"/>
          <w:b/>
          <w:color w:val="auto"/>
          <w:szCs w:val="21"/>
          <w:highlight w:val="none"/>
        </w:rPr>
        <w:t>六</w:t>
      </w:r>
      <w:r>
        <w:rPr>
          <w:b/>
          <w:color w:val="auto"/>
          <w:szCs w:val="21"/>
          <w:highlight w:val="none"/>
        </w:rPr>
        <w:t>条　合同的变更、终止与转让</w:t>
      </w:r>
    </w:p>
    <w:p w14:paraId="32D57D47">
      <w:pPr>
        <w:snapToGrid w:val="0"/>
        <w:spacing w:line="300" w:lineRule="exact"/>
        <w:ind w:firstLine="420" w:firstLineChars="200"/>
        <w:rPr>
          <w:rFonts w:hint="eastAsia"/>
          <w:color w:val="auto"/>
          <w:szCs w:val="21"/>
          <w:highlight w:val="none"/>
        </w:rPr>
      </w:pPr>
      <w:r>
        <w:rPr>
          <w:color w:val="auto"/>
          <w:szCs w:val="21"/>
          <w:highlight w:val="none"/>
        </w:rPr>
        <w:t>1.除《中华人民共和国政府采购法》第五十条规定的情形外，本合同一经签订，甲乙双方不得擅自变更、中止或终止。</w:t>
      </w:r>
      <w:bookmarkStart w:id="75" w:name="_Hlk155172858"/>
      <w:bookmarkStart w:id="76" w:name="_Hlk155171733"/>
      <w:r>
        <w:rPr>
          <w:rFonts w:hint="eastAsia"/>
          <w:color w:val="auto"/>
          <w:szCs w:val="21"/>
          <w:highlight w:val="none"/>
        </w:rPr>
        <w:t>如依照政府采购法确需变更合同内容的，甲方应当自合同变更之日起2个工作日内在省级以上财政部门指定的媒体上发布合同变更公告。</w:t>
      </w:r>
      <w:bookmarkEnd w:id="75"/>
      <w:bookmarkEnd w:id="76"/>
    </w:p>
    <w:p w14:paraId="3EB06D2F">
      <w:pPr>
        <w:snapToGrid w:val="0"/>
        <w:spacing w:line="360" w:lineRule="exact"/>
        <w:ind w:firstLine="420" w:firstLineChars="200"/>
        <w:rPr>
          <w:color w:val="auto"/>
          <w:szCs w:val="21"/>
          <w:highlight w:val="none"/>
        </w:rPr>
      </w:pPr>
      <w:r>
        <w:rPr>
          <w:color w:val="auto"/>
          <w:szCs w:val="21"/>
          <w:highlight w:val="none"/>
        </w:rPr>
        <w:t>2.未经甲方书面同意，乙方不得擅自转让其应履行的合同义务。</w:t>
      </w:r>
    </w:p>
    <w:p w14:paraId="3814D436">
      <w:pPr>
        <w:snapToGrid w:val="0"/>
        <w:spacing w:line="360" w:lineRule="exact"/>
        <w:ind w:firstLine="422" w:firstLineChars="200"/>
        <w:rPr>
          <w:rFonts w:hint="eastAsia"/>
          <w:b/>
          <w:color w:val="auto"/>
          <w:szCs w:val="21"/>
          <w:highlight w:val="none"/>
        </w:rPr>
      </w:pPr>
      <w:r>
        <w:rPr>
          <w:b/>
          <w:color w:val="auto"/>
          <w:szCs w:val="21"/>
          <w:highlight w:val="none"/>
        </w:rPr>
        <w:t>第十</w:t>
      </w:r>
      <w:r>
        <w:rPr>
          <w:rFonts w:hint="eastAsia"/>
          <w:b/>
          <w:color w:val="auto"/>
          <w:szCs w:val="21"/>
          <w:highlight w:val="none"/>
        </w:rPr>
        <w:t>七</w:t>
      </w:r>
      <w:r>
        <w:rPr>
          <w:b/>
          <w:color w:val="auto"/>
          <w:szCs w:val="21"/>
          <w:highlight w:val="none"/>
        </w:rPr>
        <w:t>条　</w:t>
      </w:r>
      <w:r>
        <w:rPr>
          <w:rFonts w:hint="eastAsia"/>
          <w:b/>
          <w:color w:val="auto"/>
          <w:szCs w:val="21"/>
          <w:highlight w:val="none"/>
        </w:rPr>
        <w:t>合同文件的组成</w:t>
      </w:r>
    </w:p>
    <w:p w14:paraId="2D03CC90">
      <w:pPr>
        <w:snapToGrid w:val="0"/>
        <w:spacing w:line="360" w:lineRule="exact"/>
        <w:ind w:firstLine="420" w:firstLineChars="200"/>
        <w:rPr>
          <w:color w:val="auto"/>
          <w:szCs w:val="21"/>
          <w:highlight w:val="none"/>
        </w:rPr>
      </w:pPr>
      <w:r>
        <w:rPr>
          <w:color w:val="auto"/>
          <w:szCs w:val="21"/>
          <w:highlight w:val="none"/>
        </w:rPr>
        <w:t>1.</w:t>
      </w:r>
      <w:r>
        <w:rPr>
          <w:rFonts w:hint="eastAsia" w:hAnsi="宋体" w:cs="宋体"/>
          <w:color w:val="auto"/>
          <w:kern w:val="0"/>
          <w:highlight w:val="none"/>
        </w:rPr>
        <w:t>政府采购合同；</w:t>
      </w:r>
    </w:p>
    <w:p w14:paraId="3EFDE8C3">
      <w:pPr>
        <w:snapToGrid w:val="0"/>
        <w:spacing w:line="360" w:lineRule="exact"/>
        <w:ind w:firstLine="420" w:firstLineChars="200"/>
        <w:rPr>
          <w:color w:val="auto"/>
          <w:szCs w:val="21"/>
          <w:highlight w:val="none"/>
        </w:rPr>
      </w:pPr>
      <w:r>
        <w:rPr>
          <w:rFonts w:hint="eastAsia"/>
          <w:color w:val="auto"/>
          <w:szCs w:val="21"/>
          <w:highlight w:val="none"/>
        </w:rPr>
        <w:t>2</w:t>
      </w:r>
      <w:r>
        <w:rPr>
          <w:color w:val="auto"/>
          <w:szCs w:val="21"/>
          <w:highlight w:val="none"/>
        </w:rPr>
        <w:t>.中标通知书</w:t>
      </w:r>
      <w:r>
        <w:rPr>
          <w:rFonts w:hint="eastAsia"/>
          <w:color w:val="auto"/>
          <w:szCs w:val="21"/>
          <w:highlight w:val="none"/>
        </w:rPr>
        <w:t>（如有）</w:t>
      </w:r>
      <w:r>
        <w:rPr>
          <w:color w:val="auto"/>
          <w:szCs w:val="21"/>
          <w:highlight w:val="none"/>
        </w:rPr>
        <w:t>；</w:t>
      </w:r>
    </w:p>
    <w:p w14:paraId="0C300AB7">
      <w:pPr>
        <w:snapToGrid w:val="0"/>
        <w:spacing w:line="360" w:lineRule="exact"/>
        <w:ind w:firstLine="420" w:firstLineChars="200"/>
        <w:rPr>
          <w:color w:val="auto"/>
          <w:szCs w:val="21"/>
          <w:highlight w:val="none"/>
        </w:rPr>
      </w:pPr>
      <w:r>
        <w:rPr>
          <w:rFonts w:hint="eastAsia"/>
          <w:color w:val="auto"/>
          <w:szCs w:val="21"/>
          <w:highlight w:val="none"/>
        </w:rPr>
        <w:t>3</w:t>
      </w:r>
      <w:r>
        <w:rPr>
          <w:color w:val="auto"/>
          <w:szCs w:val="21"/>
          <w:highlight w:val="none"/>
        </w:rPr>
        <w:t>.乙方的响应文件；</w:t>
      </w:r>
    </w:p>
    <w:p w14:paraId="1476AE2E">
      <w:pPr>
        <w:snapToGrid w:val="0"/>
        <w:spacing w:line="360" w:lineRule="exact"/>
        <w:ind w:firstLine="420" w:firstLineChars="200"/>
        <w:rPr>
          <w:color w:val="auto"/>
          <w:szCs w:val="21"/>
          <w:highlight w:val="none"/>
        </w:rPr>
      </w:pPr>
      <w:r>
        <w:rPr>
          <w:rFonts w:hint="eastAsia"/>
          <w:color w:val="auto"/>
          <w:szCs w:val="21"/>
          <w:highlight w:val="none"/>
        </w:rPr>
        <w:t>4</w:t>
      </w:r>
      <w:r>
        <w:rPr>
          <w:color w:val="auto"/>
          <w:szCs w:val="21"/>
          <w:highlight w:val="none"/>
        </w:rPr>
        <w:t>.</w:t>
      </w:r>
      <w:r>
        <w:rPr>
          <w:rFonts w:hint="eastAsia"/>
          <w:color w:val="auto"/>
          <w:szCs w:val="21"/>
          <w:highlight w:val="none"/>
        </w:rPr>
        <w:t>采购文件</w:t>
      </w:r>
      <w:r>
        <w:rPr>
          <w:color w:val="auto"/>
          <w:szCs w:val="21"/>
          <w:highlight w:val="none"/>
        </w:rPr>
        <w:t>；</w:t>
      </w:r>
    </w:p>
    <w:p w14:paraId="383075DD">
      <w:pPr>
        <w:snapToGrid w:val="0"/>
        <w:spacing w:line="300" w:lineRule="exact"/>
        <w:ind w:firstLine="420" w:firstLineChars="200"/>
        <w:rPr>
          <w:color w:val="auto"/>
          <w:szCs w:val="21"/>
          <w:highlight w:val="none"/>
          <w:u w:val="single"/>
        </w:rPr>
      </w:pPr>
      <w:r>
        <w:rPr>
          <w:rFonts w:hint="eastAsia"/>
          <w:color w:val="auto"/>
          <w:highlight w:val="none"/>
        </w:rPr>
        <w:t>5.其他合同文件。</w:t>
      </w:r>
    </w:p>
    <w:p w14:paraId="52278ED8">
      <w:pPr>
        <w:snapToGrid w:val="0"/>
        <w:spacing w:line="360" w:lineRule="exact"/>
        <w:ind w:firstLine="422" w:firstLineChars="200"/>
        <w:rPr>
          <w:color w:val="auto"/>
          <w:szCs w:val="21"/>
          <w:highlight w:val="none"/>
        </w:rPr>
      </w:pPr>
      <w:r>
        <w:rPr>
          <w:b/>
          <w:color w:val="auto"/>
          <w:szCs w:val="21"/>
          <w:highlight w:val="none"/>
        </w:rPr>
        <w:t>第十</w:t>
      </w:r>
      <w:r>
        <w:rPr>
          <w:rFonts w:hint="eastAsia"/>
          <w:b/>
          <w:color w:val="auto"/>
          <w:szCs w:val="21"/>
          <w:highlight w:val="none"/>
        </w:rPr>
        <w:t>八</w:t>
      </w:r>
      <w:r>
        <w:rPr>
          <w:b/>
          <w:color w:val="auto"/>
          <w:szCs w:val="21"/>
          <w:highlight w:val="none"/>
        </w:rPr>
        <w:t>条　</w:t>
      </w:r>
      <w:r>
        <w:rPr>
          <w:color w:val="auto"/>
          <w:szCs w:val="21"/>
          <w:highlight w:val="none"/>
        </w:rPr>
        <w:t>本合同一式五份，具有同等法律效力。甲</w:t>
      </w:r>
      <w:r>
        <w:rPr>
          <w:rFonts w:hint="eastAsia"/>
          <w:color w:val="auto"/>
          <w:szCs w:val="21"/>
          <w:highlight w:val="none"/>
        </w:rPr>
        <w:t>、乙双方各执</w:t>
      </w:r>
      <w:r>
        <w:rPr>
          <w:color w:val="auto"/>
          <w:szCs w:val="21"/>
          <w:highlight w:val="none"/>
        </w:rPr>
        <w:t>两份，</w:t>
      </w:r>
      <w:r>
        <w:rPr>
          <w:color w:val="auto"/>
          <w:spacing w:val="4"/>
          <w:szCs w:val="21"/>
          <w:highlight w:val="none"/>
        </w:rPr>
        <w:t>采购代理机构</w:t>
      </w:r>
      <w:r>
        <w:rPr>
          <w:color w:val="auto"/>
          <w:szCs w:val="21"/>
          <w:highlight w:val="none"/>
        </w:rPr>
        <w:t>各一份。</w:t>
      </w:r>
    </w:p>
    <w:p w14:paraId="0E8361BE">
      <w:pPr>
        <w:snapToGrid w:val="0"/>
        <w:spacing w:line="360" w:lineRule="exact"/>
        <w:ind w:firstLine="420" w:firstLineChars="200"/>
        <w:rPr>
          <w:color w:val="auto"/>
          <w:szCs w:val="21"/>
          <w:highlight w:val="none"/>
        </w:rPr>
      </w:pPr>
      <w:r>
        <w:rPr>
          <w:color w:val="auto"/>
          <w:szCs w:val="21"/>
          <w:highlight w:val="none"/>
        </w:rPr>
        <w:t>本合同经甲乙双方法定代表人</w:t>
      </w:r>
      <w:r>
        <w:rPr>
          <w:rFonts w:hint="eastAsia"/>
          <w:color w:val="auto"/>
          <w:szCs w:val="21"/>
          <w:highlight w:val="none"/>
        </w:rPr>
        <w:t>（或分支机构负责人）</w:t>
      </w:r>
      <w:r>
        <w:rPr>
          <w:color w:val="auto"/>
          <w:szCs w:val="21"/>
          <w:highlight w:val="none"/>
        </w:rPr>
        <w:t>或被授权代表签字并加盖单位公章后生效。</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7"/>
        <w:gridCol w:w="4688"/>
      </w:tblGrid>
      <w:tr w14:paraId="3E256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trPr>
        <w:tc>
          <w:tcPr>
            <w:tcW w:w="4437" w:type="dxa"/>
            <w:noWrap w:val="0"/>
            <w:vAlign w:val="center"/>
          </w:tcPr>
          <w:p w14:paraId="37616711">
            <w:pPr>
              <w:snapToGrid w:val="0"/>
              <w:spacing w:line="360" w:lineRule="exact"/>
              <w:rPr>
                <w:color w:val="auto"/>
                <w:szCs w:val="21"/>
                <w:highlight w:val="none"/>
              </w:rPr>
            </w:pPr>
            <w:r>
              <w:rPr>
                <w:color w:val="auto"/>
                <w:szCs w:val="21"/>
                <w:highlight w:val="none"/>
              </w:rPr>
              <w:t xml:space="preserve">甲方（章）           </w:t>
            </w:r>
          </w:p>
          <w:p w14:paraId="393D373E">
            <w:pPr>
              <w:snapToGrid w:val="0"/>
              <w:spacing w:line="360" w:lineRule="exact"/>
              <w:ind w:firstLine="945" w:firstLineChars="450"/>
              <w:jc w:val="right"/>
              <w:rPr>
                <w:color w:val="auto"/>
                <w:szCs w:val="21"/>
                <w:highlight w:val="none"/>
              </w:rPr>
            </w:pPr>
          </w:p>
        </w:tc>
        <w:tc>
          <w:tcPr>
            <w:tcW w:w="4688" w:type="dxa"/>
            <w:noWrap w:val="0"/>
            <w:vAlign w:val="center"/>
          </w:tcPr>
          <w:p w14:paraId="601CC259">
            <w:pPr>
              <w:snapToGrid w:val="0"/>
              <w:spacing w:line="360" w:lineRule="exact"/>
              <w:rPr>
                <w:color w:val="auto"/>
                <w:szCs w:val="21"/>
                <w:highlight w:val="none"/>
              </w:rPr>
            </w:pPr>
            <w:r>
              <w:rPr>
                <w:color w:val="auto"/>
                <w:szCs w:val="21"/>
                <w:highlight w:val="none"/>
              </w:rPr>
              <w:t xml:space="preserve">乙方（章）              </w:t>
            </w:r>
          </w:p>
          <w:p w14:paraId="4D2FFB97">
            <w:pPr>
              <w:snapToGrid w:val="0"/>
              <w:spacing w:line="360" w:lineRule="exact"/>
              <w:jc w:val="right"/>
              <w:rPr>
                <w:color w:val="auto"/>
                <w:szCs w:val="21"/>
                <w:highlight w:val="none"/>
              </w:rPr>
            </w:pPr>
          </w:p>
        </w:tc>
      </w:tr>
      <w:tr w14:paraId="040D4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4437" w:type="dxa"/>
            <w:noWrap w:val="0"/>
            <w:vAlign w:val="center"/>
          </w:tcPr>
          <w:p w14:paraId="39203770">
            <w:pPr>
              <w:snapToGrid w:val="0"/>
              <w:spacing w:line="360" w:lineRule="exact"/>
              <w:rPr>
                <w:color w:val="auto"/>
                <w:szCs w:val="21"/>
                <w:highlight w:val="none"/>
              </w:rPr>
            </w:pPr>
            <w:r>
              <w:rPr>
                <w:color w:val="auto"/>
                <w:szCs w:val="21"/>
                <w:highlight w:val="none"/>
              </w:rPr>
              <w:t>单位地址：</w:t>
            </w:r>
          </w:p>
        </w:tc>
        <w:tc>
          <w:tcPr>
            <w:tcW w:w="4688" w:type="dxa"/>
            <w:noWrap w:val="0"/>
            <w:vAlign w:val="center"/>
          </w:tcPr>
          <w:p w14:paraId="25144DFE">
            <w:pPr>
              <w:snapToGrid w:val="0"/>
              <w:spacing w:line="360" w:lineRule="exact"/>
              <w:rPr>
                <w:color w:val="auto"/>
                <w:szCs w:val="21"/>
                <w:highlight w:val="none"/>
              </w:rPr>
            </w:pPr>
            <w:r>
              <w:rPr>
                <w:color w:val="auto"/>
                <w:szCs w:val="21"/>
                <w:highlight w:val="none"/>
              </w:rPr>
              <w:t>单位地址：</w:t>
            </w:r>
          </w:p>
        </w:tc>
      </w:tr>
      <w:tr w14:paraId="51866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4437" w:type="dxa"/>
            <w:noWrap w:val="0"/>
            <w:vAlign w:val="center"/>
          </w:tcPr>
          <w:p w14:paraId="2AA9FB2D">
            <w:pPr>
              <w:snapToGrid w:val="0"/>
              <w:spacing w:line="360" w:lineRule="exact"/>
              <w:rPr>
                <w:color w:val="auto"/>
                <w:szCs w:val="21"/>
                <w:highlight w:val="none"/>
              </w:rPr>
            </w:pPr>
            <w:r>
              <w:rPr>
                <w:color w:val="auto"/>
                <w:szCs w:val="21"/>
                <w:highlight w:val="none"/>
              </w:rPr>
              <w:t>法定代表人</w:t>
            </w:r>
            <w:r>
              <w:rPr>
                <w:rFonts w:hint="eastAsia"/>
                <w:color w:val="auto"/>
                <w:szCs w:val="21"/>
                <w:highlight w:val="none"/>
              </w:rPr>
              <w:t>（或分支机构负责人）</w:t>
            </w:r>
            <w:r>
              <w:rPr>
                <w:color w:val="auto"/>
                <w:szCs w:val="21"/>
                <w:highlight w:val="none"/>
              </w:rPr>
              <w:t>：</w:t>
            </w:r>
          </w:p>
        </w:tc>
        <w:tc>
          <w:tcPr>
            <w:tcW w:w="4688" w:type="dxa"/>
            <w:noWrap w:val="0"/>
            <w:vAlign w:val="center"/>
          </w:tcPr>
          <w:p w14:paraId="1A61B9A3">
            <w:pPr>
              <w:snapToGrid w:val="0"/>
              <w:spacing w:line="360" w:lineRule="exact"/>
              <w:rPr>
                <w:color w:val="auto"/>
                <w:szCs w:val="21"/>
                <w:highlight w:val="none"/>
              </w:rPr>
            </w:pPr>
            <w:r>
              <w:rPr>
                <w:color w:val="auto"/>
                <w:szCs w:val="21"/>
                <w:highlight w:val="none"/>
              </w:rPr>
              <w:t>法定代表人：</w:t>
            </w:r>
          </w:p>
        </w:tc>
      </w:tr>
      <w:tr w14:paraId="61DE6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4437" w:type="dxa"/>
            <w:noWrap w:val="0"/>
            <w:vAlign w:val="center"/>
          </w:tcPr>
          <w:p w14:paraId="1879EEBE">
            <w:pPr>
              <w:snapToGrid w:val="0"/>
              <w:spacing w:line="360" w:lineRule="exact"/>
              <w:rPr>
                <w:color w:val="auto"/>
                <w:szCs w:val="21"/>
                <w:highlight w:val="none"/>
              </w:rPr>
            </w:pPr>
            <w:r>
              <w:rPr>
                <w:color w:val="auto"/>
                <w:szCs w:val="21"/>
                <w:highlight w:val="none"/>
              </w:rPr>
              <w:t>委托代理人：</w:t>
            </w:r>
          </w:p>
        </w:tc>
        <w:tc>
          <w:tcPr>
            <w:tcW w:w="4688" w:type="dxa"/>
            <w:noWrap w:val="0"/>
            <w:vAlign w:val="center"/>
          </w:tcPr>
          <w:p w14:paraId="51A67778">
            <w:pPr>
              <w:snapToGrid w:val="0"/>
              <w:spacing w:line="360" w:lineRule="exact"/>
              <w:rPr>
                <w:color w:val="auto"/>
                <w:szCs w:val="21"/>
                <w:highlight w:val="none"/>
              </w:rPr>
            </w:pPr>
            <w:r>
              <w:rPr>
                <w:color w:val="auto"/>
                <w:szCs w:val="21"/>
                <w:highlight w:val="none"/>
              </w:rPr>
              <w:t>委托代理人</w:t>
            </w:r>
          </w:p>
        </w:tc>
      </w:tr>
      <w:tr w14:paraId="6CCCD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4437" w:type="dxa"/>
            <w:noWrap w:val="0"/>
            <w:vAlign w:val="center"/>
          </w:tcPr>
          <w:p w14:paraId="44487EF1">
            <w:pPr>
              <w:snapToGrid w:val="0"/>
              <w:spacing w:line="360" w:lineRule="exact"/>
              <w:rPr>
                <w:color w:val="auto"/>
                <w:szCs w:val="21"/>
                <w:highlight w:val="none"/>
              </w:rPr>
            </w:pPr>
            <w:r>
              <w:rPr>
                <w:color w:val="auto"/>
                <w:szCs w:val="21"/>
                <w:highlight w:val="none"/>
              </w:rPr>
              <w:t>电话：</w:t>
            </w:r>
          </w:p>
        </w:tc>
        <w:tc>
          <w:tcPr>
            <w:tcW w:w="4688" w:type="dxa"/>
            <w:noWrap w:val="0"/>
            <w:vAlign w:val="center"/>
          </w:tcPr>
          <w:p w14:paraId="40BF352A">
            <w:pPr>
              <w:snapToGrid w:val="0"/>
              <w:spacing w:line="360" w:lineRule="exact"/>
              <w:rPr>
                <w:color w:val="auto"/>
                <w:szCs w:val="21"/>
                <w:highlight w:val="none"/>
              </w:rPr>
            </w:pPr>
            <w:r>
              <w:rPr>
                <w:color w:val="auto"/>
                <w:szCs w:val="21"/>
                <w:highlight w:val="none"/>
              </w:rPr>
              <w:t>电话：</w:t>
            </w:r>
          </w:p>
        </w:tc>
      </w:tr>
      <w:tr w14:paraId="2AC54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4437" w:type="dxa"/>
            <w:noWrap w:val="0"/>
            <w:vAlign w:val="center"/>
          </w:tcPr>
          <w:p w14:paraId="52B8D6B7">
            <w:pPr>
              <w:snapToGrid w:val="0"/>
              <w:spacing w:line="360" w:lineRule="exact"/>
              <w:rPr>
                <w:color w:val="auto"/>
                <w:szCs w:val="21"/>
                <w:highlight w:val="none"/>
              </w:rPr>
            </w:pPr>
            <w:r>
              <w:rPr>
                <w:color w:val="auto"/>
                <w:szCs w:val="21"/>
                <w:highlight w:val="none"/>
              </w:rPr>
              <w:t>开户银行：</w:t>
            </w:r>
          </w:p>
        </w:tc>
        <w:tc>
          <w:tcPr>
            <w:tcW w:w="4688" w:type="dxa"/>
            <w:noWrap w:val="0"/>
            <w:vAlign w:val="center"/>
          </w:tcPr>
          <w:p w14:paraId="092BB7EB">
            <w:pPr>
              <w:snapToGrid w:val="0"/>
              <w:spacing w:line="360" w:lineRule="exact"/>
              <w:rPr>
                <w:color w:val="auto"/>
                <w:szCs w:val="21"/>
                <w:highlight w:val="none"/>
              </w:rPr>
            </w:pPr>
            <w:r>
              <w:rPr>
                <w:color w:val="auto"/>
                <w:szCs w:val="21"/>
                <w:highlight w:val="none"/>
              </w:rPr>
              <w:t>开户银行：</w:t>
            </w:r>
          </w:p>
        </w:tc>
      </w:tr>
      <w:tr w14:paraId="42932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4437" w:type="dxa"/>
            <w:noWrap w:val="0"/>
            <w:vAlign w:val="center"/>
          </w:tcPr>
          <w:p w14:paraId="0EFCF685">
            <w:pPr>
              <w:snapToGrid w:val="0"/>
              <w:spacing w:line="360" w:lineRule="exact"/>
              <w:rPr>
                <w:color w:val="auto"/>
                <w:szCs w:val="21"/>
                <w:highlight w:val="none"/>
              </w:rPr>
            </w:pPr>
            <w:r>
              <w:rPr>
                <w:color w:val="auto"/>
                <w:szCs w:val="21"/>
                <w:highlight w:val="none"/>
              </w:rPr>
              <w:t>账号：</w:t>
            </w:r>
          </w:p>
        </w:tc>
        <w:tc>
          <w:tcPr>
            <w:tcW w:w="4688" w:type="dxa"/>
            <w:noWrap w:val="0"/>
            <w:vAlign w:val="center"/>
          </w:tcPr>
          <w:p w14:paraId="656FEDD0">
            <w:pPr>
              <w:snapToGrid w:val="0"/>
              <w:spacing w:line="360" w:lineRule="exact"/>
              <w:rPr>
                <w:color w:val="auto"/>
                <w:szCs w:val="21"/>
                <w:highlight w:val="none"/>
              </w:rPr>
            </w:pPr>
            <w:r>
              <w:rPr>
                <w:color w:val="auto"/>
                <w:szCs w:val="21"/>
                <w:highlight w:val="none"/>
              </w:rPr>
              <w:t>账号：</w:t>
            </w:r>
          </w:p>
        </w:tc>
      </w:tr>
    </w:tbl>
    <w:p w14:paraId="2957E63B">
      <w:pPr>
        <w:snapToGrid w:val="0"/>
        <w:spacing w:line="360" w:lineRule="exact"/>
        <w:ind w:firstLine="420" w:firstLineChars="200"/>
        <w:rPr>
          <w:color w:val="auto"/>
          <w:szCs w:val="21"/>
          <w:highlight w:val="none"/>
        </w:rPr>
      </w:pPr>
    </w:p>
    <w:p w14:paraId="5B65D593">
      <w:pPr>
        <w:spacing w:before="120" w:line="320" w:lineRule="atLeast"/>
        <w:jc w:val="left"/>
        <w:outlineLvl w:val="1"/>
        <w:rPr>
          <w:b/>
          <w:bCs/>
          <w:color w:val="auto"/>
          <w:kern w:val="0"/>
          <w:szCs w:val="21"/>
          <w:highlight w:val="none"/>
        </w:rPr>
      </w:pPr>
      <w:r>
        <w:rPr>
          <w:color w:val="auto"/>
          <w:szCs w:val="21"/>
          <w:highlight w:val="none"/>
        </w:rPr>
        <w:br w:type="page"/>
      </w:r>
      <w:r>
        <w:rPr>
          <w:b/>
          <w:bCs/>
          <w:color w:val="auto"/>
          <w:kern w:val="0"/>
          <w:szCs w:val="21"/>
          <w:highlight w:val="none"/>
        </w:rPr>
        <w:t>合同附件1</w:t>
      </w:r>
    </w:p>
    <w:p w14:paraId="0DE779F9">
      <w:pPr>
        <w:snapToGrid w:val="0"/>
        <w:rPr>
          <w:color w:val="auto"/>
          <w:sz w:val="18"/>
          <w:szCs w:val="18"/>
          <w:highlight w:val="none"/>
        </w:rPr>
      </w:pPr>
    </w:p>
    <w:tbl>
      <w:tblPr>
        <w:tblStyle w:val="53"/>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640"/>
      </w:tblGrid>
      <w:tr w14:paraId="7B00B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noWrap w:val="0"/>
            <w:vAlign w:val="center"/>
          </w:tcPr>
          <w:p w14:paraId="10B4D2D1">
            <w:pPr>
              <w:jc w:val="center"/>
              <w:rPr>
                <w:color w:val="auto"/>
                <w:szCs w:val="21"/>
                <w:highlight w:val="none"/>
              </w:rPr>
            </w:pPr>
            <w:r>
              <w:rPr>
                <w:color w:val="auto"/>
                <w:szCs w:val="21"/>
                <w:highlight w:val="none"/>
              </w:rPr>
              <w:t>供</w:t>
            </w:r>
          </w:p>
          <w:p w14:paraId="600D7BAD">
            <w:pPr>
              <w:jc w:val="center"/>
              <w:rPr>
                <w:color w:val="auto"/>
                <w:szCs w:val="21"/>
                <w:highlight w:val="none"/>
              </w:rPr>
            </w:pPr>
            <w:r>
              <w:rPr>
                <w:color w:val="auto"/>
                <w:szCs w:val="21"/>
                <w:highlight w:val="none"/>
              </w:rPr>
              <w:t>应</w:t>
            </w:r>
          </w:p>
          <w:p w14:paraId="084E59AD">
            <w:pPr>
              <w:jc w:val="center"/>
              <w:rPr>
                <w:color w:val="auto"/>
                <w:szCs w:val="21"/>
                <w:highlight w:val="none"/>
              </w:rPr>
            </w:pPr>
            <w:r>
              <w:rPr>
                <w:color w:val="auto"/>
                <w:szCs w:val="21"/>
                <w:highlight w:val="none"/>
              </w:rPr>
              <w:t>商</w:t>
            </w:r>
          </w:p>
          <w:p w14:paraId="1B87416B">
            <w:pPr>
              <w:jc w:val="center"/>
              <w:rPr>
                <w:color w:val="auto"/>
                <w:szCs w:val="21"/>
                <w:highlight w:val="none"/>
              </w:rPr>
            </w:pPr>
            <w:r>
              <w:rPr>
                <w:color w:val="auto"/>
                <w:szCs w:val="21"/>
                <w:highlight w:val="none"/>
              </w:rPr>
              <w:t>申</w:t>
            </w:r>
          </w:p>
          <w:p w14:paraId="004E9B69">
            <w:pPr>
              <w:jc w:val="center"/>
              <w:rPr>
                <w:color w:val="auto"/>
                <w:szCs w:val="21"/>
                <w:highlight w:val="none"/>
              </w:rPr>
            </w:pPr>
            <w:r>
              <w:rPr>
                <w:color w:val="auto"/>
                <w:szCs w:val="21"/>
                <w:highlight w:val="none"/>
              </w:rPr>
              <w:t>请</w:t>
            </w:r>
          </w:p>
        </w:tc>
        <w:tc>
          <w:tcPr>
            <w:tcW w:w="8640" w:type="dxa"/>
            <w:noWrap w:val="0"/>
            <w:vAlign w:val="center"/>
          </w:tcPr>
          <w:p w14:paraId="095F66AE">
            <w:pPr>
              <w:rPr>
                <w:color w:val="auto"/>
                <w:szCs w:val="21"/>
                <w:highlight w:val="none"/>
              </w:rPr>
            </w:pPr>
            <w:r>
              <w:rPr>
                <w:color w:val="auto"/>
                <w:szCs w:val="21"/>
                <w:highlight w:val="none"/>
              </w:rPr>
              <w:t>项目编号：</w:t>
            </w:r>
          </w:p>
        </w:tc>
      </w:tr>
      <w:tr w14:paraId="2384D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noWrap w:val="0"/>
            <w:vAlign w:val="center"/>
          </w:tcPr>
          <w:p w14:paraId="069996E2">
            <w:pPr>
              <w:rPr>
                <w:color w:val="auto"/>
                <w:szCs w:val="21"/>
                <w:highlight w:val="none"/>
              </w:rPr>
            </w:pPr>
          </w:p>
        </w:tc>
        <w:tc>
          <w:tcPr>
            <w:tcW w:w="8640" w:type="dxa"/>
            <w:noWrap w:val="0"/>
            <w:vAlign w:val="center"/>
          </w:tcPr>
          <w:p w14:paraId="3202F23D">
            <w:pPr>
              <w:rPr>
                <w:color w:val="auto"/>
                <w:szCs w:val="21"/>
                <w:highlight w:val="none"/>
              </w:rPr>
            </w:pPr>
            <w:r>
              <w:rPr>
                <w:color w:val="auto"/>
                <w:szCs w:val="21"/>
                <w:highlight w:val="none"/>
              </w:rPr>
              <w:t>项目名称：</w:t>
            </w:r>
          </w:p>
        </w:tc>
      </w:tr>
      <w:tr w14:paraId="2445E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noWrap w:val="0"/>
            <w:vAlign w:val="top"/>
          </w:tcPr>
          <w:p w14:paraId="619C0F7A">
            <w:pPr>
              <w:rPr>
                <w:color w:val="auto"/>
                <w:szCs w:val="21"/>
                <w:highlight w:val="none"/>
              </w:rPr>
            </w:pPr>
          </w:p>
        </w:tc>
        <w:tc>
          <w:tcPr>
            <w:tcW w:w="8640" w:type="dxa"/>
            <w:noWrap w:val="0"/>
            <w:vAlign w:val="top"/>
          </w:tcPr>
          <w:p w14:paraId="76726BAF">
            <w:pPr>
              <w:rPr>
                <w:color w:val="auto"/>
                <w:szCs w:val="21"/>
                <w:highlight w:val="none"/>
              </w:rPr>
            </w:pPr>
            <w:r>
              <w:rPr>
                <w:color w:val="auto"/>
                <w:szCs w:val="21"/>
                <w:highlight w:val="none"/>
              </w:rPr>
              <w:t xml:space="preserve">  </w:t>
            </w:r>
          </w:p>
          <w:p w14:paraId="340EDAFA">
            <w:pPr>
              <w:spacing w:line="400" w:lineRule="exact"/>
              <w:ind w:firstLine="420" w:firstLineChars="200"/>
              <w:rPr>
                <w:color w:val="auto"/>
                <w:szCs w:val="21"/>
                <w:highlight w:val="none"/>
              </w:rPr>
            </w:pPr>
            <w:r>
              <w:rPr>
                <w:color w:val="auto"/>
                <w:szCs w:val="21"/>
                <w:highlight w:val="none"/>
              </w:rPr>
              <w:t>该项目已于</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日验收并交付使用。根据合同规定，该项目的履约保证金期限于</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日已满，请将履约保证金</w:t>
            </w:r>
          </w:p>
          <w:p w14:paraId="06546207">
            <w:pPr>
              <w:spacing w:line="400" w:lineRule="exact"/>
              <w:rPr>
                <w:color w:val="auto"/>
                <w:szCs w:val="21"/>
                <w:highlight w:val="none"/>
              </w:rPr>
            </w:pPr>
            <w:r>
              <w:rPr>
                <w:color w:val="auto"/>
                <w:szCs w:val="21"/>
                <w:highlight w:val="none"/>
                <w:u w:val="single"/>
              </w:rPr>
              <w:t xml:space="preserve">                                        </w:t>
            </w:r>
            <w:r>
              <w:rPr>
                <w:color w:val="auto"/>
                <w:szCs w:val="21"/>
                <w:highlight w:val="none"/>
              </w:rPr>
              <w:t>（大写）¥</w:t>
            </w:r>
            <w:r>
              <w:rPr>
                <w:color w:val="auto"/>
                <w:szCs w:val="21"/>
                <w:highlight w:val="none"/>
                <w:u w:val="single"/>
              </w:rPr>
              <w:t xml:space="preserve">          </w:t>
            </w:r>
            <w:r>
              <w:rPr>
                <w:color w:val="auto"/>
                <w:szCs w:val="21"/>
                <w:highlight w:val="none"/>
              </w:rPr>
              <w:t>（小写）退付到达以下账户。</w:t>
            </w:r>
          </w:p>
          <w:p w14:paraId="34948F78">
            <w:pPr>
              <w:spacing w:line="400" w:lineRule="exact"/>
              <w:ind w:firstLine="705"/>
              <w:rPr>
                <w:color w:val="auto"/>
                <w:szCs w:val="21"/>
                <w:highlight w:val="none"/>
              </w:rPr>
            </w:pPr>
            <w:r>
              <w:rPr>
                <w:color w:val="auto"/>
                <w:szCs w:val="21"/>
                <w:highlight w:val="none"/>
              </w:rPr>
              <w:t>单位名称：</w:t>
            </w:r>
          </w:p>
          <w:p w14:paraId="230BCB34">
            <w:pPr>
              <w:spacing w:line="400" w:lineRule="exact"/>
              <w:ind w:firstLine="705"/>
              <w:rPr>
                <w:color w:val="auto"/>
                <w:szCs w:val="21"/>
                <w:highlight w:val="none"/>
              </w:rPr>
            </w:pPr>
            <w:r>
              <w:rPr>
                <w:color w:val="auto"/>
                <w:szCs w:val="21"/>
                <w:highlight w:val="none"/>
              </w:rPr>
              <w:t>开户银行：</w:t>
            </w:r>
          </w:p>
          <w:p w14:paraId="2BF35537">
            <w:pPr>
              <w:spacing w:line="400" w:lineRule="exact"/>
              <w:ind w:firstLine="705"/>
              <w:rPr>
                <w:color w:val="auto"/>
                <w:szCs w:val="21"/>
                <w:highlight w:val="none"/>
              </w:rPr>
            </w:pPr>
            <w:r>
              <w:rPr>
                <w:color w:val="auto"/>
                <w:szCs w:val="21"/>
                <w:highlight w:val="none"/>
              </w:rPr>
              <w:t>账   号：</w:t>
            </w:r>
          </w:p>
          <w:p w14:paraId="608647EC">
            <w:pPr>
              <w:spacing w:line="400" w:lineRule="exact"/>
              <w:rPr>
                <w:color w:val="auto"/>
                <w:szCs w:val="21"/>
                <w:highlight w:val="none"/>
              </w:rPr>
            </w:pPr>
            <w:r>
              <w:rPr>
                <w:color w:val="auto"/>
                <w:szCs w:val="21"/>
                <w:highlight w:val="none"/>
              </w:rPr>
              <w:t>联系人及电话：</w:t>
            </w:r>
          </w:p>
          <w:p w14:paraId="0DADCDC7">
            <w:pPr>
              <w:spacing w:line="400" w:lineRule="exact"/>
              <w:rPr>
                <w:color w:val="auto"/>
                <w:szCs w:val="21"/>
                <w:highlight w:val="none"/>
              </w:rPr>
            </w:pPr>
          </w:p>
          <w:p w14:paraId="23AF6AD6">
            <w:pPr>
              <w:spacing w:line="520" w:lineRule="exact"/>
              <w:jc w:val="center"/>
              <w:rPr>
                <w:color w:val="auto"/>
                <w:szCs w:val="21"/>
                <w:highlight w:val="none"/>
              </w:rPr>
            </w:pPr>
            <w:r>
              <w:rPr>
                <w:color w:val="auto"/>
                <w:szCs w:val="21"/>
                <w:highlight w:val="none"/>
              </w:rPr>
              <w:t xml:space="preserve">                                     供应商</w:t>
            </w:r>
            <w:r>
              <w:rPr>
                <w:rFonts w:hint="eastAsia"/>
                <w:color w:val="auto"/>
                <w:szCs w:val="21"/>
                <w:highlight w:val="none"/>
              </w:rPr>
              <w:t>公</w:t>
            </w:r>
            <w:r>
              <w:rPr>
                <w:color w:val="auto"/>
                <w:szCs w:val="21"/>
                <w:highlight w:val="none"/>
              </w:rPr>
              <w:t>章：</w:t>
            </w:r>
          </w:p>
          <w:p w14:paraId="4D9612F1">
            <w:pPr>
              <w:spacing w:line="520" w:lineRule="exact"/>
              <w:jc w:val="center"/>
              <w:rPr>
                <w:color w:val="auto"/>
                <w:szCs w:val="21"/>
                <w:highlight w:val="none"/>
              </w:rPr>
            </w:pPr>
            <w:r>
              <w:rPr>
                <w:color w:val="auto"/>
                <w:szCs w:val="21"/>
                <w:highlight w:val="none"/>
              </w:rPr>
              <w:t xml:space="preserve">                           年    月     日</w:t>
            </w:r>
          </w:p>
        </w:tc>
      </w:tr>
      <w:tr w14:paraId="0C4AC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14:paraId="604299EF">
            <w:pPr>
              <w:jc w:val="center"/>
              <w:rPr>
                <w:color w:val="auto"/>
                <w:szCs w:val="21"/>
                <w:highlight w:val="none"/>
              </w:rPr>
            </w:pPr>
            <w:r>
              <w:rPr>
                <w:color w:val="auto"/>
                <w:szCs w:val="21"/>
                <w:highlight w:val="none"/>
              </w:rPr>
              <w:t>采</w:t>
            </w:r>
          </w:p>
          <w:p w14:paraId="7E8FCD29">
            <w:pPr>
              <w:jc w:val="center"/>
              <w:rPr>
                <w:color w:val="auto"/>
                <w:szCs w:val="21"/>
                <w:highlight w:val="none"/>
              </w:rPr>
            </w:pPr>
            <w:r>
              <w:rPr>
                <w:color w:val="auto"/>
                <w:szCs w:val="21"/>
                <w:highlight w:val="none"/>
              </w:rPr>
              <w:t>购</w:t>
            </w:r>
          </w:p>
          <w:p w14:paraId="2D7578BF">
            <w:pPr>
              <w:jc w:val="center"/>
              <w:rPr>
                <w:color w:val="auto"/>
                <w:szCs w:val="21"/>
                <w:highlight w:val="none"/>
              </w:rPr>
            </w:pPr>
            <w:r>
              <w:rPr>
                <w:color w:val="auto"/>
                <w:szCs w:val="21"/>
                <w:highlight w:val="none"/>
              </w:rPr>
              <w:t>单</w:t>
            </w:r>
          </w:p>
          <w:p w14:paraId="39D82C9E">
            <w:pPr>
              <w:jc w:val="center"/>
              <w:rPr>
                <w:color w:val="auto"/>
                <w:szCs w:val="21"/>
                <w:highlight w:val="none"/>
              </w:rPr>
            </w:pPr>
            <w:r>
              <w:rPr>
                <w:color w:val="auto"/>
                <w:szCs w:val="21"/>
                <w:highlight w:val="none"/>
              </w:rPr>
              <w:t>位</w:t>
            </w:r>
          </w:p>
          <w:p w14:paraId="79BF69FE">
            <w:pPr>
              <w:jc w:val="center"/>
              <w:rPr>
                <w:color w:val="auto"/>
                <w:szCs w:val="21"/>
                <w:highlight w:val="none"/>
              </w:rPr>
            </w:pPr>
            <w:r>
              <w:rPr>
                <w:color w:val="auto"/>
                <w:szCs w:val="21"/>
                <w:highlight w:val="none"/>
              </w:rPr>
              <w:t>意</w:t>
            </w:r>
          </w:p>
          <w:p w14:paraId="16D8DDA3">
            <w:pPr>
              <w:jc w:val="center"/>
              <w:rPr>
                <w:color w:val="auto"/>
                <w:szCs w:val="21"/>
                <w:highlight w:val="none"/>
              </w:rPr>
            </w:pPr>
            <w:r>
              <w:rPr>
                <w:color w:val="auto"/>
                <w:szCs w:val="21"/>
                <w:highlight w:val="none"/>
              </w:rPr>
              <w:t>见</w:t>
            </w:r>
          </w:p>
        </w:tc>
        <w:tc>
          <w:tcPr>
            <w:tcW w:w="8640" w:type="dxa"/>
            <w:noWrap w:val="0"/>
            <w:vAlign w:val="top"/>
          </w:tcPr>
          <w:p w14:paraId="30C03F19">
            <w:pPr>
              <w:rPr>
                <w:color w:val="auto"/>
                <w:szCs w:val="21"/>
                <w:highlight w:val="none"/>
              </w:rPr>
            </w:pPr>
          </w:p>
          <w:p w14:paraId="3416B157">
            <w:pPr>
              <w:rPr>
                <w:color w:val="auto"/>
                <w:szCs w:val="21"/>
                <w:highlight w:val="none"/>
              </w:rPr>
            </w:pPr>
            <w:r>
              <w:rPr>
                <w:color w:val="auto"/>
                <w:szCs w:val="21"/>
                <w:highlight w:val="none"/>
              </w:rPr>
              <w:t>退付意见：是否同意退付履约保证金及退付金额：</w:t>
            </w:r>
          </w:p>
          <w:p w14:paraId="43878931">
            <w:pPr>
              <w:rPr>
                <w:color w:val="auto"/>
                <w:szCs w:val="21"/>
                <w:highlight w:val="none"/>
              </w:rPr>
            </w:pPr>
          </w:p>
          <w:p w14:paraId="45453F71">
            <w:pPr>
              <w:rPr>
                <w:color w:val="auto"/>
                <w:szCs w:val="21"/>
                <w:highlight w:val="none"/>
              </w:rPr>
            </w:pPr>
          </w:p>
          <w:p w14:paraId="1EA2CDB6">
            <w:pPr>
              <w:spacing w:line="520" w:lineRule="exact"/>
              <w:rPr>
                <w:color w:val="auto"/>
                <w:szCs w:val="21"/>
                <w:highlight w:val="none"/>
              </w:rPr>
            </w:pPr>
            <w:r>
              <w:rPr>
                <w:color w:val="auto"/>
                <w:szCs w:val="21"/>
                <w:highlight w:val="none"/>
              </w:rPr>
              <w:t>联系人及电话：                                 采购单位</w:t>
            </w:r>
            <w:r>
              <w:rPr>
                <w:rFonts w:hint="eastAsia"/>
                <w:color w:val="auto"/>
                <w:szCs w:val="21"/>
                <w:highlight w:val="none"/>
              </w:rPr>
              <w:t>公</w:t>
            </w:r>
            <w:r>
              <w:rPr>
                <w:color w:val="auto"/>
                <w:szCs w:val="21"/>
                <w:highlight w:val="none"/>
              </w:rPr>
              <w:t>章</w:t>
            </w:r>
          </w:p>
          <w:p w14:paraId="473172F3">
            <w:pPr>
              <w:spacing w:line="520" w:lineRule="exact"/>
              <w:jc w:val="center"/>
              <w:rPr>
                <w:color w:val="auto"/>
                <w:szCs w:val="21"/>
                <w:highlight w:val="none"/>
              </w:rPr>
            </w:pPr>
            <w:r>
              <w:rPr>
                <w:color w:val="auto"/>
                <w:szCs w:val="21"/>
                <w:highlight w:val="none"/>
              </w:rPr>
              <w:t xml:space="preserve">                                        年    月     日</w:t>
            </w:r>
          </w:p>
        </w:tc>
      </w:tr>
      <w:tr w14:paraId="71485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14:paraId="4F0FFAAB">
            <w:pPr>
              <w:jc w:val="center"/>
              <w:rPr>
                <w:color w:val="auto"/>
                <w:szCs w:val="21"/>
                <w:highlight w:val="none"/>
              </w:rPr>
            </w:pPr>
            <w:r>
              <w:rPr>
                <w:color w:val="auto"/>
                <w:szCs w:val="21"/>
                <w:highlight w:val="none"/>
              </w:rPr>
              <w:t>财</w:t>
            </w:r>
          </w:p>
          <w:p w14:paraId="1B6C0DBE">
            <w:pPr>
              <w:jc w:val="center"/>
              <w:rPr>
                <w:color w:val="auto"/>
                <w:szCs w:val="21"/>
                <w:highlight w:val="none"/>
              </w:rPr>
            </w:pPr>
            <w:r>
              <w:rPr>
                <w:color w:val="auto"/>
                <w:szCs w:val="21"/>
                <w:highlight w:val="none"/>
              </w:rPr>
              <w:t>务</w:t>
            </w:r>
          </w:p>
          <w:p w14:paraId="71A420C6">
            <w:pPr>
              <w:jc w:val="center"/>
              <w:rPr>
                <w:color w:val="auto"/>
                <w:szCs w:val="21"/>
                <w:highlight w:val="none"/>
              </w:rPr>
            </w:pPr>
            <w:r>
              <w:rPr>
                <w:color w:val="auto"/>
                <w:szCs w:val="21"/>
                <w:highlight w:val="none"/>
              </w:rPr>
              <w:t>部</w:t>
            </w:r>
          </w:p>
          <w:p w14:paraId="7AF0F5E0">
            <w:pPr>
              <w:jc w:val="center"/>
              <w:rPr>
                <w:color w:val="auto"/>
                <w:szCs w:val="21"/>
                <w:highlight w:val="none"/>
              </w:rPr>
            </w:pPr>
            <w:r>
              <w:rPr>
                <w:color w:val="auto"/>
                <w:szCs w:val="21"/>
                <w:highlight w:val="none"/>
              </w:rPr>
              <w:t>门</w:t>
            </w:r>
          </w:p>
          <w:p w14:paraId="00AB12EF">
            <w:pPr>
              <w:jc w:val="center"/>
              <w:rPr>
                <w:color w:val="auto"/>
                <w:szCs w:val="21"/>
                <w:highlight w:val="none"/>
              </w:rPr>
            </w:pPr>
            <w:r>
              <w:rPr>
                <w:color w:val="auto"/>
                <w:szCs w:val="21"/>
                <w:highlight w:val="none"/>
              </w:rPr>
              <w:t>意</w:t>
            </w:r>
          </w:p>
          <w:p w14:paraId="20CB77FE">
            <w:pPr>
              <w:jc w:val="center"/>
              <w:rPr>
                <w:color w:val="auto"/>
                <w:szCs w:val="21"/>
                <w:highlight w:val="none"/>
              </w:rPr>
            </w:pPr>
            <w:r>
              <w:rPr>
                <w:color w:val="auto"/>
                <w:szCs w:val="21"/>
                <w:highlight w:val="none"/>
              </w:rPr>
              <w:t>见</w:t>
            </w:r>
          </w:p>
        </w:tc>
        <w:tc>
          <w:tcPr>
            <w:tcW w:w="8640" w:type="dxa"/>
            <w:noWrap w:val="0"/>
            <w:vAlign w:val="top"/>
          </w:tcPr>
          <w:p w14:paraId="13745E81">
            <w:pPr>
              <w:spacing w:line="640" w:lineRule="exact"/>
              <w:rPr>
                <w:color w:val="auto"/>
                <w:szCs w:val="21"/>
                <w:highlight w:val="none"/>
              </w:rPr>
            </w:pPr>
            <w:r>
              <w:rPr>
                <w:color w:val="auto"/>
                <w:szCs w:val="21"/>
                <w:highlight w:val="none"/>
              </w:rPr>
              <w:t>此表于</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 xml:space="preserve"> 月 </w:t>
            </w:r>
            <w:r>
              <w:rPr>
                <w:color w:val="auto"/>
                <w:szCs w:val="21"/>
                <w:highlight w:val="none"/>
                <w:u w:val="single"/>
              </w:rPr>
              <w:t xml:space="preserve">   </w:t>
            </w:r>
            <w:r>
              <w:rPr>
                <w:color w:val="auto"/>
                <w:szCs w:val="21"/>
                <w:highlight w:val="none"/>
              </w:rPr>
              <w:t xml:space="preserve"> 日收到。</w:t>
            </w:r>
          </w:p>
          <w:p w14:paraId="5D58251F">
            <w:pPr>
              <w:spacing w:line="640" w:lineRule="exact"/>
              <w:rPr>
                <w:color w:val="auto"/>
                <w:szCs w:val="21"/>
                <w:highlight w:val="none"/>
              </w:rPr>
            </w:pPr>
            <w:r>
              <w:rPr>
                <w:color w:val="auto"/>
                <w:szCs w:val="21"/>
                <w:highlight w:val="none"/>
              </w:rPr>
              <w:t>会计审核：</w:t>
            </w:r>
          </w:p>
          <w:p w14:paraId="30336C5F">
            <w:pPr>
              <w:spacing w:line="640" w:lineRule="exact"/>
              <w:rPr>
                <w:color w:val="auto"/>
                <w:szCs w:val="21"/>
                <w:highlight w:val="none"/>
              </w:rPr>
            </w:pPr>
            <w:r>
              <w:rPr>
                <w:color w:val="auto"/>
                <w:szCs w:val="21"/>
                <w:highlight w:val="none"/>
              </w:rPr>
              <w:t>财务负责人审核：</w:t>
            </w:r>
          </w:p>
          <w:p w14:paraId="4999BDCA">
            <w:pPr>
              <w:spacing w:line="640" w:lineRule="exact"/>
              <w:rPr>
                <w:color w:val="auto"/>
                <w:szCs w:val="21"/>
                <w:highlight w:val="none"/>
              </w:rPr>
            </w:pPr>
            <w:r>
              <w:rPr>
                <w:color w:val="auto"/>
                <w:szCs w:val="21"/>
                <w:highlight w:val="none"/>
              </w:rPr>
              <w:t>单位负责人签字：</w:t>
            </w:r>
          </w:p>
          <w:p w14:paraId="1B5C8EDC">
            <w:pPr>
              <w:spacing w:line="640" w:lineRule="exact"/>
              <w:rPr>
                <w:color w:val="auto"/>
                <w:szCs w:val="21"/>
                <w:highlight w:val="none"/>
              </w:rPr>
            </w:pPr>
            <w:r>
              <w:rPr>
                <w:color w:val="auto"/>
                <w:szCs w:val="21"/>
                <w:highlight w:val="none"/>
              </w:rPr>
              <w:t>出纳办理转账日期：</w:t>
            </w:r>
          </w:p>
        </w:tc>
      </w:tr>
    </w:tbl>
    <w:p w14:paraId="7E328688">
      <w:pPr>
        <w:pStyle w:val="20"/>
        <w:ind w:left="450" w:leftChars="114" w:hanging="211" w:hangingChars="100"/>
        <w:rPr>
          <w:b/>
          <w:bCs/>
          <w:color w:val="auto"/>
          <w:sz w:val="21"/>
          <w:szCs w:val="21"/>
          <w:highlight w:val="none"/>
        </w:rPr>
      </w:pPr>
      <w:r>
        <w:rPr>
          <w:b/>
          <w:bCs/>
          <w:color w:val="auto"/>
          <w:sz w:val="21"/>
          <w:szCs w:val="21"/>
          <w:highlight w:val="none"/>
        </w:rPr>
        <w:t>注：供应商凭经采购单位审批的退付意见书到相关财务部办理履约保证金退付事宜。</w:t>
      </w:r>
    </w:p>
    <w:p w14:paraId="5B91828E">
      <w:pPr>
        <w:spacing w:before="120" w:line="320" w:lineRule="atLeast"/>
        <w:jc w:val="left"/>
        <w:outlineLvl w:val="1"/>
        <w:rPr>
          <w:b/>
          <w:bCs/>
          <w:color w:val="auto"/>
          <w:kern w:val="0"/>
          <w:szCs w:val="21"/>
          <w:highlight w:val="none"/>
        </w:rPr>
      </w:pPr>
      <w:r>
        <w:rPr>
          <w:b/>
          <w:color w:val="auto"/>
          <w:sz w:val="32"/>
          <w:szCs w:val="32"/>
          <w:highlight w:val="none"/>
        </w:rPr>
        <w:br w:type="page"/>
      </w:r>
      <w:r>
        <w:rPr>
          <w:b/>
          <w:bCs/>
          <w:color w:val="auto"/>
          <w:kern w:val="0"/>
          <w:szCs w:val="21"/>
          <w:highlight w:val="none"/>
        </w:rPr>
        <w:t>合同附件2</w:t>
      </w:r>
    </w:p>
    <w:p w14:paraId="42EEA435">
      <w:pPr>
        <w:snapToGrid w:val="0"/>
        <w:spacing w:line="360" w:lineRule="exact"/>
        <w:jc w:val="center"/>
        <w:rPr>
          <w:b/>
          <w:bCs/>
          <w:color w:val="auto"/>
          <w:szCs w:val="21"/>
          <w:highlight w:val="none"/>
        </w:rPr>
      </w:pPr>
    </w:p>
    <w:p w14:paraId="1DDA4C5F">
      <w:pPr>
        <w:snapToGrid w:val="0"/>
        <w:spacing w:line="360" w:lineRule="exact"/>
        <w:jc w:val="center"/>
        <w:rPr>
          <w:b/>
          <w:bCs/>
          <w:color w:val="auto"/>
          <w:szCs w:val="21"/>
          <w:highlight w:val="none"/>
        </w:rPr>
      </w:pPr>
      <w:r>
        <w:rPr>
          <w:b/>
          <w:bCs/>
          <w:color w:val="auto"/>
          <w:szCs w:val="21"/>
          <w:highlight w:val="none"/>
        </w:rPr>
        <w:t>履约</w:t>
      </w:r>
      <w:r>
        <w:rPr>
          <w:rFonts w:hint="eastAsia"/>
          <w:b/>
          <w:bCs/>
          <w:color w:val="auto"/>
          <w:szCs w:val="21"/>
          <w:highlight w:val="none"/>
        </w:rPr>
        <w:t>验收方案</w:t>
      </w:r>
    </w:p>
    <w:p w14:paraId="675E556F">
      <w:pPr>
        <w:widowControl/>
        <w:jc w:val="left"/>
        <w:rPr>
          <w:color w:val="auto"/>
          <w:szCs w:val="21"/>
          <w:highlight w:val="none"/>
        </w:rPr>
      </w:pPr>
    </w:p>
    <w:p w14:paraId="71A6754E">
      <w:pPr>
        <w:pStyle w:val="175"/>
        <w:ind w:firstLineChars="0"/>
        <w:rPr>
          <w:rFonts w:ascii="Times New Roman" w:hAnsi="Times New Roman" w:eastAsia="宋体"/>
          <w:color w:val="auto"/>
          <w:kern w:val="2"/>
          <w:sz w:val="21"/>
          <w:szCs w:val="21"/>
          <w:highlight w:val="none"/>
        </w:rPr>
      </w:pPr>
    </w:p>
    <w:p w14:paraId="2A3EE2E8">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1.履约验收工作参加人员</w:t>
      </w:r>
    </w:p>
    <w:p w14:paraId="305F83F7">
      <w:pPr>
        <w:spacing w:before="120" w:line="320" w:lineRule="exact"/>
        <w:jc w:val="left"/>
        <w:rPr>
          <w:rFonts w:ascii="宋体" w:hAnsi="宋体" w:cs="宋体"/>
          <w:color w:val="auto"/>
          <w:szCs w:val="21"/>
          <w:highlight w:val="none"/>
        </w:rPr>
      </w:pPr>
      <w:r>
        <w:rPr>
          <w:rFonts w:hint="eastAsia" w:ascii="宋体" w:hAnsi="宋体" w:cs="宋体"/>
          <w:b/>
          <w:bCs/>
          <w:color w:val="auto"/>
          <w:szCs w:val="21"/>
          <w:highlight w:val="none"/>
        </w:rPr>
        <w:t>1.1履约验收主体单位</w:t>
      </w:r>
    </w:p>
    <w:p w14:paraId="3C94283D">
      <w:pPr>
        <w:spacing w:before="120" w:line="320" w:lineRule="exact"/>
        <w:ind w:firstLine="420" w:firstLineChars="200"/>
        <w:jc w:val="left"/>
        <w:rPr>
          <w:rFonts w:ascii="宋体" w:hAnsi="宋体" w:cs="宋体"/>
          <w:color w:val="auto"/>
          <w:szCs w:val="21"/>
          <w:highlight w:val="none"/>
          <w:u w:val="single"/>
        </w:rPr>
      </w:pPr>
      <w:r>
        <w:rPr>
          <w:rStyle w:val="60"/>
          <w:rFonts w:hint="eastAsia"/>
          <w:color w:val="auto"/>
          <w:highlight w:val="none"/>
          <w:u w:val="single"/>
        </w:rPr>
        <w:t>采购人</w:t>
      </w:r>
      <w:r>
        <w:rPr>
          <w:rStyle w:val="60"/>
          <w:rFonts w:hint="eastAsia"/>
          <w:color w:val="auto"/>
          <w:highlight w:val="none"/>
        </w:rPr>
        <w:t>（如委托第三方机构签订，应注明收费方式）</w:t>
      </w:r>
    </w:p>
    <w:p w14:paraId="08E691E4">
      <w:pPr>
        <w:spacing w:before="120" w:line="320" w:lineRule="exact"/>
        <w:jc w:val="left"/>
        <w:rPr>
          <w:rFonts w:ascii="宋体" w:hAnsi="宋体" w:cs="宋体"/>
          <w:color w:val="auto"/>
          <w:szCs w:val="21"/>
          <w:highlight w:val="none"/>
        </w:rPr>
      </w:pPr>
      <w:r>
        <w:rPr>
          <w:rFonts w:hint="eastAsia" w:ascii="宋体" w:hAnsi="宋体" w:cs="宋体"/>
          <w:b/>
          <w:bCs/>
          <w:color w:val="auto"/>
          <w:szCs w:val="21"/>
          <w:highlight w:val="none"/>
        </w:rPr>
        <w:t>1.2履约验收参加人员</w:t>
      </w:r>
    </w:p>
    <w:p w14:paraId="678982C0">
      <w:pPr>
        <w:spacing w:before="120" w:line="320" w:lineRule="exact"/>
        <w:ind w:firstLine="420" w:firstLineChars="200"/>
        <w:jc w:val="left"/>
        <w:rPr>
          <w:rFonts w:ascii="宋体" w:hAnsi="宋体" w:cs="宋体"/>
          <w:color w:val="auto"/>
          <w:szCs w:val="21"/>
          <w:highlight w:val="none"/>
          <w:u w:val="single"/>
        </w:rPr>
      </w:pPr>
      <w:r>
        <w:rPr>
          <w:rFonts w:hint="eastAsia"/>
          <w:color w:val="auto"/>
          <w:highlight w:val="none"/>
        </w:rPr>
        <w:t>采购人代表、委托机构代表、成交供应商代表及采购人邀请的其他人员</w:t>
      </w:r>
    </w:p>
    <w:p w14:paraId="1D21EF61">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2.履约验收时间</w:t>
      </w:r>
    </w:p>
    <w:p w14:paraId="1C692560">
      <w:pPr>
        <w:spacing w:before="120" w:line="320" w:lineRule="exact"/>
        <w:jc w:val="left"/>
        <w:rPr>
          <w:rFonts w:ascii="宋体" w:hAnsi="宋体" w:cs="宋体"/>
          <w:color w:val="auto"/>
          <w:szCs w:val="21"/>
          <w:highlight w:val="none"/>
        </w:rPr>
      </w:pPr>
      <w:r>
        <w:rPr>
          <w:rFonts w:hint="eastAsia" w:ascii="宋体" w:hAnsi="宋体" w:cs="宋体"/>
          <w:color w:val="auto"/>
          <w:szCs w:val="21"/>
          <w:highlight w:val="none"/>
        </w:rPr>
        <w:t>20XX年XX月XX日</w:t>
      </w:r>
    </w:p>
    <w:p w14:paraId="0A912053">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3.履约验收地点</w:t>
      </w:r>
    </w:p>
    <w:p w14:paraId="7D7008FB">
      <w:pPr>
        <w:spacing w:before="120" w:line="320" w:lineRule="exact"/>
        <w:jc w:val="left"/>
        <w:rPr>
          <w:rFonts w:ascii="宋体" w:hAnsi="宋体" w:cs="宋体"/>
          <w:color w:val="auto"/>
          <w:szCs w:val="21"/>
          <w:highlight w:val="none"/>
        </w:rPr>
      </w:pPr>
      <w:r>
        <w:rPr>
          <w:rFonts w:hint="eastAsia" w:ascii="宋体" w:hAnsi="宋体" w:cs="宋体"/>
          <w:color w:val="auto"/>
          <w:szCs w:val="21"/>
          <w:highlight w:val="none"/>
        </w:rPr>
        <w:t>XX市XX区XX路XX号</w:t>
      </w:r>
    </w:p>
    <w:p w14:paraId="7C2AA6D9">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4.履约验收方式</w:t>
      </w:r>
    </w:p>
    <w:p w14:paraId="35393308">
      <w:pPr>
        <w:spacing w:before="120" w:line="320" w:lineRule="exact"/>
        <w:jc w:val="left"/>
        <w:rPr>
          <w:rFonts w:ascii="宋体" w:hAnsi="宋体" w:cs="宋体"/>
          <w:b/>
          <w:bCs/>
          <w:color w:val="auto"/>
          <w:szCs w:val="21"/>
          <w:highlight w:val="none"/>
          <w:u w:val="single"/>
        </w:rPr>
      </w:pPr>
      <w:r>
        <w:rPr>
          <w:rFonts w:hint="eastAsia" w:ascii="宋体" w:hAnsi="宋体" w:cs="宋体"/>
          <w:color w:val="auto"/>
          <w:szCs w:val="21"/>
          <w:highlight w:val="none"/>
          <w:u w:val="single"/>
        </w:rPr>
        <w:t>采购人自行验收</w:t>
      </w:r>
    </w:p>
    <w:p w14:paraId="75F5616A">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5.履约验收程序</w:t>
      </w:r>
    </w:p>
    <w:p w14:paraId="688A2897">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5.1成立验收小组</w:t>
      </w:r>
    </w:p>
    <w:p w14:paraId="250F050F">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.2</w:t>
      </w:r>
      <w:r>
        <w:rPr>
          <w:rFonts w:hint="eastAsia" w:ascii="宋体" w:hAnsi="宋体" w:cs="宋体"/>
          <w:b/>
          <w:bCs/>
          <w:color w:val="auto"/>
          <w:szCs w:val="21"/>
          <w:highlight w:val="none"/>
        </w:rPr>
        <w:t>量化验收标准</w:t>
      </w:r>
    </w:p>
    <w:p w14:paraId="36D5BC0F">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3</w:t>
      </w:r>
      <w:r>
        <w:rPr>
          <w:rFonts w:hint="eastAsia" w:ascii="宋体" w:hAnsi="宋体" w:cs="宋体"/>
          <w:b/>
          <w:bCs/>
          <w:color w:val="auto"/>
          <w:szCs w:val="21"/>
          <w:highlight w:val="none"/>
        </w:rPr>
        <w:t>组织验收</w:t>
      </w:r>
    </w:p>
    <w:p w14:paraId="64481478">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4</w:t>
      </w:r>
      <w:r>
        <w:rPr>
          <w:rFonts w:hint="eastAsia" w:ascii="宋体" w:hAnsi="宋体" w:cs="宋体"/>
          <w:b/>
          <w:bCs/>
          <w:color w:val="auto"/>
          <w:szCs w:val="21"/>
          <w:highlight w:val="none"/>
        </w:rPr>
        <w:t>出具验收报告</w:t>
      </w:r>
    </w:p>
    <w:p w14:paraId="5A0CCCF3">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5</w:t>
      </w:r>
      <w:r>
        <w:rPr>
          <w:rFonts w:hint="eastAsia" w:ascii="宋体" w:hAnsi="宋体" w:cs="宋体"/>
          <w:b/>
          <w:bCs/>
          <w:color w:val="auto"/>
          <w:szCs w:val="21"/>
          <w:highlight w:val="none"/>
        </w:rPr>
        <w:t>验收结果公告</w:t>
      </w:r>
    </w:p>
    <w:p w14:paraId="0F40B126">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6</w:t>
      </w:r>
      <w:r>
        <w:rPr>
          <w:rFonts w:hint="eastAsia" w:ascii="宋体" w:hAnsi="宋体" w:cs="宋体"/>
          <w:b/>
          <w:bCs/>
          <w:color w:val="auto"/>
          <w:szCs w:val="21"/>
          <w:highlight w:val="none"/>
        </w:rPr>
        <w:t>验收资料归档</w:t>
      </w:r>
    </w:p>
    <w:p w14:paraId="10ADEA1F">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采购合同项目完成验收后，采购人整理好验收原始记录、验收书等资料后妥善保管，不得变造、隐匿或者销毁，验收资料保存期为采购结束之日起至少保存15年。</w:t>
      </w:r>
    </w:p>
    <w:p w14:paraId="116785BE">
      <w:pPr>
        <w:spacing w:before="120" w:line="320" w:lineRule="exact"/>
        <w:jc w:val="left"/>
        <w:rPr>
          <w:rFonts w:ascii="宋体" w:hAnsi="宋体" w:cs="宋体"/>
          <w:b/>
          <w:bCs/>
          <w:iCs/>
          <w:color w:val="auto"/>
          <w:szCs w:val="21"/>
          <w:highlight w:val="none"/>
        </w:rPr>
      </w:pPr>
      <w:r>
        <w:rPr>
          <w:rFonts w:hint="eastAsia" w:ascii="宋体" w:hAnsi="宋体" w:cs="宋体"/>
          <w:b/>
          <w:bCs/>
          <w:color w:val="auto"/>
          <w:szCs w:val="21"/>
          <w:highlight w:val="none"/>
        </w:rPr>
        <w:t>6.履约验收内容</w:t>
      </w:r>
    </w:p>
    <w:p w14:paraId="29D3B771">
      <w:pPr>
        <w:spacing w:before="120" w:line="320" w:lineRule="exact"/>
        <w:jc w:val="left"/>
        <w:rPr>
          <w:rFonts w:ascii="宋体" w:hAnsi="宋体" w:cs="宋体"/>
          <w:iCs/>
          <w:color w:val="auto"/>
          <w:szCs w:val="21"/>
          <w:highlight w:val="none"/>
        </w:rPr>
      </w:pPr>
      <w:r>
        <w:rPr>
          <w:rFonts w:hint="eastAsia" w:ascii="宋体" w:hAnsi="宋体" w:cs="宋体"/>
          <w:b/>
          <w:bCs/>
          <w:color w:val="auto"/>
          <w:szCs w:val="21"/>
          <w:highlight w:val="none"/>
        </w:rPr>
        <w:t>6.1商务验收内容</w:t>
      </w:r>
    </w:p>
    <w:p w14:paraId="03195BD7">
      <w:pPr>
        <w:spacing w:before="120" w:line="320" w:lineRule="exact"/>
        <w:ind w:firstLine="420" w:firstLineChars="200"/>
        <w:jc w:val="left"/>
        <w:rPr>
          <w:rFonts w:ascii="宋体" w:hAnsi="宋体" w:eastAsia="Microsoft YaHei UI" w:cs="宋体"/>
          <w:color w:val="auto"/>
          <w:szCs w:val="21"/>
          <w:highlight w:val="none"/>
          <w:u w:val="single"/>
        </w:rPr>
      </w:pPr>
      <w:r>
        <w:rPr>
          <w:rFonts w:hint="eastAsia" w:ascii="宋体" w:hAnsi="宋体" w:cs="宋体"/>
          <w:color w:val="auto"/>
          <w:szCs w:val="21"/>
          <w:highlight w:val="none"/>
        </w:rPr>
        <w:t>对采购标的交付的情况、财务和服务要求，包括交付（实施）的时间（期限）和地点（范围），付款条件（进度和方式），包装和运输，售后服务，保险等进行验收。</w:t>
      </w:r>
    </w:p>
    <w:p w14:paraId="5401F765">
      <w:pPr>
        <w:spacing w:before="120" w:line="320" w:lineRule="exact"/>
        <w:jc w:val="left"/>
        <w:rPr>
          <w:rFonts w:ascii="宋体" w:hAnsi="宋体" w:cs="宋体"/>
          <w:iCs/>
          <w:color w:val="auto"/>
          <w:szCs w:val="21"/>
          <w:highlight w:val="none"/>
        </w:rPr>
      </w:pPr>
      <w:r>
        <w:rPr>
          <w:rFonts w:hint="eastAsia" w:ascii="宋体" w:hAnsi="宋体" w:cs="宋体"/>
          <w:b/>
          <w:bCs/>
          <w:color w:val="auto"/>
          <w:szCs w:val="21"/>
          <w:highlight w:val="none"/>
        </w:rPr>
        <w:t>6.2技术验收内容</w:t>
      </w:r>
    </w:p>
    <w:p w14:paraId="53FE594E">
      <w:pPr>
        <w:spacing w:before="120" w:line="32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对采购标的的功能和质量要求，包括性能、材料、结构、外观、安全，或者服务内容和标准等进行验收。</w:t>
      </w:r>
    </w:p>
    <w:p w14:paraId="19F4C11D">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7.履约验收标准</w:t>
      </w:r>
    </w:p>
    <w:p w14:paraId="5112537E">
      <w:pPr>
        <w:pStyle w:val="175"/>
        <w:spacing w:before="120" w:line="320" w:lineRule="exact"/>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验收标准：</w:t>
      </w:r>
    </w:p>
    <w:p w14:paraId="61A269CE">
      <w:pPr>
        <w:pStyle w:val="175"/>
        <w:spacing w:before="120" w:line="320" w:lineRule="exact"/>
        <w:ind w:firstLine="42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（1）中标（成交）供应商应提供完备的技术或服务资料、装箱单和合格证等，并派遣专业人员进行现场安装调试。验收合格条件如下：</w:t>
      </w:r>
    </w:p>
    <w:p w14:paraId="3AE14DC8">
      <w:pPr>
        <w:pStyle w:val="175"/>
        <w:spacing w:before="120" w:line="320" w:lineRule="exact"/>
        <w:ind w:firstLine="42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服务技术参数与响应文件中响应表或证明材料一致，性能或指标达到规定的标准。否则，以实际服务技术参数与响应文件响应表参数或证明材料比较，按如下情况处理：</w:t>
      </w:r>
    </w:p>
    <w:p w14:paraId="5A744AAE">
      <w:pPr>
        <w:pStyle w:val="175"/>
        <w:spacing w:before="120" w:line="320" w:lineRule="exact"/>
        <w:ind w:firstLine="42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①供应商响应文件响应表或证明材料中满足或优于的技术参数，在验收时实际不满足技术参数要求的，视为供应商违约，采购人有权终止合同拒收服务成果，并追究供应商责任，同时报财政部门备案。</w:t>
      </w:r>
    </w:p>
    <w:p w14:paraId="152E2C20">
      <w:pPr>
        <w:pStyle w:val="175"/>
        <w:spacing w:before="120" w:line="320" w:lineRule="exact"/>
        <w:ind w:firstLine="42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②供应商响应文件响应表或证明材料中优于的技术参数，在验收时实际仅满足并未优于技术参数要求的，视为供应商违约，采购人有权终止合同拒收服务成果，并追究供应商责任，同时报财政部门备案。</w:t>
      </w:r>
    </w:p>
    <w:p w14:paraId="3FD37FC6">
      <w:pPr>
        <w:pStyle w:val="175"/>
        <w:spacing w:before="120" w:line="320" w:lineRule="exact"/>
        <w:ind w:firstLine="42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③供应商响应文件响应表或证明材料中不满足的技术参数，在验收时实际满足技术参数的要求，以满足技术参数的要求验收。 </w:t>
      </w:r>
    </w:p>
    <w:p w14:paraId="20FC6C83">
      <w:pPr>
        <w:pStyle w:val="175"/>
        <w:spacing w:before="120" w:line="320" w:lineRule="exact"/>
        <w:ind w:firstLine="42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④供应商响应文件响应表或证明材料中满足的技术参数，在验收时实际优于技术参数的要求，以满足技术参数的要求验收。</w:t>
      </w:r>
    </w:p>
    <w:p w14:paraId="2B3B771C">
      <w:pPr>
        <w:pStyle w:val="175"/>
        <w:spacing w:before="120" w:line="320" w:lineRule="exact"/>
        <w:ind w:firstLine="42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⑤供应商响应文件响应表或证明材料中优于的技术参数，在验收时实际也优于技术参数的要求，但没有达到响应表或证明材料中优于的程度，由采购人与供应商协商按是否满足要求验收。</w:t>
      </w:r>
    </w:p>
    <w:p w14:paraId="141BE602">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（1）在测试或试运行期间所出现的问题得到解决，并运行或工作正常。</w:t>
      </w:r>
    </w:p>
    <w:p w14:paraId="1937BED4">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（2）在规定时间内完成交付及验收，并经采购人确认。</w:t>
      </w:r>
    </w:p>
    <w:p w14:paraId="573C609C">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（3）服务在安装调试并试运行符合要求后，才作为最终验收。</w:t>
      </w:r>
    </w:p>
    <w:p w14:paraId="62AB5748">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（4）成交供应商提供的服务未达到采购文件规定要求，且对采购人造成损失的，由成交供应商承担一切责任，并赔偿所造成的损失。</w:t>
      </w:r>
    </w:p>
    <w:p w14:paraId="3C30C0CD">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（5）政府采购合同约定的其他要求及响应文件响应的其他标准。</w:t>
      </w:r>
    </w:p>
    <w:p w14:paraId="1CF85B32">
      <w:pPr>
        <w:spacing w:before="120" w:line="320" w:lineRule="exact"/>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8.履约验收其他事项</w:t>
      </w:r>
    </w:p>
    <w:p w14:paraId="1ACA3745">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无</w:t>
      </w:r>
    </w:p>
    <w:p w14:paraId="318E8AF8">
      <w:pPr>
        <w:spacing w:before="120" w:line="320" w:lineRule="exact"/>
        <w:rPr>
          <w:rFonts w:ascii="仿宋" w:hAnsi="仿宋" w:eastAsia="仿宋"/>
          <w:color w:val="auto"/>
          <w:szCs w:val="21"/>
          <w:highlight w:val="none"/>
          <w:u w:val="single"/>
        </w:rPr>
      </w:pPr>
      <w:r>
        <w:rPr>
          <w:rFonts w:hint="eastAsia" w:ascii="仿宋" w:hAnsi="仿宋" w:eastAsia="仿宋"/>
          <w:color w:val="auto"/>
          <w:szCs w:val="21"/>
          <w:highlight w:val="none"/>
          <w:u w:val="single"/>
        </w:rPr>
        <w:br w:type="page"/>
      </w:r>
    </w:p>
    <w:p w14:paraId="01EAF746">
      <w:pPr>
        <w:snapToGrid w:val="0"/>
        <w:spacing w:line="360" w:lineRule="exact"/>
        <w:jc w:val="center"/>
        <w:rPr>
          <w:b/>
          <w:bCs/>
          <w:color w:val="auto"/>
          <w:szCs w:val="21"/>
          <w:highlight w:val="none"/>
        </w:rPr>
      </w:pPr>
      <w:r>
        <w:rPr>
          <w:b/>
          <w:bCs/>
          <w:color w:val="auto"/>
          <w:szCs w:val="21"/>
          <w:highlight w:val="none"/>
        </w:rPr>
        <w:t>广西壮族自治区政府采购项目合同验收书</w:t>
      </w:r>
    </w:p>
    <w:p w14:paraId="224FF585">
      <w:pPr>
        <w:widowControl/>
        <w:snapToGrid w:val="0"/>
        <w:spacing w:before="100" w:beforeAutospacing="1" w:after="100" w:afterAutospacing="1" w:line="320" w:lineRule="exact"/>
        <w:ind w:left="-359" w:leftChars="-171" w:firstLine="420" w:firstLineChars="200"/>
        <w:jc w:val="left"/>
        <w:rPr>
          <w:color w:val="auto"/>
          <w:kern w:val="0"/>
          <w:szCs w:val="21"/>
          <w:highlight w:val="none"/>
        </w:rPr>
      </w:pPr>
      <w:r>
        <w:rPr>
          <w:color w:val="auto"/>
          <w:kern w:val="0"/>
          <w:szCs w:val="21"/>
          <w:highlight w:val="none"/>
        </w:rPr>
        <w:t>根据政府采购项目（</w:t>
      </w:r>
      <w:r>
        <w:rPr>
          <w:color w:val="auto"/>
          <w:kern w:val="0"/>
          <w:szCs w:val="21"/>
          <w:highlight w:val="none"/>
          <w:u w:val="single"/>
        </w:rPr>
        <w:t>采购合同编号：</w:t>
      </w:r>
      <w:r>
        <w:rPr>
          <w:rFonts w:hint="eastAsia" w:cs="Arial"/>
          <w:color w:val="auto"/>
          <w:szCs w:val="21"/>
          <w:highlight w:val="none"/>
          <w:u w:val="single"/>
        </w:rPr>
        <w:t>XXXXXX</w:t>
      </w:r>
      <w:r>
        <w:rPr>
          <w:color w:val="auto"/>
          <w:kern w:val="0"/>
          <w:szCs w:val="21"/>
          <w:highlight w:val="none"/>
        </w:rPr>
        <w:t>）的约定，我单位对（</w:t>
      </w:r>
      <w:r>
        <w:rPr>
          <w:rFonts w:hint="eastAsia" w:cs="Arial"/>
          <w:color w:val="auto"/>
          <w:szCs w:val="21"/>
          <w:highlight w:val="none"/>
          <w:u w:val="single"/>
        </w:rPr>
        <w:t>XXXX采购项目</w:t>
      </w:r>
      <w:r>
        <w:rPr>
          <w:color w:val="auto"/>
          <w:kern w:val="0"/>
          <w:szCs w:val="21"/>
          <w:highlight w:val="none"/>
        </w:rPr>
        <w:t>）政府采购项目中标（或成交）供应商</w:t>
      </w:r>
      <w:r>
        <w:rPr>
          <w:rFonts w:hint="eastAsia"/>
          <w:color w:val="auto"/>
          <w:kern w:val="0"/>
          <w:szCs w:val="21"/>
          <w:highlight w:val="none"/>
          <w:u w:val="single"/>
        </w:rPr>
        <w:t>XX公司（填写供应商名称）</w:t>
      </w:r>
      <w:r>
        <w:rPr>
          <w:color w:val="auto"/>
          <w:kern w:val="0"/>
          <w:szCs w:val="21"/>
          <w:highlight w:val="none"/>
        </w:rPr>
        <w:t>提供的</w:t>
      </w:r>
      <w:r>
        <w:rPr>
          <w:rFonts w:hint="eastAsia"/>
          <w:color w:val="auto"/>
          <w:kern w:val="0"/>
          <w:szCs w:val="21"/>
          <w:highlight w:val="none"/>
        </w:rPr>
        <w:t>服务（或工程、货物）</w:t>
      </w:r>
      <w:r>
        <w:rPr>
          <w:color w:val="auto"/>
          <w:kern w:val="0"/>
          <w:szCs w:val="21"/>
          <w:highlight w:val="none"/>
        </w:rPr>
        <w:t>进行了验收，验收情况如下：</w:t>
      </w:r>
    </w:p>
    <w:tbl>
      <w:tblPr>
        <w:tblStyle w:val="53"/>
        <w:tblW w:w="962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61"/>
        <w:gridCol w:w="866"/>
        <w:gridCol w:w="977"/>
        <w:gridCol w:w="2263"/>
        <w:gridCol w:w="1608"/>
        <w:gridCol w:w="850"/>
        <w:gridCol w:w="242"/>
        <w:gridCol w:w="2160"/>
      </w:tblGrid>
      <w:tr w14:paraId="746269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1" w:hRule="atLeast"/>
          <w:jc w:val="center"/>
        </w:trPr>
        <w:tc>
          <w:tcPr>
            <w:tcW w:w="2504" w:type="dxa"/>
            <w:gridSpan w:val="3"/>
            <w:tcBorders>
              <w:top w:val="single" w:color="auto" w:sz="8" w:space="0"/>
              <w:left w:val="single" w:color="auto" w:sz="8" w:space="0"/>
              <w:bottom w:val="single" w:color="auto" w:sz="8" w:space="0"/>
              <w:right w:val="single" w:color="auto" w:sz="8" w:space="0"/>
            </w:tcBorders>
            <w:noWrap w:val="0"/>
            <w:vAlign w:val="center"/>
          </w:tcPr>
          <w:p w14:paraId="253D474F">
            <w:pPr>
              <w:widowControl/>
              <w:snapToGrid w:val="0"/>
              <w:spacing w:before="100" w:beforeAutospacing="1" w:after="100" w:afterAutospacing="1" w:line="320" w:lineRule="exact"/>
              <w:ind w:left="-3" w:firstLine="4" w:firstLineChars="2"/>
              <w:jc w:val="center"/>
              <w:rPr>
                <w:color w:val="auto"/>
                <w:kern w:val="0"/>
                <w:szCs w:val="21"/>
                <w:highlight w:val="none"/>
              </w:rPr>
            </w:pPr>
            <w:r>
              <w:rPr>
                <w:color w:val="auto"/>
                <w:kern w:val="0"/>
                <w:szCs w:val="21"/>
                <w:highlight w:val="none"/>
              </w:rPr>
              <w:t>验收方式：</w:t>
            </w:r>
          </w:p>
        </w:tc>
        <w:tc>
          <w:tcPr>
            <w:tcW w:w="7123" w:type="dxa"/>
            <w:gridSpan w:val="5"/>
            <w:tcBorders>
              <w:top w:val="single" w:color="auto" w:sz="8" w:space="0"/>
              <w:left w:val="single" w:color="auto" w:sz="8" w:space="0"/>
              <w:bottom w:val="single" w:color="auto" w:sz="8" w:space="0"/>
              <w:right w:val="single" w:color="auto" w:sz="8" w:space="0"/>
            </w:tcBorders>
            <w:noWrap w:val="0"/>
            <w:vAlign w:val="center"/>
          </w:tcPr>
          <w:p w14:paraId="43592DA0">
            <w:pPr>
              <w:widowControl/>
              <w:snapToGrid w:val="0"/>
              <w:spacing w:before="100" w:beforeAutospacing="1" w:after="100" w:afterAutospacing="1" w:line="320" w:lineRule="exact"/>
              <w:ind w:left="-3" w:firstLine="420" w:firstLineChars="200"/>
              <w:jc w:val="center"/>
              <w:rPr>
                <w:color w:val="auto"/>
                <w:kern w:val="0"/>
                <w:szCs w:val="21"/>
                <w:highlight w:val="none"/>
              </w:rPr>
            </w:pPr>
            <w:r>
              <w:rPr>
                <w:rFonts w:hint="eastAsia" w:cs="Arial"/>
                <w:color w:val="auto"/>
                <w:szCs w:val="21"/>
                <w:highlight w:val="none"/>
              </w:rPr>
              <w:t>□</w:t>
            </w:r>
            <w:r>
              <w:rPr>
                <w:color w:val="auto"/>
                <w:kern w:val="0"/>
                <w:szCs w:val="21"/>
                <w:highlight w:val="none"/>
              </w:rPr>
              <w:t>自行验收        </w:t>
            </w:r>
            <w:r>
              <w:rPr>
                <w:rFonts w:cs="Arial"/>
                <w:color w:val="auto"/>
                <w:szCs w:val="21"/>
                <w:highlight w:val="none"/>
              </w:rPr>
              <w:sym w:font="Wingdings 2" w:char="00A3"/>
            </w:r>
            <w:r>
              <w:rPr>
                <w:color w:val="auto"/>
                <w:kern w:val="0"/>
                <w:szCs w:val="21"/>
                <w:highlight w:val="none"/>
              </w:rPr>
              <w:t>委托验收</w:t>
            </w:r>
          </w:p>
        </w:tc>
      </w:tr>
      <w:tr w14:paraId="1DC859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4" w:hRule="atLeast"/>
          <w:jc w:val="center"/>
        </w:trPr>
        <w:tc>
          <w:tcPr>
            <w:tcW w:w="661" w:type="dxa"/>
            <w:tcBorders>
              <w:top w:val="single" w:color="auto" w:sz="8" w:space="0"/>
              <w:left w:val="single" w:color="auto" w:sz="8" w:space="0"/>
              <w:bottom w:val="single" w:color="auto" w:sz="8" w:space="0"/>
              <w:right w:val="single" w:color="auto" w:sz="8" w:space="0"/>
            </w:tcBorders>
            <w:noWrap w:val="0"/>
            <w:vAlign w:val="center"/>
          </w:tcPr>
          <w:p w14:paraId="748BB20B">
            <w:pPr>
              <w:widowControl/>
              <w:snapToGrid w:val="0"/>
              <w:spacing w:before="100" w:beforeAutospacing="1" w:after="100" w:afterAutospacing="1" w:line="320" w:lineRule="exact"/>
              <w:ind w:firstLine="2" w:firstLineChars="1"/>
              <w:jc w:val="center"/>
              <w:rPr>
                <w:color w:val="auto"/>
                <w:kern w:val="0"/>
                <w:szCs w:val="21"/>
                <w:highlight w:val="none"/>
              </w:rPr>
            </w:pPr>
            <w:r>
              <w:rPr>
                <w:color w:val="auto"/>
                <w:kern w:val="0"/>
                <w:szCs w:val="21"/>
                <w:highlight w:val="none"/>
              </w:rPr>
              <w:t>序号</w:t>
            </w:r>
          </w:p>
        </w:tc>
        <w:tc>
          <w:tcPr>
            <w:tcW w:w="1843" w:type="dxa"/>
            <w:gridSpan w:val="2"/>
            <w:tcBorders>
              <w:top w:val="single" w:color="auto" w:sz="8" w:space="0"/>
              <w:left w:val="single" w:color="auto" w:sz="8" w:space="0"/>
              <w:bottom w:val="single" w:color="auto" w:sz="8" w:space="0"/>
              <w:right w:val="single" w:color="auto" w:sz="8" w:space="0"/>
            </w:tcBorders>
            <w:noWrap w:val="0"/>
            <w:vAlign w:val="center"/>
          </w:tcPr>
          <w:p w14:paraId="41C1E571">
            <w:pPr>
              <w:widowControl/>
              <w:snapToGrid w:val="0"/>
              <w:spacing w:before="100" w:beforeAutospacing="1" w:after="100" w:afterAutospacing="1" w:line="320" w:lineRule="exact"/>
              <w:ind w:left="-3" w:firstLine="2" w:firstLineChars="1"/>
              <w:jc w:val="center"/>
              <w:rPr>
                <w:color w:val="auto"/>
                <w:kern w:val="0"/>
                <w:szCs w:val="21"/>
                <w:highlight w:val="none"/>
              </w:rPr>
            </w:pPr>
            <w:r>
              <w:rPr>
                <w:color w:val="auto"/>
                <w:kern w:val="0"/>
                <w:szCs w:val="21"/>
                <w:highlight w:val="none"/>
              </w:rPr>
              <w:t>名  称</w:t>
            </w:r>
          </w:p>
        </w:tc>
        <w:tc>
          <w:tcPr>
            <w:tcW w:w="3871" w:type="dxa"/>
            <w:gridSpan w:val="2"/>
            <w:tcBorders>
              <w:top w:val="single" w:color="auto" w:sz="8" w:space="0"/>
              <w:left w:val="single" w:color="auto" w:sz="8" w:space="0"/>
              <w:bottom w:val="single" w:color="auto" w:sz="8" w:space="0"/>
              <w:right w:val="single" w:color="auto" w:sz="8" w:space="0"/>
            </w:tcBorders>
            <w:noWrap w:val="0"/>
            <w:vAlign w:val="center"/>
          </w:tcPr>
          <w:p w14:paraId="2628E6AD">
            <w:pPr>
              <w:widowControl/>
              <w:snapToGrid w:val="0"/>
              <w:spacing w:before="100" w:beforeAutospacing="1" w:after="100" w:afterAutospacing="1" w:line="320" w:lineRule="exact"/>
              <w:ind w:left="-3" w:firstLine="2" w:firstLineChars="1"/>
              <w:jc w:val="center"/>
              <w:rPr>
                <w:color w:val="auto"/>
                <w:kern w:val="0"/>
                <w:szCs w:val="21"/>
                <w:highlight w:val="none"/>
              </w:rPr>
            </w:pPr>
            <w:r>
              <w:rPr>
                <w:color w:val="auto"/>
                <w:kern w:val="0"/>
                <w:szCs w:val="21"/>
                <w:highlight w:val="none"/>
              </w:rPr>
              <w:t>服务内容、标准等</w:t>
            </w:r>
          </w:p>
        </w:tc>
        <w:tc>
          <w:tcPr>
            <w:tcW w:w="850" w:type="dxa"/>
            <w:tcBorders>
              <w:top w:val="single" w:color="auto" w:sz="8" w:space="0"/>
              <w:left w:val="single" w:color="auto" w:sz="8" w:space="0"/>
              <w:bottom w:val="single" w:color="auto" w:sz="8" w:space="0"/>
              <w:right w:val="single" w:color="auto" w:sz="8" w:space="0"/>
            </w:tcBorders>
            <w:noWrap w:val="0"/>
            <w:vAlign w:val="center"/>
          </w:tcPr>
          <w:p w14:paraId="4D10F406">
            <w:pPr>
              <w:widowControl/>
              <w:snapToGrid w:val="0"/>
              <w:spacing w:before="100" w:beforeAutospacing="1" w:after="100" w:afterAutospacing="1" w:line="320" w:lineRule="exact"/>
              <w:jc w:val="center"/>
              <w:rPr>
                <w:color w:val="auto"/>
                <w:kern w:val="0"/>
                <w:szCs w:val="21"/>
                <w:highlight w:val="none"/>
              </w:rPr>
            </w:pPr>
            <w:r>
              <w:rPr>
                <w:color w:val="auto"/>
                <w:kern w:val="0"/>
                <w:szCs w:val="21"/>
                <w:highlight w:val="none"/>
              </w:rPr>
              <w:t>数量</w:t>
            </w:r>
          </w:p>
        </w:tc>
        <w:tc>
          <w:tcPr>
            <w:tcW w:w="2402" w:type="dxa"/>
            <w:gridSpan w:val="2"/>
            <w:tcBorders>
              <w:top w:val="single" w:color="auto" w:sz="8" w:space="0"/>
              <w:left w:val="single" w:color="auto" w:sz="8" w:space="0"/>
              <w:bottom w:val="single" w:color="auto" w:sz="8" w:space="0"/>
              <w:right w:val="single" w:color="auto" w:sz="8" w:space="0"/>
            </w:tcBorders>
            <w:noWrap w:val="0"/>
            <w:vAlign w:val="center"/>
          </w:tcPr>
          <w:p w14:paraId="6791D783">
            <w:pPr>
              <w:widowControl/>
              <w:snapToGrid w:val="0"/>
              <w:spacing w:before="100" w:beforeAutospacing="1" w:after="100" w:afterAutospacing="1" w:line="320" w:lineRule="exact"/>
              <w:ind w:left="-3" w:firstLine="2" w:firstLineChars="1"/>
              <w:jc w:val="center"/>
              <w:rPr>
                <w:color w:val="auto"/>
                <w:kern w:val="0"/>
                <w:szCs w:val="21"/>
                <w:highlight w:val="none"/>
              </w:rPr>
            </w:pPr>
            <w:r>
              <w:rPr>
                <w:color w:val="auto"/>
                <w:kern w:val="0"/>
                <w:szCs w:val="21"/>
                <w:highlight w:val="none"/>
              </w:rPr>
              <w:t>金  额</w:t>
            </w:r>
          </w:p>
        </w:tc>
      </w:tr>
      <w:tr w14:paraId="3904EE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61" w:type="dxa"/>
            <w:tcBorders>
              <w:top w:val="single" w:color="auto" w:sz="8" w:space="0"/>
              <w:left w:val="single" w:color="auto" w:sz="8" w:space="0"/>
              <w:bottom w:val="single" w:color="auto" w:sz="8" w:space="0"/>
              <w:right w:val="single" w:color="auto" w:sz="8" w:space="0"/>
            </w:tcBorders>
            <w:noWrap w:val="0"/>
            <w:vAlign w:val="center"/>
          </w:tcPr>
          <w:p w14:paraId="34AD22B5">
            <w:pPr>
              <w:widowControl/>
              <w:snapToGrid w:val="0"/>
              <w:spacing w:before="100" w:beforeAutospacing="1" w:after="100" w:afterAutospacing="1" w:line="320" w:lineRule="exact"/>
              <w:ind w:left="-3" w:firstLine="4" w:firstLineChars="2"/>
              <w:jc w:val="center"/>
              <w:rPr>
                <w:color w:val="auto"/>
                <w:kern w:val="0"/>
                <w:szCs w:val="21"/>
                <w:highlight w:val="none"/>
              </w:rPr>
            </w:pPr>
            <w:r>
              <w:rPr>
                <w:rFonts w:hint="eastAsia"/>
                <w:color w:val="auto"/>
                <w:kern w:val="0"/>
                <w:szCs w:val="21"/>
                <w:highlight w:val="none"/>
              </w:rPr>
              <w:t>1</w:t>
            </w:r>
          </w:p>
        </w:tc>
        <w:tc>
          <w:tcPr>
            <w:tcW w:w="1843" w:type="dxa"/>
            <w:gridSpan w:val="2"/>
            <w:tcBorders>
              <w:top w:val="single" w:color="auto" w:sz="8" w:space="0"/>
              <w:left w:val="single" w:color="auto" w:sz="8" w:space="0"/>
              <w:bottom w:val="single" w:color="auto" w:sz="8" w:space="0"/>
              <w:right w:val="single" w:color="auto" w:sz="8" w:space="0"/>
            </w:tcBorders>
            <w:noWrap w:val="0"/>
            <w:vAlign w:val="center"/>
          </w:tcPr>
          <w:p w14:paraId="2DFC659F">
            <w:pPr>
              <w:widowControl/>
              <w:snapToGrid w:val="0"/>
              <w:spacing w:before="100" w:beforeAutospacing="1" w:after="100" w:afterAutospacing="1" w:line="320" w:lineRule="exact"/>
              <w:ind w:left="-3" w:firstLine="420" w:firstLineChars="200"/>
              <w:jc w:val="left"/>
              <w:rPr>
                <w:color w:val="auto"/>
                <w:kern w:val="0"/>
                <w:szCs w:val="21"/>
                <w:highlight w:val="none"/>
              </w:rPr>
            </w:pPr>
            <w:r>
              <w:rPr>
                <w:rFonts w:hint="eastAsia"/>
                <w:color w:val="auto"/>
                <w:kern w:val="0"/>
                <w:szCs w:val="21"/>
                <w:highlight w:val="none"/>
              </w:rPr>
              <w:t>XXXX设备</w:t>
            </w:r>
          </w:p>
        </w:tc>
        <w:tc>
          <w:tcPr>
            <w:tcW w:w="3871" w:type="dxa"/>
            <w:gridSpan w:val="2"/>
            <w:tcBorders>
              <w:top w:val="single" w:color="auto" w:sz="8" w:space="0"/>
              <w:left w:val="single" w:color="auto" w:sz="8" w:space="0"/>
              <w:bottom w:val="single" w:color="auto" w:sz="8" w:space="0"/>
              <w:right w:val="single" w:color="auto" w:sz="8" w:space="0"/>
            </w:tcBorders>
            <w:noWrap w:val="0"/>
            <w:vAlign w:val="center"/>
          </w:tcPr>
          <w:p w14:paraId="06CB72F3">
            <w:pPr>
              <w:pStyle w:val="177"/>
              <w:spacing w:before="120" w:after="120"/>
              <w:ind w:firstLine="0" w:firstLineChars="0"/>
              <w:rPr>
                <w:color w:val="auto"/>
                <w:szCs w:val="21"/>
                <w:highlight w:val="none"/>
              </w:rPr>
            </w:pPr>
          </w:p>
        </w:tc>
        <w:tc>
          <w:tcPr>
            <w:tcW w:w="850" w:type="dxa"/>
            <w:tcBorders>
              <w:top w:val="single" w:color="auto" w:sz="8" w:space="0"/>
              <w:left w:val="single" w:color="auto" w:sz="8" w:space="0"/>
              <w:bottom w:val="single" w:color="auto" w:sz="8" w:space="0"/>
              <w:right w:val="single" w:color="auto" w:sz="8" w:space="0"/>
            </w:tcBorders>
            <w:noWrap w:val="0"/>
            <w:vAlign w:val="center"/>
          </w:tcPr>
          <w:p w14:paraId="5BEF5B79">
            <w:pPr>
              <w:widowControl/>
              <w:snapToGrid w:val="0"/>
              <w:spacing w:before="100" w:beforeAutospacing="1" w:after="100" w:afterAutospacing="1" w:line="320" w:lineRule="exact"/>
              <w:jc w:val="center"/>
              <w:rPr>
                <w:color w:val="auto"/>
                <w:kern w:val="0"/>
                <w:szCs w:val="21"/>
                <w:highlight w:val="none"/>
              </w:rPr>
            </w:pPr>
            <w:r>
              <w:rPr>
                <w:color w:val="auto"/>
                <w:kern w:val="0"/>
                <w:szCs w:val="21"/>
                <w:highlight w:val="none"/>
              </w:rPr>
              <w:t>1</w:t>
            </w:r>
            <w:r>
              <w:rPr>
                <w:rFonts w:hint="eastAsia"/>
                <w:color w:val="auto"/>
                <w:kern w:val="0"/>
                <w:szCs w:val="21"/>
                <w:highlight w:val="none"/>
              </w:rPr>
              <w:t>套</w:t>
            </w:r>
          </w:p>
        </w:tc>
        <w:tc>
          <w:tcPr>
            <w:tcW w:w="2402" w:type="dxa"/>
            <w:gridSpan w:val="2"/>
            <w:tcBorders>
              <w:top w:val="single" w:color="auto" w:sz="8" w:space="0"/>
              <w:left w:val="single" w:color="auto" w:sz="8" w:space="0"/>
              <w:bottom w:val="single" w:color="auto" w:sz="8" w:space="0"/>
              <w:right w:val="single" w:color="auto" w:sz="8" w:space="0"/>
            </w:tcBorders>
            <w:noWrap w:val="0"/>
            <w:vAlign w:val="center"/>
          </w:tcPr>
          <w:p w14:paraId="232EA1F9">
            <w:pPr>
              <w:pStyle w:val="177"/>
              <w:spacing w:before="120" w:after="120"/>
              <w:ind w:firstLine="0" w:firstLineChars="0"/>
              <w:jc w:val="center"/>
              <w:rPr>
                <w:color w:val="auto"/>
                <w:szCs w:val="21"/>
                <w:highlight w:val="none"/>
              </w:rPr>
            </w:pPr>
            <w:r>
              <w:rPr>
                <w:color w:val="auto"/>
                <w:szCs w:val="21"/>
                <w:highlight w:val="none"/>
              </w:rPr>
              <w:t>¥0.00元</w:t>
            </w:r>
          </w:p>
        </w:tc>
      </w:tr>
      <w:tr w14:paraId="25FC69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375" w:type="dxa"/>
            <w:gridSpan w:val="5"/>
            <w:tcBorders>
              <w:top w:val="single" w:color="auto" w:sz="8" w:space="0"/>
              <w:left w:val="single" w:color="auto" w:sz="8" w:space="0"/>
              <w:bottom w:val="single" w:color="auto" w:sz="8" w:space="0"/>
              <w:right w:val="single" w:color="auto" w:sz="8" w:space="0"/>
            </w:tcBorders>
            <w:noWrap w:val="0"/>
            <w:vAlign w:val="center"/>
          </w:tcPr>
          <w:p w14:paraId="1D8BAC04">
            <w:pPr>
              <w:pStyle w:val="177"/>
              <w:spacing w:before="120" w:after="120"/>
              <w:ind w:firstLine="0" w:firstLineChars="0"/>
              <w:jc w:val="center"/>
              <w:rPr>
                <w:color w:val="auto"/>
                <w:szCs w:val="21"/>
                <w:highlight w:val="none"/>
              </w:rPr>
            </w:pPr>
            <w:r>
              <w:rPr>
                <w:rFonts w:hint="eastAsia"/>
                <w:color w:val="auto"/>
                <w:szCs w:val="21"/>
                <w:highlight w:val="none"/>
              </w:rPr>
              <w:t>合 计</w:t>
            </w:r>
          </w:p>
        </w:tc>
        <w:tc>
          <w:tcPr>
            <w:tcW w:w="850" w:type="dxa"/>
            <w:tcBorders>
              <w:top w:val="single" w:color="auto" w:sz="8" w:space="0"/>
              <w:left w:val="single" w:color="auto" w:sz="8" w:space="0"/>
              <w:bottom w:val="single" w:color="auto" w:sz="8" w:space="0"/>
              <w:right w:val="single" w:color="auto" w:sz="8" w:space="0"/>
            </w:tcBorders>
            <w:noWrap w:val="0"/>
            <w:vAlign w:val="center"/>
          </w:tcPr>
          <w:p w14:paraId="4B682377">
            <w:pPr>
              <w:widowControl/>
              <w:snapToGrid w:val="0"/>
              <w:spacing w:before="100" w:beforeAutospacing="1" w:after="100" w:afterAutospacing="1" w:line="320" w:lineRule="exact"/>
              <w:jc w:val="center"/>
              <w:rPr>
                <w:color w:val="auto"/>
                <w:kern w:val="0"/>
                <w:szCs w:val="21"/>
                <w:highlight w:val="none"/>
              </w:rPr>
            </w:pPr>
          </w:p>
        </w:tc>
        <w:tc>
          <w:tcPr>
            <w:tcW w:w="2402" w:type="dxa"/>
            <w:gridSpan w:val="2"/>
            <w:tcBorders>
              <w:top w:val="single" w:color="auto" w:sz="8" w:space="0"/>
              <w:left w:val="single" w:color="auto" w:sz="8" w:space="0"/>
              <w:bottom w:val="single" w:color="auto" w:sz="8" w:space="0"/>
              <w:right w:val="single" w:color="auto" w:sz="8" w:space="0"/>
            </w:tcBorders>
            <w:noWrap w:val="0"/>
            <w:vAlign w:val="center"/>
          </w:tcPr>
          <w:p w14:paraId="0B13315F">
            <w:pPr>
              <w:pStyle w:val="177"/>
              <w:spacing w:before="120" w:after="120"/>
              <w:ind w:firstLine="0" w:firstLineChars="0"/>
              <w:jc w:val="center"/>
              <w:rPr>
                <w:color w:val="auto"/>
                <w:szCs w:val="21"/>
                <w:highlight w:val="none"/>
              </w:rPr>
            </w:pPr>
            <w:r>
              <w:rPr>
                <w:color w:val="auto"/>
                <w:szCs w:val="21"/>
                <w:highlight w:val="none"/>
              </w:rPr>
              <w:t>¥0.00元</w:t>
            </w:r>
          </w:p>
        </w:tc>
      </w:tr>
      <w:tr w14:paraId="39F02B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55" w:hRule="atLeast"/>
          <w:jc w:val="center"/>
        </w:trPr>
        <w:tc>
          <w:tcPr>
            <w:tcW w:w="9627" w:type="dxa"/>
            <w:gridSpan w:val="8"/>
            <w:tcBorders>
              <w:top w:val="single" w:color="auto" w:sz="8" w:space="0"/>
              <w:left w:val="single" w:color="auto" w:sz="8" w:space="0"/>
              <w:bottom w:val="single" w:color="auto" w:sz="8" w:space="0"/>
              <w:right w:val="single" w:color="auto" w:sz="8" w:space="0"/>
            </w:tcBorders>
            <w:noWrap w:val="0"/>
            <w:vAlign w:val="center"/>
          </w:tcPr>
          <w:p w14:paraId="7782BE55">
            <w:pPr>
              <w:widowControl/>
              <w:snapToGrid w:val="0"/>
              <w:spacing w:before="100" w:beforeAutospacing="1" w:after="100" w:afterAutospacing="1" w:line="320" w:lineRule="exact"/>
              <w:ind w:firstLine="2" w:firstLineChars="1"/>
              <w:jc w:val="left"/>
              <w:rPr>
                <w:color w:val="auto"/>
                <w:kern w:val="0"/>
                <w:szCs w:val="21"/>
                <w:highlight w:val="none"/>
              </w:rPr>
            </w:pPr>
            <w:r>
              <w:rPr>
                <w:color w:val="auto"/>
                <w:kern w:val="0"/>
                <w:szCs w:val="21"/>
                <w:highlight w:val="none"/>
              </w:rPr>
              <w:t>合计大写金额：</w:t>
            </w:r>
            <w:r>
              <w:rPr>
                <w:rFonts w:hint="eastAsia"/>
                <w:color w:val="auto"/>
                <w:kern w:val="0"/>
                <w:szCs w:val="21"/>
                <w:highlight w:val="none"/>
              </w:rPr>
              <w:t>人民币元整</w:t>
            </w:r>
          </w:p>
        </w:tc>
      </w:tr>
      <w:tr w14:paraId="17B43E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9" w:hRule="atLeast"/>
          <w:jc w:val="center"/>
        </w:trPr>
        <w:tc>
          <w:tcPr>
            <w:tcW w:w="1527" w:type="dxa"/>
            <w:gridSpan w:val="2"/>
            <w:tcBorders>
              <w:top w:val="single" w:color="auto" w:sz="8" w:space="0"/>
              <w:left w:val="single" w:color="auto" w:sz="8" w:space="0"/>
              <w:bottom w:val="single" w:color="auto" w:sz="8" w:space="0"/>
              <w:right w:val="single" w:color="auto" w:sz="8" w:space="0"/>
            </w:tcBorders>
            <w:noWrap w:val="0"/>
            <w:vAlign w:val="center"/>
          </w:tcPr>
          <w:p w14:paraId="26CCEC36">
            <w:pPr>
              <w:widowControl/>
              <w:snapToGrid w:val="0"/>
              <w:spacing w:before="100" w:beforeAutospacing="1" w:after="100" w:afterAutospacing="1" w:line="320" w:lineRule="exact"/>
              <w:ind w:firstLine="2" w:firstLineChars="1"/>
              <w:jc w:val="left"/>
              <w:rPr>
                <w:rFonts w:ascii="宋体" w:hAnsi="宋体" w:cs="宋体"/>
                <w:color w:val="auto"/>
                <w:kern w:val="0"/>
                <w:szCs w:val="21"/>
                <w:highlight w:val="none"/>
              </w:rPr>
            </w:pPr>
            <w:r>
              <w:rPr>
                <w:rFonts w:hint="eastAsia" w:ascii="宋体" w:hAnsi="宋体" w:cs="宋体"/>
                <w:color w:val="auto"/>
                <w:kern w:val="0"/>
                <w:szCs w:val="21"/>
                <w:highlight w:val="none"/>
              </w:rPr>
              <w:t>实际交付日期</w:t>
            </w:r>
          </w:p>
        </w:tc>
        <w:tc>
          <w:tcPr>
            <w:tcW w:w="3240" w:type="dxa"/>
            <w:gridSpan w:val="2"/>
            <w:tcBorders>
              <w:top w:val="single" w:color="auto" w:sz="8" w:space="0"/>
              <w:left w:val="single" w:color="auto" w:sz="8" w:space="0"/>
              <w:bottom w:val="single" w:color="auto" w:sz="8" w:space="0"/>
              <w:right w:val="single" w:color="auto" w:sz="8" w:space="0"/>
            </w:tcBorders>
            <w:noWrap w:val="0"/>
            <w:vAlign w:val="center"/>
          </w:tcPr>
          <w:p w14:paraId="1BE275D3">
            <w:pPr>
              <w:snapToGrid w:val="0"/>
              <w:spacing w:before="100" w:beforeAutospacing="1" w:after="100" w:afterAutospacing="1" w:line="32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20  年  月  日</w:t>
            </w:r>
          </w:p>
        </w:tc>
        <w:tc>
          <w:tcPr>
            <w:tcW w:w="2700" w:type="dxa"/>
            <w:gridSpan w:val="3"/>
            <w:tcBorders>
              <w:top w:val="single" w:color="auto" w:sz="8" w:space="0"/>
              <w:left w:val="single" w:color="auto" w:sz="8" w:space="0"/>
              <w:bottom w:val="single" w:color="auto" w:sz="8" w:space="0"/>
              <w:right w:val="single" w:color="auto" w:sz="8" w:space="0"/>
            </w:tcBorders>
            <w:noWrap w:val="0"/>
            <w:vAlign w:val="center"/>
          </w:tcPr>
          <w:p w14:paraId="7A300E4A">
            <w:pPr>
              <w:snapToGrid w:val="0"/>
              <w:spacing w:before="100" w:beforeAutospacing="1" w:after="100" w:afterAutospacing="1" w:line="320" w:lineRule="exact"/>
              <w:ind w:firstLine="39" w:firstLineChars="19"/>
              <w:jc w:val="center"/>
              <w:rPr>
                <w:rFonts w:ascii="宋体" w:hAnsi="宋体" w:cs="宋体"/>
                <w:color w:val="auto"/>
                <w:kern w:val="0"/>
                <w:szCs w:val="21"/>
                <w:highlight w:val="none"/>
              </w:rPr>
            </w:pPr>
            <w:r>
              <w:rPr>
                <w:rFonts w:hint="eastAsia" w:ascii="宋体" w:hAnsi="宋体" w:cs="宋体"/>
                <w:color w:val="auto"/>
                <w:kern w:val="0"/>
                <w:szCs w:val="21"/>
                <w:highlight w:val="none"/>
              </w:rPr>
              <w:t>合同交付验收日期</w:t>
            </w:r>
          </w:p>
        </w:tc>
        <w:tc>
          <w:tcPr>
            <w:tcW w:w="2160" w:type="dxa"/>
            <w:tcBorders>
              <w:top w:val="single" w:color="auto" w:sz="8" w:space="0"/>
              <w:left w:val="single" w:color="auto" w:sz="8" w:space="0"/>
              <w:bottom w:val="single" w:color="auto" w:sz="8" w:space="0"/>
              <w:right w:val="single" w:color="auto" w:sz="8" w:space="0"/>
            </w:tcBorders>
            <w:noWrap w:val="0"/>
            <w:vAlign w:val="center"/>
          </w:tcPr>
          <w:p w14:paraId="0946AAE7">
            <w:pPr>
              <w:snapToGrid w:val="0"/>
              <w:spacing w:before="100" w:beforeAutospacing="1" w:after="100" w:afterAutospacing="1" w:line="32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20  年  月  日</w:t>
            </w:r>
          </w:p>
        </w:tc>
      </w:tr>
      <w:tr w14:paraId="305F82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1527" w:type="dxa"/>
            <w:gridSpan w:val="2"/>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A5F7E02">
            <w:pPr>
              <w:widowControl/>
              <w:snapToGrid w:val="0"/>
              <w:spacing w:before="100" w:beforeAutospacing="1" w:after="100" w:afterAutospacing="1" w:line="3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验收具体内容</w:t>
            </w:r>
          </w:p>
        </w:tc>
        <w:tc>
          <w:tcPr>
            <w:tcW w:w="8100" w:type="dxa"/>
            <w:gridSpan w:val="6"/>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E669BD0">
            <w:pPr>
              <w:pStyle w:val="177"/>
              <w:spacing w:before="120" w:after="120"/>
              <w:ind w:firstLine="0" w:firstLineChars="0"/>
              <w:rPr>
                <w:rFonts w:ascii="宋体" w:hAnsi="宋体" w:cs="宋体"/>
                <w:color w:val="auto"/>
                <w:szCs w:val="21"/>
                <w:highlight w:val="none"/>
              </w:rPr>
            </w:pPr>
            <w:r>
              <w:rPr>
                <w:rFonts w:hint="eastAsia" w:ascii="宋体" w:hAnsi="宋体" w:cs="宋体"/>
                <w:color w:val="auto"/>
                <w:szCs w:val="21"/>
                <w:highlight w:val="none"/>
              </w:rPr>
              <w:t>中标人所提供服务的内容满足采购合同约定的要求、标准。</w:t>
            </w:r>
          </w:p>
        </w:tc>
      </w:tr>
      <w:tr w14:paraId="61D1D3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6" w:hRule="atLeast"/>
          <w:jc w:val="center"/>
        </w:trPr>
        <w:tc>
          <w:tcPr>
            <w:tcW w:w="1527" w:type="dxa"/>
            <w:gridSpan w:val="2"/>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E075A73">
            <w:pPr>
              <w:widowControl/>
              <w:spacing w:before="100" w:beforeAutospacing="1" w:after="100" w:afterAutospacing="1" w:line="3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验收小组意见</w:t>
            </w:r>
          </w:p>
        </w:tc>
        <w:tc>
          <w:tcPr>
            <w:tcW w:w="8100" w:type="dxa"/>
            <w:gridSpan w:val="6"/>
            <w:tcBorders>
              <w:top w:val="single" w:color="auto" w:sz="8" w:space="0"/>
              <w:left w:val="single" w:color="auto" w:sz="8" w:space="0"/>
              <w:bottom w:val="single" w:color="auto" w:sz="4" w:space="0"/>
              <w:right w:val="single" w:color="auto" w:sz="8" w:space="0"/>
            </w:tcBorders>
            <w:noWrap w:val="0"/>
            <w:vAlign w:val="center"/>
          </w:tcPr>
          <w:p w14:paraId="45B53F27">
            <w:pPr>
              <w:widowControl/>
              <w:spacing w:before="100" w:beforeAutospacing="1" w:after="100" w:afterAutospacing="1" w:line="3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验收结论性意见：同意（不同意）通过项目验收</w:t>
            </w:r>
          </w:p>
        </w:tc>
      </w:tr>
      <w:tr w14:paraId="15BCC1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37" w:hRule="atLeast"/>
          <w:jc w:val="center"/>
        </w:trPr>
        <w:tc>
          <w:tcPr>
            <w:tcW w:w="1527" w:type="dxa"/>
            <w:gridSpan w:val="2"/>
            <w:vMerge w:val="continue"/>
            <w:tcBorders>
              <w:top w:val="single" w:color="auto" w:sz="8" w:space="0"/>
              <w:left w:val="single" w:color="auto" w:sz="8" w:space="0"/>
              <w:bottom w:val="single" w:color="auto" w:sz="8" w:space="0"/>
              <w:right w:val="single" w:color="auto" w:sz="8" w:space="0"/>
            </w:tcBorders>
            <w:noWrap w:val="0"/>
            <w:vAlign w:val="center"/>
          </w:tcPr>
          <w:p w14:paraId="24655339">
            <w:pPr>
              <w:widowControl/>
              <w:spacing w:line="320" w:lineRule="exact"/>
              <w:jc w:val="left"/>
              <w:rPr>
                <w:rFonts w:ascii="宋体" w:hAnsi="宋体" w:cs="宋体"/>
                <w:color w:val="auto"/>
                <w:kern w:val="0"/>
                <w:szCs w:val="21"/>
                <w:highlight w:val="none"/>
              </w:rPr>
            </w:pPr>
          </w:p>
        </w:tc>
        <w:tc>
          <w:tcPr>
            <w:tcW w:w="8100" w:type="dxa"/>
            <w:gridSpan w:val="6"/>
            <w:tcBorders>
              <w:top w:val="single" w:color="auto" w:sz="4" w:space="0"/>
              <w:left w:val="single" w:color="auto" w:sz="8" w:space="0"/>
              <w:bottom w:val="single" w:color="auto" w:sz="8" w:space="0"/>
              <w:right w:val="single" w:color="auto" w:sz="8" w:space="0"/>
            </w:tcBorders>
            <w:noWrap w:val="0"/>
            <w:vAlign w:val="center"/>
          </w:tcPr>
          <w:p w14:paraId="6E64BE72">
            <w:pPr>
              <w:pStyle w:val="177"/>
              <w:spacing w:before="120" w:after="120"/>
              <w:ind w:firstLine="0" w:firstLineChars="0"/>
              <w:rPr>
                <w:rFonts w:ascii="宋体" w:hAnsi="宋体" w:cs="宋体"/>
                <w:color w:val="auto"/>
                <w:szCs w:val="21"/>
                <w:highlight w:val="none"/>
              </w:rPr>
            </w:pPr>
            <w:r>
              <w:rPr>
                <w:rFonts w:hint="eastAsia" w:ascii="宋体" w:hAnsi="宋体" w:cs="宋体"/>
                <w:color w:val="auto"/>
                <w:szCs w:val="21"/>
                <w:highlight w:val="none"/>
              </w:rPr>
              <w:t>有异议的意见和说明理由：</w:t>
            </w:r>
          </w:p>
          <w:p w14:paraId="7C6C982A">
            <w:pPr>
              <w:pStyle w:val="177"/>
              <w:spacing w:before="120" w:after="120"/>
              <w:ind w:firstLine="5880" w:firstLineChars="2800"/>
              <w:rPr>
                <w:rFonts w:ascii="宋体" w:hAnsi="宋体" w:cs="宋体"/>
                <w:color w:val="auto"/>
                <w:szCs w:val="21"/>
                <w:highlight w:val="none"/>
              </w:rPr>
            </w:pPr>
            <w:r>
              <w:rPr>
                <w:rFonts w:hint="eastAsia" w:ascii="宋体" w:hAnsi="宋体" w:cs="宋体"/>
                <w:color w:val="auto"/>
                <w:szCs w:val="21"/>
                <w:highlight w:val="none"/>
              </w:rPr>
              <w:t>签字：</w:t>
            </w:r>
          </w:p>
        </w:tc>
      </w:tr>
      <w:tr w14:paraId="387774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331" w:hRule="atLeast"/>
          <w:jc w:val="center"/>
        </w:trPr>
        <w:tc>
          <w:tcPr>
            <w:tcW w:w="9627" w:type="dxa"/>
            <w:gridSpan w:val="8"/>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439535F">
            <w:pPr>
              <w:widowControl/>
              <w:spacing w:before="100" w:beforeAutospacing="1" w:after="100" w:afterAutospacing="1" w:line="320" w:lineRule="exact"/>
              <w:jc w:val="left"/>
              <w:rPr>
                <w:color w:val="auto"/>
                <w:kern w:val="0"/>
                <w:szCs w:val="21"/>
                <w:highlight w:val="none"/>
              </w:rPr>
            </w:pPr>
            <w:r>
              <w:rPr>
                <w:color w:val="auto"/>
                <w:kern w:val="0"/>
                <w:szCs w:val="21"/>
                <w:highlight w:val="none"/>
              </w:rPr>
              <w:t>验收小组成员签字：</w:t>
            </w:r>
          </w:p>
          <w:p w14:paraId="1B714836">
            <w:pPr>
              <w:widowControl/>
              <w:spacing w:before="100" w:beforeAutospacing="1" w:after="100" w:afterAutospacing="1" w:line="320" w:lineRule="exact"/>
              <w:jc w:val="left"/>
              <w:rPr>
                <w:color w:val="auto"/>
                <w:kern w:val="0"/>
                <w:szCs w:val="21"/>
                <w:highlight w:val="none"/>
              </w:rPr>
            </w:pPr>
          </w:p>
        </w:tc>
      </w:tr>
      <w:tr w14:paraId="5643D5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10" w:hRule="atLeast"/>
          <w:jc w:val="center"/>
        </w:trPr>
        <w:tc>
          <w:tcPr>
            <w:tcW w:w="9627" w:type="dxa"/>
            <w:gridSpan w:val="8"/>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91063CA">
            <w:pPr>
              <w:widowControl/>
              <w:spacing w:before="100" w:beforeAutospacing="1" w:after="100" w:afterAutospacing="1" w:line="320" w:lineRule="exact"/>
              <w:jc w:val="left"/>
              <w:rPr>
                <w:color w:val="auto"/>
                <w:kern w:val="0"/>
                <w:szCs w:val="21"/>
                <w:highlight w:val="none"/>
              </w:rPr>
            </w:pPr>
            <w:r>
              <w:rPr>
                <w:color w:val="auto"/>
                <w:kern w:val="0"/>
                <w:szCs w:val="21"/>
                <w:highlight w:val="none"/>
              </w:rPr>
              <w:t>监督人员或其他相关人员签字：</w:t>
            </w:r>
          </w:p>
          <w:p w14:paraId="5CA33FC2">
            <w:pPr>
              <w:widowControl/>
              <w:spacing w:before="100" w:beforeAutospacing="1" w:after="100" w:afterAutospacing="1" w:line="320" w:lineRule="exact"/>
              <w:ind w:firstLine="65" w:firstLineChars="31"/>
              <w:jc w:val="left"/>
              <w:rPr>
                <w:color w:val="auto"/>
                <w:kern w:val="0"/>
                <w:szCs w:val="21"/>
                <w:highlight w:val="none"/>
              </w:rPr>
            </w:pPr>
            <w:r>
              <w:rPr>
                <w:color w:val="auto"/>
                <w:kern w:val="0"/>
                <w:szCs w:val="21"/>
                <w:highlight w:val="none"/>
              </w:rPr>
              <w:t>或受邀机构的意见（盖章）：</w:t>
            </w:r>
          </w:p>
        </w:tc>
      </w:tr>
      <w:tr w14:paraId="460E68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4767" w:type="dxa"/>
            <w:gridSpan w:val="4"/>
            <w:tcBorders>
              <w:top w:val="single" w:color="auto" w:sz="8" w:space="0"/>
              <w:left w:val="single" w:color="auto" w:sz="8" w:space="0"/>
              <w:bottom w:val="single" w:color="auto" w:sz="8" w:space="0"/>
              <w:right w:val="nil"/>
            </w:tcBorders>
            <w:noWrap w:val="0"/>
            <w:tcMar>
              <w:top w:w="0" w:type="dxa"/>
              <w:left w:w="108" w:type="dxa"/>
              <w:bottom w:w="0" w:type="dxa"/>
              <w:right w:w="108" w:type="dxa"/>
            </w:tcMar>
            <w:vAlign w:val="center"/>
          </w:tcPr>
          <w:p w14:paraId="4F7B62C9">
            <w:pPr>
              <w:widowControl/>
              <w:spacing w:before="100" w:beforeAutospacing="1" w:after="100" w:afterAutospacing="1" w:line="320" w:lineRule="exact"/>
              <w:ind w:firstLine="65" w:firstLineChars="31"/>
              <w:jc w:val="left"/>
              <w:rPr>
                <w:color w:val="auto"/>
                <w:kern w:val="0"/>
                <w:szCs w:val="21"/>
                <w:highlight w:val="none"/>
              </w:rPr>
            </w:pPr>
            <w:r>
              <w:rPr>
                <w:color w:val="auto"/>
                <w:kern w:val="0"/>
                <w:szCs w:val="21"/>
                <w:highlight w:val="none"/>
              </w:rPr>
              <w:t>中标或者成交供应商负责人签字或盖章：</w:t>
            </w:r>
          </w:p>
          <w:p w14:paraId="5EBE200F">
            <w:pPr>
              <w:widowControl/>
              <w:spacing w:before="100" w:beforeAutospacing="1" w:after="100" w:afterAutospacing="1" w:line="320" w:lineRule="exact"/>
              <w:jc w:val="left"/>
              <w:rPr>
                <w:color w:val="auto"/>
                <w:kern w:val="0"/>
                <w:szCs w:val="21"/>
                <w:highlight w:val="none"/>
              </w:rPr>
            </w:pPr>
            <w:r>
              <w:rPr>
                <w:color w:val="auto"/>
                <w:kern w:val="0"/>
                <w:szCs w:val="21"/>
                <w:highlight w:val="none"/>
              </w:rPr>
              <w:t>联系电话：     </w:t>
            </w:r>
            <w:r>
              <w:rPr>
                <w:rFonts w:hint="eastAsia"/>
                <w:color w:val="auto"/>
                <w:kern w:val="0"/>
                <w:szCs w:val="21"/>
                <w:highlight w:val="none"/>
              </w:rPr>
              <w:t xml:space="preserve">   </w:t>
            </w:r>
            <w:r>
              <w:rPr>
                <w:color w:val="auto"/>
                <w:kern w:val="0"/>
                <w:szCs w:val="21"/>
                <w:highlight w:val="none"/>
              </w:rPr>
              <w:t>  年</w:t>
            </w:r>
            <w:r>
              <w:rPr>
                <w:rFonts w:hint="eastAsia"/>
                <w:color w:val="auto"/>
                <w:kern w:val="0"/>
                <w:szCs w:val="21"/>
                <w:highlight w:val="none"/>
              </w:rPr>
              <w:t xml:space="preserve">  </w:t>
            </w:r>
            <w:r>
              <w:rPr>
                <w:color w:val="auto"/>
                <w:kern w:val="0"/>
                <w:szCs w:val="21"/>
                <w:highlight w:val="none"/>
              </w:rPr>
              <w:t> 月 </w:t>
            </w:r>
            <w:r>
              <w:rPr>
                <w:rFonts w:hint="eastAsia"/>
                <w:color w:val="auto"/>
                <w:kern w:val="0"/>
                <w:szCs w:val="21"/>
                <w:highlight w:val="none"/>
              </w:rPr>
              <w:t xml:space="preserve">  </w:t>
            </w:r>
            <w:r>
              <w:rPr>
                <w:color w:val="auto"/>
                <w:kern w:val="0"/>
                <w:szCs w:val="21"/>
                <w:highlight w:val="none"/>
              </w:rPr>
              <w:t>日</w:t>
            </w:r>
          </w:p>
          <w:p w14:paraId="09FDF759">
            <w:pPr>
              <w:widowControl/>
              <w:spacing w:before="100" w:beforeAutospacing="1" w:after="100" w:afterAutospacing="1" w:line="320" w:lineRule="exact"/>
              <w:jc w:val="left"/>
              <w:rPr>
                <w:color w:val="auto"/>
                <w:kern w:val="0"/>
                <w:szCs w:val="21"/>
                <w:highlight w:val="none"/>
              </w:rPr>
            </w:pPr>
          </w:p>
          <w:p w14:paraId="77C9705D">
            <w:pPr>
              <w:widowControl/>
              <w:spacing w:before="100" w:beforeAutospacing="1" w:after="100" w:afterAutospacing="1" w:line="320" w:lineRule="exact"/>
              <w:ind w:firstLine="65" w:firstLineChars="31"/>
              <w:jc w:val="left"/>
              <w:rPr>
                <w:color w:val="auto"/>
                <w:kern w:val="0"/>
                <w:szCs w:val="21"/>
                <w:highlight w:val="none"/>
              </w:rPr>
            </w:pPr>
            <w:r>
              <w:rPr>
                <w:rFonts w:hint="eastAsia"/>
                <w:color w:val="auto"/>
                <w:kern w:val="0"/>
                <w:szCs w:val="21"/>
                <w:highlight w:val="none"/>
              </w:rPr>
              <w:t>采购人</w:t>
            </w:r>
            <w:r>
              <w:rPr>
                <w:color w:val="auto"/>
                <w:kern w:val="0"/>
                <w:szCs w:val="21"/>
                <w:highlight w:val="none"/>
              </w:rPr>
              <w:t>签字或盖章：</w:t>
            </w:r>
          </w:p>
          <w:p w14:paraId="55C7B377">
            <w:pPr>
              <w:widowControl/>
              <w:spacing w:before="100" w:beforeAutospacing="1" w:after="100" w:afterAutospacing="1" w:line="320" w:lineRule="exact"/>
              <w:jc w:val="left"/>
              <w:rPr>
                <w:color w:val="auto"/>
                <w:kern w:val="0"/>
                <w:szCs w:val="21"/>
                <w:highlight w:val="none"/>
              </w:rPr>
            </w:pPr>
            <w:r>
              <w:rPr>
                <w:color w:val="auto"/>
                <w:kern w:val="0"/>
                <w:szCs w:val="21"/>
                <w:highlight w:val="none"/>
              </w:rPr>
              <w:t xml:space="preserve">联系电话：      </w:t>
            </w:r>
            <w:r>
              <w:rPr>
                <w:rFonts w:hint="eastAsia"/>
                <w:color w:val="auto"/>
                <w:kern w:val="0"/>
                <w:szCs w:val="21"/>
                <w:highlight w:val="none"/>
              </w:rPr>
              <w:t xml:space="preserve"> </w:t>
            </w:r>
            <w:r>
              <w:rPr>
                <w:color w:val="auto"/>
                <w:kern w:val="0"/>
                <w:szCs w:val="21"/>
                <w:highlight w:val="none"/>
              </w:rPr>
              <w:t>  年</w:t>
            </w:r>
            <w:r>
              <w:rPr>
                <w:rFonts w:hint="eastAsia"/>
                <w:color w:val="auto"/>
                <w:kern w:val="0"/>
                <w:szCs w:val="21"/>
                <w:highlight w:val="none"/>
              </w:rPr>
              <w:t xml:space="preserve">  </w:t>
            </w:r>
            <w:r>
              <w:rPr>
                <w:color w:val="auto"/>
                <w:kern w:val="0"/>
                <w:szCs w:val="21"/>
                <w:highlight w:val="none"/>
              </w:rPr>
              <w:t> 月 </w:t>
            </w:r>
            <w:r>
              <w:rPr>
                <w:rFonts w:hint="eastAsia"/>
                <w:color w:val="auto"/>
                <w:kern w:val="0"/>
                <w:szCs w:val="21"/>
                <w:highlight w:val="none"/>
              </w:rPr>
              <w:t xml:space="preserve">  </w:t>
            </w:r>
            <w:r>
              <w:rPr>
                <w:color w:val="auto"/>
                <w:kern w:val="0"/>
                <w:szCs w:val="21"/>
                <w:highlight w:val="none"/>
              </w:rPr>
              <w:t>日</w:t>
            </w:r>
          </w:p>
        </w:tc>
        <w:tc>
          <w:tcPr>
            <w:tcW w:w="4860" w:type="dxa"/>
            <w:gridSpan w:val="4"/>
            <w:tcBorders>
              <w:top w:val="single" w:color="auto" w:sz="8" w:space="0"/>
              <w:left w:val="nil"/>
              <w:bottom w:val="single" w:color="auto" w:sz="8" w:space="0"/>
              <w:right w:val="single" w:color="auto" w:sz="8" w:space="0"/>
            </w:tcBorders>
            <w:noWrap w:val="0"/>
            <w:vAlign w:val="center"/>
          </w:tcPr>
          <w:p w14:paraId="39C82EAD">
            <w:pPr>
              <w:widowControl/>
              <w:spacing w:before="100" w:beforeAutospacing="1" w:after="100" w:afterAutospacing="1" w:line="320" w:lineRule="exact"/>
              <w:jc w:val="left"/>
              <w:rPr>
                <w:color w:val="auto"/>
                <w:kern w:val="0"/>
                <w:szCs w:val="21"/>
                <w:highlight w:val="none"/>
              </w:rPr>
            </w:pPr>
            <w:r>
              <w:rPr>
                <w:color w:val="auto"/>
                <w:kern w:val="0"/>
                <w:szCs w:val="21"/>
                <w:highlight w:val="none"/>
              </w:rPr>
              <w:t> 受托机构的意见（盖章）：</w:t>
            </w:r>
          </w:p>
          <w:p w14:paraId="48DCB8E5">
            <w:pPr>
              <w:widowControl/>
              <w:spacing w:before="100" w:beforeAutospacing="1" w:after="100" w:afterAutospacing="1" w:line="320" w:lineRule="exact"/>
              <w:jc w:val="left"/>
              <w:rPr>
                <w:color w:val="auto"/>
                <w:kern w:val="0"/>
                <w:szCs w:val="21"/>
                <w:highlight w:val="none"/>
              </w:rPr>
            </w:pPr>
            <w:r>
              <w:rPr>
                <w:color w:val="auto"/>
                <w:kern w:val="0"/>
                <w:szCs w:val="21"/>
                <w:highlight w:val="none"/>
              </w:rPr>
              <w:t xml:space="preserve">联系电话：                 </w:t>
            </w:r>
            <w:r>
              <w:rPr>
                <w:rFonts w:hint="eastAsia"/>
                <w:color w:val="auto"/>
                <w:kern w:val="0"/>
                <w:szCs w:val="21"/>
                <w:highlight w:val="none"/>
              </w:rPr>
              <w:t xml:space="preserve">    </w:t>
            </w:r>
            <w:r>
              <w:rPr>
                <w:color w:val="auto"/>
                <w:kern w:val="0"/>
                <w:szCs w:val="21"/>
                <w:highlight w:val="none"/>
              </w:rPr>
              <w:t>年   月   日</w:t>
            </w:r>
          </w:p>
          <w:p w14:paraId="55247E70">
            <w:pPr>
              <w:widowControl/>
              <w:spacing w:before="100" w:beforeAutospacing="1" w:after="100" w:afterAutospacing="1" w:line="320" w:lineRule="exact"/>
              <w:jc w:val="left"/>
              <w:rPr>
                <w:color w:val="auto"/>
                <w:kern w:val="0"/>
                <w:szCs w:val="21"/>
                <w:highlight w:val="none"/>
              </w:rPr>
            </w:pPr>
          </w:p>
          <w:p w14:paraId="00132CBD">
            <w:pPr>
              <w:widowControl/>
              <w:spacing w:before="100" w:beforeAutospacing="1" w:after="100" w:afterAutospacing="1" w:line="320" w:lineRule="exact"/>
              <w:jc w:val="left"/>
              <w:rPr>
                <w:color w:val="auto"/>
                <w:kern w:val="0"/>
                <w:szCs w:val="21"/>
                <w:highlight w:val="none"/>
              </w:rPr>
            </w:pPr>
          </w:p>
          <w:p w14:paraId="20D6B578">
            <w:pPr>
              <w:widowControl/>
              <w:spacing w:before="100" w:beforeAutospacing="1" w:after="100" w:afterAutospacing="1" w:line="320" w:lineRule="exact"/>
              <w:jc w:val="left"/>
              <w:rPr>
                <w:color w:val="auto"/>
                <w:kern w:val="0"/>
                <w:szCs w:val="21"/>
                <w:highlight w:val="none"/>
              </w:rPr>
            </w:pPr>
          </w:p>
        </w:tc>
      </w:tr>
    </w:tbl>
    <w:p w14:paraId="6E30D7A1">
      <w:pPr>
        <w:widowControl/>
        <w:jc w:val="left"/>
        <w:rPr>
          <w:rFonts w:hint="eastAsia"/>
          <w:bCs/>
          <w:color w:val="auto"/>
          <w:sz w:val="24"/>
          <w:highlight w:val="none"/>
        </w:rPr>
      </w:pPr>
      <w:r>
        <w:rPr>
          <w:color w:val="auto"/>
          <w:spacing w:val="-10"/>
          <w:kern w:val="0"/>
          <w:szCs w:val="21"/>
          <w:highlight w:val="none"/>
        </w:rPr>
        <w:t>备注：本报告单一式4份（采购单位1份、供应商1份、采购监督部门备案1份、采购代理机构1份）</w:t>
      </w:r>
    </w:p>
    <w:p w14:paraId="68BD4067">
      <w:pPr>
        <w:spacing w:before="120" w:line="320" w:lineRule="atLeast"/>
        <w:rPr>
          <w:rFonts w:hint="eastAsia"/>
          <w:color w:val="auto"/>
          <w:szCs w:val="21"/>
          <w:highlight w:val="none"/>
        </w:rPr>
        <w:sectPr>
          <w:headerReference r:id="rId15" w:type="default"/>
          <w:pgSz w:w="11906" w:h="16838"/>
          <w:pgMar w:top="1418" w:right="1418" w:bottom="1246" w:left="1418" w:header="851" w:footer="992" w:gutter="0"/>
          <w:cols w:space="720" w:num="1"/>
          <w:docGrid w:linePitch="312" w:charSpace="0"/>
        </w:sectPr>
      </w:pPr>
    </w:p>
    <w:bookmarkEnd w:id="0"/>
    <w:bookmarkEnd w:id="1"/>
    <w:bookmarkEnd w:id="68"/>
    <w:bookmarkEnd w:id="69"/>
    <w:p w14:paraId="34C64976">
      <w:pPr>
        <w:widowControl/>
        <w:jc w:val="center"/>
        <w:outlineLvl w:val="0"/>
        <w:rPr>
          <w:color w:val="auto"/>
          <w:sz w:val="32"/>
          <w:szCs w:val="32"/>
          <w:highlight w:val="none"/>
        </w:rPr>
      </w:pPr>
      <w:bookmarkStart w:id="77" w:name="_Toc29524"/>
      <w:r>
        <w:rPr>
          <w:color w:val="auto"/>
          <w:sz w:val="32"/>
          <w:szCs w:val="32"/>
          <w:highlight w:val="none"/>
        </w:rPr>
        <w:t>第六章  响应文件格式</w:t>
      </w:r>
      <w:bookmarkEnd w:id="77"/>
    </w:p>
    <w:p w14:paraId="46E55F27">
      <w:pPr>
        <w:rPr>
          <w:rFonts w:hint="eastAsia"/>
          <w:color w:val="auto"/>
          <w:sz w:val="28"/>
          <w:szCs w:val="28"/>
          <w:highlight w:val="none"/>
        </w:rPr>
      </w:pPr>
      <w:bookmarkStart w:id="78" w:name="_Toc254970697"/>
      <w:bookmarkStart w:id="79" w:name="_Toc254970556"/>
    </w:p>
    <w:bookmarkEnd w:id="78"/>
    <w:bookmarkEnd w:id="79"/>
    <w:p w14:paraId="79E89105">
      <w:pPr>
        <w:rPr>
          <w:rFonts w:hint="eastAsia"/>
          <w:color w:val="auto"/>
          <w:sz w:val="28"/>
          <w:szCs w:val="28"/>
          <w:highlight w:val="none"/>
        </w:rPr>
      </w:pPr>
    </w:p>
    <w:p w14:paraId="0925D8ED">
      <w:pPr>
        <w:spacing w:line="500" w:lineRule="exact"/>
        <w:ind w:firstLine="560" w:firstLineChars="200"/>
        <w:rPr>
          <w:rFonts w:ascii="宋体" w:hAnsi="宋体"/>
          <w:color w:val="auto"/>
          <w:sz w:val="24"/>
          <w:highlight w:val="none"/>
        </w:rPr>
      </w:pPr>
      <w:bookmarkStart w:id="80" w:name="_Hlk19199063"/>
      <w:r>
        <w:rPr>
          <w:rFonts w:hint="eastAsia"/>
          <w:color w:val="auto"/>
          <w:sz w:val="28"/>
          <w:szCs w:val="28"/>
          <w:highlight w:val="none"/>
        </w:rPr>
        <w:t>注：有签字、盖章要求的应按要求</w:t>
      </w:r>
      <w:bookmarkEnd w:id="80"/>
      <w:r>
        <w:rPr>
          <w:rFonts w:hint="eastAsia"/>
          <w:color w:val="auto"/>
          <w:sz w:val="28"/>
          <w:szCs w:val="28"/>
          <w:highlight w:val="none"/>
        </w:rPr>
        <w:t>签字（签章）、盖章（签章）。</w:t>
      </w:r>
      <w:r>
        <w:rPr>
          <w:bCs/>
          <w:color w:val="auto"/>
          <w:sz w:val="24"/>
          <w:highlight w:val="none"/>
        </w:rPr>
        <w:t xml:space="preserve"> </w:t>
      </w:r>
    </w:p>
    <w:p w14:paraId="3EBCA420">
      <w:pPr>
        <w:snapToGrid w:val="0"/>
        <w:spacing w:before="120" w:beforeLines="50" w:after="50" w:line="440" w:lineRule="exact"/>
        <w:jc w:val="left"/>
        <w:outlineLvl w:val="1"/>
        <w:rPr>
          <w:rFonts w:ascii="Times New Roman" w:hAnsi="Times New Roman" w:eastAsia="宋体" w:cs="Times New Roman"/>
          <w:b/>
          <w:color w:val="auto"/>
          <w:sz w:val="24"/>
          <w:highlight w:val="none"/>
        </w:rPr>
      </w:pPr>
      <w:r>
        <w:rPr>
          <w:color w:val="auto"/>
          <w:sz w:val="24"/>
          <w:highlight w:val="none"/>
        </w:rPr>
        <w:br w:type="page"/>
      </w:r>
      <w:r>
        <w:rPr>
          <w:rFonts w:hint="eastAsia" w:ascii="Times New Roman" w:hAnsi="Times New Roman" w:eastAsia="宋体" w:cs="Times New Roman"/>
          <w:b w:val="0"/>
          <w:bCs w:val="0"/>
          <w:color w:val="auto"/>
          <w:sz w:val="24"/>
          <w:highlight w:val="none"/>
        </w:rPr>
        <w:t>1.</w:t>
      </w:r>
      <w:r>
        <w:rPr>
          <w:rFonts w:ascii="Times New Roman" w:hAnsi="Times New Roman" w:eastAsia="宋体" w:cs="Times New Roman"/>
          <w:b w:val="0"/>
          <w:bCs w:val="0"/>
          <w:color w:val="auto"/>
          <w:sz w:val="24"/>
          <w:highlight w:val="none"/>
        </w:rPr>
        <w:t>响应文件封面</w:t>
      </w:r>
      <w:r>
        <w:rPr>
          <w:rFonts w:hint="eastAsia" w:ascii="Times New Roman" w:hAnsi="Times New Roman" w:eastAsia="宋体" w:cs="Times New Roman"/>
          <w:b w:val="0"/>
          <w:bCs w:val="0"/>
          <w:color w:val="auto"/>
          <w:sz w:val="24"/>
          <w:highlight w:val="none"/>
          <w:lang w:val="en-US" w:eastAsia="zh-CN"/>
        </w:rPr>
        <w:t>参考</w:t>
      </w:r>
      <w:r>
        <w:rPr>
          <w:rFonts w:ascii="Times New Roman" w:hAnsi="Times New Roman" w:eastAsia="宋体" w:cs="Times New Roman"/>
          <w:b w:val="0"/>
          <w:bCs w:val="0"/>
          <w:color w:val="auto"/>
          <w:sz w:val="24"/>
          <w:highlight w:val="none"/>
        </w:rPr>
        <w:t>格式</w:t>
      </w:r>
      <w:bookmarkStart w:id="81" w:name="_Hlk92966991"/>
      <w:r>
        <w:rPr>
          <w:rFonts w:hint="eastAsia" w:ascii="Times New Roman" w:hAnsi="Times New Roman" w:eastAsia="宋体" w:cs="Times New Roman"/>
          <w:b w:val="0"/>
          <w:bCs w:val="0"/>
          <w:color w:val="auto"/>
          <w:sz w:val="24"/>
          <w:highlight w:val="none"/>
        </w:rPr>
        <w:t>（资格证明文件）</w:t>
      </w:r>
      <w:bookmarkEnd w:id="81"/>
      <w:r>
        <w:rPr>
          <w:rFonts w:ascii="Times New Roman" w:hAnsi="Times New Roman" w:eastAsia="宋体" w:cs="Times New Roman"/>
          <w:b w:val="0"/>
          <w:bCs w:val="0"/>
          <w:color w:val="auto"/>
          <w:sz w:val="24"/>
          <w:highlight w:val="none"/>
        </w:rPr>
        <w:t>：</w:t>
      </w:r>
      <w:r>
        <w:rPr>
          <w:rFonts w:ascii="Times New Roman" w:hAnsi="Times New Roman" w:eastAsia="宋体" w:cs="Times New Roman"/>
          <w:b/>
          <w:bCs/>
          <w:color w:val="auto"/>
          <w:sz w:val="24"/>
          <w:highlight w:val="none"/>
        </w:rPr>
        <w:t xml:space="preserve"> </w:t>
      </w:r>
    </w:p>
    <w:p w14:paraId="0EDFE727">
      <w:pPr>
        <w:snapToGrid w:val="0"/>
        <w:spacing w:before="120" w:beforeLines="50" w:after="50" w:line="360" w:lineRule="exact"/>
        <w:rPr>
          <w:rFonts w:ascii="Times New Roman" w:hAnsi="Times New Roman" w:eastAsia="宋体" w:cs="Times New Roman"/>
          <w:color w:val="auto"/>
          <w:sz w:val="24"/>
          <w:highlight w:val="none"/>
        </w:rPr>
      </w:pPr>
    </w:p>
    <w:p w14:paraId="4A94A0F7">
      <w:pPr>
        <w:snapToGrid w:val="0"/>
        <w:spacing w:before="120" w:beforeLines="50" w:after="50" w:line="360" w:lineRule="exact"/>
        <w:jc w:val="right"/>
        <w:rPr>
          <w:rFonts w:hint="eastAsia" w:ascii="Times New Roman" w:hAnsi="Times New Roman" w:eastAsia="宋体" w:cs="Times New Roman"/>
          <w:bCs/>
          <w:color w:val="auto"/>
          <w:sz w:val="24"/>
          <w:highlight w:val="none"/>
        </w:rPr>
      </w:pPr>
    </w:p>
    <w:p w14:paraId="2A25ACBE">
      <w:pPr>
        <w:snapToGrid w:val="0"/>
        <w:spacing w:before="120" w:beforeLines="50" w:after="50" w:line="360" w:lineRule="exact"/>
        <w:jc w:val="center"/>
        <w:rPr>
          <w:rFonts w:ascii="Times New Roman" w:hAnsi="Times New Roman" w:eastAsia="宋体" w:cs="Times New Roman"/>
          <w:bCs/>
          <w:color w:val="auto"/>
          <w:sz w:val="24"/>
          <w:highlight w:val="none"/>
        </w:rPr>
      </w:pPr>
      <w:r>
        <w:rPr>
          <w:rFonts w:hint="eastAsia" w:ascii="宋体" w:hAnsi="宋体" w:eastAsia="宋体" w:cs="Times New Roman"/>
          <w:b/>
          <w:color w:val="auto"/>
          <w:sz w:val="44"/>
          <w:szCs w:val="24"/>
          <w:highlight w:val="none"/>
        </w:rPr>
        <w:t>电子响应文件</w:t>
      </w:r>
    </w:p>
    <w:p w14:paraId="6777A031">
      <w:pPr>
        <w:snapToGrid w:val="0"/>
        <w:spacing w:before="120" w:beforeLines="50" w:after="50" w:line="360" w:lineRule="exact"/>
        <w:jc w:val="center"/>
        <w:rPr>
          <w:rFonts w:ascii="Times New Roman" w:hAnsi="Times New Roman" w:eastAsia="宋体" w:cs="Times New Roman"/>
          <w:b/>
          <w:bCs/>
          <w:color w:val="auto"/>
          <w:sz w:val="44"/>
          <w:szCs w:val="44"/>
          <w:highlight w:val="none"/>
        </w:rPr>
      </w:pPr>
    </w:p>
    <w:p w14:paraId="176FAEAC">
      <w:pPr>
        <w:snapToGrid w:val="0"/>
        <w:spacing w:before="120" w:beforeLines="50" w:after="50" w:line="360" w:lineRule="exact"/>
        <w:jc w:val="center"/>
        <w:rPr>
          <w:rFonts w:ascii="Times New Roman" w:hAnsi="Times New Roman" w:eastAsia="宋体" w:cs="Times New Roman"/>
          <w:b/>
          <w:bCs/>
          <w:color w:val="auto"/>
          <w:sz w:val="44"/>
          <w:szCs w:val="44"/>
          <w:highlight w:val="none"/>
        </w:rPr>
      </w:pPr>
    </w:p>
    <w:p w14:paraId="460F4782">
      <w:pPr>
        <w:snapToGrid w:val="0"/>
        <w:spacing w:before="120" w:beforeLines="50" w:after="50" w:line="360" w:lineRule="exact"/>
        <w:jc w:val="center"/>
        <w:rPr>
          <w:rFonts w:ascii="Times New Roman" w:hAnsi="Times New Roman" w:eastAsia="宋体" w:cs="Times New Roman"/>
          <w:b/>
          <w:bCs/>
          <w:color w:val="auto"/>
          <w:sz w:val="44"/>
          <w:szCs w:val="44"/>
          <w:highlight w:val="none"/>
        </w:rPr>
      </w:pPr>
      <w:bookmarkStart w:id="82" w:name="_Hlk92967018"/>
      <w:r>
        <w:rPr>
          <w:rFonts w:ascii="Times New Roman" w:hAnsi="Times New Roman" w:eastAsia="宋体" w:cs="Times New Roman"/>
          <w:b/>
          <w:bCs/>
          <w:color w:val="auto"/>
          <w:sz w:val="44"/>
          <w:szCs w:val="44"/>
          <w:highlight w:val="none"/>
        </w:rPr>
        <w:t>资格</w:t>
      </w:r>
      <w:r>
        <w:rPr>
          <w:rFonts w:hint="eastAsia" w:ascii="Times New Roman" w:hAnsi="Times New Roman" w:eastAsia="宋体" w:cs="Times New Roman"/>
          <w:b/>
          <w:bCs/>
          <w:color w:val="auto"/>
          <w:sz w:val="44"/>
          <w:szCs w:val="44"/>
          <w:highlight w:val="none"/>
        </w:rPr>
        <w:t>证明文件</w:t>
      </w:r>
    </w:p>
    <w:bookmarkEnd w:id="82"/>
    <w:p w14:paraId="24D238E1">
      <w:pPr>
        <w:snapToGrid w:val="0"/>
        <w:spacing w:before="120" w:beforeLines="50" w:after="50" w:line="360" w:lineRule="exact"/>
        <w:jc w:val="center"/>
        <w:rPr>
          <w:rFonts w:ascii="Times New Roman" w:hAnsi="Times New Roman" w:eastAsia="宋体" w:cs="Times New Roman"/>
          <w:b/>
          <w:bCs/>
          <w:color w:val="auto"/>
          <w:sz w:val="44"/>
          <w:szCs w:val="44"/>
          <w:highlight w:val="none"/>
        </w:rPr>
      </w:pPr>
    </w:p>
    <w:p w14:paraId="1CEB80B7">
      <w:pPr>
        <w:snapToGrid w:val="0"/>
        <w:spacing w:before="120" w:beforeLines="50" w:after="50" w:line="360" w:lineRule="exact"/>
        <w:rPr>
          <w:rFonts w:ascii="Times New Roman" w:hAnsi="Times New Roman" w:eastAsia="宋体" w:cs="Times New Roman"/>
          <w:bCs/>
          <w:color w:val="auto"/>
          <w:sz w:val="24"/>
          <w:highlight w:val="none"/>
        </w:rPr>
      </w:pPr>
    </w:p>
    <w:p w14:paraId="6D489593">
      <w:pPr>
        <w:snapToGrid w:val="0"/>
        <w:spacing w:before="120" w:beforeLines="50" w:after="50" w:line="360" w:lineRule="exact"/>
        <w:ind w:firstLine="720" w:firstLineChars="300"/>
        <w:rPr>
          <w:rFonts w:ascii="Times New Roman" w:hAnsi="Times New Roman" w:eastAsia="宋体" w:cs="Times New Roman"/>
          <w:bCs/>
          <w:color w:val="auto"/>
          <w:sz w:val="24"/>
          <w:highlight w:val="none"/>
        </w:rPr>
      </w:pPr>
      <w:r>
        <w:rPr>
          <w:rFonts w:ascii="Times New Roman" w:hAnsi="Times New Roman" w:eastAsia="宋体" w:cs="Times New Roman"/>
          <w:bCs/>
          <w:color w:val="auto"/>
          <w:sz w:val="24"/>
          <w:highlight w:val="none"/>
        </w:rPr>
        <w:t xml:space="preserve">项目名称： </w:t>
      </w:r>
    </w:p>
    <w:p w14:paraId="5DC48398">
      <w:pPr>
        <w:snapToGrid w:val="0"/>
        <w:spacing w:before="120" w:beforeLines="50" w:after="50" w:line="360" w:lineRule="exact"/>
        <w:ind w:firstLine="720" w:firstLineChars="300"/>
        <w:rPr>
          <w:rFonts w:ascii="Times New Roman" w:hAnsi="Times New Roman" w:eastAsia="宋体" w:cs="Times New Roman"/>
          <w:bCs/>
          <w:color w:val="auto"/>
          <w:sz w:val="24"/>
          <w:highlight w:val="none"/>
        </w:rPr>
      </w:pPr>
      <w:r>
        <w:rPr>
          <w:rFonts w:ascii="Times New Roman" w:hAnsi="Times New Roman" w:eastAsia="宋体" w:cs="Times New Roman"/>
          <w:bCs/>
          <w:color w:val="auto"/>
          <w:sz w:val="24"/>
          <w:highlight w:val="none"/>
        </w:rPr>
        <w:t>项目编号：</w:t>
      </w:r>
    </w:p>
    <w:p w14:paraId="72A14725">
      <w:pPr>
        <w:snapToGrid w:val="0"/>
        <w:spacing w:before="120" w:beforeLines="50" w:after="50" w:line="440" w:lineRule="exact"/>
        <w:ind w:firstLine="720" w:firstLineChars="300"/>
        <w:rPr>
          <w:rFonts w:ascii="Times New Roman" w:hAnsi="Times New Roman" w:eastAsia="宋体" w:cs="Times New Roman"/>
          <w:bCs/>
          <w:color w:val="auto"/>
          <w:sz w:val="24"/>
          <w:highlight w:val="none"/>
        </w:rPr>
      </w:pPr>
      <w:r>
        <w:rPr>
          <w:rFonts w:ascii="Times New Roman" w:hAnsi="Times New Roman" w:eastAsia="宋体" w:cs="Times New Roman"/>
          <w:bCs/>
          <w:color w:val="auto"/>
          <w:sz w:val="24"/>
          <w:highlight w:val="none"/>
        </w:rPr>
        <w:t>分标号：（若无</w:t>
      </w:r>
      <w:r>
        <w:rPr>
          <w:rFonts w:hint="eastAsia" w:ascii="Times New Roman" w:hAnsi="Times New Roman" w:eastAsia="宋体" w:cs="Times New Roman"/>
          <w:bCs/>
          <w:color w:val="auto"/>
          <w:sz w:val="24"/>
          <w:highlight w:val="none"/>
        </w:rPr>
        <w:t>留空或写</w:t>
      </w:r>
      <w:r>
        <w:rPr>
          <w:rFonts w:ascii="Times New Roman" w:hAnsi="Times New Roman" w:eastAsia="宋体" w:cs="Times New Roman"/>
          <w:bCs/>
          <w:color w:val="auto"/>
          <w:sz w:val="24"/>
          <w:highlight w:val="none"/>
        </w:rPr>
        <w:t>“/”）</w:t>
      </w:r>
    </w:p>
    <w:p w14:paraId="67457D1D">
      <w:pPr>
        <w:snapToGrid w:val="0"/>
        <w:spacing w:before="120" w:beforeLines="50" w:after="50" w:line="360" w:lineRule="exact"/>
        <w:ind w:firstLine="720" w:firstLineChars="300"/>
        <w:rPr>
          <w:rFonts w:ascii="Times New Roman" w:hAnsi="Times New Roman" w:eastAsia="宋体" w:cs="Times New Roman"/>
          <w:bCs/>
          <w:color w:val="auto"/>
          <w:sz w:val="24"/>
          <w:highlight w:val="none"/>
        </w:rPr>
      </w:pPr>
      <w:r>
        <w:rPr>
          <w:rFonts w:ascii="Times New Roman" w:hAnsi="Times New Roman" w:eastAsia="宋体" w:cs="Times New Roman"/>
          <w:bCs/>
          <w:color w:val="auto"/>
          <w:sz w:val="24"/>
          <w:highlight w:val="none"/>
        </w:rPr>
        <w:t>供应商名称：</w:t>
      </w:r>
    </w:p>
    <w:p w14:paraId="6558F844">
      <w:pPr>
        <w:snapToGrid w:val="0"/>
        <w:spacing w:before="120" w:beforeLines="50" w:after="50" w:line="360" w:lineRule="exact"/>
        <w:ind w:firstLine="720" w:firstLineChars="300"/>
        <w:rPr>
          <w:rFonts w:ascii="Times New Roman" w:hAnsi="Times New Roman" w:eastAsia="宋体" w:cs="Times New Roman"/>
          <w:bCs/>
          <w:color w:val="auto"/>
          <w:sz w:val="24"/>
          <w:highlight w:val="none"/>
        </w:rPr>
      </w:pPr>
      <w:r>
        <w:rPr>
          <w:rFonts w:ascii="Times New Roman" w:hAnsi="Times New Roman" w:eastAsia="宋体" w:cs="Times New Roman"/>
          <w:bCs/>
          <w:color w:val="auto"/>
          <w:sz w:val="24"/>
          <w:highlight w:val="none"/>
        </w:rPr>
        <w:t>供应商地址：</w:t>
      </w:r>
    </w:p>
    <w:p w14:paraId="49F49A75">
      <w:pPr>
        <w:pStyle w:val="8"/>
        <w:snapToGrid w:val="0"/>
        <w:spacing w:before="50" w:after="50" w:line="360" w:lineRule="exact"/>
        <w:ind w:firstLine="960" w:firstLineChars="400"/>
        <w:rPr>
          <w:rFonts w:ascii="Times New Roman" w:hAnsi="Times New Roman" w:eastAsia="宋体" w:cs="Times New Roman"/>
          <w:bCs/>
          <w:color w:val="auto"/>
          <w:sz w:val="24"/>
          <w:szCs w:val="24"/>
          <w:highlight w:val="none"/>
        </w:rPr>
      </w:pPr>
    </w:p>
    <w:p w14:paraId="4CF2C040">
      <w:pPr>
        <w:snapToGrid w:val="0"/>
        <w:spacing w:before="120" w:beforeLines="50" w:after="50" w:line="360" w:lineRule="exact"/>
        <w:jc w:val="center"/>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 xml:space="preserve">                        年  月  日</w:t>
      </w:r>
    </w:p>
    <w:p w14:paraId="24A78B87">
      <w:pPr>
        <w:snapToGrid w:val="0"/>
        <w:spacing w:before="50" w:after="50" w:line="440" w:lineRule="exact"/>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 xml:space="preserve"> </w:t>
      </w:r>
    </w:p>
    <w:p w14:paraId="653D0442">
      <w:pPr>
        <w:snapToGrid w:val="0"/>
        <w:spacing w:before="120" w:beforeLines="50" w:after="50" w:line="360" w:lineRule="exact"/>
        <w:jc w:val="center"/>
        <w:rPr>
          <w:color w:val="auto"/>
          <w:sz w:val="24"/>
          <w:highlight w:val="none"/>
        </w:rPr>
      </w:pPr>
    </w:p>
    <w:p w14:paraId="4DCE5B62">
      <w:pPr>
        <w:snapToGrid w:val="0"/>
        <w:spacing w:before="120" w:beforeLines="50" w:after="50" w:line="440" w:lineRule="exact"/>
        <w:jc w:val="center"/>
        <w:outlineLvl w:val="9"/>
        <w:rPr>
          <w:b/>
          <w:bCs/>
          <w:color w:val="auto"/>
          <w:sz w:val="24"/>
          <w:highlight w:val="none"/>
        </w:rPr>
      </w:pPr>
      <w:bookmarkStart w:id="83" w:name="_Toc254970557"/>
      <w:bookmarkStart w:id="84" w:name="_Toc254970698"/>
      <w:r>
        <w:rPr>
          <w:color w:val="auto"/>
          <w:sz w:val="24"/>
          <w:highlight w:val="none"/>
        </w:rPr>
        <w:br w:type="page"/>
      </w:r>
      <w:bookmarkEnd w:id="83"/>
      <w:bookmarkEnd w:id="84"/>
    </w:p>
    <w:p w14:paraId="0CEFC040">
      <w:pPr>
        <w:snapToGrid w:val="0"/>
        <w:spacing w:before="120" w:beforeLines="50" w:after="50" w:line="440" w:lineRule="exact"/>
        <w:jc w:val="center"/>
        <w:rPr>
          <w:color w:val="auto"/>
          <w:sz w:val="24"/>
          <w:highlight w:val="none"/>
        </w:rPr>
      </w:pPr>
    </w:p>
    <w:p w14:paraId="4DC01EC5">
      <w:pPr>
        <w:snapToGrid w:val="0"/>
        <w:spacing w:before="50" w:after="50" w:line="440" w:lineRule="exact"/>
        <w:ind w:firstLine="138" w:firstLineChars="49"/>
        <w:jc w:val="center"/>
        <w:rPr>
          <w:b/>
          <w:color w:val="auto"/>
          <w:sz w:val="28"/>
          <w:szCs w:val="28"/>
          <w:highlight w:val="none"/>
        </w:rPr>
      </w:pPr>
      <w:r>
        <w:rPr>
          <w:b/>
          <w:color w:val="auto"/>
          <w:sz w:val="28"/>
          <w:szCs w:val="28"/>
          <w:highlight w:val="none"/>
        </w:rPr>
        <w:t>目录</w:t>
      </w:r>
    </w:p>
    <w:p w14:paraId="289F7BB4">
      <w:pPr>
        <w:jc w:val="center"/>
        <w:rPr>
          <w:b/>
          <w:color w:val="auto"/>
          <w:sz w:val="24"/>
          <w:highlight w:val="none"/>
        </w:rPr>
      </w:pPr>
      <w:r>
        <w:rPr>
          <w:b/>
          <w:color w:val="auto"/>
          <w:sz w:val="24"/>
          <w:highlight w:val="none"/>
        </w:rPr>
        <w:t>（需有页码）</w:t>
      </w:r>
    </w:p>
    <w:p w14:paraId="55CA6776">
      <w:pPr>
        <w:jc w:val="center"/>
        <w:outlineLvl w:val="9"/>
        <w:rPr>
          <w:rFonts w:hint="eastAsia"/>
          <w:bCs/>
          <w:vanish/>
          <w:color w:val="auto"/>
          <w:sz w:val="24"/>
          <w:highlight w:val="none"/>
        </w:rPr>
      </w:pPr>
      <w:r>
        <w:rPr>
          <w:color w:val="auto"/>
          <w:highlight w:val="none"/>
        </w:rPr>
        <w:br w:type="page"/>
      </w:r>
      <w:r>
        <w:rPr>
          <w:bCs/>
          <w:color w:val="auto"/>
          <w:sz w:val="24"/>
          <w:highlight w:val="none"/>
        </w:rPr>
        <w:t>第一部分 资格</w:t>
      </w:r>
      <w:r>
        <w:rPr>
          <w:rFonts w:hint="eastAsia"/>
          <w:bCs/>
          <w:color w:val="auto"/>
          <w:sz w:val="24"/>
          <w:highlight w:val="none"/>
        </w:rPr>
        <w:t>证明</w:t>
      </w:r>
      <w:r>
        <w:rPr>
          <w:bCs/>
          <w:color w:val="auto"/>
          <w:sz w:val="24"/>
          <w:highlight w:val="none"/>
        </w:rPr>
        <w:t>文件</w:t>
      </w:r>
    </w:p>
    <w:p w14:paraId="5F01FC77">
      <w:pPr>
        <w:snapToGrid w:val="0"/>
        <w:spacing w:before="50" w:after="120" w:afterLines="50" w:line="400" w:lineRule="exact"/>
        <w:jc w:val="left"/>
        <w:rPr>
          <w:b/>
          <w:color w:val="auto"/>
          <w:szCs w:val="21"/>
          <w:highlight w:val="none"/>
        </w:rPr>
      </w:pPr>
      <w:bookmarkStart w:id="85" w:name="_Hlk19199154"/>
    </w:p>
    <w:p w14:paraId="769BF4FA">
      <w:pPr>
        <w:snapToGrid w:val="0"/>
        <w:spacing w:before="50" w:after="120" w:afterLines="50" w:line="400" w:lineRule="exact"/>
        <w:jc w:val="left"/>
        <w:rPr>
          <w:rFonts w:hint="eastAsia"/>
          <w:b/>
          <w:color w:val="auto"/>
          <w:szCs w:val="21"/>
          <w:highlight w:val="none"/>
        </w:rPr>
      </w:pPr>
      <w:r>
        <w:rPr>
          <w:b/>
          <w:color w:val="auto"/>
          <w:szCs w:val="21"/>
          <w:highlight w:val="none"/>
        </w:rPr>
        <w:t>1．响应声明书格式：</w:t>
      </w:r>
      <w:bookmarkEnd w:id="85"/>
    </w:p>
    <w:p w14:paraId="7AF8AEC9">
      <w:pPr>
        <w:snapToGrid w:val="0"/>
        <w:spacing w:before="120" w:beforeLines="50" w:after="50" w:line="360" w:lineRule="exact"/>
        <w:jc w:val="center"/>
        <w:rPr>
          <w:b/>
          <w:color w:val="auto"/>
          <w:szCs w:val="21"/>
          <w:highlight w:val="none"/>
        </w:rPr>
      </w:pPr>
      <w:r>
        <w:rPr>
          <w:b/>
          <w:color w:val="auto"/>
          <w:szCs w:val="21"/>
          <w:highlight w:val="none"/>
        </w:rPr>
        <w:t>响应声明书</w:t>
      </w:r>
    </w:p>
    <w:p w14:paraId="4A6F5087">
      <w:pPr>
        <w:snapToGrid w:val="0"/>
        <w:spacing w:before="120" w:beforeLines="50" w:after="50" w:line="360" w:lineRule="exact"/>
        <w:jc w:val="center"/>
        <w:rPr>
          <w:color w:val="auto"/>
          <w:szCs w:val="21"/>
          <w:highlight w:val="none"/>
        </w:rPr>
      </w:pPr>
    </w:p>
    <w:p w14:paraId="55803A4B">
      <w:pPr>
        <w:snapToGrid w:val="0"/>
        <w:spacing w:before="120" w:beforeLines="50" w:after="50" w:line="360" w:lineRule="exact"/>
        <w:rPr>
          <w:color w:val="auto"/>
          <w:szCs w:val="21"/>
          <w:highlight w:val="none"/>
        </w:rPr>
      </w:pPr>
      <w:bookmarkStart w:id="86" w:name="_Hlk19199166"/>
      <w:r>
        <w:rPr>
          <w:color w:val="auto"/>
          <w:szCs w:val="21"/>
          <w:highlight w:val="none"/>
        </w:rPr>
        <w:t>致：</w:t>
      </w:r>
      <w:r>
        <w:rPr>
          <w:i/>
          <w:iCs/>
          <w:color w:val="auto"/>
          <w:szCs w:val="21"/>
          <w:highlight w:val="none"/>
          <w:u w:val="single"/>
        </w:rPr>
        <w:t>（采购</w:t>
      </w:r>
      <w:r>
        <w:rPr>
          <w:rFonts w:hint="eastAsia"/>
          <w:i/>
          <w:iCs/>
          <w:color w:val="auto"/>
          <w:szCs w:val="21"/>
          <w:highlight w:val="none"/>
          <w:u w:val="single"/>
        </w:rPr>
        <w:t>人</w:t>
      </w:r>
      <w:r>
        <w:rPr>
          <w:i/>
          <w:iCs/>
          <w:color w:val="auto"/>
          <w:szCs w:val="21"/>
          <w:highlight w:val="none"/>
          <w:u w:val="single"/>
        </w:rPr>
        <w:t>名称）</w:t>
      </w:r>
      <w:r>
        <w:rPr>
          <w:color w:val="auto"/>
          <w:szCs w:val="21"/>
          <w:highlight w:val="none"/>
        </w:rPr>
        <w:t>：</w:t>
      </w:r>
    </w:p>
    <w:p w14:paraId="12C9778D">
      <w:pPr>
        <w:snapToGrid w:val="0"/>
        <w:spacing w:before="120" w:beforeLines="50" w:after="50" w:line="360" w:lineRule="exact"/>
        <w:ind w:firstLine="630" w:firstLineChars="300"/>
        <w:rPr>
          <w:color w:val="auto"/>
          <w:szCs w:val="21"/>
          <w:highlight w:val="none"/>
        </w:rPr>
      </w:pPr>
      <w:r>
        <w:rPr>
          <w:i/>
          <w:iCs/>
          <w:color w:val="auto"/>
          <w:szCs w:val="21"/>
          <w:highlight w:val="none"/>
          <w:u w:val="single"/>
        </w:rPr>
        <w:t>（供应商名称）</w:t>
      </w:r>
      <w:r>
        <w:rPr>
          <w:color w:val="auto"/>
          <w:szCs w:val="21"/>
          <w:highlight w:val="none"/>
        </w:rPr>
        <w:t>系中华人民共和国合法企业，</w:t>
      </w:r>
      <w:r>
        <w:rPr>
          <w:rFonts w:hint="eastAsia"/>
          <w:color w:val="auto"/>
          <w:szCs w:val="21"/>
          <w:highlight w:val="none"/>
          <w:u w:val="single"/>
        </w:rPr>
        <w:t xml:space="preserve"> </w:t>
      </w:r>
      <w:r>
        <w:rPr>
          <w:i/>
          <w:iCs/>
          <w:color w:val="auto"/>
          <w:szCs w:val="21"/>
          <w:highlight w:val="none"/>
          <w:u w:val="single"/>
        </w:rPr>
        <w:t xml:space="preserve"> </w:t>
      </w:r>
      <w:r>
        <w:rPr>
          <w:rFonts w:hint="eastAsia"/>
          <w:i/>
          <w:iCs/>
          <w:color w:val="auto"/>
          <w:szCs w:val="21"/>
          <w:highlight w:val="none"/>
          <w:u w:val="single"/>
        </w:rPr>
        <w:t>（</w:t>
      </w:r>
      <w:r>
        <w:rPr>
          <w:i/>
          <w:iCs/>
          <w:color w:val="auto"/>
          <w:szCs w:val="21"/>
          <w:highlight w:val="none"/>
          <w:u w:val="single"/>
        </w:rPr>
        <w:t>经营地址</w:t>
      </w:r>
      <w:r>
        <w:rPr>
          <w:rFonts w:hint="eastAsia"/>
          <w:i/>
          <w:iCs/>
          <w:color w:val="auto"/>
          <w:szCs w:val="21"/>
          <w:highlight w:val="none"/>
          <w:u w:val="single"/>
        </w:rPr>
        <w:t xml:space="preserve">） </w:t>
      </w:r>
      <w:r>
        <w:rPr>
          <w:i/>
          <w:iCs/>
          <w:color w:val="auto"/>
          <w:szCs w:val="21"/>
          <w:highlight w:val="none"/>
          <w:u w:val="single"/>
        </w:rPr>
        <w:t xml:space="preserve"> </w:t>
      </w:r>
      <w:r>
        <w:rPr>
          <w:color w:val="auto"/>
          <w:szCs w:val="21"/>
          <w:highlight w:val="none"/>
          <w:u w:val="single"/>
        </w:rPr>
        <w:t xml:space="preserve">  </w:t>
      </w:r>
      <w:r>
        <w:rPr>
          <w:color w:val="auto"/>
          <w:szCs w:val="21"/>
          <w:highlight w:val="none"/>
        </w:rPr>
        <w:t>。</w:t>
      </w:r>
    </w:p>
    <w:p w14:paraId="5DCA7D98">
      <w:pPr>
        <w:snapToGrid w:val="0"/>
        <w:spacing w:before="120" w:beforeLines="50" w:after="50" w:line="360" w:lineRule="exact"/>
        <w:ind w:firstLine="645"/>
        <w:rPr>
          <w:color w:val="auto"/>
          <w:szCs w:val="21"/>
          <w:highlight w:val="none"/>
        </w:rPr>
      </w:pPr>
      <w:r>
        <w:rPr>
          <w:color w:val="auto"/>
          <w:szCs w:val="21"/>
          <w:highlight w:val="none"/>
        </w:rPr>
        <w:t>我</w:t>
      </w:r>
      <w:r>
        <w:rPr>
          <w:i/>
          <w:iCs/>
          <w:color w:val="auto"/>
          <w:szCs w:val="21"/>
          <w:highlight w:val="none"/>
          <w:u w:val="single"/>
        </w:rPr>
        <w:t>（姓名）</w:t>
      </w:r>
      <w:r>
        <w:rPr>
          <w:rFonts w:hint="eastAsia"/>
          <w:i/>
          <w:iCs/>
          <w:color w:val="auto"/>
          <w:szCs w:val="21"/>
          <w:highlight w:val="none"/>
          <w:u w:val="single"/>
        </w:rPr>
        <w:t xml:space="preserve"> </w:t>
      </w:r>
      <w:r>
        <w:rPr>
          <w:color w:val="auto"/>
          <w:szCs w:val="21"/>
          <w:highlight w:val="none"/>
        </w:rPr>
        <w:t>系</w:t>
      </w:r>
      <w:r>
        <w:rPr>
          <w:i/>
          <w:iCs/>
          <w:color w:val="auto"/>
          <w:szCs w:val="21"/>
          <w:highlight w:val="none"/>
          <w:u w:val="single"/>
        </w:rPr>
        <w:t>（供应商名称）</w:t>
      </w:r>
      <w:r>
        <w:rPr>
          <w:color w:val="auto"/>
          <w:szCs w:val="21"/>
          <w:highlight w:val="none"/>
        </w:rPr>
        <w:t>的法定代表人</w:t>
      </w:r>
      <w:r>
        <w:rPr>
          <w:rFonts w:hint="eastAsia"/>
          <w:color w:val="auto"/>
          <w:szCs w:val="21"/>
          <w:highlight w:val="none"/>
        </w:rPr>
        <w:t>（或分支机构负责人）</w:t>
      </w:r>
      <w:r>
        <w:rPr>
          <w:color w:val="auto"/>
          <w:szCs w:val="21"/>
          <w:highlight w:val="none"/>
        </w:rPr>
        <w:t>，我方愿意参加贵方组织的</w:t>
      </w:r>
      <w:r>
        <w:rPr>
          <w:rFonts w:hint="eastAsia"/>
          <w:i/>
          <w:iCs/>
          <w:color w:val="auto"/>
          <w:szCs w:val="21"/>
          <w:highlight w:val="none"/>
          <w:u w:val="single"/>
        </w:rPr>
        <w:t>（项目名称）</w:t>
      </w:r>
      <w:r>
        <w:rPr>
          <w:color w:val="auto"/>
          <w:szCs w:val="21"/>
          <w:highlight w:val="none"/>
        </w:rPr>
        <w:t>项目的磋商，为便于贵方公正、择优地确定成交供应商及其响应产品和服务，我方就本次磋商有关事项郑重声明如下：</w:t>
      </w:r>
    </w:p>
    <w:p w14:paraId="0099A26A">
      <w:pPr>
        <w:snapToGrid w:val="0"/>
        <w:spacing w:before="120" w:beforeLines="50" w:line="360" w:lineRule="exact"/>
        <w:ind w:firstLine="420" w:firstLineChars="200"/>
        <w:rPr>
          <w:color w:val="auto"/>
          <w:szCs w:val="21"/>
          <w:highlight w:val="none"/>
        </w:rPr>
      </w:pPr>
      <w:r>
        <w:rPr>
          <w:color w:val="auto"/>
          <w:szCs w:val="21"/>
          <w:highlight w:val="none"/>
        </w:rPr>
        <w:t>（1）我方向贵方提交的所有响应文件、资料都是准确的和真实的。</w:t>
      </w:r>
    </w:p>
    <w:p w14:paraId="2FD085C1">
      <w:pPr>
        <w:snapToGrid w:val="0"/>
        <w:spacing w:before="120" w:beforeLines="50" w:line="360" w:lineRule="exact"/>
        <w:ind w:firstLine="420" w:firstLineChars="200"/>
        <w:rPr>
          <w:color w:val="auto"/>
          <w:szCs w:val="21"/>
          <w:highlight w:val="none"/>
        </w:rPr>
      </w:pPr>
      <w:r>
        <w:rPr>
          <w:color w:val="auto"/>
          <w:szCs w:val="21"/>
          <w:highlight w:val="none"/>
        </w:rPr>
        <w:t>（2）我方不是采购人的附属机构；也不是为本项目提供整体设计、规范编制或者项目管理、监理、检测等服务的供应商或其附属机构。</w:t>
      </w:r>
    </w:p>
    <w:p w14:paraId="17E83254">
      <w:pPr>
        <w:snapToGrid w:val="0"/>
        <w:spacing w:before="120" w:beforeLines="50" w:line="360" w:lineRule="exact"/>
        <w:ind w:firstLine="420" w:firstLineChars="200"/>
        <w:rPr>
          <w:color w:val="auto"/>
          <w:szCs w:val="21"/>
          <w:highlight w:val="none"/>
        </w:rPr>
      </w:pPr>
      <w:r>
        <w:rPr>
          <w:color w:val="auto"/>
          <w:szCs w:val="21"/>
          <w:highlight w:val="none"/>
        </w:rPr>
        <w:t>（3） 我方承诺在参加本政府采购项目活动前，没有被纳入政府部门或银行认定的失信名单，我方具有良好的商业信誉。</w:t>
      </w:r>
    </w:p>
    <w:p w14:paraId="6620B56B">
      <w:pPr>
        <w:snapToGrid w:val="0"/>
        <w:spacing w:before="120" w:beforeLines="50" w:line="360" w:lineRule="exact"/>
        <w:ind w:firstLine="420" w:firstLineChars="200"/>
        <w:rPr>
          <w:rFonts w:hint="eastAsia"/>
          <w:color w:val="auto"/>
          <w:szCs w:val="21"/>
          <w:highlight w:val="none"/>
        </w:rPr>
      </w:pPr>
      <w:r>
        <w:rPr>
          <w:color w:val="auto"/>
          <w:szCs w:val="21"/>
          <w:highlight w:val="none"/>
        </w:rPr>
        <w:t>（4）我方及本人承诺在参加本政府采购项目活动前三年内，在经营活动中没有重大违法记录。重大违法记录是指供应商因违法经营受到刑事处罚或者责令停产停业、吊销许可证或者执照、较大数额罚款等行政处罚。如我方提供的声明不实，则自愿承担《政府采购法》有关提供虚假材料的规定给予的处罚。</w:t>
      </w:r>
    </w:p>
    <w:p w14:paraId="2A5B3A3E">
      <w:pPr>
        <w:snapToGrid w:val="0"/>
        <w:spacing w:before="120" w:beforeLines="50" w:line="360" w:lineRule="exact"/>
        <w:ind w:firstLine="420" w:firstLineChars="200"/>
        <w:rPr>
          <w:color w:val="auto"/>
          <w:szCs w:val="21"/>
          <w:highlight w:val="none"/>
          <w:lang w:val="zh-CN"/>
        </w:rPr>
      </w:pPr>
      <w:r>
        <w:rPr>
          <w:color w:val="auto"/>
          <w:szCs w:val="21"/>
          <w:highlight w:val="none"/>
        </w:rPr>
        <w:t>（5）</w:t>
      </w:r>
      <w:r>
        <w:rPr>
          <w:color w:val="auto"/>
          <w:szCs w:val="21"/>
          <w:highlight w:val="none"/>
          <w:lang w:val="zh-CN"/>
        </w:rPr>
        <w:t>我方</w:t>
      </w:r>
      <w:r>
        <w:rPr>
          <w:color w:val="auto"/>
          <w:szCs w:val="21"/>
          <w:highlight w:val="none"/>
        </w:rPr>
        <w:t>承诺</w:t>
      </w:r>
      <w:r>
        <w:rPr>
          <w:color w:val="auto"/>
          <w:szCs w:val="21"/>
          <w:highlight w:val="none"/>
          <w:lang w:val="zh-CN"/>
        </w:rPr>
        <w:t>具有履行本项目合同所必需的设备和专业技术能力。</w:t>
      </w:r>
    </w:p>
    <w:p w14:paraId="109C8DEA">
      <w:pPr>
        <w:snapToGrid w:val="0"/>
        <w:spacing w:before="120" w:beforeLines="50" w:line="360" w:lineRule="exact"/>
        <w:ind w:firstLine="420" w:firstLineChars="200"/>
        <w:rPr>
          <w:color w:val="auto"/>
          <w:szCs w:val="21"/>
          <w:highlight w:val="none"/>
        </w:rPr>
      </w:pPr>
      <w:r>
        <w:rPr>
          <w:rFonts w:hint="eastAsia"/>
          <w:color w:val="auto"/>
          <w:szCs w:val="21"/>
          <w:highlight w:val="none"/>
        </w:rPr>
        <w:t>（6）我方承诺</w:t>
      </w:r>
      <w:r>
        <w:rPr>
          <w:color w:val="auto"/>
          <w:szCs w:val="21"/>
          <w:highlight w:val="none"/>
        </w:rPr>
        <w:t>未被列入失信被执行人、重大税收违法失信主体、政府采购严重违法失信行为记录名单</w:t>
      </w:r>
      <w:r>
        <w:rPr>
          <w:rFonts w:hint="eastAsia"/>
          <w:color w:val="auto"/>
          <w:szCs w:val="21"/>
          <w:highlight w:val="none"/>
        </w:rPr>
        <w:t>，如我方提供的声明不实，则接受本次响应作为响应无效的处理，</w:t>
      </w:r>
      <w:r>
        <w:rPr>
          <w:color w:val="auto"/>
          <w:szCs w:val="21"/>
          <w:highlight w:val="none"/>
        </w:rPr>
        <w:t>并根据财库〔2016〕125号《财政部关于在政府采购活动中查询及使用信用记录有关问题的通知》规定接受失信联合惩戒。</w:t>
      </w:r>
    </w:p>
    <w:p w14:paraId="009C81C0">
      <w:pPr>
        <w:snapToGrid w:val="0"/>
        <w:spacing w:before="120" w:beforeLines="50" w:line="360" w:lineRule="exact"/>
        <w:ind w:firstLine="420" w:firstLineChars="200"/>
        <w:rPr>
          <w:color w:val="auto"/>
          <w:szCs w:val="21"/>
          <w:highlight w:val="none"/>
        </w:rPr>
      </w:pPr>
      <w:r>
        <w:rPr>
          <w:rFonts w:hint="eastAsia"/>
          <w:color w:val="auto"/>
          <w:szCs w:val="21"/>
          <w:highlight w:val="none"/>
        </w:rPr>
        <w:t>（7）我方承诺中标后按规定缴纳代理服务费。如未按时缴纳，贵方有权对我方在贵方辖区内的人民法院提出诉讼。由此产生的一切后果由我方承担。后果包含但不限于：列入失信被执行人等。</w:t>
      </w:r>
    </w:p>
    <w:p w14:paraId="3519EF65">
      <w:pPr>
        <w:snapToGrid w:val="0"/>
        <w:spacing w:before="120" w:beforeLines="50" w:line="360" w:lineRule="exact"/>
        <w:ind w:firstLine="420" w:firstLineChars="200"/>
        <w:rPr>
          <w:color w:val="auto"/>
          <w:szCs w:val="21"/>
          <w:highlight w:val="none"/>
        </w:rPr>
      </w:pPr>
      <w:r>
        <w:rPr>
          <w:color w:val="auto"/>
          <w:szCs w:val="21"/>
          <w:highlight w:val="none"/>
        </w:rPr>
        <w:t>我方对以上声明负全部法律责任。如有虚假或隐瞒，我方愿意承担一切后果，并不再寻求任何旨在减轻或免除法律责任的辩解。</w:t>
      </w:r>
    </w:p>
    <w:bookmarkEnd w:id="86"/>
    <w:p w14:paraId="371C8134">
      <w:pPr>
        <w:snapToGrid w:val="0"/>
        <w:spacing w:before="120" w:beforeLines="50" w:line="360" w:lineRule="exact"/>
        <w:ind w:firstLine="420" w:firstLineChars="200"/>
        <w:rPr>
          <w:color w:val="auto"/>
          <w:szCs w:val="21"/>
          <w:highlight w:val="none"/>
        </w:rPr>
      </w:pPr>
    </w:p>
    <w:p w14:paraId="379EBBD7">
      <w:pPr>
        <w:snapToGrid w:val="0"/>
        <w:spacing w:before="120" w:beforeLines="50" w:after="50" w:line="360" w:lineRule="exact"/>
        <w:ind w:firstLine="3570" w:firstLineChars="1700"/>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517EB697">
      <w:pPr>
        <w:snapToGrid w:val="0"/>
        <w:spacing w:before="120" w:beforeLines="50" w:after="50" w:line="360" w:lineRule="exact"/>
        <w:ind w:firstLine="210" w:firstLineChars="100"/>
        <w:rPr>
          <w:color w:val="auto"/>
          <w:szCs w:val="21"/>
          <w:highlight w:val="none"/>
        </w:rPr>
      </w:pPr>
      <w:r>
        <w:rPr>
          <w:color w:val="auto"/>
          <w:szCs w:val="21"/>
          <w:highlight w:val="none"/>
        </w:rPr>
        <w:t xml:space="preserve">                                          年    月    日</w:t>
      </w:r>
    </w:p>
    <w:p w14:paraId="0DB37021">
      <w:pPr>
        <w:numPr>
          <w:ilvl w:val="0"/>
          <w:numId w:val="0"/>
        </w:numPr>
        <w:snapToGrid w:val="0"/>
        <w:spacing w:before="120" w:beforeLines="50" w:after="50" w:line="440" w:lineRule="exact"/>
        <w:rPr>
          <w:rFonts w:hint="eastAsia" w:ascii="宋体" w:hAnsi="宋体" w:eastAsia="宋体" w:cs="宋体"/>
          <w:b/>
          <w:bCs/>
          <w:color w:val="auto"/>
          <w:sz w:val="21"/>
          <w:szCs w:val="21"/>
          <w:highlight w:val="none"/>
        </w:rPr>
      </w:pPr>
      <w:r>
        <w:rPr>
          <w:color w:val="auto"/>
          <w:szCs w:val="21"/>
          <w:highlight w:val="none"/>
        </w:rPr>
        <w:br w:type="page"/>
      </w:r>
      <w:r>
        <w:rPr>
          <w:rFonts w:hint="eastAsia"/>
          <w:color w:val="auto"/>
          <w:szCs w:val="21"/>
          <w:highlight w:val="none"/>
        </w:rPr>
        <w:t>2</w:t>
      </w:r>
      <w:r>
        <w:rPr>
          <w:color w:val="auto"/>
          <w:szCs w:val="21"/>
          <w:highlight w:val="none"/>
        </w:rPr>
        <w:t>．</w:t>
      </w:r>
      <w:r>
        <w:rPr>
          <w:rFonts w:hint="eastAsia" w:ascii="宋体" w:hAnsi="宋体" w:eastAsia="宋体" w:cs="宋体"/>
          <w:color w:val="auto"/>
          <w:sz w:val="21"/>
          <w:szCs w:val="21"/>
          <w:highlight w:val="none"/>
        </w:rPr>
        <w:t>具有独立承担民事责任的能力。</w:t>
      </w:r>
      <w:r>
        <w:rPr>
          <w:rFonts w:hint="eastAsia" w:ascii="宋体" w:hAnsi="宋体" w:eastAsia="宋体" w:cs="宋体"/>
          <w:b/>
          <w:bCs/>
          <w:color w:val="auto"/>
          <w:sz w:val="21"/>
          <w:szCs w:val="21"/>
          <w:highlight w:val="none"/>
        </w:rPr>
        <w:t>（</w:t>
      </w:r>
      <w:r>
        <w:rPr>
          <w:b/>
          <w:bCs/>
          <w:color w:val="auto"/>
          <w:spacing w:val="10"/>
          <w:highlight w:val="none"/>
        </w:rPr>
        <w:t>供应商为法人或者其他组织的，提供营业执照等证明文件（如营业执照或者事业单位法人证书或者执业许可证等</w:t>
      </w:r>
      <w:r>
        <w:rPr>
          <w:b/>
          <w:bCs/>
          <w:color w:val="auto"/>
          <w:spacing w:val="22"/>
          <w:highlight w:val="none"/>
        </w:rPr>
        <w:t>），</w:t>
      </w:r>
      <w:r>
        <w:rPr>
          <w:b/>
          <w:bCs/>
          <w:color w:val="auto"/>
          <w:spacing w:val="10"/>
          <w:highlight w:val="none"/>
        </w:rPr>
        <w:t>供应商为自然人的，</w:t>
      </w:r>
      <w:r>
        <w:rPr>
          <w:b/>
          <w:bCs/>
          <w:color w:val="auto"/>
          <w:spacing w:val="8"/>
          <w:highlight w:val="none"/>
        </w:rPr>
        <w:t>提供身份证复印件</w:t>
      </w:r>
      <w:r>
        <w:rPr>
          <w:rFonts w:hint="eastAsia" w:ascii="宋体" w:hAnsi="宋体" w:eastAsia="宋体" w:cs="宋体"/>
          <w:b/>
          <w:bCs/>
          <w:color w:val="auto"/>
          <w:sz w:val="21"/>
          <w:szCs w:val="21"/>
          <w:highlight w:val="none"/>
        </w:rPr>
        <w:t>）</w:t>
      </w:r>
    </w:p>
    <w:p w14:paraId="074C71AB">
      <w:pPr>
        <w:snapToGrid w:val="0"/>
        <w:spacing w:before="120" w:beforeLines="50" w:after="50" w:line="44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（加盖</w:t>
      </w:r>
      <w:bookmarkStart w:id="87" w:name="_Hlk89177738"/>
      <w:r>
        <w:rPr>
          <w:rFonts w:hint="eastAsia" w:ascii="宋体" w:hAnsi="宋体" w:eastAsia="宋体" w:cs="宋体"/>
          <w:b/>
          <w:bCs/>
          <w:color w:val="auto"/>
          <w:sz w:val="21"/>
          <w:szCs w:val="21"/>
          <w:highlight w:val="none"/>
        </w:rPr>
        <w:t>供应商电子签章</w:t>
      </w:r>
      <w:bookmarkEnd w:id="87"/>
      <w:r>
        <w:rPr>
          <w:rFonts w:hint="eastAsia" w:ascii="宋体" w:hAnsi="宋体" w:eastAsia="宋体" w:cs="宋体"/>
          <w:b/>
          <w:bCs/>
          <w:color w:val="auto"/>
          <w:sz w:val="21"/>
          <w:szCs w:val="21"/>
          <w:highlight w:val="none"/>
        </w:rPr>
        <w:t>，必须提供）。</w:t>
      </w:r>
    </w:p>
    <w:p w14:paraId="30F4E21B">
      <w:pPr>
        <w:snapToGrid w:val="0"/>
        <w:spacing w:before="120" w:beforeLines="50" w:after="50" w:line="440" w:lineRule="exact"/>
        <w:rPr>
          <w:rFonts w:hint="eastAsia" w:ascii="宋体" w:hAnsi="宋体" w:eastAsia="宋体" w:cs="宋体"/>
          <w:b/>
          <w:color w:val="auto"/>
          <w:sz w:val="21"/>
          <w:szCs w:val="21"/>
          <w:highlight w:val="none"/>
        </w:rPr>
      </w:pPr>
    </w:p>
    <w:p w14:paraId="7C1D4A05">
      <w:pPr>
        <w:snapToGrid w:val="0"/>
        <w:spacing w:before="120" w:beforeLines="50" w:after="50" w:line="440" w:lineRule="exac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．具有良好的商业信誉和健全的财务会计制度。</w:t>
      </w:r>
      <w:r>
        <w:rPr>
          <w:rFonts w:hint="eastAsia" w:ascii="宋体" w:hAnsi="宋体" w:eastAsia="宋体" w:cs="宋体"/>
          <w:b/>
          <w:bCs/>
          <w:color w:val="auto"/>
          <w:sz w:val="21"/>
          <w:szCs w:val="21"/>
          <w:highlight w:val="none"/>
        </w:rPr>
        <w:t>（提供：政府采购项目投标资格承诺函（详见附件一））（加盖供应商电子签章，必须提供）。</w:t>
      </w:r>
    </w:p>
    <w:p w14:paraId="57A86FE7">
      <w:pPr>
        <w:snapToGrid w:val="0"/>
        <w:spacing w:before="50" w:after="120" w:afterLines="50" w:line="440" w:lineRule="exact"/>
        <w:jc w:val="left"/>
        <w:rPr>
          <w:rFonts w:hint="eastAsia" w:ascii="宋体" w:hAnsi="宋体" w:eastAsia="宋体" w:cs="宋体"/>
          <w:color w:val="auto"/>
          <w:sz w:val="21"/>
          <w:szCs w:val="21"/>
          <w:highlight w:val="none"/>
        </w:rPr>
      </w:pPr>
    </w:p>
    <w:p w14:paraId="321DC86B">
      <w:pPr>
        <w:snapToGrid w:val="0"/>
        <w:spacing w:before="50" w:after="120" w:afterLines="50" w:line="440" w:lineRule="exact"/>
        <w:jc w:val="left"/>
        <w:rPr>
          <w:rFonts w:hint="eastAsia" w:ascii="宋体" w:hAnsi="宋体" w:eastAsia="宋体" w:cs="宋体"/>
          <w:b/>
          <w:bCs/>
          <w:color w:val="auto"/>
          <w:sz w:val="21"/>
          <w:szCs w:val="21"/>
          <w:highlight w:val="none"/>
          <w:lang w:val="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有依法缴纳税收和社会保障金的良好记录。</w:t>
      </w:r>
      <w:r>
        <w:rPr>
          <w:rFonts w:hint="eastAsia" w:ascii="宋体" w:hAnsi="宋体" w:eastAsia="宋体" w:cs="宋体"/>
          <w:b/>
          <w:bCs/>
          <w:color w:val="auto"/>
          <w:sz w:val="21"/>
          <w:szCs w:val="21"/>
          <w:highlight w:val="none"/>
        </w:rPr>
        <w:t>（提供：政府采购项目投标资格承诺函（详见附件一））</w:t>
      </w:r>
    </w:p>
    <w:p w14:paraId="43C8C675">
      <w:pPr>
        <w:snapToGrid w:val="0"/>
        <w:spacing w:before="50" w:after="120" w:afterLines="50" w:line="44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（加盖供应商电子签章，必须提供）。</w:t>
      </w:r>
    </w:p>
    <w:p w14:paraId="3A814353">
      <w:pPr>
        <w:pStyle w:val="20"/>
        <w:rPr>
          <w:rFonts w:hint="eastAsia" w:ascii="宋体" w:hAnsi="宋体" w:eastAsia="宋体" w:cs="宋体"/>
          <w:color w:val="auto"/>
          <w:sz w:val="21"/>
          <w:szCs w:val="21"/>
          <w:highlight w:val="none"/>
        </w:rPr>
      </w:pPr>
    </w:p>
    <w:p w14:paraId="68CF88EC">
      <w:pPr>
        <w:snapToGrid w:val="0"/>
        <w:spacing w:before="120" w:beforeLines="50" w:after="50" w:line="440" w:lineRule="exac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具有履行合同所必需的设备和专业技术能力</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（提供：政府采购项目投标资格承诺函（详见附件一））（加盖供应商电子签章，必须提供）。</w:t>
      </w:r>
    </w:p>
    <w:p w14:paraId="1383AD80">
      <w:pPr>
        <w:snapToGrid w:val="0"/>
        <w:spacing w:before="120" w:beforeLines="50" w:after="50" w:line="440" w:lineRule="exact"/>
        <w:rPr>
          <w:rFonts w:hint="eastAsia" w:ascii="宋体" w:hAnsi="宋体" w:eastAsia="宋体" w:cs="宋体"/>
          <w:color w:val="auto"/>
          <w:sz w:val="21"/>
          <w:szCs w:val="21"/>
          <w:highlight w:val="none"/>
        </w:rPr>
      </w:pPr>
    </w:p>
    <w:p w14:paraId="36A0AE39">
      <w:pPr>
        <w:snapToGrid w:val="0"/>
        <w:spacing w:before="50" w:after="120" w:afterLines="50" w:line="440" w:lineRule="exact"/>
        <w:jc w:val="left"/>
        <w:rPr>
          <w:rFonts w:hint="eastAsia"/>
          <w:b/>
          <w:color w:val="auto"/>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．参加政府采购活动前三年内，在经营活动中没有重大违法记录</w:t>
      </w:r>
      <w:r>
        <w:rPr>
          <w:rFonts w:hint="eastAsia" w:ascii="宋体" w:hAnsi="宋体" w:eastAsia="宋体" w:cs="宋体"/>
          <w:b/>
          <w:bCs/>
          <w:color w:val="auto"/>
          <w:sz w:val="21"/>
          <w:szCs w:val="21"/>
          <w:highlight w:val="none"/>
        </w:rPr>
        <w:t>（</w:t>
      </w:r>
      <w:r>
        <w:rPr>
          <w:b/>
          <w:bCs/>
          <w:color w:val="auto"/>
          <w:spacing w:val="7"/>
          <w:highlight w:val="none"/>
        </w:rPr>
        <w:t>须提供，</w:t>
      </w:r>
      <w:r>
        <w:rPr>
          <w:rFonts w:ascii="Arial" w:hAnsi="Arial" w:eastAsia="Arial" w:cs="Arial"/>
          <w:b/>
          <w:bCs/>
          <w:color w:val="auto"/>
          <w:spacing w:val="7"/>
          <w:highlight w:val="none"/>
        </w:rPr>
        <w:t>“</w:t>
      </w:r>
      <w:r>
        <w:rPr>
          <w:rFonts w:ascii="Arial" w:hAnsi="Arial" w:eastAsia="Arial" w:cs="Arial"/>
          <w:b/>
          <w:bCs/>
          <w:color w:val="auto"/>
          <w:spacing w:val="-21"/>
          <w:highlight w:val="none"/>
        </w:rPr>
        <w:t xml:space="preserve"> </w:t>
      </w:r>
      <w:r>
        <w:rPr>
          <w:b/>
          <w:bCs/>
          <w:color w:val="auto"/>
          <w:spacing w:val="7"/>
          <w:highlight w:val="none"/>
        </w:rPr>
        <w:t>响应声</w:t>
      </w:r>
      <w:r>
        <w:rPr>
          <w:b/>
          <w:bCs/>
          <w:color w:val="auto"/>
          <w:spacing w:val="-2"/>
          <w:highlight w:val="none"/>
        </w:rPr>
        <w:t>明书</w:t>
      </w:r>
      <w:r>
        <w:rPr>
          <w:rFonts w:ascii="Arial" w:hAnsi="Arial" w:eastAsia="Arial" w:cs="Arial"/>
          <w:b/>
          <w:bCs/>
          <w:color w:val="auto"/>
          <w:spacing w:val="-2"/>
          <w:highlight w:val="none"/>
        </w:rPr>
        <w:t>”</w:t>
      </w:r>
      <w:r>
        <w:rPr>
          <w:b/>
          <w:bCs/>
          <w:color w:val="auto"/>
          <w:spacing w:val="-2"/>
          <w:highlight w:val="none"/>
        </w:rPr>
        <w:t>。</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rPr>
        <w:t>（加盖供应商电子签章，必须提供）。</w:t>
      </w:r>
    </w:p>
    <w:p w14:paraId="05F16F82">
      <w:pPr>
        <w:snapToGrid w:val="0"/>
        <w:spacing w:before="50" w:after="120" w:afterLines="50" w:line="440" w:lineRule="exact"/>
        <w:jc w:val="left"/>
        <w:rPr>
          <w:color w:val="auto"/>
          <w:highlight w:val="none"/>
        </w:rPr>
      </w:pPr>
    </w:p>
    <w:p w14:paraId="3E4C3CC8">
      <w:pPr>
        <w:snapToGrid w:val="0"/>
        <w:spacing w:before="50" w:after="120" w:afterLines="50" w:line="440" w:lineRule="exact"/>
        <w:jc w:val="left"/>
        <w:rPr>
          <w:b/>
          <w:color w:val="auto"/>
          <w:szCs w:val="21"/>
          <w:highlight w:val="none"/>
        </w:rPr>
      </w:pPr>
      <w:r>
        <w:rPr>
          <w:rFonts w:hint="eastAsia"/>
          <w:color w:val="auto"/>
          <w:szCs w:val="21"/>
          <w:highlight w:val="none"/>
          <w:lang w:val="en-US" w:eastAsia="zh-CN"/>
        </w:rPr>
        <w:t>7</w:t>
      </w:r>
      <w:r>
        <w:rPr>
          <w:color w:val="auto"/>
          <w:szCs w:val="21"/>
          <w:highlight w:val="none"/>
        </w:rPr>
        <w:t>．具备法律、行政法规规定的其他要求的证明材料</w:t>
      </w:r>
      <w:r>
        <w:rPr>
          <w:color w:val="auto"/>
          <w:highlight w:val="none"/>
        </w:rPr>
        <w:t>（</w:t>
      </w:r>
      <w:r>
        <w:rPr>
          <w:color w:val="auto"/>
          <w:szCs w:val="21"/>
          <w:highlight w:val="none"/>
        </w:rPr>
        <w:t>按“评审方法及标准” “资格性检查表”规定提供</w:t>
      </w:r>
      <w:r>
        <w:rPr>
          <w:color w:val="auto"/>
          <w:highlight w:val="none"/>
        </w:rPr>
        <w:t>）。</w:t>
      </w:r>
      <w:r>
        <w:rPr>
          <w:rFonts w:hint="eastAsia"/>
          <w:b/>
          <w:color w:val="auto"/>
          <w:szCs w:val="21"/>
          <w:highlight w:val="none"/>
        </w:rPr>
        <w:t>（如采购文件有要求时提供）</w:t>
      </w:r>
    </w:p>
    <w:p w14:paraId="4C82F24F">
      <w:pPr>
        <w:widowControl/>
        <w:jc w:val="left"/>
        <w:rPr>
          <w:rFonts w:hint="eastAsia"/>
          <w:color w:val="auto"/>
          <w:szCs w:val="21"/>
          <w:highlight w:val="none"/>
        </w:rPr>
      </w:pPr>
    </w:p>
    <w:p w14:paraId="1D215960">
      <w:pPr>
        <w:snapToGrid w:val="0"/>
        <w:spacing w:before="50" w:after="120" w:afterLines="50" w:line="440" w:lineRule="exact"/>
        <w:jc w:val="left"/>
        <w:rPr>
          <w:color w:val="auto"/>
          <w:highlight w:val="none"/>
        </w:rPr>
      </w:pPr>
      <w:r>
        <w:rPr>
          <w:rFonts w:hint="eastAsia"/>
          <w:color w:val="auto"/>
          <w:szCs w:val="21"/>
          <w:highlight w:val="none"/>
          <w:lang w:val="en-US" w:eastAsia="zh-CN"/>
        </w:rPr>
        <w:t>8</w:t>
      </w:r>
      <w:r>
        <w:rPr>
          <w:color w:val="auto"/>
          <w:szCs w:val="21"/>
          <w:highlight w:val="none"/>
        </w:rPr>
        <w:t>．</w:t>
      </w:r>
      <w:r>
        <w:rPr>
          <w:color w:val="auto"/>
          <w:highlight w:val="none"/>
        </w:rPr>
        <w:t>满足供应商特定资格条件的其他证明材料</w:t>
      </w:r>
      <w:r>
        <w:rPr>
          <w:color w:val="auto"/>
          <w:szCs w:val="21"/>
          <w:highlight w:val="none"/>
        </w:rPr>
        <w:t>加盖供应商</w:t>
      </w:r>
      <w:r>
        <w:rPr>
          <w:rFonts w:hint="eastAsia"/>
          <w:color w:val="auto"/>
          <w:szCs w:val="21"/>
          <w:highlight w:val="none"/>
        </w:rPr>
        <w:t>电子签章</w:t>
      </w:r>
      <w:r>
        <w:rPr>
          <w:color w:val="auto"/>
          <w:highlight w:val="none"/>
        </w:rPr>
        <w:t>（</w:t>
      </w:r>
      <w:r>
        <w:rPr>
          <w:color w:val="auto"/>
          <w:szCs w:val="21"/>
          <w:highlight w:val="none"/>
        </w:rPr>
        <w:t>按“评审方法及标准” “资格性检查表”“</w:t>
      </w:r>
      <w:r>
        <w:rPr>
          <w:color w:val="auto"/>
          <w:szCs w:val="21"/>
          <w:highlight w:val="none"/>
          <w:lang w:val="zh-CN"/>
        </w:rPr>
        <w:t xml:space="preserve"> 供应商应符合的</w:t>
      </w:r>
      <w:r>
        <w:rPr>
          <w:color w:val="auto"/>
          <w:szCs w:val="21"/>
          <w:highlight w:val="none"/>
        </w:rPr>
        <w:t>特定资格条件”规定提供</w:t>
      </w:r>
      <w:r>
        <w:rPr>
          <w:color w:val="auto"/>
          <w:highlight w:val="none"/>
        </w:rPr>
        <w:t>）。</w:t>
      </w:r>
      <w:r>
        <w:rPr>
          <w:rFonts w:hint="eastAsia"/>
          <w:b/>
          <w:color w:val="auto"/>
          <w:szCs w:val="21"/>
          <w:highlight w:val="none"/>
        </w:rPr>
        <w:t>（如采购文件有要求时提供）</w:t>
      </w:r>
    </w:p>
    <w:p w14:paraId="7D32BCB8">
      <w:pPr>
        <w:snapToGrid w:val="0"/>
        <w:spacing w:before="50" w:after="120" w:afterLines="50" w:line="360" w:lineRule="auto"/>
        <w:jc w:val="left"/>
        <w:rPr>
          <w:b/>
          <w:color w:val="auto"/>
          <w:szCs w:val="21"/>
          <w:highlight w:val="none"/>
        </w:rPr>
      </w:pPr>
    </w:p>
    <w:p w14:paraId="7AECB013">
      <w:pPr>
        <w:snapToGrid w:val="0"/>
        <w:spacing w:before="50" w:after="120" w:afterLines="50" w:line="360" w:lineRule="auto"/>
        <w:jc w:val="left"/>
        <w:rPr>
          <w:b/>
          <w:color w:val="auto"/>
          <w:szCs w:val="21"/>
          <w:highlight w:val="none"/>
        </w:rPr>
      </w:pPr>
    </w:p>
    <w:p w14:paraId="3B2C96FD">
      <w:pPr>
        <w:snapToGrid w:val="0"/>
        <w:spacing w:before="50" w:after="120" w:afterLines="50" w:line="360" w:lineRule="auto"/>
        <w:jc w:val="left"/>
        <w:rPr>
          <w:color w:val="auto"/>
          <w:szCs w:val="21"/>
          <w:highlight w:val="none"/>
        </w:rPr>
      </w:pPr>
      <w:r>
        <w:rPr>
          <w:rFonts w:hint="eastAsia" w:asciiTheme="majorEastAsia" w:hAnsiTheme="majorEastAsia" w:eastAsiaTheme="majorEastAsia" w:cstheme="majorEastAsia"/>
          <w:b/>
          <w:bCs/>
          <w:i w:val="0"/>
          <w:iCs w:val="0"/>
          <w:caps w:val="0"/>
          <w:color w:val="auto"/>
          <w:spacing w:val="0"/>
          <w:sz w:val="21"/>
          <w:szCs w:val="21"/>
          <w:highlight w:val="none"/>
          <w:lang w:val="en-US" w:eastAsia="zh-CN"/>
        </w:rPr>
        <w:t>注：</w:t>
      </w:r>
      <w:r>
        <w:rPr>
          <w:rFonts w:hint="eastAsia" w:asciiTheme="majorEastAsia" w:hAnsiTheme="majorEastAsia" w:eastAsiaTheme="majorEastAsia" w:cstheme="majorEastAsia"/>
          <w:b/>
          <w:bCs/>
          <w:i w:val="0"/>
          <w:iCs w:val="0"/>
          <w:caps w:val="0"/>
          <w:color w:val="auto"/>
          <w:spacing w:val="0"/>
          <w:sz w:val="21"/>
          <w:szCs w:val="21"/>
          <w:highlight w:val="none"/>
        </w:rPr>
        <w:t>本项目允许分公司参与投标，分公司参与投标的，须取得总公司授权。</w:t>
      </w:r>
      <w:r>
        <w:rPr>
          <w:b/>
          <w:color w:val="auto"/>
          <w:szCs w:val="21"/>
          <w:highlight w:val="none"/>
        </w:rPr>
        <w:br w:type="page"/>
      </w:r>
      <w:r>
        <w:rPr>
          <w:rFonts w:hint="eastAsia"/>
          <w:color w:val="auto"/>
          <w:szCs w:val="21"/>
          <w:highlight w:val="none"/>
          <w:lang w:val="en-US" w:eastAsia="zh-CN"/>
        </w:rPr>
        <w:t>8</w:t>
      </w:r>
      <w:r>
        <w:rPr>
          <w:color w:val="auto"/>
          <w:szCs w:val="21"/>
          <w:highlight w:val="none"/>
        </w:rPr>
        <w:t>.1</w:t>
      </w:r>
      <w:r>
        <w:rPr>
          <w:rFonts w:hint="eastAsia"/>
          <w:color w:val="auto"/>
          <w:szCs w:val="21"/>
          <w:highlight w:val="none"/>
        </w:rPr>
        <w:t>供应商直接控股股东信息表</w:t>
      </w:r>
    </w:p>
    <w:tbl>
      <w:tblPr>
        <w:tblStyle w:val="53"/>
        <w:tblW w:w="0" w:type="auto"/>
        <w:tblInd w:w="125" w:type="dxa"/>
        <w:tblLayout w:type="fixed"/>
        <w:tblCellMar>
          <w:top w:w="0" w:type="dxa"/>
          <w:left w:w="0" w:type="dxa"/>
          <w:bottom w:w="0" w:type="dxa"/>
          <w:right w:w="0" w:type="dxa"/>
        </w:tblCellMar>
      </w:tblPr>
      <w:tblGrid>
        <w:gridCol w:w="828"/>
        <w:gridCol w:w="2269"/>
        <w:gridCol w:w="1239"/>
        <w:gridCol w:w="3722"/>
        <w:gridCol w:w="1418"/>
      </w:tblGrid>
      <w:tr w14:paraId="46112190">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FD76621">
            <w:pPr>
              <w:spacing w:line="360" w:lineRule="auto"/>
              <w:jc w:val="center"/>
              <w:rPr>
                <w:color w:val="auto"/>
                <w:szCs w:val="21"/>
                <w:highlight w:val="none"/>
              </w:rPr>
            </w:pPr>
            <w:r>
              <w:rPr>
                <w:rFonts w:hint="eastAsia"/>
                <w:color w:val="auto"/>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F295073">
            <w:pPr>
              <w:spacing w:line="360" w:lineRule="auto"/>
              <w:jc w:val="center"/>
              <w:rPr>
                <w:color w:val="auto"/>
                <w:szCs w:val="21"/>
                <w:highlight w:val="none"/>
              </w:rPr>
            </w:pPr>
            <w:r>
              <w:rPr>
                <w:rFonts w:hint="eastAsia"/>
                <w:color w:val="auto"/>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1DCD417">
            <w:pPr>
              <w:spacing w:line="360" w:lineRule="auto"/>
              <w:jc w:val="center"/>
              <w:rPr>
                <w:color w:val="auto"/>
                <w:szCs w:val="21"/>
                <w:highlight w:val="none"/>
              </w:rPr>
            </w:pPr>
            <w:r>
              <w:rPr>
                <w:rFonts w:hint="eastAsia"/>
                <w:color w:val="auto"/>
                <w:szCs w:val="21"/>
                <w:highlight w:val="none"/>
              </w:rPr>
              <w:t>出资比例</w:t>
            </w: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8A4F080">
            <w:pPr>
              <w:spacing w:line="360" w:lineRule="auto"/>
              <w:jc w:val="center"/>
              <w:rPr>
                <w:color w:val="auto"/>
                <w:szCs w:val="21"/>
                <w:highlight w:val="none"/>
              </w:rPr>
            </w:pPr>
            <w:r>
              <w:rPr>
                <w:rFonts w:hint="eastAsia"/>
                <w:color w:val="auto"/>
                <w:szCs w:val="21"/>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17B946B">
            <w:pPr>
              <w:spacing w:line="360" w:lineRule="auto"/>
              <w:jc w:val="center"/>
              <w:rPr>
                <w:color w:val="auto"/>
                <w:szCs w:val="21"/>
                <w:highlight w:val="none"/>
              </w:rPr>
            </w:pPr>
            <w:r>
              <w:rPr>
                <w:rFonts w:hint="eastAsia"/>
                <w:color w:val="auto"/>
                <w:szCs w:val="21"/>
                <w:highlight w:val="none"/>
              </w:rPr>
              <w:t>备注</w:t>
            </w:r>
          </w:p>
        </w:tc>
      </w:tr>
      <w:tr w14:paraId="7A7050EF">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EBBC3A4">
            <w:pPr>
              <w:spacing w:line="360" w:lineRule="auto"/>
              <w:jc w:val="center"/>
              <w:rPr>
                <w:color w:val="auto"/>
                <w:szCs w:val="21"/>
                <w:highlight w:val="none"/>
              </w:rPr>
            </w:pPr>
            <w:r>
              <w:rPr>
                <w:rFonts w:hint="eastAsia"/>
                <w:color w:val="auto"/>
                <w:szCs w:val="21"/>
                <w:highlight w:val="none"/>
              </w:rPr>
              <w:t>1</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F2A1959">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210F941">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099BB19">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1746A07">
            <w:pPr>
              <w:spacing w:line="360" w:lineRule="auto"/>
              <w:jc w:val="center"/>
              <w:rPr>
                <w:color w:val="auto"/>
                <w:szCs w:val="21"/>
                <w:highlight w:val="none"/>
              </w:rPr>
            </w:pPr>
          </w:p>
        </w:tc>
      </w:tr>
      <w:tr w14:paraId="6F127A7B">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DFABACB">
            <w:pPr>
              <w:spacing w:line="360" w:lineRule="auto"/>
              <w:jc w:val="center"/>
              <w:rPr>
                <w:color w:val="auto"/>
                <w:szCs w:val="21"/>
                <w:highlight w:val="none"/>
              </w:rPr>
            </w:pPr>
            <w:r>
              <w:rPr>
                <w:rFonts w:hint="eastAsia"/>
                <w:color w:val="auto"/>
                <w:szCs w:val="21"/>
                <w:highlight w:val="none"/>
              </w:rPr>
              <w:t>2</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652DBEA">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A701CF3">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C1D967B">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15C8322">
            <w:pPr>
              <w:spacing w:line="360" w:lineRule="auto"/>
              <w:jc w:val="center"/>
              <w:rPr>
                <w:color w:val="auto"/>
                <w:szCs w:val="21"/>
                <w:highlight w:val="none"/>
              </w:rPr>
            </w:pPr>
          </w:p>
        </w:tc>
      </w:tr>
      <w:tr w14:paraId="61FE1595">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1BDD127">
            <w:pPr>
              <w:spacing w:line="360" w:lineRule="auto"/>
              <w:jc w:val="center"/>
              <w:rPr>
                <w:color w:val="auto"/>
                <w:szCs w:val="21"/>
                <w:highlight w:val="none"/>
              </w:rPr>
            </w:pPr>
            <w:r>
              <w:rPr>
                <w:rFonts w:hint="eastAsia"/>
                <w:color w:val="auto"/>
                <w:szCs w:val="21"/>
                <w:highlight w:val="none"/>
              </w:rPr>
              <w:t>3</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415BB0F">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A51A248">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638BE46">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47CAB6A">
            <w:pPr>
              <w:spacing w:line="360" w:lineRule="auto"/>
              <w:jc w:val="center"/>
              <w:rPr>
                <w:color w:val="auto"/>
                <w:szCs w:val="21"/>
                <w:highlight w:val="none"/>
              </w:rPr>
            </w:pPr>
          </w:p>
        </w:tc>
      </w:tr>
      <w:tr w14:paraId="51E0F248">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6B33DA6">
            <w:pPr>
              <w:spacing w:line="360" w:lineRule="auto"/>
              <w:jc w:val="center"/>
              <w:rPr>
                <w:color w:val="auto"/>
                <w:szCs w:val="21"/>
                <w:highlight w:val="none"/>
              </w:rPr>
            </w:pPr>
            <w:r>
              <w:rPr>
                <w:rFonts w:hint="eastAsia"/>
                <w:color w:val="auto"/>
                <w:szCs w:val="21"/>
                <w:highlight w:val="none"/>
              </w:rPr>
              <w:t>……</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71E1814">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F11D744">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12ABC28">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0647008">
            <w:pPr>
              <w:spacing w:line="360" w:lineRule="auto"/>
              <w:jc w:val="center"/>
              <w:rPr>
                <w:color w:val="auto"/>
                <w:szCs w:val="21"/>
                <w:highlight w:val="none"/>
              </w:rPr>
            </w:pPr>
          </w:p>
        </w:tc>
      </w:tr>
    </w:tbl>
    <w:p w14:paraId="544B746E">
      <w:pPr>
        <w:snapToGrid w:val="0"/>
        <w:spacing w:line="360" w:lineRule="auto"/>
        <w:jc w:val="left"/>
        <w:rPr>
          <w:color w:val="auto"/>
          <w:szCs w:val="21"/>
          <w:highlight w:val="none"/>
        </w:rPr>
      </w:pPr>
      <w:r>
        <w:rPr>
          <w:rFonts w:hint="eastAsia"/>
          <w:color w:val="auto"/>
          <w:szCs w:val="21"/>
          <w:highlight w:val="none"/>
        </w:rPr>
        <w:t>注：</w:t>
      </w:r>
    </w:p>
    <w:p w14:paraId="38127F8C">
      <w:pPr>
        <w:snapToGrid w:val="0"/>
        <w:spacing w:line="360" w:lineRule="auto"/>
        <w:jc w:val="left"/>
        <w:rPr>
          <w:color w:val="auto"/>
          <w:szCs w:val="21"/>
          <w:highlight w:val="none"/>
        </w:rPr>
      </w:pPr>
      <w:r>
        <w:rPr>
          <w:rFonts w:hint="eastAsia"/>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E71F5F3">
      <w:pPr>
        <w:snapToGrid w:val="0"/>
        <w:spacing w:line="360" w:lineRule="auto"/>
        <w:jc w:val="left"/>
        <w:rPr>
          <w:color w:val="auto"/>
          <w:szCs w:val="21"/>
          <w:highlight w:val="none"/>
        </w:rPr>
      </w:pPr>
      <w:r>
        <w:rPr>
          <w:rFonts w:hint="eastAsia"/>
          <w:color w:val="auto"/>
          <w:szCs w:val="21"/>
          <w:highlight w:val="none"/>
        </w:rPr>
        <w:t>2.本表所指的控股关系仅限于直接控股关系，不包括间接的控股关系。公司实际控制人与公司之间的关系不属于本表所指的直接控股关系。</w:t>
      </w:r>
    </w:p>
    <w:p w14:paraId="2EC332E6">
      <w:pPr>
        <w:snapToGrid w:val="0"/>
        <w:spacing w:line="360" w:lineRule="auto"/>
        <w:jc w:val="left"/>
        <w:rPr>
          <w:color w:val="auto"/>
          <w:szCs w:val="21"/>
          <w:highlight w:val="none"/>
        </w:rPr>
      </w:pPr>
      <w:r>
        <w:rPr>
          <w:rFonts w:hint="eastAsia"/>
          <w:color w:val="auto"/>
          <w:szCs w:val="21"/>
          <w:highlight w:val="none"/>
        </w:rPr>
        <w:t>3.供应商不存在直接控股股东的，则填“无”。</w:t>
      </w:r>
    </w:p>
    <w:p w14:paraId="2C706AB0">
      <w:pPr>
        <w:snapToGrid w:val="0"/>
        <w:spacing w:line="360" w:lineRule="auto"/>
        <w:jc w:val="left"/>
        <w:rPr>
          <w:color w:val="auto"/>
          <w:szCs w:val="21"/>
          <w:highlight w:val="none"/>
        </w:rPr>
      </w:pPr>
    </w:p>
    <w:p w14:paraId="4278C968">
      <w:pPr>
        <w:snapToGrid w:val="0"/>
        <w:spacing w:line="360" w:lineRule="auto"/>
        <w:jc w:val="left"/>
        <w:rPr>
          <w:color w:val="auto"/>
          <w:szCs w:val="21"/>
          <w:highlight w:val="none"/>
        </w:rPr>
      </w:pPr>
    </w:p>
    <w:p w14:paraId="42AAF9B7">
      <w:pPr>
        <w:snapToGrid w:val="0"/>
        <w:spacing w:line="360" w:lineRule="auto"/>
        <w:jc w:val="left"/>
        <w:rPr>
          <w:color w:val="auto"/>
          <w:szCs w:val="21"/>
          <w:highlight w:val="none"/>
        </w:rPr>
      </w:pPr>
    </w:p>
    <w:p w14:paraId="159DE791">
      <w:pPr>
        <w:snapToGrid w:val="0"/>
        <w:spacing w:line="360" w:lineRule="auto"/>
        <w:jc w:val="left"/>
        <w:rPr>
          <w:color w:val="auto"/>
          <w:szCs w:val="21"/>
          <w:highlight w:val="none"/>
        </w:rPr>
      </w:pPr>
    </w:p>
    <w:p w14:paraId="17E1729B">
      <w:pPr>
        <w:snapToGrid w:val="0"/>
        <w:spacing w:line="360" w:lineRule="auto"/>
        <w:jc w:val="left"/>
        <w:rPr>
          <w:color w:val="auto"/>
          <w:szCs w:val="21"/>
          <w:highlight w:val="none"/>
        </w:rPr>
      </w:pPr>
    </w:p>
    <w:p w14:paraId="11E0BC45">
      <w:pPr>
        <w:snapToGrid w:val="0"/>
        <w:spacing w:line="360" w:lineRule="auto"/>
        <w:ind w:firstLine="4410" w:firstLineChars="2100"/>
        <w:rPr>
          <w:color w:val="auto"/>
          <w:szCs w:val="21"/>
          <w:highlight w:val="none"/>
        </w:rPr>
      </w:pPr>
      <w:r>
        <w:rPr>
          <w:rFonts w:hint="eastAsia"/>
          <w:color w:val="auto"/>
          <w:szCs w:val="21"/>
          <w:highlight w:val="none"/>
        </w:rPr>
        <w:t>供应商名称(电子签章)：</w:t>
      </w:r>
    </w:p>
    <w:p w14:paraId="31152FC3">
      <w:pPr>
        <w:snapToGrid w:val="0"/>
        <w:spacing w:line="360" w:lineRule="auto"/>
        <w:ind w:firstLine="4515" w:firstLineChars="2150"/>
        <w:rPr>
          <w:color w:val="auto"/>
          <w:szCs w:val="21"/>
          <w:highlight w:val="none"/>
        </w:rPr>
      </w:pPr>
      <w:r>
        <w:rPr>
          <w:rFonts w:hint="eastAsia"/>
          <w:color w:val="auto"/>
          <w:szCs w:val="21"/>
          <w:highlight w:val="none"/>
        </w:rPr>
        <w:t>日期：  年  月   日</w:t>
      </w:r>
    </w:p>
    <w:p w14:paraId="0D407781">
      <w:pPr>
        <w:snapToGrid w:val="0"/>
        <w:jc w:val="left"/>
        <w:rPr>
          <w:color w:val="auto"/>
          <w:szCs w:val="21"/>
          <w:highlight w:val="none"/>
        </w:rPr>
      </w:pPr>
      <w:r>
        <w:rPr>
          <w:rFonts w:ascii="宋体" w:hAnsi="宋体"/>
          <w:b/>
          <w:color w:val="auto"/>
          <w:sz w:val="28"/>
          <w:szCs w:val="28"/>
          <w:highlight w:val="none"/>
        </w:rPr>
        <w:br w:type="page"/>
      </w:r>
      <w:r>
        <w:rPr>
          <w:rFonts w:hint="eastAsia"/>
          <w:color w:val="auto"/>
          <w:szCs w:val="21"/>
          <w:highlight w:val="none"/>
          <w:lang w:val="en-US" w:eastAsia="zh-CN"/>
        </w:rPr>
        <w:t>8</w:t>
      </w:r>
      <w:r>
        <w:rPr>
          <w:color w:val="auto"/>
          <w:szCs w:val="21"/>
          <w:highlight w:val="none"/>
        </w:rPr>
        <w:t>.2</w:t>
      </w:r>
      <w:r>
        <w:rPr>
          <w:rFonts w:hint="eastAsia"/>
          <w:color w:val="auto"/>
          <w:szCs w:val="21"/>
          <w:highlight w:val="none"/>
        </w:rPr>
        <w:t>供应商直接管理关系信息表</w:t>
      </w:r>
    </w:p>
    <w:tbl>
      <w:tblPr>
        <w:tblStyle w:val="53"/>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4C3CDB0B">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BF693A6">
            <w:pPr>
              <w:spacing w:line="360" w:lineRule="auto"/>
              <w:jc w:val="center"/>
              <w:rPr>
                <w:color w:val="auto"/>
                <w:szCs w:val="21"/>
                <w:highlight w:val="none"/>
              </w:rPr>
            </w:pPr>
            <w:r>
              <w:rPr>
                <w:rFonts w:hint="eastAsia"/>
                <w:color w:val="auto"/>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03BF2C2">
            <w:pPr>
              <w:spacing w:line="360" w:lineRule="auto"/>
              <w:jc w:val="center"/>
              <w:rPr>
                <w:color w:val="auto"/>
                <w:szCs w:val="21"/>
                <w:highlight w:val="none"/>
              </w:rPr>
            </w:pPr>
            <w:r>
              <w:rPr>
                <w:rFonts w:hint="eastAsia"/>
                <w:color w:val="auto"/>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1BA59A0">
            <w:pPr>
              <w:spacing w:line="360" w:lineRule="auto"/>
              <w:jc w:val="center"/>
              <w:rPr>
                <w:color w:val="auto"/>
                <w:szCs w:val="21"/>
                <w:highlight w:val="none"/>
              </w:rPr>
            </w:pPr>
            <w:r>
              <w:rPr>
                <w:rFonts w:hint="eastAsia"/>
                <w:color w:val="auto"/>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B316E7">
            <w:pPr>
              <w:spacing w:line="360" w:lineRule="auto"/>
              <w:jc w:val="center"/>
              <w:rPr>
                <w:color w:val="auto"/>
                <w:szCs w:val="21"/>
                <w:highlight w:val="none"/>
              </w:rPr>
            </w:pPr>
            <w:r>
              <w:rPr>
                <w:rFonts w:hint="eastAsia"/>
                <w:color w:val="auto"/>
                <w:szCs w:val="21"/>
                <w:highlight w:val="none"/>
              </w:rPr>
              <w:t>备注</w:t>
            </w:r>
          </w:p>
        </w:tc>
      </w:tr>
      <w:tr w14:paraId="64FD3DF3">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C875A53">
            <w:pPr>
              <w:spacing w:line="360" w:lineRule="auto"/>
              <w:jc w:val="center"/>
              <w:rPr>
                <w:color w:val="auto"/>
                <w:szCs w:val="21"/>
                <w:highlight w:val="none"/>
              </w:rPr>
            </w:pPr>
            <w:r>
              <w:rPr>
                <w:rFonts w:hint="eastAsia"/>
                <w:color w:val="auto"/>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12C5DC">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A80CC2">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56EAB42">
            <w:pPr>
              <w:spacing w:line="360" w:lineRule="auto"/>
              <w:jc w:val="center"/>
              <w:rPr>
                <w:color w:val="auto"/>
                <w:szCs w:val="21"/>
                <w:highlight w:val="none"/>
              </w:rPr>
            </w:pPr>
          </w:p>
        </w:tc>
      </w:tr>
      <w:tr w14:paraId="5FCE1AC9">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11D3528">
            <w:pPr>
              <w:spacing w:line="360" w:lineRule="auto"/>
              <w:jc w:val="center"/>
              <w:rPr>
                <w:color w:val="auto"/>
                <w:szCs w:val="21"/>
                <w:highlight w:val="none"/>
              </w:rPr>
            </w:pPr>
            <w:r>
              <w:rPr>
                <w:rFonts w:hint="eastAsia"/>
                <w:color w:val="auto"/>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CD1338F">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25EAF17">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62F9F52">
            <w:pPr>
              <w:spacing w:line="360" w:lineRule="auto"/>
              <w:jc w:val="center"/>
              <w:rPr>
                <w:color w:val="auto"/>
                <w:szCs w:val="21"/>
                <w:highlight w:val="none"/>
              </w:rPr>
            </w:pPr>
          </w:p>
        </w:tc>
      </w:tr>
      <w:tr w14:paraId="1275D797">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2DCC5F7">
            <w:pPr>
              <w:spacing w:line="360" w:lineRule="auto"/>
              <w:jc w:val="center"/>
              <w:rPr>
                <w:color w:val="auto"/>
                <w:szCs w:val="21"/>
                <w:highlight w:val="none"/>
              </w:rPr>
            </w:pPr>
            <w:r>
              <w:rPr>
                <w:rFonts w:hint="eastAsia"/>
                <w:color w:val="auto"/>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34476D1">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D58A20C">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B5AD74">
            <w:pPr>
              <w:spacing w:line="360" w:lineRule="auto"/>
              <w:jc w:val="center"/>
              <w:rPr>
                <w:color w:val="auto"/>
                <w:szCs w:val="21"/>
                <w:highlight w:val="none"/>
              </w:rPr>
            </w:pPr>
          </w:p>
        </w:tc>
      </w:tr>
      <w:tr w14:paraId="68889FB1">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6D5AC1B">
            <w:pPr>
              <w:spacing w:line="360" w:lineRule="auto"/>
              <w:jc w:val="center"/>
              <w:rPr>
                <w:color w:val="auto"/>
                <w:szCs w:val="21"/>
                <w:highlight w:val="none"/>
              </w:rPr>
            </w:pPr>
            <w:r>
              <w:rPr>
                <w:rFonts w:hint="eastAsia"/>
                <w:color w:val="auto"/>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1419B3C">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96E11C9">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FC76004">
            <w:pPr>
              <w:spacing w:line="360" w:lineRule="auto"/>
              <w:jc w:val="center"/>
              <w:rPr>
                <w:color w:val="auto"/>
                <w:szCs w:val="21"/>
                <w:highlight w:val="none"/>
              </w:rPr>
            </w:pPr>
          </w:p>
        </w:tc>
      </w:tr>
    </w:tbl>
    <w:p w14:paraId="54EAD6DE">
      <w:pPr>
        <w:snapToGrid w:val="0"/>
        <w:spacing w:line="360" w:lineRule="auto"/>
        <w:jc w:val="left"/>
        <w:rPr>
          <w:color w:val="auto"/>
          <w:szCs w:val="21"/>
          <w:highlight w:val="none"/>
        </w:rPr>
      </w:pPr>
      <w:r>
        <w:rPr>
          <w:rFonts w:hint="eastAsia"/>
          <w:color w:val="auto"/>
          <w:szCs w:val="21"/>
          <w:highlight w:val="none"/>
        </w:rPr>
        <w:t>注：</w:t>
      </w:r>
    </w:p>
    <w:p w14:paraId="7B5ABF54">
      <w:pPr>
        <w:snapToGrid w:val="0"/>
        <w:spacing w:line="360" w:lineRule="auto"/>
        <w:ind w:firstLine="420" w:firstLineChars="200"/>
        <w:jc w:val="left"/>
        <w:rPr>
          <w:color w:val="auto"/>
          <w:szCs w:val="21"/>
          <w:highlight w:val="none"/>
        </w:rPr>
      </w:pPr>
      <w:r>
        <w:rPr>
          <w:rFonts w:hint="eastAsia"/>
          <w:color w:val="auto"/>
          <w:szCs w:val="21"/>
          <w:highlight w:val="none"/>
        </w:rPr>
        <w:t>1.管理关系：是指不具有出资持股关系的其他单位之间存在的管理与被管理关系，如一些上下级关系的事业单位和团体组织。</w:t>
      </w:r>
    </w:p>
    <w:p w14:paraId="214FC40C">
      <w:pPr>
        <w:snapToGrid w:val="0"/>
        <w:spacing w:line="360" w:lineRule="auto"/>
        <w:ind w:firstLine="420" w:firstLineChars="200"/>
        <w:jc w:val="left"/>
        <w:rPr>
          <w:color w:val="auto"/>
          <w:szCs w:val="21"/>
          <w:highlight w:val="none"/>
        </w:rPr>
      </w:pPr>
      <w:r>
        <w:rPr>
          <w:rFonts w:hint="eastAsia"/>
          <w:color w:val="auto"/>
          <w:szCs w:val="21"/>
          <w:highlight w:val="none"/>
        </w:rPr>
        <w:t>2.本表所指的管理关系仅限于直接管理关系，不包括间接的管理关系。</w:t>
      </w:r>
    </w:p>
    <w:p w14:paraId="1E12B9C6">
      <w:pPr>
        <w:snapToGrid w:val="0"/>
        <w:spacing w:line="360" w:lineRule="auto"/>
        <w:ind w:firstLine="420" w:firstLineChars="200"/>
        <w:jc w:val="left"/>
        <w:rPr>
          <w:color w:val="auto"/>
          <w:szCs w:val="21"/>
          <w:highlight w:val="none"/>
        </w:rPr>
      </w:pPr>
      <w:r>
        <w:rPr>
          <w:rFonts w:hint="eastAsia"/>
          <w:color w:val="auto"/>
          <w:szCs w:val="21"/>
          <w:highlight w:val="none"/>
        </w:rPr>
        <w:t>3.供应商不存在直接管理关系的，则填“无”。</w:t>
      </w:r>
    </w:p>
    <w:p w14:paraId="295C4F78">
      <w:pPr>
        <w:snapToGrid w:val="0"/>
        <w:spacing w:line="360" w:lineRule="auto"/>
        <w:jc w:val="left"/>
        <w:rPr>
          <w:color w:val="auto"/>
          <w:szCs w:val="21"/>
          <w:highlight w:val="none"/>
        </w:rPr>
      </w:pPr>
    </w:p>
    <w:p w14:paraId="3C065D3B">
      <w:pPr>
        <w:snapToGrid w:val="0"/>
        <w:spacing w:line="360" w:lineRule="auto"/>
        <w:jc w:val="left"/>
        <w:rPr>
          <w:color w:val="auto"/>
          <w:szCs w:val="21"/>
          <w:highlight w:val="none"/>
        </w:rPr>
      </w:pPr>
    </w:p>
    <w:p w14:paraId="435FB228">
      <w:pPr>
        <w:snapToGrid w:val="0"/>
        <w:spacing w:line="360" w:lineRule="auto"/>
        <w:jc w:val="left"/>
        <w:rPr>
          <w:color w:val="auto"/>
          <w:szCs w:val="21"/>
          <w:highlight w:val="none"/>
        </w:rPr>
      </w:pPr>
    </w:p>
    <w:p w14:paraId="5B0536FB">
      <w:pPr>
        <w:snapToGrid w:val="0"/>
        <w:spacing w:line="360" w:lineRule="auto"/>
        <w:jc w:val="left"/>
        <w:rPr>
          <w:color w:val="auto"/>
          <w:szCs w:val="21"/>
          <w:highlight w:val="none"/>
        </w:rPr>
      </w:pPr>
    </w:p>
    <w:p w14:paraId="059A3D90">
      <w:pPr>
        <w:snapToGrid w:val="0"/>
        <w:spacing w:line="360" w:lineRule="auto"/>
        <w:jc w:val="left"/>
        <w:rPr>
          <w:color w:val="auto"/>
          <w:szCs w:val="21"/>
          <w:highlight w:val="none"/>
        </w:rPr>
      </w:pPr>
    </w:p>
    <w:p w14:paraId="2E04DC69">
      <w:pPr>
        <w:snapToGrid w:val="0"/>
        <w:spacing w:line="360" w:lineRule="auto"/>
        <w:jc w:val="left"/>
        <w:rPr>
          <w:color w:val="auto"/>
          <w:szCs w:val="21"/>
          <w:highlight w:val="none"/>
        </w:rPr>
      </w:pPr>
    </w:p>
    <w:p w14:paraId="575B9F1A">
      <w:pPr>
        <w:snapToGrid w:val="0"/>
        <w:spacing w:line="360" w:lineRule="auto"/>
        <w:jc w:val="left"/>
        <w:rPr>
          <w:color w:val="auto"/>
          <w:szCs w:val="21"/>
          <w:highlight w:val="none"/>
        </w:rPr>
      </w:pPr>
    </w:p>
    <w:p w14:paraId="35D6B035">
      <w:pPr>
        <w:snapToGrid w:val="0"/>
        <w:spacing w:line="360" w:lineRule="auto"/>
        <w:jc w:val="left"/>
        <w:rPr>
          <w:color w:val="auto"/>
          <w:szCs w:val="21"/>
          <w:highlight w:val="none"/>
        </w:rPr>
      </w:pPr>
    </w:p>
    <w:p w14:paraId="16154A45">
      <w:pPr>
        <w:snapToGrid w:val="0"/>
        <w:spacing w:line="360" w:lineRule="auto"/>
        <w:ind w:firstLine="4410" w:firstLineChars="2100"/>
        <w:rPr>
          <w:color w:val="auto"/>
          <w:szCs w:val="21"/>
          <w:highlight w:val="none"/>
        </w:rPr>
      </w:pPr>
      <w:r>
        <w:rPr>
          <w:rFonts w:hint="eastAsia"/>
          <w:color w:val="auto"/>
          <w:szCs w:val="21"/>
          <w:highlight w:val="none"/>
        </w:rPr>
        <w:t>供应商名称(电子签章)：</w:t>
      </w:r>
    </w:p>
    <w:p w14:paraId="10C6908D">
      <w:pPr>
        <w:snapToGrid w:val="0"/>
        <w:spacing w:line="360" w:lineRule="auto"/>
        <w:ind w:firstLine="4515" w:firstLineChars="2150"/>
        <w:rPr>
          <w:color w:val="auto"/>
          <w:szCs w:val="21"/>
          <w:highlight w:val="none"/>
        </w:rPr>
      </w:pPr>
      <w:r>
        <w:rPr>
          <w:rFonts w:hint="eastAsia"/>
          <w:color w:val="auto"/>
          <w:szCs w:val="21"/>
          <w:highlight w:val="none"/>
        </w:rPr>
        <w:t>日期：  年  月   日</w:t>
      </w:r>
    </w:p>
    <w:p w14:paraId="61F6B6D9">
      <w:pPr>
        <w:pStyle w:val="27"/>
        <w:tabs>
          <w:tab w:val="left" w:pos="2127"/>
        </w:tabs>
        <w:spacing w:line="340" w:lineRule="exact"/>
        <w:rPr>
          <w:rFonts w:ascii="Times New Roman" w:hAnsi="Times New Roman" w:cs="Times New Roman"/>
          <w:color w:val="auto"/>
          <w:highlight w:val="none"/>
        </w:rPr>
      </w:pPr>
    </w:p>
    <w:p w14:paraId="60ED23EA">
      <w:pPr>
        <w:snapToGrid w:val="0"/>
        <w:spacing w:before="50" w:after="120" w:afterLines="50" w:line="440" w:lineRule="exact"/>
        <w:jc w:val="left"/>
        <w:rPr>
          <w:rFonts w:hint="eastAsia"/>
          <w:b/>
          <w:color w:val="auto"/>
          <w:szCs w:val="21"/>
          <w:highlight w:val="none"/>
        </w:rPr>
      </w:pPr>
      <w:r>
        <w:rPr>
          <w:color w:val="auto"/>
          <w:highlight w:val="none"/>
        </w:rPr>
        <w:br w:type="page"/>
      </w:r>
      <w:r>
        <w:rPr>
          <w:rFonts w:hint="eastAsia"/>
          <w:color w:val="auto"/>
          <w:szCs w:val="21"/>
          <w:highlight w:val="none"/>
          <w:lang w:val="en-US" w:eastAsia="zh-CN"/>
        </w:rPr>
        <w:t>9</w:t>
      </w:r>
      <w:r>
        <w:rPr>
          <w:color w:val="auto"/>
          <w:szCs w:val="21"/>
          <w:highlight w:val="none"/>
        </w:rPr>
        <w:t>．</w:t>
      </w:r>
      <w:r>
        <w:rPr>
          <w:rFonts w:hint="eastAsia"/>
          <w:color w:val="auto"/>
          <w:szCs w:val="21"/>
          <w:highlight w:val="none"/>
        </w:rPr>
        <w:t>磋商</w:t>
      </w:r>
      <w:r>
        <w:rPr>
          <w:color w:val="auto"/>
          <w:szCs w:val="21"/>
          <w:highlight w:val="none"/>
        </w:rPr>
        <w:t>保证金缴纳证明</w:t>
      </w:r>
      <w:r>
        <w:rPr>
          <w:rFonts w:hint="eastAsia"/>
          <w:color w:val="auto"/>
          <w:szCs w:val="21"/>
          <w:highlight w:val="none"/>
        </w:rPr>
        <w:t>。</w:t>
      </w:r>
      <w:r>
        <w:rPr>
          <w:rFonts w:hint="eastAsia"/>
          <w:b/>
          <w:color w:val="auto"/>
          <w:szCs w:val="21"/>
          <w:highlight w:val="none"/>
        </w:rPr>
        <w:t>（如采购文件有要求时提供）</w:t>
      </w:r>
    </w:p>
    <w:p w14:paraId="1E21764D">
      <w:pPr>
        <w:snapToGrid w:val="0"/>
        <w:spacing w:before="50" w:after="120" w:afterLines="50" w:line="440" w:lineRule="exact"/>
        <w:jc w:val="left"/>
        <w:rPr>
          <w:color w:val="auto"/>
          <w:highlight w:val="none"/>
        </w:rPr>
      </w:pPr>
      <w:r>
        <w:rPr>
          <w:rFonts w:hint="eastAsia"/>
          <w:color w:val="auto"/>
          <w:highlight w:val="none"/>
        </w:rPr>
        <w:t>（1）以转账、电汇形式缴纳的，提供转账、电汇凭证扫描件或复印件（网银可提供截图）</w:t>
      </w:r>
      <w:r>
        <w:rPr>
          <w:color w:val="auto"/>
          <w:highlight w:val="none"/>
        </w:rPr>
        <w:t>加盖</w:t>
      </w:r>
      <w:r>
        <w:rPr>
          <w:color w:val="auto"/>
          <w:szCs w:val="21"/>
          <w:highlight w:val="none"/>
        </w:rPr>
        <w:t>供应商</w:t>
      </w:r>
      <w:r>
        <w:rPr>
          <w:rFonts w:hint="eastAsia"/>
          <w:color w:val="auto"/>
          <w:szCs w:val="21"/>
          <w:highlight w:val="none"/>
        </w:rPr>
        <w:t>电子签章</w:t>
      </w:r>
      <w:r>
        <w:rPr>
          <w:rFonts w:hint="eastAsia"/>
          <w:color w:val="auto"/>
          <w:highlight w:val="none"/>
        </w:rPr>
        <w:t>；</w:t>
      </w:r>
    </w:p>
    <w:p w14:paraId="108AB64A">
      <w:pPr>
        <w:snapToGrid w:val="0"/>
        <w:spacing w:before="50" w:after="120" w:afterLines="50" w:line="440" w:lineRule="exact"/>
        <w:jc w:val="left"/>
        <w:rPr>
          <w:color w:val="auto"/>
          <w:highlight w:val="none"/>
        </w:rPr>
      </w:pPr>
      <w:r>
        <w:rPr>
          <w:rFonts w:hint="eastAsia"/>
          <w:color w:val="auto"/>
          <w:highlight w:val="none"/>
        </w:rPr>
        <w:t>（2）以支票、汇票、本票或金融机构、担保机构出具的保函等非现金形式缴纳的，提供原件扫描件或复印件并加盖供应商电子签章。响应保函参考如下格式开具：</w:t>
      </w:r>
    </w:p>
    <w:p w14:paraId="46E8C8CB">
      <w:pPr>
        <w:snapToGrid w:val="0"/>
        <w:spacing w:before="50" w:after="120" w:afterLines="50" w:line="440" w:lineRule="exact"/>
        <w:jc w:val="left"/>
        <w:rPr>
          <w:rFonts w:hint="eastAsia"/>
          <w:color w:val="auto"/>
          <w:szCs w:val="21"/>
          <w:highlight w:val="none"/>
          <w:lang w:val="en-US" w:eastAsia="zh-CN"/>
        </w:rPr>
      </w:pPr>
    </w:p>
    <w:p w14:paraId="750AD103">
      <w:pPr>
        <w:snapToGrid w:val="0"/>
        <w:spacing w:before="50" w:after="120" w:afterLines="50" w:line="440" w:lineRule="exact"/>
        <w:jc w:val="left"/>
        <w:rPr>
          <w:rFonts w:hint="eastAsia"/>
          <w:color w:val="auto"/>
          <w:szCs w:val="21"/>
          <w:highlight w:val="none"/>
          <w:lang w:val="en-US" w:eastAsia="zh-CN"/>
        </w:rPr>
      </w:pPr>
    </w:p>
    <w:p w14:paraId="67BD2D7F">
      <w:pPr>
        <w:snapToGrid w:val="0"/>
        <w:spacing w:before="50" w:after="120" w:afterLines="50" w:line="440" w:lineRule="exact"/>
        <w:jc w:val="left"/>
        <w:rPr>
          <w:rFonts w:hint="eastAsia"/>
          <w:color w:val="auto"/>
          <w:szCs w:val="21"/>
          <w:highlight w:val="none"/>
          <w:lang w:val="en-US" w:eastAsia="zh-CN"/>
        </w:rPr>
      </w:pPr>
    </w:p>
    <w:p w14:paraId="7AC5215E">
      <w:pPr>
        <w:snapToGrid w:val="0"/>
        <w:spacing w:before="50" w:after="120" w:afterLines="50" w:line="440" w:lineRule="exact"/>
        <w:jc w:val="left"/>
        <w:rPr>
          <w:color w:val="auto"/>
          <w:highlight w:val="none"/>
        </w:rPr>
      </w:pPr>
      <w:r>
        <w:rPr>
          <w:rFonts w:hint="eastAsia"/>
          <w:color w:val="auto"/>
          <w:szCs w:val="21"/>
          <w:highlight w:val="none"/>
          <w:lang w:val="en-US" w:eastAsia="zh-CN"/>
        </w:rPr>
        <w:t>10</w:t>
      </w:r>
      <w:r>
        <w:rPr>
          <w:color w:val="auto"/>
          <w:szCs w:val="21"/>
          <w:highlight w:val="none"/>
        </w:rPr>
        <w:t>．供应商认为应当要提交的资格证明材料。</w:t>
      </w:r>
    </w:p>
    <w:p w14:paraId="1AB2D03A">
      <w:pPr>
        <w:spacing w:line="276" w:lineRule="auto"/>
        <w:rPr>
          <w:color w:val="auto"/>
          <w:szCs w:val="21"/>
          <w:highlight w:val="none"/>
        </w:rPr>
      </w:pPr>
    </w:p>
    <w:p w14:paraId="2A94B072">
      <w:pPr>
        <w:pStyle w:val="8"/>
        <w:overflowPunct w:val="0"/>
        <w:ind w:firstLine="0"/>
        <w:rPr>
          <w:rFonts w:hint="eastAsia"/>
          <w:color w:val="auto"/>
          <w:highlight w:val="none"/>
        </w:rPr>
      </w:pPr>
    </w:p>
    <w:p w14:paraId="6D74389F">
      <w:pPr>
        <w:rPr>
          <w:bCs/>
          <w:color w:val="auto"/>
          <w:sz w:val="24"/>
          <w:highlight w:val="none"/>
        </w:rPr>
      </w:pPr>
      <w:r>
        <w:rPr>
          <w:bCs/>
          <w:color w:val="auto"/>
          <w:sz w:val="24"/>
          <w:highlight w:val="none"/>
        </w:rPr>
        <w:br w:type="page"/>
      </w:r>
    </w:p>
    <w:p w14:paraId="62CEC16C">
      <w:pPr>
        <w:widowControl/>
        <w:jc w:val="lef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附件一：</w:t>
      </w:r>
    </w:p>
    <w:p w14:paraId="4BADEE8D">
      <w:pPr>
        <w:widowControl/>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rPr>
        <w:t>政府采购项目投标资格承诺函</w:t>
      </w:r>
    </w:p>
    <w:p w14:paraId="5CF2131C">
      <w:pPr>
        <w:snapToGrid w:val="0"/>
        <w:spacing w:before="50" w:after="120" w:afterLines="50" w:line="44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本公司郑重承诺，根据《中华人民共和国政府采购法》第二十二条的规定，本公司为参加政府采购活动的合格供应商。即本公司同时满足以下条件： </w:t>
      </w:r>
    </w:p>
    <w:p w14:paraId="3E3CA099">
      <w:pPr>
        <w:snapToGrid w:val="0"/>
        <w:spacing w:before="50" w:after="120" w:afterLines="50" w:line="44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1.具有独立承担民事责任的能力。 </w:t>
      </w:r>
    </w:p>
    <w:p w14:paraId="02C4E564">
      <w:pPr>
        <w:snapToGrid w:val="0"/>
        <w:spacing w:before="50" w:after="120" w:afterLines="50" w:line="44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2.具有良好的商业信誉和健全的财务会计制度。 </w:t>
      </w:r>
    </w:p>
    <w:p w14:paraId="49BFA54B">
      <w:pPr>
        <w:snapToGrid w:val="0"/>
        <w:spacing w:before="50" w:after="120" w:afterLines="50" w:line="44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3.具有履行合同所必需的设备和专业技术能力。 </w:t>
      </w:r>
    </w:p>
    <w:p w14:paraId="0BD14476">
      <w:pPr>
        <w:snapToGrid w:val="0"/>
        <w:spacing w:before="50" w:after="120" w:afterLines="50" w:line="44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4.有依法缴纳税收和社会保障资金的良好记录。 </w:t>
      </w:r>
    </w:p>
    <w:p w14:paraId="70A6C20E">
      <w:pPr>
        <w:snapToGrid w:val="0"/>
        <w:spacing w:before="50" w:after="120" w:afterLines="50" w:line="44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 提交响应文件截止日期前三年内，在经营活动中没有重大违法记录。 </w:t>
      </w:r>
    </w:p>
    <w:p w14:paraId="4A35A036">
      <w:pPr>
        <w:snapToGrid w:val="0"/>
        <w:spacing w:before="50" w:after="120" w:afterLines="50" w:line="44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本公司对上述承诺的真实性负责，并接受政府采购、税务、社会保障等监督管理部门、采购文件规定的资格审查机构、社会公众的监督和检查。如有虚假，将依法承担相应责任。 </w:t>
      </w:r>
    </w:p>
    <w:p w14:paraId="7BBFA370">
      <w:pPr>
        <w:snapToGrid w:val="0"/>
        <w:spacing w:before="50" w:after="120" w:afterLines="50" w:line="440" w:lineRule="exact"/>
        <w:jc w:val="left"/>
        <w:rPr>
          <w:rFonts w:hint="eastAsia" w:ascii="宋体" w:hAnsi="宋体" w:eastAsia="宋体" w:cs="宋体"/>
          <w:color w:val="auto"/>
          <w:sz w:val="21"/>
          <w:szCs w:val="21"/>
          <w:highlight w:val="none"/>
        </w:rPr>
      </w:pPr>
    </w:p>
    <w:p w14:paraId="26DCE39A">
      <w:pPr>
        <w:snapToGrid w:val="0"/>
        <w:spacing w:before="50" w:after="120" w:afterLines="50" w:line="440" w:lineRule="exact"/>
        <w:ind w:left="0" w:leftChars="0" w:firstLine="2951" w:firstLineChars="1400"/>
        <w:jc w:val="left"/>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rPr>
        <w:t>供应商名称（电子签章）：</w:t>
      </w:r>
    </w:p>
    <w:p w14:paraId="7B95CCDD">
      <w:pPr>
        <w:snapToGrid w:val="0"/>
        <w:spacing w:before="50" w:after="120" w:afterLines="50" w:line="440" w:lineRule="exact"/>
        <w:ind w:left="0" w:leftChars="0" w:firstLine="2951" w:firstLineChars="1400"/>
        <w:jc w:val="left"/>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rPr>
        <w:t>法定代表人（或分支机构负责人）（电子签章</w:t>
      </w:r>
      <w:r>
        <w:rPr>
          <w:rFonts w:hint="eastAsia" w:ascii="宋体" w:hAnsi="宋体" w:eastAsia="宋体" w:cs="宋体"/>
          <w:b/>
          <w:bCs/>
          <w:color w:val="auto"/>
          <w:sz w:val="21"/>
          <w:szCs w:val="21"/>
          <w:highlight w:val="none"/>
          <w:lang w:eastAsia="zh-CN"/>
        </w:rPr>
        <w:t>或</w:t>
      </w:r>
      <w:r>
        <w:rPr>
          <w:rFonts w:hint="eastAsia" w:ascii="宋体" w:hAnsi="宋体" w:eastAsia="宋体" w:cs="宋体"/>
          <w:b/>
          <w:bCs/>
          <w:color w:val="auto"/>
          <w:sz w:val="21"/>
          <w:szCs w:val="21"/>
          <w:highlight w:val="none"/>
        </w:rPr>
        <w:t>签名）：</w:t>
      </w:r>
    </w:p>
    <w:p w14:paraId="6ECCCB94">
      <w:pPr>
        <w:snapToGrid w:val="0"/>
        <w:spacing w:before="50" w:after="120" w:afterLines="50" w:line="440" w:lineRule="exact"/>
        <w:ind w:left="0" w:leftChars="0" w:firstLine="2940" w:firstLineChars="1400"/>
        <w:jc w:val="left"/>
        <w:rPr>
          <w:color w:val="auto"/>
          <w:highlight w:val="none"/>
        </w:rPr>
      </w:pPr>
      <w:r>
        <w:rPr>
          <w:rFonts w:hint="eastAsia" w:ascii="宋体" w:hAnsi="宋体" w:eastAsia="宋体" w:cs="宋体"/>
          <w:color w:val="auto"/>
          <w:sz w:val="21"/>
          <w:szCs w:val="21"/>
          <w:highlight w:val="none"/>
        </w:rPr>
        <w:t>日期： 年 月   日</w:t>
      </w:r>
    </w:p>
    <w:p w14:paraId="1C97B57A">
      <w:pPr>
        <w:snapToGrid w:val="0"/>
        <w:spacing w:before="120" w:beforeLines="50" w:after="50" w:afterLines="0" w:line="440" w:lineRule="exact"/>
        <w:jc w:val="left"/>
        <w:outlineLvl w:val="1"/>
        <w:rPr>
          <w:rFonts w:hint="default" w:ascii="Times New Roman" w:hAnsi="Times New Roman" w:eastAsia="宋体" w:cs="Times New Roman"/>
          <w:b/>
          <w:color w:val="auto"/>
          <w:sz w:val="24"/>
          <w:szCs w:val="24"/>
          <w:highlight w:val="none"/>
        </w:rPr>
      </w:pPr>
      <w:r>
        <w:rPr>
          <w:color w:val="auto"/>
          <w:highlight w:val="none"/>
        </w:rPr>
        <w:br w:type="page"/>
      </w:r>
      <w:r>
        <w:rPr>
          <w:rFonts w:hint="eastAsia" w:ascii="Times New Roman" w:hAnsi="Times New Roman" w:eastAsia="宋体" w:cs="Times New Roman"/>
          <w:b w:val="0"/>
          <w:bCs w:val="0"/>
          <w:color w:val="auto"/>
          <w:sz w:val="24"/>
          <w:szCs w:val="24"/>
          <w:highlight w:val="none"/>
          <w:lang w:val="en-US" w:eastAsia="zh-CN"/>
        </w:rPr>
        <w:t>2</w:t>
      </w:r>
      <w:r>
        <w:rPr>
          <w:rFonts w:hint="default" w:ascii="Times New Roman" w:hAnsi="Times New Roman" w:eastAsia="宋体" w:cs="Times New Roman"/>
          <w:b w:val="0"/>
          <w:bCs w:val="0"/>
          <w:color w:val="auto"/>
          <w:sz w:val="24"/>
          <w:szCs w:val="24"/>
          <w:highlight w:val="none"/>
        </w:rPr>
        <w:t>.</w:t>
      </w:r>
      <w:r>
        <w:rPr>
          <w:rFonts w:hint="eastAsia" w:ascii="宋体" w:hAnsi="宋体" w:eastAsia="宋体" w:cs="Times New Roman"/>
          <w:b w:val="0"/>
          <w:bCs w:val="0"/>
          <w:color w:val="auto"/>
          <w:sz w:val="24"/>
          <w:szCs w:val="24"/>
          <w:highlight w:val="none"/>
        </w:rPr>
        <w:t xml:space="preserve">响应文件封面参考格式（商务技术文件）： </w:t>
      </w:r>
    </w:p>
    <w:p w14:paraId="72A63176">
      <w:pPr>
        <w:snapToGrid w:val="0"/>
        <w:spacing w:before="120" w:beforeLines="50" w:after="50" w:afterLines="0" w:line="360" w:lineRule="exact"/>
        <w:rPr>
          <w:rFonts w:hint="default" w:ascii="Times New Roman" w:hAnsi="Times New Roman" w:eastAsia="宋体" w:cs="Times New Roman"/>
          <w:color w:val="auto"/>
          <w:sz w:val="24"/>
          <w:szCs w:val="24"/>
          <w:highlight w:val="none"/>
        </w:rPr>
      </w:pPr>
    </w:p>
    <w:p w14:paraId="5E4DF0E6">
      <w:pPr>
        <w:snapToGrid w:val="0"/>
        <w:spacing w:before="120" w:beforeLines="50" w:after="50" w:afterLines="0" w:line="360" w:lineRule="exact"/>
        <w:jc w:val="right"/>
        <w:rPr>
          <w:rFonts w:hint="default" w:ascii="Times New Roman" w:hAnsi="Times New Roman" w:eastAsia="宋体" w:cs="Times New Roman"/>
          <w:color w:val="auto"/>
          <w:sz w:val="24"/>
          <w:szCs w:val="24"/>
          <w:highlight w:val="none"/>
        </w:rPr>
      </w:pPr>
    </w:p>
    <w:p w14:paraId="5ACA8B7E">
      <w:pPr>
        <w:snapToGrid w:val="0"/>
        <w:spacing w:before="120" w:beforeLines="50" w:after="50" w:afterLines="0" w:line="360" w:lineRule="exact"/>
        <w:jc w:val="center"/>
        <w:rPr>
          <w:rFonts w:hint="default" w:ascii="Times New Roman" w:hAnsi="Times New Roman" w:eastAsia="宋体" w:cs="Times New Roman"/>
          <w:color w:val="auto"/>
          <w:sz w:val="24"/>
          <w:szCs w:val="24"/>
          <w:highlight w:val="none"/>
        </w:rPr>
      </w:pPr>
      <w:r>
        <w:rPr>
          <w:rFonts w:hint="eastAsia" w:ascii="宋体" w:hAnsi="宋体" w:eastAsia="宋体" w:cs="Times New Roman"/>
          <w:b/>
          <w:color w:val="auto"/>
          <w:sz w:val="44"/>
          <w:szCs w:val="24"/>
          <w:highlight w:val="none"/>
        </w:rPr>
        <w:t>电子响应文件</w:t>
      </w:r>
    </w:p>
    <w:p w14:paraId="0DCAAF93">
      <w:pPr>
        <w:snapToGrid w:val="0"/>
        <w:spacing w:before="120" w:beforeLines="50" w:after="50" w:afterLines="0" w:line="360" w:lineRule="exact"/>
        <w:jc w:val="center"/>
        <w:rPr>
          <w:rFonts w:hint="default" w:ascii="Times New Roman" w:hAnsi="Times New Roman" w:eastAsia="宋体" w:cs="Times New Roman"/>
          <w:b/>
          <w:color w:val="auto"/>
          <w:sz w:val="44"/>
          <w:szCs w:val="24"/>
          <w:highlight w:val="none"/>
        </w:rPr>
      </w:pPr>
    </w:p>
    <w:p w14:paraId="753FD8F6">
      <w:pPr>
        <w:snapToGrid w:val="0"/>
        <w:spacing w:before="120" w:beforeLines="50" w:after="50" w:afterLines="0" w:line="360" w:lineRule="exact"/>
        <w:jc w:val="center"/>
        <w:rPr>
          <w:rFonts w:hint="default" w:ascii="Times New Roman" w:hAnsi="Times New Roman" w:eastAsia="宋体" w:cs="Times New Roman"/>
          <w:b/>
          <w:color w:val="auto"/>
          <w:sz w:val="44"/>
          <w:szCs w:val="24"/>
          <w:highlight w:val="none"/>
        </w:rPr>
      </w:pPr>
    </w:p>
    <w:p w14:paraId="1F1E743F">
      <w:pPr>
        <w:snapToGrid w:val="0"/>
        <w:spacing w:before="120" w:beforeLines="50" w:after="50" w:afterLines="0" w:line="360" w:lineRule="exact"/>
        <w:jc w:val="center"/>
        <w:rPr>
          <w:rFonts w:hint="default" w:ascii="Times New Roman" w:hAnsi="Times New Roman" w:eastAsia="宋体" w:cs="Times New Roman"/>
          <w:b/>
          <w:color w:val="auto"/>
          <w:sz w:val="44"/>
          <w:szCs w:val="24"/>
          <w:highlight w:val="none"/>
        </w:rPr>
      </w:pPr>
      <w:r>
        <w:rPr>
          <w:rFonts w:hint="eastAsia" w:ascii="Times New Roman" w:hAnsi="Times New Roman" w:eastAsia="宋体" w:cs="Times New Roman"/>
          <w:b/>
          <w:color w:val="auto"/>
          <w:sz w:val="44"/>
          <w:szCs w:val="24"/>
          <w:highlight w:val="none"/>
          <w:lang w:val="en-US" w:eastAsia="zh-CN"/>
        </w:rPr>
        <w:t>商</w:t>
      </w:r>
      <w:r>
        <w:rPr>
          <w:rFonts w:hint="eastAsia" w:ascii="Times New Roman" w:hAnsi="Times New Roman" w:eastAsia="宋体" w:cs="Times New Roman"/>
          <w:b/>
          <w:color w:val="auto"/>
          <w:sz w:val="44"/>
          <w:szCs w:val="24"/>
          <w:highlight w:val="none"/>
        </w:rPr>
        <w:t>务技术文件</w:t>
      </w:r>
    </w:p>
    <w:p w14:paraId="6FDCAB13">
      <w:pPr>
        <w:snapToGrid w:val="0"/>
        <w:spacing w:before="120" w:beforeLines="50" w:after="50" w:afterLines="0" w:line="360" w:lineRule="exact"/>
        <w:jc w:val="center"/>
        <w:rPr>
          <w:rFonts w:hint="default" w:ascii="Times New Roman" w:hAnsi="Times New Roman" w:eastAsia="宋体" w:cs="Times New Roman"/>
          <w:b/>
          <w:color w:val="auto"/>
          <w:sz w:val="44"/>
          <w:szCs w:val="24"/>
          <w:highlight w:val="none"/>
        </w:rPr>
      </w:pPr>
    </w:p>
    <w:p w14:paraId="2B7DEB4C">
      <w:pPr>
        <w:snapToGrid w:val="0"/>
        <w:spacing w:before="120" w:beforeLines="50" w:after="50" w:afterLines="0" w:line="360" w:lineRule="exact"/>
        <w:rPr>
          <w:rFonts w:hint="default" w:ascii="Times New Roman" w:hAnsi="Times New Roman" w:eastAsia="宋体" w:cs="Times New Roman"/>
          <w:color w:val="auto"/>
          <w:sz w:val="24"/>
          <w:szCs w:val="24"/>
          <w:highlight w:val="none"/>
        </w:rPr>
      </w:pPr>
    </w:p>
    <w:p w14:paraId="07375F2F">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 xml:space="preserve">项目名称： </w:t>
      </w:r>
    </w:p>
    <w:p w14:paraId="356FE39E">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项目编号：</w:t>
      </w:r>
    </w:p>
    <w:p w14:paraId="324CF7D9">
      <w:pPr>
        <w:snapToGrid w:val="0"/>
        <w:spacing w:before="120" w:beforeLines="50" w:after="50" w:afterLines="0" w:line="44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分标号：（若无留空或写</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rPr>
        <w:t>）</w:t>
      </w:r>
    </w:p>
    <w:p w14:paraId="535CE0FB">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供应商名称：</w:t>
      </w:r>
    </w:p>
    <w:p w14:paraId="1C99423D">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供应商地址：</w:t>
      </w:r>
    </w:p>
    <w:p w14:paraId="0DCA0AD0">
      <w:pPr>
        <w:pStyle w:val="8"/>
        <w:snapToGrid w:val="0"/>
        <w:spacing w:before="50" w:beforeLines="0" w:after="50" w:afterLines="0" w:line="360" w:lineRule="exact"/>
        <w:ind w:firstLine="960" w:firstLineChars="400"/>
        <w:rPr>
          <w:rFonts w:hint="default" w:ascii="Times New Roman" w:hAnsi="Times New Roman" w:eastAsia="宋体" w:cs="Times New Roman"/>
          <w:color w:val="auto"/>
          <w:sz w:val="24"/>
          <w:szCs w:val="24"/>
          <w:highlight w:val="none"/>
        </w:rPr>
      </w:pPr>
    </w:p>
    <w:p w14:paraId="1ECC2634">
      <w:pPr>
        <w:snapToGrid w:val="0"/>
        <w:spacing w:before="120" w:beforeLines="50" w:after="50" w:afterLines="0" w:line="36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w:t>
      </w:r>
      <w:r>
        <w:rPr>
          <w:rFonts w:hint="eastAsia" w:ascii="Times New Roman" w:hAnsi="Times New Roman" w:eastAsia="宋体" w:cs="Times New Roman"/>
          <w:color w:val="auto"/>
          <w:sz w:val="24"/>
          <w:szCs w:val="24"/>
          <w:highlight w:val="none"/>
        </w:rPr>
        <w:t>年  月  日</w:t>
      </w:r>
    </w:p>
    <w:p w14:paraId="53FC0EA6">
      <w:pPr>
        <w:snapToGrid w:val="0"/>
        <w:spacing w:before="120" w:beforeLines="50" w:after="50" w:line="440" w:lineRule="exact"/>
        <w:jc w:val="center"/>
        <w:outlineLvl w:val="1"/>
        <w:rPr>
          <w:bCs/>
          <w:color w:val="auto"/>
          <w:sz w:val="24"/>
          <w:highlight w:val="none"/>
        </w:rPr>
        <w:sectPr>
          <w:headerReference r:id="rId16" w:type="default"/>
          <w:footerReference r:id="rId17" w:type="default"/>
          <w:pgSz w:w="11906" w:h="16838"/>
          <w:pgMar w:top="1418" w:right="1274" w:bottom="1418" w:left="1418" w:header="851" w:footer="992" w:gutter="0"/>
          <w:cols w:space="720" w:num="1"/>
          <w:docGrid w:linePitch="312" w:charSpace="0"/>
        </w:sectPr>
      </w:pPr>
    </w:p>
    <w:p w14:paraId="7D5D4A8F">
      <w:pPr>
        <w:snapToGrid w:val="0"/>
        <w:spacing w:before="120" w:beforeLines="50" w:after="50" w:line="440" w:lineRule="exact"/>
        <w:jc w:val="center"/>
        <w:outlineLvl w:val="9"/>
        <w:rPr>
          <w:rFonts w:ascii="Times New Roman" w:hAnsi="Times New Roman" w:eastAsia="宋体" w:cs="Times New Roman"/>
          <w:b/>
          <w:bCs/>
          <w:color w:val="auto"/>
          <w:sz w:val="24"/>
          <w:highlight w:val="none"/>
        </w:rPr>
      </w:pPr>
    </w:p>
    <w:p w14:paraId="217D74BA">
      <w:pPr>
        <w:snapToGrid w:val="0"/>
        <w:spacing w:before="120" w:beforeLines="50" w:after="50" w:line="440" w:lineRule="exact"/>
        <w:jc w:val="center"/>
        <w:rPr>
          <w:rFonts w:ascii="Times New Roman" w:hAnsi="Times New Roman" w:eastAsia="宋体" w:cs="Times New Roman"/>
          <w:color w:val="auto"/>
          <w:sz w:val="24"/>
          <w:highlight w:val="none"/>
        </w:rPr>
      </w:pPr>
    </w:p>
    <w:p w14:paraId="3F7F300E">
      <w:pPr>
        <w:snapToGrid w:val="0"/>
        <w:spacing w:before="50" w:after="50" w:line="440" w:lineRule="exact"/>
        <w:ind w:firstLine="138" w:firstLineChars="49"/>
        <w:jc w:val="center"/>
        <w:rPr>
          <w:rFonts w:ascii="Times New Roman" w:hAnsi="Times New Roman" w:eastAsia="宋体" w:cs="Times New Roman"/>
          <w:b/>
          <w:color w:val="auto"/>
          <w:sz w:val="28"/>
          <w:szCs w:val="28"/>
          <w:highlight w:val="none"/>
        </w:rPr>
      </w:pPr>
      <w:r>
        <w:rPr>
          <w:rFonts w:ascii="Times New Roman" w:hAnsi="Times New Roman" w:eastAsia="宋体" w:cs="Times New Roman"/>
          <w:b/>
          <w:color w:val="auto"/>
          <w:sz w:val="28"/>
          <w:szCs w:val="28"/>
          <w:highlight w:val="none"/>
        </w:rPr>
        <w:t>目录</w:t>
      </w:r>
    </w:p>
    <w:p w14:paraId="1D8E922C">
      <w:pPr>
        <w:jc w:val="center"/>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（需有页码）</w:t>
      </w:r>
    </w:p>
    <w:p w14:paraId="198EF474">
      <w:pPr>
        <w:snapToGrid w:val="0"/>
        <w:spacing w:before="120" w:beforeLines="50" w:after="50" w:line="440" w:lineRule="exact"/>
        <w:jc w:val="center"/>
        <w:outlineLvl w:val="9"/>
        <w:rPr>
          <w:bCs/>
          <w:color w:val="auto"/>
          <w:sz w:val="24"/>
          <w:highlight w:val="none"/>
        </w:rPr>
        <w:sectPr>
          <w:headerReference r:id="rId18" w:type="default"/>
          <w:pgSz w:w="11906" w:h="16838"/>
          <w:pgMar w:top="1304" w:right="1418" w:bottom="1304" w:left="1418" w:header="851" w:footer="992" w:gutter="0"/>
          <w:cols w:space="720" w:num="1"/>
          <w:docGrid w:linePitch="312" w:charSpace="0"/>
        </w:sectPr>
      </w:pPr>
    </w:p>
    <w:p w14:paraId="34BE3FC5">
      <w:pPr>
        <w:snapToGrid w:val="0"/>
        <w:spacing w:before="120" w:beforeLines="50" w:after="50" w:line="440" w:lineRule="exact"/>
        <w:jc w:val="center"/>
        <w:outlineLvl w:val="9"/>
        <w:rPr>
          <w:bCs/>
          <w:color w:val="auto"/>
          <w:sz w:val="24"/>
          <w:highlight w:val="none"/>
        </w:rPr>
      </w:pPr>
      <w:r>
        <w:rPr>
          <w:bCs/>
          <w:color w:val="auto"/>
          <w:sz w:val="24"/>
          <w:highlight w:val="none"/>
        </w:rPr>
        <w:t>第二部分 商务</w:t>
      </w:r>
      <w:r>
        <w:rPr>
          <w:rFonts w:hint="eastAsia"/>
          <w:bCs/>
          <w:color w:val="auto"/>
          <w:sz w:val="24"/>
          <w:highlight w:val="none"/>
        </w:rPr>
        <w:t>技术</w:t>
      </w:r>
      <w:r>
        <w:rPr>
          <w:bCs/>
          <w:color w:val="auto"/>
          <w:sz w:val="24"/>
          <w:highlight w:val="none"/>
        </w:rPr>
        <w:t>文件</w:t>
      </w:r>
    </w:p>
    <w:p w14:paraId="74BBB3AA">
      <w:pPr>
        <w:snapToGrid w:val="0"/>
        <w:spacing w:before="120" w:beforeLines="50" w:after="50" w:line="360" w:lineRule="exact"/>
        <w:rPr>
          <w:b/>
          <w:color w:val="auto"/>
          <w:szCs w:val="21"/>
          <w:highlight w:val="none"/>
        </w:rPr>
      </w:pPr>
      <w:bookmarkStart w:id="88" w:name="_Hlk19199735"/>
      <w:r>
        <w:rPr>
          <w:rFonts w:hint="eastAsia"/>
          <w:b/>
          <w:color w:val="auto"/>
          <w:szCs w:val="21"/>
          <w:highlight w:val="none"/>
        </w:rPr>
        <w:t>1</w:t>
      </w:r>
      <w:r>
        <w:rPr>
          <w:b/>
          <w:color w:val="auto"/>
          <w:szCs w:val="21"/>
          <w:highlight w:val="none"/>
        </w:rPr>
        <w:t>．</w:t>
      </w:r>
      <w:r>
        <w:rPr>
          <w:color w:val="auto"/>
          <w:szCs w:val="21"/>
          <w:highlight w:val="none"/>
        </w:rPr>
        <w:t>法定代表人</w:t>
      </w:r>
      <w:r>
        <w:rPr>
          <w:rFonts w:hint="eastAsia"/>
          <w:color w:val="auto"/>
          <w:szCs w:val="21"/>
          <w:highlight w:val="none"/>
        </w:rPr>
        <w:t>（或分支机构负责人）</w:t>
      </w:r>
      <w:r>
        <w:rPr>
          <w:color w:val="auto"/>
          <w:szCs w:val="21"/>
          <w:highlight w:val="none"/>
        </w:rPr>
        <w:t>身份证明</w:t>
      </w:r>
      <w:r>
        <w:rPr>
          <w:rFonts w:hint="eastAsia"/>
          <w:b/>
          <w:color w:val="auto"/>
          <w:szCs w:val="21"/>
          <w:highlight w:val="none"/>
        </w:rPr>
        <w:t>（无授权</w:t>
      </w:r>
      <w:r>
        <w:rPr>
          <w:b/>
          <w:color w:val="auto"/>
          <w:szCs w:val="21"/>
          <w:highlight w:val="none"/>
        </w:rPr>
        <w:t>代表</w:t>
      </w:r>
      <w:r>
        <w:rPr>
          <w:rFonts w:hint="eastAsia"/>
          <w:b/>
          <w:color w:val="auto"/>
          <w:szCs w:val="21"/>
          <w:highlight w:val="none"/>
        </w:rPr>
        <w:t>时提供）</w:t>
      </w:r>
      <w:r>
        <w:rPr>
          <w:b/>
          <w:color w:val="auto"/>
          <w:szCs w:val="21"/>
          <w:highlight w:val="none"/>
        </w:rPr>
        <w:t>：</w:t>
      </w:r>
    </w:p>
    <w:bookmarkEnd w:id="88"/>
    <w:p w14:paraId="0E7961ED">
      <w:pPr>
        <w:jc w:val="center"/>
        <w:rPr>
          <w:color w:val="auto"/>
          <w:highlight w:val="none"/>
        </w:rPr>
      </w:pPr>
      <w:bookmarkStart w:id="89" w:name="_Toc462223472"/>
      <w:bookmarkStart w:id="90" w:name="_Toc462320613"/>
      <w:bookmarkStart w:id="91" w:name="_Toc455309222"/>
    </w:p>
    <w:bookmarkEnd w:id="89"/>
    <w:bookmarkEnd w:id="90"/>
    <w:bookmarkEnd w:id="91"/>
    <w:p w14:paraId="57B08A83">
      <w:pPr>
        <w:snapToGrid w:val="0"/>
        <w:spacing w:before="120" w:beforeLines="50" w:after="50" w:line="440" w:lineRule="exact"/>
        <w:jc w:val="center"/>
        <w:rPr>
          <w:b/>
          <w:color w:val="auto"/>
          <w:szCs w:val="21"/>
          <w:highlight w:val="none"/>
        </w:rPr>
      </w:pPr>
      <w:r>
        <w:rPr>
          <w:b/>
          <w:color w:val="auto"/>
          <w:szCs w:val="21"/>
          <w:highlight w:val="none"/>
        </w:rPr>
        <w:t>法定代表人</w:t>
      </w:r>
      <w:r>
        <w:rPr>
          <w:rFonts w:hint="eastAsia"/>
          <w:b/>
          <w:color w:val="auto"/>
          <w:szCs w:val="21"/>
          <w:highlight w:val="none"/>
        </w:rPr>
        <w:t>（或分支机构负责人）</w:t>
      </w:r>
      <w:r>
        <w:rPr>
          <w:b/>
          <w:color w:val="auto"/>
          <w:szCs w:val="21"/>
          <w:highlight w:val="none"/>
        </w:rPr>
        <w:t>身份证明</w:t>
      </w:r>
    </w:p>
    <w:p w14:paraId="2E701902">
      <w:pPr>
        <w:spacing w:line="360" w:lineRule="auto"/>
        <w:rPr>
          <w:color w:val="auto"/>
          <w:highlight w:val="none"/>
        </w:rPr>
      </w:pPr>
    </w:p>
    <w:p w14:paraId="47D42EDA">
      <w:pPr>
        <w:spacing w:line="360" w:lineRule="auto"/>
        <w:rPr>
          <w:color w:val="auto"/>
          <w:highlight w:val="none"/>
        </w:rPr>
      </w:pPr>
    </w:p>
    <w:p w14:paraId="641667F1">
      <w:pPr>
        <w:spacing w:line="540" w:lineRule="exact"/>
        <w:rPr>
          <w:color w:val="auto"/>
          <w:szCs w:val="21"/>
          <w:highlight w:val="none"/>
        </w:rPr>
      </w:pPr>
      <w:r>
        <w:rPr>
          <w:color w:val="auto"/>
          <w:szCs w:val="21"/>
          <w:highlight w:val="none"/>
        </w:rPr>
        <w:t>供应商名称：</w:t>
      </w:r>
      <w:r>
        <w:rPr>
          <w:color w:val="auto"/>
          <w:szCs w:val="21"/>
          <w:highlight w:val="none"/>
          <w:u w:val="single"/>
        </w:rPr>
        <w:t xml:space="preserve">                                         </w:t>
      </w:r>
    </w:p>
    <w:p w14:paraId="164CB009">
      <w:pPr>
        <w:spacing w:line="540" w:lineRule="exact"/>
        <w:rPr>
          <w:color w:val="auto"/>
          <w:szCs w:val="21"/>
          <w:highlight w:val="none"/>
        </w:rPr>
      </w:pPr>
      <w:r>
        <w:rPr>
          <w:color w:val="auto"/>
          <w:szCs w:val="21"/>
          <w:highlight w:val="none"/>
        </w:rPr>
        <w:t>单位性质：</w:t>
      </w:r>
      <w:r>
        <w:rPr>
          <w:color w:val="auto"/>
          <w:szCs w:val="21"/>
          <w:highlight w:val="none"/>
          <w:u w:val="single"/>
        </w:rPr>
        <w:t xml:space="preserve">                                           </w:t>
      </w:r>
    </w:p>
    <w:p w14:paraId="1B1DAC5C">
      <w:pPr>
        <w:spacing w:line="540" w:lineRule="exact"/>
        <w:rPr>
          <w:color w:val="auto"/>
          <w:szCs w:val="21"/>
          <w:highlight w:val="none"/>
        </w:rPr>
      </w:pPr>
      <w:r>
        <w:rPr>
          <w:color w:val="auto"/>
          <w:szCs w:val="21"/>
          <w:highlight w:val="none"/>
        </w:rPr>
        <w:t>地址：</w:t>
      </w:r>
      <w:r>
        <w:rPr>
          <w:color w:val="auto"/>
          <w:szCs w:val="21"/>
          <w:highlight w:val="none"/>
          <w:u w:val="single"/>
        </w:rPr>
        <w:t xml:space="preserve">                                               </w:t>
      </w:r>
    </w:p>
    <w:p w14:paraId="09886799">
      <w:pPr>
        <w:spacing w:line="540" w:lineRule="exact"/>
        <w:rPr>
          <w:color w:val="auto"/>
          <w:szCs w:val="21"/>
          <w:highlight w:val="none"/>
          <w:u w:val="single"/>
        </w:rPr>
      </w:pPr>
      <w:r>
        <w:rPr>
          <w:color w:val="auto"/>
          <w:szCs w:val="21"/>
          <w:highlight w:val="none"/>
        </w:rPr>
        <w:t>成立时间：</w:t>
      </w:r>
      <w:r>
        <w:rPr>
          <w:color w:val="auto"/>
          <w:szCs w:val="21"/>
          <w:highlight w:val="none"/>
          <w:u w:val="single"/>
        </w:rPr>
        <w:t xml:space="preserve">          年        月        日</w:t>
      </w:r>
    </w:p>
    <w:p w14:paraId="67DA41BA">
      <w:pPr>
        <w:spacing w:line="540" w:lineRule="exact"/>
        <w:rPr>
          <w:color w:val="auto"/>
          <w:szCs w:val="21"/>
          <w:highlight w:val="none"/>
        </w:rPr>
      </w:pPr>
      <w:r>
        <w:rPr>
          <w:color w:val="auto"/>
          <w:szCs w:val="21"/>
          <w:highlight w:val="none"/>
        </w:rPr>
        <w:t>经营期限：</w:t>
      </w:r>
      <w:r>
        <w:rPr>
          <w:color w:val="auto"/>
          <w:szCs w:val="21"/>
          <w:highlight w:val="none"/>
          <w:u w:val="single"/>
        </w:rPr>
        <w:t xml:space="preserve">                                           </w:t>
      </w:r>
    </w:p>
    <w:p w14:paraId="4983DEC3">
      <w:pPr>
        <w:spacing w:line="540" w:lineRule="exact"/>
        <w:rPr>
          <w:color w:val="auto"/>
          <w:szCs w:val="21"/>
          <w:highlight w:val="none"/>
        </w:rPr>
      </w:pPr>
      <w:r>
        <w:rPr>
          <w:color w:val="auto"/>
          <w:szCs w:val="21"/>
          <w:highlight w:val="none"/>
        </w:rPr>
        <w:t>姓名：</w:t>
      </w:r>
      <w:r>
        <w:rPr>
          <w:color w:val="auto"/>
          <w:szCs w:val="21"/>
          <w:highlight w:val="none"/>
          <w:u w:val="single"/>
        </w:rPr>
        <w:t xml:space="preserve">                   </w:t>
      </w:r>
      <w:r>
        <w:rPr>
          <w:color w:val="auto"/>
          <w:szCs w:val="21"/>
          <w:highlight w:val="none"/>
        </w:rPr>
        <w:t>；性别：</w:t>
      </w:r>
      <w:r>
        <w:rPr>
          <w:color w:val="auto"/>
          <w:szCs w:val="21"/>
          <w:highlight w:val="none"/>
          <w:u w:val="single"/>
        </w:rPr>
        <w:t xml:space="preserve">              </w:t>
      </w:r>
      <w:r>
        <w:rPr>
          <w:color w:val="auto"/>
          <w:szCs w:val="21"/>
          <w:highlight w:val="none"/>
        </w:rPr>
        <w:t xml:space="preserve">        </w:t>
      </w:r>
    </w:p>
    <w:p w14:paraId="7193C5CB">
      <w:pPr>
        <w:spacing w:line="540" w:lineRule="exact"/>
        <w:rPr>
          <w:color w:val="auto"/>
          <w:szCs w:val="21"/>
          <w:highlight w:val="none"/>
        </w:rPr>
      </w:pPr>
      <w:r>
        <w:rPr>
          <w:color w:val="auto"/>
          <w:szCs w:val="21"/>
          <w:highlight w:val="none"/>
        </w:rPr>
        <w:t>年龄：</w:t>
      </w:r>
      <w:r>
        <w:rPr>
          <w:color w:val="auto"/>
          <w:szCs w:val="21"/>
          <w:highlight w:val="none"/>
          <w:u w:val="single"/>
        </w:rPr>
        <w:t xml:space="preserve">         </w:t>
      </w:r>
      <w:r>
        <w:rPr>
          <w:color w:val="auto"/>
          <w:szCs w:val="21"/>
          <w:highlight w:val="none"/>
        </w:rPr>
        <w:t>；职务：</w:t>
      </w:r>
      <w:r>
        <w:rPr>
          <w:color w:val="auto"/>
          <w:szCs w:val="21"/>
          <w:highlight w:val="none"/>
          <w:u w:val="single"/>
        </w:rPr>
        <w:t xml:space="preserve">              </w:t>
      </w:r>
      <w:r>
        <w:rPr>
          <w:color w:val="auto"/>
          <w:szCs w:val="21"/>
          <w:highlight w:val="none"/>
        </w:rPr>
        <w:t>；身份证：</w:t>
      </w:r>
      <w:r>
        <w:rPr>
          <w:color w:val="auto"/>
          <w:szCs w:val="21"/>
          <w:highlight w:val="none"/>
          <w:u w:val="single"/>
        </w:rPr>
        <w:t xml:space="preserve">                                      </w:t>
      </w:r>
    </w:p>
    <w:p w14:paraId="5C06959D">
      <w:pPr>
        <w:spacing w:line="540" w:lineRule="exact"/>
        <w:rPr>
          <w:color w:val="auto"/>
          <w:szCs w:val="21"/>
          <w:highlight w:val="none"/>
        </w:rPr>
      </w:pPr>
      <w:r>
        <w:rPr>
          <w:color w:val="auto"/>
          <w:szCs w:val="21"/>
          <w:highlight w:val="none"/>
        </w:rPr>
        <w:t>系</w:t>
      </w:r>
      <w:r>
        <w:rPr>
          <w:color w:val="auto"/>
          <w:szCs w:val="21"/>
          <w:highlight w:val="none"/>
          <w:u w:val="single"/>
        </w:rPr>
        <w:t xml:space="preserve">                                      （ 供应商名称）</w:t>
      </w:r>
      <w:r>
        <w:rPr>
          <w:color w:val="auto"/>
          <w:szCs w:val="21"/>
          <w:highlight w:val="none"/>
        </w:rPr>
        <w:t>的法定代表人</w:t>
      </w:r>
      <w:r>
        <w:rPr>
          <w:rFonts w:hint="eastAsia"/>
          <w:color w:val="auto"/>
          <w:szCs w:val="21"/>
          <w:highlight w:val="none"/>
        </w:rPr>
        <w:t>（或分支机构负责人）</w:t>
      </w:r>
      <w:r>
        <w:rPr>
          <w:color w:val="auto"/>
          <w:szCs w:val="21"/>
          <w:highlight w:val="none"/>
        </w:rPr>
        <w:t>。</w:t>
      </w:r>
    </w:p>
    <w:p w14:paraId="078DC376">
      <w:pPr>
        <w:spacing w:line="540" w:lineRule="exact"/>
        <w:rPr>
          <w:rFonts w:hint="eastAsia"/>
          <w:color w:val="auto"/>
          <w:szCs w:val="21"/>
          <w:highlight w:val="none"/>
        </w:rPr>
      </w:pPr>
    </w:p>
    <w:p w14:paraId="579EBEAE">
      <w:pPr>
        <w:spacing w:line="540" w:lineRule="exact"/>
        <w:ind w:firstLine="420" w:firstLineChars="200"/>
        <w:rPr>
          <w:color w:val="auto"/>
          <w:szCs w:val="21"/>
          <w:highlight w:val="none"/>
        </w:rPr>
      </w:pPr>
      <w:r>
        <w:rPr>
          <w:color w:val="auto"/>
          <w:szCs w:val="21"/>
          <w:highlight w:val="none"/>
        </w:rPr>
        <w:t>特此证明。</w:t>
      </w:r>
    </w:p>
    <w:p w14:paraId="130FF427">
      <w:pPr>
        <w:spacing w:line="540" w:lineRule="exact"/>
        <w:rPr>
          <w:rFonts w:hint="eastAsia"/>
          <w:color w:val="auto"/>
          <w:szCs w:val="21"/>
          <w:highlight w:val="none"/>
        </w:rPr>
      </w:pPr>
    </w:p>
    <w:p w14:paraId="3BE7A53C">
      <w:pPr>
        <w:spacing w:line="360" w:lineRule="auto"/>
        <w:ind w:firstLine="4830" w:firstLineChars="2300"/>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69CCE733">
      <w:pPr>
        <w:spacing w:line="360" w:lineRule="auto"/>
        <w:rPr>
          <w:color w:val="auto"/>
          <w:szCs w:val="21"/>
          <w:highlight w:val="none"/>
        </w:rPr>
      </w:pPr>
      <w:r>
        <w:rPr>
          <w:color w:val="auto"/>
          <w:szCs w:val="21"/>
          <w:highlight w:val="none"/>
        </w:rPr>
        <w:t xml:space="preserve">                                                   年       月       日 </w:t>
      </w:r>
    </w:p>
    <w:p w14:paraId="1ECE30EE">
      <w:pPr>
        <w:spacing w:line="540" w:lineRule="exact"/>
        <w:rPr>
          <w:rFonts w:hint="eastAsia"/>
          <w:color w:val="auto"/>
          <w:szCs w:val="21"/>
          <w:highlight w:val="none"/>
        </w:rPr>
      </w:pPr>
    </w:p>
    <w:p w14:paraId="005422EE">
      <w:pPr>
        <w:spacing w:line="360" w:lineRule="auto"/>
        <w:rPr>
          <w:color w:val="auto"/>
          <w:szCs w:val="21"/>
          <w:highlight w:val="none"/>
        </w:rPr>
      </w:pPr>
      <w:bookmarkStart w:id="92" w:name="_Hlk19199756"/>
      <w:r>
        <w:rPr>
          <w:color w:val="auto"/>
          <w:szCs w:val="21"/>
          <w:highlight w:val="none"/>
        </w:rPr>
        <w:t>附件：法定代表人</w:t>
      </w:r>
      <w:r>
        <w:rPr>
          <w:rFonts w:hint="eastAsia"/>
          <w:color w:val="auto"/>
          <w:szCs w:val="21"/>
          <w:highlight w:val="none"/>
        </w:rPr>
        <w:t>（或分支机构负责人）</w:t>
      </w:r>
      <w:r>
        <w:rPr>
          <w:color w:val="auto"/>
          <w:szCs w:val="21"/>
          <w:highlight w:val="none"/>
        </w:rPr>
        <w:t>身份证复印件</w:t>
      </w:r>
    </w:p>
    <w:p w14:paraId="306C6E88">
      <w:pPr>
        <w:spacing w:line="360" w:lineRule="auto"/>
        <w:rPr>
          <w:color w:val="auto"/>
          <w:szCs w:val="21"/>
          <w:highlight w:val="none"/>
        </w:rPr>
      </w:pPr>
    </w:p>
    <w:bookmarkEnd w:id="92"/>
    <w:p w14:paraId="07AF006A">
      <w:pPr>
        <w:snapToGrid w:val="0"/>
        <w:spacing w:before="120" w:beforeLines="50" w:after="50" w:line="360" w:lineRule="exact"/>
        <w:jc w:val="left"/>
        <w:rPr>
          <w:rFonts w:hint="eastAsia"/>
          <w:color w:val="auto"/>
          <w:highlight w:val="none"/>
        </w:rPr>
      </w:pPr>
      <w:r>
        <w:rPr>
          <w:b/>
          <w:color w:val="auto"/>
          <w:szCs w:val="21"/>
          <w:highlight w:val="none"/>
        </w:rPr>
        <w:br w:type="page"/>
      </w:r>
      <w:bookmarkStart w:id="93" w:name="_Hlk19199766"/>
      <w:r>
        <w:rPr>
          <w:rFonts w:hint="eastAsia"/>
          <w:b/>
          <w:color w:val="auto"/>
          <w:szCs w:val="21"/>
          <w:highlight w:val="none"/>
        </w:rPr>
        <w:t>1</w:t>
      </w:r>
      <w:r>
        <w:rPr>
          <w:b/>
          <w:color w:val="auto"/>
          <w:szCs w:val="21"/>
          <w:highlight w:val="none"/>
        </w:rPr>
        <w:t>．</w:t>
      </w:r>
      <w:r>
        <w:rPr>
          <w:rFonts w:hint="eastAsia"/>
          <w:b/>
          <w:color w:val="auto"/>
          <w:szCs w:val="21"/>
          <w:highlight w:val="none"/>
        </w:rPr>
        <w:t>授权</w:t>
      </w:r>
      <w:r>
        <w:rPr>
          <w:b/>
          <w:color w:val="auto"/>
          <w:szCs w:val="21"/>
          <w:highlight w:val="none"/>
        </w:rPr>
        <w:t>委托书</w:t>
      </w:r>
      <w:r>
        <w:rPr>
          <w:rFonts w:hint="eastAsia"/>
          <w:b/>
          <w:color w:val="auto"/>
          <w:szCs w:val="21"/>
          <w:highlight w:val="none"/>
        </w:rPr>
        <w:t>（有授权</w:t>
      </w:r>
      <w:r>
        <w:rPr>
          <w:b/>
          <w:color w:val="auto"/>
          <w:szCs w:val="21"/>
          <w:highlight w:val="none"/>
        </w:rPr>
        <w:t>代表</w:t>
      </w:r>
      <w:r>
        <w:rPr>
          <w:rFonts w:hint="eastAsia"/>
          <w:b/>
          <w:color w:val="auto"/>
          <w:szCs w:val="21"/>
          <w:highlight w:val="none"/>
        </w:rPr>
        <w:t>时提供）</w:t>
      </w:r>
      <w:r>
        <w:rPr>
          <w:b/>
          <w:color w:val="auto"/>
          <w:szCs w:val="21"/>
          <w:highlight w:val="none"/>
        </w:rPr>
        <w:t>：</w:t>
      </w:r>
    </w:p>
    <w:bookmarkEnd w:id="93"/>
    <w:p w14:paraId="73819614">
      <w:pPr>
        <w:snapToGrid w:val="0"/>
        <w:spacing w:before="120" w:beforeLines="50" w:after="50" w:line="360" w:lineRule="exact"/>
        <w:jc w:val="center"/>
        <w:rPr>
          <w:b/>
          <w:color w:val="auto"/>
          <w:szCs w:val="21"/>
          <w:highlight w:val="none"/>
        </w:rPr>
      </w:pPr>
      <w:r>
        <w:rPr>
          <w:b/>
          <w:color w:val="auto"/>
          <w:szCs w:val="21"/>
          <w:highlight w:val="none"/>
        </w:rPr>
        <w:t>法定代表人</w:t>
      </w:r>
      <w:r>
        <w:rPr>
          <w:rFonts w:hint="eastAsia"/>
          <w:b/>
          <w:color w:val="auto"/>
          <w:szCs w:val="21"/>
          <w:highlight w:val="none"/>
        </w:rPr>
        <w:t>（或分支机构负责人）</w:t>
      </w:r>
      <w:r>
        <w:rPr>
          <w:b/>
          <w:color w:val="auto"/>
          <w:szCs w:val="21"/>
          <w:highlight w:val="none"/>
        </w:rPr>
        <w:t>授权委托书</w:t>
      </w:r>
    </w:p>
    <w:p w14:paraId="6DE60356">
      <w:pPr>
        <w:snapToGrid w:val="0"/>
        <w:spacing w:before="120" w:beforeLines="50" w:after="50" w:line="440" w:lineRule="exact"/>
        <w:rPr>
          <w:rFonts w:hint="eastAsia"/>
          <w:b/>
          <w:bCs/>
          <w:color w:val="auto"/>
          <w:szCs w:val="21"/>
          <w:highlight w:val="none"/>
        </w:rPr>
      </w:pPr>
      <w:r>
        <w:rPr>
          <w:bCs/>
          <w:color w:val="auto"/>
          <w:szCs w:val="21"/>
          <w:highlight w:val="none"/>
        </w:rPr>
        <w:t>致：</w:t>
      </w:r>
      <w:r>
        <w:rPr>
          <w:i/>
          <w:iCs/>
          <w:color w:val="auto"/>
          <w:szCs w:val="21"/>
          <w:highlight w:val="none"/>
          <w:u w:val="single"/>
        </w:rPr>
        <w:t>（采购人名称）</w:t>
      </w:r>
    </w:p>
    <w:p w14:paraId="1C3D6517">
      <w:pPr>
        <w:snapToGrid w:val="0"/>
        <w:spacing w:before="120" w:beforeLines="50" w:after="50" w:line="440" w:lineRule="exact"/>
        <w:ind w:firstLine="420" w:firstLineChars="200"/>
        <w:rPr>
          <w:color w:val="auto"/>
          <w:szCs w:val="21"/>
          <w:highlight w:val="none"/>
        </w:rPr>
      </w:pPr>
      <w:r>
        <w:rPr>
          <w:color w:val="auto"/>
          <w:szCs w:val="21"/>
          <w:highlight w:val="none"/>
        </w:rPr>
        <w:t>我</w:t>
      </w:r>
      <w:r>
        <w:rPr>
          <w:rFonts w:hint="eastAsia"/>
          <w:color w:val="auto"/>
          <w:szCs w:val="21"/>
          <w:highlight w:val="none"/>
        </w:rPr>
        <w:t xml:space="preserve"> </w:t>
      </w:r>
      <w:r>
        <w:rPr>
          <w:i/>
          <w:iCs/>
          <w:color w:val="auto"/>
          <w:szCs w:val="21"/>
          <w:highlight w:val="none"/>
          <w:u w:val="single"/>
        </w:rPr>
        <w:t>（姓名）</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系</w:t>
      </w:r>
      <w:r>
        <w:rPr>
          <w:i/>
          <w:iCs/>
          <w:color w:val="auto"/>
          <w:szCs w:val="21"/>
          <w:highlight w:val="none"/>
          <w:u w:val="single"/>
        </w:rPr>
        <w:t>（供应商名称）</w:t>
      </w:r>
      <w:r>
        <w:rPr>
          <w:color w:val="auto"/>
          <w:szCs w:val="21"/>
          <w:highlight w:val="none"/>
        </w:rPr>
        <w:t>的法定代表人</w:t>
      </w:r>
      <w:r>
        <w:rPr>
          <w:rFonts w:hint="eastAsia"/>
          <w:color w:val="auto"/>
          <w:szCs w:val="21"/>
          <w:highlight w:val="none"/>
        </w:rPr>
        <w:t>（或分支机构负责人）</w:t>
      </w:r>
      <w:r>
        <w:rPr>
          <w:color w:val="auto"/>
          <w:szCs w:val="21"/>
          <w:highlight w:val="none"/>
        </w:rPr>
        <w:t>，现授权委托本单位在职职工</w:t>
      </w:r>
      <w:r>
        <w:rPr>
          <w:i/>
          <w:iCs/>
          <w:color w:val="auto"/>
          <w:szCs w:val="21"/>
          <w:highlight w:val="none"/>
          <w:u w:val="single"/>
        </w:rPr>
        <w:t>（姓名）</w:t>
      </w:r>
      <w:r>
        <w:rPr>
          <w:color w:val="auto"/>
          <w:szCs w:val="21"/>
          <w:highlight w:val="none"/>
        </w:rPr>
        <w:t>以我方的名义参加</w:t>
      </w:r>
      <w:r>
        <w:rPr>
          <w:rFonts w:hint="eastAsia"/>
          <w:i/>
          <w:iCs/>
          <w:color w:val="auto"/>
          <w:szCs w:val="21"/>
          <w:highlight w:val="none"/>
          <w:u w:val="single"/>
        </w:rPr>
        <w:t>（项目名称 ）</w:t>
      </w:r>
      <w:r>
        <w:rPr>
          <w:color w:val="auto"/>
          <w:szCs w:val="21"/>
          <w:highlight w:val="none"/>
        </w:rPr>
        <w:t>项目的磋商活动，并代表我方全权办理针对上述项目的磋商、截标、评审、签约等具体事务和签署相关文件。</w:t>
      </w:r>
    </w:p>
    <w:p w14:paraId="5585EEA4">
      <w:pPr>
        <w:snapToGrid w:val="0"/>
        <w:spacing w:before="120" w:beforeLines="50" w:after="50" w:line="440" w:lineRule="exact"/>
        <w:rPr>
          <w:color w:val="auto"/>
          <w:szCs w:val="21"/>
          <w:highlight w:val="none"/>
        </w:rPr>
      </w:pPr>
      <w:r>
        <w:rPr>
          <w:color w:val="auto"/>
          <w:szCs w:val="21"/>
          <w:highlight w:val="none"/>
        </w:rPr>
        <w:t xml:space="preserve">    我方对被授权人的签名事项负全部责任。</w:t>
      </w:r>
    </w:p>
    <w:p w14:paraId="514CC678">
      <w:pPr>
        <w:snapToGrid w:val="0"/>
        <w:spacing w:before="120" w:beforeLines="50" w:after="50" w:line="440" w:lineRule="exact"/>
        <w:ind w:firstLine="480"/>
        <w:rPr>
          <w:color w:val="auto"/>
          <w:szCs w:val="21"/>
          <w:highlight w:val="none"/>
        </w:rPr>
      </w:pPr>
      <w:r>
        <w:rPr>
          <w:color w:val="auto"/>
          <w:szCs w:val="21"/>
          <w:highlight w:val="none"/>
        </w:rPr>
        <w:t>在撤销授权的书面通知以前，本授权书一直有效。被授权人在授权书有效期内签署的所有文件不因授权的撤销而失效。</w:t>
      </w:r>
    </w:p>
    <w:p w14:paraId="4DAFB250">
      <w:pPr>
        <w:snapToGrid w:val="0"/>
        <w:spacing w:before="120" w:beforeLines="50" w:after="50" w:line="440" w:lineRule="exact"/>
        <w:ind w:firstLine="480"/>
        <w:rPr>
          <w:color w:val="auto"/>
          <w:szCs w:val="21"/>
          <w:highlight w:val="none"/>
        </w:rPr>
      </w:pPr>
      <w:r>
        <w:rPr>
          <w:color w:val="auto"/>
          <w:szCs w:val="21"/>
          <w:highlight w:val="none"/>
        </w:rPr>
        <w:t>被授权人无转委托权，特此委托。</w:t>
      </w:r>
    </w:p>
    <w:p w14:paraId="0E6722AA">
      <w:pPr>
        <w:snapToGrid w:val="0"/>
        <w:spacing w:before="120" w:beforeLines="50" w:after="50" w:line="440" w:lineRule="exact"/>
        <w:rPr>
          <w:color w:val="auto"/>
          <w:szCs w:val="21"/>
          <w:highlight w:val="none"/>
          <w:u w:val="single"/>
        </w:rPr>
      </w:pPr>
      <w:r>
        <w:rPr>
          <w:color w:val="auto"/>
          <w:szCs w:val="21"/>
          <w:highlight w:val="none"/>
        </w:rPr>
        <w:t>被授权人签名或</w:t>
      </w:r>
      <w:r>
        <w:rPr>
          <w:rFonts w:hint="eastAsia"/>
          <w:color w:val="auto"/>
          <w:szCs w:val="21"/>
          <w:highlight w:val="none"/>
        </w:rPr>
        <w:t>签章</w:t>
      </w:r>
      <w:r>
        <w:rPr>
          <w:color w:val="auto"/>
          <w:szCs w:val="21"/>
          <w:highlight w:val="none"/>
        </w:rPr>
        <w:t>：</w:t>
      </w:r>
      <w:r>
        <w:rPr>
          <w:color w:val="auto"/>
          <w:szCs w:val="21"/>
          <w:highlight w:val="none"/>
          <w:u w:val="single"/>
        </w:rPr>
        <w:t xml:space="preserve">          </w:t>
      </w:r>
      <w:r>
        <w:rPr>
          <w:color w:val="auto"/>
          <w:szCs w:val="21"/>
          <w:highlight w:val="none"/>
        </w:rPr>
        <w:t xml:space="preserve">   </w:t>
      </w:r>
      <w:r>
        <w:rPr>
          <w:rFonts w:hint="eastAsia"/>
          <w:color w:val="auto"/>
          <w:szCs w:val="21"/>
          <w:highlight w:val="none"/>
          <w:lang w:val="en-US" w:eastAsia="zh-CN"/>
        </w:rPr>
        <w:t xml:space="preserve"> </w:t>
      </w:r>
      <w:r>
        <w:rPr>
          <w:color w:val="auto"/>
          <w:szCs w:val="21"/>
          <w:highlight w:val="none"/>
        </w:rPr>
        <w:t>法定代表人</w:t>
      </w:r>
      <w:r>
        <w:rPr>
          <w:rFonts w:hint="eastAsia"/>
          <w:color w:val="auto"/>
          <w:szCs w:val="21"/>
          <w:highlight w:val="none"/>
        </w:rPr>
        <w:t>（或分支机构负责人）</w:t>
      </w:r>
      <w:r>
        <w:rPr>
          <w:color w:val="auto"/>
          <w:szCs w:val="21"/>
          <w:highlight w:val="none"/>
        </w:rPr>
        <w:t>签名或</w:t>
      </w:r>
      <w:r>
        <w:rPr>
          <w:rFonts w:hint="eastAsia"/>
          <w:color w:val="auto"/>
          <w:szCs w:val="21"/>
          <w:highlight w:val="none"/>
        </w:rPr>
        <w:t>签章</w:t>
      </w:r>
      <w:r>
        <w:rPr>
          <w:color w:val="auto"/>
          <w:szCs w:val="21"/>
          <w:highlight w:val="none"/>
        </w:rPr>
        <w:t>：</w:t>
      </w:r>
      <w:r>
        <w:rPr>
          <w:color w:val="auto"/>
          <w:szCs w:val="21"/>
          <w:highlight w:val="none"/>
          <w:u w:val="single"/>
        </w:rPr>
        <w:t xml:space="preserve">          </w:t>
      </w:r>
    </w:p>
    <w:p w14:paraId="3657ED9C">
      <w:pPr>
        <w:snapToGrid w:val="0"/>
        <w:spacing w:before="120" w:beforeLines="50" w:after="50" w:line="440" w:lineRule="exact"/>
        <w:rPr>
          <w:color w:val="auto"/>
          <w:szCs w:val="21"/>
          <w:highlight w:val="none"/>
        </w:rPr>
      </w:pPr>
      <w:r>
        <w:rPr>
          <w:color w:val="auto"/>
          <w:szCs w:val="21"/>
          <w:highlight w:val="none"/>
        </w:rPr>
        <w:t>职务：</w:t>
      </w:r>
      <w:r>
        <w:rPr>
          <w:color w:val="auto"/>
          <w:szCs w:val="21"/>
          <w:highlight w:val="none"/>
          <w:u w:val="single"/>
        </w:rPr>
        <w:t xml:space="preserve">           </w:t>
      </w:r>
      <w:r>
        <w:rPr>
          <w:color w:val="auto"/>
          <w:szCs w:val="21"/>
          <w:highlight w:val="none"/>
        </w:rPr>
        <w:t xml:space="preserve"> </w:t>
      </w:r>
    </w:p>
    <w:p w14:paraId="0C1BF131">
      <w:pPr>
        <w:snapToGrid w:val="0"/>
        <w:spacing w:before="120" w:beforeLines="50" w:after="50" w:line="440" w:lineRule="exact"/>
        <w:rPr>
          <w:color w:val="auto"/>
          <w:szCs w:val="21"/>
          <w:highlight w:val="none"/>
        </w:rPr>
      </w:pPr>
      <w:r>
        <w:rPr>
          <w:color w:val="auto"/>
          <w:szCs w:val="21"/>
          <w:highlight w:val="none"/>
        </w:rPr>
        <w:t>被授权人身份证号码：</w:t>
      </w:r>
      <w:r>
        <w:rPr>
          <w:color w:val="auto"/>
          <w:szCs w:val="21"/>
          <w:highlight w:val="none"/>
          <w:u w:val="single"/>
        </w:rPr>
        <w:t xml:space="preserve">                   </w:t>
      </w:r>
      <w:r>
        <w:rPr>
          <w:color w:val="auto"/>
          <w:szCs w:val="21"/>
          <w:highlight w:val="none"/>
        </w:rPr>
        <w:t xml:space="preserve">                              职务：</w:t>
      </w:r>
      <w:r>
        <w:rPr>
          <w:color w:val="auto"/>
          <w:szCs w:val="21"/>
          <w:highlight w:val="none"/>
          <w:u w:val="single"/>
        </w:rPr>
        <w:t xml:space="preserve">           </w:t>
      </w:r>
    </w:p>
    <w:p w14:paraId="7B1AD0F6">
      <w:pPr>
        <w:snapToGrid w:val="0"/>
        <w:spacing w:before="120" w:beforeLines="50" w:after="50" w:line="440" w:lineRule="exact"/>
        <w:rPr>
          <w:color w:val="auto"/>
          <w:szCs w:val="21"/>
          <w:highlight w:val="none"/>
        </w:rPr>
      </w:pPr>
      <w:r>
        <w:rPr>
          <w:rFonts w:hint="eastAsia"/>
          <w:color w:val="auto"/>
          <w:szCs w:val="21"/>
          <w:highlight w:val="none"/>
        </w:rPr>
        <w:t>被授权人手机号码及邮箱</w:t>
      </w:r>
      <w:r>
        <w:rPr>
          <w:color w:val="auto"/>
          <w:szCs w:val="21"/>
          <w:highlight w:val="none"/>
        </w:rPr>
        <w:t>：</w:t>
      </w:r>
      <w:r>
        <w:rPr>
          <w:color w:val="auto"/>
          <w:szCs w:val="21"/>
          <w:highlight w:val="none"/>
          <w:u w:val="single"/>
        </w:rPr>
        <w:t xml:space="preserve">               </w:t>
      </w:r>
      <w:r>
        <w:rPr>
          <w:color w:val="auto"/>
          <w:szCs w:val="21"/>
          <w:highlight w:val="none"/>
        </w:rPr>
        <w:t xml:space="preserve">            授权人身份证号码：</w:t>
      </w:r>
      <w:r>
        <w:rPr>
          <w:color w:val="auto"/>
          <w:szCs w:val="21"/>
          <w:highlight w:val="none"/>
          <w:u w:val="single"/>
        </w:rPr>
        <w:t xml:space="preserve">                 </w:t>
      </w:r>
    </w:p>
    <w:p w14:paraId="5CEC0ED1">
      <w:pPr>
        <w:snapToGrid w:val="0"/>
        <w:spacing w:before="120" w:beforeLines="50" w:after="50" w:line="440" w:lineRule="exact"/>
        <w:rPr>
          <w:rFonts w:hint="eastAsia"/>
          <w:color w:val="auto"/>
          <w:szCs w:val="21"/>
          <w:highlight w:val="none"/>
        </w:rPr>
      </w:pPr>
      <w:r>
        <w:rPr>
          <w:color w:val="auto"/>
          <w:szCs w:val="21"/>
          <w:highlight w:val="none"/>
        </w:rPr>
        <w:t xml:space="preserve">                                </w:t>
      </w:r>
    </w:p>
    <w:p w14:paraId="4C9D4FCB">
      <w:pPr>
        <w:snapToGrid w:val="0"/>
        <w:spacing w:before="120" w:beforeLines="50" w:after="50" w:line="440" w:lineRule="exact"/>
        <w:ind w:firstLine="4830" w:firstLineChars="2300"/>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5816C127">
      <w:pPr>
        <w:snapToGrid w:val="0"/>
        <w:spacing w:before="120" w:beforeLines="50" w:after="50" w:line="440" w:lineRule="exact"/>
        <w:jc w:val="center"/>
        <w:rPr>
          <w:color w:val="auto"/>
          <w:szCs w:val="21"/>
          <w:highlight w:val="none"/>
        </w:rPr>
      </w:pPr>
      <w:r>
        <w:rPr>
          <w:color w:val="auto"/>
          <w:szCs w:val="21"/>
          <w:highlight w:val="none"/>
        </w:rPr>
        <w:t xml:space="preserve">                                        年    月    日</w:t>
      </w:r>
    </w:p>
    <w:p w14:paraId="711D9485">
      <w:pPr>
        <w:spacing w:line="360" w:lineRule="auto"/>
        <w:rPr>
          <w:color w:val="auto"/>
          <w:szCs w:val="21"/>
          <w:highlight w:val="none"/>
        </w:rPr>
      </w:pPr>
      <w:r>
        <w:rPr>
          <w:color w:val="auto"/>
          <w:szCs w:val="21"/>
          <w:highlight w:val="none"/>
        </w:rPr>
        <w:t>附件：法定代表人</w:t>
      </w:r>
      <w:r>
        <w:rPr>
          <w:rFonts w:hint="eastAsia"/>
          <w:color w:val="auto"/>
          <w:szCs w:val="21"/>
          <w:highlight w:val="none"/>
        </w:rPr>
        <w:t>（或分支机构负责人）</w:t>
      </w:r>
      <w:r>
        <w:rPr>
          <w:color w:val="auto"/>
          <w:szCs w:val="21"/>
          <w:highlight w:val="none"/>
        </w:rPr>
        <w:t>身份证复印件及授权代表身份证复印件</w:t>
      </w:r>
    </w:p>
    <w:p w14:paraId="16A16C83">
      <w:pPr>
        <w:jc w:val="center"/>
        <w:rPr>
          <w:bCs/>
          <w:color w:val="auto"/>
          <w:sz w:val="24"/>
          <w:highlight w:val="none"/>
        </w:rPr>
      </w:pPr>
      <w:r>
        <w:rPr>
          <w:color w:val="auto"/>
          <w:highlight w:val="none"/>
        </w:rPr>
        <w:br w:type="page"/>
      </w:r>
      <w:r>
        <w:rPr>
          <w:color w:val="auto"/>
          <w:highlight w:val="none"/>
        </w:rPr>
        <w:t>（本商务文件供应商可自行编写，也可参照下述提纲编写）</w:t>
      </w:r>
    </w:p>
    <w:p w14:paraId="2F808CF2">
      <w:pPr>
        <w:snapToGrid w:val="0"/>
        <w:spacing w:before="50" w:after="120" w:afterLines="50"/>
        <w:jc w:val="left"/>
        <w:rPr>
          <w:rFonts w:hint="eastAsia"/>
          <w:color w:val="auto"/>
          <w:szCs w:val="21"/>
          <w:highlight w:val="none"/>
        </w:rPr>
      </w:pPr>
    </w:p>
    <w:p w14:paraId="09EE3ADF">
      <w:pPr>
        <w:rPr>
          <w:color w:val="auto"/>
          <w:szCs w:val="21"/>
          <w:highlight w:val="none"/>
        </w:rPr>
      </w:pPr>
      <w:r>
        <w:rPr>
          <w:rFonts w:hint="eastAsia"/>
          <w:color w:val="auto"/>
          <w:szCs w:val="21"/>
          <w:highlight w:val="none"/>
        </w:rPr>
        <w:t>1</w:t>
      </w:r>
      <w:r>
        <w:rPr>
          <w:color w:val="auto"/>
          <w:szCs w:val="21"/>
          <w:highlight w:val="none"/>
        </w:rPr>
        <w:t>．</w:t>
      </w:r>
      <w:r>
        <w:rPr>
          <w:rFonts w:hint="eastAsia"/>
          <w:color w:val="auto"/>
          <w:szCs w:val="21"/>
          <w:highlight w:val="none"/>
        </w:rPr>
        <w:t>对</w:t>
      </w:r>
      <w:r>
        <w:rPr>
          <w:color w:val="auto"/>
          <w:szCs w:val="21"/>
          <w:highlight w:val="none"/>
        </w:rPr>
        <w:t>本项目第</w:t>
      </w:r>
      <w:r>
        <w:rPr>
          <w:rFonts w:hint="eastAsia"/>
          <w:color w:val="auto"/>
          <w:szCs w:val="21"/>
          <w:highlight w:val="none"/>
        </w:rPr>
        <w:t>二</w:t>
      </w:r>
      <w:r>
        <w:rPr>
          <w:color w:val="auto"/>
          <w:szCs w:val="21"/>
          <w:highlight w:val="none"/>
        </w:rPr>
        <w:t>章</w:t>
      </w:r>
      <w:r>
        <w:rPr>
          <w:rFonts w:hint="eastAsia"/>
          <w:color w:val="auto"/>
          <w:szCs w:val="21"/>
          <w:highlight w:val="none"/>
        </w:rPr>
        <w:t>《</w:t>
      </w:r>
      <w:r>
        <w:rPr>
          <w:color w:val="auto"/>
          <w:szCs w:val="21"/>
          <w:highlight w:val="none"/>
        </w:rPr>
        <w:t>采购需求</w:t>
      </w:r>
      <w:r>
        <w:rPr>
          <w:rFonts w:hint="eastAsia"/>
          <w:color w:val="auto"/>
          <w:szCs w:val="21"/>
          <w:highlight w:val="none"/>
        </w:rPr>
        <w:t>》</w:t>
      </w:r>
      <w:r>
        <w:rPr>
          <w:rFonts w:hint="eastAsia"/>
          <w:color w:val="auto"/>
          <w:szCs w:val="21"/>
          <w:highlight w:val="none"/>
          <w:lang w:val="en-US" w:eastAsia="zh-CN"/>
        </w:rPr>
        <w:t>技术要求</w:t>
      </w:r>
      <w:r>
        <w:rPr>
          <w:color w:val="auto"/>
          <w:szCs w:val="21"/>
          <w:highlight w:val="none"/>
        </w:rPr>
        <w:t>的</w:t>
      </w:r>
      <w:r>
        <w:rPr>
          <w:rFonts w:hint="eastAsia"/>
          <w:color w:val="auto"/>
          <w:szCs w:val="21"/>
          <w:highlight w:val="none"/>
        </w:rPr>
        <w:t>响应表</w:t>
      </w:r>
      <w:r>
        <w:rPr>
          <w:color w:val="auto"/>
          <w:szCs w:val="21"/>
          <w:highlight w:val="none"/>
        </w:rPr>
        <w:t>：</w:t>
      </w:r>
    </w:p>
    <w:tbl>
      <w:tblPr>
        <w:tblStyle w:val="5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52F4F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7D66B89E">
            <w:pPr>
              <w:snapToGrid w:val="0"/>
              <w:spacing w:before="120" w:beforeLines="50"/>
              <w:jc w:val="center"/>
              <w:rPr>
                <w:color w:val="auto"/>
                <w:szCs w:val="21"/>
                <w:highlight w:val="none"/>
              </w:rPr>
            </w:pPr>
            <w:r>
              <w:rPr>
                <w:color w:val="auto"/>
                <w:szCs w:val="21"/>
                <w:highlight w:val="none"/>
              </w:rPr>
              <w:t>序号</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2FF0CEDB">
            <w:pPr>
              <w:snapToGrid w:val="0"/>
              <w:spacing w:before="120" w:beforeLines="50"/>
              <w:jc w:val="center"/>
              <w:rPr>
                <w:color w:val="auto"/>
                <w:szCs w:val="21"/>
                <w:highlight w:val="none"/>
              </w:rPr>
            </w:pPr>
            <w:r>
              <w:rPr>
                <w:rFonts w:hint="eastAsia"/>
                <w:color w:val="auto"/>
                <w:szCs w:val="21"/>
                <w:highlight w:val="none"/>
              </w:rPr>
              <w:t>采购文件</w:t>
            </w:r>
            <w:r>
              <w:rPr>
                <w:color w:val="auto"/>
                <w:szCs w:val="21"/>
                <w:highlight w:val="none"/>
              </w:rPr>
              <w:t>要求（注明章节及条款号）</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07D9B8DD">
            <w:pPr>
              <w:snapToGrid w:val="0"/>
              <w:spacing w:before="120" w:beforeLines="50"/>
              <w:jc w:val="center"/>
              <w:rPr>
                <w:color w:val="auto"/>
                <w:szCs w:val="21"/>
                <w:highlight w:val="none"/>
              </w:rPr>
            </w:pPr>
            <w:r>
              <w:rPr>
                <w:rFonts w:hint="eastAsia"/>
                <w:color w:val="auto"/>
                <w:szCs w:val="21"/>
                <w:highlight w:val="none"/>
              </w:rPr>
              <w:t>响应</w:t>
            </w:r>
            <w:r>
              <w:rPr>
                <w:color w:val="auto"/>
                <w:szCs w:val="21"/>
                <w:highlight w:val="none"/>
              </w:rPr>
              <w:t>文件响应内容</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45564AEF">
            <w:pPr>
              <w:snapToGrid w:val="0"/>
              <w:spacing w:before="120" w:beforeLines="50"/>
              <w:jc w:val="center"/>
              <w:rPr>
                <w:color w:val="auto"/>
                <w:szCs w:val="21"/>
                <w:highlight w:val="none"/>
              </w:rPr>
            </w:pPr>
            <w:r>
              <w:rPr>
                <w:color w:val="auto"/>
                <w:highlight w:val="none"/>
              </w:rPr>
              <w:t>偏离</w:t>
            </w:r>
            <w:r>
              <w:rPr>
                <w:color w:val="auto"/>
                <w:szCs w:val="21"/>
                <w:highlight w:val="none"/>
              </w:rPr>
              <w:t>说明</w:t>
            </w:r>
          </w:p>
        </w:tc>
      </w:tr>
      <w:tr w14:paraId="2BDC26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2A93B3C6">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0D495BC1">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2C404054">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0557645D">
            <w:pPr>
              <w:snapToGrid w:val="0"/>
              <w:spacing w:before="120" w:beforeLines="50"/>
              <w:jc w:val="center"/>
              <w:rPr>
                <w:color w:val="auto"/>
                <w:szCs w:val="21"/>
                <w:highlight w:val="none"/>
              </w:rPr>
            </w:pPr>
          </w:p>
        </w:tc>
      </w:tr>
      <w:tr w14:paraId="7D0A95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3158AD00">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3AA80E32">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6A26537C">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4FD5440D">
            <w:pPr>
              <w:snapToGrid w:val="0"/>
              <w:spacing w:before="120" w:beforeLines="50"/>
              <w:jc w:val="center"/>
              <w:rPr>
                <w:color w:val="auto"/>
                <w:szCs w:val="21"/>
                <w:highlight w:val="none"/>
              </w:rPr>
            </w:pPr>
          </w:p>
        </w:tc>
      </w:tr>
      <w:tr w14:paraId="4FE35A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5C462DFE">
            <w:pPr>
              <w:snapToGrid w:val="0"/>
              <w:spacing w:before="120" w:beforeLines="50"/>
              <w:jc w:val="center"/>
              <w:rPr>
                <w:color w:val="auto"/>
                <w:szCs w:val="21"/>
                <w:highlight w:val="none"/>
              </w:rPr>
            </w:pPr>
            <w:r>
              <w:rPr>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268BAA3F">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092DDD5A">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29D79858">
            <w:pPr>
              <w:snapToGrid w:val="0"/>
              <w:spacing w:before="120" w:beforeLines="50"/>
              <w:jc w:val="center"/>
              <w:rPr>
                <w:color w:val="auto"/>
                <w:szCs w:val="21"/>
                <w:highlight w:val="none"/>
              </w:rPr>
            </w:pPr>
          </w:p>
        </w:tc>
      </w:tr>
      <w:tr w14:paraId="711D78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5A8CFBD5">
            <w:pPr>
              <w:snapToGrid w:val="0"/>
              <w:spacing w:before="120" w:beforeLines="50"/>
              <w:jc w:val="center"/>
              <w:rPr>
                <w:color w:val="auto"/>
                <w:szCs w:val="21"/>
                <w:highlight w:val="none"/>
              </w:rPr>
            </w:pPr>
            <w:r>
              <w:rPr>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18905A88">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68FE8C0C">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6366DB1E">
            <w:pPr>
              <w:snapToGrid w:val="0"/>
              <w:spacing w:before="120" w:beforeLines="50"/>
              <w:jc w:val="center"/>
              <w:rPr>
                <w:color w:val="auto"/>
                <w:szCs w:val="21"/>
                <w:highlight w:val="none"/>
              </w:rPr>
            </w:pPr>
          </w:p>
        </w:tc>
      </w:tr>
    </w:tbl>
    <w:p w14:paraId="79D61255">
      <w:pPr>
        <w:rPr>
          <w:color w:val="auto"/>
          <w:szCs w:val="21"/>
          <w:highlight w:val="none"/>
        </w:rPr>
      </w:pPr>
    </w:p>
    <w:p w14:paraId="3AABD640">
      <w:pPr>
        <w:pStyle w:val="27"/>
        <w:tabs>
          <w:tab w:val="left" w:pos="2127"/>
        </w:tabs>
        <w:spacing w:line="340" w:lineRule="exact"/>
        <w:jc w:val="left"/>
        <w:rPr>
          <w:rFonts w:ascii="Times New Roman" w:hAnsi="Times New Roman" w:cs="Times New Roman"/>
          <w:color w:val="auto"/>
          <w:highlight w:val="none"/>
        </w:rPr>
      </w:pPr>
      <w:r>
        <w:rPr>
          <w:color w:val="auto"/>
          <w:highlight w:val="none"/>
        </w:rPr>
        <w:t>注：（1）</w:t>
      </w:r>
      <w:r>
        <w:rPr>
          <w:rFonts w:ascii="Times New Roman" w:hAnsi="Times New Roman" w:cs="Times New Roman"/>
          <w:color w:val="auto"/>
          <w:highlight w:val="none"/>
        </w:rPr>
        <w:t>本表应对采购文件</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ascii="Times New Roman" w:hAnsi="Times New Roman" w:cs="Times New Roman"/>
          <w:color w:val="auto"/>
          <w:highlight w:val="none"/>
        </w:rPr>
        <w:t>中所列</w:t>
      </w:r>
      <w:r>
        <w:rPr>
          <w:rFonts w:hint="eastAsia" w:ascii="Times New Roman" w:hAnsi="Times New Roman" w:cs="Times New Roman"/>
          <w:color w:val="auto"/>
          <w:highlight w:val="none"/>
          <w:lang w:val="en-US" w:eastAsia="zh-CN"/>
        </w:rPr>
        <w:t>技术要求</w:t>
      </w:r>
      <w:r>
        <w:rPr>
          <w:rFonts w:ascii="Times New Roman" w:hAnsi="Times New Roman" w:cs="Times New Roman"/>
          <w:color w:val="auto"/>
          <w:highlight w:val="none"/>
        </w:rPr>
        <w:t>进行响应，并根据响应情况在“偏离说明”栏填写正偏离或负偏离及原因，完全符合的填写</w:t>
      </w:r>
      <w:r>
        <w:rPr>
          <w:rFonts w:hint="eastAsia" w:ascii="Times New Roman" w:hAnsi="Times New Roman" w:cs="Times New Roman"/>
          <w:color w:val="auto"/>
          <w:highlight w:val="none"/>
        </w:rPr>
        <w:t>“</w:t>
      </w:r>
      <w:r>
        <w:rPr>
          <w:rFonts w:ascii="Times New Roman" w:hAnsi="Times New Roman" w:cs="Times New Roman"/>
          <w:color w:val="auto"/>
          <w:highlight w:val="none"/>
        </w:rPr>
        <w:t>无偏离</w:t>
      </w:r>
      <w:r>
        <w:rPr>
          <w:rFonts w:hint="eastAsia" w:ascii="Times New Roman" w:hAnsi="Times New Roman" w:cs="Times New Roman"/>
          <w:color w:val="auto"/>
          <w:highlight w:val="none"/>
        </w:rPr>
        <w:t>”</w:t>
      </w:r>
      <w:r>
        <w:rPr>
          <w:rFonts w:ascii="Times New Roman" w:hAnsi="Times New Roman" w:cs="Times New Roman"/>
          <w:color w:val="auto"/>
          <w:highlight w:val="none"/>
        </w:rPr>
        <w:t>。</w:t>
      </w:r>
    </w:p>
    <w:p w14:paraId="465418C5">
      <w:pPr>
        <w:rPr>
          <w:color w:val="auto"/>
          <w:highlight w:val="none"/>
        </w:rPr>
      </w:pPr>
      <w:r>
        <w:rPr>
          <w:rFonts w:hint="eastAsia"/>
          <w:color w:val="auto"/>
          <w:highlight w:val="none"/>
        </w:rPr>
        <w:t>（2）</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《采购需求》中的总体要求无需响应。</w:t>
      </w:r>
    </w:p>
    <w:p w14:paraId="43BA77A4">
      <w:pPr>
        <w:rPr>
          <w:color w:val="auto"/>
          <w:highlight w:val="none"/>
        </w:rPr>
      </w:pPr>
      <w:r>
        <w:rPr>
          <w:rFonts w:hint="eastAsia"/>
          <w:color w:val="auto"/>
          <w:highlight w:val="none"/>
        </w:rPr>
        <w:t>（</w:t>
      </w:r>
      <w:r>
        <w:rPr>
          <w:color w:val="auto"/>
          <w:highlight w:val="none"/>
        </w:rPr>
        <w:t>3</w:t>
      </w:r>
      <w:r>
        <w:rPr>
          <w:rFonts w:hint="eastAsia"/>
          <w:color w:val="auto"/>
          <w:highlight w:val="none"/>
        </w:rPr>
        <w:t>）偏离认定说明详见评审方法及标准。</w:t>
      </w:r>
    </w:p>
    <w:p w14:paraId="53EB4A7C">
      <w:pPr>
        <w:rPr>
          <w:color w:val="auto"/>
          <w:highlight w:val="none"/>
        </w:rPr>
      </w:pPr>
      <w:r>
        <w:rPr>
          <w:color w:val="auto"/>
          <w:highlight w:val="none"/>
        </w:rPr>
        <w:t>（4）本表可扩展。</w:t>
      </w:r>
    </w:p>
    <w:p w14:paraId="29831C44">
      <w:pPr>
        <w:rPr>
          <w:color w:val="auto"/>
          <w:szCs w:val="21"/>
          <w:highlight w:val="none"/>
        </w:rPr>
      </w:pPr>
    </w:p>
    <w:p w14:paraId="548E0DFB">
      <w:pPr>
        <w:rPr>
          <w:color w:val="auto"/>
          <w:spacing w:val="20"/>
          <w:szCs w:val="21"/>
          <w:highlight w:val="none"/>
          <w:u w:val="single"/>
        </w:rPr>
      </w:pPr>
    </w:p>
    <w:p w14:paraId="09F783C8">
      <w:pPr>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p w14:paraId="65D7D6BF">
      <w:pPr>
        <w:rPr>
          <w:color w:val="auto"/>
          <w:spacing w:val="20"/>
          <w:szCs w:val="21"/>
          <w:highlight w:val="none"/>
          <w:u w:val="single"/>
        </w:rPr>
      </w:pPr>
    </w:p>
    <w:p w14:paraId="6864B926">
      <w:pPr>
        <w:rPr>
          <w:color w:val="auto"/>
          <w:spacing w:val="20"/>
          <w:szCs w:val="21"/>
          <w:highlight w:val="none"/>
          <w:u w:val="single"/>
        </w:rPr>
      </w:pPr>
    </w:p>
    <w:p w14:paraId="0BC61BC3">
      <w:pPr>
        <w:rPr>
          <w:rFonts w:hint="default" w:eastAsia="宋体"/>
          <w:color w:val="auto"/>
          <w:szCs w:val="21"/>
          <w:highlight w:val="none"/>
          <w:lang w:val="en-US" w:eastAsia="zh-CN"/>
        </w:rPr>
      </w:pPr>
      <w:r>
        <w:rPr>
          <w:rFonts w:hint="eastAsia"/>
          <w:color w:val="auto"/>
          <w:szCs w:val="21"/>
          <w:highlight w:val="none"/>
          <w:lang w:val="en-US" w:eastAsia="zh-CN"/>
        </w:rPr>
        <w:t>2.技术方案</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根据</w:t>
      </w:r>
      <w:r>
        <w:rPr>
          <w:rFonts w:hint="eastAsia" w:ascii="宋体" w:hAnsi="宋体" w:eastAsia="宋体" w:cs="宋体"/>
          <w:b/>
          <w:bCs/>
          <w:color w:val="auto"/>
          <w:sz w:val="21"/>
          <w:szCs w:val="21"/>
          <w:highlight w:val="none"/>
        </w:rPr>
        <w:t>供应商自身条件</w:t>
      </w:r>
      <w:r>
        <w:rPr>
          <w:rFonts w:hint="eastAsia" w:ascii="宋体" w:hAnsi="宋体" w:cs="宋体"/>
          <w:b/>
          <w:bCs/>
          <w:color w:val="auto"/>
          <w:sz w:val="21"/>
          <w:szCs w:val="21"/>
          <w:highlight w:val="none"/>
          <w:lang w:val="en-US" w:eastAsia="zh-CN"/>
        </w:rPr>
        <w:t>结合项目情况</w:t>
      </w:r>
      <w:r>
        <w:rPr>
          <w:rFonts w:hint="eastAsia" w:ascii="宋体" w:hAnsi="宋体" w:eastAsia="宋体" w:cs="宋体"/>
          <w:b/>
          <w:bCs/>
          <w:color w:val="auto"/>
          <w:sz w:val="21"/>
          <w:szCs w:val="21"/>
          <w:highlight w:val="none"/>
        </w:rPr>
        <w:t>编制；格式自拟</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并加盖公章</w:t>
      </w:r>
      <w:r>
        <w:rPr>
          <w:rFonts w:hint="eastAsia" w:ascii="宋体" w:hAnsi="宋体" w:eastAsia="宋体" w:cs="宋体"/>
          <w:b/>
          <w:bCs/>
          <w:color w:val="auto"/>
          <w:sz w:val="21"/>
          <w:szCs w:val="21"/>
          <w:highlight w:val="none"/>
        </w:rPr>
        <w:t>）</w:t>
      </w:r>
    </w:p>
    <w:p w14:paraId="0F1D2032">
      <w:pPr>
        <w:snapToGrid w:val="0"/>
        <w:spacing w:before="50" w:after="120" w:afterLines="50"/>
        <w:jc w:val="left"/>
        <w:rPr>
          <w:rFonts w:hint="eastAsia"/>
          <w:color w:val="auto"/>
          <w:szCs w:val="21"/>
          <w:highlight w:val="none"/>
        </w:rPr>
      </w:pPr>
    </w:p>
    <w:p w14:paraId="5A1B045B">
      <w:pPr>
        <w:snapToGrid w:val="0"/>
        <w:spacing w:before="50" w:after="120" w:afterLines="50"/>
        <w:jc w:val="left"/>
        <w:rPr>
          <w:rFonts w:hint="eastAsia"/>
          <w:color w:val="auto"/>
          <w:szCs w:val="21"/>
          <w:highlight w:val="none"/>
        </w:rPr>
      </w:pPr>
      <w:r>
        <w:rPr>
          <w:rFonts w:hint="eastAsia"/>
          <w:color w:val="auto"/>
          <w:szCs w:val="21"/>
          <w:highlight w:val="none"/>
          <w:lang w:val="en-US" w:eastAsia="zh-CN"/>
        </w:rPr>
        <w:t>3</w:t>
      </w:r>
      <w:r>
        <w:rPr>
          <w:color w:val="auto"/>
          <w:szCs w:val="21"/>
          <w:highlight w:val="none"/>
        </w:rPr>
        <w:t>．</w:t>
      </w:r>
      <w:r>
        <w:rPr>
          <w:rFonts w:hint="eastAsia"/>
          <w:color w:val="auto"/>
          <w:szCs w:val="21"/>
          <w:highlight w:val="none"/>
        </w:rPr>
        <w:t>实施方案</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根据</w:t>
      </w:r>
      <w:r>
        <w:rPr>
          <w:rFonts w:hint="eastAsia" w:ascii="宋体" w:hAnsi="宋体" w:eastAsia="宋体" w:cs="宋体"/>
          <w:b/>
          <w:bCs/>
          <w:color w:val="auto"/>
          <w:sz w:val="21"/>
          <w:szCs w:val="21"/>
          <w:highlight w:val="none"/>
        </w:rPr>
        <w:t>供应商自身条件</w:t>
      </w:r>
      <w:r>
        <w:rPr>
          <w:rFonts w:hint="eastAsia" w:ascii="宋体" w:hAnsi="宋体" w:cs="宋体"/>
          <w:b/>
          <w:bCs/>
          <w:color w:val="auto"/>
          <w:sz w:val="21"/>
          <w:szCs w:val="21"/>
          <w:highlight w:val="none"/>
          <w:lang w:val="en-US" w:eastAsia="zh-CN"/>
        </w:rPr>
        <w:t>结合项目情况</w:t>
      </w:r>
      <w:r>
        <w:rPr>
          <w:rFonts w:hint="eastAsia" w:ascii="宋体" w:hAnsi="宋体" w:eastAsia="宋体" w:cs="宋体"/>
          <w:b/>
          <w:bCs/>
          <w:color w:val="auto"/>
          <w:sz w:val="21"/>
          <w:szCs w:val="21"/>
          <w:highlight w:val="none"/>
        </w:rPr>
        <w:t>编制；格式自拟</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并加盖公章</w:t>
      </w:r>
      <w:r>
        <w:rPr>
          <w:rFonts w:hint="eastAsia" w:ascii="宋体" w:hAnsi="宋体" w:eastAsia="宋体" w:cs="宋体"/>
          <w:b/>
          <w:bCs/>
          <w:color w:val="auto"/>
          <w:sz w:val="21"/>
          <w:szCs w:val="21"/>
          <w:highlight w:val="none"/>
        </w:rPr>
        <w:t>）</w:t>
      </w:r>
    </w:p>
    <w:p w14:paraId="1D3E16ED">
      <w:pPr>
        <w:snapToGrid w:val="0"/>
        <w:spacing w:before="50" w:after="120" w:afterLines="50"/>
        <w:jc w:val="left"/>
        <w:rPr>
          <w:rFonts w:hint="eastAsia"/>
          <w:color w:val="auto"/>
          <w:szCs w:val="21"/>
          <w:highlight w:val="none"/>
          <w:lang w:val="en-US" w:eastAsia="zh-CN"/>
        </w:rPr>
      </w:pPr>
    </w:p>
    <w:p w14:paraId="50833164">
      <w:pPr>
        <w:snapToGrid w:val="0"/>
        <w:spacing w:before="50" w:after="120" w:afterLines="50"/>
        <w:jc w:val="left"/>
        <w:rPr>
          <w:rFonts w:hint="eastAsia" w:ascii="宋体" w:hAnsi="宋体" w:eastAsia="宋体" w:cs="宋体"/>
          <w:b/>
          <w:bCs/>
          <w:color w:val="auto"/>
          <w:sz w:val="21"/>
          <w:szCs w:val="21"/>
          <w:highlight w:val="none"/>
        </w:rPr>
      </w:pPr>
      <w:r>
        <w:rPr>
          <w:rFonts w:hint="eastAsia"/>
          <w:color w:val="auto"/>
          <w:szCs w:val="21"/>
          <w:highlight w:val="none"/>
          <w:lang w:val="en-US" w:eastAsia="zh-CN"/>
        </w:rPr>
        <w:t>4</w:t>
      </w:r>
      <w:r>
        <w:rPr>
          <w:color w:val="auto"/>
          <w:szCs w:val="21"/>
          <w:highlight w:val="none"/>
        </w:rPr>
        <w:t>．</w:t>
      </w:r>
      <w:r>
        <w:rPr>
          <w:rFonts w:hint="eastAsia"/>
          <w:color w:val="auto"/>
          <w:szCs w:val="21"/>
          <w:highlight w:val="none"/>
        </w:rPr>
        <w:t>售后服务方案</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根据</w:t>
      </w:r>
      <w:r>
        <w:rPr>
          <w:rFonts w:hint="eastAsia" w:ascii="宋体" w:hAnsi="宋体" w:eastAsia="宋体" w:cs="宋体"/>
          <w:b/>
          <w:bCs/>
          <w:color w:val="auto"/>
          <w:sz w:val="21"/>
          <w:szCs w:val="21"/>
          <w:highlight w:val="none"/>
        </w:rPr>
        <w:t>供应商自身条件</w:t>
      </w:r>
      <w:r>
        <w:rPr>
          <w:rFonts w:hint="eastAsia" w:ascii="宋体" w:hAnsi="宋体" w:cs="宋体"/>
          <w:b/>
          <w:bCs/>
          <w:color w:val="auto"/>
          <w:sz w:val="21"/>
          <w:szCs w:val="21"/>
          <w:highlight w:val="none"/>
          <w:lang w:val="en-US" w:eastAsia="zh-CN"/>
        </w:rPr>
        <w:t>结合项目情况</w:t>
      </w:r>
      <w:r>
        <w:rPr>
          <w:rFonts w:hint="eastAsia" w:ascii="宋体" w:hAnsi="宋体" w:eastAsia="宋体" w:cs="宋体"/>
          <w:b/>
          <w:bCs/>
          <w:color w:val="auto"/>
          <w:sz w:val="21"/>
          <w:szCs w:val="21"/>
          <w:highlight w:val="none"/>
        </w:rPr>
        <w:t>编制；格式自拟</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并加盖公章</w:t>
      </w:r>
      <w:r>
        <w:rPr>
          <w:rFonts w:hint="eastAsia" w:ascii="宋体" w:hAnsi="宋体" w:eastAsia="宋体" w:cs="宋体"/>
          <w:b/>
          <w:bCs/>
          <w:color w:val="auto"/>
          <w:sz w:val="21"/>
          <w:szCs w:val="21"/>
          <w:highlight w:val="none"/>
        </w:rPr>
        <w:t>）</w:t>
      </w:r>
    </w:p>
    <w:p w14:paraId="5FFA92E4">
      <w:pPr>
        <w:snapToGrid w:val="0"/>
        <w:spacing w:before="50" w:after="120" w:afterLines="50"/>
        <w:jc w:val="left"/>
        <w:rPr>
          <w:color w:val="auto"/>
          <w:szCs w:val="21"/>
          <w:highlight w:val="none"/>
        </w:rPr>
      </w:pPr>
    </w:p>
    <w:p w14:paraId="75EF72ED">
      <w:pPr>
        <w:snapToGrid w:val="0"/>
        <w:spacing w:before="50" w:after="120" w:afterLines="50"/>
        <w:jc w:val="left"/>
        <w:rPr>
          <w:color w:val="auto"/>
          <w:szCs w:val="21"/>
          <w:highlight w:val="none"/>
        </w:rPr>
      </w:pPr>
      <w:r>
        <w:rPr>
          <w:rFonts w:hint="eastAsia"/>
          <w:color w:val="auto"/>
          <w:szCs w:val="21"/>
          <w:highlight w:val="none"/>
          <w:lang w:val="en-US" w:eastAsia="zh-CN"/>
        </w:rPr>
        <w:t>5</w:t>
      </w:r>
      <w:r>
        <w:rPr>
          <w:color w:val="auto"/>
          <w:szCs w:val="21"/>
          <w:highlight w:val="none"/>
        </w:rPr>
        <w:t>．项目拟投入服务团队人员结构表（包括但不限于学历、证书情况、职称、年龄等）</w:t>
      </w:r>
    </w:p>
    <w:p w14:paraId="1EF6C8D7">
      <w:pPr>
        <w:snapToGrid w:val="0"/>
        <w:spacing w:before="120" w:beforeLines="50" w:after="50" w:line="400" w:lineRule="exact"/>
        <w:jc w:val="center"/>
        <w:rPr>
          <w:color w:val="auto"/>
          <w:szCs w:val="21"/>
          <w:highlight w:val="none"/>
        </w:rPr>
      </w:pPr>
      <w:r>
        <w:rPr>
          <w:color w:val="auto"/>
          <w:szCs w:val="21"/>
          <w:highlight w:val="none"/>
        </w:rPr>
        <w:t>项目拟投入服务团队人员（含项目负责人）一览表</w:t>
      </w:r>
    </w:p>
    <w:tbl>
      <w:tblPr>
        <w:tblStyle w:val="5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1"/>
        <w:gridCol w:w="1260"/>
        <w:gridCol w:w="1440"/>
        <w:gridCol w:w="1516"/>
        <w:gridCol w:w="1620"/>
        <w:gridCol w:w="1980"/>
      </w:tblGrid>
      <w:tr w14:paraId="4C651A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center"/>
          </w:tcPr>
          <w:p w14:paraId="538F21EC">
            <w:pPr>
              <w:snapToGrid w:val="0"/>
              <w:spacing w:before="120" w:beforeLines="50" w:after="50"/>
              <w:jc w:val="center"/>
              <w:rPr>
                <w:color w:val="auto"/>
                <w:szCs w:val="21"/>
                <w:highlight w:val="none"/>
              </w:rPr>
            </w:pPr>
            <w:r>
              <w:rPr>
                <w:color w:val="auto"/>
                <w:szCs w:val="21"/>
                <w:highlight w:val="none"/>
              </w:rPr>
              <w:t>姓名</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14E5C88">
            <w:pPr>
              <w:snapToGrid w:val="0"/>
              <w:spacing w:before="120" w:beforeLines="50" w:after="50"/>
              <w:jc w:val="center"/>
              <w:rPr>
                <w:color w:val="auto"/>
                <w:szCs w:val="21"/>
                <w:highlight w:val="none"/>
              </w:rPr>
            </w:pPr>
            <w:r>
              <w:rPr>
                <w:color w:val="auto"/>
                <w:szCs w:val="21"/>
                <w:highlight w:val="none"/>
              </w:rPr>
              <w:t>职务</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424DFFEC">
            <w:pPr>
              <w:snapToGrid w:val="0"/>
              <w:spacing w:before="120" w:beforeLines="50" w:after="50"/>
              <w:jc w:val="center"/>
              <w:rPr>
                <w:color w:val="auto"/>
                <w:szCs w:val="21"/>
                <w:highlight w:val="none"/>
              </w:rPr>
            </w:pPr>
            <w:r>
              <w:rPr>
                <w:color w:val="auto"/>
                <w:szCs w:val="21"/>
                <w:highlight w:val="none"/>
              </w:rPr>
              <w:t>分配岗位</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613712DB">
            <w:pPr>
              <w:snapToGrid w:val="0"/>
              <w:spacing w:before="120" w:beforeLines="50" w:after="50"/>
              <w:jc w:val="center"/>
              <w:rPr>
                <w:color w:val="auto"/>
                <w:szCs w:val="21"/>
                <w:highlight w:val="none"/>
              </w:rPr>
            </w:pPr>
            <w:r>
              <w:rPr>
                <w:color w:val="auto"/>
                <w:szCs w:val="21"/>
                <w:highlight w:val="none"/>
              </w:rPr>
              <w:t>持证情况</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81EE15A">
            <w:pPr>
              <w:snapToGrid w:val="0"/>
              <w:spacing w:before="120" w:beforeLines="50" w:after="50"/>
              <w:jc w:val="center"/>
              <w:rPr>
                <w:color w:val="auto"/>
                <w:szCs w:val="21"/>
                <w:highlight w:val="none"/>
              </w:rPr>
            </w:pPr>
            <w:r>
              <w:rPr>
                <w:color w:val="auto"/>
                <w:szCs w:val="21"/>
                <w:highlight w:val="none"/>
              </w:rPr>
              <w:t>年龄</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2B4D9978">
            <w:pPr>
              <w:snapToGrid w:val="0"/>
              <w:spacing w:before="120" w:beforeLines="50" w:after="50"/>
              <w:jc w:val="center"/>
              <w:rPr>
                <w:bCs/>
                <w:color w:val="auto"/>
                <w:szCs w:val="21"/>
                <w:highlight w:val="none"/>
              </w:rPr>
            </w:pPr>
            <w:r>
              <w:rPr>
                <w:bCs/>
                <w:color w:val="auto"/>
                <w:szCs w:val="21"/>
                <w:highlight w:val="none"/>
              </w:rPr>
              <w:t>劳动合同编号</w:t>
            </w:r>
          </w:p>
        </w:tc>
      </w:tr>
      <w:tr w14:paraId="1B14F4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top"/>
          </w:tcPr>
          <w:p w14:paraId="08E5105B">
            <w:pPr>
              <w:snapToGrid w:val="0"/>
              <w:spacing w:before="120" w:beforeLines="50" w:after="50"/>
              <w:rPr>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4F34327D">
            <w:pPr>
              <w:snapToGrid w:val="0"/>
              <w:spacing w:before="120" w:beforeLines="50" w:after="50"/>
              <w:rPr>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1178B251">
            <w:pPr>
              <w:snapToGrid w:val="0"/>
              <w:spacing w:before="120" w:beforeLines="50" w:after="50"/>
              <w:rPr>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3E652985">
            <w:pPr>
              <w:snapToGrid w:val="0"/>
              <w:spacing w:before="120" w:beforeLines="50" w:after="50"/>
              <w:rPr>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16E08FED">
            <w:pPr>
              <w:snapToGrid w:val="0"/>
              <w:spacing w:before="120" w:beforeLines="50" w:after="50"/>
              <w:rPr>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05D0F5DF">
            <w:pPr>
              <w:snapToGrid w:val="0"/>
              <w:spacing w:before="120" w:beforeLines="50" w:after="50"/>
              <w:rPr>
                <w:color w:val="auto"/>
                <w:szCs w:val="21"/>
                <w:highlight w:val="none"/>
              </w:rPr>
            </w:pPr>
          </w:p>
        </w:tc>
      </w:tr>
      <w:tr w14:paraId="6A59D8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top"/>
          </w:tcPr>
          <w:p w14:paraId="406FEB88">
            <w:pPr>
              <w:snapToGrid w:val="0"/>
              <w:spacing w:before="120" w:beforeLines="50" w:after="50"/>
              <w:rPr>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2BFAFD7C">
            <w:pPr>
              <w:snapToGrid w:val="0"/>
              <w:spacing w:before="120" w:beforeLines="50" w:after="50"/>
              <w:rPr>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4F70FCF3">
            <w:pPr>
              <w:snapToGrid w:val="0"/>
              <w:spacing w:before="120" w:beforeLines="50" w:after="50"/>
              <w:rPr>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2530DE7D">
            <w:pPr>
              <w:snapToGrid w:val="0"/>
              <w:spacing w:before="120" w:beforeLines="50" w:after="50"/>
              <w:rPr>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729B81B0">
            <w:pPr>
              <w:snapToGrid w:val="0"/>
              <w:spacing w:before="120" w:beforeLines="50" w:after="50"/>
              <w:rPr>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6971F1FF">
            <w:pPr>
              <w:snapToGrid w:val="0"/>
              <w:spacing w:before="120" w:beforeLines="50" w:after="50"/>
              <w:rPr>
                <w:color w:val="auto"/>
                <w:szCs w:val="21"/>
                <w:highlight w:val="none"/>
              </w:rPr>
            </w:pPr>
          </w:p>
        </w:tc>
      </w:tr>
    </w:tbl>
    <w:p w14:paraId="24E55DED">
      <w:pPr>
        <w:snapToGrid w:val="0"/>
        <w:spacing w:before="50" w:after="120" w:afterLines="50" w:line="440" w:lineRule="exact"/>
        <w:jc w:val="left"/>
        <w:rPr>
          <w:color w:val="auto"/>
          <w:szCs w:val="21"/>
          <w:highlight w:val="none"/>
        </w:rPr>
      </w:pPr>
      <w:r>
        <w:rPr>
          <w:color w:val="auto"/>
          <w:szCs w:val="21"/>
          <w:highlight w:val="none"/>
        </w:rPr>
        <w:t>注：在填写时，如本表格不适合供应商的实际情况，可根据本表格式自行划表填写。</w:t>
      </w:r>
    </w:p>
    <w:p w14:paraId="2A9E73C7">
      <w:pPr>
        <w:snapToGrid w:val="0"/>
        <w:spacing w:before="50" w:after="50" w:line="440" w:lineRule="exact"/>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p w14:paraId="73360CAA">
      <w:pPr>
        <w:rPr>
          <w:rFonts w:hint="eastAsia"/>
          <w:color w:val="auto"/>
          <w:spacing w:val="20"/>
          <w:szCs w:val="21"/>
          <w:highlight w:val="none"/>
          <w:u w:val="single"/>
        </w:rPr>
      </w:pPr>
    </w:p>
    <w:p w14:paraId="0F262742">
      <w:pPr>
        <w:rPr>
          <w:rFonts w:hint="eastAsia"/>
          <w:color w:val="auto"/>
          <w:szCs w:val="21"/>
          <w:highlight w:val="none"/>
        </w:rPr>
      </w:pPr>
    </w:p>
    <w:p w14:paraId="525CD7CD">
      <w:pPr>
        <w:rPr>
          <w:rFonts w:hint="eastAsia"/>
          <w:color w:val="auto"/>
          <w:szCs w:val="21"/>
          <w:highlight w:val="none"/>
        </w:rPr>
      </w:pPr>
    </w:p>
    <w:p w14:paraId="2933730A">
      <w:pPr>
        <w:snapToGrid w:val="0"/>
        <w:spacing w:before="50" w:after="120" w:afterLines="50"/>
        <w:jc w:val="left"/>
        <w:rPr>
          <w:rFonts w:hint="eastAsia" w:ascii="宋体" w:hAnsi="宋体" w:eastAsia="宋体" w:cs="宋体"/>
          <w:b/>
          <w:bCs/>
          <w:color w:val="auto"/>
          <w:sz w:val="21"/>
          <w:szCs w:val="21"/>
          <w:highlight w:val="none"/>
        </w:rPr>
      </w:pPr>
      <w:r>
        <w:rPr>
          <w:rFonts w:hint="eastAsia"/>
          <w:color w:val="auto"/>
          <w:szCs w:val="21"/>
          <w:highlight w:val="none"/>
          <w:lang w:val="en-US" w:eastAsia="zh-CN"/>
        </w:rPr>
        <w:t>6</w:t>
      </w:r>
      <w:r>
        <w:rPr>
          <w:color w:val="auto"/>
          <w:szCs w:val="21"/>
          <w:highlight w:val="none"/>
        </w:rPr>
        <w:t>．</w:t>
      </w:r>
      <w:r>
        <w:rPr>
          <w:rFonts w:hint="eastAsia"/>
          <w:color w:val="auto"/>
          <w:szCs w:val="21"/>
          <w:highlight w:val="none"/>
        </w:rPr>
        <w:t>应急方案、运行维护</w:t>
      </w:r>
      <w:r>
        <w:rPr>
          <w:rFonts w:hint="eastAsia"/>
          <w:color w:val="auto"/>
          <w:szCs w:val="21"/>
          <w:highlight w:val="none"/>
          <w:lang w:val="en-US" w:eastAsia="zh-CN"/>
        </w:rPr>
        <w:t>方案</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根据</w:t>
      </w:r>
      <w:r>
        <w:rPr>
          <w:rFonts w:hint="eastAsia" w:ascii="宋体" w:hAnsi="宋体" w:eastAsia="宋体" w:cs="宋体"/>
          <w:b/>
          <w:bCs/>
          <w:color w:val="auto"/>
          <w:sz w:val="21"/>
          <w:szCs w:val="21"/>
          <w:highlight w:val="none"/>
        </w:rPr>
        <w:t>供应商自身条件</w:t>
      </w:r>
      <w:r>
        <w:rPr>
          <w:rFonts w:hint="eastAsia" w:ascii="宋体" w:hAnsi="宋体" w:cs="宋体"/>
          <w:b/>
          <w:bCs/>
          <w:color w:val="auto"/>
          <w:sz w:val="21"/>
          <w:szCs w:val="21"/>
          <w:highlight w:val="none"/>
          <w:lang w:val="en-US" w:eastAsia="zh-CN"/>
        </w:rPr>
        <w:t>结合项目情况</w:t>
      </w:r>
      <w:r>
        <w:rPr>
          <w:rFonts w:hint="eastAsia" w:ascii="宋体" w:hAnsi="宋体" w:eastAsia="宋体" w:cs="宋体"/>
          <w:b/>
          <w:bCs/>
          <w:color w:val="auto"/>
          <w:sz w:val="21"/>
          <w:szCs w:val="21"/>
          <w:highlight w:val="none"/>
        </w:rPr>
        <w:t>编制；格式自拟</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并加盖公章</w:t>
      </w:r>
      <w:r>
        <w:rPr>
          <w:rFonts w:hint="eastAsia" w:ascii="宋体" w:hAnsi="宋体" w:eastAsia="宋体" w:cs="宋体"/>
          <w:b/>
          <w:bCs/>
          <w:color w:val="auto"/>
          <w:sz w:val="21"/>
          <w:szCs w:val="21"/>
          <w:highlight w:val="none"/>
        </w:rPr>
        <w:t>）</w:t>
      </w:r>
    </w:p>
    <w:p w14:paraId="78832014">
      <w:pPr>
        <w:snapToGrid w:val="0"/>
        <w:spacing w:before="50" w:after="120" w:afterLines="50"/>
        <w:jc w:val="left"/>
        <w:rPr>
          <w:rFonts w:hint="eastAsia"/>
          <w:color w:val="auto"/>
          <w:szCs w:val="21"/>
          <w:highlight w:val="none"/>
        </w:rPr>
      </w:pPr>
    </w:p>
    <w:p w14:paraId="4CD91E34">
      <w:pPr>
        <w:snapToGrid w:val="0"/>
        <w:spacing w:before="50" w:after="120" w:afterLines="50"/>
        <w:jc w:val="left"/>
        <w:rPr>
          <w:color w:val="auto"/>
          <w:szCs w:val="21"/>
          <w:highlight w:val="none"/>
        </w:rPr>
      </w:pPr>
    </w:p>
    <w:p w14:paraId="26CA276A">
      <w:pPr>
        <w:snapToGrid w:val="0"/>
        <w:spacing w:before="50" w:after="120" w:afterLines="50"/>
        <w:jc w:val="left"/>
        <w:rPr>
          <w:rFonts w:hint="eastAsia"/>
          <w:color w:val="auto"/>
          <w:szCs w:val="21"/>
          <w:highlight w:val="none"/>
        </w:rPr>
      </w:pPr>
    </w:p>
    <w:p w14:paraId="73F5C4D3">
      <w:pPr>
        <w:snapToGrid w:val="0"/>
        <w:spacing w:before="50" w:after="120" w:afterLines="50"/>
        <w:jc w:val="left"/>
        <w:rPr>
          <w:color w:val="auto"/>
          <w:szCs w:val="21"/>
          <w:highlight w:val="none"/>
        </w:rPr>
      </w:pPr>
      <w:r>
        <w:rPr>
          <w:rFonts w:hint="eastAsia"/>
          <w:color w:val="auto"/>
          <w:szCs w:val="21"/>
          <w:highlight w:val="none"/>
          <w:lang w:val="en-US" w:eastAsia="zh-CN"/>
        </w:rPr>
        <w:t>7</w:t>
      </w:r>
      <w:r>
        <w:rPr>
          <w:color w:val="auto"/>
          <w:szCs w:val="21"/>
          <w:highlight w:val="none"/>
        </w:rPr>
        <w:t>．为本项目提供的其他优惠服务</w:t>
      </w:r>
      <w:r>
        <w:rPr>
          <w:rFonts w:hint="eastAsia"/>
          <w:color w:val="auto"/>
          <w:szCs w:val="21"/>
          <w:highlight w:val="none"/>
          <w:lang w:eastAsia="zh-CN"/>
        </w:rPr>
        <w:t>（</w:t>
      </w:r>
      <w:r>
        <w:rPr>
          <w:rFonts w:hint="eastAsia" w:ascii="宋体" w:hAnsi="宋体" w:cs="宋体"/>
          <w:b/>
          <w:bCs/>
          <w:i w:val="0"/>
          <w:iCs w:val="0"/>
          <w:color w:val="auto"/>
          <w:kern w:val="0"/>
          <w:sz w:val="21"/>
          <w:szCs w:val="21"/>
          <w:highlight w:val="none"/>
          <w:u w:val="none"/>
          <w:lang w:val="en-US" w:eastAsia="zh-CN" w:bidi="ar"/>
        </w:rPr>
        <w:t>增值服务承诺</w:t>
      </w:r>
      <w:r>
        <w:rPr>
          <w:rFonts w:hint="eastAsia"/>
          <w:color w:val="auto"/>
          <w:szCs w:val="21"/>
          <w:highlight w:val="none"/>
          <w:lang w:eastAsia="zh-CN"/>
        </w:rPr>
        <w:t>）（</w:t>
      </w:r>
      <w:r>
        <w:rPr>
          <w:rFonts w:hint="eastAsia"/>
          <w:color w:val="auto"/>
          <w:szCs w:val="21"/>
          <w:highlight w:val="none"/>
          <w:lang w:val="en-US" w:eastAsia="zh-CN"/>
        </w:rPr>
        <w:t>加盖公章</w:t>
      </w:r>
      <w:r>
        <w:rPr>
          <w:rFonts w:hint="eastAsia"/>
          <w:color w:val="auto"/>
          <w:szCs w:val="21"/>
          <w:highlight w:val="none"/>
          <w:lang w:eastAsia="zh-CN"/>
        </w:rPr>
        <w:t>）</w:t>
      </w:r>
      <w:r>
        <w:rPr>
          <w:color w:val="auto"/>
          <w:szCs w:val="21"/>
          <w:highlight w:val="none"/>
        </w:rPr>
        <w:t>。</w:t>
      </w:r>
    </w:p>
    <w:p w14:paraId="5864ABA4">
      <w:pPr>
        <w:snapToGrid w:val="0"/>
        <w:spacing w:before="50" w:after="120" w:afterLines="50"/>
        <w:jc w:val="left"/>
        <w:rPr>
          <w:rFonts w:hint="eastAsia"/>
          <w:color w:val="auto"/>
          <w:szCs w:val="21"/>
          <w:highlight w:val="none"/>
        </w:rPr>
      </w:pPr>
    </w:p>
    <w:p w14:paraId="3A46A840">
      <w:pPr>
        <w:snapToGrid w:val="0"/>
        <w:spacing w:before="50" w:after="120" w:afterLines="50"/>
        <w:jc w:val="left"/>
        <w:rPr>
          <w:color w:val="auto"/>
          <w:szCs w:val="21"/>
          <w:highlight w:val="none"/>
        </w:rPr>
      </w:pPr>
      <w:r>
        <w:rPr>
          <w:rFonts w:hint="eastAsia"/>
          <w:color w:val="auto"/>
          <w:szCs w:val="21"/>
          <w:highlight w:val="none"/>
          <w:lang w:val="en-US" w:eastAsia="zh-CN"/>
        </w:rPr>
        <w:t>8.</w:t>
      </w:r>
      <w:r>
        <w:rPr>
          <w:color w:val="auto"/>
          <w:szCs w:val="21"/>
          <w:highlight w:val="none"/>
        </w:rPr>
        <w:t xml:space="preserve"> 供应商对本项目的合理化建议和改进措施。</w:t>
      </w:r>
    </w:p>
    <w:p w14:paraId="100E80FD">
      <w:pPr>
        <w:snapToGrid w:val="0"/>
        <w:spacing w:before="50" w:after="120" w:afterLines="50"/>
        <w:jc w:val="left"/>
        <w:rPr>
          <w:rFonts w:hint="eastAsia"/>
          <w:color w:val="auto"/>
          <w:szCs w:val="21"/>
          <w:highlight w:val="none"/>
        </w:rPr>
      </w:pPr>
    </w:p>
    <w:p w14:paraId="08EAB71F">
      <w:pPr>
        <w:rPr>
          <w:color w:val="auto"/>
          <w:szCs w:val="21"/>
          <w:highlight w:val="none"/>
        </w:rPr>
      </w:pPr>
      <w:r>
        <w:rPr>
          <w:rFonts w:hint="eastAsia"/>
          <w:color w:val="auto"/>
          <w:szCs w:val="21"/>
          <w:highlight w:val="none"/>
          <w:lang w:val="en-US" w:eastAsia="zh-CN"/>
        </w:rPr>
        <w:t>9</w:t>
      </w:r>
      <w:r>
        <w:rPr>
          <w:color w:val="auto"/>
          <w:szCs w:val="21"/>
          <w:highlight w:val="none"/>
        </w:rPr>
        <w:t>．供应商需要说明的其他文件和说明。</w:t>
      </w:r>
    </w:p>
    <w:p w14:paraId="613E01DE">
      <w:pPr>
        <w:snapToGrid w:val="0"/>
        <w:spacing w:before="50" w:after="120" w:afterLines="50" w:line="440" w:lineRule="exact"/>
        <w:rPr>
          <w:color w:val="auto"/>
          <w:highlight w:val="none"/>
        </w:rPr>
      </w:pPr>
      <w:r>
        <w:rPr>
          <w:color w:val="auto"/>
          <w:highlight w:val="none"/>
        </w:rPr>
        <w:br w:type="page"/>
      </w:r>
      <w:r>
        <w:rPr>
          <w:color w:val="auto"/>
          <w:szCs w:val="21"/>
          <w:highlight w:val="none"/>
        </w:rPr>
        <w:t>10．</w:t>
      </w:r>
      <w:r>
        <w:rPr>
          <w:rFonts w:hint="eastAsia"/>
          <w:color w:val="auto"/>
          <w:szCs w:val="21"/>
          <w:highlight w:val="none"/>
        </w:rPr>
        <w:t>对</w:t>
      </w:r>
      <w:r>
        <w:rPr>
          <w:color w:val="auto"/>
          <w:szCs w:val="21"/>
          <w:highlight w:val="none"/>
        </w:rPr>
        <w:t>本项目第</w:t>
      </w:r>
      <w:r>
        <w:rPr>
          <w:rFonts w:hint="eastAsia"/>
          <w:color w:val="auto"/>
          <w:szCs w:val="21"/>
          <w:highlight w:val="none"/>
        </w:rPr>
        <w:t>二</w:t>
      </w:r>
      <w:r>
        <w:rPr>
          <w:color w:val="auto"/>
          <w:szCs w:val="21"/>
          <w:highlight w:val="none"/>
        </w:rPr>
        <w:t>章</w:t>
      </w:r>
      <w:r>
        <w:rPr>
          <w:rFonts w:hint="eastAsia"/>
          <w:color w:val="auto"/>
          <w:szCs w:val="21"/>
          <w:highlight w:val="none"/>
        </w:rPr>
        <w:t>《</w:t>
      </w:r>
      <w:r>
        <w:rPr>
          <w:color w:val="auto"/>
          <w:szCs w:val="21"/>
          <w:highlight w:val="none"/>
        </w:rPr>
        <w:t>采购需求</w:t>
      </w:r>
      <w:r>
        <w:rPr>
          <w:rFonts w:hint="eastAsia"/>
          <w:color w:val="auto"/>
          <w:szCs w:val="21"/>
          <w:highlight w:val="none"/>
        </w:rPr>
        <w:t>》</w:t>
      </w:r>
      <w:r>
        <w:rPr>
          <w:color w:val="auto"/>
          <w:szCs w:val="21"/>
          <w:highlight w:val="none"/>
        </w:rPr>
        <w:t>商务要求的</w:t>
      </w:r>
      <w:r>
        <w:rPr>
          <w:rFonts w:hint="eastAsia"/>
          <w:color w:val="auto"/>
          <w:szCs w:val="21"/>
          <w:highlight w:val="none"/>
        </w:rPr>
        <w:t>响应表</w:t>
      </w:r>
      <w:r>
        <w:rPr>
          <w:color w:val="auto"/>
          <w:szCs w:val="21"/>
          <w:highlight w:val="none"/>
        </w:rPr>
        <w:t>：</w:t>
      </w:r>
    </w:p>
    <w:tbl>
      <w:tblPr>
        <w:tblStyle w:val="5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29F37B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360455EF">
            <w:pPr>
              <w:snapToGrid w:val="0"/>
              <w:spacing w:before="120" w:beforeLines="50"/>
              <w:jc w:val="center"/>
              <w:rPr>
                <w:color w:val="auto"/>
                <w:szCs w:val="21"/>
                <w:highlight w:val="none"/>
              </w:rPr>
            </w:pPr>
            <w:r>
              <w:rPr>
                <w:color w:val="auto"/>
                <w:szCs w:val="21"/>
                <w:highlight w:val="none"/>
              </w:rPr>
              <w:t>序号</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695B9B0F">
            <w:pPr>
              <w:snapToGrid w:val="0"/>
              <w:spacing w:before="120" w:beforeLines="50"/>
              <w:jc w:val="center"/>
              <w:rPr>
                <w:color w:val="auto"/>
                <w:szCs w:val="21"/>
                <w:highlight w:val="none"/>
              </w:rPr>
            </w:pPr>
            <w:r>
              <w:rPr>
                <w:color w:val="auto"/>
                <w:szCs w:val="21"/>
                <w:highlight w:val="none"/>
              </w:rPr>
              <w:t>采购文件要求（注明章节及条款号）</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46D9FC92">
            <w:pPr>
              <w:snapToGrid w:val="0"/>
              <w:spacing w:before="120" w:beforeLines="50"/>
              <w:jc w:val="center"/>
              <w:rPr>
                <w:color w:val="auto"/>
                <w:szCs w:val="21"/>
                <w:highlight w:val="none"/>
              </w:rPr>
            </w:pPr>
            <w:r>
              <w:rPr>
                <w:color w:val="auto"/>
                <w:szCs w:val="21"/>
                <w:highlight w:val="none"/>
              </w:rPr>
              <w:t>响应文件响应内容（</w:t>
            </w:r>
            <w:r>
              <w:rPr>
                <w:rFonts w:hint="eastAsia"/>
                <w:color w:val="auto"/>
                <w:szCs w:val="21"/>
                <w:highlight w:val="none"/>
              </w:rPr>
              <w:t>可</w:t>
            </w:r>
            <w:r>
              <w:rPr>
                <w:color w:val="auto"/>
                <w:szCs w:val="21"/>
                <w:highlight w:val="none"/>
              </w:rPr>
              <w:t>注明所在页码）</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72AE82C0">
            <w:pPr>
              <w:snapToGrid w:val="0"/>
              <w:spacing w:before="120" w:beforeLines="50"/>
              <w:jc w:val="center"/>
              <w:rPr>
                <w:color w:val="auto"/>
                <w:szCs w:val="21"/>
                <w:highlight w:val="none"/>
              </w:rPr>
            </w:pPr>
            <w:r>
              <w:rPr>
                <w:color w:val="auto"/>
                <w:highlight w:val="none"/>
              </w:rPr>
              <w:t>偏离</w:t>
            </w:r>
            <w:r>
              <w:rPr>
                <w:color w:val="auto"/>
                <w:szCs w:val="21"/>
                <w:highlight w:val="none"/>
              </w:rPr>
              <w:t>说明</w:t>
            </w:r>
          </w:p>
        </w:tc>
      </w:tr>
      <w:tr w14:paraId="72D807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032C0731">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467EB159">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3DA4E0A2">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6B3C8F99">
            <w:pPr>
              <w:snapToGrid w:val="0"/>
              <w:spacing w:before="120" w:beforeLines="50"/>
              <w:jc w:val="center"/>
              <w:rPr>
                <w:color w:val="auto"/>
                <w:szCs w:val="21"/>
                <w:highlight w:val="none"/>
              </w:rPr>
            </w:pPr>
          </w:p>
        </w:tc>
      </w:tr>
      <w:tr w14:paraId="5CCE7F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0B88714C">
            <w:pPr>
              <w:snapToGrid w:val="0"/>
              <w:spacing w:before="120" w:beforeLines="50"/>
              <w:jc w:val="center"/>
              <w:rPr>
                <w:color w:val="auto"/>
                <w:szCs w:val="21"/>
                <w:highlight w:val="none"/>
              </w:rPr>
            </w:pPr>
            <w:r>
              <w:rPr>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7ED7CBE2">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21FCE52B">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58C60371">
            <w:pPr>
              <w:snapToGrid w:val="0"/>
              <w:spacing w:before="120" w:beforeLines="50"/>
              <w:jc w:val="center"/>
              <w:rPr>
                <w:color w:val="auto"/>
                <w:szCs w:val="21"/>
                <w:highlight w:val="none"/>
              </w:rPr>
            </w:pPr>
          </w:p>
        </w:tc>
      </w:tr>
    </w:tbl>
    <w:p w14:paraId="64BC61D0">
      <w:pPr>
        <w:pStyle w:val="27"/>
        <w:tabs>
          <w:tab w:val="left" w:pos="2127"/>
        </w:tabs>
        <w:spacing w:line="340" w:lineRule="exact"/>
        <w:ind w:firstLine="420" w:firstLineChars="200"/>
        <w:jc w:val="left"/>
        <w:rPr>
          <w:rFonts w:hint="eastAsia" w:ascii="宋体" w:hAnsi="宋体" w:eastAsia="宋体" w:cs="宋体"/>
          <w:color w:val="auto"/>
          <w:highlight w:val="none"/>
        </w:rPr>
      </w:pPr>
      <w:bookmarkStart w:id="94" w:name="_Hlk48144603"/>
      <w:r>
        <w:rPr>
          <w:rFonts w:ascii="Times New Roman" w:hAnsi="Times New Roman" w:cs="Times New Roman"/>
          <w:color w:val="auto"/>
          <w:highlight w:val="none"/>
        </w:rPr>
        <w:t>注：</w:t>
      </w:r>
      <w:bookmarkStart w:id="95" w:name="_Hlk19049081"/>
      <w:r>
        <w:rPr>
          <w:rFonts w:hint="eastAsia" w:ascii="宋体" w:hAnsi="宋体" w:eastAsia="宋体" w:cs="宋体"/>
          <w:color w:val="auto"/>
          <w:highlight w:val="none"/>
        </w:rPr>
        <w:t>（1）本表应对采购文件第二章《采购需求》中所列商务要求进行响应，并根据响应情况在“偏离说明”栏填写正偏离或负偏离及原因，完全符合的填写“无偏离”。</w:t>
      </w:r>
    </w:p>
    <w:p w14:paraId="1ADF5890">
      <w:pPr>
        <w:pStyle w:val="27"/>
        <w:tabs>
          <w:tab w:val="left" w:pos="2127"/>
        </w:tabs>
        <w:spacing w:line="34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（2）第二章《采购需求》中的总体要求无需响应。</w:t>
      </w:r>
    </w:p>
    <w:p w14:paraId="63569CBA">
      <w:pPr>
        <w:pStyle w:val="27"/>
        <w:tabs>
          <w:tab w:val="left" w:pos="2127"/>
        </w:tabs>
        <w:spacing w:line="34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（3）偏离认定说明详见评审方法及标准。</w:t>
      </w:r>
    </w:p>
    <w:bookmarkEnd w:id="95"/>
    <w:p w14:paraId="0CE85AAD">
      <w:pPr>
        <w:pStyle w:val="27"/>
        <w:tabs>
          <w:tab w:val="left" w:pos="2127"/>
        </w:tabs>
        <w:spacing w:line="34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（4）本表可扩展。</w:t>
      </w:r>
    </w:p>
    <w:bookmarkEnd w:id="94"/>
    <w:p w14:paraId="754D076C">
      <w:pPr>
        <w:snapToGrid w:val="0"/>
        <w:spacing w:before="50" w:after="120" w:afterLines="50" w:line="440" w:lineRule="exact"/>
        <w:jc w:val="left"/>
        <w:rPr>
          <w:color w:val="auto"/>
          <w:spacing w:val="20"/>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p w14:paraId="35ADBA36">
      <w:pPr>
        <w:snapToGrid w:val="0"/>
        <w:spacing w:before="50" w:after="120" w:afterLines="50" w:line="440" w:lineRule="exact"/>
        <w:jc w:val="left"/>
        <w:rPr>
          <w:rFonts w:hint="eastAsia"/>
          <w:color w:val="auto"/>
          <w:spacing w:val="20"/>
          <w:szCs w:val="21"/>
          <w:highlight w:val="none"/>
          <w:u w:val="single"/>
        </w:rPr>
      </w:pPr>
    </w:p>
    <w:p w14:paraId="0F4BD5A9">
      <w:pPr>
        <w:pStyle w:val="27"/>
        <w:tabs>
          <w:tab w:val="left" w:pos="2127"/>
        </w:tabs>
        <w:spacing w:line="340" w:lineRule="exact"/>
        <w:ind w:firstLine="420" w:firstLineChars="200"/>
        <w:jc w:val="left"/>
        <w:rPr>
          <w:rFonts w:ascii="Times New Roman" w:hAnsi="Times New Roman" w:cs="Times New Roman"/>
          <w:color w:val="auto"/>
          <w:highlight w:val="none"/>
        </w:rPr>
      </w:pPr>
    </w:p>
    <w:p w14:paraId="1D8288C4">
      <w:pPr>
        <w:snapToGrid w:val="0"/>
        <w:spacing w:before="50" w:after="120" w:afterLines="50" w:line="440" w:lineRule="exact"/>
        <w:jc w:val="left"/>
        <w:rPr>
          <w:rFonts w:hint="eastAsia"/>
          <w:color w:val="auto"/>
          <w:szCs w:val="21"/>
          <w:highlight w:val="none"/>
        </w:rPr>
      </w:pPr>
    </w:p>
    <w:p w14:paraId="76DC10BF">
      <w:pPr>
        <w:snapToGrid w:val="0"/>
        <w:spacing w:before="50" w:after="120" w:afterLines="50"/>
        <w:jc w:val="left"/>
        <w:rPr>
          <w:color w:val="auto"/>
          <w:szCs w:val="21"/>
          <w:highlight w:val="none"/>
        </w:rPr>
      </w:pPr>
      <w:r>
        <w:rPr>
          <w:color w:val="auto"/>
          <w:szCs w:val="21"/>
          <w:highlight w:val="none"/>
        </w:rPr>
        <w:t>1</w:t>
      </w:r>
      <w:r>
        <w:rPr>
          <w:rFonts w:hint="eastAsia"/>
          <w:color w:val="auto"/>
          <w:szCs w:val="21"/>
          <w:highlight w:val="none"/>
          <w:lang w:val="en-US" w:eastAsia="zh-CN"/>
        </w:rPr>
        <w:t>1</w:t>
      </w:r>
      <w:r>
        <w:rPr>
          <w:color w:val="auto"/>
          <w:szCs w:val="21"/>
          <w:highlight w:val="none"/>
        </w:rPr>
        <w:t>．供应商认为需提供的其他材料（根据采购文件编写）</w:t>
      </w:r>
    </w:p>
    <w:p w14:paraId="30282693">
      <w:pPr>
        <w:snapToGrid w:val="0"/>
        <w:spacing w:before="50"/>
        <w:jc w:val="left"/>
        <w:rPr>
          <w:rFonts w:hint="eastAsia"/>
          <w:color w:val="auto"/>
          <w:szCs w:val="21"/>
          <w:highlight w:val="none"/>
        </w:rPr>
        <w:sectPr>
          <w:pgSz w:w="11906" w:h="16838"/>
          <w:pgMar w:top="1304" w:right="1418" w:bottom="1304" w:left="1418" w:header="851" w:footer="992" w:gutter="0"/>
          <w:cols w:space="720" w:num="1"/>
          <w:docGrid w:linePitch="312" w:charSpace="0"/>
        </w:sectPr>
      </w:pPr>
      <w:bookmarkStart w:id="96" w:name="_Hlk33625589"/>
    </w:p>
    <w:bookmarkEnd w:id="96"/>
    <w:p w14:paraId="3230D13F">
      <w:pPr>
        <w:snapToGrid w:val="0"/>
        <w:spacing w:before="50" w:after="120" w:afterLines="50"/>
        <w:jc w:val="left"/>
        <w:rPr>
          <w:rFonts w:hint="eastAsia"/>
          <w:b/>
          <w:color w:val="auto"/>
          <w:szCs w:val="21"/>
          <w:highlight w:val="none"/>
        </w:rPr>
      </w:pPr>
      <w:r>
        <w:rPr>
          <w:color w:val="auto"/>
          <w:szCs w:val="21"/>
          <w:highlight w:val="none"/>
        </w:rPr>
        <w:t>1</w:t>
      </w:r>
      <w:r>
        <w:rPr>
          <w:rFonts w:hint="eastAsia"/>
          <w:color w:val="auto"/>
          <w:szCs w:val="21"/>
          <w:highlight w:val="none"/>
          <w:lang w:val="en-US" w:eastAsia="zh-CN"/>
        </w:rPr>
        <w:t>2</w:t>
      </w:r>
      <w:r>
        <w:rPr>
          <w:color w:val="auto"/>
          <w:szCs w:val="21"/>
          <w:highlight w:val="none"/>
        </w:rPr>
        <w:t>．近年供应商类似成功案例的业绩证明</w:t>
      </w:r>
    </w:p>
    <w:p w14:paraId="0C23A386">
      <w:pPr>
        <w:snapToGrid w:val="0"/>
        <w:spacing w:before="50" w:after="120" w:afterLines="50"/>
        <w:jc w:val="center"/>
        <w:rPr>
          <w:color w:val="auto"/>
          <w:szCs w:val="21"/>
          <w:highlight w:val="none"/>
        </w:rPr>
      </w:pPr>
      <w:r>
        <w:rPr>
          <w:b/>
          <w:color w:val="auto"/>
          <w:szCs w:val="21"/>
          <w:highlight w:val="none"/>
        </w:rPr>
        <w:t>类似成功案例业绩一览表</w:t>
      </w:r>
    </w:p>
    <w:tbl>
      <w:tblPr>
        <w:tblStyle w:val="53"/>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1"/>
        <w:gridCol w:w="2565"/>
        <w:gridCol w:w="2171"/>
        <w:gridCol w:w="684"/>
        <w:gridCol w:w="684"/>
        <w:gridCol w:w="913"/>
        <w:gridCol w:w="1369"/>
      </w:tblGrid>
      <w:tr w14:paraId="06960D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55" w:hRule="atLeast"/>
        </w:trPr>
        <w:tc>
          <w:tcPr>
            <w:tcW w:w="771" w:type="dxa"/>
            <w:tcBorders>
              <w:top w:val="single" w:color="auto" w:sz="4" w:space="0"/>
              <w:left w:val="single" w:color="auto" w:sz="4" w:space="0"/>
              <w:right w:val="single" w:color="auto" w:sz="4" w:space="0"/>
            </w:tcBorders>
            <w:noWrap w:val="0"/>
            <w:vAlign w:val="top"/>
          </w:tcPr>
          <w:p w14:paraId="7BC51AC2">
            <w:pPr>
              <w:snapToGrid w:val="0"/>
              <w:spacing w:line="240" w:lineRule="exact"/>
              <w:jc w:val="center"/>
              <w:rPr>
                <w:color w:val="auto"/>
                <w:szCs w:val="21"/>
                <w:highlight w:val="none"/>
              </w:rPr>
            </w:pPr>
          </w:p>
          <w:p w14:paraId="12E5F2FB">
            <w:pPr>
              <w:snapToGrid w:val="0"/>
              <w:spacing w:line="240" w:lineRule="exact"/>
              <w:jc w:val="center"/>
              <w:rPr>
                <w:color w:val="auto"/>
                <w:szCs w:val="21"/>
                <w:highlight w:val="none"/>
              </w:rPr>
            </w:pPr>
          </w:p>
          <w:p w14:paraId="78157A6A">
            <w:pPr>
              <w:snapToGrid w:val="0"/>
              <w:spacing w:line="240" w:lineRule="exact"/>
              <w:jc w:val="center"/>
              <w:rPr>
                <w:color w:val="auto"/>
                <w:szCs w:val="21"/>
                <w:highlight w:val="none"/>
              </w:rPr>
            </w:pPr>
            <w:r>
              <w:rPr>
                <w:rFonts w:hint="eastAsia"/>
                <w:color w:val="auto"/>
                <w:szCs w:val="21"/>
                <w:highlight w:val="none"/>
              </w:rPr>
              <w:t>序号</w:t>
            </w:r>
          </w:p>
        </w:tc>
        <w:tc>
          <w:tcPr>
            <w:tcW w:w="2565" w:type="dxa"/>
            <w:tcBorders>
              <w:top w:val="single" w:color="auto" w:sz="4" w:space="0"/>
              <w:left w:val="single" w:color="auto" w:sz="4" w:space="0"/>
              <w:bottom w:val="single" w:color="auto" w:sz="4" w:space="0"/>
              <w:right w:val="single" w:color="auto" w:sz="4" w:space="0"/>
            </w:tcBorders>
            <w:noWrap w:val="0"/>
            <w:vAlign w:val="center"/>
          </w:tcPr>
          <w:p w14:paraId="3FEA54ED">
            <w:pPr>
              <w:snapToGrid w:val="0"/>
              <w:spacing w:line="240" w:lineRule="exact"/>
              <w:jc w:val="center"/>
              <w:rPr>
                <w:color w:val="auto"/>
                <w:szCs w:val="21"/>
                <w:highlight w:val="none"/>
              </w:rPr>
            </w:pPr>
            <w:r>
              <w:rPr>
                <w:color w:val="auto"/>
                <w:szCs w:val="21"/>
                <w:highlight w:val="none"/>
              </w:rPr>
              <w:t>采购单位名称</w:t>
            </w:r>
          </w:p>
        </w:tc>
        <w:tc>
          <w:tcPr>
            <w:tcW w:w="2171" w:type="dxa"/>
            <w:tcBorders>
              <w:top w:val="single" w:color="auto" w:sz="4" w:space="0"/>
              <w:left w:val="single" w:color="auto" w:sz="4" w:space="0"/>
              <w:bottom w:val="single" w:color="auto" w:sz="4" w:space="0"/>
              <w:right w:val="single" w:color="auto" w:sz="4" w:space="0"/>
            </w:tcBorders>
            <w:noWrap w:val="0"/>
            <w:vAlign w:val="center"/>
          </w:tcPr>
          <w:p w14:paraId="4BB11E71">
            <w:pPr>
              <w:snapToGrid w:val="0"/>
              <w:spacing w:line="240" w:lineRule="exact"/>
              <w:jc w:val="center"/>
              <w:rPr>
                <w:color w:val="auto"/>
                <w:szCs w:val="21"/>
                <w:highlight w:val="none"/>
              </w:rPr>
            </w:pPr>
            <w:r>
              <w:rPr>
                <w:color w:val="auto"/>
                <w:szCs w:val="21"/>
                <w:highlight w:val="none"/>
              </w:rPr>
              <w:t>项目名称或服务内容</w:t>
            </w:r>
          </w:p>
        </w:tc>
        <w:tc>
          <w:tcPr>
            <w:tcW w:w="684" w:type="dxa"/>
            <w:tcBorders>
              <w:top w:val="single" w:color="auto" w:sz="4" w:space="0"/>
              <w:left w:val="single" w:color="auto" w:sz="4" w:space="0"/>
              <w:bottom w:val="single" w:color="auto" w:sz="4" w:space="0"/>
              <w:right w:val="single" w:color="auto" w:sz="4" w:space="0"/>
            </w:tcBorders>
            <w:noWrap w:val="0"/>
            <w:vAlign w:val="center"/>
          </w:tcPr>
          <w:p w14:paraId="14715CE8">
            <w:pPr>
              <w:snapToGrid w:val="0"/>
              <w:spacing w:line="240" w:lineRule="exact"/>
              <w:jc w:val="center"/>
              <w:rPr>
                <w:color w:val="auto"/>
                <w:szCs w:val="21"/>
                <w:highlight w:val="none"/>
              </w:rPr>
            </w:pPr>
            <w:r>
              <w:rPr>
                <w:color w:val="auto"/>
                <w:szCs w:val="21"/>
                <w:highlight w:val="none"/>
              </w:rPr>
              <w:t>服务</w:t>
            </w:r>
          </w:p>
          <w:p w14:paraId="380AE042">
            <w:pPr>
              <w:snapToGrid w:val="0"/>
              <w:spacing w:line="240" w:lineRule="exact"/>
              <w:jc w:val="center"/>
              <w:rPr>
                <w:color w:val="auto"/>
                <w:szCs w:val="21"/>
                <w:highlight w:val="none"/>
              </w:rPr>
            </w:pPr>
            <w:r>
              <w:rPr>
                <w:color w:val="auto"/>
                <w:szCs w:val="21"/>
                <w:highlight w:val="none"/>
              </w:rPr>
              <w:t>数量或年限</w:t>
            </w:r>
          </w:p>
        </w:tc>
        <w:tc>
          <w:tcPr>
            <w:tcW w:w="684" w:type="dxa"/>
            <w:tcBorders>
              <w:top w:val="single" w:color="auto" w:sz="4" w:space="0"/>
              <w:left w:val="single" w:color="auto" w:sz="4" w:space="0"/>
              <w:bottom w:val="single" w:color="auto" w:sz="4" w:space="0"/>
              <w:right w:val="single" w:color="auto" w:sz="4" w:space="0"/>
            </w:tcBorders>
            <w:noWrap w:val="0"/>
            <w:vAlign w:val="center"/>
          </w:tcPr>
          <w:p w14:paraId="3BA679E8">
            <w:pPr>
              <w:snapToGrid w:val="0"/>
              <w:spacing w:line="240" w:lineRule="exact"/>
              <w:jc w:val="center"/>
              <w:rPr>
                <w:color w:val="auto"/>
                <w:szCs w:val="21"/>
                <w:highlight w:val="none"/>
              </w:rPr>
            </w:pPr>
            <w:r>
              <w:rPr>
                <w:color w:val="auto"/>
                <w:szCs w:val="21"/>
                <w:highlight w:val="none"/>
              </w:rPr>
              <w:t>单价</w:t>
            </w:r>
            <w:r>
              <w:rPr>
                <w:rFonts w:hint="eastAsia"/>
                <w:color w:val="auto"/>
                <w:szCs w:val="21"/>
                <w:highlight w:val="none"/>
              </w:rPr>
              <w:t>（元）</w:t>
            </w:r>
          </w:p>
        </w:tc>
        <w:tc>
          <w:tcPr>
            <w:tcW w:w="913" w:type="dxa"/>
            <w:tcBorders>
              <w:top w:val="single" w:color="auto" w:sz="4" w:space="0"/>
              <w:left w:val="single" w:color="auto" w:sz="4" w:space="0"/>
              <w:bottom w:val="single" w:color="auto" w:sz="4" w:space="0"/>
              <w:right w:val="single" w:color="auto" w:sz="4" w:space="0"/>
            </w:tcBorders>
            <w:noWrap w:val="0"/>
            <w:vAlign w:val="center"/>
          </w:tcPr>
          <w:p w14:paraId="6C0B78CA">
            <w:pPr>
              <w:snapToGrid w:val="0"/>
              <w:spacing w:line="240" w:lineRule="exact"/>
              <w:jc w:val="center"/>
              <w:rPr>
                <w:color w:val="auto"/>
                <w:szCs w:val="21"/>
                <w:highlight w:val="none"/>
              </w:rPr>
            </w:pPr>
            <w:r>
              <w:rPr>
                <w:color w:val="auto"/>
                <w:szCs w:val="21"/>
                <w:highlight w:val="none"/>
              </w:rPr>
              <w:t>合同</w:t>
            </w:r>
            <w:r>
              <w:rPr>
                <w:rFonts w:hint="eastAsia"/>
                <w:color w:val="auto"/>
                <w:szCs w:val="21"/>
                <w:highlight w:val="none"/>
              </w:rPr>
              <w:t>总价</w:t>
            </w:r>
          </w:p>
          <w:p w14:paraId="19FA295E">
            <w:pPr>
              <w:snapToGrid w:val="0"/>
              <w:spacing w:line="240" w:lineRule="exact"/>
              <w:jc w:val="center"/>
              <w:rPr>
                <w:color w:val="auto"/>
                <w:szCs w:val="21"/>
                <w:highlight w:val="none"/>
              </w:rPr>
            </w:pPr>
            <w:r>
              <w:rPr>
                <w:color w:val="auto"/>
                <w:szCs w:val="21"/>
                <w:highlight w:val="none"/>
              </w:rPr>
              <w:t>（元）</w:t>
            </w:r>
          </w:p>
        </w:tc>
        <w:tc>
          <w:tcPr>
            <w:tcW w:w="1369" w:type="dxa"/>
            <w:tcBorders>
              <w:top w:val="single" w:color="auto" w:sz="4" w:space="0"/>
              <w:left w:val="single" w:color="auto" w:sz="4" w:space="0"/>
              <w:bottom w:val="single" w:color="auto" w:sz="4" w:space="0"/>
              <w:right w:val="single" w:color="auto" w:sz="4" w:space="0"/>
            </w:tcBorders>
            <w:noWrap w:val="0"/>
            <w:vAlign w:val="center"/>
          </w:tcPr>
          <w:p w14:paraId="54E91861">
            <w:pPr>
              <w:jc w:val="center"/>
              <w:rPr>
                <w:color w:val="auto"/>
                <w:szCs w:val="21"/>
                <w:highlight w:val="none"/>
              </w:rPr>
            </w:pPr>
            <w:r>
              <w:rPr>
                <w:color w:val="auto"/>
                <w:szCs w:val="21"/>
                <w:highlight w:val="none"/>
              </w:rPr>
              <w:t>采购单位联系人及联系电话</w:t>
            </w:r>
          </w:p>
        </w:tc>
      </w:tr>
      <w:tr w14:paraId="434604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0" w:hRule="atLeast"/>
        </w:trPr>
        <w:tc>
          <w:tcPr>
            <w:tcW w:w="771" w:type="dxa"/>
            <w:tcBorders>
              <w:top w:val="single" w:color="auto" w:sz="4" w:space="0"/>
              <w:left w:val="single" w:color="auto" w:sz="4" w:space="0"/>
              <w:bottom w:val="single" w:color="auto" w:sz="4" w:space="0"/>
              <w:right w:val="single" w:color="auto" w:sz="4" w:space="0"/>
            </w:tcBorders>
            <w:noWrap w:val="0"/>
            <w:vAlign w:val="top"/>
          </w:tcPr>
          <w:p w14:paraId="1EAD5BCB">
            <w:pPr>
              <w:snapToGrid w:val="0"/>
              <w:spacing w:line="240" w:lineRule="exact"/>
              <w:jc w:val="left"/>
              <w:rPr>
                <w:color w:val="auto"/>
                <w:szCs w:val="21"/>
                <w:highlight w:val="none"/>
              </w:rPr>
            </w:pPr>
          </w:p>
        </w:tc>
        <w:tc>
          <w:tcPr>
            <w:tcW w:w="2565" w:type="dxa"/>
            <w:tcBorders>
              <w:top w:val="single" w:color="auto" w:sz="4" w:space="0"/>
              <w:left w:val="single" w:color="auto" w:sz="4" w:space="0"/>
              <w:bottom w:val="single" w:color="auto" w:sz="4" w:space="0"/>
              <w:right w:val="single" w:color="auto" w:sz="4" w:space="0"/>
            </w:tcBorders>
            <w:noWrap w:val="0"/>
            <w:vAlign w:val="top"/>
          </w:tcPr>
          <w:p w14:paraId="5048AD24">
            <w:pPr>
              <w:snapToGrid w:val="0"/>
              <w:spacing w:line="240" w:lineRule="exact"/>
              <w:jc w:val="left"/>
              <w:rPr>
                <w:color w:val="auto"/>
                <w:szCs w:val="21"/>
                <w:highlight w:val="none"/>
              </w:rPr>
            </w:pPr>
          </w:p>
        </w:tc>
        <w:tc>
          <w:tcPr>
            <w:tcW w:w="2171" w:type="dxa"/>
            <w:tcBorders>
              <w:top w:val="single" w:color="auto" w:sz="4" w:space="0"/>
              <w:left w:val="single" w:color="auto" w:sz="4" w:space="0"/>
              <w:bottom w:val="single" w:color="auto" w:sz="4" w:space="0"/>
              <w:right w:val="single" w:color="auto" w:sz="4" w:space="0"/>
            </w:tcBorders>
            <w:noWrap w:val="0"/>
            <w:vAlign w:val="top"/>
          </w:tcPr>
          <w:p w14:paraId="0CE8F42D">
            <w:pPr>
              <w:snapToGrid w:val="0"/>
              <w:spacing w:line="240" w:lineRule="exact"/>
              <w:jc w:val="left"/>
              <w:rPr>
                <w:color w:val="auto"/>
                <w:szCs w:val="21"/>
                <w:highlight w:val="none"/>
              </w:rPr>
            </w:pPr>
          </w:p>
        </w:tc>
        <w:tc>
          <w:tcPr>
            <w:tcW w:w="684" w:type="dxa"/>
            <w:tcBorders>
              <w:top w:val="single" w:color="auto" w:sz="4" w:space="0"/>
              <w:left w:val="single" w:color="auto" w:sz="4" w:space="0"/>
              <w:bottom w:val="single" w:color="auto" w:sz="4" w:space="0"/>
              <w:right w:val="single" w:color="auto" w:sz="4" w:space="0"/>
            </w:tcBorders>
            <w:noWrap w:val="0"/>
            <w:vAlign w:val="top"/>
          </w:tcPr>
          <w:p w14:paraId="3DA8A00D">
            <w:pPr>
              <w:snapToGrid w:val="0"/>
              <w:spacing w:line="240" w:lineRule="exact"/>
              <w:jc w:val="left"/>
              <w:rPr>
                <w:color w:val="auto"/>
                <w:szCs w:val="21"/>
                <w:highlight w:val="none"/>
              </w:rPr>
            </w:pPr>
          </w:p>
        </w:tc>
        <w:tc>
          <w:tcPr>
            <w:tcW w:w="684" w:type="dxa"/>
            <w:tcBorders>
              <w:top w:val="single" w:color="auto" w:sz="4" w:space="0"/>
              <w:left w:val="single" w:color="auto" w:sz="4" w:space="0"/>
              <w:bottom w:val="single" w:color="auto" w:sz="4" w:space="0"/>
              <w:right w:val="single" w:color="auto" w:sz="4" w:space="0"/>
            </w:tcBorders>
            <w:noWrap w:val="0"/>
            <w:vAlign w:val="top"/>
          </w:tcPr>
          <w:p w14:paraId="51351CB2">
            <w:pPr>
              <w:snapToGrid w:val="0"/>
              <w:spacing w:line="240" w:lineRule="exact"/>
              <w:jc w:val="left"/>
              <w:rPr>
                <w:color w:val="auto"/>
                <w:szCs w:val="21"/>
                <w:highlight w:val="none"/>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7C4D34B7">
            <w:pPr>
              <w:snapToGrid w:val="0"/>
              <w:spacing w:line="240" w:lineRule="exact"/>
              <w:jc w:val="left"/>
              <w:rPr>
                <w:color w:val="auto"/>
                <w:szCs w:val="21"/>
                <w:highlight w:val="none"/>
              </w:rPr>
            </w:pPr>
          </w:p>
        </w:tc>
        <w:tc>
          <w:tcPr>
            <w:tcW w:w="1369" w:type="dxa"/>
            <w:tcBorders>
              <w:top w:val="single" w:color="auto" w:sz="4" w:space="0"/>
              <w:left w:val="single" w:color="auto" w:sz="4" w:space="0"/>
              <w:bottom w:val="single" w:color="auto" w:sz="4" w:space="0"/>
              <w:right w:val="single" w:color="auto" w:sz="4" w:space="0"/>
            </w:tcBorders>
            <w:noWrap w:val="0"/>
            <w:vAlign w:val="top"/>
          </w:tcPr>
          <w:p w14:paraId="3C1988C5">
            <w:pPr>
              <w:snapToGrid w:val="0"/>
              <w:spacing w:line="240" w:lineRule="exact"/>
              <w:jc w:val="left"/>
              <w:rPr>
                <w:color w:val="auto"/>
                <w:szCs w:val="21"/>
                <w:highlight w:val="none"/>
              </w:rPr>
            </w:pPr>
          </w:p>
        </w:tc>
      </w:tr>
      <w:tr w14:paraId="31C681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771" w:type="dxa"/>
            <w:tcBorders>
              <w:top w:val="single" w:color="auto" w:sz="4" w:space="0"/>
              <w:left w:val="single" w:color="auto" w:sz="4" w:space="0"/>
              <w:bottom w:val="single" w:color="auto" w:sz="4" w:space="0"/>
              <w:right w:val="single" w:color="auto" w:sz="4" w:space="0"/>
            </w:tcBorders>
            <w:noWrap w:val="0"/>
            <w:vAlign w:val="top"/>
          </w:tcPr>
          <w:p w14:paraId="5E32EB48">
            <w:pPr>
              <w:snapToGrid w:val="0"/>
              <w:spacing w:before="50" w:after="120" w:afterLines="50" w:line="400" w:lineRule="exact"/>
              <w:jc w:val="left"/>
              <w:rPr>
                <w:color w:val="auto"/>
                <w:szCs w:val="21"/>
                <w:highlight w:val="none"/>
              </w:rPr>
            </w:pPr>
          </w:p>
        </w:tc>
        <w:tc>
          <w:tcPr>
            <w:tcW w:w="2565" w:type="dxa"/>
            <w:tcBorders>
              <w:top w:val="single" w:color="auto" w:sz="4" w:space="0"/>
              <w:left w:val="single" w:color="auto" w:sz="4" w:space="0"/>
              <w:bottom w:val="single" w:color="auto" w:sz="4" w:space="0"/>
              <w:right w:val="single" w:color="auto" w:sz="4" w:space="0"/>
            </w:tcBorders>
            <w:noWrap w:val="0"/>
            <w:vAlign w:val="top"/>
          </w:tcPr>
          <w:p w14:paraId="6296F07E">
            <w:pPr>
              <w:snapToGrid w:val="0"/>
              <w:spacing w:before="50" w:after="120" w:afterLines="50" w:line="400" w:lineRule="exact"/>
              <w:jc w:val="left"/>
              <w:rPr>
                <w:color w:val="auto"/>
                <w:szCs w:val="21"/>
                <w:highlight w:val="none"/>
              </w:rPr>
            </w:pPr>
          </w:p>
        </w:tc>
        <w:tc>
          <w:tcPr>
            <w:tcW w:w="2171" w:type="dxa"/>
            <w:tcBorders>
              <w:top w:val="single" w:color="auto" w:sz="4" w:space="0"/>
              <w:left w:val="single" w:color="auto" w:sz="4" w:space="0"/>
              <w:bottom w:val="single" w:color="auto" w:sz="4" w:space="0"/>
              <w:right w:val="single" w:color="auto" w:sz="4" w:space="0"/>
            </w:tcBorders>
            <w:noWrap w:val="0"/>
            <w:vAlign w:val="top"/>
          </w:tcPr>
          <w:p w14:paraId="3D8EFDF5">
            <w:pPr>
              <w:snapToGrid w:val="0"/>
              <w:spacing w:before="50" w:after="120" w:afterLines="50" w:line="400" w:lineRule="exact"/>
              <w:jc w:val="left"/>
              <w:rPr>
                <w:color w:val="auto"/>
                <w:szCs w:val="21"/>
                <w:highlight w:val="none"/>
              </w:rPr>
            </w:pPr>
          </w:p>
        </w:tc>
        <w:tc>
          <w:tcPr>
            <w:tcW w:w="684" w:type="dxa"/>
            <w:tcBorders>
              <w:top w:val="single" w:color="auto" w:sz="4" w:space="0"/>
              <w:left w:val="single" w:color="auto" w:sz="4" w:space="0"/>
              <w:bottom w:val="single" w:color="auto" w:sz="4" w:space="0"/>
              <w:right w:val="single" w:color="auto" w:sz="4" w:space="0"/>
            </w:tcBorders>
            <w:noWrap w:val="0"/>
            <w:vAlign w:val="top"/>
          </w:tcPr>
          <w:p w14:paraId="6AA2BF50">
            <w:pPr>
              <w:snapToGrid w:val="0"/>
              <w:spacing w:before="50" w:after="120" w:afterLines="50" w:line="400" w:lineRule="exact"/>
              <w:jc w:val="left"/>
              <w:rPr>
                <w:color w:val="auto"/>
                <w:szCs w:val="21"/>
                <w:highlight w:val="none"/>
              </w:rPr>
            </w:pPr>
          </w:p>
        </w:tc>
        <w:tc>
          <w:tcPr>
            <w:tcW w:w="684" w:type="dxa"/>
            <w:tcBorders>
              <w:top w:val="single" w:color="auto" w:sz="4" w:space="0"/>
              <w:left w:val="single" w:color="auto" w:sz="4" w:space="0"/>
              <w:bottom w:val="single" w:color="auto" w:sz="4" w:space="0"/>
              <w:right w:val="single" w:color="auto" w:sz="4" w:space="0"/>
            </w:tcBorders>
            <w:noWrap w:val="0"/>
            <w:vAlign w:val="top"/>
          </w:tcPr>
          <w:p w14:paraId="41937D0C">
            <w:pPr>
              <w:snapToGrid w:val="0"/>
              <w:spacing w:before="50" w:after="120" w:afterLines="50" w:line="400" w:lineRule="exact"/>
              <w:jc w:val="left"/>
              <w:rPr>
                <w:color w:val="auto"/>
                <w:szCs w:val="21"/>
                <w:highlight w:val="none"/>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7B72D64E">
            <w:pPr>
              <w:snapToGrid w:val="0"/>
              <w:spacing w:before="50" w:after="120" w:afterLines="50" w:line="400" w:lineRule="exact"/>
              <w:jc w:val="left"/>
              <w:rPr>
                <w:color w:val="auto"/>
                <w:szCs w:val="21"/>
                <w:highlight w:val="none"/>
              </w:rPr>
            </w:pPr>
          </w:p>
        </w:tc>
        <w:tc>
          <w:tcPr>
            <w:tcW w:w="1369" w:type="dxa"/>
            <w:tcBorders>
              <w:top w:val="single" w:color="auto" w:sz="4" w:space="0"/>
              <w:left w:val="single" w:color="auto" w:sz="4" w:space="0"/>
              <w:bottom w:val="single" w:color="auto" w:sz="4" w:space="0"/>
              <w:right w:val="single" w:color="auto" w:sz="4" w:space="0"/>
            </w:tcBorders>
            <w:noWrap w:val="0"/>
            <w:vAlign w:val="top"/>
          </w:tcPr>
          <w:p w14:paraId="25824A05">
            <w:pPr>
              <w:snapToGrid w:val="0"/>
              <w:spacing w:before="50" w:after="120" w:afterLines="50" w:line="400" w:lineRule="exact"/>
              <w:jc w:val="left"/>
              <w:rPr>
                <w:color w:val="auto"/>
                <w:szCs w:val="21"/>
                <w:highlight w:val="none"/>
              </w:rPr>
            </w:pPr>
          </w:p>
        </w:tc>
      </w:tr>
      <w:tr w14:paraId="786563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771" w:type="dxa"/>
            <w:tcBorders>
              <w:top w:val="single" w:color="auto" w:sz="4" w:space="0"/>
              <w:left w:val="single" w:color="auto" w:sz="4" w:space="0"/>
              <w:bottom w:val="single" w:color="auto" w:sz="4" w:space="0"/>
              <w:right w:val="single" w:color="auto" w:sz="4" w:space="0"/>
            </w:tcBorders>
            <w:noWrap w:val="0"/>
            <w:vAlign w:val="top"/>
          </w:tcPr>
          <w:p w14:paraId="2EF82D91">
            <w:pPr>
              <w:snapToGrid w:val="0"/>
              <w:spacing w:before="50" w:after="120" w:afterLines="50" w:line="400" w:lineRule="exact"/>
              <w:jc w:val="left"/>
              <w:rPr>
                <w:color w:val="auto"/>
                <w:szCs w:val="21"/>
                <w:highlight w:val="none"/>
              </w:rPr>
            </w:pPr>
          </w:p>
        </w:tc>
        <w:tc>
          <w:tcPr>
            <w:tcW w:w="2565" w:type="dxa"/>
            <w:tcBorders>
              <w:top w:val="single" w:color="auto" w:sz="4" w:space="0"/>
              <w:left w:val="single" w:color="auto" w:sz="4" w:space="0"/>
              <w:bottom w:val="single" w:color="auto" w:sz="4" w:space="0"/>
              <w:right w:val="single" w:color="auto" w:sz="4" w:space="0"/>
            </w:tcBorders>
            <w:noWrap w:val="0"/>
            <w:vAlign w:val="top"/>
          </w:tcPr>
          <w:p w14:paraId="16409055">
            <w:pPr>
              <w:snapToGrid w:val="0"/>
              <w:spacing w:before="50" w:after="120" w:afterLines="50" w:line="400" w:lineRule="exact"/>
              <w:jc w:val="left"/>
              <w:rPr>
                <w:color w:val="auto"/>
                <w:szCs w:val="21"/>
                <w:highlight w:val="none"/>
              </w:rPr>
            </w:pPr>
          </w:p>
        </w:tc>
        <w:tc>
          <w:tcPr>
            <w:tcW w:w="2171" w:type="dxa"/>
            <w:tcBorders>
              <w:top w:val="single" w:color="auto" w:sz="4" w:space="0"/>
              <w:left w:val="single" w:color="auto" w:sz="4" w:space="0"/>
              <w:bottom w:val="single" w:color="auto" w:sz="4" w:space="0"/>
              <w:right w:val="single" w:color="auto" w:sz="4" w:space="0"/>
            </w:tcBorders>
            <w:noWrap w:val="0"/>
            <w:vAlign w:val="top"/>
          </w:tcPr>
          <w:p w14:paraId="53B034ED">
            <w:pPr>
              <w:snapToGrid w:val="0"/>
              <w:spacing w:before="50" w:after="120" w:afterLines="50" w:line="400" w:lineRule="exact"/>
              <w:jc w:val="left"/>
              <w:rPr>
                <w:color w:val="auto"/>
                <w:szCs w:val="21"/>
                <w:highlight w:val="none"/>
              </w:rPr>
            </w:pPr>
          </w:p>
        </w:tc>
        <w:tc>
          <w:tcPr>
            <w:tcW w:w="684" w:type="dxa"/>
            <w:tcBorders>
              <w:top w:val="single" w:color="auto" w:sz="4" w:space="0"/>
              <w:left w:val="single" w:color="auto" w:sz="4" w:space="0"/>
              <w:bottom w:val="single" w:color="auto" w:sz="4" w:space="0"/>
              <w:right w:val="single" w:color="auto" w:sz="4" w:space="0"/>
            </w:tcBorders>
            <w:noWrap w:val="0"/>
            <w:vAlign w:val="top"/>
          </w:tcPr>
          <w:p w14:paraId="6ED3A1CD">
            <w:pPr>
              <w:snapToGrid w:val="0"/>
              <w:spacing w:before="50" w:after="120" w:afterLines="50" w:line="400" w:lineRule="exact"/>
              <w:jc w:val="left"/>
              <w:rPr>
                <w:color w:val="auto"/>
                <w:szCs w:val="21"/>
                <w:highlight w:val="none"/>
              </w:rPr>
            </w:pPr>
          </w:p>
        </w:tc>
        <w:tc>
          <w:tcPr>
            <w:tcW w:w="684" w:type="dxa"/>
            <w:tcBorders>
              <w:top w:val="single" w:color="auto" w:sz="4" w:space="0"/>
              <w:left w:val="single" w:color="auto" w:sz="4" w:space="0"/>
              <w:bottom w:val="single" w:color="auto" w:sz="4" w:space="0"/>
              <w:right w:val="single" w:color="auto" w:sz="4" w:space="0"/>
            </w:tcBorders>
            <w:noWrap w:val="0"/>
            <w:vAlign w:val="top"/>
          </w:tcPr>
          <w:p w14:paraId="42AE692B">
            <w:pPr>
              <w:snapToGrid w:val="0"/>
              <w:spacing w:before="50" w:after="120" w:afterLines="50" w:line="400" w:lineRule="exact"/>
              <w:jc w:val="left"/>
              <w:rPr>
                <w:color w:val="auto"/>
                <w:szCs w:val="21"/>
                <w:highlight w:val="none"/>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3F3C1AD7">
            <w:pPr>
              <w:snapToGrid w:val="0"/>
              <w:spacing w:before="50" w:after="120" w:afterLines="50" w:line="400" w:lineRule="exact"/>
              <w:jc w:val="left"/>
              <w:rPr>
                <w:color w:val="auto"/>
                <w:szCs w:val="21"/>
                <w:highlight w:val="none"/>
              </w:rPr>
            </w:pPr>
          </w:p>
        </w:tc>
        <w:tc>
          <w:tcPr>
            <w:tcW w:w="1369" w:type="dxa"/>
            <w:tcBorders>
              <w:top w:val="single" w:color="auto" w:sz="4" w:space="0"/>
              <w:left w:val="single" w:color="auto" w:sz="4" w:space="0"/>
              <w:bottom w:val="single" w:color="auto" w:sz="4" w:space="0"/>
              <w:right w:val="single" w:color="auto" w:sz="4" w:space="0"/>
            </w:tcBorders>
            <w:noWrap w:val="0"/>
            <w:vAlign w:val="top"/>
          </w:tcPr>
          <w:p w14:paraId="70A0E522">
            <w:pPr>
              <w:snapToGrid w:val="0"/>
              <w:spacing w:before="50" w:after="120" w:afterLines="50" w:line="400" w:lineRule="exact"/>
              <w:jc w:val="left"/>
              <w:rPr>
                <w:color w:val="auto"/>
                <w:szCs w:val="21"/>
                <w:highlight w:val="none"/>
              </w:rPr>
            </w:pPr>
          </w:p>
        </w:tc>
      </w:tr>
      <w:tr w14:paraId="771F49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771" w:type="dxa"/>
            <w:tcBorders>
              <w:top w:val="single" w:color="auto" w:sz="4" w:space="0"/>
              <w:left w:val="single" w:color="auto" w:sz="4" w:space="0"/>
              <w:bottom w:val="single" w:color="auto" w:sz="4" w:space="0"/>
              <w:right w:val="single" w:color="auto" w:sz="4" w:space="0"/>
            </w:tcBorders>
            <w:noWrap w:val="0"/>
            <w:vAlign w:val="top"/>
          </w:tcPr>
          <w:p w14:paraId="2F440310">
            <w:pPr>
              <w:snapToGrid w:val="0"/>
              <w:spacing w:before="50" w:after="120" w:afterLines="50" w:line="400" w:lineRule="exact"/>
              <w:jc w:val="left"/>
              <w:rPr>
                <w:color w:val="auto"/>
                <w:szCs w:val="21"/>
                <w:highlight w:val="none"/>
              </w:rPr>
            </w:pPr>
          </w:p>
        </w:tc>
        <w:tc>
          <w:tcPr>
            <w:tcW w:w="2565" w:type="dxa"/>
            <w:tcBorders>
              <w:top w:val="single" w:color="auto" w:sz="4" w:space="0"/>
              <w:left w:val="single" w:color="auto" w:sz="4" w:space="0"/>
              <w:bottom w:val="single" w:color="auto" w:sz="4" w:space="0"/>
              <w:right w:val="single" w:color="auto" w:sz="4" w:space="0"/>
            </w:tcBorders>
            <w:noWrap w:val="0"/>
            <w:vAlign w:val="top"/>
          </w:tcPr>
          <w:p w14:paraId="32D6A762">
            <w:pPr>
              <w:snapToGrid w:val="0"/>
              <w:spacing w:before="50" w:after="120" w:afterLines="50" w:line="400" w:lineRule="exact"/>
              <w:jc w:val="left"/>
              <w:rPr>
                <w:color w:val="auto"/>
                <w:szCs w:val="21"/>
                <w:highlight w:val="none"/>
              </w:rPr>
            </w:pPr>
          </w:p>
        </w:tc>
        <w:tc>
          <w:tcPr>
            <w:tcW w:w="2171" w:type="dxa"/>
            <w:tcBorders>
              <w:top w:val="single" w:color="auto" w:sz="4" w:space="0"/>
              <w:left w:val="single" w:color="auto" w:sz="4" w:space="0"/>
              <w:bottom w:val="single" w:color="auto" w:sz="4" w:space="0"/>
              <w:right w:val="single" w:color="auto" w:sz="4" w:space="0"/>
            </w:tcBorders>
            <w:noWrap w:val="0"/>
            <w:vAlign w:val="top"/>
          </w:tcPr>
          <w:p w14:paraId="3B0E2C41">
            <w:pPr>
              <w:snapToGrid w:val="0"/>
              <w:spacing w:before="50" w:after="120" w:afterLines="50" w:line="400" w:lineRule="exact"/>
              <w:jc w:val="left"/>
              <w:rPr>
                <w:color w:val="auto"/>
                <w:szCs w:val="21"/>
                <w:highlight w:val="none"/>
              </w:rPr>
            </w:pPr>
          </w:p>
        </w:tc>
        <w:tc>
          <w:tcPr>
            <w:tcW w:w="684" w:type="dxa"/>
            <w:tcBorders>
              <w:top w:val="single" w:color="auto" w:sz="4" w:space="0"/>
              <w:left w:val="single" w:color="auto" w:sz="4" w:space="0"/>
              <w:bottom w:val="single" w:color="auto" w:sz="4" w:space="0"/>
              <w:right w:val="single" w:color="auto" w:sz="4" w:space="0"/>
            </w:tcBorders>
            <w:noWrap w:val="0"/>
            <w:vAlign w:val="top"/>
          </w:tcPr>
          <w:p w14:paraId="0E76B8EA">
            <w:pPr>
              <w:snapToGrid w:val="0"/>
              <w:spacing w:before="50" w:after="120" w:afterLines="50" w:line="400" w:lineRule="exact"/>
              <w:jc w:val="left"/>
              <w:rPr>
                <w:color w:val="auto"/>
                <w:szCs w:val="21"/>
                <w:highlight w:val="none"/>
              </w:rPr>
            </w:pPr>
          </w:p>
        </w:tc>
        <w:tc>
          <w:tcPr>
            <w:tcW w:w="684" w:type="dxa"/>
            <w:tcBorders>
              <w:top w:val="single" w:color="auto" w:sz="4" w:space="0"/>
              <w:left w:val="single" w:color="auto" w:sz="4" w:space="0"/>
              <w:bottom w:val="single" w:color="auto" w:sz="4" w:space="0"/>
              <w:right w:val="single" w:color="auto" w:sz="4" w:space="0"/>
            </w:tcBorders>
            <w:noWrap w:val="0"/>
            <w:vAlign w:val="top"/>
          </w:tcPr>
          <w:p w14:paraId="4B569BB8">
            <w:pPr>
              <w:snapToGrid w:val="0"/>
              <w:spacing w:before="50" w:after="120" w:afterLines="50" w:line="400" w:lineRule="exact"/>
              <w:jc w:val="left"/>
              <w:rPr>
                <w:color w:val="auto"/>
                <w:szCs w:val="21"/>
                <w:highlight w:val="none"/>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559C25E2">
            <w:pPr>
              <w:snapToGrid w:val="0"/>
              <w:spacing w:before="50" w:after="120" w:afterLines="50" w:line="400" w:lineRule="exact"/>
              <w:jc w:val="left"/>
              <w:rPr>
                <w:color w:val="auto"/>
                <w:szCs w:val="21"/>
                <w:highlight w:val="none"/>
              </w:rPr>
            </w:pPr>
          </w:p>
        </w:tc>
        <w:tc>
          <w:tcPr>
            <w:tcW w:w="1369" w:type="dxa"/>
            <w:tcBorders>
              <w:top w:val="single" w:color="auto" w:sz="4" w:space="0"/>
              <w:left w:val="single" w:color="auto" w:sz="4" w:space="0"/>
              <w:bottom w:val="single" w:color="auto" w:sz="4" w:space="0"/>
              <w:right w:val="single" w:color="auto" w:sz="4" w:space="0"/>
            </w:tcBorders>
            <w:noWrap w:val="0"/>
            <w:vAlign w:val="top"/>
          </w:tcPr>
          <w:p w14:paraId="30801AB7">
            <w:pPr>
              <w:snapToGrid w:val="0"/>
              <w:spacing w:before="50" w:after="120" w:afterLines="50" w:line="400" w:lineRule="exact"/>
              <w:jc w:val="left"/>
              <w:rPr>
                <w:color w:val="auto"/>
                <w:szCs w:val="21"/>
                <w:highlight w:val="none"/>
              </w:rPr>
            </w:pPr>
          </w:p>
        </w:tc>
      </w:tr>
      <w:tr w14:paraId="2CECF0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3" w:hRule="atLeast"/>
        </w:trPr>
        <w:tc>
          <w:tcPr>
            <w:tcW w:w="771" w:type="dxa"/>
            <w:tcBorders>
              <w:top w:val="single" w:color="auto" w:sz="4" w:space="0"/>
              <w:left w:val="single" w:color="auto" w:sz="4" w:space="0"/>
              <w:bottom w:val="single" w:color="auto" w:sz="4" w:space="0"/>
              <w:right w:val="single" w:color="auto" w:sz="4" w:space="0"/>
            </w:tcBorders>
            <w:noWrap w:val="0"/>
            <w:vAlign w:val="top"/>
          </w:tcPr>
          <w:p w14:paraId="722D881D">
            <w:pPr>
              <w:snapToGrid w:val="0"/>
              <w:spacing w:before="50" w:after="120" w:afterLines="50" w:line="400" w:lineRule="exact"/>
              <w:jc w:val="left"/>
              <w:rPr>
                <w:color w:val="auto"/>
                <w:szCs w:val="21"/>
                <w:highlight w:val="none"/>
              </w:rPr>
            </w:pPr>
          </w:p>
        </w:tc>
        <w:tc>
          <w:tcPr>
            <w:tcW w:w="2565" w:type="dxa"/>
            <w:tcBorders>
              <w:top w:val="single" w:color="auto" w:sz="4" w:space="0"/>
              <w:left w:val="single" w:color="auto" w:sz="4" w:space="0"/>
              <w:bottom w:val="single" w:color="auto" w:sz="4" w:space="0"/>
              <w:right w:val="single" w:color="auto" w:sz="4" w:space="0"/>
            </w:tcBorders>
            <w:noWrap w:val="0"/>
            <w:vAlign w:val="top"/>
          </w:tcPr>
          <w:p w14:paraId="31672374">
            <w:pPr>
              <w:snapToGrid w:val="0"/>
              <w:spacing w:before="50" w:after="120" w:afterLines="50" w:line="400" w:lineRule="exact"/>
              <w:jc w:val="left"/>
              <w:rPr>
                <w:color w:val="auto"/>
                <w:szCs w:val="21"/>
                <w:highlight w:val="none"/>
              </w:rPr>
            </w:pPr>
          </w:p>
        </w:tc>
        <w:tc>
          <w:tcPr>
            <w:tcW w:w="2171" w:type="dxa"/>
            <w:tcBorders>
              <w:top w:val="single" w:color="auto" w:sz="4" w:space="0"/>
              <w:left w:val="single" w:color="auto" w:sz="4" w:space="0"/>
              <w:bottom w:val="single" w:color="auto" w:sz="4" w:space="0"/>
              <w:right w:val="single" w:color="auto" w:sz="4" w:space="0"/>
            </w:tcBorders>
            <w:noWrap w:val="0"/>
            <w:vAlign w:val="top"/>
          </w:tcPr>
          <w:p w14:paraId="4F069EE1">
            <w:pPr>
              <w:snapToGrid w:val="0"/>
              <w:spacing w:before="50" w:after="120" w:afterLines="50" w:line="400" w:lineRule="exact"/>
              <w:jc w:val="left"/>
              <w:rPr>
                <w:color w:val="auto"/>
                <w:szCs w:val="21"/>
                <w:highlight w:val="none"/>
              </w:rPr>
            </w:pPr>
          </w:p>
        </w:tc>
        <w:tc>
          <w:tcPr>
            <w:tcW w:w="684" w:type="dxa"/>
            <w:tcBorders>
              <w:top w:val="single" w:color="auto" w:sz="4" w:space="0"/>
              <w:left w:val="single" w:color="auto" w:sz="4" w:space="0"/>
              <w:bottom w:val="single" w:color="auto" w:sz="4" w:space="0"/>
              <w:right w:val="single" w:color="auto" w:sz="4" w:space="0"/>
            </w:tcBorders>
            <w:noWrap w:val="0"/>
            <w:vAlign w:val="top"/>
          </w:tcPr>
          <w:p w14:paraId="7103EF87">
            <w:pPr>
              <w:snapToGrid w:val="0"/>
              <w:spacing w:before="50" w:after="120" w:afterLines="50" w:line="400" w:lineRule="exact"/>
              <w:jc w:val="left"/>
              <w:rPr>
                <w:color w:val="auto"/>
                <w:szCs w:val="21"/>
                <w:highlight w:val="none"/>
              </w:rPr>
            </w:pPr>
          </w:p>
        </w:tc>
        <w:tc>
          <w:tcPr>
            <w:tcW w:w="684" w:type="dxa"/>
            <w:tcBorders>
              <w:top w:val="single" w:color="auto" w:sz="4" w:space="0"/>
              <w:left w:val="single" w:color="auto" w:sz="4" w:space="0"/>
              <w:bottom w:val="single" w:color="auto" w:sz="4" w:space="0"/>
              <w:right w:val="single" w:color="auto" w:sz="4" w:space="0"/>
            </w:tcBorders>
            <w:noWrap w:val="0"/>
            <w:vAlign w:val="top"/>
          </w:tcPr>
          <w:p w14:paraId="6C7EB9D2">
            <w:pPr>
              <w:snapToGrid w:val="0"/>
              <w:spacing w:before="50" w:after="120" w:afterLines="50" w:line="400" w:lineRule="exact"/>
              <w:jc w:val="left"/>
              <w:rPr>
                <w:color w:val="auto"/>
                <w:szCs w:val="21"/>
                <w:highlight w:val="none"/>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0D6C778F">
            <w:pPr>
              <w:snapToGrid w:val="0"/>
              <w:spacing w:before="50" w:after="120" w:afterLines="50" w:line="400" w:lineRule="exact"/>
              <w:jc w:val="left"/>
              <w:rPr>
                <w:color w:val="auto"/>
                <w:szCs w:val="21"/>
                <w:highlight w:val="none"/>
              </w:rPr>
            </w:pPr>
          </w:p>
        </w:tc>
        <w:tc>
          <w:tcPr>
            <w:tcW w:w="1369" w:type="dxa"/>
            <w:tcBorders>
              <w:top w:val="single" w:color="auto" w:sz="4" w:space="0"/>
              <w:left w:val="single" w:color="auto" w:sz="4" w:space="0"/>
              <w:bottom w:val="single" w:color="auto" w:sz="4" w:space="0"/>
              <w:right w:val="single" w:color="auto" w:sz="4" w:space="0"/>
            </w:tcBorders>
            <w:noWrap w:val="0"/>
            <w:vAlign w:val="top"/>
          </w:tcPr>
          <w:p w14:paraId="68D06E80">
            <w:pPr>
              <w:snapToGrid w:val="0"/>
              <w:spacing w:before="50" w:after="120" w:afterLines="50" w:line="400" w:lineRule="exact"/>
              <w:jc w:val="left"/>
              <w:rPr>
                <w:color w:val="auto"/>
                <w:szCs w:val="21"/>
                <w:highlight w:val="none"/>
              </w:rPr>
            </w:pPr>
          </w:p>
        </w:tc>
      </w:tr>
    </w:tbl>
    <w:p w14:paraId="37621774">
      <w:pPr>
        <w:pStyle w:val="16"/>
        <w:snapToGrid w:val="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注：</w:t>
      </w:r>
    </w:p>
    <w:p w14:paraId="43B9D1DF">
      <w:pPr>
        <w:pStyle w:val="16"/>
        <w:snapToGrid w:val="0"/>
        <w:rPr>
          <w:rFonts w:hint="eastAsia" w:ascii="Times New Roman" w:hAnsi="Times New Roman" w:eastAsia="宋体" w:cs="Times New Roman"/>
          <w:color w:val="auto"/>
          <w:sz w:val="21"/>
          <w:szCs w:val="21"/>
          <w:highlight w:val="none"/>
        </w:rPr>
      </w:pPr>
      <w:r>
        <w:rPr>
          <w:rFonts w:ascii="Times New Roman" w:hAnsi="Times New Roman" w:eastAsia="宋体" w:cs="Times New Roman"/>
          <w:color w:val="auto"/>
          <w:szCs w:val="21"/>
          <w:highlight w:val="none"/>
        </w:rPr>
        <w:t>（1）</w:t>
      </w:r>
      <w:r>
        <w:rPr>
          <w:rFonts w:ascii="Times New Roman" w:hAnsi="Times New Roman" w:eastAsia="宋体" w:cs="Times New Roman"/>
          <w:color w:val="auto"/>
          <w:sz w:val="21"/>
          <w:szCs w:val="21"/>
          <w:highlight w:val="none"/>
        </w:rPr>
        <w:t>未附</w:t>
      </w:r>
      <w:r>
        <w:rPr>
          <w:rFonts w:hint="eastAsia" w:ascii="Times New Roman" w:hAnsi="Times New Roman" w:eastAsia="宋体" w:cs="Times New Roman"/>
          <w:color w:val="auto"/>
          <w:sz w:val="21"/>
          <w:szCs w:val="21"/>
          <w:highlight w:val="none"/>
        </w:rPr>
        <w:t>证明材料</w:t>
      </w:r>
      <w:r>
        <w:rPr>
          <w:rFonts w:ascii="Times New Roman" w:hAnsi="Times New Roman" w:eastAsia="宋体" w:cs="Times New Roman"/>
          <w:color w:val="auto"/>
          <w:sz w:val="21"/>
          <w:szCs w:val="21"/>
          <w:highlight w:val="none"/>
        </w:rPr>
        <w:t>的业绩无效</w:t>
      </w:r>
      <w:r>
        <w:rPr>
          <w:rFonts w:hint="eastAsia" w:ascii="Times New Roman" w:hAnsi="Times New Roman" w:eastAsia="宋体" w:cs="Times New Roman"/>
          <w:color w:val="auto"/>
          <w:sz w:val="21"/>
          <w:szCs w:val="21"/>
          <w:highlight w:val="none"/>
        </w:rPr>
        <w:t>，证明材料</w:t>
      </w:r>
      <w:r>
        <w:rPr>
          <w:rFonts w:ascii="Times New Roman" w:hAnsi="Times New Roman" w:eastAsia="宋体" w:cs="Times New Roman"/>
          <w:color w:val="auto"/>
          <w:sz w:val="21"/>
          <w:szCs w:val="21"/>
          <w:highlight w:val="none"/>
        </w:rPr>
        <w:t>见第四章《评审方法及标准》规定</w:t>
      </w:r>
      <w:r>
        <w:rPr>
          <w:rFonts w:hint="eastAsia" w:ascii="Times New Roman" w:hAnsi="Times New Roman" w:eastAsia="宋体" w:cs="Times New Roman"/>
          <w:color w:val="auto"/>
          <w:sz w:val="21"/>
          <w:szCs w:val="21"/>
          <w:highlight w:val="none"/>
        </w:rPr>
        <w:t>。</w:t>
      </w:r>
    </w:p>
    <w:p w14:paraId="1EE6FD66">
      <w:pPr>
        <w:pStyle w:val="16"/>
        <w:snapToGrid w:val="0"/>
        <w:rPr>
          <w:rFonts w:ascii="Times New Roman" w:hAnsi="Times New Roman" w:eastAsia="宋体" w:cs="Times New Roman"/>
          <w:color w:val="auto"/>
          <w:sz w:val="21"/>
          <w:szCs w:val="21"/>
          <w:highlight w:val="none"/>
        </w:rPr>
      </w:pPr>
      <w:r>
        <w:rPr>
          <w:rFonts w:ascii="Times New Roman" w:hAnsi="Times New Roman" w:eastAsia="宋体" w:cs="Times New Roman"/>
          <w:color w:val="auto"/>
          <w:szCs w:val="21"/>
          <w:highlight w:val="none"/>
        </w:rPr>
        <w:t>（2）</w:t>
      </w:r>
      <w:r>
        <w:rPr>
          <w:rFonts w:ascii="Times New Roman" w:hAnsi="Times New Roman" w:eastAsia="宋体" w:cs="Times New Roman"/>
          <w:color w:val="auto"/>
          <w:sz w:val="21"/>
          <w:szCs w:val="21"/>
          <w:highlight w:val="none"/>
        </w:rPr>
        <w:t>类似项目的定义见第四章《评审方法及标准》规定。</w:t>
      </w:r>
    </w:p>
    <w:p w14:paraId="7C346506">
      <w:pPr>
        <w:rPr>
          <w:color w:val="auto"/>
          <w:highlight w:val="none"/>
        </w:rPr>
      </w:pPr>
      <w:r>
        <w:rPr>
          <w:color w:val="auto"/>
          <w:szCs w:val="21"/>
          <w:highlight w:val="none"/>
        </w:rPr>
        <w:t>（3）</w:t>
      </w:r>
      <w:r>
        <w:rPr>
          <w:color w:val="auto"/>
          <w:highlight w:val="none"/>
        </w:rPr>
        <w:t>本表可拓展</w:t>
      </w:r>
    </w:p>
    <w:p w14:paraId="389711E6">
      <w:pPr>
        <w:snapToGrid w:val="0"/>
        <w:spacing w:before="50"/>
        <w:jc w:val="left"/>
        <w:rPr>
          <w:color w:val="auto"/>
          <w:szCs w:val="21"/>
          <w:highlight w:val="none"/>
        </w:rPr>
      </w:pPr>
    </w:p>
    <w:p w14:paraId="6E0D381D">
      <w:pPr>
        <w:snapToGrid w:val="0"/>
        <w:spacing w:before="50"/>
        <w:jc w:val="left"/>
        <w:rPr>
          <w:rFonts w:hint="eastAsia"/>
          <w:color w:val="auto"/>
          <w:szCs w:val="21"/>
          <w:highlight w:val="none"/>
        </w:rPr>
        <w:sectPr>
          <w:headerReference r:id="rId19" w:type="default"/>
          <w:footerReference r:id="rId20" w:type="default"/>
          <w:pgSz w:w="11906" w:h="16838"/>
          <w:pgMar w:top="1418" w:right="1418" w:bottom="1418" w:left="1274" w:header="851" w:footer="992" w:gutter="0"/>
          <w:cols w:space="720" w:num="1"/>
          <w:docGrid w:linePitch="312" w:charSpace="0"/>
        </w:sect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r>
        <w:rPr>
          <w:color w:val="auto"/>
          <w:szCs w:val="21"/>
          <w:highlight w:val="none"/>
        </w:rPr>
        <w:t xml:space="preserve">                        </w:t>
      </w:r>
      <w:r>
        <w:rPr>
          <w:rFonts w:hint="eastAsia"/>
          <w:color w:val="auto"/>
          <w:szCs w:val="21"/>
          <w:highlight w:val="none"/>
          <w:lang w:val="en-US" w:eastAsia="zh-CN"/>
        </w:rPr>
        <w:t xml:space="preserve">  </w:t>
      </w:r>
      <w:r>
        <w:rPr>
          <w:color w:val="auto"/>
          <w:szCs w:val="21"/>
          <w:highlight w:val="none"/>
        </w:rPr>
        <w:t xml:space="preserve">年    月 </w:t>
      </w:r>
      <w:r>
        <w:rPr>
          <w:rFonts w:hint="eastAsia"/>
          <w:color w:val="auto"/>
          <w:szCs w:val="21"/>
          <w:highlight w:val="none"/>
          <w:lang w:val="en-US" w:eastAsia="zh-CN"/>
        </w:rPr>
        <w:t xml:space="preserve">   日</w:t>
      </w:r>
      <w:r>
        <w:rPr>
          <w:color w:val="auto"/>
          <w:szCs w:val="21"/>
          <w:highlight w:val="none"/>
        </w:rPr>
        <w:t xml:space="preserve">  </w:t>
      </w:r>
    </w:p>
    <w:p w14:paraId="0C82FC83">
      <w:pPr>
        <w:snapToGrid w:val="0"/>
        <w:spacing w:before="50" w:after="120" w:afterLines="50"/>
        <w:jc w:val="left"/>
        <w:rPr>
          <w:color w:val="auto"/>
          <w:szCs w:val="21"/>
          <w:highlight w:val="none"/>
        </w:rPr>
      </w:pPr>
      <w:bookmarkStart w:id="97" w:name="_Hlk93046716"/>
      <w:bookmarkStart w:id="98" w:name="_Hlk19110561"/>
      <w:r>
        <w:rPr>
          <w:color w:val="auto"/>
          <w:szCs w:val="21"/>
          <w:highlight w:val="none"/>
        </w:rPr>
        <w:t>1</w:t>
      </w:r>
      <w:r>
        <w:rPr>
          <w:rFonts w:hint="eastAsia"/>
          <w:color w:val="auto"/>
          <w:szCs w:val="21"/>
          <w:highlight w:val="none"/>
          <w:lang w:val="en-US" w:eastAsia="zh-CN"/>
        </w:rPr>
        <w:t>3</w:t>
      </w:r>
      <w:r>
        <w:rPr>
          <w:color w:val="auto"/>
          <w:szCs w:val="21"/>
          <w:highlight w:val="none"/>
        </w:rPr>
        <w:t>.</w:t>
      </w:r>
      <w:r>
        <w:rPr>
          <w:rFonts w:hint="eastAsia"/>
          <w:color w:val="auto"/>
          <w:highlight w:val="none"/>
        </w:rPr>
        <w:t xml:space="preserve"> </w:t>
      </w:r>
      <w:r>
        <w:rPr>
          <w:rFonts w:hint="eastAsia"/>
          <w:color w:val="auto"/>
          <w:szCs w:val="21"/>
          <w:highlight w:val="none"/>
        </w:rPr>
        <w:t>无串标行为承诺函</w:t>
      </w:r>
    </w:p>
    <w:p w14:paraId="7A188959">
      <w:pPr>
        <w:snapToGrid w:val="0"/>
        <w:spacing w:before="50" w:after="120" w:afterLines="50"/>
        <w:jc w:val="center"/>
        <w:rPr>
          <w:color w:val="auto"/>
          <w:szCs w:val="21"/>
          <w:highlight w:val="none"/>
        </w:rPr>
      </w:pPr>
    </w:p>
    <w:p w14:paraId="3F2FE7AC">
      <w:pPr>
        <w:snapToGrid w:val="0"/>
        <w:spacing w:before="50" w:after="120" w:afterLines="50"/>
        <w:jc w:val="center"/>
        <w:rPr>
          <w:color w:val="auto"/>
          <w:szCs w:val="21"/>
          <w:highlight w:val="none"/>
        </w:rPr>
      </w:pPr>
      <w:r>
        <w:rPr>
          <w:rFonts w:hint="eastAsia"/>
          <w:color w:val="auto"/>
          <w:szCs w:val="21"/>
          <w:highlight w:val="none"/>
        </w:rPr>
        <w:t>供应商参加本项目无围标串标行为的承诺函</w:t>
      </w:r>
    </w:p>
    <w:p w14:paraId="3C64B870">
      <w:pPr>
        <w:snapToGrid w:val="0"/>
        <w:spacing w:before="50" w:after="120" w:afterLines="50"/>
        <w:jc w:val="left"/>
        <w:rPr>
          <w:color w:val="auto"/>
          <w:szCs w:val="21"/>
          <w:highlight w:val="none"/>
        </w:rPr>
      </w:pPr>
    </w:p>
    <w:p w14:paraId="3E8C5F9B">
      <w:pPr>
        <w:snapToGrid w:val="0"/>
        <w:spacing w:before="50" w:after="120" w:afterLines="50"/>
        <w:jc w:val="left"/>
        <w:rPr>
          <w:color w:val="auto"/>
          <w:szCs w:val="21"/>
          <w:highlight w:val="none"/>
        </w:rPr>
      </w:pPr>
      <w:r>
        <w:rPr>
          <w:rFonts w:hint="eastAsia"/>
          <w:color w:val="auto"/>
          <w:szCs w:val="21"/>
          <w:highlight w:val="none"/>
        </w:rPr>
        <w:t>一、我方承诺无下列相互串通投标的情形：</w:t>
      </w:r>
    </w:p>
    <w:p w14:paraId="054CABA1">
      <w:pPr>
        <w:snapToGrid w:val="0"/>
        <w:spacing w:before="50" w:after="120" w:afterLines="50"/>
        <w:jc w:val="left"/>
        <w:rPr>
          <w:color w:val="auto"/>
          <w:szCs w:val="21"/>
          <w:highlight w:val="none"/>
        </w:rPr>
      </w:pPr>
      <w:r>
        <w:rPr>
          <w:rFonts w:hint="eastAsia"/>
          <w:color w:val="auto"/>
          <w:szCs w:val="21"/>
          <w:highlight w:val="none"/>
        </w:rPr>
        <w:t>1.不同供应商的响应文件由同一单位或者个人编制；或者不同供应商报名的IP地址一致的；</w:t>
      </w:r>
    </w:p>
    <w:p w14:paraId="398830B8">
      <w:pPr>
        <w:snapToGrid w:val="0"/>
        <w:spacing w:before="50" w:after="120" w:afterLines="50"/>
        <w:jc w:val="left"/>
        <w:rPr>
          <w:color w:val="auto"/>
          <w:szCs w:val="21"/>
          <w:highlight w:val="none"/>
        </w:rPr>
      </w:pPr>
      <w:r>
        <w:rPr>
          <w:rFonts w:hint="eastAsia"/>
          <w:color w:val="auto"/>
          <w:szCs w:val="21"/>
          <w:highlight w:val="none"/>
        </w:rPr>
        <w:t>2.不同供应商委托同一单位或者个人办理投标事宜；</w:t>
      </w:r>
    </w:p>
    <w:p w14:paraId="713F8890">
      <w:pPr>
        <w:snapToGrid w:val="0"/>
        <w:spacing w:before="50" w:after="120" w:afterLines="50"/>
        <w:jc w:val="left"/>
        <w:rPr>
          <w:color w:val="auto"/>
          <w:szCs w:val="21"/>
          <w:highlight w:val="none"/>
        </w:rPr>
      </w:pPr>
      <w:r>
        <w:rPr>
          <w:rFonts w:hint="eastAsia"/>
          <w:color w:val="auto"/>
          <w:szCs w:val="21"/>
          <w:highlight w:val="none"/>
        </w:rPr>
        <w:t>3.不同的供应商的响应文件载明的项目管理员为同一个人；</w:t>
      </w:r>
    </w:p>
    <w:p w14:paraId="1203F1B0">
      <w:pPr>
        <w:snapToGrid w:val="0"/>
        <w:spacing w:before="50" w:after="120" w:afterLines="50"/>
        <w:jc w:val="left"/>
        <w:rPr>
          <w:color w:val="auto"/>
          <w:szCs w:val="21"/>
          <w:highlight w:val="none"/>
        </w:rPr>
      </w:pPr>
      <w:r>
        <w:rPr>
          <w:rFonts w:hint="eastAsia"/>
          <w:color w:val="auto"/>
          <w:szCs w:val="21"/>
          <w:highlight w:val="none"/>
        </w:rPr>
        <w:t>4.不同供应商的响应文件异常一致或者投标报价呈规律性差异；</w:t>
      </w:r>
    </w:p>
    <w:p w14:paraId="573E327D">
      <w:pPr>
        <w:snapToGrid w:val="0"/>
        <w:spacing w:before="50" w:after="120" w:afterLines="50"/>
        <w:jc w:val="left"/>
        <w:rPr>
          <w:color w:val="auto"/>
          <w:szCs w:val="21"/>
          <w:highlight w:val="none"/>
        </w:rPr>
      </w:pPr>
      <w:r>
        <w:rPr>
          <w:rFonts w:hint="eastAsia"/>
          <w:color w:val="auto"/>
          <w:szCs w:val="21"/>
          <w:highlight w:val="none"/>
        </w:rPr>
        <w:t>5.不同供应商的响应文件相互混装；</w:t>
      </w:r>
    </w:p>
    <w:p w14:paraId="365D13FE">
      <w:pPr>
        <w:snapToGrid w:val="0"/>
        <w:spacing w:before="50" w:after="120" w:afterLines="50"/>
        <w:jc w:val="left"/>
        <w:rPr>
          <w:color w:val="auto"/>
          <w:szCs w:val="21"/>
          <w:highlight w:val="none"/>
        </w:rPr>
      </w:pPr>
      <w:r>
        <w:rPr>
          <w:rFonts w:hint="eastAsia"/>
          <w:color w:val="auto"/>
          <w:szCs w:val="21"/>
          <w:highlight w:val="none"/>
        </w:rPr>
        <w:t>6.不同供应商的磋商保证金从同一单位或者个人账户转出。</w:t>
      </w:r>
    </w:p>
    <w:p w14:paraId="41BE173E">
      <w:pPr>
        <w:snapToGrid w:val="0"/>
        <w:spacing w:before="50" w:after="120" w:afterLines="50"/>
        <w:jc w:val="left"/>
        <w:rPr>
          <w:color w:val="auto"/>
          <w:szCs w:val="21"/>
          <w:highlight w:val="none"/>
        </w:rPr>
      </w:pPr>
      <w:r>
        <w:rPr>
          <w:rFonts w:hint="eastAsia"/>
          <w:color w:val="auto"/>
          <w:szCs w:val="21"/>
          <w:highlight w:val="none"/>
        </w:rPr>
        <w:t>二、我方承诺无下列恶意串通的情形：</w:t>
      </w:r>
    </w:p>
    <w:p w14:paraId="5259631E">
      <w:pPr>
        <w:snapToGrid w:val="0"/>
        <w:spacing w:before="50" w:after="120" w:afterLines="50"/>
        <w:jc w:val="left"/>
        <w:rPr>
          <w:color w:val="auto"/>
          <w:szCs w:val="21"/>
          <w:highlight w:val="none"/>
        </w:rPr>
      </w:pPr>
      <w:r>
        <w:rPr>
          <w:rFonts w:hint="eastAsia"/>
          <w:color w:val="auto"/>
          <w:szCs w:val="21"/>
          <w:highlight w:val="none"/>
        </w:rPr>
        <w:t>1.供应商直接或者间接从采购人或者采购代理机构处获得其他供应商的相关信息并修改其响应文件或者响应文件；</w:t>
      </w:r>
    </w:p>
    <w:p w14:paraId="5E7775D1">
      <w:pPr>
        <w:snapToGrid w:val="0"/>
        <w:spacing w:before="50" w:after="120" w:afterLines="50"/>
        <w:jc w:val="left"/>
        <w:rPr>
          <w:color w:val="auto"/>
          <w:szCs w:val="21"/>
          <w:highlight w:val="none"/>
        </w:rPr>
      </w:pPr>
      <w:r>
        <w:rPr>
          <w:rFonts w:hint="eastAsia"/>
          <w:color w:val="auto"/>
          <w:szCs w:val="21"/>
          <w:highlight w:val="none"/>
        </w:rPr>
        <w:t>2.供应商按照采购人或者采购代理机构的授意撤换、修改响应文件或者响应文件；</w:t>
      </w:r>
    </w:p>
    <w:p w14:paraId="13E5BE3F">
      <w:pPr>
        <w:snapToGrid w:val="0"/>
        <w:spacing w:before="50" w:after="120" w:afterLines="50"/>
        <w:jc w:val="left"/>
        <w:rPr>
          <w:color w:val="auto"/>
          <w:szCs w:val="21"/>
          <w:highlight w:val="none"/>
        </w:rPr>
      </w:pPr>
      <w:r>
        <w:rPr>
          <w:rFonts w:hint="eastAsia"/>
          <w:color w:val="auto"/>
          <w:szCs w:val="21"/>
          <w:highlight w:val="none"/>
        </w:rPr>
        <w:t>3.供应商之间协商报价、技术方案等响应文件或者响应文件的实质性内容；</w:t>
      </w:r>
    </w:p>
    <w:p w14:paraId="3BD74668">
      <w:pPr>
        <w:snapToGrid w:val="0"/>
        <w:spacing w:before="50" w:after="120" w:afterLines="50"/>
        <w:jc w:val="left"/>
        <w:rPr>
          <w:color w:val="auto"/>
          <w:szCs w:val="21"/>
          <w:highlight w:val="none"/>
        </w:rPr>
      </w:pPr>
      <w:r>
        <w:rPr>
          <w:rFonts w:hint="eastAsia"/>
          <w:color w:val="auto"/>
          <w:szCs w:val="21"/>
          <w:highlight w:val="none"/>
        </w:rPr>
        <w:t>4.属于同一集团、协会、商会等组织成员的供应商按照该组织要求协同参加政府采购活动；</w:t>
      </w:r>
    </w:p>
    <w:p w14:paraId="359ECDE9">
      <w:pPr>
        <w:snapToGrid w:val="0"/>
        <w:spacing w:before="50" w:after="120" w:afterLines="50"/>
        <w:jc w:val="left"/>
        <w:rPr>
          <w:color w:val="auto"/>
          <w:szCs w:val="21"/>
          <w:highlight w:val="none"/>
        </w:rPr>
      </w:pPr>
      <w:r>
        <w:rPr>
          <w:rFonts w:hint="eastAsia"/>
          <w:color w:val="auto"/>
          <w:szCs w:val="21"/>
          <w:highlight w:val="none"/>
        </w:rPr>
        <w:t>5.供应商之间事先约定一致抬高或者压低投标报价，或者在招标项目中事先约定轮流以高价位或者低价位中标，或者事先约定由某一特定供应商中标，然后再参加投标；</w:t>
      </w:r>
    </w:p>
    <w:p w14:paraId="2A4D809D">
      <w:pPr>
        <w:snapToGrid w:val="0"/>
        <w:spacing w:before="50" w:after="120" w:afterLines="50"/>
        <w:jc w:val="left"/>
        <w:rPr>
          <w:color w:val="auto"/>
          <w:szCs w:val="21"/>
          <w:highlight w:val="none"/>
        </w:rPr>
      </w:pPr>
      <w:r>
        <w:rPr>
          <w:rFonts w:hint="eastAsia"/>
          <w:color w:val="auto"/>
          <w:szCs w:val="21"/>
          <w:highlight w:val="none"/>
        </w:rPr>
        <w:t>6.供应商之间商定部分供应商放弃参加政府采购活动或者放弃中标；</w:t>
      </w:r>
    </w:p>
    <w:p w14:paraId="01DD7B6D">
      <w:pPr>
        <w:snapToGrid w:val="0"/>
        <w:spacing w:before="50" w:after="120" w:afterLines="50"/>
        <w:jc w:val="left"/>
        <w:rPr>
          <w:color w:val="auto"/>
          <w:szCs w:val="21"/>
          <w:highlight w:val="none"/>
        </w:rPr>
      </w:pPr>
      <w:r>
        <w:rPr>
          <w:rFonts w:hint="eastAsia"/>
          <w:color w:val="auto"/>
          <w:szCs w:val="21"/>
          <w:highlight w:val="none"/>
        </w:rPr>
        <w:t>7.供应商与采购人或者采购代理机构之间、供应商相互之间，为谋求特定供应商中标或者排斥其他供应商的其他串通行为。</w:t>
      </w:r>
    </w:p>
    <w:p w14:paraId="1E7BFF26">
      <w:pPr>
        <w:snapToGrid w:val="0"/>
        <w:spacing w:before="50" w:after="120" w:afterLines="50"/>
        <w:jc w:val="left"/>
        <w:rPr>
          <w:color w:val="auto"/>
          <w:szCs w:val="21"/>
          <w:highlight w:val="none"/>
        </w:rPr>
      </w:pPr>
      <w:r>
        <w:rPr>
          <w:rFonts w:hint="eastAsia"/>
          <w:color w:val="auto"/>
          <w:szCs w:val="21"/>
          <w:highlight w:val="none"/>
        </w:rPr>
        <w:t>以上情形一经核查属实，我方愿意承担一切后果，并不再寻求任何旨在减轻或者免除法律责任的辩解。</w:t>
      </w:r>
    </w:p>
    <w:p w14:paraId="640A43BD">
      <w:pPr>
        <w:snapToGrid w:val="0"/>
        <w:spacing w:before="50" w:after="120" w:afterLines="50"/>
        <w:jc w:val="center"/>
        <w:rPr>
          <w:color w:val="auto"/>
          <w:szCs w:val="21"/>
          <w:highlight w:val="none"/>
        </w:rPr>
      </w:pPr>
      <w:r>
        <w:rPr>
          <w:rFonts w:hint="eastAsia"/>
          <w:color w:val="auto"/>
          <w:szCs w:val="21"/>
          <w:highlight w:val="none"/>
        </w:rPr>
        <w:t xml:space="preserve"> </w:t>
      </w:r>
      <w:r>
        <w:rPr>
          <w:color w:val="auto"/>
          <w:szCs w:val="21"/>
          <w:highlight w:val="none"/>
        </w:rPr>
        <w:t xml:space="preserve"> </w:t>
      </w:r>
    </w:p>
    <w:p w14:paraId="72B9E09E">
      <w:pPr>
        <w:snapToGrid w:val="0"/>
        <w:spacing w:before="50" w:after="120" w:afterLines="50"/>
        <w:jc w:val="center"/>
        <w:rPr>
          <w:color w:val="auto"/>
          <w:szCs w:val="21"/>
          <w:highlight w:val="none"/>
        </w:rPr>
      </w:pPr>
    </w:p>
    <w:p w14:paraId="172FC38B">
      <w:pPr>
        <w:snapToGrid w:val="0"/>
        <w:spacing w:before="50" w:after="120" w:afterLines="50"/>
        <w:jc w:val="center"/>
        <w:rPr>
          <w:color w:val="auto"/>
          <w:szCs w:val="21"/>
          <w:highlight w:val="none"/>
        </w:rPr>
      </w:pPr>
    </w:p>
    <w:p w14:paraId="1C02C72D">
      <w:pPr>
        <w:snapToGrid w:val="0"/>
        <w:spacing w:before="50" w:after="120" w:afterLines="50"/>
        <w:jc w:val="center"/>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rFonts w:hint="eastAsia"/>
          <w:color w:val="auto"/>
          <w:szCs w:val="21"/>
          <w:highlight w:val="none"/>
        </w:rPr>
        <w:t>：</w:t>
      </w:r>
    </w:p>
    <w:p w14:paraId="6E347647">
      <w:pPr>
        <w:snapToGrid w:val="0"/>
        <w:spacing w:before="50" w:after="120" w:afterLines="50"/>
        <w:jc w:val="center"/>
        <w:rPr>
          <w:color w:val="auto"/>
          <w:szCs w:val="21"/>
          <w:highlight w:val="none"/>
        </w:rPr>
      </w:pPr>
      <w:r>
        <w:rPr>
          <w:rFonts w:hint="eastAsia"/>
          <w:color w:val="auto"/>
          <w:szCs w:val="21"/>
          <w:highlight w:val="none"/>
        </w:rPr>
        <w:t>日期：  年  月   日</w:t>
      </w:r>
    </w:p>
    <w:p w14:paraId="4A9100CB">
      <w:pPr>
        <w:snapToGrid w:val="0"/>
        <w:spacing w:before="120" w:beforeLines="50" w:after="50" w:afterLines="0" w:line="440" w:lineRule="exact"/>
        <w:jc w:val="left"/>
        <w:outlineLvl w:val="1"/>
        <w:rPr>
          <w:rFonts w:hint="default" w:ascii="Times New Roman" w:hAnsi="Times New Roman" w:eastAsia="宋体" w:cs="Times New Roman"/>
          <w:color w:val="auto"/>
          <w:sz w:val="24"/>
          <w:szCs w:val="24"/>
          <w:highlight w:val="none"/>
        </w:rPr>
      </w:pPr>
      <w:r>
        <w:rPr>
          <w:color w:val="auto"/>
          <w:szCs w:val="21"/>
          <w:highlight w:val="none"/>
        </w:rPr>
        <w:br w:type="page"/>
      </w:r>
      <w:bookmarkEnd w:id="97"/>
      <w:bookmarkEnd w:id="98"/>
      <w:r>
        <w:rPr>
          <w:rFonts w:hint="default" w:ascii="Times New Roman" w:hAnsi="Times New Roman" w:eastAsia="宋体" w:cs="Times New Roman"/>
          <w:color w:val="auto"/>
          <w:sz w:val="24"/>
          <w:szCs w:val="24"/>
          <w:highlight w:val="none"/>
        </w:rPr>
        <w:t>3</w:t>
      </w:r>
      <w:r>
        <w:rPr>
          <w:rFonts w:hint="eastAsia" w:ascii="Times New Roman" w:hAnsi="Times New Roman" w:eastAsia="宋体" w:cs="Times New Roman"/>
          <w:color w:val="auto"/>
          <w:sz w:val="24"/>
          <w:szCs w:val="24"/>
          <w:highlight w:val="none"/>
          <w:lang w:val="en-US" w:eastAsia="zh-CN"/>
        </w:rPr>
        <w:t>.响应</w:t>
      </w:r>
      <w:r>
        <w:rPr>
          <w:rFonts w:hint="eastAsia" w:ascii="Times New Roman" w:hAnsi="Times New Roman" w:eastAsia="宋体" w:cs="Times New Roman"/>
          <w:color w:val="auto"/>
          <w:sz w:val="24"/>
          <w:szCs w:val="24"/>
          <w:highlight w:val="none"/>
        </w:rPr>
        <w:t xml:space="preserve">文件封面参考格式（报价文件）： </w:t>
      </w:r>
    </w:p>
    <w:p w14:paraId="7831C0E5">
      <w:pPr>
        <w:snapToGrid w:val="0"/>
        <w:spacing w:before="50" w:beforeLines="0" w:after="120" w:afterLines="50" w:line="400" w:lineRule="exact"/>
        <w:jc w:val="left"/>
        <w:rPr>
          <w:rFonts w:hint="default" w:ascii="Times New Roman" w:hAnsi="Times New Roman" w:eastAsia="宋体" w:cs="Times New Roman"/>
          <w:color w:val="auto"/>
          <w:sz w:val="24"/>
          <w:szCs w:val="24"/>
          <w:highlight w:val="none"/>
        </w:rPr>
      </w:pPr>
    </w:p>
    <w:p w14:paraId="7F3C00D8">
      <w:pPr>
        <w:snapToGrid w:val="0"/>
        <w:spacing w:before="120" w:beforeLines="50" w:after="50" w:afterLines="0" w:line="360" w:lineRule="exact"/>
        <w:rPr>
          <w:rFonts w:hint="default" w:ascii="Times New Roman" w:hAnsi="Times New Roman" w:eastAsia="宋体" w:cs="Times New Roman"/>
          <w:color w:val="auto"/>
          <w:sz w:val="24"/>
          <w:szCs w:val="24"/>
          <w:highlight w:val="none"/>
        </w:rPr>
      </w:pPr>
    </w:p>
    <w:p w14:paraId="2ABD3BA6">
      <w:pPr>
        <w:snapToGrid w:val="0"/>
        <w:spacing w:before="120" w:beforeLines="50" w:after="50" w:afterLines="0" w:line="360" w:lineRule="exact"/>
        <w:jc w:val="center"/>
        <w:rPr>
          <w:rFonts w:hint="default" w:ascii="Times New Roman" w:hAnsi="Times New Roman" w:eastAsia="宋体" w:cs="Times New Roman"/>
          <w:color w:val="auto"/>
          <w:sz w:val="24"/>
          <w:szCs w:val="24"/>
          <w:highlight w:val="none"/>
        </w:rPr>
      </w:pPr>
    </w:p>
    <w:p w14:paraId="2B1363F4">
      <w:pPr>
        <w:snapToGrid w:val="0"/>
        <w:spacing w:before="120" w:beforeLines="50" w:after="50" w:afterLines="0" w:line="360" w:lineRule="exact"/>
        <w:jc w:val="center"/>
        <w:rPr>
          <w:rFonts w:hint="default" w:ascii="Times New Roman" w:hAnsi="Times New Roman" w:eastAsia="宋体" w:cs="Times New Roman"/>
          <w:b/>
          <w:color w:val="auto"/>
          <w:sz w:val="44"/>
          <w:szCs w:val="44"/>
          <w:highlight w:val="none"/>
        </w:rPr>
      </w:pPr>
      <w:r>
        <w:rPr>
          <w:rFonts w:hint="eastAsia" w:ascii="Times New Roman" w:hAnsi="Times New Roman" w:eastAsia="宋体" w:cs="Times New Roman"/>
          <w:b/>
          <w:color w:val="auto"/>
          <w:sz w:val="44"/>
          <w:szCs w:val="44"/>
          <w:highlight w:val="none"/>
        </w:rPr>
        <w:t>电子</w:t>
      </w:r>
      <w:r>
        <w:rPr>
          <w:rFonts w:hint="eastAsia" w:ascii="Times New Roman" w:hAnsi="Times New Roman" w:eastAsia="宋体" w:cs="Times New Roman"/>
          <w:b/>
          <w:color w:val="auto"/>
          <w:sz w:val="44"/>
          <w:szCs w:val="44"/>
          <w:highlight w:val="none"/>
          <w:lang w:val="en-US" w:eastAsia="zh-CN"/>
        </w:rPr>
        <w:t>响应</w:t>
      </w:r>
      <w:r>
        <w:rPr>
          <w:rFonts w:hint="eastAsia" w:ascii="Times New Roman" w:hAnsi="Times New Roman" w:eastAsia="宋体" w:cs="Times New Roman"/>
          <w:b/>
          <w:color w:val="auto"/>
          <w:sz w:val="44"/>
          <w:szCs w:val="44"/>
          <w:highlight w:val="none"/>
        </w:rPr>
        <w:t>文件</w:t>
      </w:r>
    </w:p>
    <w:p w14:paraId="71E56E1C">
      <w:pPr>
        <w:snapToGrid w:val="0"/>
        <w:spacing w:before="120" w:beforeLines="50" w:after="50" w:afterLines="0" w:line="360" w:lineRule="exact"/>
        <w:jc w:val="center"/>
        <w:rPr>
          <w:rFonts w:hint="default" w:ascii="Times New Roman" w:hAnsi="Times New Roman" w:eastAsia="宋体" w:cs="Times New Roman"/>
          <w:b/>
          <w:color w:val="auto"/>
          <w:sz w:val="44"/>
          <w:szCs w:val="44"/>
          <w:highlight w:val="none"/>
        </w:rPr>
      </w:pPr>
    </w:p>
    <w:p w14:paraId="587D1E08">
      <w:pPr>
        <w:snapToGrid w:val="0"/>
        <w:spacing w:before="120" w:beforeLines="50" w:after="50" w:afterLines="0" w:line="360" w:lineRule="exact"/>
        <w:jc w:val="center"/>
        <w:rPr>
          <w:rFonts w:hint="default" w:ascii="Times New Roman" w:hAnsi="Times New Roman" w:eastAsia="宋体" w:cs="Times New Roman"/>
          <w:b/>
          <w:color w:val="auto"/>
          <w:sz w:val="44"/>
          <w:szCs w:val="44"/>
          <w:highlight w:val="none"/>
        </w:rPr>
      </w:pPr>
    </w:p>
    <w:p w14:paraId="6EEE1A12">
      <w:pPr>
        <w:snapToGrid w:val="0"/>
        <w:spacing w:before="120" w:beforeLines="50" w:after="50" w:afterLines="0" w:line="360" w:lineRule="exact"/>
        <w:jc w:val="center"/>
        <w:rPr>
          <w:rFonts w:hint="default" w:ascii="Times New Roman" w:hAnsi="Times New Roman" w:eastAsia="宋体" w:cs="Times New Roman"/>
          <w:b/>
          <w:color w:val="auto"/>
          <w:sz w:val="44"/>
          <w:szCs w:val="44"/>
          <w:highlight w:val="none"/>
        </w:rPr>
      </w:pPr>
      <w:r>
        <w:rPr>
          <w:rFonts w:hint="eastAsia" w:ascii="Times New Roman" w:hAnsi="Times New Roman" w:eastAsia="宋体" w:cs="Times New Roman"/>
          <w:b/>
          <w:color w:val="auto"/>
          <w:sz w:val="44"/>
          <w:szCs w:val="44"/>
          <w:highlight w:val="none"/>
        </w:rPr>
        <w:t>报价文件</w:t>
      </w:r>
    </w:p>
    <w:p w14:paraId="7E7A03EB">
      <w:pPr>
        <w:snapToGrid w:val="0"/>
        <w:spacing w:before="120" w:beforeLines="50" w:after="50" w:afterLines="0" w:line="360" w:lineRule="exact"/>
        <w:rPr>
          <w:rFonts w:hint="default" w:ascii="Times New Roman" w:hAnsi="Times New Roman" w:eastAsia="宋体" w:cs="Times New Roman"/>
          <w:color w:val="auto"/>
          <w:sz w:val="24"/>
          <w:szCs w:val="24"/>
          <w:highlight w:val="none"/>
        </w:rPr>
      </w:pPr>
    </w:p>
    <w:p w14:paraId="71A99AD1">
      <w:pPr>
        <w:snapToGrid w:val="0"/>
        <w:spacing w:before="120" w:beforeLines="50" w:after="50" w:afterLines="0" w:line="360" w:lineRule="exact"/>
        <w:rPr>
          <w:rFonts w:hint="default" w:ascii="Times New Roman" w:hAnsi="Times New Roman" w:eastAsia="宋体" w:cs="Times New Roman"/>
          <w:color w:val="auto"/>
          <w:sz w:val="24"/>
          <w:szCs w:val="24"/>
          <w:highlight w:val="none"/>
        </w:rPr>
      </w:pPr>
    </w:p>
    <w:p w14:paraId="21029E7A">
      <w:pPr>
        <w:snapToGrid w:val="0"/>
        <w:spacing w:before="120" w:beforeLines="50" w:after="50" w:afterLines="0" w:line="360" w:lineRule="exact"/>
        <w:rPr>
          <w:rFonts w:hint="default" w:ascii="Times New Roman" w:hAnsi="Times New Roman" w:eastAsia="宋体" w:cs="Times New Roman"/>
          <w:color w:val="auto"/>
          <w:sz w:val="24"/>
          <w:szCs w:val="24"/>
          <w:highlight w:val="none"/>
        </w:rPr>
      </w:pPr>
    </w:p>
    <w:p w14:paraId="7F7CA5EA">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 xml:space="preserve">项目名称： </w:t>
      </w:r>
    </w:p>
    <w:p w14:paraId="1AD8B934">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项目编号：</w:t>
      </w:r>
    </w:p>
    <w:p w14:paraId="3E92F076">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分标号：（若无留空或写</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rPr>
        <w:t>）</w:t>
      </w:r>
    </w:p>
    <w:p w14:paraId="2F5E74D5">
      <w:pPr>
        <w:snapToGrid w:val="0"/>
        <w:spacing w:before="120" w:beforeLines="50" w:after="50" w:afterLines="0" w:line="360" w:lineRule="exact"/>
        <w:ind w:firstLine="720" w:firstLineChars="3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供应商名称：</w:t>
      </w:r>
    </w:p>
    <w:p w14:paraId="15DC8E5A">
      <w:pPr>
        <w:snapToGrid w:val="0"/>
        <w:spacing w:before="120" w:beforeLines="50" w:after="50" w:afterLines="0" w:line="360" w:lineRule="exact"/>
        <w:ind w:firstLine="720" w:firstLineChars="3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供应商地址：</w:t>
      </w:r>
    </w:p>
    <w:p w14:paraId="4ABAFE95">
      <w:pPr>
        <w:snapToGrid w:val="0"/>
        <w:spacing w:before="120" w:beforeLines="50" w:after="50" w:afterLines="0" w:line="360" w:lineRule="exact"/>
        <w:ind w:firstLine="720" w:firstLineChars="300"/>
        <w:rPr>
          <w:rFonts w:hint="eastAsia" w:ascii="Times New Roman" w:hAnsi="Times New Roman" w:eastAsia="宋体" w:cs="Times New Roman"/>
          <w:color w:val="auto"/>
          <w:sz w:val="24"/>
          <w:szCs w:val="24"/>
          <w:highlight w:val="none"/>
        </w:rPr>
      </w:pPr>
    </w:p>
    <w:p w14:paraId="46DB3705">
      <w:pPr>
        <w:snapToGrid w:val="0"/>
        <w:spacing w:before="120" w:beforeLines="50" w:after="50" w:afterLines="0" w:line="360" w:lineRule="exact"/>
        <w:ind w:firstLine="3600" w:firstLineChars="15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 xml:space="preserve">                        年  月  日</w:t>
      </w:r>
    </w:p>
    <w:p w14:paraId="476CF2DA">
      <w:pPr>
        <w:snapToGrid w:val="0"/>
        <w:spacing w:before="120" w:beforeLines="50" w:after="50" w:afterLines="0" w:line="360" w:lineRule="exact"/>
        <w:ind w:firstLine="720" w:firstLineChars="300"/>
        <w:rPr>
          <w:rFonts w:hint="eastAsia" w:ascii="Times New Roman" w:hAnsi="Times New Roman" w:eastAsia="宋体" w:cs="Times New Roman"/>
          <w:color w:val="auto"/>
          <w:sz w:val="24"/>
          <w:szCs w:val="24"/>
          <w:highlight w:val="none"/>
        </w:rPr>
        <w:sectPr>
          <w:headerReference r:id="rId21" w:type="default"/>
          <w:pgSz w:w="11906" w:h="16838"/>
          <w:pgMar w:top="1418" w:right="1274" w:bottom="1418" w:left="1418" w:header="851" w:footer="992" w:gutter="0"/>
          <w:cols w:space="720" w:num="1"/>
          <w:docGrid w:linePitch="312" w:charSpace="0"/>
        </w:sectPr>
      </w:pPr>
    </w:p>
    <w:p w14:paraId="0122F6B7">
      <w:pPr>
        <w:snapToGrid w:val="0"/>
        <w:spacing w:before="120" w:beforeLines="50" w:after="50" w:line="440" w:lineRule="exact"/>
        <w:jc w:val="center"/>
        <w:outlineLvl w:val="9"/>
        <w:rPr>
          <w:bCs/>
          <w:color w:val="auto"/>
          <w:sz w:val="24"/>
          <w:highlight w:val="none"/>
        </w:rPr>
      </w:pPr>
      <w:r>
        <w:rPr>
          <w:bCs/>
          <w:color w:val="auto"/>
          <w:sz w:val="24"/>
          <w:highlight w:val="none"/>
        </w:rPr>
        <w:t>第</w:t>
      </w:r>
      <w:r>
        <w:rPr>
          <w:rFonts w:hint="eastAsia"/>
          <w:bCs/>
          <w:color w:val="auto"/>
          <w:sz w:val="24"/>
          <w:highlight w:val="none"/>
        </w:rPr>
        <w:t>三</w:t>
      </w:r>
      <w:r>
        <w:rPr>
          <w:bCs/>
          <w:color w:val="auto"/>
          <w:sz w:val="24"/>
          <w:highlight w:val="none"/>
        </w:rPr>
        <w:t>部分 报价文件</w:t>
      </w:r>
    </w:p>
    <w:p w14:paraId="6D2E23F5">
      <w:pPr>
        <w:jc w:val="center"/>
        <w:rPr>
          <w:b/>
          <w:bCs/>
          <w:color w:val="auto"/>
          <w:szCs w:val="21"/>
          <w:highlight w:val="none"/>
        </w:rPr>
      </w:pPr>
    </w:p>
    <w:p w14:paraId="1B85DA53">
      <w:pPr>
        <w:rPr>
          <w:rFonts w:hint="eastAsia"/>
          <w:b/>
          <w:color w:val="auto"/>
          <w:szCs w:val="21"/>
          <w:highlight w:val="none"/>
        </w:rPr>
      </w:pPr>
      <w:r>
        <w:rPr>
          <w:b/>
          <w:color w:val="auto"/>
          <w:szCs w:val="21"/>
          <w:highlight w:val="none"/>
        </w:rPr>
        <w:t>1．响应函格式：</w:t>
      </w:r>
    </w:p>
    <w:p w14:paraId="245C157E">
      <w:pPr>
        <w:rPr>
          <w:b/>
          <w:color w:val="auto"/>
          <w:szCs w:val="21"/>
          <w:highlight w:val="none"/>
        </w:rPr>
      </w:pPr>
    </w:p>
    <w:p w14:paraId="7B3ACD4C">
      <w:pPr>
        <w:jc w:val="center"/>
        <w:rPr>
          <w:b/>
          <w:color w:val="auto"/>
          <w:szCs w:val="21"/>
          <w:highlight w:val="none"/>
        </w:rPr>
      </w:pPr>
      <w:r>
        <w:rPr>
          <w:b/>
          <w:color w:val="auto"/>
          <w:szCs w:val="21"/>
          <w:highlight w:val="none"/>
        </w:rPr>
        <w:t>响 应 函</w:t>
      </w:r>
    </w:p>
    <w:p w14:paraId="27A96BCD">
      <w:pPr>
        <w:rPr>
          <w:b/>
          <w:color w:val="auto"/>
          <w:szCs w:val="21"/>
          <w:highlight w:val="none"/>
        </w:rPr>
      </w:pPr>
    </w:p>
    <w:p w14:paraId="738888ED">
      <w:pPr>
        <w:spacing w:line="360" w:lineRule="auto"/>
        <w:rPr>
          <w:color w:val="auto"/>
          <w:szCs w:val="21"/>
          <w:highlight w:val="none"/>
        </w:rPr>
      </w:pPr>
      <w:bookmarkStart w:id="99" w:name="_Hlk19110643"/>
      <w:r>
        <w:rPr>
          <w:color w:val="auto"/>
          <w:szCs w:val="21"/>
          <w:highlight w:val="none"/>
        </w:rPr>
        <w:t>致：</w:t>
      </w:r>
      <w:r>
        <w:rPr>
          <w:i/>
          <w:iCs/>
          <w:color w:val="auto"/>
          <w:szCs w:val="21"/>
          <w:highlight w:val="none"/>
          <w:u w:val="single"/>
        </w:rPr>
        <w:t>（采购</w:t>
      </w:r>
      <w:r>
        <w:rPr>
          <w:rFonts w:hint="eastAsia"/>
          <w:i/>
          <w:iCs/>
          <w:color w:val="auto"/>
          <w:szCs w:val="21"/>
          <w:highlight w:val="none"/>
          <w:u w:val="single"/>
        </w:rPr>
        <w:t>人</w:t>
      </w:r>
      <w:r>
        <w:rPr>
          <w:i/>
          <w:iCs/>
          <w:color w:val="auto"/>
          <w:szCs w:val="21"/>
          <w:highlight w:val="none"/>
          <w:u w:val="single"/>
        </w:rPr>
        <w:t>名称）</w:t>
      </w:r>
    </w:p>
    <w:p w14:paraId="6FF0A0D1">
      <w:pPr>
        <w:spacing w:line="360" w:lineRule="auto"/>
        <w:ind w:firstLine="420" w:firstLineChars="200"/>
        <w:rPr>
          <w:color w:val="auto"/>
          <w:szCs w:val="21"/>
          <w:highlight w:val="none"/>
        </w:rPr>
      </w:pPr>
      <w:r>
        <w:rPr>
          <w:color w:val="auto"/>
          <w:szCs w:val="21"/>
          <w:highlight w:val="none"/>
        </w:rPr>
        <w:t>我方已仔细研究了</w:t>
      </w:r>
      <w:r>
        <w:rPr>
          <w:rFonts w:hint="eastAsia"/>
          <w:i/>
          <w:iCs/>
          <w:color w:val="auto"/>
          <w:szCs w:val="21"/>
          <w:highlight w:val="none"/>
          <w:u w:val="single"/>
        </w:rPr>
        <w:t>（项目名称）</w:t>
      </w:r>
      <w:r>
        <w:rPr>
          <w:color w:val="auto"/>
          <w:szCs w:val="21"/>
          <w:highlight w:val="none"/>
        </w:rPr>
        <w:t>的</w:t>
      </w:r>
      <w:r>
        <w:rPr>
          <w:rFonts w:hint="eastAsia"/>
          <w:color w:val="auto"/>
          <w:szCs w:val="21"/>
          <w:highlight w:val="none"/>
        </w:rPr>
        <w:t>采购文件</w:t>
      </w:r>
      <w:r>
        <w:rPr>
          <w:color w:val="auto"/>
          <w:szCs w:val="21"/>
          <w:highlight w:val="none"/>
        </w:rPr>
        <w:t>的全部内容</w:t>
      </w:r>
      <w:r>
        <w:rPr>
          <w:rFonts w:hint="eastAsia"/>
          <w:color w:val="auto"/>
          <w:szCs w:val="21"/>
          <w:highlight w:val="none"/>
        </w:rPr>
        <w:t>，</w:t>
      </w:r>
      <w:r>
        <w:rPr>
          <w:color w:val="auto"/>
          <w:szCs w:val="21"/>
          <w:highlight w:val="none"/>
        </w:rPr>
        <w:t>签字代表</w:t>
      </w:r>
      <w:r>
        <w:rPr>
          <w:rFonts w:hint="eastAsia"/>
          <w:i/>
          <w:iCs/>
          <w:color w:val="auto"/>
          <w:szCs w:val="21"/>
          <w:highlight w:val="none"/>
          <w:u w:val="single"/>
        </w:rPr>
        <w:t>（授权代表姓名）</w:t>
      </w:r>
      <w:r>
        <w:rPr>
          <w:color w:val="auto"/>
          <w:szCs w:val="21"/>
          <w:highlight w:val="none"/>
        </w:rPr>
        <w:t>经正式授权并代表供应商</w:t>
      </w:r>
      <w:r>
        <w:rPr>
          <w:color w:val="auto"/>
          <w:szCs w:val="21"/>
          <w:highlight w:val="none"/>
          <w:u w:val="single"/>
        </w:rPr>
        <w:t xml:space="preserve"> </w:t>
      </w:r>
      <w:r>
        <w:rPr>
          <w:i/>
          <w:iCs/>
          <w:color w:val="auto"/>
          <w:szCs w:val="21"/>
          <w:highlight w:val="none"/>
          <w:u w:val="single"/>
        </w:rPr>
        <w:t>（供应商名称）</w:t>
      </w:r>
      <w:r>
        <w:rPr>
          <w:rFonts w:hint="eastAsia"/>
          <w:i/>
          <w:iCs/>
          <w:color w:val="auto"/>
          <w:szCs w:val="21"/>
          <w:highlight w:val="none"/>
          <w:u w:val="single"/>
        </w:rPr>
        <w:t xml:space="preserve"> </w:t>
      </w:r>
      <w:r>
        <w:rPr>
          <w:color w:val="auto"/>
          <w:szCs w:val="21"/>
          <w:highlight w:val="none"/>
        </w:rPr>
        <w:t>提交响应文件。</w:t>
      </w:r>
    </w:p>
    <w:bookmarkEnd w:id="99"/>
    <w:p w14:paraId="28B4D779">
      <w:pPr>
        <w:spacing w:line="360" w:lineRule="auto"/>
        <w:ind w:firstLine="420" w:firstLineChars="200"/>
        <w:rPr>
          <w:color w:val="auto"/>
          <w:szCs w:val="21"/>
          <w:highlight w:val="none"/>
        </w:rPr>
      </w:pPr>
      <w:r>
        <w:rPr>
          <w:color w:val="auto"/>
          <w:szCs w:val="21"/>
          <w:highlight w:val="none"/>
        </w:rPr>
        <w:t>据此函，签字代表宣布同意如下：</w:t>
      </w:r>
    </w:p>
    <w:p w14:paraId="0C9FFAAC">
      <w:pPr>
        <w:spacing w:line="360" w:lineRule="auto"/>
        <w:rPr>
          <w:color w:val="auto"/>
          <w:szCs w:val="21"/>
          <w:highlight w:val="none"/>
        </w:rPr>
      </w:pPr>
      <w:r>
        <w:rPr>
          <w:color w:val="auto"/>
          <w:szCs w:val="21"/>
          <w:highlight w:val="none"/>
        </w:rPr>
        <w:t>（1）供应商已详细审查全部“采购文件”，包括修改文件（如有的话）以及全部参考资料和有关附件，已经了解我方对于采购文件、采购过程、采购结果有依法进行询问、质疑、投诉的权利及相关渠道和要求。</w:t>
      </w:r>
    </w:p>
    <w:p w14:paraId="0E77AC8E">
      <w:pPr>
        <w:spacing w:line="360" w:lineRule="auto"/>
        <w:rPr>
          <w:color w:val="auto"/>
          <w:szCs w:val="21"/>
          <w:highlight w:val="none"/>
        </w:rPr>
      </w:pPr>
      <w:r>
        <w:rPr>
          <w:color w:val="auto"/>
          <w:szCs w:val="21"/>
          <w:highlight w:val="none"/>
        </w:rPr>
        <w:t>（2）供应商在响应之前已经与贵方进行了充分的沟通，完全理解并接受采购文件的各项规定和要求，对采购文件的合理性、合法性不再有异议。</w:t>
      </w:r>
    </w:p>
    <w:p w14:paraId="38C16516">
      <w:pPr>
        <w:spacing w:line="360" w:lineRule="auto"/>
        <w:rPr>
          <w:color w:val="auto"/>
          <w:szCs w:val="21"/>
          <w:highlight w:val="none"/>
        </w:rPr>
      </w:pPr>
      <w:r>
        <w:rPr>
          <w:rFonts w:hint="eastAsia"/>
          <w:color w:val="auto"/>
          <w:szCs w:val="21"/>
          <w:highlight w:val="none"/>
        </w:rPr>
        <w:t>（3）我方承诺本响应有效期为第三章供应商须知规定的期限。</w:t>
      </w:r>
    </w:p>
    <w:p w14:paraId="11F94176">
      <w:pPr>
        <w:spacing w:line="360" w:lineRule="auto"/>
        <w:rPr>
          <w:color w:val="auto"/>
          <w:szCs w:val="21"/>
          <w:highlight w:val="none"/>
        </w:rPr>
      </w:pPr>
      <w:r>
        <w:rPr>
          <w:color w:val="auto"/>
          <w:szCs w:val="21"/>
          <w:highlight w:val="none"/>
        </w:rPr>
        <w:t>（4）如成交，本响应文件至本项目合同履行完毕止均保持有效，本供应商将按“采购文件”及政府采购法律、法规的规定履行合同责任和义务</w:t>
      </w:r>
      <w:r>
        <w:rPr>
          <w:rFonts w:hint="eastAsia"/>
          <w:color w:val="auto"/>
          <w:szCs w:val="21"/>
          <w:highlight w:val="none"/>
        </w:rPr>
        <w:t>，并承诺</w:t>
      </w:r>
      <w:r>
        <w:rPr>
          <w:color w:val="auto"/>
          <w:szCs w:val="21"/>
          <w:highlight w:val="none"/>
        </w:rPr>
        <w:t>不分包及转包他人。</w:t>
      </w:r>
    </w:p>
    <w:p w14:paraId="0248F7A7">
      <w:pPr>
        <w:spacing w:line="360" w:lineRule="auto"/>
        <w:rPr>
          <w:color w:val="auto"/>
          <w:szCs w:val="21"/>
          <w:highlight w:val="none"/>
        </w:rPr>
      </w:pPr>
      <w:r>
        <w:rPr>
          <w:color w:val="auto"/>
          <w:szCs w:val="21"/>
          <w:highlight w:val="none"/>
        </w:rPr>
        <w:t>（5）供应商同意按照贵方要求提供与响应有关的一切数据或资料。</w:t>
      </w:r>
    </w:p>
    <w:p w14:paraId="5226F80E">
      <w:pPr>
        <w:spacing w:line="360" w:lineRule="auto"/>
        <w:rPr>
          <w:color w:val="auto"/>
          <w:szCs w:val="21"/>
          <w:highlight w:val="none"/>
        </w:rPr>
      </w:pPr>
      <w:r>
        <w:rPr>
          <w:color w:val="auto"/>
          <w:szCs w:val="21"/>
          <w:highlight w:val="none"/>
        </w:rPr>
        <w:t>（</w:t>
      </w:r>
      <w:r>
        <w:rPr>
          <w:rFonts w:hint="eastAsia"/>
          <w:color w:val="auto"/>
          <w:szCs w:val="21"/>
          <w:highlight w:val="none"/>
        </w:rPr>
        <w:t>6</w:t>
      </w:r>
      <w:r>
        <w:rPr>
          <w:color w:val="auto"/>
          <w:szCs w:val="21"/>
          <w:highlight w:val="none"/>
        </w:rPr>
        <w:t>）与本项目有关的一切正式往来信函请寄：</w:t>
      </w:r>
    </w:p>
    <w:p w14:paraId="2EAE7166">
      <w:pPr>
        <w:spacing w:line="360" w:lineRule="auto"/>
        <w:rPr>
          <w:color w:val="auto"/>
          <w:szCs w:val="21"/>
          <w:highlight w:val="none"/>
        </w:rPr>
      </w:pPr>
      <w:r>
        <w:rPr>
          <w:color w:val="auto"/>
          <w:szCs w:val="21"/>
          <w:highlight w:val="none"/>
        </w:rPr>
        <w:t>地址：</w:t>
      </w:r>
      <w:r>
        <w:rPr>
          <w:color w:val="auto"/>
          <w:szCs w:val="21"/>
          <w:highlight w:val="none"/>
          <w:u w:val="single"/>
        </w:rPr>
        <w:t xml:space="preserve">                      </w:t>
      </w:r>
      <w:r>
        <w:rPr>
          <w:color w:val="auto"/>
          <w:szCs w:val="21"/>
          <w:highlight w:val="none"/>
        </w:rPr>
        <w:t>邮编：</w:t>
      </w:r>
      <w:r>
        <w:rPr>
          <w:color w:val="auto"/>
          <w:szCs w:val="21"/>
          <w:highlight w:val="none"/>
          <w:u w:val="single"/>
        </w:rPr>
        <w:t xml:space="preserve">         </w:t>
      </w:r>
      <w:r>
        <w:rPr>
          <w:color w:val="auto"/>
          <w:szCs w:val="21"/>
          <w:highlight w:val="none"/>
        </w:rPr>
        <w:t xml:space="preserve">  电话：</w:t>
      </w:r>
      <w:r>
        <w:rPr>
          <w:color w:val="auto"/>
          <w:szCs w:val="21"/>
          <w:highlight w:val="none"/>
          <w:u w:val="single"/>
        </w:rPr>
        <w:t xml:space="preserve">            </w:t>
      </w:r>
    </w:p>
    <w:p w14:paraId="3F6DCB21">
      <w:pPr>
        <w:spacing w:line="360" w:lineRule="auto"/>
        <w:rPr>
          <w:color w:val="auto"/>
          <w:szCs w:val="21"/>
          <w:highlight w:val="none"/>
        </w:rPr>
      </w:pPr>
      <w:r>
        <w:rPr>
          <w:color w:val="auto"/>
          <w:szCs w:val="21"/>
          <w:highlight w:val="none"/>
        </w:rPr>
        <w:t>传真：</w:t>
      </w:r>
      <w:r>
        <w:rPr>
          <w:color w:val="auto"/>
          <w:szCs w:val="21"/>
          <w:highlight w:val="none"/>
          <w:u w:val="single"/>
        </w:rPr>
        <w:t xml:space="preserve">           </w:t>
      </w:r>
      <w:r>
        <w:rPr>
          <w:color w:val="auto"/>
          <w:szCs w:val="21"/>
          <w:highlight w:val="none"/>
        </w:rPr>
        <w:t xml:space="preserve"> </w:t>
      </w:r>
    </w:p>
    <w:p w14:paraId="052751A4">
      <w:pPr>
        <w:spacing w:line="360" w:lineRule="auto"/>
        <w:rPr>
          <w:color w:val="auto"/>
          <w:szCs w:val="21"/>
          <w:highlight w:val="none"/>
        </w:rPr>
      </w:pPr>
      <w:r>
        <w:rPr>
          <w:color w:val="auto"/>
          <w:szCs w:val="21"/>
          <w:highlight w:val="none"/>
        </w:rPr>
        <w:t>供应商代表姓名</w:t>
      </w:r>
      <w:r>
        <w:rPr>
          <w:color w:val="auto"/>
          <w:szCs w:val="21"/>
          <w:highlight w:val="none"/>
          <w:u w:val="single"/>
        </w:rPr>
        <w:t xml:space="preserve">         </w:t>
      </w:r>
      <w:r>
        <w:rPr>
          <w:color w:val="auto"/>
          <w:szCs w:val="21"/>
          <w:highlight w:val="none"/>
        </w:rPr>
        <w:t xml:space="preserve">  职务：</w:t>
      </w:r>
      <w:r>
        <w:rPr>
          <w:color w:val="auto"/>
          <w:szCs w:val="21"/>
          <w:highlight w:val="none"/>
          <w:u w:val="single"/>
        </w:rPr>
        <w:t xml:space="preserve">             </w:t>
      </w:r>
      <w:r>
        <w:rPr>
          <w:rFonts w:hint="eastAsia"/>
          <w:color w:val="auto"/>
          <w:szCs w:val="21"/>
          <w:highlight w:val="none"/>
        </w:rPr>
        <w:t>邮箱：</w:t>
      </w:r>
      <w:r>
        <w:rPr>
          <w:rFonts w:hint="eastAsia"/>
          <w:color w:val="auto"/>
          <w:szCs w:val="21"/>
          <w:highlight w:val="none"/>
          <w:u w:val="single"/>
        </w:rPr>
        <w:t xml:space="preserve"> </w:t>
      </w:r>
      <w:r>
        <w:rPr>
          <w:color w:val="auto"/>
          <w:szCs w:val="21"/>
          <w:highlight w:val="none"/>
          <w:u w:val="single"/>
        </w:rPr>
        <w:t xml:space="preserve">             </w:t>
      </w:r>
    </w:p>
    <w:p w14:paraId="2A8654A8">
      <w:pPr>
        <w:spacing w:line="360" w:lineRule="auto"/>
        <w:rPr>
          <w:rFonts w:hint="eastAsia"/>
          <w:color w:val="auto"/>
          <w:szCs w:val="21"/>
          <w:highlight w:val="none"/>
        </w:rPr>
      </w:pPr>
    </w:p>
    <w:p w14:paraId="06A3BE02">
      <w:pPr>
        <w:spacing w:line="360" w:lineRule="auto"/>
        <w:rPr>
          <w:rFonts w:hint="eastAsia"/>
          <w:color w:val="auto"/>
          <w:szCs w:val="21"/>
          <w:highlight w:val="none"/>
        </w:rPr>
      </w:pPr>
    </w:p>
    <w:p w14:paraId="1638CD8C">
      <w:pPr>
        <w:spacing w:line="360" w:lineRule="auto"/>
        <w:rPr>
          <w:rFonts w:hint="eastAsia"/>
          <w:color w:val="auto"/>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44CF9F8C">
      <w:pPr>
        <w:spacing w:line="360" w:lineRule="auto"/>
        <w:rPr>
          <w:color w:val="auto"/>
          <w:szCs w:val="21"/>
          <w:highlight w:val="none"/>
        </w:rPr>
      </w:pPr>
    </w:p>
    <w:p w14:paraId="6AE8FAEC">
      <w:pPr>
        <w:spacing w:line="360" w:lineRule="auto"/>
        <w:rPr>
          <w:rFonts w:hint="eastAsia"/>
          <w:color w:val="auto"/>
          <w:szCs w:val="21"/>
          <w:highlight w:val="none"/>
        </w:rPr>
      </w:pPr>
    </w:p>
    <w:p w14:paraId="048AA8F3">
      <w:pPr>
        <w:spacing w:line="360" w:lineRule="auto"/>
        <w:rPr>
          <w:color w:val="auto"/>
          <w:szCs w:val="21"/>
          <w:highlight w:val="none"/>
        </w:rPr>
      </w:pPr>
      <w:r>
        <w:rPr>
          <w:color w:val="auto"/>
          <w:szCs w:val="21"/>
          <w:highlight w:val="none"/>
        </w:rPr>
        <w:t>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744E1687">
      <w:pPr>
        <w:rPr>
          <w:b/>
          <w:color w:val="auto"/>
          <w:szCs w:val="21"/>
          <w:highlight w:val="none"/>
        </w:rPr>
      </w:pPr>
      <w:r>
        <w:rPr>
          <w:b/>
          <w:color w:val="auto"/>
          <w:szCs w:val="21"/>
          <w:highlight w:val="none"/>
        </w:rPr>
        <w:br w:type="page"/>
      </w:r>
      <w:r>
        <w:rPr>
          <w:b/>
          <w:color w:val="auto"/>
          <w:szCs w:val="21"/>
          <w:highlight w:val="none"/>
        </w:rPr>
        <w:t>2．响应报价明细表格式：</w:t>
      </w:r>
    </w:p>
    <w:p w14:paraId="2C2FD706">
      <w:pPr>
        <w:jc w:val="center"/>
        <w:rPr>
          <w:b/>
          <w:color w:val="auto"/>
          <w:szCs w:val="21"/>
          <w:highlight w:val="none"/>
        </w:rPr>
      </w:pPr>
      <w:r>
        <w:rPr>
          <w:b/>
          <w:color w:val="auto"/>
          <w:szCs w:val="21"/>
          <w:highlight w:val="none"/>
        </w:rPr>
        <w:t>响应报价明细表</w:t>
      </w:r>
    </w:p>
    <w:p w14:paraId="756BCFE1">
      <w:pPr>
        <w:ind w:firstLine="2415" w:firstLineChars="1150"/>
        <w:rPr>
          <w:color w:val="auto"/>
          <w:szCs w:val="21"/>
          <w:highlight w:val="none"/>
        </w:rPr>
      </w:pPr>
      <w:r>
        <w:rPr>
          <w:color w:val="auto"/>
          <w:szCs w:val="21"/>
          <w:highlight w:val="none"/>
        </w:rPr>
        <w:t xml:space="preserve">                            金额单位：人民币（元）</w:t>
      </w:r>
    </w:p>
    <w:tbl>
      <w:tblPr>
        <w:tblStyle w:val="5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5"/>
        <w:gridCol w:w="1937"/>
        <w:gridCol w:w="1937"/>
        <w:gridCol w:w="1507"/>
        <w:gridCol w:w="1722"/>
      </w:tblGrid>
      <w:tr w14:paraId="34F81F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4" w:hRule="exact"/>
          <w:jc w:val="center"/>
        </w:trPr>
        <w:tc>
          <w:tcPr>
            <w:tcW w:w="975" w:type="dxa"/>
            <w:tcBorders>
              <w:top w:val="single" w:color="auto" w:sz="4" w:space="0"/>
              <w:left w:val="single" w:color="auto" w:sz="4" w:space="0"/>
              <w:bottom w:val="single" w:color="auto" w:sz="4" w:space="0"/>
              <w:right w:val="single" w:color="auto" w:sz="4" w:space="0"/>
            </w:tcBorders>
            <w:noWrap w:val="0"/>
            <w:vAlign w:val="center"/>
          </w:tcPr>
          <w:p w14:paraId="42F54669">
            <w:pPr>
              <w:jc w:val="center"/>
              <w:rPr>
                <w:color w:val="auto"/>
                <w:spacing w:val="20"/>
                <w:szCs w:val="21"/>
                <w:highlight w:val="none"/>
              </w:rPr>
            </w:pPr>
            <w:r>
              <w:rPr>
                <w:color w:val="auto"/>
                <w:szCs w:val="21"/>
                <w:highlight w:val="none"/>
              </w:rPr>
              <w:t>序号</w:t>
            </w:r>
          </w:p>
        </w:tc>
        <w:tc>
          <w:tcPr>
            <w:tcW w:w="1937" w:type="dxa"/>
            <w:tcBorders>
              <w:top w:val="single" w:color="auto" w:sz="4" w:space="0"/>
              <w:left w:val="single" w:color="auto" w:sz="4" w:space="0"/>
              <w:bottom w:val="single" w:color="auto" w:sz="4" w:space="0"/>
              <w:right w:val="single" w:color="auto" w:sz="4" w:space="0"/>
            </w:tcBorders>
            <w:noWrap w:val="0"/>
            <w:vAlign w:val="center"/>
          </w:tcPr>
          <w:p w14:paraId="714C6F12">
            <w:pPr>
              <w:jc w:val="center"/>
              <w:rPr>
                <w:color w:val="auto"/>
                <w:szCs w:val="21"/>
                <w:highlight w:val="none"/>
              </w:rPr>
            </w:pPr>
            <w:r>
              <w:rPr>
                <w:color w:val="auto"/>
                <w:szCs w:val="21"/>
                <w:highlight w:val="none"/>
              </w:rPr>
              <w:t>服务名称</w:t>
            </w:r>
          </w:p>
        </w:tc>
        <w:tc>
          <w:tcPr>
            <w:tcW w:w="1937" w:type="dxa"/>
            <w:tcBorders>
              <w:top w:val="single" w:color="auto" w:sz="4" w:space="0"/>
              <w:left w:val="single" w:color="auto" w:sz="4" w:space="0"/>
              <w:bottom w:val="single" w:color="auto" w:sz="4" w:space="0"/>
              <w:right w:val="single" w:color="auto" w:sz="4" w:space="0"/>
            </w:tcBorders>
            <w:noWrap w:val="0"/>
            <w:vAlign w:val="center"/>
          </w:tcPr>
          <w:p w14:paraId="19B72ED0">
            <w:pPr>
              <w:jc w:val="center"/>
              <w:rPr>
                <w:color w:val="auto"/>
                <w:szCs w:val="21"/>
                <w:highlight w:val="none"/>
              </w:rPr>
            </w:pPr>
            <w:r>
              <w:rPr>
                <w:color w:val="auto"/>
                <w:szCs w:val="21"/>
                <w:highlight w:val="none"/>
              </w:rPr>
              <w:t>单位及数量</w:t>
            </w:r>
          </w:p>
        </w:tc>
        <w:tc>
          <w:tcPr>
            <w:tcW w:w="1507" w:type="dxa"/>
            <w:tcBorders>
              <w:top w:val="single" w:color="auto" w:sz="4" w:space="0"/>
              <w:left w:val="single" w:color="auto" w:sz="4" w:space="0"/>
              <w:bottom w:val="single" w:color="auto" w:sz="4" w:space="0"/>
              <w:right w:val="single" w:color="auto" w:sz="4" w:space="0"/>
            </w:tcBorders>
            <w:noWrap w:val="0"/>
            <w:vAlign w:val="center"/>
          </w:tcPr>
          <w:p w14:paraId="206C6394">
            <w:pPr>
              <w:jc w:val="center"/>
              <w:rPr>
                <w:color w:val="auto"/>
                <w:szCs w:val="21"/>
                <w:highlight w:val="none"/>
              </w:rPr>
            </w:pPr>
            <w:r>
              <w:rPr>
                <w:color w:val="auto"/>
                <w:szCs w:val="21"/>
                <w:highlight w:val="none"/>
              </w:rPr>
              <w:t>单价</w:t>
            </w:r>
          </w:p>
        </w:tc>
        <w:tc>
          <w:tcPr>
            <w:tcW w:w="1722" w:type="dxa"/>
            <w:tcBorders>
              <w:top w:val="single" w:color="auto" w:sz="4" w:space="0"/>
              <w:left w:val="single" w:color="auto" w:sz="4" w:space="0"/>
              <w:bottom w:val="single" w:color="auto" w:sz="4" w:space="0"/>
              <w:right w:val="single" w:color="auto" w:sz="4" w:space="0"/>
            </w:tcBorders>
            <w:noWrap w:val="0"/>
            <w:vAlign w:val="center"/>
          </w:tcPr>
          <w:p w14:paraId="2A16B0F3">
            <w:pPr>
              <w:jc w:val="center"/>
              <w:rPr>
                <w:color w:val="auto"/>
                <w:szCs w:val="21"/>
                <w:highlight w:val="none"/>
              </w:rPr>
            </w:pPr>
            <w:r>
              <w:rPr>
                <w:rFonts w:hint="eastAsia"/>
                <w:color w:val="auto"/>
                <w:szCs w:val="21"/>
                <w:highlight w:val="none"/>
              </w:rPr>
              <w:t>合计</w:t>
            </w:r>
          </w:p>
        </w:tc>
      </w:tr>
      <w:tr w14:paraId="7E94C8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4" w:hRule="exact"/>
          <w:jc w:val="center"/>
        </w:trPr>
        <w:tc>
          <w:tcPr>
            <w:tcW w:w="975" w:type="dxa"/>
            <w:tcBorders>
              <w:top w:val="single" w:color="auto" w:sz="4" w:space="0"/>
              <w:left w:val="single" w:color="auto" w:sz="4" w:space="0"/>
              <w:bottom w:val="single" w:color="auto" w:sz="4" w:space="0"/>
              <w:right w:val="single" w:color="auto" w:sz="4" w:space="0"/>
            </w:tcBorders>
            <w:noWrap w:val="0"/>
            <w:vAlign w:val="center"/>
          </w:tcPr>
          <w:p w14:paraId="591A21B6">
            <w:pPr>
              <w:jc w:val="center"/>
              <w:rPr>
                <w:color w:val="auto"/>
                <w:spacing w:val="20"/>
                <w:szCs w:val="21"/>
                <w:highlight w:val="none"/>
              </w:rPr>
            </w:pPr>
          </w:p>
        </w:tc>
        <w:tc>
          <w:tcPr>
            <w:tcW w:w="1937" w:type="dxa"/>
            <w:tcBorders>
              <w:top w:val="single" w:color="auto" w:sz="4" w:space="0"/>
              <w:left w:val="single" w:color="auto" w:sz="4" w:space="0"/>
              <w:bottom w:val="single" w:color="auto" w:sz="4" w:space="0"/>
              <w:right w:val="single" w:color="auto" w:sz="4" w:space="0"/>
            </w:tcBorders>
            <w:noWrap w:val="0"/>
            <w:vAlign w:val="center"/>
          </w:tcPr>
          <w:p w14:paraId="010C3405">
            <w:pPr>
              <w:jc w:val="center"/>
              <w:rPr>
                <w:color w:val="auto"/>
                <w:spacing w:val="20"/>
                <w:szCs w:val="21"/>
                <w:highlight w:val="none"/>
              </w:rPr>
            </w:pPr>
          </w:p>
        </w:tc>
        <w:tc>
          <w:tcPr>
            <w:tcW w:w="1937" w:type="dxa"/>
            <w:tcBorders>
              <w:top w:val="single" w:color="auto" w:sz="4" w:space="0"/>
              <w:left w:val="single" w:color="auto" w:sz="4" w:space="0"/>
              <w:bottom w:val="single" w:color="auto" w:sz="4" w:space="0"/>
              <w:right w:val="single" w:color="auto" w:sz="4" w:space="0"/>
            </w:tcBorders>
            <w:noWrap w:val="0"/>
            <w:vAlign w:val="center"/>
          </w:tcPr>
          <w:p w14:paraId="6FDCE693">
            <w:pPr>
              <w:jc w:val="center"/>
              <w:rPr>
                <w:color w:val="auto"/>
                <w:spacing w:val="20"/>
                <w:szCs w:val="21"/>
                <w:highlight w:val="none"/>
              </w:rPr>
            </w:pPr>
          </w:p>
        </w:tc>
        <w:tc>
          <w:tcPr>
            <w:tcW w:w="1507" w:type="dxa"/>
            <w:tcBorders>
              <w:top w:val="single" w:color="auto" w:sz="4" w:space="0"/>
              <w:left w:val="single" w:color="auto" w:sz="4" w:space="0"/>
              <w:bottom w:val="single" w:color="auto" w:sz="4" w:space="0"/>
              <w:right w:val="single" w:color="auto" w:sz="4" w:space="0"/>
            </w:tcBorders>
            <w:noWrap w:val="0"/>
            <w:vAlign w:val="center"/>
          </w:tcPr>
          <w:p w14:paraId="1084FAC9">
            <w:pPr>
              <w:jc w:val="center"/>
              <w:rPr>
                <w:color w:val="auto"/>
                <w:spacing w:val="20"/>
                <w:szCs w:val="21"/>
                <w:highlight w:val="none"/>
              </w:rPr>
            </w:pPr>
          </w:p>
        </w:tc>
        <w:tc>
          <w:tcPr>
            <w:tcW w:w="1722" w:type="dxa"/>
            <w:tcBorders>
              <w:top w:val="single" w:color="auto" w:sz="4" w:space="0"/>
              <w:left w:val="single" w:color="auto" w:sz="4" w:space="0"/>
              <w:bottom w:val="single" w:color="auto" w:sz="4" w:space="0"/>
              <w:right w:val="single" w:color="auto" w:sz="4" w:space="0"/>
            </w:tcBorders>
            <w:noWrap w:val="0"/>
            <w:vAlign w:val="center"/>
          </w:tcPr>
          <w:p w14:paraId="243F0242">
            <w:pPr>
              <w:jc w:val="center"/>
              <w:rPr>
                <w:color w:val="auto"/>
                <w:spacing w:val="20"/>
                <w:szCs w:val="21"/>
                <w:highlight w:val="none"/>
              </w:rPr>
            </w:pPr>
          </w:p>
        </w:tc>
      </w:tr>
      <w:tr w14:paraId="36D61D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4" w:hRule="exact"/>
          <w:jc w:val="center"/>
        </w:trPr>
        <w:tc>
          <w:tcPr>
            <w:tcW w:w="975" w:type="dxa"/>
            <w:tcBorders>
              <w:top w:val="single" w:color="auto" w:sz="4" w:space="0"/>
              <w:left w:val="single" w:color="auto" w:sz="4" w:space="0"/>
              <w:bottom w:val="single" w:color="auto" w:sz="4" w:space="0"/>
              <w:right w:val="single" w:color="auto" w:sz="4" w:space="0"/>
            </w:tcBorders>
            <w:noWrap w:val="0"/>
            <w:vAlign w:val="center"/>
          </w:tcPr>
          <w:p w14:paraId="0EDE05CA">
            <w:pPr>
              <w:jc w:val="center"/>
              <w:rPr>
                <w:color w:val="auto"/>
                <w:spacing w:val="20"/>
                <w:szCs w:val="21"/>
                <w:highlight w:val="none"/>
              </w:rPr>
            </w:pPr>
          </w:p>
        </w:tc>
        <w:tc>
          <w:tcPr>
            <w:tcW w:w="1937" w:type="dxa"/>
            <w:tcBorders>
              <w:top w:val="single" w:color="auto" w:sz="4" w:space="0"/>
              <w:left w:val="single" w:color="auto" w:sz="4" w:space="0"/>
              <w:bottom w:val="single" w:color="auto" w:sz="4" w:space="0"/>
              <w:right w:val="single" w:color="auto" w:sz="4" w:space="0"/>
            </w:tcBorders>
            <w:noWrap w:val="0"/>
            <w:vAlign w:val="center"/>
          </w:tcPr>
          <w:p w14:paraId="60C09B61">
            <w:pPr>
              <w:jc w:val="center"/>
              <w:rPr>
                <w:color w:val="auto"/>
                <w:spacing w:val="20"/>
                <w:szCs w:val="21"/>
                <w:highlight w:val="none"/>
              </w:rPr>
            </w:pPr>
          </w:p>
        </w:tc>
        <w:tc>
          <w:tcPr>
            <w:tcW w:w="1937" w:type="dxa"/>
            <w:tcBorders>
              <w:top w:val="single" w:color="auto" w:sz="4" w:space="0"/>
              <w:left w:val="single" w:color="auto" w:sz="4" w:space="0"/>
              <w:bottom w:val="single" w:color="auto" w:sz="4" w:space="0"/>
              <w:right w:val="single" w:color="auto" w:sz="4" w:space="0"/>
            </w:tcBorders>
            <w:noWrap w:val="0"/>
            <w:vAlign w:val="center"/>
          </w:tcPr>
          <w:p w14:paraId="20300E2E">
            <w:pPr>
              <w:jc w:val="center"/>
              <w:rPr>
                <w:color w:val="auto"/>
                <w:spacing w:val="20"/>
                <w:szCs w:val="21"/>
                <w:highlight w:val="none"/>
              </w:rPr>
            </w:pPr>
          </w:p>
        </w:tc>
        <w:tc>
          <w:tcPr>
            <w:tcW w:w="1507" w:type="dxa"/>
            <w:tcBorders>
              <w:top w:val="single" w:color="auto" w:sz="4" w:space="0"/>
              <w:left w:val="single" w:color="auto" w:sz="4" w:space="0"/>
              <w:bottom w:val="single" w:color="auto" w:sz="4" w:space="0"/>
              <w:right w:val="single" w:color="auto" w:sz="4" w:space="0"/>
            </w:tcBorders>
            <w:noWrap w:val="0"/>
            <w:vAlign w:val="center"/>
          </w:tcPr>
          <w:p w14:paraId="39BED98D">
            <w:pPr>
              <w:jc w:val="center"/>
              <w:rPr>
                <w:color w:val="auto"/>
                <w:spacing w:val="20"/>
                <w:szCs w:val="21"/>
                <w:highlight w:val="none"/>
              </w:rPr>
            </w:pPr>
          </w:p>
        </w:tc>
        <w:tc>
          <w:tcPr>
            <w:tcW w:w="1722" w:type="dxa"/>
            <w:tcBorders>
              <w:top w:val="single" w:color="auto" w:sz="4" w:space="0"/>
              <w:left w:val="single" w:color="auto" w:sz="4" w:space="0"/>
              <w:bottom w:val="single" w:color="auto" w:sz="4" w:space="0"/>
              <w:right w:val="single" w:color="auto" w:sz="4" w:space="0"/>
            </w:tcBorders>
            <w:noWrap w:val="0"/>
            <w:vAlign w:val="center"/>
          </w:tcPr>
          <w:p w14:paraId="5C3A9F93">
            <w:pPr>
              <w:jc w:val="center"/>
              <w:rPr>
                <w:color w:val="auto"/>
                <w:spacing w:val="20"/>
                <w:szCs w:val="21"/>
                <w:highlight w:val="none"/>
              </w:rPr>
            </w:pPr>
          </w:p>
        </w:tc>
      </w:tr>
      <w:tr w14:paraId="7860BC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4" w:hRule="exact"/>
          <w:jc w:val="center"/>
        </w:trPr>
        <w:tc>
          <w:tcPr>
            <w:tcW w:w="975" w:type="dxa"/>
            <w:tcBorders>
              <w:top w:val="single" w:color="auto" w:sz="4" w:space="0"/>
              <w:left w:val="single" w:color="auto" w:sz="4" w:space="0"/>
              <w:bottom w:val="single" w:color="auto" w:sz="4" w:space="0"/>
              <w:right w:val="single" w:color="auto" w:sz="4" w:space="0"/>
            </w:tcBorders>
            <w:noWrap w:val="0"/>
            <w:vAlign w:val="center"/>
          </w:tcPr>
          <w:p w14:paraId="64DEEE9F">
            <w:pPr>
              <w:jc w:val="center"/>
              <w:rPr>
                <w:color w:val="auto"/>
                <w:spacing w:val="20"/>
                <w:szCs w:val="21"/>
                <w:highlight w:val="none"/>
              </w:rPr>
            </w:pPr>
          </w:p>
        </w:tc>
        <w:tc>
          <w:tcPr>
            <w:tcW w:w="1937" w:type="dxa"/>
            <w:tcBorders>
              <w:top w:val="single" w:color="auto" w:sz="4" w:space="0"/>
              <w:left w:val="single" w:color="auto" w:sz="4" w:space="0"/>
              <w:bottom w:val="single" w:color="auto" w:sz="4" w:space="0"/>
              <w:right w:val="single" w:color="auto" w:sz="4" w:space="0"/>
            </w:tcBorders>
            <w:noWrap w:val="0"/>
            <w:vAlign w:val="center"/>
          </w:tcPr>
          <w:p w14:paraId="333BD8B3">
            <w:pPr>
              <w:jc w:val="center"/>
              <w:rPr>
                <w:color w:val="auto"/>
                <w:spacing w:val="20"/>
                <w:szCs w:val="21"/>
                <w:highlight w:val="none"/>
              </w:rPr>
            </w:pPr>
            <w:r>
              <w:rPr>
                <w:color w:val="auto"/>
                <w:spacing w:val="20"/>
                <w:szCs w:val="21"/>
                <w:highlight w:val="none"/>
              </w:rPr>
              <w:t>……</w:t>
            </w:r>
          </w:p>
        </w:tc>
        <w:tc>
          <w:tcPr>
            <w:tcW w:w="1937" w:type="dxa"/>
            <w:tcBorders>
              <w:top w:val="single" w:color="auto" w:sz="4" w:space="0"/>
              <w:left w:val="single" w:color="auto" w:sz="4" w:space="0"/>
              <w:bottom w:val="single" w:color="auto" w:sz="4" w:space="0"/>
              <w:right w:val="single" w:color="auto" w:sz="4" w:space="0"/>
            </w:tcBorders>
            <w:noWrap w:val="0"/>
            <w:vAlign w:val="center"/>
          </w:tcPr>
          <w:p w14:paraId="693176DB">
            <w:pPr>
              <w:jc w:val="center"/>
              <w:rPr>
                <w:color w:val="auto"/>
                <w:spacing w:val="20"/>
                <w:szCs w:val="21"/>
                <w:highlight w:val="none"/>
              </w:rPr>
            </w:pPr>
          </w:p>
        </w:tc>
        <w:tc>
          <w:tcPr>
            <w:tcW w:w="1507" w:type="dxa"/>
            <w:tcBorders>
              <w:top w:val="single" w:color="auto" w:sz="4" w:space="0"/>
              <w:left w:val="single" w:color="auto" w:sz="4" w:space="0"/>
              <w:bottom w:val="single" w:color="auto" w:sz="4" w:space="0"/>
              <w:right w:val="single" w:color="auto" w:sz="4" w:space="0"/>
            </w:tcBorders>
            <w:noWrap w:val="0"/>
            <w:vAlign w:val="center"/>
          </w:tcPr>
          <w:p w14:paraId="4FC7CF88">
            <w:pPr>
              <w:jc w:val="center"/>
              <w:rPr>
                <w:color w:val="auto"/>
                <w:spacing w:val="20"/>
                <w:szCs w:val="21"/>
                <w:highlight w:val="none"/>
              </w:rPr>
            </w:pPr>
          </w:p>
        </w:tc>
        <w:tc>
          <w:tcPr>
            <w:tcW w:w="1722" w:type="dxa"/>
            <w:tcBorders>
              <w:top w:val="single" w:color="auto" w:sz="4" w:space="0"/>
              <w:left w:val="single" w:color="auto" w:sz="4" w:space="0"/>
              <w:bottom w:val="single" w:color="auto" w:sz="4" w:space="0"/>
              <w:right w:val="single" w:color="auto" w:sz="4" w:space="0"/>
            </w:tcBorders>
            <w:noWrap w:val="0"/>
            <w:vAlign w:val="center"/>
          </w:tcPr>
          <w:p w14:paraId="2B87275A">
            <w:pPr>
              <w:jc w:val="center"/>
              <w:rPr>
                <w:color w:val="auto"/>
                <w:spacing w:val="20"/>
                <w:szCs w:val="21"/>
                <w:highlight w:val="none"/>
              </w:rPr>
            </w:pPr>
          </w:p>
        </w:tc>
      </w:tr>
    </w:tbl>
    <w:p w14:paraId="6BC33B5F">
      <w:pPr>
        <w:rPr>
          <w:color w:val="auto"/>
          <w:spacing w:val="20"/>
          <w:szCs w:val="21"/>
          <w:highlight w:val="none"/>
          <w:u w:val="single"/>
        </w:rPr>
      </w:pPr>
    </w:p>
    <w:p w14:paraId="07C31DB1">
      <w:pPr>
        <w:spacing w:line="360" w:lineRule="auto"/>
        <w:rPr>
          <w:color w:val="auto"/>
          <w:spacing w:val="20"/>
          <w:szCs w:val="21"/>
          <w:highlight w:val="none"/>
        </w:rPr>
      </w:pPr>
    </w:p>
    <w:p w14:paraId="27632614">
      <w:pPr>
        <w:pStyle w:val="18"/>
        <w:rPr>
          <w:color w:val="auto"/>
          <w:highlight w:val="none"/>
        </w:rPr>
      </w:pPr>
      <w:r>
        <w:rPr>
          <w:color w:val="auto"/>
          <w:szCs w:val="21"/>
          <w:highlight w:val="none"/>
        </w:rPr>
        <w:t>注：</w:t>
      </w:r>
      <w:r>
        <w:rPr>
          <w:rFonts w:hint="eastAsia"/>
          <w:color w:val="auto"/>
          <w:szCs w:val="21"/>
          <w:highlight w:val="none"/>
        </w:rPr>
        <w:t>本表如</w:t>
      </w:r>
      <w:r>
        <w:rPr>
          <w:rFonts w:hint="eastAsia"/>
          <w:color w:val="auto"/>
          <w:highlight w:val="none"/>
        </w:rPr>
        <w:t>与广西政府采购云平台不一致的，以广西政府采购云平台为准。</w:t>
      </w:r>
    </w:p>
    <w:p w14:paraId="08B42480">
      <w:pPr>
        <w:jc w:val="left"/>
        <w:rPr>
          <w:color w:val="auto"/>
          <w:szCs w:val="21"/>
          <w:highlight w:val="none"/>
        </w:rPr>
      </w:pPr>
    </w:p>
    <w:p w14:paraId="15DD91EE">
      <w:pPr>
        <w:spacing w:line="360" w:lineRule="auto"/>
        <w:rPr>
          <w:color w:val="auto"/>
          <w:spacing w:val="20"/>
          <w:szCs w:val="21"/>
          <w:highlight w:val="none"/>
        </w:rPr>
      </w:pPr>
    </w:p>
    <w:p w14:paraId="781F2B45">
      <w:pPr>
        <w:spacing w:line="360" w:lineRule="auto"/>
        <w:rPr>
          <w:color w:val="auto"/>
          <w:szCs w:val="21"/>
          <w:highlight w:val="none"/>
        </w:rPr>
      </w:pPr>
      <w:r>
        <w:rPr>
          <w:color w:val="auto"/>
          <w:szCs w:val="21"/>
          <w:highlight w:val="none"/>
        </w:rPr>
        <w:t>供应商名称（</w:t>
      </w:r>
      <w:r>
        <w:rPr>
          <w:rFonts w:hint="eastAsia"/>
          <w:color w:val="auto"/>
          <w:szCs w:val="21"/>
          <w:highlight w:val="none"/>
        </w:rPr>
        <w:t>电子签章</w:t>
      </w:r>
      <w:r>
        <w:rPr>
          <w:color w:val="auto"/>
          <w:szCs w:val="21"/>
          <w:highlight w:val="none"/>
        </w:rPr>
        <w:t>）：</w:t>
      </w:r>
      <w:r>
        <w:rPr>
          <w:color w:val="auto"/>
          <w:szCs w:val="21"/>
          <w:highlight w:val="none"/>
          <w:u w:val="single"/>
        </w:rPr>
        <w:t xml:space="preserve">                          </w:t>
      </w:r>
    </w:p>
    <w:p w14:paraId="26729242">
      <w:pPr>
        <w:spacing w:line="360" w:lineRule="auto"/>
        <w:rPr>
          <w:color w:val="auto"/>
          <w:spacing w:val="20"/>
          <w:szCs w:val="21"/>
          <w:highlight w:val="none"/>
          <w:u w:val="single"/>
        </w:rPr>
      </w:pPr>
      <w:r>
        <w:rPr>
          <w:color w:val="auto"/>
          <w:szCs w:val="21"/>
          <w:highlight w:val="none"/>
        </w:rPr>
        <w:t>日  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 xml:space="preserve">日 </w:t>
      </w:r>
    </w:p>
    <w:p w14:paraId="2F11F5C6">
      <w:pPr>
        <w:snapToGrid w:val="0"/>
        <w:spacing w:before="50" w:after="120" w:afterLines="50"/>
        <w:jc w:val="left"/>
        <w:outlineLvl w:val="1"/>
        <w:rPr>
          <w:color w:val="auto"/>
          <w:szCs w:val="21"/>
          <w:highlight w:val="none"/>
        </w:rPr>
      </w:pPr>
      <w:r>
        <w:rPr>
          <w:color w:val="auto"/>
          <w:szCs w:val="21"/>
          <w:highlight w:val="none"/>
        </w:rPr>
        <w:br w:type="page"/>
      </w:r>
      <w:bookmarkStart w:id="100" w:name="_Hlk65852042"/>
      <w:r>
        <w:rPr>
          <w:rFonts w:hint="eastAsia"/>
          <w:color w:val="auto"/>
          <w:szCs w:val="21"/>
          <w:highlight w:val="none"/>
          <w:lang w:val="en-US" w:eastAsia="zh-CN"/>
        </w:rPr>
        <w:t>3</w:t>
      </w:r>
      <w:r>
        <w:rPr>
          <w:rFonts w:hint="eastAsia"/>
          <w:color w:val="auto"/>
          <w:szCs w:val="21"/>
          <w:highlight w:val="none"/>
        </w:rPr>
        <w:t>.开标一览表</w:t>
      </w:r>
    </w:p>
    <w:p w14:paraId="5ED81DB2">
      <w:pPr>
        <w:widowControl/>
        <w:jc w:val="left"/>
        <w:rPr>
          <w:color w:val="auto"/>
          <w:szCs w:val="21"/>
          <w:highlight w:val="none"/>
        </w:rPr>
      </w:pPr>
    </w:p>
    <w:p w14:paraId="0C2BE11D">
      <w:pPr>
        <w:widowControl/>
        <w:jc w:val="left"/>
        <w:rPr>
          <w:color w:val="auto"/>
          <w:szCs w:val="21"/>
          <w:highlight w:val="none"/>
        </w:rPr>
      </w:pPr>
    </w:p>
    <w:p w14:paraId="29C3AAA3">
      <w:pPr>
        <w:widowControl/>
        <w:jc w:val="left"/>
        <w:rPr>
          <w:color w:val="auto"/>
          <w:szCs w:val="21"/>
          <w:highlight w:val="none"/>
        </w:rPr>
      </w:pPr>
    </w:p>
    <w:p w14:paraId="22FC1D7E">
      <w:pPr>
        <w:rPr>
          <w:b/>
          <w:color w:val="auto"/>
          <w:szCs w:val="21"/>
          <w:highlight w:val="none"/>
        </w:rPr>
      </w:pPr>
    </w:p>
    <w:p w14:paraId="3FE50C5A">
      <w:pPr>
        <w:rPr>
          <w:b/>
          <w:color w:val="auto"/>
          <w:szCs w:val="21"/>
          <w:highlight w:val="none"/>
        </w:rPr>
      </w:pPr>
    </w:p>
    <w:p w14:paraId="678CCECF">
      <w:pPr>
        <w:rPr>
          <w:rFonts w:hint="eastAsia"/>
          <w:b/>
          <w:color w:val="auto"/>
          <w:szCs w:val="21"/>
          <w:highlight w:val="none"/>
        </w:rPr>
      </w:pPr>
      <w:r>
        <w:rPr>
          <w:rFonts w:hint="eastAsia"/>
          <w:b/>
          <w:color w:val="auto"/>
          <w:szCs w:val="21"/>
          <w:highlight w:val="none"/>
        </w:rPr>
        <w:t>格式详见广西政府采购云平台，且仅在广西政府采购云平台填写即可。</w:t>
      </w:r>
    </w:p>
    <w:p w14:paraId="12F2B6A6">
      <w:pPr>
        <w:rPr>
          <w:rFonts w:hint="eastAsia"/>
          <w:b/>
          <w:color w:val="auto"/>
          <w:szCs w:val="21"/>
          <w:highlight w:val="none"/>
        </w:rPr>
      </w:pPr>
      <w:r>
        <w:rPr>
          <w:rFonts w:hint="eastAsia"/>
          <w:b/>
          <w:color w:val="auto"/>
          <w:szCs w:val="21"/>
          <w:highlight w:val="none"/>
        </w:rPr>
        <w:br w:type="page"/>
      </w:r>
    </w:p>
    <w:p w14:paraId="052B5B6E">
      <w:pPr>
        <w:snapToGrid w:val="0"/>
        <w:spacing w:before="50" w:after="120" w:afterLines="50"/>
        <w:jc w:val="left"/>
        <w:rPr>
          <w:color w:val="auto"/>
          <w:szCs w:val="21"/>
          <w:highlight w:val="none"/>
        </w:rPr>
      </w:pPr>
      <w:r>
        <w:rPr>
          <w:rFonts w:hint="eastAsia"/>
          <w:color w:val="auto"/>
          <w:szCs w:val="21"/>
          <w:highlight w:val="none"/>
          <w:lang w:val="en-US" w:eastAsia="zh-CN"/>
        </w:rPr>
        <w:t>3.</w:t>
      </w:r>
      <w:r>
        <w:rPr>
          <w:color w:val="auto"/>
          <w:szCs w:val="21"/>
          <w:highlight w:val="none"/>
        </w:rPr>
        <w:t>过低报价合理性的说明。（如有）</w:t>
      </w:r>
    </w:p>
    <w:p w14:paraId="7A075A8B">
      <w:pPr>
        <w:spacing w:line="360" w:lineRule="auto"/>
        <w:ind w:firstLine="420" w:firstLineChars="200"/>
        <w:rPr>
          <w:rFonts w:hint="eastAsia"/>
          <w:color w:val="auto"/>
          <w:szCs w:val="21"/>
          <w:highlight w:val="none"/>
        </w:rPr>
      </w:pPr>
      <w:r>
        <w:rPr>
          <w:color w:val="auto"/>
          <w:szCs w:val="21"/>
          <w:highlight w:val="none"/>
        </w:rPr>
        <w:t>评审委员会认为的报价</w:t>
      </w:r>
      <w:r>
        <w:rPr>
          <w:rFonts w:hint="eastAsia"/>
          <w:color w:val="auto"/>
          <w:szCs w:val="21"/>
          <w:highlight w:val="none"/>
          <w:lang w:val="en-US" w:eastAsia="zh-CN"/>
        </w:rPr>
        <w:t>存在异常低价问题的情形</w:t>
      </w:r>
      <w:r>
        <w:rPr>
          <w:color w:val="auto"/>
          <w:szCs w:val="21"/>
          <w:highlight w:val="none"/>
        </w:rPr>
        <w:t>，供应商将被要求以书面方式提供</w:t>
      </w:r>
      <w:r>
        <w:rPr>
          <w:rFonts w:hint="eastAsia"/>
          <w:color w:val="auto"/>
          <w:szCs w:val="21"/>
          <w:highlight w:val="none"/>
          <w:lang w:val="en-US" w:eastAsia="zh-CN"/>
        </w:rPr>
        <w:t>项目具体成本测算等与报价合理性相关的书面说明及必要的证明材料</w:t>
      </w:r>
      <w:r>
        <w:rPr>
          <w:color w:val="auto"/>
          <w:szCs w:val="21"/>
          <w:highlight w:val="none"/>
        </w:rPr>
        <w:t>。为避免在评审现场因未能及时提供说明而导致被评审委员会作为无效</w:t>
      </w:r>
      <w:r>
        <w:rPr>
          <w:rFonts w:hint="eastAsia"/>
          <w:color w:val="auto"/>
          <w:szCs w:val="21"/>
          <w:highlight w:val="none"/>
          <w:lang w:eastAsia="zh-CN"/>
        </w:rPr>
        <w:t>响应</w:t>
      </w:r>
      <w:r>
        <w:rPr>
          <w:color w:val="auto"/>
          <w:szCs w:val="21"/>
          <w:highlight w:val="none"/>
        </w:rPr>
        <w:t>，供应商</w:t>
      </w:r>
      <w:r>
        <w:rPr>
          <w:rFonts w:hint="eastAsia"/>
          <w:color w:val="auto"/>
          <w:highlight w:val="none"/>
        </w:rPr>
        <w:t>自行决定是否</w:t>
      </w:r>
      <w:r>
        <w:rPr>
          <w:color w:val="auto"/>
          <w:kern w:val="1"/>
          <w:szCs w:val="21"/>
          <w:highlight w:val="none"/>
        </w:rPr>
        <w:t>直接在</w:t>
      </w:r>
      <w:r>
        <w:rPr>
          <w:color w:val="auto"/>
          <w:szCs w:val="21"/>
          <w:highlight w:val="none"/>
        </w:rPr>
        <w:t>此处</w:t>
      </w:r>
      <w:r>
        <w:rPr>
          <w:rFonts w:hint="eastAsia"/>
          <w:color w:val="auto"/>
          <w:szCs w:val="21"/>
          <w:highlight w:val="none"/>
        </w:rPr>
        <w:t>进行陈述</w:t>
      </w:r>
      <w:r>
        <w:rPr>
          <w:color w:val="auto"/>
          <w:szCs w:val="21"/>
          <w:highlight w:val="none"/>
        </w:rPr>
        <w:t>。格式自拟。</w:t>
      </w:r>
      <w:r>
        <w:rPr>
          <w:rFonts w:hint="eastAsia"/>
          <w:color w:val="auto"/>
          <w:szCs w:val="21"/>
          <w:highlight w:val="none"/>
        </w:rPr>
        <w:t>（</w:t>
      </w:r>
      <w:r>
        <w:rPr>
          <w:rFonts w:hint="eastAsia"/>
          <w:color w:val="auto"/>
          <w:kern w:val="1"/>
          <w:szCs w:val="21"/>
          <w:highlight w:val="none"/>
        </w:rPr>
        <w:t>具体要求详见第四章评审方法及标准“过低报价合理性的审查”</w:t>
      </w:r>
      <w:r>
        <w:rPr>
          <w:rFonts w:hint="eastAsia"/>
          <w:color w:val="auto"/>
          <w:szCs w:val="21"/>
          <w:highlight w:val="none"/>
        </w:rPr>
        <w:t>）</w:t>
      </w:r>
    </w:p>
    <w:p w14:paraId="59C44341">
      <w:pPr>
        <w:pStyle w:val="135"/>
        <w:jc w:val="center"/>
        <w:rPr>
          <w:b/>
          <w:bCs/>
          <w:color w:val="auto"/>
          <w:highlight w:val="none"/>
        </w:rPr>
      </w:pPr>
      <w:bookmarkStart w:id="101" w:name="_Hlk211331823"/>
    </w:p>
    <w:p w14:paraId="783E9B9E">
      <w:pPr>
        <w:pStyle w:val="135"/>
        <w:jc w:val="center"/>
        <w:rPr>
          <w:color w:val="auto"/>
          <w:highlight w:val="none"/>
        </w:rPr>
      </w:pPr>
      <w:r>
        <w:rPr>
          <w:rFonts w:hint="eastAsia"/>
          <w:b/>
          <w:bCs/>
          <w:color w:val="auto"/>
          <w:highlight w:val="none"/>
          <w:lang w:val="en-US" w:eastAsia="zh-CN"/>
        </w:rPr>
        <w:t>产品成本测算表（参考格式）</w:t>
      </w:r>
    </w:p>
    <w:p w14:paraId="2DB889C3">
      <w:pPr>
        <w:spacing w:line="360" w:lineRule="auto"/>
        <w:rPr>
          <w:color w:val="auto"/>
          <w:highlight w:val="none"/>
        </w:rPr>
      </w:pPr>
    </w:p>
    <w:bookmarkEnd w:id="101"/>
    <w:tbl>
      <w:tblPr>
        <w:tblStyle w:val="53"/>
        <w:tblW w:w="4527"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426"/>
        <w:gridCol w:w="348"/>
        <w:gridCol w:w="660"/>
        <w:gridCol w:w="490"/>
        <w:gridCol w:w="830"/>
        <w:gridCol w:w="1202"/>
        <w:gridCol w:w="972"/>
        <w:gridCol w:w="887"/>
        <w:gridCol w:w="1052"/>
        <w:gridCol w:w="780"/>
        <w:gridCol w:w="1019"/>
      </w:tblGrid>
      <w:tr w14:paraId="643B52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98" w:hRule="atLeast"/>
          <w:jc w:val="center"/>
        </w:trPr>
        <w:tc>
          <w:tcPr>
            <w:tcW w:w="245" w:type="pct"/>
            <w:shd w:val="clear" w:color="C3BD96" w:themeColor="background2" w:themeShade="BF" w:fill="auto"/>
            <w:vAlign w:val="center"/>
          </w:tcPr>
          <w:p w14:paraId="3E050D07">
            <w:pPr>
              <w:ind w:left="-105" w:leftChars="-50" w:right="-105" w:rightChars="-50"/>
              <w:jc w:val="center"/>
              <w:rPr>
                <w:rFonts w:cs="宋体"/>
                <w:b/>
                <w:color w:val="auto"/>
                <w:highlight w:val="none"/>
              </w:rPr>
            </w:pPr>
            <w:r>
              <w:rPr>
                <w:rFonts w:hint="eastAsia" w:cs="仿宋_GB2312"/>
                <w:b/>
                <w:color w:val="auto"/>
                <w:szCs w:val="24"/>
                <w:highlight w:val="none"/>
              </w:rPr>
              <w:t>序号</w:t>
            </w:r>
          </w:p>
        </w:tc>
        <w:tc>
          <w:tcPr>
            <w:tcW w:w="201" w:type="pct"/>
            <w:shd w:val="clear" w:color="C3BD96" w:themeColor="background2" w:themeShade="BF" w:fill="auto"/>
            <w:vAlign w:val="center"/>
          </w:tcPr>
          <w:p w14:paraId="41F004A5">
            <w:pPr>
              <w:spacing w:line="360" w:lineRule="auto"/>
              <w:ind w:left="-48" w:leftChars="-23" w:right="-65" w:rightChars="-31"/>
              <w:jc w:val="center"/>
              <w:rPr>
                <w:rFonts w:cs="宋体"/>
                <w:b/>
                <w:color w:val="auto"/>
                <w:highlight w:val="none"/>
              </w:rPr>
            </w:pPr>
            <w:r>
              <w:rPr>
                <w:rFonts w:hint="eastAsia" w:cs="宋体"/>
                <w:b/>
                <w:color w:val="auto"/>
                <w:highlight w:val="none"/>
              </w:rPr>
              <w:t>名称</w:t>
            </w:r>
          </w:p>
        </w:tc>
        <w:tc>
          <w:tcPr>
            <w:tcW w:w="380" w:type="pct"/>
            <w:shd w:val="clear" w:color="C3BD96" w:themeColor="background2" w:themeShade="BF" w:fill="auto"/>
            <w:vAlign w:val="center"/>
          </w:tcPr>
          <w:p w14:paraId="56B5E2B5">
            <w:pPr>
              <w:spacing w:line="360" w:lineRule="auto"/>
              <w:ind w:left="-48" w:leftChars="-23" w:right="-65" w:rightChars="-31"/>
              <w:jc w:val="center"/>
              <w:rPr>
                <w:rFonts w:cs="宋体"/>
                <w:b/>
                <w:color w:val="auto"/>
                <w:highlight w:val="none"/>
              </w:rPr>
            </w:pPr>
            <w:r>
              <w:rPr>
                <w:rFonts w:hint="eastAsia"/>
                <w:b/>
                <w:color w:val="auto"/>
                <w:highlight w:val="none"/>
              </w:rPr>
              <w:t>品牌规格型号</w:t>
            </w:r>
          </w:p>
        </w:tc>
        <w:tc>
          <w:tcPr>
            <w:tcW w:w="282" w:type="pct"/>
            <w:tcBorders>
              <w:left w:val="single" w:color="auto" w:sz="4" w:space="0"/>
            </w:tcBorders>
            <w:shd w:val="clear" w:color="C3BD96" w:themeColor="background2" w:themeShade="BF" w:fill="auto"/>
            <w:vAlign w:val="center"/>
          </w:tcPr>
          <w:p w14:paraId="68FAEDED">
            <w:pPr>
              <w:spacing w:line="360" w:lineRule="auto"/>
              <w:ind w:left="-48" w:leftChars="-23" w:right="-65" w:rightChars="-31"/>
              <w:jc w:val="center"/>
              <w:rPr>
                <w:rFonts w:cs="宋体"/>
                <w:b/>
                <w:color w:val="auto"/>
                <w:highlight w:val="none"/>
              </w:rPr>
            </w:pPr>
            <w:r>
              <w:rPr>
                <w:rFonts w:hint="eastAsia" w:cs="宋体"/>
                <w:b/>
                <w:color w:val="auto"/>
                <w:highlight w:val="none"/>
              </w:rPr>
              <w:t>单位</w:t>
            </w:r>
          </w:p>
        </w:tc>
        <w:tc>
          <w:tcPr>
            <w:tcW w:w="478" w:type="pct"/>
            <w:tcBorders>
              <w:right w:val="single" w:color="auto" w:sz="4" w:space="0"/>
            </w:tcBorders>
            <w:shd w:val="clear" w:color="C3BD96" w:themeColor="background2" w:themeShade="BF" w:fill="auto"/>
            <w:vAlign w:val="center"/>
          </w:tcPr>
          <w:p w14:paraId="4A7D5C6E">
            <w:pPr>
              <w:spacing w:line="360" w:lineRule="auto"/>
              <w:ind w:left="-48" w:leftChars="-23" w:right="-65" w:rightChars="-31"/>
              <w:jc w:val="center"/>
              <w:rPr>
                <w:rFonts w:cs="宋体"/>
                <w:b/>
                <w:color w:val="auto"/>
                <w:highlight w:val="none"/>
              </w:rPr>
            </w:pPr>
            <w:r>
              <w:rPr>
                <w:rFonts w:hint="eastAsia" w:cs="宋体"/>
                <w:b/>
                <w:color w:val="auto"/>
                <w:highlight w:val="none"/>
                <w:lang w:val="en-US" w:eastAsia="zh-CN"/>
              </w:rPr>
              <w:t>报价</w:t>
            </w:r>
            <w:r>
              <w:rPr>
                <w:rFonts w:hint="eastAsia" w:cs="宋体"/>
                <w:b/>
                <w:color w:val="auto"/>
                <w:highlight w:val="none"/>
              </w:rPr>
              <w:t>单价（</w:t>
            </w:r>
            <w:r>
              <w:rPr>
                <w:rFonts w:cs="宋体"/>
                <w:b/>
                <w:color w:val="auto"/>
                <w:highlight w:val="none"/>
              </w:rPr>
              <w:t>元）</w:t>
            </w:r>
          </w:p>
        </w:tc>
        <w:tc>
          <w:tcPr>
            <w:tcW w:w="692" w:type="pct"/>
            <w:shd w:val="clear" w:color="C3BD96" w:themeColor="background2" w:themeShade="BF" w:fill="auto"/>
            <w:vAlign w:val="center"/>
          </w:tcPr>
          <w:p w14:paraId="4810EFDE">
            <w:pPr>
              <w:spacing w:line="360" w:lineRule="auto"/>
              <w:ind w:left="-48" w:leftChars="-23" w:right="-65" w:rightChars="-31"/>
              <w:jc w:val="center"/>
              <w:rPr>
                <w:rFonts w:hint="default" w:eastAsia="宋体" w:cs="宋体"/>
                <w:b/>
                <w:color w:val="auto"/>
                <w:highlight w:val="none"/>
                <w:lang w:val="en-US" w:eastAsia="zh-CN"/>
              </w:rPr>
            </w:pPr>
            <w:r>
              <w:rPr>
                <w:rFonts w:hint="eastAsia" w:cs="宋体"/>
                <w:b/>
                <w:color w:val="auto"/>
                <w:highlight w:val="none"/>
                <w:lang w:val="en-US" w:eastAsia="zh-CN"/>
              </w:rPr>
              <w:t>成本项目</w:t>
            </w:r>
          </w:p>
          <w:p w14:paraId="5AD3EE4D">
            <w:pPr>
              <w:spacing w:line="360" w:lineRule="auto"/>
              <w:ind w:right="-65" w:rightChars="-31"/>
              <w:jc w:val="both"/>
              <w:rPr>
                <w:rFonts w:hint="default" w:cs="宋体"/>
                <w:b/>
                <w:color w:val="auto"/>
                <w:highlight w:val="none"/>
                <w:lang w:val="en-US" w:eastAsia="zh-CN"/>
              </w:rPr>
            </w:pPr>
          </w:p>
        </w:tc>
        <w:tc>
          <w:tcPr>
            <w:tcW w:w="560" w:type="pct"/>
            <w:shd w:val="clear" w:color="C3BD96" w:themeColor="background2" w:themeShade="BF" w:fill="auto"/>
            <w:vAlign w:val="center"/>
          </w:tcPr>
          <w:p w14:paraId="09333A32">
            <w:pPr>
              <w:spacing w:line="360" w:lineRule="auto"/>
              <w:ind w:left="-48" w:leftChars="-23" w:right="-65" w:rightChars="-31"/>
              <w:jc w:val="center"/>
              <w:rPr>
                <w:rFonts w:hint="eastAsia" w:cs="宋体"/>
                <w:b/>
                <w:color w:val="auto"/>
                <w:highlight w:val="none"/>
                <w:lang w:val="en-US" w:eastAsia="zh-CN"/>
              </w:rPr>
            </w:pPr>
            <w:r>
              <w:rPr>
                <w:rFonts w:hint="eastAsia" w:cs="宋体"/>
                <w:b/>
                <w:color w:val="auto"/>
                <w:highlight w:val="none"/>
                <w:lang w:val="en-US" w:eastAsia="zh-CN"/>
              </w:rPr>
              <w:t>具体明细</w:t>
            </w:r>
          </w:p>
          <w:p w14:paraId="7EF200FF">
            <w:pPr>
              <w:spacing w:line="360" w:lineRule="auto"/>
              <w:ind w:left="-48" w:leftChars="-23" w:right="-65" w:rightChars="-31"/>
              <w:jc w:val="center"/>
              <w:rPr>
                <w:rFonts w:hint="eastAsia" w:cs="宋体"/>
                <w:b/>
                <w:color w:val="auto"/>
                <w:highlight w:val="none"/>
                <w:lang w:val="en-US" w:eastAsia="zh-CN"/>
              </w:rPr>
            </w:pPr>
          </w:p>
        </w:tc>
        <w:tc>
          <w:tcPr>
            <w:tcW w:w="511" w:type="pct"/>
            <w:shd w:val="clear" w:color="C3BD96" w:themeColor="background2" w:themeShade="BF" w:fill="auto"/>
            <w:vAlign w:val="center"/>
          </w:tcPr>
          <w:p w14:paraId="68567C70">
            <w:pPr>
              <w:spacing w:line="360" w:lineRule="auto"/>
              <w:ind w:left="-48" w:leftChars="-23" w:right="-65" w:rightChars="-31"/>
              <w:jc w:val="center"/>
              <w:rPr>
                <w:rFonts w:hint="eastAsia" w:cs="宋体"/>
                <w:b/>
                <w:color w:val="auto"/>
                <w:highlight w:val="none"/>
                <w:lang w:val="en-US" w:eastAsia="zh-CN"/>
              </w:rPr>
            </w:pPr>
            <w:r>
              <w:rPr>
                <w:rFonts w:hint="eastAsia" w:cs="宋体"/>
                <w:b/>
                <w:color w:val="auto"/>
                <w:highlight w:val="none"/>
                <w:lang w:val="en-US" w:eastAsia="zh-CN"/>
              </w:rPr>
              <w:t>单位产品用量</w:t>
            </w:r>
          </w:p>
          <w:p w14:paraId="27DC558F">
            <w:pPr>
              <w:spacing w:line="360" w:lineRule="auto"/>
              <w:ind w:left="-48" w:leftChars="-23" w:right="-65" w:rightChars="-31"/>
              <w:jc w:val="center"/>
              <w:rPr>
                <w:rFonts w:hint="eastAsia" w:cs="宋体"/>
                <w:b/>
                <w:color w:val="auto"/>
                <w:highlight w:val="none"/>
                <w:lang w:val="en-US" w:eastAsia="zh-CN"/>
              </w:rPr>
            </w:pPr>
          </w:p>
        </w:tc>
        <w:tc>
          <w:tcPr>
            <w:tcW w:w="606" w:type="pct"/>
            <w:shd w:val="clear" w:color="C3BD96" w:themeColor="background2" w:themeShade="BF" w:fill="auto"/>
            <w:vAlign w:val="center"/>
          </w:tcPr>
          <w:p w14:paraId="5FE0F8B4">
            <w:pPr>
              <w:spacing w:line="360" w:lineRule="auto"/>
              <w:ind w:left="-48" w:leftChars="-23" w:right="-65" w:rightChars="-31"/>
              <w:jc w:val="center"/>
              <w:rPr>
                <w:rFonts w:hint="eastAsia" w:cs="宋体"/>
                <w:b/>
                <w:color w:val="auto"/>
                <w:highlight w:val="none"/>
                <w:lang w:val="en-US" w:eastAsia="zh-CN"/>
              </w:rPr>
            </w:pPr>
            <w:r>
              <w:rPr>
                <w:rFonts w:hint="eastAsia" w:cs="宋体"/>
                <w:b/>
                <w:color w:val="auto"/>
                <w:highlight w:val="none"/>
                <w:lang w:val="en-US" w:eastAsia="zh-CN"/>
              </w:rPr>
              <w:t>单位成本（元）</w:t>
            </w:r>
          </w:p>
        </w:tc>
        <w:tc>
          <w:tcPr>
            <w:tcW w:w="449" w:type="pct"/>
            <w:tcBorders>
              <w:left w:val="single" w:color="auto" w:sz="4" w:space="0"/>
            </w:tcBorders>
            <w:shd w:val="clear" w:color="C3BD96" w:themeColor="background2" w:themeShade="BF" w:fill="auto"/>
            <w:vAlign w:val="center"/>
          </w:tcPr>
          <w:p w14:paraId="2A09A13B">
            <w:pPr>
              <w:spacing w:line="360" w:lineRule="auto"/>
              <w:ind w:left="-48" w:leftChars="-23" w:right="-65" w:rightChars="-31"/>
              <w:jc w:val="center"/>
              <w:rPr>
                <w:rFonts w:cs="宋体"/>
                <w:b/>
                <w:color w:val="auto"/>
                <w:highlight w:val="none"/>
              </w:rPr>
            </w:pPr>
            <w:r>
              <w:rPr>
                <w:rFonts w:hint="eastAsia" w:cs="宋体"/>
                <w:b/>
                <w:color w:val="auto"/>
                <w:highlight w:val="none"/>
              </w:rPr>
              <w:t>成本</w:t>
            </w:r>
            <w:r>
              <w:rPr>
                <w:rFonts w:cs="宋体"/>
                <w:b/>
                <w:color w:val="auto"/>
                <w:highlight w:val="none"/>
              </w:rPr>
              <w:t>合计（元）</w:t>
            </w:r>
          </w:p>
        </w:tc>
        <w:tc>
          <w:tcPr>
            <w:tcW w:w="587" w:type="pct"/>
            <w:tcBorders>
              <w:left w:val="single" w:color="auto" w:sz="4" w:space="0"/>
            </w:tcBorders>
            <w:shd w:val="clear" w:color="C3BD96" w:themeColor="background2" w:themeShade="BF" w:fill="auto"/>
            <w:vAlign w:val="center"/>
          </w:tcPr>
          <w:p w14:paraId="4F7624BA">
            <w:pPr>
              <w:spacing w:line="360" w:lineRule="auto"/>
              <w:ind w:left="-48" w:leftChars="-23" w:right="-65" w:rightChars="-31"/>
              <w:jc w:val="center"/>
              <w:rPr>
                <w:rFonts w:hint="eastAsia" w:cs="宋体"/>
                <w:b/>
                <w:color w:val="auto"/>
                <w:highlight w:val="none"/>
              </w:rPr>
            </w:pPr>
            <w:r>
              <w:rPr>
                <w:rFonts w:hint="eastAsia" w:cs="宋体"/>
                <w:b/>
                <w:color w:val="auto"/>
                <w:highlight w:val="none"/>
                <w:lang w:val="en-US" w:eastAsia="zh-CN"/>
              </w:rPr>
              <w:t>备注（测算依据/证明材料）</w:t>
            </w:r>
          </w:p>
        </w:tc>
      </w:tr>
      <w:tr w14:paraId="137325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restart"/>
            <w:shd w:val="clear" w:color="auto" w:fill="auto"/>
            <w:vAlign w:val="center"/>
          </w:tcPr>
          <w:p w14:paraId="31899164">
            <w:pPr>
              <w:numPr>
                <w:ilvl w:val="0"/>
                <w:numId w:val="2"/>
              </w:numPr>
              <w:tabs>
                <w:tab w:val="left" w:pos="61"/>
              </w:tabs>
              <w:jc w:val="center"/>
              <w:rPr>
                <w:color w:val="auto"/>
                <w:highlight w:val="none"/>
              </w:rPr>
            </w:pPr>
          </w:p>
        </w:tc>
        <w:tc>
          <w:tcPr>
            <w:tcW w:w="201" w:type="pct"/>
            <w:vMerge w:val="restart"/>
            <w:shd w:val="clear" w:color="auto" w:fill="auto"/>
            <w:vAlign w:val="center"/>
          </w:tcPr>
          <w:p w14:paraId="65B757C2">
            <w:pPr>
              <w:tabs>
                <w:tab w:val="left" w:pos="0"/>
                <w:tab w:val="left" w:pos="56"/>
              </w:tabs>
              <w:ind w:left="547" w:hanging="478" w:hangingChars="228"/>
              <w:jc w:val="center"/>
              <w:rPr>
                <w:color w:val="auto"/>
                <w:highlight w:val="none"/>
              </w:rPr>
            </w:pPr>
          </w:p>
        </w:tc>
        <w:tc>
          <w:tcPr>
            <w:tcW w:w="380" w:type="pct"/>
            <w:vMerge w:val="restart"/>
            <w:shd w:val="clear" w:color="auto" w:fill="auto"/>
            <w:vAlign w:val="center"/>
          </w:tcPr>
          <w:p w14:paraId="58C050D9">
            <w:pPr>
              <w:spacing w:line="240" w:lineRule="atLeast"/>
              <w:ind w:left="-48" w:leftChars="-23" w:right="-65" w:rightChars="-31"/>
              <w:jc w:val="left"/>
              <w:rPr>
                <w:rFonts w:cs="宋体"/>
                <w:color w:val="auto"/>
                <w:szCs w:val="24"/>
                <w:highlight w:val="none"/>
              </w:rPr>
            </w:pPr>
          </w:p>
        </w:tc>
        <w:tc>
          <w:tcPr>
            <w:tcW w:w="282" w:type="pct"/>
            <w:vMerge w:val="restart"/>
            <w:tcBorders>
              <w:left w:val="single" w:color="auto" w:sz="4" w:space="0"/>
            </w:tcBorders>
            <w:shd w:val="clear" w:color="auto" w:fill="auto"/>
            <w:vAlign w:val="center"/>
          </w:tcPr>
          <w:p w14:paraId="3B157FD4">
            <w:pPr>
              <w:spacing w:line="240" w:lineRule="atLeast"/>
              <w:ind w:left="-48" w:leftChars="-23" w:right="-65" w:rightChars="-31"/>
              <w:jc w:val="left"/>
              <w:rPr>
                <w:rFonts w:cs="宋体"/>
                <w:color w:val="auto"/>
                <w:szCs w:val="24"/>
                <w:highlight w:val="none"/>
              </w:rPr>
            </w:pPr>
          </w:p>
        </w:tc>
        <w:tc>
          <w:tcPr>
            <w:tcW w:w="478" w:type="pct"/>
            <w:vMerge w:val="restart"/>
            <w:tcBorders>
              <w:left w:val="single" w:color="auto" w:sz="4" w:space="0"/>
              <w:right w:val="single" w:color="auto" w:sz="4" w:space="0"/>
            </w:tcBorders>
            <w:shd w:val="clear" w:color="auto" w:fill="auto"/>
            <w:vAlign w:val="center"/>
          </w:tcPr>
          <w:p w14:paraId="67F6C6EE">
            <w:pPr>
              <w:spacing w:line="240" w:lineRule="atLeast"/>
              <w:ind w:left="-48" w:leftChars="-23" w:right="-65" w:rightChars="-31"/>
              <w:jc w:val="left"/>
              <w:rPr>
                <w:rFonts w:cs="宋体"/>
                <w:color w:val="auto"/>
                <w:szCs w:val="24"/>
                <w:highlight w:val="none"/>
              </w:rPr>
            </w:pPr>
          </w:p>
        </w:tc>
        <w:tc>
          <w:tcPr>
            <w:tcW w:w="692" w:type="pct"/>
            <w:vMerge w:val="restart"/>
            <w:tcBorders>
              <w:left w:val="single" w:color="auto" w:sz="4" w:space="0"/>
              <w:right w:val="single" w:color="auto" w:sz="4" w:space="0"/>
            </w:tcBorders>
            <w:vAlign w:val="center"/>
          </w:tcPr>
          <w:p w14:paraId="4F6F6858">
            <w:pPr>
              <w:spacing w:line="240" w:lineRule="atLeast"/>
              <w:ind w:left="-48" w:leftChars="-23" w:right="-65" w:rightChars="-31"/>
              <w:jc w:val="left"/>
              <w:rPr>
                <w:rFonts w:cs="宋体"/>
                <w:color w:val="auto"/>
                <w:szCs w:val="24"/>
                <w:highlight w:val="none"/>
              </w:rPr>
            </w:pPr>
            <w:r>
              <w:rPr>
                <w:rFonts w:hint="eastAsia" w:cs="宋体"/>
                <w:color w:val="auto"/>
                <w:szCs w:val="24"/>
                <w:highlight w:val="none"/>
              </w:rPr>
              <w:t>原材料成本</w:t>
            </w:r>
          </w:p>
        </w:tc>
        <w:tc>
          <w:tcPr>
            <w:tcW w:w="560" w:type="pct"/>
            <w:tcBorders>
              <w:left w:val="single" w:color="auto" w:sz="4" w:space="0"/>
            </w:tcBorders>
            <w:shd w:val="clear" w:color="auto" w:fill="auto"/>
            <w:vAlign w:val="center"/>
          </w:tcPr>
          <w:p w14:paraId="33003AD0">
            <w:pPr>
              <w:spacing w:line="240" w:lineRule="atLeast"/>
              <w:ind w:left="-48" w:leftChars="-23" w:right="-65" w:rightChars="-31"/>
              <w:jc w:val="left"/>
              <w:rPr>
                <w:rFonts w:cs="宋体"/>
                <w:color w:val="auto"/>
                <w:szCs w:val="24"/>
                <w:highlight w:val="none"/>
              </w:rPr>
            </w:pPr>
            <w:r>
              <w:rPr>
                <w:rFonts w:cs="宋体"/>
                <w:color w:val="auto"/>
                <w:szCs w:val="24"/>
                <w:highlight w:val="none"/>
                <w:lang w:val="en-US" w:eastAsia="zh-CN"/>
              </w:rPr>
              <w:t>原材料1</w:t>
            </w:r>
          </w:p>
        </w:tc>
        <w:tc>
          <w:tcPr>
            <w:tcW w:w="511" w:type="pct"/>
            <w:tcBorders>
              <w:left w:val="single" w:color="auto" w:sz="4" w:space="0"/>
            </w:tcBorders>
            <w:shd w:val="clear" w:color="auto" w:fill="auto"/>
            <w:vAlign w:val="center"/>
          </w:tcPr>
          <w:p w14:paraId="2A7EE56F">
            <w:pPr>
              <w:spacing w:line="240" w:lineRule="atLeast"/>
              <w:ind w:left="-48" w:leftChars="-23" w:right="-65" w:rightChars="-31"/>
              <w:jc w:val="left"/>
              <w:rPr>
                <w:rFonts w:cs="宋体"/>
                <w:color w:val="auto"/>
                <w:szCs w:val="24"/>
                <w:highlight w:val="none"/>
              </w:rPr>
            </w:pPr>
          </w:p>
        </w:tc>
        <w:tc>
          <w:tcPr>
            <w:tcW w:w="606" w:type="pct"/>
            <w:tcBorders>
              <w:left w:val="single" w:color="auto" w:sz="4" w:space="0"/>
            </w:tcBorders>
            <w:shd w:val="clear" w:color="auto" w:fill="auto"/>
            <w:vAlign w:val="center"/>
          </w:tcPr>
          <w:p w14:paraId="00318077">
            <w:pPr>
              <w:spacing w:line="240" w:lineRule="atLeast"/>
              <w:ind w:left="-48" w:leftChars="-23" w:right="-65" w:rightChars="-31"/>
              <w:jc w:val="left"/>
              <w:rPr>
                <w:rFonts w:cs="宋体"/>
                <w:color w:val="auto"/>
                <w:szCs w:val="24"/>
                <w:highlight w:val="none"/>
              </w:rPr>
            </w:pPr>
          </w:p>
        </w:tc>
        <w:tc>
          <w:tcPr>
            <w:tcW w:w="449" w:type="pct"/>
            <w:vMerge w:val="restart"/>
            <w:tcBorders>
              <w:left w:val="single" w:color="auto" w:sz="4" w:space="0"/>
            </w:tcBorders>
            <w:shd w:val="clear" w:color="auto" w:fill="auto"/>
            <w:vAlign w:val="center"/>
          </w:tcPr>
          <w:p w14:paraId="17873F2F">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71C7FD89">
            <w:pPr>
              <w:spacing w:line="240" w:lineRule="atLeast"/>
              <w:ind w:left="-48" w:leftChars="-23" w:right="-65" w:rightChars="-31"/>
              <w:jc w:val="left"/>
              <w:rPr>
                <w:rFonts w:cs="宋体"/>
                <w:color w:val="auto"/>
                <w:szCs w:val="24"/>
                <w:highlight w:val="none"/>
              </w:rPr>
            </w:pPr>
          </w:p>
        </w:tc>
      </w:tr>
      <w:tr w14:paraId="700507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7DA847D1">
            <w:pPr>
              <w:numPr>
                <w:ilvl w:val="0"/>
                <w:numId w:val="2"/>
              </w:numPr>
              <w:tabs>
                <w:tab w:val="left" w:pos="61"/>
              </w:tabs>
              <w:jc w:val="center"/>
              <w:rPr>
                <w:color w:val="auto"/>
                <w:highlight w:val="none"/>
              </w:rPr>
            </w:pPr>
          </w:p>
        </w:tc>
        <w:tc>
          <w:tcPr>
            <w:tcW w:w="201" w:type="pct"/>
            <w:vMerge w:val="continue"/>
            <w:shd w:val="clear" w:color="auto" w:fill="auto"/>
            <w:vAlign w:val="center"/>
          </w:tcPr>
          <w:p w14:paraId="462E3DFC">
            <w:pPr>
              <w:tabs>
                <w:tab w:val="left" w:pos="0"/>
                <w:tab w:val="left" w:pos="56"/>
              </w:tabs>
              <w:ind w:left="547" w:hanging="478" w:hangingChars="228"/>
              <w:jc w:val="center"/>
              <w:rPr>
                <w:color w:val="auto"/>
                <w:highlight w:val="none"/>
              </w:rPr>
            </w:pPr>
          </w:p>
        </w:tc>
        <w:tc>
          <w:tcPr>
            <w:tcW w:w="380" w:type="pct"/>
            <w:vMerge w:val="continue"/>
            <w:shd w:val="clear" w:color="auto" w:fill="auto"/>
            <w:vAlign w:val="center"/>
          </w:tcPr>
          <w:p w14:paraId="2E160B9A">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shd w:val="clear" w:color="auto" w:fill="auto"/>
            <w:vAlign w:val="center"/>
          </w:tcPr>
          <w:p w14:paraId="38DF83C2">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731170B0">
            <w:pPr>
              <w:spacing w:line="240" w:lineRule="atLeast"/>
              <w:ind w:left="-48" w:leftChars="-23" w:right="-65" w:rightChars="-31"/>
              <w:jc w:val="left"/>
              <w:rPr>
                <w:rFonts w:cs="宋体"/>
                <w:color w:val="auto"/>
                <w:szCs w:val="24"/>
                <w:highlight w:val="none"/>
              </w:rPr>
            </w:pPr>
          </w:p>
        </w:tc>
        <w:tc>
          <w:tcPr>
            <w:tcW w:w="692" w:type="pct"/>
            <w:vMerge w:val="continue"/>
            <w:tcBorders>
              <w:left w:val="single" w:color="auto" w:sz="4" w:space="0"/>
              <w:right w:val="single" w:color="auto" w:sz="4" w:space="0"/>
            </w:tcBorders>
            <w:vAlign w:val="center"/>
          </w:tcPr>
          <w:p w14:paraId="1F910922">
            <w:pPr>
              <w:spacing w:line="240" w:lineRule="atLeast"/>
              <w:ind w:left="-48" w:leftChars="-23" w:right="-65" w:rightChars="-31"/>
              <w:jc w:val="left"/>
              <w:rPr>
                <w:rFonts w:hint="eastAsia" w:cs="宋体"/>
                <w:color w:val="auto"/>
                <w:szCs w:val="24"/>
                <w:highlight w:val="none"/>
              </w:rPr>
            </w:pPr>
          </w:p>
        </w:tc>
        <w:tc>
          <w:tcPr>
            <w:tcW w:w="560" w:type="pct"/>
            <w:tcBorders>
              <w:left w:val="single" w:color="auto" w:sz="4" w:space="0"/>
            </w:tcBorders>
            <w:shd w:val="clear" w:color="auto" w:fill="auto"/>
            <w:vAlign w:val="center"/>
          </w:tcPr>
          <w:p w14:paraId="26F1672B">
            <w:pPr>
              <w:spacing w:line="240" w:lineRule="atLeast"/>
              <w:ind w:left="-48" w:leftChars="-23" w:right="-65" w:rightChars="-31"/>
              <w:jc w:val="left"/>
              <w:rPr>
                <w:rFonts w:hint="default" w:eastAsia="宋体" w:cs="宋体"/>
                <w:color w:val="auto"/>
                <w:szCs w:val="24"/>
                <w:highlight w:val="none"/>
                <w:lang w:val="en-US" w:eastAsia="zh-CN"/>
              </w:rPr>
            </w:pPr>
            <w:r>
              <w:rPr>
                <w:rFonts w:hint="eastAsia" w:cs="宋体"/>
                <w:color w:val="auto"/>
                <w:szCs w:val="24"/>
                <w:highlight w:val="none"/>
                <w:lang w:val="en-US" w:eastAsia="zh-CN"/>
              </w:rPr>
              <w:t>...</w:t>
            </w:r>
          </w:p>
        </w:tc>
        <w:tc>
          <w:tcPr>
            <w:tcW w:w="511" w:type="pct"/>
            <w:tcBorders>
              <w:left w:val="single" w:color="auto" w:sz="4" w:space="0"/>
            </w:tcBorders>
            <w:shd w:val="clear" w:color="auto" w:fill="auto"/>
            <w:vAlign w:val="center"/>
          </w:tcPr>
          <w:p w14:paraId="539CD006">
            <w:pPr>
              <w:spacing w:line="240" w:lineRule="atLeast"/>
              <w:ind w:left="-48" w:leftChars="-23" w:right="-65" w:rightChars="-31"/>
              <w:jc w:val="left"/>
              <w:rPr>
                <w:rFonts w:cs="宋体"/>
                <w:color w:val="auto"/>
                <w:szCs w:val="24"/>
                <w:highlight w:val="none"/>
              </w:rPr>
            </w:pPr>
          </w:p>
        </w:tc>
        <w:tc>
          <w:tcPr>
            <w:tcW w:w="606" w:type="pct"/>
            <w:tcBorders>
              <w:left w:val="single" w:color="auto" w:sz="4" w:space="0"/>
            </w:tcBorders>
            <w:shd w:val="clear" w:color="auto" w:fill="auto"/>
            <w:vAlign w:val="center"/>
          </w:tcPr>
          <w:p w14:paraId="0960E9F9">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shd w:val="clear" w:color="auto" w:fill="auto"/>
            <w:vAlign w:val="center"/>
          </w:tcPr>
          <w:p w14:paraId="4AF14547">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580CE386">
            <w:pPr>
              <w:spacing w:line="240" w:lineRule="atLeast"/>
              <w:ind w:left="-48" w:leftChars="-23" w:right="-65" w:rightChars="-31"/>
              <w:jc w:val="left"/>
              <w:rPr>
                <w:rFonts w:cs="宋体"/>
                <w:color w:val="auto"/>
                <w:szCs w:val="24"/>
                <w:highlight w:val="none"/>
              </w:rPr>
            </w:pPr>
          </w:p>
        </w:tc>
      </w:tr>
      <w:tr w14:paraId="78B1BE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047A0B9B">
            <w:pPr>
              <w:tabs>
                <w:tab w:val="left" w:pos="61"/>
              </w:tabs>
              <w:jc w:val="center"/>
              <w:rPr>
                <w:color w:val="auto"/>
                <w:highlight w:val="none"/>
              </w:rPr>
            </w:pPr>
          </w:p>
        </w:tc>
        <w:tc>
          <w:tcPr>
            <w:tcW w:w="201" w:type="pct"/>
            <w:vMerge w:val="continue"/>
            <w:shd w:val="clear" w:color="auto" w:fill="auto"/>
            <w:vAlign w:val="center"/>
          </w:tcPr>
          <w:p w14:paraId="5EEB1F4F">
            <w:pPr>
              <w:tabs>
                <w:tab w:val="left" w:pos="0"/>
                <w:tab w:val="left" w:pos="56"/>
              </w:tabs>
              <w:ind w:left="547" w:hanging="478" w:hangingChars="228"/>
              <w:jc w:val="center"/>
              <w:rPr>
                <w:color w:val="auto"/>
                <w:highlight w:val="none"/>
              </w:rPr>
            </w:pPr>
          </w:p>
        </w:tc>
        <w:tc>
          <w:tcPr>
            <w:tcW w:w="380" w:type="pct"/>
            <w:vMerge w:val="continue"/>
            <w:shd w:val="clear" w:color="auto" w:fill="auto"/>
            <w:vAlign w:val="center"/>
          </w:tcPr>
          <w:p w14:paraId="185BAC6B">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shd w:val="clear" w:color="auto" w:fill="auto"/>
            <w:vAlign w:val="center"/>
          </w:tcPr>
          <w:p w14:paraId="5F37CA61">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28855F02">
            <w:pPr>
              <w:spacing w:line="240" w:lineRule="atLeast"/>
              <w:ind w:left="-48" w:leftChars="-23" w:right="-65" w:rightChars="-31"/>
              <w:jc w:val="left"/>
              <w:rPr>
                <w:rFonts w:cs="宋体"/>
                <w:color w:val="auto"/>
                <w:szCs w:val="24"/>
                <w:highlight w:val="none"/>
              </w:rPr>
            </w:pPr>
          </w:p>
        </w:tc>
        <w:tc>
          <w:tcPr>
            <w:tcW w:w="692" w:type="pct"/>
            <w:vMerge w:val="restart"/>
            <w:tcBorders>
              <w:left w:val="single" w:color="auto" w:sz="4" w:space="0"/>
              <w:right w:val="single" w:color="auto" w:sz="4" w:space="0"/>
            </w:tcBorders>
            <w:vAlign w:val="center"/>
          </w:tcPr>
          <w:p w14:paraId="4FD27713">
            <w:pPr>
              <w:spacing w:line="240" w:lineRule="atLeast"/>
              <w:ind w:left="-48" w:leftChars="-23" w:right="-65" w:rightChars="-31"/>
              <w:jc w:val="left"/>
              <w:rPr>
                <w:rFonts w:cs="宋体"/>
                <w:color w:val="auto"/>
                <w:szCs w:val="24"/>
                <w:highlight w:val="none"/>
              </w:rPr>
            </w:pPr>
            <w:r>
              <w:rPr>
                <w:rFonts w:hint="eastAsia" w:cs="宋体"/>
                <w:color w:val="auto"/>
                <w:szCs w:val="24"/>
                <w:highlight w:val="none"/>
              </w:rPr>
              <w:t>人工成本</w:t>
            </w:r>
          </w:p>
        </w:tc>
        <w:tc>
          <w:tcPr>
            <w:tcW w:w="560" w:type="pct"/>
            <w:tcBorders>
              <w:left w:val="single" w:color="auto" w:sz="4" w:space="0"/>
            </w:tcBorders>
            <w:shd w:val="clear" w:color="auto" w:fill="auto"/>
            <w:vAlign w:val="center"/>
          </w:tcPr>
          <w:p w14:paraId="3880182C">
            <w:pPr>
              <w:spacing w:line="240" w:lineRule="atLeast"/>
              <w:ind w:left="-48" w:leftChars="-23" w:right="-65" w:rightChars="-31"/>
              <w:jc w:val="left"/>
              <w:rPr>
                <w:rFonts w:cs="宋体"/>
                <w:color w:val="auto"/>
                <w:szCs w:val="24"/>
                <w:highlight w:val="none"/>
              </w:rPr>
            </w:pPr>
            <w:r>
              <w:rPr>
                <w:rFonts w:cs="宋体"/>
                <w:color w:val="auto"/>
                <w:szCs w:val="24"/>
                <w:highlight w:val="none"/>
                <w:lang w:val="en-US" w:eastAsia="zh-CN"/>
              </w:rPr>
              <w:t>生产工人工资</w:t>
            </w:r>
          </w:p>
        </w:tc>
        <w:tc>
          <w:tcPr>
            <w:tcW w:w="511" w:type="pct"/>
            <w:tcBorders>
              <w:left w:val="single" w:color="auto" w:sz="4" w:space="0"/>
            </w:tcBorders>
            <w:shd w:val="clear" w:color="auto" w:fill="auto"/>
            <w:vAlign w:val="center"/>
          </w:tcPr>
          <w:p w14:paraId="3FC90750">
            <w:pPr>
              <w:spacing w:line="240" w:lineRule="atLeast"/>
              <w:ind w:left="-48" w:leftChars="-23" w:right="-65" w:rightChars="-31"/>
              <w:jc w:val="left"/>
              <w:rPr>
                <w:rFonts w:cs="宋体"/>
                <w:color w:val="auto"/>
                <w:szCs w:val="24"/>
                <w:highlight w:val="none"/>
              </w:rPr>
            </w:pPr>
          </w:p>
        </w:tc>
        <w:tc>
          <w:tcPr>
            <w:tcW w:w="606" w:type="pct"/>
            <w:tcBorders>
              <w:left w:val="single" w:color="auto" w:sz="4" w:space="0"/>
            </w:tcBorders>
            <w:shd w:val="clear" w:color="auto" w:fill="auto"/>
            <w:vAlign w:val="center"/>
          </w:tcPr>
          <w:p w14:paraId="6A222EF7">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shd w:val="clear" w:color="auto" w:fill="auto"/>
            <w:vAlign w:val="center"/>
          </w:tcPr>
          <w:p w14:paraId="2CB39DE6">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55657EF1">
            <w:pPr>
              <w:spacing w:line="240" w:lineRule="atLeast"/>
              <w:ind w:left="-48" w:leftChars="-23" w:right="-65" w:rightChars="-31"/>
              <w:jc w:val="left"/>
              <w:rPr>
                <w:rFonts w:cs="宋体"/>
                <w:color w:val="auto"/>
                <w:szCs w:val="24"/>
                <w:highlight w:val="none"/>
              </w:rPr>
            </w:pPr>
          </w:p>
        </w:tc>
      </w:tr>
      <w:tr w14:paraId="3DA39A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6C5D4CED">
            <w:pPr>
              <w:tabs>
                <w:tab w:val="left" w:pos="61"/>
              </w:tabs>
              <w:jc w:val="center"/>
              <w:rPr>
                <w:color w:val="auto"/>
                <w:highlight w:val="none"/>
              </w:rPr>
            </w:pPr>
          </w:p>
        </w:tc>
        <w:tc>
          <w:tcPr>
            <w:tcW w:w="201" w:type="pct"/>
            <w:vMerge w:val="continue"/>
            <w:shd w:val="clear" w:color="auto" w:fill="auto"/>
            <w:vAlign w:val="center"/>
          </w:tcPr>
          <w:p w14:paraId="25F98AE1">
            <w:pPr>
              <w:tabs>
                <w:tab w:val="left" w:pos="0"/>
                <w:tab w:val="left" w:pos="56"/>
              </w:tabs>
              <w:ind w:left="547" w:hanging="478" w:hangingChars="228"/>
              <w:jc w:val="center"/>
              <w:rPr>
                <w:color w:val="auto"/>
                <w:highlight w:val="none"/>
              </w:rPr>
            </w:pPr>
          </w:p>
        </w:tc>
        <w:tc>
          <w:tcPr>
            <w:tcW w:w="380" w:type="pct"/>
            <w:vMerge w:val="continue"/>
            <w:shd w:val="clear" w:color="auto" w:fill="auto"/>
            <w:vAlign w:val="center"/>
          </w:tcPr>
          <w:p w14:paraId="71F08945">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shd w:val="clear" w:color="auto" w:fill="auto"/>
            <w:vAlign w:val="center"/>
          </w:tcPr>
          <w:p w14:paraId="6A7BEF54">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6DE32178">
            <w:pPr>
              <w:spacing w:line="240" w:lineRule="atLeast"/>
              <w:ind w:left="-48" w:leftChars="-23" w:right="-65" w:rightChars="-31"/>
              <w:jc w:val="left"/>
              <w:rPr>
                <w:rFonts w:cs="宋体"/>
                <w:color w:val="auto"/>
                <w:szCs w:val="24"/>
                <w:highlight w:val="none"/>
              </w:rPr>
            </w:pPr>
          </w:p>
        </w:tc>
        <w:tc>
          <w:tcPr>
            <w:tcW w:w="692" w:type="pct"/>
            <w:vMerge w:val="continue"/>
            <w:tcBorders>
              <w:left w:val="single" w:color="auto" w:sz="4" w:space="0"/>
              <w:right w:val="single" w:color="auto" w:sz="4" w:space="0"/>
            </w:tcBorders>
            <w:vAlign w:val="center"/>
          </w:tcPr>
          <w:p w14:paraId="74A0A741">
            <w:pPr>
              <w:spacing w:line="240" w:lineRule="atLeast"/>
              <w:ind w:left="-48" w:leftChars="-23" w:right="-65" w:rightChars="-31"/>
              <w:jc w:val="left"/>
              <w:rPr>
                <w:rFonts w:hint="eastAsia" w:cs="宋体"/>
                <w:color w:val="auto"/>
                <w:szCs w:val="24"/>
                <w:highlight w:val="none"/>
              </w:rPr>
            </w:pPr>
          </w:p>
        </w:tc>
        <w:tc>
          <w:tcPr>
            <w:tcW w:w="560" w:type="pct"/>
            <w:tcBorders>
              <w:left w:val="single" w:color="auto" w:sz="4" w:space="0"/>
            </w:tcBorders>
            <w:shd w:val="clear" w:color="auto" w:fill="auto"/>
            <w:vAlign w:val="center"/>
          </w:tcPr>
          <w:p w14:paraId="7C7461BE">
            <w:pPr>
              <w:spacing w:line="240" w:lineRule="atLeast"/>
              <w:ind w:left="-48" w:leftChars="-23" w:right="-65" w:rightChars="-31"/>
              <w:jc w:val="left"/>
              <w:rPr>
                <w:rFonts w:hint="default" w:eastAsia="宋体" w:cs="宋体"/>
                <w:color w:val="auto"/>
                <w:szCs w:val="24"/>
                <w:highlight w:val="none"/>
                <w:lang w:val="en-US" w:eastAsia="zh-CN"/>
              </w:rPr>
            </w:pPr>
            <w:r>
              <w:rPr>
                <w:rFonts w:hint="eastAsia" w:cs="宋体"/>
                <w:color w:val="auto"/>
                <w:szCs w:val="24"/>
                <w:highlight w:val="none"/>
                <w:lang w:val="en-US" w:eastAsia="zh-CN"/>
              </w:rPr>
              <w:t>....</w:t>
            </w:r>
          </w:p>
        </w:tc>
        <w:tc>
          <w:tcPr>
            <w:tcW w:w="511" w:type="pct"/>
            <w:tcBorders>
              <w:left w:val="single" w:color="auto" w:sz="4" w:space="0"/>
            </w:tcBorders>
            <w:shd w:val="clear" w:color="auto" w:fill="auto"/>
            <w:vAlign w:val="center"/>
          </w:tcPr>
          <w:p w14:paraId="22BA3532">
            <w:pPr>
              <w:spacing w:line="240" w:lineRule="atLeast"/>
              <w:ind w:left="-48" w:leftChars="-23" w:right="-65" w:rightChars="-31"/>
              <w:jc w:val="left"/>
              <w:rPr>
                <w:rFonts w:cs="宋体"/>
                <w:color w:val="auto"/>
                <w:szCs w:val="24"/>
                <w:highlight w:val="none"/>
              </w:rPr>
            </w:pPr>
          </w:p>
        </w:tc>
        <w:tc>
          <w:tcPr>
            <w:tcW w:w="606" w:type="pct"/>
            <w:tcBorders>
              <w:left w:val="single" w:color="auto" w:sz="4" w:space="0"/>
            </w:tcBorders>
            <w:shd w:val="clear" w:color="auto" w:fill="auto"/>
            <w:vAlign w:val="center"/>
          </w:tcPr>
          <w:p w14:paraId="7735E1B2">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shd w:val="clear" w:color="auto" w:fill="auto"/>
            <w:vAlign w:val="center"/>
          </w:tcPr>
          <w:p w14:paraId="261E1BF4">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421563FB">
            <w:pPr>
              <w:spacing w:line="240" w:lineRule="atLeast"/>
              <w:ind w:left="-48" w:leftChars="-23" w:right="-65" w:rightChars="-31"/>
              <w:jc w:val="left"/>
              <w:rPr>
                <w:rFonts w:cs="宋体"/>
                <w:color w:val="auto"/>
                <w:szCs w:val="24"/>
                <w:highlight w:val="none"/>
              </w:rPr>
            </w:pPr>
          </w:p>
        </w:tc>
      </w:tr>
      <w:tr w14:paraId="25FAD3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605F5DD7">
            <w:pPr>
              <w:tabs>
                <w:tab w:val="left" w:pos="61"/>
              </w:tabs>
              <w:jc w:val="center"/>
              <w:rPr>
                <w:color w:val="auto"/>
                <w:highlight w:val="none"/>
              </w:rPr>
            </w:pPr>
          </w:p>
        </w:tc>
        <w:tc>
          <w:tcPr>
            <w:tcW w:w="201" w:type="pct"/>
            <w:vMerge w:val="continue"/>
            <w:shd w:val="clear" w:color="auto" w:fill="auto"/>
            <w:vAlign w:val="center"/>
          </w:tcPr>
          <w:p w14:paraId="49146DB7">
            <w:pPr>
              <w:tabs>
                <w:tab w:val="left" w:pos="0"/>
                <w:tab w:val="left" w:pos="56"/>
              </w:tabs>
              <w:ind w:left="547" w:hanging="478" w:hangingChars="228"/>
              <w:jc w:val="center"/>
              <w:rPr>
                <w:color w:val="auto"/>
                <w:highlight w:val="none"/>
              </w:rPr>
            </w:pPr>
          </w:p>
        </w:tc>
        <w:tc>
          <w:tcPr>
            <w:tcW w:w="380" w:type="pct"/>
            <w:vMerge w:val="continue"/>
            <w:shd w:val="clear" w:color="auto" w:fill="auto"/>
            <w:vAlign w:val="center"/>
          </w:tcPr>
          <w:p w14:paraId="23B4217D">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shd w:val="clear" w:color="auto" w:fill="auto"/>
            <w:vAlign w:val="center"/>
          </w:tcPr>
          <w:p w14:paraId="5F08DA06">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75B959EE">
            <w:pPr>
              <w:spacing w:line="240" w:lineRule="atLeast"/>
              <w:ind w:left="-48" w:leftChars="-23" w:right="-65" w:rightChars="-31"/>
              <w:jc w:val="left"/>
              <w:rPr>
                <w:rFonts w:cs="宋体"/>
                <w:color w:val="auto"/>
                <w:szCs w:val="24"/>
                <w:highlight w:val="none"/>
              </w:rPr>
            </w:pPr>
          </w:p>
        </w:tc>
        <w:tc>
          <w:tcPr>
            <w:tcW w:w="692" w:type="pct"/>
            <w:vMerge w:val="restart"/>
            <w:tcBorders>
              <w:left w:val="single" w:color="auto" w:sz="4" w:space="0"/>
              <w:right w:val="single" w:color="auto" w:sz="4" w:space="0"/>
            </w:tcBorders>
            <w:vAlign w:val="center"/>
          </w:tcPr>
          <w:p w14:paraId="6C2F56BC">
            <w:pPr>
              <w:spacing w:line="240" w:lineRule="atLeast"/>
              <w:ind w:left="-48" w:leftChars="-23" w:right="-65" w:rightChars="-31"/>
              <w:jc w:val="left"/>
              <w:rPr>
                <w:rFonts w:hint="eastAsia" w:cs="宋体"/>
                <w:color w:val="auto"/>
                <w:szCs w:val="24"/>
                <w:highlight w:val="none"/>
              </w:rPr>
            </w:pPr>
            <w:r>
              <w:rPr>
                <w:rFonts w:hint="eastAsia" w:cs="宋体"/>
                <w:color w:val="auto"/>
                <w:szCs w:val="24"/>
                <w:highlight w:val="none"/>
              </w:rPr>
              <w:t>制造费用</w:t>
            </w:r>
          </w:p>
        </w:tc>
        <w:tc>
          <w:tcPr>
            <w:tcW w:w="560" w:type="pct"/>
            <w:tcBorders>
              <w:left w:val="single" w:color="auto" w:sz="4" w:space="0"/>
            </w:tcBorders>
            <w:shd w:val="clear" w:color="auto" w:fill="auto"/>
            <w:vAlign w:val="center"/>
          </w:tcPr>
          <w:p w14:paraId="615956BA">
            <w:pPr>
              <w:spacing w:line="240" w:lineRule="atLeast"/>
              <w:ind w:left="-48" w:leftChars="-23" w:right="-65" w:rightChars="-31"/>
              <w:jc w:val="left"/>
              <w:rPr>
                <w:rFonts w:cs="宋体"/>
                <w:color w:val="auto"/>
                <w:szCs w:val="24"/>
                <w:highlight w:val="none"/>
              </w:rPr>
            </w:pPr>
            <w:r>
              <w:rPr>
                <w:rFonts w:cs="宋体"/>
                <w:color w:val="auto"/>
                <w:szCs w:val="24"/>
                <w:highlight w:val="none"/>
                <w:lang w:val="en-US" w:eastAsia="zh-CN"/>
              </w:rPr>
              <w:t>设备折旧费</w:t>
            </w:r>
          </w:p>
        </w:tc>
        <w:tc>
          <w:tcPr>
            <w:tcW w:w="511" w:type="pct"/>
            <w:tcBorders>
              <w:left w:val="single" w:color="auto" w:sz="4" w:space="0"/>
            </w:tcBorders>
            <w:shd w:val="clear" w:color="auto" w:fill="auto"/>
            <w:vAlign w:val="center"/>
          </w:tcPr>
          <w:p w14:paraId="03C89923">
            <w:pPr>
              <w:spacing w:line="240" w:lineRule="atLeast"/>
              <w:ind w:left="-48" w:leftChars="-23" w:right="-65" w:rightChars="-31"/>
              <w:jc w:val="left"/>
              <w:rPr>
                <w:rFonts w:hint="eastAsia" w:eastAsia="宋体" w:cs="宋体"/>
                <w:color w:val="auto"/>
                <w:szCs w:val="24"/>
                <w:highlight w:val="none"/>
                <w:lang w:val="en-US" w:eastAsia="zh-CN"/>
              </w:rPr>
            </w:pPr>
          </w:p>
        </w:tc>
        <w:tc>
          <w:tcPr>
            <w:tcW w:w="606" w:type="pct"/>
            <w:tcBorders>
              <w:left w:val="single" w:color="auto" w:sz="4" w:space="0"/>
            </w:tcBorders>
            <w:shd w:val="clear" w:color="auto" w:fill="auto"/>
            <w:vAlign w:val="center"/>
          </w:tcPr>
          <w:p w14:paraId="38F9C2E1">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shd w:val="clear" w:color="auto" w:fill="auto"/>
            <w:vAlign w:val="center"/>
          </w:tcPr>
          <w:p w14:paraId="2D67D214">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412E883A">
            <w:pPr>
              <w:spacing w:line="240" w:lineRule="atLeast"/>
              <w:ind w:left="-48" w:leftChars="-23" w:right="-65" w:rightChars="-31"/>
              <w:jc w:val="left"/>
              <w:rPr>
                <w:rFonts w:cs="宋体"/>
                <w:color w:val="auto"/>
                <w:szCs w:val="24"/>
                <w:highlight w:val="none"/>
              </w:rPr>
            </w:pPr>
          </w:p>
        </w:tc>
      </w:tr>
      <w:tr w14:paraId="67AFEB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078DF2BD">
            <w:pPr>
              <w:tabs>
                <w:tab w:val="left" w:pos="61"/>
              </w:tabs>
              <w:jc w:val="center"/>
              <w:rPr>
                <w:color w:val="auto"/>
                <w:highlight w:val="none"/>
              </w:rPr>
            </w:pPr>
          </w:p>
        </w:tc>
        <w:tc>
          <w:tcPr>
            <w:tcW w:w="201" w:type="pct"/>
            <w:vMerge w:val="continue"/>
            <w:shd w:val="clear" w:color="auto" w:fill="auto"/>
            <w:vAlign w:val="center"/>
          </w:tcPr>
          <w:p w14:paraId="1D439CE3">
            <w:pPr>
              <w:tabs>
                <w:tab w:val="left" w:pos="0"/>
                <w:tab w:val="left" w:pos="56"/>
              </w:tabs>
              <w:ind w:left="547" w:hanging="478" w:hangingChars="228"/>
              <w:jc w:val="center"/>
              <w:rPr>
                <w:color w:val="auto"/>
                <w:highlight w:val="none"/>
              </w:rPr>
            </w:pPr>
          </w:p>
        </w:tc>
        <w:tc>
          <w:tcPr>
            <w:tcW w:w="380" w:type="pct"/>
            <w:vMerge w:val="continue"/>
            <w:shd w:val="clear" w:color="auto" w:fill="auto"/>
            <w:vAlign w:val="center"/>
          </w:tcPr>
          <w:p w14:paraId="71BFE9FA">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shd w:val="clear" w:color="auto" w:fill="auto"/>
            <w:vAlign w:val="center"/>
          </w:tcPr>
          <w:p w14:paraId="56D75B0E">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2FB42261">
            <w:pPr>
              <w:spacing w:line="240" w:lineRule="atLeast"/>
              <w:ind w:left="-48" w:leftChars="-23" w:right="-65" w:rightChars="-31"/>
              <w:jc w:val="left"/>
              <w:rPr>
                <w:rFonts w:cs="宋体"/>
                <w:color w:val="auto"/>
                <w:szCs w:val="24"/>
                <w:highlight w:val="none"/>
              </w:rPr>
            </w:pPr>
          </w:p>
        </w:tc>
        <w:tc>
          <w:tcPr>
            <w:tcW w:w="692" w:type="pct"/>
            <w:vMerge w:val="continue"/>
            <w:tcBorders>
              <w:left w:val="single" w:color="auto" w:sz="4" w:space="0"/>
              <w:right w:val="single" w:color="auto" w:sz="4" w:space="0"/>
            </w:tcBorders>
            <w:vAlign w:val="center"/>
          </w:tcPr>
          <w:p w14:paraId="236288DA">
            <w:pPr>
              <w:spacing w:line="240" w:lineRule="atLeast"/>
              <w:ind w:left="-48" w:leftChars="-23" w:right="-65" w:rightChars="-31"/>
              <w:jc w:val="left"/>
              <w:rPr>
                <w:rFonts w:hint="eastAsia" w:cs="宋体"/>
                <w:color w:val="auto"/>
                <w:szCs w:val="24"/>
                <w:highlight w:val="none"/>
              </w:rPr>
            </w:pPr>
          </w:p>
        </w:tc>
        <w:tc>
          <w:tcPr>
            <w:tcW w:w="560" w:type="pct"/>
            <w:tcBorders>
              <w:left w:val="single" w:color="auto" w:sz="4" w:space="0"/>
            </w:tcBorders>
            <w:shd w:val="clear" w:color="auto" w:fill="auto"/>
            <w:vAlign w:val="center"/>
          </w:tcPr>
          <w:p w14:paraId="53B24EE4">
            <w:pPr>
              <w:spacing w:line="240" w:lineRule="atLeast"/>
              <w:ind w:left="-48" w:leftChars="-23" w:right="-65" w:rightChars="-31"/>
              <w:jc w:val="left"/>
              <w:rPr>
                <w:rFonts w:hint="default" w:eastAsia="宋体" w:cs="宋体"/>
                <w:color w:val="auto"/>
                <w:szCs w:val="24"/>
                <w:highlight w:val="none"/>
                <w:lang w:val="en-US" w:eastAsia="zh-CN"/>
              </w:rPr>
            </w:pPr>
            <w:r>
              <w:rPr>
                <w:rFonts w:hint="eastAsia" w:cs="宋体"/>
                <w:color w:val="auto"/>
                <w:szCs w:val="24"/>
                <w:highlight w:val="none"/>
                <w:lang w:val="en-US" w:eastAsia="zh-CN"/>
              </w:rPr>
              <w:t>...</w:t>
            </w:r>
          </w:p>
        </w:tc>
        <w:tc>
          <w:tcPr>
            <w:tcW w:w="511" w:type="pct"/>
            <w:tcBorders>
              <w:left w:val="single" w:color="auto" w:sz="4" w:space="0"/>
            </w:tcBorders>
            <w:shd w:val="clear" w:color="auto" w:fill="auto"/>
            <w:vAlign w:val="center"/>
          </w:tcPr>
          <w:p w14:paraId="2C7EE97E">
            <w:pPr>
              <w:spacing w:line="240" w:lineRule="atLeast"/>
              <w:ind w:left="-48" w:leftChars="-23" w:right="-65" w:rightChars="-31"/>
              <w:jc w:val="left"/>
              <w:rPr>
                <w:rFonts w:hint="eastAsia" w:eastAsia="宋体" w:cs="宋体"/>
                <w:color w:val="auto"/>
                <w:szCs w:val="24"/>
                <w:highlight w:val="none"/>
                <w:lang w:val="en-US" w:eastAsia="zh-CN"/>
              </w:rPr>
            </w:pPr>
          </w:p>
        </w:tc>
        <w:tc>
          <w:tcPr>
            <w:tcW w:w="606" w:type="pct"/>
            <w:tcBorders>
              <w:left w:val="single" w:color="auto" w:sz="4" w:space="0"/>
            </w:tcBorders>
            <w:shd w:val="clear" w:color="auto" w:fill="auto"/>
            <w:vAlign w:val="center"/>
          </w:tcPr>
          <w:p w14:paraId="7D55CCBC">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shd w:val="clear" w:color="auto" w:fill="auto"/>
            <w:vAlign w:val="center"/>
          </w:tcPr>
          <w:p w14:paraId="4A3183CF">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689037C1">
            <w:pPr>
              <w:spacing w:line="240" w:lineRule="atLeast"/>
              <w:ind w:left="-48" w:leftChars="-23" w:right="-65" w:rightChars="-31"/>
              <w:jc w:val="left"/>
              <w:rPr>
                <w:rFonts w:cs="宋体"/>
                <w:color w:val="auto"/>
                <w:szCs w:val="24"/>
                <w:highlight w:val="none"/>
              </w:rPr>
            </w:pPr>
          </w:p>
        </w:tc>
      </w:tr>
      <w:tr w14:paraId="291B38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5818CE3A">
            <w:pPr>
              <w:tabs>
                <w:tab w:val="left" w:pos="61"/>
              </w:tabs>
              <w:jc w:val="center"/>
              <w:rPr>
                <w:color w:val="auto"/>
                <w:highlight w:val="none"/>
              </w:rPr>
            </w:pPr>
          </w:p>
        </w:tc>
        <w:tc>
          <w:tcPr>
            <w:tcW w:w="201" w:type="pct"/>
            <w:vMerge w:val="continue"/>
            <w:shd w:val="clear" w:color="auto" w:fill="auto"/>
            <w:vAlign w:val="center"/>
          </w:tcPr>
          <w:p w14:paraId="5530FE59">
            <w:pPr>
              <w:tabs>
                <w:tab w:val="left" w:pos="0"/>
                <w:tab w:val="left" w:pos="56"/>
              </w:tabs>
              <w:ind w:left="547" w:hanging="478" w:hangingChars="228"/>
              <w:jc w:val="center"/>
              <w:rPr>
                <w:color w:val="auto"/>
                <w:highlight w:val="none"/>
              </w:rPr>
            </w:pPr>
          </w:p>
        </w:tc>
        <w:tc>
          <w:tcPr>
            <w:tcW w:w="380" w:type="pct"/>
            <w:vMerge w:val="continue"/>
            <w:shd w:val="clear" w:color="auto" w:fill="auto"/>
            <w:vAlign w:val="center"/>
          </w:tcPr>
          <w:p w14:paraId="68A909D4">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shd w:val="clear" w:color="auto" w:fill="auto"/>
            <w:vAlign w:val="center"/>
          </w:tcPr>
          <w:p w14:paraId="3B997D96">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0915F4C3">
            <w:pPr>
              <w:spacing w:line="240" w:lineRule="atLeast"/>
              <w:ind w:left="-48" w:leftChars="-23" w:right="-65" w:rightChars="-31"/>
              <w:jc w:val="left"/>
              <w:rPr>
                <w:rFonts w:cs="宋体"/>
                <w:color w:val="auto"/>
                <w:szCs w:val="24"/>
                <w:highlight w:val="none"/>
              </w:rPr>
            </w:pPr>
          </w:p>
        </w:tc>
        <w:tc>
          <w:tcPr>
            <w:tcW w:w="692" w:type="pct"/>
            <w:tcBorders>
              <w:left w:val="single" w:color="auto" w:sz="4" w:space="0"/>
              <w:right w:val="single" w:color="auto" w:sz="4" w:space="0"/>
            </w:tcBorders>
            <w:vAlign w:val="center"/>
          </w:tcPr>
          <w:p w14:paraId="55B3EF5C">
            <w:pPr>
              <w:spacing w:line="240" w:lineRule="atLeast"/>
              <w:ind w:left="-48" w:leftChars="-23" w:right="-65" w:rightChars="-31"/>
              <w:jc w:val="left"/>
              <w:rPr>
                <w:rFonts w:hint="default" w:eastAsia="宋体" w:cs="宋体"/>
                <w:color w:val="auto"/>
                <w:szCs w:val="24"/>
                <w:highlight w:val="none"/>
                <w:lang w:val="en-US" w:eastAsia="zh-CN"/>
              </w:rPr>
            </w:pPr>
            <w:r>
              <w:rPr>
                <w:rFonts w:hint="eastAsia" w:cs="宋体"/>
                <w:color w:val="auto"/>
                <w:szCs w:val="24"/>
                <w:highlight w:val="none"/>
                <w:lang w:val="en-US" w:eastAsia="zh-CN"/>
              </w:rPr>
              <w:t>其他成本</w:t>
            </w:r>
          </w:p>
        </w:tc>
        <w:tc>
          <w:tcPr>
            <w:tcW w:w="560" w:type="pct"/>
            <w:tcBorders>
              <w:left w:val="single" w:color="auto" w:sz="4" w:space="0"/>
            </w:tcBorders>
            <w:shd w:val="clear" w:color="auto" w:fill="auto"/>
            <w:vAlign w:val="center"/>
          </w:tcPr>
          <w:p w14:paraId="28AD62CC">
            <w:pPr>
              <w:spacing w:line="240" w:lineRule="atLeast"/>
              <w:ind w:left="-48" w:leftChars="-23" w:right="-65" w:rightChars="-31"/>
              <w:jc w:val="left"/>
              <w:rPr>
                <w:rFonts w:hint="eastAsia" w:eastAsia="宋体" w:cs="宋体"/>
                <w:color w:val="auto"/>
                <w:szCs w:val="24"/>
                <w:highlight w:val="none"/>
                <w:lang w:val="en-US" w:eastAsia="zh-CN"/>
              </w:rPr>
            </w:pPr>
          </w:p>
        </w:tc>
        <w:tc>
          <w:tcPr>
            <w:tcW w:w="511" w:type="pct"/>
            <w:tcBorders>
              <w:left w:val="single" w:color="auto" w:sz="4" w:space="0"/>
            </w:tcBorders>
            <w:shd w:val="clear" w:color="auto" w:fill="auto"/>
            <w:vAlign w:val="center"/>
          </w:tcPr>
          <w:p w14:paraId="480F1EE7">
            <w:pPr>
              <w:spacing w:line="240" w:lineRule="atLeast"/>
              <w:ind w:left="-48" w:leftChars="-23" w:right="-65" w:rightChars="-31"/>
              <w:jc w:val="left"/>
              <w:rPr>
                <w:rFonts w:hint="eastAsia" w:eastAsia="宋体" w:cs="宋体"/>
                <w:color w:val="auto"/>
                <w:szCs w:val="24"/>
                <w:highlight w:val="none"/>
                <w:lang w:val="en-US" w:eastAsia="zh-CN"/>
              </w:rPr>
            </w:pPr>
          </w:p>
        </w:tc>
        <w:tc>
          <w:tcPr>
            <w:tcW w:w="606" w:type="pct"/>
            <w:tcBorders>
              <w:left w:val="single" w:color="auto" w:sz="4" w:space="0"/>
            </w:tcBorders>
            <w:shd w:val="clear" w:color="auto" w:fill="auto"/>
            <w:vAlign w:val="center"/>
          </w:tcPr>
          <w:p w14:paraId="1DFF4C39">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shd w:val="clear" w:color="auto" w:fill="auto"/>
            <w:vAlign w:val="center"/>
          </w:tcPr>
          <w:p w14:paraId="593452B9">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1EA1D96E">
            <w:pPr>
              <w:spacing w:line="240" w:lineRule="atLeast"/>
              <w:ind w:left="-48" w:leftChars="-23" w:right="-65" w:rightChars="-31"/>
              <w:jc w:val="left"/>
              <w:rPr>
                <w:rFonts w:cs="宋体"/>
                <w:color w:val="auto"/>
                <w:szCs w:val="24"/>
                <w:highlight w:val="none"/>
              </w:rPr>
            </w:pPr>
          </w:p>
        </w:tc>
      </w:tr>
      <w:tr w14:paraId="3AF8D6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shd w:val="clear" w:color="auto" w:fill="auto"/>
            <w:vAlign w:val="center"/>
          </w:tcPr>
          <w:p w14:paraId="14707BF8">
            <w:pPr>
              <w:tabs>
                <w:tab w:val="left" w:pos="61"/>
              </w:tabs>
              <w:jc w:val="center"/>
              <w:rPr>
                <w:rFonts w:hint="eastAsia" w:eastAsia="宋体"/>
                <w:color w:val="auto"/>
                <w:highlight w:val="none"/>
                <w:lang w:val="en-US" w:eastAsia="zh-CN"/>
              </w:rPr>
            </w:pPr>
            <w:r>
              <w:rPr>
                <w:rFonts w:hint="eastAsia"/>
                <w:color w:val="auto"/>
                <w:highlight w:val="none"/>
                <w:lang w:val="en-US" w:eastAsia="zh-CN"/>
              </w:rPr>
              <w:t>2</w:t>
            </w:r>
          </w:p>
        </w:tc>
        <w:tc>
          <w:tcPr>
            <w:tcW w:w="201" w:type="pct"/>
            <w:shd w:val="clear" w:color="auto" w:fill="auto"/>
            <w:vAlign w:val="center"/>
          </w:tcPr>
          <w:p w14:paraId="2637B63F">
            <w:pPr>
              <w:tabs>
                <w:tab w:val="left" w:pos="0"/>
                <w:tab w:val="left" w:pos="56"/>
              </w:tabs>
              <w:ind w:left="547" w:hanging="478" w:hangingChars="228"/>
              <w:jc w:val="center"/>
              <w:rPr>
                <w:color w:val="auto"/>
                <w:highlight w:val="none"/>
              </w:rPr>
            </w:pPr>
          </w:p>
        </w:tc>
        <w:tc>
          <w:tcPr>
            <w:tcW w:w="380" w:type="pct"/>
            <w:shd w:val="clear" w:color="auto" w:fill="auto"/>
            <w:vAlign w:val="center"/>
          </w:tcPr>
          <w:p w14:paraId="2118CF07">
            <w:pPr>
              <w:spacing w:line="240" w:lineRule="atLeast"/>
              <w:ind w:left="-48" w:leftChars="-23" w:right="-65" w:rightChars="-31"/>
              <w:jc w:val="left"/>
              <w:rPr>
                <w:rFonts w:cs="宋体"/>
                <w:color w:val="auto"/>
                <w:szCs w:val="24"/>
                <w:highlight w:val="none"/>
              </w:rPr>
            </w:pPr>
          </w:p>
        </w:tc>
        <w:tc>
          <w:tcPr>
            <w:tcW w:w="282" w:type="pct"/>
            <w:tcBorders>
              <w:left w:val="single" w:color="auto" w:sz="4" w:space="0"/>
            </w:tcBorders>
            <w:shd w:val="clear" w:color="auto" w:fill="auto"/>
            <w:vAlign w:val="center"/>
          </w:tcPr>
          <w:p w14:paraId="1F00C114">
            <w:pPr>
              <w:spacing w:line="240" w:lineRule="atLeast"/>
              <w:ind w:left="-48" w:leftChars="-23" w:right="-65" w:rightChars="-31"/>
              <w:jc w:val="left"/>
              <w:rPr>
                <w:rFonts w:cs="宋体"/>
                <w:color w:val="auto"/>
                <w:szCs w:val="24"/>
                <w:highlight w:val="none"/>
              </w:rPr>
            </w:pPr>
          </w:p>
        </w:tc>
        <w:tc>
          <w:tcPr>
            <w:tcW w:w="478" w:type="pct"/>
            <w:tcBorders>
              <w:left w:val="single" w:color="auto" w:sz="4" w:space="0"/>
              <w:right w:val="single" w:color="auto" w:sz="4" w:space="0"/>
            </w:tcBorders>
            <w:shd w:val="clear" w:color="auto" w:fill="auto"/>
            <w:vAlign w:val="center"/>
          </w:tcPr>
          <w:p w14:paraId="39DA2191">
            <w:pPr>
              <w:spacing w:line="240" w:lineRule="atLeast"/>
              <w:ind w:left="-48" w:leftChars="-23" w:right="-65" w:rightChars="-31"/>
              <w:jc w:val="left"/>
              <w:rPr>
                <w:rFonts w:cs="宋体"/>
                <w:color w:val="auto"/>
                <w:szCs w:val="24"/>
                <w:highlight w:val="none"/>
              </w:rPr>
            </w:pPr>
          </w:p>
        </w:tc>
        <w:tc>
          <w:tcPr>
            <w:tcW w:w="692" w:type="pct"/>
            <w:tcBorders>
              <w:left w:val="single" w:color="auto" w:sz="4" w:space="0"/>
              <w:right w:val="single" w:color="auto" w:sz="4" w:space="0"/>
            </w:tcBorders>
          </w:tcPr>
          <w:p w14:paraId="65D21A97">
            <w:pPr>
              <w:spacing w:line="240" w:lineRule="atLeast"/>
              <w:ind w:left="-48" w:leftChars="-23" w:right="-65" w:rightChars="-31"/>
              <w:jc w:val="left"/>
              <w:rPr>
                <w:rFonts w:hint="eastAsia" w:cs="宋体"/>
                <w:color w:val="auto"/>
                <w:szCs w:val="24"/>
                <w:highlight w:val="none"/>
              </w:rPr>
            </w:pPr>
          </w:p>
        </w:tc>
        <w:tc>
          <w:tcPr>
            <w:tcW w:w="560" w:type="pct"/>
            <w:tcBorders>
              <w:left w:val="single" w:color="auto" w:sz="4" w:space="0"/>
            </w:tcBorders>
            <w:shd w:val="clear" w:color="auto" w:fill="auto"/>
            <w:vAlign w:val="center"/>
          </w:tcPr>
          <w:p w14:paraId="488B511B">
            <w:pPr>
              <w:spacing w:line="240" w:lineRule="atLeast"/>
              <w:ind w:left="-48" w:leftChars="-23" w:right="-65" w:rightChars="-31"/>
              <w:jc w:val="left"/>
              <w:rPr>
                <w:rFonts w:cs="宋体"/>
                <w:color w:val="auto"/>
                <w:szCs w:val="24"/>
                <w:highlight w:val="none"/>
              </w:rPr>
            </w:pPr>
          </w:p>
        </w:tc>
        <w:tc>
          <w:tcPr>
            <w:tcW w:w="511" w:type="pct"/>
            <w:tcBorders>
              <w:left w:val="single" w:color="auto" w:sz="4" w:space="0"/>
            </w:tcBorders>
            <w:shd w:val="clear" w:color="auto" w:fill="auto"/>
            <w:vAlign w:val="center"/>
          </w:tcPr>
          <w:p w14:paraId="630599EE">
            <w:pPr>
              <w:spacing w:line="240" w:lineRule="atLeast"/>
              <w:ind w:left="-48" w:leftChars="-23" w:right="-65" w:rightChars="-31"/>
              <w:jc w:val="left"/>
              <w:rPr>
                <w:rFonts w:cs="宋体"/>
                <w:color w:val="auto"/>
                <w:szCs w:val="24"/>
                <w:highlight w:val="none"/>
              </w:rPr>
            </w:pPr>
          </w:p>
        </w:tc>
        <w:tc>
          <w:tcPr>
            <w:tcW w:w="606" w:type="pct"/>
            <w:tcBorders>
              <w:left w:val="single" w:color="auto" w:sz="4" w:space="0"/>
            </w:tcBorders>
            <w:shd w:val="clear" w:color="auto" w:fill="auto"/>
            <w:vAlign w:val="center"/>
          </w:tcPr>
          <w:p w14:paraId="2392663E">
            <w:pPr>
              <w:spacing w:line="240" w:lineRule="atLeast"/>
              <w:ind w:left="-48" w:leftChars="-23" w:right="-65" w:rightChars="-31"/>
              <w:jc w:val="left"/>
              <w:rPr>
                <w:rFonts w:cs="宋体"/>
                <w:color w:val="auto"/>
                <w:szCs w:val="24"/>
                <w:highlight w:val="none"/>
              </w:rPr>
            </w:pPr>
          </w:p>
        </w:tc>
        <w:tc>
          <w:tcPr>
            <w:tcW w:w="449" w:type="pct"/>
            <w:tcBorders>
              <w:left w:val="single" w:color="auto" w:sz="4" w:space="0"/>
            </w:tcBorders>
            <w:shd w:val="clear" w:color="auto" w:fill="auto"/>
            <w:vAlign w:val="center"/>
          </w:tcPr>
          <w:p w14:paraId="729BB8DB">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24ACDC09">
            <w:pPr>
              <w:spacing w:line="240" w:lineRule="atLeast"/>
              <w:ind w:left="-48" w:leftChars="-23" w:right="-65" w:rightChars="-31"/>
              <w:jc w:val="left"/>
              <w:rPr>
                <w:rFonts w:cs="宋体"/>
                <w:color w:val="auto"/>
                <w:szCs w:val="24"/>
                <w:highlight w:val="none"/>
              </w:rPr>
            </w:pPr>
          </w:p>
        </w:tc>
      </w:tr>
      <w:tr w14:paraId="645FD7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4" w:hRule="atLeast"/>
          <w:jc w:val="center"/>
        </w:trPr>
        <w:tc>
          <w:tcPr>
            <w:tcW w:w="245" w:type="pct"/>
            <w:tcBorders>
              <w:bottom w:val="single" w:color="auto" w:sz="4" w:space="0"/>
            </w:tcBorders>
            <w:shd w:val="clear" w:color="auto" w:fill="auto"/>
            <w:vAlign w:val="center"/>
          </w:tcPr>
          <w:p w14:paraId="563A9DFF">
            <w:pPr>
              <w:tabs>
                <w:tab w:val="left" w:pos="82"/>
              </w:tabs>
              <w:jc w:val="center"/>
              <w:rPr>
                <w:color w:val="auto"/>
                <w:highlight w:val="none"/>
              </w:rPr>
            </w:pPr>
            <w:r>
              <w:rPr>
                <w:rFonts w:hint="eastAsia"/>
                <w:color w:val="auto"/>
                <w:highlight w:val="none"/>
              </w:rPr>
              <w:t>…</w:t>
            </w:r>
          </w:p>
        </w:tc>
        <w:tc>
          <w:tcPr>
            <w:tcW w:w="201" w:type="pct"/>
            <w:tcBorders>
              <w:bottom w:val="single" w:color="auto" w:sz="4" w:space="0"/>
            </w:tcBorders>
            <w:shd w:val="clear" w:color="auto" w:fill="auto"/>
            <w:vAlign w:val="center"/>
          </w:tcPr>
          <w:p w14:paraId="5E924863">
            <w:pPr>
              <w:spacing w:line="240" w:lineRule="atLeast"/>
              <w:ind w:left="-48" w:leftChars="-23" w:right="-65" w:rightChars="-31"/>
              <w:jc w:val="left"/>
              <w:rPr>
                <w:rFonts w:cs="宋体"/>
                <w:color w:val="auto"/>
                <w:szCs w:val="24"/>
                <w:highlight w:val="none"/>
              </w:rPr>
            </w:pPr>
          </w:p>
        </w:tc>
        <w:tc>
          <w:tcPr>
            <w:tcW w:w="380" w:type="pct"/>
            <w:tcBorders>
              <w:bottom w:val="single" w:color="auto" w:sz="4" w:space="0"/>
            </w:tcBorders>
            <w:shd w:val="clear" w:color="auto" w:fill="auto"/>
            <w:vAlign w:val="center"/>
          </w:tcPr>
          <w:p w14:paraId="7F8C583D">
            <w:pPr>
              <w:spacing w:line="240" w:lineRule="atLeast"/>
              <w:ind w:left="-48" w:leftChars="-23" w:right="-65" w:rightChars="-31"/>
              <w:jc w:val="left"/>
              <w:rPr>
                <w:rFonts w:cs="宋体"/>
                <w:color w:val="auto"/>
                <w:szCs w:val="24"/>
                <w:highlight w:val="none"/>
              </w:rPr>
            </w:pPr>
          </w:p>
        </w:tc>
        <w:tc>
          <w:tcPr>
            <w:tcW w:w="282" w:type="pct"/>
            <w:tcBorders>
              <w:left w:val="single" w:color="auto" w:sz="4" w:space="0"/>
              <w:bottom w:val="single" w:color="auto" w:sz="4" w:space="0"/>
            </w:tcBorders>
            <w:shd w:val="clear" w:color="auto" w:fill="auto"/>
            <w:vAlign w:val="center"/>
          </w:tcPr>
          <w:p w14:paraId="4319768C">
            <w:pPr>
              <w:spacing w:line="240" w:lineRule="atLeast"/>
              <w:ind w:left="-48" w:leftChars="-23" w:right="-65" w:rightChars="-31"/>
              <w:jc w:val="left"/>
              <w:rPr>
                <w:rFonts w:cs="宋体"/>
                <w:color w:val="auto"/>
                <w:szCs w:val="24"/>
                <w:highlight w:val="none"/>
              </w:rPr>
            </w:pPr>
          </w:p>
        </w:tc>
        <w:tc>
          <w:tcPr>
            <w:tcW w:w="478" w:type="pct"/>
            <w:tcBorders>
              <w:left w:val="single" w:color="auto" w:sz="4" w:space="0"/>
              <w:bottom w:val="single" w:color="auto" w:sz="4" w:space="0"/>
              <w:right w:val="single" w:color="auto" w:sz="4" w:space="0"/>
            </w:tcBorders>
            <w:shd w:val="clear" w:color="auto" w:fill="auto"/>
            <w:vAlign w:val="center"/>
          </w:tcPr>
          <w:p w14:paraId="33135464">
            <w:pPr>
              <w:spacing w:line="240" w:lineRule="atLeast"/>
              <w:ind w:left="-48" w:leftChars="-23" w:right="-65" w:rightChars="-31"/>
              <w:jc w:val="left"/>
              <w:rPr>
                <w:rFonts w:cs="宋体"/>
                <w:color w:val="auto"/>
                <w:szCs w:val="24"/>
                <w:highlight w:val="none"/>
              </w:rPr>
            </w:pPr>
          </w:p>
        </w:tc>
        <w:tc>
          <w:tcPr>
            <w:tcW w:w="692" w:type="pct"/>
            <w:tcBorders>
              <w:left w:val="single" w:color="auto" w:sz="4" w:space="0"/>
              <w:bottom w:val="single" w:color="auto" w:sz="4" w:space="0"/>
              <w:right w:val="single" w:color="auto" w:sz="4" w:space="0"/>
            </w:tcBorders>
          </w:tcPr>
          <w:p w14:paraId="57E57687">
            <w:pPr>
              <w:spacing w:line="240" w:lineRule="atLeast"/>
              <w:ind w:left="-48" w:leftChars="-23" w:right="-65" w:rightChars="-31"/>
              <w:jc w:val="left"/>
              <w:rPr>
                <w:rFonts w:cs="宋体"/>
                <w:color w:val="auto"/>
                <w:szCs w:val="24"/>
                <w:highlight w:val="none"/>
              </w:rPr>
            </w:pPr>
          </w:p>
        </w:tc>
        <w:tc>
          <w:tcPr>
            <w:tcW w:w="560" w:type="pct"/>
            <w:tcBorders>
              <w:left w:val="single" w:color="auto" w:sz="4" w:space="0"/>
              <w:bottom w:val="single" w:color="auto" w:sz="4" w:space="0"/>
            </w:tcBorders>
            <w:shd w:val="clear" w:color="auto" w:fill="auto"/>
            <w:vAlign w:val="center"/>
          </w:tcPr>
          <w:p w14:paraId="1B29C270">
            <w:pPr>
              <w:spacing w:line="240" w:lineRule="atLeast"/>
              <w:ind w:left="-48" w:leftChars="-23" w:right="-65" w:rightChars="-31"/>
              <w:jc w:val="left"/>
              <w:rPr>
                <w:rFonts w:cs="宋体"/>
                <w:color w:val="auto"/>
                <w:szCs w:val="24"/>
                <w:highlight w:val="none"/>
              </w:rPr>
            </w:pPr>
          </w:p>
        </w:tc>
        <w:tc>
          <w:tcPr>
            <w:tcW w:w="511" w:type="pct"/>
            <w:tcBorders>
              <w:left w:val="single" w:color="auto" w:sz="4" w:space="0"/>
              <w:bottom w:val="single" w:color="auto" w:sz="4" w:space="0"/>
            </w:tcBorders>
            <w:shd w:val="clear" w:color="auto" w:fill="auto"/>
            <w:vAlign w:val="center"/>
          </w:tcPr>
          <w:p w14:paraId="4EC1DCA5">
            <w:pPr>
              <w:spacing w:line="240" w:lineRule="atLeast"/>
              <w:ind w:left="-48" w:leftChars="-23" w:right="-65" w:rightChars="-31"/>
              <w:jc w:val="left"/>
              <w:rPr>
                <w:rFonts w:cs="宋体"/>
                <w:color w:val="auto"/>
                <w:szCs w:val="24"/>
                <w:highlight w:val="none"/>
              </w:rPr>
            </w:pPr>
          </w:p>
          <w:p w14:paraId="56BF2198">
            <w:pPr>
              <w:rPr>
                <w:color w:val="auto"/>
                <w:highlight w:val="none"/>
              </w:rPr>
            </w:pPr>
          </w:p>
        </w:tc>
        <w:tc>
          <w:tcPr>
            <w:tcW w:w="606" w:type="pct"/>
            <w:tcBorders>
              <w:left w:val="single" w:color="auto" w:sz="4" w:space="0"/>
              <w:bottom w:val="single" w:color="auto" w:sz="4" w:space="0"/>
            </w:tcBorders>
            <w:shd w:val="clear" w:color="auto" w:fill="auto"/>
            <w:vAlign w:val="center"/>
          </w:tcPr>
          <w:p w14:paraId="6DA7B2EB">
            <w:pPr>
              <w:rPr>
                <w:color w:val="auto"/>
                <w:highlight w:val="none"/>
              </w:rPr>
            </w:pPr>
          </w:p>
        </w:tc>
        <w:tc>
          <w:tcPr>
            <w:tcW w:w="449" w:type="pct"/>
            <w:tcBorders>
              <w:left w:val="single" w:color="auto" w:sz="4" w:space="0"/>
              <w:bottom w:val="single" w:color="auto" w:sz="4" w:space="0"/>
            </w:tcBorders>
            <w:shd w:val="clear" w:color="auto" w:fill="auto"/>
            <w:vAlign w:val="center"/>
          </w:tcPr>
          <w:p w14:paraId="0D352044">
            <w:pPr>
              <w:spacing w:line="240" w:lineRule="atLeast"/>
              <w:ind w:left="-48" w:leftChars="-23" w:right="-65" w:rightChars="-31"/>
              <w:jc w:val="left"/>
              <w:rPr>
                <w:rFonts w:cs="宋体"/>
                <w:color w:val="auto"/>
                <w:szCs w:val="24"/>
                <w:highlight w:val="none"/>
              </w:rPr>
            </w:pPr>
          </w:p>
        </w:tc>
        <w:tc>
          <w:tcPr>
            <w:tcW w:w="587" w:type="pct"/>
            <w:tcBorders>
              <w:left w:val="single" w:color="auto" w:sz="4" w:space="0"/>
              <w:bottom w:val="single" w:color="auto" w:sz="4" w:space="0"/>
            </w:tcBorders>
            <w:shd w:val="clear" w:color="auto" w:fill="auto"/>
            <w:vAlign w:val="center"/>
          </w:tcPr>
          <w:p w14:paraId="2EBEC3BF">
            <w:pPr>
              <w:spacing w:line="240" w:lineRule="atLeast"/>
              <w:ind w:left="-48" w:leftChars="-23" w:right="-65" w:rightChars="-31"/>
              <w:jc w:val="left"/>
              <w:rPr>
                <w:rFonts w:cs="宋体"/>
                <w:color w:val="auto"/>
                <w:szCs w:val="24"/>
                <w:highlight w:val="none"/>
              </w:rPr>
            </w:pPr>
          </w:p>
        </w:tc>
      </w:tr>
    </w:tbl>
    <w:p w14:paraId="474E7602">
      <w:pPr>
        <w:spacing w:line="360" w:lineRule="auto"/>
        <w:jc w:val="left"/>
        <w:rPr>
          <w:color w:val="auto"/>
          <w:szCs w:val="21"/>
          <w:highlight w:val="none"/>
        </w:rPr>
      </w:pPr>
    </w:p>
    <w:p w14:paraId="752808A1">
      <w:pPr>
        <w:spacing w:line="360" w:lineRule="auto"/>
        <w:jc w:val="left"/>
        <w:rPr>
          <w:color w:val="auto"/>
          <w:szCs w:val="21"/>
          <w:highlight w:val="none"/>
        </w:rPr>
      </w:pPr>
      <w:r>
        <w:rPr>
          <w:rFonts w:hint="eastAsia"/>
          <w:color w:val="auto"/>
          <w:szCs w:val="21"/>
          <w:highlight w:val="none"/>
          <w:lang w:val="en-US" w:eastAsia="zh-CN"/>
        </w:rPr>
        <w:t>说明：项目具体成本测算等与报价合理性相关的书面说明及必要的证明材料，包括但不限于原材料成本、人工成本、制造费用等</w:t>
      </w:r>
    </w:p>
    <w:p w14:paraId="598510DD">
      <w:pPr>
        <w:spacing w:line="360" w:lineRule="auto"/>
        <w:ind w:firstLine="6090" w:firstLineChars="2900"/>
        <w:jc w:val="left"/>
        <w:rPr>
          <w:color w:val="auto"/>
          <w:szCs w:val="21"/>
          <w:highlight w:val="none"/>
        </w:rPr>
      </w:pPr>
      <w:r>
        <w:rPr>
          <w:color w:val="auto"/>
          <w:szCs w:val="21"/>
          <w:highlight w:val="none"/>
        </w:rPr>
        <w:t>供应商名称（</w:t>
      </w:r>
      <w:r>
        <w:rPr>
          <w:rFonts w:hint="eastAsia"/>
          <w:color w:val="auto"/>
          <w:szCs w:val="21"/>
          <w:highlight w:val="none"/>
        </w:rPr>
        <w:t>电子签章</w:t>
      </w:r>
      <w:r>
        <w:rPr>
          <w:color w:val="auto"/>
          <w:szCs w:val="21"/>
          <w:highlight w:val="none"/>
        </w:rPr>
        <w:t>）：</w:t>
      </w:r>
      <w:r>
        <w:rPr>
          <w:color w:val="auto"/>
          <w:szCs w:val="21"/>
          <w:highlight w:val="none"/>
          <w:u w:val="single"/>
        </w:rPr>
        <w:t xml:space="preserve">                          </w:t>
      </w:r>
    </w:p>
    <w:p w14:paraId="334743E0">
      <w:pPr>
        <w:spacing w:line="360" w:lineRule="auto"/>
        <w:ind w:firstLine="6090" w:firstLineChars="2900"/>
        <w:jc w:val="left"/>
        <w:rPr>
          <w:color w:val="auto"/>
          <w:szCs w:val="21"/>
          <w:highlight w:val="none"/>
        </w:rPr>
        <w:sectPr>
          <w:pgSz w:w="11906" w:h="16838"/>
          <w:pgMar w:top="1418" w:right="1133" w:bottom="1246" w:left="1418" w:header="851" w:footer="992" w:gutter="0"/>
          <w:pgBorders>
            <w:top w:val="none" w:sz="0" w:space="0"/>
            <w:left w:val="none" w:sz="0" w:space="0"/>
            <w:bottom w:val="none" w:sz="0" w:space="0"/>
            <w:right w:val="none" w:sz="0" w:space="0"/>
          </w:pgBorders>
          <w:pgNumType w:fmt="decimal"/>
          <w:cols w:space="720" w:num="1"/>
          <w:docGrid w:linePitch="312" w:charSpace="0"/>
        </w:sectPr>
      </w:pPr>
      <w:r>
        <w:rPr>
          <w:color w:val="auto"/>
          <w:szCs w:val="21"/>
          <w:highlight w:val="none"/>
        </w:rPr>
        <w:t>日  期</w:t>
      </w:r>
      <w:r>
        <w:rPr>
          <w:rFonts w:hint="eastAsia" w:eastAsia="宋体"/>
          <w:color w:val="auto"/>
          <w:szCs w:val="21"/>
          <w:highlight w:val="none"/>
          <w:lang w:eastAsia="zh-CN"/>
        </w:rPr>
        <w:t>：</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 xml:space="preserve">日 </w:t>
      </w:r>
    </w:p>
    <w:p w14:paraId="20FA141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Chars="0" w:right="0" w:rightChars="0"/>
        <w:jc w:val="left"/>
        <w:textAlignment w:val="baseline"/>
        <w:rPr>
          <w:rFonts w:hint="eastAsia"/>
          <w:bCs/>
          <w:color w:val="auto"/>
          <w:sz w:val="24"/>
          <w:highlight w:val="none"/>
        </w:rPr>
      </w:pPr>
      <w:r>
        <w:rPr>
          <w:rFonts w:hint="eastAsia"/>
          <w:bCs/>
          <w:color w:val="auto"/>
          <w:sz w:val="24"/>
          <w:highlight w:val="none"/>
          <w:lang w:val="en-US" w:eastAsia="zh-CN"/>
        </w:rPr>
        <w:t>4.</w:t>
      </w:r>
      <w:r>
        <w:rPr>
          <w:rFonts w:hint="eastAsia"/>
          <w:bCs/>
          <w:color w:val="auto"/>
          <w:sz w:val="24"/>
          <w:highlight w:val="none"/>
        </w:rPr>
        <w:t>符合政府采购政策的证明材料。</w:t>
      </w:r>
    </w:p>
    <w:p w14:paraId="0CFDEAD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Chars="0" w:right="0" w:rightChars="0"/>
        <w:jc w:val="left"/>
        <w:textAlignment w:val="baseline"/>
        <w:rPr>
          <w:rFonts w:ascii="Calibri" w:hAnsi="Calibri" w:eastAsia="宋体" w:cs="Times New Roman"/>
          <w:color w:val="auto"/>
          <w:kern w:val="0"/>
          <w:sz w:val="28"/>
          <w:szCs w:val="28"/>
          <w:highlight w:val="none"/>
          <w:lang w:val="en-US" w:eastAsia="zh-CN" w:bidi="ar"/>
        </w:rPr>
      </w:pPr>
      <w:r>
        <w:rPr>
          <w:rFonts w:hint="eastAsia"/>
          <w:color w:val="auto"/>
          <w:szCs w:val="21"/>
          <w:highlight w:val="none"/>
          <w:lang w:val="en-US" w:eastAsia="zh-CN"/>
        </w:rPr>
        <w:t>4.1</w:t>
      </w:r>
      <w:r>
        <w:rPr>
          <w:rFonts w:hint="eastAsia" w:ascii="Times New Roman" w:eastAsia="宋体"/>
          <w:color w:val="auto"/>
          <w:szCs w:val="21"/>
          <w:highlight w:val="none"/>
          <w:lang w:val="en-US" w:eastAsia="zh-CN"/>
        </w:rPr>
        <w:t xml:space="preserve"> 如供应</w:t>
      </w:r>
      <w:r>
        <w:rPr>
          <w:rFonts w:hint="eastAsia"/>
          <w:color w:val="auto"/>
          <w:szCs w:val="21"/>
          <w:highlight w:val="none"/>
          <w:lang w:val="en-US" w:eastAsia="zh-CN"/>
        </w:rPr>
        <w:t>商</w:t>
      </w:r>
      <w:r>
        <w:rPr>
          <w:rFonts w:hint="eastAsia" w:ascii="Times New Roman" w:eastAsia="宋体"/>
          <w:color w:val="auto"/>
          <w:szCs w:val="21"/>
          <w:highlight w:val="none"/>
          <w:lang w:val="en-US" w:eastAsia="zh-CN"/>
        </w:rPr>
        <w:t>提供的产品属于本国产品</w:t>
      </w:r>
      <w:r>
        <w:rPr>
          <w:rFonts w:hint="eastAsia"/>
          <w:color w:val="auto"/>
          <w:szCs w:val="21"/>
          <w:highlight w:val="none"/>
        </w:rPr>
        <w:t>，按以下格式提供</w:t>
      </w:r>
      <w:r>
        <w:rPr>
          <w:rFonts w:hint="eastAsia" w:ascii="Times New Roman" w:eastAsia="宋体"/>
          <w:color w:val="auto"/>
          <w:szCs w:val="21"/>
          <w:highlight w:val="none"/>
          <w:lang w:val="en-US" w:eastAsia="zh-CN"/>
        </w:rPr>
        <w:t>关于符合本国产品标准的声明函</w:t>
      </w:r>
      <w:r>
        <w:rPr>
          <w:rFonts w:hint="eastAsia"/>
          <w:color w:val="auto"/>
          <w:szCs w:val="21"/>
          <w:highlight w:val="none"/>
        </w:rPr>
        <w:t>。（如本项目适用支持本国产品政策时请填写提供）</w:t>
      </w:r>
    </w:p>
    <w:p w14:paraId="2CE1EE86">
      <w:pPr>
        <w:spacing w:line="360" w:lineRule="auto"/>
        <w:ind w:firstLine="3584" w:firstLineChars="1700"/>
        <w:rPr>
          <w:rFonts w:hint="eastAsia"/>
          <w:b/>
          <w:color w:val="auto"/>
          <w:szCs w:val="21"/>
          <w:highlight w:val="none"/>
          <w:lang w:val="en-US" w:eastAsia="zh-CN"/>
        </w:rPr>
      </w:pPr>
    </w:p>
    <w:p w14:paraId="7803D376">
      <w:pPr>
        <w:spacing w:line="360" w:lineRule="auto"/>
        <w:ind w:firstLine="3584" w:firstLineChars="1700"/>
        <w:rPr>
          <w:rFonts w:hint="eastAsia"/>
          <w:b/>
          <w:color w:val="auto"/>
          <w:szCs w:val="21"/>
          <w:highlight w:val="none"/>
          <w:lang w:val="en-US" w:eastAsia="zh-CN"/>
        </w:rPr>
      </w:pPr>
      <w:r>
        <w:rPr>
          <w:rFonts w:hint="eastAsia" w:ascii="Times New Roman" w:eastAsia="宋体"/>
          <w:b/>
          <w:color w:val="auto"/>
          <w:szCs w:val="21"/>
          <w:highlight w:val="none"/>
          <w:lang w:val="en-US" w:eastAsia="zh-CN"/>
        </w:rPr>
        <w:t>关于符合本国产品标准的声明函</w:t>
      </w:r>
    </w:p>
    <w:p w14:paraId="4F2D21E8">
      <w:pPr>
        <w:spacing w:line="360" w:lineRule="auto"/>
        <w:ind w:firstLine="3584" w:firstLineChars="1700"/>
        <w:rPr>
          <w:rFonts w:hint="eastAsia"/>
          <w:b/>
          <w:color w:val="auto"/>
          <w:szCs w:val="21"/>
          <w:highlight w:val="none"/>
          <w:lang w:val="en-US" w:eastAsia="zh-CN"/>
        </w:rPr>
      </w:pPr>
    </w:p>
    <w:p w14:paraId="3C782392">
      <w:pPr>
        <w:spacing w:line="360" w:lineRule="auto"/>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05CB0A3A">
      <w:pPr>
        <w:spacing w:line="360" w:lineRule="auto"/>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产品名称1）1，生产厂为（厂名）2，厂址为（生产厂址）。（产品名称1）的中国境内生产的组件成本占比≥（规定比例）3。（产品名称1）的（关键组件）4在中国境内生产。（产品名称1）的（关键工序）5在中国境内完成。</w:t>
      </w:r>
    </w:p>
    <w:p w14:paraId="73A45C01">
      <w:pPr>
        <w:spacing w:line="360" w:lineRule="auto"/>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产品名称2），生产厂为（厂名），厂址为（生产厂址）。（产品名称2）的中国境内生产的组件成本占比≥（规定比例）。（产品名称2）的（关键组件）在中国境内生产。（产品名称2）的（关键工序）在中国境内完成。</w:t>
      </w:r>
    </w:p>
    <w:p w14:paraId="2EC160D8">
      <w:pPr>
        <w:spacing w:line="360" w:lineRule="auto"/>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p w14:paraId="06A05857">
      <w:pPr>
        <w:spacing w:line="360" w:lineRule="auto"/>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本公司（单位）对上述声明内容的真实性负责。如有虚假，愿承担相应法律责任。</w:t>
      </w:r>
    </w:p>
    <w:p w14:paraId="1830264C">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left"/>
        <w:textAlignment w:val="baseline"/>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w:t>
      </w:r>
    </w:p>
    <w:p w14:paraId="37060031">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right"/>
        <w:textAlignment w:val="baseline"/>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公司（单位）名称（盖章）：　        </w:t>
      </w:r>
    </w:p>
    <w:p w14:paraId="374C96A5">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right"/>
        <w:textAlignment w:val="baseline"/>
        <w:rPr>
          <w:rFonts w:ascii="Calibri" w:hAnsi="Calibri" w:eastAsia="宋体" w:cs="Times New Roman"/>
          <w:color w:val="auto"/>
          <w:kern w:val="0"/>
          <w:sz w:val="28"/>
          <w:szCs w:val="28"/>
          <w:highlight w:val="none"/>
          <w:lang w:val="en-US" w:eastAsia="zh-CN" w:bidi="ar"/>
        </w:rPr>
      </w:pPr>
      <w:r>
        <w:rPr>
          <w:rFonts w:hint="eastAsia" w:ascii="Times New Roman" w:hAnsi="Times New Roman" w:eastAsia="宋体" w:cs="Times New Roman"/>
          <w:color w:val="auto"/>
          <w:kern w:val="2"/>
          <w:sz w:val="21"/>
          <w:szCs w:val="21"/>
          <w:highlight w:val="none"/>
          <w:lang w:val="en-US" w:eastAsia="zh-CN" w:bidi="ar-SA"/>
        </w:rPr>
        <w:t>日期：　     年　  月　  日  </w:t>
      </w:r>
      <w:r>
        <w:rPr>
          <w:rFonts w:hint="eastAsia" w:ascii="仿宋" w:hAnsi="仿宋" w:eastAsia="仿宋" w:cs="仿宋"/>
          <w:i w:val="0"/>
          <w:iCs w:val="0"/>
          <w:caps w:val="0"/>
          <w:color w:val="auto"/>
          <w:spacing w:val="0"/>
          <w:kern w:val="0"/>
          <w:sz w:val="28"/>
          <w:szCs w:val="28"/>
          <w:highlight w:val="none"/>
          <w:u w:val="none"/>
          <w:shd w:val="clear" w:fill="FFFFFF"/>
          <w:vertAlign w:val="baseline"/>
          <w:lang w:val="en-US" w:eastAsia="zh-CN" w:bidi="ar"/>
        </w:rPr>
        <w:t>       </w:t>
      </w:r>
    </w:p>
    <w:p w14:paraId="08ED4610">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left"/>
        <w:textAlignment w:val="baseline"/>
        <w:rPr>
          <w:rFonts w:ascii="Calibri" w:hAnsi="Calibri" w:eastAsia="宋体" w:cs="Times New Roman"/>
          <w:color w:val="auto"/>
          <w:kern w:val="0"/>
          <w:sz w:val="28"/>
          <w:szCs w:val="28"/>
          <w:highlight w:val="none"/>
          <w:lang w:val="en-US" w:eastAsia="zh-CN" w:bidi="ar"/>
        </w:rPr>
      </w:pPr>
      <w:r>
        <w:rPr>
          <w:rFonts w:hint="eastAsia" w:ascii="仿宋" w:hAnsi="仿宋" w:eastAsia="仿宋" w:cs="仿宋"/>
          <w:i w:val="0"/>
          <w:iCs w:val="0"/>
          <w:caps w:val="0"/>
          <w:color w:val="auto"/>
          <w:spacing w:val="0"/>
          <w:kern w:val="0"/>
          <w:sz w:val="28"/>
          <w:szCs w:val="28"/>
          <w:highlight w:val="none"/>
          <w:u w:val="none"/>
          <w:shd w:val="clear" w:fill="FFFFFF"/>
          <w:vertAlign w:val="baseline"/>
          <w:lang w:val="en-US" w:eastAsia="zh-CN" w:bidi="ar"/>
        </w:rPr>
        <w:t>__________________</w:t>
      </w:r>
    </w:p>
    <w:p w14:paraId="574B59BA">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jc w:val="left"/>
        <w:textAlignment w:val="baseline"/>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1.产品如有型号，请在“产品名称”栏一并填写。</w:t>
      </w:r>
    </w:p>
    <w:p w14:paraId="0A642269">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jc w:val="left"/>
        <w:textAlignment w:val="baseline"/>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2.生产厂名与厂址应与生产厂营业执照载明的相关信息保持一致。</w:t>
      </w:r>
    </w:p>
    <w:p w14:paraId="12B00854">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jc w:val="left"/>
        <w:textAlignment w:val="baseline"/>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3.该产品的中国境内生产的组件成本占比相关要求实施前，“规定比例”栏可不填，下同。</w:t>
      </w:r>
    </w:p>
    <w:p w14:paraId="751C37A5">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jc w:val="left"/>
        <w:textAlignment w:val="baseline"/>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4.该产品的关键组件要求实施前，“关键组件”栏可不填，下同。</w:t>
      </w:r>
    </w:p>
    <w:p w14:paraId="5C314E86">
      <w:pPr>
        <w:snapToGrid w:val="0"/>
        <w:spacing w:before="50" w:after="120" w:afterLines="50"/>
        <w:jc w:val="left"/>
        <w:rPr>
          <w:rFonts w:hint="eastAsia" w:ascii="仿宋" w:hAnsi="仿宋" w:eastAsia="仿宋" w:cs="仿宋"/>
          <w:i w:val="0"/>
          <w:iCs w:val="0"/>
          <w:caps w:val="0"/>
          <w:color w:val="auto"/>
          <w:spacing w:val="0"/>
          <w:kern w:val="0"/>
          <w:sz w:val="21"/>
          <w:szCs w:val="21"/>
          <w:highlight w:val="none"/>
          <w:u w:val="none"/>
          <w:shd w:val="clear" w:fill="FFFFFF"/>
          <w:vertAlign w:val="baseline"/>
          <w:lang w:val="en-US" w:eastAsia="zh-CN" w:bidi="ar"/>
        </w:rPr>
        <w:sectPr>
          <w:headerReference r:id="rId22" w:type="default"/>
          <w:pgSz w:w="11906" w:h="16838"/>
          <w:pgMar w:top="1418" w:right="1274" w:bottom="1418" w:left="1418" w:header="851" w:footer="992" w:gutter="0"/>
          <w:cols w:space="720" w:num="1"/>
          <w:docGrid w:linePitch="312" w:charSpace="0"/>
        </w:sectPr>
      </w:pPr>
      <w:r>
        <w:rPr>
          <w:rFonts w:hint="eastAsia" w:ascii="Times New Roman" w:hAnsi="Times New Roman" w:eastAsia="宋体" w:cs="Times New Roman"/>
          <w:color w:val="auto"/>
          <w:kern w:val="2"/>
          <w:sz w:val="21"/>
          <w:szCs w:val="21"/>
          <w:highlight w:val="none"/>
          <w:lang w:val="en-US" w:eastAsia="zh-CN" w:bidi="ar-SA"/>
        </w:rPr>
        <w:t>5.该产品的关键工序要求实施前，“关键工序”栏可不填，下同</w:t>
      </w:r>
      <w:r>
        <w:rPr>
          <w:rFonts w:hint="eastAsia" w:ascii="仿宋" w:hAnsi="仿宋" w:eastAsia="仿宋" w:cs="仿宋"/>
          <w:i w:val="0"/>
          <w:iCs w:val="0"/>
          <w:caps w:val="0"/>
          <w:color w:val="auto"/>
          <w:spacing w:val="0"/>
          <w:kern w:val="0"/>
          <w:sz w:val="21"/>
          <w:szCs w:val="21"/>
          <w:highlight w:val="none"/>
          <w:u w:val="none"/>
          <w:shd w:val="clear" w:fill="FFFFFF"/>
          <w:vertAlign w:val="baseline"/>
          <w:lang w:val="en-US" w:eastAsia="zh-CN" w:bidi="ar"/>
        </w:rPr>
        <w:t>。</w:t>
      </w:r>
    </w:p>
    <w:p w14:paraId="5A4EB8CB">
      <w:pPr>
        <w:pStyle w:val="20"/>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w:t>
      </w:r>
      <w:r>
        <w:rPr>
          <w:rFonts w:hint="eastAsia" w:cs="Times New Roman"/>
          <w:color w:val="auto"/>
          <w:kern w:val="2"/>
          <w:sz w:val="21"/>
          <w:szCs w:val="21"/>
          <w:highlight w:val="none"/>
          <w:lang w:val="en-US" w:eastAsia="zh-CN" w:bidi="ar-SA"/>
        </w:rPr>
        <w:t>.2</w:t>
      </w:r>
      <w:r>
        <w:rPr>
          <w:rFonts w:hint="eastAsia" w:ascii="Times New Roman" w:hAnsi="Times New Roman" w:eastAsia="宋体" w:cs="Times New Roman"/>
          <w:color w:val="auto"/>
          <w:kern w:val="2"/>
          <w:sz w:val="21"/>
          <w:szCs w:val="21"/>
          <w:highlight w:val="none"/>
          <w:lang w:val="en-US" w:eastAsia="zh-CN" w:bidi="ar-SA"/>
        </w:rPr>
        <w:t>关于符合本国产品标准</w:t>
      </w:r>
      <w:r>
        <w:rPr>
          <w:rFonts w:hint="eastAsia" w:cs="Times New Roman"/>
          <w:color w:val="auto"/>
          <w:kern w:val="2"/>
          <w:sz w:val="21"/>
          <w:szCs w:val="21"/>
          <w:highlight w:val="none"/>
          <w:lang w:val="en-US" w:eastAsia="zh-CN" w:bidi="ar-SA"/>
        </w:rPr>
        <w:t>的</w:t>
      </w:r>
      <w:r>
        <w:rPr>
          <w:rFonts w:hint="eastAsia" w:ascii="Times New Roman" w:hAnsi="Times New Roman" w:eastAsia="宋体" w:cs="Times New Roman"/>
          <w:color w:val="auto"/>
          <w:kern w:val="2"/>
          <w:sz w:val="21"/>
          <w:szCs w:val="21"/>
          <w:highlight w:val="none"/>
          <w:lang w:val="en-US" w:eastAsia="zh-CN" w:bidi="ar-SA"/>
        </w:rPr>
        <w:t>成本占比承诺函</w:t>
      </w:r>
      <w:r>
        <w:rPr>
          <w:rFonts w:hint="eastAsia" w:cs="Times New Roman"/>
          <w:color w:val="auto"/>
          <w:kern w:val="2"/>
          <w:sz w:val="21"/>
          <w:szCs w:val="21"/>
          <w:highlight w:val="none"/>
          <w:lang w:val="en-US" w:eastAsia="zh-CN" w:bidi="ar-SA"/>
        </w:rPr>
        <w:t>（单一产品采购不填写此函，多产品采购项目或采购包如供应商所有产品均为本国产品且填写《关于符合本国产品标准的声明函》可不填写此函。格式内容仅供参考））</w:t>
      </w:r>
    </w:p>
    <w:p w14:paraId="4DBECBB4">
      <w:pPr>
        <w:pStyle w:val="20"/>
        <w:rPr>
          <w:rFonts w:hint="eastAsia"/>
          <w:color w:val="auto"/>
          <w:highlight w:val="none"/>
          <w:lang w:val="en-US" w:eastAsia="zh-CN"/>
        </w:rPr>
      </w:pPr>
    </w:p>
    <w:p w14:paraId="07462E48">
      <w:pPr>
        <w:pStyle w:val="20"/>
        <w:jc w:val="center"/>
        <w:rPr>
          <w:rFonts w:hint="default" w:ascii="Times New Roman" w:hAnsi="Times New Roman" w:eastAsia="宋体" w:cs="Times New Roman"/>
          <w:b/>
          <w:color w:val="auto"/>
          <w:kern w:val="2"/>
          <w:sz w:val="21"/>
          <w:szCs w:val="21"/>
          <w:highlight w:val="none"/>
          <w:lang w:val="en-US" w:eastAsia="zh-CN" w:bidi="ar-SA"/>
        </w:rPr>
      </w:pPr>
      <w:r>
        <w:rPr>
          <w:rFonts w:hint="default" w:ascii="Times New Roman" w:hAnsi="Times New Roman" w:eastAsia="宋体" w:cs="Times New Roman"/>
          <w:b/>
          <w:color w:val="auto"/>
          <w:kern w:val="2"/>
          <w:sz w:val="21"/>
          <w:szCs w:val="21"/>
          <w:highlight w:val="none"/>
          <w:lang w:val="en-US" w:eastAsia="zh-CN" w:bidi="ar-SA"/>
        </w:rPr>
        <w:t>关于符合本国产品标准</w:t>
      </w:r>
      <w:r>
        <w:rPr>
          <w:rFonts w:hint="eastAsia" w:cs="Times New Roman"/>
          <w:b/>
          <w:color w:val="auto"/>
          <w:kern w:val="2"/>
          <w:sz w:val="21"/>
          <w:szCs w:val="21"/>
          <w:highlight w:val="none"/>
          <w:lang w:val="en-US" w:eastAsia="zh-CN" w:bidi="ar-SA"/>
        </w:rPr>
        <w:t>的</w:t>
      </w:r>
      <w:r>
        <w:rPr>
          <w:rFonts w:hint="default" w:ascii="Times New Roman" w:hAnsi="Times New Roman" w:eastAsia="宋体" w:cs="Times New Roman"/>
          <w:b/>
          <w:color w:val="auto"/>
          <w:kern w:val="2"/>
          <w:sz w:val="21"/>
          <w:szCs w:val="21"/>
          <w:highlight w:val="none"/>
          <w:lang w:val="en-US" w:eastAsia="zh-CN" w:bidi="ar-SA"/>
        </w:rPr>
        <w:t>成本占比承诺函</w:t>
      </w:r>
    </w:p>
    <w:p w14:paraId="583A1432">
      <w:pPr>
        <w:pStyle w:val="20"/>
        <w:rPr>
          <w:rFonts w:hint="default"/>
          <w:color w:val="auto"/>
          <w:highlight w:val="none"/>
          <w:lang w:val="en-US" w:eastAsia="zh-CN"/>
        </w:rPr>
      </w:pPr>
    </w:p>
    <w:p w14:paraId="227934DB">
      <w:pPr>
        <w:pStyle w:val="20"/>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致：[采购人/采购代理机构名称]</w:t>
      </w:r>
    </w:p>
    <w:p w14:paraId="766AA0F7">
      <w:pPr>
        <w:pStyle w:val="20"/>
        <w:rPr>
          <w:rFonts w:hint="default" w:ascii="Times New Roman" w:hAnsi="Times New Roman" w:eastAsia="宋体" w:cs="Times New Roman"/>
          <w:color w:val="auto"/>
          <w:kern w:val="2"/>
          <w:sz w:val="21"/>
          <w:szCs w:val="21"/>
          <w:highlight w:val="none"/>
          <w:lang w:val="en-US" w:eastAsia="zh-CN" w:bidi="ar-SA"/>
        </w:rPr>
      </w:pPr>
    </w:p>
    <w:p w14:paraId="00A24161">
      <w:pPr>
        <w:pStyle w:val="20"/>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本单位就参与[项目名称、编号]项目，郑重承诺如下：</w:t>
      </w:r>
    </w:p>
    <w:p w14:paraId="2A4322C7">
      <w:pPr>
        <w:pStyle w:val="20"/>
        <w:rPr>
          <w:rFonts w:hint="default" w:ascii="Times New Roman" w:hAnsi="Times New Roman" w:eastAsia="宋体" w:cs="Times New Roman"/>
          <w:color w:val="auto"/>
          <w:kern w:val="2"/>
          <w:sz w:val="21"/>
          <w:szCs w:val="21"/>
          <w:highlight w:val="none"/>
          <w:lang w:val="en-US" w:eastAsia="zh-CN" w:bidi="ar-SA"/>
        </w:rPr>
      </w:pPr>
    </w:p>
    <w:p w14:paraId="0B371757">
      <w:pPr>
        <w:pStyle w:val="20"/>
        <w:ind w:firstLine="420" w:firstLineChars="200"/>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本单位为该项目（或采购包）提供的符合本国产品标准的产品成本之和，占所提供全部产品成本之和的比例达到80%以上。本公司（单位）对上述承诺内容的真实性负责。如有虚假，愿承担相应法律责任。</w:t>
      </w:r>
    </w:p>
    <w:p w14:paraId="61534E99">
      <w:pPr>
        <w:pStyle w:val="20"/>
        <w:rPr>
          <w:rFonts w:hint="default" w:ascii="Times New Roman" w:hAnsi="Times New Roman" w:eastAsia="宋体" w:cs="Times New Roman"/>
          <w:color w:val="auto"/>
          <w:kern w:val="2"/>
          <w:sz w:val="21"/>
          <w:szCs w:val="21"/>
          <w:highlight w:val="none"/>
          <w:lang w:val="en-US" w:eastAsia="zh-CN" w:bidi="ar-SA"/>
        </w:rPr>
      </w:pPr>
    </w:p>
    <w:p w14:paraId="662757B4">
      <w:pPr>
        <w:pStyle w:val="20"/>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 xml:space="preserve"> </w:t>
      </w:r>
    </w:p>
    <w:p w14:paraId="45B0236C">
      <w:pPr>
        <w:pStyle w:val="20"/>
        <w:rPr>
          <w:rFonts w:hint="default" w:ascii="Times New Roman" w:hAnsi="Times New Roman" w:eastAsia="宋体" w:cs="Times New Roman"/>
          <w:color w:val="auto"/>
          <w:kern w:val="2"/>
          <w:sz w:val="21"/>
          <w:szCs w:val="21"/>
          <w:highlight w:val="none"/>
          <w:lang w:val="en-US" w:eastAsia="zh-CN" w:bidi="ar-SA"/>
        </w:rPr>
      </w:pPr>
    </w:p>
    <w:p w14:paraId="5CF24B52">
      <w:pPr>
        <w:pStyle w:val="20"/>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 xml:space="preserve"> </w:t>
      </w:r>
    </w:p>
    <w:p w14:paraId="5A5979F3">
      <w:pPr>
        <w:pStyle w:val="20"/>
        <w:rPr>
          <w:rFonts w:hint="default" w:ascii="Times New Roman" w:hAnsi="Times New Roman" w:eastAsia="宋体" w:cs="Times New Roman"/>
          <w:color w:val="auto"/>
          <w:kern w:val="2"/>
          <w:sz w:val="21"/>
          <w:szCs w:val="21"/>
          <w:highlight w:val="none"/>
          <w:lang w:val="en-US" w:eastAsia="zh-CN" w:bidi="ar-SA"/>
        </w:rPr>
      </w:pPr>
    </w:p>
    <w:p w14:paraId="6E906B7B">
      <w:pPr>
        <w:pStyle w:val="20"/>
        <w:jc w:val="right"/>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供应商名称（盖章）：　        </w:t>
      </w:r>
    </w:p>
    <w:p w14:paraId="48FA5DBA">
      <w:pPr>
        <w:pStyle w:val="20"/>
        <w:jc w:val="right"/>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日期：　     年　  月　  日 </w:t>
      </w:r>
    </w:p>
    <w:p w14:paraId="562B897E">
      <w:pP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br w:type="page"/>
      </w:r>
    </w:p>
    <w:p w14:paraId="7C91238C">
      <w:pPr>
        <w:rPr>
          <w:color w:val="auto"/>
          <w:szCs w:val="21"/>
          <w:highlight w:val="none"/>
        </w:rPr>
      </w:pPr>
      <w:r>
        <w:rPr>
          <w:rFonts w:hint="eastAsia"/>
          <w:color w:val="auto"/>
          <w:szCs w:val="21"/>
          <w:highlight w:val="none"/>
          <w:lang w:val="en-US" w:eastAsia="zh-CN"/>
        </w:rPr>
        <w:t>4.3</w:t>
      </w:r>
      <w:r>
        <w:rPr>
          <w:rFonts w:hint="eastAsia"/>
          <w:bCs/>
          <w:color w:val="auto"/>
          <w:szCs w:val="21"/>
          <w:highlight w:val="none"/>
        </w:rPr>
        <w:t>中小企业声明函</w:t>
      </w:r>
      <w:r>
        <w:rPr>
          <w:color w:val="auto"/>
          <w:szCs w:val="21"/>
          <w:highlight w:val="none"/>
        </w:rPr>
        <w:t>。</w:t>
      </w:r>
    </w:p>
    <w:p w14:paraId="7E44DDFC">
      <w:pPr>
        <w:spacing w:line="360" w:lineRule="auto"/>
        <w:ind w:firstLine="3584" w:firstLineChars="1700"/>
        <w:rPr>
          <w:b/>
          <w:color w:val="auto"/>
          <w:szCs w:val="21"/>
          <w:highlight w:val="none"/>
        </w:rPr>
      </w:pPr>
    </w:p>
    <w:p w14:paraId="6B79273C">
      <w:pPr>
        <w:spacing w:line="360" w:lineRule="auto"/>
        <w:ind w:firstLine="3584" w:firstLineChars="1700"/>
        <w:rPr>
          <w:b/>
          <w:color w:val="auto"/>
          <w:szCs w:val="21"/>
          <w:highlight w:val="none"/>
        </w:rPr>
      </w:pPr>
      <w:r>
        <w:rPr>
          <w:rFonts w:hint="eastAsia"/>
          <w:b/>
          <w:color w:val="auto"/>
          <w:szCs w:val="21"/>
          <w:highlight w:val="none"/>
        </w:rPr>
        <w:t>中小企业声明函（服务）</w:t>
      </w:r>
    </w:p>
    <w:p w14:paraId="77BE7293">
      <w:pPr>
        <w:spacing w:line="360" w:lineRule="auto"/>
        <w:ind w:firstLine="420"/>
        <w:rPr>
          <w:bCs/>
          <w:color w:val="auto"/>
          <w:szCs w:val="21"/>
          <w:highlight w:val="none"/>
        </w:rPr>
      </w:pPr>
      <w:r>
        <w:rPr>
          <w:rFonts w:hint="eastAsia"/>
          <w:bCs/>
          <w:color w:val="auto"/>
          <w:szCs w:val="21"/>
          <w:highlight w:val="none"/>
        </w:rPr>
        <w:t>本公司（联合体）郑重声明，根据《政府采购促进中小企业发展管理办法》（财库﹝2020﹞46 号）的规定，本公司（联合体）参加</w:t>
      </w:r>
      <w:r>
        <w:rPr>
          <w:rFonts w:hint="eastAsia"/>
          <w:bCs/>
          <w:color w:val="auto"/>
          <w:szCs w:val="21"/>
          <w:highlight w:val="none"/>
          <w:u w:val="single"/>
        </w:rPr>
        <w:t>（单位名称）</w:t>
      </w:r>
      <w:r>
        <w:rPr>
          <w:rFonts w:hint="eastAsia"/>
          <w:bCs/>
          <w:color w:val="auto"/>
          <w:szCs w:val="21"/>
          <w:highlight w:val="none"/>
        </w:rPr>
        <w:t>的</w:t>
      </w:r>
      <w:r>
        <w:rPr>
          <w:rFonts w:hint="eastAsia"/>
          <w:bCs/>
          <w:color w:val="auto"/>
          <w:szCs w:val="21"/>
          <w:highlight w:val="none"/>
          <w:u w:val="single"/>
        </w:rPr>
        <w:t>（项目名称）</w:t>
      </w:r>
      <w:r>
        <w:rPr>
          <w:rFonts w:hint="eastAsia"/>
          <w:bCs/>
          <w:color w:val="auto"/>
          <w:szCs w:val="21"/>
          <w:highlight w:val="none"/>
        </w:rPr>
        <w:t>采购活动，服务全部由符合政策要求的中小企业承接。相关企业（含联合体中的中小企业、签订分包意向协议的中小企业） 的具体情况如下：</w:t>
      </w:r>
    </w:p>
    <w:p w14:paraId="4D3FC41C">
      <w:pPr>
        <w:spacing w:line="360" w:lineRule="auto"/>
        <w:ind w:firstLine="420"/>
        <w:rPr>
          <w:bCs/>
          <w:color w:val="auto"/>
          <w:szCs w:val="21"/>
          <w:highlight w:val="none"/>
        </w:rPr>
      </w:pPr>
      <w:r>
        <w:rPr>
          <w:bCs/>
          <w:color w:val="auto"/>
          <w:szCs w:val="21"/>
          <w:highlight w:val="none"/>
        </w:rPr>
        <w:t>1.</w:t>
      </w:r>
      <w:r>
        <w:rPr>
          <w:rFonts w:hint="eastAsia"/>
          <w:bCs/>
          <w:color w:val="auto"/>
          <w:szCs w:val="21"/>
          <w:highlight w:val="none"/>
          <w:u w:val="single"/>
        </w:rPr>
        <w:t>（标的名称）</w:t>
      </w:r>
      <w:r>
        <w:rPr>
          <w:rFonts w:hint="eastAsia"/>
          <w:bCs/>
          <w:color w:val="auto"/>
          <w:szCs w:val="21"/>
          <w:highlight w:val="none"/>
        </w:rPr>
        <w:t>，属于</w:t>
      </w:r>
      <w:r>
        <w:rPr>
          <w:rFonts w:hint="eastAsia"/>
          <w:bCs/>
          <w:color w:val="auto"/>
          <w:szCs w:val="21"/>
          <w:highlight w:val="none"/>
          <w:u w:val="single"/>
        </w:rPr>
        <w:t>（采购文件中明确的所属行业）</w:t>
      </w:r>
      <w:r>
        <w:rPr>
          <w:rFonts w:hint="eastAsia"/>
          <w:bCs/>
          <w:color w:val="auto"/>
          <w:szCs w:val="21"/>
          <w:highlight w:val="none"/>
        </w:rPr>
        <w:t>行业；承接企业为</w:t>
      </w:r>
      <w:r>
        <w:rPr>
          <w:rFonts w:hint="eastAsia"/>
          <w:bCs/>
          <w:color w:val="auto"/>
          <w:szCs w:val="21"/>
          <w:highlight w:val="none"/>
          <w:u w:val="single"/>
        </w:rPr>
        <w:t>（企业名称）</w:t>
      </w:r>
      <w:r>
        <w:rPr>
          <w:rFonts w:hint="eastAsia"/>
          <w:bCs/>
          <w:color w:val="auto"/>
          <w:szCs w:val="21"/>
          <w:highlight w:val="none"/>
        </w:rPr>
        <w:t>，从业人员</w:t>
      </w:r>
      <w:r>
        <w:rPr>
          <w:bCs/>
          <w:color w:val="auto"/>
          <w:szCs w:val="21"/>
          <w:highlight w:val="none"/>
          <w:u w:val="single"/>
        </w:rPr>
        <w:t xml:space="preserve">    </w:t>
      </w:r>
      <w:r>
        <w:rPr>
          <w:rFonts w:hint="eastAsia"/>
          <w:bCs/>
          <w:color w:val="auto"/>
          <w:szCs w:val="21"/>
          <w:highlight w:val="none"/>
        </w:rPr>
        <w:t>人，营业收入为</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rPr>
        <w:t xml:space="preserve"> </w:t>
      </w:r>
      <w:r>
        <w:rPr>
          <w:rFonts w:hint="eastAsia"/>
          <w:bCs/>
          <w:color w:val="auto"/>
          <w:szCs w:val="21"/>
          <w:highlight w:val="none"/>
        </w:rPr>
        <w:t>万元，资产总额为</w:t>
      </w:r>
      <w:r>
        <w:rPr>
          <w:rFonts w:hint="eastAsia"/>
          <w:bCs/>
          <w:color w:val="auto"/>
          <w:szCs w:val="21"/>
          <w:highlight w:val="none"/>
          <w:u w:val="single"/>
        </w:rPr>
        <w:t xml:space="preserve">    </w:t>
      </w:r>
      <w:r>
        <w:rPr>
          <w:rFonts w:hint="eastAsia"/>
          <w:bCs/>
          <w:color w:val="auto"/>
          <w:szCs w:val="21"/>
          <w:highlight w:val="none"/>
        </w:rPr>
        <w:t>万元，属于</w:t>
      </w:r>
      <w:r>
        <w:rPr>
          <w:rFonts w:hint="eastAsia"/>
          <w:bCs/>
          <w:color w:val="auto"/>
          <w:szCs w:val="21"/>
          <w:highlight w:val="none"/>
          <w:u w:val="single"/>
        </w:rPr>
        <w:t>（中型企业、小型企业、微型企业）</w:t>
      </w:r>
      <w:r>
        <w:rPr>
          <w:rFonts w:hint="eastAsia"/>
          <w:bCs/>
          <w:color w:val="auto"/>
          <w:szCs w:val="21"/>
          <w:highlight w:val="none"/>
        </w:rPr>
        <w:t>；</w:t>
      </w:r>
    </w:p>
    <w:p w14:paraId="7A5F6F37">
      <w:pPr>
        <w:spacing w:line="360" w:lineRule="auto"/>
        <w:ind w:firstLine="420"/>
        <w:rPr>
          <w:bCs/>
          <w:color w:val="auto"/>
          <w:szCs w:val="21"/>
          <w:highlight w:val="none"/>
        </w:rPr>
      </w:pPr>
      <w:r>
        <w:rPr>
          <w:bCs/>
          <w:color w:val="auto"/>
          <w:szCs w:val="21"/>
          <w:highlight w:val="none"/>
        </w:rPr>
        <w:t>2.</w:t>
      </w:r>
      <w:r>
        <w:rPr>
          <w:rFonts w:hint="eastAsia"/>
          <w:bCs/>
          <w:color w:val="auto"/>
          <w:szCs w:val="21"/>
          <w:highlight w:val="none"/>
          <w:u w:val="single"/>
        </w:rPr>
        <w:t>（标的名称）</w:t>
      </w:r>
      <w:r>
        <w:rPr>
          <w:rFonts w:hint="eastAsia"/>
          <w:bCs/>
          <w:color w:val="auto"/>
          <w:szCs w:val="21"/>
          <w:highlight w:val="none"/>
        </w:rPr>
        <w:t>，属于</w:t>
      </w:r>
      <w:r>
        <w:rPr>
          <w:rFonts w:hint="eastAsia"/>
          <w:bCs/>
          <w:color w:val="auto"/>
          <w:szCs w:val="21"/>
          <w:highlight w:val="none"/>
          <w:u w:val="single"/>
        </w:rPr>
        <w:t>（采购文件中明确的所属行业）</w:t>
      </w:r>
      <w:r>
        <w:rPr>
          <w:rFonts w:hint="eastAsia"/>
          <w:bCs/>
          <w:color w:val="auto"/>
          <w:szCs w:val="21"/>
          <w:highlight w:val="none"/>
        </w:rPr>
        <w:t>行业；承接企业为</w:t>
      </w:r>
      <w:r>
        <w:rPr>
          <w:rFonts w:hint="eastAsia"/>
          <w:bCs/>
          <w:color w:val="auto"/>
          <w:szCs w:val="21"/>
          <w:highlight w:val="none"/>
          <w:u w:val="single"/>
        </w:rPr>
        <w:t>（企业名称）</w:t>
      </w:r>
      <w:r>
        <w:rPr>
          <w:rFonts w:hint="eastAsia"/>
          <w:bCs/>
          <w:color w:val="auto"/>
          <w:szCs w:val="21"/>
          <w:highlight w:val="none"/>
        </w:rPr>
        <w:t>，从业人员</w:t>
      </w:r>
      <w:r>
        <w:rPr>
          <w:rFonts w:hint="eastAsia"/>
          <w:bCs/>
          <w:color w:val="auto"/>
          <w:szCs w:val="21"/>
          <w:highlight w:val="none"/>
          <w:u w:val="single"/>
        </w:rPr>
        <w:t xml:space="preserve">       </w:t>
      </w:r>
      <w:r>
        <w:rPr>
          <w:rFonts w:hint="eastAsia"/>
          <w:bCs/>
          <w:color w:val="auto"/>
          <w:szCs w:val="21"/>
          <w:highlight w:val="none"/>
        </w:rPr>
        <w:t>人，营业收入为</w:t>
      </w:r>
      <w:r>
        <w:rPr>
          <w:rFonts w:hint="eastAsia"/>
          <w:bCs/>
          <w:color w:val="auto"/>
          <w:szCs w:val="21"/>
          <w:highlight w:val="none"/>
          <w:u w:val="single"/>
        </w:rPr>
        <w:t xml:space="preserve">     </w:t>
      </w:r>
      <w:r>
        <w:rPr>
          <w:rFonts w:hint="eastAsia"/>
          <w:bCs/>
          <w:color w:val="auto"/>
          <w:szCs w:val="21"/>
          <w:highlight w:val="none"/>
        </w:rPr>
        <w:t>万元，资产总额为</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rPr>
        <w:t xml:space="preserve"> </w:t>
      </w:r>
      <w:r>
        <w:rPr>
          <w:rFonts w:hint="eastAsia"/>
          <w:bCs/>
          <w:color w:val="auto"/>
          <w:szCs w:val="21"/>
          <w:highlight w:val="none"/>
        </w:rPr>
        <w:t>万元，属于</w:t>
      </w:r>
      <w:r>
        <w:rPr>
          <w:rFonts w:hint="eastAsia"/>
          <w:bCs/>
          <w:color w:val="auto"/>
          <w:szCs w:val="21"/>
          <w:highlight w:val="none"/>
          <w:u w:val="single"/>
        </w:rPr>
        <w:t>（中型企业、小型企业、微型企业）</w:t>
      </w:r>
      <w:r>
        <w:rPr>
          <w:rFonts w:hint="eastAsia"/>
          <w:bCs/>
          <w:color w:val="auto"/>
          <w:szCs w:val="21"/>
          <w:highlight w:val="none"/>
        </w:rPr>
        <w:t>；</w:t>
      </w:r>
    </w:p>
    <w:p w14:paraId="4C55A850">
      <w:pPr>
        <w:spacing w:line="360" w:lineRule="auto"/>
        <w:ind w:firstLine="420"/>
        <w:rPr>
          <w:bCs/>
          <w:color w:val="auto"/>
          <w:szCs w:val="21"/>
          <w:highlight w:val="none"/>
        </w:rPr>
      </w:pPr>
      <w:r>
        <w:rPr>
          <w:rFonts w:hint="eastAsia"/>
          <w:bCs/>
          <w:color w:val="auto"/>
          <w:szCs w:val="21"/>
          <w:highlight w:val="none"/>
        </w:rPr>
        <w:t>……</w:t>
      </w:r>
    </w:p>
    <w:p w14:paraId="2FCB49FF">
      <w:pPr>
        <w:spacing w:line="360" w:lineRule="auto"/>
        <w:ind w:firstLine="420"/>
        <w:rPr>
          <w:bCs/>
          <w:color w:val="auto"/>
          <w:szCs w:val="21"/>
          <w:highlight w:val="none"/>
        </w:rPr>
      </w:pPr>
      <w:r>
        <w:rPr>
          <w:rFonts w:hint="eastAsia"/>
          <w:bCs/>
          <w:color w:val="auto"/>
          <w:szCs w:val="21"/>
          <w:highlight w:val="none"/>
        </w:rPr>
        <w:t>以上企业，不属于大企业的分支机构，不存在控股股东为大企业的情形，也不存在与大企业的负责人为同一人的情形。</w:t>
      </w:r>
    </w:p>
    <w:p w14:paraId="49D330DE">
      <w:pPr>
        <w:spacing w:line="360" w:lineRule="auto"/>
        <w:ind w:firstLine="420"/>
        <w:rPr>
          <w:bCs/>
          <w:color w:val="auto"/>
          <w:szCs w:val="21"/>
          <w:highlight w:val="none"/>
        </w:rPr>
      </w:pPr>
      <w:r>
        <w:rPr>
          <w:rFonts w:hint="eastAsia"/>
          <w:bCs/>
          <w:color w:val="auto"/>
          <w:szCs w:val="21"/>
          <w:highlight w:val="none"/>
        </w:rPr>
        <w:t>本企业对上述声明内容的真实性负责。如有虚假，将依法承担相应责任。</w:t>
      </w:r>
    </w:p>
    <w:p w14:paraId="1B4F0571">
      <w:pPr>
        <w:spacing w:line="360" w:lineRule="auto"/>
        <w:ind w:firstLine="3150" w:firstLineChars="1500"/>
        <w:rPr>
          <w:bCs/>
          <w:color w:val="auto"/>
          <w:szCs w:val="21"/>
          <w:highlight w:val="none"/>
        </w:rPr>
      </w:pPr>
      <w:r>
        <w:rPr>
          <w:rFonts w:hint="eastAsia"/>
          <w:bCs/>
          <w:color w:val="auto"/>
          <w:szCs w:val="21"/>
          <w:highlight w:val="none"/>
        </w:rPr>
        <w:t xml:space="preserve">企业名称（电子签章）： </w:t>
      </w:r>
      <w:r>
        <w:rPr>
          <w:bCs/>
          <w:color w:val="auto"/>
          <w:szCs w:val="21"/>
          <w:highlight w:val="none"/>
        </w:rPr>
        <w:t xml:space="preserve"> </w:t>
      </w:r>
      <w:r>
        <w:rPr>
          <w:rFonts w:hint="eastAsia"/>
          <w:bCs/>
          <w:color w:val="auto"/>
          <w:szCs w:val="21"/>
          <w:highlight w:val="none"/>
        </w:rPr>
        <w:t>日期：</w:t>
      </w:r>
    </w:p>
    <w:p w14:paraId="71BD665D">
      <w:pPr>
        <w:spacing w:line="360" w:lineRule="auto"/>
        <w:jc w:val="left"/>
        <w:rPr>
          <w:bCs/>
          <w:color w:val="auto"/>
          <w:szCs w:val="21"/>
          <w:highlight w:val="none"/>
        </w:rPr>
      </w:pPr>
      <w:r>
        <w:rPr>
          <w:rFonts w:hint="eastAsia"/>
          <w:bCs/>
          <w:color w:val="auto"/>
          <w:szCs w:val="21"/>
          <w:highlight w:val="none"/>
        </w:rPr>
        <w:t>注：</w:t>
      </w:r>
    </w:p>
    <w:p w14:paraId="60EC5A0F">
      <w:pPr>
        <w:spacing w:line="360" w:lineRule="auto"/>
        <w:jc w:val="left"/>
        <w:rPr>
          <w:bCs/>
          <w:color w:val="auto"/>
          <w:szCs w:val="21"/>
          <w:highlight w:val="none"/>
        </w:rPr>
      </w:pPr>
      <w:r>
        <w:rPr>
          <w:rFonts w:hint="eastAsia"/>
          <w:bCs/>
          <w:color w:val="auto"/>
          <w:szCs w:val="21"/>
          <w:highlight w:val="none"/>
        </w:rPr>
        <w:t>（1）标的名称按照第二章采购需求一览表中的名称填写，</w:t>
      </w:r>
      <w:r>
        <w:rPr>
          <w:color w:val="auto"/>
          <w:szCs w:val="21"/>
          <w:highlight w:val="none"/>
        </w:rPr>
        <w:t>所属行业标明“/”的</w:t>
      </w:r>
      <w:r>
        <w:rPr>
          <w:rFonts w:hint="eastAsia"/>
          <w:bCs/>
          <w:color w:val="auto"/>
          <w:szCs w:val="21"/>
          <w:highlight w:val="none"/>
        </w:rPr>
        <w:t>，无需在上表填写。</w:t>
      </w:r>
    </w:p>
    <w:p w14:paraId="01612646">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2</w:t>
      </w:r>
      <w:r>
        <w:rPr>
          <w:rFonts w:hint="eastAsia"/>
          <w:bCs/>
          <w:color w:val="auto"/>
          <w:szCs w:val="21"/>
          <w:highlight w:val="none"/>
        </w:rPr>
        <w:t>）如供应商为联合体或分包的，声明函中“项目名称”应填写联合体中小微企业承担的具体内容或者小微企业具体分包内容。</w:t>
      </w:r>
    </w:p>
    <w:p w14:paraId="46531AE1">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3</w:t>
      </w:r>
      <w:r>
        <w:rPr>
          <w:rFonts w:hint="eastAsia"/>
          <w:bCs/>
          <w:color w:val="auto"/>
          <w:szCs w:val="21"/>
          <w:highlight w:val="none"/>
        </w:rPr>
        <w:t>）从业人员、营业收入、资产总额填报上一年度数据，无上一年度数据的新成立企业参照国务院批准的中小企业划分标准，根据企业自身情况如实判断。</w:t>
      </w:r>
    </w:p>
    <w:p w14:paraId="6B7AC2B8">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4</w:t>
      </w:r>
      <w:r>
        <w:rPr>
          <w:rFonts w:hint="eastAsia"/>
          <w:bCs/>
          <w:color w:val="auto"/>
          <w:szCs w:val="21"/>
          <w:highlight w:val="none"/>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3DE55ECF">
      <w:pPr>
        <w:spacing w:line="360" w:lineRule="auto"/>
        <w:jc w:val="left"/>
        <w:rPr>
          <w:rFonts w:hint="eastAsia"/>
          <w:bCs/>
          <w:color w:val="auto"/>
          <w:szCs w:val="21"/>
          <w:highlight w:val="none"/>
        </w:rPr>
      </w:pPr>
      <w:r>
        <w:rPr>
          <w:rFonts w:hint="eastAsia"/>
          <w:bCs/>
          <w:color w:val="auto"/>
          <w:szCs w:val="21"/>
          <w:highlight w:val="none"/>
        </w:rPr>
        <w:t>（5）根据</w:t>
      </w:r>
      <w:r>
        <w:rPr>
          <w:rFonts w:hint="eastAsia"/>
          <w:bCs/>
          <w:color w:val="auto"/>
          <w:szCs w:val="21"/>
          <w:highlight w:val="none"/>
          <w:lang w:eastAsia="zh-CN"/>
        </w:rPr>
        <w:t>国家统计局</w:t>
      </w:r>
      <w:r>
        <w:rPr>
          <w:rFonts w:hint="eastAsia"/>
          <w:bCs/>
          <w:color w:val="auto"/>
          <w:szCs w:val="21"/>
          <w:highlight w:val="none"/>
        </w:rPr>
        <w:t>《劳动工资统计报表制度》，从业人员数是指本单位工作，并取得工资或其他形式劳动报酬的人员数，是在岗职工、劳务派遣人员及其他从业人员之和。</w:t>
      </w:r>
    </w:p>
    <w:p w14:paraId="21FCB9B4">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6</w:t>
      </w:r>
      <w:r>
        <w:rPr>
          <w:rFonts w:hint="eastAsia"/>
          <w:bCs/>
          <w:color w:val="auto"/>
          <w:szCs w:val="21"/>
          <w:highlight w:val="none"/>
        </w:rPr>
        <w:t>）本声明函由供应商填写，供应商应按中小企业划分标准《关于印发中小企业划型标准规定的通知》（工信部联企业〔2011〕300号</w:t>
      </w:r>
      <w:r>
        <w:rPr>
          <w:rFonts w:hint="eastAsia"/>
          <w:color w:val="auto"/>
          <w:szCs w:val="21"/>
          <w:highlight w:val="none"/>
        </w:rPr>
        <w:t>以及《金融业企业划型标准规定》（银发〔2015〕309号）</w:t>
      </w:r>
      <w:r>
        <w:rPr>
          <w:rFonts w:hint="eastAsia"/>
          <w:bCs/>
          <w:color w:val="auto"/>
          <w:szCs w:val="21"/>
          <w:highlight w:val="none"/>
        </w:rPr>
        <w:t>）判断是否为中小企业。</w:t>
      </w:r>
    </w:p>
    <w:p w14:paraId="51D52434">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7</w:t>
      </w:r>
      <w:r>
        <w:rPr>
          <w:rFonts w:hint="eastAsia"/>
          <w:bCs/>
          <w:color w:val="auto"/>
          <w:szCs w:val="21"/>
          <w:highlight w:val="none"/>
        </w:rPr>
        <w:t>）供应商对《中小企业声明函》的真实性负责，如有虚假则需承担不利后果。依法享受中小企业优惠政策的，采购人或采购代理机构在公告成交结果时，同时公告其《中小企业声明函》，接受社会监督。</w:t>
      </w:r>
    </w:p>
    <w:p w14:paraId="138A7220">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8</w:t>
      </w:r>
      <w:r>
        <w:rPr>
          <w:rFonts w:hint="eastAsia"/>
          <w:bCs/>
          <w:color w:val="auto"/>
          <w:szCs w:val="21"/>
          <w:highlight w:val="none"/>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768CA40E">
      <w:pPr>
        <w:snapToGrid w:val="0"/>
        <w:spacing w:before="50" w:after="120" w:afterLines="50"/>
        <w:jc w:val="left"/>
        <w:rPr>
          <w:color w:val="auto"/>
          <w:szCs w:val="21"/>
          <w:highlight w:val="none"/>
        </w:rPr>
      </w:pPr>
    </w:p>
    <w:p w14:paraId="0288B598">
      <w:pPr>
        <w:snapToGrid w:val="0"/>
        <w:spacing w:before="50" w:after="120" w:afterLines="50"/>
        <w:jc w:val="left"/>
        <w:rPr>
          <w:color w:val="auto"/>
          <w:szCs w:val="21"/>
          <w:highlight w:val="none"/>
        </w:rPr>
      </w:pPr>
      <w:r>
        <w:rPr>
          <w:rFonts w:hint="eastAsia"/>
          <w:color w:val="auto"/>
          <w:szCs w:val="21"/>
          <w:highlight w:val="none"/>
          <w:lang w:val="en-US" w:eastAsia="zh-CN"/>
        </w:rPr>
        <w:t>4.4</w:t>
      </w:r>
      <w:r>
        <w:rPr>
          <w:color w:val="auto"/>
          <w:szCs w:val="21"/>
          <w:highlight w:val="none"/>
        </w:rPr>
        <w:t>监狱企业须提供最新一期《XX省监狱企业产品目录》或其他监狱企业证明材料。（非监狱企业无需提供）</w:t>
      </w:r>
    </w:p>
    <w:p w14:paraId="30DFD2F0">
      <w:pPr>
        <w:snapToGrid w:val="0"/>
        <w:spacing w:before="50" w:after="120" w:afterLines="50"/>
        <w:jc w:val="left"/>
        <w:rPr>
          <w:color w:val="auto"/>
          <w:szCs w:val="21"/>
          <w:highlight w:val="none"/>
        </w:rPr>
      </w:pPr>
    </w:p>
    <w:p w14:paraId="4B26FF2E">
      <w:pPr>
        <w:widowControl/>
        <w:jc w:val="left"/>
        <w:rPr>
          <w:color w:val="auto"/>
          <w:szCs w:val="21"/>
          <w:highlight w:val="none"/>
        </w:rPr>
      </w:pPr>
      <w:r>
        <w:rPr>
          <w:rFonts w:hint="eastAsia"/>
          <w:color w:val="auto"/>
          <w:szCs w:val="21"/>
          <w:highlight w:val="none"/>
          <w:lang w:val="en-US" w:eastAsia="zh-CN"/>
        </w:rPr>
        <w:t>4.5</w:t>
      </w:r>
      <w:r>
        <w:rPr>
          <w:color w:val="auto"/>
          <w:highlight w:val="none"/>
        </w:rPr>
        <w:t>残疾人福利性单位须提供《残疾人福利性单位声明函》，格式如下。</w:t>
      </w:r>
      <w:r>
        <w:rPr>
          <w:color w:val="auto"/>
          <w:szCs w:val="21"/>
          <w:highlight w:val="none"/>
        </w:rPr>
        <w:t>（非残疾人福利性单位无需提供）</w:t>
      </w:r>
    </w:p>
    <w:p w14:paraId="6FDC4CFA">
      <w:pPr>
        <w:spacing w:line="360" w:lineRule="auto"/>
        <w:jc w:val="center"/>
        <w:rPr>
          <w:b/>
          <w:color w:val="auto"/>
          <w:szCs w:val="21"/>
          <w:highlight w:val="none"/>
        </w:rPr>
      </w:pPr>
    </w:p>
    <w:p w14:paraId="65065D97">
      <w:pPr>
        <w:spacing w:line="360" w:lineRule="auto"/>
        <w:jc w:val="center"/>
        <w:rPr>
          <w:b/>
          <w:color w:val="auto"/>
          <w:szCs w:val="21"/>
          <w:highlight w:val="none"/>
        </w:rPr>
      </w:pPr>
      <w:r>
        <w:rPr>
          <w:b/>
          <w:color w:val="auto"/>
          <w:szCs w:val="21"/>
          <w:highlight w:val="none"/>
        </w:rPr>
        <w:t>残疾人福利性单位声明函</w:t>
      </w:r>
    </w:p>
    <w:p w14:paraId="1DEFFADF">
      <w:pPr>
        <w:spacing w:line="360" w:lineRule="auto"/>
        <w:ind w:firstLine="420"/>
        <w:jc w:val="left"/>
        <w:rPr>
          <w:color w:val="auto"/>
          <w:szCs w:val="21"/>
          <w:highlight w:val="none"/>
        </w:rPr>
      </w:pPr>
      <w:r>
        <w:rPr>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color w:val="auto"/>
          <w:szCs w:val="21"/>
          <w:highlight w:val="none"/>
          <w:u w:val="single"/>
        </w:rPr>
        <w:t xml:space="preserve">        </w:t>
      </w:r>
      <w:r>
        <w:rPr>
          <w:color w:val="auto"/>
          <w:szCs w:val="21"/>
          <w:highlight w:val="none"/>
        </w:rPr>
        <w:t>单位的</w:t>
      </w:r>
      <w:r>
        <w:rPr>
          <w:color w:val="auto"/>
          <w:szCs w:val="21"/>
          <w:highlight w:val="none"/>
          <w:u w:val="single"/>
        </w:rPr>
        <w:t xml:space="preserve">           </w:t>
      </w:r>
      <w:r>
        <w:rPr>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1AF82F71">
      <w:pPr>
        <w:spacing w:line="360" w:lineRule="auto"/>
        <w:ind w:firstLine="420"/>
        <w:rPr>
          <w:color w:val="auto"/>
          <w:szCs w:val="21"/>
          <w:highlight w:val="none"/>
        </w:rPr>
      </w:pPr>
      <w:r>
        <w:rPr>
          <w:color w:val="auto"/>
          <w:szCs w:val="21"/>
          <w:highlight w:val="none"/>
        </w:rPr>
        <w:t>本单位对上述声明的真实性负责。如有虚假，将依法承担相应责任。</w:t>
      </w:r>
    </w:p>
    <w:p w14:paraId="512754B5">
      <w:pPr>
        <w:spacing w:line="360" w:lineRule="auto"/>
        <w:ind w:firstLine="420"/>
        <w:jc w:val="right"/>
        <w:rPr>
          <w:color w:val="auto"/>
          <w:spacing w:val="6"/>
          <w:szCs w:val="21"/>
          <w:highlight w:val="none"/>
        </w:rPr>
      </w:pPr>
      <w:r>
        <w:rPr>
          <w:color w:val="auto"/>
          <w:spacing w:val="6"/>
          <w:sz w:val="30"/>
          <w:szCs w:val="30"/>
          <w:highlight w:val="none"/>
        </w:rPr>
        <w:t xml:space="preserve"> </w:t>
      </w:r>
      <w:r>
        <w:rPr>
          <w:color w:val="auto"/>
          <w:spacing w:val="6"/>
          <w:szCs w:val="21"/>
          <w:highlight w:val="none"/>
        </w:rPr>
        <w:t xml:space="preserve"> </w:t>
      </w:r>
      <w:r>
        <w:rPr>
          <w:rFonts w:hint="eastAsia"/>
          <w:color w:val="auto"/>
          <w:spacing w:val="6"/>
          <w:szCs w:val="21"/>
          <w:highlight w:val="none"/>
        </w:rPr>
        <w:t xml:space="preserve">                                            </w:t>
      </w:r>
      <w:r>
        <w:rPr>
          <w:color w:val="auto"/>
          <w:spacing w:val="6"/>
          <w:szCs w:val="21"/>
          <w:highlight w:val="none"/>
        </w:rPr>
        <w:t>单位名称</w:t>
      </w:r>
      <w:r>
        <w:rPr>
          <w:rFonts w:hint="eastAsia"/>
          <w:color w:val="auto"/>
          <w:szCs w:val="21"/>
          <w:highlight w:val="none"/>
        </w:rPr>
        <w:t>(电子签章</w:t>
      </w:r>
      <w:r>
        <w:rPr>
          <w:color w:val="auto"/>
          <w:szCs w:val="21"/>
          <w:highlight w:val="none"/>
        </w:rPr>
        <w:t>)</w:t>
      </w:r>
      <w:r>
        <w:rPr>
          <w:color w:val="auto"/>
          <w:spacing w:val="6"/>
          <w:szCs w:val="21"/>
          <w:highlight w:val="none"/>
        </w:rPr>
        <w:t xml:space="preserve">：          </w:t>
      </w:r>
    </w:p>
    <w:p w14:paraId="6BB8EB0B">
      <w:pPr>
        <w:spacing w:line="360" w:lineRule="auto"/>
        <w:ind w:firstLine="420"/>
        <w:jc w:val="right"/>
        <w:rPr>
          <w:rFonts w:hint="eastAsia"/>
          <w:color w:val="auto"/>
          <w:szCs w:val="21"/>
          <w:highlight w:val="none"/>
        </w:rPr>
      </w:pPr>
      <w:r>
        <w:rPr>
          <w:color w:val="auto"/>
          <w:spacing w:val="6"/>
          <w:szCs w:val="21"/>
          <w:highlight w:val="none"/>
        </w:rPr>
        <w:t xml:space="preserve"> </w:t>
      </w:r>
      <w:r>
        <w:rPr>
          <w:rFonts w:hint="eastAsia"/>
          <w:color w:val="auto"/>
          <w:spacing w:val="6"/>
          <w:szCs w:val="21"/>
          <w:highlight w:val="none"/>
        </w:rPr>
        <w:t xml:space="preserve">                                                      </w:t>
      </w:r>
      <w:r>
        <w:rPr>
          <w:color w:val="auto"/>
          <w:spacing w:val="6"/>
          <w:szCs w:val="21"/>
          <w:highlight w:val="none"/>
        </w:rPr>
        <w:t>日  期：</w:t>
      </w:r>
      <w:bookmarkEnd w:id="100"/>
    </w:p>
    <w:p w14:paraId="4C65E6E7">
      <w:pPr>
        <w:snapToGrid w:val="0"/>
        <w:spacing w:before="120" w:beforeLines="50" w:after="50" w:line="440" w:lineRule="exact"/>
        <w:jc w:val="left"/>
        <w:outlineLvl w:val="1"/>
        <w:rPr>
          <w:rFonts w:hint="eastAsia"/>
          <w:bCs/>
          <w:color w:val="auto"/>
          <w:sz w:val="24"/>
          <w:highlight w:val="none"/>
        </w:rPr>
      </w:pPr>
      <w:r>
        <w:rPr>
          <w:bCs/>
          <w:color w:val="auto"/>
          <w:sz w:val="24"/>
          <w:highlight w:val="none"/>
        </w:rPr>
        <w:t xml:space="preserve"> </w:t>
      </w:r>
    </w:p>
    <w:sectPr>
      <w:headerReference r:id="rId23" w:type="default"/>
      <w:pgSz w:w="11906" w:h="16838"/>
      <w:pgMar w:top="1418" w:right="1133" w:bottom="1246"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D784106-3CCD-43D7-ABAF-B8F1CA15A0EE}"/>
  </w:font>
  <w:font w:name="黑体">
    <w:panose1 w:val="02010609060101010101"/>
    <w:charset w:val="86"/>
    <w:family w:val="auto"/>
    <w:pitch w:val="default"/>
    <w:sig w:usb0="800002BF" w:usb1="38CF7CFA" w:usb2="00000016" w:usb3="00000000" w:csb0="00040001" w:csb1="00000000"/>
    <w:embedRegular r:id="rId2" w:fontKey="{531F7F15-81AE-4702-B044-7DCEC8612AB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C27B2637-C46E-4B5F-98B5-696C41BB5D6C}"/>
  </w:font>
  <w:font w:name="仿宋_GB2312">
    <w:panose1 w:val="02010609030101010101"/>
    <w:charset w:val="86"/>
    <w:family w:val="modern"/>
    <w:pitch w:val="default"/>
    <w:sig w:usb0="00000001" w:usb1="080E0000" w:usb2="00000000" w:usb3="00000000" w:csb0="00040000" w:csb1="00000000"/>
    <w:embedRegular r:id="rId4" w:fontKey="{79CE4598-4C32-4C19-9183-0FEFCE14FF3F}"/>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00000" w:usb2="00000000" w:usb3="00000000" w:csb0="00040000" w:csb1="00000000"/>
    <w:embedRegular r:id="rId5" w:fontKey="{D25913C3-2995-438E-8706-CF3BEB4FC9DA}"/>
  </w:font>
  <w:font w:name="华文新魏">
    <w:panose1 w:val="02010800040101010101"/>
    <w:charset w:val="86"/>
    <w:family w:val="auto"/>
    <w:pitch w:val="default"/>
    <w:sig w:usb0="00000001" w:usb1="080F0000" w:usb2="00000000" w:usb3="00000000" w:csb0="00040000" w:csb1="00000000"/>
    <w:embedRegular r:id="rId6" w:fontKey="{AFF059A8-4649-44CD-996E-9055688F2867}"/>
  </w:font>
  <w:font w:name="Wingdings 2">
    <w:panose1 w:val="05020102010507070707"/>
    <w:charset w:val="02"/>
    <w:family w:val="roman"/>
    <w:pitch w:val="default"/>
    <w:sig w:usb0="00000000" w:usb1="00000000" w:usb2="00000000" w:usb3="00000000" w:csb0="80000000" w:csb1="00000000"/>
    <w:embedRegular r:id="rId7" w:fontKey="{C5D44CE4-5CCD-466D-903F-02189D809BE7}"/>
  </w:font>
  <w:font w:name="微软雅黑">
    <w:panose1 w:val="020B0503020204020204"/>
    <w:charset w:val="86"/>
    <w:family w:val="swiss"/>
    <w:pitch w:val="default"/>
    <w:sig w:usb0="80000287" w:usb1="2ACF3C50" w:usb2="00000016" w:usb3="00000000" w:csb0="0004001F" w:csb1="00000000"/>
    <w:embedRegular r:id="rId8" w:fontKey="{698D7136-7BCF-4752-8FC8-8A6532E25D4D}"/>
  </w:font>
  <w:font w:name="Microsoft YaHei UI">
    <w:panose1 w:val="020B0503020204020204"/>
    <w:charset w:val="86"/>
    <w:family w:val="swiss"/>
    <w:pitch w:val="default"/>
    <w:sig w:usb0="80000287" w:usb1="2ACF3C50" w:usb2="00000016" w:usb3="00000000" w:csb0="0004001F" w:csb1="00000000"/>
    <w:embedRegular r:id="rId9" w:fontKey="{FE83875A-060C-449B-849F-9D0F2B478AC7}"/>
  </w:font>
  <w:font w:name="仿宋">
    <w:panose1 w:val="02010609060101010101"/>
    <w:charset w:val="86"/>
    <w:family w:val="modern"/>
    <w:pitch w:val="default"/>
    <w:sig w:usb0="800002BF" w:usb1="38CF7CFA" w:usb2="00000016" w:usb3="00000000" w:csb0="00040001" w:csb1="00000000"/>
    <w:embedRegular r:id="rId10" w:fontKey="{FCE9699A-71EC-4138-A847-EECBF136935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CEDE8">
    <w:pPr>
      <w:pStyle w:val="32"/>
      <w:tabs>
        <w:tab w:val="center" w:pos="4439"/>
        <w:tab w:val="clear" w:pos="4153"/>
      </w:tabs>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5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3EE4FC">
                          <w:pPr>
                            <w:pStyle w:val="32"/>
                          </w:pPr>
                          <w:r>
                            <w:fldChar w:fldCharType="begin"/>
                          </w:r>
                          <w:r>
                            <w:instrText xml:space="preserve"> PAGE  \* MERGEFORMAT </w:instrText>
                          </w:r>
                          <w:r>
                            <w:fldChar w:fldCharType="separate"/>
                          </w:r>
                          <w:r>
                            <w:t>17</w:t>
                          </w:r>
                          <w:r>
                            <w:fldChar w:fldCharType="end"/>
                          </w:r>
                        </w:p>
                      </w:txbxContent>
                    </wps:txbx>
                    <wps:bodyPr wrap="none" lIns="0" tIns="0" rIns="0" bIns="0">
                      <a:spAutoFit/>
                    </wps:bodyPr>
                  </wps:wsp>
                </a:graphicData>
              </a:graphic>
            </wp:anchor>
          </w:drawing>
        </mc:Choice>
        <mc:Fallback>
          <w:pict>
            <v:shape id="文本框 512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gQ/J58QBAACQAwAADgAAAAAAAAABACAAAAAeAQAAZHJzL2Uyb0RvYy54bWxQ&#10;SwUGAAAAAAYABgBZAQAAVAUAAAAA&#10;">
              <v:fill on="f" focussize="0,0"/>
              <v:stroke on="f"/>
              <v:imagedata o:title=""/>
              <o:lock v:ext="edit" aspectratio="f"/>
              <v:textbox inset="0mm,0mm,0mm,0mm" style="mso-fit-shape-to-text:t;">
                <w:txbxContent>
                  <w:p w14:paraId="243EE4FC">
                    <w:pPr>
                      <w:pStyle w:val="32"/>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5A41E">
    <w:pPr>
      <w:pStyle w:val="32"/>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5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D6BC64"/>
                      </w:txbxContent>
                    </wps:txbx>
                    <wps:bodyPr wrap="none" lIns="0" tIns="0" rIns="0" bIns="0">
                      <a:spAutoFit/>
                    </wps:bodyPr>
                  </wps:wsp>
                </a:graphicData>
              </a:graphic>
            </wp:anchor>
          </w:drawing>
        </mc:Choice>
        <mc:Fallback>
          <w:pict>
            <v:shape id="文本框 512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b4D5MQBAACQAwAADgAAAGRycy9lMm9Eb2MueG1srVPNjtMwEL4j8Q6W&#10;79RpB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4tgdtzjwy/dvlx+/Lj+/klfL&#10;1cusUB+gxsS7gKlpeOsH3JvZD+jMxAcVbf4iJYJx1Pd81VcOiYj8aL1arysMCYzNF8RnD89DhPRO&#10;ekuy0dCIAyy68tMHSGPqnJKrOX+rjSlDNO4vB2JmD8u9jz1mKw37YSK09+0Z+fQ4+4Y6XHVKzHuH&#10;0uY1mY04G/vJyDUgvDkmLFz6yagj1FQMB1UYTUuVN+HPe8l6+JG2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vb4D5MQBAACQAwAADgAAAAAAAAABACAAAAAeAQAAZHJzL2Uyb0RvYy54bWxQ&#10;SwUGAAAAAAYABgBZAQAAVAUAAAAA&#10;">
              <v:fill on="f" focussize="0,0"/>
              <v:stroke on="f"/>
              <v:imagedata o:title=""/>
              <o:lock v:ext="edit" aspectratio="f"/>
              <v:textbox inset="0mm,0mm,0mm,0mm" style="mso-fit-shape-to-text:t;">
                <w:txbxContent>
                  <w:p w14:paraId="74D6BC64"/>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FD681">
    <w:pPr>
      <w:pStyle w:val="32"/>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C65BD">
    <w:pPr>
      <w:pStyle w:val="32"/>
      <w:ind w:right="360"/>
      <w:jc w:val="both"/>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3F56D">
    <w:pPr>
      <w:pStyle w:val="32"/>
      <w:framePr w:wrap="around" w:vAnchor="text" w:hAnchor="margin" w:xAlign="center" w:y="1"/>
      <w:rPr>
        <w:rStyle w:val="57"/>
      </w:rPr>
    </w:pPr>
    <w:r>
      <w:fldChar w:fldCharType="begin"/>
    </w:r>
    <w:r>
      <w:rPr>
        <w:rStyle w:val="57"/>
      </w:rPr>
      <w:instrText xml:space="preserve">PAGE  </w:instrText>
    </w:r>
    <w:r>
      <w:fldChar w:fldCharType="separate"/>
    </w:r>
    <w:r>
      <w:rPr>
        <w:rStyle w:val="57"/>
      </w:rPr>
      <w:t>8</w:t>
    </w:r>
    <w:r>
      <w:fldChar w:fldCharType="end"/>
    </w:r>
  </w:p>
  <w:p w14:paraId="7787C4D0">
    <w:pPr>
      <w:pStyle w:val="32"/>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B1460">
    <w:pPr>
      <w:pStyle w:val="32"/>
      <w:jc w:val="center"/>
      <w:rPr>
        <w:rFonts w:hint="eastAsia"/>
      </w:rPr>
    </w:pPr>
    <w:r>
      <w:fldChar w:fldCharType="begin"/>
    </w:r>
    <w:r>
      <w:instrText xml:space="preserve">PAGE   \* MERGEFORMAT</w:instrText>
    </w:r>
    <w:r>
      <w:fldChar w:fldCharType="separate"/>
    </w:r>
    <w:r>
      <w:rPr>
        <w:lang w:val="zh-CN"/>
      </w:rPr>
      <w:t>7</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E2D15">
    <w:pPr>
      <w:pStyle w:val="32"/>
      <w:framePr w:wrap="around" w:vAnchor="text" w:hAnchor="margin" w:xAlign="center" w:y="1"/>
      <w:rPr>
        <w:rStyle w:val="57"/>
        <w:rFonts w:ascii="Times New Roman" w:hAnsi="Times New Roman" w:eastAsia="宋体" w:cs="Times New Roman"/>
      </w:rPr>
    </w:pPr>
    <w:r>
      <w:rPr>
        <w:rFonts w:ascii="Times New Roman" w:hAnsi="Times New Roman" w:eastAsia="宋体" w:cs="Times New Roman"/>
      </w:rPr>
      <w:fldChar w:fldCharType="begin"/>
    </w:r>
    <w:r>
      <w:rPr>
        <w:rStyle w:val="57"/>
        <w:rFonts w:ascii="Times New Roman" w:hAnsi="Times New Roman" w:eastAsia="宋体" w:cs="Times New Roman"/>
        <w:sz w:val="21"/>
        <w:szCs w:val="24"/>
      </w:rPr>
      <w:instrText xml:space="preserve">PAGE  </w:instrText>
    </w:r>
    <w:r>
      <w:rPr>
        <w:rFonts w:ascii="Times New Roman" w:hAnsi="Times New Roman" w:eastAsia="宋体" w:cs="Times New Roman"/>
      </w:rPr>
      <w:fldChar w:fldCharType="separate"/>
    </w:r>
    <w:r>
      <w:rPr>
        <w:rStyle w:val="57"/>
        <w:rFonts w:ascii="Times New Roman" w:hAnsi="Times New Roman" w:eastAsia="宋体" w:cs="Times New Roman"/>
        <w:sz w:val="21"/>
        <w:szCs w:val="24"/>
      </w:rPr>
      <w:t>57</w:t>
    </w:r>
    <w:r>
      <w:rPr>
        <w:rFonts w:ascii="Times New Roman" w:hAnsi="Times New Roman" w:eastAsia="宋体" w:cs="Times New Roman"/>
      </w:rPr>
      <w:fldChar w:fldCharType="end"/>
    </w:r>
  </w:p>
  <w:p w14:paraId="47DC191A">
    <w:pPr>
      <w:pStyle w:val="32"/>
      <w:jc w:val="right"/>
      <w:rPr>
        <w:rFonts w:ascii="Times New Roman" w:hAnsi="Times New Roman" w:eastAsia="宋体" w:cs="Times New Roman"/>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989CF">
    <w:pPr>
      <w:pStyle w:val="32"/>
      <w:framePr w:wrap="around" w:vAnchor="text" w:hAnchor="margin" w:xAlign="center" w:y="1"/>
      <w:rPr>
        <w:rStyle w:val="57"/>
      </w:rPr>
    </w:pPr>
    <w:r>
      <w:fldChar w:fldCharType="begin"/>
    </w:r>
    <w:r>
      <w:rPr>
        <w:rStyle w:val="57"/>
      </w:rPr>
      <w:instrText xml:space="preserve">PAGE  </w:instrText>
    </w:r>
    <w:r>
      <w:fldChar w:fldCharType="separate"/>
    </w:r>
    <w:r>
      <w:rPr>
        <w:rStyle w:val="57"/>
      </w:rPr>
      <w:t>57</w:t>
    </w:r>
    <w:r>
      <w:fldChar w:fldCharType="end"/>
    </w:r>
  </w:p>
  <w:p w14:paraId="5C9C441A">
    <w:pPr>
      <w:pStyle w:val="32"/>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6D707">
    <w:pPr>
      <w:pStyle w:val="33"/>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8BFB6">
    <w:pPr>
      <w:rPr>
        <w:sz w:val="18"/>
        <w:szCs w:val="18"/>
        <w:u w:val="single"/>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7E8DB">
    <w:pPr>
      <w:pBdr>
        <w:bottom w:val="none" w:color="auto" w:sz="0" w:space="0"/>
      </w:pBdr>
      <w:rPr>
        <w:sz w:val="18"/>
        <w:szCs w:val="18"/>
        <w:u w:val="single"/>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09B06">
    <w:pPr>
      <w:rPr>
        <w:sz w:val="18"/>
        <w:szCs w:val="18"/>
        <w:u w:val="single"/>
      </w:rPr>
    </w:pPr>
    <w:r>
      <w:rPr>
        <w:rFonts w:hint="eastAsia"/>
        <w:sz w:val="18"/>
        <w:szCs w:val="18"/>
        <w:u w:val="single"/>
        <w:lang w:eastAsia="zh-CN"/>
      </w:rPr>
      <w:t>广西星宝工程项目管理有限公司</w:t>
    </w:r>
    <w:r>
      <w:rPr>
        <w:rFonts w:hint="eastAsia"/>
        <w:sz w:val="18"/>
        <w:szCs w:val="18"/>
        <w:u w:val="single"/>
      </w:rPr>
      <w:t xml:space="preserve">采购文件                                                </w:t>
    </w:r>
    <w:r>
      <w:rPr>
        <w:sz w:val="18"/>
        <w:szCs w:val="18"/>
        <w:u w:val="single"/>
      </w:rPr>
      <w:t xml:space="preserve">           </w:t>
    </w:r>
    <w:r>
      <w:rPr>
        <w:rFonts w:hint="eastAsia"/>
        <w:sz w:val="18"/>
        <w:szCs w:val="18"/>
        <w:u w:val="single"/>
      </w:rPr>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EB479">
    <w:pPr>
      <w:pBdr>
        <w:bottom w:val="none" w:color="auto" w:sz="0" w:space="0"/>
      </w:pBdr>
      <w:rPr>
        <w:sz w:val="18"/>
        <w:szCs w:val="18"/>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31FCF">
    <w:pPr>
      <w:pStyle w:val="3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51D75">
    <w:pPr>
      <w:pStyle w:val="33"/>
      <w:pBdr>
        <w:bottom w:val="none" w:color="auto" w:sz="0" w:space="1"/>
      </w:pBdr>
      <w:jc w:val="left"/>
    </w:pPr>
    <w:r>
      <w:rPr>
        <w:rFonts w:hint="eastAsia"/>
      </w:rPr>
      <w:t xml:space="preserve">                                                        </w:t>
    </w:r>
  </w:p>
  <w:p w14:paraId="5A2D59E5">
    <w:pPr>
      <w:pStyle w:val="3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AC04D">
    <w:pPr>
      <w:pStyle w:val="33"/>
      <w:pBdr>
        <w:bottom w:val="none" w:color="auto" w:sz="0" w:space="0"/>
      </w:pBdr>
      <w:jc w:val="left"/>
    </w:pPr>
    <w:r>
      <w:rPr>
        <w:rFonts w:hint="eastAsia"/>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CD68D">
    <w:pPr>
      <w:pStyle w:val="33"/>
      <w:jc w:val="left"/>
    </w:pPr>
    <w:r>
      <w:rPr>
        <w:rFonts w:hint="eastAsia"/>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6169B">
    <w:pPr>
      <w:pStyle w:val="33"/>
      <w:jc w:val="left"/>
    </w:pPr>
    <w:r>
      <w:rPr>
        <w:rFonts w:hint="eastAsia"/>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0910F">
    <w:pPr>
      <w:pStyle w:val="33"/>
      <w:pBdr>
        <w:bottom w:val="none" w:color="auto" w:sz="0" w:space="1"/>
      </w:pBdr>
      <w:jc w:val="left"/>
      <w:rPr>
        <w:rFonts w:hint="eastAsia"/>
      </w:rPr>
    </w:pPr>
    <w:r>
      <w:rPr>
        <w:rFonts w:hint="eastAsia"/>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68DBF">
    <w:pPr>
      <w:pBdr>
        <w:bottom w:val="none" w:color="auto" w:sz="0" w:space="0"/>
      </w:pBdr>
      <w:rPr>
        <w:rFonts w:ascii="Times New Roman" w:hAnsi="Times New Roman" w:eastAsia="宋体" w:cs="Times New Roman"/>
        <w:sz w:val="18"/>
        <w:szCs w:val="18"/>
        <w:u w:val="single"/>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DA988">
    <w:pPr>
      <w:pStyle w:val="33"/>
      <w:pBdr>
        <w:bottom w:val="none" w:color="auto" w:sz="0" w:space="1"/>
      </w:pBdr>
      <w:jc w:val="left"/>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3"/>
    <w:multiLevelType w:val="multilevel"/>
    <w:tmpl w:val="00000013"/>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3B026C45"/>
    <w:multiLevelType w:val="multilevel"/>
    <w:tmpl w:val="3B026C45"/>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0NGNjOGI4ZDIyMzg0YmM5M2E2OGZiZmEzZmViOTAifQ=="/>
  </w:docVars>
  <w:rsids>
    <w:rsidRoot w:val="00172A27"/>
    <w:rsid w:val="000003EF"/>
    <w:rsid w:val="000005B6"/>
    <w:rsid w:val="0000091B"/>
    <w:rsid w:val="00000D0A"/>
    <w:rsid w:val="00000D19"/>
    <w:rsid w:val="00000E1A"/>
    <w:rsid w:val="0000104A"/>
    <w:rsid w:val="000014EC"/>
    <w:rsid w:val="000016CE"/>
    <w:rsid w:val="00001B3E"/>
    <w:rsid w:val="00001CD6"/>
    <w:rsid w:val="00001D90"/>
    <w:rsid w:val="0000215C"/>
    <w:rsid w:val="00002584"/>
    <w:rsid w:val="00002A53"/>
    <w:rsid w:val="00002DDA"/>
    <w:rsid w:val="00003DAE"/>
    <w:rsid w:val="00004272"/>
    <w:rsid w:val="000055EE"/>
    <w:rsid w:val="000058D7"/>
    <w:rsid w:val="00005E55"/>
    <w:rsid w:val="000067B7"/>
    <w:rsid w:val="00006E2C"/>
    <w:rsid w:val="000074D7"/>
    <w:rsid w:val="000079FF"/>
    <w:rsid w:val="00007B0D"/>
    <w:rsid w:val="000102A9"/>
    <w:rsid w:val="00011095"/>
    <w:rsid w:val="00011D72"/>
    <w:rsid w:val="00012078"/>
    <w:rsid w:val="000127F0"/>
    <w:rsid w:val="0001283C"/>
    <w:rsid w:val="00012E43"/>
    <w:rsid w:val="0001306C"/>
    <w:rsid w:val="0001312F"/>
    <w:rsid w:val="00013607"/>
    <w:rsid w:val="00013748"/>
    <w:rsid w:val="00013D41"/>
    <w:rsid w:val="0001408B"/>
    <w:rsid w:val="000143A3"/>
    <w:rsid w:val="00014DD6"/>
    <w:rsid w:val="0001598C"/>
    <w:rsid w:val="0001618B"/>
    <w:rsid w:val="00016C31"/>
    <w:rsid w:val="00020BB1"/>
    <w:rsid w:val="00020BF0"/>
    <w:rsid w:val="000215B7"/>
    <w:rsid w:val="000217BF"/>
    <w:rsid w:val="00021C98"/>
    <w:rsid w:val="00021CCD"/>
    <w:rsid w:val="00021EE3"/>
    <w:rsid w:val="00022368"/>
    <w:rsid w:val="000228AB"/>
    <w:rsid w:val="000233CA"/>
    <w:rsid w:val="00023652"/>
    <w:rsid w:val="00024633"/>
    <w:rsid w:val="00024B6F"/>
    <w:rsid w:val="00024F95"/>
    <w:rsid w:val="0002560A"/>
    <w:rsid w:val="000256C1"/>
    <w:rsid w:val="00025CAB"/>
    <w:rsid w:val="00025DA0"/>
    <w:rsid w:val="0002696D"/>
    <w:rsid w:val="0002754D"/>
    <w:rsid w:val="00027666"/>
    <w:rsid w:val="000276B2"/>
    <w:rsid w:val="00027A46"/>
    <w:rsid w:val="00027AF3"/>
    <w:rsid w:val="00030024"/>
    <w:rsid w:val="00030124"/>
    <w:rsid w:val="000305FD"/>
    <w:rsid w:val="0003084F"/>
    <w:rsid w:val="00030C2F"/>
    <w:rsid w:val="000311F9"/>
    <w:rsid w:val="00031757"/>
    <w:rsid w:val="00032533"/>
    <w:rsid w:val="00032686"/>
    <w:rsid w:val="0003274B"/>
    <w:rsid w:val="00032AD8"/>
    <w:rsid w:val="000331CC"/>
    <w:rsid w:val="0003322E"/>
    <w:rsid w:val="00033927"/>
    <w:rsid w:val="00035840"/>
    <w:rsid w:val="00035844"/>
    <w:rsid w:val="00036BAA"/>
    <w:rsid w:val="0003738D"/>
    <w:rsid w:val="00037C63"/>
    <w:rsid w:val="00037CE4"/>
    <w:rsid w:val="00040187"/>
    <w:rsid w:val="00040AC1"/>
    <w:rsid w:val="000418B1"/>
    <w:rsid w:val="00041BFC"/>
    <w:rsid w:val="00042BF9"/>
    <w:rsid w:val="00042F4A"/>
    <w:rsid w:val="00043295"/>
    <w:rsid w:val="00043829"/>
    <w:rsid w:val="000441ED"/>
    <w:rsid w:val="00044EE7"/>
    <w:rsid w:val="00045069"/>
    <w:rsid w:val="00045828"/>
    <w:rsid w:val="00045947"/>
    <w:rsid w:val="000462A8"/>
    <w:rsid w:val="00046360"/>
    <w:rsid w:val="0004653D"/>
    <w:rsid w:val="000465AB"/>
    <w:rsid w:val="00046662"/>
    <w:rsid w:val="00046900"/>
    <w:rsid w:val="00046E59"/>
    <w:rsid w:val="0004716B"/>
    <w:rsid w:val="000472E6"/>
    <w:rsid w:val="000479CD"/>
    <w:rsid w:val="000500E6"/>
    <w:rsid w:val="0005037C"/>
    <w:rsid w:val="000504FE"/>
    <w:rsid w:val="000513A7"/>
    <w:rsid w:val="00053BFC"/>
    <w:rsid w:val="000541A4"/>
    <w:rsid w:val="0005428F"/>
    <w:rsid w:val="00054870"/>
    <w:rsid w:val="00054ABD"/>
    <w:rsid w:val="00054F7D"/>
    <w:rsid w:val="00055230"/>
    <w:rsid w:val="00055557"/>
    <w:rsid w:val="00055A8A"/>
    <w:rsid w:val="00055E6D"/>
    <w:rsid w:val="00055FFC"/>
    <w:rsid w:val="0005625F"/>
    <w:rsid w:val="0005649E"/>
    <w:rsid w:val="00056597"/>
    <w:rsid w:val="0005700C"/>
    <w:rsid w:val="00057393"/>
    <w:rsid w:val="00057629"/>
    <w:rsid w:val="00057E45"/>
    <w:rsid w:val="000606B6"/>
    <w:rsid w:val="00060F97"/>
    <w:rsid w:val="00062637"/>
    <w:rsid w:val="000631AC"/>
    <w:rsid w:val="000631B7"/>
    <w:rsid w:val="000637FF"/>
    <w:rsid w:val="000639D4"/>
    <w:rsid w:val="00063D47"/>
    <w:rsid w:val="00064A48"/>
    <w:rsid w:val="00064C80"/>
    <w:rsid w:val="000655D7"/>
    <w:rsid w:val="00065AB7"/>
    <w:rsid w:val="00065D71"/>
    <w:rsid w:val="000667DB"/>
    <w:rsid w:val="000673D8"/>
    <w:rsid w:val="00067B14"/>
    <w:rsid w:val="00067DE7"/>
    <w:rsid w:val="000706AC"/>
    <w:rsid w:val="00070950"/>
    <w:rsid w:val="000709D3"/>
    <w:rsid w:val="000712F8"/>
    <w:rsid w:val="00071309"/>
    <w:rsid w:val="00071A6A"/>
    <w:rsid w:val="00071C95"/>
    <w:rsid w:val="00072A95"/>
    <w:rsid w:val="00072E1C"/>
    <w:rsid w:val="00072E6E"/>
    <w:rsid w:val="00074923"/>
    <w:rsid w:val="00074FED"/>
    <w:rsid w:val="000750EA"/>
    <w:rsid w:val="00075286"/>
    <w:rsid w:val="00076417"/>
    <w:rsid w:val="00077698"/>
    <w:rsid w:val="00077733"/>
    <w:rsid w:val="00077891"/>
    <w:rsid w:val="000778ED"/>
    <w:rsid w:val="0007791D"/>
    <w:rsid w:val="0007797E"/>
    <w:rsid w:val="0008017C"/>
    <w:rsid w:val="00080AA6"/>
    <w:rsid w:val="0008186A"/>
    <w:rsid w:val="00081C1C"/>
    <w:rsid w:val="000822F0"/>
    <w:rsid w:val="00082611"/>
    <w:rsid w:val="0008264F"/>
    <w:rsid w:val="0008278B"/>
    <w:rsid w:val="00082969"/>
    <w:rsid w:val="00082EFD"/>
    <w:rsid w:val="0008372E"/>
    <w:rsid w:val="000839ED"/>
    <w:rsid w:val="00083A64"/>
    <w:rsid w:val="00083B97"/>
    <w:rsid w:val="00083DE9"/>
    <w:rsid w:val="0008480B"/>
    <w:rsid w:val="00084DAF"/>
    <w:rsid w:val="000856A1"/>
    <w:rsid w:val="0008572C"/>
    <w:rsid w:val="000859E6"/>
    <w:rsid w:val="00085F62"/>
    <w:rsid w:val="00085FB6"/>
    <w:rsid w:val="000866A9"/>
    <w:rsid w:val="00086C00"/>
    <w:rsid w:val="00086EC2"/>
    <w:rsid w:val="00087358"/>
    <w:rsid w:val="000873F5"/>
    <w:rsid w:val="00087AF8"/>
    <w:rsid w:val="00087E3D"/>
    <w:rsid w:val="000900DF"/>
    <w:rsid w:val="00090193"/>
    <w:rsid w:val="0009021F"/>
    <w:rsid w:val="00090373"/>
    <w:rsid w:val="00090FAF"/>
    <w:rsid w:val="00091B1D"/>
    <w:rsid w:val="00091D8D"/>
    <w:rsid w:val="0009229B"/>
    <w:rsid w:val="00093DF8"/>
    <w:rsid w:val="000941F6"/>
    <w:rsid w:val="000945C5"/>
    <w:rsid w:val="000947F1"/>
    <w:rsid w:val="00094ECF"/>
    <w:rsid w:val="00094F56"/>
    <w:rsid w:val="0009592E"/>
    <w:rsid w:val="00095D1D"/>
    <w:rsid w:val="00096B35"/>
    <w:rsid w:val="00096DFE"/>
    <w:rsid w:val="0009715C"/>
    <w:rsid w:val="000973E6"/>
    <w:rsid w:val="000A0DB9"/>
    <w:rsid w:val="000A10DB"/>
    <w:rsid w:val="000A1466"/>
    <w:rsid w:val="000A1F25"/>
    <w:rsid w:val="000A2968"/>
    <w:rsid w:val="000A346E"/>
    <w:rsid w:val="000A3515"/>
    <w:rsid w:val="000A3518"/>
    <w:rsid w:val="000A3F79"/>
    <w:rsid w:val="000A5540"/>
    <w:rsid w:val="000A59B9"/>
    <w:rsid w:val="000A5CFB"/>
    <w:rsid w:val="000A66A7"/>
    <w:rsid w:val="000A6F1D"/>
    <w:rsid w:val="000A70C7"/>
    <w:rsid w:val="000A7238"/>
    <w:rsid w:val="000A791D"/>
    <w:rsid w:val="000B09FE"/>
    <w:rsid w:val="000B0EFF"/>
    <w:rsid w:val="000B15EF"/>
    <w:rsid w:val="000B2225"/>
    <w:rsid w:val="000B26D6"/>
    <w:rsid w:val="000B316D"/>
    <w:rsid w:val="000B3194"/>
    <w:rsid w:val="000B3741"/>
    <w:rsid w:val="000B3CFE"/>
    <w:rsid w:val="000B42D5"/>
    <w:rsid w:val="000B4EF3"/>
    <w:rsid w:val="000B522C"/>
    <w:rsid w:val="000B554C"/>
    <w:rsid w:val="000B588F"/>
    <w:rsid w:val="000B5D87"/>
    <w:rsid w:val="000B67AE"/>
    <w:rsid w:val="000B6F18"/>
    <w:rsid w:val="000B7189"/>
    <w:rsid w:val="000B7E6D"/>
    <w:rsid w:val="000C11FD"/>
    <w:rsid w:val="000C350A"/>
    <w:rsid w:val="000C3CDF"/>
    <w:rsid w:val="000C4020"/>
    <w:rsid w:val="000C41AA"/>
    <w:rsid w:val="000C4959"/>
    <w:rsid w:val="000C4988"/>
    <w:rsid w:val="000C4E28"/>
    <w:rsid w:val="000C50DF"/>
    <w:rsid w:val="000C59D1"/>
    <w:rsid w:val="000C61CD"/>
    <w:rsid w:val="000C7045"/>
    <w:rsid w:val="000C757A"/>
    <w:rsid w:val="000C7A24"/>
    <w:rsid w:val="000C7D9F"/>
    <w:rsid w:val="000D1274"/>
    <w:rsid w:val="000D12D5"/>
    <w:rsid w:val="000D1B95"/>
    <w:rsid w:val="000D1C10"/>
    <w:rsid w:val="000D1E5A"/>
    <w:rsid w:val="000D38A6"/>
    <w:rsid w:val="000D3E1B"/>
    <w:rsid w:val="000D4061"/>
    <w:rsid w:val="000D4860"/>
    <w:rsid w:val="000D48FB"/>
    <w:rsid w:val="000D4B4F"/>
    <w:rsid w:val="000D4C66"/>
    <w:rsid w:val="000D4EC1"/>
    <w:rsid w:val="000D549B"/>
    <w:rsid w:val="000D55FD"/>
    <w:rsid w:val="000D5634"/>
    <w:rsid w:val="000D574F"/>
    <w:rsid w:val="000D5E20"/>
    <w:rsid w:val="000D6768"/>
    <w:rsid w:val="000E01DF"/>
    <w:rsid w:val="000E0FA4"/>
    <w:rsid w:val="000E1C04"/>
    <w:rsid w:val="000E2AD1"/>
    <w:rsid w:val="000E3D2F"/>
    <w:rsid w:val="000E4340"/>
    <w:rsid w:val="000E4712"/>
    <w:rsid w:val="000E4718"/>
    <w:rsid w:val="000E612C"/>
    <w:rsid w:val="000E6237"/>
    <w:rsid w:val="000E6D38"/>
    <w:rsid w:val="000E6FA0"/>
    <w:rsid w:val="000E72E7"/>
    <w:rsid w:val="000E72F6"/>
    <w:rsid w:val="000E75B3"/>
    <w:rsid w:val="000E7CC8"/>
    <w:rsid w:val="000F1264"/>
    <w:rsid w:val="000F1266"/>
    <w:rsid w:val="000F1B78"/>
    <w:rsid w:val="000F1E74"/>
    <w:rsid w:val="000F1F51"/>
    <w:rsid w:val="000F1FB0"/>
    <w:rsid w:val="000F2181"/>
    <w:rsid w:val="000F24AC"/>
    <w:rsid w:val="000F254B"/>
    <w:rsid w:val="000F2830"/>
    <w:rsid w:val="000F2F60"/>
    <w:rsid w:val="000F3326"/>
    <w:rsid w:val="000F4B3A"/>
    <w:rsid w:val="000F4EDD"/>
    <w:rsid w:val="000F5331"/>
    <w:rsid w:val="000F55C9"/>
    <w:rsid w:val="000F5E8B"/>
    <w:rsid w:val="000F6242"/>
    <w:rsid w:val="000F6F32"/>
    <w:rsid w:val="000F70F9"/>
    <w:rsid w:val="000F75A8"/>
    <w:rsid w:val="000F76E0"/>
    <w:rsid w:val="000F77B4"/>
    <w:rsid w:val="00100331"/>
    <w:rsid w:val="00101255"/>
    <w:rsid w:val="001016BB"/>
    <w:rsid w:val="0010251A"/>
    <w:rsid w:val="00102BC3"/>
    <w:rsid w:val="00103458"/>
    <w:rsid w:val="00104AFF"/>
    <w:rsid w:val="001054B0"/>
    <w:rsid w:val="00105A06"/>
    <w:rsid w:val="00105B2E"/>
    <w:rsid w:val="00107326"/>
    <w:rsid w:val="001078F4"/>
    <w:rsid w:val="00110797"/>
    <w:rsid w:val="00111ECD"/>
    <w:rsid w:val="001121DD"/>
    <w:rsid w:val="0011227C"/>
    <w:rsid w:val="00112DBF"/>
    <w:rsid w:val="00113646"/>
    <w:rsid w:val="00113992"/>
    <w:rsid w:val="0011487E"/>
    <w:rsid w:val="001149C5"/>
    <w:rsid w:val="0011539F"/>
    <w:rsid w:val="00116015"/>
    <w:rsid w:val="00116258"/>
    <w:rsid w:val="00116781"/>
    <w:rsid w:val="00117559"/>
    <w:rsid w:val="0012026D"/>
    <w:rsid w:val="00120457"/>
    <w:rsid w:val="001204EB"/>
    <w:rsid w:val="0012077F"/>
    <w:rsid w:val="00120813"/>
    <w:rsid w:val="0012099E"/>
    <w:rsid w:val="00120E60"/>
    <w:rsid w:val="0012130E"/>
    <w:rsid w:val="001213B0"/>
    <w:rsid w:val="00121741"/>
    <w:rsid w:val="00121832"/>
    <w:rsid w:val="0012235C"/>
    <w:rsid w:val="00122A75"/>
    <w:rsid w:val="001241D1"/>
    <w:rsid w:val="00124985"/>
    <w:rsid w:val="00125609"/>
    <w:rsid w:val="00125FC1"/>
    <w:rsid w:val="00126655"/>
    <w:rsid w:val="00126707"/>
    <w:rsid w:val="001269E0"/>
    <w:rsid w:val="00126C18"/>
    <w:rsid w:val="00126EBE"/>
    <w:rsid w:val="0012725A"/>
    <w:rsid w:val="00127E1B"/>
    <w:rsid w:val="00127FC8"/>
    <w:rsid w:val="001318F4"/>
    <w:rsid w:val="0013190A"/>
    <w:rsid w:val="00131945"/>
    <w:rsid w:val="00131C94"/>
    <w:rsid w:val="00131DE6"/>
    <w:rsid w:val="001326DF"/>
    <w:rsid w:val="00132AD8"/>
    <w:rsid w:val="00132CCE"/>
    <w:rsid w:val="00133A48"/>
    <w:rsid w:val="00133D01"/>
    <w:rsid w:val="00134510"/>
    <w:rsid w:val="00135A65"/>
    <w:rsid w:val="00136073"/>
    <w:rsid w:val="001361F7"/>
    <w:rsid w:val="001364D5"/>
    <w:rsid w:val="00136606"/>
    <w:rsid w:val="00136806"/>
    <w:rsid w:val="001369A6"/>
    <w:rsid w:val="00136A93"/>
    <w:rsid w:val="00136BD6"/>
    <w:rsid w:val="00136DBC"/>
    <w:rsid w:val="00136F77"/>
    <w:rsid w:val="00136FA8"/>
    <w:rsid w:val="00137856"/>
    <w:rsid w:val="00137AF6"/>
    <w:rsid w:val="00137BD8"/>
    <w:rsid w:val="00140291"/>
    <w:rsid w:val="001404CD"/>
    <w:rsid w:val="00140BCF"/>
    <w:rsid w:val="00141AA7"/>
    <w:rsid w:val="00141AE5"/>
    <w:rsid w:val="00141E8C"/>
    <w:rsid w:val="001422D4"/>
    <w:rsid w:val="00142890"/>
    <w:rsid w:val="00143DF9"/>
    <w:rsid w:val="001442C2"/>
    <w:rsid w:val="001449E1"/>
    <w:rsid w:val="00144D5F"/>
    <w:rsid w:val="00145054"/>
    <w:rsid w:val="00145135"/>
    <w:rsid w:val="00145F55"/>
    <w:rsid w:val="0014647C"/>
    <w:rsid w:val="00147916"/>
    <w:rsid w:val="0014795D"/>
    <w:rsid w:val="001479AA"/>
    <w:rsid w:val="00147F00"/>
    <w:rsid w:val="00150564"/>
    <w:rsid w:val="001506A7"/>
    <w:rsid w:val="00150882"/>
    <w:rsid w:val="00150A4A"/>
    <w:rsid w:val="001518B5"/>
    <w:rsid w:val="00151BBA"/>
    <w:rsid w:val="0015252D"/>
    <w:rsid w:val="00152656"/>
    <w:rsid w:val="00152C00"/>
    <w:rsid w:val="00152C2B"/>
    <w:rsid w:val="00152E98"/>
    <w:rsid w:val="00153084"/>
    <w:rsid w:val="00153BED"/>
    <w:rsid w:val="00154304"/>
    <w:rsid w:val="001546D6"/>
    <w:rsid w:val="0015477A"/>
    <w:rsid w:val="001549D0"/>
    <w:rsid w:val="00154F0A"/>
    <w:rsid w:val="0015563E"/>
    <w:rsid w:val="00156891"/>
    <w:rsid w:val="00156958"/>
    <w:rsid w:val="00156BA3"/>
    <w:rsid w:val="00157320"/>
    <w:rsid w:val="001579B9"/>
    <w:rsid w:val="00157CBD"/>
    <w:rsid w:val="001602EB"/>
    <w:rsid w:val="001610EB"/>
    <w:rsid w:val="00161C1F"/>
    <w:rsid w:val="00161C2F"/>
    <w:rsid w:val="00162013"/>
    <w:rsid w:val="001620B6"/>
    <w:rsid w:val="00162664"/>
    <w:rsid w:val="00162995"/>
    <w:rsid w:val="00163194"/>
    <w:rsid w:val="0016397B"/>
    <w:rsid w:val="00163DB9"/>
    <w:rsid w:val="001641BB"/>
    <w:rsid w:val="00164A8F"/>
    <w:rsid w:val="00164E8A"/>
    <w:rsid w:val="00164F8F"/>
    <w:rsid w:val="001650BB"/>
    <w:rsid w:val="0016529F"/>
    <w:rsid w:val="001658F5"/>
    <w:rsid w:val="00165F38"/>
    <w:rsid w:val="001661B8"/>
    <w:rsid w:val="00166237"/>
    <w:rsid w:val="00166416"/>
    <w:rsid w:val="0016644D"/>
    <w:rsid w:val="00166EE6"/>
    <w:rsid w:val="001672AF"/>
    <w:rsid w:val="00167629"/>
    <w:rsid w:val="0016783A"/>
    <w:rsid w:val="00170740"/>
    <w:rsid w:val="00170A14"/>
    <w:rsid w:val="0017112B"/>
    <w:rsid w:val="001726CF"/>
    <w:rsid w:val="00172BAF"/>
    <w:rsid w:val="00172EC0"/>
    <w:rsid w:val="00173191"/>
    <w:rsid w:val="001737FE"/>
    <w:rsid w:val="0017426E"/>
    <w:rsid w:val="00174E71"/>
    <w:rsid w:val="00176E50"/>
    <w:rsid w:val="0017723E"/>
    <w:rsid w:val="001772FF"/>
    <w:rsid w:val="001775DA"/>
    <w:rsid w:val="00177AD0"/>
    <w:rsid w:val="001808E8"/>
    <w:rsid w:val="00180AE0"/>
    <w:rsid w:val="00181135"/>
    <w:rsid w:val="00181C0B"/>
    <w:rsid w:val="00182382"/>
    <w:rsid w:val="00182A1C"/>
    <w:rsid w:val="00182DF8"/>
    <w:rsid w:val="00183951"/>
    <w:rsid w:val="00183CB0"/>
    <w:rsid w:val="00183CC7"/>
    <w:rsid w:val="001842FD"/>
    <w:rsid w:val="00185DB6"/>
    <w:rsid w:val="00186AE7"/>
    <w:rsid w:val="00187892"/>
    <w:rsid w:val="00187948"/>
    <w:rsid w:val="001879F2"/>
    <w:rsid w:val="00187DFB"/>
    <w:rsid w:val="001900A7"/>
    <w:rsid w:val="00190463"/>
    <w:rsid w:val="001913D1"/>
    <w:rsid w:val="00191435"/>
    <w:rsid w:val="00191F8F"/>
    <w:rsid w:val="00192213"/>
    <w:rsid w:val="001927A2"/>
    <w:rsid w:val="001927AF"/>
    <w:rsid w:val="00192C5B"/>
    <w:rsid w:val="001930B3"/>
    <w:rsid w:val="00193169"/>
    <w:rsid w:val="0019335B"/>
    <w:rsid w:val="0019394C"/>
    <w:rsid w:val="00193CA3"/>
    <w:rsid w:val="00193D49"/>
    <w:rsid w:val="0019423A"/>
    <w:rsid w:val="00195648"/>
    <w:rsid w:val="001959DC"/>
    <w:rsid w:val="00195F44"/>
    <w:rsid w:val="00195F61"/>
    <w:rsid w:val="00196019"/>
    <w:rsid w:val="00196A3F"/>
    <w:rsid w:val="00196B94"/>
    <w:rsid w:val="00196C83"/>
    <w:rsid w:val="00196E92"/>
    <w:rsid w:val="001A0614"/>
    <w:rsid w:val="001A0896"/>
    <w:rsid w:val="001A168C"/>
    <w:rsid w:val="001A1F4F"/>
    <w:rsid w:val="001A315B"/>
    <w:rsid w:val="001A3856"/>
    <w:rsid w:val="001A3F6D"/>
    <w:rsid w:val="001A4029"/>
    <w:rsid w:val="001A4A30"/>
    <w:rsid w:val="001A4C94"/>
    <w:rsid w:val="001A5DA1"/>
    <w:rsid w:val="001A636F"/>
    <w:rsid w:val="001A6601"/>
    <w:rsid w:val="001A775C"/>
    <w:rsid w:val="001A7CBA"/>
    <w:rsid w:val="001B064E"/>
    <w:rsid w:val="001B0A5F"/>
    <w:rsid w:val="001B1736"/>
    <w:rsid w:val="001B18AC"/>
    <w:rsid w:val="001B1AE6"/>
    <w:rsid w:val="001B1CC4"/>
    <w:rsid w:val="001B2033"/>
    <w:rsid w:val="001B32D3"/>
    <w:rsid w:val="001B32E4"/>
    <w:rsid w:val="001B3383"/>
    <w:rsid w:val="001B3778"/>
    <w:rsid w:val="001B3C66"/>
    <w:rsid w:val="001B3DDF"/>
    <w:rsid w:val="001B3E30"/>
    <w:rsid w:val="001B4ED3"/>
    <w:rsid w:val="001B50CC"/>
    <w:rsid w:val="001B5234"/>
    <w:rsid w:val="001B5355"/>
    <w:rsid w:val="001B6049"/>
    <w:rsid w:val="001B60D4"/>
    <w:rsid w:val="001B6482"/>
    <w:rsid w:val="001B6B84"/>
    <w:rsid w:val="001B7014"/>
    <w:rsid w:val="001B7C32"/>
    <w:rsid w:val="001B7CBF"/>
    <w:rsid w:val="001C0FC6"/>
    <w:rsid w:val="001C148A"/>
    <w:rsid w:val="001C15DB"/>
    <w:rsid w:val="001C1814"/>
    <w:rsid w:val="001C1FAC"/>
    <w:rsid w:val="001C21B9"/>
    <w:rsid w:val="001C3D80"/>
    <w:rsid w:val="001C4361"/>
    <w:rsid w:val="001C51A3"/>
    <w:rsid w:val="001C5358"/>
    <w:rsid w:val="001C56D1"/>
    <w:rsid w:val="001C5E07"/>
    <w:rsid w:val="001C7792"/>
    <w:rsid w:val="001C7A8C"/>
    <w:rsid w:val="001D05FE"/>
    <w:rsid w:val="001D07C6"/>
    <w:rsid w:val="001D15D9"/>
    <w:rsid w:val="001D1747"/>
    <w:rsid w:val="001D2019"/>
    <w:rsid w:val="001D23EF"/>
    <w:rsid w:val="001D2B65"/>
    <w:rsid w:val="001D3185"/>
    <w:rsid w:val="001D3534"/>
    <w:rsid w:val="001D42DA"/>
    <w:rsid w:val="001D537F"/>
    <w:rsid w:val="001D547D"/>
    <w:rsid w:val="001D6E58"/>
    <w:rsid w:val="001D723E"/>
    <w:rsid w:val="001D7681"/>
    <w:rsid w:val="001D7E8C"/>
    <w:rsid w:val="001E0CA5"/>
    <w:rsid w:val="001E131D"/>
    <w:rsid w:val="001E1F74"/>
    <w:rsid w:val="001E1FA3"/>
    <w:rsid w:val="001E20BB"/>
    <w:rsid w:val="001E21AC"/>
    <w:rsid w:val="001E24A4"/>
    <w:rsid w:val="001E28CC"/>
    <w:rsid w:val="001E321D"/>
    <w:rsid w:val="001E38B1"/>
    <w:rsid w:val="001E40F5"/>
    <w:rsid w:val="001E478C"/>
    <w:rsid w:val="001E4865"/>
    <w:rsid w:val="001E4C00"/>
    <w:rsid w:val="001E4D12"/>
    <w:rsid w:val="001E4D56"/>
    <w:rsid w:val="001E60F0"/>
    <w:rsid w:val="001E6214"/>
    <w:rsid w:val="001E7179"/>
    <w:rsid w:val="001E71E6"/>
    <w:rsid w:val="001E72E0"/>
    <w:rsid w:val="001E7B04"/>
    <w:rsid w:val="001F0064"/>
    <w:rsid w:val="001F1396"/>
    <w:rsid w:val="001F16DF"/>
    <w:rsid w:val="001F1960"/>
    <w:rsid w:val="001F2EB1"/>
    <w:rsid w:val="001F3105"/>
    <w:rsid w:val="001F3DAE"/>
    <w:rsid w:val="001F40B0"/>
    <w:rsid w:val="001F4A98"/>
    <w:rsid w:val="001F4E02"/>
    <w:rsid w:val="001F6159"/>
    <w:rsid w:val="001F62FF"/>
    <w:rsid w:val="001F63FA"/>
    <w:rsid w:val="001F6680"/>
    <w:rsid w:val="001F6CE9"/>
    <w:rsid w:val="001F6FB6"/>
    <w:rsid w:val="001F740D"/>
    <w:rsid w:val="001F792F"/>
    <w:rsid w:val="001F7AC9"/>
    <w:rsid w:val="001F7B9E"/>
    <w:rsid w:val="001F7BE1"/>
    <w:rsid w:val="001F7C97"/>
    <w:rsid w:val="00200A84"/>
    <w:rsid w:val="00200DCF"/>
    <w:rsid w:val="00200E44"/>
    <w:rsid w:val="002014F7"/>
    <w:rsid w:val="00201A35"/>
    <w:rsid w:val="00201A96"/>
    <w:rsid w:val="00202576"/>
    <w:rsid w:val="00202B50"/>
    <w:rsid w:val="00202EF9"/>
    <w:rsid w:val="00203204"/>
    <w:rsid w:val="00203236"/>
    <w:rsid w:val="002036E8"/>
    <w:rsid w:val="00203B3F"/>
    <w:rsid w:val="002043F2"/>
    <w:rsid w:val="002048AD"/>
    <w:rsid w:val="002051F7"/>
    <w:rsid w:val="0020531C"/>
    <w:rsid w:val="002067D2"/>
    <w:rsid w:val="0020695B"/>
    <w:rsid w:val="0020708A"/>
    <w:rsid w:val="00207642"/>
    <w:rsid w:val="00207F6A"/>
    <w:rsid w:val="00210256"/>
    <w:rsid w:val="00210394"/>
    <w:rsid w:val="0021076E"/>
    <w:rsid w:val="00211882"/>
    <w:rsid w:val="00212B08"/>
    <w:rsid w:val="00212EE4"/>
    <w:rsid w:val="00212F20"/>
    <w:rsid w:val="00213289"/>
    <w:rsid w:val="0021364B"/>
    <w:rsid w:val="00213819"/>
    <w:rsid w:val="00213825"/>
    <w:rsid w:val="00214189"/>
    <w:rsid w:val="00214ADD"/>
    <w:rsid w:val="0021525B"/>
    <w:rsid w:val="00216B19"/>
    <w:rsid w:val="00216B94"/>
    <w:rsid w:val="00216CCC"/>
    <w:rsid w:val="00216E16"/>
    <w:rsid w:val="00217250"/>
    <w:rsid w:val="0021738B"/>
    <w:rsid w:val="002175E6"/>
    <w:rsid w:val="00217F25"/>
    <w:rsid w:val="00220082"/>
    <w:rsid w:val="002203BD"/>
    <w:rsid w:val="002205B9"/>
    <w:rsid w:val="00220630"/>
    <w:rsid w:val="00220776"/>
    <w:rsid w:val="002210C8"/>
    <w:rsid w:val="002221C3"/>
    <w:rsid w:val="002223BA"/>
    <w:rsid w:val="00222572"/>
    <w:rsid w:val="0022299A"/>
    <w:rsid w:val="00222B91"/>
    <w:rsid w:val="002230FD"/>
    <w:rsid w:val="002232B3"/>
    <w:rsid w:val="002242DB"/>
    <w:rsid w:val="00224756"/>
    <w:rsid w:val="00224878"/>
    <w:rsid w:val="00224B93"/>
    <w:rsid w:val="0022514D"/>
    <w:rsid w:val="002254D7"/>
    <w:rsid w:val="00225ADB"/>
    <w:rsid w:val="00225CEE"/>
    <w:rsid w:val="00226447"/>
    <w:rsid w:val="002266DB"/>
    <w:rsid w:val="00226894"/>
    <w:rsid w:val="002268B0"/>
    <w:rsid w:val="00226A4A"/>
    <w:rsid w:val="00227577"/>
    <w:rsid w:val="002277E9"/>
    <w:rsid w:val="002279E3"/>
    <w:rsid w:val="002303A6"/>
    <w:rsid w:val="00230894"/>
    <w:rsid w:val="002308E9"/>
    <w:rsid w:val="002309DD"/>
    <w:rsid w:val="00230C2C"/>
    <w:rsid w:val="00230CBE"/>
    <w:rsid w:val="00231B36"/>
    <w:rsid w:val="00231F9E"/>
    <w:rsid w:val="00232498"/>
    <w:rsid w:val="0023254E"/>
    <w:rsid w:val="00232733"/>
    <w:rsid w:val="00232785"/>
    <w:rsid w:val="00232918"/>
    <w:rsid w:val="0023350C"/>
    <w:rsid w:val="002337A4"/>
    <w:rsid w:val="00233E70"/>
    <w:rsid w:val="00234281"/>
    <w:rsid w:val="00234C67"/>
    <w:rsid w:val="00234FD3"/>
    <w:rsid w:val="00235E3F"/>
    <w:rsid w:val="00236A66"/>
    <w:rsid w:val="00236B90"/>
    <w:rsid w:val="002371BF"/>
    <w:rsid w:val="00237427"/>
    <w:rsid w:val="002376E3"/>
    <w:rsid w:val="00237820"/>
    <w:rsid w:val="00237A87"/>
    <w:rsid w:val="002403A1"/>
    <w:rsid w:val="002404C3"/>
    <w:rsid w:val="002406A2"/>
    <w:rsid w:val="00240F64"/>
    <w:rsid w:val="00241129"/>
    <w:rsid w:val="00241840"/>
    <w:rsid w:val="00241C36"/>
    <w:rsid w:val="00241F48"/>
    <w:rsid w:val="002427EB"/>
    <w:rsid w:val="002427F0"/>
    <w:rsid w:val="002428BD"/>
    <w:rsid w:val="002429C1"/>
    <w:rsid w:val="00242A17"/>
    <w:rsid w:val="00242E09"/>
    <w:rsid w:val="00242EEF"/>
    <w:rsid w:val="00243026"/>
    <w:rsid w:val="002432B7"/>
    <w:rsid w:val="0024349B"/>
    <w:rsid w:val="0024365F"/>
    <w:rsid w:val="00243BB5"/>
    <w:rsid w:val="0024400C"/>
    <w:rsid w:val="002440B2"/>
    <w:rsid w:val="002458CE"/>
    <w:rsid w:val="00246513"/>
    <w:rsid w:val="00246B1D"/>
    <w:rsid w:val="00247BDE"/>
    <w:rsid w:val="00247CEA"/>
    <w:rsid w:val="00250B11"/>
    <w:rsid w:val="00251EB3"/>
    <w:rsid w:val="00252472"/>
    <w:rsid w:val="002525A9"/>
    <w:rsid w:val="0025329B"/>
    <w:rsid w:val="002538BA"/>
    <w:rsid w:val="00253ABF"/>
    <w:rsid w:val="00253EC4"/>
    <w:rsid w:val="0025418A"/>
    <w:rsid w:val="00254240"/>
    <w:rsid w:val="00254266"/>
    <w:rsid w:val="00255A5B"/>
    <w:rsid w:val="00255BC2"/>
    <w:rsid w:val="002561BF"/>
    <w:rsid w:val="00256539"/>
    <w:rsid w:val="00256DEA"/>
    <w:rsid w:val="002572EB"/>
    <w:rsid w:val="00257C49"/>
    <w:rsid w:val="00257C4C"/>
    <w:rsid w:val="0026072F"/>
    <w:rsid w:val="00260952"/>
    <w:rsid w:val="00260A98"/>
    <w:rsid w:val="00261192"/>
    <w:rsid w:val="00261A11"/>
    <w:rsid w:val="00261CB5"/>
    <w:rsid w:val="0026202B"/>
    <w:rsid w:val="002625F2"/>
    <w:rsid w:val="00262869"/>
    <w:rsid w:val="00263268"/>
    <w:rsid w:val="00263413"/>
    <w:rsid w:val="002635F3"/>
    <w:rsid w:val="0026431A"/>
    <w:rsid w:val="002644A4"/>
    <w:rsid w:val="0026495A"/>
    <w:rsid w:val="00265066"/>
    <w:rsid w:val="00265C93"/>
    <w:rsid w:val="00266300"/>
    <w:rsid w:val="0026640E"/>
    <w:rsid w:val="002664CA"/>
    <w:rsid w:val="00267883"/>
    <w:rsid w:val="00271150"/>
    <w:rsid w:val="00271B87"/>
    <w:rsid w:val="00271C7B"/>
    <w:rsid w:val="00271D11"/>
    <w:rsid w:val="0027296D"/>
    <w:rsid w:val="00272D84"/>
    <w:rsid w:val="002735DD"/>
    <w:rsid w:val="00273892"/>
    <w:rsid w:val="002747CC"/>
    <w:rsid w:val="00274830"/>
    <w:rsid w:val="0027494B"/>
    <w:rsid w:val="00274DF9"/>
    <w:rsid w:val="00275170"/>
    <w:rsid w:val="00275D77"/>
    <w:rsid w:val="002778F2"/>
    <w:rsid w:val="00277F52"/>
    <w:rsid w:val="002809A3"/>
    <w:rsid w:val="00280F6B"/>
    <w:rsid w:val="00281979"/>
    <w:rsid w:val="00281E85"/>
    <w:rsid w:val="002837F8"/>
    <w:rsid w:val="00283978"/>
    <w:rsid w:val="00283ACF"/>
    <w:rsid w:val="00283C0D"/>
    <w:rsid w:val="00283C99"/>
    <w:rsid w:val="0028473D"/>
    <w:rsid w:val="00284850"/>
    <w:rsid w:val="00284D22"/>
    <w:rsid w:val="00285326"/>
    <w:rsid w:val="00285DE8"/>
    <w:rsid w:val="002866E2"/>
    <w:rsid w:val="00290891"/>
    <w:rsid w:val="0029132B"/>
    <w:rsid w:val="00291DA9"/>
    <w:rsid w:val="00292773"/>
    <w:rsid w:val="002927AC"/>
    <w:rsid w:val="00292A11"/>
    <w:rsid w:val="0029469F"/>
    <w:rsid w:val="00294A5F"/>
    <w:rsid w:val="0029506F"/>
    <w:rsid w:val="00295405"/>
    <w:rsid w:val="002954FB"/>
    <w:rsid w:val="0029618D"/>
    <w:rsid w:val="002964D9"/>
    <w:rsid w:val="002965BA"/>
    <w:rsid w:val="00296814"/>
    <w:rsid w:val="0029716C"/>
    <w:rsid w:val="0029798E"/>
    <w:rsid w:val="002A0DD4"/>
    <w:rsid w:val="002A2537"/>
    <w:rsid w:val="002A2AB8"/>
    <w:rsid w:val="002A2B8E"/>
    <w:rsid w:val="002A4B29"/>
    <w:rsid w:val="002A5126"/>
    <w:rsid w:val="002A5948"/>
    <w:rsid w:val="002A64F2"/>
    <w:rsid w:val="002A6590"/>
    <w:rsid w:val="002A7478"/>
    <w:rsid w:val="002A74AA"/>
    <w:rsid w:val="002A7B26"/>
    <w:rsid w:val="002B01AD"/>
    <w:rsid w:val="002B047F"/>
    <w:rsid w:val="002B11A6"/>
    <w:rsid w:val="002B1ACA"/>
    <w:rsid w:val="002B1C6E"/>
    <w:rsid w:val="002B2D78"/>
    <w:rsid w:val="002B32C9"/>
    <w:rsid w:val="002B3736"/>
    <w:rsid w:val="002B4054"/>
    <w:rsid w:val="002B4621"/>
    <w:rsid w:val="002B46FF"/>
    <w:rsid w:val="002B48A7"/>
    <w:rsid w:val="002B497D"/>
    <w:rsid w:val="002B4D0E"/>
    <w:rsid w:val="002B4F7B"/>
    <w:rsid w:val="002B542A"/>
    <w:rsid w:val="002B5495"/>
    <w:rsid w:val="002B54C5"/>
    <w:rsid w:val="002B55E5"/>
    <w:rsid w:val="002B653E"/>
    <w:rsid w:val="002B6703"/>
    <w:rsid w:val="002B6BCB"/>
    <w:rsid w:val="002B6D69"/>
    <w:rsid w:val="002B6F67"/>
    <w:rsid w:val="002B7411"/>
    <w:rsid w:val="002B7D02"/>
    <w:rsid w:val="002B7F1B"/>
    <w:rsid w:val="002C0083"/>
    <w:rsid w:val="002C00C0"/>
    <w:rsid w:val="002C032E"/>
    <w:rsid w:val="002C081A"/>
    <w:rsid w:val="002C108A"/>
    <w:rsid w:val="002C1553"/>
    <w:rsid w:val="002C1875"/>
    <w:rsid w:val="002C1F27"/>
    <w:rsid w:val="002C29BA"/>
    <w:rsid w:val="002C2CCD"/>
    <w:rsid w:val="002C2E7C"/>
    <w:rsid w:val="002C2E96"/>
    <w:rsid w:val="002C2F7F"/>
    <w:rsid w:val="002C2FB4"/>
    <w:rsid w:val="002C2FD3"/>
    <w:rsid w:val="002C3683"/>
    <w:rsid w:val="002C3B38"/>
    <w:rsid w:val="002C5319"/>
    <w:rsid w:val="002C6DC2"/>
    <w:rsid w:val="002C6DDA"/>
    <w:rsid w:val="002C713E"/>
    <w:rsid w:val="002C7335"/>
    <w:rsid w:val="002C79CC"/>
    <w:rsid w:val="002D053D"/>
    <w:rsid w:val="002D0B99"/>
    <w:rsid w:val="002D0D30"/>
    <w:rsid w:val="002D134A"/>
    <w:rsid w:val="002D1936"/>
    <w:rsid w:val="002D1CE8"/>
    <w:rsid w:val="002D2FB2"/>
    <w:rsid w:val="002D3782"/>
    <w:rsid w:val="002D3A97"/>
    <w:rsid w:val="002D48E6"/>
    <w:rsid w:val="002D499B"/>
    <w:rsid w:val="002D5010"/>
    <w:rsid w:val="002D5B16"/>
    <w:rsid w:val="002D5BA1"/>
    <w:rsid w:val="002D613A"/>
    <w:rsid w:val="002D62D2"/>
    <w:rsid w:val="002D769A"/>
    <w:rsid w:val="002D7789"/>
    <w:rsid w:val="002D77B7"/>
    <w:rsid w:val="002D7CC4"/>
    <w:rsid w:val="002D7DBC"/>
    <w:rsid w:val="002E02AA"/>
    <w:rsid w:val="002E0C21"/>
    <w:rsid w:val="002E0E96"/>
    <w:rsid w:val="002E1616"/>
    <w:rsid w:val="002E192A"/>
    <w:rsid w:val="002E2471"/>
    <w:rsid w:val="002E2B84"/>
    <w:rsid w:val="002E300A"/>
    <w:rsid w:val="002E3092"/>
    <w:rsid w:val="002E3543"/>
    <w:rsid w:val="002E3B82"/>
    <w:rsid w:val="002E3C95"/>
    <w:rsid w:val="002E40D7"/>
    <w:rsid w:val="002E474C"/>
    <w:rsid w:val="002E4BB3"/>
    <w:rsid w:val="002E5F0D"/>
    <w:rsid w:val="002E6D33"/>
    <w:rsid w:val="002E6EE7"/>
    <w:rsid w:val="002F0C6B"/>
    <w:rsid w:val="002F1CD0"/>
    <w:rsid w:val="002F1D5C"/>
    <w:rsid w:val="002F207F"/>
    <w:rsid w:val="002F24AF"/>
    <w:rsid w:val="002F32ED"/>
    <w:rsid w:val="002F3799"/>
    <w:rsid w:val="002F3869"/>
    <w:rsid w:val="002F43B6"/>
    <w:rsid w:val="002F49F9"/>
    <w:rsid w:val="002F515D"/>
    <w:rsid w:val="002F6673"/>
    <w:rsid w:val="002F66DB"/>
    <w:rsid w:val="002F6B16"/>
    <w:rsid w:val="002F6D83"/>
    <w:rsid w:val="002F7EB8"/>
    <w:rsid w:val="003000D8"/>
    <w:rsid w:val="00300191"/>
    <w:rsid w:val="0030086D"/>
    <w:rsid w:val="00300D86"/>
    <w:rsid w:val="003017E1"/>
    <w:rsid w:val="00301921"/>
    <w:rsid w:val="00301ABE"/>
    <w:rsid w:val="00302676"/>
    <w:rsid w:val="00302F6A"/>
    <w:rsid w:val="003040C0"/>
    <w:rsid w:val="00304B0A"/>
    <w:rsid w:val="00305CC7"/>
    <w:rsid w:val="00305EB6"/>
    <w:rsid w:val="00305F62"/>
    <w:rsid w:val="0030652B"/>
    <w:rsid w:val="0030688B"/>
    <w:rsid w:val="003070FF"/>
    <w:rsid w:val="003074FD"/>
    <w:rsid w:val="00307A2D"/>
    <w:rsid w:val="00307E65"/>
    <w:rsid w:val="00310204"/>
    <w:rsid w:val="00310272"/>
    <w:rsid w:val="00310D86"/>
    <w:rsid w:val="00310F34"/>
    <w:rsid w:val="00311088"/>
    <w:rsid w:val="00311327"/>
    <w:rsid w:val="003115FC"/>
    <w:rsid w:val="00311E95"/>
    <w:rsid w:val="00312462"/>
    <w:rsid w:val="00312AF6"/>
    <w:rsid w:val="00312CB7"/>
    <w:rsid w:val="00312E68"/>
    <w:rsid w:val="0031351A"/>
    <w:rsid w:val="003140C5"/>
    <w:rsid w:val="0031499C"/>
    <w:rsid w:val="003161E5"/>
    <w:rsid w:val="00316413"/>
    <w:rsid w:val="00316C18"/>
    <w:rsid w:val="00317071"/>
    <w:rsid w:val="003170F2"/>
    <w:rsid w:val="003204DA"/>
    <w:rsid w:val="00320582"/>
    <w:rsid w:val="00321282"/>
    <w:rsid w:val="0032130E"/>
    <w:rsid w:val="0032187E"/>
    <w:rsid w:val="003218EA"/>
    <w:rsid w:val="00321F93"/>
    <w:rsid w:val="0032278A"/>
    <w:rsid w:val="0032279E"/>
    <w:rsid w:val="00322912"/>
    <w:rsid w:val="00322A25"/>
    <w:rsid w:val="00322EDB"/>
    <w:rsid w:val="0032318E"/>
    <w:rsid w:val="00324A14"/>
    <w:rsid w:val="00325668"/>
    <w:rsid w:val="00325798"/>
    <w:rsid w:val="003262AB"/>
    <w:rsid w:val="0032659C"/>
    <w:rsid w:val="00327292"/>
    <w:rsid w:val="003272FD"/>
    <w:rsid w:val="0032744E"/>
    <w:rsid w:val="00327480"/>
    <w:rsid w:val="00330290"/>
    <w:rsid w:val="00330A37"/>
    <w:rsid w:val="00330B81"/>
    <w:rsid w:val="00330BA9"/>
    <w:rsid w:val="003314E8"/>
    <w:rsid w:val="00331E93"/>
    <w:rsid w:val="00333A15"/>
    <w:rsid w:val="00333A6D"/>
    <w:rsid w:val="00333F1D"/>
    <w:rsid w:val="00335776"/>
    <w:rsid w:val="00335E73"/>
    <w:rsid w:val="00336075"/>
    <w:rsid w:val="0033621C"/>
    <w:rsid w:val="00336705"/>
    <w:rsid w:val="00336C5F"/>
    <w:rsid w:val="00336E5A"/>
    <w:rsid w:val="00336ED2"/>
    <w:rsid w:val="003374B9"/>
    <w:rsid w:val="003375AB"/>
    <w:rsid w:val="003378B1"/>
    <w:rsid w:val="00337CE8"/>
    <w:rsid w:val="003404C5"/>
    <w:rsid w:val="003408E2"/>
    <w:rsid w:val="003415A2"/>
    <w:rsid w:val="00342528"/>
    <w:rsid w:val="0034312D"/>
    <w:rsid w:val="0034330F"/>
    <w:rsid w:val="003434B6"/>
    <w:rsid w:val="00343669"/>
    <w:rsid w:val="00343C67"/>
    <w:rsid w:val="0034413A"/>
    <w:rsid w:val="00344BA3"/>
    <w:rsid w:val="00344BDC"/>
    <w:rsid w:val="00344D5E"/>
    <w:rsid w:val="00345475"/>
    <w:rsid w:val="00345EEC"/>
    <w:rsid w:val="0034641D"/>
    <w:rsid w:val="00346AE5"/>
    <w:rsid w:val="00346C56"/>
    <w:rsid w:val="00347782"/>
    <w:rsid w:val="00347D51"/>
    <w:rsid w:val="00347E11"/>
    <w:rsid w:val="00350195"/>
    <w:rsid w:val="003501EB"/>
    <w:rsid w:val="00350268"/>
    <w:rsid w:val="00350594"/>
    <w:rsid w:val="003518DC"/>
    <w:rsid w:val="0035214B"/>
    <w:rsid w:val="00352542"/>
    <w:rsid w:val="0035298B"/>
    <w:rsid w:val="0035326A"/>
    <w:rsid w:val="0035327A"/>
    <w:rsid w:val="003533C8"/>
    <w:rsid w:val="003534CB"/>
    <w:rsid w:val="00353FC5"/>
    <w:rsid w:val="00354407"/>
    <w:rsid w:val="00354730"/>
    <w:rsid w:val="00354B00"/>
    <w:rsid w:val="0035557E"/>
    <w:rsid w:val="003555CF"/>
    <w:rsid w:val="00355B59"/>
    <w:rsid w:val="0035620E"/>
    <w:rsid w:val="00356219"/>
    <w:rsid w:val="003564B6"/>
    <w:rsid w:val="0035669E"/>
    <w:rsid w:val="00356AAB"/>
    <w:rsid w:val="0035738B"/>
    <w:rsid w:val="003574FA"/>
    <w:rsid w:val="00357563"/>
    <w:rsid w:val="00357C05"/>
    <w:rsid w:val="00357DE5"/>
    <w:rsid w:val="003601F2"/>
    <w:rsid w:val="0036071E"/>
    <w:rsid w:val="00360E0E"/>
    <w:rsid w:val="00361429"/>
    <w:rsid w:val="003618B0"/>
    <w:rsid w:val="00362E06"/>
    <w:rsid w:val="00363B12"/>
    <w:rsid w:val="0036423C"/>
    <w:rsid w:val="003648BB"/>
    <w:rsid w:val="00364D59"/>
    <w:rsid w:val="003654BE"/>
    <w:rsid w:val="003654DD"/>
    <w:rsid w:val="00365D2E"/>
    <w:rsid w:val="00365DBB"/>
    <w:rsid w:val="00365ECB"/>
    <w:rsid w:val="00366F81"/>
    <w:rsid w:val="003673E6"/>
    <w:rsid w:val="003675F0"/>
    <w:rsid w:val="00367A90"/>
    <w:rsid w:val="00367EE6"/>
    <w:rsid w:val="00370104"/>
    <w:rsid w:val="003701AB"/>
    <w:rsid w:val="003703EC"/>
    <w:rsid w:val="00370963"/>
    <w:rsid w:val="00371009"/>
    <w:rsid w:val="00371BC4"/>
    <w:rsid w:val="00371D64"/>
    <w:rsid w:val="003722E8"/>
    <w:rsid w:val="00372733"/>
    <w:rsid w:val="0037280D"/>
    <w:rsid w:val="003728E1"/>
    <w:rsid w:val="00372C4C"/>
    <w:rsid w:val="00373B9D"/>
    <w:rsid w:val="00374100"/>
    <w:rsid w:val="003745D0"/>
    <w:rsid w:val="00375B8A"/>
    <w:rsid w:val="00375BB2"/>
    <w:rsid w:val="00375C42"/>
    <w:rsid w:val="00375E04"/>
    <w:rsid w:val="00375E62"/>
    <w:rsid w:val="0037642E"/>
    <w:rsid w:val="00377D45"/>
    <w:rsid w:val="003801DC"/>
    <w:rsid w:val="00380E15"/>
    <w:rsid w:val="00380F51"/>
    <w:rsid w:val="00381070"/>
    <w:rsid w:val="00381993"/>
    <w:rsid w:val="00381B3A"/>
    <w:rsid w:val="00381F75"/>
    <w:rsid w:val="0038248C"/>
    <w:rsid w:val="00383E24"/>
    <w:rsid w:val="00384000"/>
    <w:rsid w:val="003847DB"/>
    <w:rsid w:val="00384837"/>
    <w:rsid w:val="00384F69"/>
    <w:rsid w:val="00385085"/>
    <w:rsid w:val="003856C6"/>
    <w:rsid w:val="00385E50"/>
    <w:rsid w:val="003860CA"/>
    <w:rsid w:val="0038685F"/>
    <w:rsid w:val="00386B07"/>
    <w:rsid w:val="00386B43"/>
    <w:rsid w:val="00386C77"/>
    <w:rsid w:val="00386CBA"/>
    <w:rsid w:val="00386FC4"/>
    <w:rsid w:val="003879A5"/>
    <w:rsid w:val="00387E69"/>
    <w:rsid w:val="003906C0"/>
    <w:rsid w:val="003911F2"/>
    <w:rsid w:val="00391268"/>
    <w:rsid w:val="003915D4"/>
    <w:rsid w:val="00391901"/>
    <w:rsid w:val="00391AC1"/>
    <w:rsid w:val="00391B2B"/>
    <w:rsid w:val="003923E6"/>
    <w:rsid w:val="00393FE9"/>
    <w:rsid w:val="0039476B"/>
    <w:rsid w:val="00394993"/>
    <w:rsid w:val="00395BEC"/>
    <w:rsid w:val="00396113"/>
    <w:rsid w:val="00396F26"/>
    <w:rsid w:val="003973FD"/>
    <w:rsid w:val="00397413"/>
    <w:rsid w:val="00397491"/>
    <w:rsid w:val="0039760C"/>
    <w:rsid w:val="003976E4"/>
    <w:rsid w:val="00397B53"/>
    <w:rsid w:val="00397E21"/>
    <w:rsid w:val="00397FDC"/>
    <w:rsid w:val="003A04AE"/>
    <w:rsid w:val="003A0667"/>
    <w:rsid w:val="003A19D6"/>
    <w:rsid w:val="003A22DF"/>
    <w:rsid w:val="003A2372"/>
    <w:rsid w:val="003A2C9B"/>
    <w:rsid w:val="003A2D4E"/>
    <w:rsid w:val="003A3999"/>
    <w:rsid w:val="003A4462"/>
    <w:rsid w:val="003A4663"/>
    <w:rsid w:val="003A4BFF"/>
    <w:rsid w:val="003A4F4E"/>
    <w:rsid w:val="003A5D90"/>
    <w:rsid w:val="003A62DA"/>
    <w:rsid w:val="003A72DF"/>
    <w:rsid w:val="003A759F"/>
    <w:rsid w:val="003A7B14"/>
    <w:rsid w:val="003A7B7B"/>
    <w:rsid w:val="003A7D2A"/>
    <w:rsid w:val="003A7D38"/>
    <w:rsid w:val="003B08CD"/>
    <w:rsid w:val="003B14FD"/>
    <w:rsid w:val="003B2427"/>
    <w:rsid w:val="003B2835"/>
    <w:rsid w:val="003B2D7D"/>
    <w:rsid w:val="003B2F1D"/>
    <w:rsid w:val="003B3AC6"/>
    <w:rsid w:val="003B3C63"/>
    <w:rsid w:val="003B3E12"/>
    <w:rsid w:val="003B3FEB"/>
    <w:rsid w:val="003B4696"/>
    <w:rsid w:val="003B46D9"/>
    <w:rsid w:val="003B4E65"/>
    <w:rsid w:val="003B4EB6"/>
    <w:rsid w:val="003B5400"/>
    <w:rsid w:val="003B6031"/>
    <w:rsid w:val="003B6599"/>
    <w:rsid w:val="003B6E81"/>
    <w:rsid w:val="003B7A2A"/>
    <w:rsid w:val="003B7E05"/>
    <w:rsid w:val="003C052A"/>
    <w:rsid w:val="003C131E"/>
    <w:rsid w:val="003C19A5"/>
    <w:rsid w:val="003C1C85"/>
    <w:rsid w:val="003C1F69"/>
    <w:rsid w:val="003C2434"/>
    <w:rsid w:val="003C3037"/>
    <w:rsid w:val="003C323F"/>
    <w:rsid w:val="003C324C"/>
    <w:rsid w:val="003C3A2A"/>
    <w:rsid w:val="003C3E7F"/>
    <w:rsid w:val="003C3FF9"/>
    <w:rsid w:val="003C4482"/>
    <w:rsid w:val="003C5260"/>
    <w:rsid w:val="003C574F"/>
    <w:rsid w:val="003C612F"/>
    <w:rsid w:val="003C6468"/>
    <w:rsid w:val="003C7B0C"/>
    <w:rsid w:val="003D0AF6"/>
    <w:rsid w:val="003D0BFD"/>
    <w:rsid w:val="003D0DB4"/>
    <w:rsid w:val="003D11D9"/>
    <w:rsid w:val="003D1E5A"/>
    <w:rsid w:val="003D27A0"/>
    <w:rsid w:val="003D3990"/>
    <w:rsid w:val="003D42B5"/>
    <w:rsid w:val="003D42CB"/>
    <w:rsid w:val="003D43E2"/>
    <w:rsid w:val="003D461B"/>
    <w:rsid w:val="003D4B62"/>
    <w:rsid w:val="003D4E9A"/>
    <w:rsid w:val="003D51F4"/>
    <w:rsid w:val="003D52CB"/>
    <w:rsid w:val="003D5811"/>
    <w:rsid w:val="003D58C5"/>
    <w:rsid w:val="003D5FB3"/>
    <w:rsid w:val="003D6638"/>
    <w:rsid w:val="003D7667"/>
    <w:rsid w:val="003D7786"/>
    <w:rsid w:val="003D7FC4"/>
    <w:rsid w:val="003E0354"/>
    <w:rsid w:val="003E08DC"/>
    <w:rsid w:val="003E17CF"/>
    <w:rsid w:val="003E184A"/>
    <w:rsid w:val="003E1887"/>
    <w:rsid w:val="003E18C9"/>
    <w:rsid w:val="003E19E2"/>
    <w:rsid w:val="003E2538"/>
    <w:rsid w:val="003E278F"/>
    <w:rsid w:val="003E2E55"/>
    <w:rsid w:val="003E383A"/>
    <w:rsid w:val="003E3AF6"/>
    <w:rsid w:val="003E3C62"/>
    <w:rsid w:val="003E40AA"/>
    <w:rsid w:val="003E4296"/>
    <w:rsid w:val="003E43C8"/>
    <w:rsid w:val="003E4B5F"/>
    <w:rsid w:val="003E528F"/>
    <w:rsid w:val="003E530F"/>
    <w:rsid w:val="003E5A33"/>
    <w:rsid w:val="003E5D0E"/>
    <w:rsid w:val="003E65FD"/>
    <w:rsid w:val="003E69CF"/>
    <w:rsid w:val="003E6DA0"/>
    <w:rsid w:val="003E72DA"/>
    <w:rsid w:val="003E73CD"/>
    <w:rsid w:val="003F031C"/>
    <w:rsid w:val="003F05D0"/>
    <w:rsid w:val="003F0D94"/>
    <w:rsid w:val="003F101F"/>
    <w:rsid w:val="003F1622"/>
    <w:rsid w:val="003F1AA3"/>
    <w:rsid w:val="003F2005"/>
    <w:rsid w:val="003F207C"/>
    <w:rsid w:val="003F25B7"/>
    <w:rsid w:val="003F25EF"/>
    <w:rsid w:val="003F289B"/>
    <w:rsid w:val="003F3277"/>
    <w:rsid w:val="003F3928"/>
    <w:rsid w:val="003F3FC1"/>
    <w:rsid w:val="003F48C4"/>
    <w:rsid w:val="003F4C79"/>
    <w:rsid w:val="003F4E06"/>
    <w:rsid w:val="003F4EA8"/>
    <w:rsid w:val="003F525C"/>
    <w:rsid w:val="003F5E3F"/>
    <w:rsid w:val="003F5F6E"/>
    <w:rsid w:val="003F67CB"/>
    <w:rsid w:val="003F70AA"/>
    <w:rsid w:val="003F71FE"/>
    <w:rsid w:val="003F759C"/>
    <w:rsid w:val="00400A20"/>
    <w:rsid w:val="00400AEC"/>
    <w:rsid w:val="00401241"/>
    <w:rsid w:val="00401CD0"/>
    <w:rsid w:val="004024AD"/>
    <w:rsid w:val="00402608"/>
    <w:rsid w:val="00402764"/>
    <w:rsid w:val="004029C9"/>
    <w:rsid w:val="00402B48"/>
    <w:rsid w:val="00403542"/>
    <w:rsid w:val="00403A15"/>
    <w:rsid w:val="00403A3E"/>
    <w:rsid w:val="00403DBE"/>
    <w:rsid w:val="00405461"/>
    <w:rsid w:val="00405477"/>
    <w:rsid w:val="0040566B"/>
    <w:rsid w:val="00405B56"/>
    <w:rsid w:val="004067F1"/>
    <w:rsid w:val="00406C91"/>
    <w:rsid w:val="00407403"/>
    <w:rsid w:val="00410441"/>
    <w:rsid w:val="0041078F"/>
    <w:rsid w:val="004108AD"/>
    <w:rsid w:val="004109ED"/>
    <w:rsid w:val="00410B78"/>
    <w:rsid w:val="00410FE6"/>
    <w:rsid w:val="0041102C"/>
    <w:rsid w:val="00411154"/>
    <w:rsid w:val="0041161B"/>
    <w:rsid w:val="004121CD"/>
    <w:rsid w:val="00412BDE"/>
    <w:rsid w:val="0041351D"/>
    <w:rsid w:val="00413FDE"/>
    <w:rsid w:val="004146E5"/>
    <w:rsid w:val="00414DE0"/>
    <w:rsid w:val="004150AC"/>
    <w:rsid w:val="004150FE"/>
    <w:rsid w:val="004158A0"/>
    <w:rsid w:val="00415CAD"/>
    <w:rsid w:val="00415D69"/>
    <w:rsid w:val="00415FAD"/>
    <w:rsid w:val="0041619C"/>
    <w:rsid w:val="00416523"/>
    <w:rsid w:val="0041747C"/>
    <w:rsid w:val="00417701"/>
    <w:rsid w:val="00417C68"/>
    <w:rsid w:val="00417D7A"/>
    <w:rsid w:val="004203AA"/>
    <w:rsid w:val="00420BA6"/>
    <w:rsid w:val="00420C84"/>
    <w:rsid w:val="00420E35"/>
    <w:rsid w:val="00420EED"/>
    <w:rsid w:val="0042121D"/>
    <w:rsid w:val="0042181C"/>
    <w:rsid w:val="00421F4C"/>
    <w:rsid w:val="00422508"/>
    <w:rsid w:val="0042267A"/>
    <w:rsid w:val="00422AB1"/>
    <w:rsid w:val="00422C59"/>
    <w:rsid w:val="00422CFC"/>
    <w:rsid w:val="00423915"/>
    <w:rsid w:val="0042412E"/>
    <w:rsid w:val="0042472D"/>
    <w:rsid w:val="004247B9"/>
    <w:rsid w:val="0042505E"/>
    <w:rsid w:val="004256CA"/>
    <w:rsid w:val="004257A7"/>
    <w:rsid w:val="00425EF9"/>
    <w:rsid w:val="0042642F"/>
    <w:rsid w:val="00427D16"/>
    <w:rsid w:val="00427DB2"/>
    <w:rsid w:val="004305C5"/>
    <w:rsid w:val="00430984"/>
    <w:rsid w:val="004318F9"/>
    <w:rsid w:val="0043244C"/>
    <w:rsid w:val="00432621"/>
    <w:rsid w:val="004326EF"/>
    <w:rsid w:val="004328FB"/>
    <w:rsid w:val="00432B9E"/>
    <w:rsid w:val="00432EAC"/>
    <w:rsid w:val="00433584"/>
    <w:rsid w:val="004342CB"/>
    <w:rsid w:val="00434374"/>
    <w:rsid w:val="00434954"/>
    <w:rsid w:val="00435197"/>
    <w:rsid w:val="004363D1"/>
    <w:rsid w:val="00436711"/>
    <w:rsid w:val="0043678E"/>
    <w:rsid w:val="00436CF3"/>
    <w:rsid w:val="0043731F"/>
    <w:rsid w:val="00437B57"/>
    <w:rsid w:val="0044054A"/>
    <w:rsid w:val="00440CD7"/>
    <w:rsid w:val="00440D7A"/>
    <w:rsid w:val="004410BC"/>
    <w:rsid w:val="00441164"/>
    <w:rsid w:val="0044130A"/>
    <w:rsid w:val="004414D3"/>
    <w:rsid w:val="00441A6C"/>
    <w:rsid w:val="00441F3E"/>
    <w:rsid w:val="004420F9"/>
    <w:rsid w:val="00443064"/>
    <w:rsid w:val="004435D7"/>
    <w:rsid w:val="00444188"/>
    <w:rsid w:val="00444473"/>
    <w:rsid w:val="004444D3"/>
    <w:rsid w:val="0044482D"/>
    <w:rsid w:val="00444927"/>
    <w:rsid w:val="00444FEA"/>
    <w:rsid w:val="004458AB"/>
    <w:rsid w:val="00445C9F"/>
    <w:rsid w:val="0044668C"/>
    <w:rsid w:val="00446D64"/>
    <w:rsid w:val="004479C3"/>
    <w:rsid w:val="004503A1"/>
    <w:rsid w:val="00450674"/>
    <w:rsid w:val="00450BE0"/>
    <w:rsid w:val="00450D8E"/>
    <w:rsid w:val="00451691"/>
    <w:rsid w:val="0045201A"/>
    <w:rsid w:val="004526C7"/>
    <w:rsid w:val="00452BE5"/>
    <w:rsid w:val="00453DB3"/>
    <w:rsid w:val="00454B8F"/>
    <w:rsid w:val="00454C20"/>
    <w:rsid w:val="004558FA"/>
    <w:rsid w:val="00455AB8"/>
    <w:rsid w:val="00455CAE"/>
    <w:rsid w:val="00455E9B"/>
    <w:rsid w:val="00456D15"/>
    <w:rsid w:val="004578E3"/>
    <w:rsid w:val="00460244"/>
    <w:rsid w:val="004602D4"/>
    <w:rsid w:val="00460529"/>
    <w:rsid w:val="00460847"/>
    <w:rsid w:val="00460A4B"/>
    <w:rsid w:val="00461074"/>
    <w:rsid w:val="00461252"/>
    <w:rsid w:val="0046159B"/>
    <w:rsid w:val="00461A84"/>
    <w:rsid w:val="00462286"/>
    <w:rsid w:val="00462F25"/>
    <w:rsid w:val="004631A1"/>
    <w:rsid w:val="0046330C"/>
    <w:rsid w:val="00463717"/>
    <w:rsid w:val="00463754"/>
    <w:rsid w:val="004637CD"/>
    <w:rsid w:val="004642AE"/>
    <w:rsid w:val="004644E5"/>
    <w:rsid w:val="004653AD"/>
    <w:rsid w:val="00465498"/>
    <w:rsid w:val="00465A3C"/>
    <w:rsid w:val="00465F55"/>
    <w:rsid w:val="0046615C"/>
    <w:rsid w:val="00466414"/>
    <w:rsid w:val="0046650F"/>
    <w:rsid w:val="00466742"/>
    <w:rsid w:val="00466AE4"/>
    <w:rsid w:val="0046713B"/>
    <w:rsid w:val="004673C5"/>
    <w:rsid w:val="0046756D"/>
    <w:rsid w:val="00467B68"/>
    <w:rsid w:val="00470EB0"/>
    <w:rsid w:val="00470ED5"/>
    <w:rsid w:val="00471361"/>
    <w:rsid w:val="00471B51"/>
    <w:rsid w:val="00471F60"/>
    <w:rsid w:val="00472834"/>
    <w:rsid w:val="00472ADA"/>
    <w:rsid w:val="00472AF9"/>
    <w:rsid w:val="00472E55"/>
    <w:rsid w:val="00472E87"/>
    <w:rsid w:val="004740ED"/>
    <w:rsid w:val="00474322"/>
    <w:rsid w:val="00474620"/>
    <w:rsid w:val="004750C4"/>
    <w:rsid w:val="0047548C"/>
    <w:rsid w:val="00476446"/>
    <w:rsid w:val="00477320"/>
    <w:rsid w:val="004779AB"/>
    <w:rsid w:val="004779CC"/>
    <w:rsid w:val="00477FA2"/>
    <w:rsid w:val="004801BA"/>
    <w:rsid w:val="0048028B"/>
    <w:rsid w:val="00481C87"/>
    <w:rsid w:val="004824B9"/>
    <w:rsid w:val="004828B4"/>
    <w:rsid w:val="00482E73"/>
    <w:rsid w:val="00482F94"/>
    <w:rsid w:val="00483AF5"/>
    <w:rsid w:val="00483FBD"/>
    <w:rsid w:val="004840B7"/>
    <w:rsid w:val="00484204"/>
    <w:rsid w:val="00484850"/>
    <w:rsid w:val="00485352"/>
    <w:rsid w:val="00485E18"/>
    <w:rsid w:val="0048614C"/>
    <w:rsid w:val="0048639E"/>
    <w:rsid w:val="00487507"/>
    <w:rsid w:val="004876C2"/>
    <w:rsid w:val="004878B6"/>
    <w:rsid w:val="00487CD9"/>
    <w:rsid w:val="00490724"/>
    <w:rsid w:val="00490831"/>
    <w:rsid w:val="00491095"/>
    <w:rsid w:val="004918B1"/>
    <w:rsid w:val="00492611"/>
    <w:rsid w:val="004929D0"/>
    <w:rsid w:val="00492C56"/>
    <w:rsid w:val="00492EFA"/>
    <w:rsid w:val="00492F1A"/>
    <w:rsid w:val="0049339A"/>
    <w:rsid w:val="00493782"/>
    <w:rsid w:val="00493CF5"/>
    <w:rsid w:val="00493E2D"/>
    <w:rsid w:val="00494B2E"/>
    <w:rsid w:val="004952A2"/>
    <w:rsid w:val="004952BD"/>
    <w:rsid w:val="0049590C"/>
    <w:rsid w:val="00495D9A"/>
    <w:rsid w:val="004962D8"/>
    <w:rsid w:val="004966E0"/>
    <w:rsid w:val="004969D3"/>
    <w:rsid w:val="004971AE"/>
    <w:rsid w:val="004974DE"/>
    <w:rsid w:val="004976EF"/>
    <w:rsid w:val="004A034F"/>
    <w:rsid w:val="004A0440"/>
    <w:rsid w:val="004A0E27"/>
    <w:rsid w:val="004A0ECC"/>
    <w:rsid w:val="004A1246"/>
    <w:rsid w:val="004A17FA"/>
    <w:rsid w:val="004A1FA8"/>
    <w:rsid w:val="004A213B"/>
    <w:rsid w:val="004A25D9"/>
    <w:rsid w:val="004A399B"/>
    <w:rsid w:val="004A3F18"/>
    <w:rsid w:val="004A4D06"/>
    <w:rsid w:val="004A4FC8"/>
    <w:rsid w:val="004A5232"/>
    <w:rsid w:val="004A55FF"/>
    <w:rsid w:val="004A61A6"/>
    <w:rsid w:val="004A6C65"/>
    <w:rsid w:val="004A76F0"/>
    <w:rsid w:val="004A7B7A"/>
    <w:rsid w:val="004B0A5F"/>
    <w:rsid w:val="004B11AD"/>
    <w:rsid w:val="004B15CE"/>
    <w:rsid w:val="004B2630"/>
    <w:rsid w:val="004B34B8"/>
    <w:rsid w:val="004B3F15"/>
    <w:rsid w:val="004B51A3"/>
    <w:rsid w:val="004B534E"/>
    <w:rsid w:val="004B59CB"/>
    <w:rsid w:val="004B5E9F"/>
    <w:rsid w:val="004B6901"/>
    <w:rsid w:val="004B6F05"/>
    <w:rsid w:val="004C0712"/>
    <w:rsid w:val="004C0F0D"/>
    <w:rsid w:val="004C1838"/>
    <w:rsid w:val="004C1CE3"/>
    <w:rsid w:val="004C33F7"/>
    <w:rsid w:val="004C3BD1"/>
    <w:rsid w:val="004C3FD7"/>
    <w:rsid w:val="004C5715"/>
    <w:rsid w:val="004C5AA1"/>
    <w:rsid w:val="004C600D"/>
    <w:rsid w:val="004C6374"/>
    <w:rsid w:val="004C64D0"/>
    <w:rsid w:val="004C683A"/>
    <w:rsid w:val="004C6B4F"/>
    <w:rsid w:val="004C6D63"/>
    <w:rsid w:val="004C6DF5"/>
    <w:rsid w:val="004C6F27"/>
    <w:rsid w:val="004C79D9"/>
    <w:rsid w:val="004D25E2"/>
    <w:rsid w:val="004D2D35"/>
    <w:rsid w:val="004D3A17"/>
    <w:rsid w:val="004D3C27"/>
    <w:rsid w:val="004D4AC2"/>
    <w:rsid w:val="004D5038"/>
    <w:rsid w:val="004D525C"/>
    <w:rsid w:val="004D5EBD"/>
    <w:rsid w:val="004D6314"/>
    <w:rsid w:val="004D6A67"/>
    <w:rsid w:val="004D71AA"/>
    <w:rsid w:val="004D7312"/>
    <w:rsid w:val="004D736E"/>
    <w:rsid w:val="004D7420"/>
    <w:rsid w:val="004E054D"/>
    <w:rsid w:val="004E07DA"/>
    <w:rsid w:val="004E1454"/>
    <w:rsid w:val="004E234B"/>
    <w:rsid w:val="004E2921"/>
    <w:rsid w:val="004E2BC5"/>
    <w:rsid w:val="004E305F"/>
    <w:rsid w:val="004E3C85"/>
    <w:rsid w:val="004E3FB6"/>
    <w:rsid w:val="004E41AF"/>
    <w:rsid w:val="004E4277"/>
    <w:rsid w:val="004E45CE"/>
    <w:rsid w:val="004E4F95"/>
    <w:rsid w:val="004E500F"/>
    <w:rsid w:val="004E53FC"/>
    <w:rsid w:val="004E578F"/>
    <w:rsid w:val="004E5CF5"/>
    <w:rsid w:val="004E5E88"/>
    <w:rsid w:val="004E67EA"/>
    <w:rsid w:val="004E7113"/>
    <w:rsid w:val="004E7540"/>
    <w:rsid w:val="004E76AF"/>
    <w:rsid w:val="004E7CC0"/>
    <w:rsid w:val="004E7FC0"/>
    <w:rsid w:val="004F05B8"/>
    <w:rsid w:val="004F1A7E"/>
    <w:rsid w:val="004F1EEE"/>
    <w:rsid w:val="004F2C3F"/>
    <w:rsid w:val="004F2F35"/>
    <w:rsid w:val="004F3434"/>
    <w:rsid w:val="004F3BE6"/>
    <w:rsid w:val="004F3D20"/>
    <w:rsid w:val="004F4978"/>
    <w:rsid w:val="004F4F47"/>
    <w:rsid w:val="004F56ED"/>
    <w:rsid w:val="004F5C0E"/>
    <w:rsid w:val="004F5D56"/>
    <w:rsid w:val="004F5FA0"/>
    <w:rsid w:val="004F6045"/>
    <w:rsid w:val="004F6147"/>
    <w:rsid w:val="004F614F"/>
    <w:rsid w:val="004F69FE"/>
    <w:rsid w:val="004F752A"/>
    <w:rsid w:val="004F781C"/>
    <w:rsid w:val="004F7918"/>
    <w:rsid w:val="0050098F"/>
    <w:rsid w:val="00500B7B"/>
    <w:rsid w:val="00500BA2"/>
    <w:rsid w:val="00500C74"/>
    <w:rsid w:val="00500CC6"/>
    <w:rsid w:val="0050145C"/>
    <w:rsid w:val="00502649"/>
    <w:rsid w:val="0050280C"/>
    <w:rsid w:val="00502E30"/>
    <w:rsid w:val="005030DB"/>
    <w:rsid w:val="00503797"/>
    <w:rsid w:val="0050398F"/>
    <w:rsid w:val="00503F6D"/>
    <w:rsid w:val="00505B35"/>
    <w:rsid w:val="0050647B"/>
    <w:rsid w:val="005067EB"/>
    <w:rsid w:val="00506B64"/>
    <w:rsid w:val="0050788C"/>
    <w:rsid w:val="005111E1"/>
    <w:rsid w:val="00511E0D"/>
    <w:rsid w:val="0051227C"/>
    <w:rsid w:val="0051254F"/>
    <w:rsid w:val="005130A1"/>
    <w:rsid w:val="00513D82"/>
    <w:rsid w:val="00513E25"/>
    <w:rsid w:val="005140F2"/>
    <w:rsid w:val="0051430B"/>
    <w:rsid w:val="005144B5"/>
    <w:rsid w:val="00514710"/>
    <w:rsid w:val="005162F1"/>
    <w:rsid w:val="00516603"/>
    <w:rsid w:val="005172C1"/>
    <w:rsid w:val="0051788F"/>
    <w:rsid w:val="00520235"/>
    <w:rsid w:val="005219BF"/>
    <w:rsid w:val="0052276B"/>
    <w:rsid w:val="00522FBE"/>
    <w:rsid w:val="005234BC"/>
    <w:rsid w:val="00523817"/>
    <w:rsid w:val="00523D53"/>
    <w:rsid w:val="00523F12"/>
    <w:rsid w:val="00523FCF"/>
    <w:rsid w:val="005241B4"/>
    <w:rsid w:val="00524E47"/>
    <w:rsid w:val="00525285"/>
    <w:rsid w:val="0052553B"/>
    <w:rsid w:val="00525BBB"/>
    <w:rsid w:val="00525C00"/>
    <w:rsid w:val="00526118"/>
    <w:rsid w:val="005263EB"/>
    <w:rsid w:val="0052699C"/>
    <w:rsid w:val="0052700A"/>
    <w:rsid w:val="005273BC"/>
    <w:rsid w:val="00527A5E"/>
    <w:rsid w:val="00527BA9"/>
    <w:rsid w:val="005300E9"/>
    <w:rsid w:val="00530166"/>
    <w:rsid w:val="00530771"/>
    <w:rsid w:val="00530783"/>
    <w:rsid w:val="00530833"/>
    <w:rsid w:val="00530DE9"/>
    <w:rsid w:val="00531B21"/>
    <w:rsid w:val="005320EA"/>
    <w:rsid w:val="00532601"/>
    <w:rsid w:val="00533E77"/>
    <w:rsid w:val="0053625D"/>
    <w:rsid w:val="00536F59"/>
    <w:rsid w:val="00537507"/>
    <w:rsid w:val="00537A32"/>
    <w:rsid w:val="0054077E"/>
    <w:rsid w:val="00540889"/>
    <w:rsid w:val="005408E9"/>
    <w:rsid w:val="00540997"/>
    <w:rsid w:val="005412F3"/>
    <w:rsid w:val="00541413"/>
    <w:rsid w:val="005431C5"/>
    <w:rsid w:val="005431F0"/>
    <w:rsid w:val="005431FC"/>
    <w:rsid w:val="00543446"/>
    <w:rsid w:val="005439F9"/>
    <w:rsid w:val="00544329"/>
    <w:rsid w:val="00544453"/>
    <w:rsid w:val="005446AA"/>
    <w:rsid w:val="00544D2B"/>
    <w:rsid w:val="005450A6"/>
    <w:rsid w:val="005451B1"/>
    <w:rsid w:val="005463FC"/>
    <w:rsid w:val="0054766B"/>
    <w:rsid w:val="005477A6"/>
    <w:rsid w:val="005477C1"/>
    <w:rsid w:val="00550AA6"/>
    <w:rsid w:val="005516BD"/>
    <w:rsid w:val="005527AC"/>
    <w:rsid w:val="005530E3"/>
    <w:rsid w:val="00553457"/>
    <w:rsid w:val="00553469"/>
    <w:rsid w:val="005539EC"/>
    <w:rsid w:val="00553A0B"/>
    <w:rsid w:val="00553C49"/>
    <w:rsid w:val="00554498"/>
    <w:rsid w:val="00554607"/>
    <w:rsid w:val="00554627"/>
    <w:rsid w:val="005547FF"/>
    <w:rsid w:val="00554930"/>
    <w:rsid w:val="00554EE3"/>
    <w:rsid w:val="00555E12"/>
    <w:rsid w:val="005563C9"/>
    <w:rsid w:val="00556583"/>
    <w:rsid w:val="005566AD"/>
    <w:rsid w:val="005574F9"/>
    <w:rsid w:val="00557902"/>
    <w:rsid w:val="00557A43"/>
    <w:rsid w:val="00560031"/>
    <w:rsid w:val="0056055D"/>
    <w:rsid w:val="00560624"/>
    <w:rsid w:val="005609DD"/>
    <w:rsid w:val="00560C38"/>
    <w:rsid w:val="00560DE2"/>
    <w:rsid w:val="00560FAC"/>
    <w:rsid w:val="005612D4"/>
    <w:rsid w:val="005613A3"/>
    <w:rsid w:val="005613A7"/>
    <w:rsid w:val="005619B7"/>
    <w:rsid w:val="00561C1C"/>
    <w:rsid w:val="005620C0"/>
    <w:rsid w:val="00562E3D"/>
    <w:rsid w:val="00563700"/>
    <w:rsid w:val="0056385C"/>
    <w:rsid w:val="00563ADB"/>
    <w:rsid w:val="00563F75"/>
    <w:rsid w:val="005640EB"/>
    <w:rsid w:val="00565514"/>
    <w:rsid w:val="00565567"/>
    <w:rsid w:val="005658D3"/>
    <w:rsid w:val="00565A55"/>
    <w:rsid w:val="00566000"/>
    <w:rsid w:val="00566845"/>
    <w:rsid w:val="00567EF7"/>
    <w:rsid w:val="0057034F"/>
    <w:rsid w:val="005704AC"/>
    <w:rsid w:val="00570584"/>
    <w:rsid w:val="005712D6"/>
    <w:rsid w:val="00571812"/>
    <w:rsid w:val="00571DCD"/>
    <w:rsid w:val="0057218C"/>
    <w:rsid w:val="00572C81"/>
    <w:rsid w:val="00572E70"/>
    <w:rsid w:val="00573369"/>
    <w:rsid w:val="005735D0"/>
    <w:rsid w:val="00573C20"/>
    <w:rsid w:val="0057418A"/>
    <w:rsid w:val="00574923"/>
    <w:rsid w:val="00574D59"/>
    <w:rsid w:val="00574E6D"/>
    <w:rsid w:val="00575302"/>
    <w:rsid w:val="005759DD"/>
    <w:rsid w:val="00575C24"/>
    <w:rsid w:val="00576226"/>
    <w:rsid w:val="005762EA"/>
    <w:rsid w:val="005767AE"/>
    <w:rsid w:val="00576F1E"/>
    <w:rsid w:val="00580390"/>
    <w:rsid w:val="00580B47"/>
    <w:rsid w:val="00580E2B"/>
    <w:rsid w:val="005817B2"/>
    <w:rsid w:val="005819F7"/>
    <w:rsid w:val="00581C35"/>
    <w:rsid w:val="005824C6"/>
    <w:rsid w:val="00582674"/>
    <w:rsid w:val="0058271E"/>
    <w:rsid w:val="0058283F"/>
    <w:rsid w:val="00583930"/>
    <w:rsid w:val="00583BFE"/>
    <w:rsid w:val="00583D8A"/>
    <w:rsid w:val="005840EF"/>
    <w:rsid w:val="005845A3"/>
    <w:rsid w:val="005848F8"/>
    <w:rsid w:val="00584E2F"/>
    <w:rsid w:val="00585151"/>
    <w:rsid w:val="0058525B"/>
    <w:rsid w:val="00585B3C"/>
    <w:rsid w:val="00585C03"/>
    <w:rsid w:val="00585CB6"/>
    <w:rsid w:val="0058619F"/>
    <w:rsid w:val="00586637"/>
    <w:rsid w:val="005868DC"/>
    <w:rsid w:val="005873E8"/>
    <w:rsid w:val="00587C46"/>
    <w:rsid w:val="00587F56"/>
    <w:rsid w:val="00587FD9"/>
    <w:rsid w:val="005908B9"/>
    <w:rsid w:val="00591265"/>
    <w:rsid w:val="00591283"/>
    <w:rsid w:val="005915A4"/>
    <w:rsid w:val="005924D3"/>
    <w:rsid w:val="005924F1"/>
    <w:rsid w:val="005925E3"/>
    <w:rsid w:val="00592E3B"/>
    <w:rsid w:val="0059304D"/>
    <w:rsid w:val="00593059"/>
    <w:rsid w:val="00593314"/>
    <w:rsid w:val="005933AE"/>
    <w:rsid w:val="00595156"/>
    <w:rsid w:val="005957B9"/>
    <w:rsid w:val="005959DB"/>
    <w:rsid w:val="00596832"/>
    <w:rsid w:val="00596CCB"/>
    <w:rsid w:val="00596DB6"/>
    <w:rsid w:val="005973C3"/>
    <w:rsid w:val="00597753"/>
    <w:rsid w:val="005977BB"/>
    <w:rsid w:val="00597E6F"/>
    <w:rsid w:val="005A0203"/>
    <w:rsid w:val="005A052F"/>
    <w:rsid w:val="005A0EFC"/>
    <w:rsid w:val="005A1018"/>
    <w:rsid w:val="005A1099"/>
    <w:rsid w:val="005A12EF"/>
    <w:rsid w:val="005A1980"/>
    <w:rsid w:val="005A1A26"/>
    <w:rsid w:val="005A1DAB"/>
    <w:rsid w:val="005A1F74"/>
    <w:rsid w:val="005A22F7"/>
    <w:rsid w:val="005A2593"/>
    <w:rsid w:val="005A3196"/>
    <w:rsid w:val="005A339E"/>
    <w:rsid w:val="005A3561"/>
    <w:rsid w:val="005A3757"/>
    <w:rsid w:val="005A3FD0"/>
    <w:rsid w:val="005A408B"/>
    <w:rsid w:val="005A4B38"/>
    <w:rsid w:val="005A4CE3"/>
    <w:rsid w:val="005A566A"/>
    <w:rsid w:val="005A61CD"/>
    <w:rsid w:val="005A6F80"/>
    <w:rsid w:val="005A7215"/>
    <w:rsid w:val="005A726F"/>
    <w:rsid w:val="005A7601"/>
    <w:rsid w:val="005A782E"/>
    <w:rsid w:val="005A793B"/>
    <w:rsid w:val="005A7949"/>
    <w:rsid w:val="005A79AE"/>
    <w:rsid w:val="005B081D"/>
    <w:rsid w:val="005B1142"/>
    <w:rsid w:val="005B1546"/>
    <w:rsid w:val="005B1E57"/>
    <w:rsid w:val="005B2054"/>
    <w:rsid w:val="005B2607"/>
    <w:rsid w:val="005B26FD"/>
    <w:rsid w:val="005B429E"/>
    <w:rsid w:val="005B44D0"/>
    <w:rsid w:val="005B4C55"/>
    <w:rsid w:val="005B4CD8"/>
    <w:rsid w:val="005B5B11"/>
    <w:rsid w:val="005B5C20"/>
    <w:rsid w:val="005B60BD"/>
    <w:rsid w:val="005B6837"/>
    <w:rsid w:val="005B730E"/>
    <w:rsid w:val="005B7879"/>
    <w:rsid w:val="005B78D4"/>
    <w:rsid w:val="005C00A0"/>
    <w:rsid w:val="005C0607"/>
    <w:rsid w:val="005C0A76"/>
    <w:rsid w:val="005C0F51"/>
    <w:rsid w:val="005C11E6"/>
    <w:rsid w:val="005C1F3B"/>
    <w:rsid w:val="005C208C"/>
    <w:rsid w:val="005C2E67"/>
    <w:rsid w:val="005C35ED"/>
    <w:rsid w:val="005C35FA"/>
    <w:rsid w:val="005C3AA3"/>
    <w:rsid w:val="005C4049"/>
    <w:rsid w:val="005C48FB"/>
    <w:rsid w:val="005C4D24"/>
    <w:rsid w:val="005C4DD7"/>
    <w:rsid w:val="005C539A"/>
    <w:rsid w:val="005C5C1B"/>
    <w:rsid w:val="005C688B"/>
    <w:rsid w:val="005C75CC"/>
    <w:rsid w:val="005C778A"/>
    <w:rsid w:val="005C794A"/>
    <w:rsid w:val="005C7B1F"/>
    <w:rsid w:val="005D03DC"/>
    <w:rsid w:val="005D04B6"/>
    <w:rsid w:val="005D107D"/>
    <w:rsid w:val="005D12BF"/>
    <w:rsid w:val="005D14E9"/>
    <w:rsid w:val="005D1B75"/>
    <w:rsid w:val="005D1C71"/>
    <w:rsid w:val="005D21A6"/>
    <w:rsid w:val="005D24F9"/>
    <w:rsid w:val="005D2888"/>
    <w:rsid w:val="005D29D5"/>
    <w:rsid w:val="005D3109"/>
    <w:rsid w:val="005D3E97"/>
    <w:rsid w:val="005D4095"/>
    <w:rsid w:val="005D4641"/>
    <w:rsid w:val="005D49FF"/>
    <w:rsid w:val="005D4D0A"/>
    <w:rsid w:val="005D5695"/>
    <w:rsid w:val="005D63D6"/>
    <w:rsid w:val="005D7ED3"/>
    <w:rsid w:val="005D7FAA"/>
    <w:rsid w:val="005E0862"/>
    <w:rsid w:val="005E0CC0"/>
    <w:rsid w:val="005E1375"/>
    <w:rsid w:val="005E147F"/>
    <w:rsid w:val="005E1CEB"/>
    <w:rsid w:val="005E2A30"/>
    <w:rsid w:val="005E2FF1"/>
    <w:rsid w:val="005E3850"/>
    <w:rsid w:val="005E3DEF"/>
    <w:rsid w:val="005E4E79"/>
    <w:rsid w:val="005E4E97"/>
    <w:rsid w:val="005E5C65"/>
    <w:rsid w:val="005E5DFA"/>
    <w:rsid w:val="005E682E"/>
    <w:rsid w:val="005E6F86"/>
    <w:rsid w:val="005E7479"/>
    <w:rsid w:val="005E75A1"/>
    <w:rsid w:val="005E7892"/>
    <w:rsid w:val="005E7A45"/>
    <w:rsid w:val="005E7E04"/>
    <w:rsid w:val="005F0245"/>
    <w:rsid w:val="005F0652"/>
    <w:rsid w:val="005F07BE"/>
    <w:rsid w:val="005F0AF1"/>
    <w:rsid w:val="005F0FCE"/>
    <w:rsid w:val="005F1146"/>
    <w:rsid w:val="005F17F5"/>
    <w:rsid w:val="005F3411"/>
    <w:rsid w:val="005F3CEA"/>
    <w:rsid w:val="005F4914"/>
    <w:rsid w:val="005F4A97"/>
    <w:rsid w:val="005F4E44"/>
    <w:rsid w:val="005F4E85"/>
    <w:rsid w:val="005F546F"/>
    <w:rsid w:val="005F5479"/>
    <w:rsid w:val="005F5B32"/>
    <w:rsid w:val="005F66DC"/>
    <w:rsid w:val="005F6868"/>
    <w:rsid w:val="005F6E3E"/>
    <w:rsid w:val="005F731B"/>
    <w:rsid w:val="006002D9"/>
    <w:rsid w:val="0060060D"/>
    <w:rsid w:val="00600773"/>
    <w:rsid w:val="00600C6B"/>
    <w:rsid w:val="00600CF0"/>
    <w:rsid w:val="00601200"/>
    <w:rsid w:val="006013FB"/>
    <w:rsid w:val="00601F1A"/>
    <w:rsid w:val="00602746"/>
    <w:rsid w:val="0060294C"/>
    <w:rsid w:val="00603073"/>
    <w:rsid w:val="00603128"/>
    <w:rsid w:val="006033B6"/>
    <w:rsid w:val="006036E2"/>
    <w:rsid w:val="006037C5"/>
    <w:rsid w:val="00603DC4"/>
    <w:rsid w:val="00604F87"/>
    <w:rsid w:val="006052B9"/>
    <w:rsid w:val="00605607"/>
    <w:rsid w:val="00605E4D"/>
    <w:rsid w:val="00606458"/>
    <w:rsid w:val="0060645F"/>
    <w:rsid w:val="00606CC5"/>
    <w:rsid w:val="00606F86"/>
    <w:rsid w:val="00607141"/>
    <w:rsid w:val="00607B23"/>
    <w:rsid w:val="00607E93"/>
    <w:rsid w:val="0061023E"/>
    <w:rsid w:val="0061061E"/>
    <w:rsid w:val="00610EB2"/>
    <w:rsid w:val="00611189"/>
    <w:rsid w:val="00611AD0"/>
    <w:rsid w:val="006125C5"/>
    <w:rsid w:val="0061278B"/>
    <w:rsid w:val="00613E2B"/>
    <w:rsid w:val="006144BB"/>
    <w:rsid w:val="00615CB3"/>
    <w:rsid w:val="00616900"/>
    <w:rsid w:val="00616ACC"/>
    <w:rsid w:val="00616B2A"/>
    <w:rsid w:val="006173B8"/>
    <w:rsid w:val="0061744E"/>
    <w:rsid w:val="0061799E"/>
    <w:rsid w:val="00617CDA"/>
    <w:rsid w:val="00620356"/>
    <w:rsid w:val="006204AA"/>
    <w:rsid w:val="006204D9"/>
    <w:rsid w:val="006205AD"/>
    <w:rsid w:val="00621323"/>
    <w:rsid w:val="00621934"/>
    <w:rsid w:val="00622007"/>
    <w:rsid w:val="00622D41"/>
    <w:rsid w:val="00623D94"/>
    <w:rsid w:val="00623F1D"/>
    <w:rsid w:val="00624D93"/>
    <w:rsid w:val="006254B1"/>
    <w:rsid w:val="00626034"/>
    <w:rsid w:val="00627058"/>
    <w:rsid w:val="00630007"/>
    <w:rsid w:val="006305AE"/>
    <w:rsid w:val="00630928"/>
    <w:rsid w:val="00630940"/>
    <w:rsid w:val="00630B6A"/>
    <w:rsid w:val="006312F7"/>
    <w:rsid w:val="0063144C"/>
    <w:rsid w:val="006315B7"/>
    <w:rsid w:val="006320CB"/>
    <w:rsid w:val="00632656"/>
    <w:rsid w:val="00632CD4"/>
    <w:rsid w:val="00632EDC"/>
    <w:rsid w:val="00632F67"/>
    <w:rsid w:val="0063315B"/>
    <w:rsid w:val="00633602"/>
    <w:rsid w:val="006345ED"/>
    <w:rsid w:val="006345EE"/>
    <w:rsid w:val="00634903"/>
    <w:rsid w:val="00634D1D"/>
    <w:rsid w:val="00635040"/>
    <w:rsid w:val="0063559F"/>
    <w:rsid w:val="006356A0"/>
    <w:rsid w:val="00636403"/>
    <w:rsid w:val="00637324"/>
    <w:rsid w:val="00640005"/>
    <w:rsid w:val="0064043A"/>
    <w:rsid w:val="0064099A"/>
    <w:rsid w:val="00641758"/>
    <w:rsid w:val="00641DF1"/>
    <w:rsid w:val="00642146"/>
    <w:rsid w:val="0064243B"/>
    <w:rsid w:val="00642B83"/>
    <w:rsid w:val="0064341D"/>
    <w:rsid w:val="006434E8"/>
    <w:rsid w:val="006450A9"/>
    <w:rsid w:val="00645164"/>
    <w:rsid w:val="006469A2"/>
    <w:rsid w:val="00646AB8"/>
    <w:rsid w:val="00646D0D"/>
    <w:rsid w:val="006471F9"/>
    <w:rsid w:val="0064782E"/>
    <w:rsid w:val="00650691"/>
    <w:rsid w:val="006507E9"/>
    <w:rsid w:val="00650822"/>
    <w:rsid w:val="00650A98"/>
    <w:rsid w:val="00651C2B"/>
    <w:rsid w:val="00652863"/>
    <w:rsid w:val="0065290E"/>
    <w:rsid w:val="00652921"/>
    <w:rsid w:val="006529EE"/>
    <w:rsid w:val="00653829"/>
    <w:rsid w:val="00653C4B"/>
    <w:rsid w:val="00653D6D"/>
    <w:rsid w:val="00654978"/>
    <w:rsid w:val="00654B18"/>
    <w:rsid w:val="006560A2"/>
    <w:rsid w:val="00656401"/>
    <w:rsid w:val="00656957"/>
    <w:rsid w:val="00656989"/>
    <w:rsid w:val="00656F93"/>
    <w:rsid w:val="006572C7"/>
    <w:rsid w:val="006578FA"/>
    <w:rsid w:val="0066025F"/>
    <w:rsid w:val="0066047B"/>
    <w:rsid w:val="00660524"/>
    <w:rsid w:val="00660E13"/>
    <w:rsid w:val="0066141F"/>
    <w:rsid w:val="00661731"/>
    <w:rsid w:val="00661B9D"/>
    <w:rsid w:val="006626DD"/>
    <w:rsid w:val="00662B82"/>
    <w:rsid w:val="00662E8A"/>
    <w:rsid w:val="00662EF9"/>
    <w:rsid w:val="00663136"/>
    <w:rsid w:val="00663BB8"/>
    <w:rsid w:val="00663F9C"/>
    <w:rsid w:val="00664085"/>
    <w:rsid w:val="0066419D"/>
    <w:rsid w:val="0066434A"/>
    <w:rsid w:val="006655C3"/>
    <w:rsid w:val="006661AE"/>
    <w:rsid w:val="006661E7"/>
    <w:rsid w:val="00666401"/>
    <w:rsid w:val="006667CC"/>
    <w:rsid w:val="0066711D"/>
    <w:rsid w:val="006674AF"/>
    <w:rsid w:val="00667861"/>
    <w:rsid w:val="00667DED"/>
    <w:rsid w:val="00667EF3"/>
    <w:rsid w:val="00667FEE"/>
    <w:rsid w:val="006701A1"/>
    <w:rsid w:val="006707CC"/>
    <w:rsid w:val="00670B0B"/>
    <w:rsid w:val="00670BA3"/>
    <w:rsid w:val="00670CAA"/>
    <w:rsid w:val="00670E7B"/>
    <w:rsid w:val="00670ECD"/>
    <w:rsid w:val="006711C8"/>
    <w:rsid w:val="00671EB9"/>
    <w:rsid w:val="00672482"/>
    <w:rsid w:val="0067279A"/>
    <w:rsid w:val="00673913"/>
    <w:rsid w:val="00673BEE"/>
    <w:rsid w:val="006740EF"/>
    <w:rsid w:val="0067429C"/>
    <w:rsid w:val="006746D0"/>
    <w:rsid w:val="0067478F"/>
    <w:rsid w:val="00675115"/>
    <w:rsid w:val="00675FA0"/>
    <w:rsid w:val="00677520"/>
    <w:rsid w:val="006777A9"/>
    <w:rsid w:val="00677A56"/>
    <w:rsid w:val="00677B79"/>
    <w:rsid w:val="00677D36"/>
    <w:rsid w:val="00677FAC"/>
    <w:rsid w:val="00680770"/>
    <w:rsid w:val="00680A37"/>
    <w:rsid w:val="00680B1F"/>
    <w:rsid w:val="00680E20"/>
    <w:rsid w:val="00681CEB"/>
    <w:rsid w:val="00681D97"/>
    <w:rsid w:val="00681F24"/>
    <w:rsid w:val="006826D6"/>
    <w:rsid w:val="00682EDE"/>
    <w:rsid w:val="00682F49"/>
    <w:rsid w:val="00683589"/>
    <w:rsid w:val="006838FF"/>
    <w:rsid w:val="0068398D"/>
    <w:rsid w:val="00683A64"/>
    <w:rsid w:val="006840C7"/>
    <w:rsid w:val="0068431E"/>
    <w:rsid w:val="0068441B"/>
    <w:rsid w:val="0068476F"/>
    <w:rsid w:val="00684C89"/>
    <w:rsid w:val="0068553C"/>
    <w:rsid w:val="00686F72"/>
    <w:rsid w:val="0068744E"/>
    <w:rsid w:val="00687644"/>
    <w:rsid w:val="00687A58"/>
    <w:rsid w:val="00687CF6"/>
    <w:rsid w:val="00687D00"/>
    <w:rsid w:val="0069098B"/>
    <w:rsid w:val="006914F0"/>
    <w:rsid w:val="00691625"/>
    <w:rsid w:val="0069302C"/>
    <w:rsid w:val="006930F8"/>
    <w:rsid w:val="00693912"/>
    <w:rsid w:val="00693BDB"/>
    <w:rsid w:val="006940D3"/>
    <w:rsid w:val="006940F0"/>
    <w:rsid w:val="00694113"/>
    <w:rsid w:val="006949CD"/>
    <w:rsid w:val="0069551F"/>
    <w:rsid w:val="006957DC"/>
    <w:rsid w:val="00695B1A"/>
    <w:rsid w:val="00695C9D"/>
    <w:rsid w:val="006966DF"/>
    <w:rsid w:val="00697D3C"/>
    <w:rsid w:val="006A0747"/>
    <w:rsid w:val="006A0F53"/>
    <w:rsid w:val="006A18E6"/>
    <w:rsid w:val="006A1DBF"/>
    <w:rsid w:val="006A29F8"/>
    <w:rsid w:val="006A3D1B"/>
    <w:rsid w:val="006A414B"/>
    <w:rsid w:val="006A4D96"/>
    <w:rsid w:val="006A55B0"/>
    <w:rsid w:val="006A6C1F"/>
    <w:rsid w:val="006A77AB"/>
    <w:rsid w:val="006A7D09"/>
    <w:rsid w:val="006B0723"/>
    <w:rsid w:val="006B0794"/>
    <w:rsid w:val="006B0B8C"/>
    <w:rsid w:val="006B14B4"/>
    <w:rsid w:val="006B1692"/>
    <w:rsid w:val="006B199B"/>
    <w:rsid w:val="006B1ACD"/>
    <w:rsid w:val="006B1B0F"/>
    <w:rsid w:val="006B1E28"/>
    <w:rsid w:val="006B25B8"/>
    <w:rsid w:val="006B2652"/>
    <w:rsid w:val="006B3E1A"/>
    <w:rsid w:val="006B3F37"/>
    <w:rsid w:val="006B490E"/>
    <w:rsid w:val="006B4EB7"/>
    <w:rsid w:val="006B51B9"/>
    <w:rsid w:val="006B75B6"/>
    <w:rsid w:val="006B7772"/>
    <w:rsid w:val="006B7B40"/>
    <w:rsid w:val="006C0484"/>
    <w:rsid w:val="006C05A9"/>
    <w:rsid w:val="006C0734"/>
    <w:rsid w:val="006C1643"/>
    <w:rsid w:val="006C178D"/>
    <w:rsid w:val="006C179E"/>
    <w:rsid w:val="006C183B"/>
    <w:rsid w:val="006C1850"/>
    <w:rsid w:val="006C3887"/>
    <w:rsid w:val="006C3AB5"/>
    <w:rsid w:val="006C562C"/>
    <w:rsid w:val="006C61A8"/>
    <w:rsid w:val="006C65A0"/>
    <w:rsid w:val="006C690B"/>
    <w:rsid w:val="006C6934"/>
    <w:rsid w:val="006C6E7A"/>
    <w:rsid w:val="006C6E9F"/>
    <w:rsid w:val="006C76C7"/>
    <w:rsid w:val="006C7EC3"/>
    <w:rsid w:val="006D0603"/>
    <w:rsid w:val="006D0793"/>
    <w:rsid w:val="006D0F97"/>
    <w:rsid w:val="006D1A08"/>
    <w:rsid w:val="006D1FBD"/>
    <w:rsid w:val="006D2AB1"/>
    <w:rsid w:val="006D2EBB"/>
    <w:rsid w:val="006D348B"/>
    <w:rsid w:val="006D3522"/>
    <w:rsid w:val="006D3530"/>
    <w:rsid w:val="006D3751"/>
    <w:rsid w:val="006D3870"/>
    <w:rsid w:val="006D4415"/>
    <w:rsid w:val="006D47F4"/>
    <w:rsid w:val="006D5683"/>
    <w:rsid w:val="006D60C9"/>
    <w:rsid w:val="006D6F3B"/>
    <w:rsid w:val="006D7B59"/>
    <w:rsid w:val="006D7EAC"/>
    <w:rsid w:val="006E046B"/>
    <w:rsid w:val="006E0E44"/>
    <w:rsid w:val="006E17E8"/>
    <w:rsid w:val="006E1A47"/>
    <w:rsid w:val="006E2B76"/>
    <w:rsid w:val="006E37B2"/>
    <w:rsid w:val="006E3F38"/>
    <w:rsid w:val="006E54D2"/>
    <w:rsid w:val="006E566E"/>
    <w:rsid w:val="006E630E"/>
    <w:rsid w:val="006E6B34"/>
    <w:rsid w:val="006E737E"/>
    <w:rsid w:val="006E7887"/>
    <w:rsid w:val="006E7CBD"/>
    <w:rsid w:val="006F003B"/>
    <w:rsid w:val="006F0301"/>
    <w:rsid w:val="006F15A9"/>
    <w:rsid w:val="006F27E3"/>
    <w:rsid w:val="006F28FB"/>
    <w:rsid w:val="006F316D"/>
    <w:rsid w:val="006F39CD"/>
    <w:rsid w:val="006F3DAA"/>
    <w:rsid w:val="006F3E1E"/>
    <w:rsid w:val="006F50BC"/>
    <w:rsid w:val="006F5642"/>
    <w:rsid w:val="006F63EF"/>
    <w:rsid w:val="006F647C"/>
    <w:rsid w:val="006F6796"/>
    <w:rsid w:val="006F6DAF"/>
    <w:rsid w:val="006F7DDF"/>
    <w:rsid w:val="00700123"/>
    <w:rsid w:val="007003B9"/>
    <w:rsid w:val="007004A0"/>
    <w:rsid w:val="007004CE"/>
    <w:rsid w:val="00700D03"/>
    <w:rsid w:val="0070109F"/>
    <w:rsid w:val="00701447"/>
    <w:rsid w:val="007016D3"/>
    <w:rsid w:val="007017DE"/>
    <w:rsid w:val="00701979"/>
    <w:rsid w:val="00701F65"/>
    <w:rsid w:val="007021DE"/>
    <w:rsid w:val="007023A5"/>
    <w:rsid w:val="00702F78"/>
    <w:rsid w:val="00702F7F"/>
    <w:rsid w:val="00703334"/>
    <w:rsid w:val="00703623"/>
    <w:rsid w:val="007037BE"/>
    <w:rsid w:val="00703C9A"/>
    <w:rsid w:val="00703E2E"/>
    <w:rsid w:val="00703FAC"/>
    <w:rsid w:val="00704583"/>
    <w:rsid w:val="00704A0E"/>
    <w:rsid w:val="00705495"/>
    <w:rsid w:val="007055DE"/>
    <w:rsid w:val="007056E8"/>
    <w:rsid w:val="0070698D"/>
    <w:rsid w:val="00706A57"/>
    <w:rsid w:val="00706F45"/>
    <w:rsid w:val="00706FCE"/>
    <w:rsid w:val="00707892"/>
    <w:rsid w:val="007103E2"/>
    <w:rsid w:val="007104DD"/>
    <w:rsid w:val="00710889"/>
    <w:rsid w:val="00710B4F"/>
    <w:rsid w:val="00711196"/>
    <w:rsid w:val="00711B3F"/>
    <w:rsid w:val="007121B4"/>
    <w:rsid w:val="007125D5"/>
    <w:rsid w:val="00712886"/>
    <w:rsid w:val="00712D7E"/>
    <w:rsid w:val="007132A9"/>
    <w:rsid w:val="0071424A"/>
    <w:rsid w:val="00714306"/>
    <w:rsid w:val="007150D4"/>
    <w:rsid w:val="00716ECD"/>
    <w:rsid w:val="00717844"/>
    <w:rsid w:val="0071786A"/>
    <w:rsid w:val="00717B75"/>
    <w:rsid w:val="00717ECB"/>
    <w:rsid w:val="00717FE8"/>
    <w:rsid w:val="00720220"/>
    <w:rsid w:val="007203E3"/>
    <w:rsid w:val="00720C72"/>
    <w:rsid w:val="007213E4"/>
    <w:rsid w:val="0072163E"/>
    <w:rsid w:val="00721B12"/>
    <w:rsid w:val="007239F9"/>
    <w:rsid w:val="00723F70"/>
    <w:rsid w:val="0072492D"/>
    <w:rsid w:val="00724F6C"/>
    <w:rsid w:val="0072578A"/>
    <w:rsid w:val="0072662E"/>
    <w:rsid w:val="00726866"/>
    <w:rsid w:val="00726CC5"/>
    <w:rsid w:val="00726F7A"/>
    <w:rsid w:val="0072750D"/>
    <w:rsid w:val="00730355"/>
    <w:rsid w:val="0073158E"/>
    <w:rsid w:val="0073172A"/>
    <w:rsid w:val="00731C19"/>
    <w:rsid w:val="007322D1"/>
    <w:rsid w:val="00732705"/>
    <w:rsid w:val="00732773"/>
    <w:rsid w:val="00732EBC"/>
    <w:rsid w:val="00733465"/>
    <w:rsid w:val="00733672"/>
    <w:rsid w:val="0073379C"/>
    <w:rsid w:val="00733A82"/>
    <w:rsid w:val="00733E3B"/>
    <w:rsid w:val="00733FFC"/>
    <w:rsid w:val="00734118"/>
    <w:rsid w:val="0073414D"/>
    <w:rsid w:val="00734289"/>
    <w:rsid w:val="007345C7"/>
    <w:rsid w:val="00735046"/>
    <w:rsid w:val="00735263"/>
    <w:rsid w:val="00735626"/>
    <w:rsid w:val="00735C2D"/>
    <w:rsid w:val="00736733"/>
    <w:rsid w:val="00736D4A"/>
    <w:rsid w:val="007371A6"/>
    <w:rsid w:val="00737264"/>
    <w:rsid w:val="00737308"/>
    <w:rsid w:val="00737BA6"/>
    <w:rsid w:val="0074090A"/>
    <w:rsid w:val="007409B2"/>
    <w:rsid w:val="00740DDE"/>
    <w:rsid w:val="00740FB1"/>
    <w:rsid w:val="00741510"/>
    <w:rsid w:val="00742058"/>
    <w:rsid w:val="007435B1"/>
    <w:rsid w:val="00743ADC"/>
    <w:rsid w:val="00744416"/>
    <w:rsid w:val="00744493"/>
    <w:rsid w:val="00744C97"/>
    <w:rsid w:val="007456EB"/>
    <w:rsid w:val="00745A19"/>
    <w:rsid w:val="007462EC"/>
    <w:rsid w:val="00746589"/>
    <w:rsid w:val="0074663B"/>
    <w:rsid w:val="007500E5"/>
    <w:rsid w:val="0075090A"/>
    <w:rsid w:val="00750B94"/>
    <w:rsid w:val="00750F63"/>
    <w:rsid w:val="00751195"/>
    <w:rsid w:val="007522AF"/>
    <w:rsid w:val="007533C9"/>
    <w:rsid w:val="007539CB"/>
    <w:rsid w:val="0075437B"/>
    <w:rsid w:val="007544A9"/>
    <w:rsid w:val="007549F4"/>
    <w:rsid w:val="00755D9A"/>
    <w:rsid w:val="007564C4"/>
    <w:rsid w:val="00756B31"/>
    <w:rsid w:val="00757425"/>
    <w:rsid w:val="007605E5"/>
    <w:rsid w:val="007615F8"/>
    <w:rsid w:val="00761AC8"/>
    <w:rsid w:val="0076206F"/>
    <w:rsid w:val="00762CF0"/>
    <w:rsid w:val="007632E0"/>
    <w:rsid w:val="0076362F"/>
    <w:rsid w:val="00763C1F"/>
    <w:rsid w:val="00763DE9"/>
    <w:rsid w:val="00764453"/>
    <w:rsid w:val="00764801"/>
    <w:rsid w:val="00764C4A"/>
    <w:rsid w:val="0076515D"/>
    <w:rsid w:val="007655FA"/>
    <w:rsid w:val="007658E5"/>
    <w:rsid w:val="00765AA7"/>
    <w:rsid w:val="00766DC3"/>
    <w:rsid w:val="007679EB"/>
    <w:rsid w:val="00770D94"/>
    <w:rsid w:val="00771631"/>
    <w:rsid w:val="00771A6B"/>
    <w:rsid w:val="00771F9B"/>
    <w:rsid w:val="0077261D"/>
    <w:rsid w:val="0077271B"/>
    <w:rsid w:val="00772ADE"/>
    <w:rsid w:val="0077338B"/>
    <w:rsid w:val="00773552"/>
    <w:rsid w:val="007755CC"/>
    <w:rsid w:val="007755CD"/>
    <w:rsid w:val="00775E74"/>
    <w:rsid w:val="00775F75"/>
    <w:rsid w:val="007762CD"/>
    <w:rsid w:val="0077650F"/>
    <w:rsid w:val="00777290"/>
    <w:rsid w:val="007777F7"/>
    <w:rsid w:val="00777920"/>
    <w:rsid w:val="00780273"/>
    <w:rsid w:val="00780956"/>
    <w:rsid w:val="0078233F"/>
    <w:rsid w:val="00782630"/>
    <w:rsid w:val="00782D8F"/>
    <w:rsid w:val="00782F00"/>
    <w:rsid w:val="00782FC5"/>
    <w:rsid w:val="0078357E"/>
    <w:rsid w:val="0078385A"/>
    <w:rsid w:val="007839E7"/>
    <w:rsid w:val="007841FF"/>
    <w:rsid w:val="007846C1"/>
    <w:rsid w:val="00784CBB"/>
    <w:rsid w:val="00785009"/>
    <w:rsid w:val="00785621"/>
    <w:rsid w:val="00785E26"/>
    <w:rsid w:val="00785EFF"/>
    <w:rsid w:val="007864E5"/>
    <w:rsid w:val="00786824"/>
    <w:rsid w:val="0078724C"/>
    <w:rsid w:val="00787C9D"/>
    <w:rsid w:val="007906CA"/>
    <w:rsid w:val="007910B0"/>
    <w:rsid w:val="00791503"/>
    <w:rsid w:val="0079220D"/>
    <w:rsid w:val="00792A53"/>
    <w:rsid w:val="00792F87"/>
    <w:rsid w:val="007934D4"/>
    <w:rsid w:val="0079374C"/>
    <w:rsid w:val="007938D1"/>
    <w:rsid w:val="007939BD"/>
    <w:rsid w:val="00793C16"/>
    <w:rsid w:val="00793F4D"/>
    <w:rsid w:val="00793FBD"/>
    <w:rsid w:val="00795610"/>
    <w:rsid w:val="00795792"/>
    <w:rsid w:val="00796016"/>
    <w:rsid w:val="00796287"/>
    <w:rsid w:val="00796366"/>
    <w:rsid w:val="00796AC3"/>
    <w:rsid w:val="00796C5E"/>
    <w:rsid w:val="0079775B"/>
    <w:rsid w:val="007A0692"/>
    <w:rsid w:val="007A0B62"/>
    <w:rsid w:val="007A0C5A"/>
    <w:rsid w:val="007A11B0"/>
    <w:rsid w:val="007A1236"/>
    <w:rsid w:val="007A1266"/>
    <w:rsid w:val="007A1D32"/>
    <w:rsid w:val="007A2091"/>
    <w:rsid w:val="007A21A0"/>
    <w:rsid w:val="007A22B8"/>
    <w:rsid w:val="007A25B2"/>
    <w:rsid w:val="007A2A69"/>
    <w:rsid w:val="007A2A6F"/>
    <w:rsid w:val="007A39D3"/>
    <w:rsid w:val="007A3BDD"/>
    <w:rsid w:val="007A3E20"/>
    <w:rsid w:val="007A3E4D"/>
    <w:rsid w:val="007A4506"/>
    <w:rsid w:val="007A538A"/>
    <w:rsid w:val="007A57AE"/>
    <w:rsid w:val="007A6E20"/>
    <w:rsid w:val="007A73DA"/>
    <w:rsid w:val="007A74B2"/>
    <w:rsid w:val="007B07C4"/>
    <w:rsid w:val="007B0B94"/>
    <w:rsid w:val="007B11EC"/>
    <w:rsid w:val="007B17A6"/>
    <w:rsid w:val="007B1F57"/>
    <w:rsid w:val="007B3D31"/>
    <w:rsid w:val="007B4597"/>
    <w:rsid w:val="007B47A0"/>
    <w:rsid w:val="007B5174"/>
    <w:rsid w:val="007B52EC"/>
    <w:rsid w:val="007B5336"/>
    <w:rsid w:val="007B55BA"/>
    <w:rsid w:val="007B55C5"/>
    <w:rsid w:val="007B57D2"/>
    <w:rsid w:val="007B5E43"/>
    <w:rsid w:val="007B6A17"/>
    <w:rsid w:val="007B70FB"/>
    <w:rsid w:val="007B74DB"/>
    <w:rsid w:val="007C0482"/>
    <w:rsid w:val="007C0832"/>
    <w:rsid w:val="007C123C"/>
    <w:rsid w:val="007C1DC9"/>
    <w:rsid w:val="007C20FE"/>
    <w:rsid w:val="007C2678"/>
    <w:rsid w:val="007C298F"/>
    <w:rsid w:val="007C2C41"/>
    <w:rsid w:val="007C2FF2"/>
    <w:rsid w:val="007C3435"/>
    <w:rsid w:val="007C376A"/>
    <w:rsid w:val="007C3888"/>
    <w:rsid w:val="007C3E04"/>
    <w:rsid w:val="007C456F"/>
    <w:rsid w:val="007C4A77"/>
    <w:rsid w:val="007C53A3"/>
    <w:rsid w:val="007C54E9"/>
    <w:rsid w:val="007C55BE"/>
    <w:rsid w:val="007C5AB5"/>
    <w:rsid w:val="007C7119"/>
    <w:rsid w:val="007C766F"/>
    <w:rsid w:val="007C7AD6"/>
    <w:rsid w:val="007C7C59"/>
    <w:rsid w:val="007C7DC7"/>
    <w:rsid w:val="007D1E09"/>
    <w:rsid w:val="007D35A0"/>
    <w:rsid w:val="007D40F5"/>
    <w:rsid w:val="007D46D8"/>
    <w:rsid w:val="007D4892"/>
    <w:rsid w:val="007D48E9"/>
    <w:rsid w:val="007D53CB"/>
    <w:rsid w:val="007D5857"/>
    <w:rsid w:val="007D5E14"/>
    <w:rsid w:val="007D6F86"/>
    <w:rsid w:val="007D72EB"/>
    <w:rsid w:val="007D7CD6"/>
    <w:rsid w:val="007E0F8F"/>
    <w:rsid w:val="007E14A4"/>
    <w:rsid w:val="007E1C37"/>
    <w:rsid w:val="007E28AE"/>
    <w:rsid w:val="007E2F83"/>
    <w:rsid w:val="007E317C"/>
    <w:rsid w:val="007E3562"/>
    <w:rsid w:val="007E3E82"/>
    <w:rsid w:val="007E44F9"/>
    <w:rsid w:val="007E5E79"/>
    <w:rsid w:val="007E5ED9"/>
    <w:rsid w:val="007E5EDC"/>
    <w:rsid w:val="007E60AD"/>
    <w:rsid w:val="007E6646"/>
    <w:rsid w:val="007E6C51"/>
    <w:rsid w:val="007E6E28"/>
    <w:rsid w:val="007E7232"/>
    <w:rsid w:val="007E72AB"/>
    <w:rsid w:val="007E7891"/>
    <w:rsid w:val="007E7B16"/>
    <w:rsid w:val="007F0378"/>
    <w:rsid w:val="007F0684"/>
    <w:rsid w:val="007F06B6"/>
    <w:rsid w:val="007F06E8"/>
    <w:rsid w:val="007F0AF8"/>
    <w:rsid w:val="007F137F"/>
    <w:rsid w:val="007F1391"/>
    <w:rsid w:val="007F219A"/>
    <w:rsid w:val="007F385C"/>
    <w:rsid w:val="007F3F16"/>
    <w:rsid w:val="007F4981"/>
    <w:rsid w:val="007F4D3F"/>
    <w:rsid w:val="007F4D49"/>
    <w:rsid w:val="007F58A3"/>
    <w:rsid w:val="007F59DB"/>
    <w:rsid w:val="007F65DB"/>
    <w:rsid w:val="007F6761"/>
    <w:rsid w:val="007F6BC4"/>
    <w:rsid w:val="007F70D4"/>
    <w:rsid w:val="007F76B6"/>
    <w:rsid w:val="007F79BE"/>
    <w:rsid w:val="0080009A"/>
    <w:rsid w:val="00800120"/>
    <w:rsid w:val="008001B8"/>
    <w:rsid w:val="00800599"/>
    <w:rsid w:val="0080073F"/>
    <w:rsid w:val="008011BE"/>
    <w:rsid w:val="0080143D"/>
    <w:rsid w:val="00801CB1"/>
    <w:rsid w:val="00802515"/>
    <w:rsid w:val="00802AA7"/>
    <w:rsid w:val="00802B6F"/>
    <w:rsid w:val="00802C08"/>
    <w:rsid w:val="00802C7C"/>
    <w:rsid w:val="00803108"/>
    <w:rsid w:val="008039D0"/>
    <w:rsid w:val="00803ACE"/>
    <w:rsid w:val="00803EB7"/>
    <w:rsid w:val="008040BB"/>
    <w:rsid w:val="008041C2"/>
    <w:rsid w:val="008046E2"/>
    <w:rsid w:val="008054B3"/>
    <w:rsid w:val="00805B99"/>
    <w:rsid w:val="00806E9B"/>
    <w:rsid w:val="00807090"/>
    <w:rsid w:val="0080733C"/>
    <w:rsid w:val="00807926"/>
    <w:rsid w:val="00807A15"/>
    <w:rsid w:val="00807A2C"/>
    <w:rsid w:val="00807AB5"/>
    <w:rsid w:val="00807EEA"/>
    <w:rsid w:val="008100A2"/>
    <w:rsid w:val="008107F5"/>
    <w:rsid w:val="00810E30"/>
    <w:rsid w:val="00810ED7"/>
    <w:rsid w:val="008138D8"/>
    <w:rsid w:val="00813AEB"/>
    <w:rsid w:val="00814AB2"/>
    <w:rsid w:val="00814CAD"/>
    <w:rsid w:val="00815424"/>
    <w:rsid w:val="0081587D"/>
    <w:rsid w:val="00815AF2"/>
    <w:rsid w:val="00816320"/>
    <w:rsid w:val="008163C7"/>
    <w:rsid w:val="008171B1"/>
    <w:rsid w:val="00817D96"/>
    <w:rsid w:val="00817F9A"/>
    <w:rsid w:val="00820CCC"/>
    <w:rsid w:val="008227FA"/>
    <w:rsid w:val="008229A2"/>
    <w:rsid w:val="00823667"/>
    <w:rsid w:val="00823C3A"/>
    <w:rsid w:val="0082443D"/>
    <w:rsid w:val="008246FE"/>
    <w:rsid w:val="00824792"/>
    <w:rsid w:val="00824A9E"/>
    <w:rsid w:val="00825EA0"/>
    <w:rsid w:val="00825F58"/>
    <w:rsid w:val="008268CF"/>
    <w:rsid w:val="00826F8E"/>
    <w:rsid w:val="008270EE"/>
    <w:rsid w:val="00827497"/>
    <w:rsid w:val="00827D53"/>
    <w:rsid w:val="0083026B"/>
    <w:rsid w:val="00831472"/>
    <w:rsid w:val="00831612"/>
    <w:rsid w:val="00831789"/>
    <w:rsid w:val="00831EC1"/>
    <w:rsid w:val="00832696"/>
    <w:rsid w:val="008326A2"/>
    <w:rsid w:val="00832832"/>
    <w:rsid w:val="008329FF"/>
    <w:rsid w:val="00832ECB"/>
    <w:rsid w:val="00833526"/>
    <w:rsid w:val="008340EC"/>
    <w:rsid w:val="00834ACC"/>
    <w:rsid w:val="00834B47"/>
    <w:rsid w:val="00835459"/>
    <w:rsid w:val="00835609"/>
    <w:rsid w:val="00835DF4"/>
    <w:rsid w:val="0083659E"/>
    <w:rsid w:val="008365C4"/>
    <w:rsid w:val="00836D76"/>
    <w:rsid w:val="00837C41"/>
    <w:rsid w:val="00837C92"/>
    <w:rsid w:val="00837F0F"/>
    <w:rsid w:val="008416E5"/>
    <w:rsid w:val="0084210C"/>
    <w:rsid w:val="00842AD4"/>
    <w:rsid w:val="00842BBA"/>
    <w:rsid w:val="00842D41"/>
    <w:rsid w:val="00843029"/>
    <w:rsid w:val="008430CB"/>
    <w:rsid w:val="00843420"/>
    <w:rsid w:val="00843B5D"/>
    <w:rsid w:val="0084410A"/>
    <w:rsid w:val="008447C7"/>
    <w:rsid w:val="008447D4"/>
    <w:rsid w:val="00844FEB"/>
    <w:rsid w:val="0084506C"/>
    <w:rsid w:val="008454BD"/>
    <w:rsid w:val="0084562F"/>
    <w:rsid w:val="0084581C"/>
    <w:rsid w:val="00845BE7"/>
    <w:rsid w:val="008462BA"/>
    <w:rsid w:val="008463F3"/>
    <w:rsid w:val="00846D76"/>
    <w:rsid w:val="008471B2"/>
    <w:rsid w:val="0085005F"/>
    <w:rsid w:val="00850373"/>
    <w:rsid w:val="0085062F"/>
    <w:rsid w:val="00851307"/>
    <w:rsid w:val="008515B1"/>
    <w:rsid w:val="00851789"/>
    <w:rsid w:val="00851F92"/>
    <w:rsid w:val="00852508"/>
    <w:rsid w:val="00852E5B"/>
    <w:rsid w:val="00853498"/>
    <w:rsid w:val="00853677"/>
    <w:rsid w:val="008537EC"/>
    <w:rsid w:val="00853ACD"/>
    <w:rsid w:val="00853ACF"/>
    <w:rsid w:val="00853F1F"/>
    <w:rsid w:val="008544D3"/>
    <w:rsid w:val="00855143"/>
    <w:rsid w:val="008551EE"/>
    <w:rsid w:val="008558A1"/>
    <w:rsid w:val="0085642F"/>
    <w:rsid w:val="0085649E"/>
    <w:rsid w:val="008572D7"/>
    <w:rsid w:val="008573AF"/>
    <w:rsid w:val="00857645"/>
    <w:rsid w:val="00857D80"/>
    <w:rsid w:val="008602FC"/>
    <w:rsid w:val="008606F1"/>
    <w:rsid w:val="00860989"/>
    <w:rsid w:val="00860CF9"/>
    <w:rsid w:val="00861BF1"/>
    <w:rsid w:val="008622D3"/>
    <w:rsid w:val="0086268A"/>
    <w:rsid w:val="008639A2"/>
    <w:rsid w:val="00863BBB"/>
    <w:rsid w:val="0086401E"/>
    <w:rsid w:val="008640FD"/>
    <w:rsid w:val="0086426C"/>
    <w:rsid w:val="0086445F"/>
    <w:rsid w:val="008646E1"/>
    <w:rsid w:val="0086564F"/>
    <w:rsid w:val="00865681"/>
    <w:rsid w:val="00866618"/>
    <w:rsid w:val="00866858"/>
    <w:rsid w:val="00866DF4"/>
    <w:rsid w:val="00867B6B"/>
    <w:rsid w:val="00870AFC"/>
    <w:rsid w:val="00870AFD"/>
    <w:rsid w:val="00871452"/>
    <w:rsid w:val="008715CC"/>
    <w:rsid w:val="00872589"/>
    <w:rsid w:val="00872770"/>
    <w:rsid w:val="00873754"/>
    <w:rsid w:val="00873814"/>
    <w:rsid w:val="00875138"/>
    <w:rsid w:val="008752FC"/>
    <w:rsid w:val="00875FA4"/>
    <w:rsid w:val="00876044"/>
    <w:rsid w:val="008763C8"/>
    <w:rsid w:val="0087660D"/>
    <w:rsid w:val="00877D6E"/>
    <w:rsid w:val="00877E35"/>
    <w:rsid w:val="0088014E"/>
    <w:rsid w:val="00880BAB"/>
    <w:rsid w:val="00881604"/>
    <w:rsid w:val="008817FF"/>
    <w:rsid w:val="00881E99"/>
    <w:rsid w:val="008820C1"/>
    <w:rsid w:val="0088239C"/>
    <w:rsid w:val="00882745"/>
    <w:rsid w:val="008828F7"/>
    <w:rsid w:val="0088294F"/>
    <w:rsid w:val="00882A65"/>
    <w:rsid w:val="00882E58"/>
    <w:rsid w:val="0088302A"/>
    <w:rsid w:val="008835B1"/>
    <w:rsid w:val="008836F9"/>
    <w:rsid w:val="008837DE"/>
    <w:rsid w:val="00883B3F"/>
    <w:rsid w:val="008851BE"/>
    <w:rsid w:val="00885538"/>
    <w:rsid w:val="00885CA8"/>
    <w:rsid w:val="00886188"/>
    <w:rsid w:val="00887063"/>
    <w:rsid w:val="00887908"/>
    <w:rsid w:val="00887BD8"/>
    <w:rsid w:val="00887F1B"/>
    <w:rsid w:val="008900CF"/>
    <w:rsid w:val="00891602"/>
    <w:rsid w:val="00892011"/>
    <w:rsid w:val="008922CF"/>
    <w:rsid w:val="008923D1"/>
    <w:rsid w:val="008925B9"/>
    <w:rsid w:val="008928F3"/>
    <w:rsid w:val="008931AA"/>
    <w:rsid w:val="008937CB"/>
    <w:rsid w:val="0089427B"/>
    <w:rsid w:val="0089483C"/>
    <w:rsid w:val="00894A6B"/>
    <w:rsid w:val="00894A7F"/>
    <w:rsid w:val="00895922"/>
    <w:rsid w:val="00895E5A"/>
    <w:rsid w:val="0089601F"/>
    <w:rsid w:val="008960C3"/>
    <w:rsid w:val="00897502"/>
    <w:rsid w:val="00897855"/>
    <w:rsid w:val="008A0E63"/>
    <w:rsid w:val="008A1450"/>
    <w:rsid w:val="008A15A7"/>
    <w:rsid w:val="008A173F"/>
    <w:rsid w:val="008A1EFD"/>
    <w:rsid w:val="008A2340"/>
    <w:rsid w:val="008A238A"/>
    <w:rsid w:val="008A239E"/>
    <w:rsid w:val="008A2783"/>
    <w:rsid w:val="008A2790"/>
    <w:rsid w:val="008A2C5D"/>
    <w:rsid w:val="008A33B4"/>
    <w:rsid w:val="008A3B87"/>
    <w:rsid w:val="008A3C32"/>
    <w:rsid w:val="008A3EE7"/>
    <w:rsid w:val="008A42CE"/>
    <w:rsid w:val="008A4680"/>
    <w:rsid w:val="008A473D"/>
    <w:rsid w:val="008A4F57"/>
    <w:rsid w:val="008A52CE"/>
    <w:rsid w:val="008A574C"/>
    <w:rsid w:val="008A6A25"/>
    <w:rsid w:val="008A70F7"/>
    <w:rsid w:val="008B0968"/>
    <w:rsid w:val="008B0BA7"/>
    <w:rsid w:val="008B1E06"/>
    <w:rsid w:val="008B1FAB"/>
    <w:rsid w:val="008B20A4"/>
    <w:rsid w:val="008B2F1A"/>
    <w:rsid w:val="008B31AD"/>
    <w:rsid w:val="008B331F"/>
    <w:rsid w:val="008B3A87"/>
    <w:rsid w:val="008B3C1F"/>
    <w:rsid w:val="008B4243"/>
    <w:rsid w:val="008B42D0"/>
    <w:rsid w:val="008B4953"/>
    <w:rsid w:val="008B4A6D"/>
    <w:rsid w:val="008B4E19"/>
    <w:rsid w:val="008B4F72"/>
    <w:rsid w:val="008B5A96"/>
    <w:rsid w:val="008B5E1D"/>
    <w:rsid w:val="008B5F58"/>
    <w:rsid w:val="008B6367"/>
    <w:rsid w:val="008B63AD"/>
    <w:rsid w:val="008B646F"/>
    <w:rsid w:val="008B658C"/>
    <w:rsid w:val="008B7546"/>
    <w:rsid w:val="008C0557"/>
    <w:rsid w:val="008C0771"/>
    <w:rsid w:val="008C0845"/>
    <w:rsid w:val="008C092D"/>
    <w:rsid w:val="008C1107"/>
    <w:rsid w:val="008C1779"/>
    <w:rsid w:val="008C196C"/>
    <w:rsid w:val="008C1C57"/>
    <w:rsid w:val="008C1DC1"/>
    <w:rsid w:val="008C28B3"/>
    <w:rsid w:val="008C2A2B"/>
    <w:rsid w:val="008C3591"/>
    <w:rsid w:val="008C3A88"/>
    <w:rsid w:val="008C3AC1"/>
    <w:rsid w:val="008C3C11"/>
    <w:rsid w:val="008C4EB8"/>
    <w:rsid w:val="008C51A8"/>
    <w:rsid w:val="008C5856"/>
    <w:rsid w:val="008C5CB4"/>
    <w:rsid w:val="008C61B0"/>
    <w:rsid w:val="008C6FD3"/>
    <w:rsid w:val="008C70EB"/>
    <w:rsid w:val="008C7FA7"/>
    <w:rsid w:val="008D07F1"/>
    <w:rsid w:val="008D0C0E"/>
    <w:rsid w:val="008D155D"/>
    <w:rsid w:val="008D15E6"/>
    <w:rsid w:val="008D217D"/>
    <w:rsid w:val="008D229E"/>
    <w:rsid w:val="008D24C5"/>
    <w:rsid w:val="008D36D2"/>
    <w:rsid w:val="008D3C13"/>
    <w:rsid w:val="008D3FE4"/>
    <w:rsid w:val="008D415F"/>
    <w:rsid w:val="008D499F"/>
    <w:rsid w:val="008D4DF4"/>
    <w:rsid w:val="008D547C"/>
    <w:rsid w:val="008D5506"/>
    <w:rsid w:val="008D5DAB"/>
    <w:rsid w:val="008D6164"/>
    <w:rsid w:val="008D6641"/>
    <w:rsid w:val="008D67EC"/>
    <w:rsid w:val="008D6847"/>
    <w:rsid w:val="008D688E"/>
    <w:rsid w:val="008D6968"/>
    <w:rsid w:val="008D6C68"/>
    <w:rsid w:val="008D71F3"/>
    <w:rsid w:val="008D7AFD"/>
    <w:rsid w:val="008D7BE6"/>
    <w:rsid w:val="008D7E3E"/>
    <w:rsid w:val="008D7EA6"/>
    <w:rsid w:val="008E0029"/>
    <w:rsid w:val="008E01BA"/>
    <w:rsid w:val="008E0219"/>
    <w:rsid w:val="008E0386"/>
    <w:rsid w:val="008E0DE2"/>
    <w:rsid w:val="008E16F9"/>
    <w:rsid w:val="008E1CA4"/>
    <w:rsid w:val="008E2BCC"/>
    <w:rsid w:val="008E2D38"/>
    <w:rsid w:val="008E2ED0"/>
    <w:rsid w:val="008E38C7"/>
    <w:rsid w:val="008E489A"/>
    <w:rsid w:val="008E4C7D"/>
    <w:rsid w:val="008E5A4E"/>
    <w:rsid w:val="008E5E16"/>
    <w:rsid w:val="008E5F5F"/>
    <w:rsid w:val="008E6D37"/>
    <w:rsid w:val="008E6F6B"/>
    <w:rsid w:val="008E7155"/>
    <w:rsid w:val="008E71FB"/>
    <w:rsid w:val="008E7365"/>
    <w:rsid w:val="008E7838"/>
    <w:rsid w:val="008E7874"/>
    <w:rsid w:val="008E7BEB"/>
    <w:rsid w:val="008F0248"/>
    <w:rsid w:val="008F078E"/>
    <w:rsid w:val="008F07B8"/>
    <w:rsid w:val="008F0838"/>
    <w:rsid w:val="008F0932"/>
    <w:rsid w:val="008F0A62"/>
    <w:rsid w:val="008F0EF5"/>
    <w:rsid w:val="008F1238"/>
    <w:rsid w:val="008F1892"/>
    <w:rsid w:val="008F257A"/>
    <w:rsid w:val="008F35D9"/>
    <w:rsid w:val="008F3793"/>
    <w:rsid w:val="008F438C"/>
    <w:rsid w:val="008F525C"/>
    <w:rsid w:val="008F540C"/>
    <w:rsid w:val="008F6060"/>
    <w:rsid w:val="008F6426"/>
    <w:rsid w:val="008F6B8B"/>
    <w:rsid w:val="00900731"/>
    <w:rsid w:val="0090146E"/>
    <w:rsid w:val="009014C6"/>
    <w:rsid w:val="00901E4D"/>
    <w:rsid w:val="009030CA"/>
    <w:rsid w:val="00903424"/>
    <w:rsid w:val="009038F8"/>
    <w:rsid w:val="00903F71"/>
    <w:rsid w:val="00904173"/>
    <w:rsid w:val="00904206"/>
    <w:rsid w:val="00904BDA"/>
    <w:rsid w:val="00904CF7"/>
    <w:rsid w:val="00905456"/>
    <w:rsid w:val="00905829"/>
    <w:rsid w:val="00905F98"/>
    <w:rsid w:val="0090621C"/>
    <w:rsid w:val="00906618"/>
    <w:rsid w:val="00906B8C"/>
    <w:rsid w:val="00906C4A"/>
    <w:rsid w:val="00907FD2"/>
    <w:rsid w:val="009100B1"/>
    <w:rsid w:val="009104A4"/>
    <w:rsid w:val="00910866"/>
    <w:rsid w:val="00910F70"/>
    <w:rsid w:val="0091103D"/>
    <w:rsid w:val="009110AD"/>
    <w:rsid w:val="009111CC"/>
    <w:rsid w:val="009114FF"/>
    <w:rsid w:val="00911A79"/>
    <w:rsid w:val="00911B90"/>
    <w:rsid w:val="00911C5C"/>
    <w:rsid w:val="00911D8B"/>
    <w:rsid w:val="009127CC"/>
    <w:rsid w:val="00912AAF"/>
    <w:rsid w:val="00912B65"/>
    <w:rsid w:val="00912BC1"/>
    <w:rsid w:val="00914D40"/>
    <w:rsid w:val="009158B9"/>
    <w:rsid w:val="0091620A"/>
    <w:rsid w:val="00916863"/>
    <w:rsid w:val="0091728E"/>
    <w:rsid w:val="00917458"/>
    <w:rsid w:val="009176C9"/>
    <w:rsid w:val="0092096D"/>
    <w:rsid w:val="009214DE"/>
    <w:rsid w:val="00921B1B"/>
    <w:rsid w:val="00921E56"/>
    <w:rsid w:val="009221ED"/>
    <w:rsid w:val="0092259C"/>
    <w:rsid w:val="00922B73"/>
    <w:rsid w:val="00922F30"/>
    <w:rsid w:val="009231A0"/>
    <w:rsid w:val="009235C9"/>
    <w:rsid w:val="009235EC"/>
    <w:rsid w:val="00926F12"/>
    <w:rsid w:val="00927CE1"/>
    <w:rsid w:val="00927DE3"/>
    <w:rsid w:val="00930591"/>
    <w:rsid w:val="009305F9"/>
    <w:rsid w:val="00930609"/>
    <w:rsid w:val="0093071F"/>
    <w:rsid w:val="00930B72"/>
    <w:rsid w:val="0093196E"/>
    <w:rsid w:val="00931A58"/>
    <w:rsid w:val="00932113"/>
    <w:rsid w:val="0093264C"/>
    <w:rsid w:val="00932AD7"/>
    <w:rsid w:val="00932BD2"/>
    <w:rsid w:val="00932E71"/>
    <w:rsid w:val="009331AA"/>
    <w:rsid w:val="0093385B"/>
    <w:rsid w:val="00933CB4"/>
    <w:rsid w:val="00934790"/>
    <w:rsid w:val="009352C5"/>
    <w:rsid w:val="00935534"/>
    <w:rsid w:val="0093562F"/>
    <w:rsid w:val="00935978"/>
    <w:rsid w:val="00935F61"/>
    <w:rsid w:val="009360BB"/>
    <w:rsid w:val="00936B1F"/>
    <w:rsid w:val="00937808"/>
    <w:rsid w:val="009379F0"/>
    <w:rsid w:val="00937A67"/>
    <w:rsid w:val="00937A6A"/>
    <w:rsid w:val="0094115A"/>
    <w:rsid w:val="0094144F"/>
    <w:rsid w:val="00942B2E"/>
    <w:rsid w:val="00942D0E"/>
    <w:rsid w:val="00943238"/>
    <w:rsid w:val="0094352D"/>
    <w:rsid w:val="00943768"/>
    <w:rsid w:val="00943CFE"/>
    <w:rsid w:val="00943F96"/>
    <w:rsid w:val="00943FA2"/>
    <w:rsid w:val="0094494D"/>
    <w:rsid w:val="00944E59"/>
    <w:rsid w:val="00945401"/>
    <w:rsid w:val="009459F4"/>
    <w:rsid w:val="00945ABE"/>
    <w:rsid w:val="00945E58"/>
    <w:rsid w:val="00946127"/>
    <w:rsid w:val="00946907"/>
    <w:rsid w:val="00946E16"/>
    <w:rsid w:val="00950CAE"/>
    <w:rsid w:val="009512EC"/>
    <w:rsid w:val="00951992"/>
    <w:rsid w:val="009519A8"/>
    <w:rsid w:val="0095234A"/>
    <w:rsid w:val="009524FE"/>
    <w:rsid w:val="00952A5C"/>
    <w:rsid w:val="0095315A"/>
    <w:rsid w:val="009532F2"/>
    <w:rsid w:val="009534DD"/>
    <w:rsid w:val="009535C2"/>
    <w:rsid w:val="00953A73"/>
    <w:rsid w:val="00954D5A"/>
    <w:rsid w:val="009551A8"/>
    <w:rsid w:val="0095540A"/>
    <w:rsid w:val="0095640A"/>
    <w:rsid w:val="00956B6C"/>
    <w:rsid w:val="00956DE3"/>
    <w:rsid w:val="00957B5B"/>
    <w:rsid w:val="009601CB"/>
    <w:rsid w:val="0096044C"/>
    <w:rsid w:val="0096059A"/>
    <w:rsid w:val="0096081E"/>
    <w:rsid w:val="00960D39"/>
    <w:rsid w:val="00960F7E"/>
    <w:rsid w:val="009611A5"/>
    <w:rsid w:val="009614BD"/>
    <w:rsid w:val="0096193B"/>
    <w:rsid w:val="00961ABC"/>
    <w:rsid w:val="00962E6A"/>
    <w:rsid w:val="00963188"/>
    <w:rsid w:val="00963240"/>
    <w:rsid w:val="00963440"/>
    <w:rsid w:val="00963B82"/>
    <w:rsid w:val="00964475"/>
    <w:rsid w:val="00964A6E"/>
    <w:rsid w:val="00964FB4"/>
    <w:rsid w:val="009666BD"/>
    <w:rsid w:val="00966AC9"/>
    <w:rsid w:val="00966BFB"/>
    <w:rsid w:val="0096720E"/>
    <w:rsid w:val="00967CDA"/>
    <w:rsid w:val="00970048"/>
    <w:rsid w:val="00970278"/>
    <w:rsid w:val="00970847"/>
    <w:rsid w:val="00970858"/>
    <w:rsid w:val="00971831"/>
    <w:rsid w:val="00971B0F"/>
    <w:rsid w:val="0097216D"/>
    <w:rsid w:val="00972486"/>
    <w:rsid w:val="00972799"/>
    <w:rsid w:val="00972D8F"/>
    <w:rsid w:val="009735A7"/>
    <w:rsid w:val="00973C2B"/>
    <w:rsid w:val="0097437B"/>
    <w:rsid w:val="0097441E"/>
    <w:rsid w:val="0097517A"/>
    <w:rsid w:val="00975AEC"/>
    <w:rsid w:val="00975FB0"/>
    <w:rsid w:val="009762C7"/>
    <w:rsid w:val="0097670F"/>
    <w:rsid w:val="00976C61"/>
    <w:rsid w:val="00976ECA"/>
    <w:rsid w:val="00977532"/>
    <w:rsid w:val="009803EC"/>
    <w:rsid w:val="00981215"/>
    <w:rsid w:val="009812FC"/>
    <w:rsid w:val="009813BF"/>
    <w:rsid w:val="009819CD"/>
    <w:rsid w:val="0098256C"/>
    <w:rsid w:val="00982C0D"/>
    <w:rsid w:val="00982E78"/>
    <w:rsid w:val="009832BE"/>
    <w:rsid w:val="00983B0F"/>
    <w:rsid w:val="00983D98"/>
    <w:rsid w:val="00983EA1"/>
    <w:rsid w:val="009844B4"/>
    <w:rsid w:val="0098453B"/>
    <w:rsid w:val="00984D82"/>
    <w:rsid w:val="0098572B"/>
    <w:rsid w:val="00985CDA"/>
    <w:rsid w:val="0098603A"/>
    <w:rsid w:val="00986137"/>
    <w:rsid w:val="00986B96"/>
    <w:rsid w:val="0098740B"/>
    <w:rsid w:val="00987B9A"/>
    <w:rsid w:val="00987C6F"/>
    <w:rsid w:val="0099018C"/>
    <w:rsid w:val="00990549"/>
    <w:rsid w:val="00990708"/>
    <w:rsid w:val="0099078A"/>
    <w:rsid w:val="00990A3C"/>
    <w:rsid w:val="00990B18"/>
    <w:rsid w:val="00990C3D"/>
    <w:rsid w:val="00991603"/>
    <w:rsid w:val="0099199D"/>
    <w:rsid w:val="00991B9A"/>
    <w:rsid w:val="00991C09"/>
    <w:rsid w:val="00992EA9"/>
    <w:rsid w:val="00993499"/>
    <w:rsid w:val="009934DB"/>
    <w:rsid w:val="009939CB"/>
    <w:rsid w:val="00993D95"/>
    <w:rsid w:val="00994664"/>
    <w:rsid w:val="009948FE"/>
    <w:rsid w:val="009956CC"/>
    <w:rsid w:val="00995756"/>
    <w:rsid w:val="00997125"/>
    <w:rsid w:val="00997582"/>
    <w:rsid w:val="009A0208"/>
    <w:rsid w:val="009A05D0"/>
    <w:rsid w:val="009A0648"/>
    <w:rsid w:val="009A0B05"/>
    <w:rsid w:val="009A1B80"/>
    <w:rsid w:val="009A21EE"/>
    <w:rsid w:val="009A253B"/>
    <w:rsid w:val="009A3C6E"/>
    <w:rsid w:val="009A4973"/>
    <w:rsid w:val="009A640C"/>
    <w:rsid w:val="009A6698"/>
    <w:rsid w:val="009A68E7"/>
    <w:rsid w:val="009A6A04"/>
    <w:rsid w:val="009A6A34"/>
    <w:rsid w:val="009A78A6"/>
    <w:rsid w:val="009A7B46"/>
    <w:rsid w:val="009B01AE"/>
    <w:rsid w:val="009B04F2"/>
    <w:rsid w:val="009B0A43"/>
    <w:rsid w:val="009B0EEC"/>
    <w:rsid w:val="009B123D"/>
    <w:rsid w:val="009B1323"/>
    <w:rsid w:val="009B1676"/>
    <w:rsid w:val="009B1C1B"/>
    <w:rsid w:val="009B1E55"/>
    <w:rsid w:val="009B2E60"/>
    <w:rsid w:val="009B35BF"/>
    <w:rsid w:val="009B4C3E"/>
    <w:rsid w:val="009B4D2F"/>
    <w:rsid w:val="009B5038"/>
    <w:rsid w:val="009B5157"/>
    <w:rsid w:val="009B56BE"/>
    <w:rsid w:val="009B573C"/>
    <w:rsid w:val="009B583F"/>
    <w:rsid w:val="009B5DB6"/>
    <w:rsid w:val="009B604A"/>
    <w:rsid w:val="009B6E0F"/>
    <w:rsid w:val="009B71D8"/>
    <w:rsid w:val="009B7356"/>
    <w:rsid w:val="009B753E"/>
    <w:rsid w:val="009B7A8A"/>
    <w:rsid w:val="009C0978"/>
    <w:rsid w:val="009C099B"/>
    <w:rsid w:val="009C0AA5"/>
    <w:rsid w:val="009C0B86"/>
    <w:rsid w:val="009C1ADB"/>
    <w:rsid w:val="009C37BF"/>
    <w:rsid w:val="009C398A"/>
    <w:rsid w:val="009C4676"/>
    <w:rsid w:val="009C4FAC"/>
    <w:rsid w:val="009C5CCF"/>
    <w:rsid w:val="009C5E7B"/>
    <w:rsid w:val="009C5FC3"/>
    <w:rsid w:val="009C60E9"/>
    <w:rsid w:val="009C6629"/>
    <w:rsid w:val="009C71F3"/>
    <w:rsid w:val="009C7896"/>
    <w:rsid w:val="009D0292"/>
    <w:rsid w:val="009D0530"/>
    <w:rsid w:val="009D08E2"/>
    <w:rsid w:val="009D0C23"/>
    <w:rsid w:val="009D0CF4"/>
    <w:rsid w:val="009D0D52"/>
    <w:rsid w:val="009D140A"/>
    <w:rsid w:val="009D1A74"/>
    <w:rsid w:val="009D2215"/>
    <w:rsid w:val="009D2B87"/>
    <w:rsid w:val="009D3160"/>
    <w:rsid w:val="009D3219"/>
    <w:rsid w:val="009D39E1"/>
    <w:rsid w:val="009D3D90"/>
    <w:rsid w:val="009D43C4"/>
    <w:rsid w:val="009D45A9"/>
    <w:rsid w:val="009D4C5D"/>
    <w:rsid w:val="009D645F"/>
    <w:rsid w:val="009D6D3F"/>
    <w:rsid w:val="009D7410"/>
    <w:rsid w:val="009D7601"/>
    <w:rsid w:val="009D7622"/>
    <w:rsid w:val="009E075E"/>
    <w:rsid w:val="009E1788"/>
    <w:rsid w:val="009E1908"/>
    <w:rsid w:val="009E2011"/>
    <w:rsid w:val="009E233D"/>
    <w:rsid w:val="009E2463"/>
    <w:rsid w:val="009E2B4C"/>
    <w:rsid w:val="009E2C55"/>
    <w:rsid w:val="009E2E3F"/>
    <w:rsid w:val="009E2F8C"/>
    <w:rsid w:val="009E2FAC"/>
    <w:rsid w:val="009E3309"/>
    <w:rsid w:val="009E44A4"/>
    <w:rsid w:val="009E46DD"/>
    <w:rsid w:val="009E4A34"/>
    <w:rsid w:val="009E4E3B"/>
    <w:rsid w:val="009E59F4"/>
    <w:rsid w:val="009E5D7E"/>
    <w:rsid w:val="009E61B0"/>
    <w:rsid w:val="009E63F0"/>
    <w:rsid w:val="009E664F"/>
    <w:rsid w:val="009E7BCD"/>
    <w:rsid w:val="009F012F"/>
    <w:rsid w:val="009F0316"/>
    <w:rsid w:val="009F05AC"/>
    <w:rsid w:val="009F07AE"/>
    <w:rsid w:val="009F086C"/>
    <w:rsid w:val="009F0EA6"/>
    <w:rsid w:val="009F1387"/>
    <w:rsid w:val="009F1443"/>
    <w:rsid w:val="009F14F3"/>
    <w:rsid w:val="009F1778"/>
    <w:rsid w:val="009F1EEE"/>
    <w:rsid w:val="009F1FA6"/>
    <w:rsid w:val="009F239C"/>
    <w:rsid w:val="009F2E88"/>
    <w:rsid w:val="009F4825"/>
    <w:rsid w:val="009F49FF"/>
    <w:rsid w:val="009F4D3A"/>
    <w:rsid w:val="009F4E76"/>
    <w:rsid w:val="009F5BD7"/>
    <w:rsid w:val="009F5CE6"/>
    <w:rsid w:val="009F60E0"/>
    <w:rsid w:val="009F68A3"/>
    <w:rsid w:val="009F6B75"/>
    <w:rsid w:val="009F6C90"/>
    <w:rsid w:val="009F7297"/>
    <w:rsid w:val="009F7355"/>
    <w:rsid w:val="009F74DB"/>
    <w:rsid w:val="009F77DF"/>
    <w:rsid w:val="009F7813"/>
    <w:rsid w:val="00A00221"/>
    <w:rsid w:val="00A00437"/>
    <w:rsid w:val="00A005C0"/>
    <w:rsid w:val="00A0083A"/>
    <w:rsid w:val="00A00935"/>
    <w:rsid w:val="00A00DDA"/>
    <w:rsid w:val="00A00F7E"/>
    <w:rsid w:val="00A01385"/>
    <w:rsid w:val="00A01B9D"/>
    <w:rsid w:val="00A02089"/>
    <w:rsid w:val="00A02A2F"/>
    <w:rsid w:val="00A02C0A"/>
    <w:rsid w:val="00A03066"/>
    <w:rsid w:val="00A0310F"/>
    <w:rsid w:val="00A03652"/>
    <w:rsid w:val="00A03A2A"/>
    <w:rsid w:val="00A0480E"/>
    <w:rsid w:val="00A04844"/>
    <w:rsid w:val="00A06ED8"/>
    <w:rsid w:val="00A07147"/>
    <w:rsid w:val="00A07570"/>
    <w:rsid w:val="00A10103"/>
    <w:rsid w:val="00A11137"/>
    <w:rsid w:val="00A111EA"/>
    <w:rsid w:val="00A1135E"/>
    <w:rsid w:val="00A11447"/>
    <w:rsid w:val="00A11B67"/>
    <w:rsid w:val="00A11DEE"/>
    <w:rsid w:val="00A12405"/>
    <w:rsid w:val="00A12B28"/>
    <w:rsid w:val="00A12DF2"/>
    <w:rsid w:val="00A13EAB"/>
    <w:rsid w:val="00A162DF"/>
    <w:rsid w:val="00A16324"/>
    <w:rsid w:val="00A17013"/>
    <w:rsid w:val="00A17AF1"/>
    <w:rsid w:val="00A17B4D"/>
    <w:rsid w:val="00A17B91"/>
    <w:rsid w:val="00A20220"/>
    <w:rsid w:val="00A20CAE"/>
    <w:rsid w:val="00A2107F"/>
    <w:rsid w:val="00A2146D"/>
    <w:rsid w:val="00A216BF"/>
    <w:rsid w:val="00A21C7C"/>
    <w:rsid w:val="00A23269"/>
    <w:rsid w:val="00A233B1"/>
    <w:rsid w:val="00A23F95"/>
    <w:rsid w:val="00A2457D"/>
    <w:rsid w:val="00A24E61"/>
    <w:rsid w:val="00A25E6E"/>
    <w:rsid w:val="00A26462"/>
    <w:rsid w:val="00A26700"/>
    <w:rsid w:val="00A2670F"/>
    <w:rsid w:val="00A26B21"/>
    <w:rsid w:val="00A274E2"/>
    <w:rsid w:val="00A309AC"/>
    <w:rsid w:val="00A30B97"/>
    <w:rsid w:val="00A30BDB"/>
    <w:rsid w:val="00A31193"/>
    <w:rsid w:val="00A312FC"/>
    <w:rsid w:val="00A31F4F"/>
    <w:rsid w:val="00A31F9A"/>
    <w:rsid w:val="00A3288D"/>
    <w:rsid w:val="00A3307A"/>
    <w:rsid w:val="00A33F89"/>
    <w:rsid w:val="00A3466E"/>
    <w:rsid w:val="00A34BDA"/>
    <w:rsid w:val="00A34F8F"/>
    <w:rsid w:val="00A352BD"/>
    <w:rsid w:val="00A358DC"/>
    <w:rsid w:val="00A362FE"/>
    <w:rsid w:val="00A36A2B"/>
    <w:rsid w:val="00A40342"/>
    <w:rsid w:val="00A4164A"/>
    <w:rsid w:val="00A417B2"/>
    <w:rsid w:val="00A4189A"/>
    <w:rsid w:val="00A41C3D"/>
    <w:rsid w:val="00A41F2E"/>
    <w:rsid w:val="00A42159"/>
    <w:rsid w:val="00A42416"/>
    <w:rsid w:val="00A42D6D"/>
    <w:rsid w:val="00A42DF3"/>
    <w:rsid w:val="00A432A0"/>
    <w:rsid w:val="00A4354B"/>
    <w:rsid w:val="00A43E26"/>
    <w:rsid w:val="00A43EC3"/>
    <w:rsid w:val="00A43F0A"/>
    <w:rsid w:val="00A43FF9"/>
    <w:rsid w:val="00A44220"/>
    <w:rsid w:val="00A454CD"/>
    <w:rsid w:val="00A46541"/>
    <w:rsid w:val="00A465E9"/>
    <w:rsid w:val="00A46A4B"/>
    <w:rsid w:val="00A47774"/>
    <w:rsid w:val="00A47BC1"/>
    <w:rsid w:val="00A50899"/>
    <w:rsid w:val="00A512A2"/>
    <w:rsid w:val="00A5216F"/>
    <w:rsid w:val="00A52254"/>
    <w:rsid w:val="00A52401"/>
    <w:rsid w:val="00A52622"/>
    <w:rsid w:val="00A5287D"/>
    <w:rsid w:val="00A53729"/>
    <w:rsid w:val="00A550F7"/>
    <w:rsid w:val="00A55431"/>
    <w:rsid w:val="00A560C7"/>
    <w:rsid w:val="00A562BE"/>
    <w:rsid w:val="00A56A4F"/>
    <w:rsid w:val="00A56DDE"/>
    <w:rsid w:val="00A571F5"/>
    <w:rsid w:val="00A57205"/>
    <w:rsid w:val="00A57839"/>
    <w:rsid w:val="00A5787F"/>
    <w:rsid w:val="00A57914"/>
    <w:rsid w:val="00A57A70"/>
    <w:rsid w:val="00A57E73"/>
    <w:rsid w:val="00A60242"/>
    <w:rsid w:val="00A60436"/>
    <w:rsid w:val="00A607D9"/>
    <w:rsid w:val="00A60C3A"/>
    <w:rsid w:val="00A60EC2"/>
    <w:rsid w:val="00A61039"/>
    <w:rsid w:val="00A612AC"/>
    <w:rsid w:val="00A6190A"/>
    <w:rsid w:val="00A6209A"/>
    <w:rsid w:val="00A621B7"/>
    <w:rsid w:val="00A62AC5"/>
    <w:rsid w:val="00A63037"/>
    <w:rsid w:val="00A6323E"/>
    <w:rsid w:val="00A63478"/>
    <w:rsid w:val="00A63AAC"/>
    <w:rsid w:val="00A63AF3"/>
    <w:rsid w:val="00A63D28"/>
    <w:rsid w:val="00A6419E"/>
    <w:rsid w:val="00A64B15"/>
    <w:rsid w:val="00A64E8C"/>
    <w:rsid w:val="00A64EF8"/>
    <w:rsid w:val="00A65E01"/>
    <w:rsid w:val="00A664B6"/>
    <w:rsid w:val="00A6677B"/>
    <w:rsid w:val="00A66AC3"/>
    <w:rsid w:val="00A67466"/>
    <w:rsid w:val="00A67D1C"/>
    <w:rsid w:val="00A70065"/>
    <w:rsid w:val="00A710AC"/>
    <w:rsid w:val="00A717AD"/>
    <w:rsid w:val="00A7186E"/>
    <w:rsid w:val="00A71FC9"/>
    <w:rsid w:val="00A725DB"/>
    <w:rsid w:val="00A73738"/>
    <w:rsid w:val="00A73D7C"/>
    <w:rsid w:val="00A73E8F"/>
    <w:rsid w:val="00A7475B"/>
    <w:rsid w:val="00A747DC"/>
    <w:rsid w:val="00A74CC1"/>
    <w:rsid w:val="00A74D4E"/>
    <w:rsid w:val="00A75204"/>
    <w:rsid w:val="00A753BD"/>
    <w:rsid w:val="00A761EE"/>
    <w:rsid w:val="00A767D8"/>
    <w:rsid w:val="00A76B33"/>
    <w:rsid w:val="00A76D4A"/>
    <w:rsid w:val="00A76F54"/>
    <w:rsid w:val="00A77933"/>
    <w:rsid w:val="00A77BEC"/>
    <w:rsid w:val="00A77F98"/>
    <w:rsid w:val="00A80343"/>
    <w:rsid w:val="00A80813"/>
    <w:rsid w:val="00A80B2E"/>
    <w:rsid w:val="00A80EA4"/>
    <w:rsid w:val="00A81536"/>
    <w:rsid w:val="00A819DD"/>
    <w:rsid w:val="00A81C95"/>
    <w:rsid w:val="00A822D7"/>
    <w:rsid w:val="00A83768"/>
    <w:rsid w:val="00A83A16"/>
    <w:rsid w:val="00A83CA5"/>
    <w:rsid w:val="00A84336"/>
    <w:rsid w:val="00A84863"/>
    <w:rsid w:val="00A84EBD"/>
    <w:rsid w:val="00A84EDD"/>
    <w:rsid w:val="00A84F34"/>
    <w:rsid w:val="00A8542C"/>
    <w:rsid w:val="00A8620E"/>
    <w:rsid w:val="00A864B2"/>
    <w:rsid w:val="00A864E9"/>
    <w:rsid w:val="00A86CC9"/>
    <w:rsid w:val="00A87906"/>
    <w:rsid w:val="00A87958"/>
    <w:rsid w:val="00A87D0C"/>
    <w:rsid w:val="00A87E9E"/>
    <w:rsid w:val="00A901BE"/>
    <w:rsid w:val="00A904E2"/>
    <w:rsid w:val="00A90D2E"/>
    <w:rsid w:val="00A912E7"/>
    <w:rsid w:val="00A91E97"/>
    <w:rsid w:val="00A92BCF"/>
    <w:rsid w:val="00A93095"/>
    <w:rsid w:val="00A938E8"/>
    <w:rsid w:val="00A95EE7"/>
    <w:rsid w:val="00A96085"/>
    <w:rsid w:val="00A96424"/>
    <w:rsid w:val="00A96F5C"/>
    <w:rsid w:val="00AA04FA"/>
    <w:rsid w:val="00AA19A6"/>
    <w:rsid w:val="00AA1AED"/>
    <w:rsid w:val="00AA20B1"/>
    <w:rsid w:val="00AA22E3"/>
    <w:rsid w:val="00AA22F5"/>
    <w:rsid w:val="00AA262E"/>
    <w:rsid w:val="00AA2C89"/>
    <w:rsid w:val="00AA3451"/>
    <w:rsid w:val="00AA364A"/>
    <w:rsid w:val="00AA43BD"/>
    <w:rsid w:val="00AA46E6"/>
    <w:rsid w:val="00AA48C1"/>
    <w:rsid w:val="00AA52CC"/>
    <w:rsid w:val="00AA60A4"/>
    <w:rsid w:val="00AA6240"/>
    <w:rsid w:val="00AA682F"/>
    <w:rsid w:val="00AA73A8"/>
    <w:rsid w:val="00AA784D"/>
    <w:rsid w:val="00AA7A8A"/>
    <w:rsid w:val="00AB006F"/>
    <w:rsid w:val="00AB1A9F"/>
    <w:rsid w:val="00AB2483"/>
    <w:rsid w:val="00AB3037"/>
    <w:rsid w:val="00AB3184"/>
    <w:rsid w:val="00AB33F9"/>
    <w:rsid w:val="00AB3CEC"/>
    <w:rsid w:val="00AB3E8B"/>
    <w:rsid w:val="00AB4AFF"/>
    <w:rsid w:val="00AB537C"/>
    <w:rsid w:val="00AB5887"/>
    <w:rsid w:val="00AB5B81"/>
    <w:rsid w:val="00AB5C13"/>
    <w:rsid w:val="00AB5D24"/>
    <w:rsid w:val="00AB64E5"/>
    <w:rsid w:val="00AB6C31"/>
    <w:rsid w:val="00AB7213"/>
    <w:rsid w:val="00AB7442"/>
    <w:rsid w:val="00AB7888"/>
    <w:rsid w:val="00AC0BBF"/>
    <w:rsid w:val="00AC1226"/>
    <w:rsid w:val="00AC1686"/>
    <w:rsid w:val="00AC179A"/>
    <w:rsid w:val="00AC2484"/>
    <w:rsid w:val="00AC24F6"/>
    <w:rsid w:val="00AC299E"/>
    <w:rsid w:val="00AC2CC9"/>
    <w:rsid w:val="00AC2F23"/>
    <w:rsid w:val="00AC318F"/>
    <w:rsid w:val="00AC3535"/>
    <w:rsid w:val="00AC449D"/>
    <w:rsid w:val="00AC55C2"/>
    <w:rsid w:val="00AC5C6A"/>
    <w:rsid w:val="00AC5D05"/>
    <w:rsid w:val="00AC65AF"/>
    <w:rsid w:val="00AC7052"/>
    <w:rsid w:val="00AC70AF"/>
    <w:rsid w:val="00AC7703"/>
    <w:rsid w:val="00AC7736"/>
    <w:rsid w:val="00AC7E57"/>
    <w:rsid w:val="00AD0508"/>
    <w:rsid w:val="00AD0558"/>
    <w:rsid w:val="00AD05B2"/>
    <w:rsid w:val="00AD0DCF"/>
    <w:rsid w:val="00AD10E5"/>
    <w:rsid w:val="00AD1DF3"/>
    <w:rsid w:val="00AD1FF4"/>
    <w:rsid w:val="00AD23CC"/>
    <w:rsid w:val="00AD31EC"/>
    <w:rsid w:val="00AD3498"/>
    <w:rsid w:val="00AD35A4"/>
    <w:rsid w:val="00AD37F0"/>
    <w:rsid w:val="00AD3C2A"/>
    <w:rsid w:val="00AD3E6B"/>
    <w:rsid w:val="00AD4379"/>
    <w:rsid w:val="00AD4E47"/>
    <w:rsid w:val="00AD5D9A"/>
    <w:rsid w:val="00AD6676"/>
    <w:rsid w:val="00AD6833"/>
    <w:rsid w:val="00AD715B"/>
    <w:rsid w:val="00AD77FA"/>
    <w:rsid w:val="00AE0323"/>
    <w:rsid w:val="00AE1923"/>
    <w:rsid w:val="00AE1D4C"/>
    <w:rsid w:val="00AE2457"/>
    <w:rsid w:val="00AE252A"/>
    <w:rsid w:val="00AE2565"/>
    <w:rsid w:val="00AE2BAC"/>
    <w:rsid w:val="00AE3B43"/>
    <w:rsid w:val="00AE48A4"/>
    <w:rsid w:val="00AE4F38"/>
    <w:rsid w:val="00AE507F"/>
    <w:rsid w:val="00AE5427"/>
    <w:rsid w:val="00AE67C4"/>
    <w:rsid w:val="00AE6873"/>
    <w:rsid w:val="00AE6D21"/>
    <w:rsid w:val="00AE70EF"/>
    <w:rsid w:val="00AE7169"/>
    <w:rsid w:val="00AE7523"/>
    <w:rsid w:val="00AE7F9B"/>
    <w:rsid w:val="00AF0D16"/>
    <w:rsid w:val="00AF1DE2"/>
    <w:rsid w:val="00AF2806"/>
    <w:rsid w:val="00AF2A30"/>
    <w:rsid w:val="00AF3BEC"/>
    <w:rsid w:val="00AF406C"/>
    <w:rsid w:val="00AF428A"/>
    <w:rsid w:val="00AF4370"/>
    <w:rsid w:val="00AF498E"/>
    <w:rsid w:val="00AF4AF0"/>
    <w:rsid w:val="00AF4E90"/>
    <w:rsid w:val="00AF5912"/>
    <w:rsid w:val="00AF59AE"/>
    <w:rsid w:val="00AF5B5D"/>
    <w:rsid w:val="00AF5D8B"/>
    <w:rsid w:val="00AF5DBD"/>
    <w:rsid w:val="00AF60BF"/>
    <w:rsid w:val="00AF629F"/>
    <w:rsid w:val="00AF6AEC"/>
    <w:rsid w:val="00AF6B59"/>
    <w:rsid w:val="00AF7341"/>
    <w:rsid w:val="00AF7D80"/>
    <w:rsid w:val="00B0063B"/>
    <w:rsid w:val="00B00F17"/>
    <w:rsid w:val="00B01DB9"/>
    <w:rsid w:val="00B01E36"/>
    <w:rsid w:val="00B03B4D"/>
    <w:rsid w:val="00B04293"/>
    <w:rsid w:val="00B04643"/>
    <w:rsid w:val="00B04C10"/>
    <w:rsid w:val="00B055B1"/>
    <w:rsid w:val="00B0575B"/>
    <w:rsid w:val="00B05779"/>
    <w:rsid w:val="00B068E4"/>
    <w:rsid w:val="00B068FF"/>
    <w:rsid w:val="00B06BA0"/>
    <w:rsid w:val="00B06EA8"/>
    <w:rsid w:val="00B07DD0"/>
    <w:rsid w:val="00B115ED"/>
    <w:rsid w:val="00B117CB"/>
    <w:rsid w:val="00B117D7"/>
    <w:rsid w:val="00B11972"/>
    <w:rsid w:val="00B12516"/>
    <w:rsid w:val="00B12732"/>
    <w:rsid w:val="00B13785"/>
    <w:rsid w:val="00B13B8E"/>
    <w:rsid w:val="00B142E0"/>
    <w:rsid w:val="00B14312"/>
    <w:rsid w:val="00B14CF7"/>
    <w:rsid w:val="00B15237"/>
    <w:rsid w:val="00B154C1"/>
    <w:rsid w:val="00B17485"/>
    <w:rsid w:val="00B22822"/>
    <w:rsid w:val="00B22EBA"/>
    <w:rsid w:val="00B231BC"/>
    <w:rsid w:val="00B23278"/>
    <w:rsid w:val="00B23573"/>
    <w:rsid w:val="00B23ABE"/>
    <w:rsid w:val="00B23B67"/>
    <w:rsid w:val="00B24B78"/>
    <w:rsid w:val="00B24E97"/>
    <w:rsid w:val="00B25FEF"/>
    <w:rsid w:val="00B26303"/>
    <w:rsid w:val="00B26797"/>
    <w:rsid w:val="00B26BE1"/>
    <w:rsid w:val="00B26C98"/>
    <w:rsid w:val="00B26E4F"/>
    <w:rsid w:val="00B271E8"/>
    <w:rsid w:val="00B275D8"/>
    <w:rsid w:val="00B27680"/>
    <w:rsid w:val="00B27DA7"/>
    <w:rsid w:val="00B27F36"/>
    <w:rsid w:val="00B313F6"/>
    <w:rsid w:val="00B323E3"/>
    <w:rsid w:val="00B32506"/>
    <w:rsid w:val="00B32BF9"/>
    <w:rsid w:val="00B32F66"/>
    <w:rsid w:val="00B3325C"/>
    <w:rsid w:val="00B33364"/>
    <w:rsid w:val="00B33678"/>
    <w:rsid w:val="00B33DDF"/>
    <w:rsid w:val="00B33FD6"/>
    <w:rsid w:val="00B34406"/>
    <w:rsid w:val="00B3463B"/>
    <w:rsid w:val="00B34827"/>
    <w:rsid w:val="00B34AFD"/>
    <w:rsid w:val="00B3512D"/>
    <w:rsid w:val="00B354E2"/>
    <w:rsid w:val="00B358C1"/>
    <w:rsid w:val="00B3652D"/>
    <w:rsid w:val="00B36705"/>
    <w:rsid w:val="00B37073"/>
    <w:rsid w:val="00B40037"/>
    <w:rsid w:val="00B412F3"/>
    <w:rsid w:val="00B41861"/>
    <w:rsid w:val="00B41A1A"/>
    <w:rsid w:val="00B42107"/>
    <w:rsid w:val="00B4226E"/>
    <w:rsid w:val="00B428D3"/>
    <w:rsid w:val="00B4371F"/>
    <w:rsid w:val="00B440D1"/>
    <w:rsid w:val="00B44A28"/>
    <w:rsid w:val="00B44CF2"/>
    <w:rsid w:val="00B453BC"/>
    <w:rsid w:val="00B457E4"/>
    <w:rsid w:val="00B457F9"/>
    <w:rsid w:val="00B45869"/>
    <w:rsid w:val="00B45A65"/>
    <w:rsid w:val="00B45BBA"/>
    <w:rsid w:val="00B462D8"/>
    <w:rsid w:val="00B46347"/>
    <w:rsid w:val="00B46444"/>
    <w:rsid w:val="00B46E16"/>
    <w:rsid w:val="00B4762E"/>
    <w:rsid w:val="00B47DE4"/>
    <w:rsid w:val="00B507E3"/>
    <w:rsid w:val="00B51909"/>
    <w:rsid w:val="00B51CE3"/>
    <w:rsid w:val="00B52EAD"/>
    <w:rsid w:val="00B52F36"/>
    <w:rsid w:val="00B531A4"/>
    <w:rsid w:val="00B53A39"/>
    <w:rsid w:val="00B53E30"/>
    <w:rsid w:val="00B5474A"/>
    <w:rsid w:val="00B549A7"/>
    <w:rsid w:val="00B54B97"/>
    <w:rsid w:val="00B55825"/>
    <w:rsid w:val="00B558AD"/>
    <w:rsid w:val="00B55D4F"/>
    <w:rsid w:val="00B55E9E"/>
    <w:rsid w:val="00B56591"/>
    <w:rsid w:val="00B56ACA"/>
    <w:rsid w:val="00B57320"/>
    <w:rsid w:val="00B574FC"/>
    <w:rsid w:val="00B5752D"/>
    <w:rsid w:val="00B577AE"/>
    <w:rsid w:val="00B57AC2"/>
    <w:rsid w:val="00B60A5C"/>
    <w:rsid w:val="00B60E24"/>
    <w:rsid w:val="00B61068"/>
    <w:rsid w:val="00B6118D"/>
    <w:rsid w:val="00B62C41"/>
    <w:rsid w:val="00B64054"/>
    <w:rsid w:val="00B64A9A"/>
    <w:rsid w:val="00B666F5"/>
    <w:rsid w:val="00B66A53"/>
    <w:rsid w:val="00B66C43"/>
    <w:rsid w:val="00B6706A"/>
    <w:rsid w:val="00B6718B"/>
    <w:rsid w:val="00B6739C"/>
    <w:rsid w:val="00B674BE"/>
    <w:rsid w:val="00B67A5D"/>
    <w:rsid w:val="00B67BF5"/>
    <w:rsid w:val="00B70240"/>
    <w:rsid w:val="00B706E0"/>
    <w:rsid w:val="00B70E68"/>
    <w:rsid w:val="00B7111B"/>
    <w:rsid w:val="00B71BEA"/>
    <w:rsid w:val="00B71D0E"/>
    <w:rsid w:val="00B71D2A"/>
    <w:rsid w:val="00B71D57"/>
    <w:rsid w:val="00B71DE3"/>
    <w:rsid w:val="00B72616"/>
    <w:rsid w:val="00B7351F"/>
    <w:rsid w:val="00B743DF"/>
    <w:rsid w:val="00B74B6F"/>
    <w:rsid w:val="00B752A3"/>
    <w:rsid w:val="00B75640"/>
    <w:rsid w:val="00B75690"/>
    <w:rsid w:val="00B76433"/>
    <w:rsid w:val="00B76743"/>
    <w:rsid w:val="00B76EBE"/>
    <w:rsid w:val="00B77355"/>
    <w:rsid w:val="00B77E94"/>
    <w:rsid w:val="00B80321"/>
    <w:rsid w:val="00B81B04"/>
    <w:rsid w:val="00B81FE7"/>
    <w:rsid w:val="00B82AE5"/>
    <w:rsid w:val="00B82D16"/>
    <w:rsid w:val="00B838E8"/>
    <w:rsid w:val="00B847A7"/>
    <w:rsid w:val="00B84EB3"/>
    <w:rsid w:val="00B85FEE"/>
    <w:rsid w:val="00B863E7"/>
    <w:rsid w:val="00B8778B"/>
    <w:rsid w:val="00B87C95"/>
    <w:rsid w:val="00B9031C"/>
    <w:rsid w:val="00B90653"/>
    <w:rsid w:val="00B91213"/>
    <w:rsid w:val="00B925DB"/>
    <w:rsid w:val="00B9333B"/>
    <w:rsid w:val="00B934DE"/>
    <w:rsid w:val="00B938E4"/>
    <w:rsid w:val="00B94269"/>
    <w:rsid w:val="00B947BF"/>
    <w:rsid w:val="00B94A1E"/>
    <w:rsid w:val="00B94B69"/>
    <w:rsid w:val="00B94E55"/>
    <w:rsid w:val="00B94F87"/>
    <w:rsid w:val="00B951C1"/>
    <w:rsid w:val="00B9556E"/>
    <w:rsid w:val="00B95A50"/>
    <w:rsid w:val="00B95D2C"/>
    <w:rsid w:val="00B95DC7"/>
    <w:rsid w:val="00B963A6"/>
    <w:rsid w:val="00B96B43"/>
    <w:rsid w:val="00B96C52"/>
    <w:rsid w:val="00B96C53"/>
    <w:rsid w:val="00B96E50"/>
    <w:rsid w:val="00B973D0"/>
    <w:rsid w:val="00B975CF"/>
    <w:rsid w:val="00BA0F89"/>
    <w:rsid w:val="00BA1049"/>
    <w:rsid w:val="00BA179D"/>
    <w:rsid w:val="00BA1AFD"/>
    <w:rsid w:val="00BA217B"/>
    <w:rsid w:val="00BA2A85"/>
    <w:rsid w:val="00BA4525"/>
    <w:rsid w:val="00BA475F"/>
    <w:rsid w:val="00BA4BFB"/>
    <w:rsid w:val="00BA510A"/>
    <w:rsid w:val="00BA51F6"/>
    <w:rsid w:val="00BA5B47"/>
    <w:rsid w:val="00BA5ED6"/>
    <w:rsid w:val="00BA62EF"/>
    <w:rsid w:val="00BA648B"/>
    <w:rsid w:val="00BA6818"/>
    <w:rsid w:val="00BA77DE"/>
    <w:rsid w:val="00BA782E"/>
    <w:rsid w:val="00BA7A25"/>
    <w:rsid w:val="00BA7B21"/>
    <w:rsid w:val="00BA7F1B"/>
    <w:rsid w:val="00BB05F4"/>
    <w:rsid w:val="00BB0630"/>
    <w:rsid w:val="00BB0CA5"/>
    <w:rsid w:val="00BB0F61"/>
    <w:rsid w:val="00BB12F6"/>
    <w:rsid w:val="00BB13AC"/>
    <w:rsid w:val="00BB14DD"/>
    <w:rsid w:val="00BB174C"/>
    <w:rsid w:val="00BB3436"/>
    <w:rsid w:val="00BB3A7C"/>
    <w:rsid w:val="00BB3C90"/>
    <w:rsid w:val="00BB3D9E"/>
    <w:rsid w:val="00BB48F9"/>
    <w:rsid w:val="00BB51DC"/>
    <w:rsid w:val="00BB5776"/>
    <w:rsid w:val="00BB591D"/>
    <w:rsid w:val="00BB5B56"/>
    <w:rsid w:val="00BB6172"/>
    <w:rsid w:val="00BB6853"/>
    <w:rsid w:val="00BB6B0B"/>
    <w:rsid w:val="00BB6C0B"/>
    <w:rsid w:val="00BB6DEB"/>
    <w:rsid w:val="00BB6E54"/>
    <w:rsid w:val="00BB6F1C"/>
    <w:rsid w:val="00BB7144"/>
    <w:rsid w:val="00BB772D"/>
    <w:rsid w:val="00BB7A21"/>
    <w:rsid w:val="00BB7DB2"/>
    <w:rsid w:val="00BC062E"/>
    <w:rsid w:val="00BC091B"/>
    <w:rsid w:val="00BC13E1"/>
    <w:rsid w:val="00BC14C0"/>
    <w:rsid w:val="00BC23C0"/>
    <w:rsid w:val="00BC265E"/>
    <w:rsid w:val="00BC2978"/>
    <w:rsid w:val="00BC3563"/>
    <w:rsid w:val="00BC3677"/>
    <w:rsid w:val="00BC5795"/>
    <w:rsid w:val="00BC5D84"/>
    <w:rsid w:val="00BC66F9"/>
    <w:rsid w:val="00BC6794"/>
    <w:rsid w:val="00BC6B0B"/>
    <w:rsid w:val="00BC730B"/>
    <w:rsid w:val="00BC7C23"/>
    <w:rsid w:val="00BD00C1"/>
    <w:rsid w:val="00BD0750"/>
    <w:rsid w:val="00BD0E33"/>
    <w:rsid w:val="00BD1B8C"/>
    <w:rsid w:val="00BD1C96"/>
    <w:rsid w:val="00BD1D83"/>
    <w:rsid w:val="00BD283C"/>
    <w:rsid w:val="00BD35F1"/>
    <w:rsid w:val="00BD37BA"/>
    <w:rsid w:val="00BD383C"/>
    <w:rsid w:val="00BD4B63"/>
    <w:rsid w:val="00BD4CCC"/>
    <w:rsid w:val="00BD5031"/>
    <w:rsid w:val="00BD541B"/>
    <w:rsid w:val="00BD601C"/>
    <w:rsid w:val="00BD70AE"/>
    <w:rsid w:val="00BD7218"/>
    <w:rsid w:val="00BE0DCB"/>
    <w:rsid w:val="00BE1859"/>
    <w:rsid w:val="00BE24E9"/>
    <w:rsid w:val="00BE2D0C"/>
    <w:rsid w:val="00BE422F"/>
    <w:rsid w:val="00BE4477"/>
    <w:rsid w:val="00BE4B93"/>
    <w:rsid w:val="00BE538C"/>
    <w:rsid w:val="00BE6738"/>
    <w:rsid w:val="00BE756C"/>
    <w:rsid w:val="00BE7822"/>
    <w:rsid w:val="00BE7934"/>
    <w:rsid w:val="00BE7AC2"/>
    <w:rsid w:val="00BF01F1"/>
    <w:rsid w:val="00BF04AD"/>
    <w:rsid w:val="00BF07D6"/>
    <w:rsid w:val="00BF0A42"/>
    <w:rsid w:val="00BF1740"/>
    <w:rsid w:val="00BF2184"/>
    <w:rsid w:val="00BF2F32"/>
    <w:rsid w:val="00BF381C"/>
    <w:rsid w:val="00BF4607"/>
    <w:rsid w:val="00BF4733"/>
    <w:rsid w:val="00BF498B"/>
    <w:rsid w:val="00BF4EB8"/>
    <w:rsid w:val="00BF5363"/>
    <w:rsid w:val="00BF5D42"/>
    <w:rsid w:val="00BF60CD"/>
    <w:rsid w:val="00BF6690"/>
    <w:rsid w:val="00BF74EB"/>
    <w:rsid w:val="00BF7E99"/>
    <w:rsid w:val="00C0040C"/>
    <w:rsid w:val="00C00469"/>
    <w:rsid w:val="00C0047B"/>
    <w:rsid w:val="00C010FA"/>
    <w:rsid w:val="00C01B68"/>
    <w:rsid w:val="00C01BB0"/>
    <w:rsid w:val="00C0279B"/>
    <w:rsid w:val="00C02F70"/>
    <w:rsid w:val="00C03FC3"/>
    <w:rsid w:val="00C042FB"/>
    <w:rsid w:val="00C047D8"/>
    <w:rsid w:val="00C05422"/>
    <w:rsid w:val="00C05541"/>
    <w:rsid w:val="00C0591B"/>
    <w:rsid w:val="00C0643E"/>
    <w:rsid w:val="00C06FD8"/>
    <w:rsid w:val="00C07452"/>
    <w:rsid w:val="00C07AE4"/>
    <w:rsid w:val="00C10A2E"/>
    <w:rsid w:val="00C10E4A"/>
    <w:rsid w:val="00C10F84"/>
    <w:rsid w:val="00C1163D"/>
    <w:rsid w:val="00C11958"/>
    <w:rsid w:val="00C11D67"/>
    <w:rsid w:val="00C11E76"/>
    <w:rsid w:val="00C120B4"/>
    <w:rsid w:val="00C129C1"/>
    <w:rsid w:val="00C13EC6"/>
    <w:rsid w:val="00C14064"/>
    <w:rsid w:val="00C14145"/>
    <w:rsid w:val="00C14D49"/>
    <w:rsid w:val="00C15346"/>
    <w:rsid w:val="00C15E18"/>
    <w:rsid w:val="00C16DA8"/>
    <w:rsid w:val="00C17CD2"/>
    <w:rsid w:val="00C17D16"/>
    <w:rsid w:val="00C17EC4"/>
    <w:rsid w:val="00C202DC"/>
    <w:rsid w:val="00C20431"/>
    <w:rsid w:val="00C20D32"/>
    <w:rsid w:val="00C20DA8"/>
    <w:rsid w:val="00C20DF3"/>
    <w:rsid w:val="00C21563"/>
    <w:rsid w:val="00C21792"/>
    <w:rsid w:val="00C21910"/>
    <w:rsid w:val="00C21E6C"/>
    <w:rsid w:val="00C21FFB"/>
    <w:rsid w:val="00C2200C"/>
    <w:rsid w:val="00C220B5"/>
    <w:rsid w:val="00C22309"/>
    <w:rsid w:val="00C224D0"/>
    <w:rsid w:val="00C22E40"/>
    <w:rsid w:val="00C22E4B"/>
    <w:rsid w:val="00C22E7B"/>
    <w:rsid w:val="00C23E65"/>
    <w:rsid w:val="00C240D2"/>
    <w:rsid w:val="00C24652"/>
    <w:rsid w:val="00C24886"/>
    <w:rsid w:val="00C24A19"/>
    <w:rsid w:val="00C24A20"/>
    <w:rsid w:val="00C251CF"/>
    <w:rsid w:val="00C25770"/>
    <w:rsid w:val="00C2619D"/>
    <w:rsid w:val="00C262DD"/>
    <w:rsid w:val="00C26352"/>
    <w:rsid w:val="00C2636E"/>
    <w:rsid w:val="00C268C6"/>
    <w:rsid w:val="00C27F83"/>
    <w:rsid w:val="00C3074B"/>
    <w:rsid w:val="00C30904"/>
    <w:rsid w:val="00C310EC"/>
    <w:rsid w:val="00C318AF"/>
    <w:rsid w:val="00C31D26"/>
    <w:rsid w:val="00C321FC"/>
    <w:rsid w:val="00C324F0"/>
    <w:rsid w:val="00C3267E"/>
    <w:rsid w:val="00C327BC"/>
    <w:rsid w:val="00C33435"/>
    <w:rsid w:val="00C3360B"/>
    <w:rsid w:val="00C3385B"/>
    <w:rsid w:val="00C34193"/>
    <w:rsid w:val="00C35323"/>
    <w:rsid w:val="00C35747"/>
    <w:rsid w:val="00C35A2D"/>
    <w:rsid w:val="00C3671C"/>
    <w:rsid w:val="00C3678C"/>
    <w:rsid w:val="00C368B2"/>
    <w:rsid w:val="00C36FB7"/>
    <w:rsid w:val="00C37102"/>
    <w:rsid w:val="00C37435"/>
    <w:rsid w:val="00C37A49"/>
    <w:rsid w:val="00C4227F"/>
    <w:rsid w:val="00C42302"/>
    <w:rsid w:val="00C43770"/>
    <w:rsid w:val="00C43DB2"/>
    <w:rsid w:val="00C43F3C"/>
    <w:rsid w:val="00C44B2F"/>
    <w:rsid w:val="00C4508E"/>
    <w:rsid w:val="00C45463"/>
    <w:rsid w:val="00C46905"/>
    <w:rsid w:val="00C4786D"/>
    <w:rsid w:val="00C47DE2"/>
    <w:rsid w:val="00C50543"/>
    <w:rsid w:val="00C505BA"/>
    <w:rsid w:val="00C50835"/>
    <w:rsid w:val="00C5157D"/>
    <w:rsid w:val="00C52726"/>
    <w:rsid w:val="00C52A31"/>
    <w:rsid w:val="00C52CEE"/>
    <w:rsid w:val="00C530B7"/>
    <w:rsid w:val="00C53869"/>
    <w:rsid w:val="00C53C97"/>
    <w:rsid w:val="00C56DA7"/>
    <w:rsid w:val="00C56EA1"/>
    <w:rsid w:val="00C57277"/>
    <w:rsid w:val="00C57319"/>
    <w:rsid w:val="00C57A60"/>
    <w:rsid w:val="00C57C31"/>
    <w:rsid w:val="00C60E54"/>
    <w:rsid w:val="00C60ED4"/>
    <w:rsid w:val="00C61032"/>
    <w:rsid w:val="00C61102"/>
    <w:rsid w:val="00C61E12"/>
    <w:rsid w:val="00C620C3"/>
    <w:rsid w:val="00C6241F"/>
    <w:rsid w:val="00C624A9"/>
    <w:rsid w:val="00C62B22"/>
    <w:rsid w:val="00C63304"/>
    <w:rsid w:val="00C63BC0"/>
    <w:rsid w:val="00C63D7F"/>
    <w:rsid w:val="00C64D09"/>
    <w:rsid w:val="00C65AE0"/>
    <w:rsid w:val="00C661CD"/>
    <w:rsid w:val="00C66925"/>
    <w:rsid w:val="00C66FFA"/>
    <w:rsid w:val="00C6779C"/>
    <w:rsid w:val="00C67BA4"/>
    <w:rsid w:val="00C702FB"/>
    <w:rsid w:val="00C70B35"/>
    <w:rsid w:val="00C7112E"/>
    <w:rsid w:val="00C71A7E"/>
    <w:rsid w:val="00C71B29"/>
    <w:rsid w:val="00C71C06"/>
    <w:rsid w:val="00C71FAC"/>
    <w:rsid w:val="00C7234C"/>
    <w:rsid w:val="00C7346A"/>
    <w:rsid w:val="00C736A6"/>
    <w:rsid w:val="00C737B3"/>
    <w:rsid w:val="00C73BEB"/>
    <w:rsid w:val="00C73F09"/>
    <w:rsid w:val="00C744C0"/>
    <w:rsid w:val="00C74D6B"/>
    <w:rsid w:val="00C7524C"/>
    <w:rsid w:val="00C75AA9"/>
    <w:rsid w:val="00C766FC"/>
    <w:rsid w:val="00C76D6D"/>
    <w:rsid w:val="00C776FD"/>
    <w:rsid w:val="00C7774B"/>
    <w:rsid w:val="00C77879"/>
    <w:rsid w:val="00C77DF2"/>
    <w:rsid w:val="00C8020F"/>
    <w:rsid w:val="00C804E2"/>
    <w:rsid w:val="00C81842"/>
    <w:rsid w:val="00C8201D"/>
    <w:rsid w:val="00C8225E"/>
    <w:rsid w:val="00C82DF5"/>
    <w:rsid w:val="00C83948"/>
    <w:rsid w:val="00C83FC0"/>
    <w:rsid w:val="00C84351"/>
    <w:rsid w:val="00C84552"/>
    <w:rsid w:val="00C848BA"/>
    <w:rsid w:val="00C84F98"/>
    <w:rsid w:val="00C852CD"/>
    <w:rsid w:val="00C85810"/>
    <w:rsid w:val="00C86A07"/>
    <w:rsid w:val="00C87468"/>
    <w:rsid w:val="00C8799A"/>
    <w:rsid w:val="00C87FF5"/>
    <w:rsid w:val="00C903B9"/>
    <w:rsid w:val="00C90800"/>
    <w:rsid w:val="00C90877"/>
    <w:rsid w:val="00C91770"/>
    <w:rsid w:val="00C91C46"/>
    <w:rsid w:val="00C91E35"/>
    <w:rsid w:val="00C921B9"/>
    <w:rsid w:val="00C93087"/>
    <w:rsid w:val="00C93165"/>
    <w:rsid w:val="00C93944"/>
    <w:rsid w:val="00C9424C"/>
    <w:rsid w:val="00C94297"/>
    <w:rsid w:val="00C94660"/>
    <w:rsid w:val="00C94796"/>
    <w:rsid w:val="00C94C8D"/>
    <w:rsid w:val="00C9533D"/>
    <w:rsid w:val="00C95411"/>
    <w:rsid w:val="00C955AD"/>
    <w:rsid w:val="00C955D7"/>
    <w:rsid w:val="00C95F4E"/>
    <w:rsid w:val="00C96502"/>
    <w:rsid w:val="00C9688C"/>
    <w:rsid w:val="00C971AB"/>
    <w:rsid w:val="00C97654"/>
    <w:rsid w:val="00C978C8"/>
    <w:rsid w:val="00C97BC4"/>
    <w:rsid w:val="00C97E35"/>
    <w:rsid w:val="00CA043B"/>
    <w:rsid w:val="00CA062B"/>
    <w:rsid w:val="00CA0CFC"/>
    <w:rsid w:val="00CA1C86"/>
    <w:rsid w:val="00CA1CBB"/>
    <w:rsid w:val="00CA1D40"/>
    <w:rsid w:val="00CA2076"/>
    <w:rsid w:val="00CA2E6A"/>
    <w:rsid w:val="00CA301A"/>
    <w:rsid w:val="00CA33FB"/>
    <w:rsid w:val="00CA3632"/>
    <w:rsid w:val="00CA3981"/>
    <w:rsid w:val="00CA4552"/>
    <w:rsid w:val="00CA46A4"/>
    <w:rsid w:val="00CA4B8E"/>
    <w:rsid w:val="00CA4CB1"/>
    <w:rsid w:val="00CA52BC"/>
    <w:rsid w:val="00CA5A78"/>
    <w:rsid w:val="00CA5BD2"/>
    <w:rsid w:val="00CA6039"/>
    <w:rsid w:val="00CA6484"/>
    <w:rsid w:val="00CA68D4"/>
    <w:rsid w:val="00CA7C3B"/>
    <w:rsid w:val="00CB0479"/>
    <w:rsid w:val="00CB0A16"/>
    <w:rsid w:val="00CB0F3D"/>
    <w:rsid w:val="00CB1696"/>
    <w:rsid w:val="00CB1DCD"/>
    <w:rsid w:val="00CB2774"/>
    <w:rsid w:val="00CB285D"/>
    <w:rsid w:val="00CB2A32"/>
    <w:rsid w:val="00CB41FA"/>
    <w:rsid w:val="00CB4562"/>
    <w:rsid w:val="00CB47F9"/>
    <w:rsid w:val="00CB4D3C"/>
    <w:rsid w:val="00CB4F91"/>
    <w:rsid w:val="00CB5516"/>
    <w:rsid w:val="00CB5679"/>
    <w:rsid w:val="00CB5713"/>
    <w:rsid w:val="00CB68A2"/>
    <w:rsid w:val="00CB731B"/>
    <w:rsid w:val="00CB74A7"/>
    <w:rsid w:val="00CB7F3B"/>
    <w:rsid w:val="00CC01EB"/>
    <w:rsid w:val="00CC0A7F"/>
    <w:rsid w:val="00CC150E"/>
    <w:rsid w:val="00CC158F"/>
    <w:rsid w:val="00CC1F66"/>
    <w:rsid w:val="00CC25FD"/>
    <w:rsid w:val="00CC2932"/>
    <w:rsid w:val="00CC2CA2"/>
    <w:rsid w:val="00CC2E62"/>
    <w:rsid w:val="00CC2FBC"/>
    <w:rsid w:val="00CC30CE"/>
    <w:rsid w:val="00CC327F"/>
    <w:rsid w:val="00CC3624"/>
    <w:rsid w:val="00CC474A"/>
    <w:rsid w:val="00CC4BE7"/>
    <w:rsid w:val="00CC4C03"/>
    <w:rsid w:val="00CC4C62"/>
    <w:rsid w:val="00CC4D1A"/>
    <w:rsid w:val="00CC4EF2"/>
    <w:rsid w:val="00CC56A1"/>
    <w:rsid w:val="00CC61AA"/>
    <w:rsid w:val="00CC6875"/>
    <w:rsid w:val="00CC71A0"/>
    <w:rsid w:val="00CC75C2"/>
    <w:rsid w:val="00CC778A"/>
    <w:rsid w:val="00CC7F41"/>
    <w:rsid w:val="00CD0246"/>
    <w:rsid w:val="00CD03CF"/>
    <w:rsid w:val="00CD0842"/>
    <w:rsid w:val="00CD157B"/>
    <w:rsid w:val="00CD1B67"/>
    <w:rsid w:val="00CD21FE"/>
    <w:rsid w:val="00CD23D6"/>
    <w:rsid w:val="00CD2656"/>
    <w:rsid w:val="00CD365A"/>
    <w:rsid w:val="00CD3911"/>
    <w:rsid w:val="00CD3912"/>
    <w:rsid w:val="00CD3F18"/>
    <w:rsid w:val="00CD45E3"/>
    <w:rsid w:val="00CD4B8D"/>
    <w:rsid w:val="00CD5618"/>
    <w:rsid w:val="00CD5857"/>
    <w:rsid w:val="00CD5FFD"/>
    <w:rsid w:val="00CD688F"/>
    <w:rsid w:val="00CD6ACE"/>
    <w:rsid w:val="00CD7CCB"/>
    <w:rsid w:val="00CE02E6"/>
    <w:rsid w:val="00CE1043"/>
    <w:rsid w:val="00CE1B0F"/>
    <w:rsid w:val="00CE1F2E"/>
    <w:rsid w:val="00CE1F54"/>
    <w:rsid w:val="00CE31E5"/>
    <w:rsid w:val="00CE344C"/>
    <w:rsid w:val="00CE3564"/>
    <w:rsid w:val="00CE3ADC"/>
    <w:rsid w:val="00CE419A"/>
    <w:rsid w:val="00CE5D82"/>
    <w:rsid w:val="00CE6528"/>
    <w:rsid w:val="00CE6B16"/>
    <w:rsid w:val="00CE6BB0"/>
    <w:rsid w:val="00CE6F27"/>
    <w:rsid w:val="00CE7054"/>
    <w:rsid w:val="00CE76D3"/>
    <w:rsid w:val="00CE79FE"/>
    <w:rsid w:val="00CE7B16"/>
    <w:rsid w:val="00CE7E16"/>
    <w:rsid w:val="00CF010F"/>
    <w:rsid w:val="00CF01A9"/>
    <w:rsid w:val="00CF072B"/>
    <w:rsid w:val="00CF0ADD"/>
    <w:rsid w:val="00CF0AFE"/>
    <w:rsid w:val="00CF0D20"/>
    <w:rsid w:val="00CF1132"/>
    <w:rsid w:val="00CF176A"/>
    <w:rsid w:val="00CF20CC"/>
    <w:rsid w:val="00CF2344"/>
    <w:rsid w:val="00CF28EE"/>
    <w:rsid w:val="00CF2E9D"/>
    <w:rsid w:val="00CF3159"/>
    <w:rsid w:val="00CF3471"/>
    <w:rsid w:val="00CF347A"/>
    <w:rsid w:val="00CF402D"/>
    <w:rsid w:val="00CF431B"/>
    <w:rsid w:val="00CF500C"/>
    <w:rsid w:val="00CF5577"/>
    <w:rsid w:val="00CF62A8"/>
    <w:rsid w:val="00CF67BC"/>
    <w:rsid w:val="00CF6D2B"/>
    <w:rsid w:val="00CF6DF4"/>
    <w:rsid w:val="00CF6EA7"/>
    <w:rsid w:val="00CF6EFA"/>
    <w:rsid w:val="00CF75DB"/>
    <w:rsid w:val="00CF7684"/>
    <w:rsid w:val="00D0024E"/>
    <w:rsid w:val="00D00F0F"/>
    <w:rsid w:val="00D00FC1"/>
    <w:rsid w:val="00D00FC7"/>
    <w:rsid w:val="00D0212E"/>
    <w:rsid w:val="00D02668"/>
    <w:rsid w:val="00D04A80"/>
    <w:rsid w:val="00D04F7B"/>
    <w:rsid w:val="00D050A6"/>
    <w:rsid w:val="00D0512C"/>
    <w:rsid w:val="00D06211"/>
    <w:rsid w:val="00D06E9F"/>
    <w:rsid w:val="00D06FFF"/>
    <w:rsid w:val="00D07B7D"/>
    <w:rsid w:val="00D113E7"/>
    <w:rsid w:val="00D116F0"/>
    <w:rsid w:val="00D119B8"/>
    <w:rsid w:val="00D11B26"/>
    <w:rsid w:val="00D122BD"/>
    <w:rsid w:val="00D12A77"/>
    <w:rsid w:val="00D12E24"/>
    <w:rsid w:val="00D12E4D"/>
    <w:rsid w:val="00D13CD4"/>
    <w:rsid w:val="00D14332"/>
    <w:rsid w:val="00D15178"/>
    <w:rsid w:val="00D1522A"/>
    <w:rsid w:val="00D15901"/>
    <w:rsid w:val="00D15B0C"/>
    <w:rsid w:val="00D167E6"/>
    <w:rsid w:val="00D16F7A"/>
    <w:rsid w:val="00D16F9B"/>
    <w:rsid w:val="00D17457"/>
    <w:rsid w:val="00D17611"/>
    <w:rsid w:val="00D17E36"/>
    <w:rsid w:val="00D20677"/>
    <w:rsid w:val="00D21A5A"/>
    <w:rsid w:val="00D21BA4"/>
    <w:rsid w:val="00D22863"/>
    <w:rsid w:val="00D22A36"/>
    <w:rsid w:val="00D23502"/>
    <w:rsid w:val="00D24778"/>
    <w:rsid w:val="00D25ADF"/>
    <w:rsid w:val="00D25BE6"/>
    <w:rsid w:val="00D25C2E"/>
    <w:rsid w:val="00D25FFA"/>
    <w:rsid w:val="00D264A4"/>
    <w:rsid w:val="00D26C79"/>
    <w:rsid w:val="00D26DF4"/>
    <w:rsid w:val="00D26E87"/>
    <w:rsid w:val="00D27086"/>
    <w:rsid w:val="00D27CDB"/>
    <w:rsid w:val="00D30458"/>
    <w:rsid w:val="00D30B67"/>
    <w:rsid w:val="00D30BE1"/>
    <w:rsid w:val="00D30D2F"/>
    <w:rsid w:val="00D31529"/>
    <w:rsid w:val="00D3190D"/>
    <w:rsid w:val="00D3320D"/>
    <w:rsid w:val="00D3345B"/>
    <w:rsid w:val="00D33974"/>
    <w:rsid w:val="00D340C1"/>
    <w:rsid w:val="00D34219"/>
    <w:rsid w:val="00D346EB"/>
    <w:rsid w:val="00D34895"/>
    <w:rsid w:val="00D350F8"/>
    <w:rsid w:val="00D353B8"/>
    <w:rsid w:val="00D35DEF"/>
    <w:rsid w:val="00D362D1"/>
    <w:rsid w:val="00D36FEC"/>
    <w:rsid w:val="00D3723B"/>
    <w:rsid w:val="00D374CF"/>
    <w:rsid w:val="00D377B1"/>
    <w:rsid w:val="00D37996"/>
    <w:rsid w:val="00D37DF7"/>
    <w:rsid w:val="00D405B2"/>
    <w:rsid w:val="00D4101C"/>
    <w:rsid w:val="00D411AB"/>
    <w:rsid w:val="00D4180D"/>
    <w:rsid w:val="00D41BD7"/>
    <w:rsid w:val="00D41D83"/>
    <w:rsid w:val="00D41E32"/>
    <w:rsid w:val="00D42078"/>
    <w:rsid w:val="00D42726"/>
    <w:rsid w:val="00D42A50"/>
    <w:rsid w:val="00D42CC1"/>
    <w:rsid w:val="00D42F6C"/>
    <w:rsid w:val="00D43A1F"/>
    <w:rsid w:val="00D44755"/>
    <w:rsid w:val="00D44866"/>
    <w:rsid w:val="00D45EDA"/>
    <w:rsid w:val="00D46126"/>
    <w:rsid w:val="00D47048"/>
    <w:rsid w:val="00D474B0"/>
    <w:rsid w:val="00D47580"/>
    <w:rsid w:val="00D508A2"/>
    <w:rsid w:val="00D50DFF"/>
    <w:rsid w:val="00D512A4"/>
    <w:rsid w:val="00D5138A"/>
    <w:rsid w:val="00D51A7A"/>
    <w:rsid w:val="00D521C2"/>
    <w:rsid w:val="00D53401"/>
    <w:rsid w:val="00D5370C"/>
    <w:rsid w:val="00D53A72"/>
    <w:rsid w:val="00D54213"/>
    <w:rsid w:val="00D54F96"/>
    <w:rsid w:val="00D5509A"/>
    <w:rsid w:val="00D56D7F"/>
    <w:rsid w:val="00D57027"/>
    <w:rsid w:val="00D570F3"/>
    <w:rsid w:val="00D57379"/>
    <w:rsid w:val="00D578DF"/>
    <w:rsid w:val="00D60147"/>
    <w:rsid w:val="00D6064B"/>
    <w:rsid w:val="00D608CE"/>
    <w:rsid w:val="00D609B2"/>
    <w:rsid w:val="00D609BF"/>
    <w:rsid w:val="00D60C25"/>
    <w:rsid w:val="00D60DEF"/>
    <w:rsid w:val="00D61D9D"/>
    <w:rsid w:val="00D62119"/>
    <w:rsid w:val="00D6217D"/>
    <w:rsid w:val="00D6231B"/>
    <w:rsid w:val="00D62DFA"/>
    <w:rsid w:val="00D63ACC"/>
    <w:rsid w:val="00D640F3"/>
    <w:rsid w:val="00D65E2D"/>
    <w:rsid w:val="00D66949"/>
    <w:rsid w:val="00D67A60"/>
    <w:rsid w:val="00D70016"/>
    <w:rsid w:val="00D70178"/>
    <w:rsid w:val="00D701D4"/>
    <w:rsid w:val="00D703F6"/>
    <w:rsid w:val="00D7100B"/>
    <w:rsid w:val="00D71336"/>
    <w:rsid w:val="00D71461"/>
    <w:rsid w:val="00D71471"/>
    <w:rsid w:val="00D714AC"/>
    <w:rsid w:val="00D71C56"/>
    <w:rsid w:val="00D7211E"/>
    <w:rsid w:val="00D72859"/>
    <w:rsid w:val="00D72BCB"/>
    <w:rsid w:val="00D72C2A"/>
    <w:rsid w:val="00D73826"/>
    <w:rsid w:val="00D73AC8"/>
    <w:rsid w:val="00D73C72"/>
    <w:rsid w:val="00D73DDB"/>
    <w:rsid w:val="00D7519D"/>
    <w:rsid w:val="00D75281"/>
    <w:rsid w:val="00D75B25"/>
    <w:rsid w:val="00D7657C"/>
    <w:rsid w:val="00D76BAD"/>
    <w:rsid w:val="00D76E8B"/>
    <w:rsid w:val="00D76F16"/>
    <w:rsid w:val="00D7706C"/>
    <w:rsid w:val="00D77433"/>
    <w:rsid w:val="00D80A82"/>
    <w:rsid w:val="00D80F0E"/>
    <w:rsid w:val="00D810BB"/>
    <w:rsid w:val="00D814EC"/>
    <w:rsid w:val="00D81801"/>
    <w:rsid w:val="00D8205D"/>
    <w:rsid w:val="00D825C5"/>
    <w:rsid w:val="00D82A69"/>
    <w:rsid w:val="00D82E60"/>
    <w:rsid w:val="00D82FCF"/>
    <w:rsid w:val="00D844C1"/>
    <w:rsid w:val="00D846FB"/>
    <w:rsid w:val="00D84B97"/>
    <w:rsid w:val="00D84E58"/>
    <w:rsid w:val="00D84E93"/>
    <w:rsid w:val="00D85673"/>
    <w:rsid w:val="00D8567A"/>
    <w:rsid w:val="00D86512"/>
    <w:rsid w:val="00D86695"/>
    <w:rsid w:val="00D867A8"/>
    <w:rsid w:val="00D86A06"/>
    <w:rsid w:val="00D86ABB"/>
    <w:rsid w:val="00D86AD8"/>
    <w:rsid w:val="00D87080"/>
    <w:rsid w:val="00D87115"/>
    <w:rsid w:val="00D879C1"/>
    <w:rsid w:val="00D9051D"/>
    <w:rsid w:val="00D90A77"/>
    <w:rsid w:val="00D90BA1"/>
    <w:rsid w:val="00D91893"/>
    <w:rsid w:val="00D91911"/>
    <w:rsid w:val="00D91B8A"/>
    <w:rsid w:val="00D9376B"/>
    <w:rsid w:val="00D93E53"/>
    <w:rsid w:val="00D941BA"/>
    <w:rsid w:val="00D9449B"/>
    <w:rsid w:val="00D94A33"/>
    <w:rsid w:val="00D95349"/>
    <w:rsid w:val="00D967F6"/>
    <w:rsid w:val="00D97CB3"/>
    <w:rsid w:val="00DA018F"/>
    <w:rsid w:val="00DA037D"/>
    <w:rsid w:val="00DA0ADB"/>
    <w:rsid w:val="00DA182E"/>
    <w:rsid w:val="00DA1E23"/>
    <w:rsid w:val="00DA32AF"/>
    <w:rsid w:val="00DA33EF"/>
    <w:rsid w:val="00DA35AD"/>
    <w:rsid w:val="00DA3EAD"/>
    <w:rsid w:val="00DA3EE9"/>
    <w:rsid w:val="00DA4370"/>
    <w:rsid w:val="00DA477A"/>
    <w:rsid w:val="00DA4973"/>
    <w:rsid w:val="00DA5172"/>
    <w:rsid w:val="00DA5259"/>
    <w:rsid w:val="00DA545B"/>
    <w:rsid w:val="00DA5A10"/>
    <w:rsid w:val="00DA5D6A"/>
    <w:rsid w:val="00DA67B4"/>
    <w:rsid w:val="00DA6B61"/>
    <w:rsid w:val="00DA6CF4"/>
    <w:rsid w:val="00DA70E8"/>
    <w:rsid w:val="00DA73AF"/>
    <w:rsid w:val="00DA7CFE"/>
    <w:rsid w:val="00DB0056"/>
    <w:rsid w:val="00DB016D"/>
    <w:rsid w:val="00DB0C10"/>
    <w:rsid w:val="00DB0C40"/>
    <w:rsid w:val="00DB0DD9"/>
    <w:rsid w:val="00DB1023"/>
    <w:rsid w:val="00DB1950"/>
    <w:rsid w:val="00DB2032"/>
    <w:rsid w:val="00DB2A7D"/>
    <w:rsid w:val="00DB30F4"/>
    <w:rsid w:val="00DB39E2"/>
    <w:rsid w:val="00DB3A12"/>
    <w:rsid w:val="00DB3D95"/>
    <w:rsid w:val="00DB3E37"/>
    <w:rsid w:val="00DB3EE0"/>
    <w:rsid w:val="00DB49CD"/>
    <w:rsid w:val="00DB4D2C"/>
    <w:rsid w:val="00DB4E7F"/>
    <w:rsid w:val="00DB4FAD"/>
    <w:rsid w:val="00DB59FC"/>
    <w:rsid w:val="00DB5AB4"/>
    <w:rsid w:val="00DB6E07"/>
    <w:rsid w:val="00DB73D7"/>
    <w:rsid w:val="00DB7541"/>
    <w:rsid w:val="00DB7D54"/>
    <w:rsid w:val="00DB7ED2"/>
    <w:rsid w:val="00DC0D2B"/>
    <w:rsid w:val="00DC0E44"/>
    <w:rsid w:val="00DC17AE"/>
    <w:rsid w:val="00DC1926"/>
    <w:rsid w:val="00DC1C01"/>
    <w:rsid w:val="00DC1E36"/>
    <w:rsid w:val="00DC2670"/>
    <w:rsid w:val="00DC2886"/>
    <w:rsid w:val="00DC2A62"/>
    <w:rsid w:val="00DC2C50"/>
    <w:rsid w:val="00DC30EE"/>
    <w:rsid w:val="00DC390F"/>
    <w:rsid w:val="00DC3A85"/>
    <w:rsid w:val="00DC3E38"/>
    <w:rsid w:val="00DC46CB"/>
    <w:rsid w:val="00DC5CE2"/>
    <w:rsid w:val="00DC5DB6"/>
    <w:rsid w:val="00DC6BB2"/>
    <w:rsid w:val="00DC7552"/>
    <w:rsid w:val="00DC7624"/>
    <w:rsid w:val="00DC7C54"/>
    <w:rsid w:val="00DC7D21"/>
    <w:rsid w:val="00DD0024"/>
    <w:rsid w:val="00DD0241"/>
    <w:rsid w:val="00DD0E81"/>
    <w:rsid w:val="00DD2301"/>
    <w:rsid w:val="00DD2520"/>
    <w:rsid w:val="00DD28FB"/>
    <w:rsid w:val="00DD30CB"/>
    <w:rsid w:val="00DD3791"/>
    <w:rsid w:val="00DD3A1E"/>
    <w:rsid w:val="00DD4752"/>
    <w:rsid w:val="00DD488F"/>
    <w:rsid w:val="00DD4D46"/>
    <w:rsid w:val="00DD4DAF"/>
    <w:rsid w:val="00DD56E2"/>
    <w:rsid w:val="00DD5948"/>
    <w:rsid w:val="00DD6294"/>
    <w:rsid w:val="00DD67E5"/>
    <w:rsid w:val="00DD6A57"/>
    <w:rsid w:val="00DD6DE4"/>
    <w:rsid w:val="00DD7848"/>
    <w:rsid w:val="00DD7EAF"/>
    <w:rsid w:val="00DE0DAC"/>
    <w:rsid w:val="00DE0FBE"/>
    <w:rsid w:val="00DE1B18"/>
    <w:rsid w:val="00DE1D5F"/>
    <w:rsid w:val="00DE20F1"/>
    <w:rsid w:val="00DE21F5"/>
    <w:rsid w:val="00DE2445"/>
    <w:rsid w:val="00DE2792"/>
    <w:rsid w:val="00DE2EB4"/>
    <w:rsid w:val="00DE34E7"/>
    <w:rsid w:val="00DE357C"/>
    <w:rsid w:val="00DE3650"/>
    <w:rsid w:val="00DE37AE"/>
    <w:rsid w:val="00DE38E9"/>
    <w:rsid w:val="00DE3A21"/>
    <w:rsid w:val="00DE3CCD"/>
    <w:rsid w:val="00DE3CE5"/>
    <w:rsid w:val="00DE4063"/>
    <w:rsid w:val="00DE472C"/>
    <w:rsid w:val="00DE5E6C"/>
    <w:rsid w:val="00DE6425"/>
    <w:rsid w:val="00DE6EB9"/>
    <w:rsid w:val="00DE7B6E"/>
    <w:rsid w:val="00DF0532"/>
    <w:rsid w:val="00DF074F"/>
    <w:rsid w:val="00DF0B4D"/>
    <w:rsid w:val="00DF12B3"/>
    <w:rsid w:val="00DF1783"/>
    <w:rsid w:val="00DF1842"/>
    <w:rsid w:val="00DF1A16"/>
    <w:rsid w:val="00DF1C08"/>
    <w:rsid w:val="00DF21F4"/>
    <w:rsid w:val="00DF2583"/>
    <w:rsid w:val="00DF26B1"/>
    <w:rsid w:val="00DF2CE5"/>
    <w:rsid w:val="00DF2E7F"/>
    <w:rsid w:val="00DF3158"/>
    <w:rsid w:val="00DF3219"/>
    <w:rsid w:val="00DF3DA5"/>
    <w:rsid w:val="00DF4435"/>
    <w:rsid w:val="00DF467D"/>
    <w:rsid w:val="00DF47F8"/>
    <w:rsid w:val="00DF4FB9"/>
    <w:rsid w:val="00DF6037"/>
    <w:rsid w:val="00DF60F3"/>
    <w:rsid w:val="00DF7942"/>
    <w:rsid w:val="00DF7C09"/>
    <w:rsid w:val="00E001D0"/>
    <w:rsid w:val="00E00419"/>
    <w:rsid w:val="00E00569"/>
    <w:rsid w:val="00E0064F"/>
    <w:rsid w:val="00E00737"/>
    <w:rsid w:val="00E0085F"/>
    <w:rsid w:val="00E00A9C"/>
    <w:rsid w:val="00E00EF7"/>
    <w:rsid w:val="00E01412"/>
    <w:rsid w:val="00E014CA"/>
    <w:rsid w:val="00E01CA7"/>
    <w:rsid w:val="00E02E95"/>
    <w:rsid w:val="00E033BA"/>
    <w:rsid w:val="00E03692"/>
    <w:rsid w:val="00E036E5"/>
    <w:rsid w:val="00E0382F"/>
    <w:rsid w:val="00E03980"/>
    <w:rsid w:val="00E03D17"/>
    <w:rsid w:val="00E041EC"/>
    <w:rsid w:val="00E04674"/>
    <w:rsid w:val="00E047AD"/>
    <w:rsid w:val="00E050F0"/>
    <w:rsid w:val="00E058EE"/>
    <w:rsid w:val="00E05FC9"/>
    <w:rsid w:val="00E06676"/>
    <w:rsid w:val="00E06836"/>
    <w:rsid w:val="00E06840"/>
    <w:rsid w:val="00E06A0D"/>
    <w:rsid w:val="00E075DE"/>
    <w:rsid w:val="00E07AA3"/>
    <w:rsid w:val="00E07AB5"/>
    <w:rsid w:val="00E11DB0"/>
    <w:rsid w:val="00E1213E"/>
    <w:rsid w:val="00E12CBB"/>
    <w:rsid w:val="00E12D6C"/>
    <w:rsid w:val="00E12EDF"/>
    <w:rsid w:val="00E132F3"/>
    <w:rsid w:val="00E13E81"/>
    <w:rsid w:val="00E14268"/>
    <w:rsid w:val="00E1448C"/>
    <w:rsid w:val="00E14B7B"/>
    <w:rsid w:val="00E14D04"/>
    <w:rsid w:val="00E1520B"/>
    <w:rsid w:val="00E15B3A"/>
    <w:rsid w:val="00E15B76"/>
    <w:rsid w:val="00E16380"/>
    <w:rsid w:val="00E16B28"/>
    <w:rsid w:val="00E16D2F"/>
    <w:rsid w:val="00E17206"/>
    <w:rsid w:val="00E1720E"/>
    <w:rsid w:val="00E17B40"/>
    <w:rsid w:val="00E17D6E"/>
    <w:rsid w:val="00E17F71"/>
    <w:rsid w:val="00E21224"/>
    <w:rsid w:val="00E22E87"/>
    <w:rsid w:val="00E2360B"/>
    <w:rsid w:val="00E23C52"/>
    <w:rsid w:val="00E23C67"/>
    <w:rsid w:val="00E23CEF"/>
    <w:rsid w:val="00E25014"/>
    <w:rsid w:val="00E25696"/>
    <w:rsid w:val="00E25709"/>
    <w:rsid w:val="00E2631F"/>
    <w:rsid w:val="00E265C0"/>
    <w:rsid w:val="00E26A6B"/>
    <w:rsid w:val="00E27665"/>
    <w:rsid w:val="00E278AC"/>
    <w:rsid w:val="00E27BEE"/>
    <w:rsid w:val="00E3052B"/>
    <w:rsid w:val="00E30729"/>
    <w:rsid w:val="00E30D5D"/>
    <w:rsid w:val="00E30DCA"/>
    <w:rsid w:val="00E31710"/>
    <w:rsid w:val="00E32188"/>
    <w:rsid w:val="00E328D8"/>
    <w:rsid w:val="00E32CE2"/>
    <w:rsid w:val="00E32D37"/>
    <w:rsid w:val="00E33A4B"/>
    <w:rsid w:val="00E33C12"/>
    <w:rsid w:val="00E33F65"/>
    <w:rsid w:val="00E34142"/>
    <w:rsid w:val="00E3495E"/>
    <w:rsid w:val="00E3737C"/>
    <w:rsid w:val="00E37667"/>
    <w:rsid w:val="00E406DA"/>
    <w:rsid w:val="00E40850"/>
    <w:rsid w:val="00E4085B"/>
    <w:rsid w:val="00E40ADA"/>
    <w:rsid w:val="00E415FC"/>
    <w:rsid w:val="00E4170E"/>
    <w:rsid w:val="00E41943"/>
    <w:rsid w:val="00E4199C"/>
    <w:rsid w:val="00E4225A"/>
    <w:rsid w:val="00E430B6"/>
    <w:rsid w:val="00E43398"/>
    <w:rsid w:val="00E43FB8"/>
    <w:rsid w:val="00E44214"/>
    <w:rsid w:val="00E44A83"/>
    <w:rsid w:val="00E44BFF"/>
    <w:rsid w:val="00E44C59"/>
    <w:rsid w:val="00E44E7C"/>
    <w:rsid w:val="00E44E8D"/>
    <w:rsid w:val="00E45377"/>
    <w:rsid w:val="00E4549D"/>
    <w:rsid w:val="00E45BF2"/>
    <w:rsid w:val="00E45DEA"/>
    <w:rsid w:val="00E472A3"/>
    <w:rsid w:val="00E47684"/>
    <w:rsid w:val="00E47D29"/>
    <w:rsid w:val="00E47F9B"/>
    <w:rsid w:val="00E50C4C"/>
    <w:rsid w:val="00E50EA9"/>
    <w:rsid w:val="00E51829"/>
    <w:rsid w:val="00E51E48"/>
    <w:rsid w:val="00E5324B"/>
    <w:rsid w:val="00E538FD"/>
    <w:rsid w:val="00E54291"/>
    <w:rsid w:val="00E5459C"/>
    <w:rsid w:val="00E549C2"/>
    <w:rsid w:val="00E557B5"/>
    <w:rsid w:val="00E56BD8"/>
    <w:rsid w:val="00E56F3C"/>
    <w:rsid w:val="00E57B6A"/>
    <w:rsid w:val="00E6036F"/>
    <w:rsid w:val="00E607D4"/>
    <w:rsid w:val="00E60952"/>
    <w:rsid w:val="00E60D85"/>
    <w:rsid w:val="00E61E23"/>
    <w:rsid w:val="00E620A6"/>
    <w:rsid w:val="00E6210D"/>
    <w:rsid w:val="00E62171"/>
    <w:rsid w:val="00E62768"/>
    <w:rsid w:val="00E636D1"/>
    <w:rsid w:val="00E63F38"/>
    <w:rsid w:val="00E6462C"/>
    <w:rsid w:val="00E64656"/>
    <w:rsid w:val="00E6499A"/>
    <w:rsid w:val="00E652FF"/>
    <w:rsid w:val="00E65BCA"/>
    <w:rsid w:val="00E66281"/>
    <w:rsid w:val="00E66365"/>
    <w:rsid w:val="00E669D5"/>
    <w:rsid w:val="00E67497"/>
    <w:rsid w:val="00E676F9"/>
    <w:rsid w:val="00E714F7"/>
    <w:rsid w:val="00E71702"/>
    <w:rsid w:val="00E719D3"/>
    <w:rsid w:val="00E720FD"/>
    <w:rsid w:val="00E720FE"/>
    <w:rsid w:val="00E72A86"/>
    <w:rsid w:val="00E72C29"/>
    <w:rsid w:val="00E73583"/>
    <w:rsid w:val="00E73BE1"/>
    <w:rsid w:val="00E74EE7"/>
    <w:rsid w:val="00E758E0"/>
    <w:rsid w:val="00E76052"/>
    <w:rsid w:val="00E76782"/>
    <w:rsid w:val="00E76956"/>
    <w:rsid w:val="00E77030"/>
    <w:rsid w:val="00E779CB"/>
    <w:rsid w:val="00E77C4F"/>
    <w:rsid w:val="00E80B80"/>
    <w:rsid w:val="00E814BC"/>
    <w:rsid w:val="00E81603"/>
    <w:rsid w:val="00E81A4E"/>
    <w:rsid w:val="00E81FCA"/>
    <w:rsid w:val="00E83CFF"/>
    <w:rsid w:val="00E83D1B"/>
    <w:rsid w:val="00E84AB4"/>
    <w:rsid w:val="00E84B48"/>
    <w:rsid w:val="00E84EBF"/>
    <w:rsid w:val="00E8590A"/>
    <w:rsid w:val="00E85F07"/>
    <w:rsid w:val="00E85F38"/>
    <w:rsid w:val="00E85FC0"/>
    <w:rsid w:val="00E861A8"/>
    <w:rsid w:val="00E86ED2"/>
    <w:rsid w:val="00E87629"/>
    <w:rsid w:val="00E87846"/>
    <w:rsid w:val="00E87853"/>
    <w:rsid w:val="00E87A66"/>
    <w:rsid w:val="00E90346"/>
    <w:rsid w:val="00E90402"/>
    <w:rsid w:val="00E90423"/>
    <w:rsid w:val="00E9047F"/>
    <w:rsid w:val="00E90630"/>
    <w:rsid w:val="00E912CC"/>
    <w:rsid w:val="00E91621"/>
    <w:rsid w:val="00E91C47"/>
    <w:rsid w:val="00E91D47"/>
    <w:rsid w:val="00E92935"/>
    <w:rsid w:val="00E9342F"/>
    <w:rsid w:val="00E935D9"/>
    <w:rsid w:val="00E949D3"/>
    <w:rsid w:val="00E96473"/>
    <w:rsid w:val="00E9686D"/>
    <w:rsid w:val="00E97928"/>
    <w:rsid w:val="00E97A5E"/>
    <w:rsid w:val="00EA04A2"/>
    <w:rsid w:val="00EA0BD4"/>
    <w:rsid w:val="00EA0D57"/>
    <w:rsid w:val="00EA0E45"/>
    <w:rsid w:val="00EA1848"/>
    <w:rsid w:val="00EA1EAD"/>
    <w:rsid w:val="00EA205B"/>
    <w:rsid w:val="00EA3D6B"/>
    <w:rsid w:val="00EA45CC"/>
    <w:rsid w:val="00EA4907"/>
    <w:rsid w:val="00EA4974"/>
    <w:rsid w:val="00EA4A2E"/>
    <w:rsid w:val="00EA4E69"/>
    <w:rsid w:val="00EA5618"/>
    <w:rsid w:val="00EA5645"/>
    <w:rsid w:val="00EA59A0"/>
    <w:rsid w:val="00EA6303"/>
    <w:rsid w:val="00EA6872"/>
    <w:rsid w:val="00EA697A"/>
    <w:rsid w:val="00EA6B90"/>
    <w:rsid w:val="00EA6B93"/>
    <w:rsid w:val="00EA6EA1"/>
    <w:rsid w:val="00EA6ED6"/>
    <w:rsid w:val="00EA714F"/>
    <w:rsid w:val="00EA7A0F"/>
    <w:rsid w:val="00EB04B5"/>
    <w:rsid w:val="00EB09CB"/>
    <w:rsid w:val="00EB1073"/>
    <w:rsid w:val="00EB199B"/>
    <w:rsid w:val="00EB1D24"/>
    <w:rsid w:val="00EB1DFC"/>
    <w:rsid w:val="00EB210B"/>
    <w:rsid w:val="00EB269D"/>
    <w:rsid w:val="00EB2979"/>
    <w:rsid w:val="00EB39F9"/>
    <w:rsid w:val="00EB3BCE"/>
    <w:rsid w:val="00EB3CC7"/>
    <w:rsid w:val="00EB47E5"/>
    <w:rsid w:val="00EB5877"/>
    <w:rsid w:val="00EB5CAD"/>
    <w:rsid w:val="00EB5CE3"/>
    <w:rsid w:val="00EB5D52"/>
    <w:rsid w:val="00EB6195"/>
    <w:rsid w:val="00EB621E"/>
    <w:rsid w:val="00EB65A1"/>
    <w:rsid w:val="00EB6633"/>
    <w:rsid w:val="00EB684B"/>
    <w:rsid w:val="00EB7584"/>
    <w:rsid w:val="00EB7939"/>
    <w:rsid w:val="00EB7C89"/>
    <w:rsid w:val="00EC00FA"/>
    <w:rsid w:val="00EC0683"/>
    <w:rsid w:val="00EC0698"/>
    <w:rsid w:val="00EC0BF9"/>
    <w:rsid w:val="00EC0DD2"/>
    <w:rsid w:val="00EC0E14"/>
    <w:rsid w:val="00EC0E73"/>
    <w:rsid w:val="00EC13D5"/>
    <w:rsid w:val="00EC1543"/>
    <w:rsid w:val="00EC1BC1"/>
    <w:rsid w:val="00EC23B5"/>
    <w:rsid w:val="00EC25EB"/>
    <w:rsid w:val="00EC2961"/>
    <w:rsid w:val="00EC2C2F"/>
    <w:rsid w:val="00EC2CF2"/>
    <w:rsid w:val="00EC2D88"/>
    <w:rsid w:val="00EC2E03"/>
    <w:rsid w:val="00EC3159"/>
    <w:rsid w:val="00EC323A"/>
    <w:rsid w:val="00EC34E3"/>
    <w:rsid w:val="00EC3A7F"/>
    <w:rsid w:val="00EC3B32"/>
    <w:rsid w:val="00EC3D4A"/>
    <w:rsid w:val="00EC4820"/>
    <w:rsid w:val="00EC5DD1"/>
    <w:rsid w:val="00EC5E9D"/>
    <w:rsid w:val="00EC6ADB"/>
    <w:rsid w:val="00EC6C74"/>
    <w:rsid w:val="00EC70DF"/>
    <w:rsid w:val="00EC70F7"/>
    <w:rsid w:val="00EC7EB7"/>
    <w:rsid w:val="00ED053F"/>
    <w:rsid w:val="00ED1071"/>
    <w:rsid w:val="00ED1A2D"/>
    <w:rsid w:val="00ED241C"/>
    <w:rsid w:val="00ED246C"/>
    <w:rsid w:val="00ED28D4"/>
    <w:rsid w:val="00ED291F"/>
    <w:rsid w:val="00ED2936"/>
    <w:rsid w:val="00ED2F2E"/>
    <w:rsid w:val="00ED35C0"/>
    <w:rsid w:val="00ED3A50"/>
    <w:rsid w:val="00ED46D7"/>
    <w:rsid w:val="00ED4A0D"/>
    <w:rsid w:val="00ED542F"/>
    <w:rsid w:val="00ED5977"/>
    <w:rsid w:val="00ED6A8D"/>
    <w:rsid w:val="00ED6B2E"/>
    <w:rsid w:val="00ED6F52"/>
    <w:rsid w:val="00ED710B"/>
    <w:rsid w:val="00ED7133"/>
    <w:rsid w:val="00EE11F8"/>
    <w:rsid w:val="00EE1486"/>
    <w:rsid w:val="00EE27E2"/>
    <w:rsid w:val="00EE2819"/>
    <w:rsid w:val="00EE2EC4"/>
    <w:rsid w:val="00EE38B4"/>
    <w:rsid w:val="00EE392A"/>
    <w:rsid w:val="00EE3F23"/>
    <w:rsid w:val="00EE4383"/>
    <w:rsid w:val="00EE59ED"/>
    <w:rsid w:val="00EE6168"/>
    <w:rsid w:val="00EE6853"/>
    <w:rsid w:val="00EE6C9F"/>
    <w:rsid w:val="00EE7E5F"/>
    <w:rsid w:val="00EF04B9"/>
    <w:rsid w:val="00EF067D"/>
    <w:rsid w:val="00EF102C"/>
    <w:rsid w:val="00EF105D"/>
    <w:rsid w:val="00EF155A"/>
    <w:rsid w:val="00EF176F"/>
    <w:rsid w:val="00EF1978"/>
    <w:rsid w:val="00EF24F5"/>
    <w:rsid w:val="00EF2565"/>
    <w:rsid w:val="00EF27D0"/>
    <w:rsid w:val="00EF28B1"/>
    <w:rsid w:val="00EF2C82"/>
    <w:rsid w:val="00EF2DE8"/>
    <w:rsid w:val="00EF32F6"/>
    <w:rsid w:val="00EF34F8"/>
    <w:rsid w:val="00EF4580"/>
    <w:rsid w:val="00EF539F"/>
    <w:rsid w:val="00EF5632"/>
    <w:rsid w:val="00EF662C"/>
    <w:rsid w:val="00EF6928"/>
    <w:rsid w:val="00EF6E11"/>
    <w:rsid w:val="00EF6E56"/>
    <w:rsid w:val="00EF75DC"/>
    <w:rsid w:val="00F0129A"/>
    <w:rsid w:val="00F016E4"/>
    <w:rsid w:val="00F019E4"/>
    <w:rsid w:val="00F03A7D"/>
    <w:rsid w:val="00F03C06"/>
    <w:rsid w:val="00F04097"/>
    <w:rsid w:val="00F045E2"/>
    <w:rsid w:val="00F04724"/>
    <w:rsid w:val="00F05409"/>
    <w:rsid w:val="00F05F94"/>
    <w:rsid w:val="00F063EA"/>
    <w:rsid w:val="00F0689B"/>
    <w:rsid w:val="00F06A9B"/>
    <w:rsid w:val="00F06E52"/>
    <w:rsid w:val="00F06E7C"/>
    <w:rsid w:val="00F06F62"/>
    <w:rsid w:val="00F078FD"/>
    <w:rsid w:val="00F079EC"/>
    <w:rsid w:val="00F07EC3"/>
    <w:rsid w:val="00F100E0"/>
    <w:rsid w:val="00F10625"/>
    <w:rsid w:val="00F1079D"/>
    <w:rsid w:val="00F10F97"/>
    <w:rsid w:val="00F11209"/>
    <w:rsid w:val="00F1134A"/>
    <w:rsid w:val="00F11A83"/>
    <w:rsid w:val="00F11C39"/>
    <w:rsid w:val="00F11CEB"/>
    <w:rsid w:val="00F12388"/>
    <w:rsid w:val="00F1248F"/>
    <w:rsid w:val="00F1264C"/>
    <w:rsid w:val="00F130E7"/>
    <w:rsid w:val="00F13573"/>
    <w:rsid w:val="00F13E9C"/>
    <w:rsid w:val="00F14673"/>
    <w:rsid w:val="00F1469A"/>
    <w:rsid w:val="00F1480E"/>
    <w:rsid w:val="00F149A3"/>
    <w:rsid w:val="00F1525F"/>
    <w:rsid w:val="00F15443"/>
    <w:rsid w:val="00F15BD1"/>
    <w:rsid w:val="00F1677E"/>
    <w:rsid w:val="00F16802"/>
    <w:rsid w:val="00F16E20"/>
    <w:rsid w:val="00F170D1"/>
    <w:rsid w:val="00F1767B"/>
    <w:rsid w:val="00F20E6E"/>
    <w:rsid w:val="00F20F9C"/>
    <w:rsid w:val="00F211C1"/>
    <w:rsid w:val="00F21AEF"/>
    <w:rsid w:val="00F21EEB"/>
    <w:rsid w:val="00F22157"/>
    <w:rsid w:val="00F229C9"/>
    <w:rsid w:val="00F23077"/>
    <w:rsid w:val="00F234F2"/>
    <w:rsid w:val="00F2578C"/>
    <w:rsid w:val="00F25F15"/>
    <w:rsid w:val="00F26758"/>
    <w:rsid w:val="00F26877"/>
    <w:rsid w:val="00F2691D"/>
    <w:rsid w:val="00F26B08"/>
    <w:rsid w:val="00F27950"/>
    <w:rsid w:val="00F27C7B"/>
    <w:rsid w:val="00F30562"/>
    <w:rsid w:val="00F30CB3"/>
    <w:rsid w:val="00F3163A"/>
    <w:rsid w:val="00F31A97"/>
    <w:rsid w:val="00F320EB"/>
    <w:rsid w:val="00F32E30"/>
    <w:rsid w:val="00F3344A"/>
    <w:rsid w:val="00F3372C"/>
    <w:rsid w:val="00F33FEC"/>
    <w:rsid w:val="00F3447C"/>
    <w:rsid w:val="00F35519"/>
    <w:rsid w:val="00F35842"/>
    <w:rsid w:val="00F36501"/>
    <w:rsid w:val="00F36694"/>
    <w:rsid w:val="00F36CD4"/>
    <w:rsid w:val="00F37033"/>
    <w:rsid w:val="00F373F8"/>
    <w:rsid w:val="00F3767D"/>
    <w:rsid w:val="00F378E0"/>
    <w:rsid w:val="00F4093E"/>
    <w:rsid w:val="00F40970"/>
    <w:rsid w:val="00F40CB9"/>
    <w:rsid w:val="00F40CE4"/>
    <w:rsid w:val="00F40EC8"/>
    <w:rsid w:val="00F4170C"/>
    <w:rsid w:val="00F41879"/>
    <w:rsid w:val="00F41CFF"/>
    <w:rsid w:val="00F4243B"/>
    <w:rsid w:val="00F42646"/>
    <w:rsid w:val="00F42EA6"/>
    <w:rsid w:val="00F43598"/>
    <w:rsid w:val="00F43A0D"/>
    <w:rsid w:val="00F44755"/>
    <w:rsid w:val="00F46613"/>
    <w:rsid w:val="00F4667C"/>
    <w:rsid w:val="00F46963"/>
    <w:rsid w:val="00F46D0D"/>
    <w:rsid w:val="00F47047"/>
    <w:rsid w:val="00F4798F"/>
    <w:rsid w:val="00F47D8C"/>
    <w:rsid w:val="00F50392"/>
    <w:rsid w:val="00F503C5"/>
    <w:rsid w:val="00F50828"/>
    <w:rsid w:val="00F50AA7"/>
    <w:rsid w:val="00F53002"/>
    <w:rsid w:val="00F531AB"/>
    <w:rsid w:val="00F5331C"/>
    <w:rsid w:val="00F533B5"/>
    <w:rsid w:val="00F539C7"/>
    <w:rsid w:val="00F5410C"/>
    <w:rsid w:val="00F54455"/>
    <w:rsid w:val="00F54714"/>
    <w:rsid w:val="00F54865"/>
    <w:rsid w:val="00F54BA2"/>
    <w:rsid w:val="00F558D4"/>
    <w:rsid w:val="00F55913"/>
    <w:rsid w:val="00F55FFC"/>
    <w:rsid w:val="00F56709"/>
    <w:rsid w:val="00F56DAD"/>
    <w:rsid w:val="00F56F60"/>
    <w:rsid w:val="00F577C6"/>
    <w:rsid w:val="00F57800"/>
    <w:rsid w:val="00F578F4"/>
    <w:rsid w:val="00F57A73"/>
    <w:rsid w:val="00F603F5"/>
    <w:rsid w:val="00F6185D"/>
    <w:rsid w:val="00F62238"/>
    <w:rsid w:val="00F62391"/>
    <w:rsid w:val="00F62596"/>
    <w:rsid w:val="00F62A2D"/>
    <w:rsid w:val="00F63658"/>
    <w:rsid w:val="00F63A0E"/>
    <w:rsid w:val="00F63E05"/>
    <w:rsid w:val="00F642C3"/>
    <w:rsid w:val="00F642E8"/>
    <w:rsid w:val="00F64B72"/>
    <w:rsid w:val="00F64FC3"/>
    <w:rsid w:val="00F655FC"/>
    <w:rsid w:val="00F65A96"/>
    <w:rsid w:val="00F65B4B"/>
    <w:rsid w:val="00F66224"/>
    <w:rsid w:val="00F669B5"/>
    <w:rsid w:val="00F66E54"/>
    <w:rsid w:val="00F66F43"/>
    <w:rsid w:val="00F70042"/>
    <w:rsid w:val="00F70CFC"/>
    <w:rsid w:val="00F7113A"/>
    <w:rsid w:val="00F7132A"/>
    <w:rsid w:val="00F721EA"/>
    <w:rsid w:val="00F726C7"/>
    <w:rsid w:val="00F72B0E"/>
    <w:rsid w:val="00F72BF8"/>
    <w:rsid w:val="00F72D40"/>
    <w:rsid w:val="00F72F42"/>
    <w:rsid w:val="00F73016"/>
    <w:rsid w:val="00F731D2"/>
    <w:rsid w:val="00F7371F"/>
    <w:rsid w:val="00F73A5D"/>
    <w:rsid w:val="00F73C9D"/>
    <w:rsid w:val="00F73E94"/>
    <w:rsid w:val="00F744F3"/>
    <w:rsid w:val="00F74FA0"/>
    <w:rsid w:val="00F75320"/>
    <w:rsid w:val="00F75913"/>
    <w:rsid w:val="00F76222"/>
    <w:rsid w:val="00F76D63"/>
    <w:rsid w:val="00F77748"/>
    <w:rsid w:val="00F77E2A"/>
    <w:rsid w:val="00F8050A"/>
    <w:rsid w:val="00F80C8A"/>
    <w:rsid w:val="00F81169"/>
    <w:rsid w:val="00F82251"/>
    <w:rsid w:val="00F82462"/>
    <w:rsid w:val="00F83339"/>
    <w:rsid w:val="00F83355"/>
    <w:rsid w:val="00F83651"/>
    <w:rsid w:val="00F83EA1"/>
    <w:rsid w:val="00F84C88"/>
    <w:rsid w:val="00F84CA9"/>
    <w:rsid w:val="00F854D4"/>
    <w:rsid w:val="00F85A8A"/>
    <w:rsid w:val="00F85C4B"/>
    <w:rsid w:val="00F85E5F"/>
    <w:rsid w:val="00F85FCB"/>
    <w:rsid w:val="00F8681C"/>
    <w:rsid w:val="00F86C07"/>
    <w:rsid w:val="00F87A7C"/>
    <w:rsid w:val="00F87D3C"/>
    <w:rsid w:val="00F90299"/>
    <w:rsid w:val="00F9075E"/>
    <w:rsid w:val="00F912FF"/>
    <w:rsid w:val="00F92E46"/>
    <w:rsid w:val="00F92F04"/>
    <w:rsid w:val="00F93617"/>
    <w:rsid w:val="00F9431A"/>
    <w:rsid w:val="00F946AF"/>
    <w:rsid w:val="00F94CF3"/>
    <w:rsid w:val="00F957C9"/>
    <w:rsid w:val="00F96182"/>
    <w:rsid w:val="00F963DA"/>
    <w:rsid w:val="00F9643D"/>
    <w:rsid w:val="00F967F7"/>
    <w:rsid w:val="00F97D21"/>
    <w:rsid w:val="00FA00D8"/>
    <w:rsid w:val="00FA106A"/>
    <w:rsid w:val="00FA2240"/>
    <w:rsid w:val="00FA27B3"/>
    <w:rsid w:val="00FA4EBE"/>
    <w:rsid w:val="00FA5B44"/>
    <w:rsid w:val="00FA68B5"/>
    <w:rsid w:val="00FA6D91"/>
    <w:rsid w:val="00FA745F"/>
    <w:rsid w:val="00FA7753"/>
    <w:rsid w:val="00FA77BD"/>
    <w:rsid w:val="00FA7FCE"/>
    <w:rsid w:val="00FB02A6"/>
    <w:rsid w:val="00FB1253"/>
    <w:rsid w:val="00FB16E3"/>
    <w:rsid w:val="00FB188E"/>
    <w:rsid w:val="00FB1E94"/>
    <w:rsid w:val="00FB20FB"/>
    <w:rsid w:val="00FB21C9"/>
    <w:rsid w:val="00FB240E"/>
    <w:rsid w:val="00FB280F"/>
    <w:rsid w:val="00FB2DD9"/>
    <w:rsid w:val="00FB3415"/>
    <w:rsid w:val="00FB35FD"/>
    <w:rsid w:val="00FB39F9"/>
    <w:rsid w:val="00FB3F40"/>
    <w:rsid w:val="00FB40EA"/>
    <w:rsid w:val="00FB4245"/>
    <w:rsid w:val="00FB44B4"/>
    <w:rsid w:val="00FB502D"/>
    <w:rsid w:val="00FB5254"/>
    <w:rsid w:val="00FB57A2"/>
    <w:rsid w:val="00FB636E"/>
    <w:rsid w:val="00FB6773"/>
    <w:rsid w:val="00FB75DE"/>
    <w:rsid w:val="00FB791F"/>
    <w:rsid w:val="00FB7943"/>
    <w:rsid w:val="00FB7C6D"/>
    <w:rsid w:val="00FB7F47"/>
    <w:rsid w:val="00FC01A7"/>
    <w:rsid w:val="00FC109F"/>
    <w:rsid w:val="00FC1B2C"/>
    <w:rsid w:val="00FC2034"/>
    <w:rsid w:val="00FC247E"/>
    <w:rsid w:val="00FC2DF9"/>
    <w:rsid w:val="00FC317E"/>
    <w:rsid w:val="00FC36C0"/>
    <w:rsid w:val="00FC3C1A"/>
    <w:rsid w:val="00FC3FA0"/>
    <w:rsid w:val="00FC49E2"/>
    <w:rsid w:val="00FC4ED3"/>
    <w:rsid w:val="00FC503A"/>
    <w:rsid w:val="00FC56DF"/>
    <w:rsid w:val="00FC57F9"/>
    <w:rsid w:val="00FC58F4"/>
    <w:rsid w:val="00FC63AC"/>
    <w:rsid w:val="00FC6D9B"/>
    <w:rsid w:val="00FC7517"/>
    <w:rsid w:val="00FC7803"/>
    <w:rsid w:val="00FC799F"/>
    <w:rsid w:val="00FC7B89"/>
    <w:rsid w:val="00FD0020"/>
    <w:rsid w:val="00FD11D9"/>
    <w:rsid w:val="00FD11F8"/>
    <w:rsid w:val="00FD1613"/>
    <w:rsid w:val="00FD1FEB"/>
    <w:rsid w:val="00FD36F8"/>
    <w:rsid w:val="00FD3EA0"/>
    <w:rsid w:val="00FD4189"/>
    <w:rsid w:val="00FD4326"/>
    <w:rsid w:val="00FD4789"/>
    <w:rsid w:val="00FD4BC6"/>
    <w:rsid w:val="00FD53A3"/>
    <w:rsid w:val="00FD5C7D"/>
    <w:rsid w:val="00FD5EAE"/>
    <w:rsid w:val="00FD6286"/>
    <w:rsid w:val="00FD6A99"/>
    <w:rsid w:val="00FE064B"/>
    <w:rsid w:val="00FE098C"/>
    <w:rsid w:val="00FE0AF5"/>
    <w:rsid w:val="00FE0D21"/>
    <w:rsid w:val="00FE162B"/>
    <w:rsid w:val="00FE21E9"/>
    <w:rsid w:val="00FE2D16"/>
    <w:rsid w:val="00FE31B2"/>
    <w:rsid w:val="00FE3716"/>
    <w:rsid w:val="00FE4314"/>
    <w:rsid w:val="00FE4D74"/>
    <w:rsid w:val="00FE559F"/>
    <w:rsid w:val="00FE6AAF"/>
    <w:rsid w:val="00FE6DAE"/>
    <w:rsid w:val="00FE6E03"/>
    <w:rsid w:val="00FE7473"/>
    <w:rsid w:val="00FF0CD1"/>
    <w:rsid w:val="00FF0F4C"/>
    <w:rsid w:val="00FF2DF6"/>
    <w:rsid w:val="00FF33A9"/>
    <w:rsid w:val="00FF3582"/>
    <w:rsid w:val="00FF3907"/>
    <w:rsid w:val="00FF3BC9"/>
    <w:rsid w:val="00FF3DCE"/>
    <w:rsid w:val="00FF4F68"/>
    <w:rsid w:val="00FF5044"/>
    <w:rsid w:val="00FF52DE"/>
    <w:rsid w:val="00FF565C"/>
    <w:rsid w:val="00FF579F"/>
    <w:rsid w:val="00FF5F0C"/>
    <w:rsid w:val="00FF601C"/>
    <w:rsid w:val="00FF64BE"/>
    <w:rsid w:val="00FF653B"/>
    <w:rsid w:val="00FF70B5"/>
    <w:rsid w:val="00FF7189"/>
    <w:rsid w:val="00FF7721"/>
    <w:rsid w:val="00FF7F30"/>
    <w:rsid w:val="011562D2"/>
    <w:rsid w:val="011A11A4"/>
    <w:rsid w:val="014B5B44"/>
    <w:rsid w:val="018C5F7F"/>
    <w:rsid w:val="01BE4069"/>
    <w:rsid w:val="01BE5800"/>
    <w:rsid w:val="01E46F65"/>
    <w:rsid w:val="024144A6"/>
    <w:rsid w:val="02E536DD"/>
    <w:rsid w:val="02F41532"/>
    <w:rsid w:val="03F06C42"/>
    <w:rsid w:val="041B3357"/>
    <w:rsid w:val="049F025D"/>
    <w:rsid w:val="04A07D20"/>
    <w:rsid w:val="04C34346"/>
    <w:rsid w:val="04E30437"/>
    <w:rsid w:val="04FF7EFB"/>
    <w:rsid w:val="05706B86"/>
    <w:rsid w:val="059160E1"/>
    <w:rsid w:val="05F41FAA"/>
    <w:rsid w:val="063B78DC"/>
    <w:rsid w:val="06FF01C2"/>
    <w:rsid w:val="07131EBF"/>
    <w:rsid w:val="076E0F6D"/>
    <w:rsid w:val="07CD6512"/>
    <w:rsid w:val="07E84F31"/>
    <w:rsid w:val="08365E65"/>
    <w:rsid w:val="0839529D"/>
    <w:rsid w:val="097640A4"/>
    <w:rsid w:val="09974C33"/>
    <w:rsid w:val="09B82947"/>
    <w:rsid w:val="0AAF1EFF"/>
    <w:rsid w:val="0ACF0D17"/>
    <w:rsid w:val="0BDE6F3F"/>
    <w:rsid w:val="0BF958C7"/>
    <w:rsid w:val="0C3F3332"/>
    <w:rsid w:val="0C5A09A9"/>
    <w:rsid w:val="0CDB719E"/>
    <w:rsid w:val="0E0812B7"/>
    <w:rsid w:val="0E2E7579"/>
    <w:rsid w:val="0E375D2D"/>
    <w:rsid w:val="0EAB6A73"/>
    <w:rsid w:val="0EB64D15"/>
    <w:rsid w:val="0ED72541"/>
    <w:rsid w:val="0F4D0707"/>
    <w:rsid w:val="0F5928E8"/>
    <w:rsid w:val="0F5B5A39"/>
    <w:rsid w:val="0FBA2A45"/>
    <w:rsid w:val="0FC41654"/>
    <w:rsid w:val="0FDE7285"/>
    <w:rsid w:val="10663775"/>
    <w:rsid w:val="10EF2973"/>
    <w:rsid w:val="11380EA0"/>
    <w:rsid w:val="113A727B"/>
    <w:rsid w:val="118C2ED5"/>
    <w:rsid w:val="11B83D31"/>
    <w:rsid w:val="11BD2243"/>
    <w:rsid w:val="121D1E44"/>
    <w:rsid w:val="12511FF2"/>
    <w:rsid w:val="12795B29"/>
    <w:rsid w:val="12F62B63"/>
    <w:rsid w:val="135A6E08"/>
    <w:rsid w:val="13696837"/>
    <w:rsid w:val="13B31AEC"/>
    <w:rsid w:val="13FE3FBA"/>
    <w:rsid w:val="13FF7A53"/>
    <w:rsid w:val="140E1568"/>
    <w:rsid w:val="14123C2A"/>
    <w:rsid w:val="141C6857"/>
    <w:rsid w:val="14404369"/>
    <w:rsid w:val="15E50ECA"/>
    <w:rsid w:val="16BF46FB"/>
    <w:rsid w:val="16D50F3F"/>
    <w:rsid w:val="16FD3DD1"/>
    <w:rsid w:val="175D674F"/>
    <w:rsid w:val="17CD2550"/>
    <w:rsid w:val="18114189"/>
    <w:rsid w:val="185C6F76"/>
    <w:rsid w:val="18F06F2D"/>
    <w:rsid w:val="19223571"/>
    <w:rsid w:val="19526DEE"/>
    <w:rsid w:val="19AD7F51"/>
    <w:rsid w:val="1A350B18"/>
    <w:rsid w:val="1ACC476D"/>
    <w:rsid w:val="1BA50D14"/>
    <w:rsid w:val="1BA677E7"/>
    <w:rsid w:val="1BEF65FF"/>
    <w:rsid w:val="1C420E24"/>
    <w:rsid w:val="1C625023"/>
    <w:rsid w:val="1C625D30"/>
    <w:rsid w:val="1C7671E3"/>
    <w:rsid w:val="1C777601"/>
    <w:rsid w:val="1C8A493E"/>
    <w:rsid w:val="1CB11B53"/>
    <w:rsid w:val="1CCB6998"/>
    <w:rsid w:val="1CD6623F"/>
    <w:rsid w:val="1CF90898"/>
    <w:rsid w:val="1CFA0FE7"/>
    <w:rsid w:val="1D4961E3"/>
    <w:rsid w:val="1D5435C1"/>
    <w:rsid w:val="1D8C69C4"/>
    <w:rsid w:val="1E1C7C6C"/>
    <w:rsid w:val="1E786F00"/>
    <w:rsid w:val="1EC93A19"/>
    <w:rsid w:val="1F1F65F5"/>
    <w:rsid w:val="1F343C02"/>
    <w:rsid w:val="1F7237CF"/>
    <w:rsid w:val="1FAC7E53"/>
    <w:rsid w:val="1FAF4A23"/>
    <w:rsid w:val="20517FE3"/>
    <w:rsid w:val="20663D00"/>
    <w:rsid w:val="20CE2C18"/>
    <w:rsid w:val="211A16EC"/>
    <w:rsid w:val="217C1DAF"/>
    <w:rsid w:val="218220DE"/>
    <w:rsid w:val="221C48A0"/>
    <w:rsid w:val="222C76C6"/>
    <w:rsid w:val="22466CF3"/>
    <w:rsid w:val="22A344E7"/>
    <w:rsid w:val="22DE3197"/>
    <w:rsid w:val="22E61751"/>
    <w:rsid w:val="22F42D37"/>
    <w:rsid w:val="23014707"/>
    <w:rsid w:val="230E0741"/>
    <w:rsid w:val="238C61C8"/>
    <w:rsid w:val="23F63E16"/>
    <w:rsid w:val="243A32C2"/>
    <w:rsid w:val="24A47EFA"/>
    <w:rsid w:val="25093A3B"/>
    <w:rsid w:val="25236D0D"/>
    <w:rsid w:val="252F645D"/>
    <w:rsid w:val="258858A9"/>
    <w:rsid w:val="25A7119C"/>
    <w:rsid w:val="26757E2C"/>
    <w:rsid w:val="26790701"/>
    <w:rsid w:val="26994118"/>
    <w:rsid w:val="27313F6F"/>
    <w:rsid w:val="273508EE"/>
    <w:rsid w:val="27483692"/>
    <w:rsid w:val="276E31B4"/>
    <w:rsid w:val="276F6E45"/>
    <w:rsid w:val="278066D7"/>
    <w:rsid w:val="27827B0F"/>
    <w:rsid w:val="27886287"/>
    <w:rsid w:val="27F53526"/>
    <w:rsid w:val="27FA5E76"/>
    <w:rsid w:val="28690FE5"/>
    <w:rsid w:val="288E2BD2"/>
    <w:rsid w:val="28B210E0"/>
    <w:rsid w:val="28DC50AB"/>
    <w:rsid w:val="28E55271"/>
    <w:rsid w:val="2923374B"/>
    <w:rsid w:val="298B4856"/>
    <w:rsid w:val="29BD796F"/>
    <w:rsid w:val="2A021BF3"/>
    <w:rsid w:val="2A2F2396"/>
    <w:rsid w:val="2A7725E1"/>
    <w:rsid w:val="2A9A5842"/>
    <w:rsid w:val="2AAC3644"/>
    <w:rsid w:val="2B8946FF"/>
    <w:rsid w:val="2BDC06AB"/>
    <w:rsid w:val="2C0A4741"/>
    <w:rsid w:val="2CA61832"/>
    <w:rsid w:val="2CF86E08"/>
    <w:rsid w:val="2D9B15EF"/>
    <w:rsid w:val="2E304308"/>
    <w:rsid w:val="2E5F4C31"/>
    <w:rsid w:val="2E6F7E34"/>
    <w:rsid w:val="2EB26D79"/>
    <w:rsid w:val="2F7145F4"/>
    <w:rsid w:val="3029048B"/>
    <w:rsid w:val="30515682"/>
    <w:rsid w:val="30580298"/>
    <w:rsid w:val="30646F90"/>
    <w:rsid w:val="3088073D"/>
    <w:rsid w:val="30CB0402"/>
    <w:rsid w:val="30ED7407"/>
    <w:rsid w:val="31B66D5F"/>
    <w:rsid w:val="324D2681"/>
    <w:rsid w:val="34457450"/>
    <w:rsid w:val="34FD4189"/>
    <w:rsid w:val="35373F98"/>
    <w:rsid w:val="35E1219E"/>
    <w:rsid w:val="363B7932"/>
    <w:rsid w:val="36B55693"/>
    <w:rsid w:val="36D15C2A"/>
    <w:rsid w:val="36FA4BBC"/>
    <w:rsid w:val="371D61FE"/>
    <w:rsid w:val="374B5AC3"/>
    <w:rsid w:val="379344BE"/>
    <w:rsid w:val="38187E4F"/>
    <w:rsid w:val="3820445B"/>
    <w:rsid w:val="38210467"/>
    <w:rsid w:val="38401B73"/>
    <w:rsid w:val="384B1D2A"/>
    <w:rsid w:val="38B16CBE"/>
    <w:rsid w:val="39780BBB"/>
    <w:rsid w:val="39D617F2"/>
    <w:rsid w:val="3A242E79"/>
    <w:rsid w:val="3A267F9B"/>
    <w:rsid w:val="3A313C6D"/>
    <w:rsid w:val="3A3A5D17"/>
    <w:rsid w:val="3A8C79E3"/>
    <w:rsid w:val="3ACC0824"/>
    <w:rsid w:val="3B610C15"/>
    <w:rsid w:val="3B731AB5"/>
    <w:rsid w:val="3B833738"/>
    <w:rsid w:val="3B874762"/>
    <w:rsid w:val="3C2527C5"/>
    <w:rsid w:val="3C526A0A"/>
    <w:rsid w:val="3C527B9B"/>
    <w:rsid w:val="3C7F2B87"/>
    <w:rsid w:val="3C9715BC"/>
    <w:rsid w:val="3CAD59EE"/>
    <w:rsid w:val="3CF11D7F"/>
    <w:rsid w:val="3D504B04"/>
    <w:rsid w:val="3D6562C9"/>
    <w:rsid w:val="3D6F75C9"/>
    <w:rsid w:val="3D801C4E"/>
    <w:rsid w:val="3D9B7F3D"/>
    <w:rsid w:val="3DE90F01"/>
    <w:rsid w:val="3E266E35"/>
    <w:rsid w:val="3E5A5AAF"/>
    <w:rsid w:val="3EA01CAF"/>
    <w:rsid w:val="3F253F62"/>
    <w:rsid w:val="3F3D51BC"/>
    <w:rsid w:val="3F592D90"/>
    <w:rsid w:val="3F7F04D5"/>
    <w:rsid w:val="3FB86B84"/>
    <w:rsid w:val="40615707"/>
    <w:rsid w:val="40A005F0"/>
    <w:rsid w:val="414B5EF7"/>
    <w:rsid w:val="417E1386"/>
    <w:rsid w:val="419D0727"/>
    <w:rsid w:val="41C2126D"/>
    <w:rsid w:val="422B6BF4"/>
    <w:rsid w:val="42347713"/>
    <w:rsid w:val="42784CF1"/>
    <w:rsid w:val="42F63059"/>
    <w:rsid w:val="43571EB1"/>
    <w:rsid w:val="43B00A8F"/>
    <w:rsid w:val="442B6866"/>
    <w:rsid w:val="443B6DB9"/>
    <w:rsid w:val="44AC2A30"/>
    <w:rsid w:val="44DC1567"/>
    <w:rsid w:val="45511B47"/>
    <w:rsid w:val="45857508"/>
    <w:rsid w:val="45A15DDB"/>
    <w:rsid w:val="45B22926"/>
    <w:rsid w:val="46130FB8"/>
    <w:rsid w:val="462E6F3B"/>
    <w:rsid w:val="4681712C"/>
    <w:rsid w:val="468B6718"/>
    <w:rsid w:val="469320F9"/>
    <w:rsid w:val="46E14C12"/>
    <w:rsid w:val="473B23EB"/>
    <w:rsid w:val="47B32EAB"/>
    <w:rsid w:val="47B50A14"/>
    <w:rsid w:val="47C40E8C"/>
    <w:rsid w:val="48201667"/>
    <w:rsid w:val="48B1218F"/>
    <w:rsid w:val="48B14AB0"/>
    <w:rsid w:val="48B53724"/>
    <w:rsid w:val="48D6123C"/>
    <w:rsid w:val="49150F51"/>
    <w:rsid w:val="493A685C"/>
    <w:rsid w:val="49480BD4"/>
    <w:rsid w:val="49522D5F"/>
    <w:rsid w:val="499F04DF"/>
    <w:rsid w:val="49BD03E9"/>
    <w:rsid w:val="49C51095"/>
    <w:rsid w:val="49CB3BFF"/>
    <w:rsid w:val="4A2D2426"/>
    <w:rsid w:val="4A5B4CDC"/>
    <w:rsid w:val="4AA4619B"/>
    <w:rsid w:val="4B284D77"/>
    <w:rsid w:val="4BEC1507"/>
    <w:rsid w:val="4CD363C9"/>
    <w:rsid w:val="4D7F6702"/>
    <w:rsid w:val="4DAA2A72"/>
    <w:rsid w:val="4E1D39E1"/>
    <w:rsid w:val="4EAF1A9A"/>
    <w:rsid w:val="4ED41501"/>
    <w:rsid w:val="4F123950"/>
    <w:rsid w:val="4F134C73"/>
    <w:rsid w:val="4F1E0038"/>
    <w:rsid w:val="4FBA240D"/>
    <w:rsid w:val="4FC82E13"/>
    <w:rsid w:val="4FDA48F5"/>
    <w:rsid w:val="50607291"/>
    <w:rsid w:val="507519D9"/>
    <w:rsid w:val="509B4084"/>
    <w:rsid w:val="50EC442B"/>
    <w:rsid w:val="512419C7"/>
    <w:rsid w:val="516A1625"/>
    <w:rsid w:val="51833CB7"/>
    <w:rsid w:val="52127D7D"/>
    <w:rsid w:val="52412A63"/>
    <w:rsid w:val="526C34DE"/>
    <w:rsid w:val="53763D4D"/>
    <w:rsid w:val="538D45BD"/>
    <w:rsid w:val="539F20DD"/>
    <w:rsid w:val="54135280"/>
    <w:rsid w:val="54817A35"/>
    <w:rsid w:val="54D5335A"/>
    <w:rsid w:val="5520724E"/>
    <w:rsid w:val="5526139C"/>
    <w:rsid w:val="552B2D26"/>
    <w:rsid w:val="55304F5A"/>
    <w:rsid w:val="554E1470"/>
    <w:rsid w:val="5565175E"/>
    <w:rsid w:val="558F7F2F"/>
    <w:rsid w:val="55986D51"/>
    <w:rsid w:val="55D42624"/>
    <w:rsid w:val="56133CA0"/>
    <w:rsid w:val="569914FD"/>
    <w:rsid w:val="569F56DF"/>
    <w:rsid w:val="56DD4ABD"/>
    <w:rsid w:val="5703231E"/>
    <w:rsid w:val="57116442"/>
    <w:rsid w:val="578D3493"/>
    <w:rsid w:val="57B36157"/>
    <w:rsid w:val="57FF53F7"/>
    <w:rsid w:val="5857652F"/>
    <w:rsid w:val="586A7A45"/>
    <w:rsid w:val="58914C8B"/>
    <w:rsid w:val="58E3423E"/>
    <w:rsid w:val="58F23ED5"/>
    <w:rsid w:val="5954519F"/>
    <w:rsid w:val="5956205C"/>
    <w:rsid w:val="599E6CB8"/>
    <w:rsid w:val="59E031E2"/>
    <w:rsid w:val="5A403211"/>
    <w:rsid w:val="5AA974E8"/>
    <w:rsid w:val="5ABD109B"/>
    <w:rsid w:val="5AD328C9"/>
    <w:rsid w:val="5AD424FD"/>
    <w:rsid w:val="5B4A67B0"/>
    <w:rsid w:val="5B8340E7"/>
    <w:rsid w:val="5B8D0599"/>
    <w:rsid w:val="5B937814"/>
    <w:rsid w:val="5B944EB1"/>
    <w:rsid w:val="5BA627EA"/>
    <w:rsid w:val="5BAA125C"/>
    <w:rsid w:val="5C063D09"/>
    <w:rsid w:val="5C06784E"/>
    <w:rsid w:val="5C2515ED"/>
    <w:rsid w:val="5C6E79F1"/>
    <w:rsid w:val="5C8657B1"/>
    <w:rsid w:val="5CA73484"/>
    <w:rsid w:val="5CCC5500"/>
    <w:rsid w:val="5CE5499C"/>
    <w:rsid w:val="5D77243C"/>
    <w:rsid w:val="5D822C9D"/>
    <w:rsid w:val="5D9B5A9B"/>
    <w:rsid w:val="5E2F13E4"/>
    <w:rsid w:val="5E756C9C"/>
    <w:rsid w:val="5EC546B7"/>
    <w:rsid w:val="5EE01513"/>
    <w:rsid w:val="5FA9036D"/>
    <w:rsid w:val="5FE20A6A"/>
    <w:rsid w:val="5FE80DF1"/>
    <w:rsid w:val="60360599"/>
    <w:rsid w:val="60394F33"/>
    <w:rsid w:val="607A028C"/>
    <w:rsid w:val="60A30D33"/>
    <w:rsid w:val="60C761CB"/>
    <w:rsid w:val="61904268"/>
    <w:rsid w:val="61922827"/>
    <w:rsid w:val="61985AAE"/>
    <w:rsid w:val="619B21A0"/>
    <w:rsid w:val="61C90194"/>
    <w:rsid w:val="61C95215"/>
    <w:rsid w:val="620863D2"/>
    <w:rsid w:val="626058BD"/>
    <w:rsid w:val="62D70238"/>
    <w:rsid w:val="62D809D6"/>
    <w:rsid w:val="634E5810"/>
    <w:rsid w:val="63892FA5"/>
    <w:rsid w:val="63A13A48"/>
    <w:rsid w:val="63A81226"/>
    <w:rsid w:val="64722EF6"/>
    <w:rsid w:val="650A079C"/>
    <w:rsid w:val="65174361"/>
    <w:rsid w:val="65466AC4"/>
    <w:rsid w:val="65E5355A"/>
    <w:rsid w:val="66C22463"/>
    <w:rsid w:val="673152EA"/>
    <w:rsid w:val="674A3D4F"/>
    <w:rsid w:val="679006E0"/>
    <w:rsid w:val="67A930D3"/>
    <w:rsid w:val="6864772D"/>
    <w:rsid w:val="68AF4719"/>
    <w:rsid w:val="68BC6A3B"/>
    <w:rsid w:val="68D26F09"/>
    <w:rsid w:val="6925398C"/>
    <w:rsid w:val="69D837FB"/>
    <w:rsid w:val="6A121AD7"/>
    <w:rsid w:val="6A3C248C"/>
    <w:rsid w:val="6AD23B35"/>
    <w:rsid w:val="6B0C5BC4"/>
    <w:rsid w:val="6B7D2C66"/>
    <w:rsid w:val="6B87197D"/>
    <w:rsid w:val="6C296590"/>
    <w:rsid w:val="6C3226C6"/>
    <w:rsid w:val="6C545FF5"/>
    <w:rsid w:val="6C591BE2"/>
    <w:rsid w:val="6D7348EA"/>
    <w:rsid w:val="6DCF0C94"/>
    <w:rsid w:val="6DE33291"/>
    <w:rsid w:val="6E0A4A26"/>
    <w:rsid w:val="6E113780"/>
    <w:rsid w:val="6E113896"/>
    <w:rsid w:val="6E5E1B6C"/>
    <w:rsid w:val="6E891568"/>
    <w:rsid w:val="6EB57A17"/>
    <w:rsid w:val="6EEF71D1"/>
    <w:rsid w:val="6EF0008E"/>
    <w:rsid w:val="6F021A16"/>
    <w:rsid w:val="6F1B5073"/>
    <w:rsid w:val="6F1D40CE"/>
    <w:rsid w:val="7051517A"/>
    <w:rsid w:val="70D85BD1"/>
    <w:rsid w:val="715B338A"/>
    <w:rsid w:val="716A7ADC"/>
    <w:rsid w:val="71DE2E53"/>
    <w:rsid w:val="71DE7E1D"/>
    <w:rsid w:val="7205184D"/>
    <w:rsid w:val="720B72EB"/>
    <w:rsid w:val="721F39FF"/>
    <w:rsid w:val="725132DC"/>
    <w:rsid w:val="729E121E"/>
    <w:rsid w:val="72B172DF"/>
    <w:rsid w:val="72E23A7A"/>
    <w:rsid w:val="72F6179B"/>
    <w:rsid w:val="738003CA"/>
    <w:rsid w:val="73C56EED"/>
    <w:rsid w:val="73E65A38"/>
    <w:rsid w:val="74026744"/>
    <w:rsid w:val="758D4AB4"/>
    <w:rsid w:val="75C71817"/>
    <w:rsid w:val="75D12961"/>
    <w:rsid w:val="75F47C0F"/>
    <w:rsid w:val="765941C5"/>
    <w:rsid w:val="773B6CD4"/>
    <w:rsid w:val="774A05CC"/>
    <w:rsid w:val="779276DF"/>
    <w:rsid w:val="77B43AFA"/>
    <w:rsid w:val="77E30949"/>
    <w:rsid w:val="77F16A53"/>
    <w:rsid w:val="783525A0"/>
    <w:rsid w:val="786F12BD"/>
    <w:rsid w:val="786F1AA9"/>
    <w:rsid w:val="7872551D"/>
    <w:rsid w:val="7920071D"/>
    <w:rsid w:val="79C52BC7"/>
    <w:rsid w:val="79C747F6"/>
    <w:rsid w:val="7A201923"/>
    <w:rsid w:val="7A36659D"/>
    <w:rsid w:val="7A4647B1"/>
    <w:rsid w:val="7A5719C0"/>
    <w:rsid w:val="7A6027C1"/>
    <w:rsid w:val="7A854A12"/>
    <w:rsid w:val="7B237820"/>
    <w:rsid w:val="7B762E74"/>
    <w:rsid w:val="7B9003DA"/>
    <w:rsid w:val="7B974622"/>
    <w:rsid w:val="7C1043E4"/>
    <w:rsid w:val="7C2B3C5E"/>
    <w:rsid w:val="7C923FFE"/>
    <w:rsid w:val="7D4E72F0"/>
    <w:rsid w:val="7E9219F9"/>
    <w:rsid w:val="7E924469"/>
    <w:rsid w:val="7EA45F4A"/>
    <w:rsid w:val="7EF87B3E"/>
    <w:rsid w:val="7F924DA0"/>
    <w:rsid w:val="7FA7286B"/>
    <w:rsid w:val="7FF46C9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2"/>
    <w:qFormat/>
    <w:uiPriority w:val="9"/>
    <w:pPr>
      <w:keepNext/>
      <w:keepLines/>
      <w:spacing w:before="340" w:beforeLines="0" w:after="330" w:afterLines="0" w:line="576" w:lineRule="auto"/>
      <w:outlineLvl w:val="0"/>
    </w:pPr>
    <w:rPr>
      <w:b/>
      <w:bCs/>
      <w:kern w:val="44"/>
      <w:sz w:val="44"/>
      <w:szCs w:val="44"/>
    </w:rPr>
  </w:style>
  <w:style w:type="paragraph" w:styleId="4">
    <w:name w:val="heading 2"/>
    <w:basedOn w:val="1"/>
    <w:next w:val="1"/>
    <w:link w:val="63"/>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5">
    <w:name w:val="heading 3"/>
    <w:basedOn w:val="1"/>
    <w:next w:val="1"/>
    <w:link w:val="64"/>
    <w:qFormat/>
    <w:uiPriority w:val="0"/>
    <w:pPr>
      <w:keepNext/>
      <w:keepLines/>
      <w:spacing w:before="260" w:beforeLines="0" w:after="260" w:afterLines="0" w:line="413" w:lineRule="auto"/>
      <w:outlineLvl w:val="2"/>
    </w:pPr>
    <w:rPr>
      <w:b/>
      <w:bCs/>
      <w:sz w:val="32"/>
      <w:szCs w:val="32"/>
    </w:rPr>
  </w:style>
  <w:style w:type="paragraph" w:styleId="6">
    <w:name w:val="heading 4"/>
    <w:basedOn w:val="1"/>
    <w:next w:val="1"/>
    <w:link w:val="65"/>
    <w:qFormat/>
    <w:uiPriority w:val="0"/>
    <w:pPr>
      <w:keepNext/>
      <w:keepLines/>
      <w:widowControl/>
      <w:spacing w:before="120" w:beforeLines="0" w:after="120" w:afterLines="0" w:line="360" w:lineRule="auto"/>
      <w:jc w:val="center"/>
      <w:outlineLvl w:val="3"/>
    </w:pPr>
    <w:rPr>
      <w:rFonts w:ascii="Arial" w:hAnsi="Arial" w:eastAsia="黑体"/>
      <w:kern w:val="0"/>
      <w:sz w:val="28"/>
      <w:szCs w:val="20"/>
    </w:rPr>
  </w:style>
  <w:style w:type="paragraph" w:styleId="7">
    <w:name w:val="heading 5"/>
    <w:basedOn w:val="1"/>
    <w:next w:val="8"/>
    <w:link w:val="66"/>
    <w:qFormat/>
    <w:uiPriority w:val="0"/>
    <w:pPr>
      <w:keepNext/>
      <w:keepLines/>
      <w:spacing w:before="280" w:after="290" w:line="372" w:lineRule="auto"/>
      <w:outlineLvl w:val="4"/>
    </w:pPr>
    <w:rPr>
      <w:b/>
      <w:sz w:val="28"/>
    </w:rPr>
  </w:style>
  <w:style w:type="paragraph" w:styleId="9">
    <w:name w:val="heading 6"/>
    <w:basedOn w:val="1"/>
    <w:next w:val="8"/>
    <w:link w:val="67"/>
    <w:qFormat/>
    <w:uiPriority w:val="0"/>
    <w:pPr>
      <w:keepNext/>
      <w:keepLines/>
      <w:spacing w:before="240" w:after="64" w:line="317" w:lineRule="auto"/>
      <w:outlineLvl w:val="5"/>
    </w:pPr>
    <w:rPr>
      <w:rFonts w:ascii="Arial" w:hAnsi="Arial" w:eastAsia="黑体"/>
      <w:b/>
      <w:sz w:val="24"/>
    </w:rPr>
  </w:style>
  <w:style w:type="paragraph" w:styleId="10">
    <w:name w:val="heading 7"/>
    <w:basedOn w:val="1"/>
    <w:next w:val="8"/>
    <w:link w:val="68"/>
    <w:qFormat/>
    <w:uiPriority w:val="0"/>
    <w:pPr>
      <w:keepNext/>
      <w:keepLines/>
      <w:spacing w:before="240" w:after="64" w:line="317" w:lineRule="auto"/>
      <w:outlineLvl w:val="6"/>
    </w:pPr>
    <w:rPr>
      <w:b/>
      <w:sz w:val="24"/>
    </w:rPr>
  </w:style>
  <w:style w:type="paragraph" w:styleId="11">
    <w:name w:val="heading 8"/>
    <w:basedOn w:val="1"/>
    <w:next w:val="8"/>
    <w:link w:val="69"/>
    <w:qFormat/>
    <w:uiPriority w:val="0"/>
    <w:pPr>
      <w:keepNext/>
      <w:keepLines/>
      <w:spacing w:before="240" w:after="64" w:line="317" w:lineRule="auto"/>
      <w:outlineLvl w:val="7"/>
    </w:pPr>
    <w:rPr>
      <w:rFonts w:ascii="Arial" w:hAnsi="Arial" w:eastAsia="黑体"/>
      <w:sz w:val="24"/>
    </w:rPr>
  </w:style>
  <w:style w:type="paragraph" w:styleId="12">
    <w:name w:val="heading 9"/>
    <w:basedOn w:val="1"/>
    <w:next w:val="8"/>
    <w:link w:val="70"/>
    <w:qFormat/>
    <w:uiPriority w:val="0"/>
    <w:pPr>
      <w:keepNext/>
      <w:keepLines/>
      <w:spacing w:before="240" w:after="64" w:line="317" w:lineRule="auto"/>
      <w:outlineLvl w:val="8"/>
    </w:pPr>
    <w:rPr>
      <w:rFonts w:ascii="Arial" w:hAnsi="Arial" w:eastAsia="黑体"/>
    </w:rPr>
  </w:style>
  <w:style w:type="character" w:default="1" w:styleId="55">
    <w:name w:val="Default Paragraph Font"/>
    <w:qFormat/>
    <w:uiPriority w:val="0"/>
  </w:style>
  <w:style w:type="table" w:default="1" w:styleId="53">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8">
    <w:name w:val="Normal Indent"/>
    <w:basedOn w:val="1"/>
    <w:qFormat/>
    <w:uiPriority w:val="0"/>
    <w:pPr>
      <w:ind w:firstLine="420"/>
    </w:pPr>
    <w:rPr>
      <w:szCs w:val="20"/>
    </w:rPr>
  </w:style>
  <w:style w:type="paragraph" w:styleId="13">
    <w:name w:val="List 3"/>
    <w:basedOn w:val="1"/>
    <w:qFormat/>
    <w:uiPriority w:val="0"/>
    <w:pPr>
      <w:ind w:left="100" w:leftChars="400" w:hanging="200" w:hangingChars="200"/>
    </w:pPr>
  </w:style>
  <w:style w:type="paragraph" w:styleId="14">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5">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qFormat/>
    <w:uiPriority w:val="0"/>
    <w:pPr>
      <w:spacing w:before="152" w:beforeLines="0" w:after="160" w:afterLines="0"/>
    </w:pPr>
    <w:rPr>
      <w:rFonts w:ascii="Arial" w:hAnsi="Arial" w:eastAsia="黑体" w:cs="Arial"/>
      <w:sz w:val="20"/>
      <w:szCs w:val="20"/>
    </w:rPr>
  </w:style>
  <w:style w:type="paragraph" w:styleId="17">
    <w:name w:val="Document Map"/>
    <w:basedOn w:val="1"/>
    <w:link w:val="71"/>
    <w:qFormat/>
    <w:uiPriority w:val="0"/>
    <w:pPr>
      <w:shd w:val="clear" w:color="auto" w:fill="000080"/>
      <w:adjustRightInd w:val="0"/>
      <w:spacing w:line="312" w:lineRule="atLeast"/>
      <w:textAlignment w:val="baseline"/>
    </w:pPr>
    <w:rPr>
      <w:kern w:val="0"/>
      <w:szCs w:val="20"/>
    </w:rPr>
  </w:style>
  <w:style w:type="paragraph" w:styleId="18">
    <w:name w:val="annotation text"/>
    <w:basedOn w:val="1"/>
    <w:link w:val="72"/>
    <w:qFormat/>
    <w:uiPriority w:val="0"/>
    <w:pPr>
      <w:jc w:val="left"/>
    </w:pPr>
  </w:style>
  <w:style w:type="paragraph" w:styleId="19">
    <w:name w:val="Body Text 3"/>
    <w:basedOn w:val="1"/>
    <w:link w:val="73"/>
    <w:qFormat/>
    <w:uiPriority w:val="0"/>
    <w:pPr>
      <w:spacing w:line="500" w:lineRule="exact"/>
    </w:pPr>
    <w:rPr>
      <w:b/>
      <w:bCs/>
      <w:sz w:val="24"/>
    </w:rPr>
  </w:style>
  <w:style w:type="paragraph" w:styleId="20">
    <w:name w:val="Body Text"/>
    <w:basedOn w:val="1"/>
    <w:link w:val="74"/>
    <w:qFormat/>
    <w:uiPriority w:val="99"/>
    <w:pPr>
      <w:spacing w:line="380" w:lineRule="exact"/>
    </w:pPr>
    <w:rPr>
      <w:sz w:val="24"/>
    </w:rPr>
  </w:style>
  <w:style w:type="paragraph" w:styleId="21">
    <w:name w:val="Body Text Indent"/>
    <w:basedOn w:val="1"/>
    <w:link w:val="75"/>
    <w:qFormat/>
    <w:uiPriority w:val="99"/>
    <w:pPr>
      <w:ind w:firstLine="830" w:firstLineChars="352"/>
    </w:pPr>
    <w:rPr>
      <w:rFonts w:ascii="仿宋_GB2312" w:eastAsia="仿宋_GB2312"/>
      <w:sz w:val="32"/>
      <w:szCs w:val="20"/>
    </w:rPr>
  </w:style>
  <w:style w:type="paragraph" w:styleId="22">
    <w:name w:val="List Number 3"/>
    <w:basedOn w:val="1"/>
    <w:qFormat/>
    <w:uiPriority w:val="0"/>
    <w:pPr>
      <w:tabs>
        <w:tab w:val="left" w:pos="1200"/>
      </w:tabs>
      <w:ind w:left="1200" w:leftChars="400" w:hanging="360" w:hangingChars="20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6">
    <w:name w:val="toc 3"/>
    <w:basedOn w:val="1"/>
    <w:next w:val="1"/>
    <w:qFormat/>
    <w:uiPriority w:val="39"/>
    <w:pPr>
      <w:ind w:left="840" w:leftChars="400"/>
    </w:pPr>
  </w:style>
  <w:style w:type="paragraph" w:styleId="27">
    <w:name w:val="Plain Text"/>
    <w:basedOn w:val="1"/>
    <w:next w:val="1"/>
    <w:link w:val="76"/>
    <w:qFormat/>
    <w:uiPriority w:val="0"/>
    <w:rPr>
      <w:rFonts w:ascii="宋体" w:hAnsi="Courier New" w:cs="Courier New"/>
      <w:szCs w:val="21"/>
    </w:rPr>
  </w:style>
  <w:style w:type="paragraph" w:styleId="28">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29">
    <w:name w:val="Date"/>
    <w:basedOn w:val="1"/>
    <w:next w:val="1"/>
    <w:link w:val="77"/>
    <w:qFormat/>
    <w:uiPriority w:val="0"/>
    <w:pPr>
      <w:ind w:left="100" w:leftChars="2500"/>
    </w:pPr>
    <w:rPr>
      <w:rFonts w:ascii="宋体" w:hAnsi="Courier New"/>
      <w:szCs w:val="21"/>
    </w:rPr>
  </w:style>
  <w:style w:type="paragraph" w:styleId="30">
    <w:name w:val="Body Text Indent 2"/>
    <w:basedOn w:val="1"/>
    <w:link w:val="78"/>
    <w:qFormat/>
    <w:uiPriority w:val="0"/>
    <w:pPr>
      <w:ind w:firstLine="630"/>
    </w:pPr>
    <w:rPr>
      <w:sz w:val="32"/>
      <w:szCs w:val="20"/>
    </w:rPr>
  </w:style>
  <w:style w:type="paragraph" w:styleId="31">
    <w:name w:val="Balloon Text"/>
    <w:basedOn w:val="1"/>
    <w:link w:val="79"/>
    <w:qFormat/>
    <w:uiPriority w:val="0"/>
    <w:rPr>
      <w:sz w:val="18"/>
      <w:szCs w:val="18"/>
    </w:rPr>
  </w:style>
  <w:style w:type="paragraph" w:styleId="32">
    <w:name w:val="footer"/>
    <w:basedOn w:val="1"/>
    <w:link w:val="80"/>
    <w:qFormat/>
    <w:uiPriority w:val="0"/>
    <w:pPr>
      <w:tabs>
        <w:tab w:val="center" w:pos="4153"/>
        <w:tab w:val="right" w:pos="8306"/>
      </w:tabs>
      <w:snapToGrid w:val="0"/>
      <w:jc w:val="left"/>
    </w:pPr>
    <w:rPr>
      <w:sz w:val="18"/>
      <w:szCs w:val="18"/>
    </w:rPr>
  </w:style>
  <w:style w:type="paragraph" w:styleId="33">
    <w:name w:val="header"/>
    <w:basedOn w:val="1"/>
    <w:link w:val="81"/>
    <w:qFormat/>
    <w:uiPriority w:val="99"/>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tabs>
        <w:tab w:val="right" w:leader="dot" w:pos="8398"/>
      </w:tabs>
      <w:spacing w:before="120" w:beforeLines="0" w:after="120" w:afterLines="0"/>
      <w:ind w:firstLine="240" w:firstLineChars="100"/>
      <w:jc w:val="left"/>
    </w:pPr>
    <w:rPr>
      <w:rFonts w:ascii="宋体" w:hAnsi="宋体"/>
      <w:b/>
      <w:bCs/>
      <w:caps/>
      <w:sz w:val="24"/>
    </w:rPr>
  </w:style>
  <w:style w:type="paragraph" w:styleId="35">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6">
    <w:name w:val="Subtitle"/>
    <w:basedOn w:val="1"/>
    <w:next w:val="1"/>
    <w:qFormat/>
    <w:uiPriority w:val="0"/>
    <w:pPr>
      <w:spacing w:before="240" w:after="60" w:line="312" w:lineRule="auto"/>
      <w:jc w:val="center"/>
      <w:outlineLvl w:val="1"/>
    </w:pPr>
    <w:rPr>
      <w:rFonts w:ascii="Cambria" w:hAnsi="Cambria" w:cs="Cambria"/>
      <w:b/>
      <w:bCs/>
      <w:kern w:val="28"/>
      <w:sz w:val="32"/>
      <w:szCs w:val="32"/>
    </w:rPr>
  </w:style>
  <w:style w:type="paragraph" w:styleId="37">
    <w:name w:val="List"/>
    <w:basedOn w:val="1"/>
    <w:qFormat/>
    <w:uiPriority w:val="0"/>
    <w:pPr>
      <w:ind w:left="200" w:hanging="200" w:hangingChars="200"/>
    </w:pPr>
    <w:rPr>
      <w:sz w:val="28"/>
    </w:rPr>
  </w:style>
  <w:style w:type="paragraph" w:styleId="38">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39">
    <w:name w:val="List 5"/>
    <w:basedOn w:val="1"/>
    <w:qFormat/>
    <w:uiPriority w:val="0"/>
    <w:pPr>
      <w:ind w:left="2100" w:hanging="420"/>
    </w:pPr>
    <w:rPr>
      <w:szCs w:val="20"/>
    </w:rPr>
  </w:style>
  <w:style w:type="paragraph" w:styleId="40">
    <w:name w:val="Body Text Indent 3"/>
    <w:basedOn w:val="1"/>
    <w:link w:val="82"/>
    <w:qFormat/>
    <w:uiPriority w:val="0"/>
    <w:pPr>
      <w:spacing w:after="120" w:afterLines="0"/>
      <w:ind w:left="420" w:leftChars="200"/>
    </w:pPr>
    <w:rPr>
      <w:sz w:val="16"/>
      <w:szCs w:val="16"/>
    </w:rPr>
  </w:style>
  <w:style w:type="paragraph" w:styleId="41">
    <w:name w:val="toc 2"/>
    <w:basedOn w:val="1"/>
    <w:next w:val="1"/>
    <w:qFormat/>
    <w:uiPriority w:val="39"/>
    <w:pPr>
      <w:ind w:left="420" w:leftChars="200"/>
    </w:pPr>
  </w:style>
  <w:style w:type="paragraph" w:styleId="42">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3">
    <w:name w:val="Body Text 2"/>
    <w:basedOn w:val="1"/>
    <w:link w:val="83"/>
    <w:qFormat/>
    <w:uiPriority w:val="0"/>
    <w:pPr>
      <w:spacing w:after="120" w:afterLines="0" w:line="480" w:lineRule="auto"/>
    </w:pPr>
  </w:style>
  <w:style w:type="paragraph" w:styleId="44">
    <w:name w:val="List 4"/>
    <w:basedOn w:val="1"/>
    <w:qFormat/>
    <w:uiPriority w:val="0"/>
    <w:pPr>
      <w:ind w:left="100" w:leftChars="600" w:hanging="200" w:hangingChars="200"/>
    </w:pPr>
  </w:style>
  <w:style w:type="paragraph" w:styleId="45">
    <w:name w:val="List Continue 2"/>
    <w:basedOn w:val="1"/>
    <w:qFormat/>
    <w:uiPriority w:val="0"/>
    <w:pPr>
      <w:spacing w:after="120" w:afterLines="0"/>
      <w:ind w:left="840" w:leftChars="400"/>
    </w:pPr>
  </w:style>
  <w:style w:type="paragraph" w:styleId="46">
    <w:name w:val="HTML Preformatted"/>
    <w:basedOn w:val="1"/>
    <w:link w:val="8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7">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48">
    <w:name w:val="index 1"/>
    <w:basedOn w:val="1"/>
    <w:next w:val="1"/>
    <w:qFormat/>
    <w:uiPriority w:val="0"/>
    <w:pPr>
      <w:spacing w:line="400" w:lineRule="exact"/>
      <w:ind w:firstLine="420" w:firstLineChars="200"/>
    </w:pPr>
    <w:rPr>
      <w:rFonts w:ascii="宋体" w:hAnsi="Courier New"/>
      <w:b/>
      <w:szCs w:val="20"/>
    </w:rPr>
  </w:style>
  <w:style w:type="paragraph" w:styleId="49">
    <w:name w:val="Title"/>
    <w:basedOn w:val="1"/>
    <w:link w:val="85"/>
    <w:qFormat/>
    <w:uiPriority w:val="0"/>
    <w:pPr>
      <w:jc w:val="center"/>
    </w:pPr>
    <w:rPr>
      <w:sz w:val="30"/>
    </w:rPr>
  </w:style>
  <w:style w:type="paragraph" w:styleId="50">
    <w:name w:val="annotation subject"/>
    <w:basedOn w:val="18"/>
    <w:next w:val="18"/>
    <w:link w:val="86"/>
    <w:qFormat/>
    <w:uiPriority w:val="0"/>
    <w:rPr>
      <w:b/>
      <w:bCs/>
    </w:rPr>
  </w:style>
  <w:style w:type="paragraph" w:styleId="51">
    <w:name w:val="Body Text First Indent"/>
    <w:basedOn w:val="20"/>
    <w:link w:val="87"/>
    <w:qFormat/>
    <w:uiPriority w:val="0"/>
    <w:pPr>
      <w:spacing w:after="120" w:afterLines="0" w:line="240" w:lineRule="auto"/>
      <w:ind w:firstLine="420" w:firstLineChars="100"/>
    </w:pPr>
    <w:rPr>
      <w:sz w:val="21"/>
    </w:rPr>
  </w:style>
  <w:style w:type="paragraph" w:styleId="52">
    <w:name w:val="Body Text First Indent 2"/>
    <w:basedOn w:val="21"/>
    <w:link w:val="88"/>
    <w:qFormat/>
    <w:uiPriority w:val="0"/>
    <w:pPr>
      <w:spacing w:after="120" w:afterLines="0"/>
      <w:ind w:left="420" w:leftChars="200" w:firstLine="420" w:firstLineChars="200"/>
    </w:pPr>
    <w:rPr>
      <w:rFonts w:ascii="Times New Roman" w:eastAsia="宋体"/>
      <w:sz w:val="21"/>
      <w:szCs w:val="24"/>
    </w:rPr>
  </w:style>
  <w:style w:type="table" w:styleId="54">
    <w:name w:val="Table Grid"/>
    <w:basedOn w:val="5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6">
    <w:name w:val="Strong"/>
    <w:qFormat/>
    <w:uiPriority w:val="22"/>
    <w:rPr>
      <w:b/>
      <w:bCs/>
    </w:rPr>
  </w:style>
  <w:style w:type="character" w:styleId="57">
    <w:name w:val="page number"/>
    <w:basedOn w:val="55"/>
    <w:qFormat/>
    <w:uiPriority w:val="0"/>
  </w:style>
  <w:style w:type="character" w:styleId="58">
    <w:name w:val="FollowedHyperlink"/>
    <w:qFormat/>
    <w:uiPriority w:val="99"/>
    <w:rPr>
      <w:color w:val="800080"/>
      <w:u w:val="single"/>
    </w:rPr>
  </w:style>
  <w:style w:type="character" w:styleId="59">
    <w:name w:val="Hyperlink"/>
    <w:qFormat/>
    <w:uiPriority w:val="99"/>
    <w:rPr>
      <w:color w:val="0000FF"/>
      <w:u w:val="single"/>
    </w:rPr>
  </w:style>
  <w:style w:type="character" w:styleId="60">
    <w:name w:val="annotation reference"/>
    <w:qFormat/>
    <w:uiPriority w:val="0"/>
    <w:rPr>
      <w:sz w:val="21"/>
      <w:szCs w:val="21"/>
    </w:rPr>
  </w:style>
  <w:style w:type="character" w:styleId="61">
    <w:name w:val="HTML Sample"/>
    <w:basedOn w:val="55"/>
    <w:qFormat/>
    <w:uiPriority w:val="0"/>
    <w:rPr>
      <w:rFonts w:ascii="Courier New" w:hAnsi="Courier New"/>
    </w:rPr>
  </w:style>
  <w:style w:type="character" w:customStyle="1" w:styleId="62">
    <w:name w:val="标题 1 Char"/>
    <w:link w:val="3"/>
    <w:qFormat/>
    <w:uiPriority w:val="9"/>
    <w:rPr>
      <w:rFonts w:eastAsia="宋体"/>
      <w:b/>
      <w:bCs/>
      <w:kern w:val="44"/>
      <w:sz w:val="44"/>
      <w:szCs w:val="44"/>
      <w:lang w:val="en-US" w:eastAsia="zh-CN" w:bidi="ar-SA"/>
    </w:rPr>
  </w:style>
  <w:style w:type="character" w:customStyle="1" w:styleId="63">
    <w:name w:val="标题 2 Char"/>
    <w:link w:val="4"/>
    <w:qFormat/>
    <w:uiPriority w:val="0"/>
    <w:rPr>
      <w:rFonts w:ascii="Arial" w:hAnsi="Arial" w:eastAsia="黑体"/>
      <w:b/>
      <w:bCs/>
      <w:kern w:val="2"/>
      <w:sz w:val="32"/>
      <w:szCs w:val="32"/>
    </w:rPr>
  </w:style>
  <w:style w:type="character" w:customStyle="1" w:styleId="64">
    <w:name w:val="标题 3 Char"/>
    <w:link w:val="5"/>
    <w:qFormat/>
    <w:uiPriority w:val="0"/>
    <w:rPr>
      <w:b/>
      <w:bCs/>
      <w:kern w:val="2"/>
      <w:sz w:val="32"/>
      <w:szCs w:val="32"/>
    </w:rPr>
  </w:style>
  <w:style w:type="character" w:customStyle="1" w:styleId="65">
    <w:name w:val="标题 4 Char"/>
    <w:link w:val="6"/>
    <w:qFormat/>
    <w:uiPriority w:val="0"/>
    <w:rPr>
      <w:rFonts w:ascii="Arial" w:hAnsi="Arial" w:eastAsia="黑体"/>
      <w:sz w:val="28"/>
    </w:rPr>
  </w:style>
  <w:style w:type="character" w:customStyle="1" w:styleId="66">
    <w:name w:val="标题 5 Char"/>
    <w:link w:val="7"/>
    <w:qFormat/>
    <w:uiPriority w:val="0"/>
    <w:rPr>
      <w:b/>
      <w:kern w:val="2"/>
      <w:sz w:val="28"/>
      <w:szCs w:val="24"/>
    </w:rPr>
  </w:style>
  <w:style w:type="character" w:customStyle="1" w:styleId="67">
    <w:name w:val="标题 6 Char"/>
    <w:link w:val="9"/>
    <w:qFormat/>
    <w:uiPriority w:val="0"/>
    <w:rPr>
      <w:rFonts w:ascii="Arial" w:hAnsi="Arial" w:eastAsia="黑体"/>
      <w:b/>
      <w:kern w:val="2"/>
      <w:sz w:val="24"/>
      <w:szCs w:val="24"/>
    </w:rPr>
  </w:style>
  <w:style w:type="character" w:customStyle="1" w:styleId="68">
    <w:name w:val="标题 7 Char"/>
    <w:link w:val="10"/>
    <w:qFormat/>
    <w:uiPriority w:val="0"/>
    <w:rPr>
      <w:b/>
      <w:kern w:val="2"/>
      <w:sz w:val="24"/>
      <w:szCs w:val="24"/>
    </w:rPr>
  </w:style>
  <w:style w:type="character" w:customStyle="1" w:styleId="69">
    <w:name w:val="标题 8 Char"/>
    <w:link w:val="11"/>
    <w:qFormat/>
    <w:uiPriority w:val="0"/>
    <w:rPr>
      <w:rFonts w:ascii="Arial" w:hAnsi="Arial" w:eastAsia="黑体"/>
      <w:kern w:val="2"/>
      <w:sz w:val="24"/>
      <w:szCs w:val="24"/>
    </w:rPr>
  </w:style>
  <w:style w:type="character" w:customStyle="1" w:styleId="70">
    <w:name w:val="标题 9 Char"/>
    <w:link w:val="12"/>
    <w:qFormat/>
    <w:uiPriority w:val="0"/>
    <w:rPr>
      <w:rFonts w:ascii="Arial" w:hAnsi="Arial" w:eastAsia="黑体"/>
      <w:kern w:val="2"/>
      <w:sz w:val="21"/>
      <w:szCs w:val="24"/>
    </w:rPr>
  </w:style>
  <w:style w:type="character" w:customStyle="1" w:styleId="71">
    <w:name w:val="文档结构图 Char"/>
    <w:link w:val="17"/>
    <w:qFormat/>
    <w:uiPriority w:val="0"/>
    <w:rPr>
      <w:sz w:val="21"/>
      <w:shd w:val="clear" w:color="auto" w:fill="000080"/>
    </w:rPr>
  </w:style>
  <w:style w:type="character" w:customStyle="1" w:styleId="72">
    <w:name w:val="批注文字 Char"/>
    <w:link w:val="18"/>
    <w:qFormat/>
    <w:uiPriority w:val="0"/>
    <w:rPr>
      <w:kern w:val="2"/>
      <w:sz w:val="21"/>
      <w:szCs w:val="24"/>
    </w:rPr>
  </w:style>
  <w:style w:type="character" w:customStyle="1" w:styleId="73">
    <w:name w:val="正文文本 3 Char"/>
    <w:link w:val="19"/>
    <w:qFormat/>
    <w:uiPriority w:val="0"/>
    <w:rPr>
      <w:b/>
      <w:bCs/>
      <w:kern w:val="2"/>
      <w:sz w:val="24"/>
      <w:szCs w:val="24"/>
    </w:rPr>
  </w:style>
  <w:style w:type="character" w:customStyle="1" w:styleId="74">
    <w:name w:val="正文文本 Char"/>
    <w:link w:val="20"/>
    <w:qFormat/>
    <w:uiPriority w:val="99"/>
    <w:rPr>
      <w:kern w:val="2"/>
      <w:sz w:val="24"/>
      <w:szCs w:val="24"/>
    </w:rPr>
  </w:style>
  <w:style w:type="character" w:customStyle="1" w:styleId="75">
    <w:name w:val="正文文本缩进 Char"/>
    <w:link w:val="21"/>
    <w:qFormat/>
    <w:uiPriority w:val="99"/>
    <w:rPr>
      <w:rFonts w:ascii="仿宋_GB2312" w:eastAsia="仿宋_GB2312"/>
      <w:kern w:val="2"/>
      <w:sz w:val="32"/>
    </w:rPr>
  </w:style>
  <w:style w:type="character" w:customStyle="1" w:styleId="76">
    <w:name w:val="纯文本 Char"/>
    <w:link w:val="27"/>
    <w:qFormat/>
    <w:uiPriority w:val="99"/>
    <w:rPr>
      <w:rFonts w:ascii="宋体" w:hAnsi="Courier New" w:eastAsia="宋体" w:cs="Courier New"/>
      <w:kern w:val="2"/>
      <w:sz w:val="21"/>
      <w:szCs w:val="21"/>
      <w:lang w:val="en-US" w:eastAsia="zh-CN" w:bidi="ar-SA"/>
    </w:rPr>
  </w:style>
  <w:style w:type="character" w:customStyle="1" w:styleId="77">
    <w:name w:val="日期 Char"/>
    <w:link w:val="29"/>
    <w:qFormat/>
    <w:uiPriority w:val="0"/>
    <w:rPr>
      <w:rFonts w:ascii="宋体" w:hAnsi="Courier New" w:cs="Courier New"/>
      <w:kern w:val="2"/>
      <w:sz w:val="21"/>
      <w:szCs w:val="21"/>
    </w:rPr>
  </w:style>
  <w:style w:type="character" w:customStyle="1" w:styleId="78">
    <w:name w:val="正文文本缩进 2 Char"/>
    <w:link w:val="30"/>
    <w:qFormat/>
    <w:uiPriority w:val="0"/>
    <w:rPr>
      <w:kern w:val="2"/>
      <w:sz w:val="32"/>
    </w:rPr>
  </w:style>
  <w:style w:type="character" w:customStyle="1" w:styleId="79">
    <w:name w:val="批注框文本 Char"/>
    <w:link w:val="31"/>
    <w:qFormat/>
    <w:uiPriority w:val="0"/>
    <w:rPr>
      <w:kern w:val="2"/>
      <w:sz w:val="18"/>
      <w:szCs w:val="18"/>
    </w:rPr>
  </w:style>
  <w:style w:type="character" w:customStyle="1" w:styleId="80">
    <w:name w:val="页脚 Char"/>
    <w:link w:val="32"/>
    <w:qFormat/>
    <w:uiPriority w:val="0"/>
    <w:rPr>
      <w:kern w:val="2"/>
      <w:sz w:val="18"/>
      <w:szCs w:val="18"/>
    </w:rPr>
  </w:style>
  <w:style w:type="character" w:customStyle="1" w:styleId="81">
    <w:name w:val="页眉 Char"/>
    <w:link w:val="33"/>
    <w:qFormat/>
    <w:uiPriority w:val="99"/>
    <w:rPr>
      <w:kern w:val="2"/>
      <w:sz w:val="18"/>
      <w:szCs w:val="18"/>
    </w:rPr>
  </w:style>
  <w:style w:type="character" w:customStyle="1" w:styleId="82">
    <w:name w:val="正文文本缩进 3 Char"/>
    <w:link w:val="40"/>
    <w:qFormat/>
    <w:uiPriority w:val="0"/>
    <w:rPr>
      <w:kern w:val="2"/>
      <w:sz w:val="16"/>
      <w:szCs w:val="16"/>
    </w:rPr>
  </w:style>
  <w:style w:type="character" w:customStyle="1" w:styleId="83">
    <w:name w:val="正文文本 2 Char"/>
    <w:link w:val="43"/>
    <w:qFormat/>
    <w:uiPriority w:val="0"/>
    <w:rPr>
      <w:kern w:val="2"/>
      <w:sz w:val="21"/>
      <w:szCs w:val="24"/>
    </w:rPr>
  </w:style>
  <w:style w:type="character" w:customStyle="1" w:styleId="84">
    <w:name w:val="HTML 预设格式 Char"/>
    <w:link w:val="46"/>
    <w:qFormat/>
    <w:uiPriority w:val="0"/>
    <w:rPr>
      <w:rFonts w:ascii="黑体" w:hAnsi="Courier New" w:eastAsia="黑体" w:cs="Courier New"/>
    </w:rPr>
  </w:style>
  <w:style w:type="character" w:customStyle="1" w:styleId="85">
    <w:name w:val="标题 Char"/>
    <w:link w:val="49"/>
    <w:qFormat/>
    <w:uiPriority w:val="0"/>
    <w:rPr>
      <w:kern w:val="2"/>
      <w:sz w:val="30"/>
      <w:szCs w:val="24"/>
    </w:rPr>
  </w:style>
  <w:style w:type="character" w:customStyle="1" w:styleId="86">
    <w:name w:val="批注主题 Char"/>
    <w:link w:val="50"/>
    <w:qFormat/>
    <w:uiPriority w:val="0"/>
    <w:rPr>
      <w:b/>
      <w:bCs/>
      <w:kern w:val="2"/>
      <w:sz w:val="21"/>
      <w:szCs w:val="24"/>
    </w:rPr>
  </w:style>
  <w:style w:type="character" w:customStyle="1" w:styleId="87">
    <w:name w:val="正文首行缩进 Char"/>
    <w:link w:val="51"/>
    <w:qFormat/>
    <w:uiPriority w:val="0"/>
    <w:rPr>
      <w:kern w:val="2"/>
      <w:sz w:val="21"/>
      <w:szCs w:val="24"/>
    </w:rPr>
  </w:style>
  <w:style w:type="character" w:customStyle="1" w:styleId="88">
    <w:name w:val="正文首行缩进 2 Char"/>
    <w:link w:val="52"/>
    <w:qFormat/>
    <w:uiPriority w:val="0"/>
    <w:rPr>
      <w:kern w:val="2"/>
      <w:sz w:val="21"/>
      <w:szCs w:val="24"/>
    </w:rPr>
  </w:style>
  <w:style w:type="character" w:customStyle="1" w:styleId="89">
    <w:name w:val="style11"/>
    <w:qFormat/>
    <w:uiPriority w:val="0"/>
    <w:rPr>
      <w:rFonts w:hint="default" w:ascii="Arial" w:hAnsi="Arial" w:cs="Arial"/>
    </w:rPr>
  </w:style>
  <w:style w:type="character" w:customStyle="1" w:styleId="90">
    <w:name w:val="short_text1"/>
    <w:qFormat/>
    <w:uiPriority w:val="0"/>
    <w:rPr>
      <w:sz w:val="26"/>
    </w:rPr>
  </w:style>
  <w:style w:type="character" w:customStyle="1" w:styleId="91">
    <w:name w:val="white"/>
    <w:basedOn w:val="55"/>
    <w:qFormat/>
    <w:uiPriority w:val="0"/>
  </w:style>
  <w:style w:type="character" w:customStyle="1" w:styleId="92">
    <w:name w:val="text11"/>
    <w:qFormat/>
    <w:uiPriority w:val="0"/>
    <w:rPr>
      <w:rFonts w:hint="default" w:ascii="Verdana" w:hAnsi="Verdana"/>
      <w:color w:val="4E4E4E"/>
      <w:sz w:val="18"/>
      <w:szCs w:val="18"/>
    </w:rPr>
  </w:style>
  <w:style w:type="character" w:customStyle="1" w:styleId="93">
    <w:name w:val="mark8"/>
    <w:qFormat/>
    <w:uiPriority w:val="0"/>
    <w:rPr>
      <w:b/>
      <w:bCs/>
      <w:sz w:val="21"/>
      <w:szCs w:val="21"/>
    </w:rPr>
  </w:style>
  <w:style w:type="character" w:customStyle="1" w:styleId="94">
    <w:name w:val="纯文本 Char1"/>
    <w:qFormat/>
    <w:uiPriority w:val="0"/>
    <w:rPr>
      <w:rFonts w:ascii="宋体" w:hAnsi="Courier New" w:eastAsia="宋体" w:cs="Courier New"/>
      <w:kern w:val="2"/>
      <w:sz w:val="21"/>
      <w:szCs w:val="21"/>
      <w:lang w:val="en-US" w:eastAsia="zh-CN" w:bidi="ar-SA"/>
    </w:rPr>
  </w:style>
  <w:style w:type="character" w:customStyle="1" w:styleId="95">
    <w:name w:val="f151"/>
    <w:qFormat/>
    <w:uiPriority w:val="0"/>
    <w:rPr>
      <w:sz w:val="23"/>
      <w:szCs w:val="23"/>
    </w:rPr>
  </w:style>
  <w:style w:type="character" w:customStyle="1" w:styleId="96">
    <w:name w:val="062"/>
    <w:qFormat/>
    <w:uiPriority w:val="0"/>
    <w:rPr>
      <w:rFonts w:ascii="宋体" w:hAnsi="宋体"/>
      <w:b/>
      <w:bCs/>
      <w:sz w:val="32"/>
    </w:rPr>
  </w:style>
  <w:style w:type="character" w:customStyle="1" w:styleId="97">
    <w:name w:val="gray12"/>
    <w:basedOn w:val="55"/>
    <w:qFormat/>
    <w:uiPriority w:val="0"/>
  </w:style>
  <w:style w:type="character" w:customStyle="1" w:styleId="98">
    <w:name w:val="1ji Char"/>
    <w:link w:val="99"/>
    <w:qFormat/>
    <w:uiPriority w:val="0"/>
    <w:rPr>
      <w:rFonts w:ascii="宋体" w:hAnsi="宋体" w:eastAsia="宋体"/>
      <w:b/>
      <w:bCs/>
      <w:kern w:val="44"/>
      <w:sz w:val="36"/>
      <w:szCs w:val="44"/>
      <w:lang w:val="en-US" w:eastAsia="zh-CN" w:bidi="ar-SA"/>
    </w:rPr>
  </w:style>
  <w:style w:type="paragraph" w:customStyle="1" w:styleId="99">
    <w:name w:val="1ji"/>
    <w:basedOn w:val="3"/>
    <w:link w:val="98"/>
    <w:qFormat/>
    <w:uiPriority w:val="0"/>
    <w:pPr>
      <w:keepLines w:val="0"/>
      <w:widowControl/>
      <w:spacing w:before="0" w:beforeLines="0" w:after="0" w:afterLines="0" w:line="240" w:lineRule="auto"/>
      <w:jc w:val="center"/>
    </w:pPr>
    <w:rPr>
      <w:rFonts w:ascii="宋体" w:hAnsi="宋体"/>
      <w:sz w:val="36"/>
    </w:rPr>
  </w:style>
  <w:style w:type="character" w:customStyle="1" w:styleId="100">
    <w:name w:val="font01"/>
    <w:qFormat/>
    <w:uiPriority w:val="0"/>
    <w:rPr>
      <w:rFonts w:hint="eastAsia" w:ascii="宋体" w:hAnsi="宋体" w:eastAsia="宋体"/>
      <w:color w:val="000000"/>
      <w:sz w:val="22"/>
      <w:szCs w:val="22"/>
      <w:u w:val="none"/>
    </w:rPr>
  </w:style>
  <w:style w:type="character" w:customStyle="1" w:styleId="101">
    <w:name w:val="small"/>
    <w:basedOn w:val="55"/>
    <w:qFormat/>
    <w:uiPriority w:val="0"/>
  </w:style>
  <w:style w:type="character" w:customStyle="1" w:styleId="102">
    <w:name w:val="apple-converted-space"/>
    <w:qFormat/>
    <w:uiPriority w:val="0"/>
  </w:style>
  <w:style w:type="character" w:customStyle="1" w:styleId="103">
    <w:name w:val="case31"/>
    <w:qFormat/>
    <w:uiPriority w:val="0"/>
    <w:rPr>
      <w:rFonts w:hint="default" w:ascii="Times New Roman" w:hAnsi="Times New Roman"/>
      <w:sz w:val="21"/>
      <w:szCs w:val="21"/>
    </w:rPr>
  </w:style>
  <w:style w:type="character" w:customStyle="1" w:styleId="104">
    <w:name w:val="graytext1"/>
    <w:qFormat/>
    <w:uiPriority w:val="0"/>
    <w:rPr>
      <w:color w:val="666666"/>
    </w:rPr>
  </w:style>
  <w:style w:type="character" w:customStyle="1" w:styleId="105">
    <w:name w:val="标题3 Char"/>
    <w:link w:val="106"/>
    <w:qFormat/>
    <w:uiPriority w:val="0"/>
    <w:rPr>
      <w:rFonts w:ascii="宋体" w:hAnsi="宋体"/>
      <w:b/>
      <w:bCs/>
      <w:kern w:val="44"/>
      <w:sz w:val="24"/>
      <w:szCs w:val="24"/>
    </w:rPr>
  </w:style>
  <w:style w:type="paragraph" w:customStyle="1" w:styleId="106">
    <w:name w:val="标题3"/>
    <w:basedOn w:val="3"/>
    <w:link w:val="105"/>
    <w:qFormat/>
    <w:uiPriority w:val="0"/>
    <w:pPr>
      <w:spacing w:before="0" w:beforeLines="50" w:after="0" w:afterLines="50" w:line="400" w:lineRule="exact"/>
    </w:pPr>
    <w:rPr>
      <w:rFonts w:ascii="宋体" w:hAnsi="宋体"/>
      <w:sz w:val="24"/>
      <w:szCs w:val="24"/>
    </w:rPr>
  </w:style>
  <w:style w:type="character" w:customStyle="1" w:styleId="107">
    <w:name w:val="1051"/>
    <w:qFormat/>
    <w:uiPriority w:val="0"/>
    <w:rPr>
      <w:sz w:val="21"/>
      <w:szCs w:val="21"/>
    </w:rPr>
  </w:style>
  <w:style w:type="character" w:customStyle="1" w:styleId="108">
    <w:name w:val="content2"/>
    <w:basedOn w:val="55"/>
    <w:qFormat/>
    <w:uiPriority w:val="0"/>
  </w:style>
  <w:style w:type="character" w:customStyle="1" w:styleId="109">
    <w:name w:val="z-窗体顶端 Char"/>
    <w:link w:val="110"/>
    <w:qFormat/>
    <w:uiPriority w:val="0"/>
    <w:rPr>
      <w:rFonts w:ascii="Arial"/>
      <w:vanish/>
      <w:kern w:val="2"/>
      <w:sz w:val="16"/>
      <w:szCs w:val="24"/>
    </w:rPr>
  </w:style>
  <w:style w:type="paragraph" w:customStyle="1" w:styleId="110">
    <w:name w:val="_Style 106"/>
    <w:basedOn w:val="1"/>
    <w:next w:val="1"/>
    <w:link w:val="109"/>
    <w:qFormat/>
    <w:uiPriority w:val="0"/>
    <w:pPr>
      <w:pBdr>
        <w:bottom w:val="single" w:color="auto" w:sz="6" w:space="1"/>
      </w:pBdr>
      <w:jc w:val="center"/>
    </w:pPr>
    <w:rPr>
      <w:rFonts w:ascii="Arial"/>
      <w:vanish/>
      <w:sz w:val="16"/>
    </w:rPr>
  </w:style>
  <w:style w:type="character" w:customStyle="1" w:styleId="111">
    <w:name w:val="unnamed3"/>
    <w:basedOn w:val="55"/>
    <w:qFormat/>
    <w:uiPriority w:val="0"/>
  </w:style>
  <w:style w:type="character" w:customStyle="1" w:styleId="112">
    <w:name w:val="批注文字 Char2"/>
    <w:qFormat/>
    <w:uiPriority w:val="0"/>
    <w:rPr>
      <w:kern w:val="2"/>
      <w:sz w:val="21"/>
      <w:szCs w:val="24"/>
      <w:lang w:bidi="ar-SA"/>
    </w:rPr>
  </w:style>
  <w:style w:type="character" w:customStyle="1" w:styleId="113">
    <w:name w:val="style21"/>
    <w:qFormat/>
    <w:uiPriority w:val="0"/>
    <w:rPr>
      <w:sz w:val="17"/>
      <w:szCs w:val="17"/>
    </w:rPr>
  </w:style>
  <w:style w:type="paragraph" w:customStyle="1" w:styleId="114">
    <w:name w:val="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15">
    <w:name w:val="Char1"/>
    <w:basedOn w:val="1"/>
    <w:qFormat/>
    <w:uiPriority w:val="0"/>
    <w:rPr>
      <w:szCs w:val="21"/>
    </w:rPr>
  </w:style>
  <w:style w:type="paragraph" w:customStyle="1" w:styleId="116">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7">
    <w:name w:val=" Char Char Char Char"/>
    <w:basedOn w:val="1"/>
    <w:qFormat/>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118">
    <w:name w:val="xl21"/>
    <w:basedOn w:val="1"/>
    <w:qFormat/>
    <w:uiPriority w:val="0"/>
    <w:pPr>
      <w:widowControl/>
      <w:spacing w:before="100" w:beforeLines="0" w:beforeAutospacing="1" w:after="100" w:afterLines="0" w:afterAutospacing="1"/>
      <w:jc w:val="center"/>
    </w:pPr>
    <w:rPr>
      <w:rFonts w:ascii="宋体" w:hAnsi="宋体"/>
      <w:b/>
      <w:bCs/>
      <w:kern w:val="0"/>
      <w:sz w:val="28"/>
      <w:szCs w:val="28"/>
    </w:rPr>
  </w:style>
  <w:style w:type="paragraph" w:customStyle="1" w:styleId="119">
    <w:name w:val="List Paragraph1"/>
    <w:basedOn w:val="1"/>
    <w:qFormat/>
    <w:uiPriority w:val="0"/>
    <w:pPr>
      <w:ind w:firstLine="420" w:firstLineChars="200"/>
    </w:pPr>
    <w:rPr>
      <w:rFonts w:ascii="Calibri" w:hAnsi="Calibri"/>
      <w:szCs w:val="22"/>
    </w:rPr>
  </w:style>
  <w:style w:type="paragraph" w:styleId="120">
    <w:name w:val="List Paragraph"/>
    <w:basedOn w:val="1"/>
    <w:qFormat/>
    <w:uiPriority w:val="34"/>
    <w:pPr>
      <w:ind w:firstLine="420" w:firstLineChars="200"/>
    </w:pPr>
    <w:rPr>
      <w:rFonts w:ascii="Calibri" w:hAnsi="Calibri"/>
      <w:szCs w:val="22"/>
    </w:rPr>
  </w:style>
  <w:style w:type="paragraph" w:customStyle="1" w:styleId="121">
    <w:name w:val=" Char Char Char Char Char Char Char"/>
    <w:basedOn w:val="1"/>
    <w:qFormat/>
    <w:uiPriority w:val="0"/>
  </w:style>
  <w:style w:type="paragraph" w:customStyle="1" w:styleId="122">
    <w:name w:val=" Char"/>
    <w:basedOn w:val="1"/>
    <w:qFormat/>
    <w:uiPriority w:val="0"/>
    <w:pPr>
      <w:tabs>
        <w:tab w:val="left" w:pos="360"/>
      </w:tabs>
      <w:ind w:left="252" w:hanging="252" w:hangingChars="140"/>
    </w:pPr>
    <w:rPr>
      <w:rFonts w:ascii="宋体"/>
      <w:sz w:val="18"/>
      <w:szCs w:val="18"/>
    </w:rPr>
  </w:style>
  <w:style w:type="paragraph" w:customStyle="1" w:styleId="123">
    <w:name w:val="次小点说明 Char"/>
    <w:basedOn w:val="8"/>
    <w:qFormat/>
    <w:uiPriority w:val="0"/>
    <w:pPr>
      <w:ind w:firstLine="0"/>
    </w:pPr>
    <w:rPr>
      <w:sz w:val="24"/>
      <w:szCs w:val="24"/>
    </w:rPr>
  </w:style>
  <w:style w:type="paragraph" w:customStyle="1" w:styleId="124">
    <w:name w:val=" Char Char Char"/>
    <w:basedOn w:val="17"/>
    <w:qFormat/>
    <w:uiPriority w:val="0"/>
    <w:pPr>
      <w:adjustRightInd/>
      <w:spacing w:line="240" w:lineRule="auto"/>
      <w:textAlignment w:val="auto"/>
    </w:pPr>
    <w:rPr>
      <w:rFonts w:ascii="Tahoma" w:hAnsi="Tahoma"/>
      <w:kern w:val="2"/>
      <w:sz w:val="24"/>
      <w:szCs w:val="24"/>
    </w:rPr>
  </w:style>
  <w:style w:type="paragraph" w:customStyle="1" w:styleId="125">
    <w:name w:val="Char Char Char1"/>
    <w:basedOn w:val="17"/>
    <w:qFormat/>
    <w:uiPriority w:val="0"/>
    <w:pPr>
      <w:adjustRightInd/>
      <w:spacing w:line="240" w:lineRule="auto"/>
      <w:textAlignment w:val="auto"/>
    </w:pPr>
    <w:rPr>
      <w:rFonts w:ascii="Tahoma" w:hAnsi="Tahoma"/>
      <w:kern w:val="2"/>
      <w:sz w:val="24"/>
      <w:szCs w:val="24"/>
    </w:rPr>
  </w:style>
  <w:style w:type="paragraph" w:customStyle="1" w:styleId="126">
    <w:name w:val="五号正文（标准）"/>
    <w:basedOn w:val="1"/>
    <w:qFormat/>
    <w:uiPriority w:val="0"/>
    <w:pPr>
      <w:spacing w:line="360" w:lineRule="auto"/>
      <w:ind w:right="55" w:firstLine="560" w:firstLineChars="200"/>
    </w:pPr>
    <w:rPr>
      <w:rFonts w:eastAsia="仿宋_GB2312"/>
      <w:sz w:val="28"/>
      <w:szCs w:val="20"/>
    </w:rPr>
  </w:style>
  <w:style w:type="paragraph" w:customStyle="1" w:styleId="127">
    <w:name w:val="a9"/>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28">
    <w:name w:val="默认段落字体 Para Char"/>
    <w:basedOn w:val="1"/>
    <w:qFormat/>
    <w:uiPriority w:val="0"/>
    <w:pPr>
      <w:adjustRightInd w:val="0"/>
      <w:spacing w:line="360" w:lineRule="auto"/>
    </w:pPr>
    <w:rPr>
      <w:kern w:val="0"/>
      <w:sz w:val="24"/>
      <w:szCs w:val="20"/>
    </w:rPr>
  </w:style>
  <w:style w:type="paragraph" w:customStyle="1" w:styleId="129">
    <w:name w:val="xl2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pPr>
    <w:rPr>
      <w:kern w:val="0"/>
      <w:szCs w:val="21"/>
    </w:rPr>
  </w:style>
  <w:style w:type="paragraph" w:customStyle="1" w:styleId="130">
    <w:name w:val="样式1"/>
    <w:basedOn w:val="1"/>
    <w:qFormat/>
    <w:uiPriority w:val="0"/>
    <w:pPr>
      <w:spacing w:before="120" w:beforeLines="0" w:after="120" w:afterLines="0" w:line="300" w:lineRule="auto"/>
    </w:pPr>
    <w:rPr>
      <w:rFonts w:ascii="宋体" w:hAnsi="宋体"/>
      <w:b/>
      <w:sz w:val="24"/>
      <w:szCs w:val="20"/>
    </w:rPr>
  </w:style>
  <w:style w:type="paragraph" w:customStyle="1" w:styleId="131">
    <w:name w:val="xl31"/>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 w:type="paragraph" w:customStyle="1" w:styleId="132">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33">
    <w:name w:val="缺省文本"/>
    <w:basedOn w:val="1"/>
    <w:qFormat/>
    <w:uiPriority w:val="0"/>
    <w:pPr>
      <w:autoSpaceDE w:val="0"/>
      <w:autoSpaceDN w:val="0"/>
      <w:adjustRightInd w:val="0"/>
      <w:spacing w:line="360" w:lineRule="auto"/>
      <w:jc w:val="left"/>
    </w:pPr>
    <w:rPr>
      <w:kern w:val="0"/>
      <w:sz w:val="24"/>
      <w:szCs w:val="20"/>
    </w:rPr>
  </w:style>
  <w:style w:type="paragraph" w:customStyle="1" w:styleId="134">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35">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6">
    <w:name w:val=" 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37">
    <w:name w:val="图"/>
    <w:basedOn w:val="1"/>
    <w:qFormat/>
    <w:uiPriority w:val="0"/>
    <w:pPr>
      <w:keepNext/>
      <w:adjustRightInd w:val="0"/>
      <w:snapToGrid w:val="0"/>
      <w:spacing w:before="60" w:beforeLines="0" w:after="60" w:afterLines="0" w:line="300" w:lineRule="auto"/>
      <w:jc w:val="center"/>
    </w:pPr>
    <w:rPr>
      <w:spacing w:val="20"/>
      <w:kern w:val="0"/>
      <w:sz w:val="24"/>
      <w:szCs w:val="20"/>
    </w:rPr>
  </w:style>
  <w:style w:type="paragraph" w:customStyle="1" w:styleId="138">
    <w:name w:val="xl30"/>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kern w:val="0"/>
      <w:szCs w:val="21"/>
    </w:rPr>
  </w:style>
  <w:style w:type="paragraph" w:customStyle="1" w:styleId="139">
    <w:name w:val="正文首行缩进两字符"/>
    <w:basedOn w:val="1"/>
    <w:qFormat/>
    <w:uiPriority w:val="0"/>
    <w:pPr>
      <w:spacing w:line="360" w:lineRule="auto"/>
      <w:ind w:firstLine="200" w:firstLineChars="200"/>
    </w:pPr>
  </w:style>
  <w:style w:type="paragraph" w:customStyle="1" w:styleId="140">
    <w:name w:val="_Style 136"/>
    <w:basedOn w:val="3"/>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141">
    <w:name w:val="样式 标题 2 + Times New Roman 四号 非加粗 段前: 5 磅 段后: 0 磅 行距: 固定值 20..."/>
    <w:basedOn w:val="4"/>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142">
    <w:name w:val="表内文字"/>
    <w:basedOn w:val="1"/>
    <w:qFormat/>
    <w:uiPriority w:val="0"/>
    <w:pPr>
      <w:snapToGrid w:val="0"/>
      <w:spacing w:before="50" w:beforeLines="0" w:after="50" w:afterLines="0"/>
      <w:jc w:val="center"/>
    </w:pPr>
    <w:rPr>
      <w:rFonts w:ascii="仿宋_GB2312" w:hAnsi="宋体" w:eastAsia="仿宋_GB2312"/>
      <w:b/>
      <w:color w:val="000000"/>
      <w:sz w:val="32"/>
      <w:szCs w:val="32"/>
    </w:rPr>
  </w:style>
  <w:style w:type="paragraph" w:customStyle="1" w:styleId="143">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4">
    <w:name w:val="样式 标题 3 + (中文) 黑体 小四 非加粗 段前: 7.8 磅 段后: 0 磅 行距: 固定值 20 磅"/>
    <w:basedOn w:val="5"/>
    <w:qFormat/>
    <w:uiPriority w:val="0"/>
    <w:pPr>
      <w:spacing w:before="0" w:beforeLines="0" w:after="0" w:afterLines="0" w:line="400" w:lineRule="exact"/>
    </w:pPr>
    <w:rPr>
      <w:rFonts w:eastAsia="黑体" w:cs="宋体"/>
      <w:b w:val="0"/>
      <w:bCs w:val="0"/>
      <w:sz w:val="24"/>
      <w:szCs w:val="20"/>
    </w:rPr>
  </w:style>
  <w:style w:type="paragraph" w:customStyle="1" w:styleId="145">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b/>
      <w:bCs/>
      <w:kern w:val="0"/>
      <w:sz w:val="24"/>
    </w:rPr>
  </w:style>
  <w:style w:type="paragraph" w:customStyle="1" w:styleId="146">
    <w:name w:val="1"/>
    <w:basedOn w:val="1"/>
    <w:next w:val="27"/>
    <w:qFormat/>
    <w:uiPriority w:val="0"/>
    <w:rPr>
      <w:rFonts w:ascii="宋体" w:hAnsi="Courier New"/>
      <w:szCs w:val="20"/>
    </w:rPr>
  </w:style>
  <w:style w:type="paragraph" w:customStyle="1" w:styleId="147">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48">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49">
    <w:name w:val="Char Char Char"/>
    <w:basedOn w:val="1"/>
    <w:qFormat/>
    <w:uiPriority w:val="0"/>
    <w:rPr>
      <w:rFonts w:ascii="Tahoma" w:hAnsi="Tahoma"/>
      <w:sz w:val="24"/>
      <w:szCs w:val="20"/>
    </w:rPr>
  </w:style>
  <w:style w:type="paragraph" w:customStyle="1" w:styleId="15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51">
    <w:name w:val=" Char Char Char Char Char Char Char Char Char Char Char Char Char"/>
    <w:basedOn w:val="17"/>
    <w:qFormat/>
    <w:uiPriority w:val="0"/>
    <w:pPr>
      <w:adjustRightInd/>
      <w:spacing w:line="240" w:lineRule="auto"/>
      <w:textAlignment w:val="auto"/>
    </w:pPr>
    <w:rPr>
      <w:rFonts w:ascii="Tahoma" w:hAnsi="Tahoma"/>
      <w:kern w:val="2"/>
      <w:sz w:val="24"/>
      <w:szCs w:val="24"/>
    </w:rPr>
  </w:style>
  <w:style w:type="paragraph" w:customStyle="1" w:styleId="152">
    <w:name w:val="样式 首行缩进:  2 字符"/>
    <w:basedOn w:val="1"/>
    <w:qFormat/>
    <w:uiPriority w:val="0"/>
    <w:pPr>
      <w:spacing w:line="400" w:lineRule="exact"/>
      <w:ind w:firstLine="200" w:firstLineChars="200"/>
    </w:pPr>
    <w:rPr>
      <w:rFonts w:cs="宋体"/>
      <w:sz w:val="24"/>
    </w:rPr>
  </w:style>
  <w:style w:type="paragraph" w:customStyle="1" w:styleId="153">
    <w:name w:val=" Char Char Char Char Char Char1 Char"/>
    <w:basedOn w:val="1"/>
    <w:qFormat/>
    <w:uiPriority w:val="0"/>
    <w:pPr>
      <w:widowControl/>
      <w:spacing w:after="160" w:afterLines="0" w:line="240" w:lineRule="exact"/>
      <w:jc w:val="left"/>
    </w:pPr>
    <w:rPr>
      <w:rFonts w:ascii="Arial" w:hAnsi="Arial" w:eastAsia="Times New Roman" w:cs="Verdana"/>
      <w:b/>
      <w:kern w:val="0"/>
      <w:sz w:val="24"/>
      <w:szCs w:val="20"/>
      <w:lang w:eastAsia="en-US"/>
    </w:rPr>
  </w:style>
  <w:style w:type="paragraph" w:customStyle="1" w:styleId="154">
    <w:name w:val="表格"/>
    <w:basedOn w:val="1"/>
    <w:qFormat/>
    <w:uiPriority w:val="0"/>
    <w:pPr>
      <w:spacing w:line="400" w:lineRule="exact"/>
    </w:pPr>
    <w:rPr>
      <w:sz w:val="24"/>
    </w:rPr>
  </w:style>
  <w:style w:type="paragraph" w:customStyle="1" w:styleId="155">
    <w:name w:val="默认段落字体 Para Char Char Char Char Char Char Char Char Char1 Char Char Char Char"/>
    <w:basedOn w:val="1"/>
    <w:qFormat/>
    <w:uiPriority w:val="0"/>
    <w:rPr>
      <w:rFonts w:ascii="Tahoma" w:hAnsi="Tahoma"/>
      <w:sz w:val="24"/>
      <w:szCs w:val="20"/>
    </w:rPr>
  </w:style>
  <w:style w:type="paragraph" w:customStyle="1" w:styleId="156">
    <w:name w:val="Char Char Char Char Char Char Char"/>
    <w:basedOn w:val="1"/>
    <w:qFormat/>
    <w:uiPriority w:val="0"/>
  </w:style>
  <w:style w:type="paragraph" w:customStyle="1" w:styleId="157">
    <w:name w:val=" Char2"/>
    <w:basedOn w:val="1"/>
    <w:qFormat/>
    <w:uiPriority w:val="0"/>
    <w:pPr>
      <w:widowControl/>
      <w:spacing w:after="160" w:afterLines="0" w:line="240" w:lineRule="exact"/>
      <w:jc w:val="left"/>
    </w:pPr>
    <w:rPr>
      <w:rFonts w:ascii="Verdana" w:hAnsi="Verdana"/>
      <w:kern w:val="0"/>
      <w:szCs w:val="20"/>
      <w:lang w:eastAsia="en-US"/>
    </w:rPr>
  </w:style>
  <w:style w:type="paragraph" w:customStyle="1" w:styleId="158">
    <w:name w:val="_Style 155"/>
    <w:unhideWhenUsed/>
    <w:qFormat/>
    <w:uiPriority w:val="99"/>
    <w:rPr>
      <w:rFonts w:ascii="Times New Roman" w:hAnsi="Times New Roman" w:eastAsia="宋体" w:cs="Times New Roman"/>
      <w:kern w:val="2"/>
      <w:sz w:val="21"/>
      <w:szCs w:val="24"/>
      <w:lang w:val="en-US" w:eastAsia="zh-CN" w:bidi="ar-SA"/>
    </w:rPr>
  </w:style>
  <w:style w:type="paragraph" w:customStyle="1" w:styleId="159">
    <w:name w:val="F2"/>
    <w:basedOn w:val="1"/>
    <w:qFormat/>
    <w:uiPriority w:val="0"/>
    <w:pPr>
      <w:autoSpaceDE w:val="0"/>
      <w:autoSpaceDN w:val="0"/>
      <w:adjustRightInd w:val="0"/>
      <w:ind w:firstLine="601"/>
      <w:textAlignment w:val="baseline"/>
    </w:pPr>
    <w:rPr>
      <w:kern w:val="0"/>
      <w:sz w:val="24"/>
      <w:szCs w:val="20"/>
    </w:rPr>
  </w:style>
  <w:style w:type="paragraph" w:customStyle="1" w:styleId="160">
    <w:name w:val="普通 (Web)"/>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161">
    <w:name w:val="tgt1"/>
    <w:basedOn w:val="1"/>
    <w:qFormat/>
    <w:uiPriority w:val="0"/>
    <w:pPr>
      <w:widowControl/>
      <w:spacing w:after="150" w:afterLines="0"/>
      <w:jc w:val="left"/>
    </w:pPr>
    <w:rPr>
      <w:rFonts w:ascii="宋体" w:hAnsi="宋体" w:cs="宋体"/>
      <w:kern w:val="0"/>
      <w:sz w:val="24"/>
    </w:rPr>
  </w:style>
  <w:style w:type="paragraph" w:customStyle="1" w:styleId="162">
    <w:name w:val="正文段"/>
    <w:basedOn w:val="1"/>
    <w:qFormat/>
    <w:uiPriority w:val="0"/>
    <w:pPr>
      <w:widowControl/>
      <w:snapToGrid w:val="0"/>
      <w:spacing w:after="156" w:afterLines="50"/>
      <w:ind w:firstLine="200" w:firstLineChars="200"/>
    </w:pPr>
    <w:rPr>
      <w:kern w:val="0"/>
      <w:sz w:val="24"/>
      <w:szCs w:val="20"/>
    </w:rPr>
  </w:style>
  <w:style w:type="paragraph" w:customStyle="1" w:styleId="163">
    <w:name w:val="Char Char Char Char Char Char Char Char Char Char Char Char Char"/>
    <w:basedOn w:val="17"/>
    <w:qFormat/>
    <w:uiPriority w:val="0"/>
    <w:pPr>
      <w:adjustRightInd/>
      <w:spacing w:line="240" w:lineRule="auto"/>
      <w:textAlignment w:val="auto"/>
    </w:pPr>
    <w:rPr>
      <w:rFonts w:ascii="Tahoma" w:hAnsi="Tahoma"/>
      <w:kern w:val="2"/>
      <w:sz w:val="24"/>
      <w:szCs w:val="24"/>
    </w:rPr>
  </w:style>
  <w:style w:type="paragraph" w:customStyle="1" w:styleId="164">
    <w:name w:val="2ji"/>
    <w:basedOn w:val="4"/>
    <w:qFormat/>
    <w:uiPriority w:val="0"/>
    <w:pPr>
      <w:adjustRightInd w:val="0"/>
      <w:spacing w:before="0" w:beforeLines="0" w:after="0" w:afterLines="0" w:line="360" w:lineRule="auto"/>
      <w:textAlignment w:val="baseline"/>
    </w:pPr>
    <w:rPr>
      <w:rFonts w:ascii="宋体" w:hAnsi="宋体" w:eastAsia="宋体"/>
      <w:kern w:val="0"/>
      <w:sz w:val="21"/>
      <w:szCs w:val="21"/>
    </w:rPr>
  </w:style>
  <w:style w:type="paragraph" w:customStyle="1" w:styleId="165">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66">
    <w:name w:val="2-2ji"/>
    <w:basedOn w:val="4"/>
    <w:qFormat/>
    <w:uiPriority w:val="0"/>
    <w:pPr>
      <w:adjustRightInd w:val="0"/>
      <w:spacing w:before="0" w:beforeLines="0" w:after="0" w:afterLines="0" w:line="360" w:lineRule="auto"/>
      <w:jc w:val="center"/>
      <w:textAlignment w:val="baseline"/>
    </w:pPr>
    <w:rPr>
      <w:rFonts w:ascii="宋体" w:hAnsi="宋体" w:eastAsia="宋体"/>
      <w:bCs w:val="0"/>
      <w:kern w:val="0"/>
      <w:sz w:val="36"/>
    </w:rPr>
  </w:style>
  <w:style w:type="paragraph" w:customStyle="1" w:styleId="167">
    <w:name w:val="444"/>
    <w:basedOn w:val="1"/>
    <w:qFormat/>
    <w:uiPriority w:val="0"/>
    <w:pPr>
      <w:adjustRightInd w:val="0"/>
      <w:spacing w:line="312" w:lineRule="atLeast"/>
      <w:jc w:val="center"/>
      <w:textAlignment w:val="baseline"/>
    </w:pPr>
    <w:rPr>
      <w:b/>
      <w:kern w:val="0"/>
      <w:sz w:val="36"/>
      <w:szCs w:val="36"/>
    </w:rPr>
  </w:style>
  <w:style w:type="paragraph" w:customStyle="1" w:styleId="168">
    <w:name w:val="Table Paragraph"/>
    <w:basedOn w:val="1"/>
    <w:qFormat/>
    <w:uiPriority w:val="1"/>
    <w:pPr>
      <w:autoSpaceDE w:val="0"/>
      <w:autoSpaceDN w:val="0"/>
      <w:adjustRightInd w:val="0"/>
      <w:jc w:val="left"/>
    </w:pPr>
    <w:rPr>
      <w:kern w:val="0"/>
      <w:sz w:val="24"/>
    </w:rPr>
  </w:style>
  <w:style w:type="character" w:customStyle="1" w:styleId="169">
    <w:name w:val="fd"/>
    <w:qFormat/>
    <w:uiPriority w:val="0"/>
  </w:style>
  <w:style w:type="paragraph" w:customStyle="1" w:styleId="170">
    <w:name w:val="paragraphindent"/>
    <w:basedOn w:val="1"/>
    <w:qFormat/>
    <w:uiPriority w:val="0"/>
    <w:pPr>
      <w:widowControl/>
      <w:spacing w:before="100" w:beforeAutospacing="1" w:after="100" w:afterAutospacing="1"/>
      <w:jc w:val="left"/>
    </w:pPr>
    <w:rPr>
      <w:rFonts w:ascii="宋体" w:hAnsi="宋体" w:cs="宋体"/>
      <w:kern w:val="0"/>
      <w:sz w:val="24"/>
    </w:rPr>
  </w:style>
  <w:style w:type="character" w:customStyle="1" w:styleId="171">
    <w:name w:val="批注文字 字符1"/>
    <w:qFormat/>
    <w:uiPriority w:val="0"/>
    <w:rPr>
      <w:kern w:val="2"/>
      <w:sz w:val="21"/>
      <w:szCs w:val="24"/>
    </w:rPr>
  </w:style>
  <w:style w:type="character" w:customStyle="1" w:styleId="172">
    <w:name w:val="_Style 169"/>
    <w:unhideWhenUsed/>
    <w:qFormat/>
    <w:uiPriority w:val="99"/>
    <w:rPr>
      <w:color w:val="605E5C"/>
      <w:shd w:val="clear" w:color="auto" w:fill="E1DFDD"/>
    </w:rPr>
  </w:style>
  <w:style w:type="character" w:customStyle="1" w:styleId="173">
    <w:name w:val="纯文本 字符1"/>
    <w:qFormat/>
    <w:uiPriority w:val="99"/>
    <w:rPr>
      <w:rFonts w:ascii="宋体" w:hAnsi="Courier New" w:eastAsia="宋体" w:cs="Courier New"/>
      <w:kern w:val="2"/>
      <w:sz w:val="21"/>
      <w:szCs w:val="21"/>
      <w:lang w:val="en-US" w:eastAsia="zh-CN" w:bidi="ar-SA"/>
    </w:rPr>
  </w:style>
  <w:style w:type="character" w:customStyle="1" w:styleId="174">
    <w:name w:val="正文文本 字符1"/>
    <w:qFormat/>
    <w:uiPriority w:val="99"/>
    <w:rPr>
      <w:kern w:val="2"/>
      <w:sz w:val="24"/>
      <w:szCs w:val="24"/>
    </w:rPr>
  </w:style>
  <w:style w:type="paragraph" w:customStyle="1" w:styleId="175">
    <w:name w:val="正文-2字符首行缩进"/>
    <w:basedOn w:val="1"/>
    <w:link w:val="176"/>
    <w:qFormat/>
    <w:uiPriority w:val="0"/>
    <w:pPr>
      <w:widowControl/>
      <w:spacing w:line="360" w:lineRule="auto"/>
      <w:ind w:firstLine="200" w:firstLineChars="200"/>
    </w:pPr>
    <w:rPr>
      <w:rFonts w:ascii="仿宋_GB2312" w:hAnsi="Calibri" w:eastAsia="仿宋_GB2312"/>
      <w:kern w:val="0"/>
      <w:sz w:val="28"/>
      <w:szCs w:val="22"/>
    </w:rPr>
  </w:style>
  <w:style w:type="character" w:customStyle="1" w:styleId="176">
    <w:name w:val="正文-2字符首行缩进 Char"/>
    <w:link w:val="175"/>
    <w:qFormat/>
    <w:uiPriority w:val="0"/>
    <w:rPr>
      <w:rFonts w:ascii="仿宋_GB2312" w:hAnsi="Calibri" w:eastAsia="仿宋_GB2312"/>
      <w:sz w:val="28"/>
      <w:szCs w:val="22"/>
    </w:rPr>
  </w:style>
  <w:style w:type="paragraph" w:customStyle="1" w:styleId="177">
    <w:name w:val="列出段落1"/>
    <w:basedOn w:val="1"/>
    <w:qFormat/>
    <w:uiPriority w:val="99"/>
    <w:pPr>
      <w:ind w:firstLine="420" w:firstLineChars="200"/>
    </w:pPr>
    <w:rPr>
      <w:rFonts w:ascii="等线" w:hAnsi="等线" w:eastAsia="等线"/>
    </w:rPr>
  </w:style>
  <w:style w:type="character" w:customStyle="1" w:styleId="178">
    <w:name w:val="正文文本 字符"/>
    <w:qFormat/>
    <w:uiPriority w:val="99"/>
    <w:rPr>
      <w:kern w:val="2"/>
      <w:sz w:val="24"/>
      <w:szCs w:val="24"/>
    </w:rPr>
  </w:style>
  <w:style w:type="character" w:customStyle="1" w:styleId="179">
    <w:name w:val="纯文本 字符"/>
    <w:qFormat/>
    <w:uiPriority w:val="99"/>
    <w:rPr>
      <w:rFonts w:ascii="宋体" w:hAnsi="Courier New" w:eastAsia="宋体" w:cs="Courier New"/>
      <w:kern w:val="2"/>
      <w:sz w:val="21"/>
      <w:szCs w:val="21"/>
      <w:lang w:val="en-US" w:eastAsia="zh-CN" w:bidi="ar-SA"/>
    </w:rPr>
  </w:style>
  <w:style w:type="paragraph" w:customStyle="1" w:styleId="180">
    <w:name w:val="首行缩进"/>
    <w:basedOn w:val="1"/>
    <w:qFormat/>
    <w:uiPriority w:val="0"/>
    <w:pPr>
      <w:widowControl/>
      <w:ind w:firstLine="480" w:firstLineChars="200"/>
      <w:jc w:val="left"/>
    </w:pPr>
    <w:rPr>
      <w:kern w:val="0"/>
      <w:sz w:val="24"/>
      <w:szCs w:val="20"/>
      <w:lang w:val="zh-CN"/>
    </w:rPr>
  </w:style>
  <w:style w:type="paragraph" w:customStyle="1" w:styleId="181">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emf"/><Relationship Id="rId24" Type="http://schemas.openxmlformats.org/officeDocument/2006/relationships/theme" Target="theme/theme1.xml"/><Relationship Id="rId23" Type="http://schemas.openxmlformats.org/officeDocument/2006/relationships/header" Target="header13.xml"/><Relationship Id="rId22" Type="http://schemas.openxmlformats.org/officeDocument/2006/relationships/header" Target="header12.xml"/><Relationship Id="rId21" Type="http://schemas.openxmlformats.org/officeDocument/2006/relationships/header" Target="header11.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header" Target="header9.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72</Pages>
  <Words>2600</Words>
  <Characters>2966</Characters>
  <Lines>389</Lines>
  <Paragraphs>109</Paragraphs>
  <TotalTime>40</TotalTime>
  <ScaleCrop>false</ScaleCrop>
  <LinksUpToDate>false</LinksUpToDate>
  <CharactersWithSpaces>3051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2020-09-14T09:23:00Z</dcterms:created>
  <dc:creator>微软用户</dc:creator>
  <cp:lastModifiedBy>陈小琳</cp:lastModifiedBy>
  <cp:lastPrinted>2016-03-22T07:52:00Z</cp:lastPrinted>
  <dcterms:modified xsi:type="dcterms:W3CDTF">2026-06-12T05:19:55Z</dcterms:modified>
  <dc:title>桂财采〔2009〕 号</dc:title>
  <cp:revision>268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KSOTemplateDocerSaveRecord">
    <vt:lpwstr>eyJoZGlkIjoiODFlNGIyMGJiZmUxODNiZWRkNWQ5YmQyZTQ1NDFiNmQiLCJ1c2VySWQiOiIxODI3NzYxMDE1In0=</vt:lpwstr>
  </property>
  <property fmtid="{D5CDD505-2E9C-101B-9397-08002B2CF9AE}" pid="14" name="ICV">
    <vt:lpwstr>1708CE07C63B4C3EB9113F56969940CD_13</vt:lpwstr>
  </property>
</Properties>
</file>