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41BBF">
      <w:pPr>
        <w:pStyle w:val="29"/>
        <w:bidi w:val="0"/>
        <w:rPr>
          <w:rFonts w:hint="eastAsia" w:eastAsia="宋体"/>
          <w:color w:val="auto"/>
          <w:highlight w:val="none"/>
          <w:lang w:eastAsia="zh-CN"/>
        </w:rPr>
      </w:pPr>
      <w:bookmarkStart w:id="0" w:name="_Toc183682338"/>
      <w:bookmarkStart w:id="1" w:name="_Toc217446030"/>
    </w:p>
    <w:p w14:paraId="74828421">
      <w:pPr>
        <w:pStyle w:val="29"/>
        <w:jc w:val="center"/>
        <w:rPr>
          <w:rFonts w:hAnsi="宋体"/>
          <w:color w:val="auto"/>
          <w:sz w:val="36"/>
          <w:szCs w:val="36"/>
          <w:highlight w:val="none"/>
          <w:u w:val="thick"/>
        </w:rPr>
      </w:pPr>
      <w:r>
        <w:rPr>
          <w:color w:val="auto"/>
          <w:highlight w:val="none"/>
        </w:rPr>
        <w:drawing>
          <wp:anchor distT="0" distB="0" distL="114300" distR="114300" simplePos="0" relativeHeight="251661312" behindDoc="1" locked="0" layoutInCell="1" allowOverlap="1">
            <wp:simplePos x="0" y="0"/>
            <wp:positionH relativeFrom="column">
              <wp:posOffset>2226310</wp:posOffset>
            </wp:positionH>
            <wp:positionV relativeFrom="paragraph">
              <wp:posOffset>123190</wp:posOffset>
            </wp:positionV>
            <wp:extent cx="1569720" cy="1965960"/>
            <wp:effectExtent l="0" t="0" r="0" b="0"/>
            <wp:wrapTight wrapText="bothSides">
              <wp:wrapPolygon>
                <wp:start x="0" y="0"/>
                <wp:lineTo x="0" y="21433"/>
                <wp:lineTo x="21390" y="21433"/>
                <wp:lineTo x="21390" y="0"/>
                <wp:lineTo x="0" y="0"/>
              </wp:wrapPolygon>
            </wp:wrapTight>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6"/>
                    <a:stretch>
                      <a:fillRect/>
                    </a:stretch>
                  </pic:blipFill>
                  <pic:spPr>
                    <a:xfrm>
                      <a:off x="0" y="0"/>
                      <a:ext cx="1569720" cy="1965960"/>
                    </a:xfrm>
                    <a:prstGeom prst="rect">
                      <a:avLst/>
                    </a:prstGeom>
                    <a:noFill/>
                    <a:ln>
                      <a:noFill/>
                    </a:ln>
                  </pic:spPr>
                </pic:pic>
              </a:graphicData>
            </a:graphic>
          </wp:anchor>
        </w:drawing>
      </w:r>
    </w:p>
    <w:p w14:paraId="1E371DAA">
      <w:pPr>
        <w:pStyle w:val="29"/>
        <w:jc w:val="center"/>
        <w:rPr>
          <w:rFonts w:hAnsi="宋体"/>
          <w:color w:val="auto"/>
          <w:sz w:val="36"/>
          <w:szCs w:val="36"/>
          <w:highlight w:val="none"/>
          <w:u w:val="thick"/>
        </w:rPr>
      </w:pPr>
    </w:p>
    <w:p w14:paraId="70069247">
      <w:pPr>
        <w:pStyle w:val="6"/>
        <w:rPr>
          <w:rFonts w:hAnsi="宋体"/>
          <w:b/>
          <w:color w:val="auto"/>
          <w:sz w:val="84"/>
          <w:szCs w:val="84"/>
          <w:highlight w:val="none"/>
        </w:rPr>
      </w:pPr>
    </w:p>
    <w:p w14:paraId="670F8CAC">
      <w:pPr>
        <w:rPr>
          <w:color w:val="auto"/>
          <w:highlight w:val="none"/>
        </w:rPr>
      </w:pPr>
    </w:p>
    <w:p w14:paraId="4715656B">
      <w:pPr>
        <w:pStyle w:val="29"/>
        <w:jc w:val="center"/>
        <w:rPr>
          <w:rFonts w:hint="eastAsia" w:hAnsi="宋体"/>
          <w:b/>
          <w:color w:val="auto"/>
          <w:sz w:val="84"/>
          <w:szCs w:val="84"/>
          <w:highlight w:val="none"/>
        </w:rPr>
      </w:pPr>
    </w:p>
    <w:p w14:paraId="3B4AB774">
      <w:pPr>
        <w:pStyle w:val="29"/>
        <w:jc w:val="center"/>
        <w:rPr>
          <w:rFonts w:hAnsi="宋体"/>
          <w:b/>
          <w:color w:val="auto"/>
          <w:sz w:val="84"/>
          <w:szCs w:val="84"/>
          <w:highlight w:val="none"/>
        </w:rPr>
      </w:pPr>
      <w:r>
        <w:rPr>
          <w:rFonts w:hint="eastAsia" w:hAnsi="宋体"/>
          <w:b/>
          <w:color w:val="auto"/>
          <w:sz w:val="84"/>
          <w:szCs w:val="84"/>
          <w:highlight w:val="none"/>
        </w:rPr>
        <w:t>公开招标文件</w:t>
      </w:r>
    </w:p>
    <w:p w14:paraId="652C313D">
      <w:pPr>
        <w:pStyle w:val="29"/>
        <w:rPr>
          <w:rFonts w:hAnsi="宋体"/>
          <w:b/>
          <w:color w:val="auto"/>
          <w:highlight w:val="none"/>
        </w:rPr>
      </w:pPr>
    </w:p>
    <w:p w14:paraId="74DA170A">
      <w:pPr>
        <w:pStyle w:val="29"/>
        <w:rPr>
          <w:rFonts w:hAnsi="宋体"/>
          <w:b/>
          <w:color w:val="auto"/>
          <w:highlight w:val="none"/>
        </w:rPr>
      </w:pPr>
    </w:p>
    <w:p w14:paraId="202F7F2D">
      <w:pPr>
        <w:pStyle w:val="29"/>
        <w:rPr>
          <w:rFonts w:hAnsi="宋体"/>
          <w:b/>
          <w:color w:val="auto"/>
          <w:highlight w:val="none"/>
        </w:rPr>
      </w:pPr>
    </w:p>
    <w:p w14:paraId="54F7D9D6">
      <w:pPr>
        <w:pStyle w:val="29"/>
        <w:rPr>
          <w:rFonts w:hAnsi="宋体"/>
          <w:b/>
          <w:color w:val="auto"/>
          <w:highlight w:val="none"/>
        </w:rPr>
      </w:pPr>
    </w:p>
    <w:p w14:paraId="37715838">
      <w:pPr>
        <w:pStyle w:val="6"/>
        <w:rPr>
          <w:color w:val="auto"/>
          <w:highlight w:val="none"/>
        </w:rPr>
      </w:pPr>
    </w:p>
    <w:p w14:paraId="46ECD41B">
      <w:pPr>
        <w:pStyle w:val="29"/>
        <w:rPr>
          <w:rFonts w:hAnsi="宋体"/>
          <w:b/>
          <w:color w:val="auto"/>
          <w:highlight w:val="none"/>
        </w:rPr>
      </w:pPr>
    </w:p>
    <w:p w14:paraId="0F3C09AA">
      <w:pPr>
        <w:pStyle w:val="29"/>
        <w:spacing w:line="360" w:lineRule="auto"/>
        <w:ind w:firstLine="562" w:firstLineChars="200"/>
        <w:rPr>
          <w:rFonts w:hint="eastAsia" w:hAnsi="宋体"/>
          <w:b/>
          <w:color w:val="auto"/>
          <w:sz w:val="28"/>
          <w:szCs w:val="28"/>
          <w:highlight w:val="none"/>
          <w:lang w:eastAsia="zh-CN"/>
        </w:rPr>
      </w:pPr>
      <w:r>
        <w:rPr>
          <w:rFonts w:hint="eastAsia" w:hAnsi="宋体"/>
          <w:b/>
          <w:color w:val="auto"/>
          <w:sz w:val="28"/>
          <w:szCs w:val="28"/>
          <w:highlight w:val="none"/>
        </w:rPr>
        <w:t>项目名称：</w:t>
      </w:r>
      <w:r>
        <w:rPr>
          <w:rFonts w:hint="eastAsia" w:hAnsi="宋体"/>
          <w:b/>
          <w:color w:val="auto"/>
          <w:sz w:val="28"/>
          <w:szCs w:val="28"/>
          <w:highlight w:val="none"/>
          <w:lang w:eastAsia="zh-CN"/>
        </w:rPr>
        <w:t>港南区第二轮土地承包到期后再延长30年试点项目</w:t>
      </w:r>
    </w:p>
    <w:p w14:paraId="5C6EE246">
      <w:pPr>
        <w:ind w:firstLine="562" w:firstLineChars="200"/>
        <w:rPr>
          <w:rFonts w:hint="eastAsia" w:ascii="宋体" w:hAnsi="宋体" w:eastAsia="宋体" w:cs="Courier New"/>
          <w:b/>
          <w:color w:val="auto"/>
          <w:kern w:val="2"/>
          <w:sz w:val="28"/>
          <w:szCs w:val="28"/>
          <w:highlight w:val="none"/>
          <w:lang w:val="en-US" w:eastAsia="zh-CN" w:bidi="ar-SA"/>
        </w:rPr>
      </w:pPr>
      <w:r>
        <w:rPr>
          <w:rFonts w:hint="eastAsia" w:hAnsi="宋体"/>
          <w:b/>
          <w:color w:val="auto"/>
          <w:sz w:val="28"/>
          <w:szCs w:val="28"/>
          <w:highlight w:val="none"/>
        </w:rPr>
        <w:t>项目编号：</w:t>
      </w:r>
      <w:r>
        <w:rPr>
          <w:rFonts w:hint="eastAsia" w:ascii="宋体" w:hAnsi="宋体" w:eastAsia="宋体" w:cs="Courier New"/>
          <w:b/>
          <w:color w:val="auto"/>
          <w:kern w:val="2"/>
          <w:sz w:val="28"/>
          <w:szCs w:val="28"/>
          <w:highlight w:val="none"/>
          <w:lang w:val="en-US" w:eastAsia="zh-CN" w:bidi="ar-SA"/>
        </w:rPr>
        <w:t>GGZC2026-G3-030022-ARXM</w:t>
      </w:r>
    </w:p>
    <w:p w14:paraId="51E558E3">
      <w:pPr>
        <w:pStyle w:val="34"/>
        <w:rPr>
          <w:color w:val="auto"/>
          <w:highlight w:val="none"/>
        </w:rPr>
      </w:pPr>
    </w:p>
    <w:p w14:paraId="6C66203D">
      <w:pPr>
        <w:pStyle w:val="29"/>
        <w:spacing w:line="360" w:lineRule="auto"/>
        <w:rPr>
          <w:rFonts w:hAnsi="宋体"/>
          <w:b/>
          <w:color w:val="auto"/>
          <w:sz w:val="32"/>
          <w:szCs w:val="72"/>
          <w:highlight w:val="none"/>
          <w:u w:val="thick"/>
        </w:rPr>
      </w:pPr>
    </w:p>
    <w:p w14:paraId="097112AF">
      <w:pPr>
        <w:pStyle w:val="6"/>
        <w:rPr>
          <w:rFonts w:hAnsi="宋体"/>
          <w:b/>
          <w:color w:val="auto"/>
          <w:sz w:val="32"/>
          <w:szCs w:val="72"/>
          <w:highlight w:val="none"/>
          <w:u w:val="thick"/>
        </w:rPr>
      </w:pPr>
    </w:p>
    <w:p w14:paraId="49973A43">
      <w:pPr>
        <w:rPr>
          <w:rFonts w:hAnsi="宋体"/>
          <w:b/>
          <w:color w:val="auto"/>
          <w:sz w:val="32"/>
          <w:szCs w:val="72"/>
          <w:highlight w:val="none"/>
          <w:u w:val="thick"/>
        </w:rPr>
      </w:pPr>
    </w:p>
    <w:p w14:paraId="03613CBE">
      <w:pPr>
        <w:pStyle w:val="6"/>
        <w:jc w:val="both"/>
        <w:rPr>
          <w:color w:val="auto"/>
          <w:highlight w:val="none"/>
        </w:rPr>
      </w:pPr>
    </w:p>
    <w:p w14:paraId="7E3CAADB">
      <w:pPr>
        <w:rPr>
          <w:color w:val="auto"/>
          <w:highlight w:val="none"/>
        </w:rPr>
      </w:pPr>
    </w:p>
    <w:p w14:paraId="704156CD">
      <w:pPr>
        <w:pStyle w:val="29"/>
        <w:tabs>
          <w:tab w:val="left" w:pos="5670"/>
        </w:tabs>
        <w:spacing w:line="360" w:lineRule="auto"/>
        <w:jc w:val="center"/>
        <w:rPr>
          <w:rFonts w:hint="eastAsia" w:hAnsi="宋体"/>
          <w:b/>
          <w:color w:val="auto"/>
          <w:sz w:val="30"/>
          <w:szCs w:val="72"/>
          <w:highlight w:val="none"/>
        </w:rPr>
      </w:pPr>
      <w:r>
        <w:rPr>
          <w:rFonts w:hint="eastAsia" w:hAnsi="宋体"/>
          <w:b/>
          <w:color w:val="auto"/>
          <w:sz w:val="30"/>
          <w:szCs w:val="72"/>
          <w:highlight w:val="none"/>
        </w:rPr>
        <w:t>招标单位：</w:t>
      </w:r>
      <w:r>
        <w:rPr>
          <w:rFonts w:hint="eastAsia" w:hAnsi="宋体"/>
          <w:b/>
          <w:color w:val="auto"/>
          <w:sz w:val="30"/>
          <w:szCs w:val="72"/>
          <w:highlight w:val="none"/>
          <w:lang w:eastAsia="zh-CN"/>
        </w:rPr>
        <w:t xml:space="preserve">贵港市港南区农业农村局 </w:t>
      </w:r>
    </w:p>
    <w:p w14:paraId="2B9B8DF5">
      <w:pPr>
        <w:pStyle w:val="29"/>
        <w:tabs>
          <w:tab w:val="left" w:pos="5670"/>
        </w:tabs>
        <w:spacing w:line="360" w:lineRule="auto"/>
        <w:jc w:val="center"/>
        <w:rPr>
          <w:rFonts w:hint="eastAsia" w:hAnsi="宋体"/>
          <w:b/>
          <w:color w:val="auto"/>
          <w:sz w:val="30"/>
          <w:szCs w:val="72"/>
          <w:highlight w:val="none"/>
          <w:lang w:eastAsia="zh-CN"/>
        </w:rPr>
      </w:pPr>
      <w:r>
        <w:rPr>
          <w:rFonts w:hint="eastAsia" w:hAnsi="宋体"/>
          <w:b/>
          <w:color w:val="auto"/>
          <w:sz w:val="30"/>
          <w:szCs w:val="72"/>
          <w:highlight w:val="none"/>
        </w:rPr>
        <w:t>招标代理机构：</w:t>
      </w:r>
      <w:r>
        <w:rPr>
          <w:rFonts w:hint="eastAsia" w:hAnsi="宋体"/>
          <w:b/>
          <w:color w:val="auto"/>
          <w:sz w:val="30"/>
          <w:szCs w:val="72"/>
          <w:highlight w:val="none"/>
          <w:lang w:eastAsia="zh-CN"/>
        </w:rPr>
        <w:t>贵港市安然项目管理有限公司</w:t>
      </w:r>
    </w:p>
    <w:p w14:paraId="22977D13">
      <w:pPr>
        <w:pStyle w:val="29"/>
        <w:tabs>
          <w:tab w:val="left" w:pos="5670"/>
        </w:tabs>
        <w:spacing w:line="360" w:lineRule="auto"/>
        <w:jc w:val="center"/>
        <w:rPr>
          <w:rFonts w:hint="eastAsia" w:hAnsi="宋体"/>
          <w:b/>
          <w:color w:val="auto"/>
          <w:sz w:val="30"/>
          <w:szCs w:val="72"/>
          <w:highlight w:val="none"/>
        </w:rPr>
      </w:pPr>
      <w:r>
        <w:rPr>
          <w:rFonts w:hint="eastAsia" w:hAnsi="宋体"/>
          <w:b/>
          <w:color w:val="auto"/>
          <w:sz w:val="30"/>
          <w:szCs w:val="72"/>
          <w:highlight w:val="none"/>
          <w:lang w:eastAsia="zh-CN"/>
        </w:rPr>
        <w:t>2026</w:t>
      </w:r>
      <w:r>
        <w:rPr>
          <w:rFonts w:hint="eastAsia" w:hAnsi="宋体"/>
          <w:b/>
          <w:color w:val="auto"/>
          <w:sz w:val="30"/>
          <w:szCs w:val="72"/>
          <w:highlight w:val="none"/>
        </w:rPr>
        <w:t>年</w:t>
      </w:r>
      <w:r>
        <w:rPr>
          <w:rFonts w:hint="eastAsia" w:hAnsi="宋体"/>
          <w:b/>
          <w:color w:val="auto"/>
          <w:sz w:val="30"/>
          <w:szCs w:val="72"/>
          <w:highlight w:val="none"/>
          <w:lang w:val="en-US" w:eastAsia="zh-CN"/>
        </w:rPr>
        <w:t>3</w:t>
      </w:r>
      <w:r>
        <w:rPr>
          <w:rFonts w:hint="eastAsia" w:hAnsi="宋体"/>
          <w:b/>
          <w:color w:val="auto"/>
          <w:sz w:val="30"/>
          <w:szCs w:val="72"/>
          <w:highlight w:val="none"/>
        </w:rPr>
        <w:t>月</w:t>
      </w:r>
    </w:p>
    <w:p w14:paraId="49C2BC91">
      <w:pPr>
        <w:pStyle w:val="6"/>
        <w:rPr>
          <w:color w:val="auto"/>
          <w:highlight w:val="none"/>
        </w:rPr>
        <w:sectPr>
          <w:footerReference r:id="rId3" w:type="default"/>
          <w:pgSz w:w="11912" w:h="16840"/>
          <w:pgMar w:top="1157" w:right="1060" w:bottom="1123" w:left="1147" w:header="0" w:footer="873" w:gutter="0"/>
          <w:pgNumType w:fmt="decimal"/>
          <w:cols w:space="0" w:num="1"/>
          <w:rtlGutter w:val="0"/>
          <w:docGrid w:linePitch="0" w:charSpace="0"/>
        </w:sectPr>
      </w:pPr>
    </w:p>
    <w:p w14:paraId="621634B8">
      <w:pPr>
        <w:rPr>
          <w:color w:val="auto"/>
          <w:highlight w:val="none"/>
        </w:rPr>
      </w:pPr>
    </w:p>
    <w:p w14:paraId="0BDA14ED">
      <w:pPr>
        <w:snapToGrid w:val="0"/>
        <w:spacing w:beforeLines="50" w:line="360" w:lineRule="auto"/>
        <w:jc w:val="center"/>
        <w:rPr>
          <w:rFonts w:ascii="宋体" w:hAnsi="宋体"/>
          <w:b/>
          <w:color w:val="auto"/>
          <w:sz w:val="44"/>
          <w:szCs w:val="44"/>
          <w:highlight w:val="none"/>
        </w:rPr>
      </w:pPr>
      <w:r>
        <w:rPr>
          <w:rFonts w:hint="eastAsia" w:ascii="宋体" w:hAnsi="宋体"/>
          <w:b/>
          <w:color w:val="auto"/>
          <w:sz w:val="44"/>
          <w:szCs w:val="44"/>
          <w:highlight w:val="none"/>
        </w:rPr>
        <w:t xml:space="preserve"> 目    录</w:t>
      </w:r>
    </w:p>
    <w:p w14:paraId="54440D6F">
      <w:pPr>
        <w:pStyle w:val="43"/>
        <w:tabs>
          <w:tab w:val="right" w:leader="dot" w:pos="9060"/>
        </w:tabs>
        <w:spacing w:line="900" w:lineRule="exact"/>
        <w:rPr>
          <w:rFonts w:ascii="宋体" w:hAnsi="宋体"/>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TOC \o "1-3" \h \z \u </w:instrText>
      </w:r>
      <w:r>
        <w:rPr>
          <w:rFonts w:ascii="宋体" w:hAnsi="宋体"/>
          <w:color w:val="auto"/>
          <w:sz w:val="30"/>
          <w:szCs w:val="30"/>
          <w:highlight w:val="none"/>
        </w:rPr>
        <w:fldChar w:fldCharType="separate"/>
      </w:r>
      <w:r>
        <w:rPr>
          <w:color w:val="auto"/>
          <w:highlight w:val="none"/>
        </w:rPr>
        <w:fldChar w:fldCharType="begin"/>
      </w:r>
      <w:r>
        <w:rPr>
          <w:color w:val="auto"/>
          <w:highlight w:val="none"/>
        </w:rPr>
        <w:instrText xml:space="preserve"> HYPERLINK \l "_Toc535851640" </w:instrText>
      </w:r>
      <w:r>
        <w:rPr>
          <w:color w:val="auto"/>
          <w:highlight w:val="none"/>
        </w:rPr>
        <w:fldChar w:fldCharType="separate"/>
      </w:r>
      <w:r>
        <w:rPr>
          <w:rStyle w:val="61"/>
          <w:rFonts w:ascii="宋体" w:hAnsi="宋体"/>
          <w:color w:val="auto"/>
          <w:sz w:val="30"/>
          <w:szCs w:val="30"/>
          <w:highlight w:val="none"/>
        </w:rPr>
        <w:t>第一章  公开招标公告</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_Toc535851640 \h </w:instrText>
      </w:r>
      <w:r>
        <w:rPr>
          <w:rFonts w:ascii="宋体" w:hAnsi="宋体"/>
          <w:color w:val="auto"/>
          <w:sz w:val="30"/>
          <w:szCs w:val="30"/>
          <w:highlight w:val="none"/>
        </w:rPr>
        <w:fldChar w:fldCharType="separate"/>
      </w:r>
      <w:r>
        <w:rPr>
          <w:rFonts w:ascii="宋体" w:hAnsi="宋体"/>
          <w:color w:val="auto"/>
          <w:sz w:val="30"/>
          <w:szCs w:val="30"/>
          <w:highlight w:val="none"/>
        </w:rPr>
        <w:t>1</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60C7E2E2">
      <w:pPr>
        <w:pStyle w:val="43"/>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"_Toc535851641" </w:instrText>
      </w:r>
      <w:r>
        <w:rPr>
          <w:color w:val="auto"/>
          <w:highlight w:val="none"/>
        </w:rPr>
        <w:fldChar w:fldCharType="separate"/>
      </w:r>
      <w:r>
        <w:rPr>
          <w:rStyle w:val="61"/>
          <w:rFonts w:ascii="宋体" w:hAnsi="宋体"/>
          <w:color w:val="auto"/>
          <w:sz w:val="30"/>
          <w:szCs w:val="30"/>
          <w:highlight w:val="none"/>
        </w:rPr>
        <w:t>第二章  招标项目采购需求</w:t>
      </w:r>
      <w:r>
        <w:rPr>
          <w:rFonts w:ascii="宋体" w:hAnsi="宋体"/>
          <w:color w:val="auto"/>
          <w:sz w:val="30"/>
          <w:szCs w:val="30"/>
          <w:highlight w:val="none"/>
        </w:rPr>
        <w:tab/>
      </w:r>
      <w:r>
        <w:rPr>
          <w:rFonts w:ascii="宋体" w:hAnsi="宋体"/>
          <w:color w:val="auto"/>
          <w:sz w:val="30"/>
          <w:szCs w:val="30"/>
          <w:highlight w:val="none"/>
        </w:rPr>
        <w:fldChar w:fldCharType="begin"/>
      </w:r>
      <w:r>
        <w:rPr>
          <w:rFonts w:ascii="宋体" w:hAnsi="宋体"/>
          <w:color w:val="auto"/>
          <w:sz w:val="30"/>
          <w:szCs w:val="30"/>
          <w:highlight w:val="none"/>
        </w:rPr>
        <w:instrText xml:space="preserve"> PAGEREF _Toc535851641 \h </w:instrText>
      </w:r>
      <w:r>
        <w:rPr>
          <w:rFonts w:ascii="宋体" w:hAnsi="宋体"/>
          <w:color w:val="auto"/>
          <w:sz w:val="30"/>
          <w:szCs w:val="30"/>
          <w:highlight w:val="none"/>
        </w:rPr>
        <w:fldChar w:fldCharType="separate"/>
      </w:r>
      <w:r>
        <w:rPr>
          <w:rFonts w:ascii="宋体" w:hAnsi="宋体"/>
          <w:color w:val="auto"/>
          <w:sz w:val="30"/>
          <w:szCs w:val="30"/>
          <w:highlight w:val="none"/>
        </w:rPr>
        <w:t>5</w:t>
      </w:r>
      <w:r>
        <w:rPr>
          <w:rFonts w:ascii="宋体" w:hAnsi="宋体"/>
          <w:color w:val="auto"/>
          <w:sz w:val="30"/>
          <w:szCs w:val="30"/>
          <w:highlight w:val="none"/>
        </w:rPr>
        <w:fldChar w:fldCharType="end"/>
      </w:r>
      <w:r>
        <w:rPr>
          <w:rFonts w:ascii="宋体" w:hAnsi="宋体"/>
          <w:color w:val="auto"/>
          <w:sz w:val="30"/>
          <w:szCs w:val="30"/>
          <w:highlight w:val="none"/>
        </w:rPr>
        <w:fldChar w:fldCharType="end"/>
      </w:r>
    </w:p>
    <w:p w14:paraId="69DC8025">
      <w:pPr>
        <w:pStyle w:val="43"/>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"_Toc535851642" </w:instrText>
      </w:r>
      <w:r>
        <w:rPr>
          <w:color w:val="auto"/>
          <w:highlight w:val="none"/>
        </w:rPr>
        <w:fldChar w:fldCharType="separate"/>
      </w:r>
      <w:r>
        <w:rPr>
          <w:rStyle w:val="61"/>
          <w:rFonts w:ascii="宋体" w:hAnsi="宋体"/>
          <w:color w:val="auto"/>
          <w:sz w:val="30"/>
          <w:szCs w:val="30"/>
          <w:highlight w:val="none"/>
        </w:rPr>
        <w:t>第三章  投标人须知</w:t>
      </w:r>
      <w:r>
        <w:rPr>
          <w:rFonts w:ascii="宋体" w:hAnsi="宋体"/>
          <w:color w:val="auto"/>
          <w:sz w:val="30"/>
          <w:szCs w:val="30"/>
          <w:highlight w:val="none"/>
        </w:rPr>
        <w:tab/>
      </w:r>
      <w:r>
        <w:rPr>
          <w:rFonts w:hint="eastAsia" w:ascii="宋体" w:hAnsi="宋体"/>
          <w:color w:val="auto"/>
          <w:sz w:val="30"/>
          <w:szCs w:val="30"/>
          <w:highlight w:val="none"/>
        </w:rPr>
        <w:t>9</w:t>
      </w:r>
      <w:r>
        <w:rPr>
          <w:rFonts w:hint="eastAsia" w:ascii="宋体" w:hAnsi="宋体"/>
          <w:color w:val="auto"/>
          <w:sz w:val="30"/>
          <w:szCs w:val="30"/>
          <w:highlight w:val="none"/>
        </w:rPr>
        <w:fldChar w:fldCharType="end"/>
      </w:r>
    </w:p>
    <w:p w14:paraId="529E53DE">
      <w:pPr>
        <w:pStyle w:val="43"/>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"_Toc535851643" </w:instrText>
      </w:r>
      <w:r>
        <w:rPr>
          <w:color w:val="auto"/>
          <w:highlight w:val="none"/>
        </w:rPr>
        <w:fldChar w:fldCharType="separate"/>
      </w:r>
      <w:r>
        <w:rPr>
          <w:rStyle w:val="61"/>
          <w:rFonts w:ascii="宋体" w:hAnsi="宋体"/>
          <w:color w:val="auto"/>
          <w:sz w:val="30"/>
          <w:szCs w:val="30"/>
          <w:highlight w:val="none"/>
        </w:rPr>
        <w:t>第四章  评标办法及评分标准</w:t>
      </w:r>
      <w:r>
        <w:rPr>
          <w:rFonts w:ascii="宋体" w:hAnsi="宋体"/>
          <w:color w:val="auto"/>
          <w:sz w:val="30"/>
          <w:szCs w:val="30"/>
          <w:highlight w:val="none"/>
        </w:rPr>
        <w:tab/>
      </w:r>
      <w:r>
        <w:rPr>
          <w:rFonts w:hint="eastAsia" w:ascii="宋体" w:hAnsi="宋体"/>
          <w:color w:val="auto"/>
          <w:sz w:val="30"/>
          <w:szCs w:val="30"/>
          <w:highlight w:val="none"/>
        </w:rPr>
        <w:t>2</w:t>
      </w:r>
      <w:r>
        <w:rPr>
          <w:rFonts w:hint="eastAsia" w:ascii="宋体" w:hAnsi="宋体"/>
          <w:color w:val="auto"/>
          <w:sz w:val="30"/>
          <w:szCs w:val="30"/>
          <w:highlight w:val="none"/>
        </w:rPr>
        <w:fldChar w:fldCharType="end"/>
      </w:r>
      <w:r>
        <w:rPr>
          <w:rFonts w:hint="eastAsia" w:ascii="宋体" w:hAnsi="宋体"/>
          <w:color w:val="auto"/>
          <w:sz w:val="30"/>
          <w:szCs w:val="30"/>
          <w:highlight w:val="none"/>
        </w:rPr>
        <w:t>6</w:t>
      </w:r>
    </w:p>
    <w:p w14:paraId="3F125200">
      <w:pPr>
        <w:pStyle w:val="43"/>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"_Toc535851644" </w:instrText>
      </w:r>
      <w:r>
        <w:rPr>
          <w:color w:val="auto"/>
          <w:highlight w:val="none"/>
        </w:rPr>
        <w:fldChar w:fldCharType="separate"/>
      </w:r>
      <w:r>
        <w:rPr>
          <w:rStyle w:val="61"/>
          <w:rFonts w:ascii="宋体" w:hAnsi="宋体"/>
          <w:color w:val="auto"/>
          <w:sz w:val="30"/>
          <w:szCs w:val="30"/>
          <w:highlight w:val="none"/>
        </w:rPr>
        <w:t>第五章  合同主要条款格式</w:t>
      </w:r>
      <w:r>
        <w:rPr>
          <w:rFonts w:ascii="宋体" w:hAnsi="宋体"/>
          <w:color w:val="auto"/>
          <w:sz w:val="30"/>
          <w:szCs w:val="30"/>
          <w:highlight w:val="none"/>
        </w:rPr>
        <w:tab/>
      </w:r>
      <w:r>
        <w:rPr>
          <w:rFonts w:hint="eastAsia" w:ascii="宋体" w:hAnsi="宋体"/>
          <w:color w:val="auto"/>
          <w:sz w:val="30"/>
          <w:szCs w:val="30"/>
          <w:highlight w:val="none"/>
        </w:rPr>
        <w:t>2</w:t>
      </w:r>
      <w:r>
        <w:rPr>
          <w:rFonts w:hint="eastAsia" w:ascii="宋体" w:hAnsi="宋体"/>
          <w:color w:val="auto"/>
          <w:sz w:val="30"/>
          <w:szCs w:val="30"/>
          <w:highlight w:val="none"/>
        </w:rPr>
        <w:fldChar w:fldCharType="end"/>
      </w:r>
      <w:r>
        <w:rPr>
          <w:rFonts w:hint="eastAsia" w:ascii="宋体" w:hAnsi="宋体"/>
          <w:color w:val="auto"/>
          <w:sz w:val="30"/>
          <w:szCs w:val="30"/>
          <w:highlight w:val="none"/>
        </w:rPr>
        <w:t>9</w:t>
      </w:r>
    </w:p>
    <w:p w14:paraId="394A00B4">
      <w:pPr>
        <w:pStyle w:val="43"/>
        <w:tabs>
          <w:tab w:val="right" w:leader="dot" w:pos="9060"/>
        </w:tabs>
        <w:spacing w:line="900" w:lineRule="exact"/>
        <w:rPr>
          <w:rFonts w:ascii="宋体" w:hAnsi="宋体"/>
          <w:color w:val="auto"/>
          <w:sz w:val="30"/>
          <w:szCs w:val="30"/>
          <w:highlight w:val="none"/>
        </w:rPr>
      </w:pPr>
      <w:r>
        <w:rPr>
          <w:color w:val="auto"/>
          <w:highlight w:val="none"/>
        </w:rPr>
        <w:fldChar w:fldCharType="begin"/>
      </w:r>
      <w:r>
        <w:rPr>
          <w:color w:val="auto"/>
          <w:highlight w:val="none"/>
        </w:rPr>
        <w:instrText xml:space="preserve"> HYPERLINK \l "_Toc535851645" </w:instrText>
      </w:r>
      <w:r>
        <w:rPr>
          <w:color w:val="auto"/>
          <w:highlight w:val="none"/>
        </w:rPr>
        <w:fldChar w:fldCharType="separate"/>
      </w:r>
      <w:r>
        <w:rPr>
          <w:rStyle w:val="61"/>
          <w:rFonts w:ascii="宋体" w:hAnsi="宋体"/>
          <w:color w:val="auto"/>
          <w:sz w:val="30"/>
          <w:szCs w:val="30"/>
          <w:highlight w:val="none"/>
        </w:rPr>
        <w:t>第六章　投标文件格式</w:t>
      </w:r>
      <w:r>
        <w:rPr>
          <w:rFonts w:ascii="宋体" w:hAnsi="宋体"/>
          <w:color w:val="auto"/>
          <w:sz w:val="30"/>
          <w:szCs w:val="30"/>
          <w:highlight w:val="none"/>
        </w:rPr>
        <w:tab/>
      </w:r>
      <w:r>
        <w:rPr>
          <w:rFonts w:hint="eastAsia" w:ascii="宋体" w:hAnsi="宋体"/>
          <w:color w:val="auto"/>
          <w:sz w:val="30"/>
          <w:szCs w:val="30"/>
          <w:highlight w:val="none"/>
        </w:rPr>
        <w:t>3</w:t>
      </w:r>
      <w:r>
        <w:rPr>
          <w:rFonts w:hint="eastAsia" w:ascii="宋体" w:hAnsi="宋体"/>
          <w:color w:val="auto"/>
          <w:sz w:val="30"/>
          <w:szCs w:val="30"/>
          <w:highlight w:val="none"/>
        </w:rPr>
        <w:fldChar w:fldCharType="end"/>
      </w:r>
      <w:r>
        <w:rPr>
          <w:rFonts w:hint="eastAsia" w:ascii="宋体" w:hAnsi="宋体"/>
          <w:color w:val="auto"/>
          <w:sz w:val="30"/>
          <w:szCs w:val="30"/>
          <w:highlight w:val="none"/>
        </w:rPr>
        <w:t>5</w:t>
      </w:r>
    </w:p>
    <w:p w14:paraId="6B6D8B6B">
      <w:pPr>
        <w:spacing w:line="760" w:lineRule="exact"/>
        <w:rPr>
          <w:rFonts w:ascii="宋体" w:hAnsi="宋体"/>
          <w:color w:val="auto"/>
          <w:highlight w:val="none"/>
        </w:rPr>
      </w:pPr>
      <w:r>
        <w:rPr>
          <w:rFonts w:ascii="宋体" w:hAnsi="宋体"/>
          <w:b/>
          <w:bCs/>
          <w:color w:val="auto"/>
          <w:sz w:val="30"/>
          <w:szCs w:val="30"/>
          <w:highlight w:val="none"/>
          <w:lang w:val="zh-CN"/>
        </w:rPr>
        <w:fldChar w:fldCharType="end"/>
      </w:r>
    </w:p>
    <w:p w14:paraId="77A87EA2">
      <w:pPr>
        <w:spacing w:beforeLines="50" w:line="480" w:lineRule="exact"/>
        <w:rPr>
          <w:rFonts w:ascii="宋体" w:hAnsi="宋体"/>
          <w:color w:val="auto"/>
          <w:szCs w:val="21"/>
          <w:highlight w:val="none"/>
        </w:rPr>
      </w:pPr>
    </w:p>
    <w:p w14:paraId="04226103">
      <w:pPr>
        <w:spacing w:beforeLines="50" w:line="480" w:lineRule="exact"/>
        <w:rPr>
          <w:rFonts w:ascii="宋体" w:hAnsi="宋体"/>
          <w:color w:val="auto"/>
          <w:szCs w:val="21"/>
          <w:highlight w:val="none"/>
        </w:rPr>
      </w:pPr>
    </w:p>
    <w:p w14:paraId="2C7449E9">
      <w:pPr>
        <w:spacing w:beforeLines="50" w:line="480" w:lineRule="exact"/>
        <w:rPr>
          <w:rFonts w:ascii="宋体" w:hAnsi="宋体"/>
          <w:color w:val="auto"/>
          <w:szCs w:val="21"/>
          <w:highlight w:val="none"/>
        </w:rPr>
      </w:pPr>
    </w:p>
    <w:p w14:paraId="74CD497A">
      <w:pPr>
        <w:spacing w:beforeLines="50" w:line="480" w:lineRule="exact"/>
        <w:rPr>
          <w:rFonts w:ascii="宋体" w:hAnsi="宋体"/>
          <w:color w:val="auto"/>
          <w:szCs w:val="21"/>
          <w:highlight w:val="none"/>
        </w:rPr>
      </w:pPr>
    </w:p>
    <w:p w14:paraId="5B0BF711">
      <w:pPr>
        <w:spacing w:beforeLines="50" w:line="480" w:lineRule="exact"/>
        <w:rPr>
          <w:rFonts w:ascii="宋体" w:hAnsi="宋体"/>
          <w:color w:val="auto"/>
          <w:szCs w:val="21"/>
          <w:highlight w:val="none"/>
        </w:rPr>
      </w:pPr>
    </w:p>
    <w:p w14:paraId="7D800B96">
      <w:pPr>
        <w:spacing w:beforeLines="50" w:line="480" w:lineRule="exact"/>
        <w:rPr>
          <w:rFonts w:ascii="宋体" w:hAnsi="宋体"/>
          <w:color w:val="auto"/>
          <w:szCs w:val="21"/>
          <w:highlight w:val="none"/>
        </w:rPr>
      </w:pPr>
    </w:p>
    <w:p w14:paraId="671341A5">
      <w:pPr>
        <w:pStyle w:val="3"/>
        <w:spacing w:after="0"/>
        <w:jc w:val="center"/>
        <w:rPr>
          <w:rFonts w:hint="eastAsia" w:ascii="宋体" w:hAnsi="宋体" w:eastAsia="宋体"/>
          <w:color w:val="auto"/>
          <w:sz w:val="44"/>
          <w:szCs w:val="44"/>
          <w:highlight w:val="none"/>
        </w:rPr>
        <w:sectPr>
          <w:footerReference r:id="rId4" w:type="default"/>
          <w:pgSz w:w="11912" w:h="16840"/>
          <w:pgMar w:top="1157" w:right="1060" w:bottom="1123" w:left="1147" w:header="0" w:footer="873" w:gutter="0"/>
          <w:pgNumType w:fmt="decimal" w:start="1"/>
          <w:cols w:space="0" w:num="1"/>
          <w:rtlGutter w:val="0"/>
          <w:docGrid w:linePitch="0" w:charSpace="0"/>
        </w:sectPr>
      </w:pPr>
      <w:bookmarkStart w:id="2" w:name="_Toc535851640"/>
    </w:p>
    <w:p w14:paraId="54264A88">
      <w:pPr>
        <w:pStyle w:val="3"/>
        <w:spacing w:after="0"/>
        <w:jc w:val="center"/>
        <w:rPr>
          <w:rFonts w:ascii="宋体" w:hAnsi="宋体" w:eastAsia="宋体"/>
          <w:color w:val="auto"/>
          <w:sz w:val="44"/>
          <w:szCs w:val="44"/>
          <w:highlight w:val="none"/>
        </w:rPr>
      </w:pPr>
      <w:r>
        <w:rPr>
          <w:rFonts w:hint="eastAsia" w:ascii="宋体" w:hAnsi="宋体" w:eastAsia="宋体"/>
          <w:color w:val="auto"/>
          <w:sz w:val="44"/>
          <w:szCs w:val="44"/>
          <w:highlight w:val="none"/>
        </w:rPr>
        <w:t>第</w:t>
      </w:r>
      <w:r>
        <w:rPr>
          <w:rFonts w:ascii="宋体" w:hAnsi="宋体" w:eastAsia="宋体"/>
          <w:color w:val="auto"/>
          <w:sz w:val="44"/>
          <w:szCs w:val="44"/>
          <w:highlight w:val="none"/>
        </w:rPr>
        <w:t>一章</w:t>
      </w:r>
      <w:r>
        <w:rPr>
          <w:rFonts w:hint="eastAsia" w:ascii="宋体" w:hAnsi="宋体" w:eastAsia="宋体"/>
          <w:color w:val="auto"/>
          <w:sz w:val="44"/>
          <w:szCs w:val="44"/>
          <w:highlight w:val="none"/>
        </w:rPr>
        <w:t xml:space="preserve">  公</w:t>
      </w:r>
      <w:r>
        <w:rPr>
          <w:rFonts w:ascii="宋体" w:hAnsi="宋体" w:eastAsia="宋体"/>
          <w:color w:val="auto"/>
          <w:sz w:val="44"/>
          <w:szCs w:val="44"/>
          <w:highlight w:val="none"/>
        </w:rPr>
        <w:t>开招标公告</w:t>
      </w:r>
      <w:bookmarkEnd w:id="2"/>
    </w:p>
    <w:p w14:paraId="39AE8116">
      <w:pPr>
        <w:spacing w:after="240" w:line="520" w:lineRule="exact"/>
        <w:jc w:val="center"/>
        <w:rPr>
          <w:rFonts w:hint="eastAsia" w:ascii="宋体" w:hAnsi="宋体"/>
          <w:b/>
          <w:color w:val="auto"/>
          <w:sz w:val="30"/>
          <w:szCs w:val="30"/>
          <w:highlight w:val="none"/>
        </w:rPr>
      </w:pPr>
      <w:r>
        <w:rPr>
          <w:rFonts w:hint="eastAsia" w:ascii="宋体" w:hAnsi="宋体"/>
          <w:b/>
          <w:color w:val="auto"/>
          <w:sz w:val="30"/>
          <w:szCs w:val="30"/>
          <w:highlight w:val="none"/>
          <w:lang w:eastAsia="zh-CN"/>
        </w:rPr>
        <w:t>贵港市安然项目管理有限公司</w:t>
      </w:r>
      <w:r>
        <w:rPr>
          <w:rFonts w:hint="eastAsia" w:ascii="宋体" w:hAnsi="宋体"/>
          <w:b/>
          <w:color w:val="auto"/>
          <w:sz w:val="30"/>
          <w:szCs w:val="30"/>
          <w:highlight w:val="none"/>
        </w:rPr>
        <w:t>关于</w:t>
      </w:r>
      <w:r>
        <w:rPr>
          <w:rFonts w:hint="eastAsia" w:ascii="宋体" w:hAnsi="宋体"/>
          <w:b/>
          <w:color w:val="auto"/>
          <w:sz w:val="30"/>
          <w:szCs w:val="30"/>
          <w:highlight w:val="none"/>
          <w:lang w:eastAsia="zh-CN"/>
        </w:rPr>
        <w:t>港南区第二轮土地承包到期后再延长30年试点项目</w:t>
      </w:r>
      <w:r>
        <w:rPr>
          <w:rFonts w:hint="eastAsia" w:ascii="宋体" w:hAnsi="宋体"/>
          <w:b/>
          <w:color w:val="auto"/>
          <w:sz w:val="30"/>
          <w:szCs w:val="30"/>
          <w:highlight w:val="none"/>
        </w:rPr>
        <w:t>（项目编号：GGZC2026-G3-030022-ARXM）</w:t>
      </w:r>
    </w:p>
    <w:p w14:paraId="283FAB5D">
      <w:pPr>
        <w:spacing w:after="240" w:line="520" w:lineRule="exact"/>
        <w:jc w:val="center"/>
        <w:rPr>
          <w:rFonts w:ascii="宋体" w:hAnsi="宋体"/>
          <w:b/>
          <w:color w:val="auto"/>
          <w:sz w:val="30"/>
          <w:szCs w:val="30"/>
          <w:highlight w:val="none"/>
        </w:rPr>
      </w:pPr>
      <w:r>
        <w:rPr>
          <w:rFonts w:hint="eastAsia" w:ascii="宋体" w:hAnsi="宋体"/>
          <w:b/>
          <w:color w:val="auto"/>
          <w:sz w:val="30"/>
          <w:szCs w:val="30"/>
          <w:highlight w:val="none"/>
        </w:rPr>
        <w:t>公开招标公告</w:t>
      </w:r>
    </w:p>
    <w:tbl>
      <w:tblPr>
        <w:tblStyle w:val="55"/>
        <w:tblW w:w="0" w:type="auto"/>
        <w:tblInd w:w="0" w:type="dxa"/>
        <w:tblLayout w:type="autofit"/>
        <w:tblCellMar>
          <w:top w:w="0" w:type="dxa"/>
          <w:left w:w="108" w:type="dxa"/>
          <w:bottom w:w="0" w:type="dxa"/>
          <w:right w:w="108" w:type="dxa"/>
        </w:tblCellMar>
      </w:tblPr>
      <w:tblGrid>
        <w:gridCol w:w="9713"/>
      </w:tblGrid>
      <w:tr w14:paraId="29E6940A">
        <w:trPr>
          <w:trHeight w:val="1447" w:hRule="atLeast"/>
        </w:trPr>
        <w:tc>
          <w:tcPr>
            <w:tcW w:w="9713" w:type="dxa"/>
          </w:tcPr>
          <w:p w14:paraId="7218E968">
            <w:pPr>
              <w:spacing w:line="360" w:lineRule="auto"/>
              <w:rPr>
                <w:rFonts w:ascii="宋体" w:hAnsi="宋体"/>
                <w:b/>
                <w:color w:val="auto"/>
                <w:highlight w:val="none"/>
              </w:rPr>
            </w:pPr>
            <w:r>
              <w:rPr>
                <w:rFonts w:hint="eastAsia" w:ascii="宋体" w:hAnsi="宋体"/>
                <w:b/>
                <w:color w:val="auto"/>
                <w:highlight w:val="none"/>
              </w:rPr>
              <w:t>项目概况</w:t>
            </w:r>
          </w:p>
          <w:p w14:paraId="66B81264">
            <w:pPr>
              <w:pStyle w:val="6"/>
              <w:spacing w:after="0"/>
              <w:ind w:firstLine="316" w:firstLineChars="150"/>
              <w:jc w:val="left"/>
              <w:rPr>
                <w:rFonts w:ascii="宋体" w:hAnsi="宋体" w:eastAsia="宋体"/>
                <w:color w:val="auto"/>
                <w:sz w:val="21"/>
                <w:szCs w:val="21"/>
                <w:highlight w:val="none"/>
              </w:rPr>
            </w:pPr>
            <w:r>
              <w:rPr>
                <w:rFonts w:hint="eastAsia" w:ascii="宋体" w:hAnsi="宋体" w:eastAsia="宋体"/>
                <w:b/>
                <w:bCs/>
                <w:color w:val="auto"/>
                <w:sz w:val="21"/>
                <w:szCs w:val="21"/>
                <w:highlight w:val="none"/>
                <w:u w:val="single"/>
                <w:lang w:eastAsia="zh-CN"/>
              </w:rPr>
              <w:t>港南区第二轮土地承包到期后再延长30年试点项目</w:t>
            </w:r>
            <w:r>
              <w:rPr>
                <w:rFonts w:hint="eastAsia" w:ascii="宋体" w:hAnsi="宋体" w:eastAsia="宋体"/>
                <w:b/>
                <w:bCs/>
                <w:color w:val="auto"/>
                <w:sz w:val="21"/>
                <w:szCs w:val="21"/>
                <w:highlight w:val="none"/>
                <w:u w:val="single"/>
              </w:rPr>
              <w:t>的潜在供应商应在广西政府采购云平台“项目采购—获取采购文件”模块自行下载采购文件，并于</w:t>
            </w:r>
            <w:r>
              <w:rPr>
                <w:rFonts w:hint="eastAsia" w:ascii="宋体" w:hAnsi="宋体" w:eastAsia="宋体"/>
                <w:b/>
                <w:bCs/>
                <w:color w:val="auto"/>
                <w:sz w:val="21"/>
                <w:szCs w:val="21"/>
                <w:highlight w:val="none"/>
                <w:u w:val="single"/>
                <w:lang w:eastAsia="zh-CN"/>
              </w:rPr>
              <w:t>2026</w:t>
            </w:r>
            <w:r>
              <w:rPr>
                <w:rFonts w:hint="eastAsia" w:ascii="宋体" w:hAnsi="宋体" w:eastAsia="宋体"/>
                <w:b/>
                <w:bCs/>
                <w:color w:val="auto"/>
                <w:sz w:val="21"/>
                <w:szCs w:val="21"/>
                <w:highlight w:val="none"/>
                <w:u w:val="single"/>
              </w:rPr>
              <w:t>年</w:t>
            </w:r>
            <w:r>
              <w:rPr>
                <w:rFonts w:hint="eastAsia" w:ascii="宋体" w:hAnsi="宋体" w:eastAsia="宋体"/>
                <w:b/>
                <w:bCs/>
                <w:color w:val="auto"/>
                <w:sz w:val="21"/>
                <w:szCs w:val="21"/>
                <w:highlight w:val="none"/>
                <w:u w:val="single"/>
                <w:lang w:val="en-US" w:eastAsia="zh-CN"/>
              </w:rPr>
              <w:t>5</w:t>
            </w:r>
            <w:r>
              <w:rPr>
                <w:rFonts w:hint="eastAsia" w:ascii="宋体" w:hAnsi="宋体" w:eastAsia="宋体"/>
                <w:b/>
                <w:bCs/>
                <w:color w:val="auto"/>
                <w:sz w:val="21"/>
                <w:szCs w:val="21"/>
                <w:highlight w:val="none"/>
                <w:u w:val="single"/>
              </w:rPr>
              <w:t>月</w:t>
            </w:r>
            <w:r>
              <w:rPr>
                <w:rFonts w:hint="eastAsia" w:ascii="宋体" w:hAnsi="宋体" w:eastAsia="宋体"/>
                <w:b/>
                <w:bCs/>
                <w:color w:val="auto"/>
                <w:sz w:val="21"/>
                <w:szCs w:val="21"/>
                <w:highlight w:val="none"/>
                <w:u w:val="single"/>
                <w:lang w:val="en-US" w:eastAsia="zh-CN"/>
              </w:rPr>
              <w:t>21</w:t>
            </w:r>
            <w:r>
              <w:rPr>
                <w:rFonts w:hint="eastAsia" w:ascii="宋体" w:hAnsi="宋体" w:eastAsia="宋体"/>
                <w:b/>
                <w:bCs/>
                <w:color w:val="auto"/>
                <w:sz w:val="21"/>
                <w:szCs w:val="21"/>
                <w:highlight w:val="none"/>
                <w:u w:val="single"/>
              </w:rPr>
              <w:t>日</w:t>
            </w:r>
            <w:r>
              <w:rPr>
                <w:rFonts w:hint="eastAsia" w:ascii="宋体" w:hAnsi="宋体" w:eastAsia="宋体"/>
                <w:b/>
                <w:bCs/>
                <w:color w:val="auto"/>
                <w:sz w:val="21"/>
                <w:szCs w:val="21"/>
                <w:highlight w:val="none"/>
                <w:u w:val="single"/>
                <w:lang w:val="en-US" w:eastAsia="zh-CN"/>
              </w:rPr>
              <w:t>09</w:t>
            </w:r>
            <w:r>
              <w:rPr>
                <w:rFonts w:hint="eastAsia" w:ascii="宋体" w:hAnsi="宋体" w:eastAsia="宋体"/>
                <w:b/>
                <w:bCs/>
                <w:color w:val="auto"/>
                <w:sz w:val="21"/>
                <w:szCs w:val="21"/>
                <w:highlight w:val="none"/>
                <w:u w:val="single"/>
              </w:rPr>
              <w:t>时</w:t>
            </w:r>
            <w:r>
              <w:rPr>
                <w:rFonts w:hint="eastAsia" w:ascii="宋体" w:hAnsi="宋体" w:eastAsia="宋体"/>
                <w:b/>
                <w:bCs/>
                <w:color w:val="auto"/>
                <w:sz w:val="21"/>
                <w:szCs w:val="21"/>
                <w:highlight w:val="none"/>
                <w:u w:val="single"/>
                <w:lang w:val="en-US" w:eastAsia="zh-CN"/>
              </w:rPr>
              <w:t>00</w:t>
            </w:r>
            <w:r>
              <w:rPr>
                <w:rFonts w:hint="eastAsia" w:ascii="宋体" w:hAnsi="宋体" w:eastAsia="宋体"/>
                <w:b/>
                <w:bCs/>
                <w:color w:val="auto"/>
                <w:sz w:val="21"/>
                <w:szCs w:val="21"/>
                <w:highlight w:val="none"/>
                <w:u w:val="single"/>
              </w:rPr>
              <w:t>分（北京时间）前递交响应文件。</w:t>
            </w:r>
          </w:p>
        </w:tc>
      </w:tr>
    </w:tbl>
    <w:p w14:paraId="56DA803F">
      <w:pPr>
        <w:widowControl/>
        <w:spacing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一、项目基本情况</w:t>
      </w:r>
    </w:p>
    <w:p w14:paraId="25B9289F">
      <w:pPr>
        <w:widowControl/>
        <w:spacing w:before="75" w:after="75" w:line="360" w:lineRule="auto"/>
        <w:ind w:firstLine="480"/>
        <w:jc w:val="left"/>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rPr>
        <w:t>项目编号：</w:t>
      </w:r>
      <w:r>
        <w:rPr>
          <w:rFonts w:hint="eastAsia" w:ascii="宋体" w:hAnsi="宋体" w:cs="宋体"/>
          <w:b/>
          <w:bCs/>
          <w:color w:val="auto"/>
          <w:kern w:val="0"/>
          <w:szCs w:val="21"/>
          <w:highlight w:val="none"/>
          <w:lang w:eastAsia="zh-CN"/>
        </w:rPr>
        <w:t>GGZC2026-G3-030022-ARXM</w:t>
      </w:r>
    </w:p>
    <w:p w14:paraId="65A5F9DE">
      <w:pPr>
        <w:widowControl/>
        <w:spacing w:before="75" w:after="75" w:line="360" w:lineRule="auto"/>
        <w:ind w:firstLine="48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采购计划文号：</w:t>
      </w:r>
      <w:r>
        <w:rPr>
          <w:rFonts w:hint="eastAsia" w:ascii="宋体" w:hAnsi="宋体" w:cs="宋体"/>
          <w:b/>
          <w:bCs/>
          <w:color w:val="auto"/>
          <w:kern w:val="0"/>
          <w:szCs w:val="21"/>
          <w:highlight w:val="none"/>
          <w:lang w:val="en-US" w:eastAsia="zh-CN"/>
        </w:rPr>
        <w:t>GNZC</w:t>
      </w:r>
      <w:r>
        <w:rPr>
          <w:rFonts w:hint="eastAsia" w:ascii="宋体" w:hAnsi="宋体" w:cs="宋体"/>
          <w:b/>
          <w:bCs/>
          <w:color w:val="auto"/>
          <w:kern w:val="0"/>
          <w:szCs w:val="21"/>
          <w:highlight w:val="none"/>
        </w:rPr>
        <w:t>[2026]</w:t>
      </w:r>
      <w:r>
        <w:rPr>
          <w:rFonts w:hint="eastAsia" w:ascii="宋体" w:hAnsi="宋体" w:cs="宋体"/>
          <w:b/>
          <w:bCs/>
          <w:color w:val="auto"/>
          <w:kern w:val="0"/>
          <w:szCs w:val="21"/>
          <w:highlight w:val="none"/>
          <w:lang w:val="en-US" w:eastAsia="zh-CN"/>
        </w:rPr>
        <w:t>00797</w:t>
      </w:r>
      <w:r>
        <w:rPr>
          <w:rFonts w:hint="eastAsia" w:ascii="宋体" w:hAnsi="宋体" w:cs="宋体"/>
          <w:b/>
          <w:bCs/>
          <w:color w:val="auto"/>
          <w:kern w:val="0"/>
          <w:szCs w:val="21"/>
          <w:highlight w:val="none"/>
        </w:rPr>
        <w:t>号</w:t>
      </w:r>
    </w:p>
    <w:p w14:paraId="6B44C4C6">
      <w:pPr>
        <w:widowControl/>
        <w:spacing w:before="75" w:after="75" w:line="360" w:lineRule="auto"/>
        <w:ind w:firstLine="480"/>
        <w:jc w:val="left"/>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rPr>
        <w:t>项目名称：</w:t>
      </w:r>
      <w:r>
        <w:rPr>
          <w:rFonts w:hint="eastAsia" w:ascii="宋体" w:hAnsi="宋体" w:cs="宋体"/>
          <w:b/>
          <w:bCs/>
          <w:color w:val="auto"/>
          <w:kern w:val="0"/>
          <w:szCs w:val="21"/>
          <w:highlight w:val="none"/>
          <w:lang w:eastAsia="zh-CN"/>
        </w:rPr>
        <w:t>港南区第二轮土地承包到期后再延长30年试点项目</w:t>
      </w:r>
    </w:p>
    <w:p w14:paraId="6983657D">
      <w:pPr>
        <w:widowControl/>
        <w:spacing w:before="75" w:after="75" w:line="360" w:lineRule="auto"/>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预算</w:t>
      </w:r>
      <w:r>
        <w:rPr>
          <w:rFonts w:hint="eastAsia" w:ascii="宋体" w:hAnsi="宋体" w:cs="宋体"/>
          <w:b/>
          <w:bCs/>
          <w:color w:val="auto"/>
          <w:kern w:val="0"/>
          <w:szCs w:val="21"/>
          <w:highlight w:val="none"/>
          <w:lang w:val="en-US" w:eastAsia="zh-CN"/>
        </w:rPr>
        <w:t>总</w:t>
      </w:r>
      <w:r>
        <w:rPr>
          <w:rFonts w:hint="eastAsia" w:ascii="宋体" w:hAnsi="宋体" w:cs="宋体"/>
          <w:b/>
          <w:bCs/>
          <w:color w:val="auto"/>
          <w:kern w:val="0"/>
          <w:szCs w:val="21"/>
          <w:highlight w:val="none"/>
        </w:rPr>
        <w:t>金额：人民币</w:t>
      </w:r>
      <w:r>
        <w:rPr>
          <w:rFonts w:hint="eastAsia" w:ascii="宋体" w:hAnsi="宋体" w:cs="宋体"/>
          <w:b/>
          <w:bCs/>
          <w:color w:val="auto"/>
          <w:kern w:val="0"/>
          <w:szCs w:val="21"/>
          <w:highlight w:val="none"/>
          <w:lang w:val="en-US" w:eastAsia="zh-CN"/>
        </w:rPr>
        <w:t>叁佰贰拾捌万柒仟玖佰元整</w:t>
      </w:r>
      <w:r>
        <w:rPr>
          <w:rFonts w:hint="eastAsia" w:ascii="宋体" w:hAnsi="宋体" w:cs="宋体"/>
          <w:b/>
          <w:bCs/>
          <w:color w:val="auto"/>
          <w:kern w:val="0"/>
          <w:szCs w:val="21"/>
          <w:highlight w:val="none"/>
        </w:rPr>
        <w:t>（￥</w:t>
      </w:r>
      <w:r>
        <w:rPr>
          <w:rFonts w:hint="eastAsia" w:ascii="宋体" w:hAnsi="宋体" w:cs="宋体"/>
          <w:b/>
          <w:bCs/>
          <w:color w:val="auto"/>
          <w:kern w:val="0"/>
          <w:szCs w:val="21"/>
          <w:highlight w:val="none"/>
          <w:lang w:val="en-US" w:eastAsia="zh-CN"/>
        </w:rPr>
        <w:t>3287900.00</w:t>
      </w:r>
      <w:r>
        <w:rPr>
          <w:rFonts w:hint="eastAsia" w:ascii="宋体" w:hAnsi="宋体" w:cs="宋体"/>
          <w:b/>
          <w:bCs/>
          <w:color w:val="auto"/>
          <w:kern w:val="0"/>
          <w:szCs w:val="21"/>
          <w:highlight w:val="none"/>
        </w:rPr>
        <w:t>）</w:t>
      </w:r>
    </w:p>
    <w:p w14:paraId="2EE64A85">
      <w:pPr>
        <w:widowControl/>
        <w:spacing w:before="75" w:after="75" w:line="360" w:lineRule="auto"/>
        <w:ind w:firstLine="48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采购需求：</w:t>
      </w:r>
    </w:p>
    <w:p w14:paraId="3470F18C">
      <w:pPr>
        <w:widowControl/>
        <w:spacing w:before="75" w:after="75" w:line="360" w:lineRule="auto"/>
        <w:ind w:firstLine="422" w:firstLineChars="200"/>
        <w:jc w:val="left"/>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lang w:eastAsia="zh-CN"/>
        </w:rPr>
        <w:t>标项</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lang w:eastAsia="zh-CN"/>
        </w:rPr>
        <w:t>名称:港南区第二轮土地承包到期后再延长30年试点项目（</w:t>
      </w:r>
      <w:r>
        <w:rPr>
          <w:rFonts w:hint="eastAsia" w:ascii="宋体" w:hAnsi="宋体" w:cs="宋体"/>
          <w:b/>
          <w:bCs/>
          <w:color w:val="auto"/>
          <w:kern w:val="0"/>
          <w:szCs w:val="21"/>
          <w:highlight w:val="none"/>
          <w:lang w:val="en-US" w:eastAsia="zh-CN"/>
        </w:rPr>
        <w:t>桥圩镇、东津镇、八塘镇、江南办</w:t>
      </w:r>
      <w:r>
        <w:rPr>
          <w:rFonts w:hint="eastAsia" w:ascii="宋体" w:hAnsi="宋体" w:cs="宋体"/>
          <w:b/>
          <w:bCs/>
          <w:color w:val="auto"/>
          <w:kern w:val="0"/>
          <w:szCs w:val="21"/>
          <w:highlight w:val="none"/>
          <w:lang w:eastAsia="zh-CN"/>
        </w:rPr>
        <w:t>）</w:t>
      </w:r>
    </w:p>
    <w:p w14:paraId="1DB4C09E">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数量:不限</w:t>
      </w:r>
    </w:p>
    <w:p w14:paraId="5661FECE">
      <w:pPr>
        <w:widowControl/>
        <w:spacing w:before="75" w:after="75" w:line="360" w:lineRule="auto"/>
        <w:ind w:firstLine="480"/>
        <w:jc w:val="left"/>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eastAsia="zh-CN"/>
        </w:rPr>
        <w:t>预算金额（元）:</w:t>
      </w:r>
      <w:r>
        <w:rPr>
          <w:rFonts w:hint="eastAsia" w:ascii="宋体" w:hAnsi="宋体" w:cs="宋体"/>
          <w:b/>
          <w:bCs/>
          <w:color w:val="auto"/>
          <w:kern w:val="0"/>
          <w:szCs w:val="21"/>
          <w:highlight w:val="none"/>
          <w:lang w:val="en-US" w:eastAsia="zh-CN"/>
        </w:rPr>
        <w:t>1609000.00</w:t>
      </w:r>
    </w:p>
    <w:p w14:paraId="7B813E71">
      <w:pPr>
        <w:widowControl/>
        <w:spacing w:before="75" w:after="75" w:line="360" w:lineRule="auto"/>
        <w:ind w:firstLine="480"/>
        <w:jc w:val="left"/>
        <w:rPr>
          <w:rFonts w:hint="eastAsia" w:ascii="宋体" w:hAnsi="宋体" w:cs="宋体"/>
          <w:b w:val="0"/>
          <w:bCs w:val="0"/>
          <w:color w:val="auto"/>
          <w:kern w:val="0"/>
          <w:szCs w:val="21"/>
          <w:highlight w:val="none"/>
          <w:lang w:eastAsia="zh-CN"/>
        </w:rPr>
      </w:pPr>
      <w:r>
        <w:rPr>
          <w:rFonts w:hint="eastAsia" w:ascii="宋体" w:hAnsi="宋体" w:cs="宋体"/>
          <w:b w:val="0"/>
          <w:bCs w:val="0"/>
          <w:color w:val="auto"/>
          <w:kern w:val="0"/>
          <w:szCs w:val="21"/>
          <w:highlight w:val="none"/>
          <w:lang w:eastAsia="zh-CN"/>
        </w:rPr>
        <w:t>简要规格描述或项目基本概况介绍、用途</w:t>
      </w:r>
      <w:r>
        <w:rPr>
          <w:rFonts w:hint="eastAsia" w:ascii="宋体" w:hAnsi="宋体" w:eastAsia="宋体" w:cs="宋体"/>
          <w:b w:val="0"/>
          <w:bCs w:val="0"/>
          <w:color w:val="auto"/>
          <w:kern w:val="0"/>
          <w:szCs w:val="21"/>
          <w:highlight w:val="none"/>
          <w:lang w:eastAsia="zh-CN"/>
        </w:rPr>
        <w:t>：港南区第二轮土地承包到期后再延长30年试点项目（</w:t>
      </w:r>
      <w:r>
        <w:rPr>
          <w:rFonts w:hint="eastAsia" w:ascii="宋体" w:hAnsi="宋体" w:eastAsia="宋体" w:cs="宋体"/>
          <w:b w:val="0"/>
          <w:bCs w:val="0"/>
          <w:color w:val="auto"/>
          <w:kern w:val="0"/>
          <w:szCs w:val="21"/>
          <w:highlight w:val="none"/>
          <w:lang w:val="en-US" w:eastAsia="zh-CN"/>
        </w:rPr>
        <w:t>桥圩镇、东津镇、八塘镇、江南办</w:t>
      </w:r>
      <w:r>
        <w:rPr>
          <w:rFonts w:hint="eastAsia" w:ascii="宋体" w:hAnsi="宋体" w:eastAsia="宋体" w:cs="宋体"/>
          <w:b w:val="0"/>
          <w:bCs w:val="0"/>
          <w:color w:val="auto"/>
          <w:kern w:val="0"/>
          <w:szCs w:val="21"/>
          <w:highlight w:val="none"/>
          <w:lang w:eastAsia="zh-CN"/>
        </w:rPr>
        <w:t>）</w:t>
      </w:r>
      <w:r>
        <w:rPr>
          <w:rFonts w:hint="eastAsia" w:ascii="宋体" w:hAnsi="宋体" w:cs="宋体"/>
          <w:b w:val="0"/>
          <w:bCs w:val="0"/>
          <w:color w:val="auto"/>
          <w:kern w:val="0"/>
          <w:szCs w:val="21"/>
          <w:highlight w:val="none"/>
          <w:lang w:eastAsia="zh-CN"/>
        </w:rPr>
        <w:t>，具体详见公开招标文件采购需求。</w:t>
      </w:r>
    </w:p>
    <w:p w14:paraId="0322D8B1">
      <w:pPr>
        <w:widowControl/>
        <w:spacing w:before="75" w:after="75" w:line="360" w:lineRule="auto"/>
        <w:ind w:firstLine="480"/>
        <w:jc w:val="left"/>
        <w:rPr>
          <w:rFonts w:hint="default" w:ascii="宋体" w:hAnsi="宋体" w:cs="宋体"/>
          <w:b w:val="0"/>
          <w:bCs w:val="0"/>
          <w:color w:val="auto"/>
          <w:kern w:val="0"/>
          <w:szCs w:val="21"/>
          <w:highlight w:val="none"/>
          <w:lang w:val="en-US" w:eastAsia="zh-CN"/>
        </w:rPr>
      </w:pPr>
      <w:r>
        <w:rPr>
          <w:rFonts w:hint="eastAsia" w:ascii="宋体" w:hAnsi="宋体" w:cs="宋体"/>
          <w:color w:val="auto"/>
          <w:kern w:val="0"/>
          <w:szCs w:val="21"/>
          <w:highlight w:val="none"/>
          <w:lang w:eastAsia="zh-CN"/>
        </w:rPr>
        <w:t>最高限价（如有）：</w:t>
      </w:r>
      <w:r>
        <w:rPr>
          <w:rFonts w:hint="eastAsia" w:ascii="宋体" w:hAnsi="宋体" w:cs="宋体"/>
          <w:color w:val="auto"/>
          <w:kern w:val="0"/>
          <w:szCs w:val="21"/>
          <w:highlight w:val="none"/>
          <w:lang w:val="en-US" w:eastAsia="zh-CN"/>
        </w:rPr>
        <w:t>1609000.00</w:t>
      </w:r>
    </w:p>
    <w:p w14:paraId="475F51A2">
      <w:pPr>
        <w:widowControl/>
        <w:spacing w:before="75" w:after="75" w:line="360" w:lineRule="auto"/>
        <w:ind w:firstLine="480"/>
        <w:jc w:val="left"/>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lang w:eastAsia="zh-CN"/>
        </w:rPr>
        <w:t>合同履约期限：自合同签订之日起至2026年11月30日之前完成全部项目工作内容。</w:t>
      </w:r>
    </w:p>
    <w:p w14:paraId="51F3E1FE">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本标项（否）接受联合体投标</w:t>
      </w:r>
    </w:p>
    <w:p w14:paraId="673DD064">
      <w:pPr>
        <w:widowControl/>
        <w:spacing w:before="75" w:after="75" w:line="360" w:lineRule="auto"/>
        <w:ind w:firstLine="422" w:firstLineChars="200"/>
        <w:jc w:val="left"/>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lang w:eastAsia="zh-CN"/>
        </w:rPr>
        <w:t>标项</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lang w:eastAsia="zh-CN"/>
        </w:rPr>
        <w:t>名称:港南区第二轮土地承包到期后再延长30年试点项目（</w:t>
      </w:r>
      <w:r>
        <w:rPr>
          <w:rFonts w:hint="eastAsia" w:ascii="宋体" w:hAnsi="宋体" w:cs="宋体"/>
          <w:b/>
          <w:bCs/>
          <w:color w:val="auto"/>
          <w:kern w:val="0"/>
          <w:szCs w:val="21"/>
          <w:highlight w:val="none"/>
          <w:lang w:val="en-US" w:eastAsia="zh-CN"/>
        </w:rPr>
        <w:t>木格镇、木梓镇、新塘镇、瓦塘镇</w:t>
      </w:r>
      <w:r>
        <w:rPr>
          <w:rFonts w:hint="eastAsia" w:ascii="宋体" w:hAnsi="宋体" w:cs="宋体"/>
          <w:b/>
          <w:bCs/>
          <w:color w:val="auto"/>
          <w:kern w:val="0"/>
          <w:szCs w:val="21"/>
          <w:highlight w:val="none"/>
          <w:lang w:eastAsia="zh-CN"/>
        </w:rPr>
        <w:t>）</w:t>
      </w:r>
    </w:p>
    <w:p w14:paraId="04007253">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数量:不限</w:t>
      </w:r>
    </w:p>
    <w:p w14:paraId="0ADC9458">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预算金额（元）:</w:t>
      </w:r>
      <w:r>
        <w:rPr>
          <w:rFonts w:hint="eastAsia" w:ascii="宋体" w:hAnsi="宋体" w:cs="宋体"/>
          <w:color w:val="auto"/>
          <w:kern w:val="0"/>
          <w:szCs w:val="21"/>
          <w:highlight w:val="none"/>
          <w:lang w:val="en-US" w:eastAsia="zh-CN"/>
        </w:rPr>
        <w:t>1678900.00</w:t>
      </w:r>
    </w:p>
    <w:p w14:paraId="732F9C37">
      <w:pPr>
        <w:widowControl/>
        <w:spacing w:before="75" w:after="75" w:line="360" w:lineRule="auto"/>
        <w:ind w:firstLine="480"/>
        <w:jc w:val="left"/>
        <w:rPr>
          <w:rFonts w:hint="eastAsia" w:ascii="宋体" w:hAnsi="宋体" w:cs="宋体"/>
          <w:b w:val="0"/>
          <w:bCs w:val="0"/>
          <w:color w:val="auto"/>
          <w:kern w:val="0"/>
          <w:szCs w:val="21"/>
          <w:highlight w:val="none"/>
          <w:lang w:eastAsia="zh-CN"/>
        </w:rPr>
      </w:pPr>
      <w:r>
        <w:rPr>
          <w:rFonts w:hint="eastAsia" w:ascii="宋体" w:hAnsi="宋体" w:cs="宋体"/>
          <w:b w:val="0"/>
          <w:bCs w:val="0"/>
          <w:color w:val="auto"/>
          <w:kern w:val="0"/>
          <w:szCs w:val="21"/>
          <w:highlight w:val="none"/>
          <w:lang w:eastAsia="zh-CN"/>
        </w:rPr>
        <w:t>简要规格描述或项目基本概况介绍、用途</w:t>
      </w:r>
      <w:r>
        <w:rPr>
          <w:rFonts w:hint="eastAsia" w:ascii="宋体" w:hAnsi="宋体" w:eastAsia="宋体" w:cs="宋体"/>
          <w:b w:val="0"/>
          <w:bCs w:val="0"/>
          <w:color w:val="auto"/>
          <w:kern w:val="0"/>
          <w:szCs w:val="21"/>
          <w:highlight w:val="none"/>
          <w:lang w:eastAsia="zh-CN"/>
        </w:rPr>
        <w:t>：港南区第二轮土地承包到期后再延长30年试点项目（</w:t>
      </w:r>
      <w:r>
        <w:rPr>
          <w:rFonts w:hint="eastAsia" w:ascii="宋体" w:hAnsi="宋体" w:eastAsia="宋体" w:cs="宋体"/>
          <w:b w:val="0"/>
          <w:bCs w:val="0"/>
          <w:color w:val="auto"/>
          <w:kern w:val="0"/>
          <w:szCs w:val="21"/>
          <w:highlight w:val="none"/>
          <w:lang w:val="en-US" w:eastAsia="zh-CN"/>
        </w:rPr>
        <w:t>木格镇、木梓镇、新塘镇、瓦塘镇</w:t>
      </w:r>
      <w:r>
        <w:rPr>
          <w:rFonts w:hint="eastAsia" w:ascii="宋体" w:hAnsi="宋体" w:eastAsia="宋体" w:cs="宋体"/>
          <w:b w:val="0"/>
          <w:bCs w:val="0"/>
          <w:color w:val="auto"/>
          <w:kern w:val="0"/>
          <w:szCs w:val="21"/>
          <w:highlight w:val="none"/>
          <w:lang w:eastAsia="zh-CN"/>
        </w:rPr>
        <w:t>）</w:t>
      </w:r>
      <w:r>
        <w:rPr>
          <w:rFonts w:hint="eastAsia" w:ascii="宋体" w:hAnsi="宋体" w:cs="宋体"/>
          <w:b w:val="0"/>
          <w:bCs w:val="0"/>
          <w:color w:val="auto"/>
          <w:kern w:val="0"/>
          <w:szCs w:val="21"/>
          <w:highlight w:val="none"/>
          <w:lang w:eastAsia="zh-CN"/>
        </w:rPr>
        <w:t>，具体详见公开招标文件采购需求。</w:t>
      </w:r>
    </w:p>
    <w:p w14:paraId="110EDD5C">
      <w:pPr>
        <w:widowControl/>
        <w:spacing w:before="75" w:after="75" w:line="360" w:lineRule="auto"/>
        <w:ind w:firstLine="480"/>
        <w:jc w:val="left"/>
        <w:rPr>
          <w:rFonts w:hint="default" w:ascii="宋体" w:hAnsi="宋体" w:cs="宋体"/>
          <w:b w:val="0"/>
          <w:bCs w:val="0"/>
          <w:color w:val="auto"/>
          <w:kern w:val="0"/>
          <w:szCs w:val="21"/>
          <w:highlight w:val="none"/>
          <w:lang w:val="en-US" w:eastAsia="zh-CN"/>
        </w:rPr>
      </w:pPr>
      <w:r>
        <w:rPr>
          <w:rFonts w:hint="eastAsia" w:ascii="宋体" w:hAnsi="宋体" w:cs="宋体"/>
          <w:color w:val="auto"/>
          <w:kern w:val="0"/>
          <w:szCs w:val="21"/>
          <w:highlight w:val="none"/>
          <w:lang w:eastAsia="zh-CN"/>
        </w:rPr>
        <w:t>最高限价（如有）：</w:t>
      </w:r>
      <w:r>
        <w:rPr>
          <w:rFonts w:hint="eastAsia" w:ascii="宋体" w:hAnsi="宋体" w:cs="宋体"/>
          <w:color w:val="auto"/>
          <w:kern w:val="0"/>
          <w:szCs w:val="21"/>
          <w:highlight w:val="none"/>
          <w:lang w:val="en-US" w:eastAsia="zh-CN"/>
        </w:rPr>
        <w:t>1678900.00</w:t>
      </w:r>
    </w:p>
    <w:p w14:paraId="5A84F0CC">
      <w:pPr>
        <w:widowControl/>
        <w:spacing w:before="75" w:after="75" w:line="360" w:lineRule="auto"/>
        <w:ind w:firstLine="480"/>
        <w:jc w:val="left"/>
        <w:rPr>
          <w:rFonts w:hint="eastAsia" w:ascii="宋体" w:hAnsi="宋体" w:cs="宋体"/>
          <w:b/>
          <w:bCs/>
          <w:color w:val="auto"/>
          <w:kern w:val="0"/>
          <w:szCs w:val="21"/>
          <w:highlight w:val="none"/>
          <w:lang w:eastAsia="zh-CN"/>
        </w:rPr>
      </w:pPr>
      <w:r>
        <w:rPr>
          <w:rFonts w:hint="eastAsia" w:ascii="宋体" w:hAnsi="宋体" w:cs="宋体"/>
          <w:b/>
          <w:bCs/>
          <w:color w:val="auto"/>
          <w:kern w:val="0"/>
          <w:szCs w:val="21"/>
          <w:highlight w:val="none"/>
          <w:lang w:eastAsia="zh-CN"/>
        </w:rPr>
        <w:t>合同履约期限：自合同签订之日起至2026年11月30日之前完成全部项目工作内容。</w:t>
      </w:r>
    </w:p>
    <w:p w14:paraId="6D39D225">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本标项（否）接受联合体投标</w:t>
      </w:r>
    </w:p>
    <w:p w14:paraId="0E84ED05">
      <w:pPr>
        <w:pStyle w:val="64"/>
        <w:ind w:firstLine="482" w:firstLineChars="200"/>
        <w:rPr>
          <w:rFonts w:hint="eastAsia" w:ascii="宋体" w:hAnsi="宋体" w:cs="宋体"/>
          <w:color w:val="auto"/>
          <w:kern w:val="0"/>
          <w:szCs w:val="21"/>
          <w:highlight w:val="none"/>
          <w:lang w:eastAsia="zh-CN"/>
        </w:rPr>
      </w:pPr>
      <w:r>
        <w:rPr>
          <w:rFonts w:hint="eastAsia"/>
          <w:b/>
          <w:bCs/>
          <w:u w:val="single"/>
          <w:lang w:val="en-US" w:eastAsia="zh-CN"/>
        </w:rPr>
        <w:t>备注：本次采购项目划分为 2个分标，投标人可对2个分标中的1个或者多个分标竞标，限中 1 个分标（含 1 个)，如：同时获得1分标、2分标的第一中标候选人，只能获得1分标的第一个成交候选人资格，2分标的不推荐为成交候选人。</w:t>
      </w:r>
    </w:p>
    <w:p w14:paraId="389904B6">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二、申请人的资格要求：</w:t>
      </w:r>
    </w:p>
    <w:p w14:paraId="44C91561">
      <w:pPr>
        <w:widowControl/>
        <w:spacing w:before="75" w:after="75"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1、满足《中华人民共和国政府采购法》第二十二条规定；</w:t>
      </w:r>
    </w:p>
    <w:p w14:paraId="3C75A285">
      <w:pPr>
        <w:spacing w:line="360" w:lineRule="auto"/>
        <w:ind w:firstLine="420" w:firstLineChars="200"/>
        <w:rPr>
          <w:rFonts w:ascii="宋体" w:hAnsi="宋体" w:cs="宋体"/>
          <w:bCs/>
          <w:color w:val="auto"/>
          <w:kern w:val="0"/>
          <w:szCs w:val="21"/>
          <w:highlight w:val="none"/>
        </w:rPr>
      </w:pPr>
      <w:r>
        <w:rPr>
          <w:rFonts w:ascii="宋体" w:hAnsi="宋体" w:cs="宋体"/>
          <w:bCs/>
          <w:color w:val="auto"/>
          <w:kern w:val="0"/>
          <w:szCs w:val="21"/>
          <w:highlight w:val="none"/>
        </w:rPr>
        <w:t>2</w:t>
      </w:r>
      <w:r>
        <w:rPr>
          <w:rFonts w:hint="eastAsia" w:ascii="宋体" w:hAnsi="宋体" w:cs="宋体"/>
          <w:bCs/>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B01A9AB">
      <w:pPr>
        <w:widowControl/>
        <w:spacing w:before="75" w:after="75" w:line="360" w:lineRule="auto"/>
        <w:ind w:firstLine="420" w:firstLineChars="200"/>
        <w:jc w:val="left"/>
        <w:rPr>
          <w:rFonts w:ascii="宋体" w:hAnsi="宋体" w:cs="宋体"/>
          <w:bCs/>
          <w:color w:val="auto"/>
          <w:kern w:val="0"/>
          <w:szCs w:val="21"/>
          <w:highlight w:val="none"/>
        </w:rPr>
      </w:pPr>
      <w:r>
        <w:rPr>
          <w:rFonts w:ascii="宋体" w:hAnsi="宋体" w:cs="宋体"/>
          <w:bCs/>
          <w:color w:val="auto"/>
          <w:kern w:val="0"/>
          <w:szCs w:val="21"/>
          <w:highlight w:val="none"/>
        </w:rPr>
        <w:t>3</w:t>
      </w:r>
      <w:r>
        <w:rPr>
          <w:rFonts w:hint="eastAsia" w:ascii="宋体" w:hAnsi="宋体" w:cs="宋体"/>
          <w:bCs/>
          <w:color w:val="auto"/>
          <w:kern w:val="0"/>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2FBF179">
      <w:pPr>
        <w:widowControl/>
        <w:spacing w:before="75" w:after="75" w:line="360" w:lineRule="auto"/>
        <w:ind w:firstLine="422" w:firstLineChars="200"/>
        <w:jc w:val="left"/>
        <w:rPr>
          <w:rFonts w:hint="eastAsia" w:ascii="宋体" w:hAnsi="宋体" w:eastAsia="宋体" w:cs="宋体"/>
          <w:color w:val="auto"/>
          <w:kern w:val="0"/>
          <w:szCs w:val="21"/>
          <w:highlight w:val="none"/>
          <w:lang w:eastAsia="zh-CN"/>
        </w:rPr>
      </w:pPr>
      <w:r>
        <w:rPr>
          <w:rFonts w:ascii="宋体" w:hAnsi="宋体" w:cs="宋体"/>
          <w:b/>
          <w:color w:val="auto"/>
          <w:kern w:val="0"/>
          <w:szCs w:val="21"/>
          <w:highlight w:val="none"/>
        </w:rPr>
        <w:t>4</w:t>
      </w:r>
      <w:r>
        <w:rPr>
          <w:rFonts w:hint="eastAsia" w:ascii="宋体" w:hAnsi="宋体" w:cs="宋体"/>
          <w:b/>
          <w:color w:val="auto"/>
          <w:kern w:val="0"/>
          <w:szCs w:val="21"/>
          <w:highlight w:val="none"/>
        </w:rPr>
        <w:t>.落实政府采购政策需满足的资格要求：</w:t>
      </w:r>
      <w:bookmarkStart w:id="112" w:name="_GoBack"/>
      <w:r>
        <w:rPr>
          <w:rFonts w:hint="eastAsia" w:ascii="宋体" w:hAnsi="宋体" w:cs="宋体"/>
          <w:b/>
          <w:color w:val="auto"/>
          <w:kern w:val="0"/>
          <w:szCs w:val="21"/>
          <w:highlight w:val="none"/>
          <w:lang w:val="en-US" w:eastAsia="zh-CN"/>
        </w:rPr>
        <w:t>无</w:t>
      </w:r>
      <w:bookmarkEnd w:id="112"/>
    </w:p>
    <w:p w14:paraId="1FA5DA96">
      <w:pPr>
        <w:widowControl/>
        <w:spacing w:before="75" w:after="75" w:line="360" w:lineRule="auto"/>
        <w:ind w:firstLine="480"/>
        <w:jc w:val="left"/>
        <w:rPr>
          <w:rFonts w:hint="eastAsia" w:ascii="宋体" w:hAnsi="宋体" w:cs="宋体"/>
          <w:b/>
          <w:color w:val="auto"/>
          <w:kern w:val="0"/>
          <w:szCs w:val="21"/>
          <w:highlight w:val="none"/>
        </w:rPr>
      </w:pPr>
      <w:r>
        <w:rPr>
          <w:rFonts w:ascii="宋体" w:hAnsi="宋体" w:cs="宋体"/>
          <w:b/>
          <w:color w:val="auto"/>
          <w:kern w:val="0"/>
          <w:szCs w:val="21"/>
          <w:highlight w:val="none"/>
        </w:rPr>
        <w:t>5</w:t>
      </w:r>
      <w:r>
        <w:rPr>
          <w:rFonts w:hint="eastAsia" w:ascii="宋体" w:hAnsi="宋体" w:cs="宋体"/>
          <w:b/>
          <w:color w:val="auto"/>
          <w:kern w:val="0"/>
          <w:szCs w:val="21"/>
          <w:highlight w:val="none"/>
        </w:rPr>
        <w:t>.本项目的特定资格要求：</w:t>
      </w:r>
      <w:r>
        <w:rPr>
          <w:rFonts w:hint="eastAsia" w:ascii="宋体" w:hAnsi="宋体" w:cs="宋体"/>
          <w:b/>
          <w:color w:val="auto"/>
          <w:kern w:val="0"/>
          <w:szCs w:val="21"/>
          <w:highlight w:val="none"/>
          <w:lang w:val="en-US" w:eastAsia="zh-CN"/>
        </w:rPr>
        <w:t>标项1，标项2：供应商应具有省级及以上测绘行政主管部门颁发的乙级或以上测绘资质。</w:t>
      </w:r>
    </w:p>
    <w:p w14:paraId="48C8A7CA">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三、获取招标文件</w:t>
      </w:r>
    </w:p>
    <w:p w14:paraId="1C7AC876">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时间：</w:t>
      </w:r>
      <w:r>
        <w:rPr>
          <w:rFonts w:hint="eastAsia" w:ascii="宋体" w:hAnsi="宋体" w:cs="宋体"/>
          <w:color w:val="auto"/>
          <w:kern w:val="0"/>
          <w:szCs w:val="21"/>
          <w:highlight w:val="none"/>
        </w:rPr>
        <w:t>自本公告发布之日起至投标</w:t>
      </w:r>
      <w:r>
        <w:rPr>
          <w:rFonts w:hint="eastAsia" w:ascii="宋体" w:hAnsi="宋体"/>
          <w:color w:val="auto"/>
          <w:szCs w:val="21"/>
          <w:highlight w:val="none"/>
        </w:rPr>
        <w:t>截止时间止；</w:t>
      </w:r>
    </w:p>
    <w:p w14:paraId="371B02BB">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地点：</w:t>
      </w:r>
      <w:r>
        <w:rPr>
          <w:rFonts w:hint="eastAsia" w:ascii="宋体" w:hAnsi="宋体" w:cs="宋体"/>
          <w:color w:val="auto"/>
          <w:kern w:val="0"/>
          <w:szCs w:val="21"/>
          <w:highlight w:val="none"/>
        </w:rPr>
        <w:t>广西政府采购云平台https://www.gcy.zfcg.gxzf.gov.cn/；</w:t>
      </w:r>
    </w:p>
    <w:p w14:paraId="0AB0B02B">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方式：</w:t>
      </w:r>
      <w:r>
        <w:rPr>
          <w:rFonts w:hint="eastAsia" w:ascii="宋体" w:hAnsi="宋体" w:cs="宋体"/>
          <w:color w:val="auto"/>
          <w:kern w:val="0"/>
          <w:szCs w:val="21"/>
          <w:highlight w:val="none"/>
        </w:rPr>
        <w:t>供应商登录广西政府采购云平台https://www.gcy.zfcg.gxzf.gov.cn/在线申请获取采购文件（进入“项目采购”应用，在获取采购文件菜单中选择项目，申请获取采购文件）。</w:t>
      </w:r>
    </w:p>
    <w:p w14:paraId="48E985B9">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售价：</w:t>
      </w:r>
      <w:r>
        <w:rPr>
          <w:rFonts w:hint="eastAsia" w:ascii="宋体" w:hAnsi="宋体" w:cs="宋体"/>
          <w:color w:val="auto"/>
          <w:kern w:val="0"/>
          <w:szCs w:val="21"/>
          <w:highlight w:val="none"/>
        </w:rPr>
        <w:t>每本0元。</w:t>
      </w:r>
    </w:p>
    <w:p w14:paraId="4942FBB7">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四、提交投标文件截止时间、开标时间和地点</w:t>
      </w:r>
    </w:p>
    <w:p w14:paraId="2CE91651">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时间：</w:t>
      </w:r>
      <w:r>
        <w:rPr>
          <w:rFonts w:hint="eastAsia" w:ascii="宋体" w:hAnsi="宋体"/>
          <w:b/>
          <w:bCs/>
          <w:color w:val="auto"/>
          <w:szCs w:val="21"/>
          <w:highlight w:val="none"/>
          <w:u w:val="single"/>
          <w:lang w:eastAsia="zh-CN"/>
        </w:rPr>
        <w:t>2026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5</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21</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09</w:t>
      </w:r>
      <w:r>
        <w:rPr>
          <w:rFonts w:ascii="宋体" w:hAnsi="宋体"/>
          <w:b/>
          <w:bCs/>
          <w:color w:val="auto"/>
          <w:szCs w:val="21"/>
          <w:highlight w:val="none"/>
          <w:u w:val="single"/>
        </w:rPr>
        <w:t>点</w:t>
      </w:r>
      <w:r>
        <w:rPr>
          <w:rFonts w:hint="eastAsia" w:ascii="宋体" w:hAnsi="宋体"/>
          <w:b/>
          <w:bCs/>
          <w:color w:val="auto"/>
          <w:szCs w:val="21"/>
          <w:highlight w:val="none"/>
          <w:u w:val="single"/>
          <w:lang w:val="en-US" w:eastAsia="zh-CN"/>
        </w:rPr>
        <w:t xml:space="preserve">00 </w:t>
      </w:r>
      <w:r>
        <w:rPr>
          <w:rFonts w:ascii="宋体" w:hAnsi="宋体"/>
          <w:b/>
          <w:bCs/>
          <w:color w:val="auto"/>
          <w:szCs w:val="21"/>
          <w:highlight w:val="none"/>
          <w:u w:val="single"/>
        </w:rPr>
        <w:t>分</w:t>
      </w:r>
      <w:r>
        <w:rPr>
          <w:rFonts w:hint="eastAsia" w:ascii="宋体" w:hAnsi="宋体" w:cs="宋体"/>
          <w:color w:val="auto"/>
          <w:kern w:val="0"/>
          <w:szCs w:val="21"/>
          <w:highlight w:val="none"/>
        </w:rPr>
        <w:t>（北京时间）</w:t>
      </w:r>
    </w:p>
    <w:p w14:paraId="66142D1C">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地点：</w:t>
      </w:r>
      <w:r>
        <w:rPr>
          <w:rFonts w:ascii="宋体" w:hAnsi="宋体" w:cs="宋体"/>
          <w:color w:val="auto"/>
          <w:kern w:val="0"/>
          <w:szCs w:val="21"/>
          <w:highlight w:val="none"/>
        </w:rPr>
        <w:t>通过</w:t>
      </w:r>
      <w:r>
        <w:rPr>
          <w:rFonts w:hint="eastAsia" w:ascii="宋体" w:hAnsi="宋体" w:cs="宋体"/>
          <w:color w:val="auto"/>
          <w:kern w:val="0"/>
          <w:szCs w:val="21"/>
          <w:highlight w:val="none"/>
        </w:rPr>
        <w:t>广西政府采购云平台https://www.gcy.zfcg.gxzf.gov.cn/</w:t>
      </w:r>
      <w:r>
        <w:rPr>
          <w:rFonts w:ascii="宋体" w:hAnsi="宋体" w:cs="宋体"/>
          <w:color w:val="auto"/>
          <w:kern w:val="0"/>
          <w:szCs w:val="21"/>
          <w:highlight w:val="none"/>
        </w:rPr>
        <w:t>实行在线投标</w:t>
      </w:r>
    </w:p>
    <w:p w14:paraId="1D4A6F53">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五、公告期限</w:t>
      </w:r>
    </w:p>
    <w:p w14:paraId="7D630A82">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04BF7D0C">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六、其他补充事宜</w:t>
      </w:r>
    </w:p>
    <w:p w14:paraId="7536662A">
      <w:pPr>
        <w:widowControl/>
        <w:spacing w:before="75" w:after="75" w:line="360" w:lineRule="auto"/>
        <w:ind w:firstLine="405"/>
        <w:jc w:val="left"/>
        <w:rPr>
          <w:rFonts w:hint="eastAsia" w:ascii="宋体" w:hAnsi="宋体" w:cs="宋体"/>
          <w:color w:val="auto"/>
          <w:szCs w:val="21"/>
          <w:highlight w:val="none"/>
        </w:rPr>
      </w:pPr>
      <w:r>
        <w:rPr>
          <w:rFonts w:hint="eastAsia" w:ascii="宋体" w:hAnsi="宋体" w:cs="宋体"/>
          <w:color w:val="auto"/>
          <w:szCs w:val="21"/>
          <w:highlight w:val="none"/>
        </w:rPr>
        <w:t>（一）本项目需要落实的政府采购政策：</w:t>
      </w:r>
    </w:p>
    <w:p w14:paraId="4708FD9F">
      <w:pPr>
        <w:widowControl/>
        <w:spacing w:before="75" w:after="75" w:line="360" w:lineRule="auto"/>
        <w:ind w:firstLine="405"/>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（1）政府采购促进中小企业发展。 </w:t>
      </w:r>
    </w:p>
    <w:p w14:paraId="1E148300">
      <w:pPr>
        <w:widowControl/>
        <w:spacing w:before="75" w:after="75" w:line="360" w:lineRule="auto"/>
        <w:ind w:firstLine="405"/>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（2）政府采购支持采用本国产品的政策。 </w:t>
      </w:r>
    </w:p>
    <w:p w14:paraId="76288276">
      <w:pPr>
        <w:widowControl/>
        <w:spacing w:before="75" w:after="75" w:line="360" w:lineRule="auto"/>
        <w:ind w:firstLine="405"/>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（3）强制采购节能产品；优先采购节能产品、环境标志产品。 </w:t>
      </w:r>
    </w:p>
    <w:p w14:paraId="229CFFA6">
      <w:pPr>
        <w:widowControl/>
        <w:spacing w:before="75" w:after="75" w:line="360" w:lineRule="auto"/>
        <w:ind w:firstLine="405"/>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（4）政府采购促进残疾人就业政策。 </w:t>
      </w:r>
    </w:p>
    <w:p w14:paraId="4E163B9B">
      <w:pPr>
        <w:widowControl/>
        <w:spacing w:before="75" w:after="75" w:line="360" w:lineRule="auto"/>
        <w:ind w:firstLine="405"/>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（5）政府采购支持监狱企业发展。 </w:t>
      </w:r>
    </w:p>
    <w:p w14:paraId="6A5B50D2">
      <w:pPr>
        <w:widowControl/>
        <w:spacing w:before="75" w:after="75" w:line="360" w:lineRule="auto"/>
        <w:ind w:firstLine="405"/>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（6）《广西壮族自治区财政厅关于加强政府绿色采购工作的通知》（桂财采[2025]155号）。</w:t>
      </w:r>
    </w:p>
    <w:p w14:paraId="4EF3B7E0">
      <w:pPr>
        <w:widowControl/>
        <w:spacing w:before="75" w:after="75" w:line="360" w:lineRule="auto"/>
        <w:ind w:firstLine="405"/>
        <w:jc w:val="left"/>
        <w:rPr>
          <w:rFonts w:ascii="宋体" w:hAnsi="宋体" w:cs="Arial"/>
          <w:color w:val="auto"/>
          <w:kern w:val="0"/>
          <w:szCs w:val="21"/>
          <w:highlight w:val="none"/>
        </w:rPr>
      </w:pPr>
      <w:r>
        <w:rPr>
          <w:rFonts w:hint="eastAsia" w:ascii="宋体" w:hAnsi="宋体" w:cs="Arial"/>
          <w:color w:val="auto"/>
          <w:kern w:val="0"/>
          <w:szCs w:val="21"/>
          <w:highlight w:val="none"/>
        </w:rPr>
        <w:t>（二）投标保证金(人民币)：本项目免收投标保证金。</w:t>
      </w:r>
    </w:p>
    <w:p w14:paraId="3C37471E">
      <w:pPr>
        <w:widowControl/>
        <w:spacing w:before="75" w:after="75" w:line="360" w:lineRule="auto"/>
        <w:ind w:firstLine="405"/>
        <w:jc w:val="left"/>
        <w:rPr>
          <w:rFonts w:ascii="宋体" w:hAnsi="宋体" w:cs="Arial"/>
          <w:color w:val="auto"/>
          <w:kern w:val="0"/>
          <w:szCs w:val="21"/>
          <w:highlight w:val="none"/>
        </w:rPr>
      </w:pPr>
      <w:r>
        <w:rPr>
          <w:rFonts w:hint="eastAsia" w:ascii="宋体" w:hAnsi="宋体" w:cs="Arial"/>
          <w:color w:val="auto"/>
          <w:kern w:val="0"/>
          <w:szCs w:val="21"/>
          <w:highlight w:val="none"/>
        </w:rPr>
        <w:t>（三</w:t>
      </w:r>
      <w:r>
        <w:rPr>
          <w:rFonts w:ascii="宋体" w:hAnsi="宋体" w:cs="Arial"/>
          <w:color w:val="auto"/>
          <w:kern w:val="0"/>
          <w:szCs w:val="21"/>
          <w:highlight w:val="none"/>
        </w:rPr>
        <w:t>）</w:t>
      </w:r>
      <w:r>
        <w:rPr>
          <w:rFonts w:hint="eastAsia" w:ascii="宋体" w:hAnsi="宋体" w:cs="Arial"/>
          <w:color w:val="auto"/>
          <w:kern w:val="0"/>
          <w:szCs w:val="21"/>
          <w:highlight w:val="none"/>
        </w:rPr>
        <w:t>公告查询地址：http://www.ccgp.gov.cn（中国政府采购网）、http://zfcg.gxzf.gov.cn/（广西壮族自治区政府采购网）、http://zfcg.czj.gxgg.gov.cn（贵港市政府采购网）、</w:t>
      </w:r>
      <w:r>
        <w:rPr>
          <w:rFonts w:ascii="宋体" w:hAnsi="宋体" w:cs="Arial"/>
          <w:color w:val="auto"/>
          <w:kern w:val="0"/>
          <w:szCs w:val="21"/>
          <w:highlight w:val="none"/>
        </w:rPr>
        <w:t>http://ggzy.jgswj.gxzf.gov.cn/ggggzy/[全国公共资源交易平台（广西•贵港）]</w:t>
      </w:r>
      <w:r>
        <w:rPr>
          <w:rFonts w:hint="eastAsia" w:ascii="宋体" w:hAnsi="宋体" w:cs="Arial"/>
          <w:color w:val="auto"/>
          <w:kern w:val="0"/>
          <w:szCs w:val="21"/>
          <w:highlight w:val="none"/>
        </w:rPr>
        <w:t>。</w:t>
      </w:r>
    </w:p>
    <w:p w14:paraId="33AD10FE">
      <w:pPr>
        <w:widowControl/>
        <w:spacing w:before="75" w:after="75" w:line="360" w:lineRule="auto"/>
        <w:ind w:left="420" w:leftChars="200" w:firstLine="57" w:firstLineChars="27"/>
        <w:jc w:val="left"/>
        <w:rPr>
          <w:rFonts w:ascii="宋体" w:hAnsi="宋体" w:cs="宋体"/>
          <w:b/>
          <w:color w:val="auto"/>
          <w:highlight w:val="none"/>
        </w:rPr>
      </w:pPr>
      <w:r>
        <w:rPr>
          <w:rFonts w:hint="eastAsia" w:ascii="宋体" w:hAnsi="宋体" w:cs="宋体"/>
          <w:b/>
          <w:color w:val="auto"/>
          <w:highlight w:val="none"/>
        </w:rPr>
        <w:t>（四</w:t>
      </w:r>
      <w:r>
        <w:rPr>
          <w:rFonts w:ascii="宋体" w:hAnsi="宋体" w:cs="宋体"/>
          <w:b/>
          <w:color w:val="auto"/>
          <w:highlight w:val="none"/>
        </w:rPr>
        <w:t>）在线投标投标（电子投标）说明</w:t>
      </w:r>
    </w:p>
    <w:p w14:paraId="78E392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1.本项目通过广西政府采购云平台实行在线投标响应（电子投标），供应商需要先安装“ 广西政府采购云平台新版客户端”，并按照本竞争性</w:t>
      </w:r>
      <w:r>
        <w:rPr>
          <w:rFonts w:hint="eastAsia" w:ascii="宋体" w:hAnsi="宋体" w:cs="宋体"/>
          <w:color w:val="auto"/>
          <w:szCs w:val="21"/>
          <w:highlight w:val="none"/>
          <w:lang w:eastAsia="zh-CN"/>
        </w:rPr>
        <w:t>评审</w:t>
      </w:r>
      <w:r>
        <w:rPr>
          <w:rFonts w:hint="eastAsia" w:ascii="宋体" w:hAnsi="宋体" w:cs="宋体"/>
          <w:color w:val="auto"/>
          <w:szCs w:val="21"/>
          <w:highlight w:val="none"/>
        </w:rPr>
        <w:t>采购文件和广西政府采购云平台的要求，通过“ 广西政府采购云平台新版客户端”编制并加密响应文件。供应商未按规定编制并加密的响应文件，广西政府采购云平台将予以拒收。</w:t>
      </w:r>
    </w:p>
    <w:p w14:paraId="0B0515B0">
      <w:pPr>
        <w:widowControl/>
        <w:spacing w:before="75" w:after="75" w:line="360" w:lineRule="auto"/>
        <w:ind w:firstLine="210" w:firstLineChars="100"/>
        <w:jc w:val="left"/>
        <w:rPr>
          <w:rFonts w:ascii="宋体" w:hAnsi="宋体"/>
          <w:color w:val="auto"/>
          <w:highlight w:val="none"/>
        </w:rPr>
      </w:pPr>
      <w:r>
        <w:rPr>
          <w:rFonts w:hint="eastAsia" w:ascii="宋体" w:hAnsi="宋体"/>
          <w:color w:val="auto"/>
          <w:highlight w:val="none"/>
        </w:rPr>
        <w:t>2.“广西政府采购云平台新版客户端”请自行前往广西政府采购网（访问地址http://zfcg.gxzf.gov.cn/）—办事服务—下载专区下载；电子投标具体操作流程参考《政府采购项目电子交易管理操作指南-供应商》；在使用广西政府采购云平台新版客户端时，建议使用win7及以上操作系统，通过广西政府采购云平台参与在线投标时如遇平台技术问题详询95763。</w:t>
      </w:r>
    </w:p>
    <w:p w14:paraId="21E5CA87">
      <w:pPr>
        <w:widowControl/>
        <w:spacing w:before="75" w:after="75" w:line="360" w:lineRule="auto"/>
        <w:ind w:firstLine="420" w:firstLineChars="200"/>
        <w:jc w:val="left"/>
        <w:rPr>
          <w:rFonts w:ascii="宋体" w:hAnsi="宋体"/>
          <w:color w:val="auto"/>
          <w:highlight w:val="none"/>
        </w:rPr>
      </w:pPr>
      <w:r>
        <w:rPr>
          <w:rFonts w:hint="eastAsia" w:ascii="宋体" w:hAnsi="宋体"/>
          <w:color w:val="auto"/>
          <w:highlight w:val="none"/>
        </w:rPr>
        <w:t>3.为确保网上操作合法、有效和安全，</w:t>
      </w:r>
      <w:r>
        <w:rPr>
          <w:rFonts w:hint="eastAsia" w:ascii="宋体" w:hAnsi="宋体"/>
          <w:color w:val="auto"/>
          <w:highlight w:val="none"/>
          <w:lang w:eastAsia="zh-CN"/>
        </w:rPr>
        <w:t>评审</w:t>
      </w:r>
      <w:r>
        <w:rPr>
          <w:rFonts w:hint="eastAsia" w:ascii="宋体" w:hAnsi="宋体"/>
          <w:color w:val="auto"/>
          <w:highlight w:val="none"/>
        </w:rPr>
        <w:t>供应商应当在响应文件提交截止时间前完成在“广西政府采购云平台”的身份认证，确保在电子投标过程中能够对相关数据电文进行加密和使用电子签章。使用“广西政府采购云平台新版客户端”需要提前申领CA数字证书，申领流程请自行前往相关网站进行查阅（完成CA数字证书办理预计一周左右，建议供应商获取竞争性</w:t>
      </w:r>
      <w:r>
        <w:rPr>
          <w:rFonts w:hint="eastAsia" w:ascii="宋体" w:hAnsi="宋体"/>
          <w:color w:val="auto"/>
          <w:highlight w:val="none"/>
          <w:lang w:eastAsia="zh-CN"/>
        </w:rPr>
        <w:t>评审</w:t>
      </w:r>
      <w:r>
        <w:rPr>
          <w:rFonts w:hint="eastAsia" w:ascii="宋体" w:hAnsi="宋体"/>
          <w:color w:val="auto"/>
          <w:highlight w:val="none"/>
        </w:rPr>
        <w:t>采购文件后立即办理）。</w:t>
      </w:r>
    </w:p>
    <w:p w14:paraId="61B1CCE8">
      <w:pPr>
        <w:widowControl/>
        <w:spacing w:before="75" w:after="75" w:line="360" w:lineRule="auto"/>
        <w:ind w:firstLine="420" w:firstLineChars="200"/>
        <w:jc w:val="left"/>
        <w:rPr>
          <w:rFonts w:ascii="宋体" w:hAnsi="宋体"/>
          <w:color w:val="auto"/>
          <w:highlight w:val="none"/>
        </w:rPr>
      </w:pPr>
      <w:r>
        <w:rPr>
          <w:rFonts w:hint="eastAsia" w:ascii="宋体" w:hAnsi="宋体"/>
          <w:color w:val="auto"/>
          <w:highlight w:val="none"/>
        </w:rPr>
        <w:t>4.</w:t>
      </w:r>
      <w:r>
        <w:rPr>
          <w:rFonts w:hint="eastAsia" w:ascii="宋体" w:hAnsi="宋体"/>
          <w:color w:val="auto"/>
          <w:highlight w:val="none"/>
          <w:lang w:eastAsia="zh-CN"/>
        </w:rPr>
        <w:t>评审</w:t>
      </w:r>
      <w:r>
        <w:rPr>
          <w:rFonts w:hint="eastAsia" w:ascii="宋体" w:hAnsi="宋体"/>
          <w:color w:val="auto"/>
          <w:highlight w:val="none"/>
        </w:rPr>
        <w:t>供应商应当在响应文件提交截止时间前，将生成的“电子加密响应文件”上传提交至广西政府采购云平台。响应文件提交截止时间前可以补充、修改或者撤回电子</w:t>
      </w:r>
      <w:r>
        <w:rPr>
          <w:rFonts w:hint="eastAsia" w:ascii="宋体" w:hAnsi="宋体"/>
          <w:color w:val="auto"/>
          <w:highlight w:val="none"/>
          <w:lang w:eastAsia="zh-CN"/>
        </w:rPr>
        <w:t>评审</w:t>
      </w:r>
      <w:r>
        <w:rPr>
          <w:rFonts w:hint="eastAsia" w:ascii="宋体" w:hAnsi="宋体"/>
          <w:color w:val="auto"/>
          <w:highlight w:val="none"/>
        </w:rPr>
        <w:t>响应文件。补充或者修改电子</w:t>
      </w:r>
      <w:r>
        <w:rPr>
          <w:rFonts w:hint="eastAsia" w:ascii="宋体" w:hAnsi="宋体"/>
          <w:color w:val="auto"/>
          <w:highlight w:val="none"/>
          <w:lang w:eastAsia="zh-CN"/>
        </w:rPr>
        <w:t>评审</w:t>
      </w:r>
      <w:r>
        <w:rPr>
          <w:rFonts w:hint="eastAsia" w:ascii="宋体" w:hAnsi="宋体"/>
          <w:color w:val="auto"/>
          <w:highlight w:val="none"/>
        </w:rPr>
        <w:t>响应文件的，应当先行撤回原文件，补充、修改后重新传输递交，响应文件提交截止时间前未完成传输的，视为撤回响应文件。</w:t>
      </w:r>
    </w:p>
    <w:p w14:paraId="12E6B071">
      <w:pPr>
        <w:widowControl/>
        <w:spacing w:before="75" w:after="75" w:line="360" w:lineRule="auto"/>
        <w:ind w:firstLine="420" w:firstLineChars="200"/>
        <w:jc w:val="left"/>
        <w:rPr>
          <w:rFonts w:ascii="宋体" w:hAnsi="宋体"/>
          <w:color w:val="auto"/>
          <w:highlight w:val="none"/>
        </w:rPr>
      </w:pPr>
      <w:r>
        <w:rPr>
          <w:rFonts w:hint="eastAsia" w:ascii="宋体" w:hAnsi="宋体"/>
          <w:color w:val="auto"/>
          <w:highlight w:val="none"/>
        </w:rPr>
        <w:t>5.响应文件提交截止时间后，广西政府采购云平台（电子交易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665D87BD">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七、对本次招标提出询问，请按以下方式联系。</w:t>
      </w:r>
    </w:p>
    <w:p w14:paraId="5DD9B65D">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1.采购人信息</w:t>
      </w:r>
    </w:p>
    <w:p w14:paraId="6F54AF75">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 xml:space="preserve">：贵港市港南区农业农村局    </w:t>
      </w:r>
    </w:p>
    <w:p w14:paraId="1AB110B3">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地址：贵港市港南区公正街2号</w:t>
      </w:r>
      <w:r>
        <w:rPr>
          <w:rFonts w:hint="eastAsia" w:ascii="宋体" w:hAnsi="宋体" w:cs="宋体"/>
          <w:color w:val="auto"/>
          <w:kern w:val="0"/>
          <w:szCs w:val="21"/>
          <w:highlight w:val="none"/>
          <w:lang w:eastAsia="zh-CN"/>
        </w:rPr>
        <w:t xml:space="preserve"> </w:t>
      </w:r>
      <w:r>
        <w:rPr>
          <w:rFonts w:hint="eastAsia" w:ascii="宋体" w:hAnsi="宋体" w:cs="宋体"/>
          <w:color w:val="auto"/>
          <w:kern w:val="0"/>
          <w:szCs w:val="21"/>
          <w:highlight w:val="none"/>
        </w:rPr>
        <w:t xml:space="preserve">    </w:t>
      </w:r>
    </w:p>
    <w:p w14:paraId="0F5AB1F1">
      <w:pPr>
        <w:widowControl/>
        <w:spacing w:before="75" w:after="75"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lang w:val="en-US" w:eastAsia="zh-CN"/>
        </w:rPr>
        <w:t>谭工，</w:t>
      </w:r>
      <w:r>
        <w:rPr>
          <w:rFonts w:hint="eastAsia" w:ascii="宋体" w:hAnsi="宋体" w:cs="宋体"/>
          <w:color w:val="auto"/>
          <w:kern w:val="0"/>
          <w:szCs w:val="21"/>
          <w:highlight w:val="none"/>
        </w:rPr>
        <w:t>0775-</w:t>
      </w:r>
      <w:r>
        <w:rPr>
          <w:rFonts w:hint="eastAsia" w:ascii="宋体" w:hAnsi="宋体" w:cs="宋体"/>
          <w:color w:val="auto"/>
          <w:kern w:val="0"/>
          <w:szCs w:val="21"/>
          <w:highlight w:val="none"/>
          <w:lang w:val="en-US" w:eastAsia="zh-CN"/>
        </w:rPr>
        <w:t>4353825</w:t>
      </w:r>
      <w:r>
        <w:rPr>
          <w:rFonts w:hint="eastAsia" w:ascii="宋体" w:hAnsi="宋体" w:cs="宋体"/>
          <w:color w:val="auto"/>
          <w:kern w:val="0"/>
          <w:szCs w:val="21"/>
          <w:highlight w:val="none"/>
        </w:rPr>
        <w:t xml:space="preserve">  </w:t>
      </w:r>
    </w:p>
    <w:p w14:paraId="72D766CD">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2.采购代理机构信息</w:t>
      </w:r>
    </w:p>
    <w:p w14:paraId="202D9DC4">
      <w:pPr>
        <w:widowControl/>
        <w:spacing w:before="75" w:after="75" w:line="360" w:lineRule="auto"/>
        <w:ind w:firstLine="48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贵港市安然项目管理有限公司</w:t>
      </w:r>
    </w:p>
    <w:p w14:paraId="1C43E62D">
      <w:pPr>
        <w:widowControl/>
        <w:spacing w:before="75" w:after="75"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贵港市港北区（广西贵港.上亿国际汽贸博览城）38栋26号</w:t>
      </w:r>
    </w:p>
    <w:p w14:paraId="5D1E2884">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联系方式：0775-4328663</w:t>
      </w:r>
    </w:p>
    <w:p w14:paraId="213CD706">
      <w:pPr>
        <w:widowControl/>
        <w:spacing w:before="75" w:after="75" w:line="360" w:lineRule="auto"/>
        <w:ind w:firstLine="480"/>
        <w:jc w:val="left"/>
        <w:rPr>
          <w:rFonts w:ascii="宋体" w:hAnsi="宋体" w:cs="宋体"/>
          <w:color w:val="auto"/>
          <w:kern w:val="0"/>
          <w:szCs w:val="21"/>
          <w:highlight w:val="none"/>
        </w:rPr>
      </w:pPr>
      <w:r>
        <w:rPr>
          <w:rFonts w:hint="eastAsia" w:ascii="宋体" w:hAnsi="宋体" w:cs="宋体"/>
          <w:b/>
          <w:bCs/>
          <w:color w:val="auto"/>
          <w:kern w:val="0"/>
          <w:szCs w:val="21"/>
          <w:highlight w:val="none"/>
        </w:rPr>
        <w:t>3.项目联系方式</w:t>
      </w:r>
    </w:p>
    <w:p w14:paraId="32CAC0FA">
      <w:pPr>
        <w:widowControl/>
        <w:spacing w:before="75" w:after="75"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 xml:space="preserve">韦雪英   </w:t>
      </w:r>
    </w:p>
    <w:p w14:paraId="73002650">
      <w:pPr>
        <w:widowControl/>
        <w:spacing w:before="75" w:after="75"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电 话：0775-4328663</w:t>
      </w:r>
    </w:p>
    <w:p w14:paraId="624F977C">
      <w:pPr>
        <w:widowControl/>
        <w:spacing w:before="75" w:after="75" w:line="360" w:lineRule="auto"/>
        <w:ind w:firstLine="480"/>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b/>
          <w:bCs/>
          <w:color w:val="auto"/>
          <w:kern w:val="0"/>
          <w:szCs w:val="21"/>
          <w:highlight w:val="none"/>
        </w:rPr>
        <w:t>4.监督部门</w:t>
      </w:r>
      <w:r>
        <w:rPr>
          <w:rFonts w:hint="eastAsia" w:ascii="宋体" w:hAnsi="宋体" w:cs="宋体"/>
          <w:color w:val="auto"/>
          <w:kern w:val="0"/>
          <w:szCs w:val="21"/>
          <w:highlight w:val="none"/>
        </w:rPr>
        <w:t>：</w:t>
      </w:r>
      <w:r>
        <w:rPr>
          <w:rFonts w:hint="eastAsia"/>
          <w:color w:val="auto"/>
          <w:sz w:val="21"/>
          <w:highlight w:val="none"/>
          <w:lang w:val="en-US" w:eastAsia="zh-CN"/>
        </w:rPr>
        <w:t>贵港市</w:t>
      </w:r>
      <w:r>
        <w:rPr>
          <w:rFonts w:hint="eastAsia"/>
          <w:color w:val="auto"/>
          <w:sz w:val="21"/>
          <w:highlight w:val="none"/>
        </w:rPr>
        <w:t>港南区财政局政府采购监督管理股     联系电话：0775-4327666</w:t>
      </w:r>
    </w:p>
    <w:p w14:paraId="5DB1A8D9">
      <w:pPr>
        <w:pStyle w:val="49"/>
        <w:spacing w:beforeLines="50" w:beforeAutospacing="0" w:afterLines="50" w:afterAutospacing="0" w:line="360" w:lineRule="atLeast"/>
        <w:ind w:firstLine="405"/>
        <w:rPr>
          <w:rFonts w:cs="宋体"/>
          <w:b/>
          <w:bCs/>
          <w:color w:val="auto"/>
          <w:sz w:val="21"/>
          <w:szCs w:val="21"/>
          <w:highlight w:val="none"/>
        </w:rPr>
      </w:pPr>
      <w:r>
        <w:rPr>
          <w:rFonts w:hint="eastAsia" w:cs="宋体"/>
          <w:b/>
          <w:bCs/>
          <w:color w:val="auto"/>
          <w:sz w:val="21"/>
          <w:szCs w:val="21"/>
          <w:highlight w:val="none"/>
        </w:rPr>
        <w:t>5.相关业务联系单位及联系电话 ：</w:t>
      </w:r>
    </w:p>
    <w:p w14:paraId="7166A3AE">
      <w:pPr>
        <w:pStyle w:val="49"/>
        <w:spacing w:beforeLines="50" w:beforeAutospacing="0" w:afterLines="50" w:afterAutospacing="0" w:line="360" w:lineRule="atLeast"/>
        <w:ind w:firstLine="405"/>
        <w:rPr>
          <w:color w:val="auto"/>
          <w:sz w:val="21"/>
          <w:highlight w:val="none"/>
        </w:rPr>
      </w:pPr>
      <w:r>
        <w:rPr>
          <w:rFonts w:hint="eastAsia"/>
          <w:color w:val="auto"/>
          <w:sz w:val="21"/>
          <w:highlight w:val="none"/>
        </w:rPr>
        <w:t xml:space="preserve">CA咨询(汇信公司)客服热线：400-888-4636 </w:t>
      </w:r>
    </w:p>
    <w:p w14:paraId="056DE41D">
      <w:pPr>
        <w:pStyle w:val="49"/>
        <w:spacing w:beforeLines="50" w:beforeAutospacing="0" w:afterLines="50" w:afterAutospacing="0" w:line="360" w:lineRule="atLeast"/>
        <w:ind w:firstLine="405"/>
        <w:rPr>
          <w:color w:val="auto"/>
          <w:sz w:val="21"/>
          <w:highlight w:val="none"/>
        </w:rPr>
      </w:pPr>
      <w:r>
        <w:rPr>
          <w:rFonts w:hint="eastAsia"/>
          <w:color w:val="auto"/>
          <w:sz w:val="21"/>
          <w:highlight w:val="none"/>
        </w:rPr>
        <w:t>“政采云”平台客服电话：95763</w:t>
      </w:r>
    </w:p>
    <w:p w14:paraId="4FEA48C7">
      <w:pPr>
        <w:pStyle w:val="3"/>
        <w:numPr>
          <w:ilvl w:val="0"/>
          <w:numId w:val="0"/>
        </w:numPr>
        <w:spacing w:before="0" w:after="0"/>
        <w:jc w:val="both"/>
        <w:rPr>
          <w:rFonts w:hint="eastAsia" w:ascii="宋体" w:hAnsi="宋体" w:eastAsia="宋体"/>
          <w:color w:val="auto"/>
          <w:sz w:val="44"/>
          <w:szCs w:val="44"/>
          <w:highlight w:val="none"/>
          <w:lang w:eastAsia="zh-CN"/>
        </w:rPr>
      </w:pPr>
      <w:bookmarkStart w:id="3" w:name="_Toc535851641"/>
    </w:p>
    <w:p w14:paraId="7B455F1F">
      <w:pPr>
        <w:pStyle w:val="3"/>
        <w:numPr>
          <w:ilvl w:val="0"/>
          <w:numId w:val="0"/>
        </w:numPr>
        <w:spacing w:before="0" w:after="0"/>
        <w:ind w:firstLine="5250" w:firstLineChars="2500"/>
        <w:jc w:val="both"/>
        <w:rPr>
          <w:rFonts w:hint="eastAsia" w:ascii="宋体" w:hAnsi="宋体" w:eastAsia="宋体" w:cs="Times New Roman"/>
          <w:b w:val="0"/>
          <w:bCs w:val="0"/>
          <w:color w:val="auto"/>
          <w:kern w:val="0"/>
          <w:sz w:val="21"/>
          <w:szCs w:val="24"/>
          <w:highlight w:val="none"/>
          <w:lang w:val="en-US" w:eastAsia="zh-CN" w:bidi="ar-SA"/>
        </w:rPr>
      </w:pPr>
      <w:r>
        <w:rPr>
          <w:rFonts w:hint="eastAsia" w:ascii="宋体" w:hAnsi="宋体" w:eastAsia="宋体" w:cs="Times New Roman"/>
          <w:b w:val="0"/>
          <w:bCs w:val="0"/>
          <w:color w:val="auto"/>
          <w:kern w:val="0"/>
          <w:sz w:val="21"/>
          <w:szCs w:val="24"/>
          <w:highlight w:val="none"/>
          <w:lang w:val="en-US" w:eastAsia="zh-CN" w:bidi="ar-SA"/>
        </w:rPr>
        <w:t>贵港市安然项目管理有限公司</w:t>
      </w:r>
    </w:p>
    <w:p w14:paraId="66A40E16">
      <w:pPr>
        <w:pStyle w:val="4"/>
        <w:rPr>
          <w:rFonts w:hint="default" w:ascii="宋体" w:hAnsi="宋体" w:eastAsia="宋体"/>
          <w:color w:val="auto"/>
          <w:sz w:val="44"/>
          <w:szCs w:val="44"/>
          <w:highlight w:val="none"/>
          <w:lang w:val="en-US" w:eastAsia="zh-CN"/>
        </w:rPr>
      </w:pPr>
      <w:r>
        <w:rPr>
          <w:rFonts w:hint="eastAsia" w:ascii="宋体" w:hAnsi="宋体" w:eastAsia="宋体" w:cs="Times New Roman"/>
          <w:b w:val="0"/>
          <w:bCs w:val="0"/>
          <w:color w:val="auto"/>
          <w:kern w:val="0"/>
          <w:sz w:val="21"/>
          <w:szCs w:val="24"/>
          <w:highlight w:val="none"/>
          <w:lang w:val="en-US" w:eastAsia="zh-CN" w:bidi="ar-SA"/>
        </w:rPr>
        <w:t xml:space="preserve">                                                         2026年</w:t>
      </w:r>
      <w:r>
        <w:rPr>
          <w:rFonts w:hint="eastAsia" w:ascii="宋体" w:hAnsi="宋体" w:cs="Times New Roman"/>
          <w:b w:val="0"/>
          <w:bCs w:val="0"/>
          <w:color w:val="auto"/>
          <w:kern w:val="0"/>
          <w:sz w:val="21"/>
          <w:szCs w:val="24"/>
          <w:highlight w:val="none"/>
          <w:lang w:val="en-US" w:eastAsia="zh-CN" w:bidi="ar-SA"/>
        </w:rPr>
        <w:t>4月29日</w:t>
      </w:r>
    </w:p>
    <w:p w14:paraId="2170B6D5">
      <w:pPr>
        <w:pStyle w:val="4"/>
        <w:rPr>
          <w:rFonts w:hint="eastAsia" w:ascii="宋体" w:hAnsi="宋体" w:eastAsia="宋体"/>
          <w:color w:val="auto"/>
          <w:sz w:val="44"/>
          <w:szCs w:val="44"/>
          <w:highlight w:val="none"/>
          <w:lang w:eastAsia="zh-CN"/>
        </w:rPr>
      </w:pPr>
    </w:p>
    <w:p w14:paraId="2345ABF5">
      <w:pPr>
        <w:pStyle w:val="4"/>
        <w:rPr>
          <w:rFonts w:hint="eastAsia" w:ascii="宋体" w:hAnsi="宋体" w:eastAsia="宋体"/>
          <w:color w:val="auto"/>
          <w:sz w:val="44"/>
          <w:szCs w:val="44"/>
          <w:highlight w:val="none"/>
          <w:lang w:eastAsia="zh-CN"/>
        </w:rPr>
      </w:pPr>
    </w:p>
    <w:p w14:paraId="6762B43F">
      <w:pPr>
        <w:pStyle w:val="4"/>
        <w:rPr>
          <w:rFonts w:hint="eastAsia" w:ascii="宋体" w:hAnsi="宋体" w:eastAsia="宋体"/>
          <w:color w:val="auto"/>
          <w:sz w:val="44"/>
          <w:szCs w:val="44"/>
          <w:highlight w:val="none"/>
          <w:lang w:eastAsia="zh-CN"/>
        </w:rPr>
      </w:pPr>
    </w:p>
    <w:p w14:paraId="662B5CA4">
      <w:pPr>
        <w:pStyle w:val="4"/>
        <w:rPr>
          <w:rFonts w:hint="eastAsia" w:ascii="宋体" w:hAnsi="宋体" w:eastAsia="宋体"/>
          <w:color w:val="auto"/>
          <w:sz w:val="44"/>
          <w:szCs w:val="44"/>
          <w:highlight w:val="none"/>
          <w:lang w:eastAsia="zh-CN"/>
        </w:rPr>
      </w:pPr>
    </w:p>
    <w:p w14:paraId="211A2724">
      <w:pPr>
        <w:pStyle w:val="4"/>
        <w:rPr>
          <w:rFonts w:hint="eastAsia" w:ascii="宋体" w:hAnsi="宋体" w:eastAsia="宋体"/>
          <w:color w:val="auto"/>
          <w:sz w:val="44"/>
          <w:szCs w:val="44"/>
          <w:highlight w:val="none"/>
          <w:lang w:eastAsia="zh-CN"/>
        </w:rPr>
      </w:pPr>
    </w:p>
    <w:p w14:paraId="545CC595">
      <w:pPr>
        <w:pStyle w:val="4"/>
        <w:rPr>
          <w:rFonts w:hint="eastAsia" w:ascii="宋体" w:hAnsi="宋体" w:eastAsia="宋体"/>
          <w:color w:val="auto"/>
          <w:sz w:val="44"/>
          <w:szCs w:val="44"/>
          <w:highlight w:val="none"/>
          <w:lang w:eastAsia="zh-CN"/>
        </w:rPr>
      </w:pPr>
    </w:p>
    <w:p w14:paraId="41D4279A">
      <w:pPr>
        <w:pStyle w:val="4"/>
        <w:rPr>
          <w:rFonts w:hint="eastAsia" w:ascii="宋体" w:hAnsi="宋体" w:eastAsia="宋体"/>
          <w:color w:val="auto"/>
          <w:sz w:val="44"/>
          <w:szCs w:val="44"/>
          <w:highlight w:val="none"/>
          <w:lang w:eastAsia="zh-CN"/>
        </w:rPr>
      </w:pPr>
    </w:p>
    <w:p w14:paraId="0E0079AC">
      <w:pPr>
        <w:pStyle w:val="4"/>
        <w:rPr>
          <w:rFonts w:hint="eastAsia" w:ascii="宋体" w:hAnsi="宋体" w:eastAsia="宋体"/>
          <w:color w:val="auto"/>
          <w:sz w:val="44"/>
          <w:szCs w:val="44"/>
          <w:highlight w:val="none"/>
          <w:lang w:eastAsia="zh-CN"/>
        </w:rPr>
      </w:pPr>
    </w:p>
    <w:p w14:paraId="258EEF0B">
      <w:pPr>
        <w:pStyle w:val="4"/>
        <w:rPr>
          <w:rFonts w:hint="eastAsia" w:ascii="宋体" w:hAnsi="宋体" w:eastAsia="宋体"/>
          <w:color w:val="auto"/>
          <w:sz w:val="44"/>
          <w:szCs w:val="44"/>
          <w:highlight w:val="none"/>
          <w:lang w:eastAsia="zh-CN"/>
        </w:rPr>
      </w:pPr>
    </w:p>
    <w:p w14:paraId="555385D3">
      <w:pPr>
        <w:pStyle w:val="4"/>
        <w:rPr>
          <w:rFonts w:hint="eastAsia" w:ascii="宋体" w:hAnsi="宋体" w:eastAsia="宋体"/>
          <w:color w:val="auto"/>
          <w:sz w:val="44"/>
          <w:szCs w:val="44"/>
          <w:highlight w:val="none"/>
          <w:lang w:eastAsia="zh-CN"/>
        </w:rPr>
      </w:pPr>
    </w:p>
    <w:p w14:paraId="1DEB51EB">
      <w:pPr>
        <w:pStyle w:val="4"/>
        <w:rPr>
          <w:rFonts w:hint="eastAsia" w:ascii="宋体" w:hAnsi="宋体" w:eastAsia="宋体"/>
          <w:color w:val="auto"/>
          <w:sz w:val="44"/>
          <w:szCs w:val="44"/>
          <w:highlight w:val="none"/>
          <w:lang w:eastAsia="zh-CN"/>
        </w:rPr>
      </w:pPr>
    </w:p>
    <w:p w14:paraId="70D4CEFB">
      <w:pPr>
        <w:pStyle w:val="4"/>
        <w:rPr>
          <w:rFonts w:hint="eastAsia" w:ascii="宋体" w:hAnsi="宋体" w:eastAsia="宋体"/>
          <w:color w:val="auto"/>
          <w:sz w:val="44"/>
          <w:szCs w:val="44"/>
          <w:highlight w:val="none"/>
          <w:lang w:eastAsia="zh-CN"/>
        </w:rPr>
      </w:pPr>
    </w:p>
    <w:p w14:paraId="0C3006B3">
      <w:pPr>
        <w:pStyle w:val="4"/>
        <w:rPr>
          <w:rFonts w:hint="eastAsia" w:ascii="宋体" w:hAnsi="宋体" w:eastAsia="宋体"/>
          <w:color w:val="auto"/>
          <w:sz w:val="44"/>
          <w:szCs w:val="44"/>
          <w:highlight w:val="none"/>
          <w:lang w:eastAsia="zh-CN"/>
        </w:rPr>
      </w:pPr>
    </w:p>
    <w:p w14:paraId="69C0A47A">
      <w:pPr>
        <w:pStyle w:val="4"/>
        <w:rPr>
          <w:rFonts w:hint="eastAsia" w:ascii="宋体" w:hAnsi="宋体" w:eastAsia="宋体"/>
          <w:color w:val="auto"/>
          <w:sz w:val="44"/>
          <w:szCs w:val="44"/>
          <w:highlight w:val="none"/>
          <w:lang w:eastAsia="zh-CN"/>
        </w:rPr>
      </w:pPr>
    </w:p>
    <w:p w14:paraId="50176518">
      <w:pPr>
        <w:pStyle w:val="4"/>
        <w:rPr>
          <w:rFonts w:hint="eastAsia"/>
          <w:color w:val="auto"/>
          <w:highlight w:val="none"/>
          <w:lang w:eastAsia="zh-CN"/>
        </w:rPr>
      </w:pPr>
    </w:p>
    <w:p w14:paraId="2BD4918B">
      <w:pPr>
        <w:pStyle w:val="3"/>
        <w:numPr>
          <w:ilvl w:val="0"/>
          <w:numId w:val="2"/>
        </w:numPr>
        <w:spacing w:before="0" w:after="0"/>
        <w:jc w:val="center"/>
        <w:rPr>
          <w:rFonts w:hint="eastAsia" w:ascii="宋体" w:hAnsi="宋体" w:eastAsia="宋体"/>
          <w:color w:val="auto"/>
          <w:sz w:val="44"/>
          <w:szCs w:val="44"/>
          <w:highlight w:val="none"/>
        </w:rPr>
      </w:pPr>
      <w:r>
        <w:rPr>
          <w:rFonts w:hint="eastAsia" w:ascii="宋体" w:hAnsi="宋体" w:eastAsia="宋体"/>
          <w:color w:val="auto"/>
          <w:sz w:val="44"/>
          <w:szCs w:val="44"/>
          <w:highlight w:val="none"/>
          <w:lang w:val="en-US" w:eastAsia="zh-CN"/>
        </w:rPr>
        <w:t xml:space="preserve"> </w:t>
      </w:r>
      <w:r>
        <w:rPr>
          <w:rFonts w:hint="eastAsia" w:ascii="宋体" w:hAnsi="宋体" w:eastAsia="宋体"/>
          <w:color w:val="auto"/>
          <w:sz w:val="44"/>
          <w:szCs w:val="44"/>
          <w:highlight w:val="none"/>
        </w:rPr>
        <w:t>招标项目采购需求</w:t>
      </w:r>
      <w:bookmarkEnd w:id="3"/>
      <w:bookmarkStart w:id="4" w:name="_Toc535851642"/>
      <w:bookmarkStart w:id="5" w:name="_Toc254970667"/>
      <w:bookmarkStart w:id="6" w:name="_Toc254970526"/>
    </w:p>
    <w:p w14:paraId="0773B5BE">
      <w:pPr>
        <w:widowControl w:val="0"/>
        <w:spacing w:line="500" w:lineRule="exact"/>
        <w:textAlignment w:val="auto"/>
        <w:rPr>
          <w:rFonts w:hint="eastAsia" w:ascii="宋体" w:hAnsi="宋体" w:cs="宋体"/>
          <w:color w:val="auto"/>
          <w:kern w:val="0"/>
          <w:szCs w:val="21"/>
          <w:lang w:eastAsia="zh-CN"/>
        </w:rPr>
      </w:pPr>
      <w:r>
        <w:rPr>
          <w:rFonts w:hint="eastAsia" w:ascii="宋体" w:hAnsi="宋体" w:cs="宋体"/>
          <w:color w:val="auto"/>
          <w:kern w:val="0"/>
          <w:szCs w:val="21"/>
          <w:lang w:val="en-US" w:eastAsia="zh-CN"/>
        </w:rPr>
        <w:t>一</w:t>
      </w:r>
      <w:r>
        <w:rPr>
          <w:rFonts w:hint="eastAsia" w:ascii="宋体" w:hAnsi="宋体" w:cs="宋体"/>
          <w:color w:val="auto"/>
          <w:kern w:val="0"/>
          <w:szCs w:val="21"/>
          <w:lang w:eastAsia="zh-CN"/>
        </w:rPr>
        <w:t>、项目概况：</w:t>
      </w:r>
    </w:p>
    <w:p w14:paraId="05B39360">
      <w:pPr>
        <w:widowControl w:val="0"/>
        <w:spacing w:line="500" w:lineRule="exact"/>
        <w:ind w:firstLine="420" w:firstLineChars="200"/>
        <w:textAlignment w:val="auto"/>
        <w:rPr>
          <w:rFonts w:hint="eastAsia"/>
        </w:rPr>
      </w:pPr>
      <w:r>
        <w:rPr>
          <w:rFonts w:hint="eastAsia" w:ascii="宋体" w:hAnsi="宋体" w:cs="宋体"/>
          <w:color w:val="auto"/>
          <w:kern w:val="0"/>
          <w:szCs w:val="21"/>
          <w:lang w:eastAsia="zh-CN"/>
        </w:rPr>
        <w:t>1、项目规模：</w:t>
      </w:r>
    </w:p>
    <w:tbl>
      <w:tblPr>
        <w:tblStyle w:val="55"/>
        <w:tblpPr w:leftFromText="180" w:rightFromText="180" w:vertAnchor="text" w:horzAnchor="page" w:tblpXSpec="center" w:tblpY="29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476"/>
        <w:gridCol w:w="6436"/>
      </w:tblGrid>
      <w:tr w14:paraId="7E4D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02" w:type="dxa"/>
            <w:noWrap w:val="0"/>
            <w:vAlign w:val="center"/>
          </w:tcPr>
          <w:p w14:paraId="7D2BBB0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Cs w:val="21"/>
              </w:rPr>
            </w:pPr>
            <w:bookmarkStart w:id="7" w:name="一、项目要求及服务需求"/>
            <w:bookmarkEnd w:id="7"/>
            <w:r>
              <w:rPr>
                <w:rFonts w:hint="eastAsia" w:ascii="宋体" w:hAnsi="宋体" w:eastAsia="宋体" w:cs="宋体"/>
                <w:color w:val="auto"/>
                <w:kern w:val="0"/>
                <w:szCs w:val="21"/>
              </w:rPr>
              <w:t>序号</w:t>
            </w:r>
          </w:p>
        </w:tc>
        <w:tc>
          <w:tcPr>
            <w:tcW w:w="1476" w:type="dxa"/>
            <w:noWrap w:val="0"/>
            <w:vAlign w:val="center"/>
          </w:tcPr>
          <w:p w14:paraId="0167009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服务名称</w:t>
            </w:r>
          </w:p>
        </w:tc>
        <w:tc>
          <w:tcPr>
            <w:tcW w:w="6436" w:type="dxa"/>
            <w:noWrap w:val="0"/>
            <w:vAlign w:val="center"/>
          </w:tcPr>
          <w:p w14:paraId="46947ED4">
            <w:pPr>
              <w:keepNext w:val="0"/>
              <w:keepLines w:val="0"/>
              <w:pageBreakBefore w:val="0"/>
              <w:widowControl/>
              <w:kinsoku/>
              <w:wordWrap/>
              <w:overflowPunct/>
              <w:topLinePunct w:val="0"/>
              <w:autoSpaceDE/>
              <w:autoSpaceDN/>
              <w:bidi w:val="0"/>
              <w:adjustRightInd/>
              <w:snapToGrid/>
              <w:spacing w:line="460" w:lineRule="exact"/>
              <w:ind w:firstLine="420" w:firstLineChars="20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服务内容及要求</w:t>
            </w:r>
          </w:p>
        </w:tc>
      </w:tr>
      <w:tr w14:paraId="0293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02" w:type="dxa"/>
            <w:noWrap w:val="0"/>
            <w:vAlign w:val="center"/>
          </w:tcPr>
          <w:p w14:paraId="55222FDD">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476" w:type="dxa"/>
            <w:noWrap w:val="0"/>
            <w:vAlign w:val="center"/>
          </w:tcPr>
          <w:p w14:paraId="1FE8431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港南区第二轮土地承包到期后再延长30年试点项目</w:t>
            </w:r>
            <w:r>
              <w:rPr>
                <w:rFonts w:hint="eastAsia" w:ascii="宋体" w:hAnsi="宋体" w:eastAsia="宋体" w:cs="宋体"/>
                <w:b/>
                <w:bCs/>
                <w:color w:val="auto"/>
                <w:kern w:val="0"/>
                <w:szCs w:val="21"/>
              </w:rPr>
              <w:t>（桥圩镇、东津镇、八塘镇、江南办）</w:t>
            </w:r>
            <w:r>
              <w:rPr>
                <w:rFonts w:hint="eastAsia" w:ascii="宋体" w:hAnsi="宋体" w:eastAsia="宋体" w:cs="宋体"/>
                <w:b/>
                <w:bCs/>
                <w:color w:val="auto"/>
                <w:kern w:val="0"/>
                <w:szCs w:val="21"/>
                <w:lang w:val="en-US" w:eastAsia="zh-CN"/>
              </w:rPr>
              <w:t>-1分标</w:t>
            </w:r>
          </w:p>
        </w:tc>
        <w:tc>
          <w:tcPr>
            <w:tcW w:w="6436" w:type="dxa"/>
            <w:noWrap w:val="0"/>
            <w:vAlign w:val="center"/>
          </w:tcPr>
          <w:p w14:paraId="5B8D634E">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为全面贯彻落实习近平总书记关于“三农”工作的重要论述和关于农村土地承包管理工作的重要指示批示精神，根据《自治区党委办公厅 自治区人民政府办公厅关于印发〈广西第二轮土地承包到期后再延长30年整区试点工作方案〉 的通知》（厅发〔2024〕64号）</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中共贵港市委员会办公室贵港市人民政府办公室关于印发</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贵港市第二轮土地承包到期后</w:t>
            </w:r>
            <w:r>
              <w:rPr>
                <w:rFonts w:hint="eastAsia" w:ascii="宋体" w:hAnsi="宋体" w:eastAsia="宋体" w:cs="宋体"/>
                <w:color w:val="auto"/>
                <w:kern w:val="0"/>
                <w:szCs w:val="21"/>
              </w:rPr>
              <w:t>再延长30年整市试点工作方案〉的通知》</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贵办通〔2025〕27号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的文件</w:t>
            </w:r>
            <w:r>
              <w:rPr>
                <w:rFonts w:hint="eastAsia" w:ascii="宋体" w:hAnsi="宋体" w:eastAsia="宋体" w:cs="宋体"/>
                <w:color w:val="auto"/>
                <w:kern w:val="0"/>
                <w:szCs w:val="21"/>
              </w:rPr>
              <w:t>要求，积极稳妥推进我</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第二轮土地承包到期后再延长30年（以下简称“土地延包”）整</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试点工作，</w:t>
            </w:r>
            <w:r>
              <w:rPr>
                <w:rFonts w:hint="eastAsia" w:ascii="宋体" w:hAnsi="宋体" w:eastAsia="宋体" w:cs="宋体"/>
                <w:color w:val="auto"/>
                <w:kern w:val="0"/>
                <w:szCs w:val="21"/>
                <w:lang w:val="en-US" w:eastAsia="zh-CN"/>
              </w:rPr>
              <w:t>现</w:t>
            </w:r>
            <w:r>
              <w:rPr>
                <w:rFonts w:hint="eastAsia" w:ascii="宋体" w:hAnsi="宋体" w:eastAsia="宋体" w:cs="宋体"/>
                <w:color w:val="auto"/>
                <w:kern w:val="0"/>
                <w:szCs w:val="21"/>
              </w:rPr>
              <w:t>结合</w:t>
            </w:r>
            <w:r>
              <w:rPr>
                <w:rFonts w:hint="eastAsia" w:ascii="宋体" w:hAnsi="宋体" w:eastAsia="宋体" w:cs="宋体"/>
                <w:color w:val="auto"/>
                <w:kern w:val="0"/>
                <w:szCs w:val="21"/>
                <w:lang w:val="en-US" w:eastAsia="zh-CN"/>
              </w:rPr>
              <w:t>我区</w:t>
            </w:r>
            <w:r>
              <w:rPr>
                <w:rFonts w:hint="eastAsia" w:ascii="宋体" w:hAnsi="宋体" w:eastAsia="宋体" w:cs="宋体"/>
                <w:color w:val="auto"/>
                <w:kern w:val="0"/>
                <w:szCs w:val="21"/>
              </w:rPr>
              <w:t>实际，制定如下工作方案。</w:t>
            </w:r>
          </w:p>
          <w:p w14:paraId="63C69525">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一、</w:t>
            </w:r>
            <w:r>
              <w:rPr>
                <w:rFonts w:hint="eastAsia" w:ascii="宋体" w:hAnsi="宋体" w:eastAsia="宋体" w:cs="宋体"/>
                <w:color w:val="auto"/>
                <w:kern w:val="0"/>
                <w:szCs w:val="21"/>
                <w:lang w:val="en-US" w:eastAsia="zh-CN"/>
              </w:rPr>
              <w:t>总体要求</w:t>
            </w:r>
          </w:p>
          <w:p w14:paraId="589FB2AB">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坚持</w:t>
            </w:r>
            <w:r>
              <w:rPr>
                <w:rFonts w:hint="eastAsia" w:ascii="宋体" w:hAnsi="宋体" w:eastAsia="宋体" w:cs="宋体"/>
                <w:color w:val="auto"/>
                <w:kern w:val="0"/>
                <w:szCs w:val="21"/>
                <w:lang w:val="en-US" w:eastAsia="zh-CN"/>
              </w:rPr>
              <w:t>土地</w:t>
            </w:r>
            <w:r>
              <w:rPr>
                <w:rFonts w:hint="eastAsia" w:ascii="宋体" w:hAnsi="宋体" w:eastAsia="宋体" w:cs="宋体"/>
                <w:color w:val="auto"/>
                <w:kern w:val="0"/>
                <w:szCs w:val="21"/>
              </w:rPr>
              <w:t>集体所有制不动摇，充分维护农民集体对承包地发包、调整、监督、收回等各项权能。坚持农户家庭承包经营，农村集体土地由</w:t>
            </w:r>
            <w:r>
              <w:rPr>
                <w:rFonts w:hint="eastAsia" w:ascii="宋体" w:hAnsi="宋体" w:eastAsia="宋体" w:cs="宋体"/>
                <w:color w:val="auto"/>
                <w:kern w:val="0"/>
                <w:szCs w:val="21"/>
                <w:lang w:val="en-US" w:eastAsia="zh-CN"/>
              </w:rPr>
              <w:t>本</w:t>
            </w:r>
            <w:r>
              <w:rPr>
                <w:rFonts w:hint="eastAsia" w:ascii="宋体" w:hAnsi="宋体" w:eastAsia="宋体" w:cs="宋体"/>
                <w:color w:val="auto"/>
                <w:kern w:val="0"/>
                <w:szCs w:val="21"/>
              </w:rPr>
              <w:t>集体经济组织内农民家庭承包，农户承包地要保持稳定</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发包方及其他组织、个人不得违法调整和收回农户承包地。坚持农民主体地位，充分发挥农民主动性和创造性，鼓励农民集体在法律和法规范围内因地制宜探索延包具体路径和办法。坚持“大稳定，小调整”原则，不得将承包地打乱重</w:t>
            </w:r>
            <w:r>
              <w:rPr>
                <w:rFonts w:hint="eastAsia" w:ascii="宋体" w:hAnsi="宋体" w:eastAsia="宋体" w:cs="宋体"/>
                <w:color w:val="auto"/>
                <w:kern w:val="0"/>
                <w:szCs w:val="21"/>
                <w:lang w:val="en-US" w:eastAsia="zh-CN"/>
              </w:rPr>
              <w:t>新发包。</w:t>
            </w:r>
            <w:r>
              <w:rPr>
                <w:rFonts w:hint="eastAsia" w:ascii="宋体" w:hAnsi="宋体" w:eastAsia="宋体" w:cs="宋体"/>
                <w:color w:val="auto"/>
                <w:kern w:val="0"/>
                <w:szCs w:val="21"/>
              </w:rPr>
              <w:t>以第二轮土地承包合同到期为起点再延长承包期30年，做好矛盾纠纷调处，维护农村社会稳定，尊重历史、照顾现实，统筹考虑、循序渐进，科学合理安排进度。</w:t>
            </w:r>
          </w:p>
          <w:p w14:paraId="1A5406A0">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二、工作内容</w:t>
            </w:r>
          </w:p>
          <w:p w14:paraId="66AE0A6F">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一</w:t>
            </w:r>
            <w:r>
              <w:rPr>
                <w:rFonts w:hint="eastAsia" w:ascii="宋体" w:hAnsi="宋体" w:eastAsia="宋体" w:cs="宋体"/>
                <w:color w:val="auto"/>
                <w:kern w:val="0"/>
                <w:szCs w:val="21"/>
              </w:rPr>
              <w:t>）完善工作机制，加强组织稳步推进。为确保土地延包试点工作顺利开展、取得实效，成立</w:t>
            </w:r>
            <w:r>
              <w:rPr>
                <w:rFonts w:hint="eastAsia" w:ascii="宋体" w:hAnsi="宋体" w:eastAsia="宋体" w:cs="宋体"/>
                <w:color w:val="auto"/>
                <w:kern w:val="0"/>
                <w:szCs w:val="21"/>
                <w:lang w:val="en-US" w:eastAsia="zh-CN"/>
              </w:rPr>
              <w:t>港南区</w:t>
            </w:r>
            <w:r>
              <w:rPr>
                <w:rFonts w:hint="eastAsia" w:ascii="宋体" w:hAnsi="宋体" w:eastAsia="宋体" w:cs="宋体"/>
                <w:color w:val="auto"/>
                <w:kern w:val="0"/>
                <w:szCs w:val="21"/>
              </w:rPr>
              <w:t>第二轮土地承包到期后再延长30年整</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试点工作专班（以下简称“</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工作专班”），指导推进和跟踪落实试点各项工作。各镇（街道）也要</w:t>
            </w:r>
            <w:r>
              <w:rPr>
                <w:rFonts w:hint="eastAsia" w:ascii="宋体" w:hAnsi="宋体" w:eastAsia="宋体" w:cs="宋体"/>
                <w:color w:val="auto"/>
                <w:kern w:val="0"/>
                <w:szCs w:val="21"/>
                <w:lang w:val="en-US" w:eastAsia="zh-CN"/>
              </w:rPr>
              <w:t>成</w:t>
            </w:r>
            <w:r>
              <w:rPr>
                <w:rFonts w:hint="eastAsia" w:ascii="宋体" w:hAnsi="宋体" w:eastAsia="宋体" w:cs="宋体"/>
                <w:color w:val="auto"/>
                <w:kern w:val="0"/>
                <w:szCs w:val="21"/>
              </w:rPr>
              <w:t>立工作专班，保障土地延包政策在本地顺利实施。</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工作专班各成员单位按照职责分工，加强相关政策研究和问题研讨，指导各镇（街道）研究解决土地延包试点工作中可能遇到的群众普遍关心的问题，确保绝大多数农户原有承包地继续保持稳定。各镇（街道）要针对具体问题制定工作方案，明确专人负责，加强延包政策、业务和技术培训，稳妥做好合同网签、信息变更、纠纷调处等工作。充分发挥农村基层党组织领导作用，组织村“两委”成员、派驻干部、老党员等积极参与相关工作，充实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w:t>
            </w:r>
            <w:r>
              <w:rPr>
                <w:rFonts w:hint="eastAsia" w:ascii="宋体" w:hAnsi="宋体" w:eastAsia="宋体" w:cs="宋体"/>
                <w:color w:val="auto"/>
                <w:kern w:val="0"/>
                <w:szCs w:val="21"/>
              </w:rPr>
              <w:t>（组）延包工作力量。</w:t>
            </w:r>
          </w:p>
          <w:p w14:paraId="6B84F086">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二</w:t>
            </w:r>
            <w:r>
              <w:rPr>
                <w:rFonts w:hint="eastAsia" w:ascii="宋体" w:hAnsi="宋体" w:eastAsia="宋体" w:cs="宋体"/>
                <w:color w:val="auto"/>
                <w:kern w:val="0"/>
                <w:szCs w:val="21"/>
              </w:rPr>
              <w:t>）明确任务分工，</w:t>
            </w:r>
            <w:r>
              <w:rPr>
                <w:rFonts w:hint="eastAsia" w:ascii="宋体" w:hAnsi="宋体" w:eastAsia="宋体" w:cs="宋体"/>
                <w:color w:val="auto"/>
                <w:kern w:val="0"/>
                <w:szCs w:val="21"/>
                <w:lang w:val="en-US" w:eastAsia="zh-CN"/>
              </w:rPr>
              <w:t>保障</w:t>
            </w:r>
            <w:r>
              <w:rPr>
                <w:rFonts w:hint="eastAsia" w:ascii="宋体" w:hAnsi="宋体" w:eastAsia="宋体" w:cs="宋体"/>
                <w:color w:val="auto"/>
                <w:kern w:val="0"/>
                <w:szCs w:val="21"/>
              </w:rPr>
              <w:t>工作有序开展</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为确保土地延包试点工作顺利开展、取得实效。各相关部门支持配合做好土地延包试点各项工作</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农业农村部门负责牵头制定</w:t>
            </w:r>
            <w:r>
              <w:rPr>
                <w:rFonts w:hint="eastAsia" w:ascii="宋体" w:hAnsi="宋体" w:eastAsia="宋体" w:cs="宋体"/>
                <w:color w:val="auto"/>
                <w:kern w:val="0"/>
                <w:szCs w:val="21"/>
                <w:lang w:val="en-US" w:eastAsia="zh-CN"/>
              </w:rPr>
              <w:t>试点</w:t>
            </w:r>
            <w:r>
              <w:rPr>
                <w:rFonts w:hint="eastAsia" w:ascii="宋体" w:hAnsi="宋体" w:eastAsia="宋体" w:cs="宋体"/>
                <w:color w:val="auto"/>
                <w:kern w:val="0"/>
                <w:szCs w:val="21"/>
              </w:rPr>
              <w:t>工作方案、操作程序和技术规程</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开展业务指导</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推进试点各项工作。档案部门负责指导做好土地延包的档案管理</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并负责做好档案整理及数字化工作。</w:t>
            </w:r>
            <w:r>
              <w:rPr>
                <w:rFonts w:hint="eastAsia" w:ascii="宋体" w:hAnsi="宋体" w:eastAsia="宋体" w:cs="宋体"/>
                <w:color w:val="auto"/>
                <w:kern w:val="0"/>
                <w:szCs w:val="21"/>
              </w:rPr>
              <w:t>信访部门负责做好上访群众接待工作</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协调相关部门妥善处理相关上访问题。公安部门负责提供涉及土地延包相关农户家庭成员信息等资料。司法行政部门负责指导人民调解组织化解土地承包经营纠纷。财政部门负责土地延包试点工作经费</w:t>
            </w:r>
            <w:r>
              <w:rPr>
                <w:rFonts w:hint="eastAsia" w:ascii="宋体" w:hAnsi="宋体" w:eastAsia="宋体" w:cs="宋体"/>
                <w:color w:val="auto"/>
                <w:kern w:val="0"/>
                <w:szCs w:val="21"/>
                <w:lang w:val="en-US" w:eastAsia="zh-CN"/>
              </w:rPr>
              <w:t>保障和监管，确保工作顺利开展。</w:t>
            </w:r>
            <w:r>
              <w:rPr>
                <w:rFonts w:hint="eastAsia" w:ascii="宋体" w:hAnsi="宋体" w:eastAsia="宋体" w:cs="宋体"/>
                <w:color w:val="auto"/>
                <w:kern w:val="0"/>
                <w:szCs w:val="21"/>
              </w:rPr>
              <w:t>自然资源部门</w:t>
            </w:r>
            <w:r>
              <w:rPr>
                <w:rFonts w:hint="eastAsia" w:ascii="宋体" w:hAnsi="宋体" w:eastAsia="宋体" w:cs="宋体"/>
                <w:color w:val="auto"/>
                <w:kern w:val="0"/>
                <w:szCs w:val="21"/>
                <w:lang w:val="en-US" w:eastAsia="zh-CN"/>
              </w:rPr>
              <w:t>依权限负责</w:t>
            </w:r>
            <w:r>
              <w:rPr>
                <w:rFonts w:hint="eastAsia" w:ascii="宋体" w:hAnsi="宋体" w:eastAsia="宋体" w:cs="宋体"/>
                <w:color w:val="auto"/>
                <w:kern w:val="0"/>
                <w:szCs w:val="21"/>
              </w:rPr>
              <w:t>不动产统一登记与颁证工作</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协调提供农村集体土地所有权登记发证的权属界线、影像和基本农田等有关数据资料</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并会同农业农村等部门研究解决权属重叠、地类重叠等历史遗留问题。水利部门负责提供土地延包涉及的水库库区</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水利设施</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边界范围资料。林业部门协同自然资源部门负责提供土地延包涉及的林区边界范围资料。各级政法、宣传、改革、网信以及妇联、民政等其他相关部门按照职责分工</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协同做好土地延包试点工作。</w:t>
            </w:r>
            <w:r>
              <w:rPr>
                <w:rFonts w:hint="eastAsia" w:ascii="宋体" w:hAnsi="宋体" w:eastAsia="宋体" w:cs="宋体"/>
                <w:color w:val="auto"/>
                <w:kern w:val="0"/>
                <w:szCs w:val="21"/>
                <w:lang w:val="en-US" w:eastAsia="zh-CN"/>
              </w:rPr>
              <w:t>各镇（街道）</w:t>
            </w:r>
            <w:r>
              <w:rPr>
                <w:rFonts w:hint="eastAsia" w:ascii="宋体" w:hAnsi="宋体" w:eastAsia="宋体" w:cs="宋体"/>
                <w:color w:val="auto"/>
                <w:kern w:val="0"/>
                <w:szCs w:val="21"/>
              </w:rPr>
              <w:t>党委和政府明确专人负责，加强延包政策、业务和技术</w:t>
            </w:r>
            <w:r>
              <w:rPr>
                <w:rFonts w:hint="eastAsia" w:ascii="宋体" w:hAnsi="宋体" w:eastAsia="宋体" w:cs="宋体"/>
                <w:color w:val="auto"/>
                <w:kern w:val="0"/>
                <w:szCs w:val="21"/>
                <w:lang w:val="en-US" w:eastAsia="zh-CN"/>
              </w:rPr>
              <w:t>学习</w:t>
            </w:r>
            <w:r>
              <w:rPr>
                <w:rFonts w:hint="eastAsia" w:ascii="宋体" w:hAnsi="宋体" w:eastAsia="宋体" w:cs="宋体"/>
                <w:color w:val="auto"/>
                <w:kern w:val="0"/>
                <w:szCs w:val="21"/>
              </w:rPr>
              <w:t>培训，稳妥做好合同网签、信息变更、纠纷调处等工作。</w:t>
            </w:r>
          </w:p>
          <w:p w14:paraId="1C26314D">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三</w:t>
            </w:r>
            <w:r>
              <w:rPr>
                <w:rFonts w:hint="eastAsia" w:ascii="宋体" w:hAnsi="宋体" w:eastAsia="宋体" w:cs="宋体"/>
                <w:color w:val="auto"/>
                <w:kern w:val="0"/>
                <w:szCs w:val="21"/>
              </w:rPr>
              <w:t>）明确工作步骤，保障群众权益。土地延包试点工作步骤主要包括：选举产生</w:t>
            </w:r>
            <w:r>
              <w:rPr>
                <w:rFonts w:hint="eastAsia" w:ascii="宋体" w:hAnsi="宋体" w:eastAsia="宋体" w:cs="宋体"/>
                <w:color w:val="auto"/>
                <w:kern w:val="0"/>
                <w:szCs w:val="21"/>
                <w:lang w:val="en-US" w:eastAsia="zh-CN"/>
              </w:rPr>
              <w:t>本集体</w:t>
            </w:r>
            <w:r>
              <w:rPr>
                <w:rFonts w:hint="eastAsia" w:ascii="宋体" w:hAnsi="宋体" w:eastAsia="宋体" w:cs="宋体"/>
                <w:color w:val="auto"/>
                <w:kern w:val="0"/>
                <w:szCs w:val="21"/>
              </w:rPr>
              <w:t>土地延包试点工作小组、拟定土地延包试点工作方案、召开本集体经济组织成员的村民会议、讨论通过土地延包工作方案并报审、开展</w:t>
            </w:r>
            <w:r>
              <w:rPr>
                <w:rFonts w:hint="eastAsia" w:ascii="宋体" w:hAnsi="宋体" w:eastAsia="宋体" w:cs="宋体"/>
                <w:color w:val="auto"/>
                <w:kern w:val="0"/>
                <w:szCs w:val="21"/>
                <w:lang w:val="en-US" w:eastAsia="zh-CN"/>
              </w:rPr>
              <w:t>入户</w:t>
            </w:r>
            <w:r>
              <w:rPr>
                <w:rFonts w:hint="eastAsia" w:ascii="宋体" w:hAnsi="宋体" w:eastAsia="宋体" w:cs="宋体"/>
                <w:color w:val="auto"/>
                <w:kern w:val="0"/>
                <w:szCs w:val="21"/>
              </w:rPr>
              <w:t>调查核实</w:t>
            </w:r>
            <w:r>
              <w:rPr>
                <w:rFonts w:hint="eastAsia" w:ascii="宋体" w:hAnsi="宋体" w:eastAsia="宋体" w:cs="宋体"/>
                <w:color w:val="auto"/>
                <w:kern w:val="0"/>
                <w:szCs w:val="21"/>
                <w:lang w:val="en-US" w:eastAsia="zh-CN"/>
              </w:rPr>
              <w:t>家庭成员信息、</w:t>
            </w:r>
            <w:r>
              <w:rPr>
                <w:rFonts w:hint="eastAsia" w:ascii="宋体" w:hAnsi="宋体" w:eastAsia="宋体" w:cs="宋体"/>
                <w:color w:val="auto"/>
                <w:kern w:val="0"/>
                <w:szCs w:val="21"/>
              </w:rPr>
              <w:t>土地承包信息、审核公示确认、签订土地承包（延包）合同等。各镇（街道）结合本地实际制定土地延包试点工作规范。</w:t>
            </w:r>
            <w:r>
              <w:rPr>
                <w:rFonts w:hint="eastAsia" w:ascii="宋体" w:hAnsi="宋体" w:eastAsia="宋体" w:cs="宋体"/>
                <w:color w:val="auto"/>
                <w:kern w:val="0"/>
                <w:szCs w:val="21"/>
                <w:lang w:val="en-US" w:eastAsia="zh-CN"/>
              </w:rPr>
              <w:t>每个</w:t>
            </w:r>
            <w:r>
              <w:rPr>
                <w:rFonts w:hint="eastAsia" w:ascii="宋体" w:hAnsi="宋体" w:eastAsia="宋体" w:cs="宋体"/>
                <w:color w:val="auto"/>
                <w:kern w:val="0"/>
                <w:szCs w:val="21"/>
              </w:rPr>
              <w:t>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社区（组）</w:t>
            </w:r>
            <w:r>
              <w:rPr>
                <w:rFonts w:hint="eastAsia" w:ascii="宋体" w:hAnsi="宋体" w:eastAsia="宋体" w:cs="宋体"/>
                <w:color w:val="auto"/>
                <w:kern w:val="0"/>
                <w:szCs w:val="21"/>
              </w:rPr>
              <w:t>要有至少2名妇女代表参与土地延包试点工作，推动基层</w:t>
            </w:r>
            <w:r>
              <w:rPr>
                <w:rFonts w:hint="eastAsia" w:ascii="宋体" w:hAnsi="宋体" w:eastAsia="宋体" w:cs="宋体"/>
                <w:color w:val="auto"/>
                <w:kern w:val="0"/>
                <w:szCs w:val="21"/>
                <w:lang w:val="en-US" w:eastAsia="zh-CN"/>
              </w:rPr>
              <w:t>保护妇女合法权益</w:t>
            </w:r>
            <w:r>
              <w:rPr>
                <w:rFonts w:hint="eastAsia" w:ascii="宋体" w:hAnsi="宋体" w:eastAsia="宋体" w:cs="宋体"/>
                <w:color w:val="auto"/>
                <w:kern w:val="0"/>
                <w:szCs w:val="21"/>
              </w:rPr>
              <w:t>或纠正侵犯妇女合法权益现象，预防“两头占”、“两头空”情况发生，切实保障农村妇女土地承包权益。坚持确权到户到地，不得违背农民意愿以行政手段推动确权确股不确地，也不得简单以少数服从多数的名义强迫不愿确股的农民确股。</w:t>
            </w:r>
          </w:p>
          <w:p w14:paraId="563073CB">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四</w:t>
            </w:r>
            <w:r>
              <w:rPr>
                <w:rFonts w:hint="eastAsia" w:ascii="宋体" w:hAnsi="宋体" w:eastAsia="宋体" w:cs="宋体"/>
                <w:color w:val="auto"/>
                <w:kern w:val="0"/>
                <w:szCs w:val="21"/>
              </w:rPr>
              <w:t>）开展摸底调查，掌握土地承包现状。</w:t>
            </w:r>
            <w:r>
              <w:rPr>
                <w:rFonts w:hint="eastAsia" w:ascii="宋体" w:hAnsi="宋体" w:eastAsia="宋体" w:cs="宋体"/>
                <w:color w:val="auto"/>
                <w:kern w:val="0"/>
                <w:szCs w:val="21"/>
                <w:lang w:val="en-US" w:eastAsia="zh-CN"/>
              </w:rPr>
              <w:t>区工作专班</w:t>
            </w:r>
            <w:r>
              <w:rPr>
                <w:rFonts w:hint="eastAsia" w:ascii="宋体" w:hAnsi="宋体" w:eastAsia="宋体" w:cs="宋体"/>
                <w:color w:val="auto"/>
                <w:kern w:val="0"/>
                <w:szCs w:val="21"/>
              </w:rPr>
              <w:t>要组</w:t>
            </w:r>
            <w:r>
              <w:rPr>
                <w:rFonts w:hint="eastAsia" w:ascii="宋体" w:hAnsi="宋体" w:eastAsia="宋体" w:cs="宋体"/>
                <w:color w:val="auto"/>
                <w:kern w:val="0"/>
                <w:szCs w:val="21"/>
                <w:lang w:val="en-US" w:eastAsia="zh-CN"/>
              </w:rPr>
              <w:t>织各</w:t>
            </w:r>
            <w:r>
              <w:rPr>
                <w:rFonts w:hint="eastAsia" w:ascii="宋体" w:hAnsi="宋体" w:eastAsia="宋体" w:cs="宋体"/>
                <w:color w:val="auto"/>
                <w:kern w:val="0"/>
                <w:szCs w:val="21"/>
              </w:rPr>
              <w:t>镇（街道）、村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w:t>
            </w:r>
            <w:r>
              <w:rPr>
                <w:rFonts w:hint="eastAsia" w:ascii="宋体" w:hAnsi="宋体" w:eastAsia="宋体" w:cs="宋体"/>
                <w:color w:val="auto"/>
                <w:kern w:val="0"/>
                <w:szCs w:val="21"/>
              </w:rPr>
              <w:t>（组）开展宣传动员，</w:t>
            </w:r>
            <w:r>
              <w:rPr>
                <w:rFonts w:hint="eastAsia" w:ascii="宋体" w:hAnsi="宋体" w:eastAsia="宋体" w:cs="宋体"/>
                <w:color w:val="auto"/>
                <w:kern w:val="0"/>
                <w:szCs w:val="21"/>
                <w:lang w:val="en-US" w:eastAsia="zh-CN"/>
              </w:rPr>
              <w:t>并</w:t>
            </w:r>
            <w:r>
              <w:rPr>
                <w:rFonts w:hint="eastAsia" w:ascii="宋体" w:hAnsi="宋体" w:eastAsia="宋体" w:cs="宋体"/>
                <w:color w:val="auto"/>
                <w:kern w:val="0"/>
                <w:szCs w:val="21"/>
              </w:rPr>
              <w:t>做好政策解读与业务培训。</w:t>
            </w:r>
            <w:r>
              <w:rPr>
                <w:rFonts w:hint="eastAsia" w:ascii="宋体" w:hAnsi="宋体" w:eastAsia="宋体" w:cs="宋体"/>
                <w:color w:val="auto"/>
                <w:kern w:val="0"/>
                <w:szCs w:val="21"/>
                <w:lang w:val="en-US" w:eastAsia="zh-CN"/>
              </w:rPr>
              <w:t>各镇（街道）组织人员对每家每户、每块承包地块进行</w:t>
            </w:r>
            <w:r>
              <w:rPr>
                <w:rFonts w:hint="eastAsia" w:ascii="宋体" w:hAnsi="宋体" w:eastAsia="宋体" w:cs="宋体"/>
                <w:color w:val="auto"/>
                <w:kern w:val="0"/>
                <w:szCs w:val="21"/>
              </w:rPr>
              <w:t>核查登记，全面摸清农村土地承包经营情况，重点了解第二轮承包地确权登记颁证</w:t>
            </w:r>
            <w:r>
              <w:rPr>
                <w:rFonts w:hint="eastAsia" w:ascii="宋体" w:hAnsi="宋体" w:eastAsia="宋体" w:cs="宋体"/>
                <w:color w:val="auto"/>
                <w:kern w:val="0"/>
                <w:szCs w:val="21"/>
                <w:lang w:val="en-US" w:eastAsia="zh-CN"/>
              </w:rPr>
              <w:t>已确权</w:t>
            </w:r>
            <w:r>
              <w:rPr>
                <w:rFonts w:hint="eastAsia" w:ascii="宋体" w:hAnsi="宋体" w:eastAsia="宋体" w:cs="宋体"/>
                <w:color w:val="auto"/>
                <w:kern w:val="0"/>
                <w:szCs w:val="21"/>
              </w:rPr>
              <w:t>和</w:t>
            </w:r>
            <w:r>
              <w:rPr>
                <w:rFonts w:hint="eastAsia" w:ascii="宋体" w:hAnsi="宋体" w:eastAsia="宋体" w:cs="宋体"/>
                <w:color w:val="auto"/>
                <w:kern w:val="0"/>
                <w:szCs w:val="21"/>
                <w:lang w:val="en-US" w:eastAsia="zh-CN"/>
              </w:rPr>
              <w:t>尚</w:t>
            </w:r>
            <w:r>
              <w:rPr>
                <w:rFonts w:hint="eastAsia" w:ascii="宋体" w:hAnsi="宋体" w:eastAsia="宋体" w:cs="宋体"/>
                <w:color w:val="auto"/>
                <w:kern w:val="0"/>
                <w:szCs w:val="21"/>
              </w:rPr>
              <w:t>未</w:t>
            </w:r>
            <w:r>
              <w:rPr>
                <w:rFonts w:hint="eastAsia" w:ascii="宋体" w:hAnsi="宋体" w:eastAsia="宋体" w:cs="宋体"/>
                <w:color w:val="auto"/>
                <w:kern w:val="0"/>
                <w:szCs w:val="21"/>
                <w:lang w:val="en-US" w:eastAsia="zh-CN"/>
              </w:rPr>
              <w:t>确权的</w:t>
            </w:r>
            <w:r>
              <w:rPr>
                <w:rFonts w:hint="eastAsia" w:ascii="宋体" w:hAnsi="宋体" w:eastAsia="宋体" w:cs="宋体"/>
                <w:color w:val="auto"/>
                <w:kern w:val="0"/>
                <w:szCs w:val="21"/>
              </w:rPr>
              <w:t>具体情况，全面掌握第二轮土地承包以来承包农户家庭成员、承包地面积</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地块数</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存在纠纷地块</w:t>
            </w:r>
            <w:r>
              <w:rPr>
                <w:rFonts w:hint="eastAsia" w:ascii="宋体" w:hAnsi="宋体" w:eastAsia="宋体" w:cs="宋体"/>
                <w:color w:val="auto"/>
                <w:kern w:val="0"/>
                <w:szCs w:val="21"/>
              </w:rPr>
              <w:t>等情况</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土地整治、土地征用、集体预留机动地面积情况。以及整户消亡、外嫁女、“五保户”、全家进城落户</w:t>
            </w:r>
            <w:r>
              <w:rPr>
                <w:rFonts w:hint="eastAsia" w:ascii="宋体" w:hAnsi="宋体" w:eastAsia="宋体" w:cs="宋体"/>
                <w:color w:val="auto"/>
                <w:kern w:val="0"/>
                <w:szCs w:val="21"/>
                <w:lang w:val="en-US" w:eastAsia="zh-CN"/>
              </w:rPr>
              <w:t>等情况。</w:t>
            </w:r>
            <w:r>
              <w:rPr>
                <w:rFonts w:hint="eastAsia" w:ascii="宋体" w:hAnsi="宋体" w:eastAsia="宋体" w:cs="宋体"/>
                <w:color w:val="auto"/>
                <w:kern w:val="0"/>
                <w:szCs w:val="21"/>
              </w:rPr>
              <w:t>根据《中华人民共和国农村集体经济组织法》等法律法规对集体经济组织成员身份进行梳理，确认</w:t>
            </w:r>
            <w:r>
              <w:rPr>
                <w:rFonts w:hint="eastAsia" w:ascii="宋体" w:hAnsi="宋体" w:eastAsia="宋体" w:cs="宋体"/>
                <w:color w:val="auto"/>
                <w:kern w:val="0"/>
                <w:szCs w:val="21"/>
                <w:lang w:val="en-US" w:eastAsia="zh-CN"/>
              </w:rPr>
              <w:t>土地承包人员资格，统计分析村、社区（组）人均承包地面积情况，广</w:t>
            </w:r>
            <w:r>
              <w:rPr>
                <w:rFonts w:hint="eastAsia" w:ascii="宋体" w:hAnsi="宋体" w:eastAsia="宋体" w:cs="宋体"/>
                <w:color w:val="auto"/>
                <w:kern w:val="0"/>
                <w:szCs w:val="21"/>
              </w:rPr>
              <w:t>泛收集梳理农户对土地延包的意愿、想法以及与土地延包相关的问题，包括土地延包路径、小范围适度调整承包地的特殊情形、整户消亡后承包地处理办法、进城农户自愿有偿退出承包地的意愿及其补偿标准等。</w:t>
            </w:r>
          </w:p>
          <w:p w14:paraId="396E65D3">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五</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结合实际</w:t>
            </w:r>
            <w:r>
              <w:rPr>
                <w:rFonts w:hint="eastAsia" w:ascii="宋体" w:hAnsi="宋体" w:eastAsia="宋体" w:cs="宋体"/>
                <w:color w:val="auto"/>
                <w:kern w:val="0"/>
                <w:szCs w:val="21"/>
              </w:rPr>
              <w:t>，制定</w:t>
            </w:r>
            <w:r>
              <w:rPr>
                <w:rFonts w:hint="eastAsia" w:ascii="宋体" w:hAnsi="宋体" w:eastAsia="宋体" w:cs="宋体"/>
                <w:color w:val="auto"/>
                <w:kern w:val="0"/>
                <w:szCs w:val="21"/>
                <w:lang w:val="en-US" w:eastAsia="zh-CN"/>
              </w:rPr>
              <w:t>延包</w:t>
            </w:r>
            <w:r>
              <w:rPr>
                <w:rFonts w:hint="eastAsia" w:ascii="宋体" w:hAnsi="宋体" w:eastAsia="宋体" w:cs="宋体"/>
                <w:color w:val="auto"/>
                <w:kern w:val="0"/>
                <w:szCs w:val="21"/>
              </w:rPr>
              <w:t>方案。土地延包试点工作方案坚持分类推进，对承包农户家庭成员和承包地块均无变化的，可直接签订土地承包（延包）合同；对仅有家庭成员变动的，变更信息后即可签订土地承包（延包）合同；对承包地块有变动</w:t>
            </w:r>
            <w:r>
              <w:rPr>
                <w:rFonts w:hint="eastAsia" w:ascii="宋体" w:hAnsi="宋体" w:eastAsia="宋体" w:cs="宋体"/>
                <w:color w:val="auto"/>
                <w:kern w:val="0"/>
                <w:szCs w:val="21"/>
                <w:lang w:val="en-US" w:eastAsia="zh-CN"/>
              </w:rPr>
              <w:t>的，需开展承包地“四至”测绘并公示确认后，再签订土地承包（延包）合同。在第二轮土地承包中没有明确承包关系的，如开</w:t>
            </w:r>
            <w:r>
              <w:rPr>
                <w:rFonts w:hint="eastAsia" w:ascii="宋体" w:hAnsi="宋体" w:eastAsia="宋体" w:cs="宋体"/>
                <w:color w:val="auto"/>
                <w:kern w:val="0"/>
                <w:szCs w:val="21"/>
              </w:rPr>
              <w:t>荒地、自留地、园地等非承包耕地，原则上暂不列入此次土地延包范围，如村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w:t>
            </w:r>
            <w:r>
              <w:rPr>
                <w:rFonts w:hint="eastAsia" w:ascii="宋体" w:hAnsi="宋体" w:eastAsia="宋体" w:cs="宋体"/>
                <w:color w:val="auto"/>
                <w:kern w:val="0"/>
                <w:szCs w:val="21"/>
              </w:rPr>
              <w:t>（组）集体成员一致同意将其纳入延包确权登记的，依法明确承包关系，再确权登记。</w:t>
            </w:r>
            <w:r>
              <w:rPr>
                <w:rFonts w:hint="eastAsia" w:ascii="宋体" w:hAnsi="宋体" w:eastAsia="宋体" w:cs="宋体"/>
                <w:color w:val="auto"/>
                <w:kern w:val="0"/>
                <w:szCs w:val="21"/>
                <w:lang w:val="en-US" w:eastAsia="zh-CN"/>
              </w:rPr>
              <w:t>各</w:t>
            </w:r>
            <w:r>
              <w:rPr>
                <w:rFonts w:hint="eastAsia" w:ascii="宋体" w:hAnsi="宋体" w:eastAsia="宋体" w:cs="宋体"/>
                <w:color w:val="auto"/>
                <w:kern w:val="0"/>
                <w:szCs w:val="21"/>
              </w:rPr>
              <w:t>镇（街道）</w:t>
            </w:r>
            <w:r>
              <w:rPr>
                <w:rFonts w:hint="eastAsia" w:ascii="宋体" w:hAnsi="宋体" w:eastAsia="宋体" w:cs="宋体"/>
                <w:color w:val="auto"/>
                <w:kern w:val="0"/>
                <w:szCs w:val="21"/>
                <w:lang w:val="en-US" w:eastAsia="zh-CN"/>
              </w:rPr>
              <w:t>要</w:t>
            </w:r>
            <w:r>
              <w:rPr>
                <w:rFonts w:hint="eastAsia" w:ascii="宋体" w:hAnsi="宋体" w:eastAsia="宋体" w:cs="宋体"/>
                <w:color w:val="auto"/>
                <w:kern w:val="0"/>
                <w:szCs w:val="21"/>
              </w:rPr>
              <w:t>制定土地延包试点工作方案，报</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农业农村局备案。各镇（街道）要组织试点村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w:t>
            </w:r>
            <w:r>
              <w:rPr>
                <w:rFonts w:hint="eastAsia" w:ascii="宋体" w:hAnsi="宋体" w:eastAsia="宋体" w:cs="宋体"/>
                <w:color w:val="auto"/>
                <w:kern w:val="0"/>
                <w:szCs w:val="21"/>
              </w:rPr>
              <w:t>（组），根据承包农户中的特殊人群、特殊情况，制定有针对性的土地延包试点办法，确保相关措施符合法律法规政策要求，充分反映村民意愿。各试点镇（街道）和村土地延包试点工作方案，报</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级农业农村部门审核。各村民小组土地承包（延包）方案，要在本集体经济组织范围内张榜公示，期限不少于15天；公示结束后，方案应当依法经本集体经济组织成员的村民会议三分之二以上成员或者三分之二以上村民代表同意。</w:t>
            </w:r>
          </w:p>
          <w:p w14:paraId="4CFE22B2">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lang w:val="en-US"/>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加强</w:t>
            </w:r>
            <w:r>
              <w:rPr>
                <w:rFonts w:hint="eastAsia" w:ascii="宋体" w:hAnsi="宋体" w:eastAsia="宋体" w:cs="宋体"/>
                <w:color w:val="auto"/>
                <w:kern w:val="0"/>
                <w:szCs w:val="21"/>
              </w:rPr>
              <w:t>工作指导，</w:t>
            </w:r>
            <w:r>
              <w:rPr>
                <w:rFonts w:hint="eastAsia" w:ascii="宋体" w:hAnsi="宋体" w:eastAsia="宋体" w:cs="宋体"/>
                <w:color w:val="auto"/>
                <w:kern w:val="0"/>
                <w:szCs w:val="21"/>
                <w:lang w:val="en-US" w:eastAsia="zh-CN"/>
              </w:rPr>
              <w:t>推进</w:t>
            </w:r>
            <w:r>
              <w:rPr>
                <w:rFonts w:hint="eastAsia" w:ascii="宋体" w:hAnsi="宋体" w:eastAsia="宋体" w:cs="宋体"/>
                <w:color w:val="auto"/>
                <w:kern w:val="0"/>
                <w:szCs w:val="21"/>
              </w:rPr>
              <w:t>方案实施。</w:t>
            </w:r>
            <w:r>
              <w:rPr>
                <w:rFonts w:hint="eastAsia" w:ascii="宋体" w:hAnsi="宋体" w:eastAsia="宋体" w:cs="宋体"/>
                <w:color w:val="auto"/>
                <w:kern w:val="0"/>
                <w:szCs w:val="21"/>
                <w:lang w:val="en-US" w:eastAsia="zh-CN"/>
              </w:rPr>
              <w:t>土地延包</w:t>
            </w:r>
            <w:r>
              <w:rPr>
                <w:rFonts w:hint="eastAsia" w:ascii="宋体" w:hAnsi="宋体" w:eastAsia="宋体" w:cs="宋体"/>
                <w:color w:val="auto"/>
                <w:kern w:val="0"/>
                <w:szCs w:val="21"/>
              </w:rPr>
              <w:t>要以第二轮承包地确权登记颁证为基础，按照农业农村部土地延包试点工作规程和法律法规政策解答要求，</w:t>
            </w:r>
            <w:r>
              <w:rPr>
                <w:rFonts w:hint="eastAsia" w:ascii="宋体" w:hAnsi="宋体" w:eastAsia="宋体" w:cs="宋体"/>
                <w:color w:val="auto"/>
                <w:kern w:val="0"/>
                <w:szCs w:val="21"/>
                <w:lang w:val="en-US" w:eastAsia="zh-CN"/>
              </w:rPr>
              <w:t>区工作专班要</w:t>
            </w:r>
            <w:r>
              <w:rPr>
                <w:rFonts w:hint="eastAsia" w:ascii="宋体" w:hAnsi="宋体" w:eastAsia="宋体" w:cs="宋体"/>
                <w:color w:val="auto"/>
                <w:kern w:val="0"/>
                <w:szCs w:val="21"/>
              </w:rPr>
              <w:t>指导试点镇（街道）、村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w:t>
            </w:r>
            <w:r>
              <w:rPr>
                <w:rFonts w:hint="eastAsia" w:ascii="宋体" w:hAnsi="宋体" w:eastAsia="宋体" w:cs="宋体"/>
                <w:color w:val="auto"/>
                <w:kern w:val="0"/>
                <w:szCs w:val="21"/>
              </w:rPr>
              <w:t>（组）开展土地延包试点工作，组织填写土地延包的发包方、承包方、承包地块调查表。调查结果经土地延包试点工作小组审核后进行公示，期限不少于15天；相关权利人提出异议的，土地延包试点工作小组应当进行核实、修正，并再次公示。调查结果经公示无异议后，报</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级农业农村部门审核同意并办理</w:t>
            </w:r>
            <w:r>
              <w:rPr>
                <w:rFonts w:hint="eastAsia" w:ascii="宋体" w:hAnsi="宋体" w:eastAsia="宋体" w:cs="宋体"/>
                <w:color w:val="auto"/>
                <w:kern w:val="0"/>
                <w:szCs w:val="21"/>
                <w:lang w:val="en-US" w:eastAsia="zh-CN"/>
              </w:rPr>
              <w:t>土地延包手续。已颁发的土地承包经营权证在新的承包期继续有</w:t>
            </w:r>
            <w:r>
              <w:rPr>
                <w:rFonts w:hint="eastAsia" w:ascii="宋体" w:hAnsi="宋体" w:eastAsia="宋体" w:cs="宋体"/>
                <w:color w:val="auto"/>
                <w:kern w:val="0"/>
                <w:szCs w:val="21"/>
              </w:rPr>
              <w:t>效且不变不换。证书记载的承包期限，在不动产登记机构收到不动产登记申请后统一变更。对个别调地等承包地块发生变化的，要重新签订承包（延包）合同、重新发证；对个别成员变动等不同情况，在承包（延包）合同、登记簿和证书上作相应变更处理。对尚未确权颁发土地承包经营权证的</w:t>
            </w:r>
            <w:r>
              <w:rPr>
                <w:rFonts w:hint="eastAsia" w:ascii="宋体" w:hAnsi="宋体" w:eastAsia="宋体" w:cs="宋体"/>
                <w:color w:val="auto"/>
                <w:kern w:val="0"/>
                <w:szCs w:val="21"/>
                <w:lang w:val="en-US" w:eastAsia="zh-CN"/>
              </w:rPr>
              <w:t>地块</w:t>
            </w:r>
            <w:r>
              <w:rPr>
                <w:rFonts w:hint="eastAsia" w:ascii="宋体" w:hAnsi="宋体" w:eastAsia="宋体" w:cs="宋体"/>
                <w:color w:val="auto"/>
                <w:kern w:val="0"/>
                <w:szCs w:val="21"/>
              </w:rPr>
              <w:t>，组织开展确权，并同步办理土地延包手续。</w:t>
            </w:r>
            <w:r>
              <w:rPr>
                <w:rFonts w:hint="eastAsia" w:ascii="宋体" w:hAnsi="宋体" w:eastAsia="宋体" w:cs="宋体"/>
                <w:color w:val="auto"/>
                <w:kern w:val="0"/>
                <w:szCs w:val="21"/>
                <w:lang w:val="en-US" w:eastAsia="zh-CN"/>
              </w:rPr>
              <w:t>存在纠纷的地块纠纷尚未解决的暂缓不确权延包，纠纷解决的可以确权延包。对开展“小块并大块”土地整治的地方，在农民群众自愿的前提下，鼓励先互换并地，再进行土地确权，解决承包地块细碎化问题。对于因土地整理、“小块并大块”、土地入股规模经营等原因，部分土地已连片、原承包地块四至已经消失的；城市近郊、各类经济开发区和园区已经实行集体经济组织股份制改革的；已经实行土地股份合作、股权明晰的，人均家庭承包耕地0.3亩以下、不适宜一家一户分散经营、确实不能确权确地的；要因地制宜，经本集体农民群众按规定程序民主协商一致，形成完整的确权确股不确地的延包工作方案，并经镇政府（街道办事处）审查，区农业农村部门审核和区政府同意后，方可实行确权确股不确地，通过定性定量不定位，并建立农户土地承包档案，确保农户对土地的承包关系和数量长久不变。对在2014—2018年土地确权登记颁证工作中将开荒地、自留地、园地等没经过村民小组讨论决定已经确权的地块，要重新召开村民小组会议讨论决定，会议同意发包的可以延包，不同意发包的不延包。对权属明确、边界清晰的荒地，因地方偏远，本集体经济组织成员疏于管理，被就近的村民在2014—2018年土地确权登记颁证中进行确权，因其不是荒地所属集体经济组织成员，并且没经荒地所属集体经济组织同意的，因存在争议纠纷其已确权的荒地暂缓延包。对在2014—2018年土地确权与林区、水库、西江农场范围重叠的地块，因存在争议纠纷暂缓延包，并在二轮延包的基础上进行充分调查，尊重历史和现实，妥善解决地块重叠问题。对</w:t>
            </w:r>
            <w:r>
              <w:rPr>
                <w:rFonts w:hint="eastAsia" w:ascii="宋体" w:hAnsi="宋体" w:eastAsia="宋体" w:cs="宋体"/>
                <w:color w:val="auto"/>
                <w:kern w:val="0"/>
                <w:szCs w:val="21"/>
              </w:rPr>
              <w:t>因家庭成员全部死亡导致承包方消亡的，发包方应当依法收回承包地，其承包地处置，由农民集体民主协商解决。合户、分户应当在同一集体经济组织内进行，仅限于父母、子女、配偶等直系亲属之间，不得以合户之名规避集体依法收回承包地。</w:t>
            </w:r>
          </w:p>
          <w:p w14:paraId="379EC452">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七</w:t>
            </w:r>
            <w:r>
              <w:rPr>
                <w:rFonts w:hint="eastAsia" w:ascii="宋体" w:hAnsi="宋体" w:eastAsia="宋体" w:cs="宋体"/>
                <w:color w:val="auto"/>
                <w:kern w:val="0"/>
                <w:szCs w:val="21"/>
              </w:rPr>
              <w:t>）加强</w:t>
            </w:r>
            <w:r>
              <w:rPr>
                <w:rFonts w:hint="eastAsia" w:ascii="宋体" w:hAnsi="宋体" w:eastAsia="宋体" w:cs="宋体"/>
                <w:color w:val="auto"/>
                <w:kern w:val="0"/>
                <w:szCs w:val="21"/>
                <w:lang w:val="en-US" w:eastAsia="zh-CN"/>
              </w:rPr>
              <w:t>部门</w:t>
            </w:r>
            <w:r>
              <w:rPr>
                <w:rFonts w:hint="eastAsia" w:ascii="宋体" w:hAnsi="宋体" w:eastAsia="宋体" w:cs="宋体"/>
                <w:color w:val="auto"/>
                <w:kern w:val="0"/>
                <w:szCs w:val="21"/>
              </w:rPr>
              <w:t>协作，做好合同管理工作。</w:t>
            </w:r>
            <w:r>
              <w:rPr>
                <w:rFonts w:hint="eastAsia" w:ascii="宋体" w:hAnsi="宋体" w:eastAsia="宋体" w:cs="宋体"/>
                <w:color w:val="auto"/>
                <w:kern w:val="0"/>
                <w:szCs w:val="21"/>
                <w:lang w:val="en-US" w:eastAsia="zh-CN"/>
              </w:rPr>
              <w:t>各</w:t>
            </w:r>
            <w:r>
              <w:rPr>
                <w:rFonts w:hint="eastAsia" w:ascii="宋体" w:hAnsi="宋体" w:eastAsia="宋体" w:cs="宋体"/>
                <w:color w:val="auto"/>
                <w:kern w:val="0"/>
                <w:szCs w:val="21"/>
              </w:rPr>
              <w:t>镇（街道）要按照</w:t>
            </w:r>
            <w:r>
              <w:rPr>
                <w:rFonts w:hint="eastAsia" w:ascii="宋体" w:hAnsi="宋体" w:eastAsia="宋体" w:cs="宋体"/>
                <w:color w:val="auto"/>
                <w:kern w:val="0"/>
                <w:szCs w:val="21"/>
                <w:lang w:val="en-US" w:eastAsia="zh-CN"/>
              </w:rPr>
              <w:t>区委区政府</w:t>
            </w:r>
            <w:r>
              <w:rPr>
                <w:rFonts w:hint="eastAsia" w:ascii="宋体" w:hAnsi="宋体" w:eastAsia="宋体" w:cs="宋体"/>
                <w:color w:val="auto"/>
                <w:kern w:val="0"/>
                <w:szCs w:val="21"/>
              </w:rPr>
              <w:t>部署要求，积极组织开展农村土地承包合同网签系统的应用培训，通过使用合同网签系统开展土地延包试点工作，切实提高工作效率，降低工作成本。确实需要线下组织签订土地承包（延包）合同的，要将已签订合同同步扫描录入全国农村土地承包合同网签系统。</w:t>
            </w:r>
            <w:r>
              <w:rPr>
                <w:rFonts w:hint="eastAsia" w:ascii="宋体" w:hAnsi="宋体" w:eastAsia="宋体" w:cs="宋体"/>
                <w:color w:val="auto"/>
                <w:kern w:val="0"/>
                <w:szCs w:val="21"/>
                <w:lang w:val="en-US" w:eastAsia="zh-CN"/>
              </w:rPr>
              <w:t>并</w:t>
            </w:r>
            <w:r>
              <w:rPr>
                <w:rFonts w:hint="eastAsia" w:ascii="宋体" w:hAnsi="宋体" w:eastAsia="宋体" w:cs="宋体"/>
                <w:color w:val="auto"/>
                <w:kern w:val="0"/>
                <w:szCs w:val="21"/>
              </w:rPr>
              <w:t>及时对接全国农村土地承包合同网签系统，实现数据同步。自然资源、农业农村部门</w:t>
            </w:r>
            <w:r>
              <w:rPr>
                <w:rFonts w:hint="eastAsia" w:ascii="宋体" w:hAnsi="宋体" w:eastAsia="宋体" w:cs="宋体"/>
                <w:color w:val="auto"/>
                <w:kern w:val="0"/>
                <w:szCs w:val="21"/>
                <w:lang w:val="en-US" w:eastAsia="zh-CN"/>
              </w:rPr>
              <w:t>要</w:t>
            </w:r>
            <w:r>
              <w:rPr>
                <w:rFonts w:hint="eastAsia" w:ascii="宋体" w:hAnsi="宋体" w:eastAsia="宋体" w:cs="宋体"/>
                <w:color w:val="auto"/>
                <w:kern w:val="0"/>
                <w:szCs w:val="21"/>
              </w:rPr>
              <w:t>加强协作，积极稳妥推进土地承包合同信息和不动产统一登记信息互通共享，实现土地承包合同管理与不动产统一登记有序衔接。</w:t>
            </w:r>
            <w:r>
              <w:rPr>
                <w:rFonts w:hint="eastAsia" w:ascii="宋体" w:hAnsi="宋体" w:eastAsia="宋体" w:cs="宋体"/>
                <w:color w:val="auto"/>
                <w:kern w:val="0"/>
                <w:szCs w:val="21"/>
                <w:lang w:val="en-US" w:eastAsia="zh-CN"/>
              </w:rPr>
              <w:t>并</w:t>
            </w:r>
            <w:r>
              <w:rPr>
                <w:rFonts w:hint="eastAsia" w:ascii="宋体" w:hAnsi="宋体" w:eastAsia="宋体" w:cs="宋体"/>
                <w:color w:val="auto"/>
                <w:kern w:val="0"/>
                <w:szCs w:val="21"/>
              </w:rPr>
              <w:t>及时将登记所需的相关</w:t>
            </w:r>
            <w:r>
              <w:rPr>
                <w:rFonts w:hint="eastAsia" w:ascii="宋体" w:hAnsi="宋体" w:eastAsia="宋体" w:cs="宋体"/>
                <w:color w:val="auto"/>
                <w:kern w:val="0"/>
                <w:szCs w:val="21"/>
                <w:lang w:val="en-US" w:eastAsia="zh-CN"/>
              </w:rPr>
              <w:t>数据</w:t>
            </w:r>
            <w:r>
              <w:rPr>
                <w:rFonts w:hint="eastAsia" w:ascii="宋体" w:hAnsi="宋体" w:eastAsia="宋体" w:cs="宋体"/>
                <w:color w:val="auto"/>
                <w:kern w:val="0"/>
                <w:szCs w:val="21"/>
              </w:rPr>
              <w:t>共享给不动产登记机构，用于办理不动产统一登记与颁证手续。</w:t>
            </w:r>
          </w:p>
          <w:p w14:paraId="19944690">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八</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加强档案管理</w:t>
            </w:r>
            <w:r>
              <w:rPr>
                <w:rFonts w:hint="eastAsia" w:ascii="宋体" w:hAnsi="宋体" w:eastAsia="宋体" w:cs="宋体"/>
                <w:color w:val="auto"/>
                <w:kern w:val="0"/>
                <w:szCs w:val="21"/>
              </w:rPr>
              <w:t>，完善延包数据信息。农业农村、档案等相关部门加强土地延包档案和数据管理业务指导</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规范和完</w:t>
            </w:r>
            <w:r>
              <w:rPr>
                <w:rFonts w:hint="eastAsia" w:ascii="宋体" w:hAnsi="宋体" w:eastAsia="宋体" w:cs="宋体"/>
                <w:color w:val="auto"/>
                <w:kern w:val="0"/>
                <w:szCs w:val="21"/>
              </w:rPr>
              <w:t>善土地延包相关档案资料，确保土地延包档案准确、规范、完整。完成土地延包试点工作后，</w:t>
            </w:r>
            <w:r>
              <w:rPr>
                <w:rFonts w:hint="eastAsia" w:ascii="宋体" w:hAnsi="宋体" w:eastAsia="宋体" w:cs="宋体"/>
                <w:color w:val="auto"/>
                <w:kern w:val="0"/>
                <w:szCs w:val="21"/>
                <w:lang w:val="en-US" w:eastAsia="zh-CN"/>
              </w:rPr>
              <w:t>农业农村部门</w:t>
            </w:r>
            <w:r>
              <w:rPr>
                <w:rFonts w:hint="eastAsia" w:ascii="宋体" w:hAnsi="宋体" w:eastAsia="宋体" w:cs="宋体"/>
                <w:color w:val="auto"/>
                <w:kern w:val="0"/>
                <w:szCs w:val="21"/>
              </w:rPr>
              <w:t>要同步更新本地土地确权数据库信息，同时向市和自治区汇总提交更新的数据。对土地延包试点工作相关资料，特别是高清影像图等地籍信息资料，严格按照测绘地理信息管理工作关于国家秘密范围的规定，以及</w:t>
            </w:r>
            <w:r>
              <w:rPr>
                <w:rFonts w:hint="eastAsia" w:ascii="宋体" w:hAnsi="宋体" w:eastAsia="宋体" w:cs="宋体"/>
                <w:color w:val="auto"/>
                <w:kern w:val="0"/>
                <w:szCs w:val="21"/>
                <w:lang w:val="en-US" w:eastAsia="zh-CN"/>
              </w:rPr>
              <w:t>自治区农村土地承包数据管理实施办法使用和管理，确保不泄</w:t>
            </w:r>
            <w:r>
              <w:rPr>
                <w:rFonts w:hint="eastAsia" w:ascii="宋体" w:hAnsi="宋体" w:eastAsia="宋体" w:cs="宋体"/>
                <w:color w:val="auto"/>
                <w:kern w:val="0"/>
                <w:szCs w:val="21"/>
              </w:rPr>
              <w:t>密。</w:t>
            </w:r>
          </w:p>
          <w:p w14:paraId="729D5EE5">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三</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en-US" w:eastAsia="zh-CN"/>
              </w:rPr>
              <w:t>工作</w:t>
            </w:r>
            <w:r>
              <w:rPr>
                <w:rFonts w:hint="eastAsia" w:ascii="宋体" w:hAnsi="宋体" w:eastAsia="宋体" w:cs="宋体"/>
                <w:b/>
                <w:bCs/>
                <w:color w:val="auto"/>
                <w:kern w:val="0"/>
                <w:szCs w:val="21"/>
              </w:rPr>
              <w:t>进度安排</w:t>
            </w:r>
          </w:p>
          <w:p w14:paraId="5274E1AC">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（一）</w:t>
            </w:r>
            <w:r>
              <w:rPr>
                <w:rFonts w:hint="eastAsia" w:ascii="宋体" w:hAnsi="宋体" w:eastAsia="宋体" w:cs="宋体"/>
                <w:color w:val="auto"/>
                <w:kern w:val="0"/>
                <w:szCs w:val="21"/>
                <w:lang w:val="en-US" w:eastAsia="zh-CN"/>
              </w:rPr>
              <w:t>根据贵港市土地延包方案要求，</w:t>
            </w:r>
            <w:r>
              <w:rPr>
                <w:rFonts w:hint="eastAsia" w:ascii="宋体" w:hAnsi="宋体" w:eastAsia="宋体" w:cs="宋体"/>
                <w:color w:val="auto"/>
                <w:kern w:val="0"/>
                <w:szCs w:val="21"/>
              </w:rPr>
              <w:t>2025年</w:t>
            </w:r>
            <w:r>
              <w:rPr>
                <w:rFonts w:hint="eastAsia" w:ascii="宋体" w:hAnsi="宋体" w:eastAsia="宋体" w:cs="宋体"/>
                <w:color w:val="auto"/>
                <w:kern w:val="0"/>
                <w:szCs w:val="21"/>
                <w:lang w:val="en-US" w:eastAsia="zh-CN"/>
              </w:rPr>
              <w:t>我区以湛江镇做为试点镇开展土地延包试点工作，2025年12月前完成试点工作，农户签订土地（承包）延包合同90%以上，并做好经验总结，为2026年全区开展整区试点打基础。</w:t>
            </w:r>
          </w:p>
          <w:p w14:paraId="10783FAD">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（二）2026年，</w:t>
            </w:r>
            <w:r>
              <w:rPr>
                <w:rFonts w:hint="eastAsia" w:ascii="宋体" w:hAnsi="宋体" w:eastAsia="宋体" w:cs="宋体"/>
                <w:color w:val="auto"/>
                <w:kern w:val="0"/>
                <w:szCs w:val="21"/>
                <w:lang w:val="en-US" w:eastAsia="zh-CN"/>
              </w:rPr>
              <w:t>全区</w:t>
            </w:r>
            <w:r>
              <w:rPr>
                <w:rFonts w:hint="eastAsia" w:ascii="宋体" w:hAnsi="宋体" w:eastAsia="宋体" w:cs="宋体"/>
                <w:color w:val="auto"/>
                <w:kern w:val="0"/>
                <w:szCs w:val="21"/>
              </w:rPr>
              <w:t>开展土地延包整区试点工作。</w:t>
            </w:r>
          </w:p>
          <w:p w14:paraId="27AFB545">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开展试点的</w:t>
            </w:r>
            <w:r>
              <w:rPr>
                <w:rFonts w:hint="eastAsia" w:ascii="宋体" w:hAnsi="宋体" w:eastAsia="宋体" w:cs="宋体"/>
                <w:color w:val="auto"/>
                <w:kern w:val="0"/>
                <w:szCs w:val="21"/>
                <w:lang w:val="en-US" w:eastAsia="zh-CN"/>
              </w:rPr>
              <w:t>各镇</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街道</w:t>
            </w:r>
            <w:r>
              <w:rPr>
                <w:rFonts w:hint="eastAsia" w:ascii="宋体" w:hAnsi="宋体" w:eastAsia="宋体" w:cs="宋体"/>
                <w:color w:val="auto"/>
                <w:kern w:val="0"/>
                <w:szCs w:val="21"/>
              </w:rPr>
              <w:t>），原则上在当年完成土地延包试点工作。</w:t>
            </w:r>
            <w:r>
              <w:rPr>
                <w:rFonts w:hint="eastAsia" w:ascii="宋体" w:hAnsi="宋体" w:eastAsia="宋体" w:cs="宋体"/>
                <w:color w:val="auto"/>
                <w:kern w:val="0"/>
                <w:szCs w:val="21"/>
                <w:lang w:val="en-US" w:eastAsia="zh-CN"/>
              </w:rPr>
              <w:t>区、镇工作专班</w:t>
            </w:r>
            <w:r>
              <w:rPr>
                <w:rFonts w:hint="eastAsia" w:ascii="宋体" w:hAnsi="宋体" w:eastAsia="宋体" w:cs="宋体"/>
                <w:color w:val="auto"/>
                <w:kern w:val="0"/>
                <w:szCs w:val="21"/>
              </w:rPr>
              <w:t>统筹安排土地延包试点各环节工作。重点工作安排：1—6月，统筹开展业务培训，成立工作专班，开展</w:t>
            </w:r>
            <w:r>
              <w:rPr>
                <w:rFonts w:hint="eastAsia" w:ascii="宋体" w:hAnsi="宋体" w:eastAsia="宋体" w:cs="宋体"/>
                <w:color w:val="auto"/>
                <w:kern w:val="0"/>
                <w:szCs w:val="21"/>
                <w:lang w:val="en-US" w:eastAsia="zh-CN"/>
              </w:rPr>
              <w:t>摸底调查等前期工作；7月底前，组织试点村（组）制订延包方案，</w:t>
            </w:r>
            <w:r>
              <w:rPr>
                <w:rFonts w:hint="eastAsia" w:ascii="宋体" w:hAnsi="宋体" w:eastAsia="宋体" w:cs="宋体"/>
                <w:color w:val="auto"/>
                <w:kern w:val="0"/>
                <w:szCs w:val="21"/>
              </w:rPr>
              <w:t>并完成承包信息的公示确认；10月底前，完成合同签订；12月底前，完成档案资料的归档整理，进行总结验收。土地延包试点工作完成后，如承包农户家庭成员、承包地块有变化的，按照土地承包常态化管理要求进行日常数据更新工作。</w:t>
            </w:r>
            <w:r>
              <w:rPr>
                <w:rFonts w:hint="eastAsia" w:ascii="宋体" w:hAnsi="宋体" w:eastAsia="宋体" w:cs="宋体"/>
                <w:color w:val="auto"/>
                <w:kern w:val="0"/>
                <w:szCs w:val="21"/>
                <w:lang w:val="en-US" w:eastAsia="zh-CN"/>
              </w:rPr>
              <w:t>到2026年年底，全区</w:t>
            </w:r>
            <w:r>
              <w:rPr>
                <w:rFonts w:hint="eastAsia" w:ascii="宋体" w:hAnsi="宋体" w:eastAsia="宋体" w:cs="宋体"/>
                <w:color w:val="auto"/>
                <w:kern w:val="0"/>
                <w:szCs w:val="21"/>
              </w:rPr>
              <w:t>基本完成土地延包试点工作，农户土地承包（延包）合同签订率达90%以上。</w:t>
            </w:r>
          </w:p>
          <w:p w14:paraId="2A58FEC5">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四</w:t>
            </w:r>
            <w:r>
              <w:rPr>
                <w:rFonts w:hint="eastAsia" w:ascii="宋体" w:hAnsi="宋体" w:eastAsia="宋体" w:cs="宋体"/>
                <w:b/>
                <w:bCs/>
                <w:color w:val="auto"/>
                <w:kern w:val="0"/>
                <w:szCs w:val="21"/>
              </w:rPr>
              <w:t>、工作要求</w:t>
            </w:r>
          </w:p>
          <w:p w14:paraId="420BF574">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各级各部门要充分认识土地延包试点工作的重要性，在党中央和自治区党委的坚强领导下，按照市委、市人民政府部署安排，落实工作责任。</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委和</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政府负总责，</w:t>
            </w:r>
            <w:r>
              <w:rPr>
                <w:rFonts w:hint="eastAsia" w:ascii="宋体" w:hAnsi="宋体" w:eastAsia="宋体" w:cs="宋体"/>
                <w:color w:val="auto"/>
                <w:kern w:val="0"/>
                <w:szCs w:val="21"/>
                <w:lang w:val="en-US" w:eastAsia="zh-CN"/>
              </w:rPr>
              <w:t>各镇（街道）</w:t>
            </w:r>
            <w:r>
              <w:rPr>
                <w:rFonts w:hint="eastAsia" w:ascii="宋体" w:hAnsi="宋体" w:eastAsia="宋体" w:cs="宋体"/>
                <w:color w:val="auto"/>
                <w:kern w:val="0"/>
                <w:szCs w:val="21"/>
              </w:rPr>
              <w:t>党委和政府具体负责的责任制度。</w:t>
            </w:r>
            <w:r>
              <w:rPr>
                <w:rFonts w:hint="eastAsia" w:ascii="宋体" w:hAnsi="宋体" w:eastAsia="宋体" w:cs="宋体"/>
                <w:color w:val="auto"/>
                <w:kern w:val="0"/>
                <w:szCs w:val="21"/>
                <w:lang w:val="en-US" w:eastAsia="zh-CN"/>
              </w:rPr>
              <w:t>工作专班</w:t>
            </w:r>
            <w:r>
              <w:rPr>
                <w:rFonts w:hint="eastAsia" w:ascii="宋体" w:hAnsi="宋体" w:eastAsia="宋体" w:cs="宋体"/>
                <w:color w:val="auto"/>
                <w:kern w:val="0"/>
                <w:szCs w:val="21"/>
              </w:rPr>
              <w:t>定期或不定期对各阶段的工作情况进行跟踪落实和业务指导</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各相关部门要高度重视土地延包试点过程中的社会稳定工作，压实主体责任，深入试点</w:t>
            </w:r>
            <w:r>
              <w:rPr>
                <w:rFonts w:hint="eastAsia" w:ascii="宋体" w:hAnsi="宋体" w:eastAsia="宋体" w:cs="宋体"/>
                <w:color w:val="auto"/>
                <w:kern w:val="0"/>
                <w:szCs w:val="21"/>
                <w:lang w:val="en-US" w:eastAsia="zh-CN"/>
              </w:rPr>
              <w:t>镇</w:t>
            </w:r>
            <w:r>
              <w:rPr>
                <w:rFonts w:hint="eastAsia" w:ascii="宋体" w:hAnsi="宋体" w:eastAsia="宋体" w:cs="宋体"/>
                <w:color w:val="auto"/>
                <w:kern w:val="0"/>
                <w:szCs w:val="21"/>
              </w:rPr>
              <w:t>、村（组），及时发现和指导解决问题。</w:t>
            </w:r>
            <w:r>
              <w:rPr>
                <w:rFonts w:hint="eastAsia" w:ascii="宋体" w:hAnsi="宋体" w:eastAsia="宋体" w:cs="宋体"/>
                <w:color w:val="auto"/>
                <w:kern w:val="0"/>
                <w:szCs w:val="21"/>
                <w:lang w:val="en-US" w:eastAsia="zh-CN"/>
              </w:rPr>
              <w:t>农业农村部门</w:t>
            </w:r>
            <w:r>
              <w:rPr>
                <w:rFonts w:hint="eastAsia" w:ascii="宋体" w:hAnsi="宋体" w:eastAsia="宋体" w:cs="宋体"/>
                <w:color w:val="auto"/>
                <w:kern w:val="0"/>
                <w:szCs w:val="21"/>
              </w:rPr>
              <w:t>要将开展土地延包试点工作相关的费用纳入</w:t>
            </w:r>
            <w:r>
              <w:rPr>
                <w:rFonts w:hint="eastAsia" w:ascii="宋体" w:hAnsi="宋体" w:eastAsia="宋体" w:cs="宋体"/>
                <w:color w:val="auto"/>
                <w:kern w:val="0"/>
                <w:szCs w:val="21"/>
                <w:lang w:val="en-US" w:eastAsia="zh-CN"/>
              </w:rPr>
              <w:t>本</w:t>
            </w:r>
            <w:r>
              <w:rPr>
                <w:rFonts w:hint="eastAsia" w:ascii="宋体" w:hAnsi="宋体" w:eastAsia="宋体" w:cs="宋体"/>
                <w:color w:val="auto"/>
                <w:kern w:val="0"/>
                <w:szCs w:val="21"/>
              </w:rPr>
              <w:t>级财政预算，确保土地延包试点工作按时高质量完成</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要多渠道加强政策宣传培训，引导正面舆论。</w:t>
            </w:r>
          </w:p>
          <w:p w14:paraId="1219844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p>
          <w:p w14:paraId="62DF190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lang w:val="en-US" w:eastAsia="zh-CN"/>
              </w:rPr>
            </w:pPr>
            <w:r>
              <w:rPr>
                <w:rFonts w:hint="eastAsia" w:ascii="宋体" w:hAnsi="宋体" w:cs="宋体"/>
                <w:b/>
                <w:bCs/>
                <w:color w:val="auto"/>
                <w:highlight w:val="none"/>
                <w:lang w:val="en-US" w:eastAsia="zh-CN"/>
              </w:rPr>
              <w:t>五</w:t>
            </w:r>
            <w:r>
              <w:rPr>
                <w:rFonts w:hint="eastAsia" w:ascii="宋体" w:hAnsi="宋体" w:eastAsia="宋体" w:cs="宋体"/>
                <w:b/>
                <w:bCs/>
                <w:color w:val="auto"/>
                <w:highlight w:val="none"/>
                <w:lang w:val="en-US" w:eastAsia="zh-CN"/>
              </w:rPr>
              <w:t>、项目管理要求</w:t>
            </w:r>
          </w:p>
          <w:p w14:paraId="384BA48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1.供应商应提供完整的项目实施方案和实施管理办法，明确项目各阶段工作内容和要求，提供项目实施过程中的质量控制、风险控制、沟通管理、工期保障等方案。</w:t>
            </w:r>
          </w:p>
          <w:p w14:paraId="6C60FEA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应按照项目的总体要求，制定详细的实施计划，并根据实施内容制定相应的进度计划，包括但不限于以下内容：项目实施周期、工作时间进度表、工作程序、工作阶段和工作内容。此外，供应商需根据实施进度及时提供有关文档。</w:t>
            </w:r>
          </w:p>
          <w:p w14:paraId="2881175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3.供应商应严格按照文档控制标准，规范项目实施过程中的文档材料管理，对项目实施过程中产生的所有文档材料进行分类管理。</w:t>
            </w:r>
          </w:p>
          <w:p w14:paraId="19E4CF9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六</w:t>
            </w:r>
            <w:r>
              <w:rPr>
                <w:rFonts w:hint="eastAsia" w:ascii="宋体" w:hAnsi="宋体" w:eastAsia="宋体" w:cs="宋体"/>
                <w:b/>
                <w:bCs/>
                <w:color w:val="auto"/>
                <w:highlight w:val="none"/>
                <w:lang w:val="en-US" w:eastAsia="zh-CN"/>
              </w:rPr>
              <w:t>、项目团队要求</w:t>
            </w:r>
          </w:p>
          <w:p w14:paraId="50A57F9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1.中标供应商必须成立合理的组织机构，建立健全保障项目顺利实施的各项管理制度和质量保证体系，安排足够的高素质人才参加本项目的建设。</w:t>
            </w:r>
          </w:p>
          <w:p w14:paraId="791402C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2.中标供应商在项目的执行过程中，项目经理、技术负责人要全程专职投入到本项目。中标供应商不得擅自更换项目组主要负责人，更改项目组主要负责人须经采购人同意；项目团队的骨干人员应保持稳定。</w:t>
            </w:r>
          </w:p>
          <w:p w14:paraId="3BDDE2A6">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kern w:val="0"/>
                <w:szCs w:val="21"/>
              </w:rPr>
            </w:pPr>
            <w:r>
              <w:rPr>
                <w:rFonts w:hint="eastAsia" w:ascii="宋体" w:hAnsi="宋体" w:eastAsia="宋体" w:cs="宋体"/>
                <w:b/>
                <w:bCs/>
                <w:color w:val="auto"/>
                <w:highlight w:val="none"/>
                <w:lang w:val="en-US" w:eastAsia="zh-CN"/>
              </w:rPr>
              <w:t>3.中标供应商要提供拟参加项目的人员名单，并提供响应截止前半年内任意</w:t>
            </w:r>
            <w:r>
              <w:rPr>
                <w:rFonts w:hint="eastAsia" w:ascii="宋体" w:hAnsi="宋体" w:cs="宋体"/>
                <w:b/>
                <w:bCs/>
                <w:color w:val="auto"/>
                <w:highlight w:val="none"/>
                <w:lang w:val="en-US" w:eastAsia="zh-CN"/>
              </w:rPr>
              <w:t>1</w:t>
            </w:r>
            <w:r>
              <w:rPr>
                <w:rFonts w:hint="eastAsia" w:ascii="宋体" w:hAnsi="宋体" w:eastAsia="宋体" w:cs="宋体"/>
                <w:b/>
                <w:bCs/>
                <w:color w:val="auto"/>
                <w:highlight w:val="none"/>
                <w:lang w:val="en-US" w:eastAsia="zh-CN"/>
              </w:rPr>
              <w:t>个月缴纳的社保证明。</w:t>
            </w:r>
          </w:p>
        </w:tc>
      </w:tr>
      <w:tr w14:paraId="3267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914" w:type="dxa"/>
            <w:gridSpan w:val="3"/>
            <w:noWrap w:val="0"/>
            <w:vAlign w:val="center"/>
          </w:tcPr>
          <w:p w14:paraId="3449134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商务要求</w:t>
            </w:r>
          </w:p>
        </w:tc>
      </w:tr>
      <w:tr w14:paraId="5BF8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78" w:type="dxa"/>
            <w:gridSpan w:val="2"/>
            <w:noWrap w:val="0"/>
            <w:vAlign w:val="center"/>
          </w:tcPr>
          <w:p w14:paraId="335FF37F">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1.报价要求</w:t>
            </w:r>
          </w:p>
        </w:tc>
        <w:tc>
          <w:tcPr>
            <w:tcW w:w="6436" w:type="dxa"/>
            <w:noWrap w:val="0"/>
            <w:vAlign w:val="center"/>
          </w:tcPr>
          <w:p w14:paraId="1D938193">
            <w:pPr>
              <w:spacing w:line="360" w:lineRule="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评审</w:t>
            </w:r>
            <w:r>
              <w:rPr>
                <w:rFonts w:hint="eastAsia" w:ascii="宋体" w:hAnsi="宋体" w:eastAsia="宋体" w:cs="宋体"/>
                <w:sz w:val="21"/>
                <w:szCs w:val="21"/>
              </w:rPr>
              <w:t>报价应包括完成本次</w:t>
            </w:r>
            <w:r>
              <w:rPr>
                <w:rFonts w:hint="eastAsia" w:ascii="宋体" w:hAnsi="宋体" w:eastAsia="宋体" w:cs="宋体"/>
                <w:sz w:val="21"/>
                <w:szCs w:val="21"/>
                <w:lang w:val="en-US" w:eastAsia="zh-CN"/>
              </w:rPr>
              <w:t>采购</w:t>
            </w:r>
            <w:r>
              <w:rPr>
                <w:rFonts w:hint="eastAsia" w:ascii="宋体" w:hAnsi="宋体" w:eastAsia="宋体" w:cs="宋体"/>
                <w:sz w:val="21"/>
                <w:szCs w:val="21"/>
              </w:rPr>
              <w:t>范围内全部工作的所有费用【包含但不限于技术工作费、人工费、设计费、材料费、出图费（在合同中明确具体数量）、设备、维护、保险、利润及税金、管理政策性规定费用等】。</w:t>
            </w:r>
            <w:r>
              <w:rPr>
                <w:rFonts w:hint="eastAsia" w:ascii="宋体" w:hAnsi="宋体" w:eastAsia="宋体" w:cs="宋体"/>
                <w:sz w:val="21"/>
                <w:szCs w:val="21"/>
                <w:lang w:val="en-US" w:eastAsia="zh-CN"/>
              </w:rPr>
              <w:t>供应商</w:t>
            </w:r>
            <w:r>
              <w:rPr>
                <w:rFonts w:hint="eastAsia" w:ascii="宋体" w:hAnsi="宋体" w:eastAsia="宋体" w:cs="宋体"/>
                <w:sz w:val="21"/>
                <w:szCs w:val="21"/>
              </w:rPr>
              <w:t>所填报的价格在合同实施期间不因市场价格变化等因素而变动，</w:t>
            </w:r>
            <w:r>
              <w:rPr>
                <w:rFonts w:hint="eastAsia" w:ascii="宋体" w:hAnsi="宋体" w:eastAsia="宋体" w:cs="宋体"/>
                <w:sz w:val="21"/>
                <w:szCs w:val="21"/>
                <w:lang w:val="en-US" w:eastAsia="zh-CN"/>
              </w:rPr>
              <w:t>供应商</w:t>
            </w:r>
            <w:r>
              <w:rPr>
                <w:rFonts w:hint="eastAsia" w:ascii="宋体" w:hAnsi="宋体" w:eastAsia="宋体" w:cs="宋体"/>
                <w:sz w:val="21"/>
                <w:szCs w:val="21"/>
              </w:rPr>
              <w:t>在报价时应考虑各种风险因素和承受能力。</w:t>
            </w:r>
          </w:p>
        </w:tc>
      </w:tr>
      <w:tr w14:paraId="774F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78" w:type="dxa"/>
            <w:gridSpan w:val="2"/>
            <w:noWrap w:val="0"/>
            <w:vAlign w:val="center"/>
          </w:tcPr>
          <w:p w14:paraId="75741339">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2.签订合同时间</w:t>
            </w:r>
          </w:p>
        </w:tc>
        <w:tc>
          <w:tcPr>
            <w:tcW w:w="6436" w:type="dxa"/>
            <w:noWrap w:val="0"/>
            <w:vAlign w:val="center"/>
          </w:tcPr>
          <w:p w14:paraId="0D9FE4C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日历日内。</w:t>
            </w:r>
          </w:p>
        </w:tc>
      </w:tr>
      <w:tr w14:paraId="03CD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78" w:type="dxa"/>
            <w:gridSpan w:val="2"/>
            <w:noWrap w:val="0"/>
            <w:vAlign w:val="center"/>
          </w:tcPr>
          <w:p w14:paraId="79802F2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lang w:val="en-US" w:eastAsia="zh-CN"/>
              </w:rPr>
              <w:t>3.服务成果交付时间及地点</w:t>
            </w:r>
          </w:p>
        </w:tc>
        <w:tc>
          <w:tcPr>
            <w:tcW w:w="6436" w:type="dxa"/>
            <w:noWrap w:val="0"/>
            <w:vAlign w:val="center"/>
          </w:tcPr>
          <w:p w14:paraId="5CF4D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1、服务成果交付时间：自合同签订之日起至2026年11月30日之前完成全部项目工作内容。</w:t>
            </w:r>
          </w:p>
          <w:p w14:paraId="3E84DC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2、交付地点：采购人指定地点。</w:t>
            </w:r>
          </w:p>
        </w:tc>
      </w:tr>
      <w:tr w14:paraId="4F43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78" w:type="dxa"/>
            <w:gridSpan w:val="2"/>
            <w:noWrap w:val="0"/>
            <w:vAlign w:val="center"/>
          </w:tcPr>
          <w:p w14:paraId="2C894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4.验收标准、规范</w:t>
            </w:r>
          </w:p>
        </w:tc>
        <w:tc>
          <w:tcPr>
            <w:tcW w:w="6436" w:type="dxa"/>
            <w:noWrap w:val="0"/>
            <w:vAlign w:val="center"/>
          </w:tcPr>
          <w:p w14:paraId="7363CC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符合现行国家相关标准、行业标准、地方标准或者其他标准、规范，并按要求通过审查与评审。</w:t>
            </w:r>
          </w:p>
        </w:tc>
      </w:tr>
      <w:tr w14:paraId="4390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78" w:type="dxa"/>
            <w:gridSpan w:val="2"/>
            <w:noWrap w:val="0"/>
            <w:vAlign w:val="center"/>
          </w:tcPr>
          <w:p w14:paraId="06673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5.付款方式</w:t>
            </w:r>
          </w:p>
        </w:tc>
        <w:tc>
          <w:tcPr>
            <w:tcW w:w="6436" w:type="dxa"/>
            <w:noWrap w:val="0"/>
            <w:vAlign w:val="center"/>
          </w:tcPr>
          <w:p w14:paraId="3E220808">
            <w:pPr>
              <w:spacing w:line="360" w:lineRule="exact"/>
              <w:rPr>
                <w:rFonts w:hint="eastAsia" w:ascii="宋体" w:hAnsi="宋体"/>
                <w:color w:val="auto"/>
                <w:szCs w:val="21"/>
                <w:highlight w:val="none"/>
              </w:rPr>
            </w:pPr>
            <w:r>
              <w:rPr>
                <w:rFonts w:hint="eastAsia" w:ascii="宋体" w:hAnsi="宋体"/>
                <w:color w:val="auto"/>
                <w:szCs w:val="21"/>
                <w:highlight w:val="none"/>
              </w:rPr>
              <w:t>1、本合同签订之日起15个工作日内，采购人向</w:t>
            </w:r>
            <w:r>
              <w:rPr>
                <w:rFonts w:hint="eastAsia" w:ascii="宋体" w:hAnsi="宋体"/>
                <w:color w:val="auto"/>
                <w:szCs w:val="21"/>
                <w:highlight w:val="none"/>
                <w:lang w:val="en-US" w:eastAsia="zh-CN"/>
              </w:rPr>
              <w:t>成交</w:t>
            </w:r>
            <w:r>
              <w:rPr>
                <w:rFonts w:hint="eastAsia" w:ascii="宋体" w:hAnsi="宋体"/>
                <w:color w:val="auto"/>
                <w:szCs w:val="21"/>
                <w:highlight w:val="none"/>
              </w:rPr>
              <w:t>供应商支付总合同款的30%，作为项目预付款；项目实施结束并经验收后15个工作日内，采购人向</w:t>
            </w:r>
            <w:r>
              <w:rPr>
                <w:rFonts w:hint="eastAsia" w:ascii="宋体" w:hAnsi="宋体"/>
                <w:color w:val="auto"/>
                <w:szCs w:val="21"/>
                <w:highlight w:val="none"/>
                <w:lang w:val="en-US" w:eastAsia="zh-CN"/>
              </w:rPr>
              <w:t>成交</w:t>
            </w:r>
            <w:r>
              <w:rPr>
                <w:rFonts w:hint="eastAsia" w:ascii="宋体" w:hAnsi="宋体"/>
                <w:color w:val="auto"/>
                <w:szCs w:val="21"/>
                <w:highlight w:val="none"/>
              </w:rPr>
              <w:t>供应商支付至合同总合同款的</w:t>
            </w:r>
            <w:r>
              <w:rPr>
                <w:rFonts w:hint="eastAsia" w:ascii="宋体" w:hAnsi="宋体"/>
                <w:color w:val="auto"/>
                <w:szCs w:val="21"/>
                <w:highlight w:val="none"/>
                <w:lang w:val="en-US" w:eastAsia="zh-CN"/>
              </w:rPr>
              <w:t>100</w:t>
            </w:r>
            <w:r>
              <w:rPr>
                <w:rFonts w:hint="eastAsia" w:ascii="宋体" w:hAnsi="宋体"/>
                <w:color w:val="auto"/>
                <w:szCs w:val="21"/>
                <w:highlight w:val="none"/>
              </w:rPr>
              <w:t>%。</w:t>
            </w:r>
            <w:r>
              <w:rPr>
                <w:rFonts w:hint="eastAsia" w:ascii="宋体" w:hAnsi="宋体"/>
                <w:color w:val="auto"/>
                <w:szCs w:val="21"/>
                <w:highlight w:val="none"/>
                <w:lang w:val="en-US" w:eastAsia="zh-CN"/>
              </w:rPr>
              <w:t>（注：如采购人在签订合同时，成交人明确表示无需预付款或者主动要求降低预付款比例的，采购人可不采用预付款制度）</w:t>
            </w:r>
          </w:p>
          <w:p w14:paraId="7CBF70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2、在采购人每次支付合同款，</w:t>
            </w:r>
            <w:r>
              <w:rPr>
                <w:rFonts w:hint="eastAsia" w:ascii="宋体" w:hAnsi="宋体"/>
                <w:color w:val="auto"/>
                <w:szCs w:val="21"/>
                <w:highlight w:val="none"/>
                <w:lang w:val="en-US" w:eastAsia="zh-CN"/>
              </w:rPr>
              <w:t>成交</w:t>
            </w:r>
            <w:r>
              <w:rPr>
                <w:rFonts w:hint="eastAsia" w:ascii="宋体" w:hAnsi="宋体"/>
                <w:color w:val="auto"/>
                <w:szCs w:val="21"/>
                <w:highlight w:val="none"/>
              </w:rPr>
              <w:t>供应商应及时向采购人开具等额的增值税服务发票。</w:t>
            </w:r>
          </w:p>
        </w:tc>
      </w:tr>
    </w:tbl>
    <w:p w14:paraId="157CE84D">
      <w:pPr>
        <w:pStyle w:val="4"/>
        <w:numPr>
          <w:ilvl w:val="0"/>
          <w:numId w:val="0"/>
        </w:numPr>
        <w:rPr>
          <w:rFonts w:hint="eastAsia"/>
          <w:color w:val="auto"/>
          <w:highlight w:val="none"/>
          <w:lang w:val="en-US" w:eastAsia="zh-CN"/>
        </w:rPr>
      </w:pPr>
    </w:p>
    <w:p w14:paraId="37CE52E5">
      <w:pPr>
        <w:pStyle w:val="4"/>
        <w:numPr>
          <w:ilvl w:val="0"/>
          <w:numId w:val="0"/>
        </w:numPr>
        <w:rPr>
          <w:rFonts w:hint="eastAsia"/>
          <w:color w:val="auto"/>
          <w:highlight w:val="none"/>
          <w:lang w:val="en-US" w:eastAsia="zh-CN"/>
        </w:rPr>
      </w:pPr>
    </w:p>
    <w:p w14:paraId="5E33B8FB">
      <w:pPr>
        <w:jc w:val="center"/>
        <w:rPr>
          <w:color w:val="auto"/>
          <w:highlight w:val="none"/>
        </w:rPr>
        <w:sectPr>
          <w:footerReference r:id="rId5" w:type="default"/>
          <w:pgSz w:w="11912" w:h="16840"/>
          <w:pgMar w:top="1131" w:right="836" w:bottom="1062" w:left="1368" w:header="0" w:footer="895" w:gutter="0"/>
          <w:pgNumType w:fmt="decimal"/>
          <w:cols w:space="720" w:num="1"/>
        </w:sectPr>
      </w:pPr>
    </w:p>
    <w:p w14:paraId="4739CE40">
      <w:pPr>
        <w:widowControl w:val="0"/>
        <w:spacing w:line="500" w:lineRule="exact"/>
        <w:textAlignment w:val="auto"/>
        <w:rPr>
          <w:rFonts w:hint="eastAsia" w:ascii="宋体" w:hAnsi="宋体" w:cs="宋体"/>
          <w:color w:val="auto"/>
          <w:kern w:val="0"/>
          <w:sz w:val="32"/>
          <w:szCs w:val="32"/>
          <w:lang w:val="en-US" w:eastAsia="zh-CN"/>
        </w:rPr>
      </w:pPr>
      <w:r>
        <w:rPr>
          <w:rFonts w:hint="eastAsia" w:ascii="宋体" w:hAnsi="宋体" w:cs="宋体"/>
          <w:color w:val="auto"/>
          <w:kern w:val="0"/>
          <w:sz w:val="32"/>
          <w:szCs w:val="32"/>
          <w:lang w:val="en-US" w:eastAsia="zh-CN"/>
        </w:rPr>
        <w:t>2分标</w:t>
      </w:r>
    </w:p>
    <w:p w14:paraId="2A161C39">
      <w:pPr>
        <w:widowControl w:val="0"/>
        <w:spacing w:line="500" w:lineRule="exact"/>
        <w:textAlignment w:val="auto"/>
        <w:rPr>
          <w:rFonts w:hint="eastAsia" w:ascii="宋体" w:hAnsi="宋体" w:cs="宋体"/>
          <w:color w:val="auto"/>
          <w:kern w:val="0"/>
          <w:szCs w:val="21"/>
          <w:lang w:eastAsia="zh-CN"/>
        </w:rPr>
      </w:pPr>
      <w:r>
        <w:rPr>
          <w:rFonts w:hint="eastAsia" w:ascii="宋体" w:hAnsi="宋体" w:cs="宋体"/>
          <w:color w:val="auto"/>
          <w:kern w:val="0"/>
          <w:szCs w:val="21"/>
          <w:lang w:val="en-US" w:eastAsia="zh-CN"/>
        </w:rPr>
        <w:t>一</w:t>
      </w:r>
      <w:r>
        <w:rPr>
          <w:rFonts w:hint="eastAsia" w:ascii="宋体" w:hAnsi="宋体" w:cs="宋体"/>
          <w:color w:val="auto"/>
          <w:kern w:val="0"/>
          <w:szCs w:val="21"/>
          <w:lang w:eastAsia="zh-CN"/>
        </w:rPr>
        <w:t>、项目概况：</w:t>
      </w:r>
    </w:p>
    <w:p w14:paraId="6836A8A3">
      <w:pPr>
        <w:widowControl w:val="0"/>
        <w:spacing w:line="500" w:lineRule="exact"/>
        <w:ind w:firstLine="420" w:firstLineChars="200"/>
        <w:textAlignment w:val="auto"/>
        <w:rPr>
          <w:rFonts w:hint="eastAsia"/>
        </w:rPr>
      </w:pPr>
      <w:r>
        <w:rPr>
          <w:rFonts w:hint="eastAsia" w:ascii="宋体" w:hAnsi="宋体" w:cs="宋体"/>
          <w:color w:val="auto"/>
          <w:kern w:val="0"/>
          <w:szCs w:val="21"/>
          <w:lang w:eastAsia="zh-CN"/>
        </w:rPr>
        <w:t>1、项目规模：</w:t>
      </w:r>
    </w:p>
    <w:tbl>
      <w:tblPr>
        <w:tblStyle w:val="55"/>
        <w:tblpPr w:leftFromText="180" w:rightFromText="180" w:vertAnchor="text" w:horzAnchor="page" w:tblpXSpec="center" w:tblpY="29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476"/>
        <w:gridCol w:w="6436"/>
      </w:tblGrid>
      <w:tr w14:paraId="6FED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02" w:type="dxa"/>
            <w:noWrap w:val="0"/>
            <w:vAlign w:val="center"/>
          </w:tcPr>
          <w:p w14:paraId="601791DA">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476" w:type="dxa"/>
            <w:noWrap w:val="0"/>
            <w:vAlign w:val="center"/>
          </w:tcPr>
          <w:p w14:paraId="608E6F8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服务名称</w:t>
            </w:r>
          </w:p>
        </w:tc>
        <w:tc>
          <w:tcPr>
            <w:tcW w:w="6436" w:type="dxa"/>
            <w:noWrap w:val="0"/>
            <w:vAlign w:val="center"/>
          </w:tcPr>
          <w:p w14:paraId="11BAB3A7">
            <w:pPr>
              <w:keepNext w:val="0"/>
              <w:keepLines w:val="0"/>
              <w:pageBreakBefore w:val="0"/>
              <w:widowControl/>
              <w:kinsoku/>
              <w:wordWrap/>
              <w:overflowPunct/>
              <w:topLinePunct w:val="0"/>
              <w:autoSpaceDE/>
              <w:autoSpaceDN/>
              <w:bidi w:val="0"/>
              <w:adjustRightInd/>
              <w:snapToGrid/>
              <w:spacing w:line="460" w:lineRule="exact"/>
              <w:ind w:firstLine="420" w:firstLineChars="200"/>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服务内容及要求</w:t>
            </w:r>
          </w:p>
        </w:tc>
      </w:tr>
      <w:tr w14:paraId="0C15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02" w:type="dxa"/>
            <w:noWrap w:val="0"/>
            <w:vAlign w:val="center"/>
          </w:tcPr>
          <w:p w14:paraId="2B900004">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476" w:type="dxa"/>
            <w:noWrap w:val="0"/>
            <w:vAlign w:val="center"/>
          </w:tcPr>
          <w:p w14:paraId="545DA7B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港南区第二轮土地承包到期后再延长30年试点项目</w:t>
            </w:r>
            <w:r>
              <w:rPr>
                <w:rFonts w:hint="eastAsia" w:ascii="宋体" w:hAnsi="宋体" w:eastAsia="宋体" w:cs="宋体"/>
                <w:b/>
                <w:bCs/>
                <w:color w:val="auto"/>
                <w:kern w:val="0"/>
                <w:szCs w:val="21"/>
              </w:rPr>
              <w:t>（木格镇、木梓镇、新塘镇、瓦塘镇）</w:t>
            </w:r>
            <w:r>
              <w:rPr>
                <w:rFonts w:hint="eastAsia" w:ascii="宋体" w:hAnsi="宋体" w:eastAsia="宋体" w:cs="宋体"/>
                <w:b/>
                <w:bCs/>
                <w:color w:val="auto"/>
                <w:kern w:val="0"/>
                <w:szCs w:val="21"/>
                <w:lang w:val="en-US" w:eastAsia="zh-CN"/>
              </w:rPr>
              <w:t>-2分标</w:t>
            </w:r>
          </w:p>
        </w:tc>
        <w:tc>
          <w:tcPr>
            <w:tcW w:w="6436" w:type="dxa"/>
            <w:noWrap w:val="0"/>
            <w:vAlign w:val="center"/>
          </w:tcPr>
          <w:p w14:paraId="7932629C">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为全面贯彻落实习近平总书记关于“三农”工作的重要论述和关于农村土地承包管理工作的重要指示批示精神，根据《自治区党委办公厅 自治区人民政府办公厅关于印发〈广西第二轮土地承包到期后再延长30年整区试点工作方案〉 的通知》（厅发〔2024〕64号）</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中共贵港市委员会办公室贵港市人民政府办公室关于印发</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贵港市第二轮土地承包到期后</w:t>
            </w:r>
            <w:r>
              <w:rPr>
                <w:rFonts w:hint="eastAsia" w:ascii="宋体" w:hAnsi="宋体" w:eastAsia="宋体" w:cs="宋体"/>
                <w:color w:val="auto"/>
                <w:kern w:val="0"/>
                <w:szCs w:val="21"/>
              </w:rPr>
              <w:t>再延长30年整市试点工作方案〉的通知》</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贵办通〔2025〕27号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的文件</w:t>
            </w:r>
            <w:r>
              <w:rPr>
                <w:rFonts w:hint="eastAsia" w:ascii="宋体" w:hAnsi="宋体" w:eastAsia="宋体" w:cs="宋体"/>
                <w:color w:val="auto"/>
                <w:kern w:val="0"/>
                <w:szCs w:val="21"/>
              </w:rPr>
              <w:t>要求，积极稳妥推进我</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第二轮土地承包到期后再延长30年（以下简称“土地延包”）整</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试点工作，</w:t>
            </w:r>
            <w:r>
              <w:rPr>
                <w:rFonts w:hint="eastAsia" w:ascii="宋体" w:hAnsi="宋体" w:eastAsia="宋体" w:cs="宋体"/>
                <w:color w:val="auto"/>
                <w:kern w:val="0"/>
                <w:szCs w:val="21"/>
                <w:lang w:val="en-US" w:eastAsia="zh-CN"/>
              </w:rPr>
              <w:t>现</w:t>
            </w:r>
            <w:r>
              <w:rPr>
                <w:rFonts w:hint="eastAsia" w:ascii="宋体" w:hAnsi="宋体" w:eastAsia="宋体" w:cs="宋体"/>
                <w:color w:val="auto"/>
                <w:kern w:val="0"/>
                <w:szCs w:val="21"/>
              </w:rPr>
              <w:t>结合</w:t>
            </w:r>
            <w:r>
              <w:rPr>
                <w:rFonts w:hint="eastAsia" w:ascii="宋体" w:hAnsi="宋体" w:eastAsia="宋体" w:cs="宋体"/>
                <w:color w:val="auto"/>
                <w:kern w:val="0"/>
                <w:szCs w:val="21"/>
                <w:lang w:val="en-US" w:eastAsia="zh-CN"/>
              </w:rPr>
              <w:t>我区</w:t>
            </w:r>
            <w:r>
              <w:rPr>
                <w:rFonts w:hint="eastAsia" w:ascii="宋体" w:hAnsi="宋体" w:eastAsia="宋体" w:cs="宋体"/>
                <w:color w:val="auto"/>
                <w:kern w:val="0"/>
                <w:szCs w:val="21"/>
              </w:rPr>
              <w:t>实际，制定如下工作方案。</w:t>
            </w:r>
          </w:p>
          <w:p w14:paraId="02965305">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一、</w:t>
            </w:r>
            <w:r>
              <w:rPr>
                <w:rFonts w:hint="eastAsia" w:ascii="宋体" w:hAnsi="宋体" w:eastAsia="宋体" w:cs="宋体"/>
                <w:color w:val="auto"/>
                <w:kern w:val="0"/>
                <w:szCs w:val="21"/>
                <w:lang w:val="en-US" w:eastAsia="zh-CN"/>
              </w:rPr>
              <w:t>总体要求</w:t>
            </w:r>
          </w:p>
          <w:p w14:paraId="32C8FB51">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坚持</w:t>
            </w:r>
            <w:r>
              <w:rPr>
                <w:rFonts w:hint="eastAsia" w:ascii="宋体" w:hAnsi="宋体" w:eastAsia="宋体" w:cs="宋体"/>
                <w:color w:val="auto"/>
                <w:kern w:val="0"/>
                <w:szCs w:val="21"/>
                <w:lang w:val="en-US" w:eastAsia="zh-CN"/>
              </w:rPr>
              <w:t>土地</w:t>
            </w:r>
            <w:r>
              <w:rPr>
                <w:rFonts w:hint="eastAsia" w:ascii="宋体" w:hAnsi="宋体" w:eastAsia="宋体" w:cs="宋体"/>
                <w:color w:val="auto"/>
                <w:kern w:val="0"/>
                <w:szCs w:val="21"/>
              </w:rPr>
              <w:t>集体所有制不动摇，充分维护农民集体对承包地发包、调整、监督、收回等各项权能。坚持农户家庭承包经营，农村集体土地由</w:t>
            </w:r>
            <w:r>
              <w:rPr>
                <w:rFonts w:hint="eastAsia" w:ascii="宋体" w:hAnsi="宋体" w:eastAsia="宋体" w:cs="宋体"/>
                <w:color w:val="auto"/>
                <w:kern w:val="0"/>
                <w:szCs w:val="21"/>
                <w:lang w:val="en-US" w:eastAsia="zh-CN"/>
              </w:rPr>
              <w:t>本</w:t>
            </w:r>
            <w:r>
              <w:rPr>
                <w:rFonts w:hint="eastAsia" w:ascii="宋体" w:hAnsi="宋体" w:eastAsia="宋体" w:cs="宋体"/>
                <w:color w:val="auto"/>
                <w:kern w:val="0"/>
                <w:szCs w:val="21"/>
              </w:rPr>
              <w:t>集体经济组织内农民家庭承包，农户承包地要保持稳定</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发包方及其他组织、个人不得违法调整和收回农户承包地。坚持农民主体地位，充分发挥农民主动性和创造性，鼓励农民集体在法律和法规范围内因地制宜探索延包具体路径和办法。坚持“大稳定，小调整”原则，不得将承包地打乱重</w:t>
            </w:r>
            <w:r>
              <w:rPr>
                <w:rFonts w:hint="eastAsia" w:ascii="宋体" w:hAnsi="宋体" w:eastAsia="宋体" w:cs="宋体"/>
                <w:color w:val="auto"/>
                <w:kern w:val="0"/>
                <w:szCs w:val="21"/>
                <w:lang w:val="en-US" w:eastAsia="zh-CN"/>
              </w:rPr>
              <w:t>新发包。</w:t>
            </w:r>
            <w:r>
              <w:rPr>
                <w:rFonts w:hint="eastAsia" w:ascii="宋体" w:hAnsi="宋体" w:eastAsia="宋体" w:cs="宋体"/>
                <w:color w:val="auto"/>
                <w:kern w:val="0"/>
                <w:szCs w:val="21"/>
              </w:rPr>
              <w:t>以第二轮土地承包合同到期为起点再延长承包期30年，做好矛盾纠纷调处，维护农村社会稳定，尊重历史、照顾现实，统筹考虑、循序渐进，科学合理安排进度。</w:t>
            </w:r>
          </w:p>
          <w:p w14:paraId="7BF3EE8E">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二、工作内容</w:t>
            </w:r>
          </w:p>
          <w:p w14:paraId="1DF403E9">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一</w:t>
            </w:r>
            <w:r>
              <w:rPr>
                <w:rFonts w:hint="eastAsia" w:ascii="宋体" w:hAnsi="宋体" w:eastAsia="宋体" w:cs="宋体"/>
                <w:color w:val="auto"/>
                <w:kern w:val="0"/>
                <w:szCs w:val="21"/>
              </w:rPr>
              <w:t>）完善工作机制，加强组织稳步推进。为确保土地延包试点工作顺利开展、取得实效，成立</w:t>
            </w:r>
            <w:r>
              <w:rPr>
                <w:rFonts w:hint="eastAsia" w:ascii="宋体" w:hAnsi="宋体" w:eastAsia="宋体" w:cs="宋体"/>
                <w:color w:val="auto"/>
                <w:kern w:val="0"/>
                <w:szCs w:val="21"/>
                <w:lang w:val="en-US" w:eastAsia="zh-CN"/>
              </w:rPr>
              <w:t>港南区</w:t>
            </w:r>
            <w:r>
              <w:rPr>
                <w:rFonts w:hint="eastAsia" w:ascii="宋体" w:hAnsi="宋体" w:eastAsia="宋体" w:cs="宋体"/>
                <w:color w:val="auto"/>
                <w:kern w:val="0"/>
                <w:szCs w:val="21"/>
              </w:rPr>
              <w:t>第二轮土地承包到期后再延长30年整</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试点工作专班（以下简称“</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工作专班”），指导推进和跟踪落实试点各项工作。各镇（街道）也要</w:t>
            </w:r>
            <w:r>
              <w:rPr>
                <w:rFonts w:hint="eastAsia" w:ascii="宋体" w:hAnsi="宋体" w:eastAsia="宋体" w:cs="宋体"/>
                <w:color w:val="auto"/>
                <w:kern w:val="0"/>
                <w:szCs w:val="21"/>
                <w:lang w:val="en-US" w:eastAsia="zh-CN"/>
              </w:rPr>
              <w:t>成</w:t>
            </w:r>
            <w:r>
              <w:rPr>
                <w:rFonts w:hint="eastAsia" w:ascii="宋体" w:hAnsi="宋体" w:eastAsia="宋体" w:cs="宋体"/>
                <w:color w:val="auto"/>
                <w:kern w:val="0"/>
                <w:szCs w:val="21"/>
              </w:rPr>
              <w:t>立工作专班，保障土地延包政策在本地顺利实施。</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工作专班各成员单位按照职责分工，加强相关政策研究和问题研讨，指导各镇（街道）研究解决土地延包试点工作中可能遇到的群众普遍关心的问题，确保绝大多数农户原有承包地继续保持稳定。各镇（街道）要针对具体问题制定工作方案，明确专人负责，加强延包政策、业务和技术培训，稳妥做好合同网签、信息变更、纠纷调处等工作。充分发挥农村基层党组织领导作用，组织村“两委”成员、派驻干部、老党员等积极参与相关工作，充实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w:t>
            </w:r>
            <w:r>
              <w:rPr>
                <w:rFonts w:hint="eastAsia" w:ascii="宋体" w:hAnsi="宋体" w:eastAsia="宋体" w:cs="宋体"/>
                <w:color w:val="auto"/>
                <w:kern w:val="0"/>
                <w:szCs w:val="21"/>
              </w:rPr>
              <w:t>（组）延包工作力量。</w:t>
            </w:r>
          </w:p>
          <w:p w14:paraId="10735E67">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二</w:t>
            </w:r>
            <w:r>
              <w:rPr>
                <w:rFonts w:hint="eastAsia" w:ascii="宋体" w:hAnsi="宋体" w:eastAsia="宋体" w:cs="宋体"/>
                <w:color w:val="auto"/>
                <w:kern w:val="0"/>
                <w:szCs w:val="21"/>
              </w:rPr>
              <w:t>）明确任务分工，</w:t>
            </w:r>
            <w:r>
              <w:rPr>
                <w:rFonts w:hint="eastAsia" w:ascii="宋体" w:hAnsi="宋体" w:eastAsia="宋体" w:cs="宋体"/>
                <w:color w:val="auto"/>
                <w:kern w:val="0"/>
                <w:szCs w:val="21"/>
                <w:lang w:val="en-US" w:eastAsia="zh-CN"/>
              </w:rPr>
              <w:t>保障</w:t>
            </w:r>
            <w:r>
              <w:rPr>
                <w:rFonts w:hint="eastAsia" w:ascii="宋体" w:hAnsi="宋体" w:eastAsia="宋体" w:cs="宋体"/>
                <w:color w:val="auto"/>
                <w:kern w:val="0"/>
                <w:szCs w:val="21"/>
              </w:rPr>
              <w:t>工作有序开展</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为确保土地延包试点工作顺利开展、取得实效。各相关部门支持配合做好土地延包试点各项工作</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农业农村部门负责牵头制定</w:t>
            </w:r>
            <w:r>
              <w:rPr>
                <w:rFonts w:hint="eastAsia" w:ascii="宋体" w:hAnsi="宋体" w:eastAsia="宋体" w:cs="宋体"/>
                <w:color w:val="auto"/>
                <w:kern w:val="0"/>
                <w:szCs w:val="21"/>
                <w:lang w:val="en-US" w:eastAsia="zh-CN"/>
              </w:rPr>
              <w:t>试点</w:t>
            </w:r>
            <w:r>
              <w:rPr>
                <w:rFonts w:hint="eastAsia" w:ascii="宋体" w:hAnsi="宋体" w:eastAsia="宋体" w:cs="宋体"/>
                <w:color w:val="auto"/>
                <w:kern w:val="0"/>
                <w:szCs w:val="21"/>
              </w:rPr>
              <w:t>工作方案、操作程序和技术规程</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开展业务指导</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推进试点各项工作。档案部门负责指导做好土地延包的档案管理</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并负责做好档案整理及数字化工作。</w:t>
            </w:r>
            <w:r>
              <w:rPr>
                <w:rFonts w:hint="eastAsia" w:ascii="宋体" w:hAnsi="宋体" w:eastAsia="宋体" w:cs="宋体"/>
                <w:color w:val="auto"/>
                <w:kern w:val="0"/>
                <w:szCs w:val="21"/>
              </w:rPr>
              <w:t>信访部门负责做好上访群众接待工作</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协调相关部门妥善处理相关上访问题。公安部门负责提供涉及土地延包相关农户家庭成员信息等资料。司法行政部门负责指导人民调解组织化解土地承包经营纠纷。财政部门负责土地延包试点工作经费</w:t>
            </w:r>
            <w:r>
              <w:rPr>
                <w:rFonts w:hint="eastAsia" w:ascii="宋体" w:hAnsi="宋体" w:eastAsia="宋体" w:cs="宋体"/>
                <w:color w:val="auto"/>
                <w:kern w:val="0"/>
                <w:szCs w:val="21"/>
                <w:lang w:val="en-US" w:eastAsia="zh-CN"/>
              </w:rPr>
              <w:t>保障和监管，确保工作顺利开展。</w:t>
            </w:r>
            <w:r>
              <w:rPr>
                <w:rFonts w:hint="eastAsia" w:ascii="宋体" w:hAnsi="宋体" w:eastAsia="宋体" w:cs="宋体"/>
                <w:color w:val="auto"/>
                <w:kern w:val="0"/>
                <w:szCs w:val="21"/>
              </w:rPr>
              <w:t>自然资源部门</w:t>
            </w:r>
            <w:r>
              <w:rPr>
                <w:rFonts w:hint="eastAsia" w:ascii="宋体" w:hAnsi="宋体" w:eastAsia="宋体" w:cs="宋体"/>
                <w:color w:val="auto"/>
                <w:kern w:val="0"/>
                <w:szCs w:val="21"/>
                <w:lang w:val="en-US" w:eastAsia="zh-CN"/>
              </w:rPr>
              <w:t>依权限负责</w:t>
            </w:r>
            <w:r>
              <w:rPr>
                <w:rFonts w:hint="eastAsia" w:ascii="宋体" w:hAnsi="宋体" w:eastAsia="宋体" w:cs="宋体"/>
                <w:color w:val="auto"/>
                <w:kern w:val="0"/>
                <w:szCs w:val="21"/>
              </w:rPr>
              <w:t>不动产统一登记与颁证工作</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协调提供农村集体土地所有权登记发证的权属界线、影像和基本农田等有关数据资料</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并会同农业农村等部门研究解决权属重叠、地类重叠等历史遗留问题。水利部门负责提供土地延包涉及的水库库区</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水利设施</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边界范围资料。林业部门协同自然资源部门负责提供土地延包涉及的林区边界范围资料。各级政法、宣传、改革、网信以及妇联、民政等其他相关部门按照职责分工</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协同做好土地延包试点工作。</w:t>
            </w:r>
            <w:r>
              <w:rPr>
                <w:rFonts w:hint="eastAsia" w:ascii="宋体" w:hAnsi="宋体" w:eastAsia="宋体" w:cs="宋体"/>
                <w:color w:val="auto"/>
                <w:kern w:val="0"/>
                <w:szCs w:val="21"/>
                <w:lang w:val="en-US" w:eastAsia="zh-CN"/>
              </w:rPr>
              <w:t>各镇（街道）</w:t>
            </w:r>
            <w:r>
              <w:rPr>
                <w:rFonts w:hint="eastAsia" w:ascii="宋体" w:hAnsi="宋体" w:eastAsia="宋体" w:cs="宋体"/>
                <w:color w:val="auto"/>
                <w:kern w:val="0"/>
                <w:szCs w:val="21"/>
              </w:rPr>
              <w:t>党委和政府明确专人负责，加强延包政策、业务和技术</w:t>
            </w:r>
            <w:r>
              <w:rPr>
                <w:rFonts w:hint="eastAsia" w:ascii="宋体" w:hAnsi="宋体" w:eastAsia="宋体" w:cs="宋体"/>
                <w:color w:val="auto"/>
                <w:kern w:val="0"/>
                <w:szCs w:val="21"/>
                <w:lang w:val="en-US" w:eastAsia="zh-CN"/>
              </w:rPr>
              <w:t>学习</w:t>
            </w:r>
            <w:r>
              <w:rPr>
                <w:rFonts w:hint="eastAsia" w:ascii="宋体" w:hAnsi="宋体" w:eastAsia="宋体" w:cs="宋体"/>
                <w:color w:val="auto"/>
                <w:kern w:val="0"/>
                <w:szCs w:val="21"/>
              </w:rPr>
              <w:t>培训，稳妥做好合同网签、信息变更、纠纷调处等工作。</w:t>
            </w:r>
          </w:p>
          <w:p w14:paraId="712D9A72">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三</w:t>
            </w:r>
            <w:r>
              <w:rPr>
                <w:rFonts w:hint="eastAsia" w:ascii="宋体" w:hAnsi="宋体" w:eastAsia="宋体" w:cs="宋体"/>
                <w:color w:val="auto"/>
                <w:kern w:val="0"/>
                <w:szCs w:val="21"/>
              </w:rPr>
              <w:t>）明确工作步骤，保障群众权益。土地延包试点工作步骤主要包括：选举产生</w:t>
            </w:r>
            <w:r>
              <w:rPr>
                <w:rFonts w:hint="eastAsia" w:ascii="宋体" w:hAnsi="宋体" w:eastAsia="宋体" w:cs="宋体"/>
                <w:color w:val="auto"/>
                <w:kern w:val="0"/>
                <w:szCs w:val="21"/>
                <w:lang w:val="en-US" w:eastAsia="zh-CN"/>
              </w:rPr>
              <w:t>本集体</w:t>
            </w:r>
            <w:r>
              <w:rPr>
                <w:rFonts w:hint="eastAsia" w:ascii="宋体" w:hAnsi="宋体" w:eastAsia="宋体" w:cs="宋体"/>
                <w:color w:val="auto"/>
                <w:kern w:val="0"/>
                <w:szCs w:val="21"/>
              </w:rPr>
              <w:t>土地延包试点工作小组、拟定土地延包试点工作方案、召开本集体经济组织成员的村民会议、讨论通过土地延包工作方案并报审、开展</w:t>
            </w:r>
            <w:r>
              <w:rPr>
                <w:rFonts w:hint="eastAsia" w:ascii="宋体" w:hAnsi="宋体" w:eastAsia="宋体" w:cs="宋体"/>
                <w:color w:val="auto"/>
                <w:kern w:val="0"/>
                <w:szCs w:val="21"/>
                <w:lang w:val="en-US" w:eastAsia="zh-CN"/>
              </w:rPr>
              <w:t>入户</w:t>
            </w:r>
            <w:r>
              <w:rPr>
                <w:rFonts w:hint="eastAsia" w:ascii="宋体" w:hAnsi="宋体" w:eastAsia="宋体" w:cs="宋体"/>
                <w:color w:val="auto"/>
                <w:kern w:val="0"/>
                <w:szCs w:val="21"/>
              </w:rPr>
              <w:t>调查核实</w:t>
            </w:r>
            <w:r>
              <w:rPr>
                <w:rFonts w:hint="eastAsia" w:ascii="宋体" w:hAnsi="宋体" w:eastAsia="宋体" w:cs="宋体"/>
                <w:color w:val="auto"/>
                <w:kern w:val="0"/>
                <w:szCs w:val="21"/>
                <w:lang w:val="en-US" w:eastAsia="zh-CN"/>
              </w:rPr>
              <w:t>家庭成员信息、</w:t>
            </w:r>
            <w:r>
              <w:rPr>
                <w:rFonts w:hint="eastAsia" w:ascii="宋体" w:hAnsi="宋体" w:eastAsia="宋体" w:cs="宋体"/>
                <w:color w:val="auto"/>
                <w:kern w:val="0"/>
                <w:szCs w:val="21"/>
              </w:rPr>
              <w:t>土地承包信息、审核公示确认、签订土地承包（延包）合同等。各镇（街道）结合本地实际制定土地延包试点工作规范。</w:t>
            </w:r>
            <w:r>
              <w:rPr>
                <w:rFonts w:hint="eastAsia" w:ascii="宋体" w:hAnsi="宋体" w:eastAsia="宋体" w:cs="宋体"/>
                <w:color w:val="auto"/>
                <w:kern w:val="0"/>
                <w:szCs w:val="21"/>
                <w:lang w:val="en-US" w:eastAsia="zh-CN"/>
              </w:rPr>
              <w:t>每个</w:t>
            </w:r>
            <w:r>
              <w:rPr>
                <w:rFonts w:hint="eastAsia" w:ascii="宋体" w:hAnsi="宋体" w:eastAsia="宋体" w:cs="宋体"/>
                <w:color w:val="auto"/>
                <w:kern w:val="0"/>
                <w:szCs w:val="21"/>
              </w:rPr>
              <w:t>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社区（组）</w:t>
            </w:r>
            <w:r>
              <w:rPr>
                <w:rFonts w:hint="eastAsia" w:ascii="宋体" w:hAnsi="宋体" w:eastAsia="宋体" w:cs="宋体"/>
                <w:color w:val="auto"/>
                <w:kern w:val="0"/>
                <w:szCs w:val="21"/>
              </w:rPr>
              <w:t>要有至少2名妇女代表参与土地延包试点工作，推动基层</w:t>
            </w:r>
            <w:r>
              <w:rPr>
                <w:rFonts w:hint="eastAsia" w:ascii="宋体" w:hAnsi="宋体" w:eastAsia="宋体" w:cs="宋体"/>
                <w:color w:val="auto"/>
                <w:kern w:val="0"/>
                <w:szCs w:val="21"/>
                <w:lang w:val="en-US" w:eastAsia="zh-CN"/>
              </w:rPr>
              <w:t>保护妇女合法权益</w:t>
            </w:r>
            <w:r>
              <w:rPr>
                <w:rFonts w:hint="eastAsia" w:ascii="宋体" w:hAnsi="宋体" w:eastAsia="宋体" w:cs="宋体"/>
                <w:color w:val="auto"/>
                <w:kern w:val="0"/>
                <w:szCs w:val="21"/>
              </w:rPr>
              <w:t>或纠正侵犯妇女合法权益现象，预防“两头占”、“两头空”情况发生，切实保障农村妇女土地承包权益。坚持确权到户到地，不得违背农民意愿以行政手段推动确权确股不确地，也不得简单以少数服从多数的名义强迫不愿确股的农民确股。</w:t>
            </w:r>
          </w:p>
          <w:p w14:paraId="11566CE8">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四</w:t>
            </w:r>
            <w:r>
              <w:rPr>
                <w:rFonts w:hint="eastAsia" w:ascii="宋体" w:hAnsi="宋体" w:eastAsia="宋体" w:cs="宋体"/>
                <w:color w:val="auto"/>
                <w:kern w:val="0"/>
                <w:szCs w:val="21"/>
              </w:rPr>
              <w:t>）开展摸底调查，掌握土地承包现状。</w:t>
            </w:r>
            <w:r>
              <w:rPr>
                <w:rFonts w:hint="eastAsia" w:ascii="宋体" w:hAnsi="宋体" w:eastAsia="宋体" w:cs="宋体"/>
                <w:color w:val="auto"/>
                <w:kern w:val="0"/>
                <w:szCs w:val="21"/>
                <w:lang w:val="en-US" w:eastAsia="zh-CN"/>
              </w:rPr>
              <w:t>区工作专班</w:t>
            </w:r>
            <w:r>
              <w:rPr>
                <w:rFonts w:hint="eastAsia" w:ascii="宋体" w:hAnsi="宋体" w:eastAsia="宋体" w:cs="宋体"/>
                <w:color w:val="auto"/>
                <w:kern w:val="0"/>
                <w:szCs w:val="21"/>
              </w:rPr>
              <w:t>要组</w:t>
            </w:r>
            <w:r>
              <w:rPr>
                <w:rFonts w:hint="eastAsia" w:ascii="宋体" w:hAnsi="宋体" w:eastAsia="宋体" w:cs="宋体"/>
                <w:color w:val="auto"/>
                <w:kern w:val="0"/>
                <w:szCs w:val="21"/>
                <w:lang w:val="en-US" w:eastAsia="zh-CN"/>
              </w:rPr>
              <w:t>织各</w:t>
            </w:r>
            <w:r>
              <w:rPr>
                <w:rFonts w:hint="eastAsia" w:ascii="宋体" w:hAnsi="宋体" w:eastAsia="宋体" w:cs="宋体"/>
                <w:color w:val="auto"/>
                <w:kern w:val="0"/>
                <w:szCs w:val="21"/>
              </w:rPr>
              <w:t>镇（街道）、村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w:t>
            </w:r>
            <w:r>
              <w:rPr>
                <w:rFonts w:hint="eastAsia" w:ascii="宋体" w:hAnsi="宋体" w:eastAsia="宋体" w:cs="宋体"/>
                <w:color w:val="auto"/>
                <w:kern w:val="0"/>
                <w:szCs w:val="21"/>
              </w:rPr>
              <w:t>（组）开展宣传动员，</w:t>
            </w:r>
            <w:r>
              <w:rPr>
                <w:rFonts w:hint="eastAsia" w:ascii="宋体" w:hAnsi="宋体" w:eastAsia="宋体" w:cs="宋体"/>
                <w:color w:val="auto"/>
                <w:kern w:val="0"/>
                <w:szCs w:val="21"/>
                <w:lang w:val="en-US" w:eastAsia="zh-CN"/>
              </w:rPr>
              <w:t>并</w:t>
            </w:r>
            <w:r>
              <w:rPr>
                <w:rFonts w:hint="eastAsia" w:ascii="宋体" w:hAnsi="宋体" w:eastAsia="宋体" w:cs="宋体"/>
                <w:color w:val="auto"/>
                <w:kern w:val="0"/>
                <w:szCs w:val="21"/>
              </w:rPr>
              <w:t>做好政策解读与业务培训。</w:t>
            </w:r>
            <w:r>
              <w:rPr>
                <w:rFonts w:hint="eastAsia" w:ascii="宋体" w:hAnsi="宋体" w:eastAsia="宋体" w:cs="宋体"/>
                <w:color w:val="auto"/>
                <w:kern w:val="0"/>
                <w:szCs w:val="21"/>
                <w:lang w:val="en-US" w:eastAsia="zh-CN"/>
              </w:rPr>
              <w:t>各镇（街道）组织人员对每家每户、每块承包地块进行</w:t>
            </w:r>
            <w:r>
              <w:rPr>
                <w:rFonts w:hint="eastAsia" w:ascii="宋体" w:hAnsi="宋体" w:eastAsia="宋体" w:cs="宋体"/>
                <w:color w:val="auto"/>
                <w:kern w:val="0"/>
                <w:szCs w:val="21"/>
              </w:rPr>
              <w:t>核查登记，全面摸清农村土地承包经营情况，重点了解第二轮承包地确权登记颁证</w:t>
            </w:r>
            <w:r>
              <w:rPr>
                <w:rFonts w:hint="eastAsia" w:ascii="宋体" w:hAnsi="宋体" w:eastAsia="宋体" w:cs="宋体"/>
                <w:color w:val="auto"/>
                <w:kern w:val="0"/>
                <w:szCs w:val="21"/>
                <w:lang w:val="en-US" w:eastAsia="zh-CN"/>
              </w:rPr>
              <w:t>已确权</w:t>
            </w:r>
            <w:r>
              <w:rPr>
                <w:rFonts w:hint="eastAsia" w:ascii="宋体" w:hAnsi="宋体" w:eastAsia="宋体" w:cs="宋体"/>
                <w:color w:val="auto"/>
                <w:kern w:val="0"/>
                <w:szCs w:val="21"/>
              </w:rPr>
              <w:t>和</w:t>
            </w:r>
            <w:r>
              <w:rPr>
                <w:rFonts w:hint="eastAsia" w:ascii="宋体" w:hAnsi="宋体" w:eastAsia="宋体" w:cs="宋体"/>
                <w:color w:val="auto"/>
                <w:kern w:val="0"/>
                <w:szCs w:val="21"/>
                <w:lang w:val="en-US" w:eastAsia="zh-CN"/>
              </w:rPr>
              <w:t>尚</w:t>
            </w:r>
            <w:r>
              <w:rPr>
                <w:rFonts w:hint="eastAsia" w:ascii="宋体" w:hAnsi="宋体" w:eastAsia="宋体" w:cs="宋体"/>
                <w:color w:val="auto"/>
                <w:kern w:val="0"/>
                <w:szCs w:val="21"/>
              </w:rPr>
              <w:t>未</w:t>
            </w:r>
            <w:r>
              <w:rPr>
                <w:rFonts w:hint="eastAsia" w:ascii="宋体" w:hAnsi="宋体" w:eastAsia="宋体" w:cs="宋体"/>
                <w:color w:val="auto"/>
                <w:kern w:val="0"/>
                <w:szCs w:val="21"/>
                <w:lang w:val="en-US" w:eastAsia="zh-CN"/>
              </w:rPr>
              <w:t>确权的</w:t>
            </w:r>
            <w:r>
              <w:rPr>
                <w:rFonts w:hint="eastAsia" w:ascii="宋体" w:hAnsi="宋体" w:eastAsia="宋体" w:cs="宋体"/>
                <w:color w:val="auto"/>
                <w:kern w:val="0"/>
                <w:szCs w:val="21"/>
              </w:rPr>
              <w:t>具体情况，全面掌握第二轮土地承包以来承包农户家庭成员、承包地面积</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地块数</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存在纠纷地块</w:t>
            </w:r>
            <w:r>
              <w:rPr>
                <w:rFonts w:hint="eastAsia" w:ascii="宋体" w:hAnsi="宋体" w:eastAsia="宋体" w:cs="宋体"/>
                <w:color w:val="auto"/>
                <w:kern w:val="0"/>
                <w:szCs w:val="21"/>
              </w:rPr>
              <w:t>等情况</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土地整治、土地征用、集体预留机动地面积情况。以及整户消亡、外嫁女、“五保户”、全家进城落户</w:t>
            </w:r>
            <w:r>
              <w:rPr>
                <w:rFonts w:hint="eastAsia" w:ascii="宋体" w:hAnsi="宋体" w:eastAsia="宋体" w:cs="宋体"/>
                <w:color w:val="auto"/>
                <w:kern w:val="0"/>
                <w:szCs w:val="21"/>
                <w:lang w:val="en-US" w:eastAsia="zh-CN"/>
              </w:rPr>
              <w:t>等情况。</w:t>
            </w:r>
            <w:r>
              <w:rPr>
                <w:rFonts w:hint="eastAsia" w:ascii="宋体" w:hAnsi="宋体" w:eastAsia="宋体" w:cs="宋体"/>
                <w:color w:val="auto"/>
                <w:kern w:val="0"/>
                <w:szCs w:val="21"/>
              </w:rPr>
              <w:t>根据《中华人民共和国农村集体经济组织法》等法律法规对集体经济组织成员身份进行梳理，确认</w:t>
            </w:r>
            <w:r>
              <w:rPr>
                <w:rFonts w:hint="eastAsia" w:ascii="宋体" w:hAnsi="宋体" w:eastAsia="宋体" w:cs="宋体"/>
                <w:color w:val="auto"/>
                <w:kern w:val="0"/>
                <w:szCs w:val="21"/>
                <w:lang w:val="en-US" w:eastAsia="zh-CN"/>
              </w:rPr>
              <w:t>土地承包人员资格，统计分析村、社区（组）人均承包地面积情况，广</w:t>
            </w:r>
            <w:r>
              <w:rPr>
                <w:rFonts w:hint="eastAsia" w:ascii="宋体" w:hAnsi="宋体" w:eastAsia="宋体" w:cs="宋体"/>
                <w:color w:val="auto"/>
                <w:kern w:val="0"/>
                <w:szCs w:val="21"/>
              </w:rPr>
              <w:t>泛收集梳理农户对土地延包的意愿、想法以及与土地延包相关的问题，包括土地延包路径、小范围适度调整承包地的特殊情形、整户消亡后承包地处理办法、进城农户自愿有偿退出承包地的意愿及其补偿标准等。</w:t>
            </w:r>
          </w:p>
          <w:p w14:paraId="52861868">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五</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结合实际</w:t>
            </w:r>
            <w:r>
              <w:rPr>
                <w:rFonts w:hint="eastAsia" w:ascii="宋体" w:hAnsi="宋体" w:eastAsia="宋体" w:cs="宋体"/>
                <w:color w:val="auto"/>
                <w:kern w:val="0"/>
                <w:szCs w:val="21"/>
              </w:rPr>
              <w:t>，制定</w:t>
            </w:r>
            <w:r>
              <w:rPr>
                <w:rFonts w:hint="eastAsia" w:ascii="宋体" w:hAnsi="宋体" w:eastAsia="宋体" w:cs="宋体"/>
                <w:color w:val="auto"/>
                <w:kern w:val="0"/>
                <w:szCs w:val="21"/>
                <w:lang w:val="en-US" w:eastAsia="zh-CN"/>
              </w:rPr>
              <w:t>延包</w:t>
            </w:r>
            <w:r>
              <w:rPr>
                <w:rFonts w:hint="eastAsia" w:ascii="宋体" w:hAnsi="宋体" w:eastAsia="宋体" w:cs="宋体"/>
                <w:color w:val="auto"/>
                <w:kern w:val="0"/>
                <w:szCs w:val="21"/>
              </w:rPr>
              <w:t>方案。土地延包试点工作方案坚持分类推进，对承包农户家庭成员和承包地块均无变化的，可直接签订土地承包（延包）合同；对仅有家庭成员变动的，变更信息后即可签订土地承包（延包）合同；对承包地块有变动</w:t>
            </w:r>
            <w:r>
              <w:rPr>
                <w:rFonts w:hint="eastAsia" w:ascii="宋体" w:hAnsi="宋体" w:eastAsia="宋体" w:cs="宋体"/>
                <w:color w:val="auto"/>
                <w:kern w:val="0"/>
                <w:szCs w:val="21"/>
                <w:lang w:val="en-US" w:eastAsia="zh-CN"/>
              </w:rPr>
              <w:t>的，需开展承包地“四至”测绘并公示确认后，再签订土地承包（延包）合同。在第二轮土地承包中没有明确承包关系的，如开</w:t>
            </w:r>
            <w:r>
              <w:rPr>
                <w:rFonts w:hint="eastAsia" w:ascii="宋体" w:hAnsi="宋体" w:eastAsia="宋体" w:cs="宋体"/>
                <w:color w:val="auto"/>
                <w:kern w:val="0"/>
                <w:szCs w:val="21"/>
              </w:rPr>
              <w:t>荒地、自留地、园地等非承包耕地，原则上暂不列入此次土地延包范围，如村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w:t>
            </w:r>
            <w:r>
              <w:rPr>
                <w:rFonts w:hint="eastAsia" w:ascii="宋体" w:hAnsi="宋体" w:eastAsia="宋体" w:cs="宋体"/>
                <w:color w:val="auto"/>
                <w:kern w:val="0"/>
                <w:szCs w:val="21"/>
              </w:rPr>
              <w:t>（组）集体成员一致同意将其纳入延包确权登记的，依法明确承包关系，再确权登记。</w:t>
            </w:r>
            <w:r>
              <w:rPr>
                <w:rFonts w:hint="eastAsia" w:ascii="宋体" w:hAnsi="宋体" w:eastAsia="宋体" w:cs="宋体"/>
                <w:color w:val="auto"/>
                <w:kern w:val="0"/>
                <w:szCs w:val="21"/>
                <w:lang w:val="en-US" w:eastAsia="zh-CN"/>
              </w:rPr>
              <w:t>各</w:t>
            </w:r>
            <w:r>
              <w:rPr>
                <w:rFonts w:hint="eastAsia" w:ascii="宋体" w:hAnsi="宋体" w:eastAsia="宋体" w:cs="宋体"/>
                <w:color w:val="auto"/>
                <w:kern w:val="0"/>
                <w:szCs w:val="21"/>
              </w:rPr>
              <w:t>镇（街道）</w:t>
            </w:r>
            <w:r>
              <w:rPr>
                <w:rFonts w:hint="eastAsia" w:ascii="宋体" w:hAnsi="宋体" w:eastAsia="宋体" w:cs="宋体"/>
                <w:color w:val="auto"/>
                <w:kern w:val="0"/>
                <w:szCs w:val="21"/>
                <w:lang w:val="en-US" w:eastAsia="zh-CN"/>
              </w:rPr>
              <w:t>要</w:t>
            </w:r>
            <w:r>
              <w:rPr>
                <w:rFonts w:hint="eastAsia" w:ascii="宋体" w:hAnsi="宋体" w:eastAsia="宋体" w:cs="宋体"/>
                <w:color w:val="auto"/>
                <w:kern w:val="0"/>
                <w:szCs w:val="21"/>
              </w:rPr>
              <w:t>制定土地延包试点工作方案，报</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农业农村局备案。各镇（街道）要组织试点村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w:t>
            </w:r>
            <w:r>
              <w:rPr>
                <w:rFonts w:hint="eastAsia" w:ascii="宋体" w:hAnsi="宋体" w:eastAsia="宋体" w:cs="宋体"/>
                <w:color w:val="auto"/>
                <w:kern w:val="0"/>
                <w:szCs w:val="21"/>
              </w:rPr>
              <w:t>（组），根据承包农户中的特殊人群、特殊情况，制定有针对性的土地延包试点办法，确保相关措施符合法律法规政策要求，充分反映村民意愿。各试点镇（街道）和村土地延包试点工作方案，报</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级农业农村部门审核。各村民小组土地承包（延包）方案，要在本集体经济组织范围内张榜公示，期限不少于15天；公示结束后，方案应当依法经本集体经济组织成员的村民会议三分之二以上成员或者三分之二以上村民代表同意。</w:t>
            </w:r>
          </w:p>
          <w:p w14:paraId="4AC35969">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lang w:val="en-US"/>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加强</w:t>
            </w:r>
            <w:r>
              <w:rPr>
                <w:rFonts w:hint="eastAsia" w:ascii="宋体" w:hAnsi="宋体" w:eastAsia="宋体" w:cs="宋体"/>
                <w:color w:val="auto"/>
                <w:kern w:val="0"/>
                <w:szCs w:val="21"/>
              </w:rPr>
              <w:t>工作指导，</w:t>
            </w:r>
            <w:r>
              <w:rPr>
                <w:rFonts w:hint="eastAsia" w:ascii="宋体" w:hAnsi="宋体" w:eastAsia="宋体" w:cs="宋体"/>
                <w:color w:val="auto"/>
                <w:kern w:val="0"/>
                <w:szCs w:val="21"/>
                <w:lang w:val="en-US" w:eastAsia="zh-CN"/>
              </w:rPr>
              <w:t>推进</w:t>
            </w:r>
            <w:r>
              <w:rPr>
                <w:rFonts w:hint="eastAsia" w:ascii="宋体" w:hAnsi="宋体" w:eastAsia="宋体" w:cs="宋体"/>
                <w:color w:val="auto"/>
                <w:kern w:val="0"/>
                <w:szCs w:val="21"/>
              </w:rPr>
              <w:t>方案实施。</w:t>
            </w:r>
            <w:r>
              <w:rPr>
                <w:rFonts w:hint="eastAsia" w:ascii="宋体" w:hAnsi="宋体" w:eastAsia="宋体" w:cs="宋体"/>
                <w:color w:val="auto"/>
                <w:kern w:val="0"/>
                <w:szCs w:val="21"/>
                <w:lang w:val="en-US" w:eastAsia="zh-CN"/>
              </w:rPr>
              <w:t>土地延包</w:t>
            </w:r>
            <w:r>
              <w:rPr>
                <w:rFonts w:hint="eastAsia" w:ascii="宋体" w:hAnsi="宋体" w:eastAsia="宋体" w:cs="宋体"/>
                <w:color w:val="auto"/>
                <w:kern w:val="0"/>
                <w:szCs w:val="21"/>
              </w:rPr>
              <w:t>要以第二轮承包地确权登记颁证为基础，按照农业农村部土地延包试点工作规程和法律法规政策解答要求，</w:t>
            </w:r>
            <w:r>
              <w:rPr>
                <w:rFonts w:hint="eastAsia" w:ascii="宋体" w:hAnsi="宋体" w:eastAsia="宋体" w:cs="宋体"/>
                <w:color w:val="auto"/>
                <w:kern w:val="0"/>
                <w:szCs w:val="21"/>
                <w:lang w:val="en-US" w:eastAsia="zh-CN"/>
              </w:rPr>
              <w:t>区工作专班要</w:t>
            </w:r>
            <w:r>
              <w:rPr>
                <w:rFonts w:hint="eastAsia" w:ascii="宋体" w:hAnsi="宋体" w:eastAsia="宋体" w:cs="宋体"/>
                <w:color w:val="auto"/>
                <w:kern w:val="0"/>
                <w:szCs w:val="21"/>
              </w:rPr>
              <w:t>指导试点镇（街道）、村</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社区</w:t>
            </w:r>
            <w:r>
              <w:rPr>
                <w:rFonts w:hint="eastAsia" w:ascii="宋体" w:hAnsi="宋体" w:eastAsia="宋体" w:cs="宋体"/>
                <w:color w:val="auto"/>
                <w:kern w:val="0"/>
                <w:szCs w:val="21"/>
              </w:rPr>
              <w:t>（组）开展土地延包试点工作，组织填写土地延包的发包方、承包方、承包地块调查表。调查结果经土地延包试点工作小组审核后进行公示，期限不少于15天；相关权利人提出异议的，土地延包试点工作小组应当进行核实、修正，并再次公示。调查结果经公示无异议后，报</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级农业农村部门审核同意并办理</w:t>
            </w:r>
            <w:r>
              <w:rPr>
                <w:rFonts w:hint="eastAsia" w:ascii="宋体" w:hAnsi="宋体" w:eastAsia="宋体" w:cs="宋体"/>
                <w:color w:val="auto"/>
                <w:kern w:val="0"/>
                <w:szCs w:val="21"/>
                <w:lang w:val="en-US" w:eastAsia="zh-CN"/>
              </w:rPr>
              <w:t>土地延包手续。已颁发的土地承包经营权证在新的承包期继续有</w:t>
            </w:r>
            <w:r>
              <w:rPr>
                <w:rFonts w:hint="eastAsia" w:ascii="宋体" w:hAnsi="宋体" w:eastAsia="宋体" w:cs="宋体"/>
                <w:color w:val="auto"/>
                <w:kern w:val="0"/>
                <w:szCs w:val="21"/>
              </w:rPr>
              <w:t>效且不变不换。证书记载的承包期限，在不动产登记机构收到不动产登记申请后统一变更。对个别调地等承包地块发生变化的，要重新签订承包（延包）合同、重新发证；对个别成员变动等不同情况，在承包（延包）合同、登记簿和证书上作相应变更处理。对尚未确权颁发土地承包经营权证的</w:t>
            </w:r>
            <w:r>
              <w:rPr>
                <w:rFonts w:hint="eastAsia" w:ascii="宋体" w:hAnsi="宋体" w:eastAsia="宋体" w:cs="宋体"/>
                <w:color w:val="auto"/>
                <w:kern w:val="0"/>
                <w:szCs w:val="21"/>
                <w:lang w:val="en-US" w:eastAsia="zh-CN"/>
              </w:rPr>
              <w:t>地块</w:t>
            </w:r>
            <w:r>
              <w:rPr>
                <w:rFonts w:hint="eastAsia" w:ascii="宋体" w:hAnsi="宋体" w:eastAsia="宋体" w:cs="宋体"/>
                <w:color w:val="auto"/>
                <w:kern w:val="0"/>
                <w:szCs w:val="21"/>
              </w:rPr>
              <w:t>，组织开展确权，并同步办理土地延包手续。</w:t>
            </w:r>
            <w:r>
              <w:rPr>
                <w:rFonts w:hint="eastAsia" w:ascii="宋体" w:hAnsi="宋体" w:eastAsia="宋体" w:cs="宋体"/>
                <w:color w:val="auto"/>
                <w:kern w:val="0"/>
                <w:szCs w:val="21"/>
                <w:lang w:val="en-US" w:eastAsia="zh-CN"/>
              </w:rPr>
              <w:t>存在纠纷的地块纠纷尚未解决的暂缓不确权延包，纠纷解决的可以确权延包。对开展“小块并大块”土地整治的地方，在农民群众自愿的前提下，鼓励先互换并地，再进行土地确权，解决承包地块细碎化问题。对于因土地整理、“小块并大块”、土地入股规模经营等原因，部分土地已连片、原承包地块四至已经消失的；城市近郊、各类经济开发区和园区已经实行集体经济组织股份制改革的；已经实行土地股份合作、股权明晰的，人均家庭承包耕地0.3亩以下、不适宜一家一户分散经营、确实不能确权确地的；要因地制宜，经本集体农民群众按规定程序民主协商一致，形成完整的确权确股不确地的延包工作方案，并经镇政府（街道办事处）审查，区农业农村部门审核和区政府同意后，方可实行确权确股不确地，通过定性定量不定位，并建立农户土地承包档案，确保农户对土地的承包关系和数量长久不变。对在2014—2018年土地确权登记颁证工作中将开荒地、自留地、园地等没经过村民小组讨论决定已经确权的地块，要重新召开村民小组会议讨论决定，会议同意发包的可以延包，不同意发包的不延包。对权属明确、边界清晰的荒地，因地方偏远，本集体经济组织成员疏于管理，被就近的村民在2014—2018年土地确权登记颁证中进行确权，因其不是荒地所属集体经济组织成员，并且没经荒地所属集体经济组织同意的，因存在争议纠纷其已确权的荒地暂缓延包。对在2014—2018年土地确权与林区、水库、西江农场范围重叠的地块，因存在争议纠纷暂缓延包，并在二轮延包的基础上进行充分调查，尊重历史和现实，妥善解决地块重叠问题。对</w:t>
            </w:r>
            <w:r>
              <w:rPr>
                <w:rFonts w:hint="eastAsia" w:ascii="宋体" w:hAnsi="宋体" w:eastAsia="宋体" w:cs="宋体"/>
                <w:color w:val="auto"/>
                <w:kern w:val="0"/>
                <w:szCs w:val="21"/>
              </w:rPr>
              <w:t>因家庭成员全部死亡导致承包方消亡的，发包方应当依法收回承包地，其承包地处置，由农民集体民主协商解决。合户、分户应当在同一集体经济组织内进行，仅限于父母、子女、配偶等直系亲属之间，不得以合户之名规避集体依法收回承包地。</w:t>
            </w:r>
          </w:p>
          <w:p w14:paraId="3FE4F77B">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七</w:t>
            </w:r>
            <w:r>
              <w:rPr>
                <w:rFonts w:hint="eastAsia" w:ascii="宋体" w:hAnsi="宋体" w:eastAsia="宋体" w:cs="宋体"/>
                <w:color w:val="auto"/>
                <w:kern w:val="0"/>
                <w:szCs w:val="21"/>
              </w:rPr>
              <w:t>）加强</w:t>
            </w:r>
            <w:r>
              <w:rPr>
                <w:rFonts w:hint="eastAsia" w:ascii="宋体" w:hAnsi="宋体" w:eastAsia="宋体" w:cs="宋体"/>
                <w:color w:val="auto"/>
                <w:kern w:val="0"/>
                <w:szCs w:val="21"/>
                <w:lang w:val="en-US" w:eastAsia="zh-CN"/>
              </w:rPr>
              <w:t>部门</w:t>
            </w:r>
            <w:r>
              <w:rPr>
                <w:rFonts w:hint="eastAsia" w:ascii="宋体" w:hAnsi="宋体" w:eastAsia="宋体" w:cs="宋体"/>
                <w:color w:val="auto"/>
                <w:kern w:val="0"/>
                <w:szCs w:val="21"/>
              </w:rPr>
              <w:t>协作，做好合同管理工作。</w:t>
            </w:r>
            <w:r>
              <w:rPr>
                <w:rFonts w:hint="eastAsia" w:ascii="宋体" w:hAnsi="宋体" w:eastAsia="宋体" w:cs="宋体"/>
                <w:color w:val="auto"/>
                <w:kern w:val="0"/>
                <w:szCs w:val="21"/>
                <w:lang w:val="en-US" w:eastAsia="zh-CN"/>
              </w:rPr>
              <w:t>各</w:t>
            </w:r>
            <w:r>
              <w:rPr>
                <w:rFonts w:hint="eastAsia" w:ascii="宋体" w:hAnsi="宋体" w:eastAsia="宋体" w:cs="宋体"/>
                <w:color w:val="auto"/>
                <w:kern w:val="0"/>
                <w:szCs w:val="21"/>
              </w:rPr>
              <w:t>镇（街道）要按照</w:t>
            </w:r>
            <w:r>
              <w:rPr>
                <w:rFonts w:hint="eastAsia" w:ascii="宋体" w:hAnsi="宋体" w:eastAsia="宋体" w:cs="宋体"/>
                <w:color w:val="auto"/>
                <w:kern w:val="0"/>
                <w:szCs w:val="21"/>
                <w:lang w:val="en-US" w:eastAsia="zh-CN"/>
              </w:rPr>
              <w:t>区委区政府</w:t>
            </w:r>
            <w:r>
              <w:rPr>
                <w:rFonts w:hint="eastAsia" w:ascii="宋体" w:hAnsi="宋体" w:eastAsia="宋体" w:cs="宋体"/>
                <w:color w:val="auto"/>
                <w:kern w:val="0"/>
                <w:szCs w:val="21"/>
              </w:rPr>
              <w:t>部署要求，积极组织开展农村土地承包合同网签系统的应用培训，通过使用合同网签系统开展土地延包试点工作，切实提高工作效率，降低工作成本。确实需要线下组织签订土地承包（延包）合同的，要将已签订合同同步扫描录入全国农村土地承包合同网签系统。</w:t>
            </w:r>
            <w:r>
              <w:rPr>
                <w:rFonts w:hint="eastAsia" w:ascii="宋体" w:hAnsi="宋体" w:eastAsia="宋体" w:cs="宋体"/>
                <w:color w:val="auto"/>
                <w:kern w:val="0"/>
                <w:szCs w:val="21"/>
                <w:lang w:val="en-US" w:eastAsia="zh-CN"/>
              </w:rPr>
              <w:t>并</w:t>
            </w:r>
            <w:r>
              <w:rPr>
                <w:rFonts w:hint="eastAsia" w:ascii="宋体" w:hAnsi="宋体" w:eastAsia="宋体" w:cs="宋体"/>
                <w:color w:val="auto"/>
                <w:kern w:val="0"/>
                <w:szCs w:val="21"/>
              </w:rPr>
              <w:t>及时对接全国农村土地承包合同网签系统，实现数据同步。自然资源、农业农村部门</w:t>
            </w:r>
            <w:r>
              <w:rPr>
                <w:rFonts w:hint="eastAsia" w:ascii="宋体" w:hAnsi="宋体" w:eastAsia="宋体" w:cs="宋体"/>
                <w:color w:val="auto"/>
                <w:kern w:val="0"/>
                <w:szCs w:val="21"/>
                <w:lang w:val="en-US" w:eastAsia="zh-CN"/>
              </w:rPr>
              <w:t>要</w:t>
            </w:r>
            <w:r>
              <w:rPr>
                <w:rFonts w:hint="eastAsia" w:ascii="宋体" w:hAnsi="宋体" w:eastAsia="宋体" w:cs="宋体"/>
                <w:color w:val="auto"/>
                <w:kern w:val="0"/>
                <w:szCs w:val="21"/>
              </w:rPr>
              <w:t>加强协作，积极稳妥推进土地承包合同信息和不动产统一登记信息互通共享，实现土地承包合同管理与不动产统一登记有序衔接。</w:t>
            </w:r>
            <w:r>
              <w:rPr>
                <w:rFonts w:hint="eastAsia" w:ascii="宋体" w:hAnsi="宋体" w:eastAsia="宋体" w:cs="宋体"/>
                <w:color w:val="auto"/>
                <w:kern w:val="0"/>
                <w:szCs w:val="21"/>
                <w:lang w:val="en-US" w:eastAsia="zh-CN"/>
              </w:rPr>
              <w:t>并</w:t>
            </w:r>
            <w:r>
              <w:rPr>
                <w:rFonts w:hint="eastAsia" w:ascii="宋体" w:hAnsi="宋体" w:eastAsia="宋体" w:cs="宋体"/>
                <w:color w:val="auto"/>
                <w:kern w:val="0"/>
                <w:szCs w:val="21"/>
              </w:rPr>
              <w:t>及时将登记所需的相关</w:t>
            </w:r>
            <w:r>
              <w:rPr>
                <w:rFonts w:hint="eastAsia" w:ascii="宋体" w:hAnsi="宋体" w:eastAsia="宋体" w:cs="宋体"/>
                <w:color w:val="auto"/>
                <w:kern w:val="0"/>
                <w:szCs w:val="21"/>
                <w:lang w:val="en-US" w:eastAsia="zh-CN"/>
              </w:rPr>
              <w:t>数据</w:t>
            </w:r>
            <w:r>
              <w:rPr>
                <w:rFonts w:hint="eastAsia" w:ascii="宋体" w:hAnsi="宋体" w:eastAsia="宋体" w:cs="宋体"/>
                <w:color w:val="auto"/>
                <w:kern w:val="0"/>
                <w:szCs w:val="21"/>
              </w:rPr>
              <w:t>共享给不动产登记机构，用于办理不动产统一登记与颁证手续。</w:t>
            </w:r>
          </w:p>
          <w:p w14:paraId="6E2BF483">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八</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加强档案管理</w:t>
            </w:r>
            <w:r>
              <w:rPr>
                <w:rFonts w:hint="eastAsia" w:ascii="宋体" w:hAnsi="宋体" w:eastAsia="宋体" w:cs="宋体"/>
                <w:color w:val="auto"/>
                <w:kern w:val="0"/>
                <w:szCs w:val="21"/>
              </w:rPr>
              <w:t>，完善延包数据信息。农业农村、档案等相关部门加强土地延包档案和数据管理业务指导</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规范和完</w:t>
            </w:r>
            <w:r>
              <w:rPr>
                <w:rFonts w:hint="eastAsia" w:ascii="宋体" w:hAnsi="宋体" w:eastAsia="宋体" w:cs="宋体"/>
                <w:color w:val="auto"/>
                <w:kern w:val="0"/>
                <w:szCs w:val="21"/>
              </w:rPr>
              <w:t>善土地延包相关档案资料，确保土地延包档案准确、规范、完整。完成土地延包试点工作后，</w:t>
            </w:r>
            <w:r>
              <w:rPr>
                <w:rFonts w:hint="eastAsia" w:ascii="宋体" w:hAnsi="宋体" w:eastAsia="宋体" w:cs="宋体"/>
                <w:color w:val="auto"/>
                <w:kern w:val="0"/>
                <w:szCs w:val="21"/>
                <w:lang w:val="en-US" w:eastAsia="zh-CN"/>
              </w:rPr>
              <w:t>农业农村部门</w:t>
            </w:r>
            <w:r>
              <w:rPr>
                <w:rFonts w:hint="eastAsia" w:ascii="宋体" w:hAnsi="宋体" w:eastAsia="宋体" w:cs="宋体"/>
                <w:color w:val="auto"/>
                <w:kern w:val="0"/>
                <w:szCs w:val="21"/>
              </w:rPr>
              <w:t>要同步更新本地土地确权数据库信息，同时向市和自治区汇总提交更新的数据。对土地延包试点工作相关资料，特别是高清影像图等地籍信息资料，严格按照测绘地理信息管理工作关于国家秘密范围的规定，以及</w:t>
            </w:r>
            <w:r>
              <w:rPr>
                <w:rFonts w:hint="eastAsia" w:ascii="宋体" w:hAnsi="宋体" w:eastAsia="宋体" w:cs="宋体"/>
                <w:color w:val="auto"/>
                <w:kern w:val="0"/>
                <w:szCs w:val="21"/>
                <w:lang w:val="en-US" w:eastAsia="zh-CN"/>
              </w:rPr>
              <w:t>自治区农村土地承包数据管理实施办法使用和管理，确保不泄</w:t>
            </w:r>
            <w:r>
              <w:rPr>
                <w:rFonts w:hint="eastAsia" w:ascii="宋体" w:hAnsi="宋体" w:eastAsia="宋体" w:cs="宋体"/>
                <w:color w:val="auto"/>
                <w:kern w:val="0"/>
                <w:szCs w:val="21"/>
              </w:rPr>
              <w:t>密。</w:t>
            </w:r>
          </w:p>
          <w:p w14:paraId="6429CEDD">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三</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en-US" w:eastAsia="zh-CN"/>
              </w:rPr>
              <w:t>工作</w:t>
            </w:r>
            <w:r>
              <w:rPr>
                <w:rFonts w:hint="eastAsia" w:ascii="宋体" w:hAnsi="宋体" w:eastAsia="宋体" w:cs="宋体"/>
                <w:b/>
                <w:bCs/>
                <w:color w:val="auto"/>
                <w:kern w:val="0"/>
                <w:szCs w:val="21"/>
              </w:rPr>
              <w:t>进度安排</w:t>
            </w:r>
          </w:p>
          <w:p w14:paraId="039158AA">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（一）</w:t>
            </w:r>
            <w:r>
              <w:rPr>
                <w:rFonts w:hint="eastAsia" w:ascii="宋体" w:hAnsi="宋体" w:eastAsia="宋体" w:cs="宋体"/>
                <w:color w:val="auto"/>
                <w:kern w:val="0"/>
                <w:szCs w:val="21"/>
                <w:lang w:val="en-US" w:eastAsia="zh-CN"/>
              </w:rPr>
              <w:t>根据贵港市土地延包方案要求，</w:t>
            </w:r>
            <w:r>
              <w:rPr>
                <w:rFonts w:hint="eastAsia" w:ascii="宋体" w:hAnsi="宋体" w:eastAsia="宋体" w:cs="宋体"/>
                <w:color w:val="auto"/>
                <w:kern w:val="0"/>
                <w:szCs w:val="21"/>
              </w:rPr>
              <w:t>2025年</w:t>
            </w:r>
            <w:r>
              <w:rPr>
                <w:rFonts w:hint="eastAsia" w:ascii="宋体" w:hAnsi="宋体" w:eastAsia="宋体" w:cs="宋体"/>
                <w:color w:val="auto"/>
                <w:kern w:val="0"/>
                <w:szCs w:val="21"/>
                <w:lang w:val="en-US" w:eastAsia="zh-CN"/>
              </w:rPr>
              <w:t>我区以湛江镇做为试点镇开展土地延包试点工作，2025年12月前完成试点工作，农户签订土地（承包）延包合同90%以上，并做好经验总结，为2026年全区开展整区试点打基础。</w:t>
            </w:r>
          </w:p>
          <w:p w14:paraId="588A89DF">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（二）2026年，</w:t>
            </w:r>
            <w:r>
              <w:rPr>
                <w:rFonts w:hint="eastAsia" w:ascii="宋体" w:hAnsi="宋体" w:eastAsia="宋体" w:cs="宋体"/>
                <w:color w:val="auto"/>
                <w:kern w:val="0"/>
                <w:szCs w:val="21"/>
                <w:lang w:val="en-US" w:eastAsia="zh-CN"/>
              </w:rPr>
              <w:t>全区</w:t>
            </w:r>
            <w:r>
              <w:rPr>
                <w:rFonts w:hint="eastAsia" w:ascii="宋体" w:hAnsi="宋体" w:eastAsia="宋体" w:cs="宋体"/>
                <w:color w:val="auto"/>
                <w:kern w:val="0"/>
                <w:szCs w:val="21"/>
              </w:rPr>
              <w:t>开展土地延包整区试点工作。</w:t>
            </w:r>
          </w:p>
          <w:p w14:paraId="6A6582D7">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开展试点的</w:t>
            </w:r>
            <w:r>
              <w:rPr>
                <w:rFonts w:hint="eastAsia" w:ascii="宋体" w:hAnsi="宋体" w:eastAsia="宋体" w:cs="宋体"/>
                <w:color w:val="auto"/>
                <w:kern w:val="0"/>
                <w:szCs w:val="21"/>
                <w:lang w:val="en-US" w:eastAsia="zh-CN"/>
              </w:rPr>
              <w:t>各镇</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街道</w:t>
            </w:r>
            <w:r>
              <w:rPr>
                <w:rFonts w:hint="eastAsia" w:ascii="宋体" w:hAnsi="宋体" w:eastAsia="宋体" w:cs="宋体"/>
                <w:color w:val="auto"/>
                <w:kern w:val="0"/>
                <w:szCs w:val="21"/>
              </w:rPr>
              <w:t>），原则上在当年完成土地延包试点工作。</w:t>
            </w:r>
            <w:r>
              <w:rPr>
                <w:rFonts w:hint="eastAsia" w:ascii="宋体" w:hAnsi="宋体" w:eastAsia="宋体" w:cs="宋体"/>
                <w:color w:val="auto"/>
                <w:kern w:val="0"/>
                <w:szCs w:val="21"/>
                <w:lang w:val="en-US" w:eastAsia="zh-CN"/>
              </w:rPr>
              <w:t>区、镇工作专班</w:t>
            </w:r>
            <w:r>
              <w:rPr>
                <w:rFonts w:hint="eastAsia" w:ascii="宋体" w:hAnsi="宋体" w:eastAsia="宋体" w:cs="宋体"/>
                <w:color w:val="auto"/>
                <w:kern w:val="0"/>
                <w:szCs w:val="21"/>
              </w:rPr>
              <w:t>统筹安排土地延包试点各环节工作。重点工作安排：1—6月，统筹开展业务培训，成立工作专班，开展</w:t>
            </w:r>
            <w:r>
              <w:rPr>
                <w:rFonts w:hint="eastAsia" w:ascii="宋体" w:hAnsi="宋体" w:eastAsia="宋体" w:cs="宋体"/>
                <w:color w:val="auto"/>
                <w:kern w:val="0"/>
                <w:szCs w:val="21"/>
                <w:lang w:val="en-US" w:eastAsia="zh-CN"/>
              </w:rPr>
              <w:t>摸底调查等前期工作；7月底前，组织试点村（组）制订延包方案，</w:t>
            </w:r>
            <w:r>
              <w:rPr>
                <w:rFonts w:hint="eastAsia" w:ascii="宋体" w:hAnsi="宋体" w:eastAsia="宋体" w:cs="宋体"/>
                <w:color w:val="auto"/>
                <w:kern w:val="0"/>
                <w:szCs w:val="21"/>
              </w:rPr>
              <w:t>并完成承包信息的公示确认；10月底前，完成合同签订；12月底前，完成档案资料的归档整理，进行总结验收。土地延包试点工作完成后，如承包农户家庭成员、承包地块有变化的，按照土地承包常态化管理要求进行日常数据更新工作。</w:t>
            </w:r>
            <w:r>
              <w:rPr>
                <w:rFonts w:hint="eastAsia" w:ascii="宋体" w:hAnsi="宋体" w:eastAsia="宋体" w:cs="宋体"/>
                <w:color w:val="auto"/>
                <w:kern w:val="0"/>
                <w:szCs w:val="21"/>
                <w:lang w:val="en-US" w:eastAsia="zh-CN"/>
              </w:rPr>
              <w:t>到2026年年底，全区</w:t>
            </w:r>
            <w:r>
              <w:rPr>
                <w:rFonts w:hint="eastAsia" w:ascii="宋体" w:hAnsi="宋体" w:eastAsia="宋体" w:cs="宋体"/>
                <w:color w:val="auto"/>
                <w:kern w:val="0"/>
                <w:szCs w:val="21"/>
              </w:rPr>
              <w:t>基本完成土地延包试点工作，农户土地承包（延包）合同签订率达90%以上。</w:t>
            </w:r>
          </w:p>
          <w:p w14:paraId="233AD697">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四</w:t>
            </w:r>
            <w:r>
              <w:rPr>
                <w:rFonts w:hint="eastAsia" w:ascii="宋体" w:hAnsi="宋体" w:eastAsia="宋体" w:cs="宋体"/>
                <w:b/>
                <w:bCs/>
                <w:color w:val="auto"/>
                <w:kern w:val="0"/>
                <w:szCs w:val="21"/>
              </w:rPr>
              <w:t>、工作要求</w:t>
            </w:r>
          </w:p>
          <w:p w14:paraId="2AA0E546">
            <w:pPr>
              <w:keepNext w:val="0"/>
              <w:keepLines w:val="0"/>
              <w:pageBreakBefore w:val="0"/>
              <w:widowControl/>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各级各部门要充分认识土地延包试点工作的重要性，在党中央和自治区党委的坚强领导下，按照市委、市人民政府部署安排，落实工作责任。</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委和</w:t>
            </w:r>
            <w:r>
              <w:rPr>
                <w:rFonts w:hint="eastAsia" w:ascii="宋体" w:hAnsi="宋体" w:eastAsia="宋体" w:cs="宋体"/>
                <w:color w:val="auto"/>
                <w:kern w:val="0"/>
                <w:szCs w:val="21"/>
                <w:lang w:val="en-US" w:eastAsia="zh-CN"/>
              </w:rPr>
              <w:t>区</w:t>
            </w:r>
            <w:r>
              <w:rPr>
                <w:rFonts w:hint="eastAsia" w:ascii="宋体" w:hAnsi="宋体" w:eastAsia="宋体" w:cs="宋体"/>
                <w:color w:val="auto"/>
                <w:kern w:val="0"/>
                <w:szCs w:val="21"/>
              </w:rPr>
              <w:t>政府负总责，</w:t>
            </w:r>
            <w:r>
              <w:rPr>
                <w:rFonts w:hint="eastAsia" w:ascii="宋体" w:hAnsi="宋体" w:eastAsia="宋体" w:cs="宋体"/>
                <w:color w:val="auto"/>
                <w:kern w:val="0"/>
                <w:szCs w:val="21"/>
                <w:lang w:val="en-US" w:eastAsia="zh-CN"/>
              </w:rPr>
              <w:t>各镇（街道）</w:t>
            </w:r>
            <w:r>
              <w:rPr>
                <w:rFonts w:hint="eastAsia" w:ascii="宋体" w:hAnsi="宋体" w:eastAsia="宋体" w:cs="宋体"/>
                <w:color w:val="auto"/>
                <w:kern w:val="0"/>
                <w:szCs w:val="21"/>
              </w:rPr>
              <w:t>党委和政府具体负责的责任制度。</w:t>
            </w:r>
            <w:r>
              <w:rPr>
                <w:rFonts w:hint="eastAsia" w:ascii="宋体" w:hAnsi="宋体" w:eastAsia="宋体" w:cs="宋体"/>
                <w:color w:val="auto"/>
                <w:kern w:val="0"/>
                <w:szCs w:val="21"/>
                <w:lang w:val="en-US" w:eastAsia="zh-CN"/>
              </w:rPr>
              <w:t>工作专班</w:t>
            </w:r>
            <w:r>
              <w:rPr>
                <w:rFonts w:hint="eastAsia" w:ascii="宋体" w:hAnsi="宋体" w:eastAsia="宋体" w:cs="宋体"/>
                <w:color w:val="auto"/>
                <w:kern w:val="0"/>
                <w:szCs w:val="21"/>
              </w:rPr>
              <w:t>定期或不定期对各阶段的工作情况进行跟踪落实和业务指导</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各相关部门要高度重视土地延包试点过程中的社会稳定工作，压实主体责任，深入试点</w:t>
            </w:r>
            <w:r>
              <w:rPr>
                <w:rFonts w:hint="eastAsia" w:ascii="宋体" w:hAnsi="宋体" w:eastAsia="宋体" w:cs="宋体"/>
                <w:color w:val="auto"/>
                <w:kern w:val="0"/>
                <w:szCs w:val="21"/>
                <w:lang w:val="en-US" w:eastAsia="zh-CN"/>
              </w:rPr>
              <w:t>镇</w:t>
            </w:r>
            <w:r>
              <w:rPr>
                <w:rFonts w:hint="eastAsia" w:ascii="宋体" w:hAnsi="宋体" w:eastAsia="宋体" w:cs="宋体"/>
                <w:color w:val="auto"/>
                <w:kern w:val="0"/>
                <w:szCs w:val="21"/>
              </w:rPr>
              <w:t>、村（组），及时发现和指导解决问题。</w:t>
            </w:r>
            <w:r>
              <w:rPr>
                <w:rFonts w:hint="eastAsia" w:ascii="宋体" w:hAnsi="宋体" w:eastAsia="宋体" w:cs="宋体"/>
                <w:color w:val="auto"/>
                <w:kern w:val="0"/>
                <w:szCs w:val="21"/>
                <w:lang w:val="en-US" w:eastAsia="zh-CN"/>
              </w:rPr>
              <w:t>农业农村部门</w:t>
            </w:r>
            <w:r>
              <w:rPr>
                <w:rFonts w:hint="eastAsia" w:ascii="宋体" w:hAnsi="宋体" w:eastAsia="宋体" w:cs="宋体"/>
                <w:color w:val="auto"/>
                <w:kern w:val="0"/>
                <w:szCs w:val="21"/>
              </w:rPr>
              <w:t>要将开展土地延包试点工作相关的费用纳入</w:t>
            </w:r>
            <w:r>
              <w:rPr>
                <w:rFonts w:hint="eastAsia" w:ascii="宋体" w:hAnsi="宋体" w:eastAsia="宋体" w:cs="宋体"/>
                <w:color w:val="auto"/>
                <w:kern w:val="0"/>
                <w:szCs w:val="21"/>
                <w:lang w:val="en-US" w:eastAsia="zh-CN"/>
              </w:rPr>
              <w:t>本</w:t>
            </w:r>
            <w:r>
              <w:rPr>
                <w:rFonts w:hint="eastAsia" w:ascii="宋体" w:hAnsi="宋体" w:eastAsia="宋体" w:cs="宋体"/>
                <w:color w:val="auto"/>
                <w:kern w:val="0"/>
                <w:szCs w:val="21"/>
              </w:rPr>
              <w:t>级财政预算，确保土地延包试点工作按时高质量完成</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要多渠道加强政策宣传培训，引导正面舆论。</w:t>
            </w:r>
          </w:p>
          <w:p w14:paraId="49CCD18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p>
          <w:p w14:paraId="4EA0EFD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lang w:val="en-US" w:eastAsia="zh-CN"/>
              </w:rPr>
            </w:pPr>
            <w:r>
              <w:rPr>
                <w:rFonts w:hint="eastAsia" w:ascii="宋体" w:hAnsi="宋体" w:cs="宋体"/>
                <w:b/>
                <w:bCs/>
                <w:color w:val="auto"/>
                <w:highlight w:val="none"/>
                <w:lang w:val="en-US" w:eastAsia="zh-CN"/>
              </w:rPr>
              <w:t>五</w:t>
            </w:r>
            <w:r>
              <w:rPr>
                <w:rFonts w:hint="eastAsia" w:ascii="宋体" w:hAnsi="宋体" w:eastAsia="宋体" w:cs="宋体"/>
                <w:b/>
                <w:bCs/>
                <w:color w:val="auto"/>
                <w:highlight w:val="none"/>
                <w:lang w:val="en-US" w:eastAsia="zh-CN"/>
              </w:rPr>
              <w:t>、项目管理要求</w:t>
            </w:r>
          </w:p>
          <w:p w14:paraId="77531A6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1.供应商应提供完整的项目实施方案和实施管理办法，明确项目各阶段工作内容和要求，提供项目实施过程中的质量控制、风险控制、沟通管理、工期保障等方案。</w:t>
            </w:r>
          </w:p>
          <w:p w14:paraId="714C476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应按照项目的总体要求，制定详细的实施计划，并根据实施内容制定相应的进度计划，包括但不限于以下内容：项目实施周期、工作时间进度表、工作程序、工作阶段和工作内容。此外，供应商需根据实施进度及时提供有关文档。</w:t>
            </w:r>
          </w:p>
          <w:p w14:paraId="2A277C3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3.供应商应严格按照文档控制标准，规范项目实施过程中的文档材料管理，对项目实施过程中产生的所有文档材料进行分类管理。</w:t>
            </w:r>
          </w:p>
          <w:p w14:paraId="7F38172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六</w:t>
            </w:r>
            <w:r>
              <w:rPr>
                <w:rFonts w:hint="eastAsia" w:ascii="宋体" w:hAnsi="宋体" w:eastAsia="宋体" w:cs="宋体"/>
                <w:b/>
                <w:bCs/>
                <w:color w:val="auto"/>
                <w:highlight w:val="none"/>
                <w:lang w:val="en-US" w:eastAsia="zh-CN"/>
              </w:rPr>
              <w:t>、项目团队要求</w:t>
            </w:r>
          </w:p>
          <w:p w14:paraId="0E6A165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1.中标供应商必须成立合理的组织机构，建立健全保障项目顺利实施的各项管理制度和质量保证体系，安排足够的高素质人才参加本项目的建设。</w:t>
            </w:r>
          </w:p>
          <w:p w14:paraId="724E279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2.中标供应商在项目的执行过程中，项目经理、技术负责人要全程专职投入到本项目。中标供应商不得擅自更换项目组主要负责人，更改项目组主要负责人须经采购人同意；项目团队的骨干人员应保持稳定。</w:t>
            </w:r>
          </w:p>
          <w:p w14:paraId="04BD520A">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color w:val="auto"/>
                <w:kern w:val="0"/>
                <w:szCs w:val="21"/>
              </w:rPr>
            </w:pPr>
            <w:r>
              <w:rPr>
                <w:rFonts w:hint="eastAsia" w:ascii="宋体" w:hAnsi="宋体" w:eastAsia="宋体" w:cs="宋体"/>
                <w:b/>
                <w:bCs/>
                <w:color w:val="auto"/>
                <w:highlight w:val="none"/>
                <w:lang w:val="en-US" w:eastAsia="zh-CN"/>
              </w:rPr>
              <w:t>3.中标供应商要提供拟参加项目的人员名单，并提供响应截止前半年内任意</w:t>
            </w:r>
            <w:r>
              <w:rPr>
                <w:rFonts w:hint="eastAsia" w:ascii="宋体" w:hAnsi="宋体" w:cs="宋体"/>
                <w:b/>
                <w:bCs/>
                <w:color w:val="auto"/>
                <w:highlight w:val="none"/>
                <w:lang w:val="en-US" w:eastAsia="zh-CN"/>
              </w:rPr>
              <w:t>1</w:t>
            </w:r>
            <w:r>
              <w:rPr>
                <w:rFonts w:hint="eastAsia" w:ascii="宋体" w:hAnsi="宋体" w:eastAsia="宋体" w:cs="宋体"/>
                <w:b/>
                <w:bCs/>
                <w:color w:val="auto"/>
                <w:highlight w:val="none"/>
                <w:lang w:val="en-US" w:eastAsia="zh-CN"/>
              </w:rPr>
              <w:t>个月缴纳的社保证明。</w:t>
            </w:r>
          </w:p>
        </w:tc>
      </w:tr>
      <w:tr w14:paraId="0E0D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914" w:type="dxa"/>
            <w:gridSpan w:val="3"/>
            <w:noWrap w:val="0"/>
            <w:vAlign w:val="center"/>
          </w:tcPr>
          <w:p w14:paraId="6E25171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商务要求</w:t>
            </w:r>
          </w:p>
        </w:tc>
      </w:tr>
      <w:tr w14:paraId="05D3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78" w:type="dxa"/>
            <w:gridSpan w:val="2"/>
            <w:noWrap w:val="0"/>
            <w:vAlign w:val="center"/>
          </w:tcPr>
          <w:p w14:paraId="6D0CCF66">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1.报价要求</w:t>
            </w:r>
          </w:p>
        </w:tc>
        <w:tc>
          <w:tcPr>
            <w:tcW w:w="6436" w:type="dxa"/>
            <w:noWrap w:val="0"/>
            <w:vAlign w:val="center"/>
          </w:tcPr>
          <w:p w14:paraId="37AB6BCD">
            <w:pPr>
              <w:spacing w:line="360" w:lineRule="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评审</w:t>
            </w:r>
            <w:r>
              <w:rPr>
                <w:rFonts w:hint="eastAsia" w:ascii="宋体" w:hAnsi="宋体" w:eastAsia="宋体" w:cs="宋体"/>
                <w:sz w:val="21"/>
                <w:szCs w:val="21"/>
              </w:rPr>
              <w:t>报价应包括完成本次</w:t>
            </w:r>
            <w:r>
              <w:rPr>
                <w:rFonts w:hint="eastAsia" w:ascii="宋体" w:hAnsi="宋体" w:eastAsia="宋体" w:cs="宋体"/>
                <w:sz w:val="21"/>
                <w:szCs w:val="21"/>
                <w:lang w:val="en-US" w:eastAsia="zh-CN"/>
              </w:rPr>
              <w:t>采购</w:t>
            </w:r>
            <w:r>
              <w:rPr>
                <w:rFonts w:hint="eastAsia" w:ascii="宋体" w:hAnsi="宋体" w:eastAsia="宋体" w:cs="宋体"/>
                <w:sz w:val="21"/>
                <w:szCs w:val="21"/>
              </w:rPr>
              <w:t>范围内全部工作的所有费用【包含但不限于技术工作费、人工费、设计费、材料费、出图费（在合同中明确具体数量）、设备、维护、保险、利润及税金、管理政策性规定费用等】。</w:t>
            </w:r>
            <w:r>
              <w:rPr>
                <w:rFonts w:hint="eastAsia" w:ascii="宋体" w:hAnsi="宋体" w:eastAsia="宋体" w:cs="宋体"/>
                <w:sz w:val="21"/>
                <w:szCs w:val="21"/>
                <w:lang w:val="en-US" w:eastAsia="zh-CN"/>
              </w:rPr>
              <w:t>供应商</w:t>
            </w:r>
            <w:r>
              <w:rPr>
                <w:rFonts w:hint="eastAsia" w:ascii="宋体" w:hAnsi="宋体" w:eastAsia="宋体" w:cs="宋体"/>
                <w:sz w:val="21"/>
                <w:szCs w:val="21"/>
              </w:rPr>
              <w:t>所填报的价格在合同实施期间不因市场价格变化等因素而变动，</w:t>
            </w:r>
            <w:r>
              <w:rPr>
                <w:rFonts w:hint="eastAsia" w:ascii="宋体" w:hAnsi="宋体" w:eastAsia="宋体" w:cs="宋体"/>
                <w:sz w:val="21"/>
                <w:szCs w:val="21"/>
                <w:lang w:val="en-US" w:eastAsia="zh-CN"/>
              </w:rPr>
              <w:t>供应商</w:t>
            </w:r>
            <w:r>
              <w:rPr>
                <w:rFonts w:hint="eastAsia" w:ascii="宋体" w:hAnsi="宋体" w:eastAsia="宋体" w:cs="宋体"/>
                <w:sz w:val="21"/>
                <w:szCs w:val="21"/>
              </w:rPr>
              <w:t>在报价时应考虑各种风险因素和承受能力。</w:t>
            </w:r>
          </w:p>
        </w:tc>
      </w:tr>
      <w:tr w14:paraId="1D13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78" w:type="dxa"/>
            <w:gridSpan w:val="2"/>
            <w:noWrap w:val="0"/>
            <w:vAlign w:val="center"/>
          </w:tcPr>
          <w:p w14:paraId="5AB276B3">
            <w:pPr>
              <w:keepNext w:val="0"/>
              <w:keepLines w:val="0"/>
              <w:pageBreakBefore w:val="0"/>
              <w:widowControl/>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2.签订合同时间</w:t>
            </w:r>
          </w:p>
        </w:tc>
        <w:tc>
          <w:tcPr>
            <w:tcW w:w="6436" w:type="dxa"/>
            <w:noWrap w:val="0"/>
            <w:vAlign w:val="center"/>
          </w:tcPr>
          <w:p w14:paraId="51550E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日历日内。</w:t>
            </w:r>
          </w:p>
        </w:tc>
      </w:tr>
      <w:tr w14:paraId="18A0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78" w:type="dxa"/>
            <w:gridSpan w:val="2"/>
            <w:noWrap w:val="0"/>
            <w:vAlign w:val="center"/>
          </w:tcPr>
          <w:p w14:paraId="1499831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highlight w:val="none"/>
                <w:lang w:val="en-US" w:eastAsia="zh-CN"/>
              </w:rPr>
              <w:t>3.服务成果交付时间及地点</w:t>
            </w:r>
          </w:p>
        </w:tc>
        <w:tc>
          <w:tcPr>
            <w:tcW w:w="6436" w:type="dxa"/>
            <w:noWrap w:val="0"/>
            <w:vAlign w:val="center"/>
          </w:tcPr>
          <w:p w14:paraId="70F08F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1、服务成果交付时间：自合同签订之日起至2026年11月30日之前完成全部项目工作内容。</w:t>
            </w:r>
          </w:p>
          <w:p w14:paraId="5CBC68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2、交付地点：采购人指定地点。</w:t>
            </w:r>
          </w:p>
        </w:tc>
      </w:tr>
      <w:tr w14:paraId="117D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78" w:type="dxa"/>
            <w:gridSpan w:val="2"/>
            <w:noWrap w:val="0"/>
            <w:vAlign w:val="center"/>
          </w:tcPr>
          <w:p w14:paraId="71B7C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4.验收标准、规范</w:t>
            </w:r>
          </w:p>
        </w:tc>
        <w:tc>
          <w:tcPr>
            <w:tcW w:w="6436" w:type="dxa"/>
            <w:noWrap w:val="0"/>
            <w:vAlign w:val="center"/>
          </w:tcPr>
          <w:p w14:paraId="0DEA19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符合现行国家相关标准、行业标准、地方标准或者其他标准、规范，并按要求通过审查与评审。</w:t>
            </w:r>
          </w:p>
        </w:tc>
      </w:tr>
      <w:tr w14:paraId="53FF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478" w:type="dxa"/>
            <w:gridSpan w:val="2"/>
            <w:noWrap w:val="0"/>
            <w:vAlign w:val="center"/>
          </w:tcPr>
          <w:p w14:paraId="37714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5.付款方式</w:t>
            </w:r>
          </w:p>
        </w:tc>
        <w:tc>
          <w:tcPr>
            <w:tcW w:w="6436" w:type="dxa"/>
            <w:noWrap w:val="0"/>
            <w:vAlign w:val="center"/>
          </w:tcPr>
          <w:p w14:paraId="22FD33A4">
            <w:pPr>
              <w:spacing w:line="360" w:lineRule="exact"/>
              <w:rPr>
                <w:rFonts w:hint="eastAsia" w:ascii="宋体" w:hAnsi="宋体"/>
                <w:color w:val="auto"/>
                <w:szCs w:val="21"/>
                <w:highlight w:val="none"/>
              </w:rPr>
            </w:pPr>
            <w:r>
              <w:rPr>
                <w:rFonts w:hint="eastAsia" w:ascii="宋体" w:hAnsi="宋体"/>
                <w:color w:val="auto"/>
                <w:szCs w:val="21"/>
                <w:highlight w:val="none"/>
              </w:rPr>
              <w:t>1、本合同签订之日起15个工作日内，采购人向</w:t>
            </w:r>
            <w:r>
              <w:rPr>
                <w:rFonts w:hint="eastAsia" w:ascii="宋体" w:hAnsi="宋体"/>
                <w:color w:val="auto"/>
                <w:szCs w:val="21"/>
                <w:highlight w:val="none"/>
                <w:lang w:val="en-US" w:eastAsia="zh-CN"/>
              </w:rPr>
              <w:t>成交</w:t>
            </w:r>
            <w:r>
              <w:rPr>
                <w:rFonts w:hint="eastAsia" w:ascii="宋体" w:hAnsi="宋体"/>
                <w:color w:val="auto"/>
                <w:szCs w:val="21"/>
                <w:highlight w:val="none"/>
              </w:rPr>
              <w:t>供应商支付总合同款的30%，作为项目预付款；项目实施结束并经验收后15个工作日内，采购人向</w:t>
            </w:r>
            <w:r>
              <w:rPr>
                <w:rFonts w:hint="eastAsia" w:ascii="宋体" w:hAnsi="宋体"/>
                <w:color w:val="auto"/>
                <w:szCs w:val="21"/>
                <w:highlight w:val="none"/>
                <w:lang w:val="en-US" w:eastAsia="zh-CN"/>
              </w:rPr>
              <w:t>成交</w:t>
            </w:r>
            <w:r>
              <w:rPr>
                <w:rFonts w:hint="eastAsia" w:ascii="宋体" w:hAnsi="宋体"/>
                <w:color w:val="auto"/>
                <w:szCs w:val="21"/>
                <w:highlight w:val="none"/>
              </w:rPr>
              <w:t>供应商支付至合同总合同款的</w:t>
            </w:r>
            <w:r>
              <w:rPr>
                <w:rFonts w:hint="eastAsia" w:ascii="宋体" w:hAnsi="宋体"/>
                <w:color w:val="auto"/>
                <w:szCs w:val="21"/>
                <w:highlight w:val="none"/>
                <w:lang w:val="en-US" w:eastAsia="zh-CN"/>
              </w:rPr>
              <w:t>100</w:t>
            </w:r>
            <w:r>
              <w:rPr>
                <w:rFonts w:hint="eastAsia" w:ascii="宋体" w:hAnsi="宋体"/>
                <w:color w:val="auto"/>
                <w:szCs w:val="21"/>
                <w:highlight w:val="none"/>
              </w:rPr>
              <w:t>%。</w:t>
            </w:r>
            <w:r>
              <w:rPr>
                <w:rFonts w:hint="eastAsia" w:ascii="宋体" w:hAnsi="宋体"/>
                <w:color w:val="auto"/>
                <w:szCs w:val="21"/>
                <w:highlight w:val="none"/>
                <w:lang w:val="en-US" w:eastAsia="zh-CN"/>
              </w:rPr>
              <w:t>（注：如采购人在签订合同时，成交人明确表示无需预付款或者主动要求降低预付款比例的，采购人可不采用预付款制度）</w:t>
            </w:r>
          </w:p>
          <w:p w14:paraId="4ACFCE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2、在采购人每次支付合同款，</w:t>
            </w:r>
            <w:r>
              <w:rPr>
                <w:rFonts w:hint="eastAsia" w:ascii="宋体" w:hAnsi="宋体"/>
                <w:color w:val="auto"/>
                <w:szCs w:val="21"/>
                <w:highlight w:val="none"/>
                <w:lang w:val="en-US" w:eastAsia="zh-CN"/>
              </w:rPr>
              <w:t>成交</w:t>
            </w:r>
            <w:r>
              <w:rPr>
                <w:rFonts w:hint="eastAsia" w:ascii="宋体" w:hAnsi="宋体"/>
                <w:color w:val="auto"/>
                <w:szCs w:val="21"/>
                <w:highlight w:val="none"/>
              </w:rPr>
              <w:t>供应商应及时向采购人开具等额的增值税服务发票。</w:t>
            </w:r>
          </w:p>
        </w:tc>
      </w:tr>
    </w:tbl>
    <w:p w14:paraId="1007C1C3">
      <w:pPr>
        <w:pStyle w:val="3"/>
        <w:tabs>
          <w:tab w:val="left" w:pos="2497"/>
          <w:tab w:val="center" w:pos="4748"/>
          <w:tab w:val="right" w:pos="9497"/>
        </w:tabs>
        <w:spacing w:before="0" w:after="0" w:line="240" w:lineRule="auto"/>
        <w:jc w:val="center"/>
        <w:rPr>
          <w:rFonts w:hint="eastAsia" w:ascii="宋体" w:hAnsi="宋体" w:eastAsia="宋体"/>
          <w:bCs w:val="0"/>
          <w:color w:val="auto"/>
          <w:sz w:val="44"/>
          <w:szCs w:val="44"/>
          <w:highlight w:val="none"/>
        </w:rPr>
      </w:pPr>
    </w:p>
    <w:p w14:paraId="330F98E1">
      <w:pPr>
        <w:pStyle w:val="3"/>
        <w:tabs>
          <w:tab w:val="left" w:pos="2497"/>
          <w:tab w:val="center" w:pos="4748"/>
          <w:tab w:val="right" w:pos="9497"/>
        </w:tabs>
        <w:spacing w:before="0" w:after="0" w:line="240" w:lineRule="auto"/>
        <w:jc w:val="center"/>
        <w:rPr>
          <w:rFonts w:hint="eastAsia" w:ascii="宋体" w:hAnsi="宋体" w:eastAsia="宋体"/>
          <w:bCs w:val="0"/>
          <w:color w:val="auto"/>
          <w:sz w:val="44"/>
          <w:szCs w:val="44"/>
          <w:highlight w:val="none"/>
        </w:rPr>
      </w:pPr>
    </w:p>
    <w:p w14:paraId="6A5B90D6">
      <w:pPr>
        <w:pStyle w:val="3"/>
        <w:tabs>
          <w:tab w:val="left" w:pos="2497"/>
          <w:tab w:val="center" w:pos="4748"/>
          <w:tab w:val="right" w:pos="9497"/>
        </w:tabs>
        <w:spacing w:before="0" w:after="0" w:line="240" w:lineRule="auto"/>
        <w:jc w:val="center"/>
        <w:rPr>
          <w:rFonts w:hint="eastAsia" w:ascii="宋体" w:hAnsi="宋体" w:eastAsia="宋体"/>
          <w:bCs w:val="0"/>
          <w:color w:val="auto"/>
          <w:sz w:val="44"/>
          <w:szCs w:val="44"/>
          <w:highlight w:val="none"/>
        </w:rPr>
      </w:pPr>
    </w:p>
    <w:p w14:paraId="2D3252FC">
      <w:pPr>
        <w:pStyle w:val="3"/>
        <w:tabs>
          <w:tab w:val="left" w:pos="2497"/>
          <w:tab w:val="center" w:pos="4748"/>
          <w:tab w:val="right" w:pos="9497"/>
        </w:tabs>
        <w:spacing w:before="0" w:after="0" w:line="240" w:lineRule="auto"/>
        <w:jc w:val="center"/>
        <w:rPr>
          <w:rFonts w:hint="eastAsia" w:ascii="宋体" w:hAnsi="宋体" w:eastAsia="宋体"/>
          <w:bCs w:val="0"/>
          <w:color w:val="auto"/>
          <w:sz w:val="44"/>
          <w:szCs w:val="44"/>
          <w:highlight w:val="none"/>
        </w:rPr>
      </w:pPr>
    </w:p>
    <w:p w14:paraId="5EF0C0D7">
      <w:pPr>
        <w:pStyle w:val="3"/>
        <w:tabs>
          <w:tab w:val="left" w:pos="2497"/>
          <w:tab w:val="center" w:pos="4748"/>
          <w:tab w:val="right" w:pos="9497"/>
        </w:tabs>
        <w:spacing w:before="0" w:after="0" w:line="240" w:lineRule="auto"/>
        <w:jc w:val="center"/>
        <w:rPr>
          <w:rFonts w:hint="eastAsia" w:ascii="宋体" w:hAnsi="宋体" w:eastAsia="宋体"/>
          <w:bCs w:val="0"/>
          <w:color w:val="auto"/>
          <w:sz w:val="44"/>
          <w:szCs w:val="44"/>
          <w:highlight w:val="none"/>
        </w:rPr>
      </w:pPr>
    </w:p>
    <w:p w14:paraId="7DA07C4F">
      <w:pPr>
        <w:pStyle w:val="3"/>
        <w:tabs>
          <w:tab w:val="left" w:pos="2497"/>
          <w:tab w:val="center" w:pos="4748"/>
          <w:tab w:val="right" w:pos="9497"/>
        </w:tabs>
        <w:spacing w:before="0" w:after="0" w:line="240" w:lineRule="auto"/>
        <w:jc w:val="center"/>
        <w:rPr>
          <w:rFonts w:hint="eastAsia" w:ascii="宋体" w:hAnsi="宋体" w:eastAsia="宋体"/>
          <w:bCs w:val="0"/>
          <w:color w:val="auto"/>
          <w:sz w:val="44"/>
          <w:szCs w:val="44"/>
          <w:highlight w:val="none"/>
        </w:rPr>
      </w:pPr>
    </w:p>
    <w:p w14:paraId="6115DE87">
      <w:pPr>
        <w:pStyle w:val="4"/>
        <w:rPr>
          <w:rFonts w:hint="eastAsia" w:ascii="宋体" w:hAnsi="宋体" w:eastAsia="宋体"/>
          <w:bCs w:val="0"/>
          <w:color w:val="auto"/>
          <w:sz w:val="44"/>
          <w:szCs w:val="44"/>
          <w:highlight w:val="none"/>
        </w:rPr>
      </w:pPr>
    </w:p>
    <w:p w14:paraId="5F7633A3">
      <w:pPr>
        <w:pStyle w:val="4"/>
        <w:rPr>
          <w:rFonts w:hint="eastAsia" w:ascii="宋体" w:hAnsi="宋体" w:eastAsia="宋体"/>
          <w:bCs w:val="0"/>
          <w:color w:val="auto"/>
          <w:sz w:val="44"/>
          <w:szCs w:val="44"/>
          <w:highlight w:val="none"/>
        </w:rPr>
      </w:pPr>
    </w:p>
    <w:p w14:paraId="0A43BF02">
      <w:pPr>
        <w:pStyle w:val="4"/>
        <w:rPr>
          <w:rFonts w:hint="eastAsia" w:ascii="宋体" w:hAnsi="宋体" w:eastAsia="宋体"/>
          <w:bCs w:val="0"/>
          <w:color w:val="auto"/>
          <w:sz w:val="44"/>
          <w:szCs w:val="44"/>
          <w:highlight w:val="none"/>
        </w:rPr>
      </w:pPr>
    </w:p>
    <w:p w14:paraId="1CCC8CFB">
      <w:pPr>
        <w:pStyle w:val="4"/>
        <w:rPr>
          <w:rFonts w:hint="eastAsia" w:ascii="宋体" w:hAnsi="宋体" w:eastAsia="宋体"/>
          <w:bCs w:val="0"/>
          <w:color w:val="auto"/>
          <w:sz w:val="44"/>
          <w:szCs w:val="44"/>
          <w:highlight w:val="none"/>
        </w:rPr>
      </w:pPr>
    </w:p>
    <w:p w14:paraId="4D7C5304">
      <w:pPr>
        <w:pStyle w:val="4"/>
        <w:rPr>
          <w:rFonts w:hint="eastAsia" w:ascii="宋体" w:hAnsi="宋体" w:eastAsia="宋体"/>
          <w:bCs w:val="0"/>
          <w:color w:val="auto"/>
          <w:sz w:val="44"/>
          <w:szCs w:val="44"/>
          <w:highlight w:val="none"/>
        </w:rPr>
      </w:pPr>
    </w:p>
    <w:p w14:paraId="350C3F87">
      <w:pPr>
        <w:pStyle w:val="4"/>
        <w:rPr>
          <w:rFonts w:hint="eastAsia" w:ascii="宋体" w:hAnsi="宋体" w:eastAsia="宋体"/>
          <w:bCs w:val="0"/>
          <w:color w:val="auto"/>
          <w:sz w:val="44"/>
          <w:szCs w:val="44"/>
          <w:highlight w:val="none"/>
        </w:rPr>
      </w:pPr>
    </w:p>
    <w:p w14:paraId="2C89C3D2">
      <w:pPr>
        <w:pStyle w:val="3"/>
        <w:tabs>
          <w:tab w:val="left" w:pos="2497"/>
          <w:tab w:val="center" w:pos="4748"/>
          <w:tab w:val="right" w:pos="9497"/>
        </w:tabs>
        <w:spacing w:before="0" w:after="0" w:line="240" w:lineRule="auto"/>
        <w:jc w:val="both"/>
        <w:rPr>
          <w:rFonts w:hint="eastAsia" w:ascii="宋体" w:hAnsi="宋体" w:eastAsia="宋体"/>
          <w:bCs w:val="0"/>
          <w:color w:val="auto"/>
          <w:sz w:val="44"/>
          <w:szCs w:val="44"/>
          <w:highlight w:val="none"/>
        </w:rPr>
      </w:pPr>
    </w:p>
    <w:p w14:paraId="1CBD86A1">
      <w:pPr>
        <w:pStyle w:val="4"/>
        <w:rPr>
          <w:rFonts w:hint="eastAsia"/>
        </w:rPr>
      </w:pPr>
    </w:p>
    <w:p w14:paraId="7F1C2519">
      <w:pPr>
        <w:pStyle w:val="3"/>
        <w:tabs>
          <w:tab w:val="left" w:pos="2497"/>
          <w:tab w:val="center" w:pos="4748"/>
          <w:tab w:val="right" w:pos="9497"/>
        </w:tabs>
        <w:spacing w:before="0" w:after="0" w:line="240" w:lineRule="auto"/>
        <w:jc w:val="center"/>
        <w:rPr>
          <w:rFonts w:ascii="宋体" w:hAnsi="宋体"/>
          <w:b/>
          <w:color w:val="auto"/>
          <w:sz w:val="36"/>
          <w:szCs w:val="36"/>
          <w:highlight w:val="none"/>
        </w:rPr>
      </w:pPr>
      <w:r>
        <w:rPr>
          <w:rFonts w:hint="eastAsia" w:ascii="宋体" w:hAnsi="宋体" w:eastAsia="宋体"/>
          <w:bCs w:val="0"/>
          <w:color w:val="auto"/>
          <w:sz w:val="44"/>
          <w:szCs w:val="44"/>
          <w:highlight w:val="none"/>
        </w:rPr>
        <w:t>第</w:t>
      </w:r>
      <w:r>
        <w:rPr>
          <w:rFonts w:ascii="宋体" w:hAnsi="宋体" w:eastAsia="宋体"/>
          <w:bCs w:val="0"/>
          <w:color w:val="auto"/>
          <w:sz w:val="44"/>
          <w:szCs w:val="44"/>
          <w:highlight w:val="none"/>
        </w:rPr>
        <w:t>三</w:t>
      </w:r>
      <w:r>
        <w:rPr>
          <w:rFonts w:hint="eastAsia" w:ascii="宋体" w:hAnsi="宋体" w:eastAsia="宋体"/>
          <w:bCs w:val="0"/>
          <w:color w:val="auto"/>
          <w:sz w:val="44"/>
          <w:szCs w:val="44"/>
          <w:highlight w:val="none"/>
        </w:rPr>
        <w:t>章  投</w:t>
      </w:r>
      <w:r>
        <w:rPr>
          <w:rFonts w:ascii="宋体" w:hAnsi="宋体" w:eastAsia="宋体"/>
          <w:bCs w:val="0"/>
          <w:color w:val="auto"/>
          <w:sz w:val="44"/>
          <w:szCs w:val="44"/>
          <w:highlight w:val="none"/>
        </w:rPr>
        <w:t>标人须知</w:t>
      </w:r>
      <w:bookmarkEnd w:id="4"/>
      <w:r>
        <w:rPr>
          <w:rFonts w:hint="eastAsia" w:ascii="宋体" w:hAnsi="宋体"/>
          <w:b/>
          <w:color w:val="auto"/>
          <w:sz w:val="36"/>
          <w:szCs w:val="36"/>
          <w:highlight w:val="none"/>
        </w:rPr>
        <w:t>前附表</w:t>
      </w:r>
      <w:bookmarkEnd w:id="5"/>
      <w:bookmarkEnd w:id="6"/>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8149"/>
      </w:tblGrid>
      <w:tr w14:paraId="342A5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845AD5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8149" w:type="dxa"/>
            <w:tcBorders>
              <w:top w:val="single" w:color="auto" w:sz="4" w:space="0"/>
              <w:left w:val="single" w:color="auto" w:sz="4" w:space="0"/>
              <w:bottom w:val="single" w:color="auto" w:sz="4" w:space="0"/>
              <w:right w:val="single" w:color="auto" w:sz="4" w:space="0"/>
            </w:tcBorders>
            <w:vAlign w:val="center"/>
          </w:tcPr>
          <w:p w14:paraId="1D10BA1D">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内容、要求</w:t>
            </w:r>
          </w:p>
        </w:tc>
      </w:tr>
      <w:tr w14:paraId="3F7C5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55507B2">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8149" w:type="dxa"/>
            <w:tcBorders>
              <w:top w:val="single" w:color="auto" w:sz="4" w:space="0"/>
              <w:left w:val="single" w:color="auto" w:sz="4" w:space="0"/>
              <w:bottom w:val="single" w:color="auto" w:sz="4" w:space="0"/>
              <w:right w:val="single" w:color="auto" w:sz="4" w:space="0"/>
            </w:tcBorders>
            <w:vAlign w:val="center"/>
          </w:tcPr>
          <w:p w14:paraId="33676F5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val="en-US" w:eastAsia="zh-CN"/>
              </w:rPr>
              <w:t>港南区第二轮土地承包到期后再延长30年试点项目</w:t>
            </w:r>
          </w:p>
          <w:p w14:paraId="09E2B802">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GGZC2026-G3-030022-ARXM</w:t>
            </w:r>
          </w:p>
          <w:p w14:paraId="6696AED9">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招标人名称：</w:t>
            </w:r>
            <w:r>
              <w:rPr>
                <w:rFonts w:hint="eastAsia" w:ascii="宋体" w:hAnsi="宋体"/>
                <w:color w:val="auto"/>
                <w:szCs w:val="21"/>
                <w:highlight w:val="none"/>
                <w:lang w:eastAsia="zh-CN"/>
              </w:rPr>
              <w:t xml:space="preserve">贵港市港南区农业农村局 </w:t>
            </w:r>
          </w:p>
          <w:p w14:paraId="2820173D">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代理机构名称：</w:t>
            </w:r>
            <w:r>
              <w:rPr>
                <w:rFonts w:hint="eastAsia" w:ascii="宋体" w:hAnsi="宋体"/>
                <w:color w:val="auto"/>
                <w:szCs w:val="21"/>
                <w:highlight w:val="none"/>
                <w:lang w:eastAsia="zh-CN"/>
              </w:rPr>
              <w:t>贵港市安然项目管理有限公司</w:t>
            </w:r>
          </w:p>
          <w:p w14:paraId="4B4A8427">
            <w:pPr>
              <w:snapToGrid w:val="0"/>
              <w:spacing w:line="360" w:lineRule="auto"/>
              <w:rPr>
                <w:rFonts w:ascii="宋体" w:hAnsi="宋体"/>
                <w:color w:val="auto"/>
                <w:szCs w:val="21"/>
                <w:highlight w:val="none"/>
              </w:rPr>
            </w:pPr>
            <w:r>
              <w:rPr>
                <w:rFonts w:ascii="宋体" w:hAnsi="宋体"/>
                <w:color w:val="auto"/>
                <w:szCs w:val="21"/>
                <w:highlight w:val="none"/>
              </w:rPr>
              <w:t>资金性质：</w:t>
            </w:r>
            <w:r>
              <w:rPr>
                <w:rFonts w:hint="eastAsia" w:ascii="宋体" w:hAnsi="宋体"/>
                <w:color w:val="auto"/>
                <w:szCs w:val="21"/>
                <w:highlight w:val="none"/>
              </w:rPr>
              <w:t>财政资金</w:t>
            </w:r>
          </w:p>
          <w:p w14:paraId="6B6274D6">
            <w:pPr>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rPr>
              <w:t>预算金额：人民币</w:t>
            </w:r>
            <w:r>
              <w:rPr>
                <w:rFonts w:hint="eastAsia" w:ascii="宋体" w:hAnsi="宋体" w:cs="宋体"/>
                <w:b/>
                <w:bCs/>
                <w:color w:val="auto"/>
                <w:kern w:val="0"/>
                <w:szCs w:val="21"/>
                <w:highlight w:val="none"/>
                <w:lang w:val="en-US" w:eastAsia="zh-CN"/>
              </w:rPr>
              <w:t>叁佰贰拾捌万柒仟玖佰元整</w:t>
            </w:r>
            <w:r>
              <w:rPr>
                <w:rFonts w:hint="eastAsia" w:ascii="宋体" w:hAnsi="宋体" w:cs="宋体"/>
                <w:b/>
                <w:bCs/>
                <w:color w:val="auto"/>
                <w:kern w:val="0"/>
                <w:szCs w:val="21"/>
                <w:highlight w:val="none"/>
              </w:rPr>
              <w:t>（￥</w:t>
            </w:r>
            <w:r>
              <w:rPr>
                <w:rFonts w:hint="eastAsia" w:ascii="宋体" w:hAnsi="宋体" w:cs="宋体"/>
                <w:b/>
                <w:bCs/>
                <w:color w:val="auto"/>
                <w:kern w:val="0"/>
                <w:szCs w:val="21"/>
                <w:highlight w:val="none"/>
                <w:lang w:val="en-US" w:eastAsia="zh-CN"/>
              </w:rPr>
              <w:t>3287900.00</w:t>
            </w:r>
            <w:r>
              <w:rPr>
                <w:rFonts w:hint="eastAsia" w:ascii="宋体" w:hAnsi="宋体" w:cs="宋体"/>
                <w:b/>
                <w:bCs/>
                <w:color w:val="auto"/>
                <w:kern w:val="0"/>
                <w:szCs w:val="21"/>
                <w:highlight w:val="none"/>
              </w:rPr>
              <w:t>）</w:t>
            </w:r>
          </w:p>
          <w:p w14:paraId="74EFE480">
            <w:pPr>
              <w:widowControl/>
              <w:spacing w:before="75" w:after="75"/>
              <w:jc w:val="left"/>
              <w:rPr>
                <w:rFonts w:ascii="宋体" w:hAnsi="宋体" w:cs="宋体"/>
                <w:color w:val="auto"/>
                <w:kern w:val="0"/>
                <w:szCs w:val="21"/>
                <w:highlight w:val="none"/>
              </w:rPr>
            </w:pPr>
            <w:r>
              <w:rPr>
                <w:rFonts w:hint="eastAsia" w:ascii="宋体" w:hAnsi="宋体" w:cs="宋体"/>
                <w:b/>
                <w:bCs/>
                <w:color w:val="auto"/>
                <w:kern w:val="0"/>
                <w:szCs w:val="21"/>
                <w:highlight w:val="none"/>
              </w:rPr>
              <w:t>最高限价：</w:t>
            </w:r>
            <w:r>
              <w:rPr>
                <w:rFonts w:hint="eastAsia" w:ascii="宋体" w:hAnsi="宋体" w:cs="宋体"/>
                <w:color w:val="auto"/>
                <w:kern w:val="0"/>
                <w:szCs w:val="21"/>
                <w:highlight w:val="none"/>
              </w:rPr>
              <w:t>与预算金额一致</w:t>
            </w:r>
          </w:p>
          <w:p w14:paraId="207B5BB9">
            <w:pPr>
              <w:widowControl/>
              <w:spacing w:before="75" w:after="75"/>
              <w:jc w:val="left"/>
              <w:rPr>
                <w:rFonts w:ascii="宋体" w:hAnsi="宋体"/>
                <w:color w:val="auto"/>
                <w:highlight w:val="none"/>
              </w:rPr>
            </w:pPr>
            <w:r>
              <w:rPr>
                <w:rFonts w:hint="eastAsia" w:ascii="宋体" w:hAnsi="宋体"/>
                <w:color w:val="auto"/>
                <w:szCs w:val="21"/>
                <w:highlight w:val="none"/>
              </w:rPr>
              <w:t>投标人投标报价</w:t>
            </w:r>
            <w:r>
              <w:rPr>
                <w:rFonts w:hint="eastAsia" w:ascii="宋体" w:hAnsi="宋体" w:cs="宋体"/>
                <w:color w:val="auto"/>
                <w:szCs w:val="21"/>
                <w:highlight w:val="none"/>
              </w:rPr>
              <w:t>超出最高限价</w:t>
            </w:r>
            <w:r>
              <w:rPr>
                <w:rFonts w:hint="eastAsia" w:ascii="宋体" w:hAnsi="宋体"/>
                <w:color w:val="auto"/>
                <w:szCs w:val="21"/>
                <w:highlight w:val="none"/>
              </w:rPr>
              <w:t>的，其投标无效。</w:t>
            </w:r>
          </w:p>
        </w:tc>
      </w:tr>
      <w:tr w14:paraId="12D4D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CF9F106">
            <w:pPr>
              <w:snapToGrid w:val="0"/>
              <w:spacing w:line="400" w:lineRule="exact"/>
              <w:jc w:val="center"/>
              <w:rPr>
                <w:rFonts w:ascii="宋体" w:hAnsi="宋体"/>
                <w:color w:val="auto"/>
                <w:szCs w:val="21"/>
                <w:highlight w:val="none"/>
              </w:rPr>
            </w:pPr>
            <w:r>
              <w:rPr>
                <w:rFonts w:ascii="宋体" w:hAnsi="宋体"/>
                <w:color w:val="auto"/>
                <w:szCs w:val="21"/>
                <w:highlight w:val="none"/>
              </w:rPr>
              <w:t>2</w:t>
            </w:r>
          </w:p>
        </w:tc>
        <w:tc>
          <w:tcPr>
            <w:tcW w:w="8149" w:type="dxa"/>
            <w:tcBorders>
              <w:top w:val="single" w:color="auto" w:sz="4" w:space="0"/>
              <w:left w:val="single" w:color="auto" w:sz="4" w:space="0"/>
              <w:bottom w:val="single" w:color="auto" w:sz="4" w:space="0"/>
              <w:right w:val="single" w:color="auto" w:sz="4" w:space="0"/>
            </w:tcBorders>
            <w:vAlign w:val="center"/>
          </w:tcPr>
          <w:p w14:paraId="14BBFABD">
            <w:pPr>
              <w:spacing w:line="400" w:lineRule="exact"/>
              <w:rPr>
                <w:rFonts w:ascii="宋体" w:hAnsi="宋体"/>
                <w:b/>
                <w:color w:val="auto"/>
                <w:szCs w:val="21"/>
                <w:highlight w:val="none"/>
              </w:rPr>
            </w:pPr>
            <w:r>
              <w:rPr>
                <w:rFonts w:hint="eastAsia" w:ascii="宋体" w:hAnsi="宋体"/>
                <w:b/>
                <w:color w:val="auto"/>
                <w:szCs w:val="21"/>
                <w:highlight w:val="none"/>
              </w:rPr>
              <w:t>投标人资格要求：</w:t>
            </w:r>
          </w:p>
          <w:p w14:paraId="5062C72A">
            <w:pPr>
              <w:widowControl/>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1、满足《中华人民共和国政府采购法》第二十二条规定；</w:t>
            </w:r>
          </w:p>
          <w:p w14:paraId="045C8A83">
            <w:pPr>
              <w:widowControl/>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DB51078">
            <w:pPr>
              <w:widowControl/>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7E3514D">
            <w:pPr>
              <w:widowControl/>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4.落实政府采购政策需满足的资格要求：</w:t>
            </w:r>
            <w:r>
              <w:rPr>
                <w:rFonts w:hint="eastAsia" w:ascii="宋体" w:hAnsi="宋体" w:cs="宋体"/>
                <w:color w:val="auto"/>
                <w:kern w:val="0"/>
                <w:szCs w:val="21"/>
                <w:highlight w:val="none"/>
                <w:lang w:val="en-US" w:eastAsia="zh-CN"/>
              </w:rPr>
              <w:t>无</w:t>
            </w:r>
          </w:p>
          <w:p w14:paraId="6D843A8E">
            <w:pPr>
              <w:widowControl/>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5.本项目的特定资格要求：</w:t>
            </w:r>
            <w:r>
              <w:rPr>
                <w:rFonts w:hint="eastAsia" w:ascii="宋体" w:hAnsi="宋体" w:eastAsia="宋体" w:cs="宋体"/>
                <w:b/>
                <w:bCs/>
                <w:color w:val="auto"/>
                <w:kern w:val="0"/>
                <w:szCs w:val="21"/>
                <w:highlight w:val="none"/>
                <w:u w:val="single"/>
                <w:lang w:val="en-US" w:eastAsia="zh-CN"/>
              </w:rPr>
              <w:t>标项1，标项2：供应商应具有省级及以上测绘行政主管部门颁发的乙级或以上测绘资质。</w:t>
            </w:r>
          </w:p>
        </w:tc>
      </w:tr>
      <w:tr w14:paraId="5CD36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BA50A6E">
            <w:pPr>
              <w:snapToGrid w:val="0"/>
              <w:spacing w:line="400" w:lineRule="exact"/>
              <w:jc w:val="center"/>
              <w:rPr>
                <w:rFonts w:ascii="宋体" w:hAnsi="宋体"/>
                <w:color w:val="auto"/>
                <w:szCs w:val="21"/>
                <w:highlight w:val="none"/>
              </w:rPr>
            </w:pPr>
            <w:r>
              <w:rPr>
                <w:rFonts w:ascii="宋体" w:hAnsi="宋体"/>
                <w:color w:val="auto"/>
                <w:szCs w:val="21"/>
                <w:highlight w:val="none"/>
              </w:rPr>
              <w:t>3</w:t>
            </w:r>
          </w:p>
        </w:tc>
        <w:tc>
          <w:tcPr>
            <w:tcW w:w="8149" w:type="dxa"/>
            <w:tcBorders>
              <w:top w:val="single" w:color="auto" w:sz="4" w:space="0"/>
              <w:left w:val="single" w:color="auto" w:sz="4" w:space="0"/>
              <w:bottom w:val="single" w:color="auto" w:sz="4" w:space="0"/>
              <w:right w:val="single" w:color="auto" w:sz="4" w:space="0"/>
            </w:tcBorders>
            <w:vAlign w:val="center"/>
          </w:tcPr>
          <w:p w14:paraId="75BBABAA">
            <w:pPr>
              <w:spacing w:line="400" w:lineRule="exact"/>
              <w:rPr>
                <w:rFonts w:ascii="宋体" w:hAnsi="宋体"/>
                <w:color w:val="auto"/>
                <w:szCs w:val="21"/>
                <w:highlight w:val="none"/>
              </w:rPr>
            </w:pPr>
            <w:r>
              <w:rPr>
                <w:rFonts w:hint="eastAsia" w:ascii="宋体" w:hAnsi="宋体"/>
                <w:color w:val="auto"/>
                <w:szCs w:val="21"/>
                <w:highlight w:val="none"/>
              </w:rPr>
              <w:t>现场踏勘：不组织现场踏勘，潜在投标人可自行考察现场。</w:t>
            </w:r>
          </w:p>
        </w:tc>
      </w:tr>
      <w:tr w14:paraId="0E75E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D6A374C">
            <w:pPr>
              <w:snapToGrid w:val="0"/>
              <w:spacing w:line="400" w:lineRule="exact"/>
              <w:jc w:val="center"/>
              <w:rPr>
                <w:rFonts w:ascii="宋体" w:hAnsi="宋体"/>
                <w:color w:val="auto"/>
                <w:szCs w:val="21"/>
                <w:highlight w:val="none"/>
              </w:rPr>
            </w:pPr>
            <w:r>
              <w:rPr>
                <w:rFonts w:ascii="宋体" w:hAnsi="宋体"/>
                <w:color w:val="auto"/>
                <w:szCs w:val="21"/>
                <w:highlight w:val="none"/>
              </w:rPr>
              <w:t>4</w:t>
            </w:r>
          </w:p>
        </w:tc>
        <w:tc>
          <w:tcPr>
            <w:tcW w:w="8149" w:type="dxa"/>
            <w:tcBorders>
              <w:top w:val="single" w:color="auto" w:sz="4" w:space="0"/>
              <w:left w:val="single" w:color="auto" w:sz="4" w:space="0"/>
              <w:bottom w:val="single" w:color="auto" w:sz="4" w:space="0"/>
              <w:right w:val="single" w:color="auto" w:sz="4" w:space="0"/>
            </w:tcBorders>
          </w:tcPr>
          <w:p w14:paraId="0D139FE4">
            <w:pPr>
              <w:snapToGrid w:val="0"/>
              <w:spacing w:line="360" w:lineRule="exact"/>
              <w:jc w:val="left"/>
              <w:rPr>
                <w:rFonts w:ascii="宋体" w:hAnsi="宋体"/>
                <w:color w:val="auto"/>
                <w:szCs w:val="21"/>
                <w:highlight w:val="none"/>
              </w:rPr>
            </w:pPr>
            <w:r>
              <w:rPr>
                <w:rFonts w:hint="eastAsia" w:ascii="宋体" w:hAnsi="宋体"/>
                <w:b/>
                <w:color w:val="auto"/>
                <w:szCs w:val="21"/>
                <w:highlight w:val="none"/>
              </w:rPr>
              <w:t>答疑与澄清：</w:t>
            </w:r>
          </w:p>
          <w:p w14:paraId="4490B83A">
            <w:pPr>
              <w:snapToGrid w:val="0"/>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79024B1E">
            <w:pPr>
              <w:snapToGrid w:val="0"/>
              <w:spacing w:line="360" w:lineRule="exact"/>
              <w:ind w:firstLine="144" w:firstLineChars="69"/>
              <w:jc w:val="left"/>
              <w:rPr>
                <w:rFonts w:ascii="宋体" w:hAnsi="宋体"/>
                <w:color w:val="auto"/>
                <w:szCs w:val="21"/>
                <w:highlight w:val="none"/>
              </w:rPr>
            </w:pPr>
            <w:r>
              <w:rPr>
                <w:rFonts w:ascii="宋体" w:hAnsi="宋体"/>
                <w:color w:val="auto"/>
                <w:szCs w:val="21"/>
                <w:highlight w:val="none"/>
              </w:rPr>
              <w:t>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05749EE">
            <w:pPr>
              <w:snapToGrid w:val="0"/>
              <w:spacing w:line="360" w:lineRule="exact"/>
              <w:ind w:firstLine="144" w:firstLineChars="69"/>
              <w:jc w:val="left"/>
              <w:rPr>
                <w:rFonts w:ascii="宋体" w:hAnsi="宋体"/>
                <w:color w:val="auto"/>
                <w:szCs w:val="21"/>
                <w:highlight w:val="none"/>
              </w:rPr>
            </w:pPr>
            <w:r>
              <w:rPr>
                <w:rFonts w:ascii="宋体" w:hAnsi="宋体"/>
                <w:color w:val="auto"/>
                <w:szCs w:val="21"/>
                <w:highlight w:val="none"/>
              </w:rPr>
              <w:t>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tc>
      </w:tr>
      <w:tr w14:paraId="74F40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DE5DF9">
            <w:pPr>
              <w:snapToGrid w:val="0"/>
              <w:spacing w:line="400" w:lineRule="exact"/>
              <w:jc w:val="center"/>
              <w:rPr>
                <w:rFonts w:ascii="宋体" w:hAnsi="宋体"/>
                <w:color w:val="auto"/>
                <w:szCs w:val="21"/>
                <w:highlight w:val="none"/>
              </w:rPr>
            </w:pPr>
            <w:r>
              <w:rPr>
                <w:rFonts w:ascii="宋体" w:hAnsi="宋体"/>
                <w:color w:val="auto"/>
                <w:szCs w:val="21"/>
                <w:highlight w:val="none"/>
              </w:rPr>
              <w:t>5</w:t>
            </w:r>
          </w:p>
        </w:tc>
        <w:tc>
          <w:tcPr>
            <w:tcW w:w="8149" w:type="dxa"/>
            <w:tcBorders>
              <w:top w:val="single" w:color="auto" w:sz="4" w:space="0"/>
              <w:left w:val="single" w:color="auto" w:sz="4" w:space="0"/>
              <w:bottom w:val="single" w:color="auto" w:sz="4" w:space="0"/>
              <w:right w:val="single" w:color="auto" w:sz="4" w:space="0"/>
            </w:tcBorders>
            <w:vAlign w:val="center"/>
          </w:tcPr>
          <w:p w14:paraId="64FF3E78">
            <w:pPr>
              <w:snapToGrid w:val="0"/>
              <w:spacing w:line="360" w:lineRule="exact"/>
              <w:rPr>
                <w:rFonts w:ascii="宋体" w:hAnsi="宋体"/>
                <w:b/>
                <w:color w:val="auto"/>
                <w:szCs w:val="21"/>
                <w:highlight w:val="none"/>
              </w:rPr>
            </w:pPr>
            <w:r>
              <w:rPr>
                <w:rFonts w:hint="eastAsia" w:ascii="宋体" w:hAnsi="宋体"/>
                <w:b/>
                <w:color w:val="auto"/>
                <w:szCs w:val="21"/>
                <w:highlight w:val="none"/>
              </w:rPr>
              <w:t>投标报价及费用：</w:t>
            </w:r>
          </w:p>
          <w:p w14:paraId="4AF8AFD8">
            <w:pPr>
              <w:snapToGrid w:val="0"/>
              <w:spacing w:line="300" w:lineRule="exact"/>
              <w:jc w:val="left"/>
              <w:rPr>
                <w:rFonts w:ascii="宋体" w:hAnsi="宋体"/>
                <w:color w:val="auto"/>
                <w:szCs w:val="21"/>
                <w:highlight w:val="none"/>
              </w:rPr>
            </w:pPr>
            <w:r>
              <w:rPr>
                <w:rFonts w:hint="eastAsia" w:ascii="宋体" w:hAnsi="宋体"/>
                <w:color w:val="auto"/>
                <w:szCs w:val="21"/>
                <w:highlight w:val="none"/>
              </w:rPr>
              <w:t>1、本项目投标应以人民币报价；</w:t>
            </w:r>
          </w:p>
          <w:p w14:paraId="1BBC1D55">
            <w:pPr>
              <w:snapToGrid w:val="0"/>
              <w:spacing w:line="300" w:lineRule="exact"/>
              <w:jc w:val="left"/>
              <w:rPr>
                <w:rFonts w:ascii="宋体" w:hAnsi="宋体"/>
                <w:bCs/>
                <w:color w:val="auto"/>
                <w:szCs w:val="21"/>
                <w:highlight w:val="none"/>
              </w:rPr>
            </w:pPr>
            <w:r>
              <w:rPr>
                <w:rFonts w:hint="eastAsia" w:ascii="宋体" w:hAnsi="宋体"/>
                <w:color w:val="auto"/>
                <w:szCs w:val="21"/>
                <w:highlight w:val="none"/>
              </w:rPr>
              <w:t>2、投标人须就《招标项目采购需求》中的全部货物和服务内容作完整唯一报价</w:t>
            </w:r>
            <w:r>
              <w:rPr>
                <w:rFonts w:hint="eastAsia" w:ascii="宋体" w:hAnsi="宋体"/>
                <w:bCs/>
                <w:color w:val="auto"/>
                <w:szCs w:val="21"/>
                <w:highlight w:val="none"/>
              </w:rPr>
              <w:t>；</w:t>
            </w:r>
          </w:p>
          <w:p w14:paraId="6D7CC251">
            <w:pPr>
              <w:snapToGrid w:val="0"/>
              <w:spacing w:line="300" w:lineRule="exact"/>
              <w:jc w:val="left"/>
              <w:rPr>
                <w:rFonts w:ascii="宋体" w:hAnsi="宋体"/>
                <w:color w:val="auto"/>
                <w:szCs w:val="21"/>
                <w:highlight w:val="none"/>
              </w:rPr>
            </w:pPr>
            <w:r>
              <w:rPr>
                <w:rFonts w:hint="eastAsia" w:ascii="宋体" w:hAnsi="宋体"/>
                <w:color w:val="auto"/>
                <w:szCs w:val="21"/>
                <w:highlight w:val="none"/>
              </w:rPr>
              <w:t>3、不论投标结果如何，投标人均应自行承担所有与投标有关的全部费用；</w:t>
            </w:r>
          </w:p>
          <w:p w14:paraId="735DC536">
            <w:pPr>
              <w:spacing w:line="400" w:lineRule="exact"/>
              <w:rPr>
                <w:rFonts w:ascii="宋体" w:hAnsi="宋体"/>
                <w:b/>
                <w:color w:val="auto"/>
                <w:sz w:val="32"/>
                <w:szCs w:val="32"/>
                <w:highlight w:val="none"/>
              </w:rPr>
            </w:pPr>
            <w:r>
              <w:rPr>
                <w:rFonts w:ascii="宋体" w:hAnsi="宋体"/>
                <w:color w:val="auto"/>
                <w:szCs w:val="21"/>
                <w:highlight w:val="none"/>
              </w:rPr>
              <w:t>4</w:t>
            </w:r>
            <w:r>
              <w:rPr>
                <w:rFonts w:hint="eastAsia" w:ascii="宋体" w:hAnsi="宋体"/>
                <w:color w:val="auto"/>
                <w:szCs w:val="21"/>
                <w:highlight w:val="none"/>
              </w:rPr>
              <w:t>、本</w:t>
            </w:r>
            <w:r>
              <w:rPr>
                <w:rFonts w:ascii="宋体" w:hAnsi="宋体"/>
                <w:color w:val="auto"/>
                <w:szCs w:val="21"/>
                <w:highlight w:val="none"/>
              </w:rPr>
              <w:t>项目招标</w:t>
            </w:r>
            <w:r>
              <w:rPr>
                <w:rFonts w:hint="eastAsia" w:ascii="宋体" w:hAnsi="宋体"/>
                <w:color w:val="auto"/>
                <w:szCs w:val="21"/>
                <w:highlight w:val="none"/>
              </w:rPr>
              <w:t>代理服务费按国家发展改革委《关于进一步放开建设项目专业服务价格的通知》发改价格〔2015〕299 号文件规定收取</w:t>
            </w:r>
            <w:r>
              <w:rPr>
                <w:rFonts w:hint="eastAsia" w:ascii="宋体" w:hAnsi="宋体"/>
                <w:color w:val="auto"/>
                <w:szCs w:val="21"/>
                <w:highlight w:val="none"/>
                <w:lang w:eastAsia="zh-CN"/>
              </w:rPr>
              <w:t>，</w:t>
            </w:r>
            <w:r>
              <w:rPr>
                <w:rFonts w:hint="eastAsia" w:ascii="宋体" w:hAnsi="宋体" w:cs="宋体"/>
                <w:bCs/>
                <w:color w:val="auto"/>
                <w:kern w:val="0"/>
                <w:szCs w:val="21"/>
                <w:highlight w:val="none"/>
              </w:rPr>
              <w:t>由</w:t>
            </w:r>
            <w:r>
              <w:rPr>
                <w:rFonts w:hint="eastAsia" w:ascii="宋体" w:hAnsi="宋体" w:cs="宋体"/>
                <w:bCs/>
                <w:color w:val="auto"/>
                <w:kern w:val="0"/>
                <w:szCs w:val="21"/>
                <w:highlight w:val="none"/>
                <w:lang w:val="en-US" w:eastAsia="zh-CN"/>
              </w:rPr>
              <w:t>中标</w:t>
            </w:r>
            <w:r>
              <w:rPr>
                <w:rFonts w:hint="eastAsia" w:ascii="宋体" w:hAnsi="宋体" w:cs="宋体"/>
                <w:bCs/>
                <w:color w:val="auto"/>
                <w:kern w:val="0"/>
                <w:szCs w:val="21"/>
                <w:highlight w:val="none"/>
              </w:rPr>
              <w:t>人向采购代理机构支付</w:t>
            </w:r>
            <w:r>
              <w:rPr>
                <w:rFonts w:hint="eastAsia" w:ascii="宋体" w:hAnsi="宋体"/>
                <w:color w:val="auto"/>
                <w:szCs w:val="21"/>
                <w:highlight w:val="none"/>
              </w:rPr>
              <w:t>。</w:t>
            </w:r>
          </w:p>
          <w:p w14:paraId="33D9B81B">
            <w:pPr>
              <w:spacing w:line="360" w:lineRule="exact"/>
              <w:rPr>
                <w:rFonts w:ascii="宋体" w:hAnsi="宋体"/>
                <w:color w:val="auto"/>
                <w:szCs w:val="21"/>
                <w:highlight w:val="none"/>
              </w:rPr>
            </w:pPr>
            <w:r>
              <w:rPr>
                <w:rFonts w:hint="eastAsia" w:ascii="宋体" w:hAnsi="宋体"/>
                <w:color w:val="auto"/>
                <w:szCs w:val="21"/>
                <w:highlight w:val="none"/>
              </w:rPr>
              <w:t>招标代理服务费缴纳账户：</w:t>
            </w:r>
          </w:p>
          <w:p w14:paraId="2EFEFDE7">
            <w:pPr>
              <w:snapToGrid w:val="0"/>
              <w:spacing w:line="400" w:lineRule="exact"/>
              <w:rPr>
                <w:rFonts w:hint="eastAsia" w:ascii="宋体" w:hAnsi="宋体"/>
                <w:color w:val="auto"/>
                <w:szCs w:val="21"/>
                <w:highlight w:val="none"/>
                <w:lang w:eastAsia="zh-CN"/>
              </w:rPr>
            </w:pPr>
            <w:r>
              <w:rPr>
                <w:rFonts w:hint="eastAsia" w:ascii="宋体" w:hAnsi="宋体"/>
                <w:color w:val="auto"/>
                <w:szCs w:val="21"/>
                <w:highlight w:val="none"/>
              </w:rPr>
              <w:t>开户银行：</w:t>
            </w:r>
            <w:r>
              <w:rPr>
                <w:rFonts w:hint="eastAsia" w:ascii="宋体" w:hAnsi="宋体"/>
                <w:color w:val="auto"/>
                <w:szCs w:val="21"/>
                <w:highlight w:val="none"/>
                <w:lang w:eastAsia="zh-CN"/>
              </w:rPr>
              <w:t>贵港市区农村信用合作联社西郊分区</w:t>
            </w:r>
          </w:p>
          <w:p w14:paraId="58EA8AC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账户名称：贵港市安然项目管理有限公司 </w:t>
            </w:r>
          </w:p>
          <w:p w14:paraId="4E25460D">
            <w:pPr>
              <w:snapToGrid w:val="0"/>
              <w:spacing w:line="400" w:lineRule="exact"/>
              <w:rPr>
                <w:rFonts w:ascii="宋体" w:hAnsi="宋体"/>
                <w:color w:val="auto"/>
                <w:szCs w:val="21"/>
                <w:highlight w:val="none"/>
              </w:rPr>
            </w:pPr>
            <w:r>
              <w:rPr>
                <w:rFonts w:hint="eastAsia" w:ascii="宋体" w:hAnsi="宋体"/>
                <w:color w:val="auto"/>
                <w:szCs w:val="21"/>
                <w:highlight w:val="none"/>
              </w:rPr>
              <w:t>银行账号：903312010107472899</w:t>
            </w:r>
          </w:p>
        </w:tc>
      </w:tr>
      <w:tr w14:paraId="44C93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192B4C1">
            <w:pPr>
              <w:snapToGrid w:val="0"/>
              <w:spacing w:line="400" w:lineRule="exact"/>
              <w:jc w:val="center"/>
              <w:rPr>
                <w:rFonts w:ascii="宋体" w:hAnsi="宋体"/>
                <w:color w:val="auto"/>
                <w:szCs w:val="21"/>
                <w:highlight w:val="none"/>
              </w:rPr>
            </w:pPr>
            <w:r>
              <w:rPr>
                <w:rFonts w:ascii="宋体" w:hAnsi="宋体"/>
                <w:color w:val="auto"/>
                <w:szCs w:val="21"/>
                <w:highlight w:val="none"/>
              </w:rPr>
              <w:t>6</w:t>
            </w:r>
          </w:p>
        </w:tc>
        <w:tc>
          <w:tcPr>
            <w:tcW w:w="8149" w:type="dxa"/>
            <w:tcBorders>
              <w:top w:val="single" w:color="auto" w:sz="4" w:space="0"/>
              <w:left w:val="single" w:color="auto" w:sz="4" w:space="0"/>
              <w:bottom w:val="single" w:color="auto" w:sz="4" w:space="0"/>
              <w:right w:val="single" w:color="auto" w:sz="4" w:space="0"/>
            </w:tcBorders>
            <w:vAlign w:val="center"/>
          </w:tcPr>
          <w:p w14:paraId="0F0E1307">
            <w:pPr>
              <w:snapToGrid w:val="0"/>
              <w:spacing w:line="400" w:lineRule="exact"/>
              <w:rPr>
                <w:rFonts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olor w:val="auto"/>
                <w:szCs w:val="21"/>
                <w:highlight w:val="none"/>
                <w:u w:val="single"/>
              </w:rPr>
              <w:t>90</w:t>
            </w:r>
            <w:r>
              <w:rPr>
                <w:rFonts w:hint="eastAsia" w:ascii="宋体" w:hAnsi="宋体"/>
                <w:color w:val="auto"/>
                <w:szCs w:val="21"/>
                <w:highlight w:val="none"/>
              </w:rPr>
              <w:t>天</w:t>
            </w:r>
          </w:p>
        </w:tc>
      </w:tr>
      <w:tr w14:paraId="392D3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A5CF81">
            <w:pPr>
              <w:snapToGrid w:val="0"/>
              <w:spacing w:line="400" w:lineRule="exact"/>
              <w:jc w:val="center"/>
              <w:rPr>
                <w:rFonts w:ascii="宋体" w:hAnsi="宋体"/>
                <w:color w:val="auto"/>
                <w:szCs w:val="21"/>
                <w:highlight w:val="none"/>
              </w:rPr>
            </w:pPr>
            <w:r>
              <w:rPr>
                <w:rFonts w:ascii="宋体" w:hAnsi="宋体"/>
                <w:color w:val="auto"/>
                <w:szCs w:val="21"/>
                <w:highlight w:val="none"/>
              </w:rPr>
              <w:t>7</w:t>
            </w:r>
          </w:p>
        </w:tc>
        <w:tc>
          <w:tcPr>
            <w:tcW w:w="8149" w:type="dxa"/>
            <w:tcBorders>
              <w:top w:val="single" w:color="auto" w:sz="4" w:space="0"/>
              <w:left w:val="single" w:color="auto" w:sz="4" w:space="0"/>
              <w:bottom w:val="single" w:color="auto" w:sz="4" w:space="0"/>
              <w:right w:val="single" w:color="auto" w:sz="4" w:space="0"/>
            </w:tcBorders>
            <w:vAlign w:val="center"/>
          </w:tcPr>
          <w:p w14:paraId="68DFEFAD">
            <w:pPr>
              <w:snapToGrid w:val="0"/>
              <w:spacing w:line="400" w:lineRule="exact"/>
              <w:ind w:firstLine="33" w:firstLineChars="16"/>
              <w:rPr>
                <w:rFonts w:ascii="宋体" w:hAnsi="宋体"/>
                <w:color w:val="auto"/>
                <w:szCs w:val="21"/>
                <w:highlight w:val="none"/>
              </w:rPr>
            </w:pPr>
            <w:r>
              <w:rPr>
                <w:rFonts w:hint="eastAsia" w:ascii="宋体" w:hAnsi="宋体"/>
                <w:color w:val="auto"/>
                <w:szCs w:val="21"/>
                <w:highlight w:val="none"/>
              </w:rPr>
              <w:t>投标保证金（人民币）：本项目免收投标保证金</w:t>
            </w:r>
            <w:r>
              <w:rPr>
                <w:rFonts w:hint="eastAsia" w:ascii="宋体" w:hAnsi="宋体" w:cs="宋体"/>
                <w:color w:val="auto"/>
                <w:szCs w:val="21"/>
                <w:highlight w:val="none"/>
              </w:rPr>
              <w:t>。</w:t>
            </w:r>
          </w:p>
        </w:tc>
      </w:tr>
      <w:tr w14:paraId="44D8C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58C650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7.1</w:t>
            </w:r>
          </w:p>
        </w:tc>
        <w:tc>
          <w:tcPr>
            <w:tcW w:w="8149" w:type="dxa"/>
            <w:tcBorders>
              <w:top w:val="single" w:color="auto" w:sz="4" w:space="0"/>
              <w:left w:val="single" w:color="auto" w:sz="4" w:space="0"/>
              <w:bottom w:val="single" w:color="auto" w:sz="4" w:space="0"/>
              <w:right w:val="single" w:color="auto" w:sz="4" w:space="0"/>
            </w:tcBorders>
            <w:vAlign w:val="center"/>
          </w:tcPr>
          <w:p w14:paraId="7CDE98EC">
            <w:pPr>
              <w:snapToGrid w:val="0"/>
              <w:spacing w:line="400" w:lineRule="exact"/>
              <w:ind w:firstLine="34" w:firstLineChars="16"/>
              <w:rPr>
                <w:rFonts w:hint="default" w:ascii="宋体" w:hAnsi="宋体" w:eastAsia="宋体"/>
                <w:color w:val="auto"/>
                <w:szCs w:val="21"/>
                <w:highlight w:val="none"/>
                <w:lang w:val="en-US" w:eastAsia="zh-CN"/>
              </w:rPr>
            </w:pPr>
            <w:r>
              <w:rPr>
                <w:rFonts w:hint="eastAsia" w:ascii="宋体" w:hAnsi="宋体"/>
                <w:b/>
                <w:bCs/>
                <w:color w:val="auto"/>
                <w:szCs w:val="21"/>
                <w:highlight w:val="none"/>
              </w:rPr>
              <w:t>本项目所属行业：物业管理</w:t>
            </w:r>
          </w:p>
        </w:tc>
      </w:tr>
      <w:tr w14:paraId="3F95D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10A8B4C">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8</w:t>
            </w:r>
          </w:p>
        </w:tc>
        <w:tc>
          <w:tcPr>
            <w:tcW w:w="8149" w:type="dxa"/>
            <w:tcBorders>
              <w:top w:val="single" w:color="auto" w:sz="4" w:space="0"/>
              <w:left w:val="single" w:color="auto" w:sz="4" w:space="0"/>
              <w:bottom w:val="single" w:color="auto" w:sz="4" w:space="0"/>
              <w:right w:val="single" w:color="auto" w:sz="4" w:space="0"/>
            </w:tcBorders>
            <w:vAlign w:val="center"/>
          </w:tcPr>
          <w:p w14:paraId="54F04896">
            <w:pPr>
              <w:snapToGrid w:val="0"/>
              <w:spacing w:line="400" w:lineRule="exact"/>
              <w:rPr>
                <w:rFonts w:ascii="宋体" w:hAnsi="宋体"/>
                <w:color w:val="auto"/>
                <w:szCs w:val="21"/>
                <w:highlight w:val="none"/>
              </w:rPr>
            </w:pPr>
            <w:r>
              <w:rPr>
                <w:rFonts w:hint="eastAsia" w:ascii="宋体" w:hAnsi="宋体"/>
                <w:color w:val="auto"/>
                <w:highlight w:val="none"/>
              </w:rPr>
              <w:t>投标文件</w:t>
            </w:r>
            <w:r>
              <w:rPr>
                <w:rFonts w:ascii="宋体" w:hAnsi="宋体"/>
                <w:color w:val="auto"/>
                <w:highlight w:val="none"/>
              </w:rPr>
              <w:t>签字和（或）盖章要求</w:t>
            </w:r>
            <w:r>
              <w:rPr>
                <w:rFonts w:hint="eastAsia" w:ascii="宋体" w:hAnsi="宋体"/>
                <w:color w:val="auto"/>
                <w:highlight w:val="none"/>
              </w:rPr>
              <w:t>：</w:t>
            </w:r>
            <w:r>
              <w:rPr>
                <w:rFonts w:hint="eastAsia" w:ascii="宋体" w:hAnsi="宋体"/>
                <w:color w:val="auto"/>
                <w:szCs w:val="21"/>
                <w:highlight w:val="none"/>
              </w:rPr>
              <w:t>投标文件须由投标人在规定位置由法定代表人或法定代表人的授权委托人签署</w:t>
            </w:r>
            <w:r>
              <w:rPr>
                <w:rFonts w:ascii="宋体" w:hAnsi="宋体"/>
                <w:color w:val="auto"/>
                <w:szCs w:val="21"/>
                <w:highlight w:val="none"/>
              </w:rPr>
              <w:t>并加盖投标人</w:t>
            </w:r>
            <w:r>
              <w:rPr>
                <w:rFonts w:hint="eastAsia" w:ascii="宋体" w:hAnsi="宋体"/>
                <w:color w:val="auto"/>
                <w:szCs w:val="21"/>
                <w:highlight w:val="none"/>
              </w:rPr>
              <w:t>法人</w:t>
            </w:r>
            <w:r>
              <w:rPr>
                <w:rFonts w:ascii="宋体" w:hAnsi="宋体"/>
                <w:color w:val="auto"/>
                <w:szCs w:val="21"/>
                <w:highlight w:val="none"/>
              </w:rPr>
              <w:t>单位公章</w:t>
            </w:r>
            <w:r>
              <w:rPr>
                <w:rFonts w:hint="eastAsia" w:ascii="宋体" w:hAnsi="宋体"/>
                <w:color w:val="auto"/>
                <w:szCs w:val="21"/>
                <w:highlight w:val="none"/>
              </w:rPr>
              <w:t>（含电子印章），投标人应写全称。由</w:t>
            </w:r>
            <w:r>
              <w:rPr>
                <w:rFonts w:ascii="宋体" w:hAnsi="宋体"/>
                <w:color w:val="auto"/>
                <w:szCs w:val="21"/>
                <w:highlight w:val="none"/>
              </w:rPr>
              <w:t>委托代理人签字的，投标文件应附法定代表人签署的授权委托书。</w:t>
            </w:r>
            <w:r>
              <w:rPr>
                <w:rFonts w:hint="eastAsia" w:ascii="宋体" w:hAnsi="宋体"/>
                <w:color w:val="auto"/>
                <w:szCs w:val="21"/>
                <w:highlight w:val="none"/>
              </w:rPr>
              <w:t>投标文件不按规定签字和（或）盖章的，其投标无效</w:t>
            </w:r>
            <w:r>
              <w:rPr>
                <w:rFonts w:hint="eastAsia" w:ascii="宋体" w:hAnsi="宋体"/>
                <w:color w:val="auto"/>
                <w:highlight w:val="none"/>
              </w:rPr>
              <w:t>。</w:t>
            </w:r>
          </w:p>
        </w:tc>
      </w:tr>
      <w:tr w14:paraId="50045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03CBDBD">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9</w:t>
            </w:r>
          </w:p>
        </w:tc>
        <w:tc>
          <w:tcPr>
            <w:tcW w:w="8149" w:type="dxa"/>
            <w:tcBorders>
              <w:top w:val="single" w:color="auto" w:sz="4" w:space="0"/>
              <w:left w:val="single" w:color="auto" w:sz="4" w:space="0"/>
              <w:bottom w:val="single" w:color="auto" w:sz="4" w:space="0"/>
              <w:right w:val="single" w:color="auto" w:sz="4" w:space="0"/>
            </w:tcBorders>
            <w:vAlign w:val="center"/>
          </w:tcPr>
          <w:p w14:paraId="77879A9B">
            <w:pPr>
              <w:pStyle w:val="29"/>
              <w:snapToGrid w:val="0"/>
              <w:spacing w:line="440" w:lineRule="exact"/>
              <w:rPr>
                <w:rFonts w:hAnsi="宋体"/>
                <w:color w:val="auto"/>
                <w:highlight w:val="none"/>
              </w:rPr>
            </w:pPr>
            <w:r>
              <w:rPr>
                <w:rFonts w:hAnsi="宋体"/>
                <w:color w:val="auto"/>
                <w:highlight w:val="none"/>
              </w:rPr>
              <w:t>投标文件份数</w:t>
            </w:r>
            <w:r>
              <w:rPr>
                <w:rFonts w:hint="eastAsia" w:hAnsi="宋体"/>
                <w:color w:val="auto"/>
                <w:highlight w:val="none"/>
              </w:rPr>
              <w:t>：电子投标</w:t>
            </w:r>
            <w:r>
              <w:rPr>
                <w:rFonts w:hAnsi="宋体"/>
                <w:color w:val="auto"/>
                <w:highlight w:val="none"/>
              </w:rPr>
              <w:t>文件</w:t>
            </w:r>
            <w:r>
              <w:rPr>
                <w:rFonts w:hint="eastAsia" w:hAnsi="宋体"/>
                <w:color w:val="auto"/>
                <w:highlight w:val="none"/>
              </w:rPr>
              <w:t>1份。</w:t>
            </w:r>
          </w:p>
        </w:tc>
      </w:tr>
      <w:tr w14:paraId="6CB25A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0D43231">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p>
        </w:tc>
        <w:tc>
          <w:tcPr>
            <w:tcW w:w="8149" w:type="dxa"/>
            <w:tcBorders>
              <w:top w:val="single" w:color="auto" w:sz="4" w:space="0"/>
              <w:left w:val="single" w:color="auto" w:sz="4" w:space="0"/>
              <w:bottom w:val="single" w:color="auto" w:sz="4" w:space="0"/>
              <w:right w:val="single" w:color="auto" w:sz="4" w:space="0"/>
            </w:tcBorders>
            <w:vAlign w:val="center"/>
          </w:tcPr>
          <w:p w14:paraId="4B48D7BA">
            <w:pPr>
              <w:snapToGrid w:val="0"/>
              <w:spacing w:line="400" w:lineRule="exact"/>
              <w:rPr>
                <w:rFonts w:ascii="宋体" w:hAnsi="宋体"/>
                <w:color w:val="auto"/>
                <w:szCs w:val="21"/>
                <w:highlight w:val="none"/>
              </w:rPr>
            </w:pPr>
            <w:r>
              <w:rPr>
                <w:rFonts w:hint="eastAsia" w:ascii="宋体" w:hAnsi="宋体"/>
                <w:color w:val="auto"/>
                <w:szCs w:val="21"/>
                <w:highlight w:val="none"/>
              </w:rPr>
              <w:t>电子投标</w:t>
            </w:r>
            <w:r>
              <w:rPr>
                <w:rFonts w:ascii="宋体" w:hAnsi="宋体"/>
                <w:color w:val="auto"/>
                <w:szCs w:val="21"/>
                <w:highlight w:val="none"/>
              </w:rPr>
              <w:t>文件递交截止时间：</w:t>
            </w:r>
            <w:r>
              <w:rPr>
                <w:rFonts w:hint="eastAsia" w:ascii="宋体" w:hAnsi="宋体"/>
                <w:b/>
                <w:bCs/>
                <w:color w:val="auto"/>
                <w:szCs w:val="21"/>
                <w:highlight w:val="none"/>
                <w:u w:val="single"/>
                <w:lang w:eastAsia="zh-CN"/>
              </w:rPr>
              <w:t>2026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5</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21</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09</w:t>
            </w:r>
            <w:r>
              <w:rPr>
                <w:rFonts w:ascii="宋体" w:hAnsi="宋体"/>
                <w:b/>
                <w:bCs/>
                <w:color w:val="auto"/>
                <w:szCs w:val="21"/>
                <w:highlight w:val="none"/>
                <w:u w:val="single"/>
              </w:rPr>
              <w:t>点</w:t>
            </w:r>
            <w:r>
              <w:rPr>
                <w:rFonts w:hint="eastAsia" w:ascii="宋体" w:hAnsi="宋体"/>
                <w:b/>
                <w:bCs/>
                <w:color w:val="auto"/>
                <w:szCs w:val="21"/>
                <w:highlight w:val="none"/>
                <w:u w:val="single"/>
                <w:lang w:val="en-US" w:eastAsia="zh-CN"/>
              </w:rPr>
              <w:t>00</w:t>
            </w:r>
            <w:r>
              <w:rPr>
                <w:rFonts w:ascii="宋体" w:hAnsi="宋体"/>
                <w:b/>
                <w:bCs/>
                <w:color w:val="auto"/>
                <w:szCs w:val="21"/>
                <w:highlight w:val="none"/>
                <w:u w:val="single"/>
              </w:rPr>
              <w:t>分</w:t>
            </w:r>
            <w:r>
              <w:rPr>
                <w:rFonts w:hint="eastAsia" w:ascii="宋体" w:hAnsi="宋体"/>
                <w:color w:val="auto"/>
                <w:szCs w:val="21"/>
                <w:highlight w:val="none"/>
              </w:rPr>
              <w:t>之前将电子投标文件上传到广西政府采购云平台。应按照本项目公开招标文件和广西政府采购云平台的要求编制、加密传输电子投标文件。投标人在使用系统进行投标的过程中遇到涉及平台使用的任何问题，可致电广西政府采购云平台技术支持热线咨询，联系方式：95763。</w:t>
            </w:r>
          </w:p>
        </w:tc>
      </w:tr>
      <w:tr w14:paraId="6F472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2EAA2A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p>
        </w:tc>
        <w:tc>
          <w:tcPr>
            <w:tcW w:w="8149" w:type="dxa"/>
            <w:tcBorders>
              <w:top w:val="single" w:color="auto" w:sz="4" w:space="0"/>
              <w:left w:val="single" w:color="auto" w:sz="4" w:space="0"/>
              <w:bottom w:val="single" w:color="auto" w:sz="4" w:space="0"/>
              <w:right w:val="single" w:color="auto" w:sz="4" w:space="0"/>
            </w:tcBorders>
            <w:vAlign w:val="center"/>
          </w:tcPr>
          <w:p w14:paraId="6FF41BB5">
            <w:pPr>
              <w:snapToGrid w:val="0"/>
              <w:spacing w:line="400" w:lineRule="exact"/>
              <w:rPr>
                <w:rFonts w:ascii="宋体" w:hAnsi="宋体"/>
                <w:color w:val="auto"/>
                <w:szCs w:val="21"/>
                <w:highlight w:val="none"/>
              </w:rPr>
            </w:pPr>
            <w:r>
              <w:rPr>
                <w:rFonts w:ascii="宋体" w:hAnsi="宋体"/>
                <w:color w:val="auto"/>
                <w:highlight w:val="none"/>
              </w:rPr>
              <w:t>是否退还投标文件</w:t>
            </w:r>
            <w:r>
              <w:rPr>
                <w:rFonts w:hint="eastAsia" w:ascii="宋体" w:hAnsi="宋体"/>
                <w:color w:val="auto"/>
                <w:highlight w:val="none"/>
              </w:rPr>
              <w:t>：否</w:t>
            </w:r>
          </w:p>
        </w:tc>
      </w:tr>
      <w:tr w14:paraId="69501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5B43B5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p>
        </w:tc>
        <w:tc>
          <w:tcPr>
            <w:tcW w:w="8149" w:type="dxa"/>
            <w:tcBorders>
              <w:top w:val="single" w:color="auto" w:sz="4" w:space="0"/>
              <w:left w:val="single" w:color="auto" w:sz="4" w:space="0"/>
              <w:bottom w:val="single" w:color="auto" w:sz="4" w:space="0"/>
              <w:right w:val="single" w:color="auto" w:sz="4" w:space="0"/>
            </w:tcBorders>
            <w:vAlign w:val="center"/>
          </w:tcPr>
          <w:p w14:paraId="37A08F6F">
            <w:pPr>
              <w:snapToGrid w:val="0"/>
              <w:spacing w:line="400" w:lineRule="exact"/>
              <w:rPr>
                <w:rFonts w:ascii="宋体" w:hAnsi="宋体"/>
                <w:b/>
                <w:bCs/>
                <w:color w:val="auto"/>
                <w:szCs w:val="21"/>
                <w:highlight w:val="none"/>
                <w:u w:val="single"/>
              </w:rPr>
            </w:pPr>
            <w:r>
              <w:rPr>
                <w:rFonts w:hint="eastAsia" w:ascii="宋体" w:hAnsi="宋体"/>
                <w:color w:val="auto"/>
                <w:szCs w:val="21"/>
                <w:highlight w:val="none"/>
              </w:rPr>
              <w:t>开标时间：</w:t>
            </w:r>
            <w:r>
              <w:rPr>
                <w:rFonts w:hint="eastAsia" w:ascii="宋体" w:hAnsi="宋体"/>
                <w:b/>
                <w:bCs/>
                <w:color w:val="auto"/>
                <w:szCs w:val="21"/>
                <w:highlight w:val="none"/>
                <w:u w:val="single"/>
                <w:lang w:eastAsia="zh-CN"/>
              </w:rPr>
              <w:t>2026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5</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21</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09</w:t>
            </w:r>
            <w:r>
              <w:rPr>
                <w:rFonts w:ascii="宋体" w:hAnsi="宋体"/>
                <w:b/>
                <w:bCs/>
                <w:color w:val="auto"/>
                <w:szCs w:val="21"/>
                <w:highlight w:val="none"/>
                <w:u w:val="single"/>
              </w:rPr>
              <w:t>点</w:t>
            </w:r>
            <w:r>
              <w:rPr>
                <w:rFonts w:hint="eastAsia" w:ascii="宋体" w:hAnsi="宋体"/>
                <w:b/>
                <w:bCs/>
                <w:color w:val="auto"/>
                <w:szCs w:val="21"/>
                <w:highlight w:val="none"/>
                <w:u w:val="single"/>
                <w:lang w:val="en-US" w:eastAsia="zh-CN"/>
              </w:rPr>
              <w:t>00</w:t>
            </w:r>
            <w:r>
              <w:rPr>
                <w:rFonts w:ascii="宋体" w:hAnsi="宋体"/>
                <w:b/>
                <w:bCs/>
                <w:color w:val="auto"/>
                <w:szCs w:val="21"/>
                <w:highlight w:val="none"/>
                <w:u w:val="single"/>
              </w:rPr>
              <w:t>分</w:t>
            </w:r>
          </w:p>
          <w:p w14:paraId="66E0BC3E">
            <w:pPr>
              <w:snapToGrid w:val="0"/>
              <w:spacing w:line="400" w:lineRule="exact"/>
              <w:rPr>
                <w:rFonts w:ascii="宋体" w:hAnsi="宋体"/>
                <w:color w:val="auto"/>
                <w:szCs w:val="21"/>
                <w:highlight w:val="none"/>
              </w:rPr>
            </w:pPr>
            <w:r>
              <w:rPr>
                <w:rFonts w:hint="eastAsia" w:ascii="宋体" w:hAnsi="宋体"/>
                <w:color w:val="auto"/>
                <w:szCs w:val="21"/>
                <w:highlight w:val="none"/>
              </w:rPr>
              <w:t>开</w:t>
            </w:r>
            <w:r>
              <w:rPr>
                <w:rFonts w:ascii="宋体" w:hAnsi="宋体"/>
                <w:color w:val="auto"/>
                <w:szCs w:val="21"/>
                <w:highlight w:val="none"/>
              </w:rPr>
              <w:t>标</w:t>
            </w:r>
            <w:r>
              <w:rPr>
                <w:rFonts w:hint="eastAsia" w:ascii="宋体" w:hAnsi="宋体"/>
                <w:color w:val="auto"/>
                <w:szCs w:val="21"/>
                <w:highlight w:val="none"/>
              </w:rPr>
              <w:t>地点：</w:t>
            </w:r>
            <w:r>
              <w:rPr>
                <w:rFonts w:ascii="宋体" w:hAnsi="宋体"/>
                <w:color w:val="auto"/>
                <w:szCs w:val="21"/>
                <w:highlight w:val="none"/>
              </w:rPr>
              <w:t>通过</w:t>
            </w:r>
            <w:r>
              <w:rPr>
                <w:rFonts w:hint="eastAsia" w:ascii="宋体" w:hAnsi="宋体"/>
                <w:color w:val="auto"/>
                <w:szCs w:val="21"/>
                <w:highlight w:val="none"/>
              </w:rPr>
              <w:t>广西政府采购云平台</w:t>
            </w:r>
            <w:r>
              <w:rPr>
                <w:rFonts w:ascii="宋体" w:hAnsi="宋体"/>
                <w:color w:val="auto"/>
                <w:szCs w:val="21"/>
                <w:highlight w:val="none"/>
              </w:rPr>
              <w:t>（网址：http://www.zcygov.cn）实行在线投标</w:t>
            </w:r>
          </w:p>
        </w:tc>
      </w:tr>
      <w:tr w14:paraId="41597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E5A384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p>
        </w:tc>
        <w:tc>
          <w:tcPr>
            <w:tcW w:w="8149" w:type="dxa"/>
            <w:tcBorders>
              <w:top w:val="single" w:color="auto" w:sz="4" w:space="0"/>
              <w:left w:val="single" w:color="auto" w:sz="4" w:space="0"/>
              <w:bottom w:val="single" w:color="auto" w:sz="4" w:space="0"/>
              <w:right w:val="single" w:color="auto" w:sz="4" w:space="0"/>
            </w:tcBorders>
            <w:vAlign w:val="center"/>
          </w:tcPr>
          <w:p w14:paraId="12E4123C">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评标办法及评分标准：综合评分法。</w:t>
            </w:r>
          </w:p>
        </w:tc>
      </w:tr>
      <w:tr w14:paraId="6C752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08D4C4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p>
        </w:tc>
        <w:tc>
          <w:tcPr>
            <w:tcW w:w="8149" w:type="dxa"/>
            <w:tcBorders>
              <w:top w:val="single" w:color="auto" w:sz="4" w:space="0"/>
              <w:left w:val="single" w:color="auto" w:sz="4" w:space="0"/>
              <w:bottom w:val="single" w:color="auto" w:sz="4" w:space="0"/>
              <w:right w:val="single" w:color="auto" w:sz="4" w:space="0"/>
            </w:tcBorders>
            <w:vAlign w:val="center"/>
          </w:tcPr>
          <w:p w14:paraId="3B0C80A9">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招标前准备：</w:t>
            </w:r>
          </w:p>
          <w:p w14:paraId="76BDF1F1">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1、本项目实行网上招标，采用电子投标文件。若投标人参与招标，自行承担招标一切费用。</w:t>
            </w:r>
          </w:p>
          <w:p w14:paraId="09975B7C">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2、各投标人应在截标前应确保成为广西政府采购云平台正式注册入库投标人，并完成CA数字证书申领。因未注册入库、未办理CA数字证书等原因造成无法招标或招标失败等后果由投标人自行承担。</w:t>
            </w:r>
          </w:p>
          <w:p w14:paraId="7DA0D875">
            <w:pPr>
              <w:autoSpaceDE w:val="0"/>
              <w:autoSpaceDN w:val="0"/>
              <w:snapToGrid w:val="0"/>
              <w:spacing w:line="360" w:lineRule="auto"/>
              <w:textAlignment w:val="bottom"/>
              <w:rPr>
                <w:rFonts w:ascii="宋体" w:hAnsi="宋体"/>
                <w:color w:val="auto"/>
                <w:sz w:val="22"/>
                <w:szCs w:val="22"/>
                <w:highlight w:val="none"/>
              </w:rPr>
            </w:pPr>
            <w:r>
              <w:rPr>
                <w:rFonts w:hint="eastAsia" w:ascii="宋体" w:hAnsi="宋体"/>
                <w:color w:val="auto"/>
                <w:sz w:val="22"/>
                <w:szCs w:val="22"/>
                <w:highlight w:val="none"/>
              </w:rPr>
              <w:t>3、投标人将政采云电子交易客户端下载、安装完成后，可通过账号密码或CA登录客户端进行投标文件制作。客户端请至网站下载专区查看，如有问题可拨打政采云客户服务热线95763进行咨询。</w:t>
            </w:r>
          </w:p>
          <w:p w14:paraId="4CD830B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 w:val="22"/>
                <w:szCs w:val="22"/>
                <w:highlight w:val="none"/>
              </w:rPr>
              <w:t>电子投标文件解密时间：截标时间后30分钟内投标人可以登录广西政府采购云平台，用“项目采购-开标评标”功能进行解密电子投标文件。若投标人在规定时间内无法解密或解密失败，可以以电子备份投标文件作为依据，若电子备份投标文件件与广西政府采购云平台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视为投标文件撤回。</w:t>
            </w:r>
          </w:p>
        </w:tc>
      </w:tr>
      <w:tr w14:paraId="60E72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23132E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p>
        </w:tc>
        <w:tc>
          <w:tcPr>
            <w:tcW w:w="8149" w:type="dxa"/>
            <w:tcBorders>
              <w:top w:val="single" w:color="auto" w:sz="4" w:space="0"/>
              <w:left w:val="single" w:color="auto" w:sz="4" w:space="0"/>
              <w:bottom w:val="single" w:color="auto" w:sz="4" w:space="0"/>
              <w:right w:val="single" w:color="auto" w:sz="4" w:space="0"/>
            </w:tcBorders>
            <w:vAlign w:val="center"/>
          </w:tcPr>
          <w:p w14:paraId="6B544FFC">
            <w:pPr>
              <w:spacing w:line="360" w:lineRule="auto"/>
              <w:rPr>
                <w:rFonts w:ascii="宋体" w:hAnsi="宋体"/>
                <w:color w:val="auto"/>
                <w:szCs w:val="21"/>
                <w:highlight w:val="none"/>
              </w:rPr>
            </w:pPr>
            <w:r>
              <w:rPr>
                <w:rFonts w:hint="eastAsia" w:ascii="宋体" w:hAnsi="宋体"/>
                <w:color w:val="auto"/>
                <w:szCs w:val="21"/>
                <w:highlight w:val="none"/>
              </w:rPr>
              <w:t>中标公告及中标通知书：</w:t>
            </w:r>
          </w:p>
          <w:p w14:paraId="5C51E141">
            <w:pPr>
              <w:spacing w:line="360" w:lineRule="auto"/>
              <w:rPr>
                <w:rFonts w:ascii="宋体" w:hAnsi="宋体"/>
                <w:color w:val="auto"/>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highlight w:val="none"/>
              </w:rPr>
              <w:t>采购代理机构应当在评标结束后2个工作日内将评标报告送采购人。采购人应当自</w:t>
            </w:r>
            <w:r>
              <w:rPr>
                <w:rFonts w:ascii="宋体" w:hAnsi="宋体"/>
                <w:color w:val="auto"/>
                <w:szCs w:val="21"/>
                <w:highlight w:val="none"/>
              </w:rPr>
              <w:t>收到评标报告之日起</w:t>
            </w:r>
            <w:r>
              <w:rPr>
                <w:rFonts w:hint="eastAsia" w:ascii="宋体" w:hAnsi="宋体"/>
                <w:color w:val="auto"/>
                <w:szCs w:val="21"/>
                <w:highlight w:val="none"/>
              </w:rPr>
              <w:t>2</w:t>
            </w:r>
            <w:r>
              <w:rPr>
                <w:rFonts w:ascii="宋体" w:hAnsi="宋体"/>
                <w:color w:val="auto"/>
                <w:szCs w:val="21"/>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F19864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2、采购代理机构在招标人依法确认中标人后2个工作日内发布中标公告和中标通知书，中标公告在招标公告发布媒体发布。</w:t>
            </w:r>
          </w:p>
        </w:tc>
      </w:tr>
      <w:tr w14:paraId="47B71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E549F87">
            <w:pPr>
              <w:snapToGrid w:val="0"/>
              <w:spacing w:line="400" w:lineRule="exact"/>
              <w:jc w:val="center"/>
              <w:rPr>
                <w:rFonts w:ascii="宋体" w:hAnsi="宋体"/>
                <w:color w:val="auto"/>
                <w:szCs w:val="21"/>
                <w:highlight w:val="none"/>
              </w:rPr>
            </w:pPr>
            <w:r>
              <w:rPr>
                <w:rFonts w:ascii="宋体" w:hAnsi="宋体"/>
                <w:color w:val="auto"/>
                <w:szCs w:val="21"/>
                <w:highlight w:val="none"/>
              </w:rPr>
              <w:t>16</w:t>
            </w:r>
          </w:p>
        </w:tc>
        <w:tc>
          <w:tcPr>
            <w:tcW w:w="8149" w:type="dxa"/>
            <w:tcBorders>
              <w:top w:val="single" w:color="auto" w:sz="4" w:space="0"/>
              <w:left w:val="single" w:color="auto" w:sz="4" w:space="0"/>
              <w:bottom w:val="single" w:color="auto" w:sz="4" w:space="0"/>
              <w:right w:val="single" w:color="auto" w:sz="4" w:space="0"/>
            </w:tcBorders>
            <w:vAlign w:val="center"/>
          </w:tcPr>
          <w:p w14:paraId="0F81A694">
            <w:pPr>
              <w:spacing w:line="400" w:lineRule="exact"/>
              <w:rPr>
                <w:rFonts w:ascii="宋体" w:hAnsi="宋体"/>
                <w:b/>
                <w:color w:val="auto"/>
                <w:szCs w:val="21"/>
                <w:highlight w:val="none"/>
              </w:rPr>
            </w:pPr>
            <w:r>
              <w:rPr>
                <w:rFonts w:ascii="宋体" w:hAnsi="宋体"/>
                <w:b/>
                <w:color w:val="auto"/>
                <w:szCs w:val="21"/>
                <w:highlight w:val="none"/>
              </w:rPr>
              <w:t>诚信要求</w:t>
            </w:r>
            <w:r>
              <w:rPr>
                <w:rFonts w:hint="eastAsia" w:ascii="宋体" w:hAnsi="宋体"/>
                <w:b/>
                <w:color w:val="auto"/>
                <w:szCs w:val="21"/>
                <w:highlight w:val="none"/>
              </w:rPr>
              <w:t>：</w:t>
            </w:r>
          </w:p>
          <w:p w14:paraId="77F97648">
            <w:pPr>
              <w:spacing w:line="400" w:lineRule="exact"/>
              <w:ind w:firstLine="315" w:firstLineChars="150"/>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人</w:t>
            </w:r>
            <w:r>
              <w:rPr>
                <w:rFonts w:hint="eastAsia" w:ascii="宋体" w:hAnsi="宋体"/>
                <w:color w:val="auto"/>
                <w:szCs w:val="21"/>
                <w:highlight w:val="none"/>
              </w:rPr>
              <w:t>如</w:t>
            </w:r>
            <w:r>
              <w:rPr>
                <w:rFonts w:ascii="宋体" w:hAnsi="宋体"/>
                <w:color w:val="auto"/>
                <w:szCs w:val="21"/>
                <w:highlight w:val="none"/>
              </w:rPr>
              <w:t>被列入失信被执行人、重大税收违法案件当事人名单、政府采购严重违法失信行为记录名单</w:t>
            </w:r>
            <w:r>
              <w:rPr>
                <w:rFonts w:hint="eastAsia" w:ascii="宋体" w:hAnsi="宋体"/>
                <w:color w:val="auto"/>
                <w:szCs w:val="21"/>
                <w:highlight w:val="none"/>
              </w:rPr>
              <w:t>，</w:t>
            </w:r>
            <w:r>
              <w:rPr>
                <w:rFonts w:ascii="宋体" w:hAnsi="宋体"/>
                <w:color w:val="auto"/>
                <w:szCs w:val="21"/>
                <w:highlight w:val="none"/>
              </w:rPr>
              <w:t>则资格审查不予通过，</w:t>
            </w:r>
            <w:r>
              <w:rPr>
                <w:rFonts w:hint="eastAsia" w:ascii="宋体" w:hAnsi="宋体"/>
                <w:color w:val="auto"/>
                <w:szCs w:val="21"/>
                <w:highlight w:val="none"/>
              </w:rPr>
              <w:t>按无效响应处理</w:t>
            </w:r>
            <w:r>
              <w:rPr>
                <w:rFonts w:ascii="宋体" w:hAnsi="宋体"/>
                <w:color w:val="auto"/>
                <w:szCs w:val="21"/>
                <w:highlight w:val="none"/>
              </w:rPr>
              <w:t>。</w:t>
            </w:r>
          </w:p>
          <w:p w14:paraId="5DF6BDE2">
            <w:pPr>
              <w:spacing w:line="400" w:lineRule="exact"/>
              <w:rPr>
                <w:rFonts w:ascii="宋体" w:hAnsi="宋体"/>
                <w:color w:val="auto"/>
                <w:szCs w:val="21"/>
                <w:highlight w:val="none"/>
              </w:rPr>
            </w:pPr>
            <w:r>
              <w:rPr>
                <w:rFonts w:hint="eastAsia" w:ascii="宋体" w:hAnsi="宋体"/>
                <w:color w:val="auto"/>
                <w:szCs w:val="21"/>
                <w:highlight w:val="none"/>
              </w:rPr>
              <w:t>①</w:t>
            </w:r>
            <w:r>
              <w:rPr>
                <w:rFonts w:ascii="宋体" w:hAnsi="宋体"/>
                <w:color w:val="auto"/>
                <w:szCs w:val="21"/>
                <w:highlight w:val="none"/>
              </w:rPr>
              <w:t>信用信息查询渠道：中国政府采购网 “政府采购严重违法失信行为记录名单” 信用中国网：“失信被执行人”</w:t>
            </w:r>
            <w:r>
              <w:rPr>
                <w:rFonts w:hint="eastAsia" w:ascii="宋体" w:hAnsi="宋体"/>
                <w:color w:val="auto"/>
                <w:szCs w:val="21"/>
                <w:highlight w:val="none"/>
              </w:rPr>
              <w:t>、</w:t>
            </w:r>
            <w:r>
              <w:rPr>
                <w:rFonts w:ascii="宋体" w:hAnsi="宋体"/>
                <w:color w:val="auto"/>
                <w:szCs w:val="21"/>
                <w:highlight w:val="none"/>
              </w:rPr>
              <w:t xml:space="preserve">“重大税收违法案件当事人名单” </w:t>
            </w:r>
          </w:p>
          <w:p w14:paraId="0EB3D5BD">
            <w:pPr>
              <w:spacing w:line="400" w:lineRule="exact"/>
              <w:rPr>
                <w:rFonts w:ascii="宋体" w:hAnsi="宋体"/>
                <w:color w:val="auto"/>
                <w:szCs w:val="21"/>
                <w:highlight w:val="none"/>
              </w:rPr>
            </w:pPr>
            <w:r>
              <w:rPr>
                <w:rFonts w:hint="eastAsia" w:ascii="宋体" w:hAnsi="宋体"/>
                <w:color w:val="auto"/>
                <w:szCs w:val="21"/>
                <w:highlight w:val="none"/>
              </w:rPr>
              <w:t>②查询方式：资格审查时，采购人或采购代理机构通过上述渠道查询供应商的信用记录供评委审核。</w:t>
            </w:r>
          </w:p>
          <w:p w14:paraId="18EEABDA">
            <w:pPr>
              <w:spacing w:line="360" w:lineRule="auto"/>
              <w:rPr>
                <w:rFonts w:ascii="宋体" w:hAnsi="宋体"/>
                <w:color w:val="auto"/>
                <w:szCs w:val="21"/>
                <w:highlight w:val="none"/>
              </w:rPr>
            </w:pPr>
            <w:r>
              <w:rPr>
                <w:rFonts w:hint="eastAsia" w:ascii="宋体" w:hAnsi="宋体"/>
                <w:color w:val="auto"/>
                <w:szCs w:val="21"/>
                <w:highlight w:val="none"/>
              </w:rPr>
              <w:t>③</w:t>
            </w:r>
            <w:r>
              <w:rPr>
                <w:rFonts w:ascii="宋体" w:hAnsi="宋体"/>
                <w:color w:val="auto"/>
                <w:szCs w:val="21"/>
                <w:highlight w:val="none"/>
              </w:rPr>
              <w:t>信用信息查询记录和证据留存的具体方式：</w:t>
            </w:r>
            <w:r>
              <w:rPr>
                <w:rFonts w:hint="eastAsia" w:ascii="宋体" w:hAnsi="宋体"/>
                <w:color w:val="auto"/>
                <w:szCs w:val="21"/>
                <w:highlight w:val="none"/>
              </w:rPr>
              <w:t>通过</w:t>
            </w:r>
            <w:r>
              <w:rPr>
                <w:rFonts w:ascii="宋体" w:hAnsi="宋体"/>
                <w:color w:val="auto"/>
                <w:szCs w:val="21"/>
                <w:highlight w:val="none"/>
              </w:rPr>
              <w:t>上述查询渠道查询</w:t>
            </w:r>
            <w:r>
              <w:rPr>
                <w:rFonts w:hint="eastAsia" w:ascii="宋体" w:hAnsi="宋体"/>
                <w:color w:val="auto"/>
                <w:szCs w:val="21"/>
                <w:highlight w:val="none"/>
              </w:rPr>
              <w:t>的供应商信用记录查询结果</w:t>
            </w:r>
            <w:r>
              <w:rPr>
                <w:rFonts w:ascii="宋体" w:hAnsi="宋体"/>
                <w:color w:val="auto"/>
                <w:szCs w:val="21"/>
                <w:highlight w:val="none"/>
              </w:rPr>
              <w:t>，将作为政府采购活动档案留存</w:t>
            </w:r>
            <w:r>
              <w:rPr>
                <w:rFonts w:hint="eastAsia" w:ascii="宋体" w:hAnsi="宋体"/>
                <w:color w:val="auto"/>
                <w:szCs w:val="21"/>
                <w:highlight w:val="none"/>
              </w:rPr>
              <w:t>。</w:t>
            </w:r>
          </w:p>
        </w:tc>
      </w:tr>
      <w:tr w14:paraId="2FE38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0DA4E05">
            <w:pPr>
              <w:snapToGrid w:val="0"/>
              <w:spacing w:line="400" w:lineRule="exact"/>
              <w:jc w:val="center"/>
              <w:rPr>
                <w:rFonts w:ascii="宋体" w:hAnsi="宋体"/>
                <w:color w:val="auto"/>
                <w:szCs w:val="21"/>
                <w:highlight w:val="none"/>
              </w:rPr>
            </w:pPr>
            <w:r>
              <w:rPr>
                <w:rFonts w:ascii="宋体" w:hAnsi="宋体"/>
                <w:color w:val="auto"/>
                <w:szCs w:val="21"/>
                <w:highlight w:val="none"/>
              </w:rPr>
              <w:t>17</w:t>
            </w:r>
          </w:p>
        </w:tc>
        <w:tc>
          <w:tcPr>
            <w:tcW w:w="8149" w:type="dxa"/>
            <w:tcBorders>
              <w:top w:val="single" w:color="auto" w:sz="4" w:space="0"/>
              <w:left w:val="single" w:color="auto" w:sz="4" w:space="0"/>
              <w:bottom w:val="single" w:color="auto" w:sz="4" w:space="0"/>
              <w:right w:val="single" w:color="auto" w:sz="4" w:space="0"/>
            </w:tcBorders>
            <w:vAlign w:val="center"/>
          </w:tcPr>
          <w:p w14:paraId="3AC45E5E">
            <w:pPr>
              <w:spacing w:line="400" w:lineRule="exact"/>
              <w:rPr>
                <w:rFonts w:ascii="宋体" w:hAnsi="宋体"/>
                <w:color w:val="auto"/>
                <w:szCs w:val="21"/>
                <w:highlight w:val="none"/>
              </w:rPr>
            </w:pPr>
            <w:r>
              <w:rPr>
                <w:rFonts w:ascii="宋体" w:hAnsi="宋体"/>
                <w:color w:val="auto"/>
                <w:highlight w:val="none"/>
              </w:rPr>
              <w:t>履约</w:t>
            </w:r>
            <w:r>
              <w:rPr>
                <w:rFonts w:hint="eastAsia" w:ascii="宋体" w:hAnsi="宋体"/>
                <w:color w:val="auto"/>
                <w:highlight w:val="none"/>
              </w:rPr>
              <w:t>保证金</w:t>
            </w:r>
            <w:r>
              <w:rPr>
                <w:rFonts w:ascii="宋体" w:hAnsi="宋体"/>
                <w:color w:val="auto"/>
                <w:highlight w:val="none"/>
              </w:rPr>
              <w:t>：</w:t>
            </w:r>
            <w:r>
              <w:rPr>
                <w:rFonts w:hint="eastAsia" w:ascii="宋体" w:hAnsi="宋体"/>
                <w:color w:val="auto"/>
                <w:szCs w:val="21"/>
                <w:highlight w:val="none"/>
              </w:rPr>
              <w:t>无</w:t>
            </w:r>
            <w:r>
              <w:rPr>
                <w:rFonts w:ascii="宋体" w:hAnsi="宋体"/>
                <w:color w:val="auto"/>
                <w:szCs w:val="21"/>
                <w:highlight w:val="none"/>
              </w:rPr>
              <w:t>。</w:t>
            </w:r>
          </w:p>
        </w:tc>
      </w:tr>
      <w:tr w14:paraId="3E446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7D25D67">
            <w:pPr>
              <w:snapToGrid w:val="0"/>
              <w:spacing w:line="400" w:lineRule="exact"/>
              <w:jc w:val="center"/>
              <w:rPr>
                <w:rFonts w:ascii="宋体" w:hAnsi="宋体"/>
                <w:color w:val="auto"/>
                <w:szCs w:val="21"/>
                <w:highlight w:val="none"/>
              </w:rPr>
            </w:pPr>
            <w:r>
              <w:rPr>
                <w:rFonts w:ascii="宋体" w:hAnsi="宋体"/>
                <w:color w:val="auto"/>
                <w:szCs w:val="21"/>
                <w:highlight w:val="none"/>
              </w:rPr>
              <w:t>18</w:t>
            </w:r>
          </w:p>
        </w:tc>
        <w:tc>
          <w:tcPr>
            <w:tcW w:w="8149" w:type="dxa"/>
            <w:tcBorders>
              <w:top w:val="single" w:color="auto" w:sz="4" w:space="0"/>
              <w:left w:val="single" w:color="auto" w:sz="4" w:space="0"/>
              <w:bottom w:val="single" w:color="auto" w:sz="4" w:space="0"/>
              <w:right w:val="single" w:color="auto" w:sz="4" w:space="0"/>
            </w:tcBorders>
            <w:vAlign w:val="center"/>
          </w:tcPr>
          <w:p w14:paraId="614C305F">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签订合同时间：自中标通知书发出之日起20日内签订合同。</w:t>
            </w:r>
          </w:p>
        </w:tc>
      </w:tr>
      <w:tr w14:paraId="4D926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81B6854">
            <w:pPr>
              <w:snapToGrid w:val="0"/>
              <w:spacing w:line="400" w:lineRule="exact"/>
              <w:jc w:val="center"/>
              <w:rPr>
                <w:rFonts w:ascii="宋体" w:hAnsi="宋体"/>
                <w:color w:val="auto"/>
                <w:szCs w:val="21"/>
                <w:highlight w:val="none"/>
              </w:rPr>
            </w:pPr>
            <w:r>
              <w:rPr>
                <w:rFonts w:ascii="宋体" w:hAnsi="宋体"/>
                <w:color w:val="auto"/>
                <w:szCs w:val="21"/>
                <w:highlight w:val="none"/>
              </w:rPr>
              <w:t>19</w:t>
            </w:r>
          </w:p>
        </w:tc>
        <w:tc>
          <w:tcPr>
            <w:tcW w:w="8149" w:type="dxa"/>
            <w:tcBorders>
              <w:top w:val="single" w:color="auto" w:sz="4" w:space="0"/>
              <w:left w:val="single" w:color="auto" w:sz="4" w:space="0"/>
              <w:bottom w:val="single" w:color="auto" w:sz="4" w:space="0"/>
              <w:right w:val="single" w:color="auto" w:sz="4" w:space="0"/>
            </w:tcBorders>
            <w:vAlign w:val="center"/>
          </w:tcPr>
          <w:p w14:paraId="2F6DD377">
            <w:pPr>
              <w:snapToGrid w:val="0"/>
              <w:spacing w:line="400" w:lineRule="exact"/>
              <w:rPr>
                <w:rFonts w:ascii="宋体" w:hAnsi="宋体"/>
                <w:color w:val="auto"/>
                <w:szCs w:val="21"/>
                <w:highlight w:val="none"/>
              </w:rPr>
            </w:pPr>
            <w:r>
              <w:rPr>
                <w:rFonts w:hint="eastAsia" w:ascii="宋体" w:hAnsi="宋体"/>
                <w:color w:val="auto"/>
                <w:szCs w:val="21"/>
                <w:highlight w:val="none"/>
              </w:rPr>
              <w:t>付款</w:t>
            </w:r>
            <w:r>
              <w:rPr>
                <w:rFonts w:ascii="宋体" w:hAnsi="宋体"/>
                <w:color w:val="auto"/>
                <w:szCs w:val="21"/>
                <w:highlight w:val="none"/>
              </w:rPr>
              <w:t>方式</w:t>
            </w:r>
            <w:r>
              <w:rPr>
                <w:rFonts w:hint="eastAsia" w:ascii="宋体" w:hAnsi="宋体"/>
                <w:color w:val="auto"/>
                <w:szCs w:val="21"/>
                <w:highlight w:val="none"/>
              </w:rPr>
              <w:t>:按第二章《招标项目采购需求》中的付款方式。</w:t>
            </w:r>
          </w:p>
        </w:tc>
      </w:tr>
      <w:tr w14:paraId="3271D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463B078">
            <w:pPr>
              <w:snapToGrid w:val="0"/>
              <w:spacing w:line="400" w:lineRule="exact"/>
              <w:jc w:val="center"/>
              <w:rPr>
                <w:rFonts w:ascii="宋体" w:hAnsi="宋体"/>
                <w:color w:val="auto"/>
                <w:szCs w:val="21"/>
                <w:highlight w:val="none"/>
              </w:rPr>
            </w:pPr>
            <w:r>
              <w:rPr>
                <w:rFonts w:ascii="宋体" w:hAnsi="宋体"/>
                <w:color w:val="auto"/>
                <w:szCs w:val="21"/>
                <w:highlight w:val="none"/>
              </w:rPr>
              <w:t>20</w:t>
            </w:r>
          </w:p>
        </w:tc>
        <w:tc>
          <w:tcPr>
            <w:tcW w:w="8149" w:type="dxa"/>
            <w:tcBorders>
              <w:top w:val="single" w:color="auto" w:sz="4" w:space="0"/>
              <w:left w:val="single" w:color="auto" w:sz="4" w:space="0"/>
              <w:bottom w:val="single" w:color="auto" w:sz="4" w:space="0"/>
              <w:right w:val="single" w:color="auto" w:sz="4" w:space="0"/>
            </w:tcBorders>
            <w:vAlign w:val="center"/>
          </w:tcPr>
          <w:p w14:paraId="489AA254">
            <w:pPr>
              <w:snapToGrid w:val="0"/>
              <w:spacing w:line="400" w:lineRule="exact"/>
              <w:rPr>
                <w:rFonts w:ascii="宋体" w:hAnsi="宋体"/>
                <w:color w:val="auto"/>
                <w:szCs w:val="21"/>
                <w:highlight w:val="none"/>
              </w:rPr>
            </w:pPr>
            <w:r>
              <w:rPr>
                <w:rFonts w:hint="eastAsia" w:ascii="宋体" w:hAnsi="宋体"/>
                <w:color w:val="auto"/>
                <w:szCs w:val="21"/>
                <w:highlight w:val="none"/>
              </w:rPr>
              <w:t>解释：本招标文件的解释权属于招标采购单位。</w:t>
            </w:r>
          </w:p>
        </w:tc>
      </w:tr>
      <w:tr w14:paraId="4E633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F342EC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1</w:t>
            </w:r>
          </w:p>
        </w:tc>
        <w:tc>
          <w:tcPr>
            <w:tcW w:w="8149" w:type="dxa"/>
            <w:tcBorders>
              <w:top w:val="single" w:color="auto" w:sz="4" w:space="0"/>
              <w:left w:val="single" w:color="auto" w:sz="4" w:space="0"/>
              <w:bottom w:val="single" w:color="auto" w:sz="4" w:space="0"/>
              <w:right w:val="single" w:color="auto" w:sz="4" w:space="0"/>
            </w:tcBorders>
            <w:vAlign w:val="center"/>
          </w:tcPr>
          <w:p w14:paraId="4D4138A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电子投标文件中所须加盖公章部分均采用CA签章，</w:t>
            </w:r>
            <w:r>
              <w:rPr>
                <w:rFonts w:hint="eastAsia" w:ascii="宋体" w:hAnsi="宋体"/>
                <w:color w:val="auto"/>
                <w:szCs w:val="21"/>
                <w:highlight w:val="none"/>
              </w:rPr>
              <w:t>本招标文件中描述投标人的“公章”是指根据我国对公章的管理规定，用投标人法定主体行为名称制作的印章</w:t>
            </w:r>
            <w:r>
              <w:rPr>
                <w:rFonts w:hint="eastAsia" w:ascii="宋体" w:hAnsi="宋体" w:cs="宋体"/>
                <w:color w:val="auto"/>
                <w:highlight w:val="none"/>
              </w:rPr>
              <w:t>（含电子</w:t>
            </w:r>
            <w:r>
              <w:rPr>
                <w:rFonts w:hint="eastAsia" w:ascii="宋体" w:hAnsi="宋体"/>
                <w:color w:val="auto"/>
                <w:szCs w:val="21"/>
                <w:highlight w:val="none"/>
              </w:rPr>
              <w:t>印</w:t>
            </w:r>
            <w:r>
              <w:rPr>
                <w:rFonts w:hint="eastAsia" w:ascii="宋体" w:hAnsi="宋体" w:cs="宋体"/>
                <w:color w:val="auto"/>
                <w:highlight w:val="none"/>
              </w:rPr>
              <w:t>章）</w:t>
            </w:r>
            <w:r>
              <w:rPr>
                <w:rFonts w:hint="eastAsia" w:ascii="宋体" w:hAnsi="宋体"/>
                <w:color w:val="auto"/>
                <w:szCs w:val="21"/>
                <w:highlight w:val="none"/>
              </w:rPr>
              <w:t>，除本采购文件有特殊规定外，投标人的财务章、部门章、分公司章、工会章、合同章、投标专用章、业务专用章等其它形式印章均不能代替公章。</w:t>
            </w:r>
          </w:p>
          <w:p w14:paraId="4D306A7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2.本采购文件中描述投标人的“签字”是指投标人的法定代表人或被授权人亲自在采购文件规定签署处亲笔写上个人的名字的行为，私章、签字章、印鉴、影印等其它形式均不能代替亲笔签字。</w:t>
            </w:r>
          </w:p>
        </w:tc>
      </w:tr>
    </w:tbl>
    <w:p w14:paraId="51F5B637">
      <w:pPr>
        <w:pStyle w:val="29"/>
        <w:snapToGrid w:val="0"/>
        <w:spacing w:before="120" w:after="120" w:line="360" w:lineRule="auto"/>
        <w:rPr>
          <w:rFonts w:hAnsi="宋体"/>
          <w:b/>
          <w:color w:val="auto"/>
          <w:sz w:val="30"/>
          <w:szCs w:val="30"/>
          <w:highlight w:val="none"/>
        </w:rPr>
      </w:pPr>
    </w:p>
    <w:p w14:paraId="6B7191C3">
      <w:pPr>
        <w:pStyle w:val="21"/>
        <w:rPr>
          <w:color w:val="auto"/>
          <w:highlight w:val="none"/>
        </w:rPr>
      </w:pPr>
    </w:p>
    <w:p w14:paraId="6DB5575F">
      <w:pPr>
        <w:pStyle w:val="29"/>
        <w:snapToGrid w:val="0"/>
        <w:spacing w:before="120" w:after="120" w:line="360" w:lineRule="auto"/>
        <w:jc w:val="center"/>
        <w:rPr>
          <w:rFonts w:hAnsi="宋体"/>
          <w:b/>
          <w:color w:val="auto"/>
          <w:sz w:val="30"/>
          <w:szCs w:val="30"/>
          <w:highlight w:val="none"/>
        </w:rPr>
      </w:pPr>
    </w:p>
    <w:p w14:paraId="62AE30EE">
      <w:pPr>
        <w:pStyle w:val="6"/>
        <w:rPr>
          <w:rFonts w:hAnsi="宋体"/>
          <w:b/>
          <w:color w:val="auto"/>
          <w:sz w:val="30"/>
          <w:szCs w:val="30"/>
          <w:highlight w:val="none"/>
        </w:rPr>
      </w:pPr>
    </w:p>
    <w:p w14:paraId="56D22E1C">
      <w:pPr>
        <w:rPr>
          <w:rFonts w:hAnsi="宋体"/>
          <w:b/>
          <w:color w:val="auto"/>
          <w:sz w:val="30"/>
          <w:szCs w:val="30"/>
          <w:highlight w:val="none"/>
        </w:rPr>
      </w:pPr>
    </w:p>
    <w:p w14:paraId="4D0833B5">
      <w:pPr>
        <w:rPr>
          <w:rFonts w:hAnsi="宋体"/>
          <w:b/>
          <w:color w:val="auto"/>
          <w:sz w:val="30"/>
          <w:szCs w:val="30"/>
          <w:highlight w:val="none"/>
        </w:rPr>
      </w:pPr>
    </w:p>
    <w:p w14:paraId="3BE6868A">
      <w:pPr>
        <w:rPr>
          <w:rFonts w:hAnsi="宋体"/>
          <w:b/>
          <w:color w:val="auto"/>
          <w:sz w:val="30"/>
          <w:szCs w:val="30"/>
          <w:highlight w:val="none"/>
        </w:rPr>
      </w:pPr>
    </w:p>
    <w:p w14:paraId="001A2CEE">
      <w:pPr>
        <w:rPr>
          <w:rFonts w:hAnsi="宋体"/>
          <w:b/>
          <w:color w:val="auto"/>
          <w:sz w:val="30"/>
          <w:szCs w:val="30"/>
          <w:highlight w:val="none"/>
        </w:rPr>
      </w:pPr>
    </w:p>
    <w:p w14:paraId="4CE1255A">
      <w:pPr>
        <w:rPr>
          <w:rFonts w:hAnsi="宋体"/>
          <w:b/>
          <w:color w:val="auto"/>
          <w:sz w:val="30"/>
          <w:szCs w:val="30"/>
          <w:highlight w:val="none"/>
        </w:rPr>
      </w:pPr>
    </w:p>
    <w:p w14:paraId="1D02CB02">
      <w:pPr>
        <w:rPr>
          <w:rFonts w:hAnsi="宋体"/>
          <w:b/>
          <w:color w:val="auto"/>
          <w:sz w:val="30"/>
          <w:szCs w:val="30"/>
          <w:highlight w:val="none"/>
        </w:rPr>
      </w:pPr>
    </w:p>
    <w:p w14:paraId="0DC67061">
      <w:pPr>
        <w:rPr>
          <w:rFonts w:hAnsi="宋体"/>
          <w:b/>
          <w:color w:val="auto"/>
          <w:sz w:val="30"/>
          <w:szCs w:val="30"/>
          <w:highlight w:val="none"/>
        </w:rPr>
      </w:pPr>
    </w:p>
    <w:p w14:paraId="6A647E4E">
      <w:pPr>
        <w:pStyle w:val="67"/>
        <w:rPr>
          <w:rFonts w:hAnsi="宋体"/>
          <w:b/>
          <w:color w:val="auto"/>
          <w:sz w:val="30"/>
          <w:szCs w:val="30"/>
          <w:highlight w:val="none"/>
        </w:rPr>
      </w:pPr>
    </w:p>
    <w:p w14:paraId="6A948EB1">
      <w:pPr>
        <w:pStyle w:val="67"/>
        <w:rPr>
          <w:rFonts w:hAnsi="宋体"/>
          <w:b/>
          <w:color w:val="auto"/>
          <w:sz w:val="30"/>
          <w:szCs w:val="30"/>
          <w:highlight w:val="none"/>
        </w:rPr>
      </w:pPr>
    </w:p>
    <w:p w14:paraId="5B7A8BB6">
      <w:pPr>
        <w:pStyle w:val="67"/>
        <w:rPr>
          <w:rFonts w:hAnsi="宋体"/>
          <w:b/>
          <w:color w:val="auto"/>
          <w:sz w:val="30"/>
          <w:szCs w:val="30"/>
          <w:highlight w:val="none"/>
        </w:rPr>
      </w:pPr>
    </w:p>
    <w:p w14:paraId="02F7E0F9">
      <w:pPr>
        <w:pStyle w:val="67"/>
        <w:ind w:left="0" w:leftChars="0" w:firstLine="0" w:firstLineChars="0"/>
        <w:rPr>
          <w:rFonts w:hAnsi="宋体"/>
          <w:b/>
          <w:color w:val="auto"/>
          <w:sz w:val="30"/>
          <w:szCs w:val="30"/>
          <w:highlight w:val="none"/>
        </w:rPr>
      </w:pPr>
    </w:p>
    <w:p w14:paraId="4AE05328">
      <w:pPr>
        <w:pStyle w:val="29"/>
        <w:snapToGrid w:val="0"/>
        <w:spacing w:before="120" w:after="120" w:line="360" w:lineRule="auto"/>
        <w:jc w:val="center"/>
        <w:rPr>
          <w:rFonts w:hAnsi="宋体"/>
          <w:b/>
          <w:color w:val="auto"/>
          <w:sz w:val="30"/>
          <w:szCs w:val="30"/>
          <w:highlight w:val="none"/>
        </w:rPr>
      </w:pPr>
      <w:r>
        <w:rPr>
          <w:rFonts w:hint="eastAsia" w:hAnsi="宋体"/>
          <w:b/>
          <w:color w:val="auto"/>
          <w:sz w:val="30"/>
          <w:szCs w:val="30"/>
          <w:highlight w:val="none"/>
        </w:rPr>
        <w:t>一、总  则</w:t>
      </w:r>
    </w:p>
    <w:p w14:paraId="32EE982D">
      <w:pPr>
        <w:spacing w:line="400" w:lineRule="exact"/>
        <w:ind w:firstLine="422" w:firstLineChars="200"/>
        <w:rPr>
          <w:rFonts w:ascii="宋体" w:hAnsi="宋体"/>
          <w:b/>
          <w:color w:val="auto"/>
          <w:highlight w:val="none"/>
        </w:rPr>
      </w:pPr>
      <w:bookmarkStart w:id="8" w:name="_Toc254970527"/>
      <w:bookmarkStart w:id="9" w:name="_Toc535850430"/>
      <w:bookmarkStart w:id="10" w:name="_Toc254970668"/>
      <w:bookmarkStart w:id="11" w:name="_Toc535850391"/>
      <w:r>
        <w:rPr>
          <w:rFonts w:hint="eastAsia" w:ascii="宋体" w:hAnsi="宋体"/>
          <w:b/>
          <w:color w:val="auto"/>
          <w:highlight w:val="none"/>
        </w:rPr>
        <w:t>1.项目概况及适用范围</w:t>
      </w:r>
      <w:bookmarkEnd w:id="8"/>
      <w:bookmarkEnd w:id="9"/>
      <w:bookmarkEnd w:id="10"/>
      <w:bookmarkEnd w:id="11"/>
    </w:p>
    <w:p w14:paraId="678F951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1.1项目名称及项目编号：</w:t>
      </w:r>
      <w:r>
        <w:rPr>
          <w:rFonts w:ascii="宋体" w:hAnsi="宋体"/>
          <w:color w:val="auto"/>
          <w:szCs w:val="21"/>
          <w:highlight w:val="none"/>
        </w:rPr>
        <w:t>见“投标人须知前附表”。</w:t>
      </w:r>
    </w:p>
    <w:p w14:paraId="5224518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1.2本项目招标人：</w:t>
      </w:r>
      <w:r>
        <w:rPr>
          <w:rFonts w:ascii="宋体" w:hAnsi="宋体"/>
          <w:color w:val="auto"/>
          <w:szCs w:val="21"/>
          <w:highlight w:val="none"/>
        </w:rPr>
        <w:t>见“投标人须知前附表”。</w:t>
      </w:r>
    </w:p>
    <w:p w14:paraId="01A4B07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1.3本项目采购代理机构：</w:t>
      </w:r>
      <w:r>
        <w:rPr>
          <w:rFonts w:ascii="宋体" w:hAnsi="宋体"/>
          <w:color w:val="auto"/>
          <w:szCs w:val="21"/>
          <w:highlight w:val="none"/>
        </w:rPr>
        <w:t>见“投标人须知前附表”。</w:t>
      </w:r>
    </w:p>
    <w:p w14:paraId="399BDA0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1.4本项目资金来源及采购预算金额：</w:t>
      </w:r>
      <w:r>
        <w:rPr>
          <w:rFonts w:ascii="宋体" w:hAnsi="宋体"/>
          <w:color w:val="auto"/>
          <w:szCs w:val="21"/>
          <w:highlight w:val="none"/>
        </w:rPr>
        <w:t>见“投标人须知前附表”。</w:t>
      </w:r>
    </w:p>
    <w:p w14:paraId="2206372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1.5本招标文件适用于</w:t>
      </w:r>
      <w:r>
        <w:rPr>
          <w:rFonts w:hint="eastAsia" w:ascii="宋体" w:hAnsi="宋体"/>
          <w:bCs/>
          <w:color w:val="auto"/>
          <w:szCs w:val="21"/>
          <w:highlight w:val="none"/>
        </w:rPr>
        <w:t>本</w:t>
      </w:r>
      <w:r>
        <w:rPr>
          <w:rFonts w:hint="eastAsia" w:ascii="宋体" w:hAnsi="宋体"/>
          <w:color w:val="auto"/>
          <w:szCs w:val="21"/>
          <w:highlight w:val="none"/>
        </w:rPr>
        <w:t>项目的招标、投标、评标、定标、验收、合同履约、付款等行为（法律、法规另有规定的，从其规定）。</w:t>
      </w:r>
    </w:p>
    <w:p w14:paraId="019A3BA0">
      <w:pPr>
        <w:spacing w:line="400" w:lineRule="exact"/>
        <w:ind w:firstLine="422" w:firstLineChars="200"/>
        <w:rPr>
          <w:rFonts w:ascii="宋体" w:hAnsi="宋体"/>
          <w:b/>
          <w:color w:val="auto"/>
          <w:highlight w:val="none"/>
        </w:rPr>
      </w:pPr>
      <w:bookmarkStart w:id="12" w:name="_Toc535850431"/>
      <w:bookmarkStart w:id="13" w:name="_Toc254970528"/>
      <w:bookmarkStart w:id="14" w:name="_Toc254970669"/>
      <w:bookmarkStart w:id="15" w:name="_Toc535850392"/>
      <w:r>
        <w:rPr>
          <w:rFonts w:hint="eastAsia" w:ascii="宋体" w:hAnsi="宋体"/>
          <w:b/>
          <w:color w:val="auto"/>
          <w:highlight w:val="none"/>
        </w:rPr>
        <w:t>2.定义</w:t>
      </w:r>
      <w:bookmarkEnd w:id="12"/>
      <w:bookmarkEnd w:id="13"/>
      <w:bookmarkEnd w:id="14"/>
      <w:bookmarkEnd w:id="15"/>
    </w:p>
    <w:p w14:paraId="67095C6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2.1招标采购单位系指组织本次招标的招标人及采购代理机构。</w:t>
      </w:r>
    </w:p>
    <w:p w14:paraId="1608F10D">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2.2“投标人”系指响应招标、参加投标的法人、其他组织或自然人。</w:t>
      </w:r>
    </w:p>
    <w:p w14:paraId="42D013B2">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2.3“产品”系指供方按招标文件规定，须向招标人提供的一切设备、保险、税金、备品备件、工具、手册及其它有关技术资料和材料。</w:t>
      </w:r>
    </w:p>
    <w:p w14:paraId="298C614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2.4“服务”系指招标文件规定投标人须承担的安装、调试、技术协助、校准、培训、技术指导以及其他类似的义务。</w:t>
      </w:r>
    </w:p>
    <w:p w14:paraId="6E1A708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2.5“项目”系指投标人按招标文件规定向招标人提供的产品和服务。</w:t>
      </w:r>
    </w:p>
    <w:p w14:paraId="0BBCF026">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2.6“书面形式”包括信函、传真、电报等。</w:t>
      </w:r>
    </w:p>
    <w:p w14:paraId="6C0B107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2.7“★”系指实质性要求条款。</w:t>
      </w:r>
    </w:p>
    <w:p w14:paraId="52005409">
      <w:pPr>
        <w:snapToGrid w:val="0"/>
        <w:spacing w:line="400" w:lineRule="exact"/>
        <w:ind w:firstLine="422" w:firstLineChars="200"/>
        <w:jc w:val="left"/>
        <w:rPr>
          <w:rFonts w:ascii="宋体" w:hAnsi="宋体"/>
          <w:color w:val="auto"/>
          <w:szCs w:val="21"/>
          <w:highlight w:val="none"/>
        </w:rPr>
      </w:pPr>
      <w:r>
        <w:rPr>
          <w:rFonts w:hint="eastAsia" w:ascii="宋体" w:hAnsi="宋体"/>
          <w:b/>
          <w:color w:val="auto"/>
          <w:szCs w:val="21"/>
          <w:highlight w:val="none"/>
        </w:rPr>
        <w:t>3.投标人资格要求：</w:t>
      </w:r>
    </w:p>
    <w:p w14:paraId="527376FC">
      <w:pPr>
        <w:snapToGrid w:val="0"/>
        <w:spacing w:line="400" w:lineRule="exact"/>
        <w:ind w:firstLine="413" w:firstLineChars="196"/>
        <w:jc w:val="left"/>
        <w:outlineLvl w:val="1"/>
        <w:rPr>
          <w:rFonts w:hint="eastAsia" w:ascii="宋体" w:hAnsi="宋体"/>
          <w:b/>
          <w:color w:val="auto"/>
          <w:szCs w:val="21"/>
          <w:highlight w:val="none"/>
        </w:rPr>
      </w:pPr>
      <w:bookmarkStart w:id="16" w:name="_Toc90627199"/>
      <w:bookmarkStart w:id="17" w:name="_Toc254970530"/>
      <w:bookmarkStart w:id="18" w:name="_Toc254970671"/>
      <w:r>
        <w:rPr>
          <w:rFonts w:hint="eastAsia" w:ascii="宋体" w:hAnsi="宋体"/>
          <w:b/>
          <w:color w:val="auto"/>
          <w:szCs w:val="21"/>
          <w:highlight w:val="none"/>
        </w:rPr>
        <w:t>1、满足《中华人民共和国政府采购法》第二十二条规定；</w:t>
      </w:r>
    </w:p>
    <w:p w14:paraId="5D2F84AD">
      <w:pPr>
        <w:snapToGrid w:val="0"/>
        <w:spacing w:line="400" w:lineRule="exact"/>
        <w:ind w:firstLine="413" w:firstLineChars="196"/>
        <w:jc w:val="left"/>
        <w:outlineLvl w:val="1"/>
        <w:rPr>
          <w:rFonts w:hint="eastAsia" w:ascii="宋体" w:hAnsi="宋体"/>
          <w:b/>
          <w:color w:val="auto"/>
          <w:szCs w:val="21"/>
          <w:highlight w:val="none"/>
        </w:rPr>
      </w:pPr>
      <w:r>
        <w:rPr>
          <w:rFonts w:hint="eastAsia" w:ascii="宋体" w:hAnsi="宋体"/>
          <w:b/>
          <w:color w:val="auto"/>
          <w:szCs w:val="21"/>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E13EA6">
      <w:pPr>
        <w:snapToGrid w:val="0"/>
        <w:spacing w:line="400" w:lineRule="exact"/>
        <w:ind w:firstLine="413" w:firstLineChars="196"/>
        <w:jc w:val="left"/>
        <w:outlineLvl w:val="1"/>
        <w:rPr>
          <w:rFonts w:hint="eastAsia" w:ascii="宋体" w:hAnsi="宋体"/>
          <w:b/>
          <w:color w:val="auto"/>
          <w:szCs w:val="21"/>
          <w:highlight w:val="none"/>
        </w:rPr>
      </w:pPr>
      <w:r>
        <w:rPr>
          <w:rFonts w:hint="eastAsia" w:ascii="宋体" w:hAnsi="宋体"/>
          <w:b/>
          <w:color w:val="auto"/>
          <w:szCs w:val="21"/>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4985377">
      <w:pPr>
        <w:snapToGrid w:val="0"/>
        <w:spacing w:line="400" w:lineRule="exact"/>
        <w:ind w:firstLine="413" w:firstLineChars="196"/>
        <w:jc w:val="left"/>
        <w:outlineLvl w:val="1"/>
        <w:rPr>
          <w:rFonts w:hint="eastAsia" w:ascii="宋体" w:hAnsi="宋体" w:eastAsia="宋体"/>
          <w:b/>
          <w:color w:val="auto"/>
          <w:szCs w:val="21"/>
          <w:highlight w:val="none"/>
          <w:lang w:eastAsia="zh-CN"/>
        </w:rPr>
      </w:pPr>
      <w:r>
        <w:rPr>
          <w:rFonts w:hint="eastAsia" w:ascii="宋体" w:hAnsi="宋体"/>
          <w:b/>
          <w:color w:val="auto"/>
          <w:szCs w:val="21"/>
          <w:highlight w:val="none"/>
        </w:rPr>
        <w:t>4.落实政府采购政策需满足的资格要求：</w:t>
      </w:r>
      <w:r>
        <w:rPr>
          <w:rFonts w:hint="eastAsia" w:ascii="宋体" w:hAnsi="宋体"/>
          <w:b/>
          <w:color w:val="auto"/>
          <w:szCs w:val="21"/>
          <w:highlight w:val="none"/>
          <w:lang w:val="en-US" w:eastAsia="zh-CN"/>
        </w:rPr>
        <w:t>无</w:t>
      </w:r>
    </w:p>
    <w:p w14:paraId="79449E8A">
      <w:pPr>
        <w:snapToGrid w:val="0"/>
        <w:spacing w:line="400" w:lineRule="exact"/>
        <w:ind w:firstLine="413" w:firstLineChars="196"/>
        <w:jc w:val="left"/>
        <w:outlineLvl w:val="1"/>
        <w:rPr>
          <w:rFonts w:hint="eastAsia" w:ascii="宋体" w:hAnsi="宋体"/>
          <w:b/>
          <w:color w:val="auto"/>
          <w:szCs w:val="21"/>
          <w:highlight w:val="none"/>
        </w:rPr>
      </w:pPr>
      <w:r>
        <w:rPr>
          <w:rFonts w:hint="eastAsia" w:ascii="宋体" w:hAnsi="宋体"/>
          <w:b/>
          <w:color w:val="auto"/>
          <w:szCs w:val="21"/>
          <w:highlight w:val="none"/>
        </w:rPr>
        <w:t>5.本项目的特定资格要求：</w:t>
      </w:r>
      <w:r>
        <w:rPr>
          <w:rFonts w:hint="eastAsia" w:ascii="宋体" w:hAnsi="宋体"/>
          <w:b/>
          <w:color w:val="auto"/>
          <w:szCs w:val="21"/>
          <w:highlight w:val="none"/>
          <w:lang w:val="en-US" w:eastAsia="zh-CN"/>
        </w:rPr>
        <w:t>标项1，标项2：供应商应具有省级及以上测绘行政主管部门颁发的乙级或以上测绘资质。</w:t>
      </w:r>
    </w:p>
    <w:p w14:paraId="2F8A03FB">
      <w:pPr>
        <w:snapToGrid w:val="0"/>
        <w:spacing w:line="400" w:lineRule="exact"/>
        <w:ind w:firstLine="411" w:firstLineChars="196"/>
        <w:jc w:val="left"/>
        <w:outlineLvl w:val="1"/>
        <w:rPr>
          <w:rFonts w:ascii="宋体" w:hAnsi="宋体"/>
          <w:b w:val="0"/>
          <w:bCs/>
          <w:color w:val="auto"/>
          <w:szCs w:val="21"/>
          <w:highlight w:val="none"/>
        </w:rPr>
      </w:pPr>
      <w:r>
        <w:rPr>
          <w:rFonts w:hint="eastAsia" w:ascii="宋体" w:hAnsi="宋体"/>
          <w:b w:val="0"/>
          <w:bCs/>
          <w:color w:val="auto"/>
          <w:szCs w:val="21"/>
          <w:highlight w:val="none"/>
        </w:rPr>
        <w:t>4</w:t>
      </w:r>
      <w:r>
        <w:rPr>
          <w:rFonts w:ascii="宋体" w:hAnsi="宋体"/>
          <w:b w:val="0"/>
          <w:bCs/>
          <w:color w:val="auto"/>
          <w:szCs w:val="21"/>
          <w:highlight w:val="none"/>
        </w:rPr>
        <w:t>.</w:t>
      </w:r>
      <w:r>
        <w:rPr>
          <w:rFonts w:hint="eastAsia" w:ascii="宋体" w:hAnsi="宋体"/>
          <w:b w:val="0"/>
          <w:bCs/>
          <w:color w:val="auto"/>
          <w:szCs w:val="21"/>
          <w:highlight w:val="none"/>
        </w:rPr>
        <w:t>投标委托</w:t>
      </w:r>
      <w:bookmarkEnd w:id="16"/>
    </w:p>
    <w:p w14:paraId="2E9F7664">
      <w:pPr>
        <w:snapToGrid w:val="0"/>
        <w:spacing w:line="400" w:lineRule="exact"/>
        <w:ind w:firstLine="411" w:firstLineChars="196"/>
        <w:jc w:val="left"/>
        <w:outlineLvl w:val="1"/>
        <w:rPr>
          <w:rFonts w:ascii="宋体" w:hAnsi="宋体"/>
          <w:color w:val="auto"/>
          <w:kern w:val="0"/>
          <w:szCs w:val="21"/>
          <w:highlight w:val="none"/>
        </w:rPr>
      </w:pPr>
      <w:bookmarkStart w:id="19" w:name="_Toc90627200"/>
      <w:r>
        <w:rPr>
          <w:rFonts w:hint="eastAsia" w:ascii="宋体" w:hAnsi="宋体"/>
          <w:color w:val="auto"/>
          <w:kern w:val="0"/>
          <w:szCs w:val="21"/>
          <w:highlight w:val="none"/>
        </w:rPr>
        <w:t>通过广西政府采购云平台（网址：</w:t>
      </w:r>
      <w:r>
        <w:rPr>
          <w:rFonts w:ascii="宋体" w:hAnsi="宋体"/>
          <w:color w:val="auto"/>
          <w:kern w:val="0"/>
          <w:szCs w:val="21"/>
          <w:highlight w:val="none"/>
        </w:rPr>
        <w:t>http://www.zcygov.cn</w:t>
      </w:r>
      <w:r>
        <w:rPr>
          <w:rFonts w:hint="eastAsia" w:ascii="宋体" w:hAnsi="宋体"/>
          <w:color w:val="auto"/>
          <w:kern w:val="0"/>
          <w:szCs w:val="21"/>
          <w:highlight w:val="none"/>
        </w:rPr>
        <w:t>）实行在线投标（本项目不要求投标人到达开标现场，但投标人应派法定代表人或委托代理人准时在线出席电子开评标会议，随时关注开评标进度，如在开评标过程中有电子询标，应在规定的时间内对电子询标函进行澄清回复。）</w:t>
      </w:r>
      <w:bookmarkEnd w:id="19"/>
    </w:p>
    <w:p w14:paraId="3BDBB647">
      <w:pPr>
        <w:snapToGrid w:val="0"/>
        <w:spacing w:line="400" w:lineRule="exact"/>
        <w:ind w:firstLine="413" w:firstLineChars="196"/>
        <w:jc w:val="left"/>
        <w:outlineLvl w:val="1"/>
        <w:rPr>
          <w:rFonts w:ascii="宋体" w:hAnsi="宋体"/>
          <w:b/>
          <w:color w:val="auto"/>
          <w:szCs w:val="21"/>
          <w:highlight w:val="none"/>
        </w:rPr>
      </w:pPr>
      <w:bookmarkStart w:id="20" w:name="_Toc90627202"/>
      <w:r>
        <w:rPr>
          <w:rFonts w:hint="eastAsia" w:ascii="宋体" w:hAnsi="宋体"/>
          <w:b/>
          <w:color w:val="auto"/>
          <w:szCs w:val="21"/>
          <w:highlight w:val="none"/>
        </w:rPr>
        <w:t>5.联合体投标</w:t>
      </w:r>
      <w:bookmarkEnd w:id="20"/>
    </w:p>
    <w:p w14:paraId="1E52E2D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本项目不接受联合体投标。</w:t>
      </w:r>
    </w:p>
    <w:bookmarkEnd w:id="17"/>
    <w:bookmarkEnd w:id="18"/>
    <w:p w14:paraId="11B8DB17">
      <w:pPr>
        <w:pStyle w:val="29"/>
        <w:spacing w:line="400" w:lineRule="exact"/>
        <w:ind w:firstLine="422" w:firstLineChars="200"/>
        <w:jc w:val="left"/>
        <w:rPr>
          <w:rFonts w:hAnsi="宋体"/>
          <w:b/>
          <w:color w:val="auto"/>
          <w:highlight w:val="none"/>
        </w:rPr>
      </w:pPr>
      <w:bookmarkStart w:id="21" w:name="_Toc254970672"/>
      <w:bookmarkStart w:id="22" w:name="_Toc254970531"/>
      <w:r>
        <w:rPr>
          <w:rFonts w:hAnsi="宋体"/>
          <w:b/>
          <w:color w:val="auto"/>
          <w:highlight w:val="none"/>
        </w:rPr>
        <w:t>6</w:t>
      </w:r>
      <w:r>
        <w:rPr>
          <w:rFonts w:hint="eastAsia" w:hAnsi="宋体"/>
          <w:b/>
          <w:color w:val="auto"/>
          <w:highlight w:val="none"/>
        </w:rPr>
        <w:t>.投标费用</w:t>
      </w:r>
    </w:p>
    <w:p w14:paraId="096C7F8E">
      <w:pPr>
        <w:pStyle w:val="29"/>
        <w:spacing w:line="400" w:lineRule="exact"/>
        <w:ind w:firstLine="420" w:firstLineChars="200"/>
        <w:jc w:val="left"/>
        <w:rPr>
          <w:rFonts w:hAnsi="宋体"/>
          <w:color w:val="auto"/>
          <w:highlight w:val="none"/>
        </w:rPr>
      </w:pPr>
      <w:r>
        <w:rPr>
          <w:rFonts w:hint="eastAsia" w:hAnsi="宋体"/>
          <w:color w:val="auto"/>
          <w:highlight w:val="none"/>
        </w:rPr>
        <w:t>不</w:t>
      </w:r>
      <w:r>
        <w:rPr>
          <w:rFonts w:hAnsi="宋体"/>
          <w:color w:val="auto"/>
          <w:highlight w:val="none"/>
        </w:rPr>
        <w:t>论投标结果如何，投标人均应自行承担所有与投标有关的全部费用</w:t>
      </w:r>
      <w:r>
        <w:rPr>
          <w:rFonts w:hint="eastAsia" w:hAnsi="宋体"/>
          <w:color w:val="auto"/>
          <w:highlight w:val="none"/>
        </w:rPr>
        <w:t>（招标文件有相关的规定除外）。</w:t>
      </w:r>
    </w:p>
    <w:bookmarkEnd w:id="21"/>
    <w:bookmarkEnd w:id="22"/>
    <w:p w14:paraId="14913FB8">
      <w:pPr>
        <w:pStyle w:val="29"/>
        <w:spacing w:line="400" w:lineRule="exact"/>
        <w:ind w:firstLine="422" w:firstLineChars="200"/>
        <w:jc w:val="left"/>
        <w:rPr>
          <w:rFonts w:hAnsi="宋体"/>
          <w:b/>
          <w:color w:val="auto"/>
          <w:highlight w:val="none"/>
        </w:rPr>
      </w:pPr>
      <w:r>
        <w:rPr>
          <w:rFonts w:hAnsi="宋体"/>
          <w:b/>
          <w:color w:val="auto"/>
          <w:highlight w:val="none"/>
        </w:rPr>
        <w:t>7</w:t>
      </w:r>
      <w:r>
        <w:rPr>
          <w:rFonts w:hint="eastAsia" w:hAnsi="宋体"/>
          <w:b/>
          <w:color w:val="auto"/>
          <w:highlight w:val="none"/>
        </w:rPr>
        <w:t>.现场踏勘</w:t>
      </w:r>
    </w:p>
    <w:p w14:paraId="5211CA5D">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 xml:space="preserve">.1 投标人须知前附表规定组织踏勘现场的，招标人按投标人须知前附表规定的时间、地点组织投标人踏勘项目现场。 </w:t>
      </w:r>
    </w:p>
    <w:p w14:paraId="047828FC">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.2 投标人踏勘现场发生的费用自理。</w:t>
      </w:r>
    </w:p>
    <w:p w14:paraId="19C8DE65">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.3 除招标人的原因外，投标人自行负责在踏勘现场中所发生的人员伤亡和财产损失。</w:t>
      </w:r>
    </w:p>
    <w:p w14:paraId="14BD09A3">
      <w:pPr>
        <w:pStyle w:val="29"/>
        <w:spacing w:line="400" w:lineRule="exact"/>
        <w:ind w:firstLine="420" w:firstLineChars="200"/>
        <w:jc w:val="left"/>
        <w:rPr>
          <w:rFonts w:hAnsi="宋体"/>
          <w:color w:val="auto"/>
          <w:highlight w:val="none"/>
        </w:rPr>
      </w:pPr>
      <w:r>
        <w:rPr>
          <w:rFonts w:hAnsi="宋体"/>
          <w:color w:val="auto"/>
          <w:highlight w:val="none"/>
        </w:rPr>
        <w:t>7</w:t>
      </w:r>
      <w:r>
        <w:rPr>
          <w:rFonts w:hint="eastAsia" w:hAnsi="宋体"/>
          <w:color w:val="auto"/>
          <w:highlight w:val="none"/>
        </w:rPr>
        <w:t>.4 招标人在踏勘现场中介绍的项目场地和相关的周边环境情况，供投标人在编制投标文件时参考，招标人不对投标人据此作出的判断和决策负责。</w:t>
      </w:r>
    </w:p>
    <w:p w14:paraId="65BBC1E1">
      <w:pPr>
        <w:pStyle w:val="29"/>
        <w:spacing w:line="400" w:lineRule="exact"/>
        <w:ind w:firstLine="422" w:firstLineChars="200"/>
        <w:jc w:val="left"/>
        <w:rPr>
          <w:rFonts w:hAnsi="宋体"/>
          <w:color w:val="auto"/>
          <w:highlight w:val="none"/>
        </w:rPr>
      </w:pPr>
      <w:r>
        <w:rPr>
          <w:rFonts w:hAnsi="宋体"/>
          <w:b/>
          <w:color w:val="auto"/>
          <w:highlight w:val="none"/>
        </w:rPr>
        <w:t>8</w:t>
      </w:r>
      <w:r>
        <w:rPr>
          <w:rFonts w:hint="eastAsia" w:hAnsi="宋体"/>
          <w:b/>
          <w:color w:val="auto"/>
          <w:highlight w:val="none"/>
        </w:rPr>
        <w:t>.</w:t>
      </w:r>
      <w:r>
        <w:rPr>
          <w:rFonts w:hint="eastAsia" w:hAnsi="宋体" w:cs="宋体"/>
          <w:b/>
          <w:color w:val="auto"/>
          <w:kern w:val="0"/>
          <w:highlight w:val="none"/>
        </w:rPr>
        <w:t>转包与分包</w:t>
      </w:r>
    </w:p>
    <w:p w14:paraId="1A657E33">
      <w:pPr>
        <w:snapToGrid w:val="0"/>
        <w:spacing w:line="400" w:lineRule="exact"/>
        <w:ind w:firstLine="420" w:firstLineChars="200"/>
        <w:rPr>
          <w:rFonts w:ascii="宋体" w:hAns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.1本项目不允许转包。</w:t>
      </w:r>
    </w:p>
    <w:p w14:paraId="6E133141">
      <w:pPr>
        <w:snapToGrid w:val="0"/>
        <w:spacing w:line="400" w:lineRule="exact"/>
        <w:ind w:firstLine="420" w:firstLineChars="200"/>
        <w:rPr>
          <w:rFonts w:ascii="宋体" w:hAnsi="宋体"/>
          <w:color w:val="auto"/>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.2本项目不可以分包。</w:t>
      </w:r>
    </w:p>
    <w:p w14:paraId="07C602F2">
      <w:pPr>
        <w:snapToGrid w:val="0"/>
        <w:spacing w:line="400" w:lineRule="exact"/>
        <w:ind w:firstLine="422" w:firstLineChars="200"/>
        <w:rPr>
          <w:rFonts w:ascii="宋体" w:hAnsi="宋体"/>
          <w:color w:val="auto"/>
          <w:szCs w:val="21"/>
          <w:highlight w:val="none"/>
        </w:rPr>
      </w:pPr>
      <w:r>
        <w:rPr>
          <w:rFonts w:ascii="宋体" w:hAnsi="宋体"/>
          <w:b/>
          <w:color w:val="auto"/>
          <w:szCs w:val="21"/>
          <w:highlight w:val="none"/>
        </w:rPr>
        <w:t>9</w:t>
      </w:r>
      <w:r>
        <w:rPr>
          <w:rFonts w:hint="eastAsia" w:ascii="宋体" w:hAnsi="宋体"/>
          <w:b/>
          <w:color w:val="auto"/>
          <w:szCs w:val="21"/>
          <w:highlight w:val="none"/>
        </w:rPr>
        <w:t>.</w:t>
      </w:r>
      <w:r>
        <w:rPr>
          <w:rFonts w:hint="eastAsia" w:ascii="宋体" w:hAnsi="宋体" w:cs="宋体"/>
          <w:b/>
          <w:color w:val="auto"/>
          <w:szCs w:val="21"/>
          <w:highlight w:val="none"/>
        </w:rPr>
        <w:t>特别说明</w:t>
      </w:r>
    </w:p>
    <w:p w14:paraId="6AE1433A">
      <w:pPr>
        <w:snapToGrid w:val="0"/>
        <w:spacing w:line="400" w:lineRule="exact"/>
        <w:ind w:firstLine="420" w:firstLineChars="200"/>
        <w:rPr>
          <w:rFonts w:ascii="宋体" w:hAnsi="宋体"/>
          <w:color w:val="auto"/>
          <w:szCs w:val="21"/>
          <w:highlight w:val="none"/>
        </w:rPr>
      </w:pPr>
      <w:r>
        <w:rPr>
          <w:rFonts w:ascii="宋体" w:hAnsi="宋体" w:cs="宋体"/>
          <w:color w:val="auto"/>
          <w:highlight w:val="none"/>
        </w:rPr>
        <w:t>9</w:t>
      </w: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投标人应仔细阅读招标文件的所有内容，按照招标文件的要求提交投标文件，并对所提供的全部资料的真实性承担法律责任。</w:t>
      </w:r>
      <w:r>
        <w:rPr>
          <w:rFonts w:hint="eastAsia" w:ascii="宋体" w:hAnsi="宋体" w:cs="宋体"/>
          <w:color w:val="auto"/>
          <w:szCs w:val="21"/>
          <w:highlight w:val="none"/>
        </w:rPr>
        <w:t>投标人在投标活动中提供任何虚假材料，其投标无效，并报监管部门查处；中标后发现的，中标人须依照《中华人民共和国民法典》之规定赔偿招标人，且民事赔偿并不免除违法投标人的行政与刑事责任。</w:t>
      </w:r>
    </w:p>
    <w:p w14:paraId="1C97A037">
      <w:pPr>
        <w:spacing w:line="400" w:lineRule="exact"/>
        <w:ind w:firstLine="422" w:firstLineChars="200"/>
        <w:rPr>
          <w:rFonts w:ascii="宋体" w:hAnsi="宋体"/>
          <w:b/>
          <w:color w:val="auto"/>
          <w:highlight w:val="none"/>
        </w:rPr>
      </w:pPr>
      <w:bookmarkStart w:id="23" w:name="_Toc535850393"/>
      <w:bookmarkStart w:id="24" w:name="_Toc254970674"/>
      <w:bookmarkStart w:id="25" w:name="_Toc535850432"/>
      <w:bookmarkStart w:id="26" w:name="_Toc254970533"/>
      <w:r>
        <w:rPr>
          <w:rFonts w:ascii="宋体" w:hAnsi="宋体"/>
          <w:b/>
          <w:color w:val="auto"/>
          <w:highlight w:val="none"/>
        </w:rPr>
        <w:t>10</w:t>
      </w:r>
      <w:r>
        <w:rPr>
          <w:rFonts w:hint="eastAsia" w:ascii="宋体" w:hAnsi="宋体"/>
          <w:b/>
          <w:color w:val="auto"/>
          <w:highlight w:val="none"/>
        </w:rPr>
        <w:t>.质疑和投诉</w:t>
      </w:r>
      <w:bookmarkEnd w:id="23"/>
      <w:bookmarkEnd w:id="24"/>
      <w:bookmarkEnd w:id="25"/>
      <w:bookmarkEnd w:id="26"/>
    </w:p>
    <w:p w14:paraId="7CEA12AB">
      <w:pPr>
        <w:pStyle w:val="29"/>
        <w:snapToGrid w:val="0"/>
        <w:spacing w:line="400" w:lineRule="exact"/>
        <w:ind w:firstLine="420" w:firstLineChars="200"/>
        <w:rPr>
          <w:rFonts w:hAnsi="宋体"/>
          <w:color w:val="auto"/>
          <w:highlight w:val="none"/>
        </w:rPr>
      </w:pPr>
      <w:r>
        <w:rPr>
          <w:rFonts w:hAnsi="宋体"/>
          <w:bCs/>
          <w:color w:val="auto"/>
          <w:highlight w:val="none"/>
        </w:rPr>
        <w:t>10</w:t>
      </w:r>
      <w:r>
        <w:rPr>
          <w:rFonts w:hint="eastAsia" w:hAnsi="宋体"/>
          <w:bCs/>
          <w:color w:val="auto"/>
          <w:highlight w:val="none"/>
        </w:rPr>
        <w:t>.1投标人认为招标文件、招标过程或中标结果使自己的合法权益受到损害的，应当在知道或者应知其权益受到损害之日起七个工作日内，以书面形式向招标人、采购代理机构一次性提出</w:t>
      </w:r>
      <w:r>
        <w:rPr>
          <w:rFonts w:hAnsi="宋体" w:cs="Arial"/>
          <w:color w:val="auto"/>
          <w:kern w:val="0"/>
          <w:highlight w:val="none"/>
        </w:rPr>
        <w:t>针对</w:t>
      </w:r>
      <w:r>
        <w:rPr>
          <w:rFonts w:hint="eastAsia" w:hAnsi="宋体"/>
          <w:bCs/>
          <w:color w:val="auto"/>
          <w:highlight w:val="none"/>
        </w:rPr>
        <w:t>同一采购程序的质疑。招标采购单位应当在收到投标人的书面质疑后七个工作日内作出答复，并以书面形式通知质疑投标人和其他有关投标人，但答复内容不得涉及商业秘密。</w:t>
      </w:r>
      <w:r>
        <w:rPr>
          <w:rFonts w:hint="eastAsia" w:hAnsi="宋体"/>
          <w:color w:val="auto"/>
          <w:highlight w:val="none"/>
        </w:rPr>
        <w:t>投标人对招标采购单位的质疑答复不满意或者招标采购单位未在规定时间内作出答复的，可以在答复期满后十五个工作日内向同级采购监管部门投诉。本条投标人应知其权益受到损害之日，是指：</w:t>
      </w:r>
    </w:p>
    <w:p w14:paraId="0D0E81A1">
      <w:pPr>
        <w:pStyle w:val="29"/>
        <w:snapToGrid w:val="0"/>
        <w:spacing w:line="400" w:lineRule="exact"/>
        <w:ind w:firstLine="420" w:firstLineChars="200"/>
        <w:rPr>
          <w:rFonts w:hAnsi="宋体"/>
          <w:color w:val="auto"/>
          <w:highlight w:val="none"/>
        </w:rPr>
      </w:pPr>
      <w:r>
        <w:rPr>
          <w:rFonts w:hAnsi="宋体"/>
          <w:color w:val="auto"/>
          <w:highlight w:val="none"/>
        </w:rPr>
        <w:t>10.1.1</w:t>
      </w:r>
      <w:r>
        <w:rPr>
          <w:rFonts w:hint="eastAsia" w:hAnsi="宋体"/>
          <w:color w:val="auto"/>
          <w:highlight w:val="none"/>
        </w:rPr>
        <w:t>对可以质疑的招标文件提出质疑的，为收到招标文件之日或者招标公告期限届满之日；</w:t>
      </w:r>
    </w:p>
    <w:p w14:paraId="50A94D4B">
      <w:pPr>
        <w:pStyle w:val="29"/>
        <w:snapToGrid w:val="0"/>
        <w:spacing w:line="400" w:lineRule="exact"/>
        <w:ind w:firstLine="420" w:firstLineChars="200"/>
        <w:rPr>
          <w:rFonts w:hAnsi="宋体"/>
          <w:color w:val="auto"/>
          <w:highlight w:val="none"/>
        </w:rPr>
      </w:pPr>
      <w:r>
        <w:rPr>
          <w:rFonts w:hAnsi="宋体"/>
          <w:color w:val="auto"/>
          <w:highlight w:val="none"/>
        </w:rPr>
        <w:t>10.1.2</w:t>
      </w:r>
      <w:r>
        <w:rPr>
          <w:rFonts w:hint="eastAsia" w:hAnsi="宋体"/>
          <w:color w:val="auto"/>
          <w:highlight w:val="none"/>
        </w:rPr>
        <w:t>对采购过程提出质疑的，为各采购程序环节结束之日；</w:t>
      </w:r>
    </w:p>
    <w:p w14:paraId="3AFAB44F">
      <w:pPr>
        <w:pStyle w:val="29"/>
        <w:snapToGrid w:val="0"/>
        <w:spacing w:line="400" w:lineRule="exact"/>
        <w:ind w:firstLine="420" w:firstLineChars="200"/>
        <w:rPr>
          <w:rFonts w:hAnsi="宋体"/>
          <w:color w:val="auto"/>
          <w:highlight w:val="none"/>
        </w:rPr>
      </w:pPr>
      <w:r>
        <w:rPr>
          <w:rFonts w:hAnsi="宋体"/>
          <w:color w:val="auto"/>
          <w:highlight w:val="none"/>
        </w:rPr>
        <w:t>10.1.3</w:t>
      </w:r>
      <w:r>
        <w:rPr>
          <w:rFonts w:hint="eastAsia" w:hAnsi="宋体"/>
          <w:color w:val="auto"/>
          <w:highlight w:val="none"/>
        </w:rPr>
        <w:t>对中标结果提出质疑的，为中标公告期限届满之日。</w:t>
      </w:r>
    </w:p>
    <w:p w14:paraId="074F47AB">
      <w:pPr>
        <w:pStyle w:val="29"/>
        <w:snapToGrid w:val="0"/>
        <w:spacing w:line="400" w:lineRule="exact"/>
        <w:ind w:firstLine="420" w:firstLineChars="200"/>
        <w:rPr>
          <w:rFonts w:hAnsi="宋体"/>
          <w:bCs/>
          <w:color w:val="auto"/>
          <w:highlight w:val="none"/>
        </w:rPr>
      </w:pPr>
      <w:r>
        <w:rPr>
          <w:rFonts w:hAnsi="宋体"/>
          <w:bCs/>
          <w:color w:val="auto"/>
          <w:highlight w:val="none"/>
        </w:rPr>
        <w:t>10</w:t>
      </w:r>
      <w:r>
        <w:rPr>
          <w:rFonts w:hint="eastAsia" w:hAnsi="宋体"/>
          <w:bCs/>
          <w:color w:val="auto"/>
          <w:highlight w:val="none"/>
        </w:rPr>
        <w:t>.2质疑、投诉应当采用书面形式，质疑书、投诉书均应当有明确的请求和必要的证明材料。投标人投诉的事项不得超出已质疑事项的范围。</w:t>
      </w:r>
    </w:p>
    <w:p w14:paraId="18FE433E">
      <w:pPr>
        <w:pStyle w:val="29"/>
        <w:snapToGrid w:val="0"/>
        <w:spacing w:line="400" w:lineRule="exact"/>
        <w:ind w:firstLine="420" w:firstLineChars="200"/>
        <w:rPr>
          <w:rFonts w:hAnsi="宋体"/>
          <w:bCs/>
          <w:color w:val="auto"/>
          <w:highlight w:val="none"/>
        </w:rPr>
      </w:pPr>
      <w:r>
        <w:rPr>
          <w:rFonts w:hAnsi="宋体"/>
          <w:bCs/>
          <w:color w:val="auto"/>
          <w:highlight w:val="none"/>
        </w:rPr>
        <w:t>10</w:t>
      </w:r>
      <w:r>
        <w:rPr>
          <w:rFonts w:hint="eastAsia" w:hAnsi="宋体"/>
          <w:bCs/>
          <w:color w:val="auto"/>
          <w:highlight w:val="none"/>
        </w:rPr>
        <w:t>.3接收质疑书、投诉书的联系部门、联系电话和通讯地址等信息见招标公告中公布的招标人、采购代理机构及监督管理部门的名称、联系电话、通讯地址。</w:t>
      </w:r>
    </w:p>
    <w:p w14:paraId="64EE8BA7">
      <w:pPr>
        <w:pStyle w:val="29"/>
        <w:snapToGrid w:val="0"/>
        <w:spacing w:line="400" w:lineRule="exact"/>
        <w:ind w:firstLine="640" w:firstLineChars="200"/>
        <w:rPr>
          <w:rFonts w:hAnsi="宋体"/>
          <w:bCs/>
          <w:color w:val="auto"/>
          <w:sz w:val="32"/>
          <w:szCs w:val="32"/>
          <w:highlight w:val="none"/>
        </w:rPr>
      </w:pPr>
    </w:p>
    <w:p w14:paraId="35F0ABEC">
      <w:pPr>
        <w:jc w:val="center"/>
        <w:rPr>
          <w:rFonts w:ascii="宋体" w:hAnsi="宋体"/>
          <w:b/>
          <w:color w:val="auto"/>
          <w:sz w:val="30"/>
          <w:szCs w:val="30"/>
          <w:highlight w:val="none"/>
        </w:rPr>
      </w:pPr>
      <w:bookmarkStart w:id="27" w:name="_Toc535850394"/>
      <w:bookmarkStart w:id="28" w:name="_Toc254970534"/>
      <w:bookmarkStart w:id="29" w:name="_Toc254970675"/>
      <w:bookmarkStart w:id="30" w:name="_Toc535850433"/>
      <w:r>
        <w:rPr>
          <w:rFonts w:hint="eastAsia" w:ascii="宋体" w:hAnsi="宋体"/>
          <w:b/>
          <w:color w:val="auto"/>
          <w:sz w:val="30"/>
          <w:szCs w:val="30"/>
          <w:highlight w:val="none"/>
        </w:rPr>
        <w:t>二、招标文件</w:t>
      </w:r>
      <w:bookmarkEnd w:id="27"/>
      <w:bookmarkEnd w:id="28"/>
      <w:bookmarkEnd w:id="29"/>
      <w:bookmarkEnd w:id="30"/>
    </w:p>
    <w:p w14:paraId="4653ED69">
      <w:pPr>
        <w:pStyle w:val="29"/>
        <w:snapToGrid w:val="0"/>
        <w:spacing w:line="420" w:lineRule="exact"/>
        <w:ind w:firstLine="643" w:firstLineChars="200"/>
        <w:jc w:val="center"/>
        <w:outlineLvl w:val="0"/>
        <w:rPr>
          <w:rFonts w:hAnsi="宋体"/>
          <w:b/>
          <w:color w:val="auto"/>
          <w:sz w:val="32"/>
          <w:szCs w:val="32"/>
          <w:highlight w:val="none"/>
        </w:rPr>
      </w:pPr>
    </w:p>
    <w:p w14:paraId="1F274380">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9.招标文件的构成</w:t>
      </w:r>
    </w:p>
    <w:p w14:paraId="4262CCCE">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9.1本招标文件由以下部份组成：</w:t>
      </w:r>
    </w:p>
    <w:p w14:paraId="7711462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.1.1</w:t>
      </w:r>
      <w:r>
        <w:rPr>
          <w:rFonts w:hint="eastAsia" w:ascii="宋体" w:hAnsi="宋体"/>
          <w:color w:val="auto"/>
          <w:szCs w:val="21"/>
          <w:highlight w:val="none"/>
        </w:rPr>
        <w:t>公开招标公告；</w:t>
      </w:r>
    </w:p>
    <w:p w14:paraId="2CF74BA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.1.2</w:t>
      </w:r>
      <w:r>
        <w:rPr>
          <w:rFonts w:hint="eastAsia" w:ascii="宋体" w:hAnsi="宋体"/>
          <w:color w:val="auto"/>
          <w:szCs w:val="21"/>
          <w:highlight w:val="none"/>
        </w:rPr>
        <w:t>招标项目采购需求；</w:t>
      </w:r>
    </w:p>
    <w:p w14:paraId="7248C51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.1.3</w:t>
      </w:r>
      <w:r>
        <w:rPr>
          <w:rFonts w:hint="eastAsia" w:ascii="宋体" w:hAnsi="宋体"/>
          <w:color w:val="auto"/>
          <w:szCs w:val="21"/>
          <w:highlight w:val="none"/>
        </w:rPr>
        <w:t>投标人须知；</w:t>
      </w:r>
    </w:p>
    <w:p w14:paraId="61F0DDF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.1.4</w:t>
      </w:r>
      <w:r>
        <w:rPr>
          <w:rFonts w:hint="eastAsia" w:ascii="宋体" w:hAnsi="宋体"/>
          <w:color w:val="auto"/>
          <w:szCs w:val="21"/>
          <w:highlight w:val="none"/>
        </w:rPr>
        <w:t>评标办法及评分标准；</w:t>
      </w:r>
    </w:p>
    <w:p w14:paraId="707C6E9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.1.5</w:t>
      </w:r>
      <w:r>
        <w:rPr>
          <w:rFonts w:hint="eastAsia" w:ascii="宋体" w:hAnsi="宋体"/>
          <w:color w:val="auto"/>
          <w:szCs w:val="21"/>
          <w:highlight w:val="none"/>
        </w:rPr>
        <w:t>政府采购合同主要条款；</w:t>
      </w:r>
    </w:p>
    <w:p w14:paraId="011A05B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.1.6</w:t>
      </w:r>
      <w:r>
        <w:rPr>
          <w:rFonts w:hint="eastAsia" w:ascii="宋体" w:hAnsi="宋体"/>
          <w:color w:val="auto"/>
          <w:szCs w:val="21"/>
          <w:highlight w:val="none"/>
        </w:rPr>
        <w:t>投标文件格式。</w:t>
      </w:r>
    </w:p>
    <w:p w14:paraId="754A8232">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9.2 </w:t>
      </w:r>
      <w:r>
        <w:rPr>
          <w:rFonts w:ascii="宋体" w:hAnsi="宋体"/>
          <w:b/>
          <w:color w:val="auto"/>
          <w:szCs w:val="21"/>
          <w:highlight w:val="none"/>
        </w:rPr>
        <w:t>根据本章第</w:t>
      </w:r>
      <w:r>
        <w:rPr>
          <w:rFonts w:hint="eastAsia" w:ascii="宋体" w:hAnsi="宋体"/>
          <w:b/>
          <w:color w:val="auto"/>
          <w:szCs w:val="21"/>
          <w:highlight w:val="none"/>
        </w:rPr>
        <w:t>11</w:t>
      </w:r>
      <w:r>
        <w:rPr>
          <w:rFonts w:ascii="宋体" w:hAnsi="宋体"/>
          <w:b/>
          <w:color w:val="auto"/>
          <w:szCs w:val="21"/>
          <w:highlight w:val="none"/>
        </w:rPr>
        <w:t>.</w:t>
      </w:r>
      <w:r>
        <w:rPr>
          <w:rFonts w:hint="eastAsia" w:ascii="宋体" w:hAnsi="宋体"/>
          <w:b/>
          <w:color w:val="auto"/>
          <w:szCs w:val="21"/>
          <w:highlight w:val="none"/>
        </w:rPr>
        <w:t>1</w:t>
      </w:r>
      <w:r>
        <w:rPr>
          <w:rFonts w:ascii="宋体" w:hAnsi="宋体"/>
          <w:b/>
          <w:color w:val="auto"/>
          <w:szCs w:val="21"/>
          <w:highlight w:val="none"/>
        </w:rPr>
        <w:t>款对招标文件所作的澄清、修改，构成招标文件的组成部分。</w:t>
      </w:r>
    </w:p>
    <w:p w14:paraId="0C665B66">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10.投标人的风险</w:t>
      </w:r>
    </w:p>
    <w:p w14:paraId="29A0C3EB">
      <w:pPr>
        <w:spacing w:line="400" w:lineRule="exact"/>
        <w:ind w:firstLine="420" w:firstLineChars="200"/>
        <w:rPr>
          <w:rFonts w:ascii="宋体" w:hAnsi="宋体"/>
          <w:color w:val="auto"/>
          <w:highlight w:val="none"/>
        </w:rPr>
      </w:pPr>
      <w:r>
        <w:rPr>
          <w:rFonts w:hint="eastAsia" w:ascii="宋体" w:hAnsi="宋体"/>
          <w:color w:val="auto"/>
          <w:highlight w:val="none"/>
        </w:rPr>
        <w:t>投标人没有按照招标文件要求提供全部资料，或者投标人没有对招标文件在各方面作出实质性响应是投标人的风险，并可能导致其投标被拒绝。</w:t>
      </w:r>
    </w:p>
    <w:p w14:paraId="2F34D550">
      <w:pPr>
        <w:spacing w:line="400" w:lineRule="exact"/>
        <w:ind w:firstLine="420" w:firstLineChars="200"/>
        <w:rPr>
          <w:rFonts w:ascii="宋体" w:hAnsi="宋体"/>
          <w:color w:val="auto"/>
          <w:highlight w:val="none"/>
        </w:rPr>
      </w:pPr>
      <w:r>
        <w:rPr>
          <w:rFonts w:hint="eastAsia" w:ascii="宋体" w:hAnsi="宋体"/>
          <w:color w:val="auto"/>
          <w:highlight w:val="none"/>
        </w:rPr>
        <w:t xml:space="preserve">11.招标文件的澄清与修改 </w:t>
      </w:r>
    </w:p>
    <w:p w14:paraId="53E6C188">
      <w:pPr>
        <w:spacing w:line="400" w:lineRule="exact"/>
        <w:ind w:firstLine="420" w:firstLineChars="200"/>
        <w:rPr>
          <w:rFonts w:ascii="宋体" w:hAnsi="宋体"/>
          <w:color w:val="auto"/>
          <w:highlight w:val="none"/>
        </w:rPr>
      </w:pPr>
      <w:r>
        <w:rPr>
          <w:rFonts w:ascii="宋体" w:hAnsi="宋体"/>
          <w:color w:val="auto"/>
          <w:highlight w:val="none"/>
        </w:rPr>
        <w:t>11.1</w:t>
      </w:r>
      <w:r>
        <w:rPr>
          <w:rFonts w:hint="eastAsia" w:ascii="宋体" w:hAnsi="宋体"/>
          <w:bCs/>
          <w:color w:val="auto"/>
          <w:highlight w:val="none"/>
        </w:rPr>
        <w:t>投标人应仔细阅读和检查招标文件的全部内容。如发现缺页或附件不全，应及时向招标人提出，以便补齐。如有疑问或异议，应在“投标人须知前附表”规定的时间前，书面要求招标采购单位对招标文件予以澄清。</w:t>
      </w:r>
      <w:r>
        <w:rPr>
          <w:rFonts w:hint="eastAsia" w:ascii="宋体" w:hAnsi="宋体"/>
          <w:color w:val="auto"/>
          <w:highlight w:val="none"/>
        </w:rPr>
        <w:t>采购代理机构对已发出的招标文件进行必要澄清、修改或补充的，该澄清、修改或补充的内容可能影响投标文件编制的，采购代理机构应当在招标文件要求提交投标文件截止时间十五日前，在财政部门指定的政府采购信息发布媒体上发布更正公告，并以书面形式通知所有招标文件收受人；不足十五日的，招标采购单位将顺延提交投标文件的截止时间。</w:t>
      </w:r>
    </w:p>
    <w:p w14:paraId="4DA71221">
      <w:pPr>
        <w:pStyle w:val="29"/>
        <w:snapToGrid w:val="0"/>
        <w:spacing w:line="440" w:lineRule="exact"/>
        <w:ind w:firstLine="420" w:firstLineChars="200"/>
        <w:rPr>
          <w:rFonts w:hAnsi="宋体"/>
          <w:color w:val="auto"/>
          <w:highlight w:val="none"/>
        </w:rPr>
      </w:pPr>
      <w:r>
        <w:rPr>
          <w:rFonts w:hint="eastAsia" w:hAnsi="宋体"/>
          <w:color w:val="auto"/>
          <w:highlight w:val="none"/>
        </w:rPr>
        <w:t>11.2招标文件澄清、修改、补充的内容为招标文件的组成部分。当招标文件与招标文件的澄清、修改、补充通知就同一内容的表述不一致时，以最后发出的书面文件为准。</w:t>
      </w:r>
    </w:p>
    <w:p w14:paraId="7293B18B">
      <w:pPr>
        <w:pStyle w:val="29"/>
        <w:snapToGrid w:val="0"/>
        <w:spacing w:line="440" w:lineRule="exact"/>
        <w:ind w:firstLine="420" w:firstLineChars="200"/>
        <w:rPr>
          <w:rFonts w:hAnsi="宋体"/>
          <w:color w:val="auto"/>
          <w:highlight w:val="none"/>
        </w:rPr>
      </w:pPr>
      <w:r>
        <w:rPr>
          <w:rFonts w:hint="eastAsia" w:hAnsi="宋体"/>
          <w:color w:val="auto"/>
          <w:highlight w:val="none"/>
        </w:rPr>
        <w:t>11.3招标采购单位可以视采购具体情况，延长投标截止时间和开标时间，但至少应当在招标文件要求提交投标文件的截止时间三日前将变更时间书面通知所有招标文件收受人，并在财政部门指定的政府采购信息发布媒体上发布变更公告。</w:t>
      </w:r>
    </w:p>
    <w:p w14:paraId="52301C88">
      <w:pPr>
        <w:ind w:firstLine="602" w:firstLineChars="200"/>
        <w:jc w:val="center"/>
        <w:rPr>
          <w:rFonts w:ascii="宋体" w:hAnsi="宋体"/>
          <w:b/>
          <w:color w:val="auto"/>
          <w:sz w:val="30"/>
          <w:szCs w:val="30"/>
          <w:highlight w:val="none"/>
        </w:rPr>
      </w:pPr>
      <w:bookmarkStart w:id="31" w:name="_Toc254970676"/>
      <w:bookmarkStart w:id="32" w:name="_Toc254970535"/>
      <w:r>
        <w:rPr>
          <w:rFonts w:hint="eastAsia" w:ascii="宋体" w:hAnsi="宋体"/>
          <w:b/>
          <w:color w:val="auto"/>
          <w:sz w:val="30"/>
          <w:szCs w:val="30"/>
          <w:highlight w:val="none"/>
        </w:rPr>
        <w:t>三、投标文件的编制</w:t>
      </w:r>
      <w:bookmarkEnd w:id="31"/>
      <w:bookmarkEnd w:id="32"/>
    </w:p>
    <w:p w14:paraId="0615CA9A">
      <w:pPr>
        <w:pStyle w:val="29"/>
        <w:snapToGrid w:val="0"/>
        <w:spacing w:line="440" w:lineRule="exact"/>
        <w:ind w:firstLine="643" w:firstLineChars="200"/>
        <w:jc w:val="center"/>
        <w:outlineLvl w:val="1"/>
        <w:rPr>
          <w:rFonts w:hAnsi="宋体"/>
          <w:b/>
          <w:color w:val="auto"/>
          <w:sz w:val="32"/>
          <w:szCs w:val="32"/>
          <w:highlight w:val="none"/>
        </w:rPr>
      </w:pPr>
    </w:p>
    <w:p w14:paraId="3F7BD241">
      <w:pPr>
        <w:widowControl/>
        <w:spacing w:line="360" w:lineRule="auto"/>
        <w:ind w:firstLine="310" w:firstLineChars="147"/>
        <w:textAlignment w:val="baseline"/>
        <w:rPr>
          <w:rFonts w:ascii="宋体" w:hAnsi="宋体"/>
          <w:b/>
          <w:color w:val="auto"/>
          <w:szCs w:val="21"/>
          <w:highlight w:val="none"/>
        </w:rPr>
      </w:pPr>
      <w:bookmarkStart w:id="33" w:name="_Toc254970677"/>
      <w:bookmarkStart w:id="34" w:name="_Toc535850434"/>
      <w:bookmarkStart w:id="35" w:name="_Toc535850395"/>
      <w:bookmarkStart w:id="36" w:name="_Toc254970536"/>
      <w:r>
        <w:rPr>
          <w:rFonts w:hint="eastAsia" w:ascii="宋体" w:hAnsi="宋体"/>
          <w:b/>
          <w:color w:val="auto"/>
          <w:szCs w:val="21"/>
          <w:highlight w:val="none"/>
        </w:rPr>
        <w:t>投标</w:t>
      </w:r>
      <w:r>
        <w:rPr>
          <w:rFonts w:ascii="宋体" w:hAnsi="宋体"/>
          <w:b/>
          <w:color w:val="auto"/>
          <w:szCs w:val="21"/>
          <w:highlight w:val="none"/>
        </w:rPr>
        <w:t>文件编制</w:t>
      </w:r>
      <w:r>
        <w:rPr>
          <w:rFonts w:hint="eastAsia" w:ascii="宋体" w:hAnsi="宋体"/>
          <w:b/>
          <w:color w:val="auto"/>
          <w:szCs w:val="21"/>
          <w:highlight w:val="none"/>
        </w:rPr>
        <w:t>的</w:t>
      </w:r>
      <w:r>
        <w:rPr>
          <w:rFonts w:ascii="宋体" w:hAnsi="宋体"/>
          <w:b/>
          <w:color w:val="auto"/>
          <w:szCs w:val="21"/>
          <w:highlight w:val="none"/>
        </w:rPr>
        <w:t xml:space="preserve">基本要求 </w:t>
      </w:r>
    </w:p>
    <w:p w14:paraId="6DC369B4">
      <w:pPr>
        <w:widowControl/>
        <w:spacing w:line="440" w:lineRule="exact"/>
        <w:ind w:firstLine="360"/>
        <w:textAlignment w:val="baseline"/>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.1.本项目实行电子投标，投标人应准备电子投标文件：</w:t>
      </w:r>
    </w:p>
    <w:p w14:paraId="7FE82B62">
      <w:pPr>
        <w:widowControl/>
        <w:spacing w:line="440" w:lineRule="exact"/>
        <w:ind w:firstLine="36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1.1电子投标文件按广西政府采购云平台要求及本公开招标文件要求制作、加密并递交。具体操作流程可参考《政府采购项目电子交易管理操作指南-供应商》，指南可在“http://www.ccgp-guangxi.gov.cn/PurchaseAdvisory/ImportantNotice/2866753.html”下载。</w:t>
      </w:r>
    </w:p>
    <w:p w14:paraId="7A37B9A8">
      <w:pPr>
        <w:widowControl/>
        <w:spacing w:line="440" w:lineRule="exact"/>
        <w:ind w:firstLine="360"/>
        <w:textAlignment w:val="baseline"/>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1.2电子投标文件启用顺序和效力：电子投标文件的启用，按先后顺位分别为电子投标文件、电子备份投标文件。若投标人在规定时间内无法解密或解密失败，可以以电子备份电子投标文件作为依据，若电子备份投标文件与广西政府采购云平台上传的电子投标文件被识别为不一致的，以电子备份投标文件作为评审依据；投标人按时在线解密投标文件的，以在线解密的投标文件作为评审依据。若投标人在规定时间内无法解密或解密失败且未提供电子备份投标文件的，视为投标文件撤回。</w:t>
      </w:r>
    </w:p>
    <w:p w14:paraId="06AC1D9B">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2投标人应按采购文件的要求</w:t>
      </w:r>
      <w:r>
        <w:rPr>
          <w:rFonts w:ascii="宋体" w:hAnsi="宋体"/>
          <w:color w:val="auto"/>
          <w:szCs w:val="21"/>
          <w:highlight w:val="none"/>
        </w:rPr>
        <w:t>对公开招标</w:t>
      </w:r>
      <w:r>
        <w:rPr>
          <w:rFonts w:hint="eastAsia" w:ascii="宋体" w:hAnsi="宋体"/>
          <w:color w:val="auto"/>
          <w:szCs w:val="21"/>
          <w:highlight w:val="none"/>
        </w:rPr>
        <w:t>电子投标</w:t>
      </w:r>
      <w:r>
        <w:rPr>
          <w:rFonts w:ascii="宋体" w:hAnsi="宋体"/>
          <w:color w:val="auto"/>
          <w:szCs w:val="21"/>
          <w:highlight w:val="none"/>
        </w:rPr>
        <w:t>文件</w:t>
      </w:r>
      <w:r>
        <w:rPr>
          <w:rFonts w:hint="eastAsia" w:ascii="宋体" w:hAnsi="宋体"/>
          <w:color w:val="auto"/>
          <w:szCs w:val="21"/>
          <w:highlight w:val="none"/>
        </w:rPr>
        <w:t>进行</w:t>
      </w:r>
      <w:r>
        <w:rPr>
          <w:rFonts w:ascii="宋体" w:hAnsi="宋体"/>
          <w:color w:val="auto"/>
          <w:szCs w:val="21"/>
          <w:highlight w:val="none"/>
        </w:rPr>
        <w:t xml:space="preserve">编制。  </w:t>
      </w:r>
    </w:p>
    <w:p w14:paraId="7F32180C">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3投标人</w:t>
      </w:r>
      <w:r>
        <w:rPr>
          <w:rFonts w:ascii="宋体" w:hAnsi="宋体"/>
          <w:color w:val="auto"/>
          <w:szCs w:val="21"/>
          <w:highlight w:val="none"/>
        </w:rPr>
        <w:t>提交的公开</w:t>
      </w:r>
      <w:r>
        <w:rPr>
          <w:rFonts w:hint="eastAsia" w:ascii="宋体" w:hAnsi="宋体"/>
          <w:color w:val="auto"/>
          <w:szCs w:val="21"/>
          <w:highlight w:val="none"/>
        </w:rPr>
        <w:t>电子投标</w:t>
      </w:r>
      <w:r>
        <w:rPr>
          <w:rFonts w:ascii="宋体" w:hAnsi="宋体"/>
          <w:color w:val="auto"/>
          <w:szCs w:val="21"/>
          <w:highlight w:val="none"/>
        </w:rPr>
        <w:t>文件以及</w:t>
      </w:r>
      <w:r>
        <w:rPr>
          <w:rFonts w:hint="eastAsia" w:ascii="宋体" w:hAnsi="宋体"/>
          <w:color w:val="auto"/>
          <w:szCs w:val="21"/>
          <w:highlight w:val="none"/>
        </w:rPr>
        <w:t>投标人</w:t>
      </w:r>
      <w:r>
        <w:rPr>
          <w:rFonts w:ascii="宋体" w:hAnsi="宋体"/>
          <w:color w:val="auto"/>
          <w:szCs w:val="21"/>
          <w:highlight w:val="none"/>
        </w:rPr>
        <w:t>与本公司和采购人就有关招标的所有来往函电均应使用中文。</w:t>
      </w:r>
      <w:r>
        <w:rPr>
          <w:rFonts w:hint="eastAsia" w:ascii="宋体" w:hAnsi="宋体"/>
          <w:color w:val="auto"/>
          <w:szCs w:val="21"/>
          <w:highlight w:val="none"/>
        </w:rPr>
        <w:t>投标人</w:t>
      </w:r>
      <w:r>
        <w:rPr>
          <w:rFonts w:ascii="宋体" w:hAnsi="宋体"/>
          <w:color w:val="auto"/>
          <w:szCs w:val="21"/>
          <w:highlight w:val="none"/>
        </w:rPr>
        <w:t>提交的支持文件和印刷的文献可以使用别的语言，但其相应内容必须附有中文翻译文本，在解释公开</w:t>
      </w:r>
      <w:r>
        <w:rPr>
          <w:rFonts w:hint="eastAsia" w:ascii="宋体" w:hAnsi="宋体"/>
          <w:color w:val="auto"/>
          <w:szCs w:val="21"/>
          <w:highlight w:val="none"/>
        </w:rPr>
        <w:t>电子投标</w:t>
      </w:r>
      <w:r>
        <w:rPr>
          <w:rFonts w:ascii="宋体" w:hAnsi="宋体"/>
          <w:color w:val="auto"/>
          <w:szCs w:val="21"/>
          <w:highlight w:val="none"/>
        </w:rPr>
        <w:t xml:space="preserve">文件时以翻译文本为主。  </w:t>
      </w:r>
    </w:p>
    <w:p w14:paraId="27036627">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4投标人</w:t>
      </w:r>
      <w:r>
        <w:rPr>
          <w:rFonts w:ascii="宋体" w:hAnsi="宋体"/>
          <w:color w:val="auto"/>
          <w:szCs w:val="21"/>
          <w:highlight w:val="none"/>
        </w:rPr>
        <w:t xml:space="preserve">应认真阅读、并充分理解本文件的全部内容（包括所有的澄清、更改、补充、答疑等内容），承诺并履行本文件中各项条款规定及要求 。  </w:t>
      </w:r>
    </w:p>
    <w:p w14:paraId="5AB5E76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3.5公开</w:t>
      </w:r>
      <w:r>
        <w:rPr>
          <w:rFonts w:hint="eastAsia" w:ascii="宋体" w:hAnsi="宋体"/>
          <w:color w:val="auto"/>
          <w:szCs w:val="21"/>
          <w:highlight w:val="none"/>
        </w:rPr>
        <w:t>电子投标</w:t>
      </w:r>
      <w:r>
        <w:rPr>
          <w:rFonts w:ascii="宋体" w:hAnsi="宋体"/>
          <w:color w:val="auto"/>
          <w:szCs w:val="21"/>
          <w:highlight w:val="none"/>
        </w:rPr>
        <w:t>文件必须按本文件的全部内容，包括所有的澄清、更改、补充、答疑等内容及附件进行编制。</w:t>
      </w:r>
    </w:p>
    <w:p w14:paraId="6B9F4B8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6</w:t>
      </w:r>
      <w:r>
        <w:rPr>
          <w:rFonts w:ascii="宋体" w:hAnsi="宋体"/>
          <w:color w:val="auto"/>
          <w:szCs w:val="21"/>
          <w:highlight w:val="none"/>
        </w:rPr>
        <w:t xml:space="preserve"> 如因</w:t>
      </w:r>
      <w:r>
        <w:rPr>
          <w:rFonts w:hint="eastAsia" w:ascii="宋体" w:hAnsi="宋体"/>
          <w:color w:val="auto"/>
          <w:szCs w:val="21"/>
          <w:highlight w:val="none"/>
        </w:rPr>
        <w:t>投标人</w:t>
      </w:r>
      <w:r>
        <w:rPr>
          <w:rFonts w:ascii="宋体" w:hAnsi="宋体"/>
          <w:color w:val="auto"/>
          <w:szCs w:val="21"/>
          <w:highlight w:val="none"/>
        </w:rPr>
        <w:t>只填写和提供了本文件要求的部分内容和附件，而给招标小组评审造成困难，其可能导致的结果和责任由</w:t>
      </w:r>
      <w:r>
        <w:rPr>
          <w:rFonts w:hint="eastAsia" w:ascii="宋体" w:hAnsi="宋体"/>
          <w:color w:val="auto"/>
          <w:szCs w:val="21"/>
          <w:highlight w:val="none"/>
        </w:rPr>
        <w:t>投标人</w:t>
      </w:r>
      <w:r>
        <w:rPr>
          <w:rFonts w:ascii="宋体" w:hAnsi="宋体"/>
          <w:color w:val="auto"/>
          <w:szCs w:val="21"/>
          <w:highlight w:val="none"/>
        </w:rPr>
        <w:t>自行承担。</w:t>
      </w:r>
    </w:p>
    <w:p w14:paraId="00DFEA87">
      <w:pPr>
        <w:spacing w:line="400" w:lineRule="exact"/>
        <w:ind w:firstLine="422" w:firstLineChars="200"/>
        <w:rPr>
          <w:rFonts w:ascii="宋体" w:hAnsi="宋体"/>
          <w:b/>
          <w:color w:val="auto"/>
          <w:highlight w:val="none"/>
        </w:rPr>
      </w:pPr>
      <w:r>
        <w:rPr>
          <w:rFonts w:hint="eastAsia" w:ascii="宋体" w:hAnsi="宋体"/>
          <w:b/>
          <w:color w:val="auto"/>
          <w:highlight w:val="none"/>
        </w:rPr>
        <w:t>12.投标文件的组成</w:t>
      </w:r>
      <w:bookmarkEnd w:id="33"/>
      <w:bookmarkEnd w:id="34"/>
      <w:bookmarkEnd w:id="35"/>
      <w:bookmarkEnd w:id="36"/>
    </w:p>
    <w:p w14:paraId="2E35476E">
      <w:pPr>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投标文件由</w:t>
      </w:r>
      <w:r>
        <w:rPr>
          <w:rFonts w:hint="eastAsia" w:ascii="宋体" w:hAnsi="宋体"/>
          <w:b/>
          <w:bCs/>
          <w:color w:val="auto"/>
          <w:szCs w:val="21"/>
          <w:highlight w:val="none"/>
        </w:rPr>
        <w:t>资格审查文件、商务文件、技术文件、报价文件</w:t>
      </w:r>
      <w:r>
        <w:rPr>
          <w:rFonts w:hint="eastAsia" w:ascii="宋体" w:hAnsi="宋体"/>
          <w:color w:val="auto"/>
          <w:szCs w:val="21"/>
          <w:highlight w:val="none"/>
        </w:rPr>
        <w:t>四部分组成，具体如下：</w:t>
      </w:r>
    </w:p>
    <w:p w14:paraId="06CB1654">
      <w:pPr>
        <w:snapToGrid w:val="0"/>
        <w:spacing w:line="400" w:lineRule="exact"/>
        <w:ind w:firstLine="422" w:firstLineChars="200"/>
        <w:jc w:val="left"/>
        <w:rPr>
          <w:rFonts w:ascii="宋体" w:hAnsi="宋体"/>
          <w:color w:val="auto"/>
          <w:szCs w:val="21"/>
          <w:highlight w:val="none"/>
        </w:rPr>
      </w:pPr>
      <w:r>
        <w:rPr>
          <w:rFonts w:ascii="宋体" w:hAnsi="宋体"/>
          <w:b/>
          <w:color w:val="auto"/>
          <w:szCs w:val="21"/>
          <w:highlight w:val="none"/>
        </w:rPr>
        <w:t>12.1</w:t>
      </w:r>
      <w:r>
        <w:rPr>
          <w:rFonts w:hint="eastAsia" w:ascii="宋体" w:hAnsi="宋体"/>
          <w:b/>
          <w:color w:val="auto"/>
          <w:szCs w:val="21"/>
          <w:highlight w:val="none"/>
        </w:rPr>
        <w:t>资格审查文件：</w:t>
      </w:r>
    </w:p>
    <w:p w14:paraId="7151AF0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2.1.1</w:t>
      </w:r>
      <w:r>
        <w:rPr>
          <w:rFonts w:hint="eastAsia" w:ascii="宋体" w:hAnsi="宋体"/>
          <w:color w:val="auto"/>
          <w:szCs w:val="21"/>
          <w:highlight w:val="none"/>
        </w:rPr>
        <w:t>投标声明书</w:t>
      </w:r>
      <w:r>
        <w:rPr>
          <w:rFonts w:hint="eastAsia" w:ascii="宋体" w:hAnsi="宋体"/>
          <w:b/>
          <w:bCs/>
          <w:color w:val="auto"/>
          <w:szCs w:val="21"/>
          <w:highlight w:val="none"/>
        </w:rPr>
        <w:t>（</w:t>
      </w:r>
      <w:r>
        <w:rPr>
          <w:rFonts w:ascii="宋体" w:hAnsi="宋体"/>
          <w:b/>
          <w:bCs/>
          <w:color w:val="auto"/>
          <w:szCs w:val="21"/>
          <w:highlight w:val="none"/>
        </w:rPr>
        <w:t>必须提供）</w:t>
      </w:r>
      <w:r>
        <w:rPr>
          <w:rFonts w:hint="eastAsia" w:ascii="宋体" w:hAnsi="宋体"/>
          <w:color w:val="auto"/>
          <w:szCs w:val="21"/>
          <w:highlight w:val="none"/>
        </w:rPr>
        <w:t>。</w:t>
      </w:r>
    </w:p>
    <w:p w14:paraId="79617377">
      <w:pPr>
        <w:snapToGrid w:val="0"/>
        <w:spacing w:line="400" w:lineRule="exact"/>
        <w:ind w:firstLine="420" w:firstLineChars="200"/>
        <w:jc w:val="left"/>
        <w:rPr>
          <w:rFonts w:hint="eastAsia"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2.1.2</w:t>
      </w:r>
      <w:r>
        <w:rPr>
          <w:rFonts w:hint="eastAsia" w:ascii="宋体" w:hAnsi="宋体"/>
          <w:color w:val="auto"/>
          <w:szCs w:val="21"/>
          <w:highlight w:val="none"/>
        </w:rPr>
        <w:t>投标人有效的营业执照副本复印件；</w:t>
      </w:r>
      <w:r>
        <w:rPr>
          <w:rFonts w:hint="eastAsia" w:ascii="宋体" w:hAnsi="宋体"/>
          <w:b/>
          <w:bCs/>
          <w:color w:val="auto"/>
          <w:szCs w:val="21"/>
          <w:highlight w:val="none"/>
        </w:rPr>
        <w:t>（必须提供）</w:t>
      </w:r>
    </w:p>
    <w:p w14:paraId="64FAA633">
      <w:pPr>
        <w:snapToGrid w:val="0"/>
        <w:spacing w:line="400" w:lineRule="exact"/>
        <w:ind w:firstLine="420" w:firstLineChars="200"/>
        <w:jc w:val="left"/>
        <w:rPr>
          <w:rStyle w:val="205"/>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Cs w:val="21"/>
          <w:highlight w:val="none"/>
          <w:lang w:val="en-US" w:eastAsia="zh-CN"/>
        </w:rPr>
        <w:t>12.1.3</w:t>
      </w:r>
      <w:r>
        <w:rPr>
          <w:rStyle w:val="205"/>
          <w:rFonts w:hint="eastAsia" w:ascii="宋体" w:hAnsi="宋体" w:eastAsia="宋体" w:cs="Times New Roman"/>
          <w:color w:val="auto"/>
          <w:sz w:val="21"/>
          <w:szCs w:val="21"/>
          <w:highlight w:val="none"/>
          <w:lang w:val="en-US" w:eastAsia="zh-CN"/>
        </w:rPr>
        <w:t>投标人为</w:t>
      </w:r>
      <w:r>
        <w:rPr>
          <w:rStyle w:val="205"/>
          <w:rFonts w:hint="eastAsia" w:ascii="宋体" w:hAnsi="宋体" w:cs="Times New Roman"/>
          <w:color w:val="auto"/>
          <w:sz w:val="21"/>
          <w:szCs w:val="21"/>
          <w:highlight w:val="none"/>
          <w:lang w:val="en-US" w:eastAsia="zh-CN"/>
        </w:rPr>
        <w:t>中小</w:t>
      </w:r>
      <w:r>
        <w:rPr>
          <w:rStyle w:val="205"/>
          <w:rFonts w:hint="eastAsia" w:ascii="宋体" w:hAnsi="宋体" w:eastAsia="宋体" w:cs="Times New Roman"/>
          <w:color w:val="auto"/>
          <w:sz w:val="21"/>
          <w:szCs w:val="21"/>
          <w:highlight w:val="none"/>
          <w:lang w:val="en-US" w:eastAsia="zh-CN"/>
        </w:rPr>
        <w:t>企业的证明材料</w:t>
      </w:r>
      <w:r>
        <w:rPr>
          <w:rStyle w:val="205"/>
          <w:rFonts w:hint="eastAsia" w:ascii="宋体" w:hAnsi="宋体" w:cs="Times New Roman"/>
          <w:color w:val="auto"/>
          <w:sz w:val="21"/>
          <w:szCs w:val="21"/>
          <w:highlight w:val="none"/>
          <w:lang w:val="en-US" w:eastAsia="zh-CN"/>
        </w:rPr>
        <w:t>（如有请提供）</w:t>
      </w:r>
    </w:p>
    <w:p w14:paraId="7AFFC24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4</w:t>
      </w:r>
      <w:r>
        <w:rPr>
          <w:rFonts w:hint="eastAsia" w:ascii="宋体" w:hAnsi="宋体"/>
          <w:color w:val="auto"/>
          <w:szCs w:val="21"/>
          <w:highlight w:val="none"/>
        </w:rPr>
        <w:t>法定代表人有效身份证正反面复印件；</w:t>
      </w:r>
      <w:r>
        <w:rPr>
          <w:rFonts w:hint="eastAsia" w:ascii="宋体" w:hAnsi="宋体"/>
          <w:b/>
          <w:bCs/>
          <w:color w:val="auto"/>
          <w:szCs w:val="21"/>
          <w:highlight w:val="none"/>
        </w:rPr>
        <w:t>（必须提供）</w:t>
      </w:r>
    </w:p>
    <w:p w14:paraId="7D7BA635">
      <w:pPr>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5</w:t>
      </w:r>
      <w:r>
        <w:rPr>
          <w:rFonts w:hint="eastAsia" w:ascii="宋体" w:hAnsi="宋体"/>
          <w:color w:val="auto"/>
          <w:szCs w:val="21"/>
          <w:highlight w:val="none"/>
        </w:rPr>
        <w:t>法定代表人授权委托书原</w:t>
      </w:r>
      <w:r>
        <w:rPr>
          <w:rFonts w:ascii="宋体" w:hAnsi="宋体"/>
          <w:color w:val="auto"/>
          <w:szCs w:val="21"/>
          <w:highlight w:val="none"/>
        </w:rPr>
        <w:t>件</w:t>
      </w:r>
      <w:r>
        <w:rPr>
          <w:rFonts w:hint="eastAsia" w:ascii="宋体" w:hAnsi="宋体"/>
          <w:color w:val="auto"/>
          <w:szCs w:val="21"/>
          <w:highlight w:val="none"/>
        </w:rPr>
        <w:t>，委托代理人正反面身份证复印件；</w:t>
      </w:r>
      <w:r>
        <w:rPr>
          <w:rFonts w:hint="eastAsia" w:ascii="宋体" w:hAnsi="宋体"/>
          <w:b/>
          <w:bCs/>
          <w:color w:val="auto"/>
          <w:szCs w:val="21"/>
          <w:highlight w:val="none"/>
        </w:rPr>
        <w:t>（委托代理时必须提供）（格式见附件）</w:t>
      </w:r>
    </w:p>
    <w:p w14:paraId="4E711F7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6</w:t>
      </w:r>
      <w:r>
        <w:rPr>
          <w:rFonts w:ascii="宋体" w:hAnsi="宋体"/>
          <w:color w:val="auto"/>
          <w:szCs w:val="21"/>
          <w:highlight w:val="none"/>
        </w:rPr>
        <w:t>贵港市政府采购项目投标资格承诺函</w:t>
      </w:r>
      <w:r>
        <w:rPr>
          <w:rFonts w:hint="eastAsia" w:ascii="宋体" w:hAnsi="宋体"/>
          <w:color w:val="auto"/>
          <w:szCs w:val="21"/>
          <w:highlight w:val="none"/>
        </w:rPr>
        <w:t>。</w:t>
      </w:r>
      <w:r>
        <w:rPr>
          <w:rFonts w:hint="eastAsia" w:ascii="宋体" w:hAnsi="宋体"/>
          <w:b/>
          <w:bCs/>
          <w:color w:val="auto"/>
          <w:szCs w:val="21"/>
          <w:highlight w:val="none"/>
        </w:rPr>
        <w:t>（必须</w:t>
      </w:r>
      <w:r>
        <w:rPr>
          <w:rFonts w:ascii="宋体" w:hAnsi="宋体"/>
          <w:b/>
          <w:bCs/>
          <w:color w:val="auto"/>
          <w:szCs w:val="21"/>
          <w:highlight w:val="none"/>
        </w:rPr>
        <w:t>提供</w:t>
      </w:r>
      <w:r>
        <w:rPr>
          <w:rFonts w:hint="eastAsia" w:ascii="宋体" w:hAnsi="宋体"/>
          <w:b/>
          <w:bCs/>
          <w:color w:val="auto"/>
          <w:szCs w:val="21"/>
          <w:highlight w:val="none"/>
        </w:rPr>
        <w:t>）</w:t>
      </w:r>
    </w:p>
    <w:p w14:paraId="579B9BD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2.1.</w:t>
      </w:r>
      <w:r>
        <w:rPr>
          <w:rFonts w:hint="eastAsia" w:ascii="宋体" w:hAnsi="宋体"/>
          <w:color w:val="auto"/>
          <w:szCs w:val="21"/>
          <w:highlight w:val="none"/>
          <w:lang w:val="en-US" w:eastAsia="zh-CN"/>
        </w:rPr>
        <w:t>7</w:t>
      </w:r>
      <w:r>
        <w:rPr>
          <w:rFonts w:hint="eastAsia" w:ascii="宋体" w:hAnsi="宋体"/>
          <w:color w:val="auto"/>
          <w:szCs w:val="21"/>
          <w:highlight w:val="none"/>
        </w:rPr>
        <w:t>投标人参加政府采购活动前三年内在经营活动中没有重大违法记录和不良信用记录的书面声明函；</w:t>
      </w:r>
      <w:r>
        <w:rPr>
          <w:rFonts w:hint="eastAsia" w:ascii="宋体" w:hAnsi="宋体"/>
          <w:b/>
          <w:bCs/>
          <w:color w:val="auto"/>
          <w:szCs w:val="21"/>
          <w:highlight w:val="none"/>
        </w:rPr>
        <w:t>（格式见附件，必须提供）</w:t>
      </w:r>
    </w:p>
    <w:p w14:paraId="48268FB1">
      <w:pPr>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2.1.</w:t>
      </w:r>
      <w:r>
        <w:rPr>
          <w:rFonts w:hint="eastAsia" w:ascii="宋体" w:hAnsi="宋体"/>
          <w:bCs/>
          <w:color w:val="auto"/>
          <w:szCs w:val="21"/>
          <w:highlight w:val="none"/>
          <w:lang w:val="en-US" w:eastAsia="zh-CN"/>
        </w:rPr>
        <w:t>8</w:t>
      </w:r>
      <w:r>
        <w:rPr>
          <w:rFonts w:hint="eastAsia" w:ascii="宋体" w:hAnsi="宋体"/>
          <w:color w:val="auto"/>
          <w:szCs w:val="21"/>
          <w:highlight w:val="none"/>
        </w:rPr>
        <w:t>（1）投标人认为可以证明其能力的其它材料。</w:t>
      </w:r>
    </w:p>
    <w:p w14:paraId="4AF521B1">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12</w:t>
      </w:r>
      <w:r>
        <w:rPr>
          <w:rFonts w:ascii="宋体" w:hAnsi="宋体"/>
          <w:b/>
          <w:color w:val="auto"/>
          <w:szCs w:val="21"/>
          <w:highlight w:val="none"/>
        </w:rPr>
        <w:t>.2</w:t>
      </w:r>
      <w:r>
        <w:rPr>
          <w:rFonts w:hint="eastAsia" w:ascii="宋体" w:hAnsi="宋体"/>
          <w:b/>
          <w:color w:val="auto"/>
          <w:szCs w:val="21"/>
          <w:highlight w:val="none"/>
        </w:rPr>
        <w:t>商务文件</w:t>
      </w:r>
    </w:p>
    <w:p w14:paraId="42586DE0">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2.2.1</w:t>
      </w:r>
      <w:r>
        <w:rPr>
          <w:rFonts w:hint="eastAsia" w:ascii="宋体" w:hAnsi="宋体"/>
          <w:color w:val="auto"/>
          <w:szCs w:val="21"/>
          <w:highlight w:val="none"/>
        </w:rPr>
        <w:t>商务响应表</w:t>
      </w:r>
      <w:r>
        <w:rPr>
          <w:rFonts w:hint="eastAsia" w:ascii="宋体" w:hAnsi="宋体"/>
          <w:b/>
          <w:bCs/>
          <w:color w:val="auto"/>
          <w:szCs w:val="21"/>
          <w:highlight w:val="none"/>
        </w:rPr>
        <w:t>（</w:t>
      </w:r>
      <w:r>
        <w:rPr>
          <w:rFonts w:ascii="宋体" w:hAnsi="宋体"/>
          <w:b/>
          <w:bCs/>
          <w:color w:val="auto"/>
          <w:szCs w:val="21"/>
          <w:highlight w:val="none"/>
        </w:rPr>
        <w:t>必须提供）</w:t>
      </w:r>
      <w:r>
        <w:rPr>
          <w:rFonts w:hint="eastAsia" w:ascii="宋体" w:hAnsi="宋体"/>
          <w:color w:val="auto"/>
          <w:szCs w:val="21"/>
          <w:highlight w:val="none"/>
        </w:rPr>
        <w:t>。</w:t>
      </w:r>
    </w:p>
    <w:p w14:paraId="6522DCD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2.2.2</w:t>
      </w:r>
      <w:r>
        <w:rPr>
          <w:rFonts w:hint="eastAsia" w:ascii="宋体" w:hAnsi="宋体"/>
          <w:color w:val="auto"/>
          <w:szCs w:val="21"/>
          <w:highlight w:val="none"/>
        </w:rPr>
        <w:t>投标人类似成功案例的销售业绩证明复印件（需</w:t>
      </w:r>
      <w:r>
        <w:rPr>
          <w:rFonts w:ascii="宋体" w:hAnsi="宋体"/>
          <w:color w:val="auto"/>
          <w:szCs w:val="21"/>
          <w:highlight w:val="none"/>
        </w:rPr>
        <w:t>提供</w:t>
      </w:r>
      <w:r>
        <w:rPr>
          <w:rFonts w:hint="eastAsia" w:ascii="宋体" w:hAnsi="宋体"/>
          <w:color w:val="auto"/>
          <w:szCs w:val="21"/>
          <w:highlight w:val="none"/>
        </w:rPr>
        <w:t>投标人同类项目的中标通知书或合同）。（如有请提供）</w:t>
      </w:r>
    </w:p>
    <w:p w14:paraId="5FC7EE06">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2.2.3</w:t>
      </w:r>
      <w:r>
        <w:rPr>
          <w:rFonts w:hint="eastAsia" w:ascii="宋体" w:hAnsi="宋体"/>
          <w:color w:val="auto"/>
          <w:szCs w:val="21"/>
          <w:highlight w:val="none"/>
        </w:rPr>
        <w:t>招标文件列明的其他证明文件（招标</w:t>
      </w:r>
      <w:r>
        <w:rPr>
          <w:rFonts w:ascii="宋体" w:hAnsi="宋体"/>
          <w:color w:val="auto"/>
          <w:szCs w:val="21"/>
          <w:highlight w:val="none"/>
        </w:rPr>
        <w:t>文件中</w:t>
      </w:r>
      <w:r>
        <w:rPr>
          <w:rFonts w:hint="eastAsia" w:ascii="宋体" w:hAnsi="宋体"/>
          <w:color w:val="auto"/>
          <w:szCs w:val="21"/>
          <w:highlight w:val="none"/>
        </w:rPr>
        <w:t>凡注明“必须提供”的必须按</w:t>
      </w:r>
      <w:r>
        <w:rPr>
          <w:rFonts w:ascii="宋体" w:hAnsi="宋体"/>
          <w:color w:val="auto"/>
          <w:szCs w:val="21"/>
          <w:highlight w:val="none"/>
        </w:rPr>
        <w:t>要求</w:t>
      </w:r>
      <w:r>
        <w:rPr>
          <w:rFonts w:hint="eastAsia" w:ascii="宋体" w:hAnsi="宋体"/>
          <w:color w:val="auto"/>
          <w:szCs w:val="21"/>
          <w:highlight w:val="none"/>
        </w:rPr>
        <w:t>提供，否则投标无效）。</w:t>
      </w:r>
    </w:p>
    <w:p w14:paraId="0B3EBB0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2.2.4</w:t>
      </w:r>
      <w:r>
        <w:rPr>
          <w:rFonts w:hint="eastAsia" w:ascii="宋体" w:hAnsi="宋体"/>
          <w:color w:val="auto"/>
          <w:szCs w:val="21"/>
          <w:highlight w:val="none"/>
        </w:rPr>
        <w:t xml:space="preserve"> 投标人情况介绍（如有请提供，</w:t>
      </w:r>
      <w:r>
        <w:rPr>
          <w:rFonts w:ascii="宋体" w:hAnsi="宋体"/>
          <w:color w:val="auto"/>
          <w:szCs w:val="21"/>
          <w:highlight w:val="none"/>
        </w:rPr>
        <w:t>格式自拟）</w:t>
      </w:r>
      <w:r>
        <w:rPr>
          <w:rFonts w:hint="eastAsia" w:ascii="宋体" w:hAnsi="宋体"/>
          <w:color w:val="auto"/>
          <w:szCs w:val="21"/>
          <w:highlight w:val="none"/>
        </w:rPr>
        <w:t>。</w:t>
      </w:r>
    </w:p>
    <w:p w14:paraId="1C6B63B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2.2.5</w:t>
      </w:r>
      <w:r>
        <w:rPr>
          <w:rFonts w:hint="eastAsia" w:ascii="宋体" w:hAnsi="宋体"/>
          <w:color w:val="auto"/>
          <w:szCs w:val="21"/>
          <w:highlight w:val="none"/>
        </w:rPr>
        <w:t>投标人认为可以证明其服务能力或业绩的其它材料（结合投标人自身情况及招标文件其他要求和评分要素自行提供）。</w:t>
      </w:r>
    </w:p>
    <w:p w14:paraId="2E00AA2B">
      <w:pPr>
        <w:snapToGrid w:val="0"/>
        <w:spacing w:line="400" w:lineRule="exact"/>
        <w:ind w:firstLine="422" w:firstLineChars="200"/>
        <w:jc w:val="left"/>
        <w:rPr>
          <w:rFonts w:ascii="宋体" w:hAnsi="宋体"/>
          <w:color w:val="auto"/>
          <w:szCs w:val="21"/>
          <w:highlight w:val="none"/>
        </w:rPr>
      </w:pPr>
      <w:r>
        <w:rPr>
          <w:rFonts w:hint="eastAsia" w:ascii="宋体" w:hAnsi="宋体"/>
          <w:b/>
          <w:bCs/>
          <w:color w:val="auto"/>
          <w:szCs w:val="21"/>
          <w:highlight w:val="none"/>
        </w:rPr>
        <w:t>12</w:t>
      </w:r>
      <w:r>
        <w:rPr>
          <w:rFonts w:ascii="宋体" w:hAnsi="宋体"/>
          <w:b/>
          <w:bCs/>
          <w:color w:val="auto"/>
          <w:szCs w:val="21"/>
          <w:highlight w:val="none"/>
        </w:rPr>
        <w:t>.3</w:t>
      </w:r>
      <w:r>
        <w:rPr>
          <w:rFonts w:hint="eastAsia" w:ascii="宋体" w:hAnsi="宋体"/>
          <w:b/>
          <w:bCs/>
          <w:color w:val="auto"/>
          <w:szCs w:val="21"/>
          <w:highlight w:val="none"/>
        </w:rPr>
        <w:t>技术文件</w:t>
      </w:r>
    </w:p>
    <w:p w14:paraId="05922BB7">
      <w:pPr>
        <w:spacing w:line="400" w:lineRule="exact"/>
        <w:ind w:left="-27" w:leftChars="-13" w:firstLine="420" w:firstLineChars="200"/>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2.3.1</w:t>
      </w:r>
      <w:r>
        <w:rPr>
          <w:rFonts w:hint="eastAsia" w:ascii="宋体" w:hAnsi="宋体"/>
          <w:color w:val="auto"/>
          <w:szCs w:val="21"/>
          <w:highlight w:val="none"/>
        </w:rPr>
        <w:t>技术响应、偏离情况说明表；</w:t>
      </w:r>
      <w:r>
        <w:rPr>
          <w:rFonts w:hint="eastAsia" w:ascii="宋体" w:hAnsi="宋体"/>
          <w:b/>
          <w:bCs/>
          <w:color w:val="auto"/>
          <w:szCs w:val="21"/>
          <w:highlight w:val="none"/>
        </w:rPr>
        <w:t>（必须提供）</w:t>
      </w:r>
    </w:p>
    <w:p w14:paraId="4E7ED5F9">
      <w:pPr>
        <w:spacing w:line="400" w:lineRule="exact"/>
        <w:ind w:left="-27" w:leftChars="-13" w:firstLine="420" w:firstLineChars="200"/>
        <w:rPr>
          <w:rFonts w:ascii="宋体" w:hAnsi="宋体"/>
          <w:b/>
          <w:bCs/>
          <w:color w:val="auto"/>
          <w:szCs w:val="21"/>
          <w:highlight w:val="none"/>
        </w:rPr>
      </w:pPr>
      <w:r>
        <w:rPr>
          <w:rFonts w:hint="eastAsia" w:ascii="宋体" w:hAnsi="宋体"/>
          <w:color w:val="auto"/>
          <w:szCs w:val="21"/>
          <w:highlight w:val="none"/>
        </w:rPr>
        <w:t>12.3.2投标人的服务方案</w:t>
      </w:r>
      <w:r>
        <w:rPr>
          <w:rFonts w:ascii="宋体" w:hAnsi="宋体"/>
          <w:color w:val="auto"/>
          <w:szCs w:val="21"/>
          <w:highlight w:val="none"/>
        </w:rPr>
        <w:t>及服务</w:t>
      </w:r>
      <w:r>
        <w:rPr>
          <w:rFonts w:hint="eastAsia" w:ascii="宋体" w:hAnsi="宋体"/>
          <w:color w:val="auto"/>
          <w:szCs w:val="21"/>
          <w:highlight w:val="none"/>
        </w:rPr>
        <w:t>承诺书（格式自拟）；</w:t>
      </w:r>
      <w:r>
        <w:rPr>
          <w:rFonts w:hint="eastAsia" w:ascii="宋体" w:hAnsi="宋体"/>
          <w:b/>
          <w:bCs/>
          <w:color w:val="auto"/>
          <w:szCs w:val="21"/>
          <w:highlight w:val="none"/>
        </w:rPr>
        <w:t>（必须提供）</w:t>
      </w:r>
    </w:p>
    <w:p w14:paraId="752F2141">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2.3.</w:t>
      </w:r>
      <w:r>
        <w:rPr>
          <w:rFonts w:hint="eastAsia" w:ascii="宋体" w:hAnsi="宋体"/>
          <w:color w:val="auto"/>
          <w:szCs w:val="21"/>
          <w:highlight w:val="none"/>
        </w:rPr>
        <w:t>3投标人对本项目的合理化建议和改进措施；</w:t>
      </w:r>
    </w:p>
    <w:p w14:paraId="4EF97ED8">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2.3.</w:t>
      </w:r>
      <w:r>
        <w:rPr>
          <w:rFonts w:hint="eastAsia" w:ascii="宋体" w:hAnsi="宋体"/>
          <w:color w:val="auto"/>
          <w:szCs w:val="21"/>
          <w:highlight w:val="none"/>
        </w:rPr>
        <w:t>4投标人需要说明的其他文件和说明（结合投标人自身情况及招标文件其他要求和评分要素自行提供）；</w:t>
      </w:r>
    </w:p>
    <w:p w14:paraId="52558058">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12</w:t>
      </w:r>
      <w:r>
        <w:rPr>
          <w:rFonts w:ascii="宋体" w:hAnsi="宋体"/>
          <w:b/>
          <w:color w:val="auto"/>
          <w:szCs w:val="21"/>
          <w:highlight w:val="none"/>
        </w:rPr>
        <w:t>.4</w:t>
      </w:r>
      <w:r>
        <w:rPr>
          <w:rFonts w:hint="eastAsia" w:ascii="宋体" w:hAnsi="宋体"/>
          <w:b/>
          <w:color w:val="auto"/>
          <w:szCs w:val="21"/>
          <w:highlight w:val="none"/>
        </w:rPr>
        <w:t>报价文件</w:t>
      </w:r>
    </w:p>
    <w:p w14:paraId="12302C24">
      <w:pPr>
        <w:tabs>
          <w:tab w:val="left" w:pos="3870"/>
          <w:tab w:val="left" w:pos="4085"/>
        </w:tabs>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2.4.1</w:t>
      </w:r>
      <w:r>
        <w:rPr>
          <w:rFonts w:hint="eastAsia" w:ascii="宋体" w:hAnsi="宋体"/>
          <w:color w:val="auto"/>
          <w:szCs w:val="21"/>
          <w:highlight w:val="none"/>
        </w:rPr>
        <w:t>投标函</w:t>
      </w:r>
      <w:r>
        <w:rPr>
          <w:rFonts w:hint="eastAsia" w:ascii="宋体" w:hAnsi="宋体"/>
          <w:b/>
          <w:bCs/>
          <w:color w:val="auto"/>
          <w:szCs w:val="21"/>
          <w:highlight w:val="none"/>
        </w:rPr>
        <w:t>（必</w:t>
      </w:r>
      <w:r>
        <w:rPr>
          <w:rFonts w:ascii="宋体" w:hAnsi="宋体"/>
          <w:b/>
          <w:bCs/>
          <w:color w:val="auto"/>
          <w:szCs w:val="21"/>
          <w:highlight w:val="none"/>
        </w:rPr>
        <w:t>须提供</w:t>
      </w:r>
      <w:r>
        <w:rPr>
          <w:rFonts w:hint="eastAsia" w:ascii="宋体" w:hAnsi="宋体"/>
          <w:b/>
          <w:bCs/>
          <w:color w:val="auto"/>
          <w:szCs w:val="21"/>
          <w:highlight w:val="none"/>
        </w:rPr>
        <w:t>，格式见第六章）；</w:t>
      </w:r>
    </w:p>
    <w:p w14:paraId="05AB3608">
      <w:pPr>
        <w:tabs>
          <w:tab w:val="left" w:pos="3870"/>
          <w:tab w:val="left" w:pos="4085"/>
        </w:tabs>
        <w:snapToGrid w:val="0"/>
        <w:spacing w:line="400" w:lineRule="exact"/>
        <w:ind w:firstLine="420" w:firstLineChars="200"/>
        <w:jc w:val="left"/>
        <w:rPr>
          <w:rFonts w:ascii="宋体" w:hAnsi="宋体"/>
          <w:b/>
          <w:bCs/>
          <w:color w:val="auto"/>
          <w:szCs w:val="21"/>
          <w:highlight w:val="none"/>
        </w:rPr>
      </w:pPr>
      <w:r>
        <w:rPr>
          <w:rFonts w:hint="eastAsia" w:ascii="宋体" w:hAnsi="宋体"/>
          <w:color w:val="auto"/>
          <w:szCs w:val="21"/>
          <w:highlight w:val="none"/>
        </w:rPr>
        <w:t>1</w:t>
      </w:r>
      <w:r>
        <w:rPr>
          <w:rFonts w:ascii="宋体" w:hAnsi="宋体"/>
          <w:color w:val="auto"/>
          <w:szCs w:val="21"/>
          <w:highlight w:val="none"/>
        </w:rPr>
        <w:t>2.4.2</w:t>
      </w:r>
      <w:r>
        <w:rPr>
          <w:rFonts w:hint="eastAsia" w:ascii="宋体" w:hAnsi="宋体"/>
          <w:color w:val="auto"/>
          <w:szCs w:val="21"/>
          <w:highlight w:val="none"/>
        </w:rPr>
        <w:t>投标报价明细表</w:t>
      </w:r>
      <w:r>
        <w:rPr>
          <w:rFonts w:hint="eastAsia" w:ascii="宋体" w:hAnsi="宋体"/>
          <w:b/>
          <w:bCs/>
          <w:color w:val="auto"/>
          <w:szCs w:val="21"/>
          <w:highlight w:val="none"/>
        </w:rPr>
        <w:t>（必</w:t>
      </w:r>
      <w:r>
        <w:rPr>
          <w:rFonts w:ascii="宋体" w:hAnsi="宋体"/>
          <w:b/>
          <w:bCs/>
          <w:color w:val="auto"/>
          <w:szCs w:val="21"/>
          <w:highlight w:val="none"/>
        </w:rPr>
        <w:t>须提供</w:t>
      </w:r>
      <w:r>
        <w:rPr>
          <w:rFonts w:hint="eastAsia" w:ascii="宋体" w:hAnsi="宋体"/>
          <w:b/>
          <w:bCs/>
          <w:color w:val="auto"/>
          <w:szCs w:val="21"/>
          <w:highlight w:val="none"/>
        </w:rPr>
        <w:t>，格式见第六章）；</w:t>
      </w:r>
    </w:p>
    <w:p w14:paraId="355786D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2.4.3</w:t>
      </w:r>
      <w:r>
        <w:rPr>
          <w:rFonts w:hint="eastAsia" w:ascii="宋体" w:hAnsi="宋体"/>
          <w:color w:val="auto"/>
          <w:szCs w:val="21"/>
          <w:highlight w:val="none"/>
        </w:rPr>
        <w:t>开标一览表</w:t>
      </w:r>
      <w:r>
        <w:rPr>
          <w:rFonts w:hint="eastAsia" w:ascii="宋体" w:hAnsi="宋体"/>
          <w:b/>
          <w:bCs/>
          <w:color w:val="auto"/>
          <w:szCs w:val="21"/>
          <w:highlight w:val="none"/>
        </w:rPr>
        <w:t>（必须提供，格式见附件）；</w:t>
      </w:r>
    </w:p>
    <w:p w14:paraId="2D92DE7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2.4.</w:t>
      </w:r>
      <w:r>
        <w:rPr>
          <w:rFonts w:hint="eastAsia" w:ascii="宋体" w:hAnsi="宋体"/>
          <w:color w:val="auto"/>
          <w:szCs w:val="21"/>
          <w:highlight w:val="none"/>
          <w:lang w:val="en-US" w:eastAsia="zh-CN"/>
        </w:rPr>
        <w:t>4</w:t>
      </w:r>
      <w:r>
        <w:rPr>
          <w:rFonts w:hint="eastAsia" w:ascii="宋体" w:hAnsi="宋体"/>
          <w:color w:val="auto"/>
          <w:szCs w:val="21"/>
          <w:highlight w:val="none"/>
        </w:rPr>
        <w:t>投</w:t>
      </w:r>
      <w:r>
        <w:rPr>
          <w:rFonts w:ascii="宋体" w:hAnsi="宋体"/>
          <w:color w:val="auto"/>
          <w:szCs w:val="21"/>
          <w:highlight w:val="none"/>
        </w:rPr>
        <w:t>标人针对报</w:t>
      </w:r>
      <w:r>
        <w:rPr>
          <w:rFonts w:hint="eastAsia" w:ascii="宋体" w:hAnsi="宋体"/>
          <w:color w:val="auto"/>
          <w:szCs w:val="21"/>
          <w:highlight w:val="none"/>
        </w:rPr>
        <w:t>价需要说明的其他文件和说明（格式自拟）。（如有请</w:t>
      </w:r>
      <w:r>
        <w:rPr>
          <w:rFonts w:ascii="宋体" w:hAnsi="宋体"/>
          <w:color w:val="auto"/>
          <w:szCs w:val="21"/>
          <w:highlight w:val="none"/>
        </w:rPr>
        <w:t>提供）</w:t>
      </w:r>
    </w:p>
    <w:p w14:paraId="4901B97D">
      <w:pPr>
        <w:snapToGrid w:val="0"/>
        <w:spacing w:line="400" w:lineRule="exact"/>
        <w:ind w:firstLine="413" w:firstLineChars="196"/>
        <w:jc w:val="left"/>
        <w:outlineLvl w:val="1"/>
        <w:rPr>
          <w:rFonts w:ascii="宋体" w:hAnsi="宋体"/>
          <w:b/>
          <w:bCs/>
          <w:color w:val="auto"/>
          <w:kern w:val="0"/>
          <w:szCs w:val="21"/>
          <w:highlight w:val="none"/>
        </w:rPr>
      </w:pPr>
      <w:bookmarkStart w:id="37" w:name="_Toc90627210"/>
      <w:bookmarkStart w:id="38" w:name="_Toc254970537"/>
      <w:bookmarkStart w:id="39" w:name="_Toc535850435"/>
      <w:bookmarkStart w:id="40" w:name="_Toc254970678"/>
      <w:bookmarkStart w:id="41" w:name="_Toc535850396"/>
      <w:r>
        <w:rPr>
          <w:rFonts w:hint="eastAsia" w:ascii="宋体" w:hAnsi="宋体"/>
          <w:b/>
          <w:bCs/>
          <w:color w:val="auto"/>
          <w:kern w:val="0"/>
          <w:szCs w:val="21"/>
          <w:highlight w:val="none"/>
        </w:rPr>
        <w:t>▲特别说明：（1）电子投标文件中所须加盖公章部分均采用CA签章。若公</w:t>
      </w:r>
      <w:r>
        <w:rPr>
          <w:rFonts w:ascii="宋体" w:hAnsi="宋体"/>
          <w:b/>
          <w:bCs/>
          <w:color w:val="auto"/>
          <w:kern w:val="0"/>
          <w:szCs w:val="21"/>
          <w:highlight w:val="none"/>
        </w:rPr>
        <w:t>开</w:t>
      </w:r>
      <w:r>
        <w:rPr>
          <w:rFonts w:hint="eastAsia" w:ascii="宋体" w:hAnsi="宋体"/>
          <w:b/>
          <w:bCs/>
          <w:color w:val="auto"/>
          <w:kern w:val="0"/>
          <w:szCs w:val="21"/>
          <w:highlight w:val="none"/>
        </w:rPr>
        <w:t>电子投标文件中有专门标注的某关联点，并要求投标人在电子投标系统中作出投标文件的，如投标人未对关联点进行投标或者在投标文件其它内容进行描述，造成电子评审不能查询的责任由投标人自行承担。</w:t>
      </w:r>
      <w:bookmarkEnd w:id="37"/>
    </w:p>
    <w:p w14:paraId="3373F86A">
      <w:pPr>
        <w:snapToGrid w:val="0"/>
        <w:spacing w:line="400" w:lineRule="exact"/>
        <w:ind w:firstLine="413" w:firstLineChars="196"/>
        <w:jc w:val="left"/>
        <w:outlineLvl w:val="1"/>
        <w:rPr>
          <w:rFonts w:ascii="宋体" w:hAnsi="宋体"/>
          <w:b/>
          <w:bCs/>
          <w:color w:val="auto"/>
          <w:kern w:val="0"/>
          <w:szCs w:val="21"/>
          <w:highlight w:val="none"/>
        </w:rPr>
      </w:pPr>
      <w:bookmarkStart w:id="42" w:name="_Toc90627211"/>
      <w:r>
        <w:rPr>
          <w:rFonts w:hint="eastAsia" w:ascii="宋体" w:hAnsi="宋体"/>
          <w:b/>
          <w:bCs/>
          <w:color w:val="auto"/>
          <w:kern w:val="0"/>
          <w:szCs w:val="21"/>
          <w:highlight w:val="none"/>
        </w:rPr>
        <w:t>（2）公开招标文件要求提供的的各种复印件，须加盖投标人CA签章，否则其招标无效。</w:t>
      </w:r>
      <w:bookmarkEnd w:id="42"/>
    </w:p>
    <w:p w14:paraId="44A4D47C">
      <w:pPr>
        <w:snapToGrid w:val="0"/>
        <w:spacing w:line="400" w:lineRule="exact"/>
        <w:ind w:firstLine="413" w:firstLineChars="196"/>
        <w:jc w:val="left"/>
        <w:outlineLvl w:val="1"/>
        <w:rPr>
          <w:rFonts w:ascii="宋体" w:hAnsi="宋体"/>
          <w:b/>
          <w:bCs/>
          <w:color w:val="auto"/>
          <w:kern w:val="0"/>
          <w:szCs w:val="21"/>
          <w:highlight w:val="none"/>
        </w:rPr>
      </w:pPr>
      <w:bookmarkStart w:id="43" w:name="_Toc90627212"/>
      <w:r>
        <w:rPr>
          <w:rFonts w:hint="eastAsia" w:ascii="宋体" w:hAnsi="宋体"/>
          <w:b/>
          <w:bCs/>
          <w:color w:val="auto"/>
          <w:kern w:val="0"/>
          <w:szCs w:val="21"/>
          <w:highlight w:val="none"/>
        </w:rPr>
        <w:t>（3）公开招标文件要求“必须提供”的证明等材料，投标人必须全部提供，缺一不可，否则招标无效。</w:t>
      </w:r>
      <w:bookmarkEnd w:id="43"/>
    </w:p>
    <w:p w14:paraId="305AD0E8">
      <w:pPr>
        <w:snapToGrid w:val="0"/>
        <w:spacing w:line="400" w:lineRule="exact"/>
        <w:ind w:firstLine="413" w:firstLineChars="196"/>
        <w:jc w:val="left"/>
        <w:outlineLvl w:val="1"/>
        <w:rPr>
          <w:rFonts w:ascii="宋体" w:hAnsi="宋体"/>
          <w:b/>
          <w:bCs/>
          <w:color w:val="auto"/>
          <w:kern w:val="0"/>
          <w:szCs w:val="21"/>
          <w:highlight w:val="none"/>
        </w:rPr>
      </w:pPr>
      <w:bookmarkStart w:id="44" w:name="_Toc90627213"/>
      <w:r>
        <w:rPr>
          <w:rFonts w:hint="eastAsia" w:ascii="宋体" w:hAnsi="宋体"/>
          <w:b/>
          <w:bCs/>
          <w:color w:val="auto"/>
          <w:kern w:val="0"/>
          <w:szCs w:val="21"/>
          <w:highlight w:val="none"/>
        </w:rPr>
        <w:t>（4）公开招标文件要求法定代表人（负责人）或委托代理人签字的部分必须签字然后扫描或者拍照做成pdf格式上传，无签字的视为招标无效。</w:t>
      </w:r>
      <w:bookmarkEnd w:id="44"/>
    </w:p>
    <w:p w14:paraId="7D7B73E7">
      <w:pPr>
        <w:spacing w:line="400" w:lineRule="exact"/>
        <w:ind w:firstLine="422" w:firstLineChars="200"/>
        <w:rPr>
          <w:rFonts w:ascii="宋体" w:hAnsi="宋体"/>
          <w:b/>
          <w:bCs/>
          <w:color w:val="auto"/>
          <w:szCs w:val="21"/>
          <w:highlight w:val="none"/>
        </w:rPr>
      </w:pPr>
      <w:r>
        <w:rPr>
          <w:rFonts w:hint="eastAsia" w:ascii="宋体" w:hAnsi="宋体"/>
          <w:b/>
          <w:color w:val="auto"/>
          <w:highlight w:val="none"/>
        </w:rPr>
        <w:t>13.投标文件的语言及计量</w:t>
      </w:r>
      <w:bookmarkEnd w:id="38"/>
      <w:bookmarkEnd w:id="39"/>
      <w:bookmarkEnd w:id="40"/>
      <w:bookmarkEnd w:id="41"/>
    </w:p>
    <w:p w14:paraId="7AB4DB6D">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13.1投标文件以及投标人与招标人就有关投标事宜的所有来往函电，均应以中文汉语书写。除签名、盖章、专用名称等特殊情形外，以中文汉语以外的文字表述的投标文件视同未提供。</w:t>
      </w:r>
    </w:p>
    <w:p w14:paraId="1D9435C0">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13.2投标计量单位，招标文件已有明确规定的，使用招标文件规定的计量单位；招标文件没有规定的，应采用中华人民共和国法定计量单位（货币单位：人民币元），否则视同未响应。</w:t>
      </w:r>
    </w:p>
    <w:p w14:paraId="79C348BB">
      <w:pPr>
        <w:spacing w:line="400" w:lineRule="exact"/>
        <w:ind w:firstLine="422" w:firstLineChars="200"/>
        <w:rPr>
          <w:rFonts w:ascii="宋体" w:hAnsi="宋体"/>
          <w:b/>
          <w:color w:val="auto"/>
          <w:highlight w:val="none"/>
        </w:rPr>
      </w:pPr>
      <w:bookmarkStart w:id="45" w:name="_Toc535850436"/>
      <w:bookmarkStart w:id="46" w:name="_Toc535850397"/>
      <w:bookmarkStart w:id="47" w:name="_Toc254970679"/>
      <w:bookmarkStart w:id="48" w:name="_Toc254970538"/>
      <w:r>
        <w:rPr>
          <w:rFonts w:hint="eastAsia" w:ascii="宋体" w:hAnsi="宋体"/>
          <w:b/>
          <w:color w:val="auto"/>
          <w:highlight w:val="none"/>
        </w:rPr>
        <w:t>14.投标报价</w:t>
      </w:r>
      <w:bookmarkEnd w:id="45"/>
      <w:bookmarkEnd w:id="46"/>
      <w:bookmarkEnd w:id="47"/>
      <w:bookmarkEnd w:id="48"/>
    </w:p>
    <w:p w14:paraId="739716B5">
      <w:pPr>
        <w:pStyle w:val="29"/>
        <w:snapToGrid w:val="0"/>
        <w:spacing w:line="400" w:lineRule="exact"/>
        <w:ind w:firstLine="420" w:firstLineChars="200"/>
        <w:jc w:val="left"/>
        <w:rPr>
          <w:rFonts w:hAnsi="宋体"/>
          <w:color w:val="auto"/>
          <w:highlight w:val="none"/>
        </w:rPr>
      </w:pPr>
      <w:r>
        <w:rPr>
          <w:rFonts w:hint="eastAsia" w:hAnsi="宋体"/>
          <w:color w:val="auto"/>
          <w:highlight w:val="none"/>
        </w:rPr>
        <w:t>14.1投标报价应按招标文件中相关报价文件格式填写。</w:t>
      </w:r>
    </w:p>
    <w:p w14:paraId="68664BCA">
      <w:pPr>
        <w:pStyle w:val="29"/>
        <w:snapToGrid w:val="0"/>
        <w:spacing w:line="400" w:lineRule="exact"/>
        <w:ind w:firstLine="420" w:firstLineChars="200"/>
        <w:jc w:val="left"/>
        <w:rPr>
          <w:rFonts w:hAnsi="宋体"/>
          <w:color w:val="auto"/>
          <w:highlight w:val="none"/>
        </w:rPr>
      </w:pPr>
      <w:r>
        <w:rPr>
          <w:rFonts w:hint="eastAsia" w:hAnsi="宋体"/>
          <w:color w:val="auto"/>
          <w:highlight w:val="none"/>
        </w:rPr>
        <w:t>14.2投标报价是履行合同的最终价格，应包括货款、标准附件、备品备件、专用工具、包装、运输、装卸、保险、税金、货到就位以及安装、调试、培训、保修等一切费用。</w:t>
      </w:r>
    </w:p>
    <w:p w14:paraId="269FF2A3">
      <w:pPr>
        <w:tabs>
          <w:tab w:val="left" w:pos="52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14.3对于本文件中未列明，而投标人认为必需的费用也需列入总报价。在合同实施时，招标人将不予支付中标人没有列入的项目费用，并认为此项目的费用已包括在总报价中。</w:t>
      </w:r>
    </w:p>
    <w:p w14:paraId="60EC3B9F">
      <w:pPr>
        <w:tabs>
          <w:tab w:val="left" w:pos="52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14.4投标文件只允许有一个报价，有选择的或有条件的报价将不予接受。</w:t>
      </w:r>
    </w:p>
    <w:p w14:paraId="5096C5A2">
      <w:pPr>
        <w:spacing w:line="400" w:lineRule="exact"/>
        <w:ind w:firstLine="422" w:firstLineChars="200"/>
        <w:rPr>
          <w:rFonts w:ascii="宋体" w:hAnsi="宋体"/>
          <w:b/>
          <w:color w:val="auto"/>
          <w:highlight w:val="none"/>
        </w:rPr>
      </w:pPr>
      <w:r>
        <w:rPr>
          <w:rFonts w:hint="eastAsia" w:ascii="宋体" w:hAnsi="宋体"/>
          <w:b/>
          <w:color w:val="auto"/>
          <w:highlight w:val="none"/>
        </w:rPr>
        <w:t>15.投标文件的有效期</w:t>
      </w:r>
    </w:p>
    <w:p w14:paraId="26013C0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15.1</w:t>
      </w:r>
      <w:r>
        <w:rPr>
          <w:rFonts w:ascii="宋体" w:hAnsi="宋体"/>
          <w:color w:val="auto"/>
          <w:szCs w:val="21"/>
          <w:highlight w:val="none"/>
        </w:rPr>
        <w:t>在“投标人须知前附表”规定的投标有效期内，投标人不得要求撤销或修改其投标文件。</w:t>
      </w:r>
      <w:r>
        <w:rPr>
          <w:rFonts w:hint="eastAsia" w:ascii="宋体" w:hAnsi="宋体"/>
          <w:color w:val="auto"/>
          <w:szCs w:val="21"/>
          <w:highlight w:val="none"/>
        </w:rPr>
        <w:t>投标文件中承诺的投标有效期少于招标文件要求的投标有效期的，投标文件将被拒绝。</w:t>
      </w:r>
    </w:p>
    <w:p w14:paraId="4DB6929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15.2在特殊情况下，招标人可与投标人协商延长投标书的有效期，这种要求和答复均以书面形式进行。</w:t>
      </w:r>
      <w:bookmarkStart w:id="49" w:name="_Toc254970539"/>
      <w:bookmarkStart w:id="50" w:name="_Toc254970680"/>
    </w:p>
    <w:p w14:paraId="7FD7212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15.3投标人可拒绝接受延期要求而不会导致保证金被没收。同意延长有效期的投标人需要相应延长保证金的有效期，但不能修改投标文件。</w:t>
      </w:r>
      <w:bookmarkEnd w:id="49"/>
      <w:bookmarkEnd w:id="50"/>
      <w:bookmarkStart w:id="51" w:name="_Toc254970540"/>
      <w:bookmarkStart w:id="52" w:name="_Toc254970681"/>
    </w:p>
    <w:p w14:paraId="00E4917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15.4中标人的投标文件自开标之日起至合同履行完毕止均应保持有效。</w:t>
      </w:r>
      <w:bookmarkEnd w:id="51"/>
      <w:bookmarkEnd w:id="52"/>
      <w:bookmarkStart w:id="53" w:name="_Toc254970541"/>
      <w:bookmarkStart w:id="54" w:name="_Toc254970682"/>
    </w:p>
    <w:p w14:paraId="4FE91AF3">
      <w:pPr>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16.投标保证金</w:t>
      </w:r>
      <w:bookmarkEnd w:id="53"/>
      <w:bookmarkEnd w:id="54"/>
    </w:p>
    <w:p w14:paraId="36C85A9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16.1</w:t>
      </w:r>
      <w:bookmarkStart w:id="55" w:name="_Toc254970542"/>
      <w:bookmarkStart w:id="56" w:name="_Toc254970683"/>
      <w:r>
        <w:rPr>
          <w:rFonts w:hint="eastAsia" w:ascii="宋体" w:hAnsi="宋体"/>
          <w:color w:val="auto"/>
          <w:szCs w:val="21"/>
          <w:highlight w:val="none"/>
        </w:rPr>
        <w:t>本项目免收投标保证金。</w:t>
      </w:r>
    </w:p>
    <w:p w14:paraId="39745F6E">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17.投标文件的编制和份数</w:t>
      </w:r>
      <w:bookmarkEnd w:id="55"/>
      <w:bookmarkEnd w:id="56"/>
    </w:p>
    <w:p w14:paraId="7F5FD852">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17.1投标人应按本招标文件规定要求编制，投标文件内容不完整、编排混乱导致投标文件被误读、漏读或者查找不到相关内容的，是投标人的责任。</w:t>
      </w:r>
    </w:p>
    <w:p w14:paraId="26F3E490">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17.2投标文件应当对招标文件实质性内容作出响应。</w:t>
      </w:r>
    </w:p>
    <w:p w14:paraId="7FA40C5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17.3投标文件除本《投标人须知》中规定的可提供复印件外均须提供原件。</w:t>
      </w:r>
      <w:r>
        <w:rPr>
          <w:rFonts w:ascii="宋体" w:hAnsi="宋体"/>
          <w:color w:val="auto"/>
          <w:szCs w:val="21"/>
          <w:highlight w:val="none"/>
        </w:rPr>
        <w:t>投标文件应尽量避免涂改、行间插字或删除。如果出现上述情况，改动之处应加盖</w:t>
      </w:r>
      <w:r>
        <w:rPr>
          <w:rFonts w:hint="eastAsia" w:ascii="宋体" w:hAnsi="宋体"/>
          <w:color w:val="auto"/>
          <w:szCs w:val="21"/>
          <w:highlight w:val="none"/>
        </w:rPr>
        <w:t>投标人</w:t>
      </w:r>
      <w:r>
        <w:rPr>
          <w:rFonts w:ascii="宋体" w:hAnsi="宋体"/>
          <w:color w:val="auto"/>
          <w:szCs w:val="21"/>
          <w:highlight w:val="none"/>
        </w:rPr>
        <w:t>单位章或由投标人的法定代表人或其</w:t>
      </w:r>
      <w:r>
        <w:rPr>
          <w:rFonts w:hint="eastAsia" w:ascii="宋体" w:hAnsi="宋体"/>
          <w:color w:val="auto"/>
          <w:szCs w:val="21"/>
          <w:highlight w:val="none"/>
        </w:rPr>
        <w:t>委托</w:t>
      </w:r>
      <w:r>
        <w:rPr>
          <w:rFonts w:ascii="宋体" w:hAnsi="宋体"/>
          <w:color w:val="auto"/>
          <w:szCs w:val="21"/>
          <w:highlight w:val="none"/>
        </w:rPr>
        <w:t>代理人签字确认。</w:t>
      </w:r>
      <w:r>
        <w:rPr>
          <w:rFonts w:hint="eastAsia" w:ascii="宋体" w:hAnsi="宋体"/>
          <w:color w:val="auto"/>
          <w:szCs w:val="21"/>
          <w:highlight w:val="none"/>
        </w:rPr>
        <w:t>投标文件因字迹潦草或表达不清所引起的后果由投标人负责。</w:t>
      </w:r>
    </w:p>
    <w:p w14:paraId="3097577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17.4投标文件份数具体要求见“投标人须知前附表”。</w:t>
      </w:r>
    </w:p>
    <w:p w14:paraId="25E738B9">
      <w:pPr>
        <w:snapToGrid w:val="0"/>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18.投标文件的签署</w:t>
      </w:r>
    </w:p>
    <w:p w14:paraId="5574E65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18</w:t>
      </w:r>
      <w:r>
        <w:rPr>
          <w:rFonts w:hint="eastAsia" w:ascii="宋体" w:hAnsi="宋体"/>
          <w:color w:val="auto"/>
          <w:szCs w:val="21"/>
          <w:highlight w:val="none"/>
        </w:rPr>
        <w:t>.1电子投标文件中须加盖投标人公章部分均采用 CA 签章，并根据“政府采购项目电子交易管理操作指南-供应商”及本公开招标文件规定的格式和顺序编制电子投标文件并进行关联定位，以便招标小组在评审时，点击评分项可直接定位到该评分项内容。如对公开招标文件的某项要求，投标人的电子投标文件未能关联定位提供相应的内容与其对应，则招标小组在评审时如做出对投标人不利的评审由投标人自行承担。电子投标文件如内容不完整、编排混乱导致投标文件被误读、 漏读，或者在按公开招标文件规定的部位查找不到相关内容的，由投标人自行承担。</w:t>
      </w:r>
    </w:p>
    <w:p w14:paraId="45C3DAE5">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18</w:t>
      </w:r>
      <w:r>
        <w:rPr>
          <w:rFonts w:hint="eastAsia" w:ascii="宋体" w:hAnsi="宋体"/>
          <w:color w:val="auto"/>
          <w:szCs w:val="21"/>
          <w:highlight w:val="none"/>
        </w:rPr>
        <w:t>. 2 CA 签章上目前没有法人（负责人）或授权代表签字信息，投标人在投标文件中涉及到签字的位置线下签好字然后扫描或者拍照做成PDF的格式即可。</w:t>
      </w:r>
    </w:p>
    <w:p w14:paraId="0820C58E">
      <w:pPr>
        <w:widowControl/>
        <w:spacing w:line="360" w:lineRule="auto"/>
        <w:ind w:firstLine="315" w:firstLineChars="150"/>
        <w:textAlignment w:val="baseline"/>
        <w:rPr>
          <w:rFonts w:ascii="宋体" w:hAnsi="宋体"/>
          <w:color w:val="auto"/>
          <w:szCs w:val="21"/>
          <w:highlight w:val="none"/>
        </w:rPr>
      </w:pPr>
      <w:r>
        <w:rPr>
          <w:rFonts w:ascii="宋体" w:hAnsi="宋体"/>
          <w:color w:val="auto"/>
          <w:szCs w:val="21"/>
          <w:highlight w:val="none"/>
        </w:rPr>
        <w:t>18</w:t>
      </w:r>
      <w:r>
        <w:rPr>
          <w:rFonts w:hint="eastAsia" w:ascii="宋体" w:hAnsi="宋体"/>
          <w:color w:val="auto"/>
          <w:szCs w:val="21"/>
          <w:highlight w:val="none"/>
        </w:rPr>
        <w:t>.</w:t>
      </w:r>
      <w:r>
        <w:rPr>
          <w:rFonts w:ascii="宋体" w:hAnsi="宋体"/>
          <w:color w:val="auto"/>
          <w:szCs w:val="21"/>
          <w:highlight w:val="none"/>
        </w:rPr>
        <w:t xml:space="preserve"> 3</w:t>
      </w:r>
      <w:r>
        <w:rPr>
          <w:rFonts w:hint="eastAsia" w:ascii="宋体" w:hAnsi="宋体"/>
          <w:color w:val="auto"/>
          <w:szCs w:val="21"/>
          <w:highlight w:val="none"/>
        </w:rPr>
        <w:t xml:space="preserve"> 投标文件不得涂改，若有修改错漏处，须法定代表人（负责人）或授权委托人签字。投标文件因字迹潦草或表达不清所引起的后果由投标人负责。</w:t>
      </w:r>
    </w:p>
    <w:p w14:paraId="53920827">
      <w:pPr>
        <w:snapToGrid w:val="0"/>
        <w:spacing w:line="400" w:lineRule="exact"/>
        <w:ind w:firstLine="424" w:firstLineChars="201"/>
        <w:jc w:val="left"/>
        <w:rPr>
          <w:rFonts w:ascii="宋体" w:hAnsi="宋体"/>
          <w:color w:val="auto"/>
          <w:szCs w:val="21"/>
          <w:highlight w:val="none"/>
        </w:rPr>
      </w:pPr>
      <w:r>
        <w:rPr>
          <w:rFonts w:hint="eastAsia" w:ascii="宋体" w:hAnsi="宋体"/>
          <w:b/>
          <w:color w:val="auto"/>
          <w:szCs w:val="21"/>
          <w:highlight w:val="none"/>
        </w:rPr>
        <w:t>19.投标文件的递交</w:t>
      </w:r>
    </w:p>
    <w:p w14:paraId="3735524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文件递交</w:t>
      </w:r>
      <w:r>
        <w:rPr>
          <w:rFonts w:hint="eastAsia" w:ascii="宋体" w:hAnsi="宋体"/>
          <w:color w:val="auto"/>
          <w:szCs w:val="21"/>
          <w:highlight w:val="none"/>
        </w:rPr>
        <w:t>应</w:t>
      </w:r>
      <w:r>
        <w:rPr>
          <w:rFonts w:ascii="宋体" w:hAnsi="宋体"/>
          <w:color w:val="auto"/>
          <w:szCs w:val="21"/>
          <w:highlight w:val="none"/>
        </w:rPr>
        <w:t>在投标</w:t>
      </w:r>
      <w:r>
        <w:rPr>
          <w:rFonts w:hint="eastAsia" w:ascii="宋体" w:hAnsi="宋体"/>
          <w:color w:val="auto"/>
          <w:szCs w:val="21"/>
          <w:highlight w:val="none"/>
        </w:rPr>
        <w:t>截止</w:t>
      </w:r>
      <w:r>
        <w:rPr>
          <w:rFonts w:ascii="宋体" w:hAnsi="宋体"/>
          <w:color w:val="auto"/>
          <w:szCs w:val="21"/>
          <w:highlight w:val="none"/>
        </w:rPr>
        <w:t>时间</w:t>
      </w:r>
      <w:r>
        <w:rPr>
          <w:rFonts w:hint="eastAsia" w:ascii="宋体" w:hAnsi="宋体"/>
          <w:color w:val="auto"/>
          <w:szCs w:val="21"/>
          <w:highlight w:val="none"/>
        </w:rPr>
        <w:t>前将电子投标文件上传到广西政府采购云平台。应按照本项目公开招标文件和广西政府采购云平台的要求编制、加密传输电子投标文件。投标人在使用系统进行投标的过程中遇到涉及平台使用的任何问题，可致电广西政府采购云平台技术支持热线咨询，联系方式：95763。</w:t>
      </w:r>
    </w:p>
    <w:p w14:paraId="150EB8C8">
      <w:pPr>
        <w:widowControl/>
        <w:spacing w:line="360" w:lineRule="auto"/>
        <w:ind w:firstLine="316" w:firstLineChars="150"/>
        <w:textAlignment w:val="baseline"/>
        <w:rPr>
          <w:rFonts w:ascii="宋体" w:hAnsi="宋体"/>
          <w:b/>
          <w:color w:val="auto"/>
          <w:szCs w:val="21"/>
          <w:highlight w:val="none"/>
        </w:rPr>
      </w:pPr>
      <w:r>
        <w:rPr>
          <w:rFonts w:ascii="宋体" w:hAnsi="宋体"/>
          <w:b/>
          <w:color w:val="auto"/>
          <w:szCs w:val="21"/>
          <w:highlight w:val="none"/>
        </w:rPr>
        <w:t>电子</w:t>
      </w:r>
      <w:r>
        <w:rPr>
          <w:rFonts w:hint="eastAsia" w:ascii="宋体" w:hAnsi="宋体"/>
          <w:b/>
          <w:color w:val="auto"/>
          <w:szCs w:val="21"/>
          <w:highlight w:val="none"/>
        </w:rPr>
        <w:t>投标文件</w:t>
      </w:r>
      <w:r>
        <w:rPr>
          <w:rFonts w:ascii="宋体" w:hAnsi="宋体"/>
          <w:b/>
          <w:color w:val="auto"/>
          <w:szCs w:val="21"/>
          <w:highlight w:val="none"/>
        </w:rPr>
        <w:t>的相关说明</w:t>
      </w:r>
      <w:r>
        <w:rPr>
          <w:rFonts w:hint="eastAsia" w:ascii="宋体" w:hAnsi="宋体"/>
          <w:b/>
          <w:color w:val="auto"/>
          <w:szCs w:val="21"/>
          <w:highlight w:val="none"/>
        </w:rPr>
        <w:t>：</w:t>
      </w:r>
    </w:p>
    <w:p w14:paraId="2C6DEF51">
      <w:pPr>
        <w:widowControl/>
        <w:spacing w:line="360" w:lineRule="auto"/>
        <w:ind w:firstLine="316" w:firstLineChars="150"/>
        <w:textAlignment w:val="baseline"/>
        <w:rPr>
          <w:rFonts w:ascii="宋体" w:hAnsi="宋体"/>
          <w:b/>
          <w:color w:val="auto"/>
          <w:szCs w:val="21"/>
          <w:highlight w:val="none"/>
        </w:rPr>
      </w:pPr>
      <w:r>
        <w:rPr>
          <w:rFonts w:ascii="宋体" w:hAnsi="宋体"/>
          <w:b/>
          <w:color w:val="auto"/>
          <w:szCs w:val="21"/>
          <w:highlight w:val="none"/>
        </w:rPr>
        <w:t>（1）投标人进行电子投标应安装客户端软件，并按照</w:t>
      </w:r>
      <w:r>
        <w:rPr>
          <w:rFonts w:hint="eastAsia" w:ascii="宋体" w:hAnsi="宋体"/>
          <w:b/>
          <w:color w:val="auto"/>
          <w:szCs w:val="21"/>
          <w:highlight w:val="none"/>
        </w:rPr>
        <w:t>公开招标</w:t>
      </w:r>
      <w:r>
        <w:rPr>
          <w:rFonts w:ascii="宋体" w:hAnsi="宋体"/>
          <w:b/>
          <w:color w:val="auto"/>
          <w:szCs w:val="21"/>
          <w:highlight w:val="none"/>
        </w:rPr>
        <w:t>文件和电子交易平台的要求编制并加密</w:t>
      </w:r>
      <w:r>
        <w:rPr>
          <w:rFonts w:hint="eastAsia" w:ascii="宋体" w:hAnsi="宋体"/>
          <w:b/>
          <w:color w:val="auto"/>
          <w:szCs w:val="21"/>
          <w:highlight w:val="none"/>
        </w:rPr>
        <w:t>电子投标</w:t>
      </w:r>
      <w:r>
        <w:rPr>
          <w:rFonts w:ascii="宋体" w:hAnsi="宋体"/>
          <w:b/>
          <w:color w:val="auto"/>
          <w:szCs w:val="21"/>
          <w:highlight w:val="none"/>
        </w:rPr>
        <w:t>文件。投标人未按规定加密的</w:t>
      </w:r>
      <w:r>
        <w:rPr>
          <w:rFonts w:hint="eastAsia" w:ascii="宋体" w:hAnsi="宋体"/>
          <w:b/>
          <w:color w:val="auto"/>
          <w:szCs w:val="21"/>
          <w:highlight w:val="none"/>
        </w:rPr>
        <w:t>电子投标</w:t>
      </w:r>
      <w:r>
        <w:rPr>
          <w:rFonts w:ascii="宋体" w:hAnsi="宋体"/>
          <w:b/>
          <w:color w:val="auto"/>
          <w:szCs w:val="21"/>
          <w:highlight w:val="none"/>
        </w:rPr>
        <w:t>文件，电子交易平台将拒收。投标人应当在</w:t>
      </w:r>
      <w:r>
        <w:rPr>
          <w:rFonts w:hint="eastAsia" w:ascii="宋体" w:hAnsi="宋体"/>
          <w:b/>
          <w:color w:val="auto"/>
          <w:szCs w:val="21"/>
          <w:highlight w:val="none"/>
        </w:rPr>
        <w:t>招标</w:t>
      </w:r>
      <w:r>
        <w:rPr>
          <w:rFonts w:ascii="宋体" w:hAnsi="宋体"/>
          <w:b/>
          <w:color w:val="auto"/>
          <w:szCs w:val="21"/>
          <w:highlight w:val="none"/>
        </w:rPr>
        <w:t>截止时间前完成</w:t>
      </w:r>
      <w:r>
        <w:rPr>
          <w:rFonts w:hint="eastAsia" w:ascii="宋体" w:hAnsi="宋体"/>
          <w:b/>
          <w:color w:val="auto"/>
          <w:szCs w:val="21"/>
          <w:highlight w:val="none"/>
        </w:rPr>
        <w:t>电子投标</w:t>
      </w:r>
      <w:r>
        <w:rPr>
          <w:rFonts w:ascii="宋体" w:hAnsi="宋体"/>
          <w:b/>
          <w:color w:val="auto"/>
          <w:szCs w:val="21"/>
          <w:highlight w:val="none"/>
        </w:rPr>
        <w:t>文件的传输递交，并可以补充、修改或者撤回</w:t>
      </w:r>
      <w:r>
        <w:rPr>
          <w:rFonts w:hint="eastAsia" w:ascii="宋体" w:hAnsi="宋体"/>
          <w:b/>
          <w:color w:val="auto"/>
          <w:szCs w:val="21"/>
          <w:highlight w:val="none"/>
        </w:rPr>
        <w:t>电子投标</w:t>
      </w:r>
      <w:r>
        <w:rPr>
          <w:rFonts w:ascii="宋体" w:hAnsi="宋体"/>
          <w:b/>
          <w:color w:val="auto"/>
          <w:szCs w:val="21"/>
          <w:highlight w:val="none"/>
        </w:rPr>
        <w:t>文件。补充或者修改</w:t>
      </w:r>
      <w:r>
        <w:rPr>
          <w:rFonts w:hint="eastAsia" w:ascii="宋体" w:hAnsi="宋体"/>
          <w:b/>
          <w:color w:val="auto"/>
          <w:szCs w:val="21"/>
          <w:highlight w:val="none"/>
        </w:rPr>
        <w:t>电子投标</w:t>
      </w:r>
      <w:r>
        <w:rPr>
          <w:rFonts w:ascii="宋体" w:hAnsi="宋体"/>
          <w:b/>
          <w:color w:val="auto"/>
          <w:szCs w:val="21"/>
          <w:highlight w:val="none"/>
        </w:rPr>
        <w:t>文件的，应当先行撤回原文件</w:t>
      </w:r>
      <w:r>
        <w:rPr>
          <w:rFonts w:hint="eastAsia" w:ascii="宋体" w:hAnsi="宋体"/>
          <w:b/>
          <w:color w:val="auto"/>
          <w:szCs w:val="21"/>
          <w:highlight w:val="none"/>
        </w:rPr>
        <w:t>，</w:t>
      </w:r>
      <w:r>
        <w:rPr>
          <w:rFonts w:ascii="宋体" w:hAnsi="宋体"/>
          <w:b/>
          <w:color w:val="auto"/>
          <w:szCs w:val="21"/>
          <w:highlight w:val="none"/>
        </w:rPr>
        <w:t>补充、修改后重新传输递交。</w:t>
      </w:r>
      <w:r>
        <w:rPr>
          <w:rFonts w:hint="eastAsia" w:ascii="宋体" w:hAnsi="宋体"/>
          <w:b/>
          <w:color w:val="auto"/>
          <w:szCs w:val="21"/>
          <w:highlight w:val="none"/>
        </w:rPr>
        <w:t>招标</w:t>
      </w:r>
      <w:r>
        <w:rPr>
          <w:rFonts w:ascii="宋体" w:hAnsi="宋体"/>
          <w:b/>
          <w:color w:val="auto"/>
          <w:szCs w:val="21"/>
          <w:highlight w:val="none"/>
        </w:rPr>
        <w:t>截止时间前未完成传输的，视为撤回</w:t>
      </w:r>
      <w:r>
        <w:rPr>
          <w:rFonts w:hint="eastAsia" w:ascii="宋体" w:hAnsi="宋体"/>
          <w:b/>
          <w:color w:val="auto"/>
          <w:szCs w:val="21"/>
          <w:highlight w:val="none"/>
        </w:rPr>
        <w:t>电子投标</w:t>
      </w:r>
      <w:r>
        <w:rPr>
          <w:rFonts w:ascii="宋体" w:hAnsi="宋体"/>
          <w:b/>
          <w:color w:val="auto"/>
          <w:szCs w:val="21"/>
          <w:highlight w:val="none"/>
        </w:rPr>
        <w:t>文件。</w:t>
      </w:r>
      <w:r>
        <w:rPr>
          <w:rFonts w:hint="eastAsia" w:ascii="宋体" w:hAnsi="宋体"/>
          <w:b/>
          <w:color w:val="auto"/>
          <w:szCs w:val="21"/>
          <w:highlight w:val="none"/>
        </w:rPr>
        <w:t>招标</w:t>
      </w:r>
      <w:r>
        <w:rPr>
          <w:rFonts w:ascii="宋体" w:hAnsi="宋体"/>
          <w:b/>
          <w:color w:val="auto"/>
          <w:szCs w:val="21"/>
          <w:highlight w:val="none"/>
        </w:rPr>
        <w:t>截止时间后递交的</w:t>
      </w:r>
      <w:r>
        <w:rPr>
          <w:rFonts w:hint="eastAsia" w:ascii="宋体" w:hAnsi="宋体"/>
          <w:b/>
          <w:color w:val="auto"/>
          <w:szCs w:val="21"/>
          <w:highlight w:val="none"/>
        </w:rPr>
        <w:t>电子投标</w:t>
      </w:r>
      <w:r>
        <w:rPr>
          <w:rFonts w:ascii="宋体" w:hAnsi="宋体"/>
          <w:b/>
          <w:color w:val="auto"/>
          <w:szCs w:val="21"/>
          <w:highlight w:val="none"/>
        </w:rPr>
        <w:t>文件，电子交易平台将拒收。</w:t>
      </w:r>
    </w:p>
    <w:p w14:paraId="40E5415F">
      <w:pPr>
        <w:widowControl/>
        <w:spacing w:line="360" w:lineRule="auto"/>
        <w:ind w:firstLine="316" w:firstLineChars="150"/>
        <w:textAlignment w:val="baseline"/>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）如有特殊情况，采购代理机构延长截止时间和开标时间，采购代理机构和投标人的权利和义务将受到新的截止时间和开标时间的约束。</w:t>
      </w:r>
    </w:p>
    <w:p w14:paraId="22D5188B">
      <w:pPr>
        <w:widowControl/>
        <w:spacing w:line="360" w:lineRule="auto"/>
        <w:ind w:firstLine="316" w:firstLineChars="150"/>
        <w:textAlignment w:val="baseline"/>
        <w:rPr>
          <w:rFonts w:ascii="宋体" w:hAnsi="宋体"/>
          <w:b/>
          <w:bCs/>
          <w:color w:val="auto"/>
          <w:szCs w:val="21"/>
          <w:highlight w:val="none"/>
        </w:rPr>
      </w:pPr>
      <w:r>
        <w:rPr>
          <w:rFonts w:ascii="宋体" w:hAnsi="宋体"/>
          <w:b/>
          <w:bCs/>
          <w:color w:val="auto"/>
          <w:szCs w:val="21"/>
          <w:highlight w:val="none"/>
        </w:rPr>
        <w:t>20</w:t>
      </w:r>
      <w:r>
        <w:rPr>
          <w:rFonts w:hint="eastAsia" w:ascii="宋体" w:hAnsi="宋体"/>
          <w:b/>
          <w:bCs/>
          <w:color w:val="auto"/>
          <w:szCs w:val="21"/>
          <w:highlight w:val="none"/>
        </w:rPr>
        <w:t>.迟交的电子投标文件</w:t>
      </w:r>
    </w:p>
    <w:p w14:paraId="5D8B247C">
      <w:pPr>
        <w:widowControl/>
        <w:spacing w:line="360" w:lineRule="auto"/>
        <w:ind w:firstLine="315" w:firstLineChars="150"/>
        <w:textAlignment w:val="baseline"/>
        <w:rPr>
          <w:rFonts w:ascii="宋体" w:hAnsi="宋体"/>
          <w:color w:val="auto"/>
          <w:szCs w:val="21"/>
          <w:highlight w:val="none"/>
        </w:rPr>
      </w:pPr>
      <w:r>
        <w:rPr>
          <w:rFonts w:hint="eastAsia" w:ascii="宋体" w:hAnsi="宋体"/>
          <w:color w:val="auto"/>
          <w:szCs w:val="21"/>
          <w:highlight w:val="none"/>
        </w:rPr>
        <w:t>采购代理机构拒绝在其规定的递交投标文件截止时间之后收到的任何投标文件。</w:t>
      </w:r>
    </w:p>
    <w:p w14:paraId="21203077">
      <w:pPr>
        <w:widowControl/>
        <w:spacing w:line="360" w:lineRule="auto"/>
        <w:ind w:firstLine="210" w:firstLineChars="100"/>
        <w:textAlignment w:val="baseline"/>
        <w:rPr>
          <w:rFonts w:ascii="宋体" w:hAnsi="宋体"/>
          <w:color w:val="auto"/>
          <w:szCs w:val="21"/>
          <w:highlight w:val="none"/>
        </w:rPr>
      </w:pPr>
      <w:r>
        <w:rPr>
          <w:rFonts w:ascii="宋体" w:hAnsi="宋体"/>
          <w:color w:val="auto"/>
          <w:szCs w:val="21"/>
          <w:highlight w:val="none"/>
        </w:rPr>
        <w:t>投标人应认真阅读、并充分理解本文件的全部内容（包括所有的补充、修改内容），承诺并履行本文件中各项条款规定及要求。</w:t>
      </w:r>
    </w:p>
    <w:p w14:paraId="06765969">
      <w:pPr>
        <w:widowControl/>
        <w:spacing w:line="360" w:lineRule="auto"/>
        <w:ind w:firstLine="210" w:firstLineChars="100"/>
        <w:textAlignment w:val="baseline"/>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文件必须按本文件的全部内容，包括所有的补充通知及附件进行编制。</w:t>
      </w:r>
    </w:p>
    <w:p w14:paraId="28A77162">
      <w:pPr>
        <w:widowControl/>
        <w:spacing w:line="360" w:lineRule="auto"/>
        <w:ind w:firstLine="210" w:firstLineChars="100"/>
        <w:textAlignment w:val="baseline"/>
        <w:rPr>
          <w:rFonts w:ascii="宋体" w:hAnsi="宋体"/>
          <w:color w:val="auto"/>
          <w:szCs w:val="21"/>
          <w:highlight w:val="none"/>
        </w:rPr>
      </w:pPr>
      <w:r>
        <w:rPr>
          <w:rFonts w:ascii="宋体" w:hAnsi="宋体"/>
          <w:color w:val="auto"/>
          <w:szCs w:val="21"/>
          <w:highlight w:val="none"/>
        </w:rPr>
        <w:t>如因投标人只填写和提供了本文件要求的部分内容和附件，而给评审造成困难，其可能导致的结果和责任由投标人自行承担。</w:t>
      </w:r>
      <w:bookmarkStart w:id="57" w:name="_Toc535850437"/>
      <w:bookmarkStart w:id="58" w:name="_Toc535850398"/>
      <w:bookmarkStart w:id="59" w:name="_Toc254970544"/>
      <w:bookmarkStart w:id="60" w:name="_Toc254970685"/>
    </w:p>
    <w:p w14:paraId="2996A5E6">
      <w:pPr>
        <w:jc w:val="center"/>
        <w:rPr>
          <w:rFonts w:ascii="宋体" w:hAnsi="宋体"/>
          <w:b/>
          <w:color w:val="auto"/>
          <w:sz w:val="30"/>
          <w:szCs w:val="30"/>
          <w:highlight w:val="none"/>
        </w:rPr>
      </w:pPr>
      <w:r>
        <w:rPr>
          <w:rFonts w:hint="eastAsia" w:ascii="宋体" w:hAnsi="宋体"/>
          <w:b/>
          <w:color w:val="auto"/>
          <w:sz w:val="30"/>
          <w:szCs w:val="30"/>
          <w:highlight w:val="none"/>
        </w:rPr>
        <w:t>四、开标</w:t>
      </w:r>
      <w:bookmarkEnd w:id="57"/>
      <w:bookmarkEnd w:id="58"/>
      <w:bookmarkEnd w:id="59"/>
      <w:bookmarkEnd w:id="60"/>
    </w:p>
    <w:p w14:paraId="1FA43804">
      <w:pPr>
        <w:pStyle w:val="22"/>
        <w:snapToGrid w:val="0"/>
        <w:spacing w:line="400" w:lineRule="exact"/>
        <w:ind w:firstLine="630" w:firstLineChars="196"/>
        <w:jc w:val="center"/>
        <w:outlineLvl w:val="1"/>
        <w:rPr>
          <w:rFonts w:ascii="宋体" w:hAnsi="宋体" w:eastAsia="宋体"/>
          <w:b/>
          <w:snapToGrid w:val="0"/>
          <w:color w:val="auto"/>
          <w:szCs w:val="32"/>
          <w:highlight w:val="none"/>
        </w:rPr>
      </w:pPr>
    </w:p>
    <w:p w14:paraId="40B11A1C">
      <w:pPr>
        <w:snapToGrid w:val="0"/>
        <w:spacing w:line="400" w:lineRule="exact"/>
        <w:ind w:firstLine="411" w:firstLineChars="196"/>
        <w:rPr>
          <w:rFonts w:ascii="宋体" w:hAnsi="宋体"/>
          <w:color w:val="auto"/>
          <w:highlight w:val="none"/>
        </w:rPr>
      </w:pPr>
      <w:r>
        <w:rPr>
          <w:rFonts w:hint="eastAsia" w:ascii="宋体" w:hAnsi="宋体"/>
          <w:color w:val="auto"/>
          <w:highlight w:val="none"/>
        </w:rPr>
        <w:t>（一）开标准备</w:t>
      </w:r>
    </w:p>
    <w:p w14:paraId="1A08D9C2">
      <w:pPr>
        <w:snapToGrid w:val="0"/>
        <w:spacing w:line="400" w:lineRule="exact"/>
        <w:ind w:firstLine="411" w:firstLineChars="196"/>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开标的准备工作由本公司负责落实；</w:t>
      </w:r>
    </w:p>
    <w:p w14:paraId="54464EB6">
      <w:pPr>
        <w:snapToGrid w:val="0"/>
        <w:spacing w:line="400" w:lineRule="exact"/>
        <w:ind w:firstLine="411" w:firstLineChars="196"/>
        <w:rPr>
          <w:rFonts w:ascii="宋体" w:hAnsi="宋体"/>
          <w:color w:val="auto"/>
          <w:highlight w:val="none"/>
        </w:rPr>
      </w:pPr>
      <w:r>
        <w:rPr>
          <w:rFonts w:ascii="宋体" w:hAnsi="宋体"/>
          <w:color w:val="auto"/>
          <w:highlight w:val="none"/>
        </w:rPr>
        <w:t>2.</w:t>
      </w:r>
      <w:r>
        <w:rPr>
          <w:rFonts w:hint="eastAsia" w:ascii="宋体" w:hAnsi="宋体"/>
          <w:color w:val="auto"/>
          <w:highlight w:val="none"/>
        </w:rPr>
        <w:t>本公司将按照招标文件规定的时间通过“政府采购云平台”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4C948C37">
      <w:pPr>
        <w:snapToGrid w:val="0"/>
        <w:spacing w:line="400" w:lineRule="exact"/>
        <w:ind w:firstLine="411" w:firstLineChars="196"/>
        <w:rPr>
          <w:rFonts w:ascii="宋体" w:hAnsi="宋体"/>
          <w:color w:val="auto"/>
          <w:highlight w:val="none"/>
        </w:rPr>
      </w:pPr>
      <w:r>
        <w:rPr>
          <w:rFonts w:hint="eastAsia" w:ascii="宋体" w:hAnsi="宋体"/>
          <w:color w:val="auto"/>
          <w:highlight w:val="none"/>
        </w:rPr>
        <w:t>（二）开标程序</w:t>
      </w:r>
    </w:p>
    <w:p w14:paraId="32EF2CDA">
      <w:pPr>
        <w:spacing w:line="400" w:lineRule="exact"/>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向各投标供应商发出电子加密投标文件【开始解密】通知，由供应商按招标文件规定的时间内自行进行投标文件解密。投标供应商在规定的时间内无法完成已递交的“电子加密投标文件”解密的，如已按公开招标文件规定递交了电子备份投标文件的，将由采购组织机构按“政府采购云平台”操作规范将备份投标文件上传至“政府采购云平台”，上传成功后，“电子加密投标文件”自动失效。如未提供备份电子投标文件，将不进行再次解密程序。无法在线解密视为投标人放弃投标。在线解密时间为</w:t>
      </w:r>
      <w:r>
        <w:rPr>
          <w:rFonts w:ascii="宋体" w:hAnsi="宋体"/>
          <w:color w:val="auto"/>
          <w:highlight w:val="none"/>
        </w:rPr>
        <w:t xml:space="preserve">30 </w:t>
      </w:r>
      <w:r>
        <w:rPr>
          <w:rFonts w:hint="eastAsia" w:ascii="宋体" w:hAnsi="宋体"/>
          <w:color w:val="auto"/>
          <w:highlight w:val="none"/>
        </w:rPr>
        <w:t>分钟。</w:t>
      </w:r>
    </w:p>
    <w:p w14:paraId="77F3C123">
      <w:pPr>
        <w:spacing w:line="40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投标文件解密结束后，开标活动组织人员在线开启投标文件。</w:t>
      </w:r>
    </w:p>
    <w:p w14:paraId="565732E4">
      <w:pPr>
        <w:spacing w:line="400" w:lineRule="exact"/>
        <w:ind w:firstLine="420" w:firstLineChars="200"/>
        <w:rPr>
          <w:rFonts w:ascii="宋体" w:hAnsi="宋体"/>
          <w:color w:val="auto"/>
          <w:highlight w:val="none"/>
        </w:rPr>
      </w:pPr>
      <w:r>
        <w:rPr>
          <w:rFonts w:hint="eastAsia" w:ascii="宋体" w:hAnsi="宋体"/>
          <w:color w:val="auto"/>
          <w:highlight w:val="none"/>
        </w:rPr>
        <w:t>开标结束后，如发现开标结果与报价文件不一致者，由评标委员会根据报价文件内容进行修正。</w:t>
      </w:r>
    </w:p>
    <w:p w14:paraId="0B52AD66">
      <w:pPr>
        <w:spacing w:line="400" w:lineRule="exact"/>
        <w:ind w:firstLine="420" w:firstLineChars="200"/>
        <w:rPr>
          <w:rFonts w:ascii="宋体" w:hAnsi="宋体"/>
          <w:color w:val="auto"/>
          <w:highlight w:val="none"/>
        </w:rPr>
      </w:pPr>
      <w:r>
        <w:rPr>
          <w:rFonts w:hint="eastAsia" w:ascii="宋体" w:hAnsi="宋体"/>
          <w:color w:val="auto"/>
          <w:highlight w:val="none"/>
        </w:rPr>
        <w:t>特别说明：如遇“政府采购云平台”电子化开标或评审程序调整的，按调整后程序执行。</w:t>
      </w:r>
    </w:p>
    <w:p w14:paraId="2F06A7C1">
      <w:pPr>
        <w:pStyle w:val="51"/>
        <w:spacing w:line="400" w:lineRule="exact"/>
        <w:ind w:firstLine="420" w:firstLineChars="200"/>
        <w:jc w:val="left"/>
        <w:rPr>
          <w:rFonts w:ascii="宋体" w:hAnsi="宋体"/>
          <w:bCs/>
          <w:color w:val="auto"/>
          <w:kern w:val="0"/>
          <w:sz w:val="21"/>
          <w:szCs w:val="21"/>
          <w:highlight w:val="none"/>
        </w:rPr>
      </w:pPr>
      <w:bookmarkStart w:id="61" w:name="_Toc90627220"/>
      <w:bookmarkStart w:id="62" w:name="_Toc90627008"/>
      <w:r>
        <w:rPr>
          <w:rFonts w:hint="eastAsia" w:ascii="宋体" w:hAnsi="宋体"/>
          <w:bCs/>
          <w:color w:val="auto"/>
          <w:kern w:val="0"/>
          <w:sz w:val="21"/>
          <w:szCs w:val="21"/>
          <w:highlight w:val="none"/>
        </w:rPr>
        <w:t>五、资格审查</w:t>
      </w:r>
      <w:bookmarkEnd w:id="61"/>
      <w:bookmarkEnd w:id="62"/>
    </w:p>
    <w:p w14:paraId="418C4B5B">
      <w:pPr>
        <w:spacing w:line="400" w:lineRule="exact"/>
        <w:ind w:firstLine="420" w:firstLineChars="200"/>
        <w:rPr>
          <w:rFonts w:ascii="宋体" w:hAnsi="宋体"/>
          <w:color w:val="auto"/>
          <w:highlight w:val="none"/>
        </w:rPr>
      </w:pPr>
      <w:r>
        <w:rPr>
          <w:rFonts w:hint="eastAsia" w:ascii="宋体" w:hAnsi="宋体"/>
          <w:color w:val="auto"/>
          <w:highlight w:val="none"/>
        </w:rPr>
        <w:t>1.开标结束后，采购人、采购代理机构根据双方签订的代理协议约定，应当依法对投标人的资格进行审查。</w:t>
      </w:r>
    </w:p>
    <w:p w14:paraId="67335079">
      <w:pPr>
        <w:spacing w:line="400" w:lineRule="exact"/>
        <w:ind w:firstLine="420" w:firstLineChars="200"/>
        <w:rPr>
          <w:rFonts w:ascii="宋体" w:hAnsi="宋体"/>
          <w:color w:val="auto"/>
          <w:highlight w:val="none"/>
        </w:rPr>
      </w:pPr>
      <w:r>
        <w:rPr>
          <w:rFonts w:hint="eastAsia" w:ascii="宋体" w:hAnsi="宋体"/>
          <w:color w:val="auto"/>
          <w:highlight w:val="none"/>
        </w:rPr>
        <w:t>2.资格审查标准为本招标文件中载明对投标人资格要求的条件。本项目资格审查采用合格式，凡符合招标文件规定的投标人资格要求的条件的投标人均通过资格审查。</w:t>
      </w:r>
    </w:p>
    <w:p w14:paraId="0D2163FD">
      <w:pPr>
        <w:spacing w:line="400" w:lineRule="exact"/>
        <w:ind w:firstLine="420" w:firstLineChars="200"/>
        <w:rPr>
          <w:rFonts w:ascii="宋体" w:hAnsi="宋体"/>
          <w:color w:val="auto"/>
          <w:highlight w:val="none"/>
        </w:rPr>
      </w:pPr>
      <w:r>
        <w:rPr>
          <w:rFonts w:hint="eastAsia" w:ascii="宋体" w:hAnsi="宋体"/>
          <w:color w:val="auto"/>
          <w:highlight w:val="none"/>
        </w:rPr>
        <w:t>3.投标人有下列情形之一的，资格审查不通过：</w:t>
      </w:r>
    </w:p>
    <w:p w14:paraId="3BCDDF30">
      <w:pPr>
        <w:spacing w:line="400" w:lineRule="exact"/>
        <w:ind w:firstLine="420" w:firstLineChars="200"/>
        <w:rPr>
          <w:rFonts w:ascii="宋体" w:hAnsi="宋体"/>
          <w:color w:val="auto"/>
          <w:highlight w:val="none"/>
        </w:rPr>
      </w:pPr>
      <w:r>
        <w:rPr>
          <w:rFonts w:hint="eastAsia" w:ascii="宋体" w:hAnsi="宋体"/>
          <w:color w:val="auto"/>
          <w:highlight w:val="none"/>
        </w:rPr>
        <w:t>（1）不符合《中华人民共和国政府采购法》第二十二条规定条件的供应商的。</w:t>
      </w:r>
    </w:p>
    <w:p w14:paraId="18ED90D8">
      <w:pPr>
        <w:spacing w:line="400" w:lineRule="exact"/>
        <w:ind w:firstLine="420" w:firstLineChars="200"/>
        <w:rPr>
          <w:rFonts w:ascii="宋体" w:hAnsi="宋体"/>
          <w:color w:val="auto"/>
          <w:highlight w:val="none"/>
        </w:rPr>
      </w:pPr>
      <w:r>
        <w:rPr>
          <w:rFonts w:hint="eastAsia" w:ascii="宋体" w:hAnsi="宋体"/>
          <w:color w:val="auto"/>
          <w:highlight w:val="none"/>
        </w:rPr>
        <w:t>（2）参加同一合同项下的政府采购活动的不同投标人，单位负责人为同一人或者存在直接控股、管理关系的不同供应商。</w:t>
      </w:r>
    </w:p>
    <w:p w14:paraId="0D4FAE09">
      <w:pPr>
        <w:spacing w:line="400" w:lineRule="exact"/>
        <w:ind w:firstLine="420" w:firstLineChars="200"/>
        <w:rPr>
          <w:rFonts w:ascii="宋体" w:hAnsi="宋体"/>
          <w:color w:val="auto"/>
          <w:highlight w:val="none"/>
        </w:rPr>
      </w:pPr>
      <w:r>
        <w:rPr>
          <w:rFonts w:hint="eastAsia" w:ascii="宋体" w:hAnsi="宋体"/>
          <w:color w:val="auto"/>
          <w:highlight w:val="none"/>
        </w:rPr>
        <w:t>（3）投标人为本次采购项目提供整体设计、规范编制或者项目管理、监理、检测等服务的供应商的。</w:t>
      </w:r>
    </w:p>
    <w:p w14:paraId="3E18B681">
      <w:pPr>
        <w:spacing w:line="400" w:lineRule="exact"/>
        <w:ind w:firstLine="420" w:firstLineChars="200"/>
        <w:rPr>
          <w:rFonts w:ascii="宋体" w:hAnsi="宋体"/>
          <w:color w:val="auto"/>
          <w:highlight w:val="none"/>
        </w:rPr>
      </w:pPr>
      <w:r>
        <w:rPr>
          <w:rFonts w:hint="eastAsia" w:ascii="宋体" w:hAnsi="宋体"/>
          <w:color w:val="auto"/>
          <w:highlight w:val="none"/>
        </w:rPr>
        <w:t>（4）在“信用中国”网站(www.creditchina.gov.cn)、中国政府采购网(www.ccgp.gov.cn)等渠道被列入失信被执行人、重大税收违法案件当事人名单、政府采购严重违法失信行为记录名单的。</w:t>
      </w:r>
    </w:p>
    <w:p w14:paraId="68E678EB">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）不按照招标文件要求提供合格的资格证明材料的。</w:t>
      </w:r>
    </w:p>
    <w:p w14:paraId="2BA50AA0">
      <w:pPr>
        <w:spacing w:line="400" w:lineRule="exact"/>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）违反国家法律法规规定的其他资格内容的.</w:t>
      </w:r>
    </w:p>
    <w:p w14:paraId="7855A879">
      <w:pPr>
        <w:spacing w:line="400" w:lineRule="exact"/>
        <w:ind w:firstLine="420" w:firstLineChars="200"/>
        <w:rPr>
          <w:rFonts w:ascii="宋体" w:hAnsi="宋体"/>
          <w:color w:val="auto"/>
          <w:highlight w:val="none"/>
        </w:rPr>
      </w:pPr>
      <w:r>
        <w:rPr>
          <w:rFonts w:hint="eastAsia" w:ascii="宋体" w:hAnsi="宋体"/>
          <w:color w:val="auto"/>
          <w:highlight w:val="none"/>
        </w:rPr>
        <w:t>4. 资格审查的合格投标人不足3家的，不得评标。</w:t>
      </w:r>
    </w:p>
    <w:p w14:paraId="43047487">
      <w:pPr>
        <w:jc w:val="center"/>
        <w:rPr>
          <w:rFonts w:ascii="宋体" w:hAnsi="宋体"/>
          <w:b/>
          <w:color w:val="auto"/>
          <w:sz w:val="30"/>
          <w:szCs w:val="30"/>
          <w:highlight w:val="none"/>
        </w:rPr>
      </w:pPr>
      <w:bookmarkStart w:id="63" w:name="_Toc535850399"/>
      <w:bookmarkStart w:id="64" w:name="_Toc254970545"/>
      <w:bookmarkStart w:id="65" w:name="_Toc535850438"/>
      <w:bookmarkStart w:id="66" w:name="_Toc254970686"/>
      <w:r>
        <w:rPr>
          <w:rFonts w:hint="eastAsia" w:ascii="宋体" w:hAnsi="宋体"/>
          <w:b/>
          <w:color w:val="auto"/>
          <w:sz w:val="30"/>
          <w:szCs w:val="30"/>
          <w:highlight w:val="none"/>
        </w:rPr>
        <w:t>五、评标</w:t>
      </w:r>
      <w:bookmarkEnd w:id="63"/>
      <w:bookmarkEnd w:id="64"/>
      <w:bookmarkEnd w:id="65"/>
      <w:bookmarkEnd w:id="66"/>
    </w:p>
    <w:p w14:paraId="3B64E3D2">
      <w:pPr>
        <w:pStyle w:val="29"/>
        <w:snapToGrid w:val="0"/>
        <w:spacing w:line="400" w:lineRule="exact"/>
        <w:ind w:left="882" w:leftChars="267" w:hanging="321" w:hangingChars="100"/>
        <w:jc w:val="center"/>
        <w:outlineLvl w:val="1"/>
        <w:rPr>
          <w:rFonts w:hAnsi="宋体"/>
          <w:b/>
          <w:color w:val="auto"/>
          <w:sz w:val="32"/>
          <w:szCs w:val="32"/>
          <w:highlight w:val="none"/>
        </w:rPr>
      </w:pPr>
    </w:p>
    <w:p w14:paraId="551F98B0">
      <w:pPr>
        <w:pStyle w:val="29"/>
        <w:snapToGrid w:val="0"/>
        <w:spacing w:line="400" w:lineRule="exact"/>
        <w:ind w:left="27" w:leftChars="13" w:firstLine="422" w:firstLineChars="200"/>
        <w:rPr>
          <w:rFonts w:hAnsi="宋体"/>
          <w:b/>
          <w:color w:val="auto"/>
          <w:highlight w:val="none"/>
        </w:rPr>
      </w:pPr>
      <w:r>
        <w:rPr>
          <w:rFonts w:hint="eastAsia" w:hAnsi="宋体"/>
          <w:b/>
          <w:color w:val="auto"/>
          <w:highlight w:val="none"/>
        </w:rPr>
        <w:t>2</w:t>
      </w:r>
      <w:r>
        <w:rPr>
          <w:rFonts w:hAnsi="宋体"/>
          <w:b/>
          <w:color w:val="auto"/>
          <w:highlight w:val="none"/>
        </w:rPr>
        <w:t>3</w:t>
      </w:r>
      <w:r>
        <w:rPr>
          <w:rFonts w:hint="eastAsia" w:hAnsi="宋体"/>
          <w:b/>
          <w:color w:val="auto"/>
          <w:highlight w:val="none"/>
        </w:rPr>
        <w:t>.组建评标委员会</w:t>
      </w:r>
    </w:p>
    <w:p w14:paraId="7CA59513">
      <w:pPr>
        <w:spacing w:line="400" w:lineRule="exact"/>
        <w:ind w:firstLine="424" w:firstLineChars="202"/>
        <w:rPr>
          <w:rFonts w:ascii="宋体" w:hAnsi="宋体"/>
          <w:color w:val="auto"/>
          <w:highlight w:val="none"/>
        </w:rPr>
      </w:pPr>
      <w:r>
        <w:rPr>
          <w:rFonts w:hint="eastAsia" w:ascii="宋体" w:hAnsi="宋体"/>
          <w:color w:val="auto"/>
          <w:highlight w:val="none"/>
        </w:rPr>
        <w:t>2</w:t>
      </w:r>
      <w:r>
        <w:rPr>
          <w:rFonts w:ascii="宋体" w:hAnsi="宋体"/>
          <w:color w:val="auto"/>
          <w:highlight w:val="none"/>
        </w:rPr>
        <w:t>3</w:t>
      </w:r>
      <w:r>
        <w:rPr>
          <w:rFonts w:hint="eastAsia" w:ascii="宋体" w:hAnsi="宋体"/>
          <w:color w:val="auto"/>
          <w:highlight w:val="none"/>
        </w:rPr>
        <w:t>.1评标委员会由采购人代表和评审专家组成，成员人数应当为5人以上单数，其中评审专家不得少于成员总数的三分之二。采购项目符合下列情形之一的，评标委员会成员人数应当为7人以上单数：</w:t>
      </w:r>
    </w:p>
    <w:p w14:paraId="65AA609A">
      <w:pPr>
        <w:snapToGrid w:val="0"/>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1.采购预算金额在1000万元以上；</w:t>
      </w:r>
    </w:p>
    <w:p w14:paraId="4F3185E0">
      <w:pPr>
        <w:snapToGrid w:val="0"/>
        <w:spacing w:line="4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2.技术复杂；</w:t>
      </w:r>
    </w:p>
    <w:p w14:paraId="0DB4FB20">
      <w:pPr>
        <w:snapToGrid w:val="0"/>
        <w:spacing w:line="400" w:lineRule="exact"/>
        <w:ind w:firstLine="420" w:firstLineChars="200"/>
        <w:rPr>
          <w:rFonts w:ascii="宋体" w:hAnsi="宋体"/>
          <w:color w:val="auto"/>
          <w:highlight w:val="none"/>
        </w:rPr>
      </w:pPr>
      <w:r>
        <w:rPr>
          <w:rFonts w:hint="eastAsia" w:ascii="宋体" w:hAnsi="宋体" w:cs="Courier New"/>
          <w:color w:val="auto"/>
          <w:szCs w:val="21"/>
          <w:highlight w:val="none"/>
        </w:rPr>
        <w:t>3.社会影响较大。</w:t>
      </w:r>
    </w:p>
    <w:p w14:paraId="72EC12C3">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2评审专家不得参加与自己有利害关系的政府采购项目的评审活动。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标的情况。</w:t>
      </w:r>
    </w:p>
    <w:p w14:paraId="12D599A2">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3评标中因评标委员会成员缺席、回避或者健康等特殊原因导致评标委员会组成不符合规定的，招标人或者采购代理机构将依法补足后继续评标。被更换的评标委员会成员所作出的评标意见无效。无法及时补足评标委员会成员的，招标人或者采购代理机构将宣布停止评标活动，封存所有投标文件和开标、评标资料，依法重新组建评标委员会进行评标。原评标委员会所作出的评标意见无效。</w:t>
      </w:r>
    </w:p>
    <w:p w14:paraId="4F4F317B">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.4评标委员会成员对需要共同认定的事项存在争议的，应当按照少数服从多数的原则作出结论。持不同意见的评标委员会成员应当在评标报告上签署不同意见及理由，否则视为同意评标报告。</w:t>
      </w:r>
    </w:p>
    <w:p w14:paraId="506F5EDA">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3</w:t>
      </w:r>
      <w:r>
        <w:rPr>
          <w:rFonts w:hint="eastAsia" w:hAnsi="宋体"/>
          <w:color w:val="auto"/>
          <w:highlight w:val="none"/>
        </w:rPr>
        <w:t>.5评标委员会发现招标文件存在歧义、重大缺陷导致评标工作无法进行，或者招标文件内容违反国家有关强制性规定的，应当停止评标工作，与招标人或者采购代理机构沟通并作书面记录。招标人或采购代理机构确认后，应当修改招标文件，重新组织采购活动。</w:t>
      </w:r>
    </w:p>
    <w:p w14:paraId="4568EB64">
      <w:pPr>
        <w:pStyle w:val="29"/>
        <w:snapToGrid w:val="0"/>
        <w:spacing w:line="400" w:lineRule="exact"/>
        <w:ind w:left="27" w:leftChars="13" w:firstLine="422" w:firstLineChars="200"/>
        <w:rPr>
          <w:rFonts w:hAnsi="宋体"/>
          <w:b/>
          <w:color w:val="auto"/>
          <w:highlight w:val="none"/>
        </w:rPr>
      </w:pPr>
      <w:r>
        <w:rPr>
          <w:rFonts w:hint="eastAsia" w:hAnsi="宋体"/>
          <w:b/>
          <w:color w:val="auto"/>
          <w:highlight w:val="none"/>
        </w:rPr>
        <w:t>2</w:t>
      </w:r>
      <w:r>
        <w:rPr>
          <w:rFonts w:hAnsi="宋体"/>
          <w:b/>
          <w:color w:val="auto"/>
          <w:highlight w:val="none"/>
        </w:rPr>
        <w:t>4</w:t>
      </w:r>
      <w:r>
        <w:rPr>
          <w:rFonts w:hint="eastAsia" w:hAnsi="宋体"/>
          <w:b/>
          <w:color w:val="auto"/>
          <w:highlight w:val="none"/>
        </w:rPr>
        <w:t>.评标的方式</w:t>
      </w:r>
    </w:p>
    <w:p w14:paraId="016A55DC">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本项目采用不公开方式实</w:t>
      </w:r>
      <w:r>
        <w:rPr>
          <w:rFonts w:hAnsi="宋体"/>
          <w:color w:val="auto"/>
          <w:highlight w:val="none"/>
        </w:rPr>
        <w:t>行电子在线</w:t>
      </w:r>
      <w:r>
        <w:rPr>
          <w:rFonts w:hint="eastAsia" w:hAnsi="宋体"/>
          <w:color w:val="auto"/>
          <w:highlight w:val="none"/>
        </w:rPr>
        <w:t>评标，评标的依据为招标文件和投标文件。</w:t>
      </w:r>
    </w:p>
    <w:p w14:paraId="696F0E34">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4.1</w:t>
      </w:r>
      <w:r>
        <w:rPr>
          <w:rFonts w:hint="eastAsia" w:hAnsi="宋体"/>
          <w:color w:val="auto"/>
          <w:highlight w:val="none"/>
        </w:rPr>
        <w:t>采购代理机构结束解密后，招标小组接收所有的投标文件开始评审。</w:t>
      </w:r>
    </w:p>
    <w:p w14:paraId="076CB1E1">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特别说明：政采云公司如对电子化公开招标及评审程序有调整的，按调整后的程序操作。</w:t>
      </w:r>
    </w:p>
    <w:p w14:paraId="03D91AB6">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4.1.2</w:t>
      </w:r>
      <w:r>
        <w:rPr>
          <w:rFonts w:hint="eastAsia" w:hAnsi="宋体"/>
          <w:color w:val="auto"/>
          <w:highlight w:val="none"/>
        </w:rPr>
        <w:t>采购过程中出现以下情形，导致电子交易平台无法正常运行，或者无法保证电子交易的公平、公正和安全时，采购组织机构可中止电子交易活动：</w:t>
      </w:r>
    </w:p>
    <w:p w14:paraId="1262FDB3">
      <w:pPr>
        <w:pStyle w:val="29"/>
        <w:snapToGrid w:val="0"/>
        <w:spacing w:line="400" w:lineRule="exact"/>
        <w:ind w:left="27" w:leftChars="13" w:firstLine="420" w:firstLineChars="200"/>
        <w:rPr>
          <w:rFonts w:hAnsi="宋体"/>
          <w:color w:val="auto"/>
          <w:highlight w:val="none"/>
        </w:rPr>
      </w:pPr>
      <w:r>
        <w:rPr>
          <w:rFonts w:hAnsi="宋体"/>
          <w:color w:val="auto"/>
          <w:highlight w:val="none"/>
        </w:rPr>
        <w:t>24.2.3</w:t>
      </w:r>
      <w:r>
        <w:rPr>
          <w:rFonts w:hint="eastAsia" w:hAnsi="宋体"/>
          <w:color w:val="auto"/>
          <w:highlight w:val="none"/>
        </w:rPr>
        <w:t xml:space="preserve">电子交易平台发生故障而无法登录访问的； </w:t>
      </w:r>
    </w:p>
    <w:p w14:paraId="33E4AEA5">
      <w:pPr>
        <w:pStyle w:val="29"/>
        <w:snapToGrid w:val="0"/>
        <w:spacing w:line="400" w:lineRule="exact"/>
        <w:ind w:left="27" w:leftChars="13" w:firstLine="420" w:firstLineChars="200"/>
        <w:rPr>
          <w:rFonts w:hAnsi="宋体"/>
          <w:color w:val="auto"/>
          <w:highlight w:val="none"/>
        </w:rPr>
      </w:pPr>
      <w:r>
        <w:rPr>
          <w:rFonts w:hAnsi="宋体"/>
          <w:color w:val="auto"/>
          <w:highlight w:val="none"/>
        </w:rPr>
        <w:t>24.2.4</w:t>
      </w:r>
      <w:r>
        <w:rPr>
          <w:rFonts w:hint="eastAsia" w:hAnsi="宋体"/>
          <w:color w:val="auto"/>
          <w:highlight w:val="none"/>
        </w:rPr>
        <w:t>电子交易平台应用或数据库出现错误，不能进行正常操作的；</w:t>
      </w:r>
    </w:p>
    <w:p w14:paraId="34CA6E7D">
      <w:pPr>
        <w:pStyle w:val="29"/>
        <w:snapToGrid w:val="0"/>
        <w:spacing w:line="400" w:lineRule="exact"/>
        <w:ind w:left="27" w:leftChars="13" w:firstLine="420" w:firstLineChars="200"/>
        <w:rPr>
          <w:rFonts w:hAnsi="宋体"/>
          <w:color w:val="auto"/>
          <w:highlight w:val="none"/>
        </w:rPr>
      </w:pPr>
      <w:r>
        <w:rPr>
          <w:rFonts w:hAnsi="宋体"/>
          <w:color w:val="auto"/>
          <w:highlight w:val="none"/>
        </w:rPr>
        <w:t>24.2.5</w:t>
      </w:r>
      <w:r>
        <w:rPr>
          <w:rFonts w:hint="eastAsia" w:hAnsi="宋体"/>
          <w:color w:val="auto"/>
          <w:highlight w:val="none"/>
        </w:rPr>
        <w:t>电子交易平台发现严重安全漏洞，有潜在泄密危险的；</w:t>
      </w:r>
    </w:p>
    <w:p w14:paraId="1EC56293">
      <w:pPr>
        <w:pStyle w:val="29"/>
        <w:snapToGrid w:val="0"/>
        <w:spacing w:line="400" w:lineRule="exact"/>
        <w:ind w:left="27" w:leftChars="13" w:firstLine="420" w:firstLineChars="200"/>
        <w:rPr>
          <w:rFonts w:hAnsi="宋体"/>
          <w:color w:val="auto"/>
          <w:highlight w:val="none"/>
        </w:rPr>
      </w:pPr>
      <w:r>
        <w:rPr>
          <w:rFonts w:hint="eastAsia" w:hAnsi="宋体"/>
          <w:color w:val="auto"/>
          <w:highlight w:val="none"/>
        </w:rPr>
        <w:t>2</w:t>
      </w:r>
      <w:r>
        <w:rPr>
          <w:rFonts w:hAnsi="宋体"/>
          <w:color w:val="auto"/>
          <w:highlight w:val="none"/>
        </w:rPr>
        <w:t>4.2.6</w:t>
      </w:r>
      <w:r>
        <w:rPr>
          <w:rFonts w:hint="eastAsia" w:hAnsi="宋体"/>
          <w:color w:val="auto"/>
          <w:highlight w:val="none"/>
        </w:rPr>
        <w:t xml:space="preserve">病毒发作导致不能进行正常操作的； </w:t>
      </w:r>
    </w:p>
    <w:p w14:paraId="10A0CE5C">
      <w:pPr>
        <w:pStyle w:val="29"/>
        <w:snapToGrid w:val="0"/>
        <w:spacing w:line="400" w:lineRule="exact"/>
        <w:ind w:left="27" w:leftChars="13" w:firstLine="420" w:firstLineChars="200"/>
        <w:rPr>
          <w:rFonts w:hAnsi="宋体"/>
          <w:color w:val="auto"/>
          <w:highlight w:val="none"/>
        </w:rPr>
      </w:pPr>
      <w:r>
        <w:rPr>
          <w:rFonts w:hAnsi="宋体"/>
          <w:color w:val="auto"/>
          <w:highlight w:val="none"/>
        </w:rPr>
        <w:t>24.2.7</w:t>
      </w:r>
      <w:r>
        <w:rPr>
          <w:rFonts w:hint="eastAsia" w:hAnsi="宋体"/>
          <w:color w:val="auto"/>
          <w:highlight w:val="none"/>
        </w:rPr>
        <w:t>其他无法保证电子交易的公平、公正和安全的情况。</w:t>
      </w:r>
    </w:p>
    <w:p w14:paraId="5587B411">
      <w:pPr>
        <w:pStyle w:val="29"/>
        <w:snapToGrid w:val="0"/>
        <w:spacing w:line="400" w:lineRule="exact"/>
        <w:ind w:left="27" w:leftChars="13" w:firstLine="420" w:firstLineChars="200"/>
        <w:rPr>
          <w:rFonts w:hAnsi="宋体"/>
          <w:color w:val="auto"/>
          <w:highlight w:val="none"/>
        </w:rPr>
      </w:pPr>
      <w:r>
        <w:rPr>
          <w:rFonts w:hAnsi="宋体"/>
          <w:color w:val="auto"/>
          <w:highlight w:val="none"/>
        </w:rPr>
        <w:t>24.2.8</w:t>
      </w:r>
      <w:r>
        <w:rPr>
          <w:rFonts w:hint="eastAsia" w:hAnsi="宋体"/>
          <w:color w:val="auto"/>
          <w:highlight w:val="none"/>
        </w:rPr>
        <w:t xml:space="preserve"> 出现前款规定情形，不影响采购公平、公正性的，采购组织机构可以待上述情形消除后继续组织电子交易活动，也可以决定某些环节以纸质形式进行；影响或可能影响采购公平、公正性的，应当重新采购。</w:t>
      </w:r>
    </w:p>
    <w:p w14:paraId="525718C0">
      <w:pPr>
        <w:pStyle w:val="29"/>
        <w:snapToGrid w:val="0"/>
        <w:spacing w:line="400" w:lineRule="exact"/>
        <w:ind w:firstLine="422" w:firstLineChars="200"/>
        <w:jc w:val="left"/>
        <w:rPr>
          <w:rFonts w:hAnsi="宋体"/>
          <w:b/>
          <w:color w:val="auto"/>
          <w:highlight w:val="none"/>
        </w:rPr>
      </w:pPr>
      <w:r>
        <w:rPr>
          <w:rFonts w:hint="eastAsia" w:hAnsi="宋体"/>
          <w:b/>
          <w:color w:val="auto"/>
          <w:highlight w:val="none"/>
        </w:rPr>
        <w:t>25.</w:t>
      </w:r>
      <w:r>
        <w:rPr>
          <w:rFonts w:hint="eastAsia" w:hAnsi="宋体"/>
          <w:b/>
          <w:bCs/>
          <w:color w:val="auto"/>
          <w:highlight w:val="none"/>
        </w:rPr>
        <w:t>评标程序</w:t>
      </w:r>
    </w:p>
    <w:p w14:paraId="5D92F915">
      <w:pPr>
        <w:snapToGrid w:val="0"/>
        <w:spacing w:line="4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25.1符合性审查</w:t>
      </w:r>
    </w:p>
    <w:p w14:paraId="4134A78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评标委员会对符合资格的投标人的投标文件进行符合性审查，以确定其是否满足招标文件的实质性要求。</w:t>
      </w:r>
    </w:p>
    <w:p w14:paraId="4C86F36D">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25.2 澄清问题</w:t>
      </w:r>
    </w:p>
    <w:p w14:paraId="7193C84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对于投标文件中含义不明确、同类问题表述不一致或者有明显文字和计算错误的内容，评标委员会应当以书面形式要求投标人作出必要的澄清、说明或者补正。</w:t>
      </w:r>
    </w:p>
    <w:p w14:paraId="660BBFC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的澄清、说明或者补正应当采用书面形式，并加盖公章，或者由法定代表人或其授权的代表签字。投标人的澄清、说明或者补正不得超出投标文件的范围或者改变投标文件的实质性内容。投标人代表未到场或者拒绝澄清或者澄清的内容改变了投标文件的实质性内容的，评标委员会有权视该投标文件无效。</w:t>
      </w:r>
    </w:p>
    <w:p w14:paraId="6DEEAAAB">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25.3详细评审</w:t>
      </w:r>
    </w:p>
    <w:p w14:paraId="318EF1A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25.3.1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14:paraId="1F8E2BC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25.3.2投标文件报价出现前后不一致的，按照下列规定修正：</w:t>
      </w:r>
    </w:p>
    <w:p w14:paraId="64DB3A5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5.3.2.1</w:t>
      </w:r>
      <w:r>
        <w:rPr>
          <w:rFonts w:hint="eastAsia" w:ascii="宋体" w:hAnsi="宋体"/>
          <w:color w:val="auto"/>
          <w:szCs w:val="21"/>
          <w:highlight w:val="none"/>
        </w:rPr>
        <w:t>投标文件中投标报价表内容与投标文件中相应内容不致的，以投标报价表为准；</w:t>
      </w:r>
    </w:p>
    <w:p w14:paraId="671800B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5.3.2.2</w:t>
      </w:r>
      <w:r>
        <w:rPr>
          <w:rFonts w:hint="eastAsia" w:ascii="宋体" w:hAnsi="宋体"/>
          <w:color w:val="auto"/>
          <w:szCs w:val="21"/>
          <w:highlight w:val="none"/>
        </w:rPr>
        <w:t>大写金额和小写金额不一致的，以大写金额为准；</w:t>
      </w:r>
    </w:p>
    <w:p w14:paraId="009386F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5.3.2.3</w:t>
      </w:r>
      <w:r>
        <w:rPr>
          <w:rFonts w:hint="eastAsia" w:ascii="宋体" w:hAnsi="宋体"/>
          <w:color w:val="auto"/>
          <w:szCs w:val="21"/>
          <w:highlight w:val="none"/>
        </w:rPr>
        <w:t>单价金额小数点或百分比有明显错位的，以投标报价表的总价为准，并修改单价；</w:t>
      </w:r>
    </w:p>
    <w:p w14:paraId="587EFF9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5.3.2.4</w:t>
      </w:r>
      <w:r>
        <w:rPr>
          <w:rFonts w:hint="eastAsia" w:ascii="宋体" w:hAnsi="宋体"/>
          <w:color w:val="auto"/>
          <w:szCs w:val="21"/>
          <w:highlight w:val="none"/>
        </w:rPr>
        <w:t>总价金额与按单价汇总金额不一致的，以单价金额计算结果为准。</w:t>
      </w:r>
    </w:p>
    <w:p w14:paraId="3D0608A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同时出现两种以上不一致的，按照前款规定的顺序修正；修正后的报价按本章25.2款的规定经投标人确认后产生约束力，投标人不确认的，其投标无效。</w:t>
      </w:r>
    </w:p>
    <w:p w14:paraId="3390BE02">
      <w:pPr>
        <w:pStyle w:val="29"/>
        <w:tabs>
          <w:tab w:val="left" w:pos="630"/>
        </w:tabs>
        <w:snapToGrid w:val="0"/>
        <w:spacing w:line="400" w:lineRule="exact"/>
        <w:ind w:firstLine="422" w:firstLineChars="200"/>
        <w:rPr>
          <w:rFonts w:hAnsi="宋体"/>
          <w:b/>
          <w:color w:val="auto"/>
          <w:highlight w:val="none"/>
        </w:rPr>
      </w:pPr>
      <w:r>
        <w:rPr>
          <w:rFonts w:hint="eastAsia" w:hAnsi="宋体"/>
          <w:b/>
          <w:color w:val="auto"/>
          <w:highlight w:val="none"/>
        </w:rPr>
        <w:t>25.4评标原则和评标办法</w:t>
      </w:r>
    </w:p>
    <w:p w14:paraId="585F87FF">
      <w:pPr>
        <w:pStyle w:val="29"/>
        <w:snapToGrid w:val="0"/>
        <w:spacing w:line="400" w:lineRule="exact"/>
        <w:ind w:firstLine="420" w:firstLineChars="200"/>
        <w:rPr>
          <w:rFonts w:hAnsi="宋体"/>
          <w:color w:val="auto"/>
          <w:highlight w:val="none"/>
        </w:rPr>
      </w:pPr>
      <w:r>
        <w:rPr>
          <w:rFonts w:hint="eastAsia" w:hAnsi="宋体"/>
          <w:color w:val="auto"/>
          <w:highlight w:val="none"/>
        </w:rPr>
        <w:t>25.4.1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8F6D32C">
      <w:pPr>
        <w:pStyle w:val="29"/>
        <w:snapToGrid w:val="0"/>
        <w:spacing w:line="400" w:lineRule="exact"/>
        <w:ind w:firstLine="420" w:firstLineChars="200"/>
        <w:rPr>
          <w:rFonts w:hAnsi="宋体"/>
          <w:color w:val="auto"/>
          <w:highlight w:val="none"/>
        </w:rPr>
      </w:pPr>
      <w:r>
        <w:rPr>
          <w:rFonts w:hint="eastAsia" w:hAnsi="宋体"/>
          <w:color w:val="auto"/>
          <w:highlight w:val="none"/>
        </w:rPr>
        <w:t>25.4.2评标办法。本项目评标办法是</w:t>
      </w:r>
      <w:r>
        <w:rPr>
          <w:rFonts w:hint="eastAsia" w:hAnsi="宋体"/>
          <w:color w:val="auto"/>
          <w:highlight w:val="none"/>
          <w:u w:val="single"/>
        </w:rPr>
        <w:t>综合评分法</w:t>
      </w:r>
      <w:r>
        <w:rPr>
          <w:rFonts w:hint="eastAsia" w:hAnsi="宋体"/>
          <w:color w:val="auto"/>
          <w:highlight w:val="none"/>
        </w:rPr>
        <w:t>，具体评标内容及评分标准等详见《第四章：评标办法及评分标准》。</w:t>
      </w:r>
    </w:p>
    <w:p w14:paraId="38AF2D67">
      <w:pPr>
        <w:snapToGrid w:val="0"/>
        <w:spacing w:line="400" w:lineRule="exact"/>
        <w:ind w:firstLine="413" w:firstLineChars="196"/>
        <w:jc w:val="left"/>
        <w:outlineLvl w:val="1"/>
        <w:rPr>
          <w:rFonts w:ascii="宋体" w:hAnsi="宋体"/>
          <w:b/>
          <w:color w:val="auto"/>
          <w:szCs w:val="21"/>
          <w:highlight w:val="none"/>
        </w:rPr>
      </w:pPr>
      <w:bookmarkStart w:id="67" w:name="_Toc90627227"/>
      <w:r>
        <w:rPr>
          <w:rFonts w:hint="eastAsia" w:ascii="宋体" w:hAnsi="宋体"/>
          <w:b/>
          <w:color w:val="auto"/>
          <w:szCs w:val="21"/>
          <w:highlight w:val="none"/>
        </w:rPr>
        <w:t>2</w:t>
      </w:r>
      <w:r>
        <w:rPr>
          <w:rFonts w:ascii="宋体" w:hAnsi="宋体"/>
          <w:b/>
          <w:color w:val="auto"/>
          <w:szCs w:val="21"/>
          <w:highlight w:val="none"/>
        </w:rPr>
        <w:t>6.</w:t>
      </w:r>
      <w:r>
        <w:rPr>
          <w:rFonts w:hint="eastAsia" w:ascii="宋体" w:hAnsi="宋体"/>
          <w:b/>
          <w:color w:val="auto"/>
          <w:szCs w:val="21"/>
          <w:highlight w:val="none"/>
        </w:rPr>
        <w:t>评委表决</w:t>
      </w:r>
      <w:bookmarkEnd w:id="67"/>
    </w:p>
    <w:p w14:paraId="3546016D">
      <w:pPr>
        <w:pStyle w:val="29"/>
        <w:tabs>
          <w:tab w:val="left" w:pos="630"/>
        </w:tabs>
        <w:snapToGrid w:val="0"/>
        <w:spacing w:line="400" w:lineRule="exact"/>
        <w:ind w:firstLine="422" w:firstLineChars="200"/>
        <w:rPr>
          <w:rFonts w:hAnsi="宋体"/>
          <w:b/>
          <w:color w:val="auto"/>
          <w:highlight w:val="none"/>
        </w:rPr>
      </w:pPr>
      <w:r>
        <w:rPr>
          <w:rFonts w:hint="eastAsia" w:hAnsi="宋体"/>
          <w:b/>
          <w:bCs/>
          <w:color w:val="auto"/>
          <w:highlight w:val="none"/>
        </w:rPr>
        <w:t>在评标过程中出现法律法规和招标文件均没有明确规定的情形时，由评标委员会现场协商解决，协</w:t>
      </w:r>
      <w:r>
        <w:rPr>
          <w:rFonts w:hint="eastAsia" w:hAnsi="宋体"/>
          <w:b/>
          <w:color w:val="auto"/>
          <w:highlight w:val="none"/>
        </w:rPr>
        <w:t>商不一致的，由全体评委投票表决，以得票率二分之一以上专家的意见为准。</w:t>
      </w:r>
    </w:p>
    <w:p w14:paraId="1EB39B40">
      <w:pPr>
        <w:pStyle w:val="29"/>
        <w:tabs>
          <w:tab w:val="left" w:pos="630"/>
        </w:tabs>
        <w:snapToGrid w:val="0"/>
        <w:spacing w:line="400" w:lineRule="exact"/>
        <w:ind w:firstLine="422" w:firstLineChars="200"/>
        <w:rPr>
          <w:rFonts w:hAnsi="宋体"/>
          <w:b/>
          <w:color w:val="auto"/>
          <w:highlight w:val="none"/>
        </w:rPr>
      </w:pPr>
      <w:r>
        <w:rPr>
          <w:rFonts w:hint="eastAsia" w:hAnsi="宋体"/>
          <w:b/>
          <w:color w:val="auto"/>
          <w:highlight w:val="none"/>
        </w:rPr>
        <w:t>2</w:t>
      </w:r>
      <w:r>
        <w:rPr>
          <w:rFonts w:hAnsi="宋体"/>
          <w:b/>
          <w:color w:val="auto"/>
          <w:highlight w:val="none"/>
        </w:rPr>
        <w:t>7</w:t>
      </w:r>
      <w:r>
        <w:rPr>
          <w:rFonts w:hint="eastAsia" w:hAnsi="宋体"/>
          <w:b/>
          <w:color w:val="auto"/>
          <w:highlight w:val="none"/>
        </w:rPr>
        <w:t>.投标无效的情形</w:t>
      </w:r>
    </w:p>
    <w:p w14:paraId="16E49B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投标文件未按照招标</w:t>
      </w:r>
      <w:r>
        <w:rPr>
          <w:rFonts w:ascii="宋体" w:hAnsi="宋体"/>
          <w:color w:val="auto"/>
          <w:szCs w:val="21"/>
          <w:highlight w:val="none"/>
        </w:rPr>
        <w:t>文件</w:t>
      </w:r>
      <w:r>
        <w:rPr>
          <w:rFonts w:hint="eastAsia" w:ascii="宋体" w:hAnsi="宋体"/>
          <w:color w:val="auto"/>
          <w:szCs w:val="21"/>
          <w:highlight w:val="none"/>
        </w:rPr>
        <w:t>规定编制的，或开标会上检查资料不完善的，其投标文件将被视为无效。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0EC7E1B7">
      <w:pPr>
        <w:snapToGrid w:val="0"/>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2</w:t>
      </w:r>
      <w:r>
        <w:rPr>
          <w:rFonts w:ascii="宋体" w:hAnsi="宋体" w:cs="宋体"/>
          <w:b/>
          <w:bCs/>
          <w:color w:val="auto"/>
          <w:szCs w:val="21"/>
          <w:highlight w:val="none"/>
        </w:rPr>
        <w:t>8</w:t>
      </w:r>
      <w:r>
        <w:rPr>
          <w:rFonts w:hint="eastAsia" w:ascii="宋体" w:hAnsi="宋体" w:cs="宋体"/>
          <w:b/>
          <w:bCs/>
          <w:color w:val="auto"/>
          <w:szCs w:val="21"/>
          <w:highlight w:val="none"/>
        </w:rPr>
        <w:t>.1在资格审查时，如发现下列情形之一的，投标文件将被视为无效：</w:t>
      </w:r>
    </w:p>
    <w:p w14:paraId="572DB242">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8.1.1</w:t>
      </w:r>
      <w:r>
        <w:rPr>
          <w:rFonts w:hint="eastAsia" w:ascii="宋体" w:hAnsi="宋体" w:cs="宋体"/>
          <w:color w:val="auto"/>
          <w:szCs w:val="21"/>
          <w:highlight w:val="none"/>
        </w:rPr>
        <w:t>不具备招标文件中规定的资格要求的或未在规定时间内报名的；</w:t>
      </w:r>
    </w:p>
    <w:p w14:paraId="2B0EEFA1">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8.1.2</w:t>
      </w:r>
      <w:r>
        <w:rPr>
          <w:rFonts w:hint="eastAsia" w:ascii="宋体" w:hAnsi="宋体" w:cs="宋体"/>
          <w:color w:val="auto"/>
          <w:szCs w:val="21"/>
          <w:highlight w:val="none"/>
        </w:rPr>
        <w:t>超越了按照法律法规规定必须获得行政许可或者行政审批的经营范围的；</w:t>
      </w:r>
    </w:p>
    <w:p w14:paraId="7B851432">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8.1.3</w:t>
      </w:r>
      <w:r>
        <w:rPr>
          <w:rFonts w:hint="eastAsia" w:ascii="宋体" w:hAnsi="宋体" w:cs="宋体"/>
          <w:color w:val="auto"/>
          <w:szCs w:val="21"/>
          <w:highlight w:val="none"/>
        </w:rPr>
        <w:t>资格证明文件材料不全、不合格的，或者不符合招标文件标明的资格要求的；</w:t>
      </w:r>
    </w:p>
    <w:p w14:paraId="4ABD9E1E">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8.1.4</w:t>
      </w:r>
      <w:r>
        <w:rPr>
          <w:rFonts w:hint="eastAsia" w:ascii="宋体" w:hAnsi="宋体" w:cs="宋体"/>
          <w:color w:val="auto"/>
          <w:szCs w:val="21"/>
          <w:highlight w:val="none"/>
        </w:rPr>
        <w:t>投标文件无法定代表人（负责人）或其授权委托代理人签字，或未提供法定代表人（负责人）授权委托书、投标声明书或者填写项目不齐全的；</w:t>
      </w:r>
    </w:p>
    <w:p w14:paraId="13EA15C0">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8.1.5</w:t>
      </w:r>
      <w:r>
        <w:rPr>
          <w:rFonts w:hint="eastAsia" w:ascii="宋体" w:hAnsi="宋体" w:cs="宋体"/>
          <w:color w:val="auto"/>
          <w:szCs w:val="21"/>
          <w:highlight w:val="none"/>
        </w:rPr>
        <w:t>投标代表人未能出具身份证明或与法定代表人（负责人）授权委托人身份不符的；</w:t>
      </w:r>
    </w:p>
    <w:p w14:paraId="67260616">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8.1.6</w:t>
      </w:r>
      <w:r>
        <w:rPr>
          <w:rFonts w:hint="eastAsia" w:ascii="宋体" w:hAnsi="宋体" w:cs="宋体"/>
          <w:color w:val="auto"/>
          <w:szCs w:val="21"/>
          <w:highlight w:val="none"/>
        </w:rPr>
        <w:t>法律、法规和招标文件规定的其他无效情形。</w:t>
      </w:r>
    </w:p>
    <w:p w14:paraId="6545A6C8">
      <w:pPr>
        <w:pStyle w:val="22"/>
        <w:snapToGrid w:val="0"/>
        <w:spacing w:line="400" w:lineRule="exact"/>
        <w:ind w:firstLine="413" w:firstLineChars="196"/>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rPr>
        <w:t>.2在商务性及技术评审时，如发现下列情形之一的，投标文件将被视为无效：</w:t>
      </w:r>
    </w:p>
    <w:p w14:paraId="4B84C85B">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8.2.1</w:t>
      </w:r>
      <w:r>
        <w:rPr>
          <w:rFonts w:hint="eastAsia" w:ascii="宋体" w:hAnsi="宋体" w:eastAsia="宋体" w:cs="宋体"/>
          <w:color w:val="auto"/>
          <w:sz w:val="21"/>
          <w:szCs w:val="21"/>
          <w:highlight w:val="none"/>
        </w:rPr>
        <w:t>投标文件未按招标文件要求签署、盖章的；</w:t>
      </w:r>
    </w:p>
    <w:p w14:paraId="724DAB2F">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8.2.2</w:t>
      </w:r>
      <w:r>
        <w:rPr>
          <w:rFonts w:hint="eastAsia" w:ascii="宋体" w:hAnsi="宋体" w:eastAsia="宋体" w:cs="宋体"/>
          <w:color w:val="auto"/>
          <w:sz w:val="21"/>
          <w:szCs w:val="21"/>
          <w:highlight w:val="none"/>
        </w:rPr>
        <w:t>投标文件</w:t>
      </w:r>
      <w:r>
        <w:rPr>
          <w:rFonts w:ascii="宋体" w:hAnsi="宋体" w:eastAsia="宋体"/>
          <w:color w:val="auto"/>
          <w:sz w:val="21"/>
          <w:szCs w:val="21"/>
          <w:highlight w:val="none"/>
        </w:rPr>
        <w:t>格式不符合第六章“投标文件格式”的要求</w:t>
      </w:r>
      <w:r>
        <w:rPr>
          <w:rFonts w:hint="eastAsia" w:ascii="宋体" w:hAnsi="宋体" w:eastAsia="宋体"/>
          <w:color w:val="auto"/>
          <w:sz w:val="21"/>
          <w:szCs w:val="21"/>
          <w:highlight w:val="none"/>
        </w:rPr>
        <w:t>；</w:t>
      </w:r>
    </w:p>
    <w:p w14:paraId="76C0FEE6">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8.2.3</w:t>
      </w:r>
      <w:r>
        <w:rPr>
          <w:rFonts w:hint="eastAsia" w:ascii="宋体" w:hAnsi="宋体" w:cs="宋体"/>
          <w:color w:val="auto"/>
          <w:szCs w:val="21"/>
          <w:highlight w:val="none"/>
        </w:rPr>
        <w:t>投标文件的实质性内容未使用中文表述、意思表述不明确、前后矛盾或者使用计量单位不符合招标文件要求的（经评标委员会认定并允许其当场更正的笔误除外）；</w:t>
      </w:r>
    </w:p>
    <w:p w14:paraId="598BC0C6">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8.2.4</w:t>
      </w:r>
      <w:r>
        <w:rPr>
          <w:rFonts w:hint="eastAsia" w:ascii="宋体" w:hAnsi="宋体" w:eastAsia="宋体" w:cs="宋体"/>
          <w:snapToGrid w:val="0"/>
          <w:color w:val="auto"/>
          <w:sz w:val="21"/>
          <w:szCs w:val="21"/>
          <w:highlight w:val="none"/>
        </w:rPr>
        <w:t>招标文件要求必须提供的商务及技术部分的文件不齐全或者内容虚假的；</w:t>
      </w:r>
    </w:p>
    <w:p w14:paraId="593B9702">
      <w:pPr>
        <w:snapToGrid w:val="0"/>
        <w:spacing w:line="400" w:lineRule="exact"/>
        <w:ind w:firstLine="411" w:firstLineChars="196"/>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8.2.5</w:t>
      </w:r>
      <w:r>
        <w:rPr>
          <w:rFonts w:hint="eastAsia" w:ascii="宋体" w:hAnsi="宋体" w:cs="宋体"/>
          <w:color w:val="auto"/>
          <w:szCs w:val="21"/>
          <w:highlight w:val="none"/>
        </w:rPr>
        <w:t>投标文件</w:t>
      </w:r>
      <w:r>
        <w:rPr>
          <w:rFonts w:ascii="宋体" w:hAnsi="宋体"/>
          <w:color w:val="auto"/>
          <w:highlight w:val="none"/>
        </w:rPr>
        <w:t>未实质性响应招标文件中标</w:t>
      </w:r>
      <w:r>
        <w:rPr>
          <w:rFonts w:hint="eastAsia" w:ascii="宋体" w:hAnsi="宋体"/>
          <w:color w:val="auto"/>
          <w:highlight w:val="none"/>
        </w:rPr>
        <w:t>注</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”的商务条款要求的；</w:t>
      </w:r>
    </w:p>
    <w:p w14:paraId="474467E9">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8.2.6</w:t>
      </w:r>
      <w:r>
        <w:rPr>
          <w:rFonts w:hint="eastAsia" w:ascii="宋体" w:hAnsi="宋体" w:eastAsia="宋体" w:cs="宋体"/>
          <w:color w:val="auto"/>
          <w:sz w:val="21"/>
          <w:szCs w:val="21"/>
          <w:highlight w:val="none"/>
        </w:rPr>
        <w:t>投标文件未提供或未如实提供投标货物的技术参数，或者投标文件标明的响应或偏离与事实不符或虚假投标的；</w:t>
      </w:r>
    </w:p>
    <w:p w14:paraId="3BB0C440">
      <w:pPr>
        <w:pStyle w:val="22"/>
        <w:snapToGrid w:val="0"/>
        <w:spacing w:line="400" w:lineRule="exact"/>
        <w:ind w:firstLine="411" w:firstLineChars="196"/>
        <w:rPr>
          <w:rFonts w:ascii="宋体" w:hAnsi="宋体" w:eastAsia="宋体"/>
          <w:color w:val="auto"/>
          <w:sz w:val="21"/>
          <w:szCs w:val="24"/>
          <w:highlight w:val="none"/>
        </w:rPr>
      </w:pPr>
      <w:r>
        <w:rPr>
          <w:rFonts w:hint="eastAsia" w:ascii="宋体" w:hAnsi="宋体" w:eastAsia="宋体"/>
          <w:color w:val="auto"/>
          <w:sz w:val="21"/>
          <w:szCs w:val="24"/>
          <w:highlight w:val="none"/>
        </w:rPr>
        <w:t>2</w:t>
      </w:r>
      <w:r>
        <w:rPr>
          <w:rFonts w:ascii="宋体" w:hAnsi="宋体" w:eastAsia="宋体"/>
          <w:color w:val="auto"/>
          <w:sz w:val="21"/>
          <w:szCs w:val="24"/>
          <w:highlight w:val="none"/>
        </w:rPr>
        <w:t>8.2.7</w:t>
      </w:r>
      <w:r>
        <w:rPr>
          <w:rFonts w:hint="eastAsia" w:ascii="宋体" w:hAnsi="宋体" w:eastAsia="宋体"/>
          <w:color w:val="auto"/>
          <w:sz w:val="21"/>
          <w:szCs w:val="24"/>
          <w:highlight w:val="none"/>
        </w:rPr>
        <w:t>明显不符合招标文件要求的规格型号、质量标准，或者与招标文件中标“★”的技术指标、主要功能项目发生实质性偏离的；</w:t>
      </w:r>
    </w:p>
    <w:p w14:paraId="03942369">
      <w:pPr>
        <w:pStyle w:val="22"/>
        <w:snapToGrid w:val="0"/>
        <w:spacing w:line="400" w:lineRule="exact"/>
        <w:ind w:firstLine="411" w:firstLineChars="196"/>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ascii="宋体" w:hAnsi="宋体" w:eastAsia="宋体"/>
          <w:color w:val="auto"/>
          <w:sz w:val="21"/>
          <w:szCs w:val="21"/>
          <w:highlight w:val="none"/>
        </w:rPr>
        <w:t>8.2.8</w:t>
      </w:r>
      <w:r>
        <w:rPr>
          <w:rFonts w:hint="eastAsia" w:ascii="宋体" w:hAnsi="宋体" w:eastAsia="宋体"/>
          <w:color w:val="auto"/>
          <w:sz w:val="21"/>
          <w:szCs w:val="21"/>
          <w:highlight w:val="none"/>
        </w:rPr>
        <w:t>投标文件有采购人不能接受的附加条件的</w:t>
      </w:r>
      <w:r>
        <w:rPr>
          <w:rFonts w:hint="eastAsia" w:ascii="宋体" w:hAnsi="宋体" w:eastAsia="宋体" w:cs="宋体"/>
          <w:snapToGrid w:val="0"/>
          <w:color w:val="auto"/>
          <w:sz w:val="21"/>
          <w:szCs w:val="21"/>
          <w:highlight w:val="none"/>
        </w:rPr>
        <w:t>；</w:t>
      </w:r>
    </w:p>
    <w:p w14:paraId="0A808DE9">
      <w:pPr>
        <w:pStyle w:val="22"/>
        <w:snapToGrid w:val="0"/>
        <w:spacing w:line="400" w:lineRule="exact"/>
        <w:ind w:firstLine="411" w:firstLineChars="196"/>
        <w:rPr>
          <w:rFonts w:ascii="宋体" w:hAnsi="宋体" w:eastAsia="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8.2.9</w:t>
      </w:r>
      <w:r>
        <w:rPr>
          <w:rFonts w:hint="eastAsia" w:ascii="宋体" w:hAnsi="宋体" w:eastAsia="宋体" w:cs="宋体"/>
          <w:color w:val="auto"/>
          <w:sz w:val="21"/>
          <w:szCs w:val="21"/>
          <w:highlight w:val="none"/>
        </w:rPr>
        <w:t>投标人代表未到场对评标委员会提出的投标文件澄清要求进行澄清或者拒绝评标委员会提出的投标文件澄清要求或者澄清的内容改变了投标文件的实质性内容的。</w:t>
      </w:r>
    </w:p>
    <w:p w14:paraId="516016E2">
      <w:pPr>
        <w:pStyle w:val="22"/>
        <w:snapToGrid w:val="0"/>
        <w:spacing w:line="400" w:lineRule="exact"/>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rPr>
        <w:t>.3在报价评审时，如发现下列情形之一的，投标文件将被视为无效：</w:t>
      </w:r>
    </w:p>
    <w:p w14:paraId="2B0623D6">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8.3.1</w:t>
      </w:r>
      <w:r>
        <w:rPr>
          <w:rFonts w:hint="eastAsia" w:ascii="宋体" w:hAnsi="宋体" w:eastAsia="宋体" w:cs="宋体"/>
          <w:color w:val="auto"/>
          <w:sz w:val="21"/>
          <w:szCs w:val="21"/>
          <w:highlight w:val="none"/>
        </w:rPr>
        <w:t>未采用人民币报价或者未按照招标文件标明的币种报价的；</w:t>
      </w:r>
    </w:p>
    <w:p w14:paraId="343AEB72">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8.3.2</w:t>
      </w:r>
      <w:r>
        <w:rPr>
          <w:rFonts w:hint="eastAsia" w:ascii="宋体" w:hAnsi="宋体" w:eastAsia="宋体" w:cs="宋体"/>
          <w:color w:val="auto"/>
          <w:sz w:val="21"/>
          <w:szCs w:val="21"/>
          <w:highlight w:val="none"/>
        </w:rPr>
        <w:t>报价超出最高限价，或者超出采购预算金额，采购人不能支付的；</w:t>
      </w:r>
    </w:p>
    <w:p w14:paraId="19E7F3EE">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8.3.3</w:t>
      </w:r>
      <w:r>
        <w:rPr>
          <w:rFonts w:hint="eastAsia" w:ascii="宋体" w:hAnsi="宋体" w:eastAsia="宋体"/>
          <w:color w:val="auto"/>
          <w:sz w:val="21"/>
          <w:highlight w:val="none"/>
        </w:rPr>
        <w:t>投标报价不是唯一报价，具有选择性。</w:t>
      </w:r>
    </w:p>
    <w:p w14:paraId="4709C133">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olor w:val="auto"/>
          <w:sz w:val="21"/>
          <w:highlight w:val="none"/>
        </w:rPr>
        <w:t>2</w:t>
      </w:r>
      <w:r>
        <w:rPr>
          <w:rFonts w:ascii="宋体" w:hAnsi="宋体" w:eastAsia="宋体"/>
          <w:color w:val="auto"/>
          <w:sz w:val="21"/>
          <w:highlight w:val="none"/>
        </w:rPr>
        <w:t>8.3.4</w:t>
      </w: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评标委员会认为投标人的报价明显低于其他通过符合性审查投标人的报价，有可能影响产品质量或者不能诚信履约，投标人不能证明其报价合理性的。</w:t>
      </w:r>
    </w:p>
    <w:p w14:paraId="1DC85102">
      <w:pPr>
        <w:pStyle w:val="22"/>
        <w:snapToGrid w:val="0"/>
        <w:spacing w:line="400" w:lineRule="exact"/>
        <w:ind w:firstLine="422" w:firstLineChars="200"/>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r>
        <w:rPr>
          <w:rFonts w:ascii="宋体" w:hAnsi="宋体" w:eastAsia="宋体" w:cs="宋体"/>
          <w:b/>
          <w:bCs/>
          <w:color w:val="auto"/>
          <w:kern w:val="0"/>
          <w:sz w:val="21"/>
          <w:szCs w:val="21"/>
          <w:highlight w:val="none"/>
        </w:rPr>
        <w:t>8</w:t>
      </w:r>
      <w:r>
        <w:rPr>
          <w:rFonts w:hint="eastAsia" w:ascii="宋体" w:hAnsi="宋体" w:eastAsia="宋体" w:cs="宋体"/>
          <w:b/>
          <w:bCs/>
          <w:color w:val="auto"/>
          <w:kern w:val="0"/>
          <w:sz w:val="21"/>
          <w:szCs w:val="21"/>
          <w:highlight w:val="none"/>
        </w:rPr>
        <w:t>.4有下列情形之一的视为投标人相互串通投标，投标文件将被视为无效：</w:t>
      </w:r>
    </w:p>
    <w:p w14:paraId="65C63A16">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8.4.1</w:t>
      </w:r>
      <w:r>
        <w:rPr>
          <w:rFonts w:hint="eastAsia" w:ascii="宋体" w:hAnsi="宋体" w:eastAsia="宋体" w:cs="宋体"/>
          <w:color w:val="auto"/>
          <w:sz w:val="21"/>
          <w:szCs w:val="21"/>
          <w:highlight w:val="none"/>
        </w:rPr>
        <w:t>不同投标人的投标文件由同一单位或者个人编制；</w:t>
      </w:r>
    </w:p>
    <w:p w14:paraId="50103F21">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8.4.2</w:t>
      </w:r>
      <w:r>
        <w:rPr>
          <w:rFonts w:hint="eastAsia" w:ascii="宋体" w:hAnsi="宋体" w:eastAsia="宋体" w:cs="宋体"/>
          <w:color w:val="auto"/>
          <w:sz w:val="21"/>
          <w:szCs w:val="21"/>
          <w:highlight w:val="none"/>
        </w:rPr>
        <w:t>不同投标人委托同一单位或者个人办理投标事宜；</w:t>
      </w:r>
    </w:p>
    <w:p w14:paraId="7F84DF0A">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8.4.3</w:t>
      </w:r>
      <w:r>
        <w:rPr>
          <w:rFonts w:hint="eastAsia" w:ascii="宋体" w:hAnsi="宋体" w:eastAsia="宋体" w:cs="宋体"/>
          <w:color w:val="auto"/>
          <w:sz w:val="21"/>
          <w:szCs w:val="21"/>
          <w:highlight w:val="none"/>
        </w:rPr>
        <w:t>不同的投标人的投标文件载明的项目管理成员或者联系人为同一人；</w:t>
      </w:r>
    </w:p>
    <w:p w14:paraId="6A3520B1">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8.4.4</w:t>
      </w:r>
      <w:r>
        <w:rPr>
          <w:rFonts w:hint="eastAsia" w:ascii="宋体" w:hAnsi="宋体" w:eastAsia="宋体" w:cs="宋体"/>
          <w:color w:val="auto"/>
          <w:sz w:val="21"/>
          <w:szCs w:val="21"/>
          <w:highlight w:val="none"/>
        </w:rPr>
        <w:t>不同投标人的投标文件异常一致或投标报价呈规律性差异；</w:t>
      </w:r>
    </w:p>
    <w:p w14:paraId="4401887C">
      <w:pPr>
        <w:pStyle w:val="22"/>
        <w:snapToGrid w:val="0"/>
        <w:spacing w:line="400" w:lineRule="exact"/>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8.4.5</w:t>
      </w:r>
      <w:r>
        <w:rPr>
          <w:rFonts w:hint="eastAsia" w:ascii="宋体" w:hAnsi="宋体" w:eastAsia="宋体" w:cs="宋体"/>
          <w:color w:val="auto"/>
          <w:sz w:val="21"/>
          <w:szCs w:val="21"/>
          <w:highlight w:val="none"/>
        </w:rPr>
        <w:t>不同投标人的投标文件相互混装；</w:t>
      </w:r>
    </w:p>
    <w:p w14:paraId="0AD0DED5">
      <w:pPr>
        <w:pStyle w:val="22"/>
        <w:snapToGrid w:val="0"/>
        <w:spacing w:line="400" w:lineRule="exact"/>
        <w:ind w:firstLine="413" w:firstLineChars="196"/>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r>
        <w:rPr>
          <w:rFonts w:ascii="宋体" w:hAnsi="宋体" w:eastAsia="宋体" w:cs="宋体"/>
          <w:b/>
          <w:bCs/>
          <w:color w:val="auto"/>
          <w:kern w:val="0"/>
          <w:sz w:val="21"/>
          <w:szCs w:val="21"/>
          <w:highlight w:val="none"/>
        </w:rPr>
        <w:t>8</w:t>
      </w:r>
      <w:r>
        <w:rPr>
          <w:rFonts w:hint="eastAsia" w:ascii="宋体" w:hAnsi="宋体" w:eastAsia="宋体" w:cs="宋体"/>
          <w:b/>
          <w:bCs/>
          <w:color w:val="auto"/>
          <w:kern w:val="0"/>
          <w:sz w:val="21"/>
          <w:szCs w:val="21"/>
          <w:highlight w:val="none"/>
        </w:rPr>
        <w:t>.5关联供应商不得参加同一合同项下政府采购活动，否则投标文件将被视为无效</w:t>
      </w:r>
    </w:p>
    <w:p w14:paraId="3C81435D">
      <w:pPr>
        <w:pStyle w:val="22"/>
        <w:snapToGrid w:val="0"/>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8.5.1</w:t>
      </w:r>
      <w:r>
        <w:rPr>
          <w:rFonts w:hint="eastAsia" w:ascii="宋体" w:hAnsi="宋体" w:eastAsia="宋体" w:cs="宋体"/>
          <w:color w:val="auto"/>
          <w:sz w:val="21"/>
          <w:szCs w:val="21"/>
          <w:highlight w:val="none"/>
        </w:rPr>
        <w:t>单位负责人为同一人或者存在直接控股、管理关系的不同的供应商，不得参加同一合同项下的政府采购活动。</w:t>
      </w:r>
    </w:p>
    <w:p w14:paraId="78383621">
      <w:pPr>
        <w:pStyle w:val="22"/>
        <w:snapToGrid w:val="0"/>
        <w:spacing w:line="400" w:lineRule="exact"/>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ascii="宋体" w:hAnsi="宋体" w:eastAsia="宋体" w:cs="宋体"/>
          <w:b/>
          <w:color w:val="auto"/>
          <w:sz w:val="21"/>
          <w:szCs w:val="21"/>
          <w:highlight w:val="none"/>
        </w:rPr>
        <w:t>8</w:t>
      </w:r>
      <w:r>
        <w:rPr>
          <w:rFonts w:hint="eastAsia" w:ascii="宋体" w:hAnsi="宋体" w:eastAsia="宋体" w:cs="宋体"/>
          <w:b/>
          <w:color w:val="auto"/>
          <w:sz w:val="21"/>
          <w:szCs w:val="21"/>
          <w:highlight w:val="none"/>
        </w:rPr>
        <w:t>.6被拒绝的投标文件为无效。</w:t>
      </w:r>
    </w:p>
    <w:p w14:paraId="7BBAFA04">
      <w:pPr>
        <w:pStyle w:val="29"/>
        <w:spacing w:line="400" w:lineRule="exact"/>
        <w:ind w:firstLine="422" w:firstLineChars="200"/>
        <w:rPr>
          <w:rFonts w:hAnsi="宋体"/>
          <w:b/>
          <w:bCs/>
          <w:color w:val="auto"/>
          <w:highlight w:val="none"/>
        </w:rPr>
      </w:pPr>
      <w:r>
        <w:rPr>
          <w:rFonts w:hint="eastAsia" w:hAnsi="宋体"/>
          <w:b/>
          <w:color w:val="auto"/>
          <w:highlight w:val="none"/>
        </w:rPr>
        <w:t>2</w:t>
      </w:r>
      <w:r>
        <w:rPr>
          <w:rFonts w:hAnsi="宋体"/>
          <w:b/>
          <w:color w:val="auto"/>
          <w:highlight w:val="none"/>
        </w:rPr>
        <w:t>9</w:t>
      </w:r>
      <w:r>
        <w:rPr>
          <w:rFonts w:hint="eastAsia" w:hAnsi="宋体"/>
          <w:b/>
          <w:color w:val="auto"/>
          <w:highlight w:val="none"/>
        </w:rPr>
        <w:t>.</w:t>
      </w:r>
      <w:r>
        <w:rPr>
          <w:rFonts w:hint="eastAsia" w:hAnsi="宋体"/>
          <w:b/>
          <w:bCs/>
          <w:color w:val="auto"/>
          <w:highlight w:val="none"/>
        </w:rPr>
        <w:t>投标截止后投标人不足3家或者通过资格审查或符合性审查的投标人不足3家的，除采购任务取消情形外，按照以下方式处理：</w:t>
      </w:r>
    </w:p>
    <w:p w14:paraId="289E3AB2">
      <w:pPr>
        <w:pStyle w:val="29"/>
        <w:spacing w:line="400" w:lineRule="exact"/>
        <w:ind w:firstLine="420" w:firstLineChars="200"/>
        <w:rPr>
          <w:rFonts w:hAnsi="宋体"/>
          <w:bCs/>
          <w:color w:val="auto"/>
          <w:highlight w:val="none"/>
        </w:rPr>
      </w:pPr>
      <w:r>
        <w:rPr>
          <w:rFonts w:hint="eastAsia" w:hAnsi="宋体"/>
          <w:bCs/>
          <w:color w:val="auto"/>
          <w:highlight w:val="none"/>
        </w:rPr>
        <w:t>2</w:t>
      </w:r>
      <w:r>
        <w:rPr>
          <w:rFonts w:hAnsi="宋体"/>
          <w:bCs/>
          <w:color w:val="auto"/>
          <w:highlight w:val="none"/>
        </w:rPr>
        <w:t>9.1</w:t>
      </w:r>
      <w:r>
        <w:rPr>
          <w:rFonts w:hint="eastAsia" w:hAnsi="宋体"/>
          <w:bCs/>
          <w:color w:val="auto"/>
          <w:highlight w:val="none"/>
        </w:rPr>
        <w:t>招标文件存在不合理条款或者招标程序不符合规定的，招标人、采购代理机构改正后依法重新招标；</w:t>
      </w:r>
    </w:p>
    <w:p w14:paraId="0BC5DD00">
      <w:pPr>
        <w:pStyle w:val="29"/>
        <w:spacing w:line="400" w:lineRule="exact"/>
        <w:ind w:firstLine="420" w:firstLineChars="200"/>
        <w:jc w:val="left"/>
        <w:rPr>
          <w:rFonts w:hAnsi="宋体"/>
          <w:bCs/>
          <w:color w:val="auto"/>
          <w:highlight w:val="none"/>
        </w:rPr>
      </w:pPr>
      <w:r>
        <w:rPr>
          <w:rFonts w:hint="eastAsia" w:hAnsi="宋体"/>
          <w:bCs/>
          <w:color w:val="auto"/>
          <w:highlight w:val="none"/>
        </w:rPr>
        <w:t>2</w:t>
      </w:r>
      <w:r>
        <w:rPr>
          <w:rFonts w:hAnsi="宋体"/>
          <w:bCs/>
          <w:color w:val="auto"/>
          <w:highlight w:val="none"/>
        </w:rPr>
        <w:t>9.2</w:t>
      </w:r>
      <w:r>
        <w:rPr>
          <w:rFonts w:hint="eastAsia" w:hAnsi="宋体"/>
          <w:bCs/>
          <w:color w:val="auto"/>
          <w:highlight w:val="none"/>
        </w:rPr>
        <w:t>招标文件没有不合理条款、招标程序符合规定，需要采用其他采购方式采购的，招标人应当依法报财政部门批准。</w:t>
      </w:r>
    </w:p>
    <w:p w14:paraId="0D4010CB">
      <w:pPr>
        <w:pStyle w:val="29"/>
        <w:snapToGrid w:val="0"/>
        <w:spacing w:line="400" w:lineRule="exact"/>
        <w:ind w:firstLine="738" w:firstLineChars="245"/>
        <w:jc w:val="center"/>
        <w:rPr>
          <w:rFonts w:hAnsi="宋体"/>
          <w:b/>
          <w:color w:val="auto"/>
          <w:sz w:val="30"/>
          <w:szCs w:val="30"/>
          <w:highlight w:val="none"/>
        </w:rPr>
      </w:pPr>
      <w:r>
        <w:rPr>
          <w:rFonts w:hint="eastAsia" w:hAnsi="宋体"/>
          <w:b/>
          <w:color w:val="auto"/>
          <w:sz w:val="30"/>
          <w:szCs w:val="30"/>
          <w:highlight w:val="none"/>
        </w:rPr>
        <w:t>六、评标过程的监控</w:t>
      </w:r>
    </w:p>
    <w:p w14:paraId="36F4064C">
      <w:pPr>
        <w:pStyle w:val="29"/>
        <w:snapToGrid w:val="0"/>
        <w:spacing w:line="400" w:lineRule="exact"/>
        <w:ind w:firstLine="420" w:firstLineChars="200"/>
        <w:rPr>
          <w:rFonts w:hAnsi="宋体"/>
          <w:color w:val="auto"/>
          <w:highlight w:val="none"/>
        </w:rPr>
      </w:pPr>
      <w:r>
        <w:rPr>
          <w:rFonts w:hAnsi="宋体"/>
          <w:color w:val="auto"/>
          <w:highlight w:val="none"/>
        </w:rPr>
        <w:t>30</w:t>
      </w:r>
      <w:r>
        <w:rPr>
          <w:rFonts w:hint="eastAsia" w:hAnsi="宋体"/>
          <w:color w:val="auto"/>
          <w:highlight w:val="none"/>
        </w:rPr>
        <w:t>.本项目评标过程实行全程录音、录像监控，投标人在评标过程中所进行的试图影响评标结果的不公正活动，可能导致其投标被拒绝。</w:t>
      </w:r>
    </w:p>
    <w:p w14:paraId="4936B12C">
      <w:pPr>
        <w:jc w:val="center"/>
        <w:rPr>
          <w:rFonts w:ascii="宋体" w:hAnsi="宋体"/>
          <w:b/>
          <w:color w:val="auto"/>
          <w:sz w:val="30"/>
          <w:szCs w:val="30"/>
          <w:highlight w:val="none"/>
        </w:rPr>
      </w:pPr>
      <w:bookmarkStart w:id="68" w:name="_Toc254970687"/>
      <w:bookmarkStart w:id="69" w:name="_Toc254970546"/>
      <w:bookmarkStart w:id="70" w:name="_Toc535850400"/>
      <w:bookmarkStart w:id="71" w:name="_Toc535850439"/>
      <w:r>
        <w:rPr>
          <w:rFonts w:hint="eastAsia" w:ascii="宋体" w:hAnsi="宋体"/>
          <w:b/>
          <w:color w:val="auto"/>
          <w:sz w:val="30"/>
          <w:szCs w:val="30"/>
          <w:highlight w:val="none"/>
        </w:rPr>
        <w:t>七、评标结果</w:t>
      </w:r>
      <w:bookmarkEnd w:id="68"/>
      <w:bookmarkEnd w:id="69"/>
      <w:bookmarkEnd w:id="70"/>
      <w:bookmarkEnd w:id="71"/>
    </w:p>
    <w:p w14:paraId="7B693FA0">
      <w:pPr>
        <w:pStyle w:val="29"/>
        <w:spacing w:line="400" w:lineRule="exact"/>
        <w:ind w:firstLine="420" w:firstLineChars="200"/>
        <w:rPr>
          <w:rFonts w:hAnsi="宋体"/>
          <w:color w:val="auto"/>
          <w:highlight w:val="none"/>
        </w:rPr>
      </w:pPr>
      <w:r>
        <w:rPr>
          <w:rFonts w:hAnsi="宋体"/>
          <w:color w:val="auto"/>
          <w:highlight w:val="none"/>
        </w:rPr>
        <w:t>31</w:t>
      </w:r>
      <w:r>
        <w:rPr>
          <w:rFonts w:hint="eastAsia" w:hAnsi="宋体"/>
          <w:color w:val="auto"/>
          <w:highlight w:val="none"/>
        </w:rPr>
        <w:t>.代理机构应当自评审结束之日起</w:t>
      </w:r>
      <w:r>
        <w:rPr>
          <w:rFonts w:hAnsi="宋体"/>
          <w:color w:val="auto"/>
          <w:highlight w:val="none"/>
        </w:rPr>
        <w:t>2</w:t>
      </w:r>
      <w:r>
        <w:rPr>
          <w:rFonts w:hint="eastAsia" w:hAnsi="宋体"/>
          <w:color w:val="auto"/>
          <w:highlight w:val="none"/>
        </w:rPr>
        <w:t>个工作日内将评审报告送交采购人，采购人在收到代理机构提交的评审报告后，2个工作日内从评审报告提出的中标候选人中确定中标</w:t>
      </w:r>
      <w:r>
        <w:rPr>
          <w:rFonts w:hAnsi="宋体"/>
          <w:color w:val="auto"/>
          <w:highlight w:val="none"/>
        </w:rPr>
        <w:t>人</w:t>
      </w:r>
      <w:r>
        <w:rPr>
          <w:rFonts w:hint="eastAsia" w:hAnsi="宋体"/>
          <w:color w:val="auto"/>
          <w:highlight w:val="none"/>
        </w:rPr>
        <w:t>。</w:t>
      </w:r>
    </w:p>
    <w:p w14:paraId="3FE0B705">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2</w:t>
      </w:r>
      <w:r>
        <w:rPr>
          <w:rFonts w:hint="eastAsia" w:hAnsi="宋体"/>
          <w:color w:val="auto"/>
          <w:highlight w:val="none"/>
        </w:rPr>
        <w:t>.</w:t>
      </w:r>
      <w:r>
        <w:rPr>
          <w:rFonts w:hAnsi="宋体"/>
          <w:color w:val="auto"/>
          <w:highlight w:val="none"/>
        </w:rPr>
        <w:t>采购代理机构应当在</w:t>
      </w:r>
      <w:r>
        <w:rPr>
          <w:rFonts w:hint="eastAsia" w:hAnsi="宋体"/>
          <w:color w:val="auto"/>
          <w:highlight w:val="none"/>
        </w:rPr>
        <w:t>中</w:t>
      </w:r>
      <w:r>
        <w:rPr>
          <w:rFonts w:hAnsi="宋体"/>
          <w:color w:val="auto"/>
          <w:highlight w:val="none"/>
        </w:rPr>
        <w:t>标人确定后2个工作日内，在</w:t>
      </w:r>
      <w:r>
        <w:rPr>
          <w:rFonts w:hint="eastAsia" w:hAnsi="宋体"/>
          <w:color w:val="auto"/>
          <w:highlight w:val="none"/>
        </w:rPr>
        <w:t>招标公告发布</w:t>
      </w:r>
      <w:r>
        <w:rPr>
          <w:rFonts w:hAnsi="宋体"/>
          <w:color w:val="auto"/>
          <w:highlight w:val="none"/>
        </w:rPr>
        <w:t>媒体上公告</w:t>
      </w:r>
      <w:r>
        <w:rPr>
          <w:rFonts w:hint="eastAsia" w:hAnsi="宋体"/>
          <w:color w:val="auto"/>
          <w:highlight w:val="none"/>
        </w:rPr>
        <w:t>中标</w:t>
      </w:r>
      <w:r>
        <w:rPr>
          <w:rFonts w:hAnsi="宋体"/>
          <w:color w:val="auto"/>
          <w:highlight w:val="none"/>
        </w:rPr>
        <w:t>结果</w:t>
      </w:r>
      <w:r>
        <w:rPr>
          <w:rFonts w:hint="eastAsia" w:hAnsi="宋体"/>
          <w:color w:val="auto"/>
          <w:highlight w:val="none"/>
        </w:rPr>
        <w:t>。</w:t>
      </w:r>
    </w:p>
    <w:p w14:paraId="7026D7D7">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3</w:t>
      </w:r>
      <w:r>
        <w:rPr>
          <w:rFonts w:hint="eastAsia" w:hAnsi="宋体"/>
          <w:color w:val="auto"/>
          <w:highlight w:val="none"/>
        </w:rPr>
        <w:t>.在发布中标公告的同时，采购代理机构向中标人发出中标通知书。</w:t>
      </w:r>
    </w:p>
    <w:p w14:paraId="44984FF5">
      <w:pPr>
        <w:pStyle w:val="29"/>
        <w:spacing w:line="400" w:lineRule="exact"/>
        <w:ind w:firstLine="420" w:firstLineChars="200"/>
        <w:rPr>
          <w:rFonts w:hAnsi="宋体"/>
          <w:bCs/>
          <w:color w:val="auto"/>
          <w:sz w:val="10"/>
          <w:szCs w:val="10"/>
          <w:highlight w:val="none"/>
        </w:rPr>
      </w:pPr>
      <w:r>
        <w:rPr>
          <w:rFonts w:hint="eastAsia" w:hAnsi="宋体"/>
          <w:color w:val="auto"/>
          <w:highlight w:val="none"/>
        </w:rPr>
        <w:t>3</w:t>
      </w:r>
      <w:r>
        <w:rPr>
          <w:rFonts w:hAnsi="宋体"/>
          <w:color w:val="auto"/>
          <w:highlight w:val="none"/>
        </w:rPr>
        <w:t>4</w:t>
      </w:r>
      <w:r>
        <w:rPr>
          <w:rFonts w:hint="eastAsia" w:hAnsi="宋体"/>
          <w:color w:val="auto"/>
          <w:highlight w:val="none"/>
        </w:rPr>
        <w:t>.</w:t>
      </w:r>
      <w:r>
        <w:rPr>
          <w:rFonts w:hint="eastAsia" w:hAnsi="宋体"/>
          <w:bCs/>
          <w:color w:val="auto"/>
          <w:highlight w:val="none"/>
        </w:rPr>
        <w:t>中标通知书发出后，招标人不得违法改变中标结果，中标人无正当理由不得放弃中标。</w:t>
      </w:r>
    </w:p>
    <w:p w14:paraId="29AE59F0">
      <w:pPr>
        <w:pStyle w:val="29"/>
        <w:spacing w:before="240" w:line="400" w:lineRule="exact"/>
        <w:jc w:val="center"/>
        <w:rPr>
          <w:rFonts w:hAnsi="宋体"/>
          <w:b/>
          <w:color w:val="auto"/>
          <w:sz w:val="30"/>
          <w:szCs w:val="30"/>
          <w:highlight w:val="none"/>
        </w:rPr>
      </w:pPr>
      <w:r>
        <w:rPr>
          <w:rFonts w:hAnsi="宋体"/>
          <w:b/>
          <w:color w:val="auto"/>
          <w:sz w:val="30"/>
          <w:szCs w:val="30"/>
          <w:highlight w:val="none"/>
        </w:rPr>
        <w:t>八</w:t>
      </w:r>
      <w:r>
        <w:rPr>
          <w:rFonts w:hint="eastAsia" w:hAnsi="宋体"/>
          <w:b/>
          <w:color w:val="auto"/>
          <w:sz w:val="30"/>
          <w:szCs w:val="30"/>
          <w:highlight w:val="none"/>
        </w:rPr>
        <w:t xml:space="preserve"> 、签订合同</w:t>
      </w:r>
    </w:p>
    <w:p w14:paraId="4D75281C">
      <w:pPr>
        <w:pStyle w:val="29"/>
        <w:spacing w:line="400" w:lineRule="exact"/>
        <w:ind w:firstLine="422" w:firstLineChars="200"/>
        <w:rPr>
          <w:rFonts w:hAnsi="宋体"/>
          <w:b/>
          <w:color w:val="auto"/>
          <w:highlight w:val="none"/>
        </w:rPr>
      </w:pPr>
      <w:r>
        <w:rPr>
          <w:rFonts w:hint="eastAsia" w:hAnsi="宋体"/>
          <w:b/>
          <w:color w:val="auto"/>
          <w:highlight w:val="none"/>
        </w:rPr>
        <w:t>33.履约保证金</w:t>
      </w:r>
    </w:p>
    <w:p w14:paraId="5052ABBB">
      <w:pPr>
        <w:pStyle w:val="29"/>
        <w:spacing w:line="400" w:lineRule="exact"/>
        <w:ind w:firstLine="420" w:firstLineChars="200"/>
        <w:rPr>
          <w:rFonts w:hAnsi="宋体"/>
          <w:color w:val="auto"/>
          <w:highlight w:val="none"/>
        </w:rPr>
      </w:pPr>
      <w:r>
        <w:rPr>
          <w:rFonts w:hint="eastAsia" w:hAnsi="宋体"/>
          <w:color w:val="auto"/>
          <w:highlight w:val="none"/>
        </w:rPr>
        <w:t>本项目</w:t>
      </w:r>
      <w:r>
        <w:rPr>
          <w:rFonts w:hAnsi="宋体"/>
          <w:color w:val="auto"/>
          <w:highlight w:val="none"/>
        </w:rPr>
        <w:t>无履约保证金</w:t>
      </w:r>
    </w:p>
    <w:p w14:paraId="5DAA8495">
      <w:pPr>
        <w:pStyle w:val="29"/>
        <w:snapToGrid w:val="0"/>
        <w:spacing w:line="420" w:lineRule="exact"/>
        <w:ind w:firstLine="413" w:firstLineChars="196"/>
        <w:rPr>
          <w:rFonts w:hAnsi="宋体"/>
          <w:b/>
          <w:color w:val="auto"/>
          <w:highlight w:val="none"/>
        </w:rPr>
      </w:pPr>
      <w:r>
        <w:rPr>
          <w:rFonts w:hint="eastAsia" w:hAnsi="宋体"/>
          <w:b/>
          <w:color w:val="auto"/>
          <w:highlight w:val="none"/>
        </w:rPr>
        <w:t>34.合同授予标准</w:t>
      </w:r>
    </w:p>
    <w:p w14:paraId="74CDC201">
      <w:pPr>
        <w:pStyle w:val="29"/>
        <w:spacing w:line="400" w:lineRule="exact"/>
        <w:ind w:firstLine="420" w:firstLineChars="200"/>
        <w:rPr>
          <w:rFonts w:hAnsi="宋体"/>
          <w:color w:val="auto"/>
          <w:highlight w:val="none"/>
        </w:rPr>
      </w:pPr>
      <w:r>
        <w:rPr>
          <w:rFonts w:hint="eastAsia" w:hAnsi="宋体"/>
          <w:color w:val="auto"/>
          <w:highlight w:val="none"/>
        </w:rPr>
        <w:t>合同将授予被确定实质上响应招标文件要求，具备履行合同能力，综合评分排名第一的投标人。</w:t>
      </w:r>
    </w:p>
    <w:p w14:paraId="633FB387">
      <w:pPr>
        <w:pStyle w:val="29"/>
        <w:spacing w:line="400" w:lineRule="exact"/>
        <w:ind w:firstLine="422" w:firstLineChars="200"/>
        <w:rPr>
          <w:rFonts w:hAnsi="宋体"/>
          <w:b/>
          <w:color w:val="auto"/>
          <w:highlight w:val="none"/>
        </w:rPr>
      </w:pPr>
      <w:r>
        <w:rPr>
          <w:rFonts w:hint="eastAsia" w:hAnsi="宋体"/>
          <w:b/>
          <w:color w:val="auto"/>
          <w:highlight w:val="none"/>
        </w:rPr>
        <w:t>3</w:t>
      </w:r>
      <w:r>
        <w:rPr>
          <w:rFonts w:hAnsi="宋体"/>
          <w:b/>
          <w:color w:val="auto"/>
          <w:highlight w:val="none"/>
        </w:rPr>
        <w:t>5</w:t>
      </w:r>
      <w:r>
        <w:rPr>
          <w:rFonts w:hint="eastAsia" w:hAnsi="宋体"/>
          <w:b/>
          <w:color w:val="auto"/>
          <w:highlight w:val="none"/>
        </w:rPr>
        <w:t>.签</w:t>
      </w:r>
      <w:r>
        <w:rPr>
          <w:rFonts w:hAnsi="宋体"/>
          <w:b/>
          <w:color w:val="auto"/>
          <w:highlight w:val="none"/>
        </w:rPr>
        <w:t>订合</w:t>
      </w:r>
      <w:r>
        <w:rPr>
          <w:rFonts w:hint="eastAsia" w:hAnsi="宋体"/>
          <w:b/>
          <w:color w:val="auto"/>
          <w:highlight w:val="none"/>
        </w:rPr>
        <w:t>同</w:t>
      </w:r>
    </w:p>
    <w:p w14:paraId="37D231F1">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5</w:t>
      </w:r>
      <w:r>
        <w:rPr>
          <w:rFonts w:hint="eastAsia" w:hAnsi="宋体"/>
          <w:color w:val="auto"/>
          <w:highlight w:val="none"/>
        </w:rPr>
        <w:t>.1投标人接到中标通知书后，应按中标通知书规定的时间、地点与招标人签订合同。</w:t>
      </w:r>
    </w:p>
    <w:p w14:paraId="55D13922">
      <w:pPr>
        <w:pStyle w:val="29"/>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5</w:t>
      </w:r>
      <w:r>
        <w:rPr>
          <w:rFonts w:hint="eastAsia" w:hAnsi="宋体"/>
          <w:color w:val="auto"/>
          <w:highlight w:val="none"/>
        </w:rPr>
        <w:t>.2如中标人不按中标通知书的规定签订合同，则按中标人违约处理。</w:t>
      </w:r>
    </w:p>
    <w:p w14:paraId="7FD7F8A7">
      <w:pPr>
        <w:spacing w:line="400" w:lineRule="exact"/>
        <w:ind w:firstLine="420" w:firstLineChars="200"/>
        <w:rPr>
          <w:rFonts w:ascii="宋体" w:hAnsi="宋体"/>
          <w:color w:val="auto"/>
          <w:highlight w:val="none"/>
        </w:rPr>
      </w:pPr>
      <w:bookmarkStart w:id="72" w:name="_Toc535850401"/>
      <w:bookmarkStart w:id="73" w:name="_Toc535850440"/>
      <w:r>
        <w:rPr>
          <w:rFonts w:hint="eastAsia" w:ascii="宋体" w:hAnsi="宋体"/>
          <w:color w:val="auto"/>
          <w:highlight w:val="none"/>
        </w:rPr>
        <w:t>3</w:t>
      </w:r>
      <w:r>
        <w:rPr>
          <w:rFonts w:ascii="宋体" w:hAnsi="宋体"/>
          <w:color w:val="auto"/>
          <w:highlight w:val="none"/>
        </w:rPr>
        <w:t>5</w:t>
      </w:r>
      <w:r>
        <w:rPr>
          <w:rFonts w:hint="eastAsia" w:ascii="宋体" w:hAnsi="宋体"/>
          <w:color w:val="auto"/>
          <w:highlight w:val="none"/>
        </w:rPr>
        <w:t>.3中标人因不可抗力或者自身原因不能履行采购合同的，招标人可以与中标人之后排名第一的中标候选供应商签订采购合同，以此类推。招标人也可以重新开展政府采购活动。</w:t>
      </w:r>
      <w:bookmarkEnd w:id="72"/>
      <w:bookmarkEnd w:id="73"/>
    </w:p>
    <w:p w14:paraId="376A2E95">
      <w:pPr>
        <w:spacing w:line="400" w:lineRule="exact"/>
        <w:ind w:firstLine="420" w:firstLineChars="200"/>
        <w:rPr>
          <w:rFonts w:ascii="宋体" w:hAnsi="宋体"/>
          <w:color w:val="auto"/>
          <w:highlight w:val="none"/>
        </w:rPr>
      </w:pPr>
      <w:bookmarkStart w:id="74" w:name="_Toc535850441"/>
      <w:bookmarkStart w:id="75" w:name="_Toc535850402"/>
      <w:r>
        <w:rPr>
          <w:rFonts w:hint="eastAsia" w:ascii="宋体" w:hAnsi="宋体"/>
          <w:color w:val="auto"/>
          <w:highlight w:val="none"/>
        </w:rPr>
        <w:t>3</w:t>
      </w:r>
      <w:r>
        <w:rPr>
          <w:rFonts w:ascii="宋体" w:hAnsi="宋体"/>
          <w:color w:val="auto"/>
          <w:highlight w:val="none"/>
        </w:rPr>
        <w:t>5</w:t>
      </w:r>
      <w:r>
        <w:rPr>
          <w:rFonts w:hint="eastAsia" w:ascii="宋体" w:hAnsi="宋体"/>
          <w:color w:val="auto"/>
          <w:highlight w:val="none"/>
        </w:rPr>
        <w:t>.4政府采购合同公告</w:t>
      </w:r>
      <w:bookmarkEnd w:id="74"/>
      <w:bookmarkEnd w:id="75"/>
    </w:p>
    <w:p w14:paraId="4E78AC9E">
      <w:pPr>
        <w:spacing w:line="400" w:lineRule="exact"/>
        <w:ind w:firstLine="420" w:firstLineChars="200"/>
        <w:rPr>
          <w:rFonts w:ascii="宋体" w:hAnsi="宋体"/>
          <w:color w:val="auto"/>
          <w:highlight w:val="none"/>
        </w:rPr>
      </w:pPr>
      <w:bookmarkStart w:id="76" w:name="_Toc535850403"/>
      <w:bookmarkStart w:id="77" w:name="_Toc535850442"/>
      <w:r>
        <w:rPr>
          <w:rFonts w:hint="eastAsia" w:ascii="宋体" w:hAnsi="宋体"/>
          <w:color w:val="auto"/>
          <w:highlight w:val="none"/>
        </w:rPr>
        <w:t>根据《中华人民共和国政府采购法实施条例》第五十条规定，招标人应当自政府采购合同签订之日起2个工作日内，将政府采购合同在省级以上人民政府财政部门指定的媒体上公告，但政府采购合同中涉及国家秘密、商业秘密的内容除外。</w:t>
      </w:r>
      <w:bookmarkEnd w:id="76"/>
      <w:bookmarkEnd w:id="77"/>
    </w:p>
    <w:p w14:paraId="2F793B52">
      <w:pPr>
        <w:pStyle w:val="29"/>
        <w:spacing w:line="400" w:lineRule="exact"/>
        <w:ind w:firstLine="590" w:firstLineChars="196"/>
        <w:jc w:val="center"/>
        <w:rPr>
          <w:rFonts w:hAnsi="宋体"/>
          <w:b/>
          <w:color w:val="auto"/>
          <w:sz w:val="30"/>
          <w:szCs w:val="30"/>
          <w:highlight w:val="none"/>
        </w:rPr>
      </w:pPr>
      <w:r>
        <w:rPr>
          <w:rFonts w:hAnsi="宋体"/>
          <w:b/>
          <w:color w:val="auto"/>
          <w:sz w:val="30"/>
          <w:szCs w:val="30"/>
          <w:highlight w:val="none"/>
        </w:rPr>
        <w:t>九</w:t>
      </w:r>
      <w:r>
        <w:rPr>
          <w:rFonts w:hint="eastAsia" w:hAnsi="宋体"/>
          <w:b/>
          <w:color w:val="auto"/>
          <w:sz w:val="30"/>
          <w:szCs w:val="30"/>
          <w:highlight w:val="none"/>
        </w:rPr>
        <w:t>、其他事项</w:t>
      </w:r>
    </w:p>
    <w:p w14:paraId="100B4637">
      <w:pPr>
        <w:pStyle w:val="29"/>
        <w:spacing w:line="400" w:lineRule="exact"/>
        <w:ind w:firstLine="422" w:firstLineChars="200"/>
        <w:rPr>
          <w:rFonts w:hAnsi="宋体"/>
          <w:b/>
          <w:color w:val="auto"/>
          <w:highlight w:val="none"/>
        </w:rPr>
      </w:pPr>
      <w:r>
        <w:rPr>
          <w:rFonts w:hint="eastAsia" w:hAnsi="宋体"/>
          <w:b/>
          <w:color w:val="auto"/>
          <w:highlight w:val="none"/>
        </w:rPr>
        <w:t>35.招</w:t>
      </w:r>
      <w:r>
        <w:rPr>
          <w:rFonts w:hAnsi="宋体"/>
          <w:b/>
          <w:color w:val="auto"/>
          <w:highlight w:val="none"/>
        </w:rPr>
        <w:t>标</w:t>
      </w:r>
      <w:r>
        <w:rPr>
          <w:rFonts w:hint="eastAsia" w:hAnsi="宋体"/>
          <w:b/>
          <w:color w:val="auto"/>
          <w:highlight w:val="none"/>
        </w:rPr>
        <w:t>代理服务费</w:t>
      </w:r>
    </w:p>
    <w:p w14:paraId="7D7E6B02">
      <w:pPr>
        <w:spacing w:line="400" w:lineRule="exact"/>
        <w:rPr>
          <w:rFonts w:ascii="宋体" w:hAnsi="宋体" w:cs="宋体"/>
          <w:b/>
          <w:color w:val="auto"/>
          <w:kern w:val="0"/>
          <w:szCs w:val="21"/>
          <w:highlight w:val="none"/>
        </w:rPr>
      </w:pPr>
      <w:r>
        <w:rPr>
          <w:rFonts w:hint="eastAsia" w:hAnsi="宋体"/>
          <w:color w:val="auto"/>
          <w:highlight w:val="none"/>
        </w:rPr>
        <w:t>35.1招标代理服务费按国家发展改革委《关于进一步放开建设项目专业服务价格的通知 》发改价格〔2015〕299号文“</w:t>
      </w:r>
      <w:r>
        <w:rPr>
          <w:rFonts w:hint="eastAsia" w:hAnsi="宋体"/>
          <w:color w:val="auto"/>
          <w:highlight w:val="none"/>
          <w:lang w:eastAsia="zh-CN"/>
        </w:rPr>
        <w:t>服务</w:t>
      </w:r>
      <w:r>
        <w:rPr>
          <w:rFonts w:hint="eastAsia" w:hAnsi="宋体"/>
          <w:color w:val="auto"/>
          <w:highlight w:val="none"/>
        </w:rPr>
        <w:t>类”规定收取，方式为</w:t>
      </w:r>
      <w:r>
        <w:rPr>
          <w:rFonts w:hint="eastAsia" w:hAnsi="宋体"/>
          <w:color w:val="auto"/>
          <w:highlight w:val="none"/>
          <w:lang w:val="en-US" w:eastAsia="zh-CN"/>
        </w:rPr>
        <w:t>中标人</w:t>
      </w:r>
      <w:r>
        <w:rPr>
          <w:rFonts w:hint="eastAsia" w:hAnsi="宋体"/>
          <w:color w:val="auto"/>
          <w:highlight w:val="none"/>
        </w:rPr>
        <w:t>向采购代理机构支付。</w:t>
      </w:r>
    </w:p>
    <w:p w14:paraId="1EA0B0FD">
      <w:pPr>
        <w:pStyle w:val="29"/>
        <w:spacing w:line="400" w:lineRule="exact"/>
        <w:ind w:firstLine="420" w:firstLineChars="200"/>
        <w:rPr>
          <w:rFonts w:hAnsi="宋体"/>
          <w:color w:val="auto"/>
          <w:highlight w:val="none"/>
        </w:rPr>
      </w:pPr>
      <w:r>
        <w:rPr>
          <w:rFonts w:hint="eastAsia" w:hAnsi="宋体"/>
          <w:color w:val="auto"/>
          <w:highlight w:val="none"/>
        </w:rPr>
        <w:t>招标代理服务费缴纳账户：</w:t>
      </w:r>
    </w:p>
    <w:p w14:paraId="64E24F8A">
      <w:pPr>
        <w:pStyle w:val="29"/>
        <w:spacing w:line="400" w:lineRule="exact"/>
        <w:ind w:firstLine="422" w:firstLineChars="200"/>
        <w:rPr>
          <w:rFonts w:hint="eastAsia" w:hAnsi="宋体"/>
          <w:b/>
          <w:color w:val="auto"/>
          <w:highlight w:val="none"/>
          <w:lang w:eastAsia="zh-CN"/>
        </w:rPr>
      </w:pPr>
      <w:r>
        <w:rPr>
          <w:rFonts w:hint="eastAsia" w:hAnsi="宋体"/>
          <w:b/>
          <w:color w:val="auto"/>
          <w:highlight w:val="none"/>
        </w:rPr>
        <w:t>开户银行：</w:t>
      </w:r>
      <w:r>
        <w:rPr>
          <w:rFonts w:hint="eastAsia" w:hAnsi="宋体"/>
          <w:b/>
          <w:color w:val="auto"/>
          <w:highlight w:val="none"/>
          <w:lang w:eastAsia="zh-CN"/>
        </w:rPr>
        <w:t>贵港市区农村信用合作联社西郊分区</w:t>
      </w:r>
    </w:p>
    <w:p w14:paraId="63CE5F48">
      <w:pPr>
        <w:pStyle w:val="29"/>
        <w:spacing w:line="400" w:lineRule="exact"/>
        <w:ind w:firstLine="422" w:firstLineChars="200"/>
        <w:rPr>
          <w:rFonts w:hint="eastAsia" w:hAnsi="宋体"/>
          <w:b/>
          <w:color w:val="auto"/>
          <w:highlight w:val="none"/>
        </w:rPr>
      </w:pPr>
      <w:r>
        <w:rPr>
          <w:rFonts w:hint="eastAsia" w:hAnsi="宋体"/>
          <w:b/>
          <w:color w:val="auto"/>
          <w:highlight w:val="none"/>
        </w:rPr>
        <w:t xml:space="preserve">账户名称：贵港市安然项目管理有限公司 </w:t>
      </w:r>
    </w:p>
    <w:p w14:paraId="2F2D05F8">
      <w:pPr>
        <w:pStyle w:val="29"/>
        <w:spacing w:line="400" w:lineRule="exact"/>
        <w:ind w:firstLine="422" w:firstLineChars="200"/>
        <w:rPr>
          <w:rFonts w:hint="eastAsia" w:hAnsi="宋体"/>
          <w:b/>
          <w:color w:val="auto"/>
          <w:highlight w:val="none"/>
        </w:rPr>
      </w:pPr>
      <w:r>
        <w:rPr>
          <w:rFonts w:hint="eastAsia" w:hAnsi="宋体"/>
          <w:b/>
          <w:color w:val="auto"/>
          <w:highlight w:val="none"/>
        </w:rPr>
        <w:t>银行账号：903312010107472899</w:t>
      </w:r>
    </w:p>
    <w:p w14:paraId="79C8FE84">
      <w:pPr>
        <w:pStyle w:val="29"/>
        <w:spacing w:line="400" w:lineRule="exact"/>
        <w:rPr>
          <w:rFonts w:hAnsi="宋体"/>
          <w:b/>
          <w:color w:val="auto"/>
          <w:highlight w:val="none"/>
        </w:rPr>
      </w:pPr>
      <w:r>
        <w:rPr>
          <w:rFonts w:hint="eastAsia" w:hAnsi="宋体"/>
          <w:b/>
          <w:color w:val="auto"/>
          <w:highlight w:val="none"/>
        </w:rPr>
        <w:t xml:space="preserve"> 36.解释权</w:t>
      </w:r>
    </w:p>
    <w:p w14:paraId="17EE7892">
      <w:pPr>
        <w:pStyle w:val="29"/>
        <w:spacing w:line="400" w:lineRule="exact"/>
        <w:ind w:firstLine="420" w:firstLineChars="200"/>
        <w:rPr>
          <w:rFonts w:hAnsi="宋体"/>
          <w:color w:val="auto"/>
          <w:highlight w:val="none"/>
        </w:rPr>
      </w:pPr>
      <w:r>
        <w:rPr>
          <w:rFonts w:hint="eastAsia" w:hAnsi="宋体"/>
          <w:color w:val="auto"/>
          <w:highlight w:val="none"/>
        </w:rPr>
        <w:t>见“投标人须知前附表”。</w:t>
      </w:r>
    </w:p>
    <w:p w14:paraId="7D39EE52">
      <w:pPr>
        <w:pStyle w:val="29"/>
        <w:spacing w:line="400" w:lineRule="exact"/>
        <w:ind w:firstLine="422" w:firstLineChars="200"/>
        <w:rPr>
          <w:rFonts w:hAnsi="宋体"/>
          <w:b/>
          <w:color w:val="auto"/>
          <w:highlight w:val="none"/>
        </w:rPr>
      </w:pPr>
      <w:r>
        <w:rPr>
          <w:rFonts w:hint="eastAsia" w:hAnsi="宋体"/>
          <w:b/>
          <w:color w:val="auto"/>
          <w:highlight w:val="none"/>
        </w:rPr>
        <w:t>37.其他</w:t>
      </w:r>
    </w:p>
    <w:p w14:paraId="2CB8B59C">
      <w:pPr>
        <w:pStyle w:val="29"/>
        <w:spacing w:line="400" w:lineRule="exact"/>
        <w:ind w:firstLine="420" w:firstLineChars="200"/>
        <w:rPr>
          <w:rFonts w:hint="eastAsia" w:hAnsi="宋体"/>
          <w:color w:val="auto"/>
          <w:highlight w:val="none"/>
        </w:rPr>
      </w:pPr>
      <w:r>
        <w:rPr>
          <w:rFonts w:hint="eastAsia" w:hAnsi="宋体"/>
          <w:color w:val="auto"/>
          <w:highlight w:val="none"/>
        </w:rPr>
        <w:t>见“投标人须知前附表”。</w:t>
      </w:r>
      <w:bookmarkStart w:id="78" w:name="_Toc535851643"/>
      <w:bookmarkStart w:id="79" w:name="_Toc254970549"/>
      <w:bookmarkStart w:id="80" w:name="_Toc254970690"/>
    </w:p>
    <w:p w14:paraId="21C1F6DE">
      <w:pPr>
        <w:pStyle w:val="29"/>
        <w:spacing w:line="400" w:lineRule="exact"/>
        <w:ind w:firstLine="420" w:firstLineChars="200"/>
        <w:rPr>
          <w:rFonts w:hint="eastAsia" w:hAnsi="宋体"/>
          <w:color w:val="auto"/>
          <w:highlight w:val="none"/>
        </w:rPr>
      </w:pPr>
    </w:p>
    <w:p w14:paraId="315A95DA">
      <w:pPr>
        <w:pStyle w:val="29"/>
        <w:spacing w:line="400" w:lineRule="exact"/>
        <w:ind w:firstLine="420" w:firstLineChars="200"/>
        <w:rPr>
          <w:rFonts w:hint="eastAsia" w:hAnsi="宋体"/>
          <w:color w:val="auto"/>
          <w:highlight w:val="none"/>
        </w:rPr>
      </w:pPr>
    </w:p>
    <w:p w14:paraId="594D9533">
      <w:pPr>
        <w:pStyle w:val="29"/>
        <w:spacing w:line="400" w:lineRule="exact"/>
        <w:ind w:firstLine="420" w:firstLineChars="200"/>
        <w:rPr>
          <w:rFonts w:hint="eastAsia" w:hAnsi="宋体"/>
          <w:color w:val="auto"/>
          <w:highlight w:val="none"/>
        </w:rPr>
      </w:pPr>
    </w:p>
    <w:p w14:paraId="78CB7D6D">
      <w:pPr>
        <w:pStyle w:val="29"/>
        <w:spacing w:line="400" w:lineRule="exact"/>
        <w:ind w:firstLine="420" w:firstLineChars="200"/>
        <w:rPr>
          <w:rFonts w:hint="eastAsia" w:hAnsi="宋体"/>
          <w:color w:val="auto"/>
          <w:highlight w:val="none"/>
        </w:rPr>
      </w:pPr>
    </w:p>
    <w:p w14:paraId="796250FD">
      <w:pPr>
        <w:pStyle w:val="29"/>
        <w:spacing w:line="400" w:lineRule="exact"/>
        <w:ind w:firstLine="420" w:firstLineChars="200"/>
        <w:rPr>
          <w:rFonts w:hint="eastAsia" w:hAnsi="宋体"/>
          <w:color w:val="auto"/>
          <w:highlight w:val="none"/>
        </w:rPr>
      </w:pPr>
    </w:p>
    <w:p w14:paraId="7AE0452D">
      <w:pPr>
        <w:pStyle w:val="29"/>
        <w:spacing w:line="400" w:lineRule="exact"/>
        <w:ind w:firstLine="420" w:firstLineChars="200"/>
        <w:rPr>
          <w:rFonts w:hint="eastAsia" w:hAnsi="宋体"/>
          <w:color w:val="auto"/>
          <w:highlight w:val="none"/>
        </w:rPr>
      </w:pPr>
    </w:p>
    <w:p w14:paraId="3CE6FDC4">
      <w:pPr>
        <w:pStyle w:val="29"/>
        <w:spacing w:line="400" w:lineRule="exact"/>
        <w:ind w:firstLine="420" w:firstLineChars="200"/>
        <w:rPr>
          <w:rFonts w:hint="eastAsia" w:hAnsi="宋体"/>
          <w:color w:val="auto"/>
          <w:highlight w:val="none"/>
        </w:rPr>
      </w:pPr>
    </w:p>
    <w:p w14:paraId="57C1B5BF">
      <w:pPr>
        <w:pStyle w:val="29"/>
        <w:spacing w:line="400" w:lineRule="exact"/>
        <w:ind w:firstLine="420" w:firstLineChars="200"/>
        <w:rPr>
          <w:rFonts w:hint="eastAsia" w:hAnsi="宋体"/>
          <w:color w:val="auto"/>
          <w:highlight w:val="none"/>
        </w:rPr>
      </w:pPr>
    </w:p>
    <w:p w14:paraId="2D872843">
      <w:pPr>
        <w:pStyle w:val="29"/>
        <w:spacing w:line="400" w:lineRule="exact"/>
        <w:ind w:firstLine="420" w:firstLineChars="200"/>
        <w:rPr>
          <w:rFonts w:hint="eastAsia" w:hAnsi="宋体"/>
          <w:color w:val="auto"/>
          <w:highlight w:val="none"/>
        </w:rPr>
      </w:pPr>
    </w:p>
    <w:p w14:paraId="45B3BA59">
      <w:pPr>
        <w:pStyle w:val="29"/>
        <w:spacing w:line="400" w:lineRule="exact"/>
        <w:ind w:firstLine="420" w:firstLineChars="200"/>
        <w:rPr>
          <w:rFonts w:hint="eastAsia" w:hAnsi="宋体"/>
          <w:color w:val="auto"/>
          <w:highlight w:val="none"/>
        </w:rPr>
      </w:pPr>
    </w:p>
    <w:p w14:paraId="1A4D15D8">
      <w:pPr>
        <w:pStyle w:val="6"/>
        <w:rPr>
          <w:rFonts w:hint="eastAsia" w:hAnsi="宋体"/>
          <w:color w:val="auto"/>
          <w:highlight w:val="none"/>
        </w:rPr>
      </w:pPr>
    </w:p>
    <w:p w14:paraId="68A8F724">
      <w:pPr>
        <w:rPr>
          <w:rFonts w:hint="eastAsia" w:hAnsi="宋体"/>
          <w:color w:val="auto"/>
          <w:highlight w:val="none"/>
        </w:rPr>
      </w:pPr>
    </w:p>
    <w:p w14:paraId="1890962F">
      <w:pPr>
        <w:rPr>
          <w:rFonts w:hint="eastAsia" w:hAnsi="宋体"/>
          <w:color w:val="auto"/>
          <w:highlight w:val="none"/>
        </w:rPr>
      </w:pPr>
    </w:p>
    <w:p w14:paraId="766CFD03">
      <w:pPr>
        <w:rPr>
          <w:rFonts w:hint="eastAsia" w:hAnsi="宋体"/>
          <w:color w:val="auto"/>
          <w:highlight w:val="none"/>
        </w:rPr>
      </w:pPr>
    </w:p>
    <w:p w14:paraId="1A0CE160">
      <w:pPr>
        <w:pStyle w:val="29"/>
        <w:spacing w:line="400" w:lineRule="exact"/>
        <w:ind w:firstLine="420" w:firstLineChars="200"/>
        <w:rPr>
          <w:rFonts w:hint="eastAsia" w:hAnsi="宋体"/>
          <w:color w:val="auto"/>
          <w:highlight w:val="none"/>
        </w:rPr>
      </w:pPr>
    </w:p>
    <w:p w14:paraId="061E9F34">
      <w:pPr>
        <w:pStyle w:val="29"/>
        <w:spacing w:line="400" w:lineRule="exact"/>
        <w:ind w:firstLine="420" w:firstLineChars="200"/>
        <w:rPr>
          <w:rFonts w:hint="eastAsia" w:hAnsi="宋体"/>
          <w:color w:val="auto"/>
          <w:highlight w:val="none"/>
        </w:rPr>
      </w:pPr>
    </w:p>
    <w:p w14:paraId="6D57B010">
      <w:pPr>
        <w:pStyle w:val="29"/>
        <w:spacing w:line="400" w:lineRule="exact"/>
        <w:ind w:firstLine="420" w:firstLineChars="200"/>
        <w:rPr>
          <w:rFonts w:hint="eastAsia" w:hAnsi="宋体"/>
          <w:color w:val="auto"/>
          <w:highlight w:val="none"/>
        </w:rPr>
      </w:pPr>
    </w:p>
    <w:p w14:paraId="1F206493">
      <w:pPr>
        <w:pStyle w:val="29"/>
        <w:spacing w:line="400" w:lineRule="exact"/>
        <w:ind w:firstLine="420" w:firstLineChars="200"/>
        <w:rPr>
          <w:rFonts w:hint="eastAsia" w:hAnsi="宋体"/>
          <w:color w:val="auto"/>
          <w:highlight w:val="none"/>
        </w:rPr>
      </w:pPr>
    </w:p>
    <w:p w14:paraId="76203B7B">
      <w:pPr>
        <w:pStyle w:val="64"/>
        <w:rPr>
          <w:rFonts w:hint="eastAsia" w:hAnsi="宋体"/>
          <w:color w:val="auto"/>
          <w:highlight w:val="none"/>
        </w:rPr>
      </w:pPr>
    </w:p>
    <w:p w14:paraId="54110410">
      <w:pPr>
        <w:pStyle w:val="66"/>
        <w:rPr>
          <w:rFonts w:hint="eastAsia" w:hAnsi="宋体"/>
          <w:color w:val="auto"/>
          <w:highlight w:val="none"/>
        </w:rPr>
      </w:pPr>
    </w:p>
    <w:p w14:paraId="6C597E62">
      <w:pPr>
        <w:rPr>
          <w:rFonts w:hint="eastAsia" w:hAnsi="宋体"/>
          <w:color w:val="auto"/>
          <w:highlight w:val="none"/>
        </w:rPr>
      </w:pPr>
    </w:p>
    <w:p w14:paraId="35D40C85">
      <w:pPr>
        <w:rPr>
          <w:rFonts w:hint="eastAsia" w:hAnsi="宋体"/>
          <w:color w:val="auto"/>
          <w:highlight w:val="none"/>
        </w:rPr>
      </w:pPr>
    </w:p>
    <w:p w14:paraId="69904221">
      <w:pPr>
        <w:rPr>
          <w:rFonts w:hint="eastAsia" w:hAnsi="宋体"/>
          <w:color w:val="auto"/>
          <w:highlight w:val="none"/>
        </w:rPr>
      </w:pPr>
    </w:p>
    <w:p w14:paraId="26A3D288">
      <w:pPr>
        <w:rPr>
          <w:rFonts w:hAnsi="宋体"/>
          <w:color w:val="auto"/>
          <w:highlight w:val="none"/>
        </w:rPr>
      </w:pPr>
    </w:p>
    <w:p w14:paraId="370E7D77">
      <w:pPr>
        <w:rPr>
          <w:rFonts w:hAnsi="宋体"/>
          <w:color w:val="auto"/>
          <w:highlight w:val="none"/>
        </w:rPr>
      </w:pPr>
    </w:p>
    <w:p w14:paraId="3EE0EEBF">
      <w:pPr>
        <w:widowControl/>
        <w:numPr>
          <w:ilvl w:val="0"/>
          <w:numId w:val="3"/>
        </w:numPr>
        <w:ind w:left="0" w:leftChars="0" w:firstLine="0" w:firstLineChars="0"/>
        <w:jc w:val="center"/>
        <w:rPr>
          <w:rFonts w:hint="eastAsia" w:ascii="宋体" w:hAnsi="宋体" w:eastAsia="宋体"/>
          <w:b/>
          <w:bCs/>
          <w:color w:val="auto"/>
          <w:sz w:val="44"/>
          <w:szCs w:val="44"/>
          <w:highlight w:val="none"/>
        </w:rPr>
      </w:pPr>
      <w:r>
        <w:rPr>
          <w:rFonts w:hint="eastAsia" w:ascii="宋体" w:hAnsi="宋体" w:eastAsia="宋体"/>
          <w:b/>
          <w:bCs/>
          <w:color w:val="auto"/>
          <w:sz w:val="44"/>
          <w:szCs w:val="44"/>
          <w:highlight w:val="none"/>
        </w:rPr>
        <w:t xml:space="preserve"> 评标办法及评分标准</w:t>
      </w:r>
      <w:bookmarkEnd w:id="78"/>
    </w:p>
    <w:p w14:paraId="3C4AA5D5">
      <w:pPr>
        <w:pStyle w:val="29"/>
        <w:snapToGrid w:val="0"/>
        <w:jc w:val="center"/>
        <w:textAlignment w:val="baseline"/>
        <w:outlineLvl w:val="1"/>
        <w:rPr>
          <w:rFonts w:hint="default" w:ascii="Calibri" w:hAnsi="Calibri" w:eastAsia="宋体" w:cs="Times New Roman"/>
          <w:color w:val="auto"/>
          <w:spacing w:val="0"/>
          <w:kern w:val="0"/>
          <w:sz w:val="36"/>
          <w:szCs w:val="36"/>
          <w:highlight w:val="none"/>
          <w:lang w:val="en-US" w:eastAsia="zh-CN" w:bidi="ar-SA"/>
        </w:rPr>
      </w:pPr>
      <w:r>
        <w:rPr>
          <w:rFonts w:hint="eastAsia" w:ascii="Calibri" w:hAnsi="Calibri" w:eastAsia="宋体" w:cs="Times New Roman"/>
          <w:color w:val="auto"/>
          <w:spacing w:val="0"/>
          <w:kern w:val="0"/>
          <w:sz w:val="36"/>
          <w:szCs w:val="36"/>
          <w:highlight w:val="none"/>
          <w:lang w:val="en-US" w:eastAsia="zh-CN" w:bidi="ar-SA"/>
        </w:rPr>
        <w:t>（1分标、2分标适用）</w:t>
      </w:r>
    </w:p>
    <w:p w14:paraId="36F29A1B">
      <w:pPr>
        <w:pStyle w:val="144"/>
        <w:tabs>
          <w:tab w:val="left" w:pos="952"/>
        </w:tabs>
        <w:spacing w:line="360" w:lineRule="auto"/>
        <w:ind w:left="0" w:firstLineChars="200"/>
        <w:rPr>
          <w:rFonts w:hint="eastAsia"/>
          <w:color w:val="auto"/>
          <w:spacing w:val="0"/>
          <w:kern w:val="0"/>
          <w:highlight w:val="none"/>
        </w:rPr>
      </w:pPr>
    </w:p>
    <w:bookmarkEnd w:id="79"/>
    <w:bookmarkEnd w:id="80"/>
    <w:p w14:paraId="4FA64A78">
      <w:pPr>
        <w:keepNext/>
        <w:keepLines/>
        <w:pageBreakBefore w:val="0"/>
        <w:widowControl w:val="0"/>
        <w:kinsoku/>
        <w:wordWrap/>
        <w:overflowPunct/>
        <w:topLinePunct w:val="0"/>
        <w:autoSpaceDE/>
        <w:autoSpaceDN/>
        <w:bidi w:val="0"/>
        <w:adjustRightInd/>
        <w:snapToGrid/>
        <w:spacing w:line="360" w:lineRule="auto"/>
        <w:textAlignment w:val="auto"/>
        <w:outlineLvl w:val="1"/>
        <w:rPr>
          <w:rFonts w:hint="eastAsia" w:asciiTheme="minorEastAsia" w:hAnsiTheme="minorEastAsia" w:eastAsiaTheme="minorEastAsia" w:cstheme="minorEastAsia"/>
          <w:b/>
          <w:bCs/>
          <w:color w:val="auto"/>
          <w:sz w:val="24"/>
          <w:szCs w:val="24"/>
        </w:rPr>
      </w:pPr>
      <w:bookmarkStart w:id="81" w:name="_Toc21792"/>
      <w:bookmarkStart w:id="82" w:name="_Toc32233"/>
      <w:bookmarkStart w:id="83" w:name="_Toc535851644"/>
      <w:r>
        <w:rPr>
          <w:rFonts w:hint="eastAsia" w:asciiTheme="minorEastAsia" w:hAnsiTheme="minorEastAsia" w:eastAsiaTheme="minorEastAsia" w:cstheme="minorEastAsia"/>
          <w:b/>
          <w:bCs/>
          <w:color w:val="auto"/>
          <w:sz w:val="24"/>
          <w:szCs w:val="24"/>
        </w:rPr>
        <w:t>一、评审原则</w:t>
      </w:r>
      <w:bookmarkEnd w:id="81"/>
      <w:bookmarkEnd w:id="82"/>
    </w:p>
    <w:p w14:paraId="741F5BB0">
      <w:pPr>
        <w:pageBreakBefore w:val="0"/>
        <w:widowControl w:val="0"/>
        <w:kinsoku/>
        <w:wordWrap/>
        <w:overflowPunct/>
        <w:topLinePunct w:val="0"/>
        <w:autoSpaceDE/>
        <w:autoSpaceDN/>
        <w:bidi w:val="0"/>
        <w:adjustRightInd/>
        <w:snapToGrid/>
        <w:spacing w:line="380" w:lineRule="exact"/>
        <w:ind w:left="-178" w:leftChars="-85" w:right="-178" w:firstLine="660" w:firstLineChars="27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评审</w:t>
      </w:r>
      <w:r>
        <w:rPr>
          <w:rFonts w:hint="eastAsia" w:asciiTheme="minorEastAsia" w:hAnsiTheme="minorEastAsia" w:eastAsiaTheme="minorEastAsia" w:cstheme="minorEastAsia"/>
          <w:color w:val="auto"/>
          <w:sz w:val="24"/>
          <w:szCs w:val="24"/>
        </w:rPr>
        <w:t>小组必须坚持公平、公正、科学和择优的原则。</w:t>
      </w:r>
    </w:p>
    <w:p w14:paraId="5E56AA21">
      <w:pPr>
        <w:pageBreakBefore w:val="0"/>
        <w:widowControl w:val="0"/>
        <w:kinsoku/>
        <w:wordWrap/>
        <w:overflowPunct/>
        <w:topLinePunct w:val="0"/>
        <w:autoSpaceDE/>
        <w:autoSpaceDN/>
        <w:bidi w:val="0"/>
        <w:adjustRightInd/>
        <w:snapToGrid/>
        <w:spacing w:line="380" w:lineRule="exact"/>
        <w:ind w:left="-178" w:leftChars="-85" w:right="-178" w:firstLine="660" w:firstLineChars="275"/>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color w:val="auto"/>
          <w:sz w:val="24"/>
          <w:szCs w:val="24"/>
          <w:lang w:val="en-US" w:eastAsia="zh-CN"/>
        </w:rPr>
        <w:t>评审</w:t>
      </w:r>
      <w:r>
        <w:rPr>
          <w:rFonts w:hint="eastAsia" w:asciiTheme="minorEastAsia" w:hAnsiTheme="minorEastAsia" w:eastAsiaTheme="minorEastAsia" w:cstheme="minorEastAsia"/>
          <w:color w:val="auto"/>
          <w:sz w:val="24"/>
          <w:szCs w:val="24"/>
        </w:rPr>
        <w:t>小组构成：本项目的</w:t>
      </w:r>
      <w:r>
        <w:rPr>
          <w:rFonts w:hint="eastAsia" w:asciiTheme="minorEastAsia" w:hAnsiTheme="minorEastAsia" w:eastAsiaTheme="minorEastAsia" w:cstheme="minorEastAsia"/>
          <w:color w:val="auto"/>
          <w:sz w:val="24"/>
          <w:szCs w:val="24"/>
          <w:lang w:val="en-US" w:eastAsia="zh-CN"/>
        </w:rPr>
        <w:t>评审查</w:t>
      </w:r>
      <w:r>
        <w:rPr>
          <w:rFonts w:hint="eastAsia" w:asciiTheme="minorEastAsia" w:hAnsiTheme="minorEastAsia" w:eastAsiaTheme="minorEastAsia" w:cstheme="minorEastAsia"/>
          <w:color w:val="auto"/>
          <w:sz w:val="24"/>
          <w:szCs w:val="24"/>
        </w:rPr>
        <w:t>小组成员由从财政部门的政府采购评标专家库随机抽取的评审专家</w:t>
      </w:r>
      <w:r>
        <w:rPr>
          <w:rFonts w:hint="eastAsia" w:asciiTheme="minorEastAsia" w:hAnsiTheme="minorEastAsia" w:eastAsiaTheme="minorEastAsia" w:cstheme="minorEastAsia"/>
          <w:color w:val="auto"/>
          <w:sz w:val="24"/>
          <w:szCs w:val="24"/>
          <w:u w:val="single" w:color="000000"/>
        </w:rPr>
        <w:t xml:space="preserve"> </w:t>
      </w:r>
      <w:r>
        <w:rPr>
          <w:rFonts w:hint="eastAsia" w:asciiTheme="minorEastAsia" w:hAnsiTheme="minorEastAsia" w:eastAsiaTheme="minorEastAsia" w:cstheme="minorEastAsia"/>
          <w:color w:val="auto"/>
          <w:sz w:val="24"/>
          <w:szCs w:val="24"/>
          <w:u w:val="single" w:color="000000"/>
          <w:lang w:val="en-US" w:eastAsia="zh-CN"/>
        </w:rPr>
        <w:t>4</w:t>
      </w:r>
      <w:r>
        <w:rPr>
          <w:rFonts w:hint="eastAsia" w:asciiTheme="minorEastAsia" w:hAnsiTheme="minorEastAsia" w:eastAsiaTheme="minorEastAsia" w:cstheme="minorEastAsia"/>
          <w:color w:val="auto"/>
          <w:sz w:val="24"/>
          <w:szCs w:val="24"/>
        </w:rPr>
        <w:t>人和采购人代表</w:t>
      </w:r>
      <w:r>
        <w:rPr>
          <w:rFonts w:hint="eastAsia" w:asciiTheme="minorEastAsia" w:hAnsiTheme="minorEastAsia" w:eastAsiaTheme="minorEastAsia" w:cstheme="minorEastAsia"/>
          <w:color w:val="auto"/>
          <w:sz w:val="24"/>
          <w:szCs w:val="24"/>
          <w:u w:val="single" w:color="000000"/>
        </w:rPr>
        <w:t xml:space="preserve"> 1 </w:t>
      </w:r>
      <w:r>
        <w:rPr>
          <w:rFonts w:hint="eastAsia" w:asciiTheme="minorEastAsia" w:hAnsiTheme="minorEastAsia" w:eastAsiaTheme="minorEastAsia" w:cstheme="minorEastAsia"/>
          <w:color w:val="auto"/>
          <w:sz w:val="24"/>
          <w:szCs w:val="24"/>
        </w:rPr>
        <w:t>人，共</w:t>
      </w:r>
      <w:r>
        <w:rPr>
          <w:rFonts w:hint="eastAsia" w:asciiTheme="minorEastAsia" w:hAnsiTheme="minorEastAsia" w:eastAsiaTheme="minorEastAsia" w:cstheme="minorEastAsia"/>
          <w:color w:val="auto"/>
          <w:sz w:val="24"/>
          <w:szCs w:val="24"/>
          <w:u w:val="single" w:color="000000"/>
          <w:lang w:val="en-US" w:eastAsia="zh-CN"/>
        </w:rPr>
        <w:t>5</w:t>
      </w:r>
      <w:r>
        <w:rPr>
          <w:rFonts w:hint="eastAsia" w:asciiTheme="minorEastAsia" w:hAnsiTheme="minorEastAsia" w:eastAsiaTheme="minorEastAsia" w:cstheme="minorEastAsia"/>
          <w:color w:val="auto"/>
          <w:sz w:val="24"/>
          <w:szCs w:val="24"/>
        </w:rPr>
        <w:t>人以上单数组成，其中专家人数不少于成员总数的三分之二。</w:t>
      </w:r>
    </w:p>
    <w:p w14:paraId="70BCA420">
      <w:pPr>
        <w:pageBreakBefore w:val="0"/>
        <w:widowControl w:val="0"/>
        <w:kinsoku/>
        <w:wordWrap/>
        <w:overflowPunct/>
        <w:topLinePunct w:val="0"/>
        <w:autoSpaceDE/>
        <w:autoSpaceDN/>
        <w:bidi w:val="0"/>
        <w:adjustRightInd/>
        <w:snapToGrid/>
        <w:spacing w:line="380" w:lineRule="exact"/>
        <w:ind w:right="-178" w:firstLine="120" w:firstLineChars="5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(二)评标依据：以</w:t>
      </w:r>
      <w:r>
        <w:rPr>
          <w:rFonts w:hint="eastAsia" w:asciiTheme="minorEastAsia" w:hAnsiTheme="minorEastAsia" w:eastAsiaTheme="minorEastAsia" w:cstheme="minorEastAsia"/>
          <w:color w:val="auto"/>
          <w:sz w:val="24"/>
          <w:szCs w:val="24"/>
          <w:lang w:val="en-US" w:eastAsia="zh-CN"/>
        </w:rPr>
        <w:t>公开招标</w:t>
      </w:r>
      <w:r>
        <w:rPr>
          <w:rFonts w:hint="eastAsia" w:asciiTheme="minorEastAsia" w:hAnsiTheme="minorEastAsia" w:eastAsiaTheme="minorEastAsia" w:cstheme="minorEastAsia"/>
          <w:color w:val="auto"/>
          <w:sz w:val="24"/>
          <w:szCs w:val="24"/>
        </w:rPr>
        <w:t>采购文件和响应文件为评定依据。</w:t>
      </w:r>
    </w:p>
    <w:p w14:paraId="4C574B33">
      <w:pPr>
        <w:pStyle w:val="29"/>
        <w:pageBreakBefore w:val="0"/>
        <w:widowControl w:val="0"/>
        <w:kinsoku/>
        <w:wordWrap/>
        <w:overflowPunct/>
        <w:topLinePunct w:val="0"/>
        <w:autoSpaceDE/>
        <w:autoSpaceDN/>
        <w:bidi w:val="0"/>
        <w:adjustRightInd/>
        <w:snapToGrid/>
        <w:spacing w:line="38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(三)评标方法：采用综合评分法。</w:t>
      </w:r>
    </w:p>
    <w:p w14:paraId="3A4E301F">
      <w:pPr>
        <w:keepNext/>
        <w:keepLines/>
        <w:pageBreakBefore w:val="0"/>
        <w:widowControl w:val="0"/>
        <w:kinsoku/>
        <w:wordWrap/>
        <w:overflowPunct/>
        <w:topLinePunct w:val="0"/>
        <w:autoSpaceDE/>
        <w:autoSpaceDN/>
        <w:bidi w:val="0"/>
        <w:adjustRightInd/>
        <w:snapToGrid/>
        <w:spacing w:line="380" w:lineRule="exact"/>
        <w:textAlignment w:val="auto"/>
        <w:outlineLvl w:val="1"/>
        <w:rPr>
          <w:rFonts w:hint="eastAsia" w:asciiTheme="minorEastAsia" w:hAnsiTheme="minorEastAsia" w:eastAsiaTheme="minorEastAsia" w:cstheme="minorEastAsia"/>
          <w:b/>
          <w:bCs/>
          <w:color w:val="auto"/>
          <w:sz w:val="24"/>
          <w:szCs w:val="24"/>
        </w:rPr>
      </w:pPr>
      <w:bookmarkStart w:id="84" w:name="_Toc29229"/>
      <w:bookmarkStart w:id="85" w:name="_Toc6260"/>
      <w:r>
        <w:rPr>
          <w:rFonts w:hint="eastAsia" w:asciiTheme="minorEastAsia" w:hAnsiTheme="minorEastAsia" w:eastAsiaTheme="minorEastAsia" w:cstheme="minorEastAsia"/>
          <w:b/>
          <w:bCs/>
          <w:color w:val="auto"/>
          <w:sz w:val="24"/>
          <w:szCs w:val="24"/>
        </w:rPr>
        <w:t>二、评定方法</w:t>
      </w:r>
      <w:bookmarkEnd w:id="84"/>
      <w:bookmarkEnd w:id="85"/>
    </w:p>
    <w:p w14:paraId="71290733">
      <w:pPr>
        <w:pStyle w:val="29"/>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(一)对商务评审和技术（服务）评审合格的响应文件，采用综合评分法进行评审。</w:t>
      </w:r>
    </w:p>
    <w:p w14:paraId="3C3A970A">
      <w:pPr>
        <w:pStyle w:val="29"/>
        <w:pageBreakBefore w:val="0"/>
        <w:widowControl w:val="0"/>
        <w:kinsoku/>
        <w:wordWrap/>
        <w:overflowPunct/>
        <w:topLinePunct w:val="0"/>
        <w:autoSpaceDE/>
        <w:autoSpaceDN/>
        <w:bidi w:val="0"/>
        <w:adjustRightInd/>
        <w:snapToGrid/>
        <w:spacing w:line="380" w:lineRule="exact"/>
        <w:ind w:firstLine="600" w:firstLineChars="25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评审</w:t>
      </w:r>
      <w:r>
        <w:rPr>
          <w:rFonts w:hint="eastAsia" w:ascii="宋体" w:hAnsi="宋体" w:eastAsia="宋体" w:cs="宋体"/>
          <w:sz w:val="24"/>
          <w:szCs w:val="24"/>
        </w:rPr>
        <w:t>小组将以</w:t>
      </w:r>
      <w:r>
        <w:rPr>
          <w:rFonts w:hint="eastAsia" w:ascii="宋体" w:hAnsi="宋体" w:eastAsia="宋体" w:cs="宋体"/>
          <w:sz w:val="24"/>
          <w:szCs w:val="24"/>
          <w:lang w:val="en-US" w:eastAsia="zh-CN"/>
        </w:rPr>
        <w:t>公开招标</w:t>
      </w:r>
      <w:r>
        <w:rPr>
          <w:rFonts w:hint="eastAsia" w:ascii="宋体" w:hAnsi="宋体" w:eastAsia="宋体" w:cs="宋体"/>
          <w:sz w:val="24"/>
          <w:szCs w:val="24"/>
        </w:rPr>
        <w:t>文件、响应文件为评定依据。以总得分最高的供应商作为成交供应商。</w:t>
      </w:r>
    </w:p>
    <w:p w14:paraId="2ECC2EED">
      <w:pPr>
        <w:pStyle w:val="29"/>
        <w:pageBreakBefore w:val="0"/>
        <w:widowControl w:val="0"/>
        <w:kinsoku/>
        <w:wordWrap/>
        <w:overflowPunct/>
        <w:topLinePunct w:val="0"/>
        <w:autoSpaceDE/>
        <w:autoSpaceDN/>
        <w:bidi w:val="0"/>
        <w:adjustRightInd/>
        <w:snapToGrid/>
        <w:spacing w:line="380" w:lineRule="exact"/>
        <w:ind w:firstLine="480" w:firstLineChars="200"/>
        <w:textAlignment w:val="baseline"/>
        <w:rPr>
          <w:rFonts w:hAnsi="宋体"/>
          <w:sz w:val="24"/>
          <w:szCs w:val="24"/>
        </w:rPr>
      </w:pPr>
      <w:r>
        <w:rPr>
          <w:rFonts w:hint="eastAsia" w:hAnsi="宋体"/>
          <w:sz w:val="24"/>
          <w:szCs w:val="24"/>
        </w:rPr>
        <w:t>（二）</w:t>
      </w:r>
      <w:r>
        <w:rPr>
          <w:rFonts w:hint="eastAsia" w:hAnsi="宋体" w:cs="宋体"/>
          <w:kern w:val="0"/>
          <w:sz w:val="24"/>
          <w:szCs w:val="24"/>
        </w:rPr>
        <w:t>根据《政府采购促进中小企业发展暂行办法》（</w:t>
      </w:r>
      <w:r>
        <w:rPr>
          <w:rFonts w:hint="eastAsia" w:hAnsi="宋体" w:cs="宋体"/>
          <w:kern w:val="0"/>
          <w:sz w:val="24"/>
        </w:rPr>
        <w:t>财库[2020]46号</w:t>
      </w:r>
      <w:r>
        <w:rPr>
          <w:rFonts w:hint="eastAsia" w:hAnsi="宋体" w:cs="宋体"/>
          <w:kern w:val="0"/>
          <w:sz w:val="24"/>
          <w:szCs w:val="24"/>
        </w:rPr>
        <w:t>）及</w:t>
      </w:r>
      <w:r>
        <w:rPr>
          <w:rFonts w:hint="eastAsia" w:ascii="宋体" w:hAnsi="宋体" w:eastAsia="宋体" w:cs="宋体"/>
          <w:b w:val="0"/>
          <w:i w:val="0"/>
          <w:caps w:val="0"/>
          <w:color w:val="auto"/>
          <w:spacing w:val="0"/>
          <w:w w:val="100"/>
          <w:kern w:val="0"/>
          <w:sz w:val="24"/>
          <w:szCs w:val="24"/>
          <w:highlight w:val="none"/>
        </w:rPr>
        <w:t>《广西壮族自治区财政厅关于贯彻落实政府采购支持中小企业发展政策的通知》（桂财采〔2022〕31号）</w:t>
      </w:r>
      <w:r>
        <w:rPr>
          <w:rFonts w:hint="eastAsia" w:hAnsi="宋体" w:cs="宋体"/>
          <w:kern w:val="0"/>
          <w:sz w:val="24"/>
          <w:szCs w:val="24"/>
        </w:rPr>
        <w:t>的规定：</w:t>
      </w:r>
    </w:p>
    <w:p w14:paraId="19E69C13">
      <w:pPr>
        <w:pStyle w:val="29"/>
        <w:pageBreakBefore w:val="0"/>
        <w:widowControl w:val="0"/>
        <w:kinsoku/>
        <w:wordWrap/>
        <w:overflowPunct/>
        <w:topLinePunct w:val="0"/>
        <w:autoSpaceDE/>
        <w:autoSpaceDN/>
        <w:bidi w:val="0"/>
        <w:adjustRightInd/>
        <w:snapToGrid/>
        <w:spacing w:line="380" w:lineRule="exact"/>
        <w:ind w:firstLine="480" w:firstLineChars="200"/>
        <w:textAlignment w:val="baseline"/>
        <w:rPr>
          <w:rFonts w:hAnsi="宋体"/>
          <w:sz w:val="24"/>
          <w:szCs w:val="24"/>
          <w:highlight w:val="none"/>
        </w:rPr>
      </w:pPr>
      <w:r>
        <w:rPr>
          <w:rFonts w:hint="eastAsia" w:hAnsi="宋体" w:cs="宋体"/>
          <w:kern w:val="0"/>
          <w:sz w:val="24"/>
          <w:szCs w:val="24"/>
        </w:rPr>
        <w:t>对小型或微型企业产品的价格给予</w:t>
      </w:r>
      <w:r>
        <w:rPr>
          <w:rFonts w:hint="eastAsia" w:hAnsi="宋体" w:cs="宋体"/>
          <w:kern w:val="0"/>
          <w:sz w:val="24"/>
          <w:szCs w:val="24"/>
          <w:lang w:val="en-US" w:eastAsia="zh-CN"/>
        </w:rPr>
        <w:t>1</w:t>
      </w:r>
      <w:r>
        <w:rPr>
          <w:rFonts w:hint="eastAsia" w:hAnsi="宋体" w:cs="宋体"/>
          <w:kern w:val="0"/>
          <w:sz w:val="24"/>
          <w:szCs w:val="24"/>
        </w:rPr>
        <w:t>0%的扣除，用扣除后的价格参与评审，</w:t>
      </w:r>
      <w:r>
        <w:rPr>
          <w:rFonts w:hint="eastAsia" w:hAnsi="宋体"/>
          <w:sz w:val="24"/>
          <w:szCs w:val="24"/>
        </w:rPr>
        <w:t>即：</w:t>
      </w:r>
      <w:r>
        <w:rPr>
          <w:rFonts w:hint="eastAsia" w:hAnsi="宋体"/>
          <w:bCs/>
          <w:spacing w:val="-6"/>
          <w:sz w:val="24"/>
          <w:szCs w:val="24"/>
        </w:rPr>
        <w:t>评标价</w:t>
      </w:r>
      <w:r>
        <w:rPr>
          <w:rFonts w:hint="eastAsia" w:hAnsi="宋体"/>
          <w:bCs/>
          <w:sz w:val="24"/>
          <w:szCs w:val="24"/>
        </w:rPr>
        <w:t>P</w:t>
      </w:r>
      <w:r>
        <w:rPr>
          <w:rFonts w:hint="eastAsia" w:hAnsi="宋体"/>
          <w:bCs/>
          <w:sz w:val="24"/>
          <w:szCs w:val="24"/>
          <w:vertAlign w:val="subscript"/>
        </w:rPr>
        <w:t xml:space="preserve">P </w:t>
      </w:r>
      <w:r>
        <w:rPr>
          <w:rFonts w:hint="eastAsia" w:hAnsi="宋体"/>
          <w:bCs/>
          <w:sz w:val="24"/>
          <w:szCs w:val="24"/>
        </w:rPr>
        <w:t>=最终</w:t>
      </w:r>
      <w:r>
        <w:rPr>
          <w:rFonts w:hint="eastAsia" w:hAnsi="宋体"/>
          <w:bCs/>
          <w:sz w:val="24"/>
          <w:szCs w:val="24"/>
          <w:lang w:eastAsia="zh-CN"/>
        </w:rPr>
        <w:t>评审</w:t>
      </w:r>
      <w:r>
        <w:rPr>
          <w:rFonts w:hint="eastAsia" w:hAnsi="宋体"/>
          <w:bCs/>
          <w:sz w:val="24"/>
          <w:szCs w:val="24"/>
        </w:rPr>
        <w:t>价P</w:t>
      </w:r>
      <w:r>
        <w:rPr>
          <w:rFonts w:hint="eastAsia" w:hAnsi="宋体"/>
          <w:bCs/>
          <w:sz w:val="24"/>
          <w:szCs w:val="24"/>
          <w:vertAlign w:val="subscript"/>
        </w:rPr>
        <w:t>i</w:t>
      </w:r>
      <w:r>
        <w:rPr>
          <w:rFonts w:hint="eastAsia" w:hAnsi="宋体"/>
          <w:bCs/>
          <w:sz w:val="24"/>
          <w:szCs w:val="24"/>
        </w:rPr>
        <w:t>-</w:t>
      </w:r>
      <w:r>
        <w:rPr>
          <w:rFonts w:hint="eastAsia" w:hAnsi="宋体"/>
          <w:bCs/>
          <w:sz w:val="24"/>
          <w:szCs w:val="24"/>
          <w:lang w:val="en-US" w:eastAsia="zh-CN"/>
        </w:rPr>
        <w:t>1</w:t>
      </w:r>
      <w:r>
        <w:rPr>
          <w:rFonts w:hint="eastAsia" w:hAnsi="宋体"/>
          <w:bCs/>
          <w:sz w:val="24"/>
          <w:szCs w:val="24"/>
        </w:rPr>
        <w:t>0%×最终</w:t>
      </w:r>
      <w:r>
        <w:rPr>
          <w:rFonts w:hint="eastAsia" w:hAnsi="宋体"/>
          <w:bCs/>
          <w:sz w:val="24"/>
          <w:szCs w:val="24"/>
          <w:lang w:eastAsia="zh-CN"/>
        </w:rPr>
        <w:t>评审</w:t>
      </w:r>
      <w:r>
        <w:rPr>
          <w:rFonts w:hint="eastAsia" w:hAnsi="宋体"/>
          <w:bCs/>
          <w:sz w:val="24"/>
          <w:szCs w:val="24"/>
        </w:rPr>
        <w:t>价P</w:t>
      </w:r>
      <w:r>
        <w:rPr>
          <w:rFonts w:hint="eastAsia" w:hAnsi="宋体"/>
          <w:bCs/>
          <w:sz w:val="24"/>
          <w:szCs w:val="24"/>
          <w:vertAlign w:val="subscript"/>
        </w:rPr>
        <w:t>i</w:t>
      </w:r>
      <w:r>
        <w:rPr>
          <w:rFonts w:hint="eastAsia" w:hAnsi="宋体"/>
          <w:sz w:val="24"/>
          <w:szCs w:val="24"/>
        </w:rPr>
        <w:t>（供应商须如实填写</w:t>
      </w:r>
      <w:r>
        <w:rPr>
          <w:rFonts w:hAnsi="宋体"/>
          <w:sz w:val="24"/>
          <w:szCs w:val="24"/>
        </w:rPr>
        <w:t>中小企业声明函</w:t>
      </w:r>
      <w:r>
        <w:rPr>
          <w:rFonts w:hint="eastAsia" w:hAnsi="宋体"/>
          <w:sz w:val="24"/>
          <w:szCs w:val="24"/>
        </w:rPr>
        <w:t>，并对声明的真实性负责）</w:t>
      </w:r>
    </w:p>
    <w:p w14:paraId="64767FDE">
      <w:pPr>
        <w:pStyle w:val="29"/>
        <w:pageBreakBefore w:val="0"/>
        <w:widowControl w:val="0"/>
        <w:kinsoku/>
        <w:wordWrap/>
        <w:overflowPunct/>
        <w:topLinePunct w:val="0"/>
        <w:autoSpaceDE/>
        <w:autoSpaceDN/>
        <w:bidi w:val="0"/>
        <w:adjustRightInd/>
        <w:snapToGrid/>
        <w:spacing w:line="380" w:lineRule="exact"/>
        <w:ind w:firstLine="480"/>
        <w:textAlignment w:val="baseline"/>
        <w:rPr>
          <w:rFonts w:hAnsi="宋体"/>
          <w:sz w:val="24"/>
          <w:szCs w:val="24"/>
          <w:highlight w:val="none"/>
        </w:rPr>
      </w:pPr>
      <w:r>
        <w:rPr>
          <w:rFonts w:hint="eastAsia" w:hAnsi="宋体"/>
          <w:sz w:val="24"/>
          <w:szCs w:val="24"/>
          <w:highlight w:val="none"/>
        </w:rPr>
        <w:t>大中型企业和其他自然人、法人或者其他组织与小型、微型企业组成联合体，联合体协议中约定小型、微型企业的协议合同金额占到联合体协议合同总金额30%</w:t>
      </w:r>
      <w:r>
        <w:rPr>
          <w:rFonts w:hint="eastAsia" w:hAnsi="宋体"/>
          <w:sz w:val="24"/>
          <w:szCs w:val="24"/>
          <w:highlight w:val="none"/>
          <w:lang w:val="en-US" w:eastAsia="zh-CN"/>
        </w:rPr>
        <w:t>及</w:t>
      </w:r>
      <w:r>
        <w:rPr>
          <w:rFonts w:hint="eastAsia" w:hAnsi="宋体"/>
          <w:sz w:val="24"/>
          <w:szCs w:val="24"/>
          <w:highlight w:val="none"/>
        </w:rPr>
        <w:t>以上的，联合体最终报价给予</w:t>
      </w:r>
      <w:r>
        <w:rPr>
          <w:rFonts w:hint="eastAsia" w:hAnsi="宋体"/>
          <w:sz w:val="24"/>
          <w:szCs w:val="24"/>
          <w:highlight w:val="none"/>
          <w:lang w:val="en-US" w:eastAsia="zh-CN"/>
        </w:rPr>
        <w:t>4</w:t>
      </w:r>
      <w:r>
        <w:rPr>
          <w:rFonts w:hint="eastAsia" w:hAnsi="宋体"/>
          <w:sz w:val="24"/>
          <w:szCs w:val="24"/>
          <w:highlight w:val="none"/>
        </w:rPr>
        <w:t>%的扣除，扣除后的价格为评标价，即：</w:t>
      </w:r>
      <w:r>
        <w:rPr>
          <w:rFonts w:hint="eastAsia" w:hAnsi="宋体"/>
          <w:bCs/>
          <w:spacing w:val="-6"/>
          <w:sz w:val="24"/>
          <w:szCs w:val="24"/>
          <w:highlight w:val="none"/>
        </w:rPr>
        <w:t>评标价</w:t>
      </w:r>
      <w:r>
        <w:rPr>
          <w:rFonts w:hint="eastAsia" w:hAnsi="宋体"/>
          <w:bCs/>
          <w:sz w:val="24"/>
          <w:szCs w:val="24"/>
          <w:highlight w:val="none"/>
        </w:rPr>
        <w:t>P</w:t>
      </w:r>
      <w:r>
        <w:rPr>
          <w:rFonts w:hint="eastAsia" w:hAnsi="宋体"/>
          <w:bCs/>
          <w:sz w:val="24"/>
          <w:szCs w:val="24"/>
          <w:highlight w:val="none"/>
          <w:vertAlign w:val="subscript"/>
        </w:rPr>
        <w:t xml:space="preserve">P </w:t>
      </w:r>
      <w:r>
        <w:rPr>
          <w:rFonts w:hint="eastAsia" w:hAnsi="宋体"/>
          <w:bCs/>
          <w:sz w:val="24"/>
          <w:szCs w:val="24"/>
          <w:highlight w:val="none"/>
        </w:rPr>
        <w:t>=</w:t>
      </w:r>
      <w:r>
        <w:rPr>
          <w:rFonts w:hint="eastAsia" w:hAnsi="宋体"/>
          <w:bCs/>
          <w:sz w:val="24"/>
          <w:szCs w:val="24"/>
          <w:highlight w:val="none"/>
          <w:lang w:eastAsia="zh-CN"/>
        </w:rPr>
        <w:t>评审</w:t>
      </w:r>
      <w:r>
        <w:rPr>
          <w:rFonts w:hint="eastAsia" w:hAnsi="宋体"/>
          <w:bCs/>
          <w:sz w:val="24"/>
          <w:szCs w:val="24"/>
          <w:highlight w:val="none"/>
        </w:rPr>
        <w:t>价P</w:t>
      </w:r>
      <w:r>
        <w:rPr>
          <w:rFonts w:hint="eastAsia" w:hAnsi="宋体"/>
          <w:bCs/>
          <w:sz w:val="24"/>
          <w:szCs w:val="24"/>
          <w:highlight w:val="none"/>
          <w:vertAlign w:val="subscript"/>
        </w:rPr>
        <w:t>i</w:t>
      </w:r>
      <w:r>
        <w:rPr>
          <w:rFonts w:hint="eastAsia" w:hAnsi="宋体"/>
          <w:bCs/>
          <w:sz w:val="24"/>
          <w:szCs w:val="24"/>
          <w:highlight w:val="none"/>
        </w:rPr>
        <w:t>-</w:t>
      </w:r>
      <w:r>
        <w:rPr>
          <w:rFonts w:hint="eastAsia" w:hAnsi="宋体"/>
          <w:bCs/>
          <w:sz w:val="24"/>
          <w:szCs w:val="24"/>
          <w:highlight w:val="none"/>
          <w:lang w:val="en-US" w:eastAsia="zh-CN"/>
        </w:rPr>
        <w:t>4</w:t>
      </w:r>
      <w:r>
        <w:rPr>
          <w:rFonts w:hint="eastAsia" w:hAnsi="宋体"/>
          <w:bCs/>
          <w:sz w:val="24"/>
          <w:szCs w:val="24"/>
          <w:highlight w:val="none"/>
        </w:rPr>
        <w:t>%×最终</w:t>
      </w:r>
      <w:r>
        <w:rPr>
          <w:rFonts w:hint="eastAsia" w:hAnsi="宋体"/>
          <w:bCs/>
          <w:sz w:val="24"/>
          <w:szCs w:val="24"/>
          <w:highlight w:val="none"/>
          <w:lang w:eastAsia="zh-CN"/>
        </w:rPr>
        <w:t>评审</w:t>
      </w:r>
      <w:r>
        <w:rPr>
          <w:rFonts w:hint="eastAsia" w:hAnsi="宋体"/>
          <w:bCs/>
          <w:sz w:val="24"/>
          <w:szCs w:val="24"/>
          <w:highlight w:val="none"/>
        </w:rPr>
        <w:t>价P</w:t>
      </w:r>
      <w:r>
        <w:rPr>
          <w:rFonts w:hint="eastAsia" w:hAnsi="宋体"/>
          <w:bCs/>
          <w:sz w:val="24"/>
          <w:szCs w:val="24"/>
          <w:highlight w:val="none"/>
          <w:vertAlign w:val="subscript"/>
        </w:rPr>
        <w:t>i</w:t>
      </w:r>
      <w:r>
        <w:rPr>
          <w:rFonts w:hint="eastAsia" w:hAnsi="宋体"/>
          <w:sz w:val="24"/>
          <w:szCs w:val="24"/>
          <w:highlight w:val="none"/>
        </w:rPr>
        <w:t>。</w:t>
      </w:r>
    </w:p>
    <w:p w14:paraId="0F93C9B6">
      <w:pPr>
        <w:pStyle w:val="29"/>
        <w:pageBreakBefore w:val="0"/>
        <w:widowControl w:val="0"/>
        <w:kinsoku/>
        <w:wordWrap/>
        <w:overflowPunct/>
        <w:topLinePunct w:val="0"/>
        <w:autoSpaceDE/>
        <w:autoSpaceDN/>
        <w:bidi w:val="0"/>
        <w:adjustRightInd/>
        <w:snapToGrid/>
        <w:spacing w:line="380" w:lineRule="exact"/>
        <w:ind w:firstLine="480"/>
        <w:textAlignment w:val="baseline"/>
        <w:rPr>
          <w:rFonts w:hAnsi="宋体"/>
          <w:sz w:val="24"/>
          <w:szCs w:val="24"/>
          <w:highlight w:val="none"/>
        </w:rPr>
      </w:pPr>
      <w:r>
        <w:rPr>
          <w:rFonts w:hint="eastAsia" w:hAnsi="宋体"/>
          <w:sz w:val="24"/>
          <w:szCs w:val="24"/>
          <w:highlight w:val="none"/>
        </w:rPr>
        <w:t>另：根据《关于政府采购支持监狱企业发展有关问题的通知》（财库[2014]68号、桂财采[2015]25号）规定，监狱企业视同小型、微型企业。广西区内政府采购中对监狱企业及其产品的认定，由自治区司法厅负责（需提供广西壮族自治区监狱企业产品目录）；省外应当提供由省级以上监狱管理局、戒毒管理局（含新疆生产建设兵团）出具的属于监狱企业的证明文件。</w:t>
      </w:r>
    </w:p>
    <w:p w14:paraId="7C7F50E3">
      <w:pPr>
        <w:pStyle w:val="29"/>
        <w:pageBreakBefore w:val="0"/>
        <w:widowControl w:val="0"/>
        <w:kinsoku/>
        <w:wordWrap/>
        <w:overflowPunct/>
        <w:topLinePunct w:val="0"/>
        <w:autoSpaceDE/>
        <w:autoSpaceDN/>
        <w:bidi w:val="0"/>
        <w:adjustRightInd/>
        <w:snapToGrid/>
        <w:spacing w:line="380" w:lineRule="exact"/>
        <w:ind w:firstLine="480"/>
        <w:textAlignment w:val="baseline"/>
        <w:rPr>
          <w:rFonts w:hAnsi="宋体"/>
          <w:sz w:val="24"/>
          <w:szCs w:val="24"/>
        </w:rPr>
      </w:pPr>
      <w:r>
        <w:rPr>
          <w:rFonts w:hint="eastAsia" w:hAnsi="宋体"/>
          <w:sz w:val="24"/>
          <w:szCs w:val="24"/>
          <w:highlight w:val="none"/>
        </w:rPr>
        <w:t>根据《关于促进残疾人就业政府采购政策的通知》（财库【2017】141号）规定</w:t>
      </w:r>
      <w:r>
        <w:rPr>
          <w:rFonts w:hint="eastAsia" w:hAnsi="宋体"/>
          <w:sz w:val="24"/>
          <w:szCs w:val="24"/>
        </w:rPr>
        <w:t>，</w:t>
      </w:r>
      <w:r>
        <w:rPr>
          <w:rFonts w:hint="eastAsia"/>
          <w:sz w:val="24"/>
          <w:szCs w:val="24"/>
        </w:rPr>
        <w:t>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成交为残疾人福利性单位的，采购代理机构应当随成交、成交结果同时公告其《残疾人福利性单位声明函》，接受社会监督。</w:t>
      </w:r>
    </w:p>
    <w:p w14:paraId="5D346CBE">
      <w:pPr>
        <w:pStyle w:val="29"/>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eastAsia" w:asciiTheme="minorEastAsia" w:hAnsiTheme="minorEastAsia" w:eastAsiaTheme="minorEastAsia" w:cstheme="minorEastAsia"/>
          <w:bCs/>
          <w:color w:val="auto"/>
          <w:sz w:val="24"/>
          <w:szCs w:val="24"/>
        </w:rPr>
      </w:pPr>
      <w:r>
        <w:rPr>
          <w:rFonts w:hint="eastAsia" w:hAnsi="宋体"/>
          <w:bCs/>
          <w:sz w:val="24"/>
          <w:szCs w:val="24"/>
        </w:rPr>
        <w:t>除上述情况外，评标价=最终</w:t>
      </w:r>
      <w:r>
        <w:rPr>
          <w:rFonts w:hint="eastAsia" w:hAnsi="宋体"/>
          <w:bCs/>
          <w:sz w:val="24"/>
          <w:szCs w:val="24"/>
          <w:lang w:val="en-US" w:eastAsia="zh-CN"/>
        </w:rPr>
        <w:t>投标</w:t>
      </w:r>
      <w:r>
        <w:rPr>
          <w:rFonts w:hint="eastAsia" w:hAnsi="宋体"/>
          <w:bCs/>
          <w:sz w:val="24"/>
          <w:szCs w:val="24"/>
        </w:rPr>
        <w:t>报价。</w:t>
      </w:r>
    </w:p>
    <w:p w14:paraId="5C854395">
      <w:pPr>
        <w:pStyle w:val="29"/>
        <w:pageBreakBefore w:val="0"/>
        <w:widowControl w:val="0"/>
        <w:kinsoku/>
        <w:wordWrap/>
        <w:overflowPunct/>
        <w:topLinePunct w:val="0"/>
        <w:autoSpaceDE/>
        <w:autoSpaceDN/>
        <w:bidi w:val="0"/>
        <w:adjustRightInd/>
        <w:snapToGrid/>
        <w:spacing w:line="380" w:lineRule="exact"/>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（三）计分办法（按四舍五入取至百分位）：</w:t>
      </w:r>
    </w:p>
    <w:p w14:paraId="3BB51A51">
      <w:pPr>
        <w:pStyle w:val="29"/>
        <w:spacing w:line="380" w:lineRule="exact"/>
        <w:ind w:firstLine="480" w:firstLineChars="200"/>
        <w:textAlignment w:val="baseline"/>
        <w:rPr>
          <w:rFonts w:hint="eastAsia" w:asciiTheme="minorEastAsia" w:hAnsiTheme="minorEastAsia" w:eastAsiaTheme="minorEastAsia" w:cstheme="minorEastAsia"/>
          <w:b/>
          <w:color w:val="auto"/>
          <w:sz w:val="24"/>
          <w:szCs w:val="24"/>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投标人的</w:t>
      </w:r>
      <w:r>
        <w:rPr>
          <w:rFonts w:hint="eastAsia" w:ascii="宋体" w:hAnsi="宋体" w:eastAsia="宋体" w:cs="宋体"/>
          <w:b w:val="0"/>
          <w:bCs w:val="0"/>
          <w:color w:val="auto"/>
          <w:sz w:val="24"/>
          <w:szCs w:val="24"/>
          <w:highlight w:val="none"/>
          <w:lang w:eastAsia="zh-CN"/>
        </w:rPr>
        <w:t>投标（响应）报价出现异常低价时，评标委员会按</w:t>
      </w:r>
      <w:r>
        <w:rPr>
          <w:rFonts w:hint="eastAsia" w:ascii="宋体" w:hAnsi="宋体" w:eastAsia="宋体" w:cs="宋体"/>
          <w:b w:val="0"/>
          <w:bCs w:val="0"/>
          <w:color w:val="auto"/>
          <w:sz w:val="24"/>
          <w:szCs w:val="24"/>
          <w:highlight w:val="none"/>
        </w:rPr>
        <w:t>异常低价审核程序启用情形</w:t>
      </w:r>
      <w:r>
        <w:rPr>
          <w:rFonts w:hint="eastAsia" w:ascii="宋体" w:hAnsi="宋体" w:eastAsia="宋体" w:cs="宋体"/>
          <w:b w:val="0"/>
          <w:bCs w:val="0"/>
          <w:color w:val="auto"/>
          <w:sz w:val="24"/>
          <w:szCs w:val="24"/>
          <w:highlight w:val="none"/>
          <w:lang w:eastAsia="zh-CN"/>
        </w:rPr>
        <w:t>启动审查程序。</w:t>
      </w:r>
    </w:p>
    <w:p w14:paraId="113018AF">
      <w:pPr>
        <w:pStyle w:val="29"/>
        <w:textAlignment w:val="baseline"/>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1、价格分………………………………………………………</w:t>
      </w:r>
      <w:r>
        <w:rPr>
          <w:rFonts w:hint="eastAsia" w:asciiTheme="majorEastAsia" w:hAnsiTheme="majorEastAsia" w:eastAsiaTheme="majorEastAsia" w:cstheme="majorEastAsia"/>
          <w:b/>
          <w:color w:val="auto"/>
          <w:sz w:val="24"/>
        </w:rPr>
        <w:t>……………………</w:t>
      </w:r>
      <w:r>
        <w:rPr>
          <w:rFonts w:hint="eastAsia" w:asciiTheme="minorEastAsia" w:hAnsiTheme="minorEastAsia" w:eastAsiaTheme="minorEastAsia" w:cstheme="minorEastAsia"/>
          <w:b/>
          <w:color w:val="auto"/>
          <w:sz w:val="24"/>
          <w:szCs w:val="24"/>
        </w:rPr>
        <w:t>……………… 10分</w:t>
      </w:r>
    </w:p>
    <w:p w14:paraId="405EDDF1">
      <w:pPr>
        <w:pStyle w:val="29"/>
        <w:spacing w:line="240" w:lineRule="auto"/>
        <w:ind w:firstLine="480" w:firstLineChars="200"/>
        <w:textAlignment w:val="baseline"/>
        <w:rPr>
          <w:rFonts w:hAnsi="宋体"/>
          <w:color w:val="auto"/>
          <w:sz w:val="24"/>
          <w:szCs w:val="24"/>
        </w:rPr>
      </w:pPr>
      <w:r>
        <w:rPr>
          <w:rFonts w:hint="eastAsia" w:hAnsi="宋体"/>
          <w:color w:val="auto"/>
          <w:sz w:val="24"/>
          <w:szCs w:val="24"/>
        </w:rPr>
        <w:t>（1）以进入评标的最低的评标价为10分。</w:t>
      </w:r>
    </w:p>
    <w:p w14:paraId="5AC02DED">
      <w:pPr>
        <w:spacing w:line="240" w:lineRule="auto"/>
        <w:ind w:firstLine="480" w:firstLineChars="200"/>
        <w:textAlignment w:val="baseline"/>
        <w:rPr>
          <w:rFonts w:ascii="宋体" w:hAnsi="宋体" w:cs="Courier New"/>
          <w:color w:val="auto"/>
          <w:sz w:val="24"/>
        </w:rPr>
      </w:pPr>
      <w:r>
        <w:rPr>
          <w:rFonts w:hint="eastAsia" w:ascii="宋体" w:hAnsi="宋体" w:cs="Courier New"/>
          <w:color w:val="auto"/>
          <w:sz w:val="24"/>
        </w:rPr>
        <w:t xml:space="preserve">                        </w:t>
      </w:r>
      <w:r>
        <w:rPr>
          <w:rFonts w:hint="eastAsia" w:ascii="宋体" w:hAnsi="宋体" w:cs="Courier New"/>
          <w:color w:val="auto"/>
          <w:sz w:val="24"/>
          <w:lang w:val="en-US" w:eastAsia="zh-CN"/>
        </w:rPr>
        <w:t>投标</w:t>
      </w:r>
      <w:r>
        <w:rPr>
          <w:rFonts w:hint="eastAsia" w:ascii="宋体" w:hAnsi="宋体" w:cs="Courier New"/>
          <w:color w:val="auto"/>
          <w:sz w:val="24"/>
        </w:rPr>
        <w:t>人最低评标价（金额）</w:t>
      </w:r>
    </w:p>
    <w:p w14:paraId="3DD853B3">
      <w:pPr>
        <w:spacing w:line="240" w:lineRule="auto"/>
        <w:ind w:firstLine="480" w:firstLineChars="200"/>
        <w:textAlignment w:val="baseline"/>
        <w:rPr>
          <w:rFonts w:ascii="宋体" w:hAnsi="宋体" w:cs="Courier New"/>
          <w:color w:val="auto"/>
          <w:sz w:val="24"/>
        </w:rPr>
      </w:pPr>
      <w:r>
        <w:rPr>
          <w:rFonts w:hint="eastAsia" w:ascii="宋体" w:hAnsi="宋体" w:cs="Courier New"/>
          <w:color w:val="auto"/>
          <w:sz w:val="24"/>
        </w:rPr>
        <w:t>（2）某</w:t>
      </w:r>
      <w:r>
        <w:rPr>
          <w:rFonts w:hint="eastAsia" w:ascii="宋体" w:hAnsi="宋体" w:cs="Courier New"/>
          <w:color w:val="auto"/>
          <w:sz w:val="24"/>
          <w:lang w:eastAsia="zh-CN"/>
        </w:rPr>
        <w:t>评审</w:t>
      </w:r>
      <w:r>
        <w:rPr>
          <w:rFonts w:hint="eastAsia" w:ascii="宋体" w:hAnsi="宋体" w:cs="Courier New"/>
          <w:color w:val="auto"/>
          <w:sz w:val="24"/>
        </w:rPr>
        <w:t>人价格得分=</w:t>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color w:val="auto"/>
          <w:sz w:val="20"/>
        </w:rPr>
        <w:softHyphen/>
      </w:r>
      <w:r>
        <w:rPr>
          <w:rFonts w:hint="eastAsia" w:ascii="宋体" w:hAnsi="宋体" w:cs="Courier New"/>
          <w:color w:val="auto"/>
          <w:sz w:val="24"/>
        </w:rPr>
        <w:t xml:space="preserve"> —————————————× 10分</w:t>
      </w:r>
    </w:p>
    <w:p w14:paraId="68CD4F5B">
      <w:pPr>
        <w:spacing w:line="240" w:lineRule="auto"/>
        <w:ind w:firstLine="480" w:firstLineChars="200"/>
        <w:textAlignment w:val="baseline"/>
        <w:rPr>
          <w:rFonts w:ascii="宋体" w:hAnsi="宋体" w:cs="Courier New"/>
          <w:color w:val="auto"/>
          <w:sz w:val="24"/>
        </w:rPr>
      </w:pPr>
      <w:r>
        <w:rPr>
          <w:rFonts w:hint="eastAsia" w:ascii="宋体" w:hAnsi="宋体" w:cs="Courier New"/>
          <w:color w:val="auto"/>
          <w:sz w:val="24"/>
        </w:rPr>
        <w:t xml:space="preserve">                        某</w:t>
      </w:r>
      <w:r>
        <w:rPr>
          <w:rFonts w:hint="eastAsia" w:ascii="宋体" w:hAnsi="宋体" w:cs="Courier New"/>
          <w:color w:val="auto"/>
          <w:sz w:val="24"/>
          <w:lang w:val="en-US" w:eastAsia="zh-CN"/>
        </w:rPr>
        <w:t>投标</w:t>
      </w:r>
      <w:r>
        <w:rPr>
          <w:rFonts w:hint="eastAsia" w:ascii="宋体" w:hAnsi="宋体" w:cs="Courier New"/>
          <w:color w:val="auto"/>
          <w:sz w:val="24"/>
        </w:rPr>
        <w:t>人评标价（金额）</w:t>
      </w:r>
    </w:p>
    <w:p w14:paraId="23AA711B">
      <w:pPr>
        <w:pageBreakBefore w:val="0"/>
        <w:kinsoku/>
        <w:wordWrap/>
        <w:overflowPunct/>
        <w:topLinePunct w:val="0"/>
        <w:autoSpaceDE/>
        <w:autoSpaceDN/>
        <w:bidi w:val="0"/>
        <w:adjustRightInd/>
        <w:spacing w:beforeAutospacing="0" w:afterAutospacing="0" w:line="540" w:lineRule="exact"/>
        <w:textAlignment w:val="baseline"/>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
          <w:color w:val="auto"/>
          <w:spacing w:val="-4"/>
          <w:sz w:val="24"/>
        </w:rPr>
        <w:t>2、</w:t>
      </w:r>
      <w:r>
        <w:rPr>
          <w:rFonts w:hint="eastAsia" w:asciiTheme="majorEastAsia" w:hAnsiTheme="majorEastAsia" w:eastAsiaTheme="majorEastAsia" w:cstheme="majorEastAsia"/>
          <w:b/>
          <w:color w:val="auto"/>
          <w:spacing w:val="-4"/>
          <w:sz w:val="24"/>
          <w:lang w:val="en-US" w:eastAsia="zh-CN"/>
        </w:rPr>
        <w:t>服务方案</w:t>
      </w:r>
      <w:r>
        <w:rPr>
          <w:rFonts w:hint="eastAsia" w:asciiTheme="majorEastAsia" w:hAnsiTheme="majorEastAsia" w:eastAsiaTheme="majorEastAsia" w:cstheme="majorEastAsia"/>
          <w:b/>
          <w:color w:val="auto"/>
          <w:spacing w:val="-4"/>
          <w:sz w:val="24"/>
        </w:rPr>
        <w:t>分</w:t>
      </w:r>
      <w:r>
        <w:rPr>
          <w:rFonts w:hint="eastAsia" w:asciiTheme="majorEastAsia" w:hAnsiTheme="majorEastAsia" w:eastAsiaTheme="majorEastAsia" w:cstheme="majorEastAsia"/>
          <w:b/>
          <w:color w:val="auto"/>
          <w:sz w:val="24"/>
        </w:rPr>
        <w:t>………………………………………………………………………………………………………</w:t>
      </w:r>
      <w:r>
        <w:rPr>
          <w:rFonts w:hint="eastAsia" w:asciiTheme="majorEastAsia" w:hAnsiTheme="majorEastAsia" w:eastAsiaTheme="majorEastAsia" w:cstheme="majorEastAsia"/>
          <w:b/>
          <w:color w:val="auto"/>
          <w:sz w:val="24"/>
          <w:lang w:val="en-US" w:eastAsia="zh-CN"/>
        </w:rPr>
        <w:t>70</w:t>
      </w:r>
      <w:r>
        <w:rPr>
          <w:rFonts w:hint="eastAsia" w:asciiTheme="majorEastAsia" w:hAnsiTheme="majorEastAsia" w:eastAsiaTheme="majorEastAsia" w:cstheme="majorEastAsia"/>
          <w:b/>
          <w:color w:val="auto"/>
          <w:spacing w:val="-4"/>
          <w:sz w:val="24"/>
        </w:rPr>
        <w:t>分</w:t>
      </w:r>
    </w:p>
    <w:p w14:paraId="748C041E">
      <w:pPr>
        <w:pageBreakBefore w:val="0"/>
        <w:kinsoku/>
        <w:wordWrap/>
        <w:overflowPunct/>
        <w:topLinePunct w:val="0"/>
        <w:bidi w:val="0"/>
        <w:spacing w:line="540" w:lineRule="exact"/>
        <w:ind w:firstLine="482" w:firstLineChars="200"/>
        <w:textAlignment w:val="top"/>
        <w:rPr>
          <w:rFonts w:hint="eastAsia" w:ascii="宋体" w:hAnsi="宋体" w:cs="宋体"/>
          <w:b/>
          <w:bCs/>
          <w:color w:val="auto"/>
          <w:sz w:val="24"/>
          <w:szCs w:val="24"/>
        </w:rPr>
      </w:pPr>
      <w:r>
        <w:rPr>
          <w:rFonts w:hint="eastAsia" w:ascii="宋体" w:hAnsi="宋体" w:cs="宋体"/>
          <w:b/>
          <w:bCs/>
          <w:color w:val="auto"/>
          <w:sz w:val="24"/>
          <w:szCs w:val="24"/>
        </w:rPr>
        <w:t>（1）</w:t>
      </w:r>
      <w:r>
        <w:rPr>
          <w:rFonts w:hint="eastAsia" w:ascii="宋体" w:hAnsi="宋体" w:cs="宋体"/>
          <w:b/>
          <w:bCs/>
          <w:color w:val="auto"/>
          <w:sz w:val="24"/>
          <w:szCs w:val="24"/>
          <w:lang w:val="en-US" w:eastAsia="zh-CN"/>
        </w:rPr>
        <w:t>现状分析</w:t>
      </w:r>
      <w:r>
        <w:rPr>
          <w:rFonts w:hint="eastAsia" w:ascii="宋体" w:hAnsi="宋体" w:cs="宋体"/>
          <w:b/>
          <w:bCs/>
          <w:color w:val="auto"/>
          <w:sz w:val="24"/>
          <w:szCs w:val="24"/>
        </w:rPr>
        <w:t>（满分</w:t>
      </w:r>
      <w:r>
        <w:rPr>
          <w:rFonts w:hint="eastAsia" w:ascii="宋体" w:hAnsi="宋体" w:cs="宋体"/>
          <w:b/>
          <w:bCs/>
          <w:color w:val="auto"/>
          <w:sz w:val="24"/>
          <w:szCs w:val="24"/>
          <w:lang w:val="en-US" w:eastAsia="zh-CN"/>
        </w:rPr>
        <w:t>9</w:t>
      </w:r>
      <w:r>
        <w:rPr>
          <w:rFonts w:hint="eastAsia" w:ascii="宋体" w:hAnsi="宋体" w:cs="宋体"/>
          <w:b/>
          <w:bCs/>
          <w:color w:val="auto"/>
          <w:sz w:val="24"/>
          <w:szCs w:val="24"/>
        </w:rPr>
        <w:t>分）</w:t>
      </w:r>
    </w:p>
    <w:p w14:paraId="01A6F10E">
      <w:pPr>
        <w:pageBreakBefore w:val="0"/>
        <w:kinsoku/>
        <w:wordWrap/>
        <w:overflowPunct/>
        <w:topLinePunct w:val="0"/>
        <w:bidi w:val="0"/>
        <w:spacing w:line="540" w:lineRule="exact"/>
        <w:ind w:firstLine="480" w:firstLineChars="200"/>
        <w:textAlignment w:val="top"/>
        <w:rPr>
          <w:rFonts w:hint="eastAsia" w:ascii="宋体" w:hAnsi="宋体" w:cs="宋体"/>
          <w:b/>
          <w:bCs/>
          <w:color w:val="auto"/>
          <w:sz w:val="24"/>
          <w:szCs w:val="24"/>
        </w:rPr>
      </w:pPr>
      <w:r>
        <w:rPr>
          <w:rFonts w:hint="eastAsia" w:ascii="宋体" w:hAnsi="宋体" w:eastAsia="宋体" w:cs="宋体"/>
          <w:b w:val="0"/>
          <w:bCs w:val="0"/>
          <w:color w:val="auto"/>
          <w:sz w:val="24"/>
          <w:szCs w:val="24"/>
          <w:highlight w:val="none"/>
          <w:lang w:val="en-US" w:eastAsia="zh-CN"/>
        </w:rPr>
        <w:t>由评审小组根据下述标准在相应档次内独立打分</w:t>
      </w:r>
      <w:r>
        <w:rPr>
          <w:rFonts w:hint="eastAsia" w:ascii="宋体" w:hAnsi="宋体" w:cs="宋体"/>
          <w:b w:val="0"/>
          <w:bCs w:val="0"/>
          <w:color w:val="auto"/>
          <w:sz w:val="24"/>
          <w:szCs w:val="24"/>
          <w:highlight w:val="none"/>
          <w:lang w:val="en-US" w:eastAsia="zh-CN"/>
        </w:rPr>
        <w:t>，不提供不得分</w:t>
      </w:r>
      <w:r>
        <w:rPr>
          <w:rFonts w:hint="eastAsia" w:ascii="宋体" w:hAnsi="宋体" w:eastAsia="宋体" w:cs="宋体"/>
          <w:b w:val="0"/>
          <w:bCs w:val="0"/>
          <w:color w:val="auto"/>
          <w:sz w:val="24"/>
          <w:szCs w:val="24"/>
          <w:highlight w:val="none"/>
          <w:lang w:val="en-US" w:eastAsia="zh-CN"/>
        </w:rPr>
        <w:t>：</w:t>
      </w:r>
    </w:p>
    <w:p w14:paraId="68E7E8C1">
      <w:pPr>
        <w:pageBreakBefore w:val="0"/>
        <w:kinsoku/>
        <w:wordWrap/>
        <w:overflowPunct/>
        <w:topLinePunct w:val="0"/>
        <w:bidi w:val="0"/>
        <w:spacing w:line="540" w:lineRule="exact"/>
        <w:ind w:firstLine="482" w:firstLineChars="200"/>
        <w:textAlignment w:val="top"/>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一档（</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 xml:space="preserve">针对项目需求进行现状分析说明，能提供简单需求分析方案的； </w:t>
      </w:r>
    </w:p>
    <w:p w14:paraId="5B77BD63">
      <w:pPr>
        <w:pageBreakBefore w:val="0"/>
        <w:kinsoku/>
        <w:wordWrap/>
        <w:overflowPunct/>
        <w:topLinePunct w:val="0"/>
        <w:bidi w:val="0"/>
        <w:spacing w:line="540" w:lineRule="exact"/>
        <w:ind w:firstLine="482" w:firstLineChars="200"/>
        <w:textAlignment w:val="top"/>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二档（</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 xml:space="preserve">针对项目需求进行现状分析说明，能提供具体需求分析方案的，且方案能比较清楚的表明对本项目需求的熟悉程度、需求分析能比较明确的进行详细阐述的； </w:t>
      </w:r>
    </w:p>
    <w:p w14:paraId="0841AA7A">
      <w:pPr>
        <w:pageBreakBefore w:val="0"/>
        <w:kinsoku/>
        <w:wordWrap/>
        <w:overflowPunct/>
        <w:topLinePunct w:val="0"/>
        <w:bidi w:val="0"/>
        <w:spacing w:line="540" w:lineRule="exact"/>
        <w:ind w:firstLine="482" w:firstLineChars="200"/>
        <w:textAlignment w:val="top"/>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三档（</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针对项目需求进行现状分析说明，能提供具体需求分析方案的， 且方案能清楚的表明对本项目需求非常熟悉，需求分析能非常明确的进行详细阐述的；</w:t>
      </w:r>
    </w:p>
    <w:p w14:paraId="68C3F9B5">
      <w:pPr>
        <w:pageBreakBefore w:val="0"/>
        <w:kinsoku/>
        <w:wordWrap/>
        <w:overflowPunct/>
        <w:topLinePunct w:val="0"/>
        <w:bidi w:val="0"/>
        <w:spacing w:line="540" w:lineRule="exact"/>
        <w:ind w:firstLine="482" w:firstLineChars="200"/>
        <w:rPr>
          <w:rFonts w:hint="eastAsia" w:ascii="宋体" w:hAnsi="宋体"/>
          <w:b/>
          <w:bCs/>
          <w:color w:val="auto"/>
          <w:sz w:val="24"/>
          <w:szCs w:val="24"/>
        </w:rPr>
      </w:pPr>
      <w:r>
        <w:rPr>
          <w:rFonts w:hint="eastAsia" w:ascii="宋体" w:hAnsi="宋体"/>
          <w:b/>
          <w:bCs/>
          <w:color w:val="auto"/>
          <w:sz w:val="24"/>
          <w:szCs w:val="24"/>
        </w:rPr>
        <w:t>（</w:t>
      </w:r>
      <w:r>
        <w:rPr>
          <w:rFonts w:hint="eastAsia" w:ascii="宋体" w:hAnsi="宋体"/>
          <w:b/>
          <w:bCs/>
          <w:color w:val="auto"/>
          <w:sz w:val="24"/>
          <w:szCs w:val="24"/>
          <w:lang w:val="en-US" w:eastAsia="zh-CN"/>
        </w:rPr>
        <w:t>2</w:t>
      </w:r>
      <w:r>
        <w:rPr>
          <w:rFonts w:hint="eastAsia" w:ascii="宋体" w:hAnsi="宋体"/>
          <w:b/>
          <w:bCs/>
          <w:color w:val="auto"/>
          <w:sz w:val="24"/>
          <w:szCs w:val="24"/>
        </w:rPr>
        <w:t>）技术实施方案</w:t>
      </w:r>
      <w:r>
        <w:rPr>
          <w:rFonts w:hint="eastAsia" w:asciiTheme="majorEastAsia" w:hAnsiTheme="majorEastAsia" w:eastAsiaTheme="majorEastAsia" w:cstheme="majorEastAsia"/>
          <w:b/>
          <w:color w:val="auto"/>
          <w:sz w:val="24"/>
        </w:rPr>
        <w:t>………………………………………………………………………………</w:t>
      </w:r>
      <w:r>
        <w:rPr>
          <w:rFonts w:hint="eastAsia" w:ascii="宋体" w:hAnsi="宋体"/>
          <w:b/>
          <w:bCs/>
          <w:color w:val="auto"/>
          <w:sz w:val="24"/>
          <w:szCs w:val="24"/>
        </w:rPr>
        <w:t>（满分</w:t>
      </w:r>
      <w:r>
        <w:rPr>
          <w:rFonts w:hint="eastAsia" w:ascii="宋体" w:hAnsi="宋体"/>
          <w:b/>
          <w:bCs/>
          <w:color w:val="auto"/>
          <w:sz w:val="24"/>
          <w:szCs w:val="24"/>
          <w:lang w:val="en-US" w:eastAsia="zh-CN"/>
        </w:rPr>
        <w:t>15</w:t>
      </w:r>
      <w:r>
        <w:rPr>
          <w:rFonts w:hint="eastAsia" w:ascii="宋体" w:hAnsi="宋体"/>
          <w:b/>
          <w:bCs/>
          <w:color w:val="auto"/>
          <w:sz w:val="24"/>
          <w:szCs w:val="24"/>
        </w:rPr>
        <w:t>分）</w:t>
      </w:r>
    </w:p>
    <w:p w14:paraId="70E82AA7">
      <w:pPr>
        <w:pageBreakBefore w:val="0"/>
        <w:kinsoku/>
        <w:wordWrap/>
        <w:overflowPunct/>
        <w:topLinePunct w:val="0"/>
        <w:bidi w:val="0"/>
        <w:spacing w:line="540" w:lineRule="exact"/>
        <w:ind w:firstLine="482" w:firstLineChars="200"/>
        <w:rPr>
          <w:rFonts w:hint="eastAsia" w:ascii="宋体" w:hAnsi="宋体"/>
          <w:b/>
          <w:bCs/>
          <w:color w:val="auto"/>
          <w:sz w:val="24"/>
          <w:szCs w:val="24"/>
        </w:rPr>
      </w:pPr>
      <w:r>
        <w:rPr>
          <w:rFonts w:hint="eastAsia" w:ascii="宋体" w:hAnsi="宋体" w:eastAsia="宋体" w:cs="宋体"/>
          <w:b/>
          <w:bCs/>
          <w:color w:val="auto"/>
          <w:sz w:val="24"/>
          <w:szCs w:val="24"/>
          <w:highlight w:val="none"/>
          <w:lang w:val="en-US" w:eastAsia="zh-CN"/>
        </w:rPr>
        <w:t>由评审小组根据下述标准在相应档次内独立打分</w:t>
      </w:r>
      <w:r>
        <w:rPr>
          <w:rFonts w:hint="eastAsia" w:ascii="宋体" w:hAnsi="宋体" w:cs="宋体"/>
          <w:b/>
          <w:bCs/>
          <w:color w:val="auto"/>
          <w:sz w:val="24"/>
          <w:szCs w:val="24"/>
          <w:highlight w:val="none"/>
          <w:lang w:val="en-US" w:eastAsia="zh-CN"/>
        </w:rPr>
        <w:t>，不提供不得分</w:t>
      </w:r>
      <w:r>
        <w:rPr>
          <w:rFonts w:hint="eastAsia" w:ascii="宋体" w:hAnsi="宋体" w:eastAsia="宋体" w:cs="宋体"/>
          <w:b/>
          <w:bCs/>
          <w:color w:val="auto"/>
          <w:sz w:val="24"/>
          <w:szCs w:val="24"/>
          <w:highlight w:val="none"/>
          <w:lang w:val="en-US" w:eastAsia="zh-CN"/>
        </w:rPr>
        <w:t>：</w:t>
      </w:r>
    </w:p>
    <w:p w14:paraId="6BC519C1">
      <w:pPr>
        <w:pageBreakBefore w:val="0"/>
        <w:kinsoku/>
        <w:wordWrap/>
        <w:overflowPunct/>
        <w:topLinePunct w:val="0"/>
        <w:bidi w:val="0"/>
        <w:spacing w:line="540" w:lineRule="exact"/>
        <w:ind w:firstLine="482" w:firstLineChars="200"/>
        <w:textAlignment w:val="top"/>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方案中针对资料收集、开展现状调查、制定延包方案、延包方案表决、调查信息公示、 签订延包合同、延包合同备案、发放经营权证、数据更新、资料归档、总结验收等内容的工作流程进行全面合理的技术设计和详细的阐述； 开展现状调查的工作内容、调查方法、技术方法符合国家、自治区等标准规范的规定；数据更新的工作内容、更新流程、技术方法符合国家、自治区等标准规范的规定。 </w:t>
      </w:r>
    </w:p>
    <w:p w14:paraId="073C67FF">
      <w:pPr>
        <w:pageBreakBefore w:val="0"/>
        <w:kinsoku/>
        <w:wordWrap/>
        <w:overflowPunct/>
        <w:topLinePunct w:val="0"/>
        <w:bidi w:val="0"/>
        <w:spacing w:line="540" w:lineRule="exact"/>
        <w:ind w:firstLine="482" w:firstLineChars="200"/>
        <w:textAlignment w:val="top"/>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一档（</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 xml:space="preserve">实施方案完整，项目实施计划可行，项目管理组织机构及人员职能满足要求。提供的方案在整体要求、技术路线、项目实施技术及设计架构的合理性、采用的技术先进性、设计的完整性以及系统的扩展性、实用性、规范性、易用性、可行性、可靠性一般，方案基本可行、论证基本准确，没有明显技术错误。 </w:t>
      </w:r>
    </w:p>
    <w:p w14:paraId="2A7D8D40">
      <w:pPr>
        <w:pageBreakBefore w:val="0"/>
        <w:kinsoku/>
        <w:wordWrap/>
        <w:overflowPunct/>
        <w:topLinePunct w:val="0"/>
        <w:bidi w:val="0"/>
        <w:spacing w:line="540" w:lineRule="exact"/>
        <w:ind w:firstLine="482" w:firstLineChars="200"/>
        <w:textAlignment w:val="top"/>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二档（</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 xml:space="preserve">实施方案完整清晰，项目实施计划完整可行，项目管理组织机构及人 员职能清晰，实施人员数量满足项目需求。提供的方案在整体要求、技术路线、项目实施技术及设计架构的合理性、采用的技术先进性、设计的完整性以及系统的扩展性、 实用性、规范性、易用性、可行性、可靠性较好，方案可行、论证基本准确，没有技 术错误，实现技术较新可行，模块功能描述相对具体，方案阐述具体详细，与项目需 求的吻合度较好的； </w:t>
      </w:r>
    </w:p>
    <w:p w14:paraId="330609C3">
      <w:pPr>
        <w:pageBreakBefore w:val="0"/>
        <w:kinsoku/>
        <w:wordWrap/>
        <w:overflowPunct/>
        <w:topLinePunct w:val="0"/>
        <w:bidi w:val="0"/>
        <w:spacing w:line="540" w:lineRule="exact"/>
        <w:ind w:firstLine="482" w:firstLineChars="200"/>
        <w:textAlignment w:val="top"/>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三档（</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实施方案完整清晰，项目实施计划完整、可行性高，项目所需的各项 保障措施得当到位，项目管理组织机构设置全面、人员安排充足、职能分工明确，整体清晰可控。提供的方案在整体要求、技术路线、项目实施技术及设计架构的合理性、采用的技术先进性、设计的完整性以及系统的扩展性、实用性、规范性、易用性、可行性、可靠性比较优秀。技术方案可行且具先进性、创新性，论证很准确。各流程描 述具体、实施步骤详细，与项目需求高度吻合。</w:t>
      </w:r>
    </w:p>
    <w:p w14:paraId="39A755E8">
      <w:pPr>
        <w:pageBreakBefore w:val="0"/>
        <w:kinsoku/>
        <w:wordWrap/>
        <w:overflowPunct/>
        <w:topLinePunct w:val="0"/>
        <w:bidi w:val="0"/>
        <w:adjustRightInd w:val="0"/>
        <w:snapToGrid w:val="0"/>
        <w:spacing w:line="540" w:lineRule="exact"/>
        <w:ind w:firstLine="482" w:firstLineChars="200"/>
        <w:rPr>
          <w:rFonts w:ascii="宋体" w:hAnsi="宋体"/>
          <w:b/>
          <w:bCs/>
          <w:color w:val="auto"/>
          <w:sz w:val="24"/>
          <w:szCs w:val="24"/>
          <w:lang w:eastAsia="zh-Hans"/>
        </w:rPr>
      </w:pPr>
      <w:r>
        <w:rPr>
          <w:rFonts w:hint="eastAsia" w:ascii="宋体" w:hAnsi="宋体" w:cs="宋体"/>
          <w:b/>
          <w:bCs/>
          <w:color w:val="auto"/>
          <w:sz w:val="24"/>
          <w:szCs w:val="24"/>
        </w:rPr>
        <w:t>（</w:t>
      </w:r>
      <w:r>
        <w:rPr>
          <w:rFonts w:hint="eastAsia" w:ascii="宋体" w:hAnsi="宋体" w:cs="宋体"/>
          <w:b/>
          <w:bCs/>
          <w:color w:val="auto"/>
          <w:sz w:val="24"/>
          <w:szCs w:val="24"/>
          <w:lang w:val="en-US" w:eastAsia="zh-CN"/>
        </w:rPr>
        <w:t>3）进度安排及保障措施</w:t>
      </w:r>
      <w:r>
        <w:rPr>
          <w:rFonts w:hint="eastAsia" w:asciiTheme="majorEastAsia" w:hAnsiTheme="majorEastAsia" w:eastAsiaTheme="majorEastAsia" w:cstheme="majorEastAsia"/>
          <w:b/>
          <w:color w:val="auto"/>
          <w:sz w:val="24"/>
        </w:rPr>
        <w:t>………………………………………………………………………</w:t>
      </w:r>
      <w:r>
        <w:rPr>
          <w:rFonts w:ascii="宋体" w:hAnsi="宋体"/>
          <w:b/>
          <w:bCs/>
          <w:color w:val="auto"/>
          <w:sz w:val="24"/>
          <w:szCs w:val="24"/>
          <w:lang w:eastAsia="zh-Hans"/>
        </w:rPr>
        <w:t>（</w:t>
      </w:r>
      <w:r>
        <w:rPr>
          <w:rFonts w:hint="eastAsia" w:ascii="宋体" w:hAnsi="宋体"/>
          <w:b/>
          <w:bCs/>
          <w:color w:val="auto"/>
          <w:sz w:val="24"/>
          <w:szCs w:val="24"/>
          <w:lang w:eastAsia="zh-Hans"/>
        </w:rPr>
        <w:t>满分</w:t>
      </w:r>
      <w:r>
        <w:rPr>
          <w:rFonts w:hint="eastAsia" w:ascii="宋体" w:hAnsi="宋体"/>
          <w:b/>
          <w:bCs/>
          <w:color w:val="auto"/>
          <w:sz w:val="24"/>
          <w:szCs w:val="24"/>
        </w:rPr>
        <w:t>1</w:t>
      </w:r>
      <w:r>
        <w:rPr>
          <w:rFonts w:hint="eastAsia" w:ascii="宋体" w:hAnsi="宋体"/>
          <w:b/>
          <w:bCs/>
          <w:color w:val="auto"/>
          <w:sz w:val="24"/>
          <w:szCs w:val="24"/>
          <w:lang w:val="en-US" w:eastAsia="zh-CN"/>
        </w:rPr>
        <w:t>5</w:t>
      </w:r>
      <w:r>
        <w:rPr>
          <w:rFonts w:hint="eastAsia" w:ascii="宋体" w:hAnsi="宋体"/>
          <w:b/>
          <w:bCs/>
          <w:color w:val="auto"/>
          <w:sz w:val="24"/>
          <w:szCs w:val="24"/>
          <w:lang w:eastAsia="zh-Hans"/>
        </w:rPr>
        <w:t>分</w:t>
      </w:r>
      <w:r>
        <w:rPr>
          <w:rFonts w:ascii="宋体" w:hAnsi="宋体"/>
          <w:b/>
          <w:bCs/>
          <w:color w:val="auto"/>
          <w:sz w:val="24"/>
          <w:szCs w:val="24"/>
          <w:lang w:eastAsia="zh-Hans"/>
        </w:rPr>
        <w:t>）</w:t>
      </w:r>
    </w:p>
    <w:p w14:paraId="5C32B78C">
      <w:pPr>
        <w:pageBreakBefore w:val="0"/>
        <w:kinsoku/>
        <w:wordWrap/>
        <w:overflowPunct/>
        <w:topLinePunct w:val="0"/>
        <w:bidi w:val="0"/>
        <w:adjustRightInd w:val="0"/>
        <w:snapToGrid w:val="0"/>
        <w:spacing w:line="540" w:lineRule="exact"/>
        <w:ind w:firstLine="480" w:firstLineChars="200"/>
        <w:rPr>
          <w:rFonts w:hint="eastAsia" w:ascii="宋体" w:hAnsi="宋体" w:eastAsia="宋体" w:cs="宋体"/>
          <w:b/>
          <w:bCs/>
          <w:color w:val="auto"/>
          <w:sz w:val="24"/>
          <w:szCs w:val="24"/>
          <w:lang w:eastAsia="zh-Hans"/>
        </w:rPr>
      </w:pPr>
      <w:r>
        <w:rPr>
          <w:rFonts w:hint="eastAsia" w:ascii="宋体" w:hAnsi="宋体" w:eastAsia="宋体" w:cs="宋体"/>
          <w:b w:val="0"/>
          <w:bCs w:val="0"/>
          <w:color w:val="auto"/>
          <w:sz w:val="24"/>
          <w:szCs w:val="24"/>
          <w:highlight w:val="none"/>
          <w:lang w:val="en-US" w:eastAsia="zh-CN"/>
        </w:rPr>
        <w:t>由评审小组根据下述标准在相应档次内独立打分，不提供不得分：</w:t>
      </w:r>
    </w:p>
    <w:p w14:paraId="31BC5286">
      <w:pPr>
        <w:pageBreakBefore w:val="0"/>
        <w:tabs>
          <w:tab w:val="left" w:pos="7474"/>
        </w:tabs>
        <w:kinsoku/>
        <w:wordWrap/>
        <w:overflowPunct/>
        <w:topLinePunct w:val="0"/>
        <w:bidi w:val="0"/>
        <w:snapToGrid w:val="0"/>
        <w:spacing w:line="540" w:lineRule="exact"/>
        <w:ind w:firstLine="482" w:firstLineChars="200"/>
        <w:jc w:val="left"/>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一档（</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分）：</w:t>
      </w:r>
      <w:r>
        <w:rPr>
          <w:rFonts w:hint="eastAsia" w:ascii="宋体" w:hAnsi="宋体" w:eastAsia="宋体" w:cs="宋体"/>
          <w:color w:val="auto"/>
          <w:sz w:val="24"/>
          <w:szCs w:val="24"/>
          <w:lang w:eastAsia="zh-CN"/>
        </w:rPr>
        <w:t>没有对进度目标进行表述，或者实施进度措施不合理，与本项目明显脱节，没有提出切实有效配套措施保证进度的实现；</w:t>
      </w:r>
    </w:p>
    <w:p w14:paraId="0828F9AD">
      <w:pPr>
        <w:pageBreakBefore w:val="0"/>
        <w:tabs>
          <w:tab w:val="left" w:pos="7474"/>
        </w:tabs>
        <w:kinsoku/>
        <w:wordWrap/>
        <w:overflowPunct/>
        <w:topLinePunct w:val="0"/>
        <w:bidi w:val="0"/>
        <w:snapToGrid w:val="0"/>
        <w:spacing w:line="540" w:lineRule="exact"/>
        <w:ind w:firstLine="482" w:firstLineChars="200"/>
        <w:jc w:val="left"/>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二档（</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lang w:eastAsia="zh-CN"/>
        </w:rPr>
        <w:t>分）：</w:t>
      </w:r>
      <w:r>
        <w:rPr>
          <w:rFonts w:hint="eastAsia" w:ascii="宋体" w:hAnsi="宋体" w:eastAsia="宋体" w:cs="宋体"/>
          <w:color w:val="auto"/>
          <w:sz w:val="24"/>
          <w:szCs w:val="24"/>
          <w:lang w:eastAsia="zh-CN"/>
        </w:rPr>
        <w:t xml:space="preserve">进度目标表述模糊，实施进度保证措施欠缺关键表述，没有提出切实有效配套措施保证进度的实现； </w:t>
      </w:r>
    </w:p>
    <w:p w14:paraId="219DFB7F">
      <w:pPr>
        <w:pageBreakBefore w:val="0"/>
        <w:tabs>
          <w:tab w:val="left" w:pos="7474"/>
        </w:tabs>
        <w:kinsoku/>
        <w:wordWrap/>
        <w:overflowPunct/>
        <w:topLinePunct w:val="0"/>
        <w:bidi w:val="0"/>
        <w:snapToGrid w:val="0"/>
        <w:spacing w:line="540" w:lineRule="exact"/>
        <w:ind w:firstLine="482" w:firstLineChars="200"/>
        <w:jc w:val="left"/>
        <w:rPr>
          <w:rFonts w:hint="eastAsia" w:asciiTheme="majorEastAsia" w:hAnsiTheme="majorEastAsia" w:eastAsiaTheme="majorEastAsia" w:cstheme="majorEastAsia"/>
          <w:color w:val="auto"/>
          <w:sz w:val="24"/>
          <w:szCs w:val="24"/>
          <w:lang w:eastAsia="zh-CN"/>
        </w:rPr>
      </w:pPr>
      <w:r>
        <w:rPr>
          <w:rFonts w:hint="eastAsia" w:ascii="宋体" w:hAnsi="宋体" w:eastAsia="宋体" w:cs="宋体"/>
          <w:b/>
          <w:bCs/>
          <w:color w:val="auto"/>
          <w:sz w:val="24"/>
          <w:szCs w:val="24"/>
          <w:lang w:eastAsia="zh-CN"/>
        </w:rPr>
        <w:t>三档（1</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分）：</w:t>
      </w:r>
      <w:r>
        <w:rPr>
          <w:rFonts w:hint="eastAsia" w:ascii="宋体" w:hAnsi="宋体" w:eastAsia="宋体" w:cs="宋体"/>
          <w:color w:val="auto"/>
          <w:sz w:val="24"/>
          <w:szCs w:val="24"/>
          <w:lang w:eastAsia="zh-CN"/>
        </w:rPr>
        <w:t>进度目标表述明确具体，实施进度保证措施完整，提出切实有效配套措施保证进度的实现。</w:t>
      </w:r>
    </w:p>
    <w:p w14:paraId="4FD601B5">
      <w:pPr>
        <w:pageBreakBefore w:val="0"/>
        <w:kinsoku/>
        <w:wordWrap/>
        <w:overflowPunct/>
        <w:topLinePunct w:val="0"/>
        <w:bidi w:val="0"/>
        <w:spacing w:line="540" w:lineRule="exact"/>
        <w:ind w:firstLine="482" w:firstLineChars="200"/>
        <w:jc w:val="left"/>
        <w:rPr>
          <w:rFonts w:ascii="宋体" w:hAnsi="宋体"/>
          <w:b/>
          <w:bCs/>
          <w:color w:val="auto"/>
          <w:sz w:val="24"/>
          <w:szCs w:val="24"/>
          <w:lang w:eastAsia="zh-Hans"/>
        </w:rPr>
      </w:pPr>
      <w:r>
        <w:rPr>
          <w:rFonts w:hint="eastAsia" w:ascii="宋体" w:hAnsi="宋体" w:cs="宋体"/>
          <w:b/>
          <w:bCs/>
          <w:color w:val="auto"/>
          <w:sz w:val="24"/>
          <w:szCs w:val="24"/>
        </w:rPr>
        <w:t>（</w:t>
      </w:r>
      <w:r>
        <w:rPr>
          <w:rFonts w:hint="eastAsia" w:ascii="宋体" w:hAnsi="宋体" w:cs="宋体"/>
          <w:b/>
          <w:bCs/>
          <w:color w:val="auto"/>
          <w:sz w:val="24"/>
          <w:szCs w:val="24"/>
          <w:lang w:val="en-US" w:eastAsia="zh-CN"/>
        </w:rPr>
        <w:t>4）质量保障措施</w:t>
      </w:r>
      <w:r>
        <w:rPr>
          <w:rFonts w:hint="eastAsia" w:asciiTheme="majorEastAsia" w:hAnsiTheme="majorEastAsia" w:eastAsiaTheme="majorEastAsia" w:cstheme="majorEastAsia"/>
          <w:b/>
          <w:color w:val="auto"/>
          <w:sz w:val="24"/>
        </w:rPr>
        <w:t>………………………………………………………………………………</w:t>
      </w:r>
      <w:r>
        <w:rPr>
          <w:rFonts w:ascii="宋体" w:hAnsi="宋体"/>
          <w:b/>
          <w:bCs/>
          <w:color w:val="auto"/>
          <w:sz w:val="24"/>
          <w:szCs w:val="24"/>
          <w:lang w:eastAsia="zh-Hans"/>
        </w:rPr>
        <w:t>（</w:t>
      </w:r>
      <w:r>
        <w:rPr>
          <w:rFonts w:hint="eastAsia" w:ascii="宋体" w:hAnsi="宋体"/>
          <w:b/>
          <w:bCs/>
          <w:color w:val="auto"/>
          <w:sz w:val="24"/>
          <w:szCs w:val="24"/>
          <w:lang w:eastAsia="zh-Hans"/>
        </w:rPr>
        <w:t>满分</w:t>
      </w:r>
      <w:r>
        <w:rPr>
          <w:rFonts w:hint="eastAsia" w:ascii="宋体" w:hAnsi="宋体"/>
          <w:b/>
          <w:bCs/>
          <w:color w:val="auto"/>
          <w:sz w:val="24"/>
          <w:szCs w:val="24"/>
        </w:rPr>
        <w:t>1</w:t>
      </w:r>
      <w:r>
        <w:rPr>
          <w:rFonts w:hint="eastAsia" w:ascii="宋体" w:hAnsi="宋体"/>
          <w:b/>
          <w:bCs/>
          <w:color w:val="auto"/>
          <w:sz w:val="24"/>
          <w:szCs w:val="24"/>
          <w:lang w:val="en-US" w:eastAsia="zh-CN"/>
        </w:rPr>
        <w:t>5</w:t>
      </w:r>
      <w:r>
        <w:rPr>
          <w:rFonts w:hint="eastAsia" w:ascii="宋体" w:hAnsi="宋体"/>
          <w:b/>
          <w:bCs/>
          <w:color w:val="auto"/>
          <w:sz w:val="24"/>
          <w:szCs w:val="24"/>
          <w:lang w:eastAsia="zh-Hans"/>
        </w:rPr>
        <w:t>分</w:t>
      </w:r>
      <w:r>
        <w:rPr>
          <w:rFonts w:ascii="宋体" w:hAnsi="宋体"/>
          <w:b/>
          <w:bCs/>
          <w:color w:val="auto"/>
          <w:sz w:val="24"/>
          <w:szCs w:val="24"/>
          <w:lang w:eastAsia="zh-Hans"/>
        </w:rPr>
        <w:t>）</w:t>
      </w:r>
    </w:p>
    <w:p w14:paraId="0F286696">
      <w:pPr>
        <w:pageBreakBefore w:val="0"/>
        <w:kinsoku/>
        <w:wordWrap/>
        <w:overflowPunct/>
        <w:topLinePunct w:val="0"/>
        <w:bidi w:val="0"/>
        <w:adjustRightInd w:val="0"/>
        <w:snapToGrid w:val="0"/>
        <w:spacing w:line="540" w:lineRule="exact"/>
        <w:ind w:firstLine="480" w:firstLineChars="200"/>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由评审小组根据下述标准在相应档次内独立打分，不提供不得分：</w:t>
      </w:r>
    </w:p>
    <w:p w14:paraId="493BC17A">
      <w:pPr>
        <w:pageBreakBefore w:val="0"/>
        <w:kinsoku/>
        <w:wordWrap/>
        <w:overflowPunct/>
        <w:topLinePunct w:val="0"/>
        <w:bidi w:val="0"/>
        <w:adjustRightInd w:val="0"/>
        <w:snapToGrid w:val="0"/>
        <w:spacing w:line="540" w:lineRule="exact"/>
        <w:ind w:firstLine="482"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一档（5分）：</w:t>
      </w:r>
      <w:r>
        <w:rPr>
          <w:rFonts w:hint="eastAsia" w:ascii="宋体" w:hAnsi="宋体" w:eastAsia="宋体" w:cs="宋体"/>
          <w:b w:val="0"/>
          <w:bCs w:val="0"/>
          <w:color w:val="auto"/>
          <w:sz w:val="24"/>
          <w:szCs w:val="24"/>
          <w:highlight w:val="none"/>
          <w:lang w:val="en-US" w:eastAsia="zh-CN"/>
        </w:rPr>
        <w:t>供应商质量目标基本够明确、质量保证体系基本够健全、质量保证措施基本能够保证项目成果质量。</w:t>
      </w:r>
      <w:r>
        <w:rPr>
          <w:rFonts w:hint="eastAsia" w:ascii="宋体" w:hAnsi="宋体" w:cs="宋体"/>
          <w:b w:val="0"/>
          <w:bCs w:val="0"/>
          <w:color w:val="auto"/>
          <w:sz w:val="24"/>
          <w:szCs w:val="24"/>
          <w:highlight w:val="none"/>
          <w:lang w:val="en-US" w:eastAsia="zh-CN"/>
        </w:rPr>
        <w:t>拟投入本项目的质检人员，有1名具备测绘地理信息行业涉密人员资格，持有省级及以上测绘地理信息行政主管部门或其授权机构颁发的保密培训合格证书（或同等效力证明文件）</w:t>
      </w:r>
    </w:p>
    <w:p w14:paraId="6EC02289">
      <w:pPr>
        <w:pageBreakBefore w:val="0"/>
        <w:kinsoku/>
        <w:wordWrap/>
        <w:overflowPunct/>
        <w:topLinePunct w:val="0"/>
        <w:bidi w:val="0"/>
        <w:adjustRightInd w:val="0"/>
        <w:snapToGrid w:val="0"/>
        <w:spacing w:line="540" w:lineRule="exact"/>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二档（10分）：</w:t>
      </w:r>
      <w:r>
        <w:rPr>
          <w:rFonts w:hint="eastAsia" w:ascii="宋体" w:hAnsi="宋体" w:eastAsia="宋体" w:cs="宋体"/>
          <w:b w:val="0"/>
          <w:bCs w:val="0"/>
          <w:color w:val="auto"/>
          <w:sz w:val="24"/>
          <w:szCs w:val="24"/>
          <w:highlight w:val="none"/>
          <w:lang w:val="en-US" w:eastAsia="zh-CN"/>
        </w:rPr>
        <w:t>供应商质量目标较为明确，有专门的质检机构进行质量把关，有具体的质量管理制度和措施。</w:t>
      </w:r>
      <w:r>
        <w:rPr>
          <w:rFonts w:hint="eastAsia" w:ascii="宋体" w:hAnsi="宋体" w:cs="宋体"/>
          <w:b w:val="0"/>
          <w:bCs w:val="0"/>
          <w:color w:val="auto"/>
          <w:sz w:val="24"/>
          <w:szCs w:val="24"/>
          <w:highlight w:val="none"/>
          <w:lang w:val="en-US" w:eastAsia="zh-CN"/>
        </w:rPr>
        <w:t>拟投入本项目的质检人员，有3名具备测绘地理信息行业涉密人员资格，持有省级及以上测绘地理信息行政主管部门或其授权机构颁发的保密培训合格证书（或同等效力证明文件）</w:t>
      </w:r>
    </w:p>
    <w:p w14:paraId="0D3CE1E1">
      <w:pPr>
        <w:pageBreakBefore w:val="0"/>
        <w:kinsoku/>
        <w:wordWrap/>
        <w:overflowPunct/>
        <w:topLinePunct w:val="0"/>
        <w:bidi w:val="0"/>
        <w:adjustRightInd w:val="0"/>
        <w:snapToGrid w:val="0"/>
        <w:spacing w:line="540" w:lineRule="exact"/>
        <w:ind w:firstLine="482"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三档（15分）：</w:t>
      </w:r>
      <w:r>
        <w:rPr>
          <w:rFonts w:hint="eastAsia" w:ascii="宋体" w:hAnsi="宋体" w:eastAsia="宋体" w:cs="宋体"/>
          <w:b w:val="0"/>
          <w:bCs w:val="0"/>
          <w:color w:val="auto"/>
          <w:sz w:val="24"/>
          <w:szCs w:val="24"/>
          <w:highlight w:val="none"/>
          <w:lang w:val="en-US" w:eastAsia="zh-CN"/>
        </w:rPr>
        <w:t>供应商质量目标明确，有专门的质检机构进行质量把关，有明确的内部质量管理奖罚措施；有具体的质量管理制度和措施，包括:建立过程检查制度和三级检查制度，制度完善，措施有效到位。</w:t>
      </w:r>
      <w:r>
        <w:rPr>
          <w:rFonts w:hint="eastAsia" w:ascii="宋体" w:hAnsi="宋体" w:cs="宋体"/>
          <w:b w:val="0"/>
          <w:bCs w:val="0"/>
          <w:color w:val="auto"/>
          <w:sz w:val="24"/>
          <w:szCs w:val="24"/>
          <w:highlight w:val="none"/>
          <w:lang w:val="en-US" w:eastAsia="zh-CN"/>
        </w:rPr>
        <w:t>拟投入本项目的质检人员，有5名具备测绘地理信息行业涉密人员资格，持有省级及以上测绘地理信息行政主管部门或其授权机构颁发的保密培训合格证书（或同等效力证明文件）</w:t>
      </w:r>
    </w:p>
    <w:p w14:paraId="657B1EEF">
      <w:pPr>
        <w:pageBreakBefore w:val="0"/>
        <w:kinsoku/>
        <w:wordWrap/>
        <w:overflowPunct/>
        <w:topLinePunct w:val="0"/>
        <w:bidi w:val="0"/>
        <w:adjustRightInd w:val="0"/>
        <w:snapToGrid w:val="0"/>
        <w:spacing w:line="540" w:lineRule="exact"/>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注：（须提供项目团队成员投标截止日期前半年内任意3个月投标人为其缴纳的社保证明、证书等证明材料）不满足以上评分内容的不得分。</w:t>
      </w:r>
    </w:p>
    <w:p w14:paraId="4BDC2377">
      <w:pPr>
        <w:pStyle w:val="64"/>
        <w:pageBreakBefore w:val="0"/>
        <w:kinsoku/>
        <w:wordWrap/>
        <w:overflowPunct/>
        <w:topLinePunct w:val="0"/>
        <w:bidi w:val="0"/>
        <w:spacing w:line="540" w:lineRule="exact"/>
        <w:ind w:firstLine="478" w:firstLineChars="200"/>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val="en-US" w:eastAsia="zh-CN"/>
        </w:rPr>
        <w:t>5</w:t>
      </w:r>
      <w:r>
        <w:rPr>
          <w:rFonts w:hint="eastAsia" w:ascii="宋体" w:hAnsi="宋体" w:eastAsia="宋体" w:cs="宋体"/>
          <w:b/>
          <w:bCs/>
          <w:color w:val="auto"/>
          <w:spacing w:val="-1"/>
          <w:sz w:val="24"/>
          <w:szCs w:val="24"/>
          <w:highlight w:val="none"/>
          <w:lang w:eastAsia="zh-CN"/>
        </w:rPr>
        <w:t>）组织管理措施</w:t>
      </w:r>
      <w:r>
        <w:rPr>
          <w:rFonts w:hint="eastAsia" w:asciiTheme="majorEastAsia" w:hAnsiTheme="majorEastAsia" w:eastAsiaTheme="majorEastAsia" w:cstheme="majorEastAsia"/>
          <w:b/>
          <w:color w:val="auto"/>
          <w:sz w:val="24"/>
          <w:highlight w:val="none"/>
        </w:rPr>
        <w:t>………………………………………………………………………………</w:t>
      </w:r>
      <w:r>
        <w:rPr>
          <w:rFonts w:hint="eastAsia" w:ascii="宋体" w:hAnsi="宋体" w:eastAsia="宋体" w:cs="宋体"/>
          <w:b/>
          <w:bCs/>
          <w:color w:val="auto"/>
          <w:spacing w:val="-1"/>
          <w:sz w:val="24"/>
          <w:szCs w:val="24"/>
          <w:highlight w:val="none"/>
          <w:lang w:val="en-US" w:eastAsia="zh-CN"/>
        </w:rPr>
        <w:t>（满分</w:t>
      </w:r>
      <w:r>
        <w:rPr>
          <w:rFonts w:hint="eastAsia" w:hAnsi="宋体" w:cs="宋体"/>
          <w:b/>
          <w:bCs/>
          <w:color w:val="auto"/>
          <w:spacing w:val="-1"/>
          <w:sz w:val="24"/>
          <w:szCs w:val="24"/>
          <w:highlight w:val="none"/>
          <w:lang w:val="en-US" w:eastAsia="zh-CN"/>
        </w:rPr>
        <w:t>8</w:t>
      </w:r>
      <w:r>
        <w:rPr>
          <w:rFonts w:hint="eastAsia" w:ascii="宋体" w:hAnsi="宋体" w:eastAsia="宋体" w:cs="宋体"/>
          <w:b/>
          <w:bCs/>
          <w:color w:val="auto"/>
          <w:spacing w:val="-1"/>
          <w:sz w:val="24"/>
          <w:szCs w:val="24"/>
          <w:highlight w:val="none"/>
          <w:lang w:val="en-US" w:eastAsia="zh-CN"/>
        </w:rPr>
        <w:t>分）</w:t>
      </w:r>
    </w:p>
    <w:p w14:paraId="2FB3462D">
      <w:pPr>
        <w:pageBreakBefore w:val="0"/>
        <w:kinsoku/>
        <w:wordWrap/>
        <w:overflowPunct/>
        <w:topLinePunct w:val="0"/>
        <w:bidi w:val="0"/>
        <w:adjustRightInd w:val="0"/>
        <w:snapToGrid w:val="0"/>
        <w:spacing w:line="5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由评审小组根据下述标准在相应档次内独立打分，不提供不得分：</w:t>
      </w:r>
    </w:p>
    <w:p w14:paraId="67DFA79B">
      <w:pPr>
        <w:pageBreakBefore w:val="0"/>
        <w:kinsoku/>
        <w:wordWrap/>
        <w:overflowPunct/>
        <w:topLinePunct w:val="0"/>
        <w:bidi w:val="0"/>
        <w:adjustRightInd w:val="0"/>
        <w:snapToGrid w:val="0"/>
        <w:spacing w:line="540" w:lineRule="exact"/>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一档（</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 xml:space="preserve">供应商对项目实施设置了简单管理机构和岗位职责；人员配备和设备投入，基本满足本项目总体要求。 </w:t>
      </w:r>
    </w:p>
    <w:p w14:paraId="5C7D0ED8">
      <w:pPr>
        <w:pageBreakBefore w:val="0"/>
        <w:kinsoku/>
        <w:wordWrap/>
        <w:overflowPunct/>
        <w:topLinePunct w:val="0"/>
        <w:bidi w:val="0"/>
        <w:adjustRightInd w:val="0"/>
        <w:snapToGrid w:val="0"/>
        <w:spacing w:line="540" w:lineRule="exact"/>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二档（</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供应商对项目实施设置了管理机构和岗位职责，有简单的技术管理机构及人员，人员配备和设备投入满足本项目总体要求。</w:t>
      </w:r>
    </w:p>
    <w:p w14:paraId="568BA7A7">
      <w:pPr>
        <w:pageBreakBefore w:val="0"/>
        <w:kinsoku/>
        <w:wordWrap/>
        <w:overflowPunct/>
        <w:topLinePunct w:val="0"/>
        <w:bidi w:val="0"/>
        <w:adjustRightInd w:val="0"/>
        <w:snapToGrid w:val="0"/>
        <w:spacing w:line="540" w:lineRule="exact"/>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三档（</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供应商对项目实施设置了明确的管理机构和岗位职责，有明确的 相关岗位人员，有明确的技术管理机构及人员，人员配备和设备投入合理，完全满足本项目总体要求。</w:t>
      </w:r>
    </w:p>
    <w:p w14:paraId="7EEA03D4">
      <w:pPr>
        <w:pStyle w:val="64"/>
        <w:pageBreakBefore w:val="0"/>
        <w:kinsoku/>
        <w:wordWrap/>
        <w:overflowPunct/>
        <w:topLinePunct w:val="0"/>
        <w:bidi w:val="0"/>
        <w:spacing w:line="540" w:lineRule="exact"/>
        <w:ind w:firstLine="478" w:firstLineChars="200"/>
        <w:rPr>
          <w:rFonts w:hint="default"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val="en-US" w:eastAsia="zh-CN"/>
        </w:rPr>
        <w:t>6</w:t>
      </w:r>
      <w:r>
        <w:rPr>
          <w:rFonts w:hint="eastAsia" w:ascii="宋体" w:hAnsi="宋体" w:eastAsia="宋体" w:cs="宋体"/>
          <w:b/>
          <w:bCs/>
          <w:color w:val="auto"/>
          <w:spacing w:val="-1"/>
          <w:sz w:val="24"/>
          <w:szCs w:val="24"/>
          <w:highlight w:val="none"/>
          <w:lang w:eastAsia="zh-CN"/>
        </w:rPr>
        <w:t>）售后服务方案</w:t>
      </w:r>
      <w:r>
        <w:rPr>
          <w:rFonts w:hint="eastAsia" w:asciiTheme="majorEastAsia" w:hAnsiTheme="majorEastAsia" w:eastAsiaTheme="majorEastAsia" w:cstheme="majorEastAsia"/>
          <w:b/>
          <w:color w:val="auto"/>
          <w:sz w:val="24"/>
          <w:highlight w:val="none"/>
        </w:rPr>
        <w:t>………………………………………………………………………………</w:t>
      </w:r>
      <w:r>
        <w:rPr>
          <w:rFonts w:hint="eastAsia" w:ascii="宋体" w:hAnsi="宋体" w:eastAsia="宋体" w:cs="宋体"/>
          <w:b/>
          <w:bCs/>
          <w:color w:val="auto"/>
          <w:spacing w:val="-1"/>
          <w:sz w:val="24"/>
          <w:szCs w:val="24"/>
          <w:highlight w:val="none"/>
          <w:lang w:val="en-US" w:eastAsia="zh-CN"/>
        </w:rPr>
        <w:t>（满分8分）</w:t>
      </w:r>
    </w:p>
    <w:p w14:paraId="2B9E7898">
      <w:pPr>
        <w:pageBreakBefore w:val="0"/>
        <w:kinsoku/>
        <w:wordWrap/>
        <w:overflowPunct/>
        <w:topLinePunct w:val="0"/>
        <w:bidi w:val="0"/>
        <w:spacing w:line="5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由评审小组根据下述标准在相应档次内独立打分，不提供不得分：</w:t>
      </w:r>
    </w:p>
    <w:p w14:paraId="11BB7DF9">
      <w:pPr>
        <w:pageBreakBefore w:val="0"/>
        <w:kinsoku/>
        <w:wordWrap/>
        <w:overflowPunct/>
        <w:topLinePunct w:val="0"/>
        <w:bidi w:val="0"/>
        <w:spacing w:line="5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从售后服务机构设置、售后服务体系完善情况、培训方案可行性等方面对本项目售后 及服务方案进行评审。 </w:t>
      </w:r>
    </w:p>
    <w:p w14:paraId="7771D663">
      <w:pPr>
        <w:pageBreakBefore w:val="0"/>
        <w:kinsoku/>
        <w:wordWrap/>
        <w:overflowPunct/>
        <w:topLinePunct w:val="0"/>
        <w:bidi w:val="0"/>
        <w:spacing w:line="540" w:lineRule="exact"/>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一档（2分）：</w:t>
      </w:r>
      <w:r>
        <w:rPr>
          <w:rFonts w:hint="eastAsia" w:ascii="宋体" w:hAnsi="宋体" w:eastAsia="宋体" w:cs="宋体"/>
          <w:b w:val="0"/>
          <w:bCs w:val="0"/>
          <w:color w:val="auto"/>
          <w:sz w:val="24"/>
          <w:szCs w:val="24"/>
          <w:highlight w:val="none"/>
          <w:lang w:val="en-US" w:eastAsia="zh-CN"/>
        </w:rPr>
        <w:t>售后服务方案基本合理，满足项目需求。</w:t>
      </w:r>
    </w:p>
    <w:p w14:paraId="391A128B">
      <w:pPr>
        <w:pageBreakBefore w:val="0"/>
        <w:kinsoku/>
        <w:wordWrap/>
        <w:overflowPunct/>
        <w:topLinePunct w:val="0"/>
        <w:bidi w:val="0"/>
        <w:spacing w:line="540" w:lineRule="exact"/>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二档（5分）：</w:t>
      </w:r>
      <w:r>
        <w:rPr>
          <w:rFonts w:hint="eastAsia" w:ascii="宋体" w:hAnsi="宋体" w:eastAsia="宋体" w:cs="宋体"/>
          <w:b w:val="0"/>
          <w:bCs w:val="0"/>
          <w:color w:val="auto"/>
          <w:sz w:val="24"/>
          <w:szCs w:val="24"/>
          <w:highlight w:val="none"/>
          <w:lang w:val="en-US" w:eastAsia="zh-CN"/>
        </w:rPr>
        <w:t xml:space="preserve">售后服务方案比较合理，较好的满足项目需求。 </w:t>
      </w:r>
    </w:p>
    <w:p w14:paraId="4BE2AC43">
      <w:pPr>
        <w:pageBreakBefore w:val="0"/>
        <w:kinsoku/>
        <w:wordWrap/>
        <w:overflowPunct/>
        <w:topLinePunct w:val="0"/>
        <w:bidi w:val="0"/>
        <w:spacing w:line="540" w:lineRule="exact"/>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三档（8分）：</w:t>
      </w:r>
      <w:r>
        <w:rPr>
          <w:rFonts w:hint="eastAsia" w:ascii="宋体" w:hAnsi="宋体" w:eastAsia="宋体" w:cs="宋体"/>
          <w:b w:val="0"/>
          <w:bCs w:val="0"/>
          <w:color w:val="auto"/>
          <w:sz w:val="24"/>
          <w:szCs w:val="24"/>
          <w:highlight w:val="none"/>
          <w:lang w:val="en-US" w:eastAsia="zh-CN"/>
        </w:rPr>
        <w:t>售后服务方案完整且合理，完全满足项目需求。</w:t>
      </w:r>
    </w:p>
    <w:p w14:paraId="220F3454">
      <w:pPr>
        <w:pStyle w:val="64"/>
        <w:pageBreakBefore w:val="0"/>
        <w:kinsoku/>
        <w:wordWrap/>
        <w:overflowPunct/>
        <w:topLinePunct w:val="0"/>
        <w:bidi w:val="0"/>
        <w:spacing w:line="540" w:lineRule="exact"/>
        <w:ind w:firstLine="464" w:firstLineChars="200"/>
        <w:rPr>
          <w:rFonts w:hint="default" w:ascii="宋体" w:hAnsi="宋体" w:eastAsia="宋体" w:cs="宋体"/>
          <w:b/>
          <w:bCs/>
          <w:color w:val="auto"/>
          <w:spacing w:val="-1"/>
          <w:sz w:val="24"/>
          <w:szCs w:val="24"/>
          <w:highlight w:val="none"/>
          <w:lang w:val="en-US" w:eastAsia="zh-CN"/>
        </w:rPr>
      </w:pPr>
      <w:r>
        <w:rPr>
          <w:rFonts w:hint="eastAsia" w:asciiTheme="majorEastAsia" w:hAnsiTheme="majorEastAsia" w:eastAsiaTheme="majorEastAsia" w:cstheme="majorEastAsia"/>
          <w:b/>
          <w:color w:val="auto"/>
          <w:spacing w:val="-4"/>
          <w:sz w:val="24"/>
          <w:szCs w:val="24"/>
          <w:highlight w:val="none"/>
          <w:lang w:val="en-US" w:eastAsia="zh-CN"/>
        </w:rPr>
        <w:t>3</w:t>
      </w:r>
      <w:r>
        <w:rPr>
          <w:rFonts w:hint="eastAsia" w:asciiTheme="majorEastAsia" w:hAnsiTheme="majorEastAsia" w:eastAsiaTheme="majorEastAsia" w:cstheme="majorEastAsia"/>
          <w:b/>
          <w:color w:val="auto"/>
          <w:spacing w:val="-4"/>
          <w:sz w:val="24"/>
          <w:szCs w:val="24"/>
          <w:highlight w:val="none"/>
        </w:rPr>
        <w:t>、</w:t>
      </w:r>
      <w:r>
        <w:rPr>
          <w:rFonts w:hint="eastAsia" w:ascii="宋体" w:hAnsi="宋体" w:eastAsia="宋体" w:cs="宋体"/>
          <w:b/>
          <w:bCs/>
          <w:color w:val="auto"/>
          <w:sz w:val="24"/>
          <w:szCs w:val="24"/>
          <w:highlight w:val="none"/>
          <w:lang w:eastAsia="zh-CN"/>
        </w:rPr>
        <w:t>商务</w:t>
      </w:r>
      <w:r>
        <w:rPr>
          <w:rFonts w:hint="eastAsia" w:ascii="宋体" w:hAnsi="宋体" w:eastAsia="宋体" w:cs="宋体"/>
          <w:b/>
          <w:bCs/>
          <w:color w:val="auto"/>
          <w:spacing w:val="-4"/>
          <w:sz w:val="24"/>
          <w:szCs w:val="24"/>
          <w:highlight w:val="none"/>
        </w:rPr>
        <w:t>分</w:t>
      </w:r>
      <w:r>
        <w:rPr>
          <w:rFonts w:hint="eastAsia" w:asciiTheme="majorEastAsia" w:hAnsiTheme="majorEastAsia" w:eastAsiaTheme="majorEastAsia" w:cstheme="majorEastAsia"/>
          <w:b/>
          <w:color w:val="auto"/>
          <w:sz w:val="24"/>
          <w:highlight w:val="none"/>
        </w:rPr>
        <w:t>………………………………………………………………………</w:t>
      </w:r>
      <w:r>
        <w:rPr>
          <w:rFonts w:hint="eastAsia" w:ascii="宋体" w:hAnsi="宋体" w:eastAsia="宋体" w:cs="宋体"/>
          <w:b/>
          <w:bCs/>
          <w:color w:val="auto"/>
          <w:spacing w:val="-1"/>
          <w:sz w:val="24"/>
          <w:szCs w:val="24"/>
          <w:highlight w:val="none"/>
          <w:lang w:val="en-US" w:eastAsia="zh-CN"/>
        </w:rPr>
        <w:t>（满分</w:t>
      </w:r>
      <w:r>
        <w:rPr>
          <w:rFonts w:hint="eastAsia" w:hAnsi="宋体" w:cs="宋体"/>
          <w:b/>
          <w:bCs/>
          <w:color w:val="auto"/>
          <w:spacing w:val="-1"/>
          <w:sz w:val="24"/>
          <w:szCs w:val="24"/>
          <w:highlight w:val="none"/>
          <w:lang w:val="en-US" w:eastAsia="zh-CN"/>
        </w:rPr>
        <w:t>20</w:t>
      </w:r>
      <w:r>
        <w:rPr>
          <w:rFonts w:hint="eastAsia" w:ascii="宋体" w:hAnsi="宋体" w:eastAsia="宋体" w:cs="宋体"/>
          <w:b/>
          <w:bCs/>
          <w:color w:val="auto"/>
          <w:spacing w:val="-1"/>
          <w:sz w:val="24"/>
          <w:szCs w:val="24"/>
          <w:highlight w:val="none"/>
          <w:lang w:val="en-US" w:eastAsia="zh-CN"/>
        </w:rPr>
        <w:t>分）</w:t>
      </w:r>
    </w:p>
    <w:p w14:paraId="4B49DDF5">
      <w:pPr>
        <w:pStyle w:val="64"/>
        <w:pageBreakBefore w:val="0"/>
        <w:kinsoku/>
        <w:wordWrap/>
        <w:overflowPunct/>
        <w:topLinePunct w:val="0"/>
        <w:bidi w:val="0"/>
        <w:spacing w:line="540" w:lineRule="exact"/>
        <w:ind w:firstLine="478" w:firstLineChars="200"/>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val="en-US" w:eastAsia="zh-CN"/>
        </w:rPr>
        <w:t>（1）拟投入的人员（满分</w:t>
      </w:r>
      <w:r>
        <w:rPr>
          <w:rFonts w:hint="eastAsia" w:hAnsi="宋体" w:cs="宋体"/>
          <w:b/>
          <w:bCs/>
          <w:color w:val="auto"/>
          <w:spacing w:val="-1"/>
          <w:sz w:val="24"/>
          <w:szCs w:val="24"/>
          <w:highlight w:val="none"/>
          <w:lang w:val="en-US" w:eastAsia="zh-CN"/>
        </w:rPr>
        <w:t>15</w:t>
      </w:r>
      <w:r>
        <w:rPr>
          <w:rFonts w:hint="eastAsia" w:ascii="宋体" w:hAnsi="宋体" w:eastAsia="宋体" w:cs="宋体"/>
          <w:b/>
          <w:bCs/>
          <w:color w:val="auto"/>
          <w:spacing w:val="-1"/>
          <w:sz w:val="24"/>
          <w:szCs w:val="24"/>
          <w:highlight w:val="none"/>
          <w:lang w:val="en-US" w:eastAsia="zh-CN"/>
        </w:rPr>
        <w:t>分）</w:t>
      </w:r>
    </w:p>
    <w:p w14:paraId="6C3E79FC">
      <w:pPr>
        <w:pageBreakBefore w:val="0"/>
        <w:kinsoku/>
        <w:wordWrap/>
        <w:overflowPunct/>
        <w:topLinePunct w:val="0"/>
        <w:bidi w:val="0"/>
        <w:spacing w:line="540" w:lineRule="exact"/>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一档（</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拟投入本项目至少</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人，团队成员中至少</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人具有测绘类</w:t>
      </w:r>
      <w:r>
        <w:rPr>
          <w:rFonts w:hint="eastAsia" w:ascii="宋体"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 xml:space="preserve">级及以上职称，人员分工明确，岗位职责清晰； </w:t>
      </w:r>
    </w:p>
    <w:p w14:paraId="0B826C9A">
      <w:pPr>
        <w:pageBreakBefore w:val="0"/>
        <w:kinsoku/>
        <w:wordWrap/>
        <w:overflowPunct/>
        <w:topLinePunct w:val="0"/>
        <w:bidi w:val="0"/>
        <w:spacing w:line="540" w:lineRule="exact"/>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二档（</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拟投入本项目至少</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val="en-US" w:eastAsia="zh-CN"/>
        </w:rPr>
        <w:t>人，且项目经理具有测绘类高级职称，团队成员中至少</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人具有测绘类</w:t>
      </w:r>
      <w:r>
        <w:rPr>
          <w:rFonts w:hint="eastAsia" w:ascii="宋体"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 xml:space="preserve">级及以上职称，人员分工明确，岗位职责清晰； </w:t>
      </w:r>
    </w:p>
    <w:p w14:paraId="3FA6EB61">
      <w:pPr>
        <w:pageBreakBefore w:val="0"/>
        <w:kinsoku/>
        <w:wordWrap/>
        <w:overflowPunct/>
        <w:topLinePunct w:val="0"/>
        <w:bidi w:val="0"/>
        <w:spacing w:line="540" w:lineRule="exact"/>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三档（</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val="0"/>
          <w:bCs w:val="0"/>
          <w:color w:val="auto"/>
          <w:sz w:val="24"/>
          <w:szCs w:val="24"/>
          <w:highlight w:val="none"/>
          <w:lang w:val="en-US" w:eastAsia="zh-CN"/>
        </w:rPr>
        <w:t>拟投入本项目至少</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en-US" w:eastAsia="zh-CN"/>
        </w:rPr>
        <w:t>人，其中项目经理具有测绘类高级职称，团队成员中至少</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人具有测绘类</w:t>
      </w:r>
      <w:r>
        <w:rPr>
          <w:rFonts w:hint="eastAsia" w:ascii="宋体"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级及以上职称，人员分工明确，岗位职责清晰。</w:t>
      </w:r>
    </w:p>
    <w:p w14:paraId="115BB6B5">
      <w:pPr>
        <w:pageBreakBefore w:val="0"/>
        <w:kinsoku/>
        <w:wordWrap/>
        <w:overflowPunct/>
        <w:topLinePunct w:val="0"/>
        <w:bidi w:val="0"/>
        <w:spacing w:line="5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注：（须提供项目团队成员投标截止日期前半年内任意</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个月投标人为其缴纳的社保证明、资格证或职称证等证明材料）不满足以上评分内容的不得分。</w:t>
      </w:r>
    </w:p>
    <w:p w14:paraId="5F4A2027">
      <w:pPr>
        <w:pStyle w:val="64"/>
        <w:pageBreakBefore w:val="0"/>
        <w:kinsoku/>
        <w:wordWrap/>
        <w:overflowPunct/>
        <w:topLinePunct w:val="0"/>
        <w:bidi w:val="0"/>
        <w:spacing w:line="540" w:lineRule="exact"/>
        <w:ind w:firstLine="478" w:firstLineChars="200"/>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w:t>
      </w:r>
      <w:r>
        <w:rPr>
          <w:rFonts w:hint="eastAsia" w:hAnsi="宋体" w:cs="宋体"/>
          <w:b/>
          <w:bCs/>
          <w:color w:val="auto"/>
          <w:spacing w:val="-1"/>
          <w:sz w:val="24"/>
          <w:szCs w:val="24"/>
          <w:highlight w:val="none"/>
          <w:lang w:val="en-US" w:eastAsia="zh-CN"/>
        </w:rPr>
        <w:t>2</w:t>
      </w:r>
      <w:r>
        <w:rPr>
          <w:rFonts w:hint="eastAsia" w:ascii="宋体" w:hAnsi="宋体" w:eastAsia="宋体" w:cs="宋体"/>
          <w:b/>
          <w:bCs/>
          <w:color w:val="auto"/>
          <w:spacing w:val="-1"/>
          <w:sz w:val="24"/>
          <w:szCs w:val="24"/>
          <w:highlight w:val="none"/>
          <w:lang w:val="en-US" w:eastAsia="zh-CN"/>
        </w:rPr>
        <w:t>）业绩分（满分5分）</w:t>
      </w:r>
    </w:p>
    <w:p w14:paraId="1B22E616">
      <w:pPr>
        <w:pageBreakBefore w:val="0"/>
        <w:kinsoku/>
        <w:wordWrap/>
        <w:overflowPunct/>
        <w:topLinePunct w:val="0"/>
        <w:bidi w:val="0"/>
        <w:spacing w:line="5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供应商自2023年以来承担过</w:t>
      </w:r>
      <w:r>
        <w:rPr>
          <w:rFonts w:hint="eastAsia" w:ascii="宋体" w:hAnsi="宋体" w:cs="宋体"/>
          <w:b w:val="0"/>
          <w:bCs w:val="0"/>
          <w:color w:val="auto"/>
          <w:sz w:val="24"/>
          <w:szCs w:val="24"/>
          <w:highlight w:val="none"/>
          <w:lang w:val="en-US" w:eastAsia="zh-CN"/>
        </w:rPr>
        <w:t>有关农村土地承包经营权</w:t>
      </w:r>
      <w:r>
        <w:rPr>
          <w:rFonts w:hint="eastAsia" w:ascii="宋体" w:hAnsi="宋体" w:eastAsia="宋体" w:cs="宋体"/>
          <w:b w:val="0"/>
          <w:bCs w:val="0"/>
          <w:color w:val="auto"/>
          <w:sz w:val="24"/>
          <w:szCs w:val="24"/>
          <w:highlight w:val="none"/>
          <w:lang w:val="en-US" w:eastAsia="zh-CN"/>
        </w:rPr>
        <w:t>项目业绩的，每个得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分，本项满分5分。（提供相关业绩合同或中标通知书）（若联合体投标，由联合体任一方提供）</w:t>
      </w:r>
    </w:p>
    <w:p w14:paraId="6D5A84E1">
      <w:pPr>
        <w:pageBreakBefore w:val="0"/>
        <w:kinsoku/>
        <w:wordWrap/>
        <w:overflowPunct/>
        <w:topLinePunct w:val="0"/>
        <w:bidi w:val="0"/>
        <w:spacing w:line="540" w:lineRule="exact"/>
        <w:rPr>
          <w:rFonts w:ascii="宋体" w:hAnsi="宋体" w:cs="Courier New"/>
          <w:b/>
          <w:color w:val="auto"/>
          <w:sz w:val="24"/>
          <w:highlight w:val="none"/>
        </w:rPr>
      </w:pPr>
      <w:r>
        <w:rPr>
          <w:rFonts w:hint="eastAsia" w:ascii="宋体" w:hAnsi="宋体" w:cs="Courier New"/>
          <w:color w:val="auto"/>
          <w:sz w:val="24"/>
          <w:highlight w:val="none"/>
        </w:rPr>
        <w:t>（</w:t>
      </w:r>
      <w:r>
        <w:rPr>
          <w:rFonts w:hint="eastAsia" w:ascii="宋体" w:hAnsi="宋体" w:cs="Courier New"/>
          <w:b/>
          <w:color w:val="auto"/>
          <w:sz w:val="24"/>
          <w:highlight w:val="none"/>
        </w:rPr>
        <w:t xml:space="preserve">三）总得分=1 + 2 </w:t>
      </w:r>
      <w:r>
        <w:rPr>
          <w:rFonts w:hint="eastAsia" w:ascii="宋体" w:hAnsi="宋体" w:cs="Courier New"/>
          <w:b/>
          <w:color w:val="auto"/>
          <w:sz w:val="24"/>
          <w:highlight w:val="none"/>
          <w:lang w:val="en-US" w:eastAsia="zh-CN"/>
        </w:rPr>
        <w:t>+ 3</w:t>
      </w:r>
      <w:r>
        <w:rPr>
          <w:rFonts w:hint="eastAsia" w:ascii="宋体" w:hAnsi="宋体" w:cs="Courier New"/>
          <w:b/>
          <w:color w:val="auto"/>
          <w:sz w:val="24"/>
          <w:highlight w:val="none"/>
        </w:rPr>
        <w:t>项得分。</w:t>
      </w:r>
    </w:p>
    <w:p w14:paraId="7CE937B9">
      <w:pPr>
        <w:keepNext/>
        <w:keepLines/>
        <w:pageBreakBefore w:val="0"/>
        <w:widowControl w:val="0"/>
        <w:kinsoku/>
        <w:wordWrap/>
        <w:overflowPunct/>
        <w:topLinePunct w:val="0"/>
        <w:autoSpaceDE/>
        <w:autoSpaceDN/>
        <w:bidi w:val="0"/>
        <w:adjustRightInd/>
        <w:snapToGrid/>
        <w:spacing w:line="540" w:lineRule="exact"/>
        <w:textAlignment w:val="auto"/>
        <w:outlineLvl w:val="1"/>
        <w:rPr>
          <w:rFonts w:hint="eastAsia" w:asciiTheme="minorEastAsia" w:hAnsiTheme="minorEastAsia" w:eastAsiaTheme="minorEastAsia" w:cstheme="minorEastAsia"/>
          <w:b/>
          <w:bCs/>
          <w:color w:val="auto"/>
          <w:sz w:val="24"/>
          <w:szCs w:val="24"/>
          <w:highlight w:val="none"/>
        </w:rPr>
      </w:pPr>
      <w:bookmarkStart w:id="86" w:name="_Toc31361"/>
      <w:bookmarkStart w:id="87" w:name="_Toc644"/>
      <w:r>
        <w:rPr>
          <w:rFonts w:hint="eastAsia" w:asciiTheme="minorEastAsia" w:hAnsiTheme="minorEastAsia" w:eastAsiaTheme="minorEastAsia" w:cstheme="minorEastAsia"/>
          <w:b/>
          <w:bCs/>
          <w:color w:val="auto"/>
          <w:sz w:val="24"/>
          <w:szCs w:val="24"/>
          <w:highlight w:val="none"/>
        </w:rPr>
        <w:t>三、成交候选供应商推荐原则</w:t>
      </w:r>
      <w:bookmarkEnd w:id="86"/>
      <w:bookmarkEnd w:id="87"/>
    </w:p>
    <w:p w14:paraId="15E94CA6">
      <w:pPr>
        <w:pageBreakBefore w:val="0"/>
        <w:widowControl/>
        <w:shd w:val="clear" w:color="auto" w:fill="FFFFFF"/>
        <w:kinsoku/>
        <w:wordWrap/>
        <w:overflowPunct/>
        <w:topLinePunct w:val="0"/>
        <w:bidi w:val="0"/>
        <w:spacing w:line="540" w:lineRule="exact"/>
        <w:ind w:firstLine="480"/>
        <w:jc w:val="left"/>
        <w:textAlignment w:val="baseline"/>
        <w:rPr>
          <w:rFonts w:ascii="宋体" w:hAnsi="宋体" w:cs="宋体"/>
          <w:b/>
          <w:color w:val="0000FF"/>
          <w:kern w:val="0"/>
          <w:sz w:val="36"/>
          <w:szCs w:val="36"/>
        </w:rPr>
      </w:pPr>
      <w:r>
        <w:rPr>
          <w:rFonts w:hint="eastAsia" w:hAnsi="宋体"/>
          <w:color w:val="auto"/>
          <w:sz w:val="24"/>
          <w:highlight w:val="none"/>
          <w:lang w:eastAsia="zh-CN"/>
        </w:rPr>
        <w:t>评审</w:t>
      </w:r>
      <w:r>
        <w:rPr>
          <w:rFonts w:hint="eastAsia" w:hAnsi="宋体"/>
          <w:color w:val="auto"/>
          <w:sz w:val="24"/>
          <w:highlight w:val="none"/>
        </w:rPr>
        <w:t>小组将根据综合得分由高到低排列次序（得分相同时，以最终报价由低到高顺序排列；得分相同且最终报价相同的，按</w:t>
      </w:r>
      <w:r>
        <w:rPr>
          <w:rFonts w:hint="eastAsia" w:ascii="宋体" w:hAnsi="宋体" w:cs="宋体"/>
          <w:color w:val="auto"/>
          <w:sz w:val="24"/>
          <w:highlight w:val="none"/>
          <w:u w:val="single"/>
        </w:rPr>
        <w:t>技术指标高优先</w:t>
      </w:r>
      <w:r>
        <w:rPr>
          <w:rFonts w:hint="eastAsia" w:hAnsi="宋体"/>
          <w:color w:val="auto"/>
          <w:sz w:val="24"/>
          <w:highlight w:val="none"/>
        </w:rPr>
        <w:t>顺序排列）并推荐3</w:t>
      </w:r>
      <w:r>
        <w:rPr>
          <w:rFonts w:hint="eastAsia" w:hAnsi="宋体"/>
          <w:bCs/>
          <w:color w:val="auto"/>
          <w:sz w:val="24"/>
          <w:highlight w:val="none"/>
        </w:rPr>
        <w:t>名以上（</w:t>
      </w:r>
      <w:r>
        <w:rPr>
          <w:rFonts w:hint="eastAsia" w:asciiTheme="minorEastAsia" w:hAnsiTheme="minorEastAsia" w:eastAsiaTheme="minorEastAsia"/>
          <w:color w:val="auto"/>
          <w:kern w:val="0"/>
          <w:sz w:val="24"/>
          <w:highlight w:val="none"/>
        </w:rPr>
        <w:t>含3名，政府购买服务项目可以2家</w:t>
      </w:r>
      <w:r>
        <w:rPr>
          <w:rFonts w:hint="eastAsia" w:hAnsi="宋体"/>
          <w:bCs/>
          <w:color w:val="auto"/>
          <w:sz w:val="24"/>
          <w:highlight w:val="none"/>
        </w:rPr>
        <w:t>）成交候选供应商。招标采购单位应当确定</w:t>
      </w:r>
      <w:r>
        <w:rPr>
          <w:rFonts w:hint="eastAsia" w:hAnsi="宋体"/>
          <w:bCs/>
          <w:color w:val="auto"/>
          <w:sz w:val="24"/>
          <w:highlight w:val="none"/>
          <w:lang w:eastAsia="zh-CN"/>
        </w:rPr>
        <w:t>评审</w:t>
      </w:r>
      <w:r>
        <w:rPr>
          <w:rFonts w:hint="eastAsia" w:hAnsi="宋体"/>
          <w:bCs/>
          <w:color w:val="auto"/>
          <w:sz w:val="24"/>
          <w:highlight w:val="none"/>
        </w:rPr>
        <w:t>小组推荐排名第一的成交候选人为成交人。第一的成交候选人在中国政府采购网处于被暂停参加政府采购活动期间的，或排名第一的成交候选人</w:t>
      </w:r>
      <w:r>
        <w:rPr>
          <w:rFonts w:hint="eastAsia" w:hAnsi="宋体"/>
          <w:bCs/>
          <w:color w:val="auto"/>
          <w:sz w:val="24"/>
        </w:rPr>
        <w:t>放弃成交、因不可抗力提出不能履行合同的，招标采购单位可以确定排定第二的成交候选人为成交人。排名第二的成交候选人因前款规定的同样原因不能签订合同的，招标采购单位可以确定排名第三的成交候选人为成交人。采购单位也可以重新采购。</w:t>
      </w:r>
    </w:p>
    <w:p w14:paraId="63FF030F">
      <w:pPr>
        <w:pStyle w:val="29"/>
        <w:keepNext w:val="0"/>
        <w:keepLines w:val="0"/>
        <w:pageBreakBefore w:val="0"/>
        <w:widowControl w:val="0"/>
        <w:kinsoku/>
        <w:wordWrap/>
        <w:overflowPunct/>
        <w:topLinePunct w:val="0"/>
        <w:autoSpaceDE/>
        <w:autoSpaceDN/>
        <w:bidi w:val="0"/>
        <w:adjustRightInd/>
        <w:snapToGrid w:val="0"/>
        <w:spacing w:before="120" w:after="120"/>
        <w:jc w:val="center"/>
        <w:textAlignment w:val="baseline"/>
        <w:outlineLvl w:val="9"/>
        <w:rPr>
          <w:rFonts w:hint="eastAsia" w:hAnsi="宋体"/>
          <w:b/>
          <w:color w:val="0000FF"/>
          <w:sz w:val="44"/>
          <w:szCs w:val="44"/>
        </w:rPr>
        <w:sectPr>
          <w:footerReference r:id="rId8" w:type="first"/>
          <w:headerReference r:id="rId6" w:type="default"/>
          <w:footerReference r:id="rId7" w:type="default"/>
          <w:pgSz w:w="11906" w:h="16838"/>
          <w:pgMar w:top="1440" w:right="1230" w:bottom="1440" w:left="1440" w:header="851" w:footer="992" w:gutter="0"/>
          <w:cols w:space="720" w:num="1"/>
          <w:titlePg/>
          <w:docGrid w:type="lines" w:linePitch="312" w:charSpace="0"/>
        </w:sectPr>
      </w:pPr>
    </w:p>
    <w:p w14:paraId="28FB8892">
      <w:pPr>
        <w:rPr>
          <w:rFonts w:hint="eastAsia"/>
          <w:lang w:eastAsia="zh-CN"/>
        </w:rPr>
      </w:pPr>
    </w:p>
    <w:p w14:paraId="050A4516">
      <w:pPr>
        <w:spacing w:line="63" w:lineRule="exact"/>
        <w:rPr>
          <w:color w:val="auto"/>
          <w:highlight w:val="none"/>
        </w:rPr>
      </w:pPr>
    </w:p>
    <w:p w14:paraId="16ED5193">
      <w:pPr>
        <w:pStyle w:val="21"/>
        <w:spacing w:line="230" w:lineRule="exact"/>
        <w:rPr>
          <w:color w:val="auto"/>
          <w:sz w:val="20"/>
          <w:highlight w:val="none"/>
        </w:rPr>
      </w:pPr>
    </w:p>
    <w:p w14:paraId="592D630F">
      <w:pPr>
        <w:pStyle w:val="3"/>
        <w:spacing w:before="0" w:after="0" w:line="240" w:lineRule="auto"/>
        <w:jc w:val="center"/>
        <w:rPr>
          <w:rFonts w:ascii="宋体" w:hAnsi="宋体" w:eastAsia="宋体" w:cs="宋体"/>
          <w:color w:val="auto"/>
          <w:szCs w:val="21"/>
          <w:highlight w:val="none"/>
        </w:rPr>
      </w:pPr>
      <w:r>
        <w:rPr>
          <w:rFonts w:hint="eastAsia" w:ascii="宋体" w:hAnsi="宋体" w:eastAsia="宋体"/>
          <w:color w:val="auto"/>
          <w:sz w:val="44"/>
          <w:szCs w:val="44"/>
          <w:highlight w:val="none"/>
        </w:rPr>
        <w:t>第五章  合同主要条款格式</w:t>
      </w:r>
      <w:bookmarkEnd w:id="83"/>
    </w:p>
    <w:p w14:paraId="4ED279CA">
      <w:pPr>
        <w:snapToGrid w:val="0"/>
        <w:spacing w:line="360" w:lineRule="exact"/>
        <w:ind w:right="480"/>
        <w:jc w:val="center"/>
        <w:rPr>
          <w:rFonts w:ascii="宋体" w:hAnsi="宋体"/>
          <w:bCs/>
          <w:color w:val="auto"/>
          <w:sz w:val="24"/>
          <w:highlight w:val="none"/>
        </w:rPr>
      </w:pPr>
      <w:r>
        <w:rPr>
          <w:rFonts w:hint="eastAsia" w:ascii="宋体" w:hAnsi="宋体"/>
          <w:b/>
          <w:color w:val="auto"/>
          <w:kern w:val="0"/>
          <w:sz w:val="30"/>
          <w:szCs w:val="30"/>
          <w:highlight w:val="none"/>
        </w:rPr>
        <w:t>（仅供参考，具体以实际签订内容为准，但不得偏离实质性内容）</w:t>
      </w:r>
    </w:p>
    <w:p w14:paraId="5A69F2EC">
      <w:pPr>
        <w:snapToGrid w:val="0"/>
        <w:spacing w:line="360" w:lineRule="exact"/>
        <w:ind w:right="480" w:firstLine="6840" w:firstLineChars="2850"/>
        <w:rPr>
          <w:rFonts w:ascii="宋体" w:hAnsi="宋体"/>
          <w:bCs/>
          <w:color w:val="auto"/>
          <w:sz w:val="24"/>
          <w:highlight w:val="none"/>
        </w:rPr>
      </w:pPr>
    </w:p>
    <w:bookmarkEnd w:id="0"/>
    <w:bookmarkEnd w:id="1"/>
    <w:p w14:paraId="596CD7D9">
      <w:pPr>
        <w:spacing w:line="360" w:lineRule="auto"/>
        <w:jc w:val="center"/>
        <w:rPr>
          <w:rFonts w:ascii="宋体" w:hAnsi="宋体" w:cs="宋体"/>
          <w:b/>
          <w:bCs/>
          <w:color w:val="auto"/>
          <w:sz w:val="30"/>
          <w:szCs w:val="30"/>
          <w:highlight w:val="none"/>
        </w:rPr>
      </w:pPr>
      <w:bookmarkStart w:id="88" w:name="_Toc535851645"/>
      <w:r>
        <w:rPr>
          <w:rFonts w:hint="eastAsia" w:ascii="宋体" w:hAnsi="宋体" w:cs="宋体"/>
          <w:b/>
          <w:color w:val="auto"/>
          <w:sz w:val="30"/>
          <w:szCs w:val="30"/>
          <w:highlight w:val="none"/>
        </w:rPr>
        <w:t>政府采购合同书（仅供参考）</w:t>
      </w:r>
    </w:p>
    <w:p w14:paraId="68A4CC44">
      <w:pPr>
        <w:snapToGrid w:val="0"/>
        <w:spacing w:line="460" w:lineRule="exact"/>
        <w:ind w:right="480" w:firstLine="5250" w:firstLineChars="2500"/>
        <w:rPr>
          <w:rFonts w:hint="eastAsia" w:ascii="宋体" w:hAnsi="宋体"/>
          <w:bCs/>
          <w:szCs w:val="21"/>
          <w:highlight w:val="none"/>
          <w:u w:val="single"/>
        </w:rPr>
      </w:pPr>
      <w:r>
        <w:rPr>
          <w:rFonts w:hint="eastAsia" w:ascii="宋体" w:hAnsi="宋体"/>
          <w:bCs/>
          <w:szCs w:val="21"/>
          <w:highlight w:val="none"/>
        </w:rPr>
        <w:t>合同编号：</w:t>
      </w:r>
    </w:p>
    <w:p w14:paraId="463691BC">
      <w:pPr>
        <w:snapToGrid w:val="0"/>
        <w:spacing w:line="460" w:lineRule="exact"/>
        <w:rPr>
          <w:rFonts w:hint="eastAsia" w:ascii="宋体" w:hAnsi="宋体"/>
          <w:szCs w:val="21"/>
          <w:highlight w:val="none"/>
          <w:u w:val="single"/>
        </w:rPr>
      </w:pPr>
      <w:r>
        <w:rPr>
          <w:rFonts w:hint="eastAsia" w:ascii="宋体" w:hAnsi="宋体"/>
          <w:szCs w:val="21"/>
          <w:highlight w:val="none"/>
        </w:rPr>
        <w:t>采购单位（甲方）</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pacing w:val="-20"/>
          <w:szCs w:val="21"/>
          <w:highlight w:val="none"/>
        </w:rPr>
        <w:t>采 购 计 划 号</w:t>
      </w:r>
      <w:r>
        <w:rPr>
          <w:rFonts w:hint="eastAsia" w:ascii="宋体" w:hAnsi="宋体"/>
          <w:szCs w:val="21"/>
          <w:highlight w:val="none"/>
          <w:u w:val="single"/>
        </w:rPr>
        <w:t xml:space="preserve">                   </w:t>
      </w:r>
    </w:p>
    <w:p w14:paraId="1171556E">
      <w:pPr>
        <w:snapToGrid w:val="0"/>
        <w:spacing w:line="460" w:lineRule="exact"/>
        <w:rPr>
          <w:rFonts w:hint="eastAsia" w:ascii="宋体" w:hAnsi="宋体"/>
          <w:szCs w:val="21"/>
          <w:highlight w:val="none"/>
          <w:u w:val="single"/>
        </w:rPr>
      </w:pPr>
      <w:r>
        <w:rPr>
          <w:rFonts w:hint="eastAsia" w:ascii="宋体" w:hAnsi="宋体"/>
          <w:szCs w:val="21"/>
          <w:highlight w:val="none"/>
        </w:rPr>
        <w:t>供 应 商（乙方）</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项目名称和编号</w:t>
      </w:r>
      <w:r>
        <w:rPr>
          <w:rFonts w:hint="eastAsia" w:ascii="宋体" w:hAnsi="宋体"/>
          <w:szCs w:val="21"/>
          <w:highlight w:val="none"/>
          <w:u w:val="single"/>
        </w:rPr>
        <w:t xml:space="preserve">                </w:t>
      </w:r>
    </w:p>
    <w:p w14:paraId="3FFD10C0">
      <w:pPr>
        <w:snapToGrid w:val="0"/>
        <w:spacing w:line="460" w:lineRule="exact"/>
        <w:rPr>
          <w:rFonts w:hint="eastAsia" w:ascii="宋体" w:hAnsi="宋体"/>
          <w:szCs w:val="21"/>
          <w:highlight w:val="none"/>
          <w:u w:val="single"/>
        </w:rPr>
      </w:pPr>
      <w:r>
        <w:rPr>
          <w:rFonts w:hint="eastAsia" w:ascii="宋体" w:hAnsi="宋体"/>
          <w:szCs w:val="21"/>
          <w:highlight w:val="none"/>
        </w:rPr>
        <w:t xml:space="preserve">签  订  地  点  </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签 订 时 间</w:t>
      </w:r>
      <w:r>
        <w:rPr>
          <w:rFonts w:hint="eastAsia" w:ascii="宋体" w:hAnsi="宋体"/>
          <w:szCs w:val="21"/>
          <w:highlight w:val="none"/>
          <w:u w:val="single"/>
        </w:rPr>
        <w:t xml:space="preserve">                   </w:t>
      </w:r>
    </w:p>
    <w:p w14:paraId="7A9D5C51">
      <w:pPr>
        <w:snapToGrid w:val="0"/>
        <w:spacing w:line="460" w:lineRule="exact"/>
        <w:ind w:firstLine="420" w:firstLineChars="200"/>
        <w:rPr>
          <w:rFonts w:hint="eastAsia" w:ascii="宋体" w:hAnsi="宋体"/>
          <w:szCs w:val="21"/>
          <w:highlight w:val="none"/>
        </w:rPr>
      </w:pPr>
    </w:p>
    <w:p w14:paraId="249AEAFD">
      <w:pPr>
        <w:pStyle w:val="29"/>
        <w:tabs>
          <w:tab w:val="left" w:pos="5760"/>
        </w:tabs>
        <w:snapToGrid/>
        <w:spacing w:before="0" w:beforeAutospacing="0" w:after="0" w:afterAutospacing="0" w:line="360" w:lineRule="auto"/>
        <w:ind w:firstLine="420"/>
        <w:jc w:val="both"/>
        <w:textAlignment w:val="baseline"/>
        <w:rPr>
          <w:rFonts w:ascii="宋体" w:hAnsi="宋体" w:eastAsia="宋体" w:cs="宋体"/>
          <w:b w:val="0"/>
          <w:i w:val="0"/>
          <w:caps w:val="0"/>
          <w:color w:val="auto"/>
          <w:spacing w:val="0"/>
          <w:w w:val="100"/>
          <w:kern w:val="2"/>
          <w:sz w:val="24"/>
          <w:szCs w:val="32"/>
          <w:highlight w:val="none"/>
        </w:rPr>
      </w:pPr>
      <w:r>
        <w:rPr>
          <w:rFonts w:hint="eastAsia" w:ascii="宋体" w:hAnsi="宋体" w:eastAsia="宋体" w:cs="宋体"/>
          <w:b w:val="0"/>
          <w:i w:val="0"/>
          <w:caps w:val="0"/>
          <w:color w:val="auto"/>
          <w:spacing w:val="0"/>
          <w:w w:val="100"/>
          <w:kern w:val="2"/>
          <w:sz w:val="24"/>
          <w:szCs w:val="32"/>
          <w:highlight w:val="none"/>
        </w:rPr>
        <w:t>根据《中华人民共和国政府采购法》、《中华人民共和国</w:t>
      </w:r>
      <w:r>
        <w:rPr>
          <w:rFonts w:hint="eastAsia" w:hAnsi="宋体" w:cs="宋体"/>
          <w:b w:val="0"/>
          <w:i w:val="0"/>
          <w:caps w:val="0"/>
          <w:color w:val="auto"/>
          <w:spacing w:val="0"/>
          <w:w w:val="100"/>
          <w:kern w:val="2"/>
          <w:sz w:val="24"/>
          <w:szCs w:val="32"/>
          <w:highlight w:val="none"/>
          <w:lang w:val="en-US" w:eastAsia="zh-CN"/>
        </w:rPr>
        <w:t>民法典</w:t>
      </w:r>
      <w:r>
        <w:rPr>
          <w:rFonts w:hint="eastAsia" w:ascii="宋体" w:hAnsi="宋体" w:eastAsia="宋体" w:cs="宋体"/>
          <w:b w:val="0"/>
          <w:i w:val="0"/>
          <w:caps w:val="0"/>
          <w:color w:val="auto"/>
          <w:spacing w:val="0"/>
          <w:w w:val="100"/>
          <w:kern w:val="2"/>
          <w:sz w:val="24"/>
          <w:szCs w:val="32"/>
          <w:highlight w:val="none"/>
        </w:rPr>
        <w:t>》等法律及相关法规规定，按照</w:t>
      </w:r>
      <w:r>
        <w:rPr>
          <w:rFonts w:hint="eastAsia" w:hAnsi="宋体" w:eastAsia="宋体" w:cs="宋体"/>
          <w:b w:val="0"/>
          <w:i w:val="0"/>
          <w:caps w:val="0"/>
          <w:color w:val="auto"/>
          <w:spacing w:val="0"/>
          <w:w w:val="100"/>
          <w:kern w:val="2"/>
          <w:sz w:val="24"/>
          <w:szCs w:val="32"/>
          <w:highlight w:val="none"/>
          <w:lang w:val="en-US" w:eastAsia="zh-CN"/>
        </w:rPr>
        <w:t>公开招标</w:t>
      </w:r>
      <w:r>
        <w:rPr>
          <w:rFonts w:hint="eastAsia" w:hAnsi="宋体" w:eastAsia="宋体" w:cs="宋体"/>
          <w:b w:val="0"/>
          <w:i w:val="0"/>
          <w:caps w:val="0"/>
          <w:color w:val="auto"/>
          <w:spacing w:val="0"/>
          <w:w w:val="100"/>
          <w:kern w:val="2"/>
          <w:sz w:val="24"/>
          <w:szCs w:val="32"/>
          <w:highlight w:val="none"/>
          <w:lang w:eastAsia="zh-CN"/>
        </w:rPr>
        <w:t>文件</w:t>
      </w:r>
      <w:r>
        <w:rPr>
          <w:rFonts w:hint="eastAsia" w:ascii="宋体" w:hAnsi="宋体" w:eastAsia="宋体" w:cs="宋体"/>
          <w:b w:val="0"/>
          <w:i w:val="0"/>
          <w:caps w:val="0"/>
          <w:color w:val="auto"/>
          <w:spacing w:val="0"/>
          <w:w w:val="100"/>
          <w:kern w:val="2"/>
          <w:sz w:val="24"/>
          <w:szCs w:val="32"/>
          <w:highlight w:val="none"/>
        </w:rPr>
        <w:t>的规定条款和中标供应商承诺，甲乙双方签订本合同。</w:t>
      </w:r>
    </w:p>
    <w:p w14:paraId="37736ED1">
      <w:pPr>
        <w:shd w:val="clear" w:color="auto" w:fill="FFFFFF"/>
        <w:snapToGrid w:val="0"/>
        <w:spacing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第一条　合同标的</w:t>
      </w:r>
    </w:p>
    <w:tbl>
      <w:tblPr>
        <w:tblStyle w:val="5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3486"/>
        <w:gridCol w:w="790"/>
        <w:gridCol w:w="733"/>
        <w:gridCol w:w="1199"/>
        <w:gridCol w:w="1199"/>
      </w:tblGrid>
      <w:tr w14:paraId="5409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noWrap w:val="0"/>
            <w:vAlign w:val="center"/>
          </w:tcPr>
          <w:p w14:paraId="06E66D10">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304" w:type="dxa"/>
            <w:noWrap w:val="0"/>
            <w:vAlign w:val="center"/>
          </w:tcPr>
          <w:p w14:paraId="5C69126B">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3486" w:type="dxa"/>
            <w:noWrap w:val="0"/>
            <w:vAlign w:val="center"/>
          </w:tcPr>
          <w:p w14:paraId="6AD69A02">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服务内容</w:t>
            </w:r>
          </w:p>
        </w:tc>
        <w:tc>
          <w:tcPr>
            <w:tcW w:w="790" w:type="dxa"/>
            <w:noWrap w:val="0"/>
            <w:vAlign w:val="center"/>
          </w:tcPr>
          <w:p w14:paraId="55C4FD32">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733" w:type="dxa"/>
            <w:noWrap w:val="0"/>
            <w:vAlign w:val="center"/>
          </w:tcPr>
          <w:p w14:paraId="1715B451">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199" w:type="dxa"/>
            <w:noWrap w:val="0"/>
            <w:vAlign w:val="center"/>
          </w:tcPr>
          <w:p w14:paraId="0B78F99F">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w:t>
            </w:r>
          </w:p>
          <w:p w14:paraId="5CD57975">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（元）</w:t>
            </w:r>
          </w:p>
        </w:tc>
        <w:tc>
          <w:tcPr>
            <w:tcW w:w="1199" w:type="dxa"/>
            <w:noWrap w:val="0"/>
            <w:vAlign w:val="center"/>
          </w:tcPr>
          <w:p w14:paraId="4295B7EE">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w:t>
            </w:r>
          </w:p>
          <w:p w14:paraId="60295F88">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（元）</w:t>
            </w:r>
          </w:p>
        </w:tc>
      </w:tr>
      <w:tr w14:paraId="4123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96" w:type="dxa"/>
            <w:noWrap w:val="0"/>
            <w:vAlign w:val="center"/>
          </w:tcPr>
          <w:p w14:paraId="2598F934">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304" w:type="dxa"/>
            <w:noWrap w:val="0"/>
            <w:vAlign w:val="center"/>
          </w:tcPr>
          <w:p w14:paraId="6255863A">
            <w:pPr>
              <w:widowControl/>
              <w:shd w:val="clear" w:color="auto" w:fill="FFFFFF"/>
              <w:jc w:val="center"/>
              <w:rPr>
                <w:rFonts w:hint="eastAsia" w:ascii="宋体" w:hAnsi="宋体" w:eastAsia="宋体" w:cs="宋体"/>
                <w:color w:val="000000"/>
                <w:kern w:val="0"/>
                <w:sz w:val="24"/>
                <w:szCs w:val="24"/>
                <w:highlight w:val="none"/>
              </w:rPr>
            </w:pPr>
          </w:p>
        </w:tc>
        <w:tc>
          <w:tcPr>
            <w:tcW w:w="3486" w:type="dxa"/>
            <w:noWrap w:val="0"/>
            <w:vAlign w:val="center"/>
          </w:tcPr>
          <w:p w14:paraId="28E467BE">
            <w:pPr>
              <w:pStyle w:val="29"/>
              <w:shd w:val="clear" w:color="auto" w:fill="FFFFFF"/>
              <w:spacing w:line="420" w:lineRule="exact"/>
              <w:ind w:firstLine="235" w:firstLineChars="98"/>
              <w:rPr>
                <w:rFonts w:hint="eastAsia" w:ascii="宋体" w:hAnsi="宋体" w:eastAsia="宋体" w:cs="宋体"/>
                <w:color w:val="000000"/>
                <w:sz w:val="24"/>
                <w:szCs w:val="24"/>
                <w:highlight w:val="none"/>
              </w:rPr>
            </w:pPr>
          </w:p>
        </w:tc>
        <w:tc>
          <w:tcPr>
            <w:tcW w:w="790" w:type="dxa"/>
            <w:noWrap w:val="0"/>
            <w:vAlign w:val="center"/>
          </w:tcPr>
          <w:p w14:paraId="4210ADB9">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733" w:type="dxa"/>
            <w:noWrap w:val="0"/>
            <w:vAlign w:val="center"/>
          </w:tcPr>
          <w:p w14:paraId="76A6F87D">
            <w:pPr>
              <w:shd w:val="clear" w:color="auto" w:fill="FFFFFF"/>
              <w:snapToGrid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w:t>
            </w:r>
          </w:p>
        </w:tc>
        <w:tc>
          <w:tcPr>
            <w:tcW w:w="1199" w:type="dxa"/>
            <w:noWrap w:val="0"/>
            <w:vAlign w:val="center"/>
          </w:tcPr>
          <w:p w14:paraId="692F1381">
            <w:pPr>
              <w:shd w:val="clear" w:color="auto" w:fill="FFFFFF"/>
              <w:snapToGrid w:val="0"/>
              <w:spacing w:line="400" w:lineRule="exact"/>
              <w:jc w:val="center"/>
              <w:rPr>
                <w:rFonts w:hint="eastAsia" w:ascii="宋体" w:hAnsi="宋体" w:eastAsia="宋体" w:cs="宋体"/>
                <w:color w:val="000000"/>
                <w:sz w:val="24"/>
                <w:szCs w:val="24"/>
                <w:highlight w:val="none"/>
              </w:rPr>
            </w:pPr>
          </w:p>
        </w:tc>
        <w:tc>
          <w:tcPr>
            <w:tcW w:w="1199" w:type="dxa"/>
            <w:noWrap w:val="0"/>
            <w:vAlign w:val="center"/>
          </w:tcPr>
          <w:p w14:paraId="55E058DC">
            <w:pPr>
              <w:shd w:val="clear" w:color="auto" w:fill="FFFFFF"/>
              <w:snapToGrid w:val="0"/>
              <w:spacing w:line="400" w:lineRule="exact"/>
              <w:jc w:val="center"/>
              <w:rPr>
                <w:rFonts w:hint="eastAsia" w:ascii="宋体" w:hAnsi="宋体" w:eastAsia="宋体" w:cs="宋体"/>
                <w:color w:val="000000"/>
                <w:sz w:val="24"/>
                <w:szCs w:val="24"/>
                <w:highlight w:val="none"/>
              </w:rPr>
            </w:pPr>
          </w:p>
        </w:tc>
      </w:tr>
      <w:tr w14:paraId="5EF3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07" w:type="dxa"/>
            <w:gridSpan w:val="7"/>
            <w:noWrap w:val="0"/>
            <w:vAlign w:val="center"/>
          </w:tcPr>
          <w:p w14:paraId="739BC667">
            <w:pPr>
              <w:shd w:val="clear" w:color="auto" w:fill="FFFFFF"/>
              <w:snapToGrid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人民币合计金额（大写）</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（小写）</w:t>
            </w:r>
          </w:p>
        </w:tc>
      </w:tr>
      <w:tr w14:paraId="731D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07" w:type="dxa"/>
            <w:gridSpan w:val="7"/>
            <w:noWrap w:val="0"/>
            <w:vAlign w:val="center"/>
          </w:tcPr>
          <w:p w14:paraId="4DAE6936">
            <w:pPr>
              <w:shd w:val="clear" w:color="auto" w:fill="FFFFFF"/>
              <w:snapToGrid w:val="0"/>
              <w:spacing w:line="400" w:lineRule="exact"/>
              <w:rPr>
                <w:rFonts w:hint="eastAsia" w:ascii="宋体" w:hAnsi="宋体" w:eastAsia="宋体" w:cs="宋体"/>
                <w:color w:val="000000"/>
                <w:sz w:val="24"/>
                <w:szCs w:val="24"/>
                <w:highlight w:val="none"/>
              </w:rPr>
            </w:pPr>
            <w:r>
              <w:rPr>
                <w:rFonts w:hint="eastAsia" w:ascii="宋体" w:hAnsi="宋体" w:cs="宋体"/>
                <w:bCs/>
                <w:color w:val="000000"/>
                <w:kern w:val="0"/>
                <w:sz w:val="24"/>
                <w:szCs w:val="24"/>
                <w:highlight w:val="none"/>
                <w:lang w:val="en-US" w:eastAsia="zh-CN"/>
              </w:rPr>
              <w:t>服务期限</w:t>
            </w:r>
            <w:r>
              <w:rPr>
                <w:rFonts w:hint="eastAsia" w:ascii="宋体" w:hAnsi="宋体" w:eastAsia="宋体" w:cs="宋体"/>
                <w:bCs/>
                <w:color w:val="000000"/>
                <w:kern w:val="0"/>
                <w:sz w:val="24"/>
                <w:szCs w:val="24"/>
                <w:highlight w:val="none"/>
              </w:rPr>
              <w:t>：</w:t>
            </w:r>
          </w:p>
        </w:tc>
      </w:tr>
    </w:tbl>
    <w:p w14:paraId="1DEBA955">
      <w:pPr>
        <w:shd w:val="clear" w:color="auto" w:fill="FFFFFF"/>
        <w:snapToGrid w:val="0"/>
        <w:spacing w:line="400" w:lineRule="exact"/>
        <w:ind w:right="420" w:firstLine="480" w:firstLineChars="200"/>
        <w:rPr>
          <w:rFonts w:hint="eastAsia" w:ascii="宋体" w:hAnsi="宋体" w:eastAsia="宋体" w:cs="宋体"/>
          <w:b w:val="0"/>
          <w:i w:val="0"/>
          <w:caps w:val="0"/>
          <w:color w:val="auto"/>
          <w:spacing w:val="0"/>
          <w:w w:val="100"/>
          <w:kern w:val="2"/>
          <w:sz w:val="24"/>
          <w:szCs w:val="24"/>
          <w:highlight w:val="none"/>
        </w:rPr>
      </w:pPr>
      <w:r>
        <w:rPr>
          <w:rFonts w:hint="eastAsia" w:ascii="宋体" w:hAnsi="宋体" w:eastAsia="宋体" w:cs="宋体"/>
          <w:color w:val="000000"/>
          <w:sz w:val="24"/>
          <w:szCs w:val="24"/>
          <w:highlight w:val="none"/>
        </w:rPr>
        <w:t>合同合计金额包括但不限于满足全部采购需求所应提供的服务的价格；包括履行服务的费用、人工费、培训费、运输费（如有）、履约验收、保险、税费及其他一切费用等所有费用。</w:t>
      </w:r>
      <w:r>
        <w:rPr>
          <w:rFonts w:hint="eastAsia" w:ascii="宋体" w:hAnsi="宋体" w:eastAsia="宋体" w:cs="宋体"/>
          <w:b w:val="0"/>
          <w:i w:val="0"/>
          <w:caps w:val="0"/>
          <w:color w:val="auto"/>
          <w:spacing w:val="0"/>
          <w:w w:val="100"/>
          <w:kern w:val="2"/>
          <w:sz w:val="24"/>
          <w:szCs w:val="24"/>
          <w:highlight w:val="none"/>
          <w:lang w:val="en-US" w:eastAsia="zh-CN"/>
        </w:rPr>
        <w:t xml:space="preserve"> </w:t>
      </w:r>
    </w:p>
    <w:p w14:paraId="25F2C96F">
      <w:pPr>
        <w:pStyle w:val="29"/>
        <w:tabs>
          <w:tab w:val="left" w:pos="5760"/>
        </w:tabs>
        <w:snapToGrid/>
        <w:spacing w:before="0" w:beforeAutospacing="0" w:after="0" w:afterAutospacing="0" w:line="360" w:lineRule="auto"/>
        <w:ind w:firstLine="482" w:firstLineChars="200"/>
        <w:jc w:val="both"/>
        <w:textAlignment w:val="baseline"/>
        <w:rPr>
          <w:rFonts w:hint="default" w:ascii="宋体" w:hAnsi="宋体" w:eastAsia="宋体" w:cs="宋体"/>
          <w:b/>
          <w:bCs/>
          <w:i w:val="0"/>
          <w:caps w:val="0"/>
          <w:color w:val="auto"/>
          <w:spacing w:val="0"/>
          <w:w w:val="100"/>
          <w:kern w:val="2"/>
          <w:sz w:val="24"/>
          <w:szCs w:val="32"/>
          <w:highlight w:val="none"/>
          <w:lang w:val="en-US" w:eastAsia="zh-CN"/>
        </w:rPr>
      </w:pPr>
      <w:r>
        <w:rPr>
          <w:rFonts w:hint="eastAsia" w:hAnsi="宋体" w:cs="宋体"/>
          <w:b/>
          <w:bCs/>
          <w:i w:val="0"/>
          <w:caps w:val="0"/>
          <w:color w:val="auto"/>
          <w:spacing w:val="0"/>
          <w:w w:val="100"/>
          <w:kern w:val="2"/>
          <w:sz w:val="24"/>
          <w:szCs w:val="32"/>
          <w:highlight w:val="none"/>
          <w:lang w:val="en-US" w:eastAsia="zh-CN"/>
        </w:rPr>
        <w:t>第二条  质量保证</w:t>
      </w:r>
    </w:p>
    <w:p w14:paraId="16B9A53A">
      <w:pPr>
        <w:shd w:val="clear" w:color="auto" w:fill="FFFFFF"/>
        <w:snapToGrid w:val="0"/>
        <w:spacing w:line="400" w:lineRule="exact"/>
        <w:ind w:right="42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乙方所提供的</w:t>
      </w:r>
      <w:r>
        <w:rPr>
          <w:rFonts w:hint="eastAsia" w:ascii="宋体" w:hAnsi="宋体" w:eastAsia="宋体" w:cs="宋体"/>
          <w:color w:val="000000"/>
          <w:sz w:val="24"/>
          <w:szCs w:val="24"/>
          <w:highlight w:val="none"/>
          <w:lang w:eastAsia="zh-CN"/>
        </w:rPr>
        <w:t>服务</w:t>
      </w:r>
      <w:r>
        <w:rPr>
          <w:rFonts w:hint="eastAsia" w:ascii="宋体" w:hAnsi="宋体" w:eastAsia="宋体" w:cs="宋体"/>
          <w:color w:val="000000"/>
          <w:sz w:val="24"/>
          <w:szCs w:val="24"/>
          <w:highlight w:val="none"/>
        </w:rPr>
        <w:t>质量必须与响应文件和承诺相一致。</w:t>
      </w:r>
    </w:p>
    <w:p w14:paraId="5AD8FDF8">
      <w:pPr>
        <w:snapToGrid w:val="0"/>
        <w:spacing w:line="400" w:lineRule="exact"/>
        <w:ind w:firstLine="482" w:firstLineChars="200"/>
        <w:rPr>
          <w:rStyle w:val="205"/>
          <w:rFonts w:ascii="宋体" w:hAnsi="宋体"/>
          <w:sz w:val="24"/>
          <w:szCs w:val="24"/>
          <w:highlight w:val="none"/>
        </w:rPr>
      </w:pPr>
      <w:r>
        <w:rPr>
          <w:rStyle w:val="205"/>
          <w:rFonts w:ascii="宋体" w:hAnsi="宋体"/>
          <w:b/>
          <w:sz w:val="24"/>
          <w:szCs w:val="24"/>
          <w:highlight w:val="none"/>
        </w:rPr>
        <w:t>第三条　权</w:t>
      </w:r>
      <w:r>
        <w:rPr>
          <w:rStyle w:val="205"/>
          <w:rFonts w:hint="eastAsia" w:ascii="宋体" w:hAnsi="宋体"/>
          <w:b/>
          <w:sz w:val="24"/>
          <w:szCs w:val="24"/>
          <w:highlight w:val="none"/>
          <w:lang w:val="en-US" w:eastAsia="zh-CN"/>
        </w:rPr>
        <w:t>利</w:t>
      </w:r>
      <w:r>
        <w:rPr>
          <w:rStyle w:val="205"/>
          <w:rFonts w:ascii="宋体" w:hAnsi="宋体"/>
          <w:b/>
          <w:sz w:val="24"/>
          <w:szCs w:val="24"/>
          <w:highlight w:val="none"/>
        </w:rPr>
        <w:t>保证</w:t>
      </w:r>
    </w:p>
    <w:p w14:paraId="21BE5D0C">
      <w:pPr>
        <w:shd w:val="clear" w:color="auto" w:fill="FFFFFF"/>
        <w:snapToGrid w:val="0"/>
        <w:spacing w:line="400" w:lineRule="exact"/>
        <w:ind w:right="420"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甲方根据工作需要，可为乙方开展服务提供相关资料。</w:t>
      </w:r>
    </w:p>
    <w:p w14:paraId="4153EB9C">
      <w:pPr>
        <w:shd w:val="clear" w:color="auto" w:fill="FFFFFF"/>
        <w:snapToGrid w:val="0"/>
        <w:spacing w:line="400" w:lineRule="exact"/>
        <w:ind w:right="420"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乙方应按规定时间提交服务成果。</w:t>
      </w:r>
    </w:p>
    <w:p w14:paraId="5C19370A">
      <w:pPr>
        <w:shd w:val="clear" w:color="auto" w:fill="FFFFFF"/>
        <w:snapToGrid w:val="0"/>
        <w:spacing w:line="400" w:lineRule="exact"/>
        <w:ind w:right="420"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在服务期间，乙方不得以甲方名义发生各种谋取不正当利益的违法、违纪行为。</w:t>
      </w:r>
    </w:p>
    <w:p w14:paraId="4A4D3E1E">
      <w:pPr>
        <w:shd w:val="clear" w:color="auto" w:fill="FFFFFF"/>
        <w:snapToGrid w:val="0"/>
        <w:spacing w:line="400" w:lineRule="exact"/>
        <w:ind w:right="420"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乙方应保证所提供的服务成果不会侵犯任何第三方的专利权、著作权或其他权利。</w:t>
      </w:r>
    </w:p>
    <w:p w14:paraId="30AA5E23">
      <w:pPr>
        <w:shd w:val="clear" w:color="auto" w:fill="FFFFFF"/>
        <w:snapToGrid w:val="0"/>
        <w:spacing w:line="400" w:lineRule="exact"/>
        <w:ind w:right="420"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乙方应按响应文件规定的时间向甲方提供服务成果的有关资料。</w:t>
      </w:r>
    </w:p>
    <w:p w14:paraId="05337B5F">
      <w:pPr>
        <w:shd w:val="clear" w:color="auto" w:fill="FFFFFF"/>
        <w:snapToGrid w:val="0"/>
        <w:spacing w:line="400" w:lineRule="exact"/>
        <w:ind w:right="420"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没有甲方事先书面同意，乙方不得将由甲方提供的有关合同或任何合同条文、计划、资料等提供给与履行本合同无关的任何其他人。即使向履行本合同有关的人员提供，也应注意保密并限于履行合同的必需范围。</w:t>
      </w:r>
    </w:p>
    <w:p w14:paraId="208F24F5">
      <w:pPr>
        <w:snapToGrid w:val="0"/>
        <w:spacing w:line="400" w:lineRule="exact"/>
        <w:ind w:firstLine="482" w:firstLineChars="200"/>
        <w:rPr>
          <w:rStyle w:val="205"/>
          <w:rFonts w:ascii="宋体" w:hAnsi="宋体"/>
          <w:sz w:val="24"/>
          <w:szCs w:val="24"/>
          <w:highlight w:val="none"/>
        </w:rPr>
      </w:pPr>
      <w:r>
        <w:rPr>
          <w:rStyle w:val="205"/>
          <w:rFonts w:ascii="宋体" w:hAnsi="宋体"/>
          <w:b/>
          <w:sz w:val="24"/>
          <w:szCs w:val="24"/>
          <w:highlight w:val="none"/>
        </w:rPr>
        <w:t>第四条　交付和验收</w:t>
      </w:r>
    </w:p>
    <w:p w14:paraId="3C5636A1">
      <w:pPr>
        <w:pStyle w:val="29"/>
        <w:tabs>
          <w:tab w:val="left" w:pos="5760"/>
        </w:tabs>
        <w:snapToGrid/>
        <w:spacing w:before="0" w:beforeAutospacing="0" w:after="0" w:afterAutospacing="0" w:line="360" w:lineRule="auto"/>
        <w:ind w:firstLine="480" w:firstLineChars="200"/>
        <w:jc w:val="both"/>
        <w:textAlignment w:val="baseline"/>
        <w:rPr>
          <w:rFonts w:hint="eastAsia" w:ascii="宋体" w:hAnsi="宋体" w:eastAsia="宋体" w:cs="宋体"/>
          <w:b/>
          <w:bCs/>
          <w:i w:val="0"/>
          <w:caps w:val="0"/>
          <w:color w:val="auto"/>
          <w:spacing w:val="0"/>
          <w:w w:val="100"/>
          <w:kern w:val="2"/>
          <w:sz w:val="24"/>
          <w:szCs w:val="32"/>
          <w:highlight w:val="none"/>
        </w:rPr>
      </w:pPr>
      <w:r>
        <w:rPr>
          <w:rFonts w:hint="eastAsia" w:ascii="宋体" w:hAnsi="宋体" w:eastAsia="宋体" w:cs="宋体"/>
          <w:b w:val="0"/>
          <w:bCs w:val="0"/>
          <w:i w:val="0"/>
          <w:caps w:val="0"/>
          <w:color w:val="auto"/>
          <w:spacing w:val="0"/>
          <w:w w:val="100"/>
          <w:kern w:val="2"/>
          <w:sz w:val="24"/>
          <w:szCs w:val="32"/>
          <w:highlight w:val="none"/>
        </w:rPr>
        <w:t>1、</w:t>
      </w:r>
      <w:r>
        <w:rPr>
          <w:rStyle w:val="205"/>
          <w:rFonts w:ascii="宋体" w:hAnsi="宋体"/>
          <w:b w:val="0"/>
          <w:bCs w:val="0"/>
          <w:sz w:val="24"/>
          <w:szCs w:val="24"/>
          <w:highlight w:val="none"/>
        </w:rPr>
        <w:t>交付时</w:t>
      </w:r>
      <w:r>
        <w:rPr>
          <w:rStyle w:val="205"/>
          <w:rFonts w:ascii="宋体" w:hAnsi="宋体"/>
          <w:sz w:val="24"/>
          <w:szCs w:val="24"/>
          <w:highlight w:val="none"/>
        </w:rPr>
        <w:t>间及地点：</w:t>
      </w:r>
      <w:r>
        <w:rPr>
          <w:rStyle w:val="205"/>
          <w:rFonts w:ascii="宋体" w:hAnsi="宋体"/>
          <w:sz w:val="24"/>
          <w:szCs w:val="24"/>
          <w:highlight w:val="none"/>
          <w:u w:val="single"/>
        </w:rPr>
        <w:t>详见乙方响应</w:t>
      </w:r>
      <w:r>
        <w:rPr>
          <w:rStyle w:val="205"/>
          <w:rFonts w:ascii="宋体" w:hAnsi="宋体"/>
          <w:b w:val="0"/>
          <w:bCs w:val="0"/>
          <w:sz w:val="24"/>
          <w:szCs w:val="24"/>
          <w:highlight w:val="none"/>
          <w:u w:val="single"/>
        </w:rPr>
        <w:t>文件</w:t>
      </w:r>
      <w:r>
        <w:rPr>
          <w:rFonts w:hint="eastAsia" w:ascii="宋体" w:hAnsi="宋体" w:eastAsia="宋体" w:cs="宋体"/>
          <w:b w:val="0"/>
          <w:bCs w:val="0"/>
          <w:i w:val="0"/>
          <w:caps w:val="0"/>
          <w:color w:val="auto"/>
          <w:spacing w:val="0"/>
          <w:w w:val="100"/>
          <w:kern w:val="2"/>
          <w:sz w:val="24"/>
          <w:szCs w:val="32"/>
          <w:highlight w:val="none"/>
        </w:rPr>
        <w:t>。</w:t>
      </w:r>
    </w:p>
    <w:p w14:paraId="4911D61E">
      <w:pPr>
        <w:snapToGrid w:val="0"/>
        <w:spacing w:line="400" w:lineRule="exact"/>
        <w:ind w:firstLine="480" w:firstLineChars="200"/>
        <w:rPr>
          <w:rStyle w:val="205"/>
          <w:rFonts w:hint="eastAsia" w:ascii="宋体" w:hAnsi="宋体" w:eastAsia="宋体" w:cs="Times New Roman"/>
          <w:sz w:val="24"/>
          <w:szCs w:val="24"/>
          <w:highlight w:val="none"/>
          <w:lang w:val="en-US" w:eastAsia="zh-CN"/>
        </w:rPr>
      </w:pPr>
      <w:r>
        <w:rPr>
          <w:rStyle w:val="205"/>
          <w:rFonts w:hint="eastAsia" w:ascii="宋体" w:hAnsi="宋体" w:eastAsia="宋体" w:cs="Times New Roman"/>
          <w:sz w:val="24"/>
          <w:szCs w:val="24"/>
          <w:highlight w:val="none"/>
          <w:lang w:val="en-US" w:eastAsia="zh-CN"/>
        </w:rPr>
        <w:t>2、乙方应按响应文件的承诺向甲方提供相应的服务，并提供所服务内容的相关技术资料。</w:t>
      </w:r>
    </w:p>
    <w:p w14:paraId="4249F557">
      <w:pPr>
        <w:snapToGrid w:val="0"/>
        <w:spacing w:line="400" w:lineRule="exact"/>
        <w:ind w:firstLine="480" w:firstLineChars="200"/>
        <w:rPr>
          <w:rStyle w:val="205"/>
          <w:rFonts w:hint="eastAsia" w:ascii="宋体" w:hAnsi="宋体" w:eastAsia="宋体" w:cs="Times New Roman"/>
          <w:sz w:val="24"/>
          <w:szCs w:val="24"/>
          <w:highlight w:val="none"/>
          <w:lang w:val="en-US" w:eastAsia="zh-CN"/>
        </w:rPr>
      </w:pPr>
      <w:r>
        <w:rPr>
          <w:rStyle w:val="205"/>
          <w:rFonts w:hint="eastAsia" w:ascii="宋体" w:hAnsi="宋体" w:eastAsia="宋体" w:cs="Times New Roman"/>
          <w:sz w:val="24"/>
          <w:szCs w:val="24"/>
          <w:highlight w:val="none"/>
          <w:lang w:val="en-US" w:eastAsia="zh-CN"/>
        </w:rPr>
        <w:t>3、乙方提供不符合响应文件和本合同规定的服务成果，甲方有权拒绝接受。</w:t>
      </w:r>
    </w:p>
    <w:p w14:paraId="1770747B">
      <w:pPr>
        <w:snapToGrid w:val="0"/>
        <w:spacing w:line="400" w:lineRule="exact"/>
        <w:ind w:firstLine="480" w:firstLineChars="200"/>
        <w:rPr>
          <w:rStyle w:val="205"/>
          <w:rFonts w:hint="eastAsia" w:ascii="宋体" w:hAnsi="宋体" w:eastAsia="宋体" w:cs="Times New Roman"/>
          <w:sz w:val="24"/>
          <w:szCs w:val="24"/>
          <w:highlight w:val="none"/>
          <w:lang w:val="en-US" w:eastAsia="zh-CN"/>
        </w:rPr>
      </w:pPr>
      <w:r>
        <w:rPr>
          <w:rStyle w:val="205"/>
          <w:rFonts w:hint="eastAsia" w:ascii="宋体" w:hAnsi="宋体" w:eastAsia="宋体" w:cs="Times New Roman"/>
          <w:sz w:val="24"/>
          <w:szCs w:val="24"/>
          <w:highlight w:val="none"/>
          <w:lang w:val="en-US" w:eastAsia="zh-CN"/>
        </w:rPr>
        <w:t>4、乙方完成服务后应及时书面通知甲方进行验收，甲方应在收到通知后七个工作日内进行验收。验收合格后由甲乙双方签署验收单并加盖</w:t>
      </w:r>
      <w:r>
        <w:rPr>
          <w:rStyle w:val="205"/>
          <w:rFonts w:hint="eastAsia" w:ascii="宋体" w:hAnsi="宋体" w:cs="Times New Roman"/>
          <w:sz w:val="24"/>
          <w:szCs w:val="24"/>
          <w:highlight w:val="none"/>
          <w:lang w:val="en-US" w:eastAsia="zh-CN"/>
        </w:rPr>
        <w:t>甲方</w:t>
      </w:r>
      <w:r>
        <w:rPr>
          <w:rStyle w:val="205"/>
          <w:rFonts w:hint="default" w:ascii="宋体" w:hAnsi="宋体" w:eastAsia="宋体" w:cs="Times New Roman"/>
          <w:sz w:val="24"/>
          <w:szCs w:val="24"/>
          <w:highlight w:val="none"/>
          <w:lang w:val="en-US" w:eastAsia="zh-CN"/>
        </w:rPr>
        <w:t>公</w:t>
      </w:r>
      <w:r>
        <w:rPr>
          <w:rStyle w:val="205"/>
          <w:rFonts w:hint="eastAsia" w:ascii="宋体" w:hAnsi="宋体" w:eastAsia="宋体" w:cs="Times New Roman"/>
          <w:sz w:val="24"/>
          <w:szCs w:val="24"/>
          <w:highlight w:val="none"/>
          <w:lang w:val="en-US" w:eastAsia="zh-CN"/>
        </w:rPr>
        <w:t>章，甲乙双方各执一份。</w:t>
      </w:r>
    </w:p>
    <w:p w14:paraId="03343FA0">
      <w:pPr>
        <w:snapToGrid w:val="0"/>
        <w:spacing w:line="400" w:lineRule="exact"/>
        <w:ind w:firstLine="480" w:firstLineChars="200"/>
        <w:rPr>
          <w:rStyle w:val="205"/>
          <w:rFonts w:hint="eastAsia" w:ascii="宋体" w:hAnsi="宋体" w:eastAsia="宋体" w:cs="Times New Roman"/>
          <w:sz w:val="24"/>
          <w:szCs w:val="24"/>
          <w:highlight w:val="none"/>
          <w:lang w:val="en-US" w:eastAsia="zh-CN"/>
        </w:rPr>
      </w:pPr>
      <w:r>
        <w:rPr>
          <w:rStyle w:val="205"/>
          <w:rFonts w:hint="eastAsia" w:ascii="宋体" w:hAnsi="宋体" w:eastAsia="宋体" w:cs="Times New Roman"/>
          <w:sz w:val="24"/>
          <w:szCs w:val="24"/>
          <w:highlight w:val="none"/>
          <w:lang w:val="en-US" w:eastAsia="zh-CN"/>
        </w:rPr>
        <w:t>5、甲乙双方应按照《广西壮族自治区政府采购项目履约验收管理办法》、双方合同、响应文件验收。</w:t>
      </w:r>
    </w:p>
    <w:p w14:paraId="0B66341A">
      <w:pPr>
        <w:snapToGrid w:val="0"/>
        <w:spacing w:line="400" w:lineRule="exact"/>
        <w:ind w:firstLine="480" w:firstLineChars="200"/>
        <w:rPr>
          <w:rStyle w:val="205"/>
          <w:rFonts w:hint="eastAsia" w:ascii="宋体" w:hAnsi="宋体" w:eastAsia="宋体" w:cs="Times New Roman"/>
          <w:sz w:val="24"/>
          <w:szCs w:val="24"/>
          <w:highlight w:val="none"/>
          <w:lang w:val="en-US" w:eastAsia="zh-CN"/>
        </w:rPr>
      </w:pPr>
      <w:r>
        <w:rPr>
          <w:rStyle w:val="205"/>
          <w:rFonts w:hint="eastAsia" w:ascii="宋体" w:hAnsi="宋体" w:eastAsia="宋体" w:cs="Times New Roman"/>
          <w:sz w:val="24"/>
          <w:szCs w:val="24"/>
          <w:highlight w:val="none"/>
          <w:lang w:val="en-US" w:eastAsia="zh-CN"/>
        </w:rPr>
        <w:t>6、甲方在初步验收或者最终验收过程中如发现乙方提供的服务成果不满足响应文件及本合同规定的，可暂缓向乙方付款，直到乙方及时完善并提交相应的服务成果且经甲方验收合格后，方可办理付款。</w:t>
      </w:r>
    </w:p>
    <w:p w14:paraId="4790DDF1">
      <w:pPr>
        <w:snapToGrid w:val="0"/>
        <w:spacing w:line="400" w:lineRule="exact"/>
        <w:ind w:firstLine="480" w:firstLineChars="200"/>
        <w:rPr>
          <w:rFonts w:hint="eastAsia" w:ascii="宋体" w:hAnsi="宋体" w:eastAsia="宋体" w:cs="宋体"/>
          <w:b/>
          <w:bCs/>
          <w:i w:val="0"/>
          <w:caps w:val="0"/>
          <w:color w:val="auto"/>
          <w:spacing w:val="0"/>
          <w:w w:val="100"/>
          <w:kern w:val="2"/>
          <w:sz w:val="24"/>
          <w:szCs w:val="32"/>
          <w:highlight w:val="none"/>
        </w:rPr>
      </w:pPr>
      <w:r>
        <w:rPr>
          <w:rStyle w:val="205"/>
          <w:rFonts w:hint="eastAsia" w:ascii="宋体" w:hAnsi="宋体" w:eastAsia="宋体" w:cs="Times New Roman"/>
          <w:sz w:val="24"/>
          <w:szCs w:val="24"/>
          <w:highlight w:val="none"/>
          <w:lang w:val="en-US" w:eastAsia="zh-CN"/>
        </w:rPr>
        <w:t>7、甲方</w:t>
      </w:r>
      <w:r>
        <w:rPr>
          <w:rStyle w:val="205"/>
          <w:rFonts w:hint="eastAsia" w:ascii="宋体" w:hAnsi="宋体" w:eastAsia="宋体" w:cs="Times New Roman"/>
          <w:color w:val="auto"/>
          <w:sz w:val="24"/>
          <w:szCs w:val="24"/>
          <w:highlight w:val="none"/>
          <w:lang w:val="en-US" w:eastAsia="zh-CN"/>
        </w:rPr>
        <w:t>验收时以书面形式提出异议的，乙方应自收到甲方书面异议后五个工作日内及时予以解决，否则甲方有权不出具服务验收合格单。</w:t>
      </w:r>
    </w:p>
    <w:p w14:paraId="7946C3CF">
      <w:pPr>
        <w:pStyle w:val="29"/>
        <w:tabs>
          <w:tab w:val="left" w:pos="5760"/>
        </w:tabs>
        <w:snapToGrid/>
        <w:spacing w:before="0" w:beforeAutospacing="0" w:after="0" w:afterAutospacing="0" w:line="360" w:lineRule="auto"/>
        <w:ind w:firstLine="482" w:firstLineChars="200"/>
        <w:jc w:val="both"/>
        <w:textAlignment w:val="baseline"/>
        <w:rPr>
          <w:rFonts w:ascii="宋体" w:hAnsi="宋体" w:eastAsia="宋体" w:cs="宋体"/>
          <w:b/>
          <w:bCs/>
          <w:i w:val="0"/>
          <w:caps w:val="0"/>
          <w:color w:val="auto"/>
          <w:spacing w:val="0"/>
          <w:w w:val="100"/>
          <w:kern w:val="2"/>
          <w:sz w:val="24"/>
          <w:szCs w:val="32"/>
          <w:highlight w:val="none"/>
        </w:rPr>
      </w:pPr>
      <w:r>
        <w:rPr>
          <w:rFonts w:hint="eastAsia" w:ascii="宋体" w:hAnsi="宋体" w:eastAsia="宋体" w:cs="宋体"/>
          <w:b/>
          <w:bCs/>
          <w:i w:val="0"/>
          <w:caps w:val="0"/>
          <w:color w:val="auto"/>
          <w:spacing w:val="0"/>
          <w:w w:val="100"/>
          <w:kern w:val="2"/>
          <w:sz w:val="24"/>
          <w:szCs w:val="32"/>
          <w:highlight w:val="none"/>
        </w:rPr>
        <w:t>第</w:t>
      </w:r>
      <w:r>
        <w:rPr>
          <w:rFonts w:hint="eastAsia" w:hAnsi="宋体" w:cs="宋体"/>
          <w:b/>
          <w:bCs/>
          <w:i w:val="0"/>
          <w:caps w:val="0"/>
          <w:color w:val="auto"/>
          <w:spacing w:val="0"/>
          <w:w w:val="100"/>
          <w:kern w:val="2"/>
          <w:sz w:val="24"/>
          <w:szCs w:val="32"/>
          <w:highlight w:val="none"/>
          <w:lang w:val="en-US" w:eastAsia="zh-CN"/>
        </w:rPr>
        <w:t>五</w:t>
      </w:r>
      <w:r>
        <w:rPr>
          <w:rFonts w:hint="eastAsia" w:ascii="宋体" w:hAnsi="宋体" w:eastAsia="宋体" w:cs="宋体"/>
          <w:b/>
          <w:bCs/>
          <w:i w:val="0"/>
          <w:caps w:val="0"/>
          <w:color w:val="auto"/>
          <w:spacing w:val="0"/>
          <w:w w:val="100"/>
          <w:kern w:val="2"/>
          <w:sz w:val="24"/>
          <w:szCs w:val="32"/>
          <w:highlight w:val="none"/>
        </w:rPr>
        <w:t xml:space="preserve">条  付款方式 </w:t>
      </w:r>
    </w:p>
    <w:p w14:paraId="4BD1CF06">
      <w:pPr>
        <w:snapToGrid w:val="0"/>
        <w:spacing w:line="400" w:lineRule="exact"/>
        <w:ind w:left="-61" w:leftChars="-29" w:firstLine="588" w:firstLineChars="24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本合同签订之日起15个工作日内，采购人向成交供应商支付总合同款的30%，作为项目预付款；项目实施结束并经验收后15个工作日内，采购人向成交供应商支付至合同总合同款的100%。（注：如采购人在签订合同时，成交人明确表示无需预付款或者主动要求降低预付款比例的，采购人可不采用预付款制度）</w:t>
      </w:r>
    </w:p>
    <w:p w14:paraId="020AAA68">
      <w:pPr>
        <w:snapToGrid w:val="0"/>
        <w:spacing w:line="400" w:lineRule="exact"/>
        <w:ind w:left="-61" w:leftChars="-29" w:firstLine="588" w:firstLineChars="245"/>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2、在采购人每次支付合同款，成交供应商应及时向采购人开具等额的增值税服务发票。</w:t>
      </w:r>
    </w:p>
    <w:p w14:paraId="45DE76E1">
      <w:pPr>
        <w:snapToGrid w:val="0"/>
        <w:spacing w:line="400" w:lineRule="exact"/>
        <w:ind w:firstLine="482" w:firstLineChars="200"/>
        <w:rPr>
          <w:rFonts w:hint="eastAsia" w:hAnsi="宋体" w:cs="宋体"/>
          <w:b/>
          <w:bCs/>
          <w:i w:val="0"/>
          <w:caps w:val="0"/>
          <w:color w:val="auto"/>
          <w:spacing w:val="0"/>
          <w:w w:val="100"/>
          <w:kern w:val="2"/>
          <w:sz w:val="24"/>
          <w:szCs w:val="32"/>
          <w:highlight w:val="none"/>
          <w:lang w:val="en-US" w:eastAsia="zh-CN"/>
        </w:rPr>
      </w:pPr>
      <w:r>
        <w:rPr>
          <w:rFonts w:hint="eastAsia" w:ascii="宋体" w:hAnsi="宋体" w:eastAsia="宋体" w:cs="宋体"/>
          <w:b/>
          <w:bCs/>
          <w:i w:val="0"/>
          <w:caps w:val="0"/>
          <w:color w:val="auto"/>
          <w:spacing w:val="0"/>
          <w:w w:val="100"/>
          <w:kern w:val="2"/>
          <w:sz w:val="24"/>
          <w:szCs w:val="32"/>
          <w:highlight w:val="none"/>
          <w:lang w:val="en-US" w:eastAsia="zh-CN"/>
        </w:rPr>
        <w:t>第</w:t>
      </w:r>
      <w:r>
        <w:rPr>
          <w:rFonts w:hint="eastAsia" w:hAnsi="宋体" w:cs="宋体"/>
          <w:b/>
          <w:bCs/>
          <w:i w:val="0"/>
          <w:caps w:val="0"/>
          <w:color w:val="auto"/>
          <w:spacing w:val="0"/>
          <w:w w:val="100"/>
          <w:kern w:val="2"/>
          <w:sz w:val="24"/>
          <w:szCs w:val="32"/>
          <w:highlight w:val="none"/>
          <w:lang w:val="en-US" w:eastAsia="zh-CN"/>
        </w:rPr>
        <w:t>六</w:t>
      </w:r>
      <w:r>
        <w:rPr>
          <w:rFonts w:hint="eastAsia" w:ascii="宋体" w:hAnsi="宋体" w:eastAsia="宋体" w:cs="宋体"/>
          <w:b/>
          <w:bCs/>
          <w:i w:val="0"/>
          <w:caps w:val="0"/>
          <w:color w:val="auto"/>
          <w:spacing w:val="0"/>
          <w:w w:val="100"/>
          <w:kern w:val="2"/>
          <w:sz w:val="24"/>
          <w:szCs w:val="32"/>
          <w:highlight w:val="none"/>
          <w:lang w:val="en-US" w:eastAsia="zh-CN"/>
        </w:rPr>
        <w:t>条  履约保证金</w:t>
      </w:r>
    </w:p>
    <w:p w14:paraId="568DE24F">
      <w:pPr>
        <w:pStyle w:val="29"/>
        <w:tabs>
          <w:tab w:val="left" w:pos="5760"/>
        </w:tabs>
        <w:snapToGrid/>
        <w:spacing w:before="0" w:beforeAutospacing="0" w:after="0" w:afterAutospacing="0" w:line="360" w:lineRule="auto"/>
        <w:ind w:firstLine="482" w:firstLineChars="200"/>
        <w:jc w:val="both"/>
        <w:textAlignment w:val="baseline"/>
        <w:rPr>
          <w:rFonts w:hint="default"/>
          <w:color w:val="auto"/>
          <w:highlight w:val="none"/>
          <w:lang w:val="en-US" w:eastAsia="zh-CN"/>
        </w:rPr>
      </w:pPr>
      <w:r>
        <w:rPr>
          <w:rFonts w:hint="eastAsia" w:ascii="宋体" w:hAnsi="宋体" w:cs="宋体"/>
          <w:b/>
          <w:bCs/>
          <w:i w:val="0"/>
          <w:caps w:val="0"/>
          <w:color w:val="auto"/>
          <w:spacing w:val="0"/>
          <w:w w:val="100"/>
          <w:kern w:val="2"/>
          <w:sz w:val="24"/>
          <w:szCs w:val="32"/>
          <w:highlight w:val="none"/>
          <w:lang w:val="en-US" w:eastAsia="zh-CN"/>
        </w:rPr>
        <w:t>无</w:t>
      </w:r>
    </w:p>
    <w:p w14:paraId="24EBFDD4">
      <w:pPr>
        <w:pStyle w:val="29"/>
        <w:tabs>
          <w:tab w:val="left" w:pos="5760"/>
        </w:tabs>
        <w:snapToGrid/>
        <w:spacing w:before="0" w:beforeAutospacing="0" w:after="0" w:afterAutospacing="0" w:line="360" w:lineRule="auto"/>
        <w:ind w:firstLine="482" w:firstLineChars="200"/>
        <w:jc w:val="both"/>
        <w:textAlignment w:val="baseline"/>
        <w:rPr>
          <w:rFonts w:hint="eastAsia" w:ascii="宋体" w:hAnsi="宋体" w:eastAsia="宋体" w:cs="宋体"/>
          <w:b/>
          <w:bCs/>
          <w:i w:val="0"/>
          <w:caps w:val="0"/>
          <w:color w:val="auto"/>
          <w:spacing w:val="0"/>
          <w:w w:val="100"/>
          <w:kern w:val="2"/>
          <w:sz w:val="24"/>
          <w:szCs w:val="32"/>
          <w:highlight w:val="none"/>
        </w:rPr>
      </w:pPr>
      <w:r>
        <w:rPr>
          <w:rFonts w:hint="eastAsia" w:ascii="宋体" w:hAnsi="宋体" w:eastAsia="宋体" w:cs="宋体"/>
          <w:b/>
          <w:bCs/>
          <w:i w:val="0"/>
          <w:caps w:val="0"/>
          <w:color w:val="auto"/>
          <w:spacing w:val="0"/>
          <w:w w:val="100"/>
          <w:kern w:val="2"/>
          <w:sz w:val="24"/>
          <w:szCs w:val="32"/>
          <w:highlight w:val="none"/>
        </w:rPr>
        <w:t>第</w:t>
      </w:r>
      <w:r>
        <w:rPr>
          <w:rFonts w:hint="eastAsia" w:hAnsi="宋体" w:cs="宋体"/>
          <w:b/>
          <w:bCs/>
          <w:i w:val="0"/>
          <w:caps w:val="0"/>
          <w:color w:val="auto"/>
          <w:spacing w:val="0"/>
          <w:w w:val="100"/>
          <w:kern w:val="2"/>
          <w:sz w:val="24"/>
          <w:szCs w:val="32"/>
          <w:highlight w:val="none"/>
          <w:lang w:val="en-US" w:eastAsia="zh-CN"/>
        </w:rPr>
        <w:t>七</w:t>
      </w:r>
      <w:r>
        <w:rPr>
          <w:rFonts w:hint="eastAsia" w:ascii="宋体" w:hAnsi="宋体" w:eastAsia="宋体" w:cs="宋体"/>
          <w:b/>
          <w:bCs/>
          <w:i w:val="0"/>
          <w:caps w:val="0"/>
          <w:color w:val="auto"/>
          <w:spacing w:val="0"/>
          <w:w w:val="100"/>
          <w:kern w:val="2"/>
          <w:sz w:val="24"/>
          <w:szCs w:val="32"/>
          <w:highlight w:val="none"/>
        </w:rPr>
        <w:t xml:space="preserve">条  </w:t>
      </w:r>
      <w:r>
        <w:rPr>
          <w:rFonts w:hint="eastAsia" w:ascii="宋体" w:hAnsi="宋体" w:eastAsia="宋体" w:cs="宋体"/>
          <w:b/>
          <w:bCs/>
          <w:i w:val="0"/>
          <w:caps w:val="0"/>
          <w:color w:val="auto"/>
          <w:spacing w:val="0"/>
          <w:w w:val="100"/>
          <w:kern w:val="2"/>
          <w:sz w:val="24"/>
          <w:szCs w:val="32"/>
          <w:highlight w:val="none"/>
          <w:lang w:eastAsia="zh-CN"/>
        </w:rPr>
        <w:t>服务</w:t>
      </w:r>
      <w:r>
        <w:rPr>
          <w:rFonts w:hint="eastAsia" w:ascii="宋体" w:hAnsi="宋体" w:eastAsia="宋体" w:cs="宋体"/>
          <w:b/>
          <w:bCs/>
          <w:i w:val="0"/>
          <w:caps w:val="0"/>
          <w:color w:val="auto"/>
          <w:spacing w:val="0"/>
          <w:w w:val="100"/>
          <w:kern w:val="2"/>
          <w:sz w:val="24"/>
          <w:szCs w:val="32"/>
          <w:highlight w:val="none"/>
        </w:rPr>
        <w:t xml:space="preserve">时间 </w:t>
      </w:r>
    </w:p>
    <w:p w14:paraId="6FDCE60F">
      <w:pPr>
        <w:snapToGrid w:val="0"/>
        <w:spacing w:line="400" w:lineRule="exact"/>
        <w:ind w:left="-61" w:leftChars="-29" w:firstLine="588" w:firstLineChars="245"/>
        <w:rPr>
          <w:rStyle w:val="205"/>
          <w:rFonts w:ascii="宋体" w:hAnsi="宋体"/>
          <w:b/>
          <w:color w:val="auto"/>
          <w:sz w:val="24"/>
          <w:szCs w:val="24"/>
          <w:highlight w:val="none"/>
        </w:rPr>
      </w:pPr>
      <w:r>
        <w:rPr>
          <w:rFonts w:hint="eastAsia" w:ascii="宋体" w:hAnsi="宋体" w:eastAsia="宋体" w:cs="宋体"/>
          <w:color w:val="auto"/>
          <w:sz w:val="24"/>
          <w:szCs w:val="24"/>
          <w:highlight w:val="none"/>
          <w:u w:val="none"/>
          <w:lang w:val="en-US" w:eastAsia="zh-CN"/>
        </w:rPr>
        <w:t>自合同签订之日起至2026年11月30日之前完成全部项目工作内容。</w:t>
      </w:r>
    </w:p>
    <w:p w14:paraId="4DE1DEA0">
      <w:pPr>
        <w:snapToGrid w:val="0"/>
        <w:spacing w:line="400" w:lineRule="exact"/>
        <w:ind w:left="-61" w:leftChars="-29" w:firstLine="590" w:firstLineChars="245"/>
        <w:rPr>
          <w:rStyle w:val="205"/>
          <w:rFonts w:ascii="宋体" w:hAnsi="宋体"/>
          <w:b/>
          <w:color w:val="auto"/>
          <w:sz w:val="24"/>
          <w:szCs w:val="24"/>
          <w:highlight w:val="none"/>
        </w:rPr>
      </w:pPr>
      <w:r>
        <w:rPr>
          <w:rStyle w:val="205"/>
          <w:rFonts w:ascii="宋体" w:hAnsi="宋体"/>
          <w:b/>
          <w:color w:val="auto"/>
          <w:sz w:val="24"/>
          <w:szCs w:val="24"/>
          <w:highlight w:val="none"/>
        </w:rPr>
        <w:t>第</w:t>
      </w:r>
      <w:r>
        <w:rPr>
          <w:rStyle w:val="205"/>
          <w:rFonts w:hint="eastAsia" w:ascii="宋体" w:hAnsi="宋体"/>
          <w:b/>
          <w:color w:val="auto"/>
          <w:sz w:val="24"/>
          <w:szCs w:val="24"/>
          <w:highlight w:val="none"/>
          <w:lang w:val="en-US" w:eastAsia="zh-CN"/>
        </w:rPr>
        <w:t>八</w:t>
      </w:r>
      <w:r>
        <w:rPr>
          <w:rStyle w:val="205"/>
          <w:rFonts w:ascii="宋体" w:hAnsi="宋体"/>
          <w:b/>
          <w:color w:val="auto"/>
          <w:sz w:val="24"/>
          <w:szCs w:val="24"/>
          <w:highlight w:val="none"/>
        </w:rPr>
        <w:t>条  税费</w:t>
      </w:r>
    </w:p>
    <w:p w14:paraId="1EAF1971">
      <w:pPr>
        <w:snapToGrid w:val="0"/>
        <w:spacing w:line="400" w:lineRule="exact"/>
        <w:ind w:left="-61" w:firstLine="514"/>
        <w:rPr>
          <w:rStyle w:val="205"/>
          <w:rFonts w:ascii="宋体" w:hAnsi="宋体"/>
          <w:sz w:val="24"/>
          <w:szCs w:val="24"/>
          <w:highlight w:val="none"/>
        </w:rPr>
      </w:pPr>
      <w:r>
        <w:rPr>
          <w:rStyle w:val="205"/>
          <w:rFonts w:ascii="宋体" w:hAnsi="宋体"/>
          <w:sz w:val="24"/>
          <w:szCs w:val="24"/>
          <w:highlight w:val="none"/>
        </w:rPr>
        <w:t>本合同执行中相关的一切税费均由乙方负担。</w:t>
      </w:r>
    </w:p>
    <w:p w14:paraId="0531C64C">
      <w:pPr>
        <w:snapToGrid w:val="0"/>
        <w:spacing w:line="400" w:lineRule="exact"/>
        <w:ind w:left="-61" w:firstLine="514"/>
        <w:rPr>
          <w:rStyle w:val="205"/>
          <w:rFonts w:ascii="宋体" w:hAnsi="宋体"/>
          <w:sz w:val="24"/>
          <w:szCs w:val="24"/>
          <w:highlight w:val="none"/>
        </w:rPr>
      </w:pPr>
      <w:r>
        <w:rPr>
          <w:rStyle w:val="205"/>
          <w:rFonts w:ascii="宋体" w:hAnsi="宋体"/>
          <w:b/>
          <w:sz w:val="24"/>
          <w:szCs w:val="24"/>
          <w:highlight w:val="none"/>
        </w:rPr>
        <w:t>第</w:t>
      </w:r>
      <w:r>
        <w:rPr>
          <w:rStyle w:val="205"/>
          <w:rFonts w:hint="eastAsia" w:ascii="宋体" w:hAnsi="宋体"/>
          <w:b/>
          <w:sz w:val="24"/>
          <w:szCs w:val="24"/>
          <w:highlight w:val="none"/>
          <w:lang w:val="en-US" w:eastAsia="zh-CN"/>
        </w:rPr>
        <w:t>九</w:t>
      </w:r>
      <w:r>
        <w:rPr>
          <w:rStyle w:val="205"/>
          <w:rFonts w:ascii="宋体" w:hAnsi="宋体"/>
          <w:b/>
          <w:sz w:val="24"/>
          <w:szCs w:val="24"/>
          <w:highlight w:val="none"/>
        </w:rPr>
        <w:t>条  质量保证及售后服务</w:t>
      </w:r>
    </w:p>
    <w:p w14:paraId="379E54BF">
      <w:pPr>
        <w:pStyle w:val="221"/>
        <w:snapToGrid w:val="0"/>
        <w:spacing w:line="400" w:lineRule="exact"/>
        <w:ind w:firstLine="480" w:firstLineChars="200"/>
        <w:rPr>
          <w:rStyle w:val="205"/>
          <w:rFonts w:hAnsi="宋体"/>
          <w:sz w:val="24"/>
          <w:szCs w:val="24"/>
          <w:highlight w:val="none"/>
        </w:rPr>
      </w:pPr>
      <w:r>
        <w:rPr>
          <w:rStyle w:val="205"/>
          <w:rFonts w:hAnsi="宋体"/>
          <w:sz w:val="24"/>
          <w:szCs w:val="24"/>
          <w:highlight w:val="none"/>
        </w:rPr>
        <w:t>1</w:t>
      </w:r>
      <w:r>
        <w:rPr>
          <w:rStyle w:val="205"/>
          <w:rFonts w:hint="eastAsia" w:hAnsi="宋体"/>
          <w:sz w:val="24"/>
          <w:szCs w:val="24"/>
          <w:highlight w:val="none"/>
          <w:lang w:eastAsia="zh-CN"/>
        </w:rPr>
        <w:t>、</w:t>
      </w:r>
      <w:r>
        <w:rPr>
          <w:rStyle w:val="205"/>
          <w:rFonts w:hAnsi="宋体"/>
          <w:sz w:val="24"/>
          <w:szCs w:val="24"/>
          <w:highlight w:val="none"/>
        </w:rPr>
        <w:t>乙方应按磋商文件规定的服务内容、技术要求、质量标准向甲方提供无瑕疵的服务成果。乙方对提交的最终服务成果质量负责。</w:t>
      </w:r>
    </w:p>
    <w:p w14:paraId="7E7E8FB4">
      <w:pPr>
        <w:pStyle w:val="221"/>
        <w:snapToGrid w:val="0"/>
        <w:spacing w:line="400" w:lineRule="exact"/>
        <w:ind w:firstLine="480" w:firstLineChars="200"/>
        <w:rPr>
          <w:rStyle w:val="205"/>
          <w:rFonts w:hAnsi="宋体"/>
          <w:sz w:val="24"/>
          <w:szCs w:val="24"/>
          <w:highlight w:val="none"/>
        </w:rPr>
      </w:pPr>
      <w:r>
        <w:rPr>
          <w:rStyle w:val="205"/>
          <w:rFonts w:hAnsi="宋体"/>
          <w:sz w:val="24"/>
          <w:szCs w:val="24"/>
          <w:highlight w:val="none"/>
        </w:rPr>
        <w:t>2</w:t>
      </w:r>
      <w:r>
        <w:rPr>
          <w:rStyle w:val="205"/>
          <w:rFonts w:hint="eastAsia" w:hAnsi="宋体"/>
          <w:sz w:val="24"/>
          <w:szCs w:val="24"/>
          <w:highlight w:val="none"/>
          <w:lang w:eastAsia="zh-CN"/>
        </w:rPr>
        <w:t>、</w:t>
      </w:r>
      <w:r>
        <w:rPr>
          <w:rStyle w:val="205"/>
          <w:rFonts w:hAnsi="宋体"/>
          <w:sz w:val="24"/>
          <w:szCs w:val="24"/>
          <w:highlight w:val="none"/>
        </w:rPr>
        <w:t>成果提交后，如有修改，乙方应在规定时间按要求完成修改工作，甲方不另行支付修改费用。</w:t>
      </w:r>
    </w:p>
    <w:p w14:paraId="674064F2">
      <w:pPr>
        <w:snapToGrid w:val="0"/>
        <w:spacing w:line="400" w:lineRule="exact"/>
        <w:ind w:firstLine="482" w:firstLineChars="200"/>
        <w:rPr>
          <w:rStyle w:val="205"/>
          <w:rFonts w:ascii="宋体" w:hAnsi="宋体"/>
          <w:b/>
          <w:sz w:val="24"/>
          <w:szCs w:val="24"/>
          <w:highlight w:val="none"/>
        </w:rPr>
      </w:pPr>
      <w:r>
        <w:rPr>
          <w:rStyle w:val="205"/>
          <w:rFonts w:ascii="宋体" w:hAnsi="宋体"/>
          <w:b/>
          <w:sz w:val="24"/>
          <w:szCs w:val="24"/>
          <w:highlight w:val="none"/>
        </w:rPr>
        <w:t>第</w:t>
      </w:r>
      <w:r>
        <w:rPr>
          <w:rStyle w:val="205"/>
          <w:rFonts w:hint="eastAsia" w:ascii="宋体" w:hAnsi="宋体"/>
          <w:b/>
          <w:sz w:val="24"/>
          <w:szCs w:val="24"/>
          <w:highlight w:val="none"/>
          <w:lang w:val="en-US" w:eastAsia="zh-CN"/>
        </w:rPr>
        <w:t>十</w:t>
      </w:r>
      <w:r>
        <w:rPr>
          <w:rStyle w:val="205"/>
          <w:rFonts w:ascii="宋体" w:hAnsi="宋体"/>
          <w:b/>
          <w:sz w:val="24"/>
          <w:szCs w:val="24"/>
          <w:highlight w:val="none"/>
        </w:rPr>
        <w:t>条　违约责任</w:t>
      </w:r>
    </w:p>
    <w:p w14:paraId="0FA11F29">
      <w:pPr>
        <w:snapToGrid w:val="0"/>
        <w:spacing w:line="400" w:lineRule="exact"/>
        <w:ind w:firstLine="600" w:firstLineChars="250"/>
        <w:rPr>
          <w:rStyle w:val="205"/>
          <w:rFonts w:ascii="宋体" w:hAnsi="宋体"/>
          <w:color w:val="auto"/>
          <w:sz w:val="24"/>
          <w:szCs w:val="24"/>
          <w:highlight w:val="none"/>
        </w:rPr>
      </w:pPr>
      <w:r>
        <w:rPr>
          <w:rStyle w:val="205"/>
          <w:rFonts w:ascii="宋体" w:hAnsi="宋体"/>
          <w:sz w:val="24"/>
          <w:szCs w:val="24"/>
          <w:highlight w:val="none"/>
        </w:rPr>
        <w:t>1、乙方未按期限提交成果或者提交的成果不符合约定的，乙方应向甲方支付违约</w:t>
      </w:r>
      <w:r>
        <w:rPr>
          <w:rStyle w:val="205"/>
          <w:rFonts w:ascii="宋体" w:hAnsi="宋体"/>
          <w:color w:val="auto"/>
          <w:sz w:val="24"/>
          <w:szCs w:val="24"/>
          <w:highlight w:val="none"/>
        </w:rPr>
        <w:t>服务款额</w:t>
      </w:r>
      <w:r>
        <w:rPr>
          <w:rStyle w:val="205"/>
          <w:rFonts w:hint="eastAsia" w:ascii="宋体" w:hAnsi="宋体"/>
          <w:color w:val="auto"/>
          <w:sz w:val="24"/>
          <w:szCs w:val="24"/>
          <w:highlight w:val="none"/>
          <w:u w:val="single"/>
          <w:lang w:val="en-US" w:eastAsia="zh-CN"/>
        </w:rPr>
        <w:t xml:space="preserve">    </w:t>
      </w:r>
      <w:r>
        <w:rPr>
          <w:rStyle w:val="205"/>
          <w:rFonts w:ascii="宋体" w:hAnsi="宋体"/>
          <w:color w:val="auto"/>
          <w:sz w:val="24"/>
          <w:szCs w:val="24"/>
          <w:highlight w:val="none"/>
        </w:rPr>
        <w:t xml:space="preserve">%违约金并赔偿甲方经济损失。                                       </w:t>
      </w:r>
    </w:p>
    <w:p w14:paraId="42936345">
      <w:pPr>
        <w:snapToGrid w:val="0"/>
        <w:spacing w:line="400" w:lineRule="exact"/>
        <w:ind w:firstLine="540" w:firstLineChars="225"/>
        <w:rPr>
          <w:rStyle w:val="205"/>
          <w:rFonts w:ascii="宋体" w:hAnsi="宋体"/>
          <w:color w:val="auto"/>
          <w:sz w:val="24"/>
          <w:szCs w:val="24"/>
          <w:highlight w:val="none"/>
        </w:rPr>
      </w:pPr>
      <w:r>
        <w:rPr>
          <w:rStyle w:val="205"/>
          <w:rFonts w:ascii="宋体" w:hAnsi="宋体"/>
          <w:color w:val="auto"/>
          <w:sz w:val="24"/>
          <w:szCs w:val="24"/>
          <w:highlight w:val="none"/>
        </w:rPr>
        <w:t>2、乙方提供的成果如侵犯了第三方合法权益而引发的任何纠纷或诉讼，均由乙方负责交涉并承担全部责任</w:t>
      </w:r>
      <w:r>
        <w:rPr>
          <w:rStyle w:val="205"/>
          <w:rFonts w:hint="eastAsia" w:ascii="宋体" w:hAnsi="宋体"/>
          <w:color w:val="auto"/>
          <w:sz w:val="24"/>
          <w:szCs w:val="24"/>
          <w:highlight w:val="none"/>
          <w:lang w:eastAsia="zh-CN"/>
        </w:rPr>
        <w:t>，</w:t>
      </w:r>
      <w:r>
        <w:rPr>
          <w:rStyle w:val="205"/>
          <w:rFonts w:hint="eastAsia" w:ascii="宋体" w:hAnsi="宋体"/>
          <w:color w:val="auto"/>
          <w:sz w:val="24"/>
          <w:szCs w:val="24"/>
          <w:highlight w:val="none"/>
          <w:lang w:val="en-US" w:eastAsia="zh-Hans"/>
        </w:rPr>
        <w:t>如给甲方造成损失的</w:t>
      </w:r>
      <w:r>
        <w:rPr>
          <w:rStyle w:val="205"/>
          <w:rFonts w:hint="default" w:ascii="宋体" w:hAnsi="宋体"/>
          <w:color w:val="auto"/>
          <w:sz w:val="24"/>
          <w:szCs w:val="24"/>
          <w:highlight w:val="none"/>
          <w:lang w:eastAsia="zh-Hans"/>
        </w:rPr>
        <w:t>，</w:t>
      </w:r>
      <w:r>
        <w:rPr>
          <w:rStyle w:val="205"/>
          <w:rFonts w:hint="eastAsia" w:ascii="宋体" w:hAnsi="宋体"/>
          <w:color w:val="auto"/>
          <w:sz w:val="24"/>
          <w:szCs w:val="24"/>
          <w:highlight w:val="none"/>
          <w:lang w:val="en-US" w:eastAsia="zh-Hans"/>
        </w:rPr>
        <w:t>乙方应予以赔偿</w:t>
      </w:r>
      <w:r>
        <w:rPr>
          <w:rStyle w:val="205"/>
          <w:rFonts w:ascii="宋体" w:hAnsi="宋体"/>
          <w:color w:val="auto"/>
          <w:sz w:val="24"/>
          <w:szCs w:val="24"/>
          <w:highlight w:val="none"/>
        </w:rPr>
        <w:t>。</w:t>
      </w:r>
    </w:p>
    <w:p w14:paraId="2F3C9519">
      <w:pPr>
        <w:snapToGrid w:val="0"/>
        <w:spacing w:line="400" w:lineRule="exact"/>
        <w:ind w:firstLine="540" w:firstLineChars="225"/>
        <w:rPr>
          <w:rStyle w:val="205"/>
          <w:rFonts w:ascii="宋体" w:hAnsi="宋体"/>
          <w:color w:val="auto"/>
          <w:sz w:val="24"/>
          <w:szCs w:val="24"/>
          <w:highlight w:val="none"/>
        </w:rPr>
      </w:pPr>
      <w:r>
        <w:rPr>
          <w:rStyle w:val="205"/>
          <w:rFonts w:ascii="宋体" w:hAnsi="宋体"/>
          <w:color w:val="auto"/>
          <w:sz w:val="24"/>
          <w:szCs w:val="24"/>
          <w:highlight w:val="none"/>
        </w:rPr>
        <w:t>3、乙方未按本合同和响应文件中规定的服务承诺提供服务的，乙方应按本合同合计金额</w:t>
      </w:r>
      <w:r>
        <w:rPr>
          <w:rStyle w:val="205"/>
          <w:rFonts w:ascii="宋体" w:hAnsi="宋体"/>
          <w:color w:val="auto"/>
          <w:sz w:val="24"/>
          <w:szCs w:val="24"/>
          <w:highlight w:val="none"/>
          <w:u w:val="single"/>
        </w:rPr>
        <w:t xml:space="preserve"> </w:t>
      </w:r>
      <w:r>
        <w:rPr>
          <w:rStyle w:val="205"/>
          <w:rFonts w:hint="eastAsia" w:ascii="宋体" w:hAnsi="宋体"/>
          <w:color w:val="auto"/>
          <w:sz w:val="24"/>
          <w:szCs w:val="24"/>
          <w:highlight w:val="none"/>
          <w:u w:val="single"/>
          <w:lang w:val="en-US"/>
        </w:rPr>
        <w:t xml:space="preserve">  </w:t>
      </w:r>
      <w:r>
        <w:rPr>
          <w:rStyle w:val="205"/>
          <w:rFonts w:ascii="宋体" w:hAnsi="宋体"/>
          <w:color w:val="auto"/>
          <w:sz w:val="24"/>
          <w:szCs w:val="24"/>
          <w:highlight w:val="none"/>
          <w:u w:val="single"/>
        </w:rPr>
        <w:t xml:space="preserve"> %</w:t>
      </w:r>
      <w:r>
        <w:rPr>
          <w:rStyle w:val="205"/>
          <w:rFonts w:ascii="宋体" w:hAnsi="宋体"/>
          <w:color w:val="auto"/>
          <w:sz w:val="24"/>
          <w:szCs w:val="24"/>
          <w:highlight w:val="none"/>
        </w:rPr>
        <w:t>向甲方支付违约金。</w:t>
      </w:r>
    </w:p>
    <w:p w14:paraId="492D38B2">
      <w:pPr>
        <w:pStyle w:val="21"/>
        <w:spacing w:line="360" w:lineRule="auto"/>
        <w:ind w:firstLine="480" w:firstLineChars="200"/>
        <w:textAlignment w:val="baseline"/>
        <w:rPr>
          <w:rStyle w:val="205"/>
          <w:rFonts w:hint="eastAsia" w:ascii="宋体" w:hAnsi="宋体"/>
          <w:color w:val="auto"/>
          <w:sz w:val="24"/>
          <w:szCs w:val="24"/>
          <w:highlight w:val="none"/>
          <w:lang w:val="en-US" w:eastAsia="zh-CN"/>
        </w:rPr>
      </w:pPr>
      <w:r>
        <w:rPr>
          <w:rStyle w:val="205"/>
          <w:rFonts w:hint="eastAsia" w:ascii="宋体" w:hAnsi="宋体"/>
          <w:color w:val="auto"/>
          <w:sz w:val="24"/>
          <w:szCs w:val="24"/>
          <w:highlight w:val="none"/>
          <w:lang w:val="en-US"/>
        </w:rPr>
        <w:t>4、</w:t>
      </w:r>
      <w:r>
        <w:rPr>
          <w:rStyle w:val="205"/>
          <w:rFonts w:hint="eastAsia" w:ascii="宋体" w:hAnsi="宋体"/>
          <w:color w:val="auto"/>
          <w:sz w:val="24"/>
          <w:szCs w:val="24"/>
          <w:highlight w:val="none"/>
          <w:lang w:val="en-US" w:eastAsia="zh-CN"/>
        </w:rPr>
        <w:t>项目验收不合格，乙方需在10日内免费整改至符合要求，每延期一日按合同总额的0.5%支付违约金。验收不合格且整改后仍不达标，甲方有权解除合同，乙方需返还全部已付款项，</w:t>
      </w:r>
      <w:r>
        <w:rPr>
          <w:rStyle w:val="205"/>
          <w:rFonts w:hint="eastAsia" w:ascii="宋体" w:hAnsi="宋体"/>
          <w:color w:val="auto"/>
          <w:sz w:val="24"/>
          <w:szCs w:val="24"/>
          <w:highlight w:val="none"/>
          <w:lang w:val="en-US"/>
        </w:rPr>
        <w:t>并</w:t>
      </w:r>
      <w:r>
        <w:rPr>
          <w:rStyle w:val="205"/>
          <w:rFonts w:ascii="宋体" w:hAnsi="宋体"/>
          <w:color w:val="auto"/>
          <w:sz w:val="24"/>
          <w:szCs w:val="24"/>
          <w:highlight w:val="none"/>
        </w:rPr>
        <w:t>按本合同合计金额</w:t>
      </w:r>
      <w:r>
        <w:rPr>
          <w:rStyle w:val="205"/>
          <w:rFonts w:ascii="宋体" w:hAnsi="宋体"/>
          <w:color w:val="auto"/>
          <w:sz w:val="24"/>
          <w:szCs w:val="24"/>
          <w:highlight w:val="none"/>
          <w:u w:val="single"/>
        </w:rPr>
        <w:t xml:space="preserve"> </w:t>
      </w:r>
      <w:r>
        <w:rPr>
          <w:rStyle w:val="205"/>
          <w:rFonts w:hint="eastAsia" w:ascii="宋体" w:hAnsi="宋体"/>
          <w:color w:val="auto"/>
          <w:sz w:val="24"/>
          <w:szCs w:val="24"/>
          <w:highlight w:val="none"/>
          <w:u w:val="single"/>
          <w:lang w:val="en-US"/>
        </w:rPr>
        <w:t xml:space="preserve">  </w:t>
      </w:r>
      <w:r>
        <w:rPr>
          <w:rStyle w:val="205"/>
          <w:rFonts w:ascii="宋体" w:hAnsi="宋体"/>
          <w:color w:val="auto"/>
          <w:sz w:val="24"/>
          <w:szCs w:val="24"/>
          <w:highlight w:val="none"/>
          <w:u w:val="single"/>
        </w:rPr>
        <w:t xml:space="preserve"> %</w:t>
      </w:r>
      <w:r>
        <w:rPr>
          <w:rStyle w:val="205"/>
          <w:rFonts w:ascii="宋体" w:hAnsi="宋体"/>
          <w:color w:val="auto"/>
          <w:sz w:val="24"/>
          <w:szCs w:val="24"/>
          <w:highlight w:val="none"/>
        </w:rPr>
        <w:t>向甲方支付违约金</w:t>
      </w:r>
      <w:r>
        <w:rPr>
          <w:rStyle w:val="205"/>
          <w:rFonts w:hint="eastAsia" w:ascii="宋体" w:hAnsi="宋体"/>
          <w:color w:val="auto"/>
          <w:sz w:val="24"/>
          <w:szCs w:val="24"/>
          <w:highlight w:val="none"/>
          <w:lang w:val="en-US" w:eastAsia="zh-CN"/>
        </w:rPr>
        <w:t>。</w:t>
      </w:r>
    </w:p>
    <w:p w14:paraId="30A91F8A">
      <w:pPr>
        <w:pStyle w:val="21"/>
        <w:spacing w:line="360" w:lineRule="auto"/>
        <w:ind w:firstLine="480" w:firstLineChars="200"/>
        <w:textAlignment w:val="baseline"/>
        <w:rPr>
          <w:rStyle w:val="205"/>
          <w:rFonts w:hint="eastAsia" w:ascii="宋体" w:hAnsi="宋体"/>
          <w:color w:val="auto"/>
          <w:sz w:val="24"/>
          <w:szCs w:val="24"/>
          <w:highlight w:val="none"/>
          <w:lang w:val="en-US" w:eastAsia="zh-CN"/>
        </w:rPr>
      </w:pPr>
      <w:r>
        <w:rPr>
          <w:rStyle w:val="205"/>
          <w:rFonts w:hint="eastAsia" w:ascii="宋体" w:hAnsi="宋体"/>
          <w:color w:val="auto"/>
          <w:sz w:val="24"/>
          <w:szCs w:val="24"/>
          <w:highlight w:val="none"/>
          <w:lang w:val="en-US" w:eastAsia="zh-CN"/>
        </w:rPr>
        <w:t>5、乙方对项目过程中知悉的甲方信息负有保密义务，保密期自合同签订起10年，如乙方泄密需支付</w:t>
      </w:r>
      <w:r>
        <w:rPr>
          <w:rStyle w:val="205"/>
          <w:rFonts w:ascii="宋体" w:hAnsi="宋体"/>
          <w:color w:val="auto"/>
          <w:sz w:val="24"/>
          <w:szCs w:val="24"/>
          <w:highlight w:val="none"/>
        </w:rPr>
        <w:t>本合同合计金额</w:t>
      </w:r>
      <w:r>
        <w:rPr>
          <w:rStyle w:val="205"/>
          <w:rFonts w:hint="eastAsia" w:ascii="宋体" w:hAnsi="宋体"/>
          <w:color w:val="auto"/>
          <w:sz w:val="24"/>
          <w:szCs w:val="24"/>
          <w:highlight w:val="none"/>
          <w:u w:val="single"/>
          <w:lang w:val="en-US"/>
        </w:rPr>
        <w:t xml:space="preserve">    </w:t>
      </w:r>
      <w:r>
        <w:rPr>
          <w:rStyle w:val="205"/>
          <w:rFonts w:hint="eastAsia" w:ascii="宋体" w:hAnsi="宋体"/>
          <w:color w:val="auto"/>
          <w:sz w:val="24"/>
          <w:szCs w:val="24"/>
          <w:highlight w:val="none"/>
          <w:u w:val="single"/>
          <w:lang w:val="en-US" w:eastAsia="zh-CN"/>
        </w:rPr>
        <w:t>%</w:t>
      </w:r>
      <w:r>
        <w:rPr>
          <w:rStyle w:val="205"/>
          <w:rFonts w:hint="eastAsia" w:ascii="宋体" w:hAnsi="宋体"/>
          <w:color w:val="auto"/>
          <w:sz w:val="24"/>
          <w:szCs w:val="24"/>
          <w:highlight w:val="none"/>
          <w:lang w:val="en-US" w:eastAsia="zh-CN"/>
        </w:rPr>
        <w:t>的违约金；违约金不足以弥补甲方损失的，乙方还需另行赔偿。</w:t>
      </w:r>
    </w:p>
    <w:p w14:paraId="32185A61">
      <w:pPr>
        <w:ind w:firstLine="480" w:firstLineChars="200"/>
        <w:rPr>
          <w:rFonts w:hint="eastAsia" w:eastAsia="宋体"/>
          <w:highlight w:val="none"/>
          <w:lang w:val="en-US" w:eastAsia="zh-CN"/>
        </w:rPr>
      </w:pPr>
      <w:r>
        <w:rPr>
          <w:rStyle w:val="205"/>
          <w:rFonts w:hint="eastAsia" w:ascii="宋体" w:hAnsi="宋体"/>
          <w:color w:val="auto"/>
          <w:sz w:val="24"/>
          <w:szCs w:val="24"/>
          <w:highlight w:val="none"/>
          <w:lang w:val="en-US" w:eastAsia="zh-CN"/>
        </w:rPr>
        <w:t>6、因乙方违约，导致甲方提起诉讼的，乙方应赔偿甲方因维护自身合法权益所产生的一切损失（包括但不限于律师费、交通费、诉讼费、保全费等一切损失）。</w:t>
      </w:r>
    </w:p>
    <w:p w14:paraId="196596E5">
      <w:pPr>
        <w:snapToGrid/>
        <w:spacing w:before="0" w:beforeAutospacing="0" w:after="0" w:afterAutospacing="0" w:line="360" w:lineRule="auto"/>
        <w:ind w:firstLine="482" w:firstLineChars="200"/>
        <w:jc w:val="both"/>
        <w:textAlignment w:val="baseline"/>
        <w:rPr>
          <w:rFonts w:ascii="宋体" w:hAnsi="宋体" w:cs="宋体"/>
          <w:b/>
          <w:bCs/>
          <w:i w:val="0"/>
          <w:caps w:val="0"/>
          <w:color w:val="auto"/>
          <w:spacing w:val="0"/>
          <w:w w:val="100"/>
          <w:sz w:val="24"/>
          <w:szCs w:val="32"/>
          <w:highlight w:val="none"/>
        </w:rPr>
      </w:pPr>
      <w:r>
        <w:rPr>
          <w:rFonts w:hint="eastAsia" w:ascii="宋体" w:hAnsi="宋体" w:cs="宋体"/>
          <w:b/>
          <w:bCs/>
          <w:i w:val="0"/>
          <w:caps w:val="0"/>
          <w:color w:val="auto"/>
          <w:spacing w:val="0"/>
          <w:w w:val="100"/>
          <w:sz w:val="24"/>
          <w:szCs w:val="32"/>
          <w:highlight w:val="none"/>
        </w:rPr>
        <w:t>第</w:t>
      </w:r>
      <w:r>
        <w:rPr>
          <w:rFonts w:hint="eastAsia" w:ascii="宋体" w:hAnsi="宋体" w:cs="宋体"/>
          <w:b/>
          <w:bCs/>
          <w:i w:val="0"/>
          <w:caps w:val="0"/>
          <w:color w:val="auto"/>
          <w:spacing w:val="0"/>
          <w:w w:val="100"/>
          <w:sz w:val="24"/>
          <w:szCs w:val="32"/>
          <w:highlight w:val="none"/>
          <w:lang w:val="en-US" w:eastAsia="zh-CN"/>
        </w:rPr>
        <w:t>十一</w:t>
      </w:r>
      <w:r>
        <w:rPr>
          <w:rFonts w:hint="eastAsia" w:ascii="宋体" w:hAnsi="宋体" w:cs="宋体"/>
          <w:b/>
          <w:bCs/>
          <w:i w:val="0"/>
          <w:caps w:val="0"/>
          <w:color w:val="auto"/>
          <w:spacing w:val="0"/>
          <w:w w:val="100"/>
          <w:sz w:val="24"/>
          <w:szCs w:val="32"/>
          <w:highlight w:val="none"/>
        </w:rPr>
        <w:t>条  不可抗力事件处理</w:t>
      </w:r>
    </w:p>
    <w:p w14:paraId="1EBFC128">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rPr>
        <w:t>1、在合同有效期内，任何一方因不可抗力事件导致不能履行合同，则合同履行期可延长，其延长期与不可抗力影响期相同。</w:t>
      </w:r>
    </w:p>
    <w:p w14:paraId="417B011B">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rPr>
        <w:t>2、由于不可抗力事件不能全部或部分履行合同义务时，任一方可中止履行其在本合同项下的义务（在不可抗力事件发生前应履行但未履行的义务除外）。</w:t>
      </w:r>
    </w:p>
    <w:p w14:paraId="498E157B">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rPr>
        <w:t>3、不可抗力事件发生后，应立即通知对方，并寄送有关权威机构出具的证明。声称受到不可抗力的一方应在任何时候采取合理的行动，以避免或尽量减少不可抗力事件的影响。由于主观原因延误，未及时采取必要措施而导致损失扩大的，不能免除责任。</w:t>
      </w:r>
    </w:p>
    <w:p w14:paraId="162F6743">
      <w:pPr>
        <w:snapToGrid/>
        <w:spacing w:before="0" w:beforeAutospacing="0" w:after="0" w:afterAutospacing="0" w:line="360" w:lineRule="auto"/>
        <w:ind w:firstLine="480" w:firstLineChars="200"/>
        <w:jc w:val="both"/>
        <w:textAlignment w:val="baseline"/>
        <w:rPr>
          <w:rFonts w:hint="eastAsia"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rPr>
        <w:t>4、不可抗力事件延续一百二十天以上，双方应通过友好协商，确定是否继续履行合同。</w:t>
      </w:r>
    </w:p>
    <w:p w14:paraId="751EF44B">
      <w:pPr>
        <w:pStyle w:val="21"/>
        <w:ind w:firstLine="480" w:firstLineChars="200"/>
        <w:rPr>
          <w:highlight w:val="none"/>
        </w:rPr>
      </w:pPr>
      <w:r>
        <w:rPr>
          <w:rStyle w:val="205"/>
          <w:rFonts w:hint="default" w:ascii="宋体" w:hAnsi="宋体"/>
          <w:sz w:val="24"/>
          <w:szCs w:val="24"/>
          <w:highlight w:val="none"/>
          <w:lang w:eastAsia="zh-CN"/>
        </w:rPr>
        <w:t>5、如乙方未经甲方允许，将合同项下义务全部或者部分转交由第三方履行的，甲方有权解除本合同，乙方除应退还甲方已支付的价款外，还应按合同总额的</w:t>
      </w:r>
      <w:r>
        <w:rPr>
          <w:rStyle w:val="205"/>
          <w:rFonts w:hint="eastAsia" w:ascii="宋体" w:hAnsi="宋体"/>
          <w:sz w:val="24"/>
          <w:szCs w:val="24"/>
          <w:highlight w:val="none"/>
          <w:u w:val="single"/>
          <w:lang w:val="en-US" w:eastAsia="zh-CN"/>
        </w:rPr>
        <w:t xml:space="preserve">    </w:t>
      </w:r>
      <w:r>
        <w:rPr>
          <w:rStyle w:val="205"/>
          <w:rFonts w:hint="default" w:ascii="宋体" w:hAnsi="宋体"/>
          <w:sz w:val="24"/>
          <w:szCs w:val="24"/>
          <w:highlight w:val="none"/>
          <w:lang w:eastAsia="zh-CN"/>
        </w:rPr>
        <w:t>%向甲方支付违约金，造成甲方损失的，乙方还需承担赔偿责任。</w:t>
      </w:r>
    </w:p>
    <w:p w14:paraId="291A5D2F">
      <w:pPr>
        <w:snapToGrid/>
        <w:spacing w:before="0" w:beforeAutospacing="0" w:after="0" w:afterAutospacing="0" w:line="240" w:lineRule="auto"/>
        <w:ind w:firstLine="482" w:firstLineChars="200"/>
        <w:jc w:val="both"/>
        <w:textAlignment w:val="baseline"/>
        <w:rPr>
          <w:rFonts w:hint="default" w:ascii="宋体" w:hAnsi="宋体" w:eastAsia="宋体" w:cs="宋体"/>
          <w:b w:val="0"/>
          <w:i w:val="0"/>
          <w:caps w:val="0"/>
          <w:color w:val="auto"/>
          <w:spacing w:val="0"/>
          <w:w w:val="100"/>
          <w:sz w:val="24"/>
          <w:szCs w:val="32"/>
          <w:highlight w:val="none"/>
          <w:lang w:val="en-US" w:eastAsia="zh-CN"/>
        </w:rPr>
      </w:pPr>
      <w:r>
        <w:rPr>
          <w:rFonts w:hint="eastAsia" w:ascii="宋体" w:hAnsi="宋体" w:cs="宋体"/>
          <w:b/>
          <w:bCs/>
          <w:i w:val="0"/>
          <w:caps w:val="0"/>
          <w:color w:val="auto"/>
          <w:spacing w:val="0"/>
          <w:w w:val="100"/>
          <w:sz w:val="24"/>
          <w:szCs w:val="32"/>
          <w:highlight w:val="none"/>
        </w:rPr>
        <w:t>第</w:t>
      </w:r>
      <w:r>
        <w:rPr>
          <w:rFonts w:hint="eastAsia" w:ascii="宋体" w:hAnsi="宋体" w:cs="宋体"/>
          <w:b/>
          <w:bCs/>
          <w:i w:val="0"/>
          <w:caps w:val="0"/>
          <w:color w:val="auto"/>
          <w:spacing w:val="0"/>
          <w:w w:val="100"/>
          <w:sz w:val="24"/>
          <w:szCs w:val="32"/>
          <w:highlight w:val="none"/>
          <w:lang w:val="en-US" w:eastAsia="zh-CN"/>
        </w:rPr>
        <w:t>十二</w:t>
      </w:r>
      <w:r>
        <w:rPr>
          <w:rFonts w:hint="eastAsia" w:ascii="宋体" w:hAnsi="宋体" w:cs="宋体"/>
          <w:b/>
          <w:bCs/>
          <w:i w:val="0"/>
          <w:caps w:val="0"/>
          <w:color w:val="auto"/>
          <w:spacing w:val="0"/>
          <w:w w:val="100"/>
          <w:sz w:val="24"/>
          <w:szCs w:val="32"/>
          <w:highlight w:val="none"/>
        </w:rPr>
        <w:t xml:space="preserve">条 </w:t>
      </w:r>
      <w:r>
        <w:rPr>
          <w:rFonts w:hint="eastAsia" w:ascii="宋体" w:hAnsi="宋体" w:cs="宋体"/>
          <w:b/>
          <w:bCs/>
          <w:i w:val="0"/>
          <w:caps w:val="0"/>
          <w:color w:val="auto"/>
          <w:spacing w:val="0"/>
          <w:w w:val="100"/>
          <w:sz w:val="24"/>
          <w:szCs w:val="32"/>
          <w:highlight w:val="none"/>
          <w:lang w:val="en-US" w:eastAsia="zh-CN"/>
        </w:rPr>
        <w:t>争议解决</w:t>
      </w:r>
    </w:p>
    <w:p w14:paraId="451E3288">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rPr>
        <w:t>如双方在合同有效期内有任何争议，应友好协商解决。若协商不成，可向甲方所在地法院提起诉讼。</w:t>
      </w:r>
    </w:p>
    <w:p w14:paraId="22FD8892">
      <w:pPr>
        <w:snapToGrid/>
        <w:spacing w:before="0" w:beforeAutospacing="0" w:after="0" w:afterAutospacing="0" w:line="360" w:lineRule="auto"/>
        <w:ind w:firstLine="482" w:firstLineChars="200"/>
        <w:jc w:val="both"/>
        <w:textAlignment w:val="baseline"/>
        <w:rPr>
          <w:rFonts w:ascii="宋体" w:hAnsi="宋体" w:cs="宋体"/>
          <w:b/>
          <w:bCs/>
          <w:i w:val="0"/>
          <w:caps w:val="0"/>
          <w:color w:val="auto"/>
          <w:spacing w:val="0"/>
          <w:w w:val="100"/>
          <w:sz w:val="24"/>
          <w:szCs w:val="32"/>
          <w:highlight w:val="none"/>
        </w:rPr>
      </w:pPr>
      <w:r>
        <w:rPr>
          <w:rFonts w:hint="eastAsia" w:ascii="宋体" w:hAnsi="宋体" w:cs="宋体"/>
          <w:b/>
          <w:bCs/>
          <w:i w:val="0"/>
          <w:caps w:val="0"/>
          <w:color w:val="auto"/>
          <w:spacing w:val="0"/>
          <w:w w:val="100"/>
          <w:sz w:val="24"/>
          <w:szCs w:val="32"/>
          <w:highlight w:val="none"/>
        </w:rPr>
        <w:t>第十</w:t>
      </w:r>
      <w:r>
        <w:rPr>
          <w:rFonts w:hint="eastAsia" w:ascii="宋体" w:hAnsi="宋体" w:cs="宋体"/>
          <w:b/>
          <w:bCs/>
          <w:i w:val="0"/>
          <w:caps w:val="0"/>
          <w:color w:val="auto"/>
          <w:spacing w:val="0"/>
          <w:w w:val="100"/>
          <w:sz w:val="24"/>
          <w:szCs w:val="32"/>
          <w:highlight w:val="none"/>
          <w:lang w:val="en-US" w:eastAsia="zh-CN"/>
        </w:rPr>
        <w:t>三</w:t>
      </w:r>
      <w:r>
        <w:rPr>
          <w:rFonts w:hint="eastAsia" w:ascii="宋体" w:hAnsi="宋体" w:cs="宋体"/>
          <w:b/>
          <w:bCs/>
          <w:i w:val="0"/>
          <w:caps w:val="0"/>
          <w:color w:val="auto"/>
          <w:spacing w:val="0"/>
          <w:w w:val="100"/>
          <w:sz w:val="24"/>
          <w:szCs w:val="32"/>
          <w:highlight w:val="none"/>
        </w:rPr>
        <w:t xml:space="preserve">条  合同的变更、终止与转让 </w:t>
      </w:r>
    </w:p>
    <w:p w14:paraId="038D8761">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rPr>
        <w:t>1、除《中华人民共和国政府采购法》第五十条规定的情形外，本合同一经签订，甲乙双方不得擅自变更、中止或终止。</w:t>
      </w:r>
    </w:p>
    <w:p w14:paraId="13B7F807">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rPr>
        <w:t>2、经双方法定代表人或授权代表签字并加盖单位公章后生效。</w:t>
      </w:r>
    </w:p>
    <w:p w14:paraId="14A2D45F">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rPr>
        <w:t>3、合同执行中涉及采购资金和采购内容修改或补充的，须经财政部门审批，并签书面补充协议报财政部门备案，方可作为主合同不可分割的一部分。</w:t>
      </w:r>
    </w:p>
    <w:p w14:paraId="5E48BF9E">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rPr>
        <w:t>4、本合同未尽事宜，遵照《</w:t>
      </w:r>
      <w:r>
        <w:rPr>
          <w:rFonts w:hint="eastAsia" w:ascii="宋体" w:hAnsi="宋体" w:cs="宋体"/>
          <w:b w:val="0"/>
          <w:i w:val="0"/>
          <w:caps w:val="0"/>
          <w:color w:val="auto"/>
          <w:spacing w:val="0"/>
          <w:w w:val="100"/>
          <w:sz w:val="24"/>
          <w:szCs w:val="32"/>
          <w:highlight w:val="none"/>
          <w:lang w:val="en-US" w:eastAsia="zh-Hans"/>
        </w:rPr>
        <w:t>中华人民共和国民法典</w:t>
      </w:r>
      <w:r>
        <w:rPr>
          <w:rFonts w:hint="eastAsia" w:ascii="宋体" w:hAnsi="宋体" w:cs="宋体"/>
          <w:b w:val="0"/>
          <w:i w:val="0"/>
          <w:caps w:val="0"/>
          <w:color w:val="auto"/>
          <w:spacing w:val="0"/>
          <w:w w:val="100"/>
          <w:sz w:val="24"/>
          <w:szCs w:val="32"/>
          <w:highlight w:val="none"/>
        </w:rPr>
        <w:t>》有关条文执行。</w:t>
      </w:r>
    </w:p>
    <w:p w14:paraId="6E5154BD">
      <w:pPr>
        <w:snapToGrid/>
        <w:spacing w:before="0" w:beforeAutospacing="0" w:after="0" w:afterAutospacing="0" w:line="240" w:lineRule="auto"/>
        <w:ind w:firstLine="482"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bCs/>
          <w:i w:val="0"/>
          <w:caps w:val="0"/>
          <w:color w:val="auto"/>
          <w:spacing w:val="0"/>
          <w:w w:val="100"/>
          <w:sz w:val="24"/>
          <w:szCs w:val="32"/>
          <w:highlight w:val="none"/>
        </w:rPr>
        <w:t>第十</w:t>
      </w:r>
      <w:r>
        <w:rPr>
          <w:rFonts w:hint="eastAsia" w:ascii="宋体" w:hAnsi="宋体" w:cs="宋体"/>
          <w:b/>
          <w:bCs/>
          <w:i w:val="0"/>
          <w:caps w:val="0"/>
          <w:color w:val="auto"/>
          <w:spacing w:val="0"/>
          <w:w w:val="100"/>
          <w:sz w:val="24"/>
          <w:szCs w:val="32"/>
          <w:highlight w:val="none"/>
          <w:lang w:val="en-US" w:eastAsia="zh-CN"/>
        </w:rPr>
        <w:t>四</w:t>
      </w:r>
      <w:r>
        <w:rPr>
          <w:rFonts w:hint="eastAsia" w:ascii="宋体" w:hAnsi="宋体" w:cs="宋体"/>
          <w:b/>
          <w:bCs/>
          <w:i w:val="0"/>
          <w:caps w:val="0"/>
          <w:color w:val="auto"/>
          <w:spacing w:val="0"/>
          <w:w w:val="100"/>
          <w:sz w:val="24"/>
          <w:szCs w:val="32"/>
          <w:highlight w:val="none"/>
        </w:rPr>
        <w:t>条  签订本合同依据</w:t>
      </w:r>
    </w:p>
    <w:p w14:paraId="06FEA49F">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rPr>
        <w:t>1、政府采购</w:t>
      </w:r>
      <w:r>
        <w:rPr>
          <w:rFonts w:hint="eastAsia" w:ascii="宋体" w:hAnsi="宋体" w:cs="宋体"/>
          <w:b w:val="0"/>
          <w:i w:val="0"/>
          <w:caps w:val="0"/>
          <w:color w:val="auto"/>
          <w:spacing w:val="0"/>
          <w:w w:val="100"/>
          <w:sz w:val="24"/>
          <w:szCs w:val="32"/>
          <w:highlight w:val="none"/>
          <w:lang w:eastAsia="zh-CN"/>
        </w:rPr>
        <w:t>竞争性磋商文件</w:t>
      </w:r>
      <w:r>
        <w:rPr>
          <w:rFonts w:hint="eastAsia" w:ascii="宋体" w:hAnsi="宋体" w:cs="宋体"/>
          <w:b w:val="0"/>
          <w:i w:val="0"/>
          <w:caps w:val="0"/>
          <w:color w:val="auto"/>
          <w:spacing w:val="0"/>
          <w:w w:val="100"/>
          <w:sz w:val="24"/>
          <w:szCs w:val="32"/>
          <w:highlight w:val="none"/>
        </w:rPr>
        <w:t>；</w:t>
      </w:r>
    </w:p>
    <w:p w14:paraId="763A73ED">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rPr>
        <w:t>2、乙方提供的采购投标（或应答）文件；</w:t>
      </w:r>
    </w:p>
    <w:p w14:paraId="167EF9CB">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32"/>
          <w:highlight w:val="none"/>
        </w:rPr>
      </w:pPr>
      <w:r>
        <w:rPr>
          <w:rFonts w:hint="eastAsia" w:ascii="宋体" w:hAnsi="宋体" w:cs="宋体"/>
          <w:b w:val="0"/>
          <w:i w:val="0"/>
          <w:caps w:val="0"/>
          <w:color w:val="auto"/>
          <w:spacing w:val="0"/>
          <w:w w:val="100"/>
          <w:sz w:val="24"/>
          <w:szCs w:val="32"/>
          <w:highlight w:val="none"/>
          <w:lang w:val="en-US" w:eastAsia="zh-CN"/>
        </w:rPr>
        <w:t>3</w:t>
      </w:r>
      <w:r>
        <w:rPr>
          <w:rFonts w:hint="eastAsia" w:ascii="宋体" w:hAnsi="宋体" w:cs="宋体"/>
          <w:b w:val="0"/>
          <w:i w:val="0"/>
          <w:caps w:val="0"/>
          <w:color w:val="auto"/>
          <w:spacing w:val="0"/>
          <w:w w:val="100"/>
          <w:sz w:val="24"/>
          <w:szCs w:val="32"/>
          <w:highlight w:val="none"/>
        </w:rPr>
        <w:t>、中标或成交通知书。</w:t>
      </w:r>
    </w:p>
    <w:p w14:paraId="2313E9D5">
      <w:pPr>
        <w:pStyle w:val="6"/>
        <w:numPr>
          <w:ilvl w:val="3"/>
          <w:numId w:val="0"/>
        </w:numPr>
        <w:snapToGrid/>
        <w:spacing w:before="120" w:beforeAutospacing="0" w:after="120" w:afterAutospacing="0" w:line="360" w:lineRule="auto"/>
        <w:ind w:firstLine="482" w:firstLineChars="200"/>
        <w:jc w:val="left"/>
        <w:textAlignment w:val="baseline"/>
        <w:rPr>
          <w:rFonts w:hint="eastAsia" w:ascii="宋体" w:hAnsi="宋体" w:eastAsia="宋体" w:cs="宋体"/>
          <w:b/>
          <w:bCs/>
          <w:i w:val="0"/>
          <w:caps w:val="0"/>
          <w:color w:val="auto"/>
          <w:spacing w:val="0"/>
          <w:w w:val="100"/>
          <w:kern w:val="2"/>
          <w:sz w:val="24"/>
          <w:szCs w:val="32"/>
          <w:highlight w:val="none"/>
        </w:rPr>
      </w:pPr>
      <w:r>
        <w:rPr>
          <w:rFonts w:hint="eastAsia" w:ascii="宋体" w:hAnsi="宋体" w:eastAsia="宋体" w:cs="宋体"/>
          <w:b/>
          <w:bCs/>
          <w:i w:val="0"/>
          <w:caps w:val="0"/>
          <w:color w:val="auto"/>
          <w:spacing w:val="0"/>
          <w:w w:val="100"/>
          <w:kern w:val="2"/>
          <w:sz w:val="24"/>
          <w:szCs w:val="32"/>
          <w:highlight w:val="none"/>
        </w:rPr>
        <w:t>第十</w:t>
      </w:r>
      <w:r>
        <w:rPr>
          <w:rFonts w:hint="eastAsia" w:ascii="宋体" w:hAnsi="宋体" w:eastAsia="宋体" w:cs="宋体"/>
          <w:b/>
          <w:bCs/>
          <w:i w:val="0"/>
          <w:caps w:val="0"/>
          <w:color w:val="auto"/>
          <w:spacing w:val="0"/>
          <w:w w:val="100"/>
          <w:kern w:val="2"/>
          <w:sz w:val="24"/>
          <w:szCs w:val="32"/>
          <w:highlight w:val="none"/>
          <w:lang w:val="en-US" w:eastAsia="zh-CN"/>
        </w:rPr>
        <w:t>五</w:t>
      </w:r>
      <w:r>
        <w:rPr>
          <w:rFonts w:hint="eastAsia" w:ascii="宋体" w:hAnsi="宋体" w:eastAsia="宋体" w:cs="宋体"/>
          <w:b/>
          <w:bCs/>
          <w:i w:val="0"/>
          <w:caps w:val="0"/>
          <w:color w:val="auto"/>
          <w:spacing w:val="0"/>
          <w:w w:val="100"/>
          <w:kern w:val="2"/>
          <w:sz w:val="24"/>
          <w:szCs w:val="32"/>
          <w:highlight w:val="none"/>
        </w:rPr>
        <w:t xml:space="preserve">条 </w:t>
      </w:r>
      <w:r>
        <w:rPr>
          <w:rFonts w:hint="eastAsia" w:ascii="宋体" w:hAnsi="宋体" w:eastAsia="宋体" w:cs="宋体"/>
          <w:b/>
          <w:bCs/>
          <w:i w:val="0"/>
          <w:caps w:val="0"/>
          <w:color w:val="auto"/>
          <w:spacing w:val="0"/>
          <w:w w:val="100"/>
          <w:kern w:val="2"/>
          <w:sz w:val="24"/>
          <w:szCs w:val="32"/>
          <w:highlight w:val="none"/>
          <w:lang w:val="en-US" w:eastAsia="zh-CN"/>
        </w:rPr>
        <w:t xml:space="preserve"> 其他</w:t>
      </w:r>
      <w:r>
        <w:rPr>
          <w:rFonts w:hint="eastAsia" w:ascii="宋体" w:hAnsi="宋体" w:eastAsia="宋体" w:cs="宋体"/>
          <w:b/>
          <w:bCs/>
          <w:i w:val="0"/>
          <w:caps w:val="0"/>
          <w:color w:val="auto"/>
          <w:spacing w:val="0"/>
          <w:w w:val="100"/>
          <w:kern w:val="2"/>
          <w:sz w:val="24"/>
          <w:szCs w:val="32"/>
          <w:highlight w:val="none"/>
        </w:rPr>
        <w:t xml:space="preserve"> </w:t>
      </w:r>
    </w:p>
    <w:p w14:paraId="669F0FC1">
      <w:pPr>
        <w:pStyle w:val="6"/>
        <w:numPr>
          <w:ilvl w:val="3"/>
          <w:numId w:val="0"/>
        </w:numPr>
        <w:snapToGrid/>
        <w:spacing w:before="120" w:beforeAutospacing="0" w:after="120" w:afterAutospacing="0" w:line="360" w:lineRule="auto"/>
        <w:ind w:firstLine="480" w:firstLineChars="200"/>
        <w:jc w:val="left"/>
        <w:textAlignment w:val="baseline"/>
        <w:rPr>
          <w:rFonts w:hint="eastAsia" w:ascii="宋体" w:hAnsi="宋体" w:eastAsia="宋体" w:cs="宋体"/>
          <w:b w:val="0"/>
          <w:i w:val="0"/>
          <w:caps w:val="0"/>
          <w:color w:val="auto"/>
          <w:spacing w:val="0"/>
          <w:w w:val="100"/>
          <w:kern w:val="2"/>
          <w:sz w:val="24"/>
          <w:szCs w:val="32"/>
          <w:highlight w:val="none"/>
        </w:rPr>
      </w:pPr>
      <w:r>
        <w:rPr>
          <w:rFonts w:hint="eastAsia" w:ascii="宋体" w:hAnsi="宋体" w:eastAsia="宋体" w:cs="宋体"/>
          <w:b w:val="0"/>
          <w:bCs w:val="0"/>
          <w:i w:val="0"/>
          <w:caps w:val="0"/>
          <w:color w:val="auto"/>
          <w:spacing w:val="0"/>
          <w:w w:val="100"/>
          <w:kern w:val="2"/>
          <w:sz w:val="24"/>
          <w:szCs w:val="32"/>
          <w:highlight w:val="none"/>
          <w:lang w:val="en-US" w:eastAsia="zh-CN"/>
        </w:rPr>
        <w:t>1、</w:t>
      </w:r>
      <w:r>
        <w:rPr>
          <w:rFonts w:hint="eastAsia" w:ascii="宋体" w:hAnsi="宋体" w:eastAsia="宋体" w:cs="宋体"/>
          <w:b w:val="0"/>
          <w:i w:val="0"/>
          <w:caps w:val="0"/>
          <w:color w:val="auto"/>
          <w:spacing w:val="0"/>
          <w:w w:val="100"/>
          <w:kern w:val="2"/>
          <w:sz w:val="24"/>
          <w:szCs w:val="32"/>
          <w:highlight w:val="none"/>
        </w:rPr>
        <w:t>本合同一式六份，具有同等法律效力，财政部门（政府采购监管部门）、采购代理机构各一份，甲、乙双方各执二份。</w:t>
      </w:r>
    </w:p>
    <w:p w14:paraId="059337A5">
      <w:pPr>
        <w:pStyle w:val="6"/>
        <w:numPr>
          <w:ilvl w:val="3"/>
          <w:numId w:val="0"/>
        </w:numPr>
        <w:snapToGrid/>
        <w:spacing w:before="120" w:beforeAutospacing="0" w:after="120" w:afterAutospacing="0" w:line="360" w:lineRule="auto"/>
        <w:ind w:firstLine="480" w:firstLineChars="200"/>
        <w:jc w:val="left"/>
        <w:textAlignment w:val="baseline"/>
        <w:rPr>
          <w:rStyle w:val="205"/>
          <w:rFonts w:ascii="宋体" w:hAnsi="宋体"/>
          <w:b/>
          <w:color w:val="auto"/>
          <w:szCs w:val="21"/>
          <w:highlight w:val="none"/>
        </w:rPr>
      </w:pPr>
      <w:r>
        <w:rPr>
          <w:rFonts w:hint="eastAsia" w:ascii="宋体" w:hAnsi="宋体" w:eastAsia="宋体" w:cs="宋体"/>
          <w:b w:val="0"/>
          <w:i w:val="0"/>
          <w:caps w:val="0"/>
          <w:color w:val="auto"/>
          <w:spacing w:val="0"/>
          <w:w w:val="100"/>
          <w:kern w:val="2"/>
          <w:sz w:val="24"/>
          <w:szCs w:val="32"/>
          <w:highlight w:val="none"/>
          <w:lang w:val="en-US" w:eastAsia="zh-CN"/>
        </w:rPr>
        <w:t>2、</w:t>
      </w:r>
      <w:r>
        <w:rPr>
          <w:rFonts w:hint="eastAsia" w:ascii="宋体" w:hAnsi="宋体" w:eastAsia="宋体" w:cs="宋体"/>
          <w:b w:val="0"/>
          <w:i w:val="0"/>
          <w:caps w:val="0"/>
          <w:color w:val="auto"/>
          <w:spacing w:val="0"/>
          <w:w w:val="100"/>
          <w:kern w:val="2"/>
          <w:sz w:val="24"/>
          <w:szCs w:val="32"/>
          <w:highlight w:val="none"/>
        </w:rPr>
        <w:t>本合同自签订之日起</w:t>
      </w:r>
      <w:r>
        <w:rPr>
          <w:rFonts w:hint="eastAsia" w:ascii="宋体" w:hAnsi="宋体" w:eastAsia="宋体" w:cs="宋体"/>
          <w:b w:val="0"/>
          <w:i w:val="0"/>
          <w:caps w:val="0"/>
          <w:color w:val="auto"/>
          <w:spacing w:val="0"/>
          <w:w w:val="100"/>
          <w:kern w:val="2"/>
          <w:sz w:val="24"/>
          <w:szCs w:val="32"/>
          <w:highlight w:val="none"/>
          <w:lang w:eastAsia="zh-CN"/>
        </w:rPr>
        <w:t>两个</w:t>
      </w:r>
      <w:r>
        <w:rPr>
          <w:rFonts w:hint="eastAsia" w:ascii="宋体" w:hAnsi="宋体" w:eastAsia="宋体" w:cs="宋体"/>
          <w:b w:val="0"/>
          <w:i w:val="0"/>
          <w:caps w:val="0"/>
          <w:color w:val="auto"/>
          <w:spacing w:val="0"/>
          <w:w w:val="100"/>
          <w:kern w:val="2"/>
          <w:sz w:val="24"/>
          <w:szCs w:val="32"/>
          <w:highlight w:val="none"/>
        </w:rPr>
        <w:t>工作日内，采购代理机构应当将合同副本报同级财政部门备案。</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8C8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4516" w:type="dxa"/>
            <w:noWrap w:val="0"/>
            <w:vAlign w:val="center"/>
          </w:tcPr>
          <w:p w14:paraId="65E2EBF6">
            <w:pPr>
              <w:snapToGrid w:val="0"/>
              <w:spacing w:line="400" w:lineRule="exact"/>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甲方（章）           </w:t>
            </w:r>
          </w:p>
          <w:p w14:paraId="772777C4">
            <w:pPr>
              <w:pStyle w:val="54"/>
              <w:ind w:left="0" w:leftChars="0" w:firstLine="0" w:firstLineChars="0"/>
              <w:rPr>
                <w:rFonts w:hint="eastAsia" w:ascii="宋体" w:hAnsi="宋体"/>
                <w:caps w:val="0"/>
                <w:color w:val="auto"/>
                <w:spacing w:val="0"/>
                <w:szCs w:val="21"/>
                <w:highlight w:val="none"/>
              </w:rPr>
            </w:pPr>
          </w:p>
          <w:p w14:paraId="218B09E5">
            <w:pPr>
              <w:snapToGrid w:val="0"/>
              <w:spacing w:line="400" w:lineRule="exact"/>
              <w:ind w:firstLine="945" w:firstLineChars="450"/>
              <w:jc w:val="right"/>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年   月   日</w:t>
            </w:r>
          </w:p>
        </w:tc>
        <w:tc>
          <w:tcPr>
            <w:tcW w:w="4517" w:type="dxa"/>
            <w:noWrap w:val="0"/>
            <w:vAlign w:val="center"/>
          </w:tcPr>
          <w:p w14:paraId="144EE212">
            <w:pPr>
              <w:snapToGrid w:val="0"/>
              <w:spacing w:line="400" w:lineRule="exact"/>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乙方（章）              </w:t>
            </w:r>
          </w:p>
          <w:p w14:paraId="7C352DF3">
            <w:pPr>
              <w:snapToGrid w:val="0"/>
              <w:spacing w:line="400" w:lineRule="exact"/>
              <w:rPr>
                <w:rFonts w:hint="eastAsia" w:ascii="宋体" w:hAnsi="宋体"/>
                <w:caps w:val="0"/>
                <w:color w:val="auto"/>
                <w:spacing w:val="0"/>
                <w:szCs w:val="21"/>
                <w:highlight w:val="none"/>
              </w:rPr>
            </w:pPr>
          </w:p>
          <w:p w14:paraId="78FB466C">
            <w:pPr>
              <w:snapToGrid w:val="0"/>
              <w:spacing w:line="400" w:lineRule="exact"/>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 年   月   日</w:t>
            </w:r>
          </w:p>
        </w:tc>
      </w:tr>
      <w:tr w14:paraId="0256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5E3CAE84">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单位地址：</w:t>
            </w:r>
          </w:p>
        </w:tc>
        <w:tc>
          <w:tcPr>
            <w:tcW w:w="4517" w:type="dxa"/>
            <w:noWrap w:val="0"/>
            <w:vAlign w:val="center"/>
          </w:tcPr>
          <w:p w14:paraId="2E35B40D">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单位地址：</w:t>
            </w:r>
          </w:p>
        </w:tc>
      </w:tr>
      <w:tr w14:paraId="6598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noWrap w:val="0"/>
            <w:vAlign w:val="center"/>
          </w:tcPr>
          <w:p w14:paraId="00A76FC5">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法定代表人：</w:t>
            </w:r>
          </w:p>
        </w:tc>
        <w:tc>
          <w:tcPr>
            <w:tcW w:w="4517" w:type="dxa"/>
            <w:noWrap w:val="0"/>
            <w:vAlign w:val="center"/>
          </w:tcPr>
          <w:p w14:paraId="29C017F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法定代表人：</w:t>
            </w:r>
          </w:p>
        </w:tc>
      </w:tr>
      <w:tr w14:paraId="056E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noWrap w:val="0"/>
            <w:vAlign w:val="center"/>
          </w:tcPr>
          <w:p w14:paraId="44BEBB3E">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委托代理人：</w:t>
            </w:r>
          </w:p>
        </w:tc>
        <w:tc>
          <w:tcPr>
            <w:tcW w:w="4517" w:type="dxa"/>
            <w:noWrap w:val="0"/>
            <w:vAlign w:val="center"/>
          </w:tcPr>
          <w:p w14:paraId="0A0023C1">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委托代理人</w:t>
            </w:r>
          </w:p>
        </w:tc>
      </w:tr>
      <w:tr w14:paraId="49EC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1B4B697D">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电话：</w:t>
            </w:r>
          </w:p>
        </w:tc>
        <w:tc>
          <w:tcPr>
            <w:tcW w:w="4517" w:type="dxa"/>
            <w:noWrap w:val="0"/>
            <w:vAlign w:val="center"/>
          </w:tcPr>
          <w:p w14:paraId="14AF19E3">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电话：</w:t>
            </w:r>
          </w:p>
        </w:tc>
      </w:tr>
      <w:tr w14:paraId="7D21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1EAD6AC">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电子邮箱：</w:t>
            </w:r>
          </w:p>
        </w:tc>
        <w:tc>
          <w:tcPr>
            <w:tcW w:w="4517" w:type="dxa"/>
            <w:noWrap w:val="0"/>
            <w:vAlign w:val="center"/>
          </w:tcPr>
          <w:p w14:paraId="217BA98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电子邮箱：</w:t>
            </w:r>
          </w:p>
        </w:tc>
      </w:tr>
      <w:tr w14:paraId="1799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30059D7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开户银行：</w:t>
            </w:r>
          </w:p>
        </w:tc>
        <w:tc>
          <w:tcPr>
            <w:tcW w:w="4517" w:type="dxa"/>
            <w:noWrap w:val="0"/>
            <w:vAlign w:val="center"/>
          </w:tcPr>
          <w:p w14:paraId="0C5B1C0F">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开户银行：</w:t>
            </w:r>
          </w:p>
        </w:tc>
      </w:tr>
      <w:tr w14:paraId="6395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5171EDDB">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账号：</w:t>
            </w:r>
          </w:p>
        </w:tc>
        <w:tc>
          <w:tcPr>
            <w:tcW w:w="4517" w:type="dxa"/>
            <w:noWrap w:val="0"/>
            <w:vAlign w:val="center"/>
          </w:tcPr>
          <w:p w14:paraId="181C7E6F">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账号：</w:t>
            </w:r>
          </w:p>
        </w:tc>
      </w:tr>
      <w:tr w14:paraId="225C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1AA09011">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邮政编码：</w:t>
            </w:r>
          </w:p>
        </w:tc>
        <w:tc>
          <w:tcPr>
            <w:tcW w:w="4517" w:type="dxa"/>
            <w:noWrap w:val="0"/>
            <w:vAlign w:val="center"/>
          </w:tcPr>
          <w:p w14:paraId="6AA5D339">
            <w:pPr>
              <w:snapToGrid w:val="0"/>
              <w:spacing w:line="360" w:lineRule="auto"/>
              <w:jc w:val="both"/>
              <w:rPr>
                <w:rFonts w:hint="eastAsia" w:ascii="宋体" w:hAnsi="宋体"/>
                <w:caps w:val="0"/>
                <w:color w:val="auto"/>
                <w:spacing w:val="0"/>
                <w:szCs w:val="21"/>
                <w:highlight w:val="none"/>
              </w:rPr>
            </w:pPr>
            <w:r>
              <w:rPr>
                <w:rFonts w:hint="eastAsia" w:ascii="宋体" w:hAnsi="宋体"/>
                <w:caps w:val="0"/>
                <w:color w:val="auto"/>
                <w:spacing w:val="0"/>
                <w:szCs w:val="21"/>
                <w:highlight w:val="none"/>
              </w:rPr>
              <w:t>邮政编码：</w:t>
            </w:r>
          </w:p>
        </w:tc>
      </w:tr>
    </w:tbl>
    <w:p w14:paraId="15A691A3">
      <w:pPr>
        <w:rPr>
          <w:color w:val="auto"/>
          <w:highlight w:val="none"/>
        </w:rPr>
      </w:pPr>
    </w:p>
    <w:p w14:paraId="39E22AA7">
      <w:pPr>
        <w:pStyle w:val="21"/>
        <w:tabs>
          <w:tab w:val="left" w:pos="4309"/>
          <w:tab w:val="left" w:pos="6151"/>
        </w:tabs>
        <w:spacing w:line="360" w:lineRule="auto"/>
        <w:ind w:firstLine="480" w:firstLineChars="200"/>
        <w:rPr>
          <w:color w:val="auto"/>
          <w:sz w:val="24"/>
          <w:szCs w:val="24"/>
          <w:highlight w:val="none"/>
        </w:rPr>
        <w:sectPr>
          <w:headerReference r:id="rId9" w:type="default"/>
          <w:footerReference r:id="rId10" w:type="default"/>
          <w:pgSz w:w="11910" w:h="16840"/>
          <w:pgMar w:top="1417" w:right="1417" w:bottom="1417" w:left="1417" w:header="0" w:footer="1202" w:gutter="0"/>
          <w:pgNumType w:fmt="decimal"/>
          <w:cols w:space="720" w:num="1"/>
        </w:sectPr>
      </w:pPr>
    </w:p>
    <w:p w14:paraId="2501D438">
      <w:pPr>
        <w:snapToGrid w:val="0"/>
        <w:spacing w:line="440" w:lineRule="exact"/>
        <w:jc w:val="center"/>
        <w:rPr>
          <w:rFonts w:hint="eastAsia" w:ascii="宋体" w:hAnsi="宋体"/>
          <w:b/>
          <w:caps w:val="0"/>
          <w:color w:val="auto"/>
          <w:spacing w:val="0"/>
          <w:sz w:val="36"/>
          <w:szCs w:val="36"/>
          <w:highlight w:val="none"/>
        </w:rPr>
      </w:pPr>
      <w:r>
        <w:rPr>
          <w:rFonts w:hint="eastAsia" w:ascii="宋体" w:hAnsi="宋体"/>
          <w:b/>
          <w:caps w:val="0"/>
          <w:color w:val="auto"/>
          <w:spacing w:val="0"/>
          <w:sz w:val="36"/>
          <w:szCs w:val="36"/>
          <w:highlight w:val="none"/>
        </w:rPr>
        <w:t>合 同 附 件</w:t>
      </w:r>
    </w:p>
    <w:p w14:paraId="0E18E662">
      <w:pPr>
        <w:snapToGrid w:val="0"/>
        <w:rPr>
          <w:rFonts w:hint="eastAsia" w:ascii="宋体" w:hAnsi="宋体"/>
          <w:caps w:val="0"/>
          <w:color w:val="auto"/>
          <w:spacing w:val="0"/>
          <w:szCs w:val="21"/>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4725"/>
      </w:tblGrid>
      <w:tr w14:paraId="68F8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32AA328A">
            <w:pPr>
              <w:snapToGrid w:val="0"/>
              <w:rPr>
                <w:rFonts w:hint="eastAsia" w:ascii="宋体" w:hAnsi="宋体"/>
                <w:caps w:val="0"/>
                <w:snapToGrid w:val="0"/>
                <w:color w:val="auto"/>
                <w:spacing w:val="0"/>
                <w:kern w:val="0"/>
                <w:szCs w:val="21"/>
                <w:highlight w:val="none"/>
              </w:rPr>
            </w:pPr>
          </w:p>
          <w:p w14:paraId="3B414333">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1、供应商承诺具体事项：</w:t>
            </w:r>
          </w:p>
        </w:tc>
      </w:tr>
      <w:tr w14:paraId="1E0D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5871F06B">
            <w:pPr>
              <w:snapToGrid w:val="0"/>
              <w:rPr>
                <w:rFonts w:hint="eastAsia" w:ascii="宋体" w:hAnsi="宋体"/>
                <w:caps w:val="0"/>
                <w:snapToGrid w:val="0"/>
                <w:color w:val="auto"/>
                <w:spacing w:val="0"/>
                <w:kern w:val="0"/>
                <w:szCs w:val="21"/>
                <w:highlight w:val="none"/>
              </w:rPr>
            </w:pPr>
          </w:p>
          <w:p w14:paraId="72C8CECA">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2、售后服务具体事项：</w:t>
            </w:r>
          </w:p>
        </w:tc>
      </w:tr>
      <w:tr w14:paraId="2E07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62B8C1FE">
            <w:pPr>
              <w:snapToGrid w:val="0"/>
              <w:rPr>
                <w:rFonts w:hint="eastAsia" w:ascii="宋体" w:hAnsi="宋体"/>
                <w:caps w:val="0"/>
                <w:snapToGrid w:val="0"/>
                <w:color w:val="auto"/>
                <w:spacing w:val="0"/>
                <w:kern w:val="0"/>
                <w:szCs w:val="21"/>
                <w:highlight w:val="none"/>
              </w:rPr>
            </w:pPr>
          </w:p>
          <w:p w14:paraId="15435DD6">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3、质保期责任：</w:t>
            </w:r>
          </w:p>
        </w:tc>
      </w:tr>
      <w:tr w14:paraId="2621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7A5349ED">
            <w:pPr>
              <w:snapToGrid w:val="0"/>
              <w:rPr>
                <w:rFonts w:hint="eastAsia" w:ascii="宋体" w:hAnsi="宋体"/>
                <w:caps w:val="0"/>
                <w:snapToGrid w:val="0"/>
                <w:color w:val="auto"/>
                <w:spacing w:val="0"/>
                <w:kern w:val="0"/>
                <w:szCs w:val="21"/>
                <w:highlight w:val="none"/>
              </w:rPr>
            </w:pPr>
          </w:p>
          <w:p w14:paraId="22A4BA43">
            <w:pPr>
              <w:snapToGrid w:val="0"/>
              <w:rPr>
                <w:rFonts w:hint="eastAsia" w:ascii="宋体" w:hAnsi="宋体"/>
                <w:caps w:val="0"/>
                <w:color w:val="auto"/>
                <w:spacing w:val="0"/>
                <w:szCs w:val="21"/>
                <w:highlight w:val="none"/>
              </w:rPr>
            </w:pPr>
            <w:r>
              <w:rPr>
                <w:rFonts w:hint="eastAsia" w:ascii="宋体" w:hAnsi="宋体"/>
                <w:caps w:val="0"/>
                <w:snapToGrid w:val="0"/>
                <w:color w:val="auto"/>
                <w:spacing w:val="0"/>
                <w:kern w:val="0"/>
                <w:szCs w:val="21"/>
                <w:highlight w:val="none"/>
              </w:rPr>
              <w:t>4、其他具体事项：</w:t>
            </w:r>
          </w:p>
        </w:tc>
      </w:tr>
      <w:tr w14:paraId="1156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4815" w:type="dxa"/>
            <w:noWrap w:val="0"/>
            <w:vAlign w:val="center"/>
          </w:tcPr>
          <w:p w14:paraId="2E0ADF22">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甲方（章）</w:t>
            </w:r>
          </w:p>
          <w:p w14:paraId="5D36045C">
            <w:pPr>
              <w:ind w:firstLine="482"/>
              <w:rPr>
                <w:rFonts w:hint="eastAsia" w:ascii="宋体" w:hAnsi="宋体"/>
                <w:caps w:val="0"/>
                <w:color w:val="auto"/>
                <w:spacing w:val="0"/>
                <w:szCs w:val="21"/>
                <w:highlight w:val="none"/>
              </w:rPr>
            </w:pPr>
          </w:p>
          <w:p w14:paraId="52BA7570">
            <w:pPr>
              <w:ind w:firstLine="482"/>
              <w:rPr>
                <w:rFonts w:hint="eastAsia" w:ascii="宋体" w:hAnsi="宋体"/>
                <w:caps w:val="0"/>
                <w:color w:val="auto"/>
                <w:spacing w:val="0"/>
                <w:szCs w:val="21"/>
                <w:highlight w:val="none"/>
              </w:rPr>
            </w:pPr>
          </w:p>
          <w:p w14:paraId="785A89B2">
            <w:pPr>
              <w:ind w:firstLine="482"/>
              <w:rPr>
                <w:rFonts w:hint="eastAsia" w:ascii="宋体" w:hAnsi="宋体"/>
                <w:caps w:val="0"/>
                <w:color w:val="auto"/>
                <w:spacing w:val="0"/>
                <w:szCs w:val="21"/>
                <w:highlight w:val="none"/>
              </w:rPr>
            </w:pPr>
          </w:p>
          <w:p w14:paraId="514E88F0">
            <w:pPr>
              <w:ind w:firstLine="482"/>
              <w:rPr>
                <w:rFonts w:hint="eastAsia" w:ascii="宋体" w:hAnsi="宋体"/>
                <w:caps w:val="0"/>
                <w:color w:val="auto"/>
                <w:spacing w:val="0"/>
                <w:szCs w:val="21"/>
                <w:highlight w:val="none"/>
              </w:rPr>
            </w:pPr>
          </w:p>
          <w:p w14:paraId="76010C17">
            <w:pPr>
              <w:ind w:firstLine="482"/>
              <w:rPr>
                <w:rFonts w:hint="eastAsia" w:ascii="宋体" w:hAnsi="宋体"/>
                <w:caps w:val="0"/>
                <w:color w:val="auto"/>
                <w:spacing w:val="0"/>
                <w:szCs w:val="21"/>
                <w:highlight w:val="none"/>
              </w:rPr>
            </w:pPr>
          </w:p>
          <w:p w14:paraId="17085FA0">
            <w:pPr>
              <w:ind w:firstLine="482"/>
              <w:rPr>
                <w:rFonts w:hint="eastAsia" w:ascii="宋体" w:hAnsi="宋体"/>
                <w:caps w:val="0"/>
                <w:color w:val="auto"/>
                <w:spacing w:val="0"/>
                <w:szCs w:val="21"/>
                <w:highlight w:val="none"/>
              </w:rPr>
            </w:pPr>
          </w:p>
          <w:p w14:paraId="715244B3">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                 年   月   日 </w:t>
            </w:r>
          </w:p>
        </w:tc>
        <w:tc>
          <w:tcPr>
            <w:tcW w:w="4725" w:type="dxa"/>
            <w:noWrap w:val="0"/>
            <w:vAlign w:val="center"/>
          </w:tcPr>
          <w:p w14:paraId="630A6A68">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乙方（章）</w:t>
            </w:r>
          </w:p>
          <w:p w14:paraId="3C9D8F85">
            <w:pPr>
              <w:ind w:firstLine="482"/>
              <w:rPr>
                <w:rFonts w:hint="eastAsia" w:ascii="宋体" w:hAnsi="宋体"/>
                <w:caps w:val="0"/>
                <w:color w:val="auto"/>
                <w:spacing w:val="0"/>
                <w:szCs w:val="21"/>
                <w:highlight w:val="none"/>
              </w:rPr>
            </w:pPr>
          </w:p>
          <w:p w14:paraId="7B4283E0">
            <w:pPr>
              <w:ind w:firstLine="482"/>
              <w:rPr>
                <w:rFonts w:hint="eastAsia" w:ascii="宋体" w:hAnsi="宋体"/>
                <w:caps w:val="0"/>
                <w:color w:val="auto"/>
                <w:spacing w:val="0"/>
                <w:szCs w:val="21"/>
                <w:highlight w:val="none"/>
              </w:rPr>
            </w:pPr>
          </w:p>
          <w:p w14:paraId="441E3927">
            <w:pPr>
              <w:ind w:firstLine="482"/>
              <w:rPr>
                <w:rFonts w:hint="eastAsia" w:ascii="宋体" w:hAnsi="宋体"/>
                <w:caps w:val="0"/>
                <w:color w:val="auto"/>
                <w:spacing w:val="0"/>
                <w:szCs w:val="21"/>
                <w:highlight w:val="none"/>
              </w:rPr>
            </w:pPr>
          </w:p>
          <w:p w14:paraId="1E300A20">
            <w:pPr>
              <w:ind w:firstLine="482"/>
              <w:rPr>
                <w:rFonts w:hint="eastAsia" w:ascii="宋体" w:hAnsi="宋体"/>
                <w:caps w:val="0"/>
                <w:color w:val="auto"/>
                <w:spacing w:val="0"/>
                <w:szCs w:val="21"/>
                <w:highlight w:val="none"/>
              </w:rPr>
            </w:pPr>
          </w:p>
          <w:p w14:paraId="00E0EE84">
            <w:pPr>
              <w:ind w:firstLine="482"/>
              <w:rPr>
                <w:rFonts w:hint="eastAsia" w:ascii="宋体" w:hAnsi="宋体"/>
                <w:caps w:val="0"/>
                <w:color w:val="auto"/>
                <w:spacing w:val="0"/>
                <w:szCs w:val="21"/>
                <w:highlight w:val="none"/>
              </w:rPr>
            </w:pPr>
          </w:p>
          <w:p w14:paraId="0FA98895">
            <w:pPr>
              <w:ind w:firstLine="482"/>
              <w:rPr>
                <w:rFonts w:hint="eastAsia" w:ascii="宋体" w:hAnsi="宋体"/>
                <w:caps w:val="0"/>
                <w:color w:val="auto"/>
                <w:spacing w:val="0"/>
                <w:szCs w:val="21"/>
                <w:highlight w:val="none"/>
              </w:rPr>
            </w:pPr>
          </w:p>
          <w:p w14:paraId="6446E09C">
            <w:pPr>
              <w:ind w:firstLine="482"/>
              <w:rPr>
                <w:rFonts w:hint="eastAsia" w:ascii="宋体" w:hAnsi="宋体"/>
                <w:caps w:val="0"/>
                <w:color w:val="auto"/>
                <w:spacing w:val="0"/>
                <w:szCs w:val="21"/>
                <w:highlight w:val="none"/>
              </w:rPr>
            </w:pPr>
            <w:r>
              <w:rPr>
                <w:rFonts w:hint="eastAsia" w:ascii="宋体" w:hAnsi="宋体"/>
                <w:caps w:val="0"/>
                <w:color w:val="auto"/>
                <w:spacing w:val="0"/>
                <w:szCs w:val="21"/>
                <w:highlight w:val="none"/>
              </w:rPr>
              <w:t xml:space="preserve">                年   月   日</w:t>
            </w:r>
          </w:p>
        </w:tc>
      </w:tr>
    </w:tbl>
    <w:p w14:paraId="43C52808">
      <w:pPr>
        <w:snapToGrid w:val="0"/>
        <w:rPr>
          <w:rFonts w:hint="eastAsia" w:ascii="宋体" w:hAnsi="宋体"/>
          <w:caps w:val="0"/>
          <w:color w:val="auto"/>
          <w:spacing w:val="0"/>
          <w:szCs w:val="21"/>
          <w:highlight w:val="none"/>
        </w:rPr>
      </w:pPr>
    </w:p>
    <w:p w14:paraId="51B882C6">
      <w:pPr>
        <w:keepNext w:val="0"/>
        <w:keepLines w:val="0"/>
        <w:widowControl/>
        <w:suppressLineNumbers w:val="0"/>
        <w:jc w:val="left"/>
        <w:rPr>
          <w:rFonts w:hint="eastAsia" w:ascii="宋体" w:hAnsi="宋体" w:eastAsia="宋体" w:cs="宋体"/>
          <w:b w:val="0"/>
          <w:i w:val="0"/>
          <w:color w:val="auto"/>
          <w:kern w:val="0"/>
          <w:sz w:val="30"/>
          <w:szCs w:val="30"/>
          <w:highlight w:val="none"/>
          <w:lang w:val="en-US" w:eastAsia="zh-CN" w:bidi="ar"/>
        </w:rPr>
      </w:pPr>
      <w:r>
        <w:rPr>
          <w:rFonts w:hint="eastAsia" w:ascii="宋体" w:hAnsi="宋体"/>
          <w:caps w:val="0"/>
          <w:color w:val="auto"/>
          <w:spacing w:val="0"/>
          <w:szCs w:val="21"/>
          <w:highlight w:val="none"/>
        </w:rPr>
        <w:t>注：售后服务事项填不下时可另加附页</w:t>
      </w:r>
    </w:p>
    <w:p w14:paraId="1031B63C">
      <w:pPr>
        <w:pStyle w:val="3"/>
        <w:jc w:val="center"/>
        <w:rPr>
          <w:rFonts w:ascii="宋体" w:hAnsi="宋体" w:eastAsia="宋体"/>
          <w:color w:val="auto"/>
          <w:sz w:val="44"/>
          <w:szCs w:val="44"/>
          <w:highlight w:val="none"/>
        </w:rPr>
      </w:pPr>
      <w:r>
        <w:rPr>
          <w:rFonts w:hint="eastAsia" w:ascii="宋体" w:hAnsi="宋体" w:eastAsia="宋体"/>
          <w:color w:val="auto"/>
          <w:sz w:val="44"/>
          <w:szCs w:val="44"/>
          <w:highlight w:val="none"/>
        </w:rPr>
        <w:t>第六章　投标文件格式</w:t>
      </w:r>
      <w:bookmarkEnd w:id="88"/>
    </w:p>
    <w:p w14:paraId="6C8735D8">
      <w:pPr>
        <w:snapToGrid w:val="0"/>
        <w:spacing w:beforeLines="50" w:after="50" w:line="440" w:lineRule="exact"/>
        <w:jc w:val="center"/>
        <w:outlineLvl w:val="1"/>
        <w:rPr>
          <w:rFonts w:ascii="宋体" w:hAnsi="宋体"/>
          <w:b/>
          <w:color w:val="auto"/>
          <w:sz w:val="24"/>
          <w:highlight w:val="none"/>
        </w:rPr>
      </w:pPr>
    </w:p>
    <w:p w14:paraId="08DEE5A4">
      <w:pPr>
        <w:snapToGrid w:val="0"/>
        <w:spacing w:beforeLines="50" w:after="50" w:line="360" w:lineRule="exact"/>
        <w:rPr>
          <w:rFonts w:ascii="宋体" w:hAnsi="宋体"/>
          <w:b/>
          <w:color w:val="auto"/>
          <w:sz w:val="32"/>
          <w:szCs w:val="32"/>
          <w:highlight w:val="none"/>
        </w:rPr>
      </w:pPr>
      <w:r>
        <w:rPr>
          <w:rFonts w:hint="eastAsia" w:ascii="宋体" w:hAnsi="宋体"/>
          <w:b/>
          <w:color w:val="auto"/>
          <w:sz w:val="32"/>
          <w:szCs w:val="32"/>
          <w:highlight w:val="none"/>
        </w:rPr>
        <w:t xml:space="preserve">投标文件封面格式： </w:t>
      </w:r>
    </w:p>
    <w:p w14:paraId="08973017">
      <w:pPr>
        <w:snapToGrid w:val="0"/>
        <w:spacing w:beforeLines="50" w:after="50" w:line="360" w:lineRule="exact"/>
        <w:rPr>
          <w:rFonts w:ascii="宋体" w:hAnsi="宋体"/>
          <w:color w:val="auto"/>
          <w:sz w:val="24"/>
          <w:highlight w:val="none"/>
        </w:rPr>
      </w:pPr>
    </w:p>
    <w:p w14:paraId="76EAA79C">
      <w:pPr>
        <w:snapToGrid w:val="0"/>
        <w:spacing w:beforeLines="50" w:after="50" w:line="360" w:lineRule="exact"/>
        <w:rPr>
          <w:rFonts w:ascii="宋体" w:hAnsi="宋体"/>
          <w:bCs/>
          <w:color w:val="auto"/>
          <w:szCs w:val="21"/>
          <w:highlight w:val="none"/>
        </w:rPr>
      </w:pPr>
    </w:p>
    <w:p w14:paraId="51204EC7">
      <w:pPr>
        <w:snapToGrid w:val="0"/>
        <w:spacing w:beforeLines="50" w:after="50" w:line="360" w:lineRule="exact"/>
        <w:jc w:val="center"/>
        <w:rPr>
          <w:rFonts w:ascii="宋体" w:hAnsi="宋体"/>
          <w:bCs/>
          <w:color w:val="auto"/>
          <w:sz w:val="44"/>
          <w:szCs w:val="44"/>
          <w:highlight w:val="none"/>
        </w:rPr>
      </w:pPr>
    </w:p>
    <w:p w14:paraId="138B02EF">
      <w:pPr>
        <w:snapToGrid w:val="0"/>
        <w:spacing w:beforeLines="50" w:after="50" w:line="360" w:lineRule="exact"/>
        <w:jc w:val="center"/>
        <w:rPr>
          <w:rFonts w:ascii="宋体" w:hAnsi="宋体"/>
          <w:b/>
          <w:bCs/>
          <w:color w:val="auto"/>
          <w:sz w:val="44"/>
          <w:szCs w:val="44"/>
          <w:highlight w:val="none"/>
        </w:rPr>
      </w:pPr>
      <w:r>
        <w:rPr>
          <w:rFonts w:hint="eastAsia" w:ascii="宋体" w:hAnsi="宋体"/>
          <w:b/>
          <w:bCs/>
          <w:color w:val="auto"/>
          <w:sz w:val="44"/>
          <w:szCs w:val="44"/>
          <w:highlight w:val="none"/>
        </w:rPr>
        <w:t>投标文件</w:t>
      </w:r>
    </w:p>
    <w:p w14:paraId="75359AD2">
      <w:pPr>
        <w:snapToGrid w:val="0"/>
        <w:spacing w:beforeLines="50" w:after="50" w:line="360" w:lineRule="exact"/>
        <w:jc w:val="center"/>
        <w:rPr>
          <w:rFonts w:ascii="宋体" w:hAnsi="宋体"/>
          <w:b/>
          <w:bCs/>
          <w:color w:val="auto"/>
          <w:sz w:val="44"/>
          <w:szCs w:val="44"/>
          <w:highlight w:val="none"/>
        </w:rPr>
      </w:pPr>
    </w:p>
    <w:p w14:paraId="5CCD4BDC">
      <w:pPr>
        <w:snapToGrid w:val="0"/>
        <w:spacing w:beforeLines="50" w:after="50" w:line="360" w:lineRule="exact"/>
        <w:jc w:val="center"/>
        <w:rPr>
          <w:rFonts w:ascii="宋体" w:hAnsi="宋体"/>
          <w:b/>
          <w:bCs/>
          <w:color w:val="auto"/>
          <w:sz w:val="44"/>
          <w:szCs w:val="44"/>
          <w:highlight w:val="none"/>
        </w:rPr>
      </w:pPr>
    </w:p>
    <w:p w14:paraId="2E88975E">
      <w:pPr>
        <w:snapToGrid w:val="0"/>
        <w:spacing w:beforeLines="50" w:after="50" w:line="360" w:lineRule="exact"/>
        <w:rPr>
          <w:rFonts w:ascii="宋体" w:hAnsi="宋体"/>
          <w:bCs/>
          <w:color w:val="auto"/>
          <w:sz w:val="24"/>
          <w:highlight w:val="none"/>
        </w:rPr>
      </w:pPr>
    </w:p>
    <w:p w14:paraId="36A7C215">
      <w:pPr>
        <w:snapToGrid w:val="0"/>
        <w:spacing w:beforeLines="50" w:after="50" w:line="860" w:lineRule="exact"/>
        <w:ind w:firstLine="840" w:firstLineChars="300"/>
        <w:rPr>
          <w:rFonts w:ascii="宋体" w:hAnsi="宋体"/>
          <w:bCs/>
          <w:color w:val="auto"/>
          <w:sz w:val="28"/>
          <w:szCs w:val="28"/>
          <w:highlight w:val="none"/>
        </w:rPr>
      </w:pPr>
      <w:r>
        <w:rPr>
          <w:rFonts w:hint="eastAsia" w:ascii="宋体" w:hAnsi="宋体"/>
          <w:bCs/>
          <w:color w:val="auto"/>
          <w:sz w:val="28"/>
          <w:szCs w:val="28"/>
          <w:highlight w:val="none"/>
        </w:rPr>
        <w:t>项目名称：</w:t>
      </w:r>
    </w:p>
    <w:p w14:paraId="702AB4A5">
      <w:pPr>
        <w:snapToGrid w:val="0"/>
        <w:spacing w:beforeLines="50" w:after="50" w:line="860" w:lineRule="exact"/>
        <w:ind w:firstLine="840" w:firstLineChars="300"/>
        <w:rPr>
          <w:rFonts w:hint="eastAsia" w:ascii="宋体" w:hAnsi="宋体"/>
          <w:bCs/>
          <w:color w:val="auto"/>
          <w:sz w:val="28"/>
          <w:szCs w:val="28"/>
          <w:highlight w:val="none"/>
        </w:rPr>
      </w:pPr>
      <w:r>
        <w:rPr>
          <w:rFonts w:hint="eastAsia" w:ascii="宋体" w:hAnsi="宋体"/>
          <w:bCs/>
          <w:color w:val="auto"/>
          <w:sz w:val="28"/>
          <w:szCs w:val="28"/>
          <w:highlight w:val="none"/>
        </w:rPr>
        <w:t>项目编号：</w:t>
      </w:r>
    </w:p>
    <w:p w14:paraId="52577A2A">
      <w:pPr>
        <w:snapToGrid w:val="0"/>
        <w:spacing w:beforeLines="50" w:after="50" w:line="860" w:lineRule="exact"/>
        <w:ind w:firstLine="840" w:firstLineChars="300"/>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lang w:val="en-US" w:eastAsia="zh-CN"/>
        </w:rPr>
        <w:t>分标项：</w:t>
      </w:r>
    </w:p>
    <w:p w14:paraId="22A93D67">
      <w:pPr>
        <w:snapToGrid w:val="0"/>
        <w:spacing w:beforeLines="50" w:after="50" w:line="860" w:lineRule="exact"/>
        <w:ind w:firstLine="840" w:firstLineChars="300"/>
        <w:rPr>
          <w:rFonts w:ascii="宋体" w:hAnsi="宋体"/>
          <w:bCs/>
          <w:color w:val="auto"/>
          <w:sz w:val="28"/>
          <w:szCs w:val="28"/>
          <w:highlight w:val="none"/>
        </w:rPr>
      </w:pPr>
      <w:r>
        <w:rPr>
          <w:rFonts w:hint="eastAsia" w:ascii="宋体" w:hAnsi="宋体"/>
          <w:bCs/>
          <w:color w:val="auto"/>
          <w:sz w:val="28"/>
          <w:szCs w:val="28"/>
          <w:highlight w:val="none"/>
        </w:rPr>
        <w:t>投标文件内容：</w:t>
      </w:r>
      <w:r>
        <w:rPr>
          <w:rFonts w:hint="eastAsia" w:ascii="宋体" w:hAnsi="宋体"/>
          <w:bCs/>
          <w:color w:val="auto"/>
          <w:sz w:val="28"/>
          <w:szCs w:val="28"/>
          <w:highlight w:val="none"/>
          <w:u w:val="single"/>
        </w:rPr>
        <w:t>资格审查文件/</w:t>
      </w:r>
      <w:r>
        <w:rPr>
          <w:rFonts w:ascii="宋体" w:hAnsi="宋体"/>
          <w:bCs/>
          <w:color w:val="auto"/>
          <w:sz w:val="28"/>
          <w:szCs w:val="28"/>
          <w:highlight w:val="none"/>
          <w:u w:val="single"/>
        </w:rPr>
        <w:t>商务文件</w:t>
      </w:r>
      <w:r>
        <w:rPr>
          <w:rFonts w:hint="eastAsia" w:ascii="宋体" w:hAnsi="宋体"/>
          <w:bCs/>
          <w:color w:val="auto"/>
          <w:sz w:val="28"/>
          <w:szCs w:val="28"/>
          <w:highlight w:val="none"/>
          <w:u w:val="single"/>
        </w:rPr>
        <w:t>/</w:t>
      </w:r>
      <w:r>
        <w:rPr>
          <w:rFonts w:ascii="宋体" w:hAnsi="宋体"/>
          <w:bCs/>
          <w:color w:val="auto"/>
          <w:sz w:val="28"/>
          <w:szCs w:val="28"/>
          <w:highlight w:val="none"/>
          <w:u w:val="single"/>
        </w:rPr>
        <w:t>技术文件</w:t>
      </w:r>
      <w:r>
        <w:rPr>
          <w:rFonts w:hint="eastAsia" w:ascii="宋体" w:hAnsi="宋体"/>
          <w:bCs/>
          <w:color w:val="auto"/>
          <w:sz w:val="28"/>
          <w:szCs w:val="28"/>
          <w:highlight w:val="none"/>
          <w:u w:val="single"/>
        </w:rPr>
        <w:t>/</w:t>
      </w:r>
      <w:r>
        <w:rPr>
          <w:rFonts w:ascii="宋体" w:hAnsi="宋体"/>
          <w:bCs/>
          <w:color w:val="auto"/>
          <w:sz w:val="28"/>
          <w:szCs w:val="28"/>
          <w:highlight w:val="none"/>
          <w:u w:val="single"/>
        </w:rPr>
        <w:t>报价文件</w:t>
      </w:r>
    </w:p>
    <w:p w14:paraId="24988437">
      <w:pPr>
        <w:snapToGrid w:val="0"/>
        <w:spacing w:beforeLines="50" w:after="50" w:line="860" w:lineRule="exact"/>
        <w:ind w:firstLine="840" w:firstLineChars="300"/>
        <w:rPr>
          <w:rFonts w:ascii="宋体" w:hAnsi="宋体"/>
          <w:bCs/>
          <w:color w:val="auto"/>
          <w:sz w:val="28"/>
          <w:szCs w:val="28"/>
          <w:highlight w:val="none"/>
          <w:u w:val="single"/>
        </w:rPr>
      </w:pPr>
      <w:r>
        <w:rPr>
          <w:rFonts w:hint="eastAsia" w:ascii="宋体" w:hAnsi="宋体"/>
          <w:bCs/>
          <w:color w:val="auto"/>
          <w:sz w:val="28"/>
          <w:szCs w:val="28"/>
          <w:highlight w:val="none"/>
        </w:rPr>
        <w:t>投标人名称：</w:t>
      </w:r>
    </w:p>
    <w:p w14:paraId="323F8C89">
      <w:pPr>
        <w:snapToGrid w:val="0"/>
        <w:spacing w:beforeLines="50" w:after="50" w:line="860" w:lineRule="exact"/>
        <w:ind w:firstLine="840" w:firstLineChars="300"/>
        <w:rPr>
          <w:rFonts w:ascii="宋体" w:hAnsi="宋体"/>
          <w:bCs/>
          <w:color w:val="auto"/>
          <w:sz w:val="28"/>
          <w:szCs w:val="28"/>
          <w:highlight w:val="none"/>
          <w:u w:val="single"/>
        </w:rPr>
      </w:pPr>
      <w:r>
        <w:rPr>
          <w:rFonts w:hint="eastAsia" w:ascii="宋体" w:hAnsi="宋体"/>
          <w:bCs/>
          <w:color w:val="auto"/>
          <w:sz w:val="28"/>
          <w:szCs w:val="28"/>
          <w:highlight w:val="none"/>
        </w:rPr>
        <w:t>投标人地址：</w:t>
      </w:r>
    </w:p>
    <w:p w14:paraId="6ED11887">
      <w:pPr>
        <w:pStyle w:val="9"/>
        <w:snapToGrid w:val="0"/>
        <w:spacing w:before="50" w:after="50" w:line="360" w:lineRule="exact"/>
        <w:ind w:firstLine="960" w:firstLineChars="400"/>
        <w:rPr>
          <w:rFonts w:ascii="宋体" w:hAnsi="宋体"/>
          <w:bCs/>
          <w:color w:val="auto"/>
          <w:sz w:val="24"/>
          <w:szCs w:val="24"/>
          <w:highlight w:val="none"/>
        </w:rPr>
      </w:pPr>
    </w:p>
    <w:p w14:paraId="486694AF">
      <w:pPr>
        <w:snapToGrid w:val="0"/>
        <w:spacing w:beforeLines="50" w:after="50" w:line="360" w:lineRule="exact"/>
        <w:jc w:val="center"/>
        <w:rPr>
          <w:rFonts w:ascii="宋体" w:hAnsi="宋体"/>
          <w:color w:val="auto"/>
          <w:sz w:val="24"/>
          <w:highlight w:val="none"/>
        </w:rPr>
      </w:pPr>
    </w:p>
    <w:p w14:paraId="09F7733F">
      <w:pPr>
        <w:snapToGrid w:val="0"/>
        <w:spacing w:beforeLines="50" w:after="50" w:line="360" w:lineRule="exact"/>
        <w:jc w:val="center"/>
        <w:rPr>
          <w:rFonts w:ascii="宋体" w:hAnsi="宋体"/>
          <w:color w:val="auto"/>
          <w:sz w:val="24"/>
          <w:highlight w:val="none"/>
        </w:rPr>
      </w:pPr>
    </w:p>
    <w:p w14:paraId="43B33E32">
      <w:pPr>
        <w:snapToGrid w:val="0"/>
        <w:spacing w:beforeLines="50" w:after="50" w:line="360" w:lineRule="exact"/>
        <w:jc w:val="center"/>
        <w:rPr>
          <w:rFonts w:ascii="宋体" w:hAnsi="宋体"/>
          <w:color w:val="auto"/>
          <w:sz w:val="28"/>
          <w:szCs w:val="28"/>
          <w:highlight w:val="none"/>
        </w:rPr>
      </w:pPr>
      <w:r>
        <w:rPr>
          <w:rFonts w:hint="eastAsia" w:ascii="宋体" w:hAnsi="宋体"/>
          <w:color w:val="auto"/>
          <w:sz w:val="28"/>
          <w:szCs w:val="28"/>
          <w:highlight w:val="none"/>
        </w:rPr>
        <w:t xml:space="preserve">  年  月  日</w:t>
      </w:r>
    </w:p>
    <w:p w14:paraId="52BFC2FA">
      <w:pPr>
        <w:snapToGrid w:val="0"/>
        <w:spacing w:before="50" w:after="50" w:line="400" w:lineRule="exact"/>
        <w:jc w:val="center"/>
        <w:rPr>
          <w:rFonts w:ascii="宋体" w:hAnsi="宋体"/>
          <w:b/>
          <w:color w:val="auto"/>
          <w:sz w:val="30"/>
          <w:szCs w:val="30"/>
          <w:highlight w:val="none"/>
        </w:rPr>
      </w:pPr>
      <w:r>
        <w:rPr>
          <w:rFonts w:ascii="宋体" w:hAnsi="宋体"/>
          <w:color w:val="auto"/>
          <w:sz w:val="24"/>
          <w:highlight w:val="none"/>
        </w:rPr>
        <w:br w:type="page"/>
      </w:r>
      <w:r>
        <w:rPr>
          <w:rFonts w:hint="eastAsia" w:ascii="宋体" w:hAnsi="宋体"/>
          <w:b/>
          <w:color w:val="auto"/>
          <w:sz w:val="30"/>
          <w:szCs w:val="30"/>
          <w:highlight w:val="none"/>
        </w:rPr>
        <w:t>目录（页码自行编制）</w:t>
      </w:r>
    </w:p>
    <w:p w14:paraId="50D2D842">
      <w:pPr>
        <w:snapToGrid w:val="0"/>
        <w:spacing w:before="50" w:afterLines="50" w:line="380" w:lineRule="exact"/>
        <w:jc w:val="left"/>
        <w:rPr>
          <w:rFonts w:ascii="宋体" w:hAnsi="宋体"/>
          <w:b/>
          <w:color w:val="auto"/>
          <w:szCs w:val="21"/>
          <w:highlight w:val="none"/>
        </w:rPr>
      </w:pPr>
      <w:r>
        <w:rPr>
          <w:rFonts w:hint="eastAsia" w:ascii="宋体" w:hAnsi="宋体"/>
          <w:b/>
          <w:color w:val="auto"/>
          <w:szCs w:val="21"/>
          <w:highlight w:val="none"/>
        </w:rPr>
        <w:t>一</w:t>
      </w:r>
      <w:r>
        <w:rPr>
          <w:rFonts w:ascii="宋体" w:hAnsi="宋体"/>
          <w:b/>
          <w:color w:val="auto"/>
          <w:szCs w:val="21"/>
          <w:highlight w:val="none"/>
        </w:rPr>
        <w:t>、资格审查</w:t>
      </w:r>
      <w:r>
        <w:rPr>
          <w:rFonts w:hint="eastAsia" w:ascii="宋体" w:hAnsi="宋体"/>
          <w:b/>
          <w:color w:val="auto"/>
          <w:szCs w:val="21"/>
          <w:highlight w:val="none"/>
        </w:rPr>
        <w:t>部</w:t>
      </w:r>
      <w:r>
        <w:rPr>
          <w:rFonts w:ascii="宋体" w:hAnsi="宋体"/>
          <w:b/>
          <w:color w:val="auto"/>
          <w:szCs w:val="21"/>
          <w:highlight w:val="none"/>
        </w:rPr>
        <w:t>份</w:t>
      </w:r>
    </w:p>
    <w:p w14:paraId="44DF37FF">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投标声明书（</w:t>
      </w:r>
      <w:r>
        <w:rPr>
          <w:rFonts w:ascii="宋体" w:hAnsi="宋体"/>
          <w:color w:val="auto"/>
          <w:szCs w:val="21"/>
          <w:highlight w:val="none"/>
        </w:rPr>
        <w:t>必须提供）</w:t>
      </w:r>
      <w:r>
        <w:rPr>
          <w:rFonts w:hint="eastAsia" w:ascii="宋体" w:hAnsi="宋体"/>
          <w:color w:val="auto"/>
          <w:szCs w:val="21"/>
          <w:highlight w:val="none"/>
        </w:rPr>
        <w:t>。</w:t>
      </w:r>
    </w:p>
    <w:p w14:paraId="61CDBDCC">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2.投标人有效的营业执照副本复印件；（必须提供）</w:t>
      </w:r>
    </w:p>
    <w:p w14:paraId="0587945E">
      <w:pPr>
        <w:snapToGrid w:val="0"/>
        <w:spacing w:line="400" w:lineRule="exact"/>
        <w:ind w:firstLine="420" w:firstLineChars="200"/>
        <w:jc w:val="left"/>
        <w:rPr>
          <w:rStyle w:val="205"/>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Cs w:val="21"/>
          <w:highlight w:val="none"/>
          <w:lang w:val="en-US" w:eastAsia="zh-CN"/>
        </w:rPr>
        <w:t>3.</w:t>
      </w:r>
      <w:r>
        <w:rPr>
          <w:rStyle w:val="205"/>
          <w:rFonts w:hint="eastAsia" w:ascii="宋体" w:hAnsi="宋体" w:eastAsia="宋体" w:cs="Times New Roman"/>
          <w:color w:val="auto"/>
          <w:sz w:val="21"/>
          <w:szCs w:val="21"/>
          <w:highlight w:val="none"/>
          <w:lang w:val="en-US" w:eastAsia="zh-CN"/>
        </w:rPr>
        <w:t>投标人为</w:t>
      </w:r>
      <w:r>
        <w:rPr>
          <w:rStyle w:val="205"/>
          <w:rFonts w:hint="eastAsia" w:ascii="宋体" w:hAnsi="宋体" w:cs="Times New Roman"/>
          <w:color w:val="auto"/>
          <w:sz w:val="21"/>
          <w:szCs w:val="21"/>
          <w:highlight w:val="none"/>
          <w:lang w:val="en-US" w:eastAsia="zh-CN"/>
        </w:rPr>
        <w:t>中小</w:t>
      </w:r>
      <w:r>
        <w:rPr>
          <w:rStyle w:val="205"/>
          <w:rFonts w:hint="eastAsia" w:ascii="宋体" w:hAnsi="宋体" w:eastAsia="宋体" w:cs="Times New Roman"/>
          <w:color w:val="auto"/>
          <w:sz w:val="21"/>
          <w:szCs w:val="21"/>
          <w:highlight w:val="none"/>
          <w:lang w:val="en-US" w:eastAsia="zh-CN"/>
        </w:rPr>
        <w:t>企业的证明材料（</w:t>
      </w:r>
      <w:r>
        <w:rPr>
          <w:rStyle w:val="205"/>
          <w:rFonts w:hint="eastAsia" w:ascii="宋体" w:hAnsi="宋体" w:cs="Times New Roman"/>
          <w:b w:val="0"/>
          <w:bCs w:val="0"/>
          <w:color w:val="auto"/>
          <w:sz w:val="21"/>
          <w:szCs w:val="21"/>
          <w:highlight w:val="none"/>
          <w:lang w:val="en-US"/>
        </w:rPr>
        <w:t>如有请提供</w:t>
      </w:r>
      <w:r>
        <w:rPr>
          <w:rStyle w:val="205"/>
          <w:rFonts w:hint="eastAsia" w:ascii="宋体" w:hAnsi="宋体" w:eastAsia="宋体" w:cs="Times New Roman"/>
          <w:color w:val="auto"/>
          <w:sz w:val="21"/>
          <w:szCs w:val="21"/>
          <w:highlight w:val="none"/>
          <w:lang w:val="en-US" w:eastAsia="zh-CN"/>
        </w:rPr>
        <w:t>）。</w:t>
      </w:r>
    </w:p>
    <w:p w14:paraId="4FC42A2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.法定代表人有效身份证正反面复印件；（必须提供）</w:t>
      </w:r>
    </w:p>
    <w:p w14:paraId="0D3E8D8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.法定代表人授权委托书原</w:t>
      </w:r>
      <w:r>
        <w:rPr>
          <w:rFonts w:ascii="宋体" w:hAnsi="宋体"/>
          <w:color w:val="auto"/>
          <w:szCs w:val="21"/>
          <w:highlight w:val="none"/>
        </w:rPr>
        <w:t>件</w:t>
      </w:r>
      <w:r>
        <w:rPr>
          <w:rFonts w:hint="eastAsia" w:ascii="宋体" w:hAnsi="宋体"/>
          <w:color w:val="auto"/>
          <w:szCs w:val="21"/>
          <w:highlight w:val="none"/>
        </w:rPr>
        <w:t>，委托代理人正反面身份证复印件；（委托代理时必须提供）（格式见附件）</w:t>
      </w:r>
    </w:p>
    <w:p w14:paraId="53C3C9F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ascii="宋体" w:hAnsi="宋体"/>
          <w:color w:val="auto"/>
          <w:szCs w:val="21"/>
          <w:highlight w:val="none"/>
        </w:rPr>
        <w:t>贵港市政府采购项目投标资格承诺函</w:t>
      </w:r>
      <w:r>
        <w:rPr>
          <w:rFonts w:hint="eastAsia" w:ascii="宋体" w:hAnsi="宋体"/>
          <w:color w:val="auto"/>
          <w:szCs w:val="21"/>
          <w:highlight w:val="none"/>
        </w:rPr>
        <w:t>。（必须</w:t>
      </w:r>
      <w:r>
        <w:rPr>
          <w:rFonts w:ascii="宋体" w:hAnsi="宋体"/>
          <w:color w:val="auto"/>
          <w:szCs w:val="21"/>
          <w:highlight w:val="none"/>
        </w:rPr>
        <w:t>提供</w:t>
      </w:r>
      <w:r>
        <w:rPr>
          <w:rFonts w:hint="eastAsia" w:ascii="宋体" w:hAnsi="宋体"/>
          <w:color w:val="auto"/>
          <w:szCs w:val="21"/>
          <w:highlight w:val="none"/>
        </w:rPr>
        <w:t>）</w:t>
      </w:r>
    </w:p>
    <w:p w14:paraId="0805DC1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.投标人参加政府采购活动前三年内在经营活动中没有重大违法记录和不良信用记录的书面声明函；（格式见附件，必须提供）</w:t>
      </w:r>
    </w:p>
    <w:p w14:paraId="17755AE7">
      <w:pPr>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w:t>
      </w:r>
      <w:r>
        <w:rPr>
          <w:rFonts w:hint="eastAsia" w:ascii="宋体" w:hAnsi="宋体"/>
          <w:color w:val="auto"/>
          <w:szCs w:val="21"/>
          <w:highlight w:val="none"/>
        </w:rPr>
        <w:t>投标人认为可以证明其能力的其它材料。</w:t>
      </w:r>
    </w:p>
    <w:p w14:paraId="7AA15E54">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b/>
          <w:color w:val="auto"/>
          <w:szCs w:val="21"/>
          <w:highlight w:val="none"/>
        </w:rPr>
        <w:t>商务文件部分</w:t>
      </w:r>
    </w:p>
    <w:p w14:paraId="696737B0">
      <w:pPr>
        <w:snapToGrid w:val="0"/>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商务响应表（</w:t>
      </w:r>
      <w:r>
        <w:rPr>
          <w:rFonts w:ascii="宋体" w:hAnsi="宋体"/>
          <w:color w:val="auto"/>
          <w:szCs w:val="21"/>
          <w:highlight w:val="none"/>
        </w:rPr>
        <w:t>必须提供）</w:t>
      </w:r>
      <w:r>
        <w:rPr>
          <w:rFonts w:hint="eastAsia" w:ascii="宋体" w:hAnsi="宋体"/>
          <w:color w:val="auto"/>
          <w:szCs w:val="21"/>
          <w:highlight w:val="none"/>
        </w:rPr>
        <w:t>。</w:t>
      </w:r>
    </w:p>
    <w:p w14:paraId="02661B9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招标文件列明的其他证明文件（招标</w:t>
      </w:r>
      <w:r>
        <w:rPr>
          <w:rFonts w:ascii="宋体" w:hAnsi="宋体"/>
          <w:color w:val="auto"/>
          <w:szCs w:val="21"/>
          <w:highlight w:val="none"/>
        </w:rPr>
        <w:t>文件中</w:t>
      </w:r>
      <w:r>
        <w:rPr>
          <w:rFonts w:hint="eastAsia" w:ascii="宋体" w:hAnsi="宋体"/>
          <w:color w:val="auto"/>
          <w:szCs w:val="21"/>
          <w:highlight w:val="none"/>
        </w:rPr>
        <w:t>凡注明“必须提供”的必须按</w:t>
      </w:r>
      <w:r>
        <w:rPr>
          <w:rFonts w:ascii="宋体" w:hAnsi="宋体"/>
          <w:color w:val="auto"/>
          <w:szCs w:val="21"/>
          <w:highlight w:val="none"/>
        </w:rPr>
        <w:t>要求</w:t>
      </w:r>
      <w:r>
        <w:rPr>
          <w:rFonts w:hint="eastAsia" w:ascii="宋体" w:hAnsi="宋体"/>
          <w:color w:val="auto"/>
          <w:szCs w:val="21"/>
          <w:highlight w:val="none"/>
        </w:rPr>
        <w:t>提供，否则投标无效）。</w:t>
      </w:r>
    </w:p>
    <w:p w14:paraId="4112E32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投标人情况介绍（如有请提供，</w:t>
      </w:r>
      <w:r>
        <w:rPr>
          <w:rFonts w:ascii="宋体" w:hAnsi="宋体"/>
          <w:color w:val="auto"/>
          <w:szCs w:val="21"/>
          <w:highlight w:val="none"/>
        </w:rPr>
        <w:t>格式自拟）</w:t>
      </w:r>
      <w:r>
        <w:rPr>
          <w:rFonts w:hint="eastAsia" w:ascii="宋体" w:hAnsi="宋体"/>
          <w:color w:val="auto"/>
          <w:szCs w:val="21"/>
          <w:highlight w:val="none"/>
        </w:rPr>
        <w:t>。</w:t>
      </w:r>
    </w:p>
    <w:p w14:paraId="34D0E1F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投标人认为可以证明其服务能力或业绩的其它材料（结合投标人自身情况及招标文件其他要求和评分要素自行提供）。</w:t>
      </w:r>
    </w:p>
    <w:p w14:paraId="08CA4D00">
      <w:pPr>
        <w:snapToGrid w:val="0"/>
        <w:spacing w:line="400" w:lineRule="exact"/>
        <w:ind w:firstLine="413" w:firstLineChars="196"/>
        <w:jc w:val="left"/>
        <w:rPr>
          <w:rFonts w:ascii="宋体" w:hAnsi="宋体"/>
          <w:b/>
          <w:bCs/>
          <w:color w:val="auto"/>
          <w:szCs w:val="21"/>
          <w:highlight w:val="none"/>
        </w:rPr>
      </w:pPr>
      <w:r>
        <w:rPr>
          <w:rFonts w:hint="eastAsia" w:ascii="宋体" w:hAnsi="宋体"/>
          <w:b/>
          <w:color w:val="auto"/>
          <w:szCs w:val="21"/>
          <w:highlight w:val="none"/>
        </w:rPr>
        <w:t>三</w:t>
      </w:r>
      <w:r>
        <w:rPr>
          <w:rFonts w:ascii="宋体" w:hAnsi="宋体"/>
          <w:b/>
          <w:color w:val="auto"/>
          <w:szCs w:val="21"/>
          <w:highlight w:val="none"/>
        </w:rPr>
        <w:t>、</w:t>
      </w:r>
      <w:r>
        <w:rPr>
          <w:rFonts w:hint="eastAsia" w:ascii="宋体" w:hAnsi="宋体"/>
          <w:b/>
          <w:bCs/>
          <w:color w:val="auto"/>
          <w:szCs w:val="21"/>
          <w:highlight w:val="none"/>
        </w:rPr>
        <w:t>技术文件部分</w:t>
      </w:r>
    </w:p>
    <w:p w14:paraId="44127821">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 xml:space="preserve"> 技术响应、偏离情况说明表；（必须提供）</w:t>
      </w:r>
    </w:p>
    <w:p w14:paraId="4E391F78">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投标人的服务方案</w:t>
      </w:r>
      <w:r>
        <w:rPr>
          <w:rFonts w:ascii="宋体" w:hAnsi="宋体"/>
          <w:color w:val="auto"/>
          <w:szCs w:val="21"/>
          <w:highlight w:val="none"/>
        </w:rPr>
        <w:t>及服务</w:t>
      </w:r>
      <w:r>
        <w:rPr>
          <w:rFonts w:hint="eastAsia" w:ascii="宋体" w:hAnsi="宋体"/>
          <w:color w:val="auto"/>
          <w:szCs w:val="21"/>
          <w:highlight w:val="none"/>
        </w:rPr>
        <w:t>承诺书（格式自拟）；（必须提供）</w:t>
      </w:r>
    </w:p>
    <w:p w14:paraId="3F662634">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投标人对本项目的合理化建议和改进措施；</w:t>
      </w:r>
    </w:p>
    <w:p w14:paraId="0683C460">
      <w:pPr>
        <w:spacing w:line="400" w:lineRule="exact"/>
        <w:ind w:left="-27" w:leftChars="-13"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投标人需要说明的其他文件和说明（结合投标人自身情况及招标文件其他要求和评分要素自行提供）</w:t>
      </w:r>
    </w:p>
    <w:p w14:paraId="32EC94DD">
      <w:pPr>
        <w:spacing w:line="400" w:lineRule="exact"/>
        <w:ind w:left="-27" w:leftChars="-13" w:firstLine="422" w:firstLineChars="200"/>
        <w:rPr>
          <w:rFonts w:ascii="宋体" w:hAnsi="宋体"/>
          <w:b/>
          <w:color w:val="auto"/>
          <w:szCs w:val="21"/>
          <w:highlight w:val="none"/>
        </w:rPr>
      </w:pPr>
      <w:r>
        <w:rPr>
          <w:rFonts w:hint="eastAsia" w:ascii="宋体" w:hAnsi="宋体"/>
          <w:b/>
          <w:color w:val="auto"/>
          <w:szCs w:val="21"/>
          <w:highlight w:val="none"/>
        </w:rPr>
        <w:t>四</w:t>
      </w:r>
      <w:r>
        <w:rPr>
          <w:rFonts w:ascii="宋体" w:hAnsi="宋体"/>
          <w:b/>
          <w:color w:val="auto"/>
          <w:szCs w:val="21"/>
          <w:highlight w:val="none"/>
        </w:rPr>
        <w:t>、报价文件部分</w:t>
      </w:r>
    </w:p>
    <w:p w14:paraId="48092C7B">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 xml:space="preserve"> 投标函（必</w:t>
      </w:r>
      <w:r>
        <w:rPr>
          <w:rFonts w:ascii="宋体" w:hAnsi="宋体"/>
          <w:color w:val="auto"/>
          <w:szCs w:val="21"/>
          <w:highlight w:val="none"/>
        </w:rPr>
        <w:t>须提供</w:t>
      </w:r>
      <w:r>
        <w:rPr>
          <w:rFonts w:hint="eastAsia" w:ascii="宋体" w:hAnsi="宋体"/>
          <w:color w:val="auto"/>
          <w:szCs w:val="21"/>
          <w:highlight w:val="none"/>
        </w:rPr>
        <w:t>，格式见第六章）；</w:t>
      </w:r>
    </w:p>
    <w:p w14:paraId="1CC9D5F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投标报价明细表（必</w:t>
      </w:r>
      <w:r>
        <w:rPr>
          <w:rFonts w:ascii="宋体" w:hAnsi="宋体"/>
          <w:color w:val="auto"/>
          <w:szCs w:val="21"/>
          <w:highlight w:val="none"/>
        </w:rPr>
        <w:t>须提供</w:t>
      </w:r>
      <w:r>
        <w:rPr>
          <w:rFonts w:hint="eastAsia" w:ascii="宋体" w:hAnsi="宋体"/>
          <w:color w:val="auto"/>
          <w:szCs w:val="21"/>
          <w:highlight w:val="none"/>
        </w:rPr>
        <w:t>，格式见第六章）；</w:t>
      </w:r>
    </w:p>
    <w:p w14:paraId="77AF37F1">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开标一览表（格式见附件）；（必须提供）</w:t>
      </w:r>
    </w:p>
    <w:p w14:paraId="1B222AB9">
      <w:pPr>
        <w:tabs>
          <w:tab w:val="left" w:pos="3870"/>
          <w:tab w:val="left" w:pos="4085"/>
        </w:tabs>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 xml:space="preserve">4. </w:t>
      </w:r>
      <w:r>
        <w:rPr>
          <w:rFonts w:hint="eastAsia" w:ascii="宋体" w:hAnsi="宋体"/>
          <w:color w:val="auto"/>
          <w:szCs w:val="21"/>
          <w:highlight w:val="none"/>
        </w:rPr>
        <w:t>投</w:t>
      </w:r>
      <w:r>
        <w:rPr>
          <w:rFonts w:ascii="宋体" w:hAnsi="宋体"/>
          <w:color w:val="auto"/>
          <w:szCs w:val="21"/>
          <w:highlight w:val="none"/>
        </w:rPr>
        <w:t>标人针对报</w:t>
      </w:r>
      <w:r>
        <w:rPr>
          <w:rFonts w:hint="eastAsia" w:ascii="宋体" w:hAnsi="宋体"/>
          <w:color w:val="auto"/>
          <w:szCs w:val="21"/>
          <w:highlight w:val="none"/>
        </w:rPr>
        <w:t>价需要说明的其他文件和说明（格式自拟）。（如有请</w:t>
      </w:r>
      <w:r>
        <w:rPr>
          <w:rFonts w:ascii="宋体" w:hAnsi="宋体"/>
          <w:color w:val="auto"/>
          <w:szCs w:val="21"/>
          <w:highlight w:val="none"/>
        </w:rPr>
        <w:t>提供）</w:t>
      </w:r>
    </w:p>
    <w:p w14:paraId="1C914BC2">
      <w:pPr>
        <w:pStyle w:val="21"/>
        <w:rPr>
          <w:rFonts w:ascii="宋体" w:hAnsi="宋体"/>
          <w:color w:val="auto"/>
          <w:szCs w:val="21"/>
          <w:highlight w:val="none"/>
        </w:rPr>
      </w:pPr>
    </w:p>
    <w:p w14:paraId="45D35575">
      <w:pPr>
        <w:rPr>
          <w:rFonts w:ascii="宋体" w:hAnsi="宋体"/>
          <w:color w:val="auto"/>
          <w:szCs w:val="21"/>
          <w:highlight w:val="none"/>
        </w:rPr>
      </w:pPr>
    </w:p>
    <w:p w14:paraId="739806E5">
      <w:pPr>
        <w:pStyle w:val="21"/>
        <w:rPr>
          <w:rFonts w:ascii="宋体" w:hAnsi="宋体"/>
          <w:color w:val="auto"/>
          <w:szCs w:val="21"/>
          <w:highlight w:val="none"/>
        </w:rPr>
      </w:pPr>
    </w:p>
    <w:p w14:paraId="164803C7">
      <w:pPr>
        <w:rPr>
          <w:rFonts w:ascii="宋体" w:hAnsi="宋体"/>
          <w:color w:val="auto"/>
          <w:szCs w:val="21"/>
          <w:highlight w:val="none"/>
        </w:rPr>
      </w:pPr>
    </w:p>
    <w:p w14:paraId="0F1C897B">
      <w:pPr>
        <w:pStyle w:val="21"/>
        <w:rPr>
          <w:rFonts w:ascii="宋体" w:hAnsi="宋体"/>
          <w:color w:val="auto"/>
          <w:szCs w:val="21"/>
          <w:highlight w:val="none"/>
        </w:rPr>
      </w:pPr>
    </w:p>
    <w:p w14:paraId="41B42759">
      <w:pPr>
        <w:rPr>
          <w:color w:val="auto"/>
          <w:highlight w:val="none"/>
        </w:rPr>
      </w:pPr>
    </w:p>
    <w:p w14:paraId="68F1FBEF">
      <w:pPr>
        <w:snapToGrid w:val="0"/>
        <w:spacing w:beforeLines="50" w:after="50" w:line="360" w:lineRule="exact"/>
        <w:jc w:val="left"/>
        <w:rPr>
          <w:rFonts w:ascii="宋体" w:hAnsi="宋体"/>
          <w:b/>
          <w:color w:val="auto"/>
          <w:sz w:val="32"/>
          <w:szCs w:val="32"/>
          <w:highlight w:val="none"/>
        </w:rPr>
      </w:pPr>
      <w:r>
        <w:rPr>
          <w:rFonts w:hint="eastAsia" w:ascii="宋体" w:hAnsi="宋体"/>
          <w:b/>
          <w:color w:val="auto"/>
          <w:sz w:val="32"/>
          <w:szCs w:val="32"/>
          <w:highlight w:val="none"/>
        </w:rPr>
        <w:t>一</w:t>
      </w:r>
      <w:r>
        <w:rPr>
          <w:rFonts w:ascii="宋体" w:hAnsi="宋体"/>
          <w:b/>
          <w:color w:val="auto"/>
          <w:sz w:val="32"/>
          <w:szCs w:val="32"/>
          <w:highlight w:val="none"/>
        </w:rPr>
        <w:t>、资格审查部</w:t>
      </w:r>
      <w:r>
        <w:rPr>
          <w:rFonts w:hint="eastAsia" w:ascii="宋体" w:hAnsi="宋体"/>
          <w:b/>
          <w:color w:val="auto"/>
          <w:sz w:val="32"/>
          <w:szCs w:val="32"/>
          <w:highlight w:val="none"/>
        </w:rPr>
        <w:t>份</w:t>
      </w:r>
    </w:p>
    <w:p w14:paraId="1F407DA4">
      <w:pPr>
        <w:snapToGrid w:val="0"/>
        <w:spacing w:beforeLines="50" w:after="50" w:line="360" w:lineRule="exact"/>
        <w:jc w:val="center"/>
        <w:rPr>
          <w:rFonts w:ascii="宋体" w:hAnsi="宋体"/>
          <w:b/>
          <w:color w:val="auto"/>
          <w:sz w:val="28"/>
          <w:szCs w:val="28"/>
          <w:highlight w:val="none"/>
        </w:rPr>
      </w:pPr>
      <w:r>
        <w:rPr>
          <w:rFonts w:hint="eastAsia" w:ascii="宋体" w:hAnsi="宋体"/>
          <w:b/>
          <w:color w:val="auto"/>
          <w:sz w:val="28"/>
          <w:szCs w:val="28"/>
          <w:highlight w:val="none"/>
        </w:rPr>
        <w:t>1.投标声明书</w:t>
      </w:r>
    </w:p>
    <w:p w14:paraId="6F09B134">
      <w:pPr>
        <w:snapToGrid w:val="0"/>
        <w:spacing w:beforeLines="50" w:after="50" w:line="360" w:lineRule="exact"/>
        <w:jc w:val="center"/>
        <w:rPr>
          <w:rFonts w:ascii="宋体" w:hAnsi="宋体"/>
          <w:color w:val="auto"/>
          <w:szCs w:val="21"/>
          <w:highlight w:val="none"/>
        </w:rPr>
      </w:pPr>
    </w:p>
    <w:p w14:paraId="636807A4">
      <w:pPr>
        <w:snapToGrid w:val="0"/>
        <w:spacing w:beforeLines="50" w:after="50" w:line="34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b/>
          <w:bCs/>
          <w:color w:val="auto"/>
          <w:szCs w:val="21"/>
          <w:highlight w:val="none"/>
          <w:u w:val="single"/>
          <w:lang w:eastAsia="zh-CN"/>
        </w:rPr>
        <w:t>贵港市港南区农业农村局</w:t>
      </w:r>
      <w:r>
        <w:rPr>
          <w:rFonts w:hint="eastAsia" w:ascii="宋体" w:hAnsi="宋体"/>
          <w:b/>
          <w:bCs/>
          <w:color w:val="auto"/>
          <w:szCs w:val="21"/>
          <w:highlight w:val="none"/>
          <w:u w:val="single"/>
        </w:rPr>
        <w:t>（招标采购单位名称）：</w:t>
      </w:r>
    </w:p>
    <w:p w14:paraId="71E748D9">
      <w:pPr>
        <w:snapToGrid w:val="0"/>
        <w:spacing w:beforeLines="50" w:line="340" w:lineRule="exact"/>
        <w:ind w:firstLine="422" w:firstLineChars="200"/>
        <w:rPr>
          <w:rFonts w:ascii="宋体" w:hAnsi="宋体"/>
          <w:color w:val="auto"/>
          <w:szCs w:val="21"/>
          <w:highlight w:val="none"/>
        </w:rPr>
      </w:pPr>
      <w:r>
        <w:rPr>
          <w:rFonts w:hint="eastAsia" w:ascii="宋体" w:hAnsi="宋体"/>
          <w:b/>
          <w:bCs/>
          <w:color w:val="auto"/>
          <w:szCs w:val="21"/>
          <w:highlight w:val="none"/>
          <w:u w:val="single"/>
        </w:rPr>
        <w:t>（投标人名称）</w:t>
      </w:r>
      <w:r>
        <w:rPr>
          <w:rFonts w:hint="eastAsia" w:ascii="宋体" w:hAnsi="宋体"/>
          <w:color w:val="auto"/>
          <w:szCs w:val="21"/>
          <w:highlight w:val="none"/>
        </w:rPr>
        <w:t>系中华人民共和国合法企业，经营地址：</w:t>
      </w:r>
      <w:r>
        <w:rPr>
          <w:rFonts w:hint="eastAsia" w:ascii="宋体" w:hAnsi="宋体"/>
          <w:b/>
          <w:bCs/>
          <w:color w:val="auto"/>
          <w:szCs w:val="21"/>
          <w:highlight w:val="none"/>
          <w:u w:val="single"/>
        </w:rPr>
        <w:t>　　　　　　　　　　　　　</w:t>
      </w:r>
      <w:r>
        <w:rPr>
          <w:rFonts w:hint="eastAsia" w:ascii="宋体" w:hAnsi="宋体"/>
          <w:color w:val="auto"/>
          <w:szCs w:val="21"/>
          <w:highlight w:val="none"/>
        </w:rPr>
        <w:t>。</w:t>
      </w:r>
    </w:p>
    <w:p w14:paraId="6AD2BC2F">
      <w:pPr>
        <w:snapToGrid w:val="0"/>
        <w:spacing w:beforeLines="50" w:after="50" w:line="340" w:lineRule="exact"/>
        <w:ind w:firstLine="645"/>
        <w:rPr>
          <w:rFonts w:ascii="宋体" w:hAnsi="宋体"/>
          <w:color w:val="auto"/>
          <w:szCs w:val="21"/>
          <w:highlight w:val="none"/>
        </w:rPr>
      </w:pPr>
      <w:r>
        <w:rPr>
          <w:rFonts w:hint="eastAsia" w:ascii="宋体" w:hAnsi="宋体"/>
          <w:color w:val="auto"/>
          <w:szCs w:val="21"/>
          <w:highlight w:val="none"/>
        </w:rPr>
        <w:t>我</w:t>
      </w:r>
      <w:r>
        <w:rPr>
          <w:rFonts w:hint="eastAsia" w:ascii="宋体" w:hAnsi="宋体"/>
          <w:b/>
          <w:bCs/>
          <w:color w:val="auto"/>
          <w:szCs w:val="21"/>
          <w:highlight w:val="none"/>
          <w:u w:val="single"/>
        </w:rPr>
        <w:t>（姓名）</w:t>
      </w:r>
      <w:r>
        <w:rPr>
          <w:rFonts w:hint="eastAsia" w:ascii="宋体" w:hAnsi="宋体"/>
          <w:color w:val="auto"/>
          <w:szCs w:val="21"/>
          <w:highlight w:val="none"/>
        </w:rPr>
        <w:t>系</w:t>
      </w:r>
      <w:r>
        <w:rPr>
          <w:rFonts w:hint="eastAsia" w:ascii="宋体" w:hAnsi="宋体"/>
          <w:b/>
          <w:bCs/>
          <w:color w:val="auto"/>
          <w:szCs w:val="21"/>
          <w:highlight w:val="none"/>
          <w:u w:val="single"/>
        </w:rPr>
        <w:t>（投标人名称）</w:t>
      </w:r>
      <w:r>
        <w:rPr>
          <w:rFonts w:hint="eastAsia" w:ascii="宋体" w:hAnsi="宋体"/>
          <w:color w:val="auto"/>
          <w:szCs w:val="21"/>
          <w:highlight w:val="none"/>
        </w:rPr>
        <w:t>的法定代表人，</w:t>
      </w:r>
      <w:r>
        <w:rPr>
          <w:rFonts w:hint="eastAsia" w:ascii="宋体" w:hAnsi="宋体"/>
          <w:b/>
          <w:bCs/>
          <w:color w:val="auto"/>
          <w:szCs w:val="21"/>
          <w:highlight w:val="none"/>
        </w:rPr>
        <w:t>我方愿意参加贵方组织的项目</w:t>
      </w:r>
      <w:r>
        <w:rPr>
          <w:rFonts w:hint="eastAsia" w:ascii="宋体" w:hAnsi="宋体"/>
          <w:b/>
          <w:bCs/>
          <w:color w:val="auto"/>
          <w:szCs w:val="21"/>
          <w:highlight w:val="none"/>
          <w:u w:val="single"/>
        </w:rPr>
        <w:t>（</w:t>
      </w:r>
      <w:r>
        <w:rPr>
          <w:rFonts w:hint="eastAsia" w:ascii="宋体" w:hAnsi="宋体"/>
          <w:b/>
          <w:bCs/>
          <w:color w:val="auto"/>
          <w:szCs w:val="21"/>
          <w:highlight w:val="none"/>
          <w:u w:val="single"/>
          <w:lang w:eastAsia="zh-CN"/>
        </w:rPr>
        <w:t>项目名称：</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项目编号：</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w:t>
      </w:r>
      <w:r>
        <w:rPr>
          <w:rFonts w:hint="eastAsia" w:ascii="宋体" w:hAnsi="宋体"/>
          <w:color w:val="auto"/>
          <w:szCs w:val="21"/>
          <w:highlight w:val="none"/>
        </w:rPr>
        <w:t>的投标，为便于贵方公正、择优地确定中标供应商及其投标产品和服务，我方就本次投标有关事项郑重声明如下：</w:t>
      </w:r>
    </w:p>
    <w:p w14:paraId="0F492870">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 我方向贵方提交的所有投标文件、资料都是准确的和真实的。</w:t>
      </w:r>
    </w:p>
    <w:p w14:paraId="0D28A171">
      <w:pPr>
        <w:snapToGrid w:val="0"/>
        <w:spacing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2. 我方不是采购人的附属机构；在获知本项目采购信息后，与采购人聘请的为此项目提供咨询服务的公司及其附属机构没有任何联系。</w:t>
      </w:r>
    </w:p>
    <w:p w14:paraId="7D17CE8F">
      <w:pPr>
        <w:snapToGrid w:val="0"/>
        <w:spacing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3. 我方诚意提请贵方关注：近期有关该型号产品的生产、供货、售后服务以及性能等方面的重大决策和事项有：</w:t>
      </w:r>
    </w:p>
    <w:p w14:paraId="3B9CA893">
      <w:pPr>
        <w:snapToGrid w:val="0"/>
        <w:spacing w:beforeLines="50" w:line="3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179D49DA">
      <w:pPr>
        <w:snapToGrid w:val="0"/>
        <w:spacing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w:t>
      </w:r>
    </w:p>
    <w:p w14:paraId="26D76C65">
      <w:pPr>
        <w:pStyle w:val="22"/>
        <w:snapToGrid w:val="0"/>
        <w:spacing w:line="3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 我方及由本人担任法定代表人的其他机构最近三年内被通报或者被处罚的违法行为有：</w:t>
      </w:r>
    </w:p>
    <w:p w14:paraId="47606021">
      <w:pPr>
        <w:snapToGrid w:val="0"/>
        <w:spacing w:beforeLines="50" w:line="3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1B78F7BC">
      <w:pPr>
        <w:snapToGrid w:val="0"/>
        <w:spacing w:beforeLines="50" w:line="3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1ABCF8F2">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5. 以上事项如有虚假或隐瞒，我方愿意承担一切后果，并不再寻求任何旨在减轻或免除法律责任的辩解。</w:t>
      </w:r>
    </w:p>
    <w:p w14:paraId="5F8BC763">
      <w:pPr>
        <w:pStyle w:val="165"/>
        <w:snapToGrid w:val="0"/>
        <w:spacing w:beforeLines="50" w:line="340" w:lineRule="exact"/>
        <w:ind w:firstLine="200"/>
        <w:rPr>
          <w:rFonts w:ascii="宋体" w:hAnsi="宋体"/>
          <w:color w:val="auto"/>
          <w:sz w:val="21"/>
          <w:szCs w:val="21"/>
          <w:highlight w:val="none"/>
        </w:rPr>
      </w:pPr>
    </w:p>
    <w:p w14:paraId="339708EB">
      <w:pPr>
        <w:snapToGrid w:val="0"/>
        <w:spacing w:beforeLines="50" w:line="360" w:lineRule="exact"/>
        <w:rPr>
          <w:rFonts w:ascii="宋体" w:hAnsi="宋体"/>
          <w:color w:val="auto"/>
          <w:szCs w:val="21"/>
          <w:highlight w:val="none"/>
        </w:rPr>
      </w:pPr>
      <w:r>
        <w:rPr>
          <w:rFonts w:hint="eastAsia" w:ascii="宋体" w:hAnsi="宋体"/>
          <w:color w:val="auto"/>
          <w:szCs w:val="21"/>
          <w:highlight w:val="none"/>
        </w:rPr>
        <w:t>投标人名称（盖单位公章）：</w:t>
      </w:r>
    </w:p>
    <w:p w14:paraId="34AFFC13">
      <w:pPr>
        <w:snapToGrid w:val="0"/>
        <w:spacing w:beforeLines="50" w:line="360" w:lineRule="exact"/>
        <w:rPr>
          <w:rFonts w:ascii="宋体" w:hAnsi="宋体"/>
          <w:color w:val="auto"/>
          <w:szCs w:val="21"/>
          <w:highlight w:val="none"/>
          <w:u w:val="single"/>
        </w:rPr>
      </w:pPr>
      <w:r>
        <w:rPr>
          <w:rFonts w:hint="eastAsia" w:ascii="宋体" w:hAnsi="宋体"/>
          <w:color w:val="auto"/>
          <w:szCs w:val="21"/>
          <w:highlight w:val="none"/>
        </w:rPr>
        <w:t>法定代表人或授权代表（签字或者盖章或者电子签名）：</w:t>
      </w:r>
    </w:p>
    <w:p w14:paraId="100A2252">
      <w:pPr>
        <w:snapToGrid w:val="0"/>
        <w:spacing w:beforeLines="50" w:after="50" w:line="36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      日 期</w:t>
      </w:r>
      <w:r>
        <w:rPr>
          <w:rFonts w:ascii="宋体" w:hAnsi="宋体"/>
          <w:color w:val="auto"/>
          <w:szCs w:val="21"/>
          <w:highlight w:val="none"/>
        </w:rPr>
        <w:t>：</w:t>
      </w:r>
      <w:r>
        <w:rPr>
          <w:rFonts w:hint="eastAsia" w:ascii="宋体" w:hAnsi="宋体"/>
          <w:color w:val="auto"/>
          <w:szCs w:val="21"/>
          <w:highlight w:val="none"/>
        </w:rPr>
        <w:t>年月日</w:t>
      </w:r>
    </w:p>
    <w:p w14:paraId="695AFF40">
      <w:pPr>
        <w:snapToGrid w:val="0"/>
        <w:spacing w:before="50" w:afterLines="50" w:line="400" w:lineRule="exact"/>
        <w:jc w:val="left"/>
        <w:rPr>
          <w:rFonts w:ascii="宋体" w:hAnsi="宋体"/>
          <w:b/>
          <w:color w:val="auto"/>
          <w:szCs w:val="21"/>
          <w:highlight w:val="none"/>
        </w:rPr>
      </w:pPr>
    </w:p>
    <w:p w14:paraId="645AE802">
      <w:pPr>
        <w:snapToGrid w:val="0"/>
        <w:spacing w:before="50" w:afterLines="50" w:line="400" w:lineRule="exact"/>
        <w:jc w:val="left"/>
        <w:rPr>
          <w:rFonts w:ascii="宋体" w:hAnsi="宋体"/>
          <w:b/>
          <w:color w:val="auto"/>
          <w:szCs w:val="21"/>
          <w:highlight w:val="none"/>
        </w:rPr>
      </w:pPr>
    </w:p>
    <w:p w14:paraId="73E1B18E">
      <w:pPr>
        <w:pStyle w:val="21"/>
        <w:rPr>
          <w:rFonts w:ascii="宋体" w:hAnsi="宋体"/>
          <w:b/>
          <w:color w:val="auto"/>
          <w:szCs w:val="21"/>
          <w:highlight w:val="none"/>
        </w:rPr>
      </w:pPr>
    </w:p>
    <w:p w14:paraId="0B8AC5FB">
      <w:pPr>
        <w:rPr>
          <w:color w:val="auto"/>
          <w:highlight w:val="none"/>
        </w:rPr>
      </w:pPr>
    </w:p>
    <w:p w14:paraId="2608C9D5">
      <w:pPr>
        <w:rPr>
          <w:color w:val="auto"/>
          <w:highlight w:val="none"/>
        </w:rPr>
      </w:pPr>
    </w:p>
    <w:p w14:paraId="745F6417">
      <w:pPr>
        <w:rPr>
          <w:color w:val="auto"/>
          <w:highlight w:val="none"/>
        </w:rPr>
      </w:pPr>
    </w:p>
    <w:p w14:paraId="070B70E4">
      <w:pPr>
        <w:rPr>
          <w:color w:val="auto"/>
          <w:highlight w:val="none"/>
        </w:rPr>
      </w:pPr>
    </w:p>
    <w:p w14:paraId="3D3E81AB">
      <w:pPr>
        <w:pStyle w:val="21"/>
        <w:rPr>
          <w:color w:val="auto"/>
          <w:highlight w:val="none"/>
        </w:rPr>
      </w:pPr>
    </w:p>
    <w:p w14:paraId="59EA980E">
      <w:pPr>
        <w:rPr>
          <w:color w:val="auto"/>
          <w:highlight w:val="none"/>
        </w:rPr>
      </w:pPr>
    </w:p>
    <w:p w14:paraId="4FC3024E">
      <w:pPr>
        <w:snapToGrid w:val="0"/>
        <w:spacing w:before="50" w:afterLines="50" w:line="400" w:lineRule="exact"/>
        <w:jc w:val="left"/>
        <w:rPr>
          <w:rFonts w:ascii="宋体" w:hAnsi="宋体"/>
          <w:b/>
          <w:color w:val="auto"/>
          <w:szCs w:val="21"/>
          <w:highlight w:val="none"/>
        </w:rPr>
      </w:pPr>
    </w:p>
    <w:p w14:paraId="542FC294">
      <w:pPr>
        <w:snapToGrid w:val="0"/>
        <w:spacing w:before="50" w:afterLines="50" w:line="400" w:lineRule="exact"/>
        <w:jc w:val="both"/>
        <w:rPr>
          <w:rFonts w:hint="eastAsia" w:ascii="宋体" w:hAnsi="宋体" w:eastAsia="宋体" w:cs="Times New Roman"/>
          <w:b/>
          <w:color w:val="auto"/>
          <w:sz w:val="28"/>
          <w:szCs w:val="28"/>
          <w:highlight w:val="none"/>
          <w:lang w:val="en-US" w:eastAsia="zh-CN"/>
        </w:rPr>
      </w:pPr>
      <w:r>
        <w:rPr>
          <w:rFonts w:hint="eastAsia" w:ascii="宋体" w:hAnsi="宋体"/>
          <w:b/>
          <w:color w:val="auto"/>
          <w:sz w:val="28"/>
          <w:szCs w:val="28"/>
          <w:highlight w:val="none"/>
        </w:rPr>
        <w:t>2.投标人有效的营业执照副本复印件；</w:t>
      </w:r>
    </w:p>
    <w:p w14:paraId="12591A89">
      <w:pPr>
        <w:numPr>
          <w:ilvl w:val="0"/>
          <w:numId w:val="4"/>
        </w:numPr>
        <w:snapToGrid w:val="0"/>
        <w:spacing w:line="420" w:lineRule="exact"/>
        <w:jc w:val="left"/>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投标</w:t>
      </w:r>
      <w:r>
        <w:rPr>
          <w:rFonts w:hint="eastAsia" w:ascii="宋体" w:hAnsi="宋体" w:eastAsia="宋体" w:cs="Times New Roman"/>
          <w:b/>
          <w:color w:val="auto"/>
          <w:sz w:val="28"/>
          <w:szCs w:val="28"/>
          <w:highlight w:val="none"/>
        </w:rPr>
        <w:t>人为</w:t>
      </w:r>
      <w:r>
        <w:rPr>
          <w:rFonts w:hint="eastAsia" w:ascii="宋体" w:hAnsi="宋体" w:cs="Times New Roman"/>
          <w:b/>
          <w:color w:val="auto"/>
          <w:sz w:val="28"/>
          <w:szCs w:val="28"/>
          <w:highlight w:val="none"/>
          <w:lang w:val="en-US" w:eastAsia="zh-CN"/>
        </w:rPr>
        <w:t>中小</w:t>
      </w:r>
      <w:r>
        <w:rPr>
          <w:rFonts w:hint="eastAsia" w:ascii="宋体" w:hAnsi="宋体" w:eastAsia="宋体" w:cs="Times New Roman"/>
          <w:b/>
          <w:color w:val="auto"/>
          <w:sz w:val="28"/>
          <w:szCs w:val="28"/>
          <w:highlight w:val="none"/>
        </w:rPr>
        <w:t>企业的证明材料【①如属于</w:t>
      </w:r>
      <w:r>
        <w:rPr>
          <w:rFonts w:hint="eastAsia" w:ascii="宋体" w:hAnsi="宋体" w:cs="Times New Roman"/>
          <w:b/>
          <w:color w:val="auto"/>
          <w:sz w:val="28"/>
          <w:szCs w:val="28"/>
          <w:highlight w:val="none"/>
          <w:lang w:val="en-US" w:eastAsia="zh-CN"/>
        </w:rPr>
        <w:t>中小</w:t>
      </w:r>
      <w:r>
        <w:rPr>
          <w:rFonts w:hint="eastAsia" w:ascii="宋体" w:hAnsi="宋体" w:eastAsia="宋体" w:cs="Times New Roman"/>
          <w:b/>
          <w:color w:val="auto"/>
          <w:sz w:val="28"/>
          <w:szCs w:val="28"/>
          <w:highlight w:val="none"/>
        </w:rPr>
        <w:t>企业在参加政府采购活动时，应当出具《中小企业声明函》，以提供的《中小企业声明函》为准，并对声明的真实性负责（中小微型企业划分标准按照《关于印发中小企业划型标准规定的通知》（工信部联企业（2011）300号）执行）；②如属于监狱企业的，应当提供由省级以上监狱管理局、戒毒管理局（含新疆生产建设兵团）出具的属于监狱企业的证明文件复印件；③如符合条件的残疾人福利性单位在参加政府采购活动时，应当提供《残疾人福利性单位声明函》，并对声明的真实性负责】。</w:t>
      </w:r>
    </w:p>
    <w:p w14:paraId="1F1973AC">
      <w:pPr>
        <w:spacing w:line="600" w:lineRule="exact"/>
        <w:ind w:left="420" w:hanging="420"/>
        <w:jc w:val="center"/>
        <w:rPr>
          <w:rFonts w:hint="eastAsia" w:ascii="宋体" w:hAnsi="宋体" w:eastAsia="宋体"/>
          <w:color w:val="auto"/>
          <w:kern w:val="0"/>
          <w:sz w:val="32"/>
          <w:szCs w:val="32"/>
          <w:highlight w:val="none"/>
          <w:lang w:eastAsia="zh-CN"/>
        </w:rPr>
      </w:pPr>
      <w:r>
        <w:rPr>
          <w:rFonts w:hint="eastAsia" w:ascii="宋体" w:hAnsi="宋体"/>
          <w:color w:val="auto"/>
          <w:kern w:val="0"/>
          <w:sz w:val="32"/>
          <w:szCs w:val="32"/>
          <w:highlight w:val="none"/>
        </w:rPr>
        <w:t>中小企业声明函</w:t>
      </w:r>
      <w:r>
        <w:rPr>
          <w:rFonts w:hint="eastAsia" w:ascii="宋体" w:hAnsi="宋体"/>
          <w:b/>
          <w:bCs/>
          <w:color w:val="auto"/>
          <w:kern w:val="0"/>
          <w:sz w:val="32"/>
          <w:szCs w:val="32"/>
          <w:highlight w:val="none"/>
          <w:u w:val="single"/>
          <w:lang w:eastAsia="zh-CN"/>
        </w:rPr>
        <w:t>（</w:t>
      </w:r>
      <w:r>
        <w:rPr>
          <w:rFonts w:hint="eastAsia" w:ascii="宋体" w:hAnsi="宋体"/>
          <w:b/>
          <w:bCs/>
          <w:color w:val="auto"/>
          <w:kern w:val="0"/>
          <w:sz w:val="32"/>
          <w:szCs w:val="32"/>
          <w:highlight w:val="none"/>
          <w:u w:val="single"/>
          <w:lang w:val="en-US" w:eastAsia="zh-CN"/>
        </w:rPr>
        <w:t>如有请提供</w:t>
      </w:r>
      <w:r>
        <w:rPr>
          <w:rFonts w:hint="eastAsia" w:ascii="宋体" w:hAnsi="宋体"/>
          <w:b/>
          <w:bCs/>
          <w:color w:val="auto"/>
          <w:kern w:val="0"/>
          <w:sz w:val="32"/>
          <w:szCs w:val="32"/>
          <w:highlight w:val="none"/>
          <w:u w:val="single"/>
          <w:lang w:eastAsia="zh-CN"/>
        </w:rPr>
        <w:t>）</w:t>
      </w:r>
    </w:p>
    <w:p w14:paraId="5671213D">
      <w:pPr>
        <w:adjustRightInd w:val="0"/>
        <w:snapToGrid w:val="0"/>
        <w:jc w:val="center"/>
        <w:rPr>
          <w:rFonts w:ascii="宋体" w:hAnsi="宋体"/>
          <w:color w:val="auto"/>
          <w:szCs w:val="21"/>
          <w:highlight w:val="none"/>
        </w:rPr>
      </w:pPr>
    </w:p>
    <w:p w14:paraId="376B920D">
      <w:pPr>
        <w:adjustRightInd w:val="0"/>
        <w:snapToGrid w:val="0"/>
        <w:spacing w:line="48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w:t>
      </w:r>
      <w:r>
        <w:rPr>
          <w:rFonts w:ascii="宋体" w:hAnsi="宋体"/>
          <w:color w:val="auto"/>
          <w:szCs w:val="21"/>
          <w:highlight w:val="none"/>
        </w:rPr>
        <w:t>2020</w:t>
      </w:r>
      <w:r>
        <w:rPr>
          <w:rFonts w:hint="eastAsia" w:ascii="宋体" w:hAnsi="宋体"/>
          <w:color w:val="auto"/>
          <w:szCs w:val="21"/>
          <w:highlight w:val="none"/>
        </w:rPr>
        <w:t>﹞</w:t>
      </w:r>
      <w:r>
        <w:rPr>
          <w:rFonts w:ascii="宋体" w:hAnsi="宋体"/>
          <w:color w:val="auto"/>
          <w:szCs w:val="21"/>
          <w:highlight w:val="none"/>
        </w:rPr>
        <w:t xml:space="preserve">46 </w:t>
      </w:r>
      <w:r>
        <w:rPr>
          <w:rFonts w:hint="eastAsia" w:ascii="宋体" w:hAnsi="宋体"/>
          <w:color w:val="auto"/>
          <w:szCs w:val="21"/>
          <w:highlight w:val="none"/>
        </w:rPr>
        <w:t>号）的规定，本公司（联合体）参加</w:t>
      </w:r>
      <w:r>
        <w:rPr>
          <w:rFonts w:hint="eastAsia" w:ascii="宋体" w:hAnsi="宋体"/>
          <w:i/>
          <w:color w:val="auto"/>
          <w:szCs w:val="21"/>
          <w:highlight w:val="none"/>
          <w:u w:val="single"/>
        </w:rPr>
        <w:t>（单位名称）</w:t>
      </w:r>
      <w:r>
        <w:rPr>
          <w:rFonts w:hint="eastAsia" w:ascii="宋体" w:hAnsi="宋体"/>
          <w:color w:val="auto"/>
          <w:szCs w:val="21"/>
          <w:highlight w:val="none"/>
        </w:rPr>
        <w:t>的</w:t>
      </w:r>
      <w:r>
        <w:rPr>
          <w:rFonts w:hint="eastAsia" w:ascii="宋体" w:hAnsi="宋体"/>
          <w:i/>
          <w:color w:val="auto"/>
          <w:szCs w:val="21"/>
          <w:highlight w:val="none"/>
          <w:u w:val="single"/>
        </w:rPr>
        <w:t>（项目名称）</w:t>
      </w:r>
      <w:r>
        <w:rPr>
          <w:rFonts w:hint="eastAsia" w:ascii="宋体" w:hAnsi="宋体"/>
          <w:color w:val="auto"/>
          <w:szCs w:val="21"/>
          <w:highlight w:val="none"/>
        </w:rPr>
        <w:t>采购活动，提供的货物全部由符合政策要求的中小企业制造。相关企业（含联合体中的中小企业、签订分包意向协议的中小企业）</w:t>
      </w:r>
    </w:p>
    <w:p w14:paraId="6E0F0E99">
      <w:pPr>
        <w:adjustRightInd w:val="0"/>
        <w:snapToGrid w:val="0"/>
        <w:spacing w:line="480" w:lineRule="auto"/>
        <w:jc w:val="left"/>
        <w:rPr>
          <w:rFonts w:ascii="宋体" w:hAnsi="宋体"/>
          <w:color w:val="auto"/>
          <w:szCs w:val="21"/>
          <w:highlight w:val="none"/>
        </w:rPr>
      </w:pPr>
      <w:r>
        <w:rPr>
          <w:rFonts w:hint="eastAsia" w:ascii="宋体" w:hAnsi="宋体"/>
          <w:color w:val="auto"/>
          <w:szCs w:val="21"/>
          <w:highlight w:val="none"/>
        </w:rPr>
        <w:t>的具体情况如下：</w:t>
      </w:r>
    </w:p>
    <w:p w14:paraId="20578362">
      <w:pPr>
        <w:adjustRightInd w:val="0"/>
        <w:snapToGrid w:val="0"/>
        <w:spacing w:line="480" w:lineRule="auto"/>
        <w:ind w:left="1" w:firstLine="315" w:firstLineChars="150"/>
        <w:jc w:val="left"/>
        <w:rPr>
          <w:rFonts w:ascii="宋体" w:hAnsi="宋体"/>
          <w:color w:val="auto"/>
          <w:szCs w:val="21"/>
          <w:highlight w:val="none"/>
        </w:rPr>
      </w:pPr>
      <w:r>
        <w:rPr>
          <w:rFonts w:ascii="宋体" w:hAnsi="宋体"/>
          <w:color w:val="auto"/>
          <w:szCs w:val="21"/>
          <w:highlight w:val="none"/>
        </w:rPr>
        <w:t xml:space="preserve">1. </w:t>
      </w:r>
      <w:r>
        <w:rPr>
          <w:rFonts w:hint="eastAsia" w:ascii="宋体" w:hAnsi="宋体"/>
          <w:i/>
          <w:color w:val="auto"/>
          <w:szCs w:val="21"/>
          <w:highlight w:val="none"/>
          <w:u w:val="single"/>
        </w:rPr>
        <w:t>（标的名称）</w:t>
      </w:r>
      <w:r>
        <w:rPr>
          <w:rFonts w:ascii="宋体" w:hAnsi="宋体"/>
          <w:i/>
          <w:color w:val="auto"/>
          <w:szCs w:val="21"/>
          <w:highlight w:val="none"/>
          <w:u w:val="single"/>
        </w:rPr>
        <w:t xml:space="preserve"> </w:t>
      </w:r>
      <w:r>
        <w:rPr>
          <w:rFonts w:hint="eastAsia" w:ascii="宋体" w:hAnsi="宋体"/>
          <w:color w:val="auto"/>
          <w:szCs w:val="21"/>
          <w:highlight w:val="none"/>
        </w:rPr>
        <w:t>，属于</w:t>
      </w:r>
      <w:r>
        <w:rPr>
          <w:rFonts w:hint="eastAsia" w:ascii="宋体" w:hAnsi="宋体"/>
          <w:i/>
          <w:color w:val="auto"/>
          <w:szCs w:val="21"/>
          <w:highlight w:val="none"/>
          <w:u w:val="single"/>
        </w:rPr>
        <w:t>（采购文件中明确的所属行业）</w:t>
      </w:r>
      <w:r>
        <w:rPr>
          <w:rFonts w:hint="eastAsia" w:ascii="宋体" w:hAnsi="宋体"/>
          <w:color w:val="auto"/>
          <w:szCs w:val="21"/>
          <w:highlight w:val="none"/>
        </w:rPr>
        <w:t>行业；制造商为</w:t>
      </w:r>
      <w:r>
        <w:rPr>
          <w:rFonts w:hint="eastAsia" w:ascii="宋体" w:hAnsi="宋体"/>
          <w:i/>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i/>
          <w:color w:val="auto"/>
          <w:szCs w:val="21"/>
          <w:highlight w:val="none"/>
          <w:u w:val="single"/>
        </w:rPr>
        <w:t>（中型企业、小型企业、微型企业）</w:t>
      </w:r>
      <w:r>
        <w:rPr>
          <w:rFonts w:hint="eastAsia" w:ascii="宋体" w:hAnsi="宋体"/>
          <w:color w:val="auto"/>
          <w:szCs w:val="21"/>
          <w:highlight w:val="none"/>
        </w:rPr>
        <w:t>；</w:t>
      </w:r>
    </w:p>
    <w:p w14:paraId="1976CB79">
      <w:pPr>
        <w:adjustRightInd w:val="0"/>
        <w:snapToGrid w:val="0"/>
        <w:spacing w:line="480" w:lineRule="auto"/>
        <w:ind w:firstLine="420" w:firstLineChars="200"/>
        <w:jc w:val="left"/>
        <w:rPr>
          <w:rFonts w:ascii="宋体" w:hAnsi="宋体"/>
          <w:color w:val="auto"/>
          <w:szCs w:val="21"/>
          <w:highlight w:val="none"/>
        </w:rPr>
      </w:pPr>
      <w:r>
        <w:rPr>
          <w:rFonts w:ascii="宋体" w:hAnsi="宋体"/>
          <w:color w:val="auto"/>
          <w:szCs w:val="21"/>
          <w:highlight w:val="none"/>
        </w:rPr>
        <w:t xml:space="preserve">2. </w:t>
      </w:r>
      <w:r>
        <w:rPr>
          <w:rFonts w:hint="eastAsia" w:ascii="宋体" w:hAnsi="宋体"/>
          <w:i/>
          <w:color w:val="auto"/>
          <w:szCs w:val="21"/>
          <w:highlight w:val="none"/>
          <w:u w:val="single"/>
        </w:rPr>
        <w:t>（标的名称）</w:t>
      </w:r>
      <w:r>
        <w:rPr>
          <w:rFonts w:ascii="宋体" w:hAnsi="宋体"/>
          <w:i/>
          <w:color w:val="auto"/>
          <w:szCs w:val="21"/>
          <w:highlight w:val="none"/>
          <w:u w:val="single"/>
        </w:rPr>
        <w:t xml:space="preserve"> </w:t>
      </w:r>
      <w:r>
        <w:rPr>
          <w:rFonts w:hint="eastAsia" w:ascii="宋体" w:hAnsi="宋体"/>
          <w:color w:val="auto"/>
          <w:szCs w:val="21"/>
          <w:highlight w:val="none"/>
        </w:rPr>
        <w:t>，属于</w:t>
      </w:r>
      <w:r>
        <w:rPr>
          <w:rFonts w:hint="eastAsia" w:ascii="宋体" w:hAnsi="宋体"/>
          <w:i/>
          <w:color w:val="auto"/>
          <w:szCs w:val="21"/>
          <w:highlight w:val="none"/>
          <w:u w:val="single"/>
        </w:rPr>
        <w:t>（采购文件中明确的所属行业）</w:t>
      </w:r>
      <w:r>
        <w:rPr>
          <w:rFonts w:hint="eastAsia" w:ascii="宋体" w:hAnsi="宋体"/>
          <w:color w:val="auto"/>
          <w:szCs w:val="21"/>
          <w:highlight w:val="none"/>
        </w:rPr>
        <w:t>行业；制造商为</w:t>
      </w:r>
      <w:r>
        <w:rPr>
          <w:rFonts w:hint="eastAsia" w:ascii="宋体" w:hAnsi="宋体"/>
          <w:i/>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i/>
          <w:color w:val="auto"/>
          <w:szCs w:val="21"/>
          <w:highlight w:val="none"/>
          <w:u w:val="single"/>
        </w:rPr>
        <w:t>（中型企业、小型企业、微型企业）</w:t>
      </w:r>
      <w:r>
        <w:rPr>
          <w:rFonts w:hint="eastAsia" w:ascii="宋体" w:hAnsi="宋体"/>
          <w:color w:val="auto"/>
          <w:szCs w:val="21"/>
          <w:highlight w:val="none"/>
        </w:rPr>
        <w:t>；</w:t>
      </w:r>
    </w:p>
    <w:p w14:paraId="5A456EA3">
      <w:pPr>
        <w:adjustRightInd w:val="0"/>
        <w:snapToGrid w:val="0"/>
        <w:spacing w:line="480" w:lineRule="auto"/>
        <w:ind w:firstLine="420" w:firstLineChars="200"/>
        <w:jc w:val="left"/>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515E4366">
      <w:pPr>
        <w:adjustRightInd w:val="0"/>
        <w:snapToGrid w:val="0"/>
        <w:spacing w:line="48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本企业对上述声明内容的真实性负责。如有虚假，将依法承担相应责任</w:t>
      </w:r>
      <w:r>
        <w:rPr>
          <w:rFonts w:hint="eastAsia" w:ascii="宋体" w:hAnsi="宋体"/>
          <w:color w:val="auto"/>
          <w:szCs w:val="21"/>
          <w:highlight w:val="none"/>
          <w:lang w:eastAsia="zh-CN"/>
        </w:rPr>
        <w:t>。</w:t>
      </w:r>
    </w:p>
    <w:p w14:paraId="5BF2C489">
      <w:pPr>
        <w:adjustRightInd w:val="0"/>
        <w:snapToGrid w:val="0"/>
        <w:spacing w:line="360" w:lineRule="exact"/>
        <w:jc w:val="left"/>
        <w:rPr>
          <w:rFonts w:ascii="宋体" w:hAnsi="宋体"/>
          <w:color w:val="auto"/>
          <w:szCs w:val="21"/>
          <w:highlight w:val="none"/>
        </w:rPr>
      </w:pPr>
    </w:p>
    <w:p w14:paraId="1F609646">
      <w:pPr>
        <w:adjustRightInd w:val="0"/>
        <w:snapToGrid w:val="0"/>
        <w:spacing w:line="360" w:lineRule="exact"/>
        <w:ind w:firstLine="4200" w:firstLineChars="2000"/>
        <w:jc w:val="left"/>
        <w:rPr>
          <w:rFonts w:ascii="宋体" w:hAnsi="宋体" w:eastAsia="宋体"/>
          <w:color w:val="auto"/>
          <w:sz w:val="21"/>
          <w:szCs w:val="21"/>
          <w:highlight w:val="none"/>
        </w:rPr>
      </w:pPr>
      <w:r>
        <w:rPr>
          <w:rFonts w:hint="eastAsia" w:ascii="宋体" w:hAnsi="宋体"/>
          <w:color w:val="auto"/>
          <w:szCs w:val="21"/>
          <w:highlight w:val="none"/>
        </w:rPr>
        <w:t>企业名称（盖章）：</w:t>
      </w:r>
    </w:p>
    <w:p w14:paraId="57C14BD5">
      <w:pPr>
        <w:adjustRightInd w:val="0"/>
        <w:snapToGrid w:val="0"/>
        <w:spacing w:line="360" w:lineRule="exact"/>
        <w:ind w:firstLine="4200" w:firstLineChars="2000"/>
        <w:jc w:val="left"/>
        <w:rPr>
          <w:rFonts w:ascii="宋体" w:hAnsi="宋体"/>
          <w:color w:val="auto"/>
          <w:szCs w:val="21"/>
          <w:highlight w:val="none"/>
        </w:rPr>
      </w:pPr>
      <w:r>
        <w:rPr>
          <w:rFonts w:hint="eastAsia" w:ascii="宋体" w:hAnsi="宋体"/>
          <w:color w:val="auto"/>
          <w:szCs w:val="21"/>
          <w:highlight w:val="none"/>
        </w:rPr>
        <w:t>日期：</w:t>
      </w:r>
    </w:p>
    <w:p w14:paraId="6BBB55A7">
      <w:pPr>
        <w:pStyle w:val="29"/>
        <w:spacing w:line="500" w:lineRule="exact"/>
        <w:jc w:val="left"/>
        <w:rPr>
          <w:rFonts w:hAnsi="宋体"/>
          <w:b/>
          <w:color w:val="auto"/>
          <w:highlight w:val="none"/>
        </w:rPr>
      </w:pPr>
      <w:r>
        <w:rPr>
          <w:rFonts w:hint="eastAsia" w:hAnsi="宋体"/>
          <w:b/>
          <w:color w:val="auto"/>
          <w:highlight w:val="none"/>
        </w:rPr>
        <w:t>注：从业人员、营业收入、资产总额填报上一年度数据，无上一年度数据的新成立企业可不填报。请参照《关于印发中小企业划型标准规定的通知》（工信部联企业[2011]300号）及自己的真实情况出具《中小企业声明函》。依法享受中小企业优惠政策的，采购人或者采购代理机构在公告成交结果时，同时公告其《中小企业声明函》，接受社会监督。</w:t>
      </w:r>
    </w:p>
    <w:p w14:paraId="10740001">
      <w:pPr>
        <w:tabs>
          <w:tab w:val="left" w:pos="3870"/>
          <w:tab w:val="left" w:pos="4085"/>
        </w:tabs>
        <w:snapToGrid w:val="0"/>
        <w:spacing w:line="420" w:lineRule="exact"/>
        <w:jc w:val="left"/>
        <w:rPr>
          <w:rFonts w:ascii="宋体" w:hAnsi="宋体"/>
          <w:color w:val="auto"/>
          <w:szCs w:val="21"/>
          <w:highlight w:val="none"/>
        </w:rPr>
      </w:pPr>
    </w:p>
    <w:p w14:paraId="2CAF5C5C">
      <w:pPr>
        <w:tabs>
          <w:tab w:val="left" w:pos="3870"/>
          <w:tab w:val="left" w:pos="4085"/>
        </w:tabs>
        <w:snapToGrid w:val="0"/>
        <w:spacing w:line="420" w:lineRule="exact"/>
        <w:jc w:val="center"/>
        <w:rPr>
          <w:rFonts w:hint="eastAsia" w:ascii="宋体" w:hAnsi="宋体"/>
          <w:b/>
          <w:color w:val="auto"/>
          <w:sz w:val="28"/>
          <w:szCs w:val="28"/>
          <w:highlight w:val="none"/>
        </w:rPr>
      </w:pPr>
    </w:p>
    <w:p w14:paraId="69C75551">
      <w:pPr>
        <w:tabs>
          <w:tab w:val="left" w:pos="3870"/>
          <w:tab w:val="left" w:pos="4085"/>
        </w:tabs>
        <w:snapToGrid w:val="0"/>
        <w:spacing w:line="420" w:lineRule="exact"/>
        <w:jc w:val="center"/>
        <w:rPr>
          <w:rFonts w:hint="eastAsia" w:ascii="宋体" w:hAnsi="宋体"/>
          <w:b/>
          <w:color w:val="auto"/>
          <w:sz w:val="28"/>
          <w:szCs w:val="28"/>
          <w:highlight w:val="none"/>
        </w:rPr>
      </w:pPr>
    </w:p>
    <w:p w14:paraId="2E9CAF2D">
      <w:pPr>
        <w:tabs>
          <w:tab w:val="left" w:pos="3870"/>
          <w:tab w:val="left" w:pos="4085"/>
        </w:tabs>
        <w:snapToGrid w:val="0"/>
        <w:spacing w:line="420" w:lineRule="exact"/>
        <w:jc w:val="center"/>
        <w:rPr>
          <w:rFonts w:ascii="宋体" w:hAnsi="宋体"/>
          <w:b/>
          <w:color w:val="auto"/>
          <w:sz w:val="28"/>
          <w:szCs w:val="28"/>
          <w:highlight w:val="none"/>
        </w:rPr>
      </w:pPr>
      <w:r>
        <w:rPr>
          <w:rFonts w:hint="eastAsia" w:ascii="宋体" w:hAnsi="宋体"/>
          <w:b/>
          <w:color w:val="auto"/>
          <w:sz w:val="28"/>
          <w:szCs w:val="28"/>
          <w:highlight w:val="none"/>
        </w:rPr>
        <w:t>投标人属于监狱企业的，应提供由省级以上监狱管理局、戒毒管理局（含新疆生产建设兵团）出具的属于监狱企业的证明文件</w:t>
      </w:r>
    </w:p>
    <w:p w14:paraId="6BAB7541">
      <w:pPr>
        <w:tabs>
          <w:tab w:val="left" w:pos="3870"/>
          <w:tab w:val="left" w:pos="4085"/>
        </w:tabs>
        <w:snapToGrid w:val="0"/>
        <w:spacing w:line="420" w:lineRule="exact"/>
        <w:ind w:left="562"/>
        <w:jc w:val="left"/>
        <w:rPr>
          <w:rFonts w:ascii="宋体" w:hAnsi="宋体"/>
          <w:b/>
          <w:color w:val="auto"/>
          <w:sz w:val="28"/>
          <w:szCs w:val="28"/>
          <w:highlight w:val="none"/>
        </w:rPr>
      </w:pPr>
    </w:p>
    <w:p w14:paraId="1A7E5E83">
      <w:pPr>
        <w:tabs>
          <w:tab w:val="left" w:pos="3870"/>
          <w:tab w:val="left" w:pos="4085"/>
        </w:tabs>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（格式自拟）</w:t>
      </w:r>
    </w:p>
    <w:p w14:paraId="26ABD146">
      <w:pPr>
        <w:tabs>
          <w:tab w:val="left" w:pos="3870"/>
          <w:tab w:val="left" w:pos="4085"/>
        </w:tabs>
        <w:snapToGrid w:val="0"/>
        <w:spacing w:line="420" w:lineRule="exact"/>
        <w:ind w:firstLine="422" w:firstLineChars="200"/>
        <w:jc w:val="left"/>
        <w:rPr>
          <w:rFonts w:ascii="宋体" w:hAnsi="宋体"/>
          <w:b/>
          <w:color w:val="auto"/>
          <w:szCs w:val="21"/>
          <w:highlight w:val="none"/>
        </w:rPr>
      </w:pPr>
    </w:p>
    <w:p w14:paraId="516670F2">
      <w:pPr>
        <w:tabs>
          <w:tab w:val="left" w:pos="3870"/>
          <w:tab w:val="left" w:pos="4085"/>
        </w:tabs>
        <w:snapToGrid w:val="0"/>
        <w:spacing w:line="420" w:lineRule="exact"/>
        <w:ind w:firstLine="422" w:firstLineChars="200"/>
        <w:jc w:val="left"/>
        <w:rPr>
          <w:rFonts w:ascii="宋体" w:hAnsi="宋体"/>
          <w:b/>
          <w:color w:val="auto"/>
          <w:szCs w:val="21"/>
          <w:highlight w:val="none"/>
        </w:rPr>
      </w:pPr>
    </w:p>
    <w:p w14:paraId="424D1B75">
      <w:pPr>
        <w:tabs>
          <w:tab w:val="left" w:pos="3870"/>
          <w:tab w:val="left" w:pos="4085"/>
        </w:tabs>
        <w:snapToGrid w:val="0"/>
        <w:spacing w:line="420" w:lineRule="exact"/>
        <w:jc w:val="left"/>
        <w:rPr>
          <w:rFonts w:ascii="宋体" w:hAnsi="宋体"/>
          <w:b/>
          <w:color w:val="auto"/>
          <w:sz w:val="28"/>
          <w:szCs w:val="28"/>
          <w:highlight w:val="none"/>
        </w:rPr>
      </w:pPr>
    </w:p>
    <w:p w14:paraId="2A2D7302">
      <w:pPr>
        <w:tabs>
          <w:tab w:val="left" w:pos="3870"/>
          <w:tab w:val="left" w:pos="4085"/>
        </w:tabs>
        <w:snapToGrid w:val="0"/>
        <w:spacing w:line="420" w:lineRule="exact"/>
        <w:jc w:val="left"/>
        <w:rPr>
          <w:rFonts w:ascii="宋体" w:hAnsi="宋体"/>
          <w:b/>
          <w:color w:val="auto"/>
          <w:sz w:val="28"/>
          <w:szCs w:val="28"/>
          <w:highlight w:val="none"/>
        </w:rPr>
      </w:pPr>
    </w:p>
    <w:p w14:paraId="557D4485">
      <w:pPr>
        <w:tabs>
          <w:tab w:val="left" w:pos="3870"/>
          <w:tab w:val="left" w:pos="4085"/>
        </w:tabs>
        <w:snapToGrid w:val="0"/>
        <w:spacing w:line="420" w:lineRule="exact"/>
        <w:jc w:val="left"/>
        <w:rPr>
          <w:rFonts w:ascii="宋体" w:hAnsi="宋体"/>
          <w:b/>
          <w:color w:val="auto"/>
          <w:sz w:val="28"/>
          <w:szCs w:val="28"/>
          <w:highlight w:val="none"/>
        </w:rPr>
      </w:pPr>
      <w:r>
        <w:rPr>
          <w:rFonts w:hint="eastAsia" w:ascii="宋体" w:hAnsi="宋体"/>
          <w:b/>
          <w:color w:val="auto"/>
          <w:sz w:val="28"/>
          <w:szCs w:val="28"/>
          <w:highlight w:val="none"/>
        </w:rPr>
        <w:t>投标人属于残疾人福利性单位，按《三部门联合发布关于促进残疾人就业政府采购政策的通知》（财库〔2017〕141号）要求，提供《残疾人福利性单位声明函》，否则不予享受优惠政策</w:t>
      </w:r>
    </w:p>
    <w:p w14:paraId="799A1EDD">
      <w:pPr>
        <w:spacing w:line="588" w:lineRule="exact"/>
        <w:jc w:val="center"/>
        <w:rPr>
          <w:rFonts w:ascii="宋体" w:hAnsi="宋体"/>
          <w:b/>
          <w:color w:val="auto"/>
          <w:sz w:val="28"/>
          <w:szCs w:val="28"/>
          <w:highlight w:val="none"/>
        </w:rPr>
      </w:pPr>
    </w:p>
    <w:p w14:paraId="25C09BD7">
      <w:pPr>
        <w:spacing w:line="588" w:lineRule="exact"/>
        <w:jc w:val="center"/>
        <w:rPr>
          <w:rFonts w:ascii="宋体" w:hAnsi="宋体"/>
          <w:b/>
          <w:color w:val="auto"/>
          <w:sz w:val="28"/>
          <w:szCs w:val="28"/>
          <w:highlight w:val="none"/>
        </w:rPr>
      </w:pPr>
      <w:r>
        <w:rPr>
          <w:rFonts w:hint="eastAsia" w:ascii="宋体" w:hAnsi="宋体"/>
          <w:b/>
          <w:color w:val="auto"/>
          <w:sz w:val="28"/>
          <w:szCs w:val="28"/>
          <w:highlight w:val="none"/>
        </w:rPr>
        <w:t>残疾人福利性单位声明函</w:t>
      </w:r>
    </w:p>
    <w:p w14:paraId="40228F3B">
      <w:pPr>
        <w:spacing w:line="588" w:lineRule="exact"/>
        <w:rPr>
          <w:rFonts w:ascii="宋体" w:hAnsi="宋体"/>
          <w:b/>
          <w:color w:val="auto"/>
          <w:spacing w:val="6"/>
          <w:sz w:val="28"/>
          <w:szCs w:val="28"/>
          <w:highlight w:val="none"/>
        </w:rPr>
      </w:pPr>
    </w:p>
    <w:p w14:paraId="14327245">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3E160EF">
      <w:pPr>
        <w:spacing w:line="588"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3031618B">
      <w:pPr>
        <w:spacing w:line="588" w:lineRule="exact"/>
        <w:ind w:firstLine="420" w:firstLineChars="200"/>
        <w:rPr>
          <w:rFonts w:ascii="宋体" w:hAnsi="宋体"/>
          <w:color w:val="auto"/>
          <w:szCs w:val="21"/>
          <w:highlight w:val="none"/>
        </w:rPr>
      </w:pPr>
    </w:p>
    <w:p w14:paraId="16E5868A">
      <w:pPr>
        <w:spacing w:line="360" w:lineRule="auto"/>
        <w:ind w:right="-21" w:rightChars="-10"/>
        <w:jc w:val="left"/>
        <w:rPr>
          <w:rFonts w:ascii="宋体" w:hAnsi="宋体"/>
          <w:color w:val="auto"/>
          <w:szCs w:val="21"/>
          <w:highlight w:val="none"/>
          <w:u w:val="single"/>
        </w:rPr>
      </w:pPr>
      <w:r>
        <w:rPr>
          <w:rFonts w:hint="eastAsia" w:ascii="宋体" w:hAnsi="宋体"/>
          <w:color w:val="auto"/>
          <w:szCs w:val="21"/>
          <w:highlight w:val="none"/>
        </w:rPr>
        <w:t>投标人名称（盖单位公章）：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043931B">
      <w:pPr>
        <w:spacing w:line="360" w:lineRule="auto"/>
        <w:ind w:right="-21" w:rightChars="-10"/>
        <w:jc w:val="left"/>
        <w:rPr>
          <w:rFonts w:ascii="宋体" w:hAnsi="宋体"/>
          <w:color w:val="auto"/>
          <w:szCs w:val="21"/>
          <w:highlight w:val="none"/>
          <w:u w:val="single"/>
        </w:rPr>
      </w:pPr>
      <w:r>
        <w:rPr>
          <w:rFonts w:hint="eastAsia" w:ascii="宋体" w:hAnsi="宋体"/>
          <w:color w:val="auto"/>
          <w:szCs w:val="21"/>
          <w:highlight w:val="none"/>
        </w:rPr>
        <w:t>法</w:t>
      </w:r>
      <w:r>
        <w:rPr>
          <w:rFonts w:ascii="宋体" w:hAnsi="宋体"/>
          <w:color w:val="auto"/>
          <w:szCs w:val="21"/>
          <w:highlight w:val="none"/>
        </w:rPr>
        <w:t>定代</w:t>
      </w:r>
      <w:r>
        <w:rPr>
          <w:rFonts w:hint="eastAsia" w:ascii="宋体" w:hAnsi="宋体"/>
          <w:color w:val="auto"/>
          <w:szCs w:val="21"/>
          <w:highlight w:val="none"/>
        </w:rPr>
        <w:t>表</w:t>
      </w:r>
      <w:r>
        <w:rPr>
          <w:rFonts w:ascii="宋体" w:hAnsi="宋体"/>
          <w:color w:val="auto"/>
          <w:szCs w:val="21"/>
          <w:highlight w:val="none"/>
        </w:rPr>
        <w:t>人或授权</w:t>
      </w:r>
      <w:r>
        <w:rPr>
          <w:rFonts w:hint="eastAsia" w:ascii="宋体" w:hAnsi="宋体"/>
          <w:color w:val="auto"/>
          <w:szCs w:val="21"/>
          <w:highlight w:val="none"/>
        </w:rPr>
        <w:t>代</w:t>
      </w:r>
      <w:r>
        <w:rPr>
          <w:rFonts w:ascii="宋体" w:hAnsi="宋体"/>
          <w:color w:val="auto"/>
          <w:szCs w:val="21"/>
          <w:highlight w:val="none"/>
        </w:rPr>
        <w:t>理人</w:t>
      </w:r>
      <w:r>
        <w:rPr>
          <w:rFonts w:hint="eastAsia" w:ascii="宋体" w:hAnsi="宋体"/>
          <w:color w:val="auto"/>
          <w:szCs w:val="21"/>
          <w:highlight w:val="none"/>
        </w:rPr>
        <w:t>签</w:t>
      </w:r>
      <w:r>
        <w:rPr>
          <w:rFonts w:ascii="宋体" w:hAnsi="宋体"/>
          <w:color w:val="auto"/>
          <w:szCs w:val="21"/>
          <w:highlight w:val="none"/>
        </w:rPr>
        <w:t>字：</w:t>
      </w:r>
      <w:r>
        <w:rPr>
          <w:rFonts w:hint="eastAsia" w:ascii="宋体" w:hAnsi="宋体"/>
          <w:color w:val="auto"/>
          <w:szCs w:val="21"/>
          <w:highlight w:val="none"/>
          <w:u w:val="single"/>
        </w:rPr>
        <w:t xml:space="preserve">                 </w:t>
      </w:r>
    </w:p>
    <w:p w14:paraId="3399AEE7">
      <w:pPr>
        <w:snapToGrid w:val="0"/>
        <w:spacing w:line="420" w:lineRule="exact"/>
        <w:jc w:val="center"/>
        <w:rPr>
          <w:rFonts w:hint="eastAsia" w:ascii="宋体" w:hAnsi="宋体"/>
          <w:b/>
          <w:color w:val="auto"/>
          <w:sz w:val="28"/>
          <w:szCs w:val="28"/>
          <w:highlight w:val="none"/>
        </w:rPr>
      </w:pPr>
      <w:r>
        <w:rPr>
          <w:rFonts w:hint="eastAsia" w:hAnsi="宋体"/>
          <w:color w:val="auto"/>
          <w:highlight w:val="none"/>
        </w:rPr>
        <w:t>日  期</w:t>
      </w:r>
      <w:r>
        <w:rPr>
          <w:rFonts w:hAnsi="宋体"/>
          <w:color w:val="auto"/>
          <w:highlight w:val="none"/>
        </w:rPr>
        <w:t>：</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 xml:space="preserve">日 </w:t>
      </w:r>
    </w:p>
    <w:p w14:paraId="5CCCD9E5">
      <w:pPr>
        <w:snapToGrid w:val="0"/>
        <w:spacing w:line="420" w:lineRule="exact"/>
        <w:jc w:val="center"/>
        <w:rPr>
          <w:rFonts w:hint="eastAsia" w:ascii="宋体" w:hAnsi="宋体"/>
          <w:b/>
          <w:color w:val="auto"/>
          <w:sz w:val="28"/>
          <w:szCs w:val="28"/>
          <w:highlight w:val="none"/>
        </w:rPr>
      </w:pPr>
    </w:p>
    <w:p w14:paraId="1CA89078">
      <w:pPr>
        <w:snapToGrid w:val="0"/>
        <w:spacing w:line="420" w:lineRule="exact"/>
        <w:jc w:val="center"/>
        <w:rPr>
          <w:rFonts w:hint="eastAsia" w:ascii="宋体" w:hAnsi="宋体"/>
          <w:b/>
          <w:color w:val="auto"/>
          <w:sz w:val="28"/>
          <w:szCs w:val="28"/>
          <w:highlight w:val="none"/>
        </w:rPr>
      </w:pPr>
    </w:p>
    <w:p w14:paraId="406F2D2D">
      <w:pPr>
        <w:snapToGrid w:val="0"/>
        <w:spacing w:line="420" w:lineRule="exact"/>
        <w:jc w:val="center"/>
        <w:rPr>
          <w:rFonts w:hint="eastAsia" w:ascii="宋体" w:hAnsi="宋体"/>
          <w:b/>
          <w:color w:val="auto"/>
          <w:sz w:val="28"/>
          <w:szCs w:val="28"/>
          <w:highlight w:val="none"/>
        </w:rPr>
      </w:pPr>
    </w:p>
    <w:p w14:paraId="625B3E0E">
      <w:pPr>
        <w:snapToGrid w:val="0"/>
        <w:spacing w:line="420" w:lineRule="exact"/>
        <w:jc w:val="center"/>
        <w:rPr>
          <w:rFonts w:hint="eastAsia" w:ascii="宋体" w:hAnsi="宋体"/>
          <w:b/>
          <w:color w:val="auto"/>
          <w:sz w:val="28"/>
          <w:szCs w:val="28"/>
          <w:highlight w:val="none"/>
        </w:rPr>
      </w:pPr>
    </w:p>
    <w:p w14:paraId="59CA62DF">
      <w:pPr>
        <w:snapToGrid w:val="0"/>
        <w:spacing w:line="420" w:lineRule="exact"/>
        <w:jc w:val="center"/>
        <w:rPr>
          <w:rFonts w:hint="eastAsia" w:ascii="宋体" w:hAnsi="宋体"/>
          <w:b/>
          <w:color w:val="auto"/>
          <w:sz w:val="28"/>
          <w:szCs w:val="28"/>
          <w:highlight w:val="none"/>
        </w:rPr>
      </w:pPr>
    </w:p>
    <w:p w14:paraId="0ADAF43D">
      <w:pPr>
        <w:snapToGrid w:val="0"/>
        <w:spacing w:line="420" w:lineRule="exact"/>
        <w:jc w:val="center"/>
        <w:rPr>
          <w:rFonts w:hint="eastAsia" w:ascii="宋体" w:hAnsi="宋体"/>
          <w:b/>
          <w:color w:val="auto"/>
          <w:sz w:val="28"/>
          <w:szCs w:val="28"/>
          <w:highlight w:val="none"/>
        </w:rPr>
      </w:pPr>
    </w:p>
    <w:p w14:paraId="3D119C1F">
      <w:pPr>
        <w:snapToGrid w:val="0"/>
        <w:spacing w:line="420" w:lineRule="exact"/>
        <w:jc w:val="center"/>
        <w:rPr>
          <w:rFonts w:hint="eastAsia" w:ascii="宋体" w:hAnsi="宋体"/>
          <w:b/>
          <w:color w:val="auto"/>
          <w:sz w:val="28"/>
          <w:szCs w:val="28"/>
          <w:highlight w:val="none"/>
        </w:rPr>
      </w:pPr>
    </w:p>
    <w:p w14:paraId="2A07B53E">
      <w:pPr>
        <w:snapToGrid w:val="0"/>
        <w:spacing w:line="42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hint="eastAsia" w:ascii="宋体" w:hAnsi="宋体"/>
          <w:b/>
          <w:color w:val="auto"/>
          <w:sz w:val="28"/>
          <w:szCs w:val="28"/>
          <w:highlight w:val="none"/>
        </w:rPr>
        <w:t>.法定代表人有效身份证正反面复印件；</w:t>
      </w:r>
    </w:p>
    <w:p w14:paraId="5294C604">
      <w:pPr>
        <w:jc w:val="center"/>
        <w:rPr>
          <w:rFonts w:ascii="宋体" w:hAnsi="宋体"/>
          <w:b/>
          <w:color w:val="auto"/>
          <w:sz w:val="28"/>
          <w:szCs w:val="28"/>
          <w:highlight w:val="none"/>
        </w:rPr>
      </w:pPr>
      <w:bookmarkStart w:id="89" w:name="_Toc349558171"/>
      <w:bookmarkStart w:id="90" w:name="_Toc13795"/>
      <w:bookmarkStart w:id="91" w:name="_Toc392941005"/>
    </w:p>
    <w:bookmarkEnd w:id="89"/>
    <w:bookmarkEnd w:id="90"/>
    <w:bookmarkEnd w:id="91"/>
    <w:p w14:paraId="0242663C">
      <w:pPr>
        <w:snapToGrid w:val="0"/>
        <w:spacing w:before="50" w:afterLines="50" w:line="400" w:lineRule="exact"/>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.法定代表人授权委托书原</w:t>
      </w:r>
      <w:r>
        <w:rPr>
          <w:rFonts w:ascii="宋体" w:hAnsi="宋体"/>
          <w:b/>
          <w:color w:val="auto"/>
          <w:sz w:val="28"/>
          <w:szCs w:val="28"/>
          <w:highlight w:val="none"/>
        </w:rPr>
        <w:t>件</w:t>
      </w:r>
      <w:r>
        <w:rPr>
          <w:rFonts w:hint="eastAsia" w:ascii="宋体" w:hAnsi="宋体"/>
          <w:b/>
          <w:color w:val="auto"/>
          <w:sz w:val="28"/>
          <w:szCs w:val="28"/>
          <w:highlight w:val="none"/>
        </w:rPr>
        <w:t>，委托代理人正反面身份证复印件；（委托代理时必须提供）</w:t>
      </w:r>
    </w:p>
    <w:p w14:paraId="3D683BEA">
      <w:pPr>
        <w:snapToGrid w:val="0"/>
        <w:spacing w:before="50" w:afterLines="50" w:line="400" w:lineRule="exact"/>
        <w:jc w:val="left"/>
        <w:rPr>
          <w:rFonts w:ascii="宋体" w:hAnsi="宋体"/>
          <w:b/>
          <w:color w:val="auto"/>
          <w:szCs w:val="21"/>
          <w:highlight w:val="none"/>
        </w:rPr>
      </w:pPr>
    </w:p>
    <w:p w14:paraId="3B6F61DC">
      <w:pPr>
        <w:snapToGrid w:val="0"/>
        <w:spacing w:beforeLines="50" w:after="50" w:line="440" w:lineRule="exact"/>
        <w:jc w:val="center"/>
        <w:rPr>
          <w:rFonts w:ascii="宋体" w:hAnsi="宋体"/>
          <w:bCs/>
          <w:color w:val="auto"/>
          <w:szCs w:val="21"/>
          <w:highlight w:val="none"/>
        </w:rPr>
      </w:pPr>
      <w:r>
        <w:rPr>
          <w:rFonts w:hint="eastAsia" w:ascii="宋体" w:hAnsi="宋体"/>
          <w:b/>
          <w:color w:val="auto"/>
          <w:sz w:val="28"/>
          <w:szCs w:val="28"/>
          <w:highlight w:val="none"/>
        </w:rPr>
        <w:t>法定代表人授权委托书</w:t>
      </w:r>
    </w:p>
    <w:p w14:paraId="29EDC0D9">
      <w:pPr>
        <w:snapToGrid w:val="0"/>
        <w:spacing w:beforeLines="50" w:after="50" w:line="440" w:lineRule="exact"/>
        <w:rPr>
          <w:rFonts w:ascii="宋体" w:hAnsi="宋体"/>
          <w:b/>
          <w:bCs w:val="0"/>
          <w:color w:val="auto"/>
          <w:szCs w:val="21"/>
          <w:highlight w:val="none"/>
        </w:rPr>
      </w:pPr>
      <w:r>
        <w:rPr>
          <w:rFonts w:hint="eastAsia" w:ascii="宋体" w:hAnsi="宋体"/>
          <w:b/>
          <w:bCs w:val="0"/>
          <w:color w:val="auto"/>
          <w:szCs w:val="21"/>
          <w:highlight w:val="none"/>
        </w:rPr>
        <w:t>致：</w:t>
      </w:r>
      <w:r>
        <w:rPr>
          <w:rFonts w:hint="eastAsia" w:ascii="宋体" w:hAnsi="宋体"/>
          <w:b/>
          <w:bCs w:val="0"/>
          <w:color w:val="auto"/>
          <w:szCs w:val="21"/>
          <w:highlight w:val="none"/>
          <w:lang w:eastAsia="zh-CN"/>
        </w:rPr>
        <w:t>贵港市港南区农业农村局</w:t>
      </w:r>
      <w:r>
        <w:rPr>
          <w:rFonts w:hint="eastAsia" w:ascii="宋体" w:hAnsi="宋体"/>
          <w:b/>
          <w:bCs w:val="0"/>
          <w:color w:val="auto"/>
          <w:szCs w:val="21"/>
          <w:highlight w:val="none"/>
        </w:rPr>
        <w:t>（招标采购单位名称）：</w:t>
      </w:r>
    </w:p>
    <w:p w14:paraId="79579081">
      <w:pPr>
        <w:snapToGrid w:val="0"/>
        <w:spacing w:beforeLines="50" w:after="50" w:line="440" w:lineRule="exact"/>
        <w:ind w:firstLine="630" w:firstLineChars="3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 xml:space="preserve">（投标人名称）的法定代表人，现授权委托本单位在职职工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（姓名）以我方的名义参加项目的投标活动，并代表我方全权办理针对上述项目的投标、开标、评标、签约等具体事务和签署相关文件。</w:t>
      </w:r>
    </w:p>
    <w:p w14:paraId="0B5EB053">
      <w:pPr>
        <w:snapToGrid w:val="0"/>
        <w:spacing w:beforeLines="50" w:after="50" w:line="440" w:lineRule="exact"/>
        <w:rPr>
          <w:rFonts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14:paraId="09C60DF3">
      <w:pPr>
        <w:snapToGrid w:val="0"/>
        <w:spacing w:beforeLines="50" w:after="50" w:line="440" w:lineRule="exact"/>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1F27968C">
      <w:pPr>
        <w:snapToGrid w:val="0"/>
        <w:spacing w:beforeLines="50" w:after="50" w:line="440" w:lineRule="exact"/>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14:paraId="1500DC27">
      <w:pPr>
        <w:snapToGrid w:val="0"/>
        <w:spacing w:beforeLines="50" w:after="50" w:line="440" w:lineRule="exact"/>
        <w:rPr>
          <w:rFonts w:ascii="宋体" w:hAnsi="宋体"/>
          <w:color w:val="auto"/>
          <w:szCs w:val="21"/>
          <w:highlight w:val="none"/>
          <w:u w:val="single"/>
        </w:rPr>
      </w:pPr>
      <w:r>
        <w:rPr>
          <w:rFonts w:hint="eastAsia" w:ascii="宋体" w:hAnsi="宋体"/>
          <w:color w:val="auto"/>
          <w:szCs w:val="21"/>
          <w:highlight w:val="none"/>
        </w:rPr>
        <w:t>被授权人签字：                 法定代表人签字：</w:t>
      </w:r>
    </w:p>
    <w:p w14:paraId="70C637F7">
      <w:pPr>
        <w:snapToGrid w:val="0"/>
        <w:spacing w:beforeLines="50" w:after="50" w:line="440" w:lineRule="exact"/>
        <w:rPr>
          <w:rFonts w:ascii="宋体" w:hAnsi="宋体"/>
          <w:color w:val="auto"/>
          <w:szCs w:val="21"/>
          <w:highlight w:val="none"/>
        </w:rPr>
      </w:pPr>
      <w:r>
        <w:rPr>
          <w:rFonts w:hint="eastAsia" w:ascii="宋体" w:hAnsi="宋体"/>
          <w:color w:val="auto"/>
          <w:szCs w:val="21"/>
          <w:highlight w:val="none"/>
        </w:rPr>
        <w:t>所在部门职务：</w:t>
      </w:r>
    </w:p>
    <w:p w14:paraId="575FB32D">
      <w:pPr>
        <w:snapToGrid w:val="0"/>
        <w:spacing w:beforeLines="50" w:after="50" w:line="440" w:lineRule="exact"/>
        <w:rPr>
          <w:rFonts w:ascii="宋体" w:hAnsi="宋体"/>
          <w:color w:val="auto"/>
          <w:szCs w:val="21"/>
          <w:highlight w:val="none"/>
        </w:rPr>
      </w:pPr>
      <w:r>
        <w:rPr>
          <w:rFonts w:hint="eastAsia" w:ascii="宋体" w:hAnsi="宋体"/>
          <w:color w:val="auto"/>
          <w:szCs w:val="21"/>
          <w:highlight w:val="none"/>
        </w:rPr>
        <w:t>被授权人身份证号码：</w:t>
      </w:r>
    </w:p>
    <w:p w14:paraId="338C3A37">
      <w:pPr>
        <w:snapToGrid w:val="0"/>
        <w:spacing w:beforeLines="50" w:after="50" w:line="440" w:lineRule="exact"/>
        <w:ind w:firstLine="4620" w:firstLineChars="2200"/>
        <w:rPr>
          <w:rFonts w:ascii="宋体" w:hAnsi="宋体"/>
          <w:color w:val="auto"/>
          <w:szCs w:val="21"/>
          <w:highlight w:val="none"/>
          <w:u w:val="single"/>
        </w:rPr>
      </w:pPr>
      <w:r>
        <w:rPr>
          <w:rFonts w:hint="eastAsia" w:ascii="宋体" w:hAnsi="宋体"/>
          <w:color w:val="auto"/>
          <w:szCs w:val="21"/>
          <w:highlight w:val="none"/>
        </w:rPr>
        <w:t>投标人名称</w:t>
      </w:r>
      <w:r>
        <w:rPr>
          <w:rFonts w:ascii="宋体" w:hAnsi="宋体"/>
          <w:bCs/>
          <w:color w:val="auto"/>
          <w:kern w:val="0"/>
          <w:szCs w:val="21"/>
          <w:highlight w:val="none"/>
        </w:rPr>
        <w:t>（盖</w:t>
      </w:r>
      <w:r>
        <w:rPr>
          <w:rFonts w:hint="eastAsia" w:ascii="宋体" w:hAnsi="宋体"/>
          <w:bCs/>
          <w:color w:val="auto"/>
          <w:kern w:val="0"/>
          <w:szCs w:val="21"/>
          <w:highlight w:val="none"/>
        </w:rPr>
        <w:t>单位公</w:t>
      </w:r>
      <w:r>
        <w:rPr>
          <w:rFonts w:ascii="宋体" w:hAnsi="宋体"/>
          <w:bCs/>
          <w:color w:val="auto"/>
          <w:kern w:val="0"/>
          <w:szCs w:val="21"/>
          <w:highlight w:val="none"/>
        </w:rPr>
        <w:t>章）</w:t>
      </w:r>
      <w:r>
        <w:rPr>
          <w:rFonts w:hint="eastAsia" w:ascii="宋体" w:hAnsi="宋体"/>
          <w:color w:val="auto"/>
          <w:szCs w:val="21"/>
          <w:highlight w:val="none"/>
        </w:rPr>
        <w:t>：</w:t>
      </w:r>
    </w:p>
    <w:p w14:paraId="02CFDBDD">
      <w:pPr>
        <w:snapToGrid w:val="0"/>
        <w:spacing w:beforeLines="50" w:after="50" w:line="440" w:lineRule="exact"/>
        <w:ind w:firstLine="4830" w:firstLineChars="2300"/>
        <w:rPr>
          <w:rFonts w:ascii="宋体" w:hAnsi="宋体"/>
          <w:color w:val="auto"/>
          <w:szCs w:val="21"/>
          <w:highlight w:val="none"/>
        </w:rPr>
      </w:pPr>
      <w:r>
        <w:rPr>
          <w:rFonts w:hint="eastAsia" w:ascii="宋体" w:hAnsi="宋体"/>
          <w:color w:val="auto"/>
          <w:szCs w:val="21"/>
          <w:highlight w:val="none"/>
        </w:rPr>
        <w:t>日        期</w:t>
      </w:r>
      <w:r>
        <w:rPr>
          <w:rFonts w:ascii="宋体" w:hAnsi="宋体"/>
          <w:color w:val="auto"/>
          <w:szCs w:val="21"/>
          <w:highlight w:val="none"/>
        </w:rPr>
        <w:t>：</w:t>
      </w:r>
      <w:r>
        <w:rPr>
          <w:rFonts w:hint="eastAsia" w:ascii="宋体" w:hAnsi="宋体"/>
          <w:color w:val="auto"/>
          <w:szCs w:val="21"/>
          <w:highlight w:val="none"/>
        </w:rPr>
        <w:t>年月日</w:t>
      </w:r>
    </w:p>
    <w:p w14:paraId="31B877D7">
      <w:pPr>
        <w:snapToGrid w:val="0"/>
        <w:spacing w:beforeLines="50" w:after="50" w:line="440" w:lineRule="exact"/>
        <w:rPr>
          <w:rFonts w:ascii="宋体" w:hAnsi="宋体"/>
          <w:b/>
          <w:bCs/>
          <w:color w:val="auto"/>
          <w:szCs w:val="21"/>
          <w:highlight w:val="none"/>
        </w:rPr>
      </w:pPr>
      <w:r>
        <w:rPr>
          <w:rFonts w:hint="eastAsia" w:ascii="宋体" w:hAnsi="宋体"/>
          <w:b/>
          <w:bCs/>
          <w:color w:val="auto"/>
          <w:szCs w:val="21"/>
          <w:highlight w:val="none"/>
        </w:rPr>
        <w:t>附：委托代理人身份证复印件</w:t>
      </w:r>
    </w:p>
    <w:p w14:paraId="1CAC433D">
      <w:pPr>
        <w:snapToGrid w:val="0"/>
        <w:spacing w:line="380" w:lineRule="exact"/>
        <w:jc w:val="left"/>
        <w:rPr>
          <w:rFonts w:hint="eastAsia" w:ascii="宋体" w:hAnsi="宋体"/>
          <w:b/>
          <w:color w:val="auto"/>
          <w:sz w:val="28"/>
          <w:szCs w:val="28"/>
          <w:highlight w:val="none"/>
        </w:rPr>
      </w:pPr>
    </w:p>
    <w:p w14:paraId="2D998DC3">
      <w:pPr>
        <w:snapToGrid w:val="0"/>
        <w:spacing w:line="380" w:lineRule="exact"/>
        <w:jc w:val="left"/>
        <w:rPr>
          <w:rFonts w:hint="eastAsia" w:ascii="宋体" w:hAnsi="宋体"/>
          <w:b/>
          <w:color w:val="auto"/>
          <w:sz w:val="28"/>
          <w:szCs w:val="28"/>
          <w:highlight w:val="none"/>
        </w:rPr>
      </w:pPr>
    </w:p>
    <w:p w14:paraId="6199BF39">
      <w:pPr>
        <w:snapToGrid w:val="0"/>
        <w:spacing w:line="380" w:lineRule="exact"/>
        <w:jc w:val="left"/>
        <w:rPr>
          <w:rFonts w:hint="eastAsia" w:ascii="宋体" w:hAnsi="宋体"/>
          <w:b/>
          <w:color w:val="auto"/>
          <w:sz w:val="28"/>
          <w:szCs w:val="28"/>
          <w:highlight w:val="none"/>
        </w:rPr>
      </w:pPr>
    </w:p>
    <w:p w14:paraId="2C8CDB72">
      <w:pPr>
        <w:snapToGrid w:val="0"/>
        <w:spacing w:line="380" w:lineRule="exact"/>
        <w:jc w:val="left"/>
        <w:rPr>
          <w:rFonts w:hint="eastAsia" w:ascii="宋体" w:hAnsi="宋体"/>
          <w:b/>
          <w:color w:val="auto"/>
          <w:sz w:val="28"/>
          <w:szCs w:val="28"/>
          <w:highlight w:val="none"/>
        </w:rPr>
      </w:pPr>
    </w:p>
    <w:p w14:paraId="0F277CDD">
      <w:pPr>
        <w:snapToGrid w:val="0"/>
        <w:spacing w:line="380" w:lineRule="exact"/>
        <w:jc w:val="left"/>
        <w:rPr>
          <w:rFonts w:hint="eastAsia" w:ascii="宋体" w:hAnsi="宋体"/>
          <w:b/>
          <w:color w:val="auto"/>
          <w:sz w:val="28"/>
          <w:szCs w:val="28"/>
          <w:highlight w:val="none"/>
        </w:rPr>
      </w:pPr>
    </w:p>
    <w:p w14:paraId="1B6BD442">
      <w:pPr>
        <w:snapToGrid w:val="0"/>
        <w:spacing w:line="380" w:lineRule="exact"/>
        <w:jc w:val="left"/>
        <w:rPr>
          <w:rFonts w:hint="eastAsia" w:ascii="宋体" w:hAnsi="宋体"/>
          <w:b/>
          <w:color w:val="auto"/>
          <w:sz w:val="28"/>
          <w:szCs w:val="28"/>
          <w:highlight w:val="none"/>
        </w:rPr>
      </w:pPr>
    </w:p>
    <w:p w14:paraId="6EBC7DF9">
      <w:pPr>
        <w:snapToGrid w:val="0"/>
        <w:spacing w:line="380" w:lineRule="exact"/>
        <w:jc w:val="left"/>
        <w:rPr>
          <w:rFonts w:hint="eastAsia" w:ascii="宋体" w:hAnsi="宋体"/>
          <w:b/>
          <w:color w:val="auto"/>
          <w:sz w:val="28"/>
          <w:szCs w:val="28"/>
          <w:highlight w:val="none"/>
        </w:rPr>
      </w:pPr>
    </w:p>
    <w:p w14:paraId="1736B9FA">
      <w:pPr>
        <w:pStyle w:val="67"/>
        <w:rPr>
          <w:rFonts w:hint="eastAsia" w:ascii="宋体" w:hAnsi="宋体"/>
          <w:b/>
          <w:color w:val="auto"/>
          <w:sz w:val="28"/>
          <w:szCs w:val="28"/>
          <w:highlight w:val="none"/>
        </w:rPr>
      </w:pPr>
    </w:p>
    <w:p w14:paraId="4C3177CD">
      <w:pPr>
        <w:pStyle w:val="67"/>
        <w:rPr>
          <w:rFonts w:hint="eastAsia" w:ascii="宋体" w:hAnsi="宋体"/>
          <w:b/>
          <w:color w:val="auto"/>
          <w:sz w:val="28"/>
          <w:szCs w:val="28"/>
          <w:highlight w:val="none"/>
        </w:rPr>
      </w:pPr>
    </w:p>
    <w:p w14:paraId="33D6325F">
      <w:pPr>
        <w:snapToGrid w:val="0"/>
        <w:spacing w:line="380" w:lineRule="exact"/>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6</w:t>
      </w:r>
      <w:r>
        <w:rPr>
          <w:rFonts w:ascii="宋体" w:hAnsi="宋体"/>
          <w:b/>
          <w:color w:val="auto"/>
          <w:sz w:val="28"/>
          <w:szCs w:val="28"/>
          <w:highlight w:val="none"/>
        </w:rPr>
        <w:t>.贵港市政府采购项目投标资格承诺函</w:t>
      </w:r>
      <w:r>
        <w:rPr>
          <w:rFonts w:hint="eastAsia" w:ascii="宋体" w:hAnsi="宋体"/>
          <w:b/>
          <w:color w:val="auto"/>
          <w:sz w:val="28"/>
          <w:szCs w:val="28"/>
          <w:highlight w:val="none"/>
        </w:rPr>
        <w:t>。</w:t>
      </w:r>
    </w:p>
    <w:p w14:paraId="45AAC16D">
      <w:pPr>
        <w:snapToGrid w:val="0"/>
        <w:spacing w:line="380" w:lineRule="exact"/>
        <w:ind w:firstLine="447" w:firstLineChars="213"/>
        <w:jc w:val="left"/>
        <w:rPr>
          <w:rFonts w:ascii="宋体" w:hAnsi="宋体"/>
          <w:color w:val="auto"/>
          <w:szCs w:val="21"/>
          <w:highlight w:val="none"/>
        </w:rPr>
      </w:pPr>
    </w:p>
    <w:p w14:paraId="7038FB0E">
      <w:pPr>
        <w:spacing w:after="240" w:line="360" w:lineRule="auto"/>
        <w:jc w:val="center"/>
        <w:rPr>
          <w:rStyle w:val="205"/>
          <w:b/>
          <w:color w:val="auto"/>
          <w:sz w:val="32"/>
          <w:szCs w:val="32"/>
          <w:highlight w:val="none"/>
        </w:rPr>
      </w:pPr>
      <w:r>
        <w:rPr>
          <w:rStyle w:val="205"/>
          <w:b/>
          <w:color w:val="auto"/>
          <w:sz w:val="32"/>
          <w:szCs w:val="32"/>
          <w:highlight w:val="none"/>
        </w:rPr>
        <w:t>贵港市政府采购项目投标资格承诺函</w:t>
      </w:r>
    </w:p>
    <w:p w14:paraId="48263EF6">
      <w:pPr>
        <w:spacing w:line="360" w:lineRule="auto"/>
        <w:ind w:firstLine="424" w:firstLineChars="202"/>
        <w:rPr>
          <w:rStyle w:val="205"/>
          <w:color w:val="auto"/>
          <w:szCs w:val="21"/>
          <w:highlight w:val="none"/>
        </w:rPr>
      </w:pPr>
      <w:r>
        <w:rPr>
          <w:rStyle w:val="205"/>
          <w:color w:val="auto"/>
          <w:szCs w:val="21"/>
          <w:highlight w:val="none"/>
        </w:rPr>
        <w:t>本公司郑重承诺，根据《中华人民共和国政府采购法》第二十二条的规定，本公司为参加政府采购活动的合格供应商。即本公司同时满足以下条件：</w:t>
      </w:r>
    </w:p>
    <w:p w14:paraId="0526DB6E">
      <w:pPr>
        <w:spacing w:line="360" w:lineRule="auto"/>
        <w:ind w:firstLine="424" w:firstLineChars="202"/>
        <w:rPr>
          <w:rStyle w:val="205"/>
          <w:color w:val="auto"/>
          <w:szCs w:val="21"/>
          <w:highlight w:val="none"/>
        </w:rPr>
      </w:pPr>
      <w:r>
        <w:rPr>
          <w:rStyle w:val="205"/>
          <w:color w:val="auto"/>
          <w:szCs w:val="21"/>
          <w:highlight w:val="none"/>
        </w:rPr>
        <w:t>1.具有独立承担民事责任的能力。</w:t>
      </w:r>
    </w:p>
    <w:p w14:paraId="2C3A1A83">
      <w:pPr>
        <w:spacing w:line="360" w:lineRule="auto"/>
        <w:ind w:firstLine="424" w:firstLineChars="202"/>
        <w:rPr>
          <w:rStyle w:val="205"/>
          <w:color w:val="auto"/>
          <w:szCs w:val="21"/>
          <w:highlight w:val="none"/>
        </w:rPr>
      </w:pPr>
      <w:r>
        <w:rPr>
          <w:rStyle w:val="205"/>
          <w:color w:val="auto"/>
          <w:szCs w:val="21"/>
          <w:highlight w:val="none"/>
        </w:rPr>
        <w:t>2.具有良好的商业信誉和健全的财务会计制度。</w:t>
      </w:r>
    </w:p>
    <w:p w14:paraId="79DC3FDC">
      <w:pPr>
        <w:spacing w:line="360" w:lineRule="auto"/>
        <w:ind w:firstLine="424" w:firstLineChars="202"/>
        <w:rPr>
          <w:rStyle w:val="205"/>
          <w:color w:val="auto"/>
          <w:szCs w:val="21"/>
          <w:highlight w:val="none"/>
        </w:rPr>
      </w:pPr>
      <w:r>
        <w:rPr>
          <w:rStyle w:val="205"/>
          <w:color w:val="auto"/>
          <w:szCs w:val="21"/>
          <w:highlight w:val="none"/>
        </w:rPr>
        <w:t>3.具有履行合同所必需的设备和专业技术能力。</w:t>
      </w:r>
    </w:p>
    <w:p w14:paraId="6DF9FFE7">
      <w:pPr>
        <w:spacing w:line="360" w:lineRule="auto"/>
        <w:ind w:firstLine="424" w:firstLineChars="202"/>
        <w:rPr>
          <w:rStyle w:val="205"/>
          <w:color w:val="auto"/>
          <w:szCs w:val="21"/>
          <w:highlight w:val="none"/>
        </w:rPr>
      </w:pPr>
      <w:r>
        <w:rPr>
          <w:rStyle w:val="205"/>
          <w:color w:val="auto"/>
          <w:szCs w:val="21"/>
          <w:highlight w:val="none"/>
        </w:rPr>
        <w:t>4.有依法缴纳税收和社会保障资金的良好记录。</w:t>
      </w:r>
    </w:p>
    <w:p w14:paraId="69F7BDC3">
      <w:pPr>
        <w:spacing w:line="360" w:lineRule="auto"/>
        <w:ind w:firstLine="424" w:firstLineChars="202"/>
        <w:rPr>
          <w:rStyle w:val="205"/>
          <w:color w:val="auto"/>
          <w:szCs w:val="21"/>
          <w:highlight w:val="none"/>
        </w:rPr>
      </w:pPr>
      <w:r>
        <w:rPr>
          <w:rStyle w:val="205"/>
          <w:color w:val="auto"/>
          <w:szCs w:val="21"/>
          <w:highlight w:val="none"/>
        </w:rPr>
        <w:t>5. 提交投标文件截止日期前三年内，在经营活动中没有重大违法记录。</w:t>
      </w:r>
    </w:p>
    <w:p w14:paraId="244EE22C">
      <w:pPr>
        <w:spacing w:line="360" w:lineRule="auto"/>
        <w:ind w:firstLine="424" w:firstLineChars="202"/>
        <w:rPr>
          <w:rStyle w:val="205"/>
          <w:color w:val="auto"/>
          <w:szCs w:val="21"/>
          <w:highlight w:val="none"/>
        </w:rPr>
      </w:pPr>
      <w:r>
        <w:rPr>
          <w:rStyle w:val="205"/>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31DE9480">
      <w:pPr>
        <w:spacing w:line="360" w:lineRule="auto"/>
        <w:rPr>
          <w:rStyle w:val="205"/>
          <w:color w:val="auto"/>
          <w:szCs w:val="21"/>
          <w:highlight w:val="none"/>
        </w:rPr>
      </w:pPr>
    </w:p>
    <w:p w14:paraId="4B3B8721">
      <w:pPr>
        <w:spacing w:line="360" w:lineRule="auto"/>
        <w:rPr>
          <w:rStyle w:val="205"/>
          <w:color w:val="auto"/>
          <w:szCs w:val="21"/>
          <w:highlight w:val="none"/>
        </w:rPr>
      </w:pPr>
    </w:p>
    <w:p w14:paraId="38F68F3D">
      <w:pPr>
        <w:spacing w:line="360" w:lineRule="auto"/>
        <w:ind w:firstLine="3968" w:firstLineChars="1890"/>
        <w:rPr>
          <w:rStyle w:val="205"/>
          <w:color w:val="auto"/>
          <w:szCs w:val="21"/>
          <w:highlight w:val="none"/>
        </w:rPr>
      </w:pPr>
      <w:r>
        <w:rPr>
          <w:rStyle w:val="205"/>
          <w:color w:val="auto"/>
          <w:szCs w:val="21"/>
          <w:highlight w:val="none"/>
        </w:rPr>
        <w:t>企业名称（盖章）：</w:t>
      </w:r>
    </w:p>
    <w:p w14:paraId="1023FAC6">
      <w:pPr>
        <w:spacing w:line="360" w:lineRule="auto"/>
        <w:ind w:firstLine="3968" w:firstLineChars="1890"/>
        <w:rPr>
          <w:rStyle w:val="205"/>
          <w:color w:val="auto"/>
          <w:szCs w:val="21"/>
          <w:highlight w:val="none"/>
        </w:rPr>
      </w:pPr>
      <w:r>
        <w:rPr>
          <w:rStyle w:val="205"/>
          <w:color w:val="auto"/>
          <w:szCs w:val="21"/>
          <w:highlight w:val="none"/>
        </w:rPr>
        <w:t>法定代表人（签</w:t>
      </w:r>
      <w:r>
        <w:rPr>
          <w:rStyle w:val="205"/>
          <w:rFonts w:hint="eastAsia"/>
          <w:color w:val="auto"/>
          <w:szCs w:val="21"/>
          <w:highlight w:val="none"/>
        </w:rPr>
        <w:t>字</w:t>
      </w:r>
      <w:r>
        <w:rPr>
          <w:rStyle w:val="205"/>
          <w:color w:val="auto"/>
          <w:szCs w:val="21"/>
          <w:highlight w:val="none"/>
        </w:rPr>
        <w:t>）：</w:t>
      </w:r>
    </w:p>
    <w:p w14:paraId="1E6E5ED9">
      <w:pPr>
        <w:snapToGrid w:val="0"/>
        <w:spacing w:line="380" w:lineRule="exact"/>
        <w:ind w:firstLine="4011" w:firstLineChars="1910"/>
        <w:jc w:val="left"/>
        <w:rPr>
          <w:rFonts w:ascii="宋体" w:hAnsi="宋体"/>
          <w:color w:val="auto"/>
          <w:szCs w:val="21"/>
          <w:highlight w:val="none"/>
        </w:rPr>
      </w:pPr>
      <w:r>
        <w:rPr>
          <w:rStyle w:val="205"/>
          <w:color w:val="auto"/>
          <w:szCs w:val="21"/>
          <w:highlight w:val="none"/>
        </w:rPr>
        <w:t>日期：     年     月      日</w:t>
      </w:r>
    </w:p>
    <w:p w14:paraId="52BE1B18">
      <w:pPr>
        <w:snapToGrid w:val="0"/>
        <w:spacing w:line="380" w:lineRule="exact"/>
        <w:ind w:firstLine="447" w:firstLineChars="213"/>
        <w:jc w:val="left"/>
        <w:rPr>
          <w:rFonts w:ascii="宋体" w:hAnsi="宋体"/>
          <w:color w:val="auto"/>
          <w:szCs w:val="21"/>
          <w:highlight w:val="none"/>
        </w:rPr>
      </w:pPr>
    </w:p>
    <w:p w14:paraId="718230DB">
      <w:pPr>
        <w:pStyle w:val="6"/>
        <w:rPr>
          <w:rFonts w:ascii="宋体" w:hAnsi="宋体" w:eastAsia="宋体"/>
          <w:color w:val="auto"/>
          <w:highlight w:val="none"/>
        </w:rPr>
      </w:pPr>
    </w:p>
    <w:p w14:paraId="06D0E585">
      <w:pPr>
        <w:rPr>
          <w:rFonts w:ascii="宋体" w:hAnsi="宋体"/>
          <w:color w:val="auto"/>
          <w:highlight w:val="none"/>
        </w:rPr>
      </w:pPr>
    </w:p>
    <w:p w14:paraId="42EFD573">
      <w:pPr>
        <w:pStyle w:val="6"/>
        <w:rPr>
          <w:rFonts w:ascii="宋体" w:hAnsi="宋体" w:eastAsia="宋体"/>
          <w:color w:val="auto"/>
          <w:highlight w:val="none"/>
        </w:rPr>
      </w:pPr>
    </w:p>
    <w:p w14:paraId="70D08F3D">
      <w:pPr>
        <w:rPr>
          <w:rFonts w:ascii="宋体" w:hAnsi="宋体"/>
          <w:color w:val="auto"/>
          <w:highlight w:val="none"/>
        </w:rPr>
      </w:pPr>
    </w:p>
    <w:p w14:paraId="5115F855">
      <w:pPr>
        <w:pStyle w:val="6"/>
        <w:rPr>
          <w:rFonts w:ascii="宋体" w:hAnsi="宋体" w:eastAsia="宋体"/>
          <w:color w:val="auto"/>
          <w:highlight w:val="none"/>
        </w:rPr>
      </w:pPr>
    </w:p>
    <w:p w14:paraId="7F29080B">
      <w:pPr>
        <w:rPr>
          <w:rFonts w:ascii="宋体" w:hAnsi="宋体"/>
          <w:color w:val="auto"/>
          <w:highlight w:val="none"/>
        </w:rPr>
      </w:pPr>
    </w:p>
    <w:p w14:paraId="050EDC22">
      <w:pPr>
        <w:rPr>
          <w:rFonts w:ascii="宋体" w:hAnsi="宋体"/>
          <w:color w:val="auto"/>
          <w:highlight w:val="none"/>
        </w:rPr>
      </w:pPr>
    </w:p>
    <w:p w14:paraId="528FC54A">
      <w:pPr>
        <w:rPr>
          <w:rFonts w:ascii="宋体" w:hAnsi="宋体"/>
          <w:color w:val="auto"/>
          <w:highlight w:val="none"/>
        </w:rPr>
      </w:pPr>
    </w:p>
    <w:p w14:paraId="05131961">
      <w:pPr>
        <w:rPr>
          <w:rFonts w:ascii="宋体" w:hAnsi="宋体"/>
          <w:color w:val="auto"/>
          <w:highlight w:val="none"/>
        </w:rPr>
      </w:pPr>
    </w:p>
    <w:p w14:paraId="7A9C0645">
      <w:pPr>
        <w:rPr>
          <w:rFonts w:ascii="宋体" w:hAnsi="宋体"/>
          <w:color w:val="auto"/>
          <w:highlight w:val="none"/>
        </w:rPr>
      </w:pPr>
    </w:p>
    <w:p w14:paraId="5E679842">
      <w:pPr>
        <w:rPr>
          <w:rFonts w:ascii="宋体" w:hAnsi="宋体"/>
          <w:color w:val="auto"/>
          <w:kern w:val="0"/>
          <w:sz w:val="28"/>
          <w:szCs w:val="20"/>
          <w:highlight w:val="none"/>
        </w:rPr>
      </w:pPr>
    </w:p>
    <w:p w14:paraId="2E14E126">
      <w:pPr>
        <w:rPr>
          <w:rFonts w:ascii="宋体" w:hAnsi="宋体"/>
          <w:color w:val="auto"/>
          <w:kern w:val="0"/>
          <w:sz w:val="28"/>
          <w:szCs w:val="20"/>
          <w:highlight w:val="none"/>
        </w:rPr>
      </w:pPr>
    </w:p>
    <w:p w14:paraId="4A69CBA5">
      <w:pPr>
        <w:rPr>
          <w:rFonts w:ascii="宋体" w:hAnsi="宋体"/>
          <w:color w:val="auto"/>
          <w:kern w:val="0"/>
          <w:sz w:val="28"/>
          <w:szCs w:val="20"/>
          <w:highlight w:val="none"/>
        </w:rPr>
      </w:pPr>
    </w:p>
    <w:p w14:paraId="14E02D87">
      <w:pPr>
        <w:rPr>
          <w:rFonts w:ascii="宋体" w:hAnsi="宋体"/>
          <w:color w:val="auto"/>
          <w:kern w:val="0"/>
          <w:sz w:val="28"/>
          <w:szCs w:val="20"/>
          <w:highlight w:val="none"/>
        </w:rPr>
      </w:pPr>
    </w:p>
    <w:p w14:paraId="4F3A8E50">
      <w:pPr>
        <w:rPr>
          <w:rFonts w:ascii="宋体" w:hAnsi="宋体"/>
          <w:color w:val="auto"/>
          <w:kern w:val="0"/>
          <w:sz w:val="28"/>
          <w:szCs w:val="20"/>
          <w:highlight w:val="none"/>
        </w:rPr>
      </w:pPr>
    </w:p>
    <w:p w14:paraId="459879F9">
      <w:pPr>
        <w:pStyle w:val="34"/>
        <w:rPr>
          <w:rFonts w:ascii="宋体" w:hAnsi="宋体"/>
          <w:color w:val="auto"/>
          <w:kern w:val="0"/>
          <w:sz w:val="28"/>
          <w:szCs w:val="20"/>
          <w:highlight w:val="none"/>
        </w:rPr>
      </w:pPr>
    </w:p>
    <w:p w14:paraId="056E784D">
      <w:pPr>
        <w:pStyle w:val="34"/>
        <w:rPr>
          <w:rFonts w:ascii="宋体" w:hAnsi="宋体"/>
          <w:color w:val="auto"/>
          <w:kern w:val="0"/>
          <w:sz w:val="28"/>
          <w:szCs w:val="20"/>
          <w:highlight w:val="none"/>
        </w:rPr>
      </w:pPr>
    </w:p>
    <w:p w14:paraId="04E7806C">
      <w:pPr>
        <w:snapToGrid w:val="0"/>
        <w:spacing w:beforeLines="50" w:after="50" w:line="400" w:lineRule="exact"/>
        <w:jc w:val="center"/>
        <w:rPr>
          <w:rFonts w:ascii="宋体" w:hAnsi="宋体" w:cs="Arial"/>
          <w:b/>
          <w:color w:val="auto"/>
          <w:sz w:val="28"/>
          <w:szCs w:val="28"/>
          <w:highlight w:val="none"/>
        </w:rPr>
      </w:pPr>
      <w:r>
        <w:rPr>
          <w:rFonts w:hint="eastAsia" w:ascii="宋体" w:hAnsi="宋体"/>
          <w:b/>
          <w:color w:val="auto"/>
          <w:sz w:val="28"/>
          <w:szCs w:val="28"/>
          <w:highlight w:val="none"/>
          <w:lang w:val="en-US" w:eastAsia="zh-CN"/>
        </w:rPr>
        <w:t>7</w:t>
      </w:r>
      <w:r>
        <w:rPr>
          <w:rFonts w:hint="eastAsia" w:ascii="宋体" w:hAnsi="宋体"/>
          <w:b/>
          <w:color w:val="auto"/>
          <w:sz w:val="28"/>
          <w:szCs w:val="28"/>
          <w:highlight w:val="none"/>
        </w:rPr>
        <w:t>.</w:t>
      </w:r>
      <w:r>
        <w:rPr>
          <w:rFonts w:hint="eastAsia" w:ascii="宋体" w:hAnsi="宋体" w:cs="Arial"/>
          <w:b/>
          <w:color w:val="auto"/>
          <w:sz w:val="28"/>
          <w:szCs w:val="28"/>
          <w:highlight w:val="none"/>
        </w:rPr>
        <w:t>投标人参加政府采购活动前三年内在经营活动中没有重大违法记录和不良信用记录的书面声明函；</w:t>
      </w:r>
    </w:p>
    <w:p w14:paraId="6FCDD1D8">
      <w:pPr>
        <w:snapToGrid w:val="0"/>
        <w:spacing w:before="50" w:afterLines="50" w:line="440" w:lineRule="exact"/>
        <w:jc w:val="left"/>
        <w:rPr>
          <w:rFonts w:ascii="宋体" w:hAnsi="宋体"/>
          <w:color w:val="auto"/>
          <w:szCs w:val="21"/>
          <w:highlight w:val="none"/>
        </w:rPr>
      </w:pPr>
    </w:p>
    <w:p w14:paraId="58092B09">
      <w:pPr>
        <w:spacing w:line="640" w:lineRule="exact"/>
        <w:jc w:val="left"/>
        <w:rPr>
          <w:rFonts w:ascii="宋体" w:hAnsi="宋体"/>
          <w:b/>
          <w:bCs/>
          <w:color w:val="auto"/>
          <w:szCs w:val="21"/>
          <w:highlight w:val="none"/>
        </w:rPr>
      </w:pPr>
      <w:r>
        <w:rPr>
          <w:rFonts w:hint="eastAsia" w:ascii="宋体" w:hAnsi="宋体"/>
          <w:b/>
          <w:bCs/>
          <w:color w:val="auto"/>
          <w:szCs w:val="21"/>
          <w:highlight w:val="none"/>
          <w:lang w:eastAsia="zh-CN"/>
        </w:rPr>
        <w:t xml:space="preserve"> 贵港市港南区农业农村局</w:t>
      </w:r>
      <w:r>
        <w:rPr>
          <w:rFonts w:ascii="宋体" w:hAnsi="宋体"/>
          <w:b/>
          <w:bCs/>
          <w:color w:val="auto"/>
          <w:szCs w:val="21"/>
          <w:highlight w:val="none"/>
        </w:rPr>
        <w:t>：</w:t>
      </w:r>
    </w:p>
    <w:p w14:paraId="3523A48C">
      <w:pPr>
        <w:spacing w:line="640" w:lineRule="exact"/>
        <w:ind w:firstLine="420" w:firstLineChars="200"/>
        <w:jc w:val="left"/>
        <w:rPr>
          <w:rFonts w:ascii="宋体" w:hAnsi="宋体"/>
          <w:color w:val="auto"/>
          <w:szCs w:val="21"/>
          <w:highlight w:val="none"/>
        </w:rPr>
      </w:pPr>
      <w:r>
        <w:rPr>
          <w:rFonts w:ascii="宋体" w:hAnsi="宋体"/>
          <w:color w:val="auto"/>
          <w:szCs w:val="21"/>
          <w:highlight w:val="none"/>
        </w:rPr>
        <w:t>我公司参加贵公司组织</w:t>
      </w:r>
      <w:r>
        <w:rPr>
          <w:rFonts w:hint="eastAsia" w:ascii="宋体" w:hAnsi="宋体"/>
          <w:color w:val="auto"/>
          <w:szCs w:val="21"/>
          <w:highlight w:val="none"/>
          <w:u w:val="single"/>
        </w:rPr>
        <w:t>（项目</w:t>
      </w:r>
      <w:r>
        <w:rPr>
          <w:rFonts w:ascii="宋体" w:hAnsi="宋体"/>
          <w:color w:val="auto"/>
          <w:szCs w:val="21"/>
          <w:highlight w:val="none"/>
          <w:u w:val="single"/>
        </w:rPr>
        <w:t>名称、项目编号</w:t>
      </w:r>
      <w:r>
        <w:rPr>
          <w:rFonts w:hint="eastAsia" w:ascii="宋体" w:hAnsi="宋体"/>
          <w:color w:val="auto"/>
          <w:szCs w:val="21"/>
          <w:highlight w:val="none"/>
          <w:u w:val="single"/>
        </w:rPr>
        <w:t>）</w:t>
      </w:r>
      <w:r>
        <w:rPr>
          <w:rFonts w:ascii="宋体" w:hAnsi="宋体"/>
          <w:color w:val="auto"/>
          <w:szCs w:val="21"/>
          <w:highlight w:val="none"/>
        </w:rPr>
        <w:t>的政府采购活动。我公司在此郑重声明，我公司参加本项目的政府采购活动前三年内在经营活动中没有重大违法记录，符合《中华人 民共和国政府采购法》及《中华人民共和国政府采购实施条例》规定的供应商条件，我公司对此声明负全部法律责任。</w:t>
      </w:r>
    </w:p>
    <w:p w14:paraId="5405B1EB">
      <w:pPr>
        <w:spacing w:line="640" w:lineRule="exact"/>
        <w:ind w:firstLine="420" w:firstLineChars="200"/>
        <w:jc w:val="left"/>
        <w:rPr>
          <w:rFonts w:ascii="宋体" w:hAnsi="宋体"/>
          <w:color w:val="auto"/>
          <w:szCs w:val="21"/>
          <w:highlight w:val="none"/>
        </w:rPr>
      </w:pPr>
      <w:r>
        <w:rPr>
          <w:rFonts w:ascii="宋体" w:hAnsi="宋体"/>
          <w:color w:val="auto"/>
          <w:szCs w:val="21"/>
          <w:highlight w:val="none"/>
        </w:rPr>
        <w:t>特此承诺。</w:t>
      </w:r>
    </w:p>
    <w:p w14:paraId="78FA3C85">
      <w:pPr>
        <w:spacing w:line="640" w:lineRule="exact"/>
        <w:jc w:val="left"/>
        <w:rPr>
          <w:rFonts w:ascii="宋体" w:hAnsi="宋体"/>
          <w:color w:val="auto"/>
          <w:szCs w:val="21"/>
          <w:highlight w:val="none"/>
        </w:rPr>
      </w:pPr>
    </w:p>
    <w:p w14:paraId="2540A62C">
      <w:pPr>
        <w:spacing w:line="600" w:lineRule="auto"/>
        <w:jc w:val="left"/>
        <w:rPr>
          <w:rFonts w:ascii="宋体" w:hAnsi="宋体"/>
          <w:color w:val="auto"/>
          <w:szCs w:val="21"/>
          <w:highlight w:val="none"/>
        </w:rPr>
      </w:pPr>
    </w:p>
    <w:p w14:paraId="23ACF666">
      <w:pPr>
        <w:spacing w:line="600" w:lineRule="auto"/>
        <w:jc w:val="left"/>
        <w:rPr>
          <w:rFonts w:ascii="宋体" w:hAnsi="宋体"/>
          <w:color w:val="auto"/>
          <w:szCs w:val="21"/>
          <w:highlight w:val="none"/>
          <w:u w:val="single"/>
        </w:rPr>
      </w:pPr>
      <w:r>
        <w:rPr>
          <w:rFonts w:hint="eastAsia" w:ascii="宋体" w:hAnsi="宋体"/>
          <w:color w:val="auto"/>
          <w:szCs w:val="21"/>
          <w:highlight w:val="none"/>
        </w:rPr>
        <w:t>投标人名</w:t>
      </w:r>
      <w:r>
        <w:rPr>
          <w:rFonts w:ascii="宋体" w:hAnsi="宋体"/>
          <w:color w:val="auto"/>
          <w:szCs w:val="21"/>
          <w:highlight w:val="none"/>
        </w:rPr>
        <w:t>称（盖公章）：</w:t>
      </w:r>
    </w:p>
    <w:p w14:paraId="665B5386">
      <w:pPr>
        <w:spacing w:line="600" w:lineRule="auto"/>
        <w:jc w:val="left"/>
        <w:rPr>
          <w:rFonts w:ascii="宋体" w:hAnsi="宋体"/>
          <w:color w:val="auto"/>
          <w:szCs w:val="21"/>
          <w:highlight w:val="none"/>
          <w:u w:val="single"/>
        </w:rPr>
      </w:pPr>
      <w:r>
        <w:rPr>
          <w:rFonts w:hint="eastAsia" w:ascii="宋体" w:hAnsi="宋体"/>
          <w:color w:val="auto"/>
          <w:szCs w:val="21"/>
          <w:highlight w:val="none"/>
        </w:rPr>
        <w:t>法</w:t>
      </w:r>
      <w:r>
        <w:rPr>
          <w:rFonts w:ascii="宋体" w:hAnsi="宋体"/>
          <w:color w:val="auto"/>
          <w:szCs w:val="21"/>
          <w:highlight w:val="none"/>
        </w:rPr>
        <w:t>定代表人或授权代表签字：</w:t>
      </w:r>
    </w:p>
    <w:p w14:paraId="37284B79">
      <w:pPr>
        <w:spacing w:line="600" w:lineRule="auto"/>
        <w:jc w:val="left"/>
        <w:rPr>
          <w:rFonts w:ascii="宋体" w:hAnsi="宋体"/>
          <w:color w:val="auto"/>
          <w:szCs w:val="21"/>
          <w:highlight w:val="none"/>
        </w:rPr>
      </w:pPr>
      <w:r>
        <w:rPr>
          <w:rFonts w:ascii="宋体" w:hAnsi="宋体"/>
          <w:color w:val="auto"/>
          <w:szCs w:val="21"/>
          <w:highlight w:val="none"/>
        </w:rPr>
        <w:t xml:space="preserve">                           日期：</w:t>
      </w:r>
      <w:r>
        <w:rPr>
          <w:rFonts w:hint="eastAsia" w:ascii="宋体" w:hAnsi="宋体"/>
          <w:color w:val="auto"/>
          <w:szCs w:val="21"/>
          <w:highlight w:val="none"/>
        </w:rPr>
        <w:t>年</w:t>
      </w:r>
      <w:r>
        <w:rPr>
          <w:rFonts w:ascii="宋体" w:hAnsi="宋体"/>
          <w:color w:val="auto"/>
          <w:szCs w:val="21"/>
          <w:highlight w:val="none"/>
        </w:rPr>
        <w:t>月</w:t>
      </w:r>
      <w:r>
        <w:rPr>
          <w:rFonts w:hint="eastAsia" w:ascii="宋体" w:hAnsi="宋体"/>
          <w:color w:val="auto"/>
          <w:szCs w:val="21"/>
          <w:highlight w:val="none"/>
        </w:rPr>
        <w:t>日</w:t>
      </w:r>
    </w:p>
    <w:p w14:paraId="78A0ABFD">
      <w:pPr>
        <w:rPr>
          <w:rFonts w:ascii="宋体" w:hAnsi="宋体"/>
          <w:color w:val="auto"/>
          <w:highlight w:val="none"/>
        </w:rPr>
      </w:pPr>
    </w:p>
    <w:p w14:paraId="7D425E44">
      <w:pPr>
        <w:pStyle w:val="6"/>
        <w:rPr>
          <w:rFonts w:ascii="宋体" w:hAnsi="宋体" w:eastAsia="宋体"/>
          <w:color w:val="auto"/>
          <w:highlight w:val="none"/>
        </w:rPr>
      </w:pPr>
    </w:p>
    <w:p w14:paraId="683145E2">
      <w:pPr>
        <w:snapToGrid w:val="0"/>
        <w:spacing w:before="50" w:afterLines="50" w:line="44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8</w:t>
      </w:r>
      <w:r>
        <w:rPr>
          <w:rFonts w:hint="eastAsia" w:ascii="宋体" w:hAnsi="宋体"/>
          <w:b/>
          <w:color w:val="auto"/>
          <w:sz w:val="28"/>
          <w:szCs w:val="28"/>
          <w:highlight w:val="none"/>
        </w:rPr>
        <w:t>.投标人认为可以证明其能力的其它材料。</w:t>
      </w:r>
    </w:p>
    <w:p w14:paraId="3DB9B4FB">
      <w:pPr>
        <w:jc w:val="center"/>
        <w:rPr>
          <w:rFonts w:ascii="宋体" w:hAnsi="宋体"/>
          <w:b/>
          <w:color w:val="auto"/>
          <w:sz w:val="32"/>
          <w:szCs w:val="32"/>
          <w:highlight w:val="none"/>
        </w:rPr>
      </w:pPr>
      <w:r>
        <w:rPr>
          <w:rFonts w:hint="eastAsia" w:ascii="宋体" w:hAnsi="宋体"/>
          <w:color w:val="auto"/>
          <w:sz w:val="24"/>
          <w:highlight w:val="none"/>
        </w:rPr>
        <w:br w:type="page"/>
      </w:r>
      <w:bookmarkStart w:id="92" w:name="_Toc535850420"/>
      <w:bookmarkStart w:id="93" w:name="_Toc535850459"/>
      <w:r>
        <w:rPr>
          <w:rFonts w:hint="eastAsia" w:ascii="宋体" w:hAnsi="宋体"/>
          <w:b/>
          <w:color w:val="auto"/>
          <w:sz w:val="32"/>
          <w:szCs w:val="32"/>
          <w:highlight w:val="none"/>
        </w:rPr>
        <w:t>二、商务文件部</w:t>
      </w:r>
      <w:r>
        <w:rPr>
          <w:rFonts w:ascii="宋体" w:hAnsi="宋体"/>
          <w:b/>
          <w:color w:val="auto"/>
          <w:sz w:val="32"/>
          <w:szCs w:val="32"/>
          <w:highlight w:val="none"/>
        </w:rPr>
        <w:t>份</w:t>
      </w:r>
      <w:bookmarkEnd w:id="92"/>
      <w:bookmarkEnd w:id="93"/>
    </w:p>
    <w:p w14:paraId="57927475">
      <w:pPr>
        <w:snapToGrid w:val="0"/>
        <w:spacing w:before="50" w:afterLines="50" w:line="440" w:lineRule="exact"/>
        <w:jc w:val="center"/>
        <w:rPr>
          <w:rFonts w:ascii="宋体" w:hAnsi="宋体"/>
          <w:b/>
          <w:color w:val="auto"/>
          <w:sz w:val="28"/>
          <w:szCs w:val="28"/>
          <w:highlight w:val="none"/>
        </w:rPr>
      </w:pPr>
      <w:r>
        <w:rPr>
          <w:rFonts w:hint="eastAsia" w:ascii="宋体" w:hAnsi="宋体"/>
          <w:b/>
          <w:color w:val="auto"/>
          <w:sz w:val="28"/>
          <w:szCs w:val="28"/>
          <w:highlight w:val="none"/>
        </w:rPr>
        <w:t>1.商务响应表</w:t>
      </w:r>
    </w:p>
    <w:p w14:paraId="4C2B0FEB">
      <w:pPr>
        <w:snapToGrid w:val="0"/>
        <w:spacing w:before="50" w:afterLines="50" w:line="320" w:lineRule="exact"/>
        <w:rPr>
          <w:rFonts w:ascii="宋体" w:hAnsi="宋体"/>
          <w:color w:val="auto"/>
          <w:szCs w:val="21"/>
          <w:highlight w:val="none"/>
          <w:u w:val="single"/>
        </w:rPr>
      </w:pPr>
      <w:r>
        <w:rPr>
          <w:rFonts w:hint="eastAsia" w:ascii="宋体" w:hAnsi="宋体"/>
          <w:color w:val="auto"/>
          <w:szCs w:val="21"/>
          <w:highlight w:val="none"/>
        </w:rPr>
        <w:t>项目</w:t>
      </w:r>
      <w:r>
        <w:rPr>
          <w:rFonts w:ascii="宋体" w:hAnsi="宋体"/>
          <w:color w:val="auto"/>
          <w:szCs w:val="21"/>
          <w:highlight w:val="none"/>
        </w:rPr>
        <w:t>名称：</w:t>
      </w:r>
    </w:p>
    <w:p w14:paraId="429F8164">
      <w:pPr>
        <w:snapToGrid w:val="0"/>
        <w:spacing w:before="50" w:afterLines="50" w:line="320" w:lineRule="exact"/>
        <w:rPr>
          <w:rFonts w:ascii="宋体" w:hAnsi="宋体"/>
          <w:color w:val="auto"/>
          <w:szCs w:val="21"/>
          <w:highlight w:val="none"/>
        </w:rPr>
      </w:pPr>
      <w:r>
        <w:rPr>
          <w:rFonts w:hint="eastAsia" w:ascii="宋体" w:hAnsi="宋体"/>
          <w:color w:val="auto"/>
          <w:szCs w:val="21"/>
          <w:highlight w:val="none"/>
        </w:rPr>
        <w:t>项目编</w:t>
      </w:r>
      <w:r>
        <w:rPr>
          <w:rFonts w:ascii="宋体" w:hAnsi="宋体"/>
          <w:color w:val="auto"/>
          <w:szCs w:val="21"/>
          <w:highlight w:val="none"/>
        </w:rPr>
        <w:t>号：</w:t>
      </w:r>
    </w:p>
    <w:p w14:paraId="31DF6C66">
      <w:pPr>
        <w:snapToGrid w:val="0"/>
        <w:spacing w:before="50" w:afterLines="50" w:line="32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分标项：</w:t>
      </w:r>
    </w:p>
    <w:tbl>
      <w:tblPr>
        <w:tblStyle w:val="55"/>
        <w:tblW w:w="96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62"/>
        <w:gridCol w:w="2455"/>
        <w:gridCol w:w="1455"/>
        <w:gridCol w:w="2871"/>
      </w:tblGrid>
      <w:tr w14:paraId="66A07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3273DE68">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455" w:type="dxa"/>
            <w:tcBorders>
              <w:top w:val="single" w:color="auto" w:sz="4" w:space="0"/>
              <w:left w:val="single" w:color="auto" w:sz="4" w:space="0"/>
              <w:bottom w:val="single" w:color="auto" w:sz="4" w:space="0"/>
              <w:right w:val="single" w:color="auto" w:sz="4" w:space="0"/>
            </w:tcBorders>
            <w:vAlign w:val="center"/>
          </w:tcPr>
          <w:p w14:paraId="1C845292">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招标文件要求</w:t>
            </w:r>
          </w:p>
        </w:tc>
        <w:tc>
          <w:tcPr>
            <w:tcW w:w="1455" w:type="dxa"/>
            <w:tcBorders>
              <w:top w:val="single" w:color="auto" w:sz="4" w:space="0"/>
              <w:left w:val="single" w:color="auto" w:sz="4" w:space="0"/>
              <w:bottom w:val="single" w:color="auto" w:sz="4" w:space="0"/>
              <w:right w:val="single" w:color="auto" w:sz="4" w:space="0"/>
            </w:tcBorders>
            <w:vAlign w:val="center"/>
          </w:tcPr>
          <w:p w14:paraId="66C38EFD">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2871" w:type="dxa"/>
            <w:tcBorders>
              <w:top w:val="single" w:color="auto" w:sz="4" w:space="0"/>
              <w:left w:val="single" w:color="auto" w:sz="4" w:space="0"/>
              <w:bottom w:val="single" w:color="auto" w:sz="4" w:space="0"/>
              <w:right w:val="single" w:color="auto" w:sz="4" w:space="0"/>
            </w:tcBorders>
            <w:vAlign w:val="center"/>
          </w:tcPr>
          <w:p w14:paraId="5C11BA46">
            <w:pPr>
              <w:snapToGrid w:val="0"/>
              <w:spacing w:beforeLines="50"/>
              <w:jc w:val="center"/>
              <w:rPr>
                <w:rFonts w:ascii="宋体" w:hAnsi="宋体" w:cs="宋体"/>
                <w:color w:val="auto"/>
                <w:szCs w:val="21"/>
                <w:highlight w:val="none"/>
              </w:rPr>
            </w:pPr>
            <w:r>
              <w:rPr>
                <w:rFonts w:hint="eastAsia" w:ascii="宋体" w:hAnsi="宋体" w:cs="宋体"/>
                <w:color w:val="auto"/>
                <w:szCs w:val="21"/>
                <w:highlight w:val="none"/>
              </w:rPr>
              <w:t>投标人的承诺或偏离说明</w:t>
            </w:r>
          </w:p>
        </w:tc>
      </w:tr>
      <w:tr w14:paraId="5BF85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67D94EBC">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5C80AD48">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3619C3FF">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5695DABF">
            <w:pPr>
              <w:snapToGrid w:val="0"/>
              <w:spacing w:beforeLines="50"/>
              <w:jc w:val="center"/>
              <w:rPr>
                <w:rFonts w:ascii="宋体" w:hAnsi="宋体" w:cs="宋体"/>
                <w:color w:val="auto"/>
                <w:szCs w:val="21"/>
                <w:highlight w:val="none"/>
              </w:rPr>
            </w:pPr>
          </w:p>
        </w:tc>
      </w:tr>
      <w:tr w14:paraId="22BE1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74CEAD85">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19509995">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6A6E0F0">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1D0BDCE2">
            <w:pPr>
              <w:snapToGrid w:val="0"/>
              <w:spacing w:beforeLines="50"/>
              <w:jc w:val="center"/>
              <w:rPr>
                <w:rFonts w:ascii="宋体" w:hAnsi="宋体" w:cs="宋体"/>
                <w:color w:val="auto"/>
                <w:szCs w:val="21"/>
                <w:highlight w:val="none"/>
              </w:rPr>
            </w:pPr>
          </w:p>
        </w:tc>
      </w:tr>
      <w:tr w14:paraId="1D783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4E0C6B9C">
            <w:pPr>
              <w:spacing w:line="360" w:lineRule="exact"/>
              <w:jc w:val="center"/>
              <w:rPr>
                <w:rFonts w:ascii="宋体" w:hAnsi="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2B79C574">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F328B9E">
            <w:pPr>
              <w:snapToGrid w:val="0"/>
              <w:spacing w:beforeLines="50"/>
              <w:ind w:left="43"/>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02645D48">
            <w:pPr>
              <w:snapToGrid w:val="0"/>
              <w:spacing w:beforeLines="50"/>
              <w:ind w:left="43"/>
              <w:jc w:val="center"/>
              <w:rPr>
                <w:rFonts w:ascii="宋体" w:hAnsi="宋体" w:cs="宋体"/>
                <w:color w:val="auto"/>
                <w:szCs w:val="21"/>
                <w:highlight w:val="none"/>
              </w:rPr>
            </w:pPr>
          </w:p>
        </w:tc>
      </w:tr>
      <w:tr w14:paraId="6B7DD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5B2E3ED4">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vAlign w:val="center"/>
          </w:tcPr>
          <w:p w14:paraId="14207052">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792C2FF">
            <w:pPr>
              <w:snapToGrid w:val="0"/>
              <w:spacing w:beforeLines="50"/>
              <w:ind w:left="43"/>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vAlign w:val="center"/>
          </w:tcPr>
          <w:p w14:paraId="7477EDE6">
            <w:pPr>
              <w:snapToGrid w:val="0"/>
              <w:spacing w:beforeLines="50"/>
              <w:ind w:left="43"/>
              <w:jc w:val="center"/>
              <w:rPr>
                <w:rFonts w:ascii="宋体" w:hAnsi="宋体" w:cs="宋体"/>
                <w:color w:val="auto"/>
                <w:szCs w:val="21"/>
                <w:highlight w:val="none"/>
              </w:rPr>
            </w:pPr>
          </w:p>
        </w:tc>
      </w:tr>
      <w:tr w14:paraId="47BD4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6A50F9C">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34EE5B1F">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323775E0">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531D0186">
            <w:pPr>
              <w:snapToGrid w:val="0"/>
              <w:spacing w:beforeLines="50"/>
              <w:jc w:val="center"/>
              <w:rPr>
                <w:rFonts w:ascii="宋体" w:hAnsi="宋体" w:cs="宋体"/>
                <w:color w:val="auto"/>
                <w:szCs w:val="21"/>
                <w:highlight w:val="none"/>
              </w:rPr>
            </w:pPr>
          </w:p>
        </w:tc>
      </w:tr>
      <w:tr w14:paraId="3DBEF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329DFF4">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2D76B916">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4090352B">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731D24C2">
            <w:pPr>
              <w:snapToGrid w:val="0"/>
              <w:spacing w:beforeLines="50"/>
              <w:jc w:val="center"/>
              <w:rPr>
                <w:rFonts w:ascii="宋体" w:hAnsi="宋体" w:cs="宋体"/>
                <w:color w:val="auto"/>
                <w:szCs w:val="21"/>
                <w:highlight w:val="none"/>
              </w:rPr>
            </w:pPr>
          </w:p>
        </w:tc>
      </w:tr>
      <w:tr w14:paraId="0D65A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26271CBB">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03F65CE2">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54E83C7B">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2B258262">
            <w:pPr>
              <w:snapToGrid w:val="0"/>
              <w:spacing w:beforeLines="50"/>
              <w:jc w:val="center"/>
              <w:rPr>
                <w:rFonts w:ascii="宋体" w:hAnsi="宋体" w:cs="宋体"/>
                <w:color w:val="auto"/>
                <w:szCs w:val="21"/>
                <w:highlight w:val="none"/>
              </w:rPr>
            </w:pPr>
          </w:p>
        </w:tc>
      </w:tr>
      <w:tr w14:paraId="3B66E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3FAA1D7B">
            <w:pPr>
              <w:spacing w:line="36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1123E3EB">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489583A8">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5265466C">
            <w:pPr>
              <w:snapToGrid w:val="0"/>
              <w:spacing w:beforeLines="50"/>
              <w:jc w:val="center"/>
              <w:rPr>
                <w:rFonts w:ascii="宋体" w:hAnsi="宋体" w:cs="宋体"/>
                <w:color w:val="auto"/>
                <w:szCs w:val="21"/>
                <w:highlight w:val="none"/>
              </w:rPr>
            </w:pPr>
          </w:p>
        </w:tc>
      </w:tr>
      <w:tr w14:paraId="3CC78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715D1F43">
            <w:pPr>
              <w:spacing w:line="300" w:lineRule="exact"/>
              <w:jc w:val="center"/>
              <w:rPr>
                <w:rFonts w:ascii="宋体" w:hAnsi="宋体" w:cs="宋体"/>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10700D72">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1FF9665A">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3E498814">
            <w:pPr>
              <w:snapToGrid w:val="0"/>
              <w:spacing w:beforeLines="50"/>
              <w:jc w:val="center"/>
              <w:rPr>
                <w:rFonts w:ascii="宋体" w:hAnsi="宋体" w:cs="宋体"/>
                <w:color w:val="auto"/>
                <w:szCs w:val="21"/>
                <w:highlight w:val="none"/>
              </w:rPr>
            </w:pPr>
          </w:p>
        </w:tc>
      </w:tr>
      <w:tr w14:paraId="46B2D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2862" w:type="dxa"/>
            <w:tcBorders>
              <w:top w:val="single" w:color="auto" w:sz="4" w:space="0"/>
              <w:left w:val="single" w:color="auto" w:sz="4" w:space="0"/>
              <w:bottom w:val="single" w:color="auto" w:sz="4" w:space="0"/>
              <w:right w:val="single" w:color="auto" w:sz="4" w:space="0"/>
            </w:tcBorders>
            <w:vAlign w:val="center"/>
          </w:tcPr>
          <w:p w14:paraId="09180F92">
            <w:pPr>
              <w:spacing w:line="300" w:lineRule="exact"/>
              <w:jc w:val="center"/>
              <w:rPr>
                <w:rFonts w:ascii="宋体" w:hAnsi="宋体" w:cs="Arial"/>
                <w:color w:val="auto"/>
                <w:szCs w:val="21"/>
                <w:highlight w:val="none"/>
              </w:rPr>
            </w:pPr>
          </w:p>
        </w:tc>
        <w:tc>
          <w:tcPr>
            <w:tcW w:w="2455" w:type="dxa"/>
            <w:tcBorders>
              <w:top w:val="single" w:color="auto" w:sz="4" w:space="0"/>
              <w:left w:val="single" w:color="auto" w:sz="4" w:space="0"/>
              <w:bottom w:val="single" w:color="auto" w:sz="4" w:space="0"/>
              <w:right w:val="single" w:color="auto" w:sz="4" w:space="0"/>
            </w:tcBorders>
          </w:tcPr>
          <w:p w14:paraId="6E0FE653">
            <w:pPr>
              <w:snapToGrid w:val="0"/>
              <w:spacing w:beforeLines="50"/>
              <w:jc w:val="center"/>
              <w:rPr>
                <w:rFonts w:ascii="宋体" w:hAnsi="宋体" w:cs="宋体"/>
                <w:color w:val="auto"/>
                <w:szCs w:val="21"/>
                <w:highlight w:val="none"/>
              </w:rPr>
            </w:pPr>
          </w:p>
        </w:tc>
        <w:tc>
          <w:tcPr>
            <w:tcW w:w="1455" w:type="dxa"/>
            <w:tcBorders>
              <w:top w:val="single" w:color="auto" w:sz="4" w:space="0"/>
              <w:left w:val="single" w:color="auto" w:sz="4" w:space="0"/>
              <w:bottom w:val="single" w:color="auto" w:sz="4" w:space="0"/>
              <w:right w:val="single" w:color="auto" w:sz="4" w:space="0"/>
            </w:tcBorders>
          </w:tcPr>
          <w:p w14:paraId="4E720DCA">
            <w:pPr>
              <w:snapToGrid w:val="0"/>
              <w:spacing w:beforeLines="50"/>
              <w:jc w:val="center"/>
              <w:rPr>
                <w:rFonts w:ascii="宋体" w:hAnsi="宋体" w:cs="宋体"/>
                <w:color w:val="auto"/>
                <w:szCs w:val="21"/>
                <w:highlight w:val="none"/>
              </w:rPr>
            </w:pPr>
          </w:p>
        </w:tc>
        <w:tc>
          <w:tcPr>
            <w:tcW w:w="2871" w:type="dxa"/>
            <w:tcBorders>
              <w:top w:val="single" w:color="auto" w:sz="4" w:space="0"/>
              <w:left w:val="single" w:color="auto" w:sz="4" w:space="0"/>
              <w:bottom w:val="single" w:color="auto" w:sz="4" w:space="0"/>
              <w:right w:val="single" w:color="auto" w:sz="4" w:space="0"/>
            </w:tcBorders>
          </w:tcPr>
          <w:p w14:paraId="5A44CF22">
            <w:pPr>
              <w:snapToGrid w:val="0"/>
              <w:spacing w:beforeLines="50"/>
              <w:jc w:val="center"/>
              <w:rPr>
                <w:rFonts w:ascii="宋体" w:hAnsi="宋体" w:cs="宋体"/>
                <w:color w:val="auto"/>
                <w:szCs w:val="21"/>
                <w:highlight w:val="none"/>
              </w:rPr>
            </w:pPr>
          </w:p>
        </w:tc>
      </w:tr>
    </w:tbl>
    <w:p w14:paraId="70456F93">
      <w:pPr>
        <w:snapToGrid w:val="0"/>
        <w:spacing w:before="50" w:afterLines="50" w:line="300" w:lineRule="exact"/>
        <w:jc w:val="left"/>
        <w:rPr>
          <w:rFonts w:ascii="宋体" w:hAnsi="宋体"/>
          <w:color w:val="auto"/>
          <w:szCs w:val="21"/>
          <w:highlight w:val="none"/>
        </w:rPr>
      </w:pPr>
      <w:r>
        <w:rPr>
          <w:rFonts w:hint="eastAsia" w:ascii="宋体" w:hAnsi="宋体"/>
          <w:color w:val="auto"/>
          <w:szCs w:val="21"/>
          <w:highlight w:val="none"/>
        </w:rPr>
        <w:t>注：1.本表应对招标文件中所列商务要求进行逐项响应；</w:t>
      </w:r>
    </w:p>
    <w:p w14:paraId="3356F711">
      <w:pPr>
        <w:snapToGrid w:val="0"/>
        <w:spacing w:before="50" w:afterLines="50"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2.投标人应根据第二章《招标采购项目需求》中“商务要求的内容”对照自身企业实际情况填写商务响应表。</w:t>
      </w:r>
    </w:p>
    <w:p w14:paraId="2453ED37">
      <w:pPr>
        <w:snapToGrid w:val="0"/>
        <w:spacing w:before="50" w:afterLines="50" w:line="300" w:lineRule="exact"/>
        <w:ind w:left="630" w:leftChars="200" w:hanging="210" w:hangingChars="1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.本表内容必须如实填写。</w:t>
      </w:r>
    </w:p>
    <w:p w14:paraId="7674FF5E">
      <w:pPr>
        <w:snapToGrid w:val="0"/>
        <w:spacing w:before="50" w:afterLines="50" w:line="3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.本表可扩展。</w:t>
      </w:r>
    </w:p>
    <w:p w14:paraId="7F9280CB">
      <w:pPr>
        <w:snapToGrid w:val="0"/>
        <w:spacing w:before="50" w:afterLines="50" w:line="300" w:lineRule="exact"/>
        <w:ind w:firstLine="420" w:firstLineChars="200"/>
        <w:jc w:val="left"/>
        <w:rPr>
          <w:rFonts w:hint="eastAsia" w:ascii="宋体" w:hAnsi="宋体"/>
          <w:color w:val="auto"/>
          <w:szCs w:val="21"/>
          <w:highlight w:val="none"/>
        </w:rPr>
      </w:pPr>
    </w:p>
    <w:p w14:paraId="2429F86F">
      <w:pPr>
        <w:snapToGrid w:val="0"/>
        <w:spacing w:before="50" w:afterLines="50"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投标人名称（公章）：</w:t>
      </w:r>
    </w:p>
    <w:p w14:paraId="48632E90">
      <w:pPr>
        <w:snapToGrid w:val="0"/>
        <w:spacing w:before="50" w:afterLines="50" w:line="3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法定代表人或授权代表（签字或者盖章或者电子签名）：</w:t>
      </w:r>
    </w:p>
    <w:p w14:paraId="21B0F42E">
      <w:pPr>
        <w:snapToGrid w:val="0"/>
        <w:spacing w:before="50" w:afterLines="50" w:line="300" w:lineRule="exact"/>
        <w:jc w:val="left"/>
        <w:rPr>
          <w:rFonts w:ascii="宋体" w:hAnsi="宋体"/>
          <w:color w:val="auto"/>
          <w:szCs w:val="21"/>
          <w:highlight w:val="none"/>
        </w:rPr>
      </w:pPr>
      <w:r>
        <w:rPr>
          <w:rFonts w:hint="eastAsia" w:ascii="宋体" w:hAnsi="宋体"/>
          <w:color w:val="auto"/>
          <w:szCs w:val="21"/>
          <w:highlight w:val="none"/>
        </w:rPr>
        <w:t xml:space="preserve">    日期：年月日</w:t>
      </w:r>
    </w:p>
    <w:p w14:paraId="321C53FB">
      <w:pPr>
        <w:pStyle w:val="21"/>
        <w:snapToGrid w:val="0"/>
        <w:rPr>
          <w:rFonts w:ascii="宋体" w:hAnsi="宋体"/>
          <w:color w:val="auto"/>
          <w:sz w:val="21"/>
          <w:szCs w:val="21"/>
          <w:highlight w:val="none"/>
        </w:rPr>
      </w:pPr>
      <w:r>
        <w:rPr>
          <w:rFonts w:hint="eastAsia" w:ascii="宋体" w:hAnsi="宋体"/>
          <w:b/>
          <w:color w:val="auto"/>
          <w:szCs w:val="21"/>
          <w:highlight w:val="none"/>
        </w:rPr>
        <w:br w:type="page"/>
      </w:r>
    </w:p>
    <w:p w14:paraId="23D14A80">
      <w:pPr>
        <w:pStyle w:val="21"/>
        <w:snapToGrid w:val="0"/>
        <w:rPr>
          <w:rFonts w:ascii="宋体" w:hAnsi="宋体"/>
          <w:color w:val="auto"/>
          <w:sz w:val="21"/>
          <w:szCs w:val="21"/>
          <w:highlight w:val="none"/>
        </w:rPr>
      </w:pPr>
    </w:p>
    <w:p w14:paraId="6AB38081">
      <w:pPr>
        <w:snapToGrid w:val="0"/>
        <w:spacing w:line="420" w:lineRule="exact"/>
        <w:ind w:firstLine="281" w:firstLineChars="100"/>
        <w:jc w:val="center"/>
        <w:rPr>
          <w:rFonts w:ascii="宋体" w:hAnsi="宋体"/>
          <w:color w:val="auto"/>
          <w:szCs w:val="21"/>
          <w:highlight w:val="none"/>
        </w:rPr>
      </w:pPr>
      <w:r>
        <w:rPr>
          <w:rFonts w:hint="eastAsia" w:ascii="宋体" w:hAnsi="宋体"/>
          <w:b/>
          <w:color w:val="auto"/>
          <w:sz w:val="28"/>
          <w:szCs w:val="28"/>
          <w:highlight w:val="none"/>
        </w:rPr>
        <w:t>2</w:t>
      </w:r>
      <w:r>
        <w:rPr>
          <w:rFonts w:ascii="宋体" w:hAnsi="宋体"/>
          <w:b/>
          <w:color w:val="auto"/>
          <w:sz w:val="28"/>
          <w:szCs w:val="28"/>
          <w:highlight w:val="none"/>
        </w:rPr>
        <w:t>.</w:t>
      </w:r>
      <w:r>
        <w:rPr>
          <w:rFonts w:hint="eastAsia" w:ascii="宋体" w:hAnsi="宋体"/>
          <w:b/>
          <w:color w:val="auto"/>
          <w:sz w:val="28"/>
          <w:szCs w:val="28"/>
          <w:highlight w:val="none"/>
        </w:rPr>
        <w:t>招标文件列明的其他证明文件</w:t>
      </w:r>
    </w:p>
    <w:p w14:paraId="2A5E80D9">
      <w:pPr>
        <w:snapToGrid w:val="0"/>
        <w:spacing w:beforeLines="50" w:after="50" w:line="360" w:lineRule="exact"/>
        <w:ind w:firstLine="210" w:firstLineChars="100"/>
        <w:rPr>
          <w:rFonts w:ascii="宋体" w:hAnsi="宋体"/>
          <w:color w:val="auto"/>
          <w:szCs w:val="21"/>
          <w:highlight w:val="none"/>
        </w:rPr>
      </w:pPr>
    </w:p>
    <w:p w14:paraId="07B01ED2">
      <w:pPr>
        <w:snapToGrid w:val="0"/>
        <w:spacing w:line="420" w:lineRule="exact"/>
        <w:ind w:firstLine="411" w:firstLineChars="196"/>
        <w:jc w:val="left"/>
        <w:rPr>
          <w:rFonts w:ascii="宋体" w:hAnsi="宋体"/>
          <w:color w:val="auto"/>
          <w:szCs w:val="21"/>
          <w:highlight w:val="none"/>
        </w:rPr>
      </w:pPr>
    </w:p>
    <w:p w14:paraId="4747384C">
      <w:pPr>
        <w:snapToGrid w:val="0"/>
        <w:spacing w:line="420" w:lineRule="exact"/>
        <w:ind w:firstLine="411" w:firstLineChars="196"/>
        <w:jc w:val="left"/>
        <w:rPr>
          <w:rFonts w:ascii="宋体" w:hAnsi="宋体"/>
          <w:color w:val="auto"/>
          <w:szCs w:val="21"/>
          <w:highlight w:val="none"/>
        </w:rPr>
      </w:pPr>
    </w:p>
    <w:p w14:paraId="56E41A23">
      <w:pPr>
        <w:snapToGrid w:val="0"/>
        <w:spacing w:line="420" w:lineRule="exact"/>
        <w:ind w:firstLine="411" w:firstLineChars="196"/>
        <w:jc w:val="left"/>
        <w:rPr>
          <w:rFonts w:ascii="宋体" w:hAnsi="宋体"/>
          <w:color w:val="auto"/>
          <w:szCs w:val="21"/>
          <w:highlight w:val="none"/>
        </w:rPr>
      </w:pPr>
    </w:p>
    <w:p w14:paraId="14EB547C">
      <w:pPr>
        <w:snapToGrid w:val="0"/>
        <w:spacing w:line="420" w:lineRule="exact"/>
        <w:ind w:firstLine="411" w:firstLineChars="196"/>
        <w:jc w:val="left"/>
        <w:rPr>
          <w:rFonts w:ascii="宋体" w:hAnsi="宋体"/>
          <w:color w:val="auto"/>
          <w:szCs w:val="21"/>
          <w:highlight w:val="none"/>
        </w:rPr>
      </w:pPr>
    </w:p>
    <w:p w14:paraId="161C02AE">
      <w:pPr>
        <w:snapToGrid w:val="0"/>
        <w:spacing w:line="420" w:lineRule="exact"/>
        <w:ind w:firstLine="411" w:firstLineChars="196"/>
        <w:jc w:val="left"/>
        <w:rPr>
          <w:rFonts w:ascii="宋体" w:hAnsi="宋体"/>
          <w:color w:val="auto"/>
          <w:szCs w:val="21"/>
          <w:highlight w:val="none"/>
        </w:rPr>
      </w:pPr>
    </w:p>
    <w:p w14:paraId="764D3130">
      <w:pPr>
        <w:snapToGrid w:val="0"/>
        <w:spacing w:line="420" w:lineRule="exact"/>
        <w:ind w:firstLine="551" w:firstLineChars="196"/>
        <w:jc w:val="center"/>
        <w:rPr>
          <w:rFonts w:ascii="宋体" w:hAnsi="宋体"/>
          <w:b/>
          <w:color w:val="auto"/>
          <w:sz w:val="28"/>
          <w:szCs w:val="28"/>
          <w:highlight w:val="none"/>
        </w:rPr>
      </w:pPr>
      <w:r>
        <w:rPr>
          <w:rFonts w:hint="eastAsia" w:ascii="宋体" w:hAnsi="宋体"/>
          <w:b/>
          <w:color w:val="auto"/>
          <w:sz w:val="28"/>
          <w:szCs w:val="28"/>
          <w:highlight w:val="none"/>
        </w:rPr>
        <w:t>3.投标人情况介绍（</w:t>
      </w:r>
      <w:r>
        <w:rPr>
          <w:rFonts w:ascii="宋体" w:hAnsi="宋体"/>
          <w:b/>
          <w:color w:val="auto"/>
          <w:sz w:val="28"/>
          <w:szCs w:val="28"/>
          <w:highlight w:val="none"/>
        </w:rPr>
        <w:t>格式自拟）</w:t>
      </w:r>
    </w:p>
    <w:p w14:paraId="46003753">
      <w:pPr>
        <w:snapToGrid w:val="0"/>
        <w:spacing w:line="420" w:lineRule="exact"/>
        <w:ind w:firstLine="551" w:firstLineChars="196"/>
        <w:jc w:val="left"/>
        <w:rPr>
          <w:rFonts w:ascii="宋体" w:hAnsi="宋体"/>
          <w:b/>
          <w:color w:val="auto"/>
          <w:sz w:val="28"/>
          <w:szCs w:val="28"/>
          <w:highlight w:val="none"/>
        </w:rPr>
      </w:pPr>
    </w:p>
    <w:p w14:paraId="1CE58AE6">
      <w:pPr>
        <w:snapToGrid w:val="0"/>
        <w:spacing w:line="420" w:lineRule="exact"/>
        <w:ind w:firstLine="551" w:firstLineChars="196"/>
        <w:jc w:val="left"/>
        <w:rPr>
          <w:rFonts w:ascii="宋体" w:hAnsi="宋体"/>
          <w:b/>
          <w:color w:val="auto"/>
          <w:sz w:val="28"/>
          <w:szCs w:val="28"/>
          <w:highlight w:val="none"/>
        </w:rPr>
      </w:pPr>
    </w:p>
    <w:p w14:paraId="0416DF47">
      <w:pPr>
        <w:snapToGrid w:val="0"/>
        <w:spacing w:line="420" w:lineRule="exact"/>
        <w:jc w:val="left"/>
        <w:rPr>
          <w:rFonts w:ascii="宋体" w:hAnsi="宋体"/>
          <w:b/>
          <w:color w:val="auto"/>
          <w:sz w:val="28"/>
          <w:szCs w:val="28"/>
          <w:highlight w:val="none"/>
        </w:rPr>
      </w:pPr>
    </w:p>
    <w:p w14:paraId="12762990">
      <w:pPr>
        <w:snapToGrid w:val="0"/>
        <w:spacing w:line="420" w:lineRule="exact"/>
        <w:ind w:firstLine="551" w:firstLineChars="196"/>
        <w:jc w:val="left"/>
        <w:rPr>
          <w:rFonts w:ascii="宋体" w:hAnsi="宋体"/>
          <w:b/>
          <w:color w:val="auto"/>
          <w:sz w:val="28"/>
          <w:szCs w:val="28"/>
          <w:highlight w:val="none"/>
        </w:rPr>
      </w:pPr>
    </w:p>
    <w:p w14:paraId="2DE6B237">
      <w:pPr>
        <w:snapToGrid w:val="0"/>
        <w:spacing w:line="420" w:lineRule="exact"/>
        <w:ind w:firstLine="551" w:firstLineChars="196"/>
        <w:jc w:val="left"/>
        <w:rPr>
          <w:rFonts w:ascii="宋体" w:hAnsi="宋体"/>
          <w:b/>
          <w:color w:val="auto"/>
          <w:sz w:val="28"/>
          <w:szCs w:val="28"/>
          <w:highlight w:val="none"/>
        </w:rPr>
      </w:pPr>
    </w:p>
    <w:p w14:paraId="3AF6EC7E">
      <w:pPr>
        <w:snapToGrid w:val="0"/>
        <w:spacing w:line="420" w:lineRule="exact"/>
        <w:ind w:firstLine="551" w:firstLineChars="196"/>
        <w:jc w:val="left"/>
        <w:rPr>
          <w:rFonts w:ascii="宋体" w:hAnsi="宋体"/>
          <w:b/>
          <w:color w:val="auto"/>
          <w:sz w:val="28"/>
          <w:szCs w:val="28"/>
          <w:highlight w:val="none"/>
        </w:rPr>
      </w:pPr>
    </w:p>
    <w:p w14:paraId="6A2EAD82">
      <w:pPr>
        <w:snapToGrid w:val="0"/>
        <w:spacing w:line="420" w:lineRule="exact"/>
        <w:ind w:firstLine="551" w:firstLineChars="196"/>
        <w:jc w:val="left"/>
        <w:rPr>
          <w:rFonts w:ascii="宋体" w:hAnsi="宋体"/>
          <w:b/>
          <w:color w:val="auto"/>
          <w:sz w:val="28"/>
          <w:szCs w:val="28"/>
          <w:highlight w:val="none"/>
        </w:rPr>
      </w:pPr>
    </w:p>
    <w:p w14:paraId="461E38B8">
      <w:pPr>
        <w:snapToGrid w:val="0"/>
        <w:spacing w:line="420" w:lineRule="exact"/>
        <w:ind w:firstLine="551" w:firstLineChars="196"/>
        <w:jc w:val="left"/>
        <w:rPr>
          <w:rFonts w:ascii="宋体" w:hAnsi="宋体"/>
          <w:b/>
          <w:color w:val="auto"/>
          <w:sz w:val="28"/>
          <w:szCs w:val="28"/>
          <w:highlight w:val="none"/>
        </w:rPr>
      </w:pPr>
    </w:p>
    <w:p w14:paraId="42CDD0A6">
      <w:pPr>
        <w:snapToGrid w:val="0"/>
        <w:spacing w:line="420" w:lineRule="exact"/>
        <w:ind w:firstLine="551" w:firstLineChars="196"/>
        <w:jc w:val="left"/>
        <w:rPr>
          <w:rFonts w:ascii="宋体" w:hAnsi="宋体"/>
          <w:b/>
          <w:color w:val="auto"/>
          <w:sz w:val="28"/>
          <w:szCs w:val="28"/>
          <w:highlight w:val="none"/>
        </w:rPr>
      </w:pPr>
    </w:p>
    <w:p w14:paraId="18A9BC0E">
      <w:pPr>
        <w:snapToGrid w:val="0"/>
        <w:spacing w:before="50"/>
        <w:ind w:firstLine="562" w:firstLineChars="200"/>
        <w:jc w:val="left"/>
        <w:rPr>
          <w:rFonts w:ascii="宋体" w:hAnsi="宋体"/>
          <w:color w:val="auto"/>
          <w:szCs w:val="21"/>
          <w:highlight w:val="none"/>
        </w:rPr>
      </w:pPr>
      <w:r>
        <w:rPr>
          <w:rFonts w:hint="eastAsia" w:ascii="宋体" w:hAnsi="宋体"/>
          <w:b/>
          <w:color w:val="auto"/>
          <w:sz w:val="28"/>
          <w:szCs w:val="28"/>
          <w:highlight w:val="none"/>
        </w:rPr>
        <w:t>4.投标人认为可以证明其服务能力或业绩的其它材料（结合投标人自身情况及招标文件其他要求和评分要素自行提供）</w:t>
      </w:r>
    </w:p>
    <w:p w14:paraId="3A432967">
      <w:pPr>
        <w:snapToGrid w:val="0"/>
        <w:spacing w:before="50" w:afterLines="50"/>
        <w:jc w:val="left"/>
        <w:rPr>
          <w:rFonts w:ascii="宋体" w:hAnsi="宋体"/>
          <w:color w:val="auto"/>
          <w:szCs w:val="21"/>
          <w:highlight w:val="none"/>
        </w:rPr>
      </w:pPr>
    </w:p>
    <w:p w14:paraId="169127E3">
      <w:pPr>
        <w:snapToGrid w:val="0"/>
        <w:spacing w:before="50" w:afterLines="50"/>
        <w:jc w:val="left"/>
        <w:rPr>
          <w:rFonts w:ascii="宋体" w:hAnsi="宋体"/>
          <w:color w:val="auto"/>
          <w:szCs w:val="21"/>
          <w:highlight w:val="none"/>
        </w:rPr>
      </w:pPr>
    </w:p>
    <w:p w14:paraId="364B83AB">
      <w:pPr>
        <w:snapToGrid w:val="0"/>
        <w:spacing w:before="50" w:afterLines="50"/>
        <w:jc w:val="left"/>
        <w:rPr>
          <w:rFonts w:ascii="宋体" w:hAnsi="宋体"/>
          <w:color w:val="auto"/>
          <w:szCs w:val="21"/>
          <w:highlight w:val="none"/>
        </w:rPr>
      </w:pPr>
    </w:p>
    <w:p w14:paraId="4FE72B99">
      <w:pPr>
        <w:snapToGrid w:val="0"/>
        <w:spacing w:before="50" w:afterLines="50"/>
        <w:jc w:val="left"/>
        <w:rPr>
          <w:rFonts w:ascii="宋体" w:hAnsi="宋体"/>
          <w:color w:val="auto"/>
          <w:szCs w:val="21"/>
          <w:highlight w:val="none"/>
        </w:rPr>
      </w:pPr>
    </w:p>
    <w:p w14:paraId="4BF99974">
      <w:pPr>
        <w:snapToGrid w:val="0"/>
        <w:spacing w:before="50" w:afterLines="50"/>
        <w:jc w:val="left"/>
        <w:rPr>
          <w:rFonts w:ascii="宋体" w:hAnsi="宋体"/>
          <w:color w:val="auto"/>
          <w:szCs w:val="21"/>
          <w:highlight w:val="none"/>
        </w:rPr>
      </w:pPr>
    </w:p>
    <w:p w14:paraId="65C07841">
      <w:pPr>
        <w:snapToGrid w:val="0"/>
        <w:spacing w:line="420" w:lineRule="exact"/>
        <w:ind w:firstLine="413" w:firstLineChars="196"/>
        <w:jc w:val="left"/>
        <w:rPr>
          <w:rFonts w:ascii="宋体" w:hAnsi="宋体"/>
          <w:b/>
          <w:bCs/>
          <w:color w:val="auto"/>
          <w:szCs w:val="21"/>
          <w:highlight w:val="none"/>
        </w:rPr>
      </w:pPr>
    </w:p>
    <w:p w14:paraId="7E5D1F45">
      <w:pPr>
        <w:snapToGrid w:val="0"/>
        <w:spacing w:line="420" w:lineRule="exact"/>
        <w:ind w:firstLine="413" w:firstLineChars="196"/>
        <w:jc w:val="left"/>
        <w:rPr>
          <w:rFonts w:ascii="宋体" w:hAnsi="宋体"/>
          <w:b/>
          <w:bCs/>
          <w:color w:val="auto"/>
          <w:szCs w:val="21"/>
          <w:highlight w:val="none"/>
        </w:rPr>
      </w:pPr>
    </w:p>
    <w:p w14:paraId="54360010">
      <w:pPr>
        <w:snapToGrid w:val="0"/>
        <w:spacing w:line="420" w:lineRule="exact"/>
        <w:ind w:firstLine="413" w:firstLineChars="196"/>
        <w:jc w:val="left"/>
        <w:rPr>
          <w:rFonts w:ascii="宋体" w:hAnsi="宋体"/>
          <w:b/>
          <w:bCs/>
          <w:color w:val="auto"/>
          <w:szCs w:val="21"/>
          <w:highlight w:val="none"/>
        </w:rPr>
      </w:pPr>
    </w:p>
    <w:p w14:paraId="483F66EB">
      <w:pPr>
        <w:snapToGrid w:val="0"/>
        <w:spacing w:line="420" w:lineRule="exact"/>
        <w:ind w:firstLine="413" w:firstLineChars="196"/>
        <w:jc w:val="left"/>
        <w:rPr>
          <w:rFonts w:ascii="宋体" w:hAnsi="宋体"/>
          <w:b/>
          <w:bCs/>
          <w:color w:val="auto"/>
          <w:szCs w:val="21"/>
          <w:highlight w:val="none"/>
        </w:rPr>
      </w:pPr>
    </w:p>
    <w:p w14:paraId="74B050A8">
      <w:pPr>
        <w:snapToGrid w:val="0"/>
        <w:spacing w:line="420" w:lineRule="exact"/>
        <w:jc w:val="left"/>
        <w:rPr>
          <w:rFonts w:ascii="宋体" w:hAnsi="宋体"/>
          <w:b/>
          <w:bCs/>
          <w:color w:val="auto"/>
          <w:szCs w:val="21"/>
          <w:highlight w:val="none"/>
        </w:rPr>
      </w:pPr>
    </w:p>
    <w:p w14:paraId="012B02D1">
      <w:pPr>
        <w:snapToGrid w:val="0"/>
        <w:spacing w:line="420" w:lineRule="exact"/>
        <w:jc w:val="left"/>
        <w:rPr>
          <w:rFonts w:ascii="宋体" w:hAnsi="宋体"/>
          <w:b/>
          <w:bCs/>
          <w:color w:val="auto"/>
          <w:szCs w:val="21"/>
          <w:highlight w:val="none"/>
        </w:rPr>
      </w:pPr>
    </w:p>
    <w:p w14:paraId="73CFECEF">
      <w:pPr>
        <w:snapToGrid w:val="0"/>
        <w:spacing w:line="420" w:lineRule="exact"/>
        <w:ind w:firstLine="630" w:firstLineChars="196"/>
        <w:jc w:val="left"/>
        <w:rPr>
          <w:rFonts w:ascii="宋体" w:hAnsi="宋体"/>
          <w:b/>
          <w:bCs/>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三、技术文件部分</w:t>
      </w:r>
    </w:p>
    <w:p w14:paraId="1F10B673">
      <w:pPr>
        <w:snapToGrid w:val="0"/>
        <w:spacing w:line="420" w:lineRule="exact"/>
        <w:ind w:firstLine="705" w:firstLineChars="196"/>
        <w:jc w:val="left"/>
        <w:rPr>
          <w:rFonts w:ascii="宋体" w:hAnsi="宋体"/>
          <w:color w:val="auto"/>
          <w:sz w:val="36"/>
          <w:szCs w:val="36"/>
          <w:highlight w:val="none"/>
        </w:rPr>
      </w:pPr>
    </w:p>
    <w:p w14:paraId="54F6339B">
      <w:pPr>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1.技术响应、偏离情况说明表</w:t>
      </w:r>
    </w:p>
    <w:p w14:paraId="7E4011ED">
      <w:pPr>
        <w:snapToGrid w:val="0"/>
        <w:spacing w:line="42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项目</w:t>
      </w:r>
      <w:r>
        <w:rPr>
          <w:rFonts w:ascii="宋体" w:hAnsi="宋体"/>
          <w:color w:val="auto"/>
          <w:szCs w:val="21"/>
          <w:highlight w:val="none"/>
        </w:rPr>
        <w:t>名称：</w:t>
      </w:r>
    </w:p>
    <w:p w14:paraId="2E2146B2">
      <w:pPr>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项目</w:t>
      </w:r>
      <w:r>
        <w:rPr>
          <w:rFonts w:ascii="宋体" w:hAnsi="宋体"/>
          <w:color w:val="auto"/>
          <w:szCs w:val="21"/>
          <w:highlight w:val="none"/>
        </w:rPr>
        <w:t>编号：</w:t>
      </w:r>
    </w:p>
    <w:p w14:paraId="397297CB">
      <w:pPr>
        <w:snapToGrid w:val="0"/>
        <w:spacing w:line="42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分标项：</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2"/>
        <w:gridCol w:w="1665"/>
        <w:gridCol w:w="2503"/>
        <w:gridCol w:w="3562"/>
        <w:gridCol w:w="1235"/>
      </w:tblGrid>
      <w:tr w14:paraId="0A334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42" w:type="dxa"/>
            <w:vMerge w:val="restart"/>
            <w:tcBorders>
              <w:top w:val="single" w:color="auto" w:sz="4" w:space="0"/>
              <w:left w:val="single" w:color="auto" w:sz="4" w:space="0"/>
              <w:right w:val="single" w:color="auto" w:sz="4" w:space="0"/>
            </w:tcBorders>
            <w:vAlign w:val="center"/>
          </w:tcPr>
          <w:p w14:paraId="10FDB2E3">
            <w:pPr>
              <w:snapToGrid w:val="0"/>
              <w:spacing w:line="320" w:lineRule="exact"/>
              <w:jc w:val="center"/>
              <w:outlineLvl w:val="0"/>
              <w:rPr>
                <w:rFonts w:ascii="宋体" w:hAnsi="宋体"/>
                <w:color w:val="auto"/>
                <w:szCs w:val="20"/>
                <w:highlight w:val="none"/>
              </w:rPr>
            </w:pPr>
            <w:bookmarkStart w:id="94" w:name="_Toc322094471"/>
            <w:r>
              <w:rPr>
                <w:rFonts w:hint="eastAsia" w:ascii="宋体" w:hAnsi="宋体"/>
                <w:color w:val="auto"/>
                <w:szCs w:val="20"/>
                <w:highlight w:val="none"/>
              </w:rPr>
              <w:t>序号</w:t>
            </w:r>
            <w:bookmarkEnd w:id="94"/>
          </w:p>
        </w:tc>
        <w:tc>
          <w:tcPr>
            <w:tcW w:w="4168" w:type="dxa"/>
            <w:gridSpan w:val="2"/>
            <w:tcBorders>
              <w:top w:val="single" w:color="auto" w:sz="4" w:space="0"/>
              <w:left w:val="single" w:color="auto" w:sz="4" w:space="0"/>
              <w:bottom w:val="single" w:color="auto" w:sz="4" w:space="0"/>
              <w:right w:val="single" w:color="auto" w:sz="4" w:space="0"/>
            </w:tcBorders>
            <w:vAlign w:val="center"/>
          </w:tcPr>
          <w:p w14:paraId="62068AF1">
            <w:pPr>
              <w:snapToGrid w:val="0"/>
              <w:spacing w:line="320" w:lineRule="exact"/>
              <w:jc w:val="center"/>
              <w:outlineLvl w:val="0"/>
              <w:rPr>
                <w:rFonts w:ascii="宋体" w:hAnsi="宋体"/>
                <w:color w:val="auto"/>
                <w:szCs w:val="20"/>
                <w:highlight w:val="none"/>
              </w:rPr>
            </w:pPr>
            <w:bookmarkStart w:id="95" w:name="_Toc254970558"/>
            <w:bookmarkStart w:id="96" w:name="_Toc322094472"/>
            <w:bookmarkStart w:id="97" w:name="_Toc254970699"/>
            <w:r>
              <w:rPr>
                <w:rFonts w:hint="eastAsia" w:ascii="宋体" w:hAnsi="宋体"/>
                <w:color w:val="auto"/>
                <w:szCs w:val="20"/>
                <w:highlight w:val="none"/>
              </w:rPr>
              <w:t>招标文件要求</w:t>
            </w:r>
            <w:bookmarkEnd w:id="95"/>
            <w:bookmarkEnd w:id="96"/>
            <w:bookmarkEnd w:id="97"/>
          </w:p>
        </w:tc>
        <w:tc>
          <w:tcPr>
            <w:tcW w:w="3562" w:type="dxa"/>
            <w:tcBorders>
              <w:top w:val="single" w:color="auto" w:sz="4" w:space="0"/>
              <w:left w:val="single" w:color="auto" w:sz="4" w:space="0"/>
              <w:bottom w:val="single" w:color="auto" w:sz="4" w:space="0"/>
              <w:right w:val="single" w:color="auto" w:sz="4" w:space="0"/>
            </w:tcBorders>
            <w:vAlign w:val="center"/>
          </w:tcPr>
          <w:p w14:paraId="07D17E6D">
            <w:pPr>
              <w:snapToGrid w:val="0"/>
              <w:spacing w:line="320" w:lineRule="exact"/>
              <w:jc w:val="center"/>
              <w:outlineLvl w:val="0"/>
              <w:rPr>
                <w:rFonts w:ascii="宋体" w:hAnsi="宋体"/>
                <w:color w:val="auto"/>
                <w:szCs w:val="20"/>
                <w:highlight w:val="none"/>
              </w:rPr>
            </w:pPr>
            <w:bookmarkStart w:id="98" w:name="_Toc322094473"/>
            <w:bookmarkStart w:id="99" w:name="_Toc254970559"/>
            <w:bookmarkStart w:id="100" w:name="_Toc254970700"/>
            <w:r>
              <w:rPr>
                <w:rFonts w:hint="eastAsia" w:ascii="宋体" w:hAnsi="宋体"/>
                <w:color w:val="auto"/>
                <w:szCs w:val="20"/>
                <w:highlight w:val="none"/>
              </w:rPr>
              <w:t>投标文件响应</w:t>
            </w:r>
            <w:bookmarkEnd w:id="98"/>
            <w:bookmarkEnd w:id="99"/>
            <w:bookmarkEnd w:id="100"/>
          </w:p>
        </w:tc>
        <w:tc>
          <w:tcPr>
            <w:tcW w:w="1235" w:type="dxa"/>
            <w:tcBorders>
              <w:top w:val="single" w:color="auto" w:sz="4" w:space="0"/>
              <w:left w:val="single" w:color="auto" w:sz="4" w:space="0"/>
              <w:bottom w:val="single" w:color="auto" w:sz="4" w:space="0"/>
              <w:right w:val="single" w:color="auto" w:sz="4" w:space="0"/>
            </w:tcBorders>
            <w:vAlign w:val="center"/>
          </w:tcPr>
          <w:p w14:paraId="6BC14712">
            <w:pPr>
              <w:snapToGrid w:val="0"/>
              <w:spacing w:line="320" w:lineRule="exact"/>
              <w:jc w:val="center"/>
              <w:outlineLvl w:val="0"/>
              <w:rPr>
                <w:rFonts w:ascii="宋体" w:hAnsi="宋体"/>
                <w:color w:val="auto"/>
                <w:szCs w:val="20"/>
                <w:highlight w:val="none"/>
              </w:rPr>
            </w:pPr>
            <w:bookmarkStart w:id="101" w:name="_Toc322094474"/>
            <w:bookmarkStart w:id="102" w:name="_Toc254970560"/>
            <w:bookmarkStart w:id="103" w:name="_Toc254970701"/>
            <w:r>
              <w:rPr>
                <w:rFonts w:hint="eastAsia" w:ascii="宋体" w:hAnsi="宋体"/>
                <w:color w:val="auto"/>
                <w:szCs w:val="20"/>
                <w:highlight w:val="none"/>
              </w:rPr>
              <w:t>偏离情况</w:t>
            </w:r>
            <w:bookmarkEnd w:id="101"/>
            <w:bookmarkEnd w:id="102"/>
            <w:bookmarkEnd w:id="103"/>
          </w:p>
        </w:tc>
      </w:tr>
      <w:tr w14:paraId="1EDB8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42" w:type="dxa"/>
            <w:vMerge w:val="continue"/>
            <w:tcBorders>
              <w:left w:val="single" w:color="auto" w:sz="4" w:space="0"/>
              <w:bottom w:val="single" w:color="auto" w:sz="4" w:space="0"/>
              <w:right w:val="single" w:color="auto" w:sz="4" w:space="0"/>
            </w:tcBorders>
            <w:vAlign w:val="center"/>
          </w:tcPr>
          <w:p w14:paraId="74473CFA">
            <w:pPr>
              <w:snapToGrid w:val="0"/>
              <w:spacing w:line="320" w:lineRule="exact"/>
              <w:jc w:val="center"/>
              <w:outlineLvl w:val="0"/>
              <w:rPr>
                <w:rFonts w:ascii="宋体" w:hAnsi="宋体"/>
                <w:color w:val="auto"/>
                <w:szCs w:val="20"/>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14:paraId="132546AE">
            <w:pPr>
              <w:snapToGrid w:val="0"/>
              <w:spacing w:line="320" w:lineRule="exact"/>
              <w:jc w:val="center"/>
              <w:outlineLvl w:val="0"/>
              <w:rPr>
                <w:rFonts w:ascii="宋体" w:hAnsi="宋体"/>
                <w:color w:val="auto"/>
                <w:szCs w:val="20"/>
                <w:highlight w:val="none"/>
              </w:rPr>
            </w:pPr>
            <w:r>
              <w:rPr>
                <w:rFonts w:hint="eastAsia" w:ascii="宋体" w:hAnsi="宋体"/>
                <w:color w:val="auto"/>
                <w:szCs w:val="20"/>
                <w:highlight w:val="none"/>
                <w:lang w:eastAsia="zh-CN"/>
              </w:rPr>
              <w:t>服务</w:t>
            </w:r>
            <w:r>
              <w:rPr>
                <w:rFonts w:hint="eastAsia" w:ascii="宋体" w:hAnsi="宋体"/>
                <w:color w:val="auto"/>
                <w:szCs w:val="20"/>
                <w:highlight w:val="none"/>
              </w:rPr>
              <w:t>名称</w:t>
            </w:r>
          </w:p>
        </w:tc>
        <w:tc>
          <w:tcPr>
            <w:tcW w:w="2503" w:type="dxa"/>
            <w:tcBorders>
              <w:top w:val="single" w:color="auto" w:sz="4" w:space="0"/>
              <w:left w:val="single" w:color="auto" w:sz="4" w:space="0"/>
              <w:bottom w:val="single" w:color="auto" w:sz="4" w:space="0"/>
              <w:right w:val="single" w:color="auto" w:sz="4" w:space="0"/>
            </w:tcBorders>
            <w:vAlign w:val="center"/>
          </w:tcPr>
          <w:p w14:paraId="0CD858B4">
            <w:pPr>
              <w:snapToGrid w:val="0"/>
              <w:spacing w:line="320" w:lineRule="exact"/>
              <w:jc w:val="center"/>
              <w:outlineLvl w:val="0"/>
              <w:rPr>
                <w:rFonts w:ascii="宋体" w:hAnsi="宋体"/>
                <w:color w:val="auto"/>
                <w:szCs w:val="20"/>
                <w:highlight w:val="none"/>
              </w:rPr>
            </w:pPr>
            <w:bookmarkStart w:id="104" w:name="_Toc322094476"/>
            <w:r>
              <w:rPr>
                <w:rFonts w:hint="eastAsia" w:ascii="宋体" w:hAnsi="宋体"/>
                <w:color w:val="auto"/>
                <w:szCs w:val="20"/>
                <w:highlight w:val="none"/>
              </w:rPr>
              <w:t>技术需求</w:t>
            </w:r>
            <w:bookmarkEnd w:id="104"/>
          </w:p>
        </w:tc>
        <w:tc>
          <w:tcPr>
            <w:tcW w:w="3562" w:type="dxa"/>
            <w:tcBorders>
              <w:top w:val="single" w:color="auto" w:sz="4" w:space="0"/>
              <w:left w:val="single" w:color="auto" w:sz="4" w:space="0"/>
              <w:bottom w:val="single" w:color="auto" w:sz="4" w:space="0"/>
              <w:right w:val="single" w:color="auto" w:sz="4" w:space="0"/>
            </w:tcBorders>
            <w:vAlign w:val="center"/>
          </w:tcPr>
          <w:p w14:paraId="4F0CDABC">
            <w:pPr>
              <w:snapToGrid w:val="0"/>
              <w:spacing w:line="320" w:lineRule="exact"/>
              <w:jc w:val="center"/>
              <w:outlineLvl w:val="0"/>
              <w:rPr>
                <w:rFonts w:ascii="宋体" w:hAnsi="宋体"/>
                <w:color w:val="auto"/>
                <w:szCs w:val="20"/>
                <w:highlight w:val="none"/>
              </w:rPr>
            </w:pPr>
            <w:r>
              <w:rPr>
                <w:rFonts w:hint="eastAsia" w:ascii="宋体" w:hAnsi="宋体"/>
                <w:color w:val="auto"/>
                <w:szCs w:val="20"/>
                <w:highlight w:val="none"/>
              </w:rPr>
              <w:t>技术需求</w:t>
            </w:r>
          </w:p>
        </w:tc>
        <w:tc>
          <w:tcPr>
            <w:tcW w:w="1235" w:type="dxa"/>
            <w:tcBorders>
              <w:top w:val="single" w:color="auto" w:sz="4" w:space="0"/>
              <w:left w:val="single" w:color="auto" w:sz="4" w:space="0"/>
              <w:bottom w:val="single" w:color="auto" w:sz="4" w:space="0"/>
              <w:right w:val="single" w:color="auto" w:sz="4" w:space="0"/>
            </w:tcBorders>
            <w:vAlign w:val="center"/>
          </w:tcPr>
          <w:p w14:paraId="0BAB33A7">
            <w:pPr>
              <w:widowControl/>
              <w:spacing w:line="320" w:lineRule="exact"/>
              <w:jc w:val="center"/>
              <w:rPr>
                <w:rFonts w:ascii="宋体" w:hAnsi="宋体"/>
                <w:color w:val="auto"/>
                <w:szCs w:val="21"/>
                <w:highlight w:val="none"/>
              </w:rPr>
            </w:pPr>
          </w:p>
        </w:tc>
      </w:tr>
      <w:tr w14:paraId="4AEB7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03DB7043">
            <w:pPr>
              <w:snapToGrid w:val="0"/>
              <w:spacing w:line="320" w:lineRule="exact"/>
              <w:jc w:val="center"/>
              <w:outlineLvl w:val="0"/>
              <w:rPr>
                <w:rFonts w:ascii="宋体" w:hAnsi="宋体"/>
                <w:color w:val="auto"/>
                <w:szCs w:val="20"/>
                <w:highlight w:val="none"/>
              </w:rPr>
            </w:pPr>
            <w:bookmarkStart w:id="105" w:name="_Toc322094478"/>
            <w:r>
              <w:rPr>
                <w:rFonts w:hint="eastAsia" w:ascii="宋体" w:hAnsi="宋体"/>
                <w:color w:val="auto"/>
                <w:szCs w:val="20"/>
                <w:highlight w:val="none"/>
              </w:rPr>
              <w:t>1</w:t>
            </w:r>
            <w:bookmarkEnd w:id="105"/>
          </w:p>
        </w:tc>
        <w:tc>
          <w:tcPr>
            <w:tcW w:w="1665" w:type="dxa"/>
            <w:tcBorders>
              <w:top w:val="single" w:color="auto" w:sz="4" w:space="0"/>
              <w:left w:val="single" w:color="auto" w:sz="4" w:space="0"/>
              <w:bottom w:val="single" w:color="auto" w:sz="4" w:space="0"/>
              <w:right w:val="single" w:color="auto" w:sz="4" w:space="0"/>
            </w:tcBorders>
            <w:vAlign w:val="center"/>
          </w:tcPr>
          <w:p w14:paraId="3D58D594">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78680CDC">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44658C68">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7A974A74">
            <w:pPr>
              <w:snapToGrid w:val="0"/>
              <w:spacing w:line="320" w:lineRule="exact"/>
              <w:jc w:val="center"/>
              <w:outlineLvl w:val="0"/>
              <w:rPr>
                <w:rFonts w:ascii="宋体" w:hAnsi="宋体"/>
                <w:color w:val="auto"/>
                <w:szCs w:val="20"/>
                <w:highlight w:val="none"/>
              </w:rPr>
            </w:pPr>
          </w:p>
        </w:tc>
      </w:tr>
      <w:tr w14:paraId="671EE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1EC99B41">
            <w:pPr>
              <w:snapToGrid w:val="0"/>
              <w:spacing w:line="320" w:lineRule="exact"/>
              <w:jc w:val="center"/>
              <w:outlineLvl w:val="0"/>
              <w:rPr>
                <w:rFonts w:ascii="宋体" w:hAnsi="宋体"/>
                <w:color w:val="auto"/>
                <w:szCs w:val="20"/>
                <w:highlight w:val="none"/>
              </w:rPr>
            </w:pPr>
            <w:bookmarkStart w:id="106" w:name="_Toc322094479"/>
            <w:r>
              <w:rPr>
                <w:rFonts w:hint="eastAsia" w:ascii="宋体" w:hAnsi="宋体"/>
                <w:color w:val="auto"/>
                <w:szCs w:val="20"/>
                <w:highlight w:val="none"/>
              </w:rPr>
              <w:t>2</w:t>
            </w:r>
            <w:bookmarkEnd w:id="106"/>
          </w:p>
        </w:tc>
        <w:tc>
          <w:tcPr>
            <w:tcW w:w="1665" w:type="dxa"/>
            <w:tcBorders>
              <w:top w:val="single" w:color="auto" w:sz="4" w:space="0"/>
              <w:left w:val="single" w:color="auto" w:sz="4" w:space="0"/>
              <w:bottom w:val="single" w:color="auto" w:sz="4" w:space="0"/>
              <w:right w:val="single" w:color="auto" w:sz="4" w:space="0"/>
            </w:tcBorders>
            <w:vAlign w:val="center"/>
          </w:tcPr>
          <w:p w14:paraId="5C15DBA5">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36B5B20B">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76293160">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4E68724">
            <w:pPr>
              <w:snapToGrid w:val="0"/>
              <w:spacing w:line="320" w:lineRule="exact"/>
              <w:jc w:val="center"/>
              <w:outlineLvl w:val="0"/>
              <w:rPr>
                <w:rFonts w:ascii="宋体" w:hAnsi="宋体"/>
                <w:color w:val="auto"/>
                <w:szCs w:val="20"/>
                <w:highlight w:val="none"/>
              </w:rPr>
            </w:pPr>
          </w:p>
        </w:tc>
      </w:tr>
      <w:tr w14:paraId="44F7F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7099EB27">
            <w:pPr>
              <w:snapToGrid w:val="0"/>
              <w:spacing w:line="320" w:lineRule="exact"/>
              <w:jc w:val="center"/>
              <w:outlineLvl w:val="0"/>
              <w:rPr>
                <w:rFonts w:ascii="宋体" w:hAnsi="宋体"/>
                <w:color w:val="auto"/>
                <w:szCs w:val="20"/>
                <w:highlight w:val="none"/>
              </w:rPr>
            </w:pPr>
            <w:bookmarkStart w:id="107" w:name="_Toc322094480"/>
            <w:r>
              <w:rPr>
                <w:rFonts w:hint="eastAsia" w:ascii="宋体" w:hAnsi="宋体"/>
                <w:color w:val="auto"/>
                <w:szCs w:val="20"/>
                <w:highlight w:val="none"/>
              </w:rPr>
              <w:t>3</w:t>
            </w:r>
            <w:bookmarkEnd w:id="107"/>
          </w:p>
        </w:tc>
        <w:tc>
          <w:tcPr>
            <w:tcW w:w="1665" w:type="dxa"/>
            <w:tcBorders>
              <w:top w:val="single" w:color="auto" w:sz="4" w:space="0"/>
              <w:left w:val="single" w:color="auto" w:sz="4" w:space="0"/>
              <w:bottom w:val="single" w:color="auto" w:sz="4" w:space="0"/>
              <w:right w:val="single" w:color="auto" w:sz="4" w:space="0"/>
            </w:tcBorders>
            <w:vAlign w:val="center"/>
          </w:tcPr>
          <w:p w14:paraId="673B06E1">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6B17B133">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192272D7">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7CE21E8">
            <w:pPr>
              <w:snapToGrid w:val="0"/>
              <w:spacing w:line="320" w:lineRule="exact"/>
              <w:jc w:val="center"/>
              <w:outlineLvl w:val="0"/>
              <w:rPr>
                <w:rFonts w:ascii="宋体" w:hAnsi="宋体"/>
                <w:color w:val="auto"/>
                <w:szCs w:val="20"/>
                <w:highlight w:val="none"/>
              </w:rPr>
            </w:pPr>
          </w:p>
        </w:tc>
      </w:tr>
      <w:tr w14:paraId="65253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08780AF6">
            <w:pPr>
              <w:snapToGrid w:val="0"/>
              <w:spacing w:line="320" w:lineRule="exact"/>
              <w:jc w:val="center"/>
              <w:outlineLvl w:val="0"/>
              <w:rPr>
                <w:rFonts w:ascii="宋体" w:hAnsi="宋体"/>
                <w:color w:val="auto"/>
                <w:szCs w:val="20"/>
                <w:highlight w:val="none"/>
              </w:rPr>
            </w:pPr>
            <w:bookmarkStart w:id="108" w:name="_Toc254970728"/>
            <w:bookmarkStart w:id="109" w:name="_Toc254970587"/>
            <w:bookmarkStart w:id="110" w:name="_Toc322094481"/>
            <w:r>
              <w:rPr>
                <w:rFonts w:hint="eastAsia" w:ascii="宋体" w:hAnsi="宋体"/>
                <w:color w:val="auto"/>
                <w:szCs w:val="20"/>
                <w:highlight w:val="none"/>
              </w:rPr>
              <w:t>...</w:t>
            </w:r>
            <w:bookmarkEnd w:id="108"/>
            <w:bookmarkEnd w:id="109"/>
            <w:bookmarkEnd w:id="110"/>
          </w:p>
        </w:tc>
        <w:tc>
          <w:tcPr>
            <w:tcW w:w="1665" w:type="dxa"/>
            <w:tcBorders>
              <w:top w:val="single" w:color="auto" w:sz="4" w:space="0"/>
              <w:left w:val="single" w:color="auto" w:sz="4" w:space="0"/>
              <w:bottom w:val="single" w:color="auto" w:sz="4" w:space="0"/>
              <w:right w:val="single" w:color="auto" w:sz="4" w:space="0"/>
            </w:tcBorders>
            <w:vAlign w:val="center"/>
          </w:tcPr>
          <w:p w14:paraId="633FF6DD">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7C3E0923">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4924AD99">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00E0447E">
            <w:pPr>
              <w:snapToGrid w:val="0"/>
              <w:spacing w:line="320" w:lineRule="exact"/>
              <w:jc w:val="center"/>
              <w:outlineLvl w:val="0"/>
              <w:rPr>
                <w:rFonts w:ascii="宋体" w:hAnsi="宋体"/>
                <w:color w:val="auto"/>
                <w:szCs w:val="20"/>
                <w:highlight w:val="none"/>
              </w:rPr>
            </w:pPr>
          </w:p>
        </w:tc>
      </w:tr>
      <w:tr w14:paraId="63068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642" w:type="dxa"/>
            <w:tcBorders>
              <w:top w:val="single" w:color="auto" w:sz="4" w:space="0"/>
              <w:left w:val="single" w:color="auto" w:sz="4" w:space="0"/>
              <w:bottom w:val="single" w:color="auto" w:sz="4" w:space="0"/>
              <w:right w:val="single" w:color="auto" w:sz="4" w:space="0"/>
            </w:tcBorders>
            <w:vAlign w:val="center"/>
          </w:tcPr>
          <w:p w14:paraId="1C9EE724">
            <w:pPr>
              <w:snapToGrid w:val="0"/>
              <w:spacing w:line="320" w:lineRule="exact"/>
              <w:jc w:val="center"/>
              <w:outlineLvl w:val="0"/>
              <w:rPr>
                <w:rFonts w:ascii="宋体" w:hAnsi="宋体"/>
                <w:color w:val="auto"/>
                <w:szCs w:val="20"/>
                <w:highlight w:val="none"/>
              </w:rPr>
            </w:pPr>
            <w:bookmarkStart w:id="111" w:name="_Toc322094482"/>
            <w:r>
              <w:rPr>
                <w:rFonts w:hint="eastAsia" w:ascii="宋体" w:hAnsi="宋体"/>
                <w:color w:val="auto"/>
                <w:szCs w:val="20"/>
                <w:highlight w:val="none"/>
              </w:rPr>
              <w:t>N</w:t>
            </w:r>
            <w:bookmarkEnd w:id="111"/>
          </w:p>
        </w:tc>
        <w:tc>
          <w:tcPr>
            <w:tcW w:w="1665" w:type="dxa"/>
            <w:tcBorders>
              <w:top w:val="single" w:color="auto" w:sz="4" w:space="0"/>
              <w:left w:val="single" w:color="auto" w:sz="4" w:space="0"/>
              <w:bottom w:val="single" w:color="auto" w:sz="4" w:space="0"/>
              <w:right w:val="single" w:color="auto" w:sz="4" w:space="0"/>
            </w:tcBorders>
            <w:vAlign w:val="center"/>
          </w:tcPr>
          <w:p w14:paraId="5E1DD373">
            <w:pPr>
              <w:snapToGrid w:val="0"/>
              <w:spacing w:line="320" w:lineRule="exact"/>
              <w:jc w:val="center"/>
              <w:outlineLvl w:val="0"/>
              <w:rPr>
                <w:rFonts w:ascii="宋体" w:hAnsi="宋体"/>
                <w:color w:val="auto"/>
                <w:szCs w:val="20"/>
                <w:highlight w:val="none"/>
              </w:rPr>
            </w:pPr>
          </w:p>
        </w:tc>
        <w:tc>
          <w:tcPr>
            <w:tcW w:w="2503" w:type="dxa"/>
            <w:tcBorders>
              <w:top w:val="single" w:color="auto" w:sz="4" w:space="0"/>
              <w:left w:val="single" w:color="auto" w:sz="4" w:space="0"/>
              <w:bottom w:val="single" w:color="auto" w:sz="4" w:space="0"/>
              <w:right w:val="single" w:color="auto" w:sz="4" w:space="0"/>
            </w:tcBorders>
            <w:vAlign w:val="center"/>
          </w:tcPr>
          <w:p w14:paraId="3CB1D521">
            <w:pPr>
              <w:snapToGrid w:val="0"/>
              <w:spacing w:line="320" w:lineRule="exact"/>
              <w:jc w:val="center"/>
              <w:outlineLvl w:val="0"/>
              <w:rPr>
                <w:rFonts w:ascii="宋体" w:hAnsi="宋体"/>
                <w:color w:val="auto"/>
                <w:szCs w:val="20"/>
                <w:highlight w:val="none"/>
              </w:rPr>
            </w:pPr>
          </w:p>
        </w:tc>
        <w:tc>
          <w:tcPr>
            <w:tcW w:w="3562" w:type="dxa"/>
            <w:tcBorders>
              <w:top w:val="single" w:color="auto" w:sz="4" w:space="0"/>
              <w:left w:val="single" w:color="auto" w:sz="4" w:space="0"/>
              <w:bottom w:val="single" w:color="auto" w:sz="4" w:space="0"/>
              <w:right w:val="single" w:color="auto" w:sz="4" w:space="0"/>
            </w:tcBorders>
            <w:vAlign w:val="center"/>
          </w:tcPr>
          <w:p w14:paraId="0560A190">
            <w:pPr>
              <w:snapToGrid w:val="0"/>
              <w:spacing w:line="320" w:lineRule="exact"/>
              <w:jc w:val="center"/>
              <w:outlineLvl w:val="0"/>
              <w:rPr>
                <w:rFonts w:ascii="宋体" w:hAnsi="宋体"/>
                <w:color w:val="auto"/>
                <w:szCs w:val="20"/>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BEE5D32">
            <w:pPr>
              <w:snapToGrid w:val="0"/>
              <w:spacing w:line="320" w:lineRule="exact"/>
              <w:jc w:val="center"/>
              <w:outlineLvl w:val="0"/>
              <w:rPr>
                <w:rFonts w:ascii="宋体" w:hAnsi="宋体"/>
                <w:color w:val="auto"/>
                <w:szCs w:val="20"/>
                <w:highlight w:val="none"/>
              </w:rPr>
            </w:pPr>
          </w:p>
        </w:tc>
      </w:tr>
    </w:tbl>
    <w:p w14:paraId="5FDE0BDF">
      <w:pPr>
        <w:snapToGrid w:val="0"/>
        <w:spacing w:beforeLines="50" w:line="360" w:lineRule="exact"/>
        <w:jc w:val="left"/>
        <w:rPr>
          <w:rFonts w:ascii="宋体" w:hAnsi="宋体"/>
          <w:color w:val="auto"/>
          <w:szCs w:val="21"/>
          <w:highlight w:val="none"/>
        </w:rPr>
      </w:pPr>
      <w:r>
        <w:rPr>
          <w:rFonts w:hint="eastAsia" w:ascii="宋体" w:hAnsi="宋体"/>
          <w:color w:val="auto"/>
          <w:szCs w:val="21"/>
          <w:highlight w:val="none"/>
        </w:rPr>
        <w:t>注：投标人应根据投标设备的性能指标、对照招标文件要求逐条在“偏离说明”栏注明“正偏离”、“负偏离”或“无偏离” 。投标技术规格与招标要求相同的为无偏离，投标技术规格高于招标要求的为正偏离，低于招标要求的为负偏离。</w:t>
      </w:r>
    </w:p>
    <w:p w14:paraId="75923B6A">
      <w:pPr>
        <w:snapToGrid w:val="0"/>
        <w:spacing w:beforeLines="50" w:line="360" w:lineRule="exact"/>
        <w:jc w:val="left"/>
        <w:rPr>
          <w:rFonts w:ascii="宋体" w:hAnsi="宋体"/>
          <w:color w:val="auto"/>
          <w:szCs w:val="21"/>
          <w:highlight w:val="none"/>
        </w:rPr>
      </w:pPr>
    </w:p>
    <w:p w14:paraId="390EC88D">
      <w:pPr>
        <w:snapToGrid w:val="0"/>
        <w:spacing w:beforeLines="50" w:line="360" w:lineRule="exact"/>
        <w:jc w:val="left"/>
        <w:rPr>
          <w:rFonts w:ascii="宋体" w:hAnsi="宋体"/>
          <w:color w:val="auto"/>
          <w:szCs w:val="21"/>
          <w:highlight w:val="none"/>
        </w:rPr>
      </w:pPr>
    </w:p>
    <w:p w14:paraId="1F9A8855">
      <w:pPr>
        <w:snapToGrid w:val="0"/>
        <w:spacing w:beforeLines="50" w:line="360" w:lineRule="exact"/>
        <w:rPr>
          <w:rFonts w:ascii="宋体" w:hAnsi="宋体"/>
          <w:color w:val="auto"/>
          <w:szCs w:val="21"/>
          <w:highlight w:val="none"/>
        </w:rPr>
      </w:pPr>
      <w:r>
        <w:rPr>
          <w:rFonts w:hint="eastAsia" w:ascii="宋体" w:hAnsi="宋体"/>
          <w:color w:val="auto"/>
          <w:szCs w:val="21"/>
          <w:highlight w:val="none"/>
        </w:rPr>
        <w:t>投标人名称（盖单位公章）：</w:t>
      </w:r>
    </w:p>
    <w:p w14:paraId="49EB52A2">
      <w:pPr>
        <w:snapToGrid w:val="0"/>
        <w:spacing w:beforeLines="50" w:line="360" w:lineRule="exact"/>
        <w:rPr>
          <w:rFonts w:ascii="宋体" w:hAnsi="宋体"/>
          <w:color w:val="auto"/>
          <w:szCs w:val="21"/>
          <w:highlight w:val="none"/>
          <w:u w:val="single"/>
        </w:rPr>
      </w:pPr>
      <w:r>
        <w:rPr>
          <w:rFonts w:hint="eastAsia" w:hAnsi="宋体" w:cs="宋体"/>
          <w:color w:val="auto"/>
          <w:highlight w:val="none"/>
        </w:rPr>
        <w:t>法定代表人或授权代表（签字或者盖章或者电子签名）</w:t>
      </w:r>
      <w:r>
        <w:rPr>
          <w:rFonts w:hint="eastAsia" w:ascii="宋体" w:hAnsi="宋体"/>
          <w:color w:val="auto"/>
          <w:szCs w:val="21"/>
          <w:highlight w:val="none"/>
        </w:rPr>
        <w:t>：</w:t>
      </w:r>
    </w:p>
    <w:p w14:paraId="42BC464B">
      <w:pPr>
        <w:snapToGrid w:val="0"/>
        <w:spacing w:beforeLines="50" w:after="50" w:line="360" w:lineRule="exact"/>
        <w:ind w:firstLine="210" w:firstLineChars="100"/>
        <w:jc w:val="left"/>
        <w:rPr>
          <w:rFonts w:ascii="宋体" w:hAnsi="宋体"/>
          <w:color w:val="auto"/>
          <w:szCs w:val="21"/>
          <w:highlight w:val="none"/>
        </w:rPr>
      </w:pPr>
      <w:r>
        <w:rPr>
          <w:rFonts w:hint="eastAsia" w:ascii="宋体" w:hAnsi="宋体"/>
          <w:color w:val="auto"/>
          <w:szCs w:val="21"/>
          <w:highlight w:val="none"/>
        </w:rPr>
        <w:t xml:space="preserve">     日 期</w:t>
      </w:r>
      <w:r>
        <w:rPr>
          <w:rFonts w:ascii="宋体" w:hAnsi="宋体"/>
          <w:color w:val="auto"/>
          <w:szCs w:val="21"/>
          <w:highlight w:val="none"/>
        </w:rPr>
        <w:t>：</w:t>
      </w:r>
      <w:r>
        <w:rPr>
          <w:rFonts w:hint="eastAsia" w:ascii="宋体" w:hAnsi="宋体"/>
          <w:color w:val="auto"/>
          <w:szCs w:val="21"/>
          <w:highlight w:val="none"/>
        </w:rPr>
        <w:t>年月日</w:t>
      </w:r>
    </w:p>
    <w:p w14:paraId="60CB10C9">
      <w:pPr>
        <w:snapToGrid w:val="0"/>
        <w:spacing w:line="420" w:lineRule="exact"/>
        <w:ind w:firstLine="420" w:firstLineChars="200"/>
        <w:jc w:val="left"/>
        <w:rPr>
          <w:rFonts w:ascii="宋体" w:hAnsi="宋体"/>
          <w:color w:val="auto"/>
          <w:szCs w:val="21"/>
          <w:highlight w:val="none"/>
        </w:rPr>
      </w:pPr>
    </w:p>
    <w:p w14:paraId="3D3812EF">
      <w:pPr>
        <w:pStyle w:val="6"/>
        <w:rPr>
          <w:rFonts w:ascii="宋体" w:hAnsi="宋体" w:eastAsia="宋体"/>
          <w:color w:val="auto"/>
          <w:highlight w:val="none"/>
        </w:rPr>
      </w:pPr>
      <w:r>
        <w:rPr>
          <w:rFonts w:ascii="宋体" w:hAnsi="宋体"/>
          <w:color w:val="auto"/>
          <w:szCs w:val="21"/>
          <w:highlight w:val="none"/>
        </w:rPr>
        <w:br w:type="page"/>
      </w:r>
    </w:p>
    <w:p w14:paraId="5B907744">
      <w:pPr>
        <w:snapToGrid w:val="0"/>
        <w:spacing w:line="420" w:lineRule="exact"/>
        <w:jc w:val="both"/>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投标人的服务方案及服务承诺书</w:t>
      </w: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格式自拟</w:t>
      </w:r>
      <w:r>
        <w:rPr>
          <w:rFonts w:hint="eastAsia" w:ascii="宋体" w:hAnsi="宋体"/>
          <w:b/>
          <w:color w:val="auto"/>
          <w:sz w:val="28"/>
          <w:szCs w:val="28"/>
          <w:highlight w:val="none"/>
          <w:lang w:eastAsia="zh-CN"/>
        </w:rPr>
        <w:t>）</w:t>
      </w:r>
    </w:p>
    <w:p w14:paraId="003FA5A7">
      <w:pPr>
        <w:snapToGrid w:val="0"/>
        <w:spacing w:line="420" w:lineRule="exact"/>
        <w:jc w:val="center"/>
        <w:rPr>
          <w:rFonts w:ascii="宋体" w:hAnsi="宋体"/>
          <w:b/>
          <w:color w:val="auto"/>
          <w:sz w:val="28"/>
          <w:szCs w:val="28"/>
          <w:highlight w:val="none"/>
        </w:rPr>
      </w:pPr>
    </w:p>
    <w:p w14:paraId="626CED16">
      <w:pPr>
        <w:pStyle w:val="15"/>
        <w:ind w:left="0" w:leftChars="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拟投入人员配备表；（如有请提供）</w:t>
      </w:r>
    </w:p>
    <w:tbl>
      <w:tblPr>
        <w:tblStyle w:val="5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824"/>
        <w:gridCol w:w="2299"/>
        <w:gridCol w:w="2458"/>
        <w:gridCol w:w="1933"/>
      </w:tblGrid>
      <w:tr w14:paraId="66CC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2B43B8D3">
            <w:pPr>
              <w:jc w:val="center"/>
              <w:rPr>
                <w:rFonts w:hint="default"/>
                <w:b/>
                <w:bCs/>
                <w:color w:val="auto"/>
                <w:vertAlign w:val="baseline"/>
                <w:lang w:val="en-US" w:eastAsia="zh-CN"/>
              </w:rPr>
            </w:pPr>
            <w:r>
              <w:rPr>
                <w:rFonts w:hint="eastAsia"/>
                <w:b/>
                <w:bCs/>
                <w:color w:val="auto"/>
                <w:vertAlign w:val="baseline"/>
                <w:lang w:val="en-US" w:eastAsia="zh-CN"/>
              </w:rPr>
              <w:t>序号</w:t>
            </w:r>
          </w:p>
        </w:tc>
        <w:tc>
          <w:tcPr>
            <w:tcW w:w="939" w:type="pct"/>
            <w:noWrap w:val="0"/>
            <w:vAlign w:val="center"/>
          </w:tcPr>
          <w:p w14:paraId="0B534B5A">
            <w:pPr>
              <w:jc w:val="center"/>
              <w:rPr>
                <w:rFonts w:hint="default"/>
                <w:b/>
                <w:bCs/>
                <w:color w:val="auto"/>
                <w:vertAlign w:val="baseline"/>
                <w:lang w:val="en-US" w:eastAsia="zh-CN"/>
              </w:rPr>
            </w:pPr>
            <w:r>
              <w:rPr>
                <w:rFonts w:hint="eastAsia"/>
                <w:b/>
                <w:bCs/>
                <w:color w:val="auto"/>
                <w:vertAlign w:val="baseline"/>
                <w:lang w:val="en-US" w:eastAsia="zh-CN"/>
              </w:rPr>
              <w:t>姓名</w:t>
            </w:r>
          </w:p>
        </w:tc>
        <w:tc>
          <w:tcPr>
            <w:tcW w:w="1183" w:type="pct"/>
            <w:noWrap w:val="0"/>
            <w:vAlign w:val="center"/>
          </w:tcPr>
          <w:p w14:paraId="5757811B">
            <w:pPr>
              <w:jc w:val="center"/>
              <w:rPr>
                <w:rFonts w:hint="eastAsia"/>
                <w:b/>
                <w:bCs/>
                <w:color w:val="auto"/>
                <w:vertAlign w:val="baseline"/>
                <w:lang w:val="en-US" w:eastAsia="zh-CN"/>
              </w:rPr>
            </w:pPr>
            <w:r>
              <w:rPr>
                <w:rFonts w:hint="eastAsia"/>
                <w:b/>
                <w:bCs/>
                <w:color w:val="auto"/>
                <w:vertAlign w:val="baseline"/>
                <w:lang w:val="en-US" w:eastAsia="zh-CN"/>
              </w:rPr>
              <w:t>专业资格</w:t>
            </w:r>
          </w:p>
        </w:tc>
        <w:tc>
          <w:tcPr>
            <w:tcW w:w="1265" w:type="pct"/>
            <w:noWrap w:val="0"/>
            <w:vAlign w:val="center"/>
          </w:tcPr>
          <w:p w14:paraId="15C21709">
            <w:pPr>
              <w:jc w:val="center"/>
              <w:rPr>
                <w:rFonts w:hint="eastAsia"/>
                <w:b/>
                <w:bCs/>
                <w:color w:val="auto"/>
                <w:vertAlign w:val="baseline"/>
                <w:lang w:val="en-US" w:eastAsia="zh-CN"/>
              </w:rPr>
            </w:pPr>
            <w:r>
              <w:rPr>
                <w:rFonts w:hint="eastAsia"/>
                <w:b/>
                <w:bCs/>
                <w:color w:val="auto"/>
                <w:vertAlign w:val="baseline"/>
                <w:lang w:val="en-US" w:eastAsia="zh-CN"/>
              </w:rPr>
              <w:t>担任职务/岗位</w:t>
            </w:r>
          </w:p>
        </w:tc>
        <w:tc>
          <w:tcPr>
            <w:tcW w:w="995" w:type="pct"/>
            <w:noWrap w:val="0"/>
            <w:vAlign w:val="center"/>
          </w:tcPr>
          <w:p w14:paraId="47A98FB9">
            <w:pPr>
              <w:jc w:val="center"/>
              <w:rPr>
                <w:rFonts w:hint="default"/>
                <w:b/>
                <w:bCs/>
                <w:color w:val="auto"/>
                <w:vertAlign w:val="baseline"/>
                <w:lang w:val="en-US" w:eastAsia="zh-CN"/>
              </w:rPr>
            </w:pPr>
            <w:r>
              <w:rPr>
                <w:rFonts w:hint="eastAsia"/>
                <w:b/>
                <w:bCs/>
                <w:color w:val="auto"/>
                <w:vertAlign w:val="baseline"/>
                <w:lang w:val="en-US" w:eastAsia="zh-CN"/>
              </w:rPr>
              <w:t>备注</w:t>
            </w:r>
          </w:p>
        </w:tc>
      </w:tr>
      <w:tr w14:paraId="3307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64692F13">
            <w:pPr>
              <w:jc w:val="center"/>
              <w:rPr>
                <w:rFonts w:hint="default"/>
                <w:b w:val="0"/>
                <w:bCs w:val="0"/>
                <w:color w:val="auto"/>
                <w:vertAlign w:val="baseline"/>
                <w:lang w:val="en-US" w:eastAsia="zh-CN"/>
              </w:rPr>
            </w:pPr>
            <w:r>
              <w:rPr>
                <w:rFonts w:hint="eastAsia"/>
                <w:b w:val="0"/>
                <w:bCs w:val="0"/>
                <w:color w:val="auto"/>
                <w:vertAlign w:val="baseline"/>
                <w:lang w:val="en-US" w:eastAsia="zh-CN"/>
              </w:rPr>
              <w:t>1</w:t>
            </w:r>
          </w:p>
        </w:tc>
        <w:tc>
          <w:tcPr>
            <w:tcW w:w="939" w:type="pct"/>
            <w:noWrap w:val="0"/>
            <w:vAlign w:val="center"/>
          </w:tcPr>
          <w:p w14:paraId="50F73E2D">
            <w:pPr>
              <w:jc w:val="center"/>
              <w:rPr>
                <w:rFonts w:hint="eastAsia"/>
                <w:b/>
                <w:bCs/>
                <w:color w:val="auto"/>
                <w:vertAlign w:val="baseline"/>
                <w:lang w:val="en-US" w:eastAsia="zh-CN"/>
              </w:rPr>
            </w:pPr>
          </w:p>
        </w:tc>
        <w:tc>
          <w:tcPr>
            <w:tcW w:w="1183" w:type="pct"/>
            <w:noWrap w:val="0"/>
            <w:vAlign w:val="center"/>
          </w:tcPr>
          <w:p w14:paraId="4C9A1231">
            <w:pPr>
              <w:jc w:val="center"/>
              <w:rPr>
                <w:rFonts w:hint="eastAsia"/>
                <w:b/>
                <w:bCs/>
                <w:color w:val="auto"/>
                <w:vertAlign w:val="baseline"/>
                <w:lang w:val="en-US" w:eastAsia="zh-CN"/>
              </w:rPr>
            </w:pPr>
          </w:p>
        </w:tc>
        <w:tc>
          <w:tcPr>
            <w:tcW w:w="1265" w:type="pct"/>
            <w:noWrap w:val="0"/>
            <w:vAlign w:val="center"/>
          </w:tcPr>
          <w:p w14:paraId="384781FA">
            <w:pPr>
              <w:jc w:val="center"/>
              <w:rPr>
                <w:rFonts w:hint="eastAsia"/>
                <w:b/>
                <w:bCs/>
                <w:color w:val="auto"/>
                <w:vertAlign w:val="baseline"/>
                <w:lang w:val="en-US" w:eastAsia="zh-CN"/>
              </w:rPr>
            </w:pPr>
          </w:p>
        </w:tc>
        <w:tc>
          <w:tcPr>
            <w:tcW w:w="995" w:type="pct"/>
            <w:noWrap w:val="0"/>
            <w:vAlign w:val="center"/>
          </w:tcPr>
          <w:p w14:paraId="7D2A6405">
            <w:pPr>
              <w:jc w:val="center"/>
              <w:rPr>
                <w:rFonts w:hint="eastAsia"/>
                <w:b/>
                <w:bCs/>
                <w:color w:val="auto"/>
                <w:vertAlign w:val="baseline"/>
                <w:lang w:val="en-US" w:eastAsia="zh-CN"/>
              </w:rPr>
            </w:pPr>
          </w:p>
        </w:tc>
      </w:tr>
      <w:tr w14:paraId="2CB9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75A0BE5D">
            <w:pPr>
              <w:jc w:val="center"/>
              <w:rPr>
                <w:rFonts w:hint="default"/>
                <w:b w:val="0"/>
                <w:bCs w:val="0"/>
                <w:color w:val="auto"/>
                <w:vertAlign w:val="baseline"/>
                <w:lang w:val="en-US" w:eastAsia="zh-CN"/>
              </w:rPr>
            </w:pPr>
            <w:r>
              <w:rPr>
                <w:rFonts w:hint="eastAsia"/>
                <w:b w:val="0"/>
                <w:bCs w:val="0"/>
                <w:color w:val="auto"/>
                <w:vertAlign w:val="baseline"/>
                <w:lang w:val="en-US" w:eastAsia="zh-CN"/>
              </w:rPr>
              <w:t>2</w:t>
            </w:r>
          </w:p>
        </w:tc>
        <w:tc>
          <w:tcPr>
            <w:tcW w:w="939" w:type="pct"/>
            <w:noWrap w:val="0"/>
            <w:vAlign w:val="center"/>
          </w:tcPr>
          <w:p w14:paraId="5275577D">
            <w:pPr>
              <w:jc w:val="center"/>
              <w:rPr>
                <w:rFonts w:hint="eastAsia"/>
                <w:b/>
                <w:bCs/>
                <w:color w:val="auto"/>
                <w:vertAlign w:val="baseline"/>
                <w:lang w:val="en-US" w:eastAsia="zh-CN"/>
              </w:rPr>
            </w:pPr>
          </w:p>
        </w:tc>
        <w:tc>
          <w:tcPr>
            <w:tcW w:w="1183" w:type="pct"/>
            <w:noWrap w:val="0"/>
            <w:vAlign w:val="center"/>
          </w:tcPr>
          <w:p w14:paraId="2D8EF448">
            <w:pPr>
              <w:jc w:val="center"/>
              <w:rPr>
                <w:rFonts w:hint="eastAsia"/>
                <w:b/>
                <w:bCs/>
                <w:color w:val="auto"/>
                <w:vertAlign w:val="baseline"/>
                <w:lang w:val="en-US" w:eastAsia="zh-CN"/>
              </w:rPr>
            </w:pPr>
          </w:p>
        </w:tc>
        <w:tc>
          <w:tcPr>
            <w:tcW w:w="1265" w:type="pct"/>
            <w:noWrap w:val="0"/>
            <w:vAlign w:val="center"/>
          </w:tcPr>
          <w:p w14:paraId="2F13042B">
            <w:pPr>
              <w:jc w:val="center"/>
              <w:rPr>
                <w:rFonts w:hint="eastAsia"/>
                <w:b/>
                <w:bCs/>
                <w:color w:val="auto"/>
                <w:vertAlign w:val="baseline"/>
                <w:lang w:val="en-US" w:eastAsia="zh-CN"/>
              </w:rPr>
            </w:pPr>
          </w:p>
        </w:tc>
        <w:tc>
          <w:tcPr>
            <w:tcW w:w="995" w:type="pct"/>
            <w:noWrap w:val="0"/>
            <w:vAlign w:val="center"/>
          </w:tcPr>
          <w:p w14:paraId="07772C82">
            <w:pPr>
              <w:jc w:val="center"/>
              <w:rPr>
                <w:rFonts w:hint="eastAsia"/>
                <w:b/>
                <w:bCs/>
                <w:color w:val="auto"/>
                <w:vertAlign w:val="baseline"/>
                <w:lang w:val="en-US" w:eastAsia="zh-CN"/>
              </w:rPr>
            </w:pPr>
          </w:p>
        </w:tc>
      </w:tr>
      <w:tr w14:paraId="5DDB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055EC7C8">
            <w:pPr>
              <w:jc w:val="center"/>
              <w:rPr>
                <w:rFonts w:hint="default"/>
                <w:b w:val="0"/>
                <w:bCs w:val="0"/>
                <w:color w:val="auto"/>
                <w:vertAlign w:val="baseline"/>
                <w:lang w:val="en-US" w:eastAsia="zh-CN"/>
              </w:rPr>
            </w:pPr>
            <w:r>
              <w:rPr>
                <w:rFonts w:hint="eastAsia"/>
                <w:b w:val="0"/>
                <w:bCs w:val="0"/>
                <w:color w:val="auto"/>
                <w:vertAlign w:val="baseline"/>
                <w:lang w:val="en-US" w:eastAsia="zh-CN"/>
              </w:rPr>
              <w:t>3</w:t>
            </w:r>
          </w:p>
        </w:tc>
        <w:tc>
          <w:tcPr>
            <w:tcW w:w="939" w:type="pct"/>
            <w:noWrap w:val="0"/>
            <w:vAlign w:val="center"/>
          </w:tcPr>
          <w:p w14:paraId="36F89453">
            <w:pPr>
              <w:jc w:val="center"/>
              <w:rPr>
                <w:rFonts w:hint="eastAsia"/>
                <w:b/>
                <w:bCs/>
                <w:color w:val="auto"/>
                <w:vertAlign w:val="baseline"/>
                <w:lang w:val="en-US" w:eastAsia="zh-CN"/>
              </w:rPr>
            </w:pPr>
          </w:p>
        </w:tc>
        <w:tc>
          <w:tcPr>
            <w:tcW w:w="1183" w:type="pct"/>
            <w:noWrap w:val="0"/>
            <w:vAlign w:val="center"/>
          </w:tcPr>
          <w:p w14:paraId="4D1CE4C8">
            <w:pPr>
              <w:jc w:val="center"/>
              <w:rPr>
                <w:rFonts w:hint="eastAsia"/>
                <w:b/>
                <w:bCs/>
                <w:color w:val="auto"/>
                <w:vertAlign w:val="baseline"/>
                <w:lang w:val="en-US" w:eastAsia="zh-CN"/>
              </w:rPr>
            </w:pPr>
          </w:p>
        </w:tc>
        <w:tc>
          <w:tcPr>
            <w:tcW w:w="1265" w:type="pct"/>
            <w:noWrap w:val="0"/>
            <w:vAlign w:val="center"/>
          </w:tcPr>
          <w:p w14:paraId="25887A60">
            <w:pPr>
              <w:jc w:val="center"/>
              <w:rPr>
                <w:rFonts w:hint="eastAsia"/>
                <w:b/>
                <w:bCs/>
                <w:color w:val="auto"/>
                <w:vertAlign w:val="baseline"/>
                <w:lang w:val="en-US" w:eastAsia="zh-CN"/>
              </w:rPr>
            </w:pPr>
          </w:p>
        </w:tc>
        <w:tc>
          <w:tcPr>
            <w:tcW w:w="995" w:type="pct"/>
            <w:noWrap w:val="0"/>
            <w:vAlign w:val="center"/>
          </w:tcPr>
          <w:p w14:paraId="49FA57EC">
            <w:pPr>
              <w:jc w:val="center"/>
              <w:rPr>
                <w:rFonts w:hint="eastAsia"/>
                <w:b/>
                <w:bCs/>
                <w:color w:val="auto"/>
                <w:vertAlign w:val="baseline"/>
                <w:lang w:val="en-US" w:eastAsia="zh-CN"/>
              </w:rPr>
            </w:pPr>
          </w:p>
        </w:tc>
      </w:tr>
      <w:tr w14:paraId="3255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1C2C298C">
            <w:pPr>
              <w:jc w:val="center"/>
              <w:rPr>
                <w:rFonts w:hint="default"/>
                <w:b w:val="0"/>
                <w:bCs w:val="0"/>
                <w:color w:val="auto"/>
                <w:vertAlign w:val="baseline"/>
                <w:lang w:val="en-US" w:eastAsia="zh-CN"/>
              </w:rPr>
            </w:pPr>
            <w:r>
              <w:rPr>
                <w:rFonts w:hint="eastAsia"/>
                <w:b w:val="0"/>
                <w:bCs w:val="0"/>
                <w:color w:val="auto"/>
                <w:vertAlign w:val="baseline"/>
                <w:lang w:val="en-US" w:eastAsia="zh-CN"/>
              </w:rPr>
              <w:t>4</w:t>
            </w:r>
          </w:p>
        </w:tc>
        <w:tc>
          <w:tcPr>
            <w:tcW w:w="939" w:type="pct"/>
            <w:noWrap w:val="0"/>
            <w:vAlign w:val="center"/>
          </w:tcPr>
          <w:p w14:paraId="54A2F423">
            <w:pPr>
              <w:jc w:val="center"/>
              <w:rPr>
                <w:rFonts w:hint="eastAsia"/>
                <w:b/>
                <w:bCs/>
                <w:color w:val="auto"/>
                <w:vertAlign w:val="baseline"/>
                <w:lang w:val="en-US" w:eastAsia="zh-CN"/>
              </w:rPr>
            </w:pPr>
          </w:p>
        </w:tc>
        <w:tc>
          <w:tcPr>
            <w:tcW w:w="1183" w:type="pct"/>
            <w:noWrap w:val="0"/>
            <w:vAlign w:val="center"/>
          </w:tcPr>
          <w:p w14:paraId="1D2F3523">
            <w:pPr>
              <w:jc w:val="center"/>
              <w:rPr>
                <w:rFonts w:hint="eastAsia"/>
                <w:b/>
                <w:bCs/>
                <w:color w:val="auto"/>
                <w:vertAlign w:val="baseline"/>
                <w:lang w:val="en-US" w:eastAsia="zh-CN"/>
              </w:rPr>
            </w:pPr>
          </w:p>
        </w:tc>
        <w:tc>
          <w:tcPr>
            <w:tcW w:w="1265" w:type="pct"/>
            <w:noWrap w:val="0"/>
            <w:vAlign w:val="center"/>
          </w:tcPr>
          <w:p w14:paraId="5EC1DCF8">
            <w:pPr>
              <w:jc w:val="center"/>
              <w:rPr>
                <w:rFonts w:hint="eastAsia"/>
                <w:b/>
                <w:bCs/>
                <w:color w:val="auto"/>
                <w:vertAlign w:val="baseline"/>
                <w:lang w:val="en-US" w:eastAsia="zh-CN"/>
              </w:rPr>
            </w:pPr>
          </w:p>
        </w:tc>
        <w:tc>
          <w:tcPr>
            <w:tcW w:w="995" w:type="pct"/>
            <w:noWrap w:val="0"/>
            <w:vAlign w:val="center"/>
          </w:tcPr>
          <w:p w14:paraId="322ED275">
            <w:pPr>
              <w:jc w:val="center"/>
              <w:rPr>
                <w:rFonts w:hint="eastAsia"/>
                <w:b/>
                <w:bCs/>
                <w:color w:val="auto"/>
                <w:vertAlign w:val="baseline"/>
                <w:lang w:val="en-US" w:eastAsia="zh-CN"/>
              </w:rPr>
            </w:pPr>
          </w:p>
        </w:tc>
      </w:tr>
      <w:tr w14:paraId="53FF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3529BC72">
            <w:pPr>
              <w:jc w:val="center"/>
              <w:rPr>
                <w:rFonts w:hint="default"/>
                <w:b w:val="0"/>
                <w:bCs w:val="0"/>
                <w:color w:val="auto"/>
                <w:vertAlign w:val="baseline"/>
                <w:lang w:val="en-US" w:eastAsia="zh-CN"/>
              </w:rPr>
            </w:pPr>
            <w:r>
              <w:rPr>
                <w:rFonts w:hint="eastAsia"/>
                <w:b w:val="0"/>
                <w:bCs w:val="0"/>
                <w:color w:val="auto"/>
                <w:vertAlign w:val="baseline"/>
                <w:lang w:val="en-US" w:eastAsia="zh-CN"/>
              </w:rPr>
              <w:t>5</w:t>
            </w:r>
          </w:p>
        </w:tc>
        <w:tc>
          <w:tcPr>
            <w:tcW w:w="939" w:type="pct"/>
            <w:noWrap w:val="0"/>
            <w:vAlign w:val="center"/>
          </w:tcPr>
          <w:p w14:paraId="61329526">
            <w:pPr>
              <w:jc w:val="center"/>
              <w:rPr>
                <w:rFonts w:hint="eastAsia"/>
                <w:b/>
                <w:bCs/>
                <w:color w:val="auto"/>
                <w:vertAlign w:val="baseline"/>
                <w:lang w:val="en-US" w:eastAsia="zh-CN"/>
              </w:rPr>
            </w:pPr>
          </w:p>
        </w:tc>
        <w:tc>
          <w:tcPr>
            <w:tcW w:w="1183" w:type="pct"/>
            <w:noWrap w:val="0"/>
            <w:vAlign w:val="center"/>
          </w:tcPr>
          <w:p w14:paraId="36DB2D39">
            <w:pPr>
              <w:jc w:val="center"/>
              <w:rPr>
                <w:rFonts w:hint="eastAsia"/>
                <w:b/>
                <w:bCs/>
                <w:color w:val="auto"/>
                <w:vertAlign w:val="baseline"/>
                <w:lang w:val="en-US" w:eastAsia="zh-CN"/>
              </w:rPr>
            </w:pPr>
          </w:p>
        </w:tc>
        <w:tc>
          <w:tcPr>
            <w:tcW w:w="1265" w:type="pct"/>
            <w:noWrap w:val="0"/>
            <w:vAlign w:val="center"/>
          </w:tcPr>
          <w:p w14:paraId="11FE3F7C">
            <w:pPr>
              <w:jc w:val="center"/>
              <w:rPr>
                <w:rFonts w:hint="eastAsia"/>
                <w:b/>
                <w:bCs/>
                <w:color w:val="auto"/>
                <w:vertAlign w:val="baseline"/>
                <w:lang w:val="en-US" w:eastAsia="zh-CN"/>
              </w:rPr>
            </w:pPr>
          </w:p>
        </w:tc>
        <w:tc>
          <w:tcPr>
            <w:tcW w:w="995" w:type="pct"/>
            <w:noWrap w:val="0"/>
            <w:vAlign w:val="center"/>
          </w:tcPr>
          <w:p w14:paraId="314A8FA7">
            <w:pPr>
              <w:jc w:val="center"/>
              <w:rPr>
                <w:rFonts w:hint="eastAsia"/>
                <w:b/>
                <w:bCs/>
                <w:color w:val="auto"/>
                <w:vertAlign w:val="baseline"/>
                <w:lang w:val="en-US" w:eastAsia="zh-CN"/>
              </w:rPr>
            </w:pPr>
          </w:p>
        </w:tc>
      </w:tr>
      <w:tr w14:paraId="2336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3B7BD9A1">
            <w:pPr>
              <w:jc w:val="center"/>
              <w:rPr>
                <w:rFonts w:hint="default"/>
                <w:b w:val="0"/>
                <w:bCs w:val="0"/>
                <w:color w:val="auto"/>
                <w:vertAlign w:val="baseline"/>
                <w:lang w:val="en-US" w:eastAsia="zh-CN"/>
              </w:rPr>
            </w:pPr>
            <w:r>
              <w:rPr>
                <w:rFonts w:hint="eastAsia"/>
                <w:b w:val="0"/>
                <w:bCs w:val="0"/>
                <w:color w:val="auto"/>
                <w:vertAlign w:val="baseline"/>
                <w:lang w:val="en-US" w:eastAsia="zh-CN"/>
              </w:rPr>
              <w:t>6</w:t>
            </w:r>
          </w:p>
        </w:tc>
        <w:tc>
          <w:tcPr>
            <w:tcW w:w="939" w:type="pct"/>
            <w:noWrap w:val="0"/>
            <w:vAlign w:val="center"/>
          </w:tcPr>
          <w:p w14:paraId="3B1ACF74">
            <w:pPr>
              <w:jc w:val="center"/>
              <w:rPr>
                <w:rFonts w:hint="eastAsia"/>
                <w:b/>
                <w:bCs/>
                <w:color w:val="auto"/>
                <w:vertAlign w:val="baseline"/>
                <w:lang w:val="en-US" w:eastAsia="zh-CN"/>
              </w:rPr>
            </w:pPr>
          </w:p>
        </w:tc>
        <w:tc>
          <w:tcPr>
            <w:tcW w:w="1183" w:type="pct"/>
            <w:noWrap w:val="0"/>
            <w:vAlign w:val="center"/>
          </w:tcPr>
          <w:p w14:paraId="238DBCD5">
            <w:pPr>
              <w:jc w:val="center"/>
              <w:rPr>
                <w:rFonts w:hint="eastAsia"/>
                <w:b/>
                <w:bCs/>
                <w:color w:val="auto"/>
                <w:vertAlign w:val="baseline"/>
                <w:lang w:val="en-US" w:eastAsia="zh-CN"/>
              </w:rPr>
            </w:pPr>
          </w:p>
        </w:tc>
        <w:tc>
          <w:tcPr>
            <w:tcW w:w="1265" w:type="pct"/>
            <w:noWrap w:val="0"/>
            <w:vAlign w:val="center"/>
          </w:tcPr>
          <w:p w14:paraId="3B21F3D5">
            <w:pPr>
              <w:jc w:val="center"/>
              <w:rPr>
                <w:rFonts w:hint="eastAsia"/>
                <w:b/>
                <w:bCs/>
                <w:color w:val="auto"/>
                <w:vertAlign w:val="baseline"/>
                <w:lang w:val="en-US" w:eastAsia="zh-CN"/>
              </w:rPr>
            </w:pPr>
          </w:p>
        </w:tc>
        <w:tc>
          <w:tcPr>
            <w:tcW w:w="995" w:type="pct"/>
            <w:noWrap w:val="0"/>
            <w:vAlign w:val="center"/>
          </w:tcPr>
          <w:p w14:paraId="508C6A3E">
            <w:pPr>
              <w:jc w:val="center"/>
              <w:rPr>
                <w:rFonts w:hint="eastAsia"/>
                <w:b/>
                <w:bCs/>
                <w:color w:val="auto"/>
                <w:vertAlign w:val="baseline"/>
                <w:lang w:val="en-US" w:eastAsia="zh-CN"/>
              </w:rPr>
            </w:pPr>
          </w:p>
        </w:tc>
      </w:tr>
      <w:tr w14:paraId="7156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1B6DFB6F">
            <w:pPr>
              <w:jc w:val="center"/>
              <w:rPr>
                <w:rFonts w:hint="default"/>
                <w:b w:val="0"/>
                <w:bCs w:val="0"/>
                <w:color w:val="auto"/>
                <w:vertAlign w:val="baseline"/>
                <w:lang w:val="en-US" w:eastAsia="zh-CN"/>
              </w:rPr>
            </w:pPr>
            <w:r>
              <w:rPr>
                <w:rFonts w:hint="eastAsia"/>
                <w:b w:val="0"/>
                <w:bCs w:val="0"/>
                <w:color w:val="auto"/>
                <w:vertAlign w:val="baseline"/>
                <w:lang w:val="en-US" w:eastAsia="zh-CN"/>
              </w:rPr>
              <w:t>7</w:t>
            </w:r>
          </w:p>
        </w:tc>
        <w:tc>
          <w:tcPr>
            <w:tcW w:w="939" w:type="pct"/>
            <w:noWrap w:val="0"/>
            <w:vAlign w:val="center"/>
          </w:tcPr>
          <w:p w14:paraId="67115ACB">
            <w:pPr>
              <w:jc w:val="center"/>
              <w:rPr>
                <w:rFonts w:hint="eastAsia"/>
                <w:b/>
                <w:bCs/>
                <w:color w:val="auto"/>
                <w:vertAlign w:val="baseline"/>
                <w:lang w:val="en-US" w:eastAsia="zh-CN"/>
              </w:rPr>
            </w:pPr>
          </w:p>
        </w:tc>
        <w:tc>
          <w:tcPr>
            <w:tcW w:w="1183" w:type="pct"/>
            <w:noWrap w:val="0"/>
            <w:vAlign w:val="center"/>
          </w:tcPr>
          <w:p w14:paraId="7510947E">
            <w:pPr>
              <w:jc w:val="center"/>
              <w:rPr>
                <w:rFonts w:hint="eastAsia"/>
                <w:b/>
                <w:bCs/>
                <w:color w:val="auto"/>
                <w:vertAlign w:val="baseline"/>
                <w:lang w:val="en-US" w:eastAsia="zh-CN"/>
              </w:rPr>
            </w:pPr>
          </w:p>
        </w:tc>
        <w:tc>
          <w:tcPr>
            <w:tcW w:w="1265" w:type="pct"/>
            <w:noWrap w:val="0"/>
            <w:vAlign w:val="center"/>
          </w:tcPr>
          <w:p w14:paraId="31F26533">
            <w:pPr>
              <w:jc w:val="center"/>
              <w:rPr>
                <w:rFonts w:hint="eastAsia"/>
                <w:b/>
                <w:bCs/>
                <w:color w:val="auto"/>
                <w:vertAlign w:val="baseline"/>
                <w:lang w:val="en-US" w:eastAsia="zh-CN"/>
              </w:rPr>
            </w:pPr>
          </w:p>
        </w:tc>
        <w:tc>
          <w:tcPr>
            <w:tcW w:w="995" w:type="pct"/>
            <w:noWrap w:val="0"/>
            <w:vAlign w:val="center"/>
          </w:tcPr>
          <w:p w14:paraId="78172615">
            <w:pPr>
              <w:jc w:val="center"/>
              <w:rPr>
                <w:rFonts w:hint="eastAsia"/>
                <w:b/>
                <w:bCs/>
                <w:color w:val="auto"/>
                <w:vertAlign w:val="baseline"/>
                <w:lang w:val="en-US" w:eastAsia="zh-CN"/>
              </w:rPr>
            </w:pPr>
          </w:p>
        </w:tc>
      </w:tr>
      <w:tr w14:paraId="1611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3D4E3306">
            <w:pPr>
              <w:jc w:val="center"/>
              <w:rPr>
                <w:rFonts w:hint="default"/>
                <w:b w:val="0"/>
                <w:bCs w:val="0"/>
                <w:color w:val="auto"/>
                <w:vertAlign w:val="baseline"/>
                <w:lang w:val="en-US" w:eastAsia="zh-CN"/>
              </w:rPr>
            </w:pPr>
            <w:r>
              <w:rPr>
                <w:rFonts w:hint="eastAsia"/>
                <w:b w:val="0"/>
                <w:bCs w:val="0"/>
                <w:color w:val="auto"/>
                <w:vertAlign w:val="baseline"/>
                <w:lang w:val="en-US" w:eastAsia="zh-CN"/>
              </w:rPr>
              <w:t>8</w:t>
            </w:r>
          </w:p>
        </w:tc>
        <w:tc>
          <w:tcPr>
            <w:tcW w:w="939" w:type="pct"/>
            <w:noWrap w:val="0"/>
            <w:vAlign w:val="center"/>
          </w:tcPr>
          <w:p w14:paraId="734B293E">
            <w:pPr>
              <w:jc w:val="center"/>
              <w:rPr>
                <w:rFonts w:hint="eastAsia"/>
                <w:b/>
                <w:bCs/>
                <w:color w:val="auto"/>
                <w:vertAlign w:val="baseline"/>
                <w:lang w:val="en-US" w:eastAsia="zh-CN"/>
              </w:rPr>
            </w:pPr>
          </w:p>
        </w:tc>
        <w:tc>
          <w:tcPr>
            <w:tcW w:w="1183" w:type="pct"/>
            <w:noWrap w:val="0"/>
            <w:vAlign w:val="center"/>
          </w:tcPr>
          <w:p w14:paraId="1ECC398C">
            <w:pPr>
              <w:jc w:val="center"/>
              <w:rPr>
                <w:rFonts w:hint="eastAsia"/>
                <w:b/>
                <w:bCs/>
                <w:color w:val="auto"/>
                <w:vertAlign w:val="baseline"/>
                <w:lang w:val="en-US" w:eastAsia="zh-CN"/>
              </w:rPr>
            </w:pPr>
          </w:p>
        </w:tc>
        <w:tc>
          <w:tcPr>
            <w:tcW w:w="1265" w:type="pct"/>
            <w:noWrap w:val="0"/>
            <w:vAlign w:val="center"/>
          </w:tcPr>
          <w:p w14:paraId="14576262">
            <w:pPr>
              <w:jc w:val="center"/>
              <w:rPr>
                <w:rFonts w:hint="eastAsia"/>
                <w:b/>
                <w:bCs/>
                <w:color w:val="auto"/>
                <w:vertAlign w:val="baseline"/>
                <w:lang w:val="en-US" w:eastAsia="zh-CN"/>
              </w:rPr>
            </w:pPr>
          </w:p>
        </w:tc>
        <w:tc>
          <w:tcPr>
            <w:tcW w:w="995" w:type="pct"/>
            <w:noWrap w:val="0"/>
            <w:vAlign w:val="center"/>
          </w:tcPr>
          <w:p w14:paraId="0DE05DE0">
            <w:pPr>
              <w:jc w:val="center"/>
              <w:rPr>
                <w:rFonts w:hint="eastAsia"/>
                <w:b/>
                <w:bCs/>
                <w:color w:val="auto"/>
                <w:vertAlign w:val="baseline"/>
                <w:lang w:val="en-US" w:eastAsia="zh-CN"/>
              </w:rPr>
            </w:pPr>
          </w:p>
        </w:tc>
      </w:tr>
      <w:tr w14:paraId="4027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09632E95">
            <w:pPr>
              <w:jc w:val="center"/>
              <w:rPr>
                <w:rFonts w:hint="default"/>
                <w:b w:val="0"/>
                <w:bCs w:val="0"/>
                <w:color w:val="auto"/>
                <w:vertAlign w:val="baseline"/>
                <w:lang w:val="en-US" w:eastAsia="zh-CN"/>
              </w:rPr>
            </w:pPr>
            <w:r>
              <w:rPr>
                <w:rFonts w:hint="eastAsia"/>
                <w:b w:val="0"/>
                <w:bCs w:val="0"/>
                <w:color w:val="auto"/>
                <w:vertAlign w:val="baseline"/>
                <w:lang w:val="en-US" w:eastAsia="zh-CN"/>
              </w:rPr>
              <w:t>9</w:t>
            </w:r>
          </w:p>
        </w:tc>
        <w:tc>
          <w:tcPr>
            <w:tcW w:w="939" w:type="pct"/>
            <w:noWrap w:val="0"/>
            <w:vAlign w:val="center"/>
          </w:tcPr>
          <w:p w14:paraId="36DE5EBC">
            <w:pPr>
              <w:jc w:val="center"/>
              <w:rPr>
                <w:rFonts w:hint="eastAsia"/>
                <w:b/>
                <w:bCs/>
                <w:color w:val="auto"/>
                <w:vertAlign w:val="baseline"/>
                <w:lang w:val="en-US" w:eastAsia="zh-CN"/>
              </w:rPr>
            </w:pPr>
          </w:p>
        </w:tc>
        <w:tc>
          <w:tcPr>
            <w:tcW w:w="1183" w:type="pct"/>
            <w:noWrap w:val="0"/>
            <w:vAlign w:val="center"/>
          </w:tcPr>
          <w:p w14:paraId="115C84C9">
            <w:pPr>
              <w:jc w:val="center"/>
              <w:rPr>
                <w:rFonts w:hint="eastAsia"/>
                <w:b/>
                <w:bCs/>
                <w:color w:val="auto"/>
                <w:vertAlign w:val="baseline"/>
                <w:lang w:val="en-US" w:eastAsia="zh-CN"/>
              </w:rPr>
            </w:pPr>
          </w:p>
        </w:tc>
        <w:tc>
          <w:tcPr>
            <w:tcW w:w="1265" w:type="pct"/>
            <w:noWrap w:val="0"/>
            <w:vAlign w:val="center"/>
          </w:tcPr>
          <w:p w14:paraId="01544E82">
            <w:pPr>
              <w:jc w:val="center"/>
              <w:rPr>
                <w:rFonts w:hint="eastAsia"/>
                <w:b/>
                <w:bCs/>
                <w:color w:val="auto"/>
                <w:vertAlign w:val="baseline"/>
                <w:lang w:val="en-US" w:eastAsia="zh-CN"/>
              </w:rPr>
            </w:pPr>
          </w:p>
        </w:tc>
        <w:tc>
          <w:tcPr>
            <w:tcW w:w="995" w:type="pct"/>
            <w:noWrap w:val="0"/>
            <w:vAlign w:val="center"/>
          </w:tcPr>
          <w:p w14:paraId="0870E352">
            <w:pPr>
              <w:jc w:val="center"/>
              <w:rPr>
                <w:rFonts w:hint="eastAsia"/>
                <w:b/>
                <w:bCs/>
                <w:color w:val="auto"/>
                <w:vertAlign w:val="baseline"/>
                <w:lang w:val="en-US" w:eastAsia="zh-CN"/>
              </w:rPr>
            </w:pPr>
          </w:p>
        </w:tc>
      </w:tr>
      <w:tr w14:paraId="25E8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6A77C2DC">
            <w:pPr>
              <w:jc w:val="center"/>
              <w:rPr>
                <w:rFonts w:hint="default"/>
                <w:b w:val="0"/>
                <w:bCs w:val="0"/>
                <w:color w:val="auto"/>
                <w:vertAlign w:val="baseline"/>
                <w:lang w:val="en-US" w:eastAsia="zh-CN"/>
              </w:rPr>
            </w:pPr>
            <w:r>
              <w:rPr>
                <w:rFonts w:hint="eastAsia"/>
                <w:b w:val="0"/>
                <w:bCs w:val="0"/>
                <w:color w:val="auto"/>
                <w:vertAlign w:val="baseline"/>
                <w:lang w:val="en-US" w:eastAsia="zh-CN"/>
              </w:rPr>
              <w:t>10</w:t>
            </w:r>
          </w:p>
        </w:tc>
        <w:tc>
          <w:tcPr>
            <w:tcW w:w="939" w:type="pct"/>
            <w:noWrap w:val="0"/>
            <w:vAlign w:val="center"/>
          </w:tcPr>
          <w:p w14:paraId="731201FD">
            <w:pPr>
              <w:jc w:val="center"/>
              <w:rPr>
                <w:rFonts w:hint="eastAsia"/>
                <w:b/>
                <w:bCs/>
                <w:color w:val="auto"/>
                <w:vertAlign w:val="baseline"/>
                <w:lang w:val="en-US" w:eastAsia="zh-CN"/>
              </w:rPr>
            </w:pPr>
          </w:p>
        </w:tc>
        <w:tc>
          <w:tcPr>
            <w:tcW w:w="1183" w:type="pct"/>
            <w:noWrap w:val="0"/>
            <w:vAlign w:val="center"/>
          </w:tcPr>
          <w:p w14:paraId="47DB6AC9">
            <w:pPr>
              <w:jc w:val="center"/>
              <w:rPr>
                <w:rFonts w:hint="eastAsia"/>
                <w:b/>
                <w:bCs/>
                <w:color w:val="auto"/>
                <w:vertAlign w:val="baseline"/>
                <w:lang w:val="en-US" w:eastAsia="zh-CN"/>
              </w:rPr>
            </w:pPr>
          </w:p>
        </w:tc>
        <w:tc>
          <w:tcPr>
            <w:tcW w:w="1265" w:type="pct"/>
            <w:noWrap w:val="0"/>
            <w:vAlign w:val="center"/>
          </w:tcPr>
          <w:p w14:paraId="156A35AC">
            <w:pPr>
              <w:jc w:val="center"/>
              <w:rPr>
                <w:rFonts w:hint="eastAsia"/>
                <w:b/>
                <w:bCs/>
                <w:color w:val="auto"/>
                <w:vertAlign w:val="baseline"/>
                <w:lang w:val="en-US" w:eastAsia="zh-CN"/>
              </w:rPr>
            </w:pPr>
          </w:p>
        </w:tc>
        <w:tc>
          <w:tcPr>
            <w:tcW w:w="995" w:type="pct"/>
            <w:noWrap w:val="0"/>
            <w:vAlign w:val="center"/>
          </w:tcPr>
          <w:p w14:paraId="1C34BAF6">
            <w:pPr>
              <w:jc w:val="center"/>
              <w:rPr>
                <w:rFonts w:hint="eastAsia"/>
                <w:b/>
                <w:bCs/>
                <w:color w:val="auto"/>
                <w:vertAlign w:val="baseline"/>
                <w:lang w:val="en-US" w:eastAsia="zh-CN"/>
              </w:rPr>
            </w:pPr>
          </w:p>
        </w:tc>
      </w:tr>
      <w:tr w14:paraId="059C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14" w:type="pct"/>
            <w:noWrap w:val="0"/>
            <w:vAlign w:val="center"/>
          </w:tcPr>
          <w:p w14:paraId="43CE1B96">
            <w:pPr>
              <w:jc w:val="center"/>
              <w:rPr>
                <w:rFonts w:hint="eastAsia"/>
                <w:b w:val="0"/>
                <w:bCs w:val="0"/>
                <w:color w:val="auto"/>
                <w:vertAlign w:val="baseline"/>
                <w:lang w:val="en-US" w:eastAsia="zh-CN"/>
              </w:rPr>
            </w:pPr>
            <w:r>
              <w:rPr>
                <w:rFonts w:hint="eastAsia"/>
                <w:b w:val="0"/>
                <w:bCs w:val="0"/>
                <w:color w:val="auto"/>
                <w:vertAlign w:val="baseline"/>
                <w:lang w:val="en-US" w:eastAsia="zh-CN"/>
              </w:rPr>
              <w:t>…</w:t>
            </w:r>
          </w:p>
        </w:tc>
        <w:tc>
          <w:tcPr>
            <w:tcW w:w="939" w:type="pct"/>
            <w:noWrap w:val="0"/>
            <w:vAlign w:val="center"/>
          </w:tcPr>
          <w:p w14:paraId="09B20E4C">
            <w:pPr>
              <w:jc w:val="center"/>
              <w:rPr>
                <w:rFonts w:hint="eastAsia"/>
                <w:b/>
                <w:bCs/>
                <w:color w:val="auto"/>
                <w:vertAlign w:val="baseline"/>
                <w:lang w:val="en-US" w:eastAsia="zh-CN"/>
              </w:rPr>
            </w:pPr>
          </w:p>
        </w:tc>
        <w:tc>
          <w:tcPr>
            <w:tcW w:w="1183" w:type="pct"/>
            <w:noWrap w:val="0"/>
            <w:vAlign w:val="center"/>
          </w:tcPr>
          <w:p w14:paraId="540B582A">
            <w:pPr>
              <w:jc w:val="center"/>
              <w:rPr>
                <w:rFonts w:hint="eastAsia"/>
                <w:b/>
                <w:bCs/>
                <w:color w:val="auto"/>
                <w:vertAlign w:val="baseline"/>
                <w:lang w:val="en-US" w:eastAsia="zh-CN"/>
              </w:rPr>
            </w:pPr>
          </w:p>
        </w:tc>
        <w:tc>
          <w:tcPr>
            <w:tcW w:w="1265" w:type="pct"/>
            <w:noWrap w:val="0"/>
            <w:vAlign w:val="center"/>
          </w:tcPr>
          <w:p w14:paraId="6B8E80A1">
            <w:pPr>
              <w:jc w:val="center"/>
              <w:rPr>
                <w:rFonts w:hint="eastAsia"/>
                <w:b/>
                <w:bCs/>
                <w:color w:val="auto"/>
                <w:vertAlign w:val="baseline"/>
                <w:lang w:val="en-US" w:eastAsia="zh-CN"/>
              </w:rPr>
            </w:pPr>
          </w:p>
        </w:tc>
        <w:tc>
          <w:tcPr>
            <w:tcW w:w="995" w:type="pct"/>
            <w:noWrap w:val="0"/>
            <w:vAlign w:val="center"/>
          </w:tcPr>
          <w:p w14:paraId="5A392FDB">
            <w:pPr>
              <w:jc w:val="center"/>
              <w:rPr>
                <w:rFonts w:hint="eastAsia"/>
                <w:b/>
                <w:bCs/>
                <w:color w:val="auto"/>
                <w:vertAlign w:val="baseline"/>
                <w:lang w:val="en-US" w:eastAsia="zh-CN"/>
              </w:rPr>
            </w:pPr>
          </w:p>
        </w:tc>
      </w:tr>
    </w:tbl>
    <w:p w14:paraId="24D8637A">
      <w:pPr>
        <w:pStyle w:val="212"/>
        <w:rPr>
          <w:color w:val="auto"/>
          <w:highlight w:val="yellow"/>
        </w:rPr>
      </w:pPr>
      <w:r>
        <w:rPr>
          <w:rFonts w:hint="eastAsia"/>
          <w:color w:val="auto"/>
          <w:highlight w:val="yellow"/>
        </w:rPr>
        <w:t>注：在填写时，如本表格不适合投标单位的实际情况，可根据本表格式自行划表填写。</w:t>
      </w:r>
    </w:p>
    <w:p w14:paraId="5155FE2B">
      <w:pPr>
        <w:pStyle w:val="212"/>
        <w:rPr>
          <w:color w:val="0000FF"/>
        </w:rPr>
      </w:pPr>
    </w:p>
    <w:p w14:paraId="766CB648">
      <w:pPr>
        <w:pStyle w:val="212"/>
      </w:pPr>
    </w:p>
    <w:p w14:paraId="7C105CB9">
      <w:pPr>
        <w:snapToGrid w:val="0"/>
        <w:spacing w:line="420" w:lineRule="exact"/>
        <w:jc w:val="both"/>
        <w:rPr>
          <w:rFonts w:hint="eastAsia" w:ascii="宋体" w:hAnsi="宋体"/>
          <w:b/>
          <w:color w:val="auto"/>
          <w:sz w:val="28"/>
          <w:szCs w:val="28"/>
          <w:highlight w:val="none"/>
        </w:rPr>
      </w:pPr>
    </w:p>
    <w:p w14:paraId="4AC08176">
      <w:pPr>
        <w:snapToGrid w:val="0"/>
        <w:spacing w:line="420" w:lineRule="exact"/>
        <w:ind w:firstLine="562" w:firstLineChars="200"/>
        <w:jc w:val="center"/>
        <w:rPr>
          <w:rFonts w:ascii="宋体" w:hAnsi="宋体"/>
          <w:color w:val="auto"/>
          <w:highlight w:val="none"/>
        </w:rPr>
      </w:pPr>
      <w:r>
        <w:rPr>
          <w:rFonts w:hint="eastAsia" w:ascii="宋体" w:hAnsi="宋体"/>
          <w:b/>
          <w:color w:val="auto"/>
          <w:sz w:val="28"/>
          <w:szCs w:val="28"/>
          <w:highlight w:val="none"/>
          <w:lang w:val="en-US" w:eastAsia="zh-CN"/>
        </w:rPr>
        <w:t>3</w:t>
      </w:r>
      <w:r>
        <w:rPr>
          <w:rFonts w:ascii="宋体" w:hAnsi="宋体"/>
          <w:b/>
          <w:color w:val="auto"/>
          <w:sz w:val="28"/>
          <w:szCs w:val="28"/>
          <w:highlight w:val="none"/>
        </w:rPr>
        <w:t>.</w:t>
      </w:r>
      <w:r>
        <w:rPr>
          <w:rFonts w:hint="eastAsia" w:ascii="宋体" w:hAnsi="宋体"/>
          <w:b/>
          <w:color w:val="auto"/>
          <w:sz w:val="28"/>
          <w:szCs w:val="28"/>
          <w:highlight w:val="none"/>
        </w:rPr>
        <w:t xml:space="preserve"> 投标人对本项目的合理化建议和改进措施；</w:t>
      </w:r>
    </w:p>
    <w:p w14:paraId="13265F11">
      <w:pPr>
        <w:pStyle w:val="6"/>
        <w:rPr>
          <w:rFonts w:ascii="宋体" w:hAnsi="宋体" w:eastAsia="宋体"/>
          <w:color w:val="auto"/>
          <w:highlight w:val="none"/>
        </w:rPr>
      </w:pPr>
    </w:p>
    <w:p w14:paraId="164262CB">
      <w:pPr>
        <w:snapToGrid w:val="0"/>
        <w:spacing w:line="420" w:lineRule="exact"/>
        <w:jc w:val="both"/>
        <w:rPr>
          <w:rFonts w:ascii="宋体" w:hAnsi="宋体"/>
          <w:b/>
          <w:color w:val="auto"/>
          <w:sz w:val="28"/>
          <w:szCs w:val="28"/>
          <w:highlight w:val="none"/>
        </w:rPr>
      </w:pPr>
    </w:p>
    <w:p w14:paraId="4A1479B1">
      <w:pPr>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w:t>
      </w:r>
      <w:r>
        <w:rPr>
          <w:rFonts w:hint="eastAsia" w:ascii="宋体" w:hAnsi="宋体"/>
          <w:b/>
          <w:color w:val="auto"/>
          <w:sz w:val="28"/>
          <w:szCs w:val="28"/>
          <w:highlight w:val="none"/>
        </w:rPr>
        <w:t>投标人需要说明的其他文件和说明（结合投标人自身情况及招标文件其他要求和评分要素自行提供）</w:t>
      </w:r>
    </w:p>
    <w:p w14:paraId="5243D072">
      <w:pPr>
        <w:pStyle w:val="6"/>
        <w:rPr>
          <w:rFonts w:ascii="宋体" w:hAnsi="宋体" w:eastAsia="宋体"/>
          <w:color w:val="auto"/>
          <w:highlight w:val="none"/>
        </w:rPr>
      </w:pPr>
    </w:p>
    <w:p w14:paraId="628065D9">
      <w:pPr>
        <w:snapToGrid w:val="0"/>
        <w:spacing w:line="420" w:lineRule="exact"/>
        <w:jc w:val="center"/>
        <w:rPr>
          <w:rFonts w:ascii="宋体" w:hAnsi="宋体"/>
          <w:color w:val="auto"/>
          <w:highlight w:val="none"/>
        </w:rPr>
      </w:pPr>
      <w:r>
        <w:rPr>
          <w:rFonts w:ascii="宋体" w:hAnsi="宋体"/>
          <w:color w:val="auto"/>
          <w:highlight w:val="none"/>
        </w:rPr>
        <w:br w:type="page"/>
      </w:r>
    </w:p>
    <w:p w14:paraId="09C92EE8">
      <w:pPr>
        <w:snapToGrid w:val="0"/>
        <w:spacing w:line="420" w:lineRule="exact"/>
        <w:jc w:val="left"/>
        <w:rPr>
          <w:rFonts w:ascii="宋体" w:hAnsi="宋体"/>
          <w:color w:val="auto"/>
          <w:sz w:val="36"/>
          <w:szCs w:val="36"/>
          <w:highlight w:val="none"/>
        </w:rPr>
      </w:pPr>
      <w:r>
        <w:rPr>
          <w:rFonts w:hint="eastAsia" w:ascii="宋体" w:hAnsi="宋体"/>
          <w:b/>
          <w:color w:val="auto"/>
          <w:sz w:val="36"/>
          <w:szCs w:val="36"/>
          <w:highlight w:val="none"/>
        </w:rPr>
        <w:t>四、报价文件</w:t>
      </w:r>
      <w:r>
        <w:rPr>
          <w:rFonts w:hint="eastAsia" w:ascii="宋体" w:hAnsi="宋体"/>
          <w:b/>
          <w:bCs/>
          <w:color w:val="auto"/>
          <w:sz w:val="36"/>
          <w:szCs w:val="36"/>
          <w:highlight w:val="none"/>
        </w:rPr>
        <w:t>部分</w:t>
      </w:r>
      <w:r>
        <w:rPr>
          <w:rFonts w:hint="eastAsia" w:ascii="宋体" w:hAnsi="宋体"/>
          <w:b/>
          <w:color w:val="auto"/>
          <w:sz w:val="36"/>
          <w:szCs w:val="36"/>
          <w:highlight w:val="none"/>
        </w:rPr>
        <w:t>：</w:t>
      </w:r>
    </w:p>
    <w:p w14:paraId="12D6D071">
      <w:pPr>
        <w:tabs>
          <w:tab w:val="left" w:pos="3870"/>
          <w:tab w:val="left" w:pos="4085"/>
        </w:tabs>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1.投标函</w:t>
      </w:r>
    </w:p>
    <w:p w14:paraId="60D65BBF">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3652F95A">
      <w:pPr>
        <w:snapToGrid w:val="0"/>
        <w:spacing w:line="460" w:lineRule="exact"/>
        <w:rPr>
          <w:rFonts w:ascii="宋体" w:hAnsi="宋体"/>
          <w:b/>
          <w:bCs/>
          <w:color w:val="auto"/>
          <w:szCs w:val="21"/>
          <w:highlight w:val="none"/>
        </w:rPr>
      </w:pPr>
      <w:r>
        <w:rPr>
          <w:rFonts w:hint="eastAsia" w:ascii="宋体" w:hAnsi="宋体"/>
          <w:b/>
          <w:bCs/>
          <w:color w:val="auto"/>
          <w:szCs w:val="21"/>
          <w:highlight w:val="none"/>
        </w:rPr>
        <w:t>致：</w:t>
      </w:r>
      <w:r>
        <w:rPr>
          <w:rFonts w:hint="eastAsia" w:ascii="宋体" w:hAnsi="宋体"/>
          <w:b/>
          <w:bCs/>
          <w:color w:val="auto"/>
          <w:szCs w:val="21"/>
          <w:highlight w:val="none"/>
          <w:lang w:eastAsia="zh-CN"/>
        </w:rPr>
        <w:t>贵港市港南区农业农村局</w:t>
      </w:r>
      <w:r>
        <w:rPr>
          <w:rFonts w:hint="eastAsia" w:ascii="宋体" w:hAnsi="宋体"/>
          <w:b/>
          <w:bCs/>
          <w:color w:val="auto"/>
          <w:szCs w:val="21"/>
          <w:highlight w:val="none"/>
        </w:rPr>
        <w:t>（招标采购单位名称）：</w:t>
      </w:r>
    </w:p>
    <w:p w14:paraId="293B32D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根据贵方为项目的</w:t>
      </w:r>
      <w:r>
        <w:rPr>
          <w:rFonts w:hint="eastAsia" w:ascii="宋体" w:hAnsi="宋体"/>
          <w:b/>
          <w:bCs/>
          <w:color w:val="auto"/>
          <w:szCs w:val="21"/>
          <w:highlight w:val="none"/>
          <w:u w:val="single"/>
        </w:rPr>
        <w:t>招标公告（</w:t>
      </w:r>
      <w:r>
        <w:rPr>
          <w:rFonts w:hint="eastAsia" w:ascii="宋体" w:hAnsi="宋体"/>
          <w:b/>
          <w:bCs/>
          <w:color w:val="auto"/>
          <w:szCs w:val="21"/>
          <w:highlight w:val="none"/>
          <w:u w:val="single"/>
          <w:lang w:eastAsia="zh-CN"/>
        </w:rPr>
        <w:t>项目名称：</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项目编号：</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w:t>
      </w:r>
      <w:r>
        <w:rPr>
          <w:rFonts w:hint="eastAsia" w:ascii="宋体" w:hAnsi="宋体"/>
          <w:color w:val="auto"/>
          <w:szCs w:val="21"/>
          <w:highlight w:val="none"/>
        </w:rPr>
        <w:t xml:space="preserve">签字代表（全名）经正式授权并代表投标人  </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提交</w:t>
      </w:r>
      <w:r>
        <w:rPr>
          <w:rFonts w:hint="eastAsia" w:ascii="宋体" w:hAnsi="宋体"/>
          <w:color w:val="auto"/>
          <w:szCs w:val="21"/>
          <w:highlight w:val="none"/>
          <w:u w:val="single"/>
        </w:rPr>
        <w:t>资格审查文件、商</w:t>
      </w:r>
      <w:r>
        <w:rPr>
          <w:rFonts w:ascii="宋体" w:hAnsi="宋体"/>
          <w:color w:val="auto"/>
          <w:szCs w:val="21"/>
          <w:highlight w:val="none"/>
          <w:u w:val="single"/>
        </w:rPr>
        <w:t>务文件、</w:t>
      </w:r>
      <w:r>
        <w:rPr>
          <w:rFonts w:hint="eastAsia" w:ascii="宋体" w:hAnsi="宋体"/>
          <w:color w:val="auto"/>
          <w:szCs w:val="21"/>
          <w:highlight w:val="none"/>
          <w:u w:val="single"/>
        </w:rPr>
        <w:t>技术文件、报价文件</w:t>
      </w:r>
      <w:r>
        <w:rPr>
          <w:rFonts w:hint="eastAsia" w:ascii="宋体" w:hAnsi="宋体"/>
          <w:color w:val="auto"/>
          <w:szCs w:val="21"/>
          <w:highlight w:val="none"/>
        </w:rPr>
        <w:t>。</w:t>
      </w:r>
    </w:p>
    <w:p w14:paraId="299F379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据此函，签字人兹宣布同意如下：</w:t>
      </w:r>
    </w:p>
    <w:p w14:paraId="05E7DF7A">
      <w:pPr>
        <w:snapToGrid w:val="0"/>
        <w:spacing w:line="400" w:lineRule="exact"/>
        <w:ind w:firstLine="422" w:firstLineChars="200"/>
        <w:rPr>
          <w:rFonts w:hint="eastAsia" w:ascii="宋体" w:hAnsi="宋体" w:eastAsia="宋体"/>
          <w:color w:val="auto"/>
          <w:szCs w:val="21"/>
          <w:highlight w:val="none"/>
          <w:lang w:val="en-US" w:eastAsia="zh-CN"/>
        </w:rPr>
      </w:pPr>
      <w:r>
        <w:rPr>
          <w:rFonts w:hint="eastAsia" w:ascii="宋体" w:hAnsi="宋体"/>
          <w:b/>
          <w:bCs/>
          <w:color w:val="auto"/>
          <w:szCs w:val="21"/>
          <w:highlight w:val="none"/>
        </w:rPr>
        <w:t>1.投标总报价为</w:t>
      </w:r>
      <w:r>
        <w:rPr>
          <w:rFonts w:hint="eastAsia" w:ascii="宋体" w:hAnsi="宋体"/>
          <w:b/>
          <w:bCs/>
          <w:color w:val="auto"/>
          <w:szCs w:val="21"/>
          <w:highlight w:val="none"/>
          <w:u w:val="single"/>
        </w:rPr>
        <w:t>（大写）  人民币(￥        　     )；</w:t>
      </w:r>
      <w:r>
        <w:rPr>
          <w:rFonts w:hint="eastAsia" w:ascii="宋体" w:hAnsi="宋体"/>
          <w:b/>
          <w:bCs/>
          <w:color w:val="auto"/>
          <w:szCs w:val="21"/>
          <w:highlight w:val="none"/>
          <w:u w:val="single"/>
          <w:lang w:eastAsia="zh-CN"/>
        </w:rPr>
        <w:t>合同履约期限</w:t>
      </w:r>
      <w:r>
        <w:rPr>
          <w:rFonts w:hint="eastAsia" w:ascii="宋体" w:hAnsi="宋体"/>
          <w:b/>
          <w:bCs/>
          <w:color w:val="auto"/>
          <w:szCs w:val="21"/>
          <w:highlight w:val="none"/>
          <w:u w:val="single"/>
        </w:rPr>
        <w:t>：</w:t>
      </w:r>
      <w:r>
        <w:rPr>
          <w:rFonts w:hint="eastAsia" w:ascii="宋体" w:hAnsi="宋体"/>
          <w:b/>
          <w:bCs/>
          <w:color w:val="auto"/>
          <w:szCs w:val="21"/>
          <w:highlight w:val="none"/>
          <w:u w:val="single"/>
          <w:lang w:val="en-US" w:eastAsia="zh-CN"/>
        </w:rPr>
        <w:t>自合同签订之日起至2026年12月31日之前完成全部项目工作内容</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w:t>
      </w:r>
    </w:p>
    <w:p w14:paraId="3FBB05F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2.投标人已详细审查全部“招标文件”，包括修改文件（如有的话）以及全部参考资料和有关附件，已经了解我方对于招标文件、采购过程、采购结果有依法进行询问、质疑、投诉的权利及相关渠道和要求。</w:t>
      </w:r>
    </w:p>
    <w:p w14:paraId="69D4604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3.投标人在投标之前已经与贵方进行了充分的沟通，完全理解并接受招标文件的各项规定和要求，对招标文件的合理性、合法性不再有异议。</w:t>
      </w:r>
    </w:p>
    <w:p w14:paraId="3DF86EF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4.本投标有效期自开标日起</w:t>
      </w:r>
      <w:r>
        <w:rPr>
          <w:rFonts w:hint="eastAsia" w:ascii="宋体" w:hAnsi="宋体"/>
          <w:color w:val="auto"/>
          <w:szCs w:val="21"/>
          <w:highlight w:val="none"/>
          <w:u w:val="single"/>
        </w:rPr>
        <w:t>90</w:t>
      </w:r>
      <w:r>
        <w:rPr>
          <w:rFonts w:hint="eastAsia" w:ascii="宋体" w:hAnsi="宋体"/>
          <w:color w:val="auto"/>
          <w:szCs w:val="21"/>
          <w:highlight w:val="none"/>
        </w:rPr>
        <w:t>日历天。</w:t>
      </w:r>
    </w:p>
    <w:p w14:paraId="22D5193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5.如中标，本投标文件至本项目合同履行完毕止均保持有效，本投标人将按“招标文件”及政府采购法律、法规的规定履行合同责任和义务。</w:t>
      </w:r>
    </w:p>
    <w:p w14:paraId="0846C29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6.投标人同意按照贵方要求提供与投标有关的一切数据或资料。</w:t>
      </w:r>
    </w:p>
    <w:p w14:paraId="0D9D720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7.与本投标有关的一切正式往来信函请寄： </w:t>
      </w:r>
    </w:p>
    <w:p w14:paraId="0EBA76F4">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地址：邮编：  电话：</w:t>
      </w:r>
    </w:p>
    <w:p w14:paraId="15B16E3B">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投标人名称(公章)：</w:t>
      </w:r>
    </w:p>
    <w:p w14:paraId="379F0006">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开户银行：</w:t>
      </w:r>
    </w:p>
    <w:p w14:paraId="6CFF1129">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银行帐号：</w:t>
      </w:r>
    </w:p>
    <w:p w14:paraId="2CF9D1EF">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法定代表人或授权代表（签字或者盖章或者电子签名）：</w:t>
      </w:r>
    </w:p>
    <w:p w14:paraId="29FC0F33">
      <w:pPr>
        <w:snapToGrid w:val="0"/>
        <w:spacing w:line="520" w:lineRule="exact"/>
        <w:ind w:firstLine="390" w:firstLineChars="186"/>
        <w:rPr>
          <w:rFonts w:ascii="宋体" w:hAnsi="宋体"/>
          <w:color w:val="auto"/>
          <w:szCs w:val="21"/>
          <w:highlight w:val="none"/>
        </w:rPr>
      </w:pPr>
      <w:r>
        <w:rPr>
          <w:rFonts w:hint="eastAsia" w:ascii="宋体" w:hAnsi="宋体"/>
          <w:color w:val="auto"/>
          <w:szCs w:val="21"/>
          <w:highlight w:val="none"/>
        </w:rPr>
        <w:t xml:space="preserve">日期：年月日 </w:t>
      </w:r>
    </w:p>
    <w:p w14:paraId="42B1A630">
      <w:pPr>
        <w:snapToGrid w:val="0"/>
        <w:spacing w:beforeLines="50" w:after="50" w:line="400" w:lineRule="exact"/>
        <w:rPr>
          <w:rFonts w:ascii="宋体" w:hAnsi="宋体"/>
          <w:b/>
          <w:color w:val="auto"/>
          <w:szCs w:val="21"/>
          <w:highlight w:val="none"/>
        </w:rPr>
      </w:pPr>
    </w:p>
    <w:p w14:paraId="14DD9C48">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48B2E62A">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3EFFCC1F">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634E6D29">
      <w:pPr>
        <w:tabs>
          <w:tab w:val="left" w:pos="3870"/>
          <w:tab w:val="left" w:pos="4085"/>
        </w:tabs>
        <w:snapToGrid w:val="0"/>
        <w:spacing w:line="420" w:lineRule="exact"/>
        <w:ind w:firstLine="422" w:firstLineChars="200"/>
        <w:jc w:val="center"/>
        <w:rPr>
          <w:rFonts w:ascii="宋体" w:hAnsi="宋体"/>
          <w:b/>
          <w:color w:val="auto"/>
          <w:szCs w:val="21"/>
          <w:highlight w:val="none"/>
        </w:rPr>
      </w:pPr>
    </w:p>
    <w:p w14:paraId="591654DA">
      <w:pPr>
        <w:pStyle w:val="21"/>
        <w:rPr>
          <w:rFonts w:hint="eastAsia" w:ascii="宋体" w:hAnsi="宋体"/>
          <w:b/>
          <w:color w:val="auto"/>
          <w:szCs w:val="21"/>
          <w:highlight w:val="none"/>
        </w:rPr>
      </w:pPr>
    </w:p>
    <w:p w14:paraId="419DA091">
      <w:pPr>
        <w:rPr>
          <w:rFonts w:hint="eastAsia"/>
          <w:color w:val="auto"/>
          <w:highlight w:val="none"/>
        </w:rPr>
      </w:pPr>
    </w:p>
    <w:p w14:paraId="5E887299">
      <w:pPr>
        <w:rPr>
          <w:color w:val="auto"/>
          <w:highlight w:val="none"/>
        </w:rPr>
      </w:pPr>
    </w:p>
    <w:p w14:paraId="1F61A1F4">
      <w:pPr>
        <w:rPr>
          <w:color w:val="auto"/>
          <w:highlight w:val="none"/>
        </w:rPr>
      </w:pPr>
    </w:p>
    <w:p w14:paraId="1BF781D8">
      <w:pPr>
        <w:tabs>
          <w:tab w:val="left" w:pos="3870"/>
          <w:tab w:val="left" w:pos="4085"/>
        </w:tabs>
        <w:snapToGrid w:val="0"/>
        <w:spacing w:line="420" w:lineRule="exact"/>
        <w:ind w:firstLine="562" w:firstLineChars="200"/>
        <w:jc w:val="left"/>
        <w:rPr>
          <w:rFonts w:ascii="宋体" w:hAnsi="宋体"/>
          <w:b/>
          <w:color w:val="auto"/>
          <w:sz w:val="28"/>
          <w:szCs w:val="28"/>
          <w:highlight w:val="none"/>
        </w:rPr>
      </w:pPr>
      <w:r>
        <w:rPr>
          <w:rFonts w:ascii="宋体" w:hAnsi="宋体"/>
          <w:b/>
          <w:color w:val="auto"/>
          <w:sz w:val="28"/>
          <w:szCs w:val="28"/>
          <w:highlight w:val="none"/>
        </w:rPr>
        <w:t>2.</w:t>
      </w:r>
      <w:r>
        <w:rPr>
          <w:rFonts w:hint="eastAsia" w:ascii="宋体" w:hAnsi="宋体"/>
          <w:b/>
          <w:color w:val="auto"/>
          <w:sz w:val="28"/>
          <w:szCs w:val="28"/>
          <w:highlight w:val="none"/>
        </w:rPr>
        <w:t>投标报价明细表</w:t>
      </w:r>
    </w:p>
    <w:p w14:paraId="41934425">
      <w:pPr>
        <w:tabs>
          <w:tab w:val="left" w:pos="3870"/>
          <w:tab w:val="left" w:pos="4085"/>
        </w:tabs>
        <w:snapToGrid w:val="0"/>
        <w:spacing w:line="420" w:lineRule="exact"/>
        <w:ind w:firstLine="562" w:firstLineChars="200"/>
        <w:jc w:val="center"/>
        <w:rPr>
          <w:rFonts w:ascii="宋体" w:hAnsi="宋体"/>
          <w:b/>
          <w:color w:val="auto"/>
          <w:sz w:val="28"/>
          <w:szCs w:val="28"/>
          <w:highlight w:val="none"/>
        </w:rPr>
      </w:pPr>
    </w:p>
    <w:p w14:paraId="1C11B4E6">
      <w:pPr>
        <w:tabs>
          <w:tab w:val="left" w:pos="3870"/>
          <w:tab w:val="left" w:pos="4085"/>
        </w:tabs>
        <w:snapToGrid w:val="0"/>
        <w:spacing w:line="42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投标</w:t>
      </w:r>
      <w:r>
        <w:rPr>
          <w:rFonts w:ascii="宋体" w:hAnsi="宋体"/>
          <w:b/>
          <w:color w:val="auto"/>
          <w:sz w:val="28"/>
          <w:szCs w:val="28"/>
          <w:highlight w:val="none"/>
        </w:rPr>
        <w:t>报价明细表</w:t>
      </w:r>
    </w:p>
    <w:p w14:paraId="4DB9CFDE">
      <w:pPr>
        <w:tabs>
          <w:tab w:val="left" w:pos="3870"/>
          <w:tab w:val="left" w:pos="4085"/>
        </w:tabs>
        <w:snapToGrid w:val="0"/>
        <w:spacing w:line="42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项目</w:t>
      </w:r>
      <w:r>
        <w:rPr>
          <w:rFonts w:ascii="宋体" w:hAnsi="宋体"/>
          <w:color w:val="auto"/>
          <w:szCs w:val="21"/>
          <w:highlight w:val="none"/>
        </w:rPr>
        <w:t>名称：</w:t>
      </w:r>
    </w:p>
    <w:p w14:paraId="22D36ADE">
      <w:pPr>
        <w:tabs>
          <w:tab w:val="left" w:pos="3870"/>
          <w:tab w:val="left" w:pos="4085"/>
        </w:tabs>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项目编号</w:t>
      </w:r>
      <w:r>
        <w:rPr>
          <w:rFonts w:ascii="宋体" w:hAnsi="宋体"/>
          <w:color w:val="auto"/>
          <w:szCs w:val="21"/>
          <w:highlight w:val="none"/>
        </w:rPr>
        <w:t>：</w:t>
      </w:r>
    </w:p>
    <w:p w14:paraId="51F62FF5">
      <w:pPr>
        <w:tabs>
          <w:tab w:val="left" w:pos="3870"/>
          <w:tab w:val="left" w:pos="4085"/>
        </w:tabs>
        <w:snapToGrid w:val="0"/>
        <w:spacing w:line="42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分标项：</w:t>
      </w:r>
    </w:p>
    <w:p w14:paraId="54177E21">
      <w:pPr>
        <w:snapToGrid w:val="0"/>
        <w:spacing w:before="50" w:afterLines="50" w:line="440" w:lineRule="exact"/>
        <w:ind w:firstLine="6930" w:firstLineChars="3300"/>
        <w:jc w:val="left"/>
        <w:rPr>
          <w:rFonts w:ascii="宋体" w:hAnsi="宋体"/>
          <w:color w:val="auto"/>
          <w:szCs w:val="21"/>
          <w:highlight w:val="none"/>
        </w:rPr>
      </w:pPr>
      <w:r>
        <w:rPr>
          <w:rFonts w:hint="eastAsia" w:ascii="宋体" w:hAnsi="宋体"/>
          <w:color w:val="auto"/>
          <w:szCs w:val="21"/>
          <w:highlight w:val="none"/>
        </w:rPr>
        <w:t>金额单位：人民币（元）</w:t>
      </w:r>
    </w:p>
    <w:tbl>
      <w:tblPr>
        <w:tblStyle w:val="55"/>
        <w:tblW w:w="95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836"/>
        <w:gridCol w:w="871"/>
        <w:gridCol w:w="3569"/>
        <w:gridCol w:w="1134"/>
        <w:gridCol w:w="1416"/>
      </w:tblGrid>
      <w:tr w14:paraId="1DF61F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27E13CA9">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rPr>
              <w:t>序号</w:t>
            </w:r>
          </w:p>
        </w:tc>
        <w:tc>
          <w:tcPr>
            <w:tcW w:w="1836" w:type="dxa"/>
            <w:vAlign w:val="center"/>
          </w:tcPr>
          <w:p w14:paraId="46F5863C">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lang w:eastAsia="zh-CN"/>
              </w:rPr>
              <w:t>项目</w:t>
            </w:r>
            <w:r>
              <w:rPr>
                <w:rFonts w:hint="eastAsia" w:ascii="宋体" w:hAnsi="宋体"/>
                <w:b/>
                <w:color w:val="auto"/>
                <w:szCs w:val="21"/>
                <w:highlight w:val="none"/>
              </w:rPr>
              <w:t>名称</w:t>
            </w:r>
          </w:p>
        </w:tc>
        <w:tc>
          <w:tcPr>
            <w:tcW w:w="871" w:type="dxa"/>
            <w:vAlign w:val="center"/>
          </w:tcPr>
          <w:p w14:paraId="13779B2B">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数量①</w:t>
            </w:r>
          </w:p>
        </w:tc>
        <w:tc>
          <w:tcPr>
            <w:tcW w:w="3569" w:type="dxa"/>
            <w:vAlign w:val="center"/>
          </w:tcPr>
          <w:p w14:paraId="3F53AB7D">
            <w:pPr>
              <w:adjustRightInd w:val="0"/>
              <w:snapToGrid w:val="0"/>
              <w:spacing w:line="360" w:lineRule="auto"/>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服务内容</w:t>
            </w:r>
          </w:p>
        </w:tc>
        <w:tc>
          <w:tcPr>
            <w:tcW w:w="1134" w:type="dxa"/>
            <w:vAlign w:val="center"/>
          </w:tcPr>
          <w:p w14:paraId="75CB3F8B">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单价②</w:t>
            </w:r>
          </w:p>
        </w:tc>
        <w:tc>
          <w:tcPr>
            <w:tcW w:w="1416" w:type="dxa"/>
            <w:vAlign w:val="center"/>
          </w:tcPr>
          <w:p w14:paraId="6F2AFDB1">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单项合价</w:t>
            </w:r>
          </w:p>
          <w:p w14:paraId="202D53FE">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③=①×②</w:t>
            </w:r>
          </w:p>
        </w:tc>
      </w:tr>
      <w:tr w14:paraId="4F8CBE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7E1AF43B">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rPr>
              <w:t>1</w:t>
            </w:r>
          </w:p>
        </w:tc>
        <w:tc>
          <w:tcPr>
            <w:tcW w:w="1836" w:type="dxa"/>
            <w:vAlign w:val="center"/>
          </w:tcPr>
          <w:p w14:paraId="73A732EE">
            <w:pPr>
              <w:adjustRightInd w:val="0"/>
              <w:snapToGrid w:val="0"/>
              <w:spacing w:line="360" w:lineRule="auto"/>
              <w:ind w:left="-88" w:leftChars="-42"/>
              <w:jc w:val="center"/>
              <w:rPr>
                <w:rFonts w:ascii="宋体" w:hAnsi="宋体"/>
                <w:b/>
                <w:color w:val="auto"/>
                <w:szCs w:val="21"/>
                <w:highlight w:val="none"/>
              </w:rPr>
            </w:pPr>
          </w:p>
        </w:tc>
        <w:tc>
          <w:tcPr>
            <w:tcW w:w="871" w:type="dxa"/>
            <w:vAlign w:val="center"/>
          </w:tcPr>
          <w:p w14:paraId="278F2041">
            <w:pPr>
              <w:adjustRightInd w:val="0"/>
              <w:snapToGrid w:val="0"/>
              <w:spacing w:line="360" w:lineRule="auto"/>
              <w:jc w:val="center"/>
              <w:rPr>
                <w:rFonts w:ascii="宋体" w:hAnsi="宋体"/>
                <w:b/>
                <w:color w:val="auto"/>
                <w:szCs w:val="21"/>
                <w:highlight w:val="none"/>
              </w:rPr>
            </w:pPr>
          </w:p>
        </w:tc>
        <w:tc>
          <w:tcPr>
            <w:tcW w:w="3569" w:type="dxa"/>
            <w:vAlign w:val="center"/>
          </w:tcPr>
          <w:p w14:paraId="606BF12F">
            <w:pPr>
              <w:adjustRightInd w:val="0"/>
              <w:snapToGrid w:val="0"/>
              <w:spacing w:line="360" w:lineRule="auto"/>
              <w:jc w:val="center"/>
              <w:rPr>
                <w:rFonts w:ascii="宋体" w:hAnsi="宋体"/>
                <w:b/>
                <w:color w:val="auto"/>
                <w:szCs w:val="21"/>
                <w:highlight w:val="none"/>
              </w:rPr>
            </w:pPr>
          </w:p>
        </w:tc>
        <w:tc>
          <w:tcPr>
            <w:tcW w:w="1134" w:type="dxa"/>
            <w:vAlign w:val="center"/>
          </w:tcPr>
          <w:p w14:paraId="0AB08F2E">
            <w:pPr>
              <w:adjustRightInd w:val="0"/>
              <w:snapToGrid w:val="0"/>
              <w:spacing w:line="360" w:lineRule="auto"/>
              <w:jc w:val="center"/>
              <w:rPr>
                <w:rFonts w:ascii="宋体" w:hAnsi="宋体"/>
                <w:b/>
                <w:color w:val="auto"/>
                <w:szCs w:val="21"/>
                <w:highlight w:val="none"/>
              </w:rPr>
            </w:pPr>
          </w:p>
        </w:tc>
        <w:tc>
          <w:tcPr>
            <w:tcW w:w="1416" w:type="dxa"/>
            <w:vAlign w:val="center"/>
          </w:tcPr>
          <w:p w14:paraId="40CB69ED">
            <w:pPr>
              <w:adjustRightInd w:val="0"/>
              <w:snapToGrid w:val="0"/>
              <w:spacing w:line="360" w:lineRule="auto"/>
              <w:jc w:val="center"/>
              <w:rPr>
                <w:rFonts w:ascii="宋体" w:hAnsi="宋体"/>
                <w:b/>
                <w:color w:val="auto"/>
                <w:szCs w:val="21"/>
                <w:highlight w:val="none"/>
              </w:rPr>
            </w:pPr>
          </w:p>
        </w:tc>
      </w:tr>
      <w:tr w14:paraId="54B77B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315AB04C">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rPr>
              <w:t>2</w:t>
            </w:r>
          </w:p>
        </w:tc>
        <w:tc>
          <w:tcPr>
            <w:tcW w:w="1836" w:type="dxa"/>
            <w:vAlign w:val="center"/>
          </w:tcPr>
          <w:p w14:paraId="1F478F94">
            <w:pPr>
              <w:adjustRightInd w:val="0"/>
              <w:snapToGrid w:val="0"/>
              <w:spacing w:line="360" w:lineRule="auto"/>
              <w:ind w:left="-88" w:leftChars="-42"/>
              <w:jc w:val="center"/>
              <w:rPr>
                <w:rFonts w:ascii="宋体" w:hAnsi="宋体"/>
                <w:b/>
                <w:color w:val="auto"/>
                <w:szCs w:val="21"/>
                <w:highlight w:val="none"/>
              </w:rPr>
            </w:pPr>
          </w:p>
        </w:tc>
        <w:tc>
          <w:tcPr>
            <w:tcW w:w="871" w:type="dxa"/>
            <w:vAlign w:val="center"/>
          </w:tcPr>
          <w:p w14:paraId="6E45253A">
            <w:pPr>
              <w:adjustRightInd w:val="0"/>
              <w:snapToGrid w:val="0"/>
              <w:spacing w:line="360" w:lineRule="auto"/>
              <w:jc w:val="center"/>
              <w:rPr>
                <w:rFonts w:ascii="宋体" w:hAnsi="宋体"/>
                <w:b/>
                <w:color w:val="auto"/>
                <w:szCs w:val="21"/>
                <w:highlight w:val="none"/>
              </w:rPr>
            </w:pPr>
          </w:p>
        </w:tc>
        <w:tc>
          <w:tcPr>
            <w:tcW w:w="3569" w:type="dxa"/>
            <w:vAlign w:val="center"/>
          </w:tcPr>
          <w:p w14:paraId="2802D86D">
            <w:pPr>
              <w:adjustRightInd w:val="0"/>
              <w:snapToGrid w:val="0"/>
              <w:spacing w:line="360" w:lineRule="auto"/>
              <w:jc w:val="center"/>
              <w:rPr>
                <w:rFonts w:ascii="宋体" w:hAnsi="宋体"/>
                <w:b/>
                <w:color w:val="auto"/>
                <w:szCs w:val="21"/>
                <w:highlight w:val="none"/>
              </w:rPr>
            </w:pPr>
          </w:p>
        </w:tc>
        <w:tc>
          <w:tcPr>
            <w:tcW w:w="1134" w:type="dxa"/>
            <w:vAlign w:val="center"/>
          </w:tcPr>
          <w:p w14:paraId="0B92F57E">
            <w:pPr>
              <w:adjustRightInd w:val="0"/>
              <w:snapToGrid w:val="0"/>
              <w:spacing w:line="360" w:lineRule="auto"/>
              <w:jc w:val="center"/>
              <w:rPr>
                <w:rFonts w:ascii="宋体" w:hAnsi="宋体"/>
                <w:b/>
                <w:color w:val="auto"/>
                <w:szCs w:val="21"/>
                <w:highlight w:val="none"/>
              </w:rPr>
            </w:pPr>
          </w:p>
        </w:tc>
        <w:tc>
          <w:tcPr>
            <w:tcW w:w="1416" w:type="dxa"/>
            <w:vAlign w:val="center"/>
          </w:tcPr>
          <w:p w14:paraId="12C3A532">
            <w:pPr>
              <w:adjustRightInd w:val="0"/>
              <w:snapToGrid w:val="0"/>
              <w:spacing w:line="360" w:lineRule="auto"/>
              <w:jc w:val="center"/>
              <w:rPr>
                <w:rFonts w:ascii="宋体" w:hAnsi="宋体"/>
                <w:b/>
                <w:color w:val="auto"/>
                <w:szCs w:val="21"/>
                <w:highlight w:val="none"/>
              </w:rPr>
            </w:pPr>
          </w:p>
        </w:tc>
      </w:tr>
      <w:tr w14:paraId="0B92D5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07410831">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rPr>
              <w:t>3</w:t>
            </w:r>
          </w:p>
        </w:tc>
        <w:tc>
          <w:tcPr>
            <w:tcW w:w="1836" w:type="dxa"/>
            <w:vAlign w:val="center"/>
          </w:tcPr>
          <w:p w14:paraId="3E1CBB83">
            <w:pPr>
              <w:adjustRightInd w:val="0"/>
              <w:snapToGrid w:val="0"/>
              <w:spacing w:line="360" w:lineRule="auto"/>
              <w:ind w:left="-88" w:leftChars="-42"/>
              <w:jc w:val="center"/>
              <w:rPr>
                <w:rFonts w:ascii="宋体" w:hAnsi="宋体"/>
                <w:b/>
                <w:color w:val="auto"/>
                <w:szCs w:val="21"/>
                <w:highlight w:val="none"/>
              </w:rPr>
            </w:pPr>
          </w:p>
        </w:tc>
        <w:tc>
          <w:tcPr>
            <w:tcW w:w="871" w:type="dxa"/>
            <w:vAlign w:val="center"/>
          </w:tcPr>
          <w:p w14:paraId="0E24464A">
            <w:pPr>
              <w:adjustRightInd w:val="0"/>
              <w:snapToGrid w:val="0"/>
              <w:spacing w:line="360" w:lineRule="auto"/>
              <w:jc w:val="center"/>
              <w:rPr>
                <w:rFonts w:ascii="宋体" w:hAnsi="宋体"/>
                <w:b/>
                <w:color w:val="auto"/>
                <w:szCs w:val="21"/>
                <w:highlight w:val="none"/>
              </w:rPr>
            </w:pPr>
          </w:p>
        </w:tc>
        <w:tc>
          <w:tcPr>
            <w:tcW w:w="3569" w:type="dxa"/>
            <w:vAlign w:val="center"/>
          </w:tcPr>
          <w:p w14:paraId="792820C1">
            <w:pPr>
              <w:adjustRightInd w:val="0"/>
              <w:snapToGrid w:val="0"/>
              <w:spacing w:line="360" w:lineRule="auto"/>
              <w:jc w:val="center"/>
              <w:rPr>
                <w:rFonts w:ascii="宋体" w:hAnsi="宋体"/>
                <w:b/>
                <w:color w:val="auto"/>
                <w:szCs w:val="21"/>
                <w:highlight w:val="none"/>
              </w:rPr>
            </w:pPr>
          </w:p>
        </w:tc>
        <w:tc>
          <w:tcPr>
            <w:tcW w:w="1134" w:type="dxa"/>
            <w:vAlign w:val="center"/>
          </w:tcPr>
          <w:p w14:paraId="0FAD0127">
            <w:pPr>
              <w:adjustRightInd w:val="0"/>
              <w:snapToGrid w:val="0"/>
              <w:spacing w:line="360" w:lineRule="auto"/>
              <w:jc w:val="center"/>
              <w:rPr>
                <w:rFonts w:ascii="宋体" w:hAnsi="宋体"/>
                <w:b/>
                <w:color w:val="auto"/>
                <w:szCs w:val="21"/>
                <w:highlight w:val="none"/>
              </w:rPr>
            </w:pPr>
          </w:p>
        </w:tc>
        <w:tc>
          <w:tcPr>
            <w:tcW w:w="1416" w:type="dxa"/>
            <w:vAlign w:val="center"/>
          </w:tcPr>
          <w:p w14:paraId="33254DE2">
            <w:pPr>
              <w:adjustRightInd w:val="0"/>
              <w:snapToGrid w:val="0"/>
              <w:spacing w:line="360" w:lineRule="auto"/>
              <w:jc w:val="center"/>
              <w:rPr>
                <w:rFonts w:ascii="宋体" w:hAnsi="宋体"/>
                <w:b/>
                <w:color w:val="auto"/>
                <w:szCs w:val="21"/>
                <w:highlight w:val="none"/>
              </w:rPr>
            </w:pPr>
          </w:p>
        </w:tc>
      </w:tr>
      <w:tr w14:paraId="59AD64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6"/>
            <w:vAlign w:val="center"/>
          </w:tcPr>
          <w:p w14:paraId="228ED3C1">
            <w:pPr>
              <w:adjustRightInd w:val="0"/>
              <w:snapToGrid w:val="0"/>
              <w:spacing w:line="360" w:lineRule="auto"/>
              <w:rPr>
                <w:rFonts w:ascii="宋体" w:hAnsi="宋体"/>
                <w:color w:val="auto"/>
                <w:szCs w:val="21"/>
                <w:highlight w:val="none"/>
              </w:rPr>
            </w:pPr>
            <w:r>
              <w:rPr>
                <w:rFonts w:hint="eastAsia" w:ascii="宋体" w:hAnsi="宋体"/>
                <w:color w:val="auto"/>
                <w:spacing w:val="-6"/>
                <w:highlight w:val="none"/>
              </w:rPr>
              <w:t>总报价：（大写）人民币</w:t>
            </w:r>
            <w:r>
              <w:rPr>
                <w:rFonts w:hint="eastAsia" w:ascii="宋体" w:hAnsi="宋体"/>
                <w:color w:val="auto"/>
                <w:highlight w:val="none"/>
              </w:rPr>
              <w:t>元 (￥元)</w:t>
            </w:r>
          </w:p>
        </w:tc>
      </w:tr>
      <w:tr w14:paraId="2B042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6"/>
            <w:vAlign w:val="center"/>
          </w:tcPr>
          <w:p w14:paraId="1090EF2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合同履约期限</w:t>
            </w:r>
            <w:r>
              <w:rPr>
                <w:rFonts w:hint="eastAsia" w:ascii="宋体" w:hAnsi="宋体"/>
                <w:color w:val="auto"/>
                <w:szCs w:val="21"/>
                <w:highlight w:val="none"/>
              </w:rPr>
              <w:t>：</w:t>
            </w:r>
            <w:r>
              <w:rPr>
                <w:rFonts w:hint="eastAsia" w:ascii="宋体" w:hAnsi="宋体"/>
                <w:color w:val="auto"/>
                <w:szCs w:val="21"/>
                <w:highlight w:val="none"/>
                <w:lang w:val="en-US" w:eastAsia="zh-CN"/>
              </w:rPr>
              <w:t>自合同签订之日起至2026年12月31日之前完成全部项目工作内容</w:t>
            </w:r>
            <w:r>
              <w:rPr>
                <w:rFonts w:hint="eastAsia" w:ascii="宋体" w:hAnsi="宋体"/>
                <w:color w:val="auto"/>
                <w:szCs w:val="21"/>
                <w:highlight w:val="none"/>
              </w:rPr>
              <w:t>。</w:t>
            </w:r>
          </w:p>
        </w:tc>
      </w:tr>
      <w:tr w14:paraId="236614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6"/>
            <w:vAlign w:val="center"/>
          </w:tcPr>
          <w:p w14:paraId="4F9A83B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：本次报价须为人民币报价，</w:t>
            </w:r>
            <w:r>
              <w:rPr>
                <w:color w:val="auto"/>
                <w:spacing w:val="9"/>
                <w:highlight w:val="none"/>
              </w:rPr>
              <w:t>投标总报价包括提供本次服务的所有费用，含必要的保险费用和各项税金等；招标人不再提供差旅、交通、通讯、食宿等任何费用或条件。</w:t>
            </w:r>
          </w:p>
        </w:tc>
      </w:tr>
    </w:tbl>
    <w:p w14:paraId="1DC24A4D">
      <w:pPr>
        <w:snapToGrid w:val="0"/>
        <w:spacing w:before="50" w:after="50"/>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报价一经涂改，应在涂改处</w:t>
      </w:r>
      <w:r>
        <w:rPr>
          <w:rFonts w:ascii="宋体" w:hAnsi="宋体"/>
          <w:color w:val="auto"/>
          <w:szCs w:val="21"/>
          <w:highlight w:val="none"/>
        </w:rPr>
        <w:t>加盖</w:t>
      </w:r>
      <w:r>
        <w:rPr>
          <w:rFonts w:hint="eastAsia" w:ascii="宋体" w:hAnsi="宋体"/>
          <w:color w:val="auto"/>
          <w:szCs w:val="21"/>
          <w:highlight w:val="none"/>
        </w:rPr>
        <w:t>投标人</w:t>
      </w:r>
      <w:r>
        <w:rPr>
          <w:rFonts w:ascii="宋体" w:hAnsi="宋体"/>
          <w:color w:val="auto"/>
          <w:szCs w:val="21"/>
          <w:highlight w:val="none"/>
        </w:rPr>
        <w:t>单位章或由投标人的法定代表人或其</w:t>
      </w:r>
      <w:r>
        <w:rPr>
          <w:rFonts w:hint="eastAsia" w:ascii="宋体" w:hAnsi="宋体"/>
          <w:color w:val="auto"/>
          <w:szCs w:val="21"/>
          <w:highlight w:val="none"/>
        </w:rPr>
        <w:t>委托</w:t>
      </w:r>
      <w:r>
        <w:rPr>
          <w:rFonts w:ascii="宋体" w:hAnsi="宋体"/>
          <w:color w:val="auto"/>
          <w:szCs w:val="21"/>
          <w:highlight w:val="none"/>
        </w:rPr>
        <w:t>代理人签字确认</w:t>
      </w:r>
      <w:r>
        <w:rPr>
          <w:rFonts w:hint="eastAsia" w:ascii="宋体" w:hAnsi="宋体"/>
          <w:color w:val="auto"/>
          <w:szCs w:val="21"/>
          <w:highlight w:val="none"/>
        </w:rPr>
        <w:t>，否则其投标作无效标处理。</w:t>
      </w:r>
    </w:p>
    <w:p w14:paraId="531184F6">
      <w:pPr>
        <w:snapToGrid w:val="0"/>
        <w:spacing w:before="50" w:after="50" w:line="32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highlight w:val="none"/>
        </w:rPr>
        <w:t>投标报价是履行合同的最终价格，应包括货款、随配附件、备品备件、专用工具、包装、运输、装卸、保险、运抵指定交货地点、</w:t>
      </w:r>
      <w:r>
        <w:rPr>
          <w:rFonts w:hint="eastAsia" w:ascii="宋体" w:hAnsi="宋体"/>
          <w:color w:val="auto"/>
          <w:szCs w:val="21"/>
          <w:highlight w:val="none"/>
        </w:rPr>
        <w:t>种植服务等其他技术服务费用和售后服务</w:t>
      </w:r>
      <w:r>
        <w:rPr>
          <w:rFonts w:hint="eastAsia" w:ascii="宋体" w:hAnsi="宋体"/>
          <w:color w:val="auto"/>
          <w:highlight w:val="none"/>
        </w:rPr>
        <w:t>、培训、税金及其他所有成本费用的总和。</w:t>
      </w:r>
    </w:p>
    <w:p w14:paraId="64E99AD7">
      <w:pPr>
        <w:snapToGrid w:val="0"/>
        <w:spacing w:before="50" w:afterLines="50" w:line="440" w:lineRule="exact"/>
        <w:jc w:val="left"/>
        <w:rPr>
          <w:rFonts w:ascii="宋体" w:hAnsi="宋体"/>
          <w:color w:val="auto"/>
          <w:spacing w:val="20"/>
          <w:szCs w:val="21"/>
          <w:highlight w:val="none"/>
          <w:u w:val="single"/>
        </w:rPr>
      </w:pPr>
    </w:p>
    <w:p w14:paraId="37B7B04C">
      <w:pPr>
        <w:snapToGrid w:val="0"/>
        <w:spacing w:beforeLines="50" w:line="360" w:lineRule="exact"/>
        <w:ind w:firstLine="3612" w:firstLineChars="1720"/>
        <w:rPr>
          <w:rFonts w:ascii="宋体" w:hAnsi="宋体"/>
          <w:color w:val="auto"/>
          <w:szCs w:val="21"/>
          <w:highlight w:val="none"/>
        </w:rPr>
      </w:pPr>
      <w:r>
        <w:rPr>
          <w:rFonts w:hint="eastAsia" w:ascii="宋体" w:hAnsi="宋体"/>
          <w:color w:val="auto"/>
          <w:szCs w:val="21"/>
          <w:highlight w:val="none"/>
        </w:rPr>
        <w:t>投标人名称（盖单位公章）：</w:t>
      </w:r>
    </w:p>
    <w:p w14:paraId="258B0053">
      <w:pPr>
        <w:snapToGrid w:val="0"/>
        <w:spacing w:beforeLines="50" w:line="360" w:lineRule="exact"/>
        <w:ind w:firstLine="2520" w:firstLineChars="1200"/>
        <w:rPr>
          <w:rFonts w:ascii="宋体" w:hAnsi="宋体"/>
          <w:color w:val="auto"/>
          <w:szCs w:val="21"/>
          <w:highlight w:val="none"/>
        </w:rPr>
      </w:pPr>
      <w:r>
        <w:rPr>
          <w:rFonts w:hint="eastAsia" w:ascii="宋体" w:hAnsi="宋体"/>
          <w:color w:val="auto"/>
          <w:szCs w:val="21"/>
          <w:highlight w:val="none"/>
        </w:rPr>
        <w:t>法定代表人或授权代表（签字或者盖章或者电子签名）：</w:t>
      </w:r>
    </w:p>
    <w:p w14:paraId="64F26D5A">
      <w:pPr>
        <w:snapToGrid w:val="0"/>
        <w:spacing w:beforeLines="50" w:after="50" w:line="36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                                 日  期</w:t>
      </w:r>
      <w:r>
        <w:rPr>
          <w:rFonts w:ascii="宋体" w:hAnsi="宋体"/>
          <w:color w:val="auto"/>
          <w:szCs w:val="21"/>
          <w:highlight w:val="none"/>
        </w:rPr>
        <w:t>：</w:t>
      </w:r>
      <w:r>
        <w:rPr>
          <w:rFonts w:hint="eastAsia" w:ascii="宋体" w:hAnsi="宋体"/>
          <w:color w:val="auto"/>
          <w:szCs w:val="21"/>
          <w:highlight w:val="none"/>
        </w:rPr>
        <w:t>年 月日</w:t>
      </w:r>
    </w:p>
    <w:p w14:paraId="044636E4">
      <w:pPr>
        <w:tabs>
          <w:tab w:val="left" w:pos="3870"/>
          <w:tab w:val="left" w:pos="4085"/>
        </w:tabs>
        <w:snapToGrid w:val="0"/>
        <w:spacing w:line="400" w:lineRule="exact"/>
        <w:jc w:val="left"/>
        <w:rPr>
          <w:rFonts w:ascii="宋体" w:hAnsi="宋体"/>
          <w:b/>
          <w:color w:val="auto"/>
          <w:sz w:val="28"/>
          <w:szCs w:val="28"/>
          <w:highlight w:val="none"/>
        </w:rPr>
      </w:pPr>
    </w:p>
    <w:p w14:paraId="1F06F4DC">
      <w:pPr>
        <w:pStyle w:val="21"/>
        <w:rPr>
          <w:rFonts w:ascii="宋体" w:hAnsi="宋体"/>
          <w:b/>
          <w:color w:val="auto"/>
          <w:sz w:val="28"/>
          <w:szCs w:val="28"/>
          <w:highlight w:val="none"/>
        </w:rPr>
      </w:pPr>
    </w:p>
    <w:p w14:paraId="5C2DBFD5">
      <w:pPr>
        <w:rPr>
          <w:rFonts w:ascii="宋体" w:hAnsi="宋体"/>
          <w:b/>
          <w:color w:val="auto"/>
          <w:sz w:val="28"/>
          <w:szCs w:val="28"/>
          <w:highlight w:val="none"/>
        </w:rPr>
      </w:pPr>
    </w:p>
    <w:p w14:paraId="094C2EFD">
      <w:pPr>
        <w:pStyle w:val="21"/>
        <w:rPr>
          <w:rFonts w:ascii="宋体" w:hAnsi="宋体"/>
          <w:b/>
          <w:color w:val="auto"/>
          <w:sz w:val="28"/>
          <w:szCs w:val="28"/>
          <w:highlight w:val="none"/>
        </w:rPr>
      </w:pPr>
    </w:p>
    <w:p w14:paraId="5E77EADC">
      <w:pPr>
        <w:rPr>
          <w:color w:val="auto"/>
          <w:highlight w:val="none"/>
        </w:rPr>
      </w:pPr>
    </w:p>
    <w:p w14:paraId="211B5539">
      <w:pPr>
        <w:rPr>
          <w:color w:val="auto"/>
          <w:highlight w:val="none"/>
        </w:rPr>
      </w:pPr>
    </w:p>
    <w:p w14:paraId="43CD3E28">
      <w:pPr>
        <w:rPr>
          <w:color w:val="auto"/>
          <w:highlight w:val="none"/>
        </w:rPr>
      </w:pPr>
    </w:p>
    <w:p w14:paraId="3AF38ED1">
      <w:pPr>
        <w:rPr>
          <w:color w:val="auto"/>
          <w:highlight w:val="none"/>
        </w:rPr>
      </w:pPr>
    </w:p>
    <w:p w14:paraId="3CF8DB16">
      <w:pPr>
        <w:tabs>
          <w:tab w:val="left" w:pos="3870"/>
          <w:tab w:val="left" w:pos="4085"/>
        </w:tabs>
        <w:snapToGrid w:val="0"/>
        <w:spacing w:line="400" w:lineRule="exact"/>
        <w:jc w:val="left"/>
        <w:rPr>
          <w:rFonts w:ascii="宋体" w:hAnsi="宋体"/>
          <w:b/>
          <w:color w:val="auto"/>
          <w:sz w:val="28"/>
          <w:szCs w:val="28"/>
          <w:highlight w:val="none"/>
        </w:rPr>
      </w:pPr>
      <w:r>
        <w:rPr>
          <w:rFonts w:ascii="宋体" w:hAnsi="宋体"/>
          <w:b/>
          <w:color w:val="auto"/>
          <w:sz w:val="28"/>
          <w:szCs w:val="28"/>
          <w:highlight w:val="none"/>
        </w:rPr>
        <w:t>3.</w:t>
      </w:r>
      <w:r>
        <w:rPr>
          <w:rFonts w:hint="eastAsia" w:ascii="宋体" w:hAnsi="宋体"/>
          <w:b/>
          <w:color w:val="auto"/>
          <w:sz w:val="28"/>
          <w:szCs w:val="28"/>
          <w:highlight w:val="none"/>
        </w:rPr>
        <w:t>开标一览表；</w:t>
      </w:r>
    </w:p>
    <w:p w14:paraId="180F01DB">
      <w:pPr>
        <w:snapToGrid w:val="0"/>
        <w:spacing w:before="295" w:after="295" w:line="400" w:lineRule="exact"/>
        <w:jc w:val="center"/>
        <w:rPr>
          <w:rFonts w:ascii="宋体" w:hAnsi="宋体" w:cs="等线"/>
          <w:b/>
          <w:color w:val="auto"/>
          <w:sz w:val="30"/>
          <w:szCs w:val="30"/>
          <w:highlight w:val="none"/>
        </w:rPr>
      </w:pPr>
      <w:r>
        <w:rPr>
          <w:rFonts w:hint="eastAsia" w:ascii="宋体" w:hAnsi="宋体" w:cs="等线"/>
          <w:b/>
          <w:color w:val="auto"/>
          <w:sz w:val="30"/>
          <w:szCs w:val="30"/>
          <w:highlight w:val="none"/>
        </w:rPr>
        <w:t>开标一览表</w:t>
      </w:r>
    </w:p>
    <w:p w14:paraId="53B5A66F">
      <w:pPr>
        <w:snapToGrid w:val="0"/>
        <w:spacing w:line="400" w:lineRule="exact"/>
        <w:rPr>
          <w:rFonts w:ascii="宋体" w:hAnsi="宋体" w:cs="等线"/>
          <w:color w:val="auto"/>
          <w:szCs w:val="21"/>
          <w:highlight w:val="none"/>
        </w:rPr>
      </w:pPr>
      <w:r>
        <w:rPr>
          <w:rFonts w:hint="eastAsia" w:ascii="宋体" w:hAnsi="宋体" w:cs="等线"/>
          <w:color w:val="auto"/>
          <w:szCs w:val="21"/>
          <w:highlight w:val="none"/>
        </w:rPr>
        <w:t>项目名称：</w:t>
      </w:r>
    </w:p>
    <w:p w14:paraId="72540804">
      <w:pPr>
        <w:snapToGrid w:val="0"/>
        <w:spacing w:line="400" w:lineRule="exact"/>
        <w:rPr>
          <w:rFonts w:hint="eastAsia" w:ascii="宋体" w:hAnsi="宋体" w:cs="等线"/>
          <w:color w:val="auto"/>
          <w:szCs w:val="21"/>
          <w:highlight w:val="none"/>
        </w:rPr>
      </w:pPr>
      <w:r>
        <w:rPr>
          <w:rFonts w:hint="eastAsia" w:ascii="宋体" w:hAnsi="宋体" w:cs="等线"/>
          <w:color w:val="auto"/>
          <w:szCs w:val="21"/>
          <w:highlight w:val="none"/>
        </w:rPr>
        <w:t>项目编号：</w:t>
      </w:r>
    </w:p>
    <w:p w14:paraId="55C4551C">
      <w:pPr>
        <w:snapToGrid w:val="0"/>
        <w:spacing w:line="400" w:lineRule="exact"/>
        <w:rPr>
          <w:rFonts w:hint="default" w:ascii="宋体" w:hAnsi="宋体" w:eastAsia="宋体" w:cs="等线"/>
          <w:color w:val="auto"/>
          <w:szCs w:val="21"/>
          <w:highlight w:val="none"/>
          <w:lang w:val="en-US" w:eastAsia="zh-CN"/>
        </w:rPr>
      </w:pPr>
      <w:r>
        <w:rPr>
          <w:rFonts w:hint="eastAsia" w:ascii="宋体" w:hAnsi="宋体" w:cs="等线"/>
          <w:color w:val="auto"/>
          <w:szCs w:val="21"/>
          <w:highlight w:val="none"/>
          <w:lang w:val="en-US" w:eastAsia="zh-CN"/>
        </w:rPr>
        <w:t>分标项：</w:t>
      </w:r>
    </w:p>
    <w:p w14:paraId="40847A9C">
      <w:pPr>
        <w:snapToGrid w:val="0"/>
        <w:spacing w:line="400" w:lineRule="exact"/>
        <w:ind w:firstLine="7140" w:firstLineChars="3400"/>
        <w:rPr>
          <w:rFonts w:ascii="宋体" w:hAnsi="宋体"/>
          <w:color w:val="auto"/>
          <w:szCs w:val="21"/>
          <w:highlight w:val="none"/>
        </w:rPr>
      </w:pPr>
      <w:r>
        <w:rPr>
          <w:rFonts w:hint="eastAsia" w:ascii="宋体" w:hAnsi="宋体"/>
          <w:color w:val="auto"/>
          <w:szCs w:val="21"/>
          <w:highlight w:val="none"/>
        </w:rPr>
        <w:t>金额单位：人民币（元）</w:t>
      </w:r>
    </w:p>
    <w:tbl>
      <w:tblPr>
        <w:tblStyle w:val="55"/>
        <w:tblW w:w="95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3786"/>
        <w:gridCol w:w="1341"/>
        <w:gridCol w:w="1163"/>
        <w:gridCol w:w="2536"/>
      </w:tblGrid>
      <w:tr w14:paraId="30562D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705" w:type="dxa"/>
            <w:vAlign w:val="center"/>
          </w:tcPr>
          <w:p w14:paraId="51519931">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rPr>
              <w:t>序号</w:t>
            </w:r>
          </w:p>
        </w:tc>
        <w:tc>
          <w:tcPr>
            <w:tcW w:w="3786" w:type="dxa"/>
            <w:vAlign w:val="center"/>
          </w:tcPr>
          <w:p w14:paraId="02E98A5D">
            <w:pPr>
              <w:adjustRightInd w:val="0"/>
              <w:snapToGrid w:val="0"/>
              <w:spacing w:line="360" w:lineRule="auto"/>
              <w:ind w:left="-88" w:leftChars="-42"/>
              <w:jc w:val="center"/>
              <w:rPr>
                <w:rFonts w:ascii="宋体" w:hAnsi="宋体"/>
                <w:b/>
                <w:color w:val="auto"/>
                <w:szCs w:val="21"/>
                <w:highlight w:val="none"/>
              </w:rPr>
            </w:pPr>
            <w:r>
              <w:rPr>
                <w:rFonts w:hint="eastAsia" w:ascii="宋体" w:hAnsi="宋体"/>
                <w:b/>
                <w:color w:val="auto"/>
                <w:szCs w:val="21"/>
                <w:highlight w:val="none"/>
                <w:lang w:eastAsia="zh-CN"/>
              </w:rPr>
              <w:t>项目</w:t>
            </w:r>
            <w:r>
              <w:rPr>
                <w:rFonts w:hint="eastAsia" w:ascii="宋体" w:hAnsi="宋体"/>
                <w:b/>
                <w:color w:val="auto"/>
                <w:szCs w:val="21"/>
                <w:highlight w:val="none"/>
              </w:rPr>
              <w:t>名称</w:t>
            </w:r>
          </w:p>
        </w:tc>
        <w:tc>
          <w:tcPr>
            <w:tcW w:w="1341" w:type="dxa"/>
            <w:vAlign w:val="center"/>
          </w:tcPr>
          <w:p w14:paraId="2EAC1537">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数量（项）①</w:t>
            </w:r>
          </w:p>
        </w:tc>
        <w:tc>
          <w:tcPr>
            <w:tcW w:w="1163" w:type="dxa"/>
            <w:vAlign w:val="center"/>
          </w:tcPr>
          <w:p w14:paraId="18590A3D">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单价（元/项）②</w:t>
            </w:r>
          </w:p>
        </w:tc>
        <w:tc>
          <w:tcPr>
            <w:tcW w:w="2536" w:type="dxa"/>
            <w:vAlign w:val="center"/>
          </w:tcPr>
          <w:p w14:paraId="6267E017">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合价（元）</w:t>
            </w:r>
          </w:p>
          <w:p w14:paraId="596C750D">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③=①×②</w:t>
            </w:r>
          </w:p>
        </w:tc>
      </w:tr>
      <w:tr w14:paraId="4D2A11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650130BA">
            <w:pPr>
              <w:adjustRightInd w:val="0"/>
              <w:snapToGrid w:val="0"/>
              <w:spacing w:line="360" w:lineRule="auto"/>
              <w:ind w:left="-88" w:leftChars="-42"/>
              <w:jc w:val="center"/>
              <w:rPr>
                <w:rFonts w:ascii="宋体" w:hAnsi="宋体"/>
                <w:color w:val="auto"/>
                <w:szCs w:val="21"/>
                <w:highlight w:val="none"/>
              </w:rPr>
            </w:pPr>
            <w:r>
              <w:rPr>
                <w:rFonts w:hint="eastAsia" w:ascii="宋体" w:hAnsi="宋体"/>
                <w:color w:val="auto"/>
                <w:szCs w:val="21"/>
                <w:highlight w:val="none"/>
              </w:rPr>
              <w:t>1</w:t>
            </w:r>
          </w:p>
        </w:tc>
        <w:tc>
          <w:tcPr>
            <w:tcW w:w="3786" w:type="dxa"/>
            <w:vAlign w:val="center"/>
          </w:tcPr>
          <w:p w14:paraId="19A0B714">
            <w:pPr>
              <w:adjustRightInd w:val="0"/>
              <w:snapToGrid w:val="0"/>
              <w:spacing w:line="360" w:lineRule="auto"/>
              <w:ind w:left="-88" w:leftChars="-42"/>
              <w:jc w:val="center"/>
              <w:rPr>
                <w:rFonts w:ascii="宋体" w:hAnsi="宋体"/>
                <w:color w:val="auto"/>
                <w:szCs w:val="21"/>
                <w:highlight w:val="none"/>
              </w:rPr>
            </w:pPr>
          </w:p>
        </w:tc>
        <w:tc>
          <w:tcPr>
            <w:tcW w:w="1341" w:type="dxa"/>
            <w:vAlign w:val="center"/>
          </w:tcPr>
          <w:p w14:paraId="41F3141E">
            <w:pPr>
              <w:adjustRightInd w:val="0"/>
              <w:snapToGrid w:val="0"/>
              <w:spacing w:line="360" w:lineRule="auto"/>
              <w:jc w:val="center"/>
              <w:rPr>
                <w:rFonts w:ascii="宋体" w:hAnsi="宋体"/>
                <w:color w:val="auto"/>
                <w:szCs w:val="21"/>
                <w:highlight w:val="none"/>
              </w:rPr>
            </w:pPr>
          </w:p>
        </w:tc>
        <w:tc>
          <w:tcPr>
            <w:tcW w:w="1163" w:type="dxa"/>
            <w:vAlign w:val="center"/>
          </w:tcPr>
          <w:p w14:paraId="6A70D145">
            <w:pPr>
              <w:adjustRightInd w:val="0"/>
              <w:snapToGrid w:val="0"/>
              <w:spacing w:line="360" w:lineRule="auto"/>
              <w:jc w:val="center"/>
              <w:rPr>
                <w:rFonts w:ascii="宋体" w:hAnsi="宋体"/>
                <w:color w:val="auto"/>
                <w:szCs w:val="21"/>
                <w:highlight w:val="none"/>
              </w:rPr>
            </w:pPr>
          </w:p>
        </w:tc>
        <w:tc>
          <w:tcPr>
            <w:tcW w:w="2536" w:type="dxa"/>
            <w:vAlign w:val="center"/>
          </w:tcPr>
          <w:p w14:paraId="25C383C3">
            <w:pPr>
              <w:adjustRightInd w:val="0"/>
              <w:snapToGrid w:val="0"/>
              <w:spacing w:line="360" w:lineRule="auto"/>
              <w:jc w:val="center"/>
              <w:rPr>
                <w:rFonts w:ascii="宋体" w:hAnsi="宋体"/>
                <w:color w:val="auto"/>
                <w:szCs w:val="21"/>
                <w:highlight w:val="none"/>
              </w:rPr>
            </w:pPr>
          </w:p>
        </w:tc>
      </w:tr>
      <w:tr w14:paraId="640827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73ECD942">
            <w:pPr>
              <w:adjustRightInd w:val="0"/>
              <w:snapToGrid w:val="0"/>
              <w:spacing w:line="360" w:lineRule="auto"/>
              <w:ind w:left="-88" w:leftChars="-42"/>
              <w:jc w:val="center"/>
              <w:rPr>
                <w:rFonts w:ascii="宋体" w:hAnsi="宋体"/>
                <w:color w:val="auto"/>
                <w:szCs w:val="21"/>
                <w:highlight w:val="none"/>
              </w:rPr>
            </w:pPr>
            <w:r>
              <w:rPr>
                <w:rFonts w:hint="eastAsia" w:ascii="宋体" w:hAnsi="宋体"/>
                <w:color w:val="auto"/>
                <w:szCs w:val="21"/>
                <w:highlight w:val="none"/>
              </w:rPr>
              <w:t>2</w:t>
            </w:r>
          </w:p>
        </w:tc>
        <w:tc>
          <w:tcPr>
            <w:tcW w:w="3786" w:type="dxa"/>
            <w:vAlign w:val="center"/>
          </w:tcPr>
          <w:p w14:paraId="2453FA7C">
            <w:pPr>
              <w:adjustRightInd w:val="0"/>
              <w:snapToGrid w:val="0"/>
              <w:spacing w:line="360" w:lineRule="auto"/>
              <w:ind w:left="-88" w:leftChars="-42"/>
              <w:jc w:val="center"/>
              <w:rPr>
                <w:rFonts w:ascii="宋体" w:hAnsi="宋体"/>
                <w:color w:val="auto"/>
                <w:szCs w:val="21"/>
                <w:highlight w:val="none"/>
              </w:rPr>
            </w:pPr>
          </w:p>
        </w:tc>
        <w:tc>
          <w:tcPr>
            <w:tcW w:w="1341" w:type="dxa"/>
            <w:vAlign w:val="center"/>
          </w:tcPr>
          <w:p w14:paraId="78ED3200">
            <w:pPr>
              <w:adjustRightInd w:val="0"/>
              <w:snapToGrid w:val="0"/>
              <w:spacing w:line="360" w:lineRule="auto"/>
              <w:jc w:val="center"/>
              <w:rPr>
                <w:rFonts w:ascii="宋体" w:hAnsi="宋体"/>
                <w:color w:val="auto"/>
                <w:szCs w:val="21"/>
                <w:highlight w:val="none"/>
              </w:rPr>
            </w:pPr>
          </w:p>
        </w:tc>
        <w:tc>
          <w:tcPr>
            <w:tcW w:w="1163" w:type="dxa"/>
            <w:vAlign w:val="center"/>
          </w:tcPr>
          <w:p w14:paraId="2AB1A9E1">
            <w:pPr>
              <w:adjustRightInd w:val="0"/>
              <w:snapToGrid w:val="0"/>
              <w:spacing w:line="360" w:lineRule="auto"/>
              <w:jc w:val="center"/>
              <w:rPr>
                <w:rFonts w:ascii="宋体" w:hAnsi="宋体"/>
                <w:color w:val="auto"/>
                <w:szCs w:val="21"/>
                <w:highlight w:val="none"/>
              </w:rPr>
            </w:pPr>
          </w:p>
        </w:tc>
        <w:tc>
          <w:tcPr>
            <w:tcW w:w="2536" w:type="dxa"/>
            <w:vAlign w:val="center"/>
          </w:tcPr>
          <w:p w14:paraId="63E427E9">
            <w:pPr>
              <w:adjustRightInd w:val="0"/>
              <w:snapToGrid w:val="0"/>
              <w:spacing w:line="360" w:lineRule="auto"/>
              <w:jc w:val="center"/>
              <w:rPr>
                <w:rFonts w:ascii="宋体" w:hAnsi="宋体"/>
                <w:color w:val="auto"/>
                <w:szCs w:val="21"/>
                <w:highlight w:val="none"/>
              </w:rPr>
            </w:pPr>
          </w:p>
        </w:tc>
      </w:tr>
      <w:tr w14:paraId="521AEF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68BDB8CD">
            <w:pPr>
              <w:adjustRightInd w:val="0"/>
              <w:snapToGrid w:val="0"/>
              <w:spacing w:line="360" w:lineRule="auto"/>
              <w:ind w:left="-88" w:leftChars="-42"/>
              <w:jc w:val="center"/>
              <w:rPr>
                <w:rFonts w:ascii="宋体" w:hAnsi="宋体"/>
                <w:color w:val="auto"/>
                <w:szCs w:val="21"/>
                <w:highlight w:val="none"/>
              </w:rPr>
            </w:pPr>
            <w:r>
              <w:rPr>
                <w:rFonts w:hint="eastAsia" w:ascii="宋体" w:hAnsi="宋体"/>
                <w:color w:val="auto"/>
                <w:szCs w:val="21"/>
                <w:highlight w:val="none"/>
              </w:rPr>
              <w:t>3</w:t>
            </w:r>
          </w:p>
        </w:tc>
        <w:tc>
          <w:tcPr>
            <w:tcW w:w="3786" w:type="dxa"/>
            <w:vAlign w:val="center"/>
          </w:tcPr>
          <w:p w14:paraId="01EF0991">
            <w:pPr>
              <w:adjustRightInd w:val="0"/>
              <w:snapToGrid w:val="0"/>
              <w:spacing w:line="360" w:lineRule="auto"/>
              <w:ind w:left="-88" w:leftChars="-42"/>
              <w:jc w:val="center"/>
              <w:rPr>
                <w:rFonts w:ascii="宋体" w:hAnsi="宋体"/>
                <w:color w:val="auto"/>
                <w:szCs w:val="21"/>
                <w:highlight w:val="none"/>
              </w:rPr>
            </w:pPr>
          </w:p>
        </w:tc>
        <w:tc>
          <w:tcPr>
            <w:tcW w:w="1341" w:type="dxa"/>
            <w:vAlign w:val="center"/>
          </w:tcPr>
          <w:p w14:paraId="22FAAD2B">
            <w:pPr>
              <w:adjustRightInd w:val="0"/>
              <w:snapToGrid w:val="0"/>
              <w:spacing w:line="360" w:lineRule="auto"/>
              <w:jc w:val="center"/>
              <w:rPr>
                <w:rFonts w:ascii="宋体" w:hAnsi="宋体"/>
                <w:color w:val="auto"/>
                <w:szCs w:val="21"/>
                <w:highlight w:val="none"/>
              </w:rPr>
            </w:pPr>
          </w:p>
        </w:tc>
        <w:tc>
          <w:tcPr>
            <w:tcW w:w="1163" w:type="dxa"/>
            <w:vAlign w:val="center"/>
          </w:tcPr>
          <w:p w14:paraId="4E4E3458">
            <w:pPr>
              <w:adjustRightInd w:val="0"/>
              <w:snapToGrid w:val="0"/>
              <w:spacing w:line="360" w:lineRule="auto"/>
              <w:jc w:val="center"/>
              <w:rPr>
                <w:rFonts w:ascii="宋体" w:hAnsi="宋体"/>
                <w:color w:val="auto"/>
                <w:szCs w:val="21"/>
                <w:highlight w:val="none"/>
              </w:rPr>
            </w:pPr>
          </w:p>
        </w:tc>
        <w:tc>
          <w:tcPr>
            <w:tcW w:w="2536" w:type="dxa"/>
            <w:vAlign w:val="center"/>
          </w:tcPr>
          <w:p w14:paraId="53DA58CD">
            <w:pPr>
              <w:adjustRightInd w:val="0"/>
              <w:snapToGrid w:val="0"/>
              <w:spacing w:line="360" w:lineRule="auto"/>
              <w:jc w:val="center"/>
              <w:rPr>
                <w:rFonts w:ascii="宋体" w:hAnsi="宋体"/>
                <w:color w:val="auto"/>
                <w:szCs w:val="21"/>
                <w:highlight w:val="none"/>
              </w:rPr>
            </w:pPr>
          </w:p>
        </w:tc>
      </w:tr>
      <w:tr w14:paraId="4B3295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705" w:type="dxa"/>
            <w:vAlign w:val="center"/>
          </w:tcPr>
          <w:p w14:paraId="72635CD7">
            <w:pPr>
              <w:adjustRightInd w:val="0"/>
              <w:snapToGrid w:val="0"/>
              <w:spacing w:line="360" w:lineRule="auto"/>
              <w:ind w:left="-88" w:leftChars="-42"/>
              <w:jc w:val="center"/>
              <w:rPr>
                <w:rFonts w:ascii="宋体" w:hAnsi="宋体"/>
                <w:color w:val="auto"/>
                <w:szCs w:val="21"/>
                <w:highlight w:val="none"/>
              </w:rPr>
            </w:pPr>
            <w:r>
              <w:rPr>
                <w:rFonts w:hint="eastAsia" w:ascii="宋体" w:hAnsi="宋体"/>
                <w:color w:val="auto"/>
                <w:szCs w:val="21"/>
                <w:highlight w:val="none"/>
              </w:rPr>
              <w:t>4</w:t>
            </w:r>
          </w:p>
        </w:tc>
        <w:tc>
          <w:tcPr>
            <w:tcW w:w="3786" w:type="dxa"/>
            <w:vAlign w:val="center"/>
          </w:tcPr>
          <w:p w14:paraId="7FADB870">
            <w:pPr>
              <w:adjustRightInd w:val="0"/>
              <w:snapToGrid w:val="0"/>
              <w:spacing w:line="360" w:lineRule="auto"/>
              <w:ind w:left="-88" w:leftChars="-42"/>
              <w:jc w:val="center"/>
              <w:rPr>
                <w:rFonts w:ascii="宋体" w:hAnsi="宋体"/>
                <w:color w:val="auto"/>
                <w:szCs w:val="21"/>
                <w:highlight w:val="none"/>
              </w:rPr>
            </w:pPr>
          </w:p>
        </w:tc>
        <w:tc>
          <w:tcPr>
            <w:tcW w:w="1341" w:type="dxa"/>
            <w:vAlign w:val="center"/>
          </w:tcPr>
          <w:p w14:paraId="3FD85CAD">
            <w:pPr>
              <w:adjustRightInd w:val="0"/>
              <w:snapToGrid w:val="0"/>
              <w:spacing w:line="360" w:lineRule="auto"/>
              <w:jc w:val="center"/>
              <w:rPr>
                <w:rFonts w:ascii="宋体" w:hAnsi="宋体"/>
                <w:color w:val="auto"/>
                <w:szCs w:val="21"/>
                <w:highlight w:val="none"/>
              </w:rPr>
            </w:pPr>
          </w:p>
        </w:tc>
        <w:tc>
          <w:tcPr>
            <w:tcW w:w="1163" w:type="dxa"/>
            <w:vAlign w:val="center"/>
          </w:tcPr>
          <w:p w14:paraId="2BC2685D">
            <w:pPr>
              <w:adjustRightInd w:val="0"/>
              <w:snapToGrid w:val="0"/>
              <w:spacing w:line="360" w:lineRule="auto"/>
              <w:jc w:val="center"/>
              <w:rPr>
                <w:rFonts w:ascii="宋体" w:hAnsi="宋体"/>
                <w:color w:val="auto"/>
                <w:szCs w:val="21"/>
                <w:highlight w:val="none"/>
              </w:rPr>
            </w:pPr>
          </w:p>
        </w:tc>
        <w:tc>
          <w:tcPr>
            <w:tcW w:w="2536" w:type="dxa"/>
            <w:vAlign w:val="center"/>
          </w:tcPr>
          <w:p w14:paraId="7E5A5D26">
            <w:pPr>
              <w:adjustRightInd w:val="0"/>
              <w:snapToGrid w:val="0"/>
              <w:spacing w:line="360" w:lineRule="auto"/>
              <w:jc w:val="center"/>
              <w:rPr>
                <w:rFonts w:ascii="宋体" w:hAnsi="宋体"/>
                <w:color w:val="auto"/>
                <w:szCs w:val="21"/>
                <w:highlight w:val="none"/>
              </w:rPr>
            </w:pPr>
          </w:p>
        </w:tc>
      </w:tr>
      <w:tr w14:paraId="14E2DF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5"/>
            <w:vAlign w:val="center"/>
          </w:tcPr>
          <w:p w14:paraId="7194AEE7">
            <w:pPr>
              <w:adjustRightInd w:val="0"/>
              <w:snapToGrid w:val="0"/>
              <w:spacing w:line="360" w:lineRule="auto"/>
              <w:rPr>
                <w:rFonts w:ascii="宋体" w:hAnsi="宋体"/>
                <w:color w:val="auto"/>
                <w:szCs w:val="21"/>
                <w:highlight w:val="none"/>
              </w:rPr>
            </w:pPr>
            <w:r>
              <w:rPr>
                <w:rFonts w:hint="eastAsia" w:ascii="宋体" w:hAnsi="宋体"/>
                <w:color w:val="auto"/>
                <w:spacing w:val="-6"/>
                <w:highlight w:val="none"/>
              </w:rPr>
              <w:t>总报价：（大写）人民币</w:t>
            </w:r>
            <w:r>
              <w:rPr>
                <w:rFonts w:hint="eastAsia" w:ascii="宋体" w:hAnsi="宋体"/>
                <w:color w:val="auto"/>
                <w:highlight w:val="none"/>
              </w:rPr>
              <w:t>元 (￥元)</w:t>
            </w:r>
          </w:p>
        </w:tc>
      </w:tr>
      <w:tr w14:paraId="69E972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5"/>
            <w:vAlign w:val="center"/>
          </w:tcPr>
          <w:p w14:paraId="256B875E">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合同履约期限</w:t>
            </w:r>
            <w:r>
              <w:rPr>
                <w:rFonts w:hint="eastAsia" w:ascii="宋体" w:hAnsi="宋体"/>
                <w:color w:val="auto"/>
                <w:szCs w:val="21"/>
                <w:highlight w:val="none"/>
              </w:rPr>
              <w:t>：</w:t>
            </w:r>
            <w:r>
              <w:rPr>
                <w:rFonts w:hint="eastAsia" w:ascii="宋体" w:hAnsi="宋体"/>
                <w:color w:val="auto"/>
                <w:szCs w:val="21"/>
                <w:highlight w:val="none"/>
                <w:lang w:val="en-US" w:eastAsia="zh-CN"/>
              </w:rPr>
              <w:t>自合同签订之日起至2026年12月31日之前完成全部项目工作内容</w:t>
            </w:r>
            <w:r>
              <w:rPr>
                <w:rFonts w:hint="eastAsia" w:ascii="宋体" w:hAnsi="宋体"/>
                <w:color w:val="auto"/>
                <w:szCs w:val="21"/>
                <w:highlight w:val="none"/>
              </w:rPr>
              <w:t>。</w:t>
            </w:r>
          </w:p>
        </w:tc>
      </w:tr>
      <w:tr w14:paraId="67A3D6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531" w:type="dxa"/>
            <w:gridSpan w:val="5"/>
            <w:vAlign w:val="center"/>
          </w:tcPr>
          <w:p w14:paraId="1BB66AD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：本次报价须为人民币报价，</w:t>
            </w:r>
            <w:r>
              <w:rPr>
                <w:color w:val="auto"/>
                <w:spacing w:val="9"/>
                <w:highlight w:val="none"/>
              </w:rPr>
              <w:t>投标总报价包括提供本次服务的所有费用，含必要的保险费用和各项税金等；招标人不再提供差旅、交通、通讯、食宿等任何费用或条件。</w:t>
            </w:r>
          </w:p>
        </w:tc>
      </w:tr>
    </w:tbl>
    <w:p w14:paraId="4A7CC8D7">
      <w:pPr>
        <w:snapToGrid w:val="0"/>
        <w:spacing w:before="50" w:after="50" w:line="320" w:lineRule="exact"/>
        <w:jc w:val="left"/>
        <w:rPr>
          <w:rFonts w:ascii="宋体" w:hAnsi="宋体" w:cs="仿宋"/>
          <w:color w:val="auto"/>
          <w:szCs w:val="21"/>
          <w:highlight w:val="none"/>
        </w:rPr>
      </w:pPr>
      <w:r>
        <w:rPr>
          <w:rFonts w:hint="eastAsia" w:ascii="宋体" w:hAnsi="宋体" w:cs="仿宋"/>
          <w:color w:val="auto"/>
          <w:szCs w:val="21"/>
          <w:highlight w:val="none"/>
        </w:rPr>
        <w:t xml:space="preserve">注： </w:t>
      </w:r>
    </w:p>
    <w:p w14:paraId="483BAC73">
      <w:pPr>
        <w:snapToGrid w:val="0"/>
        <w:spacing w:before="50" w:after="50" w:line="360" w:lineRule="auto"/>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报价一经涂改，应在涂改处</w:t>
      </w:r>
      <w:r>
        <w:rPr>
          <w:rFonts w:ascii="宋体" w:hAnsi="宋体"/>
          <w:color w:val="auto"/>
          <w:szCs w:val="21"/>
          <w:highlight w:val="none"/>
        </w:rPr>
        <w:t>加盖</w:t>
      </w:r>
      <w:r>
        <w:rPr>
          <w:rFonts w:hint="eastAsia" w:ascii="宋体" w:hAnsi="宋体"/>
          <w:color w:val="auto"/>
          <w:szCs w:val="21"/>
          <w:highlight w:val="none"/>
        </w:rPr>
        <w:t>投标人</w:t>
      </w:r>
      <w:r>
        <w:rPr>
          <w:rFonts w:ascii="宋体" w:hAnsi="宋体"/>
          <w:color w:val="auto"/>
          <w:szCs w:val="21"/>
          <w:highlight w:val="none"/>
        </w:rPr>
        <w:t>单位章或由投标人的法定代表人或其</w:t>
      </w:r>
      <w:r>
        <w:rPr>
          <w:rFonts w:hint="eastAsia" w:ascii="宋体" w:hAnsi="宋体"/>
          <w:color w:val="auto"/>
          <w:szCs w:val="21"/>
          <w:highlight w:val="none"/>
        </w:rPr>
        <w:t>委托</w:t>
      </w:r>
      <w:r>
        <w:rPr>
          <w:rFonts w:ascii="宋体" w:hAnsi="宋体"/>
          <w:color w:val="auto"/>
          <w:szCs w:val="21"/>
          <w:highlight w:val="none"/>
        </w:rPr>
        <w:t>代理人签字确认</w:t>
      </w:r>
      <w:r>
        <w:rPr>
          <w:rFonts w:hint="eastAsia" w:ascii="宋体" w:hAnsi="宋体"/>
          <w:color w:val="auto"/>
          <w:szCs w:val="21"/>
          <w:highlight w:val="none"/>
        </w:rPr>
        <w:t>，否则其投标作无效标处理。</w:t>
      </w:r>
    </w:p>
    <w:p w14:paraId="5FF4A329">
      <w:pPr>
        <w:snapToGrid w:val="0"/>
        <w:spacing w:before="50" w:after="50"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报价是履行合同的最终价格，应包括货款、随配附件、备品备件、专用工具、包装、运输、装卸、保险、运抵指定交货地点、现场安装调试、保修等各种费用和售后服务、培训、税金及其他所有成本费用的总和。</w:t>
      </w:r>
    </w:p>
    <w:p w14:paraId="478B44E9">
      <w:pPr>
        <w:snapToGrid w:val="0"/>
        <w:spacing w:before="50" w:after="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3、以上报价应与“</w:t>
      </w:r>
      <w:r>
        <w:rPr>
          <w:rFonts w:hint="eastAsia" w:ascii="宋体" w:hAnsi="宋体"/>
          <w:bCs/>
          <w:color w:val="auto"/>
          <w:szCs w:val="21"/>
          <w:highlight w:val="none"/>
        </w:rPr>
        <w:t>投标报价明细表</w:t>
      </w:r>
      <w:r>
        <w:rPr>
          <w:rFonts w:hint="eastAsia" w:ascii="宋体" w:hAnsi="宋体"/>
          <w:color w:val="auto"/>
          <w:szCs w:val="21"/>
          <w:highlight w:val="none"/>
        </w:rPr>
        <w:t>”中的“投标总价”相一致。</w:t>
      </w:r>
    </w:p>
    <w:p w14:paraId="19332B4C">
      <w:pPr>
        <w:pStyle w:val="21"/>
        <w:rPr>
          <w:color w:val="auto"/>
          <w:highlight w:val="none"/>
        </w:rPr>
      </w:pPr>
    </w:p>
    <w:p w14:paraId="53181D42">
      <w:pPr>
        <w:snapToGrid w:val="0"/>
        <w:spacing w:before="50" w:after="50" w:line="360" w:lineRule="auto"/>
        <w:rPr>
          <w:rFonts w:ascii="宋体" w:hAnsi="宋体" w:cs="仿宋"/>
          <w:color w:val="auto"/>
          <w:szCs w:val="21"/>
          <w:highlight w:val="none"/>
          <w:u w:val="single"/>
        </w:rPr>
      </w:pPr>
      <w:r>
        <w:rPr>
          <w:rFonts w:hint="eastAsia" w:ascii="宋体" w:hAnsi="宋体" w:cs="仿宋"/>
          <w:color w:val="auto"/>
          <w:szCs w:val="21"/>
          <w:highlight w:val="none"/>
        </w:rPr>
        <w:t>投标人名</w:t>
      </w:r>
      <w:r>
        <w:rPr>
          <w:rFonts w:ascii="宋体" w:hAnsi="宋体" w:cs="仿宋"/>
          <w:color w:val="auto"/>
          <w:szCs w:val="21"/>
          <w:highlight w:val="none"/>
        </w:rPr>
        <w:t>称（</w:t>
      </w:r>
      <w:r>
        <w:rPr>
          <w:rFonts w:hint="eastAsia" w:ascii="宋体" w:hAnsi="宋体" w:cs="仿宋"/>
          <w:color w:val="auto"/>
          <w:szCs w:val="21"/>
          <w:highlight w:val="none"/>
        </w:rPr>
        <w:t>盖章）：</w:t>
      </w:r>
    </w:p>
    <w:p w14:paraId="5A0C789E">
      <w:pPr>
        <w:snapToGrid w:val="0"/>
        <w:spacing w:before="50" w:after="50" w:line="360" w:lineRule="auto"/>
        <w:rPr>
          <w:rFonts w:ascii="宋体" w:hAnsi="宋体" w:cs="仿宋"/>
          <w:color w:val="auto"/>
          <w:szCs w:val="21"/>
          <w:highlight w:val="none"/>
          <w:u w:val="single"/>
        </w:rPr>
      </w:pPr>
      <w:r>
        <w:rPr>
          <w:rFonts w:hint="eastAsia" w:ascii="宋体" w:hAnsi="宋体" w:cs="仿宋"/>
          <w:color w:val="auto"/>
          <w:szCs w:val="21"/>
          <w:highlight w:val="none"/>
        </w:rPr>
        <w:t>法定代表人或授权代表（签字或者盖章或者电子签名）：</w:t>
      </w:r>
    </w:p>
    <w:p w14:paraId="3F668C71">
      <w:pPr>
        <w:snapToGrid w:val="0"/>
        <w:spacing w:before="50" w:after="50" w:line="360" w:lineRule="auto"/>
        <w:rPr>
          <w:rFonts w:ascii="宋体" w:hAnsi="宋体" w:cs="仿宋"/>
          <w:color w:val="auto"/>
          <w:szCs w:val="21"/>
          <w:highlight w:val="none"/>
        </w:rPr>
      </w:pPr>
      <w:r>
        <w:rPr>
          <w:rFonts w:hint="eastAsia" w:ascii="宋体" w:hAnsi="宋体" w:cs="仿宋"/>
          <w:color w:val="auto"/>
          <w:szCs w:val="21"/>
          <w:highlight w:val="none"/>
        </w:rPr>
        <w:t>日期：年月</w:t>
      </w:r>
      <w:r>
        <w:rPr>
          <w:rFonts w:ascii="宋体" w:hAnsi="宋体" w:cs="仿宋"/>
          <w:color w:val="auto"/>
          <w:szCs w:val="21"/>
          <w:highlight w:val="none"/>
        </w:rPr>
        <w:t>日</w:t>
      </w:r>
    </w:p>
    <w:p w14:paraId="7525292A">
      <w:pPr>
        <w:snapToGrid w:val="0"/>
        <w:spacing w:before="50" w:after="50" w:line="360" w:lineRule="auto"/>
        <w:rPr>
          <w:rFonts w:ascii="宋体" w:hAnsi="宋体"/>
          <w:b/>
          <w:color w:val="auto"/>
          <w:sz w:val="28"/>
          <w:szCs w:val="28"/>
          <w:highlight w:val="none"/>
        </w:rPr>
      </w:pPr>
    </w:p>
    <w:p w14:paraId="6741B718">
      <w:pPr>
        <w:snapToGrid w:val="0"/>
        <w:spacing w:before="50" w:after="50" w:line="360" w:lineRule="auto"/>
        <w:jc w:val="center"/>
        <w:rPr>
          <w:rFonts w:ascii="宋体" w:hAnsi="宋体"/>
          <w:b/>
          <w:color w:val="auto"/>
          <w:sz w:val="28"/>
          <w:szCs w:val="28"/>
          <w:highlight w:val="none"/>
        </w:rPr>
      </w:pPr>
    </w:p>
    <w:p w14:paraId="39E51DB7">
      <w:pPr>
        <w:tabs>
          <w:tab w:val="left" w:pos="3870"/>
          <w:tab w:val="left" w:pos="4085"/>
        </w:tabs>
        <w:snapToGrid w:val="0"/>
        <w:spacing w:line="420" w:lineRule="exac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w:t>
      </w:r>
      <w:r>
        <w:rPr>
          <w:rFonts w:hint="eastAsia" w:ascii="宋体" w:hAnsi="宋体"/>
          <w:b/>
          <w:color w:val="auto"/>
          <w:sz w:val="28"/>
          <w:szCs w:val="28"/>
          <w:highlight w:val="none"/>
        </w:rPr>
        <w:t>投</w:t>
      </w:r>
      <w:r>
        <w:rPr>
          <w:rFonts w:ascii="宋体" w:hAnsi="宋体"/>
          <w:b/>
          <w:color w:val="auto"/>
          <w:sz w:val="28"/>
          <w:szCs w:val="28"/>
          <w:highlight w:val="none"/>
        </w:rPr>
        <w:t>标人针对报</w:t>
      </w:r>
      <w:r>
        <w:rPr>
          <w:rFonts w:hint="eastAsia" w:ascii="宋体" w:hAnsi="宋体"/>
          <w:b/>
          <w:color w:val="auto"/>
          <w:sz w:val="28"/>
          <w:szCs w:val="28"/>
          <w:highlight w:val="none"/>
        </w:rPr>
        <w:t>价需要说明的其他文件和说明（格式自拟）</w:t>
      </w:r>
    </w:p>
    <w:p w14:paraId="16767109">
      <w:pPr>
        <w:snapToGrid w:val="0"/>
        <w:spacing w:before="50" w:afterLines="50"/>
        <w:jc w:val="left"/>
        <w:rPr>
          <w:rFonts w:ascii="宋体" w:hAnsi="宋体"/>
          <w:color w:val="auto"/>
          <w:szCs w:val="21"/>
          <w:highlight w:val="none"/>
        </w:rPr>
      </w:pPr>
    </w:p>
    <w:p w14:paraId="0D6C11D3">
      <w:pPr>
        <w:pStyle w:val="29"/>
        <w:snapToGrid w:val="0"/>
        <w:rPr>
          <w:rFonts w:hAnsi="宋体" w:cs="宋体"/>
          <w:color w:val="auto"/>
          <w:sz w:val="24"/>
          <w:szCs w:val="24"/>
          <w:highlight w:val="none"/>
        </w:rPr>
      </w:pPr>
      <w:r>
        <w:rPr>
          <w:rFonts w:hint="eastAsia" w:hAnsi="宋体" w:cs="宋体"/>
          <w:b/>
          <w:color w:val="auto"/>
          <w:sz w:val="24"/>
          <w:szCs w:val="24"/>
          <w:highlight w:val="none"/>
        </w:rPr>
        <w:t>附件1：</w:t>
      </w:r>
    </w:p>
    <w:p w14:paraId="28EC6FEB">
      <w:pPr>
        <w:widowControl/>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政府采购项目合同验收报告（格式）</w:t>
      </w:r>
    </w:p>
    <w:p w14:paraId="02B1FE14">
      <w:pPr>
        <w:widowControl/>
        <w:snapToGrid w:val="0"/>
        <w:spacing w:before="100" w:beforeAutospacing="1" w:after="100" w:afterAutospacing="1" w:line="440" w:lineRule="exact"/>
        <w:ind w:firstLine="659"/>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5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12"/>
        <w:gridCol w:w="770"/>
        <w:gridCol w:w="2027"/>
        <w:gridCol w:w="1322"/>
        <w:gridCol w:w="2414"/>
        <w:gridCol w:w="754"/>
        <w:gridCol w:w="1380"/>
      </w:tblGrid>
      <w:tr w14:paraId="09706B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09" w:type="dxa"/>
            <w:gridSpan w:val="3"/>
            <w:vAlign w:val="center"/>
          </w:tcPr>
          <w:p w14:paraId="24DE5888">
            <w:pPr>
              <w:widowControl/>
              <w:snapToGrid w:val="0"/>
              <w:ind w:left="-3"/>
              <w:jc w:val="center"/>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验收方式</w:t>
            </w:r>
          </w:p>
        </w:tc>
        <w:tc>
          <w:tcPr>
            <w:tcW w:w="5870" w:type="dxa"/>
            <w:gridSpan w:val="4"/>
            <w:vAlign w:val="center"/>
          </w:tcPr>
          <w:p w14:paraId="7DF95822">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□联合验收</w:t>
            </w:r>
          </w:p>
        </w:tc>
      </w:tr>
      <w:tr w14:paraId="73E8C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jc w:val="center"/>
        </w:trPr>
        <w:tc>
          <w:tcPr>
            <w:tcW w:w="612" w:type="dxa"/>
            <w:tcBorders>
              <w:top w:val="single" w:color="auto" w:sz="4" w:space="0"/>
              <w:right w:val="single" w:color="auto" w:sz="4" w:space="0"/>
            </w:tcBorders>
            <w:vAlign w:val="center"/>
          </w:tcPr>
          <w:p w14:paraId="401F90AA">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797" w:type="dxa"/>
            <w:gridSpan w:val="2"/>
            <w:tcBorders>
              <w:top w:val="single" w:color="auto" w:sz="4" w:space="0"/>
              <w:left w:val="single" w:color="auto" w:sz="4" w:space="0"/>
            </w:tcBorders>
            <w:vAlign w:val="center"/>
          </w:tcPr>
          <w:p w14:paraId="1CA1D0D1">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736" w:type="dxa"/>
            <w:gridSpan w:val="2"/>
            <w:vAlign w:val="center"/>
          </w:tcPr>
          <w:p w14:paraId="5A2BDCA9">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w:t>
            </w:r>
          </w:p>
          <w:p w14:paraId="5F3DC948">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（或服务内容、标准）</w:t>
            </w:r>
          </w:p>
        </w:tc>
        <w:tc>
          <w:tcPr>
            <w:tcW w:w="754" w:type="dxa"/>
            <w:vAlign w:val="center"/>
          </w:tcPr>
          <w:p w14:paraId="6F73B94D">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380" w:type="dxa"/>
            <w:vAlign w:val="center"/>
          </w:tcPr>
          <w:p w14:paraId="0B538125">
            <w:pPr>
              <w:widowControl/>
              <w:snapToGrid w:val="0"/>
              <w:ind w:left="-3"/>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272AB5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4725D36A">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728CE803">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3736" w:type="dxa"/>
            <w:gridSpan w:val="2"/>
            <w:vAlign w:val="center"/>
          </w:tcPr>
          <w:p w14:paraId="270F1115">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754" w:type="dxa"/>
            <w:vAlign w:val="center"/>
          </w:tcPr>
          <w:p w14:paraId="7F9F6655">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1380" w:type="dxa"/>
            <w:vAlign w:val="center"/>
          </w:tcPr>
          <w:p w14:paraId="313EC0DF">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r>
      <w:tr w14:paraId="69A4D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1FD3184A">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3D8D47A9">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3736" w:type="dxa"/>
            <w:gridSpan w:val="2"/>
            <w:vAlign w:val="center"/>
          </w:tcPr>
          <w:p w14:paraId="30E333C8">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754" w:type="dxa"/>
            <w:vAlign w:val="center"/>
          </w:tcPr>
          <w:p w14:paraId="1ED7DDD8">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1380" w:type="dxa"/>
            <w:vAlign w:val="center"/>
          </w:tcPr>
          <w:p w14:paraId="71292AFC">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r>
      <w:tr w14:paraId="371A71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7538485B">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54F72FE6">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3736" w:type="dxa"/>
            <w:gridSpan w:val="2"/>
            <w:vAlign w:val="center"/>
          </w:tcPr>
          <w:p w14:paraId="3220822F">
            <w:pPr>
              <w:widowControl/>
              <w:snapToGrid w:val="0"/>
              <w:ind w:left="-3" w:firstLine="576"/>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754" w:type="dxa"/>
            <w:vAlign w:val="center"/>
          </w:tcPr>
          <w:p w14:paraId="778BC487">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c>
          <w:tcPr>
            <w:tcW w:w="1380" w:type="dxa"/>
            <w:vAlign w:val="center"/>
          </w:tcPr>
          <w:p w14:paraId="52F83C83">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 </w:t>
            </w:r>
          </w:p>
        </w:tc>
      </w:tr>
      <w:tr w14:paraId="43722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12" w:type="dxa"/>
            <w:tcBorders>
              <w:right w:val="single" w:color="auto" w:sz="4" w:space="0"/>
            </w:tcBorders>
            <w:vAlign w:val="center"/>
          </w:tcPr>
          <w:p w14:paraId="247AD52C">
            <w:pPr>
              <w:widowControl/>
              <w:snapToGrid w:val="0"/>
              <w:ind w:left="-3" w:firstLine="576"/>
              <w:jc w:val="left"/>
              <w:rPr>
                <w:rFonts w:ascii="宋体" w:hAnsi="宋体" w:cs="宋体"/>
                <w:color w:val="auto"/>
                <w:spacing w:val="-20"/>
                <w:kern w:val="0"/>
                <w:szCs w:val="21"/>
                <w:highlight w:val="none"/>
              </w:rPr>
            </w:pPr>
          </w:p>
        </w:tc>
        <w:tc>
          <w:tcPr>
            <w:tcW w:w="2797" w:type="dxa"/>
            <w:gridSpan w:val="2"/>
            <w:tcBorders>
              <w:left w:val="single" w:color="auto" w:sz="4" w:space="0"/>
            </w:tcBorders>
            <w:vAlign w:val="center"/>
          </w:tcPr>
          <w:p w14:paraId="60D5F683">
            <w:pPr>
              <w:widowControl/>
              <w:snapToGrid w:val="0"/>
              <w:ind w:left="-3" w:firstLine="576"/>
              <w:jc w:val="left"/>
              <w:rPr>
                <w:rFonts w:ascii="宋体" w:hAnsi="宋体" w:cs="宋体"/>
                <w:color w:val="auto"/>
                <w:spacing w:val="-20"/>
                <w:kern w:val="0"/>
                <w:szCs w:val="21"/>
                <w:highlight w:val="none"/>
              </w:rPr>
            </w:pPr>
          </w:p>
        </w:tc>
        <w:tc>
          <w:tcPr>
            <w:tcW w:w="3736" w:type="dxa"/>
            <w:gridSpan w:val="2"/>
            <w:vAlign w:val="center"/>
          </w:tcPr>
          <w:p w14:paraId="0D4E8FC6">
            <w:pPr>
              <w:widowControl/>
              <w:snapToGrid w:val="0"/>
              <w:ind w:left="-3" w:firstLine="576"/>
              <w:jc w:val="left"/>
              <w:rPr>
                <w:rFonts w:ascii="宋体" w:hAnsi="宋体" w:cs="宋体"/>
                <w:color w:val="auto"/>
                <w:spacing w:val="-20"/>
                <w:kern w:val="0"/>
                <w:szCs w:val="21"/>
                <w:highlight w:val="none"/>
              </w:rPr>
            </w:pPr>
          </w:p>
        </w:tc>
        <w:tc>
          <w:tcPr>
            <w:tcW w:w="754" w:type="dxa"/>
            <w:vAlign w:val="center"/>
          </w:tcPr>
          <w:p w14:paraId="1956DC5A">
            <w:pPr>
              <w:widowControl/>
              <w:snapToGrid w:val="0"/>
              <w:jc w:val="left"/>
              <w:rPr>
                <w:rFonts w:ascii="宋体" w:hAnsi="宋体" w:cs="宋体"/>
                <w:color w:val="auto"/>
                <w:spacing w:val="-20"/>
                <w:kern w:val="0"/>
                <w:szCs w:val="21"/>
                <w:highlight w:val="none"/>
              </w:rPr>
            </w:pPr>
          </w:p>
        </w:tc>
        <w:tc>
          <w:tcPr>
            <w:tcW w:w="1380" w:type="dxa"/>
            <w:vAlign w:val="center"/>
          </w:tcPr>
          <w:p w14:paraId="261E39F5">
            <w:pPr>
              <w:widowControl/>
              <w:snapToGrid w:val="0"/>
              <w:jc w:val="left"/>
              <w:rPr>
                <w:rFonts w:ascii="宋体" w:hAnsi="宋体" w:cs="宋体"/>
                <w:color w:val="auto"/>
                <w:spacing w:val="-20"/>
                <w:kern w:val="0"/>
                <w:szCs w:val="21"/>
                <w:highlight w:val="none"/>
              </w:rPr>
            </w:pPr>
          </w:p>
        </w:tc>
      </w:tr>
      <w:tr w14:paraId="15EA7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145" w:type="dxa"/>
            <w:gridSpan w:val="5"/>
            <w:vAlign w:val="center"/>
          </w:tcPr>
          <w:p w14:paraId="4E54DD27">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合     计</w:t>
            </w:r>
          </w:p>
        </w:tc>
        <w:tc>
          <w:tcPr>
            <w:tcW w:w="754" w:type="dxa"/>
            <w:vAlign w:val="center"/>
          </w:tcPr>
          <w:p w14:paraId="5C6C8F05">
            <w:pPr>
              <w:widowControl/>
              <w:snapToGrid w:val="0"/>
              <w:jc w:val="left"/>
              <w:rPr>
                <w:rFonts w:ascii="宋体" w:hAnsi="宋体" w:cs="宋体"/>
                <w:color w:val="auto"/>
                <w:spacing w:val="-20"/>
                <w:kern w:val="0"/>
                <w:szCs w:val="21"/>
                <w:highlight w:val="none"/>
              </w:rPr>
            </w:pPr>
          </w:p>
        </w:tc>
        <w:tc>
          <w:tcPr>
            <w:tcW w:w="1380" w:type="dxa"/>
            <w:vAlign w:val="center"/>
          </w:tcPr>
          <w:p w14:paraId="63E0D13F">
            <w:pPr>
              <w:widowControl/>
              <w:snapToGrid w:val="0"/>
              <w:jc w:val="left"/>
              <w:rPr>
                <w:rFonts w:ascii="宋体" w:hAnsi="宋体" w:cs="宋体"/>
                <w:color w:val="auto"/>
                <w:spacing w:val="-20"/>
                <w:kern w:val="0"/>
                <w:szCs w:val="21"/>
                <w:highlight w:val="none"/>
              </w:rPr>
            </w:pPr>
          </w:p>
        </w:tc>
      </w:tr>
      <w:tr w14:paraId="2ECA3E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9279" w:type="dxa"/>
            <w:gridSpan w:val="7"/>
            <w:vAlign w:val="center"/>
          </w:tcPr>
          <w:p w14:paraId="2C404F12">
            <w:pPr>
              <w:widowControl/>
              <w:snapToGrid w:val="0"/>
              <w:jc w:val="left"/>
              <w:rPr>
                <w:rFonts w:ascii="宋体" w:hAnsi="宋体" w:cs="宋体"/>
                <w:color w:val="auto"/>
                <w:spacing w:val="-20"/>
                <w:kern w:val="0"/>
                <w:szCs w:val="21"/>
                <w:highlight w:val="none"/>
              </w:rPr>
            </w:pPr>
            <w:r>
              <w:rPr>
                <w:rFonts w:hint="eastAsia" w:ascii="宋体" w:hAnsi="宋体" w:cs="宋体"/>
                <w:color w:val="auto"/>
                <w:spacing w:val="-20"/>
                <w:kern w:val="0"/>
                <w:szCs w:val="21"/>
                <w:highlight w:val="none"/>
              </w:rPr>
              <w:t>合 计 大 写 金 额 ：人民币 元</w:t>
            </w:r>
          </w:p>
        </w:tc>
      </w:tr>
      <w:tr w14:paraId="2481CA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1382" w:type="dxa"/>
            <w:gridSpan w:val="2"/>
            <w:vAlign w:val="center"/>
          </w:tcPr>
          <w:p w14:paraId="2B916B0A">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349" w:type="dxa"/>
            <w:gridSpan w:val="2"/>
            <w:vAlign w:val="center"/>
          </w:tcPr>
          <w:p w14:paraId="26561BB3">
            <w:pPr>
              <w:snapToGrid w:val="0"/>
              <w:jc w:val="left"/>
              <w:rPr>
                <w:rFonts w:ascii="宋体" w:hAnsi="宋体" w:cs="宋体"/>
                <w:color w:val="auto"/>
                <w:kern w:val="0"/>
                <w:szCs w:val="21"/>
                <w:highlight w:val="none"/>
              </w:rPr>
            </w:pPr>
          </w:p>
        </w:tc>
        <w:tc>
          <w:tcPr>
            <w:tcW w:w="2414" w:type="dxa"/>
            <w:vAlign w:val="center"/>
          </w:tcPr>
          <w:p w14:paraId="66925F47">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34" w:type="dxa"/>
            <w:gridSpan w:val="2"/>
            <w:vAlign w:val="center"/>
          </w:tcPr>
          <w:p w14:paraId="6391DDD3">
            <w:pPr>
              <w:snapToGrid w:val="0"/>
              <w:jc w:val="left"/>
              <w:rPr>
                <w:rFonts w:ascii="宋体" w:hAnsi="宋体" w:cs="宋体"/>
                <w:color w:val="auto"/>
                <w:kern w:val="0"/>
                <w:szCs w:val="21"/>
                <w:highlight w:val="none"/>
              </w:rPr>
            </w:pPr>
          </w:p>
        </w:tc>
      </w:tr>
      <w:tr w14:paraId="797A60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1382" w:type="dxa"/>
            <w:gridSpan w:val="2"/>
            <w:vAlign w:val="center"/>
          </w:tcPr>
          <w:p w14:paraId="2EAEF9C4">
            <w:pPr>
              <w:widowControl/>
              <w:snapToGrid w:val="0"/>
              <w:jc w:val="center"/>
              <w:rPr>
                <w:rFonts w:ascii="宋体" w:hAnsi="宋体" w:cs="宋体"/>
                <w:color w:val="auto"/>
                <w:kern w:val="0"/>
                <w:szCs w:val="21"/>
                <w:highlight w:val="none"/>
              </w:rPr>
            </w:pPr>
          </w:p>
        </w:tc>
        <w:tc>
          <w:tcPr>
            <w:tcW w:w="3349" w:type="dxa"/>
            <w:gridSpan w:val="2"/>
            <w:vAlign w:val="center"/>
          </w:tcPr>
          <w:p w14:paraId="5007E5AF">
            <w:pPr>
              <w:snapToGrid w:val="0"/>
              <w:jc w:val="left"/>
              <w:rPr>
                <w:rFonts w:ascii="宋体" w:hAnsi="宋体" w:cs="宋体"/>
                <w:color w:val="auto"/>
                <w:kern w:val="0"/>
                <w:szCs w:val="21"/>
                <w:highlight w:val="none"/>
              </w:rPr>
            </w:pPr>
          </w:p>
        </w:tc>
        <w:tc>
          <w:tcPr>
            <w:tcW w:w="2414" w:type="dxa"/>
            <w:vAlign w:val="center"/>
          </w:tcPr>
          <w:p w14:paraId="7F349425">
            <w:pPr>
              <w:snapToGrid w:val="0"/>
              <w:jc w:val="center"/>
              <w:rPr>
                <w:rFonts w:ascii="宋体" w:hAnsi="宋体" w:cs="宋体"/>
                <w:color w:val="auto"/>
                <w:kern w:val="0"/>
                <w:szCs w:val="21"/>
                <w:highlight w:val="none"/>
              </w:rPr>
            </w:pPr>
          </w:p>
        </w:tc>
        <w:tc>
          <w:tcPr>
            <w:tcW w:w="2134" w:type="dxa"/>
            <w:gridSpan w:val="2"/>
            <w:vAlign w:val="center"/>
          </w:tcPr>
          <w:p w14:paraId="30EA5980">
            <w:pPr>
              <w:snapToGrid w:val="0"/>
              <w:jc w:val="left"/>
              <w:rPr>
                <w:rFonts w:ascii="宋体" w:hAnsi="宋体" w:cs="宋体"/>
                <w:color w:val="auto"/>
                <w:kern w:val="0"/>
                <w:szCs w:val="21"/>
                <w:highlight w:val="none"/>
              </w:rPr>
            </w:pPr>
          </w:p>
        </w:tc>
      </w:tr>
      <w:tr w14:paraId="078EC0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3" w:hRule="atLeast"/>
          <w:jc w:val="center"/>
        </w:trPr>
        <w:tc>
          <w:tcPr>
            <w:tcW w:w="1382" w:type="dxa"/>
            <w:gridSpan w:val="2"/>
            <w:tcMar>
              <w:top w:w="0" w:type="dxa"/>
              <w:left w:w="108" w:type="dxa"/>
              <w:bottom w:w="0" w:type="dxa"/>
              <w:right w:w="108" w:type="dxa"/>
            </w:tcMar>
            <w:vAlign w:val="center"/>
          </w:tcPr>
          <w:p w14:paraId="59418159">
            <w:pPr>
              <w:widowControl/>
              <w:snapToGrid w:val="0"/>
              <w:ind w:left="-172" w:leftChars="-82" w:right="-107"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897" w:type="dxa"/>
            <w:gridSpan w:val="5"/>
            <w:tcMar>
              <w:top w:w="0" w:type="dxa"/>
              <w:left w:w="108" w:type="dxa"/>
              <w:bottom w:w="0" w:type="dxa"/>
              <w:right w:w="108" w:type="dxa"/>
            </w:tcMar>
            <w:vAlign w:val="center"/>
          </w:tcPr>
          <w:p w14:paraId="3525710B">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 (应按采购合同、招标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791F70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4" w:hRule="atLeast"/>
          <w:jc w:val="center"/>
        </w:trPr>
        <w:tc>
          <w:tcPr>
            <w:tcW w:w="1382" w:type="dxa"/>
            <w:gridSpan w:val="2"/>
            <w:vMerge w:val="restart"/>
            <w:tcMar>
              <w:top w:w="0" w:type="dxa"/>
              <w:left w:w="108" w:type="dxa"/>
              <w:bottom w:w="0" w:type="dxa"/>
              <w:right w:w="108" w:type="dxa"/>
            </w:tcMar>
            <w:vAlign w:val="center"/>
          </w:tcPr>
          <w:p w14:paraId="57FBEB8F">
            <w:pPr>
              <w:widowControl/>
              <w:ind w:left="-172" w:leftChars="-82" w:right="-107"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897" w:type="dxa"/>
            <w:gridSpan w:val="5"/>
            <w:tcBorders>
              <w:bottom w:val="single" w:color="auto" w:sz="4" w:space="0"/>
            </w:tcBorders>
            <w:vAlign w:val="center"/>
          </w:tcPr>
          <w:p w14:paraId="49A3C1B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p w14:paraId="236A5468">
            <w:pPr>
              <w:widowControl/>
              <w:snapToGrid w:val="0"/>
              <w:jc w:val="left"/>
              <w:rPr>
                <w:rFonts w:ascii="宋体" w:hAnsi="宋体" w:cs="宋体"/>
                <w:color w:val="auto"/>
                <w:kern w:val="0"/>
                <w:szCs w:val="21"/>
                <w:highlight w:val="none"/>
              </w:rPr>
            </w:pPr>
          </w:p>
          <w:p w14:paraId="433C2348">
            <w:pPr>
              <w:widowControl/>
              <w:snapToGrid w:val="0"/>
              <w:jc w:val="left"/>
              <w:rPr>
                <w:rFonts w:ascii="宋体" w:hAnsi="宋体" w:cs="宋体"/>
                <w:color w:val="auto"/>
                <w:kern w:val="0"/>
                <w:szCs w:val="21"/>
                <w:highlight w:val="none"/>
              </w:rPr>
            </w:pPr>
          </w:p>
        </w:tc>
      </w:tr>
      <w:tr w14:paraId="6C9DEE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06" w:hRule="atLeast"/>
          <w:jc w:val="center"/>
        </w:trPr>
        <w:tc>
          <w:tcPr>
            <w:tcW w:w="1382" w:type="dxa"/>
            <w:gridSpan w:val="2"/>
            <w:vMerge w:val="continue"/>
            <w:tcMar>
              <w:top w:w="0" w:type="dxa"/>
              <w:left w:w="108" w:type="dxa"/>
              <w:bottom w:w="0" w:type="dxa"/>
              <w:right w:w="108" w:type="dxa"/>
            </w:tcMar>
            <w:vAlign w:val="center"/>
          </w:tcPr>
          <w:p w14:paraId="3AD4F70E">
            <w:pPr>
              <w:widowControl/>
              <w:jc w:val="center"/>
              <w:rPr>
                <w:rFonts w:ascii="宋体" w:hAnsi="宋体" w:cs="宋体"/>
                <w:color w:val="auto"/>
                <w:kern w:val="0"/>
                <w:szCs w:val="21"/>
                <w:highlight w:val="none"/>
              </w:rPr>
            </w:pPr>
          </w:p>
        </w:tc>
        <w:tc>
          <w:tcPr>
            <w:tcW w:w="7897" w:type="dxa"/>
            <w:gridSpan w:val="5"/>
            <w:tcBorders>
              <w:top w:val="single" w:color="auto" w:sz="4" w:space="0"/>
            </w:tcBorders>
            <w:vAlign w:val="center"/>
          </w:tcPr>
          <w:p w14:paraId="7F0195C5">
            <w:pPr>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2382980">
            <w:pPr>
              <w:jc w:val="left"/>
              <w:rPr>
                <w:rFonts w:ascii="宋体" w:hAnsi="宋体" w:cs="宋体"/>
                <w:color w:val="auto"/>
                <w:kern w:val="0"/>
                <w:szCs w:val="21"/>
                <w:highlight w:val="none"/>
              </w:rPr>
            </w:pPr>
          </w:p>
          <w:p w14:paraId="742DD92A">
            <w:pPr>
              <w:jc w:val="left"/>
              <w:rPr>
                <w:rFonts w:ascii="宋体" w:hAnsi="宋体" w:cs="宋体"/>
                <w:color w:val="auto"/>
                <w:kern w:val="0"/>
                <w:szCs w:val="21"/>
                <w:highlight w:val="none"/>
              </w:rPr>
            </w:pPr>
          </w:p>
        </w:tc>
      </w:tr>
      <w:tr w14:paraId="17360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9279" w:type="dxa"/>
            <w:gridSpan w:val="7"/>
            <w:tcMar>
              <w:top w:w="0" w:type="dxa"/>
              <w:left w:w="108" w:type="dxa"/>
              <w:bottom w:w="0" w:type="dxa"/>
              <w:right w:w="108" w:type="dxa"/>
            </w:tcMar>
            <w:vAlign w:val="center"/>
          </w:tcPr>
          <w:p w14:paraId="7592650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8A75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279" w:type="dxa"/>
            <w:gridSpan w:val="7"/>
            <w:tcMar>
              <w:top w:w="0" w:type="dxa"/>
              <w:left w:w="108" w:type="dxa"/>
              <w:bottom w:w="0" w:type="dxa"/>
              <w:right w:w="108" w:type="dxa"/>
            </w:tcMar>
            <w:vAlign w:val="center"/>
          </w:tcPr>
          <w:p w14:paraId="0332D1B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参与验收其他或监督人员签字：</w:t>
            </w:r>
          </w:p>
        </w:tc>
      </w:tr>
      <w:tr w14:paraId="7BAB5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4731" w:type="dxa"/>
            <w:gridSpan w:val="4"/>
            <w:tcMar>
              <w:top w:w="0" w:type="dxa"/>
              <w:left w:w="108" w:type="dxa"/>
              <w:bottom w:w="0" w:type="dxa"/>
              <w:right w:w="108" w:type="dxa"/>
            </w:tcMar>
            <w:vAlign w:val="center"/>
          </w:tcPr>
          <w:p w14:paraId="55406BD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中标（或成交）供应商签字或盖章：</w:t>
            </w:r>
          </w:p>
          <w:p w14:paraId="7A869FBF">
            <w:pPr>
              <w:widowControl/>
              <w:jc w:val="left"/>
              <w:rPr>
                <w:rFonts w:ascii="宋体" w:hAnsi="宋体" w:cs="宋体"/>
                <w:color w:val="auto"/>
                <w:kern w:val="0"/>
                <w:szCs w:val="21"/>
                <w:highlight w:val="none"/>
              </w:rPr>
            </w:pPr>
          </w:p>
          <w:p w14:paraId="68871A3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w:t>
            </w:r>
          </w:p>
          <w:p w14:paraId="583F0961">
            <w:pPr>
              <w:widowControl/>
              <w:jc w:val="left"/>
              <w:rPr>
                <w:rFonts w:ascii="宋体" w:hAnsi="宋体" w:cs="宋体"/>
                <w:color w:val="auto"/>
                <w:kern w:val="0"/>
                <w:szCs w:val="21"/>
                <w:highlight w:val="none"/>
              </w:rPr>
            </w:pPr>
          </w:p>
          <w:p w14:paraId="3874346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年  月   日</w:t>
            </w:r>
          </w:p>
        </w:tc>
        <w:tc>
          <w:tcPr>
            <w:tcW w:w="4548" w:type="dxa"/>
            <w:gridSpan w:val="3"/>
            <w:vAlign w:val="center"/>
          </w:tcPr>
          <w:p w14:paraId="79B801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采购单位的意见（盖章）：</w:t>
            </w:r>
          </w:p>
          <w:p w14:paraId="0D000F6F">
            <w:pPr>
              <w:widowControl/>
              <w:jc w:val="left"/>
              <w:rPr>
                <w:rFonts w:ascii="宋体" w:hAnsi="宋体" w:cs="宋体"/>
                <w:color w:val="auto"/>
                <w:kern w:val="0"/>
                <w:szCs w:val="21"/>
                <w:highlight w:val="none"/>
              </w:rPr>
            </w:pPr>
          </w:p>
          <w:p w14:paraId="7729A91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w:t>
            </w:r>
          </w:p>
          <w:p w14:paraId="1C5F204E">
            <w:pPr>
              <w:widowControl/>
              <w:jc w:val="left"/>
              <w:rPr>
                <w:rFonts w:ascii="宋体" w:hAnsi="宋体" w:cs="宋体"/>
                <w:color w:val="auto"/>
                <w:kern w:val="0"/>
                <w:szCs w:val="21"/>
                <w:highlight w:val="none"/>
              </w:rPr>
            </w:pPr>
          </w:p>
          <w:p w14:paraId="090A62E3">
            <w:pPr>
              <w:widowControl/>
              <w:ind w:firstLine="2119"/>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tc>
      </w:tr>
    </w:tbl>
    <w:p w14:paraId="5FAB65BA">
      <w:pPr>
        <w:widowControl/>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备注：本报告单一式三份（采购单位1份、中标供应商1份、采购代理机构1份）。</w:t>
      </w:r>
    </w:p>
    <w:p w14:paraId="44819F85">
      <w:pPr>
        <w:pStyle w:val="34"/>
        <w:rPr>
          <w:rFonts w:ascii="宋体" w:hAnsi="宋体" w:cs="宋体"/>
          <w:color w:val="auto"/>
          <w:kern w:val="0"/>
          <w:szCs w:val="21"/>
          <w:highlight w:val="none"/>
        </w:rPr>
      </w:pPr>
    </w:p>
    <w:p w14:paraId="72E0862C">
      <w:pPr>
        <w:pStyle w:val="34"/>
        <w:rPr>
          <w:rFonts w:ascii="宋体" w:hAnsi="宋体" w:cs="宋体"/>
          <w:color w:val="auto"/>
          <w:kern w:val="0"/>
          <w:szCs w:val="21"/>
          <w:highlight w:val="none"/>
        </w:rPr>
      </w:pPr>
    </w:p>
    <w:p w14:paraId="5FDA2617">
      <w:pPr>
        <w:jc w:val="center"/>
        <w:rPr>
          <w:rFonts w:ascii="宋体" w:hAnsi="宋体" w:cs="Arial Unicode MS"/>
          <w:color w:val="auto"/>
          <w:sz w:val="44"/>
          <w:szCs w:val="44"/>
          <w:highlight w:val="none"/>
        </w:rPr>
      </w:pPr>
      <w:r>
        <w:rPr>
          <w:rFonts w:hint="eastAsia" w:ascii="宋体" w:hAnsi="宋体" w:cs="Arial Unicode MS"/>
          <w:color w:val="auto"/>
          <w:sz w:val="36"/>
          <w:szCs w:val="36"/>
          <w:highlight w:val="none"/>
        </w:rPr>
        <w:t>中小微企业划型标准</w:t>
      </w:r>
    </w:p>
    <w:p w14:paraId="4A353978">
      <w:pPr>
        <w:ind w:left="1871"/>
        <w:rPr>
          <w:rFonts w:ascii="宋体" w:hAnsi="宋体" w:cs="Arial Unicode MS"/>
          <w:color w:val="auto"/>
          <w:szCs w:val="21"/>
          <w:highlight w:val="none"/>
        </w:rPr>
      </w:pPr>
    </w:p>
    <w:tbl>
      <w:tblPr>
        <w:tblStyle w:val="55"/>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54413926">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DC9F591">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82C84AB">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61FDD0C3">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7D1CD8B4">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5FD4FF75">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2C90BAA8">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4F4D21F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3952F4C3">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41FA39B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1943D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80450C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5E4CED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52CA227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B0A6FC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A989E0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4E0C8FF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577236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B4907C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B501AB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EAF507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84DE82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9CE72D">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38D6AA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F4663C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57B48D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0A50784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47A3A01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E7F448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C2A4F0F">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9E3D6D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1597C3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5F11AA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0701D4B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6EEF072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307D40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83E9EC4">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95EDAA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32A7F0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8A83F5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79B72A7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33B81C7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26E61F7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5F1850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2482A84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6A9D14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DF76DA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5703F22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386DF9B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9EC3EE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9BB0FE6">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D4BB75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C9629F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34FF8C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17B18DC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396DFD6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45C460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8D43BB6">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7DAD121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637E96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FC2997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5269EA5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621393B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6EB640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F1C415C">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B71218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FFF9AB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FA7C41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418EB8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60DC1AE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C2E9A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44CD5F8">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5C6A0A2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978EBB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51492D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673305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060C93E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A328FE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A639412">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E82DD0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965EC2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14A031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5EF0FB6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18C1D0F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37D7E0D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896AE55">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33FD32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346EC3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ACFE1C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528261B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3F26510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3D8311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2B2911A">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43FADB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97FFE7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BF16FA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735A9FE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0B519ED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B02F7C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DE8D5A1">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03C402F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1ECEA3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9CB7D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9A491F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A5C5D0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DFBCAF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C5CDD7B">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18C788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FE41C1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008DD2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1C39ABD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0D04AD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0BD6E1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167ABDE">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560BA96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EE59EF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E0162F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EE9178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256279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4E9C14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4366791">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2E37EE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50CFFB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8BA66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674E4BE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14BBEF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99076B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9C43EFF">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139E602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7E0666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ADE6F9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9D8BCF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A9D257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333DB6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49235BE">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3E4B85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2EC2A9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2EA7F4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C5349B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3D47B32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2B1BCB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4452A2A">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752DA6A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A8208B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7E071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644C186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4EEB45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329FE1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2C4A66">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19B5C4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C7E6B3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2D9D15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3437D21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20AB088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CDB97F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18E723B">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5F9127F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D6DDF6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669A85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241FE0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4021D2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BF7805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CDF4614">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C47F18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F7831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A2E4E0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7DCB9B8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1383C3C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D92CE3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9C37894">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14A3ECD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262B2A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CD6404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1AF55E0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01150F1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DE582A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D4CB120">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F49566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948A06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B018B3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6D939C1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1406BAF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1684E3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958E00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08B8AD2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0B6B81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1F2F8A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DC4DA4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6B9A3CF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7CA0D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5BC9A5F">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36D757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AFCE63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5BBB6B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2414825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5E4B07B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5E669B7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FA5EB5">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1090EC5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71038F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69DF9D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80CFD1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388B82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84F0A2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A37C979">
            <w:pPr>
              <w:widowControl/>
              <w:spacing w:line="360" w:lineRule="auto"/>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A5CA5A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9C7C86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25DBBE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134D965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7DF7BCA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09860EA">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34AC257">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2E658D1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2A1D07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CA514D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6C4CD1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A04954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DC9F1ED">
      <w:pPr>
        <w:spacing w:line="360" w:lineRule="auto"/>
        <w:ind w:firstLine="525" w:firstLineChars="250"/>
        <w:rPr>
          <w:rFonts w:ascii="仿宋_GB2312" w:hAnsi="仿宋" w:eastAsia="仿宋_GB2312"/>
          <w:color w:val="auto"/>
          <w:szCs w:val="21"/>
          <w:highlight w:val="none"/>
        </w:rPr>
      </w:pPr>
    </w:p>
    <w:p w14:paraId="156AB572">
      <w:pPr>
        <w:rPr>
          <w:rFonts w:ascii="Times New Roman" w:hAnsi="Times New Roman"/>
          <w:color w:val="auto"/>
          <w:sz w:val="20"/>
          <w:highlight w:val="none"/>
        </w:rPr>
      </w:pPr>
      <w:r>
        <w:rPr>
          <w:rFonts w:hint="eastAsia" w:ascii="Times New Roman" w:hAnsi="Times New Roman"/>
          <w:color w:val="auto"/>
          <w:sz w:val="20"/>
          <w:highlight w:val="none"/>
        </w:rPr>
        <w:t>说明：上述标准参照《关于印发中小企业划型标准规定的通知》（工信部联企业[2011]300号），大型、中型和小型企业须同时满足所列指标的下限，否则下划一档；微型企业只须满足所列指标中的一项即可。</w:t>
      </w:r>
    </w:p>
    <w:sectPr>
      <w:footerReference r:id="rId14" w:type="first"/>
      <w:headerReference r:id="rId11" w:type="default"/>
      <w:footerReference r:id="rId12" w:type="default"/>
      <w:footerReference r:id="rId13" w:type="even"/>
      <w:pgSz w:w="11906" w:h="16838"/>
      <w:pgMar w:top="1418" w:right="1133" w:bottom="1247" w:left="1276"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2108">
    <w:pPr>
      <w:pStyle w:val="21"/>
      <w:spacing w:line="235" w:lineRule="exact"/>
      <w:ind w:left="4768"/>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731E">
    <w:pPr>
      <w:pStyle w:val="34"/>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D142">
    <w:pPr>
      <w:pStyle w:val="21"/>
      <w:spacing w:line="182" w:lineRule="auto"/>
      <w:ind w:left="4549"/>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81D8ECD">
                          <w:pPr>
                            <w:pStyle w:val="34"/>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6A5ri6gEA&#10;AMoDAAAOAAAAAAAAAAEAIAAAAB4BAABkcnMvZTJvRG9jLnhtbFBLBQYAAAAABgAGAFkBAAB6BQAA&#10;AAA=&#10;">
              <v:fill on="f" focussize="0,0"/>
              <v:stroke on="f"/>
              <v:imagedata o:title=""/>
              <o:lock v:ext="edit" aspectratio="f"/>
              <v:textbox inset="0mm,0mm,0mm,0mm" style="mso-fit-shape-to-text:t;">
                <w:txbxContent>
                  <w:p w14:paraId="781D8ECD">
                    <w:pPr>
                      <w:pStyle w:val="3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4569">
    <w:pPr>
      <w:pStyle w:val="3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1300B9">
                          <w:pPr>
                            <w:pStyle w:val="34"/>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531300B9">
                    <w:pPr>
                      <w:pStyle w:val="34"/>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585EF">
    <w:pPr>
      <w:pStyle w:val="34"/>
      <w:tabs>
        <w:tab w:val="clear" w:pos="4153"/>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E52A5">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B0C493A">
                          <w:pPr>
                            <w:pStyle w:val="34"/>
                          </w:pPr>
                          <w:r>
                            <w:fldChar w:fldCharType="begin"/>
                          </w:r>
                          <w:r>
                            <w:instrText xml:space="preserve"> PAGE  \* MERGEFORMAT </w:instrText>
                          </w:r>
                          <w:r>
                            <w:fldChar w:fldCharType="separate"/>
                          </w:r>
                          <w:r>
                            <w:t>34</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OcxcADpAQAA&#10;ygMAAA4AAAAAAAAAAQAgAAAAHgEAAGRycy9lMm9Eb2MueG1sUEsFBgAAAAAGAAYAWQEAAHkFAAAA&#10;AA==&#10;">
              <v:fill on="f" focussize="0,0"/>
              <v:stroke on="f"/>
              <v:imagedata o:title=""/>
              <o:lock v:ext="edit" aspectratio="f"/>
              <v:textbox inset="0mm,0mm,0mm,0mm" style="mso-fit-shape-to-text:t;">
                <w:txbxContent>
                  <w:p w14:paraId="2B0C493A">
                    <w:pPr>
                      <w:pStyle w:val="3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9F127">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85C37F2">
                          <w:pPr>
                            <w:pStyle w:val="34"/>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CozJjrpAQAA&#10;ywMAAA4AAAAAAAAAAQAgAAAAHgEAAGRycy9lMm9Eb2MueG1sUEsFBgAAAAAGAAYAWQEAAHkFAAAA&#10;AA==&#10;">
              <v:fill on="f" focussize="0,0"/>
              <v:stroke on="f"/>
              <v:imagedata o:title=""/>
              <o:lock v:ext="edit" aspectratio="f"/>
              <v:textbox inset="0mm,0mm,0mm,0mm" style="mso-fit-shape-to-text:t;">
                <w:txbxContent>
                  <w:p w14:paraId="485C37F2">
                    <w:pPr>
                      <w:pStyle w:val="3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2F1F">
    <w:pPr>
      <w:pStyle w:val="34"/>
      <w:framePr w:wrap="around" w:vAnchor="text" w:hAnchor="margin" w:xAlign="center" w:y="1"/>
      <w:rPr>
        <w:rStyle w:val="59"/>
      </w:rPr>
    </w:pPr>
    <w:r>
      <w:fldChar w:fldCharType="begin"/>
    </w:r>
    <w:r>
      <w:rPr>
        <w:rStyle w:val="59"/>
      </w:rPr>
      <w:instrText xml:space="preserve">PAGE  </w:instrText>
    </w:r>
    <w:r>
      <w:fldChar w:fldCharType="end"/>
    </w:r>
  </w:p>
  <w:p w14:paraId="2EFC01D5">
    <w:pPr>
      <w:pStyle w:val="3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67836">
    <w:pPr>
      <w:pStyle w:val="34"/>
      <w:ind w:right="36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BB635F7">
                          <w:pPr>
                            <w:pStyle w:val="34"/>
                          </w:pPr>
                          <w:r>
                            <w:fldChar w:fldCharType="begin"/>
                          </w:r>
                          <w:r>
                            <w:instrText xml:space="preserve"> PAGE  \* MERGEFORMAT </w:instrText>
                          </w:r>
                          <w:r>
                            <w:fldChar w:fldCharType="separate"/>
                          </w:r>
                          <w:r>
                            <w:t>41</w:t>
                          </w:r>
                          <w:r>
                            <w:fldChar w:fldCharType="end"/>
                          </w:r>
                        </w:p>
                      </w:txbxContent>
                    </wps:txbx>
                    <wps:bodyPr vert="horz" wrap="none" lIns="0" tIns="0" rIns="0" bIns="0" anchor="t" anchorCtr="0" upright="0">
                      <a:spAutoFit/>
                    </wps:bodyPr>
                  </wps:wsp>
                </a:graphicData>
              </a:graphic>
            </wp:anchor>
          </w:drawing>
        </mc:Choice>
        <mc:Fallback>
          <w:pict>
            <v:shape id="文本框 104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Dmwwu/pAQAA&#10;ywMAAA4AAAAAAAAAAQAgAAAAHgEAAGRycy9lMm9Eb2MueG1sUEsFBgAAAAAGAAYAWQEAAHkFAAAA&#10;AA==&#10;">
              <v:fill on="f" focussize="0,0"/>
              <v:stroke on="f"/>
              <v:imagedata o:title=""/>
              <o:lock v:ext="edit" aspectratio="f"/>
              <v:textbox inset="0mm,0mm,0mm,0mm" style="mso-fit-shape-to-text:t;">
                <w:txbxContent>
                  <w:p w14:paraId="1BB635F7">
                    <w:pPr>
                      <w:pStyle w:val="3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657D9">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791C">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EB54">
    <w:pPr>
      <w:pStyle w:val="35"/>
      <w:jc w:val="both"/>
      <w:rPr>
        <w:sz w:val="15"/>
        <w:szCs w:val="15"/>
      </w:rPr>
    </w:pPr>
    <w:r>
      <w:rPr>
        <w:rFonts w:hint="eastAsia"/>
        <w:sz w:val="15"/>
        <w:szCs w:val="15"/>
        <w:lang w:val="en-US" w:eastAsia="zh-CN"/>
      </w:rPr>
      <w:t xml:space="preserve">港南区第二轮土地承包到期后再延长30年试点项目                                                               公开招标文件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6616E"/>
    <w:multiLevelType w:val="singleLevel"/>
    <w:tmpl w:val="84D6616E"/>
    <w:lvl w:ilvl="0" w:tentative="0">
      <w:start w:val="2"/>
      <w:numFmt w:val="chineseCounting"/>
      <w:suff w:val="space"/>
      <w:lvlText w:val="第%1章"/>
      <w:lvlJc w:val="left"/>
      <w:rPr>
        <w:rFonts w:hint="eastAsia"/>
      </w:rPr>
    </w:lvl>
  </w:abstractNum>
  <w:abstractNum w:abstractNumId="1">
    <w:nsid w:val="D44CD0EF"/>
    <w:multiLevelType w:val="singleLevel"/>
    <w:tmpl w:val="D44CD0EF"/>
    <w:lvl w:ilvl="0" w:tentative="0">
      <w:start w:val="2"/>
      <w:numFmt w:val="chineseCounting"/>
      <w:suff w:val="space"/>
      <w:lvlText w:val="第%1章"/>
      <w:lvlJc w:val="left"/>
      <w:rPr>
        <w:rFonts w:hint="eastAsia"/>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3A84C669"/>
    <w:multiLevelType w:val="singleLevel"/>
    <w:tmpl w:val="3A84C669"/>
    <w:lvl w:ilvl="0" w:tentative="0">
      <w:start w:val="3"/>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TMxMmYyNWI3NzFkNjBiODkxZDNlMmM1N2IwMTkifQ=="/>
  </w:docVars>
  <w:rsids>
    <w:rsidRoot w:val="005C50BB"/>
    <w:rsid w:val="000010FC"/>
    <w:rsid w:val="0000110B"/>
    <w:rsid w:val="00001155"/>
    <w:rsid w:val="0000115D"/>
    <w:rsid w:val="0000156A"/>
    <w:rsid w:val="00001A06"/>
    <w:rsid w:val="00001A19"/>
    <w:rsid w:val="000023CC"/>
    <w:rsid w:val="000024ED"/>
    <w:rsid w:val="000028DE"/>
    <w:rsid w:val="000028E1"/>
    <w:rsid w:val="00002917"/>
    <w:rsid w:val="00002E13"/>
    <w:rsid w:val="00002E35"/>
    <w:rsid w:val="00003343"/>
    <w:rsid w:val="00003FBA"/>
    <w:rsid w:val="00004115"/>
    <w:rsid w:val="000041EB"/>
    <w:rsid w:val="00004481"/>
    <w:rsid w:val="000046FE"/>
    <w:rsid w:val="00004844"/>
    <w:rsid w:val="00005722"/>
    <w:rsid w:val="00005D86"/>
    <w:rsid w:val="00005EF2"/>
    <w:rsid w:val="00006023"/>
    <w:rsid w:val="00006D24"/>
    <w:rsid w:val="000070F1"/>
    <w:rsid w:val="000074DC"/>
    <w:rsid w:val="00007510"/>
    <w:rsid w:val="00007E05"/>
    <w:rsid w:val="00007EB4"/>
    <w:rsid w:val="00010004"/>
    <w:rsid w:val="000100B0"/>
    <w:rsid w:val="000101F6"/>
    <w:rsid w:val="00010258"/>
    <w:rsid w:val="000102B3"/>
    <w:rsid w:val="000102FB"/>
    <w:rsid w:val="00010943"/>
    <w:rsid w:val="00010F31"/>
    <w:rsid w:val="00011B0A"/>
    <w:rsid w:val="000122AA"/>
    <w:rsid w:val="000122CD"/>
    <w:rsid w:val="00012681"/>
    <w:rsid w:val="00012E3B"/>
    <w:rsid w:val="000130E8"/>
    <w:rsid w:val="00013959"/>
    <w:rsid w:val="00013BBB"/>
    <w:rsid w:val="00013D99"/>
    <w:rsid w:val="00013ED9"/>
    <w:rsid w:val="00014C16"/>
    <w:rsid w:val="00014FE2"/>
    <w:rsid w:val="00015408"/>
    <w:rsid w:val="00015840"/>
    <w:rsid w:val="000159AB"/>
    <w:rsid w:val="00015D9E"/>
    <w:rsid w:val="00016160"/>
    <w:rsid w:val="00016181"/>
    <w:rsid w:val="00016D6D"/>
    <w:rsid w:val="000171B9"/>
    <w:rsid w:val="0001736D"/>
    <w:rsid w:val="000177C3"/>
    <w:rsid w:val="000178A6"/>
    <w:rsid w:val="000178BB"/>
    <w:rsid w:val="000178CE"/>
    <w:rsid w:val="00017AF9"/>
    <w:rsid w:val="00020642"/>
    <w:rsid w:val="000209E7"/>
    <w:rsid w:val="000212D9"/>
    <w:rsid w:val="000219A5"/>
    <w:rsid w:val="00021A07"/>
    <w:rsid w:val="00021A6C"/>
    <w:rsid w:val="00022202"/>
    <w:rsid w:val="00022CC1"/>
    <w:rsid w:val="00022EBE"/>
    <w:rsid w:val="00022FC4"/>
    <w:rsid w:val="00023011"/>
    <w:rsid w:val="000231D3"/>
    <w:rsid w:val="00023B55"/>
    <w:rsid w:val="00023D5E"/>
    <w:rsid w:val="00023FF7"/>
    <w:rsid w:val="000240DF"/>
    <w:rsid w:val="00024284"/>
    <w:rsid w:val="00024685"/>
    <w:rsid w:val="00024D28"/>
    <w:rsid w:val="00024D81"/>
    <w:rsid w:val="00025132"/>
    <w:rsid w:val="00025982"/>
    <w:rsid w:val="00026500"/>
    <w:rsid w:val="00026B1B"/>
    <w:rsid w:val="00026C99"/>
    <w:rsid w:val="00027026"/>
    <w:rsid w:val="000272F1"/>
    <w:rsid w:val="0002747C"/>
    <w:rsid w:val="00027847"/>
    <w:rsid w:val="00027FFA"/>
    <w:rsid w:val="0003014E"/>
    <w:rsid w:val="000302AA"/>
    <w:rsid w:val="0003046F"/>
    <w:rsid w:val="000306D7"/>
    <w:rsid w:val="00030C43"/>
    <w:rsid w:val="00031233"/>
    <w:rsid w:val="00031DAB"/>
    <w:rsid w:val="00032574"/>
    <w:rsid w:val="000326F1"/>
    <w:rsid w:val="000327DA"/>
    <w:rsid w:val="000331AA"/>
    <w:rsid w:val="00033B4E"/>
    <w:rsid w:val="00033DB1"/>
    <w:rsid w:val="0003472B"/>
    <w:rsid w:val="000347CC"/>
    <w:rsid w:val="0003481D"/>
    <w:rsid w:val="00034B2B"/>
    <w:rsid w:val="00034EA1"/>
    <w:rsid w:val="000356B1"/>
    <w:rsid w:val="00035BDF"/>
    <w:rsid w:val="00035D13"/>
    <w:rsid w:val="00035ED1"/>
    <w:rsid w:val="000363B5"/>
    <w:rsid w:val="000366C0"/>
    <w:rsid w:val="000370EC"/>
    <w:rsid w:val="00037180"/>
    <w:rsid w:val="000374F3"/>
    <w:rsid w:val="0003752B"/>
    <w:rsid w:val="00037676"/>
    <w:rsid w:val="000379A4"/>
    <w:rsid w:val="00037A6F"/>
    <w:rsid w:val="00037B9A"/>
    <w:rsid w:val="00037E6E"/>
    <w:rsid w:val="00037FC6"/>
    <w:rsid w:val="00037FD1"/>
    <w:rsid w:val="00040588"/>
    <w:rsid w:val="00040591"/>
    <w:rsid w:val="00040868"/>
    <w:rsid w:val="000408FB"/>
    <w:rsid w:val="00040B4D"/>
    <w:rsid w:val="00040C00"/>
    <w:rsid w:val="00040C8C"/>
    <w:rsid w:val="00041087"/>
    <w:rsid w:val="00041130"/>
    <w:rsid w:val="00041170"/>
    <w:rsid w:val="0004175F"/>
    <w:rsid w:val="00041DFA"/>
    <w:rsid w:val="0004209A"/>
    <w:rsid w:val="0004245F"/>
    <w:rsid w:val="00042DAF"/>
    <w:rsid w:val="00042E00"/>
    <w:rsid w:val="00043C06"/>
    <w:rsid w:val="00043D22"/>
    <w:rsid w:val="00043EE9"/>
    <w:rsid w:val="00043FF2"/>
    <w:rsid w:val="000444FC"/>
    <w:rsid w:val="000448D2"/>
    <w:rsid w:val="00044A45"/>
    <w:rsid w:val="000451E5"/>
    <w:rsid w:val="00045203"/>
    <w:rsid w:val="0004556C"/>
    <w:rsid w:val="00046709"/>
    <w:rsid w:val="000468DB"/>
    <w:rsid w:val="000469E7"/>
    <w:rsid w:val="00046A91"/>
    <w:rsid w:val="00047CDD"/>
    <w:rsid w:val="0005030B"/>
    <w:rsid w:val="00050679"/>
    <w:rsid w:val="0005082E"/>
    <w:rsid w:val="00050A69"/>
    <w:rsid w:val="00050E92"/>
    <w:rsid w:val="00050F63"/>
    <w:rsid w:val="00050F89"/>
    <w:rsid w:val="0005114E"/>
    <w:rsid w:val="000511BA"/>
    <w:rsid w:val="00051274"/>
    <w:rsid w:val="000513A1"/>
    <w:rsid w:val="00051527"/>
    <w:rsid w:val="0005163B"/>
    <w:rsid w:val="0005229D"/>
    <w:rsid w:val="000525EE"/>
    <w:rsid w:val="00052710"/>
    <w:rsid w:val="0005272D"/>
    <w:rsid w:val="0005282E"/>
    <w:rsid w:val="0005323A"/>
    <w:rsid w:val="000534E5"/>
    <w:rsid w:val="0005350F"/>
    <w:rsid w:val="0005362D"/>
    <w:rsid w:val="00053BE5"/>
    <w:rsid w:val="00053F04"/>
    <w:rsid w:val="000541BD"/>
    <w:rsid w:val="000547AF"/>
    <w:rsid w:val="0005507A"/>
    <w:rsid w:val="00055253"/>
    <w:rsid w:val="000555E4"/>
    <w:rsid w:val="0005561D"/>
    <w:rsid w:val="000560AF"/>
    <w:rsid w:val="000569C2"/>
    <w:rsid w:val="00056C59"/>
    <w:rsid w:val="000576C1"/>
    <w:rsid w:val="000579F8"/>
    <w:rsid w:val="00057D4F"/>
    <w:rsid w:val="000605C0"/>
    <w:rsid w:val="00060D00"/>
    <w:rsid w:val="0006104C"/>
    <w:rsid w:val="0006136E"/>
    <w:rsid w:val="0006173B"/>
    <w:rsid w:val="000617A9"/>
    <w:rsid w:val="0006181E"/>
    <w:rsid w:val="00061871"/>
    <w:rsid w:val="00061ABE"/>
    <w:rsid w:val="00061EF9"/>
    <w:rsid w:val="0006254A"/>
    <w:rsid w:val="00062C7B"/>
    <w:rsid w:val="000632DA"/>
    <w:rsid w:val="000635EF"/>
    <w:rsid w:val="0006376B"/>
    <w:rsid w:val="00063991"/>
    <w:rsid w:val="00063AC2"/>
    <w:rsid w:val="00064484"/>
    <w:rsid w:val="000644F1"/>
    <w:rsid w:val="00064C88"/>
    <w:rsid w:val="00064E26"/>
    <w:rsid w:val="000654B5"/>
    <w:rsid w:val="0006557C"/>
    <w:rsid w:val="000659BC"/>
    <w:rsid w:val="00065D7A"/>
    <w:rsid w:val="00065FA0"/>
    <w:rsid w:val="00066116"/>
    <w:rsid w:val="00066A6D"/>
    <w:rsid w:val="00066C6A"/>
    <w:rsid w:val="00067371"/>
    <w:rsid w:val="00067613"/>
    <w:rsid w:val="000679FA"/>
    <w:rsid w:val="00067C32"/>
    <w:rsid w:val="00067E1E"/>
    <w:rsid w:val="000703E2"/>
    <w:rsid w:val="000706A4"/>
    <w:rsid w:val="00070CBA"/>
    <w:rsid w:val="00070D1E"/>
    <w:rsid w:val="00071B38"/>
    <w:rsid w:val="00071ED5"/>
    <w:rsid w:val="00072709"/>
    <w:rsid w:val="00072727"/>
    <w:rsid w:val="00072F5B"/>
    <w:rsid w:val="00073822"/>
    <w:rsid w:val="0007409B"/>
    <w:rsid w:val="00074124"/>
    <w:rsid w:val="000744BD"/>
    <w:rsid w:val="00074DB4"/>
    <w:rsid w:val="00075122"/>
    <w:rsid w:val="000753C4"/>
    <w:rsid w:val="000753EB"/>
    <w:rsid w:val="00075C64"/>
    <w:rsid w:val="00076257"/>
    <w:rsid w:val="000763BA"/>
    <w:rsid w:val="000763FA"/>
    <w:rsid w:val="000764E1"/>
    <w:rsid w:val="000765C1"/>
    <w:rsid w:val="000765CC"/>
    <w:rsid w:val="00076B3B"/>
    <w:rsid w:val="00076C92"/>
    <w:rsid w:val="00076CE2"/>
    <w:rsid w:val="00076FB8"/>
    <w:rsid w:val="0007711C"/>
    <w:rsid w:val="00077187"/>
    <w:rsid w:val="00077537"/>
    <w:rsid w:val="00077593"/>
    <w:rsid w:val="00077B5E"/>
    <w:rsid w:val="00077B66"/>
    <w:rsid w:val="000800DC"/>
    <w:rsid w:val="0008037C"/>
    <w:rsid w:val="0008069A"/>
    <w:rsid w:val="000808AB"/>
    <w:rsid w:val="0008114E"/>
    <w:rsid w:val="000811AD"/>
    <w:rsid w:val="0008162B"/>
    <w:rsid w:val="00081754"/>
    <w:rsid w:val="000818D5"/>
    <w:rsid w:val="00081B97"/>
    <w:rsid w:val="00081D4D"/>
    <w:rsid w:val="000821B9"/>
    <w:rsid w:val="00082769"/>
    <w:rsid w:val="000838BD"/>
    <w:rsid w:val="00083C4B"/>
    <w:rsid w:val="00083DCA"/>
    <w:rsid w:val="0008419F"/>
    <w:rsid w:val="000844A2"/>
    <w:rsid w:val="0008471C"/>
    <w:rsid w:val="00084FA6"/>
    <w:rsid w:val="0008513B"/>
    <w:rsid w:val="000854FC"/>
    <w:rsid w:val="00085667"/>
    <w:rsid w:val="00085D26"/>
    <w:rsid w:val="000867C7"/>
    <w:rsid w:val="000868C1"/>
    <w:rsid w:val="00086BB4"/>
    <w:rsid w:val="00086C09"/>
    <w:rsid w:val="00086C3A"/>
    <w:rsid w:val="00086F92"/>
    <w:rsid w:val="00087A02"/>
    <w:rsid w:val="00087EC0"/>
    <w:rsid w:val="0009029A"/>
    <w:rsid w:val="00090677"/>
    <w:rsid w:val="00090979"/>
    <w:rsid w:val="00090B1F"/>
    <w:rsid w:val="00091097"/>
    <w:rsid w:val="000910C2"/>
    <w:rsid w:val="000912FE"/>
    <w:rsid w:val="00091410"/>
    <w:rsid w:val="000914FB"/>
    <w:rsid w:val="00091AEB"/>
    <w:rsid w:val="000925B5"/>
    <w:rsid w:val="0009279B"/>
    <w:rsid w:val="00092E96"/>
    <w:rsid w:val="000932D9"/>
    <w:rsid w:val="000935F2"/>
    <w:rsid w:val="000936DF"/>
    <w:rsid w:val="00093FF8"/>
    <w:rsid w:val="00094173"/>
    <w:rsid w:val="000942AE"/>
    <w:rsid w:val="0009433C"/>
    <w:rsid w:val="000949C4"/>
    <w:rsid w:val="00094A3A"/>
    <w:rsid w:val="00094EC2"/>
    <w:rsid w:val="000954B7"/>
    <w:rsid w:val="000955EC"/>
    <w:rsid w:val="0009644F"/>
    <w:rsid w:val="000967C1"/>
    <w:rsid w:val="00096951"/>
    <w:rsid w:val="00096D52"/>
    <w:rsid w:val="00096F29"/>
    <w:rsid w:val="00097180"/>
    <w:rsid w:val="000971AF"/>
    <w:rsid w:val="00097492"/>
    <w:rsid w:val="0009771B"/>
    <w:rsid w:val="00097919"/>
    <w:rsid w:val="00097DA1"/>
    <w:rsid w:val="00097DB3"/>
    <w:rsid w:val="000A00FF"/>
    <w:rsid w:val="000A14BC"/>
    <w:rsid w:val="000A171C"/>
    <w:rsid w:val="000A174D"/>
    <w:rsid w:val="000A18C7"/>
    <w:rsid w:val="000A213A"/>
    <w:rsid w:val="000A29F5"/>
    <w:rsid w:val="000A2D39"/>
    <w:rsid w:val="000A2E32"/>
    <w:rsid w:val="000A347D"/>
    <w:rsid w:val="000A414C"/>
    <w:rsid w:val="000A443A"/>
    <w:rsid w:val="000A4846"/>
    <w:rsid w:val="000A493D"/>
    <w:rsid w:val="000A4C7B"/>
    <w:rsid w:val="000A4D03"/>
    <w:rsid w:val="000A524D"/>
    <w:rsid w:val="000A5296"/>
    <w:rsid w:val="000A5686"/>
    <w:rsid w:val="000A5D90"/>
    <w:rsid w:val="000A6FA4"/>
    <w:rsid w:val="000B06EC"/>
    <w:rsid w:val="000B08A5"/>
    <w:rsid w:val="000B0A94"/>
    <w:rsid w:val="000B0ED7"/>
    <w:rsid w:val="000B1140"/>
    <w:rsid w:val="000B1C8D"/>
    <w:rsid w:val="000B1E89"/>
    <w:rsid w:val="000B1ECA"/>
    <w:rsid w:val="000B220F"/>
    <w:rsid w:val="000B2296"/>
    <w:rsid w:val="000B2423"/>
    <w:rsid w:val="000B2855"/>
    <w:rsid w:val="000B2A5D"/>
    <w:rsid w:val="000B2AB7"/>
    <w:rsid w:val="000B37A6"/>
    <w:rsid w:val="000B3B38"/>
    <w:rsid w:val="000B3F55"/>
    <w:rsid w:val="000B3F5F"/>
    <w:rsid w:val="000B41DB"/>
    <w:rsid w:val="000B4520"/>
    <w:rsid w:val="000B4A18"/>
    <w:rsid w:val="000B4EBB"/>
    <w:rsid w:val="000B5003"/>
    <w:rsid w:val="000B5071"/>
    <w:rsid w:val="000B5281"/>
    <w:rsid w:val="000B5337"/>
    <w:rsid w:val="000B53F0"/>
    <w:rsid w:val="000B5566"/>
    <w:rsid w:val="000B5761"/>
    <w:rsid w:val="000B5BB7"/>
    <w:rsid w:val="000B5BBB"/>
    <w:rsid w:val="000B5C2F"/>
    <w:rsid w:val="000B5D10"/>
    <w:rsid w:val="000B6269"/>
    <w:rsid w:val="000B63DF"/>
    <w:rsid w:val="000B6494"/>
    <w:rsid w:val="000B6717"/>
    <w:rsid w:val="000B6ADE"/>
    <w:rsid w:val="000B6F61"/>
    <w:rsid w:val="000B7020"/>
    <w:rsid w:val="000B70D7"/>
    <w:rsid w:val="000B7255"/>
    <w:rsid w:val="000B7783"/>
    <w:rsid w:val="000B78A5"/>
    <w:rsid w:val="000B7D3F"/>
    <w:rsid w:val="000B7FE0"/>
    <w:rsid w:val="000C079D"/>
    <w:rsid w:val="000C0B61"/>
    <w:rsid w:val="000C15AA"/>
    <w:rsid w:val="000C1890"/>
    <w:rsid w:val="000C19EE"/>
    <w:rsid w:val="000C1DAF"/>
    <w:rsid w:val="000C22BC"/>
    <w:rsid w:val="000C30A1"/>
    <w:rsid w:val="000C34AF"/>
    <w:rsid w:val="000C370C"/>
    <w:rsid w:val="000C3A9E"/>
    <w:rsid w:val="000C3B42"/>
    <w:rsid w:val="000C3BAF"/>
    <w:rsid w:val="000C3F21"/>
    <w:rsid w:val="000C458D"/>
    <w:rsid w:val="000C4B37"/>
    <w:rsid w:val="000C4C7D"/>
    <w:rsid w:val="000C4CBE"/>
    <w:rsid w:val="000C4CED"/>
    <w:rsid w:val="000C4D34"/>
    <w:rsid w:val="000C4D87"/>
    <w:rsid w:val="000C4F20"/>
    <w:rsid w:val="000C53E3"/>
    <w:rsid w:val="000C54A2"/>
    <w:rsid w:val="000C55A8"/>
    <w:rsid w:val="000C560B"/>
    <w:rsid w:val="000C57BF"/>
    <w:rsid w:val="000C58B1"/>
    <w:rsid w:val="000C59FF"/>
    <w:rsid w:val="000C5F65"/>
    <w:rsid w:val="000C60FF"/>
    <w:rsid w:val="000C639A"/>
    <w:rsid w:val="000C6479"/>
    <w:rsid w:val="000C6EBB"/>
    <w:rsid w:val="000C704F"/>
    <w:rsid w:val="000C7988"/>
    <w:rsid w:val="000D0553"/>
    <w:rsid w:val="000D07A1"/>
    <w:rsid w:val="000D0841"/>
    <w:rsid w:val="000D12D0"/>
    <w:rsid w:val="000D1692"/>
    <w:rsid w:val="000D16A6"/>
    <w:rsid w:val="000D2731"/>
    <w:rsid w:val="000D278B"/>
    <w:rsid w:val="000D2A5E"/>
    <w:rsid w:val="000D2F69"/>
    <w:rsid w:val="000D3479"/>
    <w:rsid w:val="000D3788"/>
    <w:rsid w:val="000D3D76"/>
    <w:rsid w:val="000D3DC8"/>
    <w:rsid w:val="000D402F"/>
    <w:rsid w:val="000D42D8"/>
    <w:rsid w:val="000D445B"/>
    <w:rsid w:val="000D45A3"/>
    <w:rsid w:val="000D468A"/>
    <w:rsid w:val="000D4743"/>
    <w:rsid w:val="000D49AF"/>
    <w:rsid w:val="000D4D0C"/>
    <w:rsid w:val="000D53F7"/>
    <w:rsid w:val="000D5F15"/>
    <w:rsid w:val="000D5FA8"/>
    <w:rsid w:val="000D6006"/>
    <w:rsid w:val="000D63CD"/>
    <w:rsid w:val="000D6951"/>
    <w:rsid w:val="000D6C63"/>
    <w:rsid w:val="000D6CC9"/>
    <w:rsid w:val="000D6E8A"/>
    <w:rsid w:val="000D76BF"/>
    <w:rsid w:val="000D7883"/>
    <w:rsid w:val="000D7D2C"/>
    <w:rsid w:val="000D7EB0"/>
    <w:rsid w:val="000E01A1"/>
    <w:rsid w:val="000E02DA"/>
    <w:rsid w:val="000E02F2"/>
    <w:rsid w:val="000E0850"/>
    <w:rsid w:val="000E0B47"/>
    <w:rsid w:val="000E0C0B"/>
    <w:rsid w:val="000E125F"/>
    <w:rsid w:val="000E13C5"/>
    <w:rsid w:val="000E14FA"/>
    <w:rsid w:val="000E1FC6"/>
    <w:rsid w:val="000E21D9"/>
    <w:rsid w:val="000E2BEE"/>
    <w:rsid w:val="000E2C05"/>
    <w:rsid w:val="000E3262"/>
    <w:rsid w:val="000E3852"/>
    <w:rsid w:val="000E3AA0"/>
    <w:rsid w:val="000E3AA6"/>
    <w:rsid w:val="000E3CB7"/>
    <w:rsid w:val="000E4ABA"/>
    <w:rsid w:val="000E4EF0"/>
    <w:rsid w:val="000E5209"/>
    <w:rsid w:val="000E525D"/>
    <w:rsid w:val="000E5614"/>
    <w:rsid w:val="000E5A79"/>
    <w:rsid w:val="000E5D02"/>
    <w:rsid w:val="000E5EF4"/>
    <w:rsid w:val="000E5F4C"/>
    <w:rsid w:val="000E61DB"/>
    <w:rsid w:val="000E61EE"/>
    <w:rsid w:val="000E63EC"/>
    <w:rsid w:val="000E6714"/>
    <w:rsid w:val="000E70AF"/>
    <w:rsid w:val="000E78CF"/>
    <w:rsid w:val="000F0007"/>
    <w:rsid w:val="000F0281"/>
    <w:rsid w:val="000F03A6"/>
    <w:rsid w:val="000F06D6"/>
    <w:rsid w:val="000F0BA1"/>
    <w:rsid w:val="000F0BE3"/>
    <w:rsid w:val="000F104E"/>
    <w:rsid w:val="000F13A7"/>
    <w:rsid w:val="000F13FA"/>
    <w:rsid w:val="000F1651"/>
    <w:rsid w:val="000F189D"/>
    <w:rsid w:val="000F1F5F"/>
    <w:rsid w:val="000F23BC"/>
    <w:rsid w:val="000F256B"/>
    <w:rsid w:val="000F2758"/>
    <w:rsid w:val="000F2BBA"/>
    <w:rsid w:val="000F30C8"/>
    <w:rsid w:val="000F3898"/>
    <w:rsid w:val="000F3AA8"/>
    <w:rsid w:val="000F3B31"/>
    <w:rsid w:val="000F3BA6"/>
    <w:rsid w:val="000F3D19"/>
    <w:rsid w:val="000F445B"/>
    <w:rsid w:val="000F44E7"/>
    <w:rsid w:val="000F4641"/>
    <w:rsid w:val="000F489B"/>
    <w:rsid w:val="000F48F9"/>
    <w:rsid w:val="000F4966"/>
    <w:rsid w:val="000F4D45"/>
    <w:rsid w:val="000F51B1"/>
    <w:rsid w:val="000F52A5"/>
    <w:rsid w:val="000F539F"/>
    <w:rsid w:val="000F56FC"/>
    <w:rsid w:val="000F6093"/>
    <w:rsid w:val="000F6193"/>
    <w:rsid w:val="000F63C0"/>
    <w:rsid w:val="000F65D7"/>
    <w:rsid w:val="000F666B"/>
    <w:rsid w:val="000F6CD3"/>
    <w:rsid w:val="000F78E5"/>
    <w:rsid w:val="000F7901"/>
    <w:rsid w:val="000F7B20"/>
    <w:rsid w:val="000F7DB8"/>
    <w:rsid w:val="000F7E70"/>
    <w:rsid w:val="00100505"/>
    <w:rsid w:val="00100668"/>
    <w:rsid w:val="0010077B"/>
    <w:rsid w:val="001010B7"/>
    <w:rsid w:val="00101510"/>
    <w:rsid w:val="00101609"/>
    <w:rsid w:val="001020FC"/>
    <w:rsid w:val="00102298"/>
    <w:rsid w:val="001022F1"/>
    <w:rsid w:val="001024C4"/>
    <w:rsid w:val="00102A97"/>
    <w:rsid w:val="00102AA1"/>
    <w:rsid w:val="00102B46"/>
    <w:rsid w:val="00102C72"/>
    <w:rsid w:val="00102CEC"/>
    <w:rsid w:val="00103A4D"/>
    <w:rsid w:val="0010402F"/>
    <w:rsid w:val="00104149"/>
    <w:rsid w:val="00104914"/>
    <w:rsid w:val="00104AC9"/>
    <w:rsid w:val="00104B08"/>
    <w:rsid w:val="0010519E"/>
    <w:rsid w:val="001053C7"/>
    <w:rsid w:val="0010551D"/>
    <w:rsid w:val="00105653"/>
    <w:rsid w:val="00105757"/>
    <w:rsid w:val="00105BEE"/>
    <w:rsid w:val="00105E55"/>
    <w:rsid w:val="001060F4"/>
    <w:rsid w:val="00106325"/>
    <w:rsid w:val="0010644F"/>
    <w:rsid w:val="001066BA"/>
    <w:rsid w:val="001067B3"/>
    <w:rsid w:val="00106877"/>
    <w:rsid w:val="001068CA"/>
    <w:rsid w:val="00106D84"/>
    <w:rsid w:val="00106EAA"/>
    <w:rsid w:val="001071F5"/>
    <w:rsid w:val="00107280"/>
    <w:rsid w:val="0011059C"/>
    <w:rsid w:val="00110737"/>
    <w:rsid w:val="00110BC2"/>
    <w:rsid w:val="00110D43"/>
    <w:rsid w:val="00110E40"/>
    <w:rsid w:val="001118A4"/>
    <w:rsid w:val="00111B39"/>
    <w:rsid w:val="00111F38"/>
    <w:rsid w:val="00112144"/>
    <w:rsid w:val="001124D3"/>
    <w:rsid w:val="001129DE"/>
    <w:rsid w:val="00112A4F"/>
    <w:rsid w:val="00112B6E"/>
    <w:rsid w:val="00112CC8"/>
    <w:rsid w:val="00113057"/>
    <w:rsid w:val="00113060"/>
    <w:rsid w:val="0011354F"/>
    <w:rsid w:val="001135F3"/>
    <w:rsid w:val="00113637"/>
    <w:rsid w:val="0011414C"/>
    <w:rsid w:val="00114178"/>
    <w:rsid w:val="00114F64"/>
    <w:rsid w:val="0011546A"/>
    <w:rsid w:val="0011553C"/>
    <w:rsid w:val="00115702"/>
    <w:rsid w:val="00115EE3"/>
    <w:rsid w:val="00116555"/>
    <w:rsid w:val="001165A5"/>
    <w:rsid w:val="00116A08"/>
    <w:rsid w:val="00116C99"/>
    <w:rsid w:val="00117602"/>
    <w:rsid w:val="001176B0"/>
    <w:rsid w:val="001176E4"/>
    <w:rsid w:val="00117710"/>
    <w:rsid w:val="00117AF8"/>
    <w:rsid w:val="00117C4E"/>
    <w:rsid w:val="00117DAF"/>
    <w:rsid w:val="001200D3"/>
    <w:rsid w:val="00120167"/>
    <w:rsid w:val="0012033C"/>
    <w:rsid w:val="00120AE9"/>
    <w:rsid w:val="001212A2"/>
    <w:rsid w:val="0012161C"/>
    <w:rsid w:val="00121B97"/>
    <w:rsid w:val="0012214C"/>
    <w:rsid w:val="0012254B"/>
    <w:rsid w:val="00122A59"/>
    <w:rsid w:val="00122D40"/>
    <w:rsid w:val="00123171"/>
    <w:rsid w:val="00123545"/>
    <w:rsid w:val="00123EBF"/>
    <w:rsid w:val="00123F8D"/>
    <w:rsid w:val="001246D7"/>
    <w:rsid w:val="001247DA"/>
    <w:rsid w:val="00124975"/>
    <w:rsid w:val="00124A7E"/>
    <w:rsid w:val="00124C62"/>
    <w:rsid w:val="00124EA7"/>
    <w:rsid w:val="00125117"/>
    <w:rsid w:val="0012554E"/>
    <w:rsid w:val="001257F6"/>
    <w:rsid w:val="001258FB"/>
    <w:rsid w:val="00125997"/>
    <w:rsid w:val="001259F8"/>
    <w:rsid w:val="001259FC"/>
    <w:rsid w:val="00125C6E"/>
    <w:rsid w:val="001263D5"/>
    <w:rsid w:val="00126D7F"/>
    <w:rsid w:val="00126E7B"/>
    <w:rsid w:val="00126F00"/>
    <w:rsid w:val="001274B1"/>
    <w:rsid w:val="001278C7"/>
    <w:rsid w:val="00127BE7"/>
    <w:rsid w:val="00127BEF"/>
    <w:rsid w:val="00130038"/>
    <w:rsid w:val="00130326"/>
    <w:rsid w:val="00130565"/>
    <w:rsid w:val="00130C1B"/>
    <w:rsid w:val="0013109C"/>
    <w:rsid w:val="0013114D"/>
    <w:rsid w:val="00131532"/>
    <w:rsid w:val="001316D3"/>
    <w:rsid w:val="00131EEE"/>
    <w:rsid w:val="00132058"/>
    <w:rsid w:val="001320BD"/>
    <w:rsid w:val="001320D2"/>
    <w:rsid w:val="00132243"/>
    <w:rsid w:val="0013255F"/>
    <w:rsid w:val="0013277B"/>
    <w:rsid w:val="00133F4E"/>
    <w:rsid w:val="00133FF6"/>
    <w:rsid w:val="001342DB"/>
    <w:rsid w:val="001346C4"/>
    <w:rsid w:val="00134BEE"/>
    <w:rsid w:val="00134EC2"/>
    <w:rsid w:val="00135430"/>
    <w:rsid w:val="0013553F"/>
    <w:rsid w:val="001356CB"/>
    <w:rsid w:val="0013591E"/>
    <w:rsid w:val="00135A49"/>
    <w:rsid w:val="001363F1"/>
    <w:rsid w:val="001364FE"/>
    <w:rsid w:val="00136B21"/>
    <w:rsid w:val="00136D05"/>
    <w:rsid w:val="00136E0C"/>
    <w:rsid w:val="0013739E"/>
    <w:rsid w:val="00137634"/>
    <w:rsid w:val="001377D9"/>
    <w:rsid w:val="001377FC"/>
    <w:rsid w:val="00137BE6"/>
    <w:rsid w:val="00137FEE"/>
    <w:rsid w:val="001400E0"/>
    <w:rsid w:val="00140955"/>
    <w:rsid w:val="00140F9C"/>
    <w:rsid w:val="001416C6"/>
    <w:rsid w:val="00141927"/>
    <w:rsid w:val="001427F5"/>
    <w:rsid w:val="00142C78"/>
    <w:rsid w:val="0014321B"/>
    <w:rsid w:val="00143790"/>
    <w:rsid w:val="00143953"/>
    <w:rsid w:val="00143A3F"/>
    <w:rsid w:val="00143CF8"/>
    <w:rsid w:val="00143DB0"/>
    <w:rsid w:val="00143ECE"/>
    <w:rsid w:val="0014426A"/>
    <w:rsid w:val="00144C2E"/>
    <w:rsid w:val="00145150"/>
    <w:rsid w:val="001459D4"/>
    <w:rsid w:val="00145D5C"/>
    <w:rsid w:val="00146693"/>
    <w:rsid w:val="0014686D"/>
    <w:rsid w:val="00146A11"/>
    <w:rsid w:val="00146C0E"/>
    <w:rsid w:val="001470F1"/>
    <w:rsid w:val="00147268"/>
    <w:rsid w:val="00147469"/>
    <w:rsid w:val="0014794B"/>
    <w:rsid w:val="00147EDC"/>
    <w:rsid w:val="001505D9"/>
    <w:rsid w:val="00150640"/>
    <w:rsid w:val="00150811"/>
    <w:rsid w:val="00150B6C"/>
    <w:rsid w:val="00150BB0"/>
    <w:rsid w:val="00150C30"/>
    <w:rsid w:val="00150DB3"/>
    <w:rsid w:val="00151420"/>
    <w:rsid w:val="00151655"/>
    <w:rsid w:val="0015199C"/>
    <w:rsid w:val="00151DCC"/>
    <w:rsid w:val="00152646"/>
    <w:rsid w:val="00153408"/>
    <w:rsid w:val="00153542"/>
    <w:rsid w:val="00153C10"/>
    <w:rsid w:val="00153D30"/>
    <w:rsid w:val="00154659"/>
    <w:rsid w:val="001547C4"/>
    <w:rsid w:val="00154B1A"/>
    <w:rsid w:val="00154C15"/>
    <w:rsid w:val="001552B5"/>
    <w:rsid w:val="001556B9"/>
    <w:rsid w:val="0015609B"/>
    <w:rsid w:val="001560D8"/>
    <w:rsid w:val="00156167"/>
    <w:rsid w:val="001564F3"/>
    <w:rsid w:val="0015667B"/>
    <w:rsid w:val="00156BA4"/>
    <w:rsid w:val="00156E02"/>
    <w:rsid w:val="00156FC3"/>
    <w:rsid w:val="0015749D"/>
    <w:rsid w:val="00157B12"/>
    <w:rsid w:val="00157BB5"/>
    <w:rsid w:val="00160000"/>
    <w:rsid w:val="001600EC"/>
    <w:rsid w:val="00160369"/>
    <w:rsid w:val="00160404"/>
    <w:rsid w:val="001605D6"/>
    <w:rsid w:val="00160A29"/>
    <w:rsid w:val="00160AF2"/>
    <w:rsid w:val="00160B9E"/>
    <w:rsid w:val="00160C77"/>
    <w:rsid w:val="00160FA3"/>
    <w:rsid w:val="0016112B"/>
    <w:rsid w:val="00161D14"/>
    <w:rsid w:val="00161F65"/>
    <w:rsid w:val="001621E8"/>
    <w:rsid w:val="0016234D"/>
    <w:rsid w:val="00162608"/>
    <w:rsid w:val="00162C2C"/>
    <w:rsid w:val="00163611"/>
    <w:rsid w:val="00163F66"/>
    <w:rsid w:val="00163FC6"/>
    <w:rsid w:val="001640B8"/>
    <w:rsid w:val="00164474"/>
    <w:rsid w:val="001649EB"/>
    <w:rsid w:val="00164C66"/>
    <w:rsid w:val="00165345"/>
    <w:rsid w:val="001655DE"/>
    <w:rsid w:val="001656A8"/>
    <w:rsid w:val="00165852"/>
    <w:rsid w:val="001660F1"/>
    <w:rsid w:val="00166499"/>
    <w:rsid w:val="00166782"/>
    <w:rsid w:val="00166E16"/>
    <w:rsid w:val="00167B85"/>
    <w:rsid w:val="00167BEA"/>
    <w:rsid w:val="00167E9E"/>
    <w:rsid w:val="00167F6F"/>
    <w:rsid w:val="00170364"/>
    <w:rsid w:val="0017047E"/>
    <w:rsid w:val="0017099D"/>
    <w:rsid w:val="00170B56"/>
    <w:rsid w:val="00170E3E"/>
    <w:rsid w:val="00171154"/>
    <w:rsid w:val="0017132C"/>
    <w:rsid w:val="00172085"/>
    <w:rsid w:val="0017235A"/>
    <w:rsid w:val="001730CB"/>
    <w:rsid w:val="001733DC"/>
    <w:rsid w:val="00173C80"/>
    <w:rsid w:val="001749C6"/>
    <w:rsid w:val="00175A05"/>
    <w:rsid w:val="00175A35"/>
    <w:rsid w:val="00175DC5"/>
    <w:rsid w:val="00175F2B"/>
    <w:rsid w:val="00176391"/>
    <w:rsid w:val="00176510"/>
    <w:rsid w:val="00176662"/>
    <w:rsid w:val="00176859"/>
    <w:rsid w:val="00176D70"/>
    <w:rsid w:val="00177758"/>
    <w:rsid w:val="0017779D"/>
    <w:rsid w:val="00177839"/>
    <w:rsid w:val="00180707"/>
    <w:rsid w:val="00180B58"/>
    <w:rsid w:val="00181648"/>
    <w:rsid w:val="0018164D"/>
    <w:rsid w:val="00181670"/>
    <w:rsid w:val="00181744"/>
    <w:rsid w:val="00181C3B"/>
    <w:rsid w:val="00182151"/>
    <w:rsid w:val="00182262"/>
    <w:rsid w:val="0018290C"/>
    <w:rsid w:val="00182C1E"/>
    <w:rsid w:val="00182EED"/>
    <w:rsid w:val="001831BA"/>
    <w:rsid w:val="001832DF"/>
    <w:rsid w:val="001832FF"/>
    <w:rsid w:val="001836C2"/>
    <w:rsid w:val="00183E9B"/>
    <w:rsid w:val="00184410"/>
    <w:rsid w:val="0018471B"/>
    <w:rsid w:val="00184A5D"/>
    <w:rsid w:val="00184ACC"/>
    <w:rsid w:val="00184B3F"/>
    <w:rsid w:val="00184DD1"/>
    <w:rsid w:val="00184F0D"/>
    <w:rsid w:val="001854FD"/>
    <w:rsid w:val="001858F4"/>
    <w:rsid w:val="001862AB"/>
    <w:rsid w:val="00186F82"/>
    <w:rsid w:val="001871BB"/>
    <w:rsid w:val="00187681"/>
    <w:rsid w:val="00190363"/>
    <w:rsid w:val="001904B9"/>
    <w:rsid w:val="00190B9F"/>
    <w:rsid w:val="00190E35"/>
    <w:rsid w:val="00190F14"/>
    <w:rsid w:val="00191937"/>
    <w:rsid w:val="00191D02"/>
    <w:rsid w:val="00191FAC"/>
    <w:rsid w:val="00192249"/>
    <w:rsid w:val="0019268D"/>
    <w:rsid w:val="00192900"/>
    <w:rsid w:val="0019290C"/>
    <w:rsid w:val="00192ABA"/>
    <w:rsid w:val="00192E63"/>
    <w:rsid w:val="001933DD"/>
    <w:rsid w:val="00193B2E"/>
    <w:rsid w:val="00193DBC"/>
    <w:rsid w:val="00194A5D"/>
    <w:rsid w:val="00194C37"/>
    <w:rsid w:val="00194E65"/>
    <w:rsid w:val="00194EAF"/>
    <w:rsid w:val="0019534B"/>
    <w:rsid w:val="00195554"/>
    <w:rsid w:val="00195585"/>
    <w:rsid w:val="001956C1"/>
    <w:rsid w:val="00195764"/>
    <w:rsid w:val="00195A50"/>
    <w:rsid w:val="00195BF2"/>
    <w:rsid w:val="0019624A"/>
    <w:rsid w:val="00196B72"/>
    <w:rsid w:val="0019748A"/>
    <w:rsid w:val="001A0024"/>
    <w:rsid w:val="001A02D6"/>
    <w:rsid w:val="001A04FD"/>
    <w:rsid w:val="001A0846"/>
    <w:rsid w:val="001A0B56"/>
    <w:rsid w:val="001A0E56"/>
    <w:rsid w:val="001A0E68"/>
    <w:rsid w:val="001A1052"/>
    <w:rsid w:val="001A15AB"/>
    <w:rsid w:val="001A167F"/>
    <w:rsid w:val="001A170D"/>
    <w:rsid w:val="001A1ABC"/>
    <w:rsid w:val="001A2030"/>
    <w:rsid w:val="001A207C"/>
    <w:rsid w:val="001A259F"/>
    <w:rsid w:val="001A2A42"/>
    <w:rsid w:val="001A2A6C"/>
    <w:rsid w:val="001A2B2E"/>
    <w:rsid w:val="001A2B69"/>
    <w:rsid w:val="001A2ECB"/>
    <w:rsid w:val="001A37CE"/>
    <w:rsid w:val="001A3B6E"/>
    <w:rsid w:val="001A4985"/>
    <w:rsid w:val="001A4A0A"/>
    <w:rsid w:val="001A5248"/>
    <w:rsid w:val="001A5E99"/>
    <w:rsid w:val="001A6009"/>
    <w:rsid w:val="001A60FA"/>
    <w:rsid w:val="001A626D"/>
    <w:rsid w:val="001A699F"/>
    <w:rsid w:val="001A6A79"/>
    <w:rsid w:val="001A6EDE"/>
    <w:rsid w:val="001A6EEB"/>
    <w:rsid w:val="001A735B"/>
    <w:rsid w:val="001A7B2D"/>
    <w:rsid w:val="001A7C8F"/>
    <w:rsid w:val="001B048E"/>
    <w:rsid w:val="001B04C9"/>
    <w:rsid w:val="001B0518"/>
    <w:rsid w:val="001B0CEA"/>
    <w:rsid w:val="001B0D48"/>
    <w:rsid w:val="001B0D54"/>
    <w:rsid w:val="001B0DF7"/>
    <w:rsid w:val="001B13B8"/>
    <w:rsid w:val="001B1621"/>
    <w:rsid w:val="001B1C15"/>
    <w:rsid w:val="001B1D43"/>
    <w:rsid w:val="001B245D"/>
    <w:rsid w:val="001B2466"/>
    <w:rsid w:val="001B2598"/>
    <w:rsid w:val="001B27B0"/>
    <w:rsid w:val="001B27D3"/>
    <w:rsid w:val="001B2EFB"/>
    <w:rsid w:val="001B370E"/>
    <w:rsid w:val="001B3CA7"/>
    <w:rsid w:val="001B3D1B"/>
    <w:rsid w:val="001B465D"/>
    <w:rsid w:val="001B48A3"/>
    <w:rsid w:val="001B495F"/>
    <w:rsid w:val="001B4B96"/>
    <w:rsid w:val="001B4FF8"/>
    <w:rsid w:val="001B56EC"/>
    <w:rsid w:val="001B5B62"/>
    <w:rsid w:val="001B5F41"/>
    <w:rsid w:val="001B6036"/>
    <w:rsid w:val="001B615F"/>
    <w:rsid w:val="001B66DE"/>
    <w:rsid w:val="001B66FF"/>
    <w:rsid w:val="001B681F"/>
    <w:rsid w:val="001B7070"/>
    <w:rsid w:val="001B75BA"/>
    <w:rsid w:val="001B7882"/>
    <w:rsid w:val="001B794B"/>
    <w:rsid w:val="001B7A6E"/>
    <w:rsid w:val="001C0366"/>
    <w:rsid w:val="001C038F"/>
    <w:rsid w:val="001C0391"/>
    <w:rsid w:val="001C09EE"/>
    <w:rsid w:val="001C0EB4"/>
    <w:rsid w:val="001C0EBA"/>
    <w:rsid w:val="001C10E8"/>
    <w:rsid w:val="001C12EC"/>
    <w:rsid w:val="001C1557"/>
    <w:rsid w:val="001C15D2"/>
    <w:rsid w:val="001C1905"/>
    <w:rsid w:val="001C1F87"/>
    <w:rsid w:val="001C1FCC"/>
    <w:rsid w:val="001C219E"/>
    <w:rsid w:val="001C2227"/>
    <w:rsid w:val="001C2637"/>
    <w:rsid w:val="001C2C16"/>
    <w:rsid w:val="001C2EF2"/>
    <w:rsid w:val="001C2F14"/>
    <w:rsid w:val="001C3703"/>
    <w:rsid w:val="001C4271"/>
    <w:rsid w:val="001C4324"/>
    <w:rsid w:val="001C43AC"/>
    <w:rsid w:val="001C43D1"/>
    <w:rsid w:val="001C462B"/>
    <w:rsid w:val="001C49FD"/>
    <w:rsid w:val="001C4A70"/>
    <w:rsid w:val="001C58E5"/>
    <w:rsid w:val="001C5A7F"/>
    <w:rsid w:val="001C5E3C"/>
    <w:rsid w:val="001C6112"/>
    <w:rsid w:val="001C6389"/>
    <w:rsid w:val="001C63A5"/>
    <w:rsid w:val="001C68A2"/>
    <w:rsid w:val="001C68A6"/>
    <w:rsid w:val="001C6F99"/>
    <w:rsid w:val="001C7159"/>
    <w:rsid w:val="001C7393"/>
    <w:rsid w:val="001C74F0"/>
    <w:rsid w:val="001C7918"/>
    <w:rsid w:val="001C7E66"/>
    <w:rsid w:val="001D052C"/>
    <w:rsid w:val="001D0DC8"/>
    <w:rsid w:val="001D0F04"/>
    <w:rsid w:val="001D10D3"/>
    <w:rsid w:val="001D1457"/>
    <w:rsid w:val="001D1525"/>
    <w:rsid w:val="001D18ED"/>
    <w:rsid w:val="001D198A"/>
    <w:rsid w:val="001D215D"/>
    <w:rsid w:val="001D25DA"/>
    <w:rsid w:val="001D2D01"/>
    <w:rsid w:val="001D3084"/>
    <w:rsid w:val="001D3316"/>
    <w:rsid w:val="001D33B1"/>
    <w:rsid w:val="001D3BE3"/>
    <w:rsid w:val="001D3F03"/>
    <w:rsid w:val="001D4A7B"/>
    <w:rsid w:val="001D4AE6"/>
    <w:rsid w:val="001D4CFB"/>
    <w:rsid w:val="001D51A4"/>
    <w:rsid w:val="001D53CB"/>
    <w:rsid w:val="001D546D"/>
    <w:rsid w:val="001D5CBD"/>
    <w:rsid w:val="001D5FB8"/>
    <w:rsid w:val="001D63D0"/>
    <w:rsid w:val="001D6480"/>
    <w:rsid w:val="001D66EE"/>
    <w:rsid w:val="001D6715"/>
    <w:rsid w:val="001D69BB"/>
    <w:rsid w:val="001D71CB"/>
    <w:rsid w:val="001D72FB"/>
    <w:rsid w:val="001D7409"/>
    <w:rsid w:val="001D7988"/>
    <w:rsid w:val="001D7C61"/>
    <w:rsid w:val="001D7E9C"/>
    <w:rsid w:val="001D7F8C"/>
    <w:rsid w:val="001E00E6"/>
    <w:rsid w:val="001E1466"/>
    <w:rsid w:val="001E17C7"/>
    <w:rsid w:val="001E1894"/>
    <w:rsid w:val="001E1EA4"/>
    <w:rsid w:val="001E2033"/>
    <w:rsid w:val="001E215E"/>
    <w:rsid w:val="001E2326"/>
    <w:rsid w:val="001E24FE"/>
    <w:rsid w:val="001E27FD"/>
    <w:rsid w:val="001E2BE3"/>
    <w:rsid w:val="001E2F78"/>
    <w:rsid w:val="001E3224"/>
    <w:rsid w:val="001E3347"/>
    <w:rsid w:val="001E340E"/>
    <w:rsid w:val="001E38A5"/>
    <w:rsid w:val="001E3A9B"/>
    <w:rsid w:val="001E3B4A"/>
    <w:rsid w:val="001E3BB6"/>
    <w:rsid w:val="001E3EE7"/>
    <w:rsid w:val="001E4162"/>
    <w:rsid w:val="001E4234"/>
    <w:rsid w:val="001E4299"/>
    <w:rsid w:val="001E4708"/>
    <w:rsid w:val="001E496F"/>
    <w:rsid w:val="001E4BBF"/>
    <w:rsid w:val="001E4CB7"/>
    <w:rsid w:val="001E4E57"/>
    <w:rsid w:val="001E517A"/>
    <w:rsid w:val="001E569E"/>
    <w:rsid w:val="001E5D62"/>
    <w:rsid w:val="001E628F"/>
    <w:rsid w:val="001E6746"/>
    <w:rsid w:val="001E6E25"/>
    <w:rsid w:val="001E6E92"/>
    <w:rsid w:val="001E6F1E"/>
    <w:rsid w:val="001E70D8"/>
    <w:rsid w:val="001E7634"/>
    <w:rsid w:val="001E7ACE"/>
    <w:rsid w:val="001E7BE0"/>
    <w:rsid w:val="001E7FF4"/>
    <w:rsid w:val="001F02C8"/>
    <w:rsid w:val="001F0548"/>
    <w:rsid w:val="001F1569"/>
    <w:rsid w:val="001F1665"/>
    <w:rsid w:val="001F1A81"/>
    <w:rsid w:val="001F206A"/>
    <w:rsid w:val="001F2962"/>
    <w:rsid w:val="001F29A7"/>
    <w:rsid w:val="001F3050"/>
    <w:rsid w:val="001F30E1"/>
    <w:rsid w:val="001F3125"/>
    <w:rsid w:val="001F3287"/>
    <w:rsid w:val="001F35D0"/>
    <w:rsid w:val="001F360F"/>
    <w:rsid w:val="001F38C0"/>
    <w:rsid w:val="001F42E8"/>
    <w:rsid w:val="001F43D9"/>
    <w:rsid w:val="001F4898"/>
    <w:rsid w:val="001F4939"/>
    <w:rsid w:val="001F4F00"/>
    <w:rsid w:val="001F5A5B"/>
    <w:rsid w:val="001F5C6B"/>
    <w:rsid w:val="001F5D40"/>
    <w:rsid w:val="001F61FE"/>
    <w:rsid w:val="001F6342"/>
    <w:rsid w:val="001F66A4"/>
    <w:rsid w:val="001F6997"/>
    <w:rsid w:val="001F721A"/>
    <w:rsid w:val="001F72EE"/>
    <w:rsid w:val="001F7418"/>
    <w:rsid w:val="001F78E0"/>
    <w:rsid w:val="001F7BB5"/>
    <w:rsid w:val="001F7F3E"/>
    <w:rsid w:val="002002D8"/>
    <w:rsid w:val="0020031A"/>
    <w:rsid w:val="00200473"/>
    <w:rsid w:val="00200737"/>
    <w:rsid w:val="00200B6C"/>
    <w:rsid w:val="00200B97"/>
    <w:rsid w:val="0020189A"/>
    <w:rsid w:val="00201B4B"/>
    <w:rsid w:val="00201C2E"/>
    <w:rsid w:val="00201FDE"/>
    <w:rsid w:val="0020203C"/>
    <w:rsid w:val="002029A2"/>
    <w:rsid w:val="002031E2"/>
    <w:rsid w:val="00203249"/>
    <w:rsid w:val="002037A0"/>
    <w:rsid w:val="00203876"/>
    <w:rsid w:val="00203DEF"/>
    <w:rsid w:val="002043E4"/>
    <w:rsid w:val="0020469B"/>
    <w:rsid w:val="00204755"/>
    <w:rsid w:val="0020492F"/>
    <w:rsid w:val="00204B8B"/>
    <w:rsid w:val="00204F85"/>
    <w:rsid w:val="00204FDA"/>
    <w:rsid w:val="002050E4"/>
    <w:rsid w:val="002050FA"/>
    <w:rsid w:val="002052D7"/>
    <w:rsid w:val="00205A4A"/>
    <w:rsid w:val="00205A83"/>
    <w:rsid w:val="00205A85"/>
    <w:rsid w:val="00205D56"/>
    <w:rsid w:val="00205E18"/>
    <w:rsid w:val="00206031"/>
    <w:rsid w:val="00206EEE"/>
    <w:rsid w:val="00206F09"/>
    <w:rsid w:val="002070AB"/>
    <w:rsid w:val="0020717B"/>
    <w:rsid w:val="00207242"/>
    <w:rsid w:val="002072F4"/>
    <w:rsid w:val="0020788D"/>
    <w:rsid w:val="00207E4A"/>
    <w:rsid w:val="00207F02"/>
    <w:rsid w:val="00210165"/>
    <w:rsid w:val="00210920"/>
    <w:rsid w:val="00210FC6"/>
    <w:rsid w:val="00211638"/>
    <w:rsid w:val="002117BC"/>
    <w:rsid w:val="00211C2E"/>
    <w:rsid w:val="00212402"/>
    <w:rsid w:val="00212620"/>
    <w:rsid w:val="002127B7"/>
    <w:rsid w:val="00212847"/>
    <w:rsid w:val="00213003"/>
    <w:rsid w:val="00213618"/>
    <w:rsid w:val="002138C2"/>
    <w:rsid w:val="00213B92"/>
    <w:rsid w:val="00213CEC"/>
    <w:rsid w:val="00213E9A"/>
    <w:rsid w:val="0021414A"/>
    <w:rsid w:val="00214DF0"/>
    <w:rsid w:val="002151E0"/>
    <w:rsid w:val="00215443"/>
    <w:rsid w:val="00215BC9"/>
    <w:rsid w:val="00215C11"/>
    <w:rsid w:val="00215C7D"/>
    <w:rsid w:val="00215D55"/>
    <w:rsid w:val="00215DB9"/>
    <w:rsid w:val="00215E29"/>
    <w:rsid w:val="002164AA"/>
    <w:rsid w:val="002165DA"/>
    <w:rsid w:val="00216ED4"/>
    <w:rsid w:val="00217595"/>
    <w:rsid w:val="002178A8"/>
    <w:rsid w:val="00217907"/>
    <w:rsid w:val="0022018A"/>
    <w:rsid w:val="0022042C"/>
    <w:rsid w:val="0022091F"/>
    <w:rsid w:val="00220985"/>
    <w:rsid w:val="002222DC"/>
    <w:rsid w:val="0022244B"/>
    <w:rsid w:val="00222544"/>
    <w:rsid w:val="002227B2"/>
    <w:rsid w:val="0022287A"/>
    <w:rsid w:val="00222B4F"/>
    <w:rsid w:val="00222CDB"/>
    <w:rsid w:val="00222DC7"/>
    <w:rsid w:val="00222FCD"/>
    <w:rsid w:val="00223045"/>
    <w:rsid w:val="0022321B"/>
    <w:rsid w:val="0022334B"/>
    <w:rsid w:val="00224DFF"/>
    <w:rsid w:val="00224F7B"/>
    <w:rsid w:val="00225664"/>
    <w:rsid w:val="00225EAA"/>
    <w:rsid w:val="00226B8A"/>
    <w:rsid w:val="002270D9"/>
    <w:rsid w:val="002274AB"/>
    <w:rsid w:val="002277A1"/>
    <w:rsid w:val="00227998"/>
    <w:rsid w:val="00227B39"/>
    <w:rsid w:val="00227C16"/>
    <w:rsid w:val="00227DCD"/>
    <w:rsid w:val="00230123"/>
    <w:rsid w:val="0023099D"/>
    <w:rsid w:val="00230F20"/>
    <w:rsid w:val="00231174"/>
    <w:rsid w:val="00231579"/>
    <w:rsid w:val="00231F2B"/>
    <w:rsid w:val="002320CD"/>
    <w:rsid w:val="0023246C"/>
    <w:rsid w:val="00232789"/>
    <w:rsid w:val="00232D8F"/>
    <w:rsid w:val="00232D9B"/>
    <w:rsid w:val="00232DFF"/>
    <w:rsid w:val="00232F05"/>
    <w:rsid w:val="00233184"/>
    <w:rsid w:val="002333E5"/>
    <w:rsid w:val="002335D7"/>
    <w:rsid w:val="00233C96"/>
    <w:rsid w:val="00233ED5"/>
    <w:rsid w:val="00233EF7"/>
    <w:rsid w:val="002342DF"/>
    <w:rsid w:val="002346CE"/>
    <w:rsid w:val="00234B17"/>
    <w:rsid w:val="00234B4B"/>
    <w:rsid w:val="00234BAD"/>
    <w:rsid w:val="00234C6A"/>
    <w:rsid w:val="00234D06"/>
    <w:rsid w:val="00235139"/>
    <w:rsid w:val="0023568D"/>
    <w:rsid w:val="002359EF"/>
    <w:rsid w:val="00235E9B"/>
    <w:rsid w:val="00236A3A"/>
    <w:rsid w:val="00237110"/>
    <w:rsid w:val="002371FB"/>
    <w:rsid w:val="00237346"/>
    <w:rsid w:val="0023751F"/>
    <w:rsid w:val="00237534"/>
    <w:rsid w:val="002377EC"/>
    <w:rsid w:val="002378A7"/>
    <w:rsid w:val="00237A5D"/>
    <w:rsid w:val="00240374"/>
    <w:rsid w:val="002406FA"/>
    <w:rsid w:val="00240A7F"/>
    <w:rsid w:val="00240FC6"/>
    <w:rsid w:val="0024113B"/>
    <w:rsid w:val="00241B8C"/>
    <w:rsid w:val="00241C01"/>
    <w:rsid w:val="00241F12"/>
    <w:rsid w:val="00242041"/>
    <w:rsid w:val="00242585"/>
    <w:rsid w:val="002428F5"/>
    <w:rsid w:val="00242956"/>
    <w:rsid w:val="00242FA7"/>
    <w:rsid w:val="0024312A"/>
    <w:rsid w:val="002431E5"/>
    <w:rsid w:val="00243866"/>
    <w:rsid w:val="002438F4"/>
    <w:rsid w:val="0024415A"/>
    <w:rsid w:val="002444A3"/>
    <w:rsid w:val="00244657"/>
    <w:rsid w:val="00244AB0"/>
    <w:rsid w:val="00244B78"/>
    <w:rsid w:val="00244C38"/>
    <w:rsid w:val="002450A1"/>
    <w:rsid w:val="00245503"/>
    <w:rsid w:val="00245520"/>
    <w:rsid w:val="0024554C"/>
    <w:rsid w:val="00245B4C"/>
    <w:rsid w:val="00245D02"/>
    <w:rsid w:val="0024611A"/>
    <w:rsid w:val="00246230"/>
    <w:rsid w:val="002462B9"/>
    <w:rsid w:val="00246701"/>
    <w:rsid w:val="002472F5"/>
    <w:rsid w:val="002476A1"/>
    <w:rsid w:val="0024796B"/>
    <w:rsid w:val="00250820"/>
    <w:rsid w:val="00250A25"/>
    <w:rsid w:val="00250E52"/>
    <w:rsid w:val="00251A1A"/>
    <w:rsid w:val="0025215D"/>
    <w:rsid w:val="002521F4"/>
    <w:rsid w:val="0025292F"/>
    <w:rsid w:val="00253248"/>
    <w:rsid w:val="002532BD"/>
    <w:rsid w:val="002534FA"/>
    <w:rsid w:val="00253AF9"/>
    <w:rsid w:val="00253F13"/>
    <w:rsid w:val="00254B87"/>
    <w:rsid w:val="00254C99"/>
    <w:rsid w:val="00254D0A"/>
    <w:rsid w:val="00254DFA"/>
    <w:rsid w:val="002553A8"/>
    <w:rsid w:val="00255B79"/>
    <w:rsid w:val="00255EEF"/>
    <w:rsid w:val="0025614E"/>
    <w:rsid w:val="002561A1"/>
    <w:rsid w:val="00256785"/>
    <w:rsid w:val="00256B47"/>
    <w:rsid w:val="00257206"/>
    <w:rsid w:val="0025729A"/>
    <w:rsid w:val="0025797F"/>
    <w:rsid w:val="00257BC2"/>
    <w:rsid w:val="002603A6"/>
    <w:rsid w:val="00260A63"/>
    <w:rsid w:val="00260DF5"/>
    <w:rsid w:val="00260EDB"/>
    <w:rsid w:val="0026125D"/>
    <w:rsid w:val="00261845"/>
    <w:rsid w:val="00261C96"/>
    <w:rsid w:val="00261CEA"/>
    <w:rsid w:val="002622A9"/>
    <w:rsid w:val="002626C9"/>
    <w:rsid w:val="002627AB"/>
    <w:rsid w:val="00262895"/>
    <w:rsid w:val="00262CEC"/>
    <w:rsid w:val="00262DE0"/>
    <w:rsid w:val="00263509"/>
    <w:rsid w:val="0026397A"/>
    <w:rsid w:val="00263BED"/>
    <w:rsid w:val="00263CE2"/>
    <w:rsid w:val="00263DB3"/>
    <w:rsid w:val="00263E25"/>
    <w:rsid w:val="0026417B"/>
    <w:rsid w:val="00264338"/>
    <w:rsid w:val="00264B04"/>
    <w:rsid w:val="00264EC8"/>
    <w:rsid w:val="00265197"/>
    <w:rsid w:val="00265320"/>
    <w:rsid w:val="0026534A"/>
    <w:rsid w:val="002653F6"/>
    <w:rsid w:val="0026566F"/>
    <w:rsid w:val="002657D9"/>
    <w:rsid w:val="00266365"/>
    <w:rsid w:val="00266601"/>
    <w:rsid w:val="00266705"/>
    <w:rsid w:val="00266EC8"/>
    <w:rsid w:val="002670D8"/>
    <w:rsid w:val="00267198"/>
    <w:rsid w:val="00267865"/>
    <w:rsid w:val="002679A3"/>
    <w:rsid w:val="00267C08"/>
    <w:rsid w:val="00267E2B"/>
    <w:rsid w:val="00270A89"/>
    <w:rsid w:val="00270D60"/>
    <w:rsid w:val="00270E97"/>
    <w:rsid w:val="00270EC9"/>
    <w:rsid w:val="0027179E"/>
    <w:rsid w:val="002717B7"/>
    <w:rsid w:val="00271835"/>
    <w:rsid w:val="00271E2A"/>
    <w:rsid w:val="00271FC4"/>
    <w:rsid w:val="002721A0"/>
    <w:rsid w:val="002723EC"/>
    <w:rsid w:val="00272BDE"/>
    <w:rsid w:val="0027300C"/>
    <w:rsid w:val="002730CB"/>
    <w:rsid w:val="0027361F"/>
    <w:rsid w:val="0027372D"/>
    <w:rsid w:val="00273878"/>
    <w:rsid w:val="00273CBB"/>
    <w:rsid w:val="00273E45"/>
    <w:rsid w:val="00274B36"/>
    <w:rsid w:val="002750CB"/>
    <w:rsid w:val="0027554D"/>
    <w:rsid w:val="0027594B"/>
    <w:rsid w:val="00275CF0"/>
    <w:rsid w:val="00275FB2"/>
    <w:rsid w:val="0027617F"/>
    <w:rsid w:val="00276189"/>
    <w:rsid w:val="00276291"/>
    <w:rsid w:val="0027713F"/>
    <w:rsid w:val="002771B9"/>
    <w:rsid w:val="0027737A"/>
    <w:rsid w:val="00277579"/>
    <w:rsid w:val="00277A23"/>
    <w:rsid w:val="002800AF"/>
    <w:rsid w:val="00280457"/>
    <w:rsid w:val="0028077E"/>
    <w:rsid w:val="00280B4B"/>
    <w:rsid w:val="00280BDF"/>
    <w:rsid w:val="00280D1F"/>
    <w:rsid w:val="00280ED7"/>
    <w:rsid w:val="00281A4B"/>
    <w:rsid w:val="00281FD9"/>
    <w:rsid w:val="0028248D"/>
    <w:rsid w:val="002824BF"/>
    <w:rsid w:val="002829A9"/>
    <w:rsid w:val="00282D8E"/>
    <w:rsid w:val="00282F91"/>
    <w:rsid w:val="002830F7"/>
    <w:rsid w:val="00283814"/>
    <w:rsid w:val="00283D3D"/>
    <w:rsid w:val="00283D52"/>
    <w:rsid w:val="00283EAE"/>
    <w:rsid w:val="00284381"/>
    <w:rsid w:val="002848AA"/>
    <w:rsid w:val="0028498E"/>
    <w:rsid w:val="002849CE"/>
    <w:rsid w:val="00284ED4"/>
    <w:rsid w:val="00285220"/>
    <w:rsid w:val="00285222"/>
    <w:rsid w:val="0028560B"/>
    <w:rsid w:val="002869B2"/>
    <w:rsid w:val="00286C2E"/>
    <w:rsid w:val="00286CA9"/>
    <w:rsid w:val="00286F97"/>
    <w:rsid w:val="00287891"/>
    <w:rsid w:val="00287D6F"/>
    <w:rsid w:val="00287F36"/>
    <w:rsid w:val="002904F2"/>
    <w:rsid w:val="00290577"/>
    <w:rsid w:val="0029070E"/>
    <w:rsid w:val="00290C94"/>
    <w:rsid w:val="002914A1"/>
    <w:rsid w:val="00291A0E"/>
    <w:rsid w:val="00291CB1"/>
    <w:rsid w:val="00292483"/>
    <w:rsid w:val="0029259F"/>
    <w:rsid w:val="002925B9"/>
    <w:rsid w:val="00292830"/>
    <w:rsid w:val="002928B7"/>
    <w:rsid w:val="00292E1F"/>
    <w:rsid w:val="0029307F"/>
    <w:rsid w:val="002936ED"/>
    <w:rsid w:val="0029483F"/>
    <w:rsid w:val="00294D8E"/>
    <w:rsid w:val="00294DBF"/>
    <w:rsid w:val="00295356"/>
    <w:rsid w:val="002954BD"/>
    <w:rsid w:val="0029567D"/>
    <w:rsid w:val="00296236"/>
    <w:rsid w:val="0029678E"/>
    <w:rsid w:val="002968CE"/>
    <w:rsid w:val="002971B2"/>
    <w:rsid w:val="00297A58"/>
    <w:rsid w:val="00297C0C"/>
    <w:rsid w:val="00297D9B"/>
    <w:rsid w:val="00297E67"/>
    <w:rsid w:val="002A0237"/>
    <w:rsid w:val="002A0672"/>
    <w:rsid w:val="002A0977"/>
    <w:rsid w:val="002A0F38"/>
    <w:rsid w:val="002A1227"/>
    <w:rsid w:val="002A1EE7"/>
    <w:rsid w:val="002A21DB"/>
    <w:rsid w:val="002A253D"/>
    <w:rsid w:val="002A29B7"/>
    <w:rsid w:val="002A381E"/>
    <w:rsid w:val="002A392F"/>
    <w:rsid w:val="002A3DDC"/>
    <w:rsid w:val="002A3FB9"/>
    <w:rsid w:val="002A400F"/>
    <w:rsid w:val="002A4386"/>
    <w:rsid w:val="002A494A"/>
    <w:rsid w:val="002A4DE1"/>
    <w:rsid w:val="002A527E"/>
    <w:rsid w:val="002A58D0"/>
    <w:rsid w:val="002A5C75"/>
    <w:rsid w:val="002A5D6D"/>
    <w:rsid w:val="002A6280"/>
    <w:rsid w:val="002A645F"/>
    <w:rsid w:val="002A66F5"/>
    <w:rsid w:val="002A69A2"/>
    <w:rsid w:val="002A6AF9"/>
    <w:rsid w:val="002A6FF7"/>
    <w:rsid w:val="002A7656"/>
    <w:rsid w:val="002A78F4"/>
    <w:rsid w:val="002A7973"/>
    <w:rsid w:val="002A7A1B"/>
    <w:rsid w:val="002A7F2D"/>
    <w:rsid w:val="002B01E6"/>
    <w:rsid w:val="002B02AD"/>
    <w:rsid w:val="002B05E0"/>
    <w:rsid w:val="002B0691"/>
    <w:rsid w:val="002B0B92"/>
    <w:rsid w:val="002B0BDF"/>
    <w:rsid w:val="002B0CA5"/>
    <w:rsid w:val="002B1029"/>
    <w:rsid w:val="002B1811"/>
    <w:rsid w:val="002B19BD"/>
    <w:rsid w:val="002B1A1A"/>
    <w:rsid w:val="002B1CA2"/>
    <w:rsid w:val="002B1D1A"/>
    <w:rsid w:val="002B22E6"/>
    <w:rsid w:val="002B248C"/>
    <w:rsid w:val="002B26C4"/>
    <w:rsid w:val="002B275D"/>
    <w:rsid w:val="002B30BE"/>
    <w:rsid w:val="002B37A2"/>
    <w:rsid w:val="002B3815"/>
    <w:rsid w:val="002B384F"/>
    <w:rsid w:val="002B3906"/>
    <w:rsid w:val="002B4235"/>
    <w:rsid w:val="002B4369"/>
    <w:rsid w:val="002B44AE"/>
    <w:rsid w:val="002B45F9"/>
    <w:rsid w:val="002B46B8"/>
    <w:rsid w:val="002B4ADC"/>
    <w:rsid w:val="002B4B85"/>
    <w:rsid w:val="002B4D5D"/>
    <w:rsid w:val="002B5A4A"/>
    <w:rsid w:val="002B5F41"/>
    <w:rsid w:val="002B6D21"/>
    <w:rsid w:val="002B734B"/>
    <w:rsid w:val="002B742F"/>
    <w:rsid w:val="002B76C4"/>
    <w:rsid w:val="002B7F45"/>
    <w:rsid w:val="002C0188"/>
    <w:rsid w:val="002C0A14"/>
    <w:rsid w:val="002C0CBF"/>
    <w:rsid w:val="002C0E86"/>
    <w:rsid w:val="002C0E9E"/>
    <w:rsid w:val="002C1746"/>
    <w:rsid w:val="002C17FF"/>
    <w:rsid w:val="002C193F"/>
    <w:rsid w:val="002C20C5"/>
    <w:rsid w:val="002C20E2"/>
    <w:rsid w:val="002C23D1"/>
    <w:rsid w:val="002C25A0"/>
    <w:rsid w:val="002C25B4"/>
    <w:rsid w:val="002C25E9"/>
    <w:rsid w:val="002C270F"/>
    <w:rsid w:val="002C28B7"/>
    <w:rsid w:val="002C2A2A"/>
    <w:rsid w:val="002C2EE5"/>
    <w:rsid w:val="002C3054"/>
    <w:rsid w:val="002C30B2"/>
    <w:rsid w:val="002C378C"/>
    <w:rsid w:val="002C37D2"/>
    <w:rsid w:val="002C38AA"/>
    <w:rsid w:val="002C392A"/>
    <w:rsid w:val="002C392F"/>
    <w:rsid w:val="002C3B86"/>
    <w:rsid w:val="002C4046"/>
    <w:rsid w:val="002C426E"/>
    <w:rsid w:val="002C42A0"/>
    <w:rsid w:val="002C48B3"/>
    <w:rsid w:val="002C48FE"/>
    <w:rsid w:val="002C4AC9"/>
    <w:rsid w:val="002C4B7C"/>
    <w:rsid w:val="002C4BDA"/>
    <w:rsid w:val="002C501F"/>
    <w:rsid w:val="002C54B2"/>
    <w:rsid w:val="002C56FF"/>
    <w:rsid w:val="002C57FC"/>
    <w:rsid w:val="002C5821"/>
    <w:rsid w:val="002C645B"/>
    <w:rsid w:val="002C6594"/>
    <w:rsid w:val="002C6C4F"/>
    <w:rsid w:val="002C7092"/>
    <w:rsid w:val="002C7538"/>
    <w:rsid w:val="002C786D"/>
    <w:rsid w:val="002D0216"/>
    <w:rsid w:val="002D0502"/>
    <w:rsid w:val="002D0FD0"/>
    <w:rsid w:val="002D1250"/>
    <w:rsid w:val="002D1963"/>
    <w:rsid w:val="002D1FA1"/>
    <w:rsid w:val="002D234C"/>
    <w:rsid w:val="002D25D1"/>
    <w:rsid w:val="002D267A"/>
    <w:rsid w:val="002D2727"/>
    <w:rsid w:val="002D2CFC"/>
    <w:rsid w:val="002D2DD7"/>
    <w:rsid w:val="002D3350"/>
    <w:rsid w:val="002D3351"/>
    <w:rsid w:val="002D34AF"/>
    <w:rsid w:val="002D38D7"/>
    <w:rsid w:val="002D3932"/>
    <w:rsid w:val="002D3B9F"/>
    <w:rsid w:val="002D3DF4"/>
    <w:rsid w:val="002D4389"/>
    <w:rsid w:val="002D475C"/>
    <w:rsid w:val="002D47EA"/>
    <w:rsid w:val="002D49E9"/>
    <w:rsid w:val="002D5089"/>
    <w:rsid w:val="002D542E"/>
    <w:rsid w:val="002D55BB"/>
    <w:rsid w:val="002D5A8C"/>
    <w:rsid w:val="002D5BDE"/>
    <w:rsid w:val="002D6064"/>
    <w:rsid w:val="002D6B0F"/>
    <w:rsid w:val="002D6C6D"/>
    <w:rsid w:val="002D740A"/>
    <w:rsid w:val="002D76F0"/>
    <w:rsid w:val="002D7A74"/>
    <w:rsid w:val="002D7CEA"/>
    <w:rsid w:val="002E004B"/>
    <w:rsid w:val="002E0369"/>
    <w:rsid w:val="002E055C"/>
    <w:rsid w:val="002E0627"/>
    <w:rsid w:val="002E0AE1"/>
    <w:rsid w:val="002E0B82"/>
    <w:rsid w:val="002E1163"/>
    <w:rsid w:val="002E1261"/>
    <w:rsid w:val="002E1538"/>
    <w:rsid w:val="002E15D4"/>
    <w:rsid w:val="002E1831"/>
    <w:rsid w:val="002E1AA9"/>
    <w:rsid w:val="002E1BAB"/>
    <w:rsid w:val="002E2664"/>
    <w:rsid w:val="002E27D6"/>
    <w:rsid w:val="002E2964"/>
    <w:rsid w:val="002E2A05"/>
    <w:rsid w:val="002E2B43"/>
    <w:rsid w:val="002E2F5B"/>
    <w:rsid w:val="002E333E"/>
    <w:rsid w:val="002E347B"/>
    <w:rsid w:val="002E34FF"/>
    <w:rsid w:val="002E37C0"/>
    <w:rsid w:val="002E3A0F"/>
    <w:rsid w:val="002E3A3D"/>
    <w:rsid w:val="002E4103"/>
    <w:rsid w:val="002E426B"/>
    <w:rsid w:val="002E42C6"/>
    <w:rsid w:val="002E4BF7"/>
    <w:rsid w:val="002E4CA6"/>
    <w:rsid w:val="002E5541"/>
    <w:rsid w:val="002E5BD5"/>
    <w:rsid w:val="002E5E13"/>
    <w:rsid w:val="002E60CD"/>
    <w:rsid w:val="002E6244"/>
    <w:rsid w:val="002E65CE"/>
    <w:rsid w:val="002E6714"/>
    <w:rsid w:val="002E6908"/>
    <w:rsid w:val="002E6AF7"/>
    <w:rsid w:val="002E71F8"/>
    <w:rsid w:val="002E73F5"/>
    <w:rsid w:val="002E7866"/>
    <w:rsid w:val="002E7A5E"/>
    <w:rsid w:val="002F06B8"/>
    <w:rsid w:val="002F075A"/>
    <w:rsid w:val="002F082B"/>
    <w:rsid w:val="002F0C99"/>
    <w:rsid w:val="002F0F8B"/>
    <w:rsid w:val="002F1C49"/>
    <w:rsid w:val="002F2235"/>
    <w:rsid w:val="002F2336"/>
    <w:rsid w:val="002F25E0"/>
    <w:rsid w:val="002F2ADF"/>
    <w:rsid w:val="002F2E29"/>
    <w:rsid w:val="002F2EBC"/>
    <w:rsid w:val="002F2EDD"/>
    <w:rsid w:val="002F354F"/>
    <w:rsid w:val="002F3738"/>
    <w:rsid w:val="002F3893"/>
    <w:rsid w:val="002F3F12"/>
    <w:rsid w:val="002F4552"/>
    <w:rsid w:val="002F459E"/>
    <w:rsid w:val="002F46E3"/>
    <w:rsid w:val="002F4924"/>
    <w:rsid w:val="002F4EC7"/>
    <w:rsid w:val="002F515B"/>
    <w:rsid w:val="002F552F"/>
    <w:rsid w:val="002F5888"/>
    <w:rsid w:val="002F5963"/>
    <w:rsid w:val="002F6A9F"/>
    <w:rsid w:val="002F6BC4"/>
    <w:rsid w:val="002F7216"/>
    <w:rsid w:val="002F75D8"/>
    <w:rsid w:val="002F76D7"/>
    <w:rsid w:val="002F7815"/>
    <w:rsid w:val="002F7ACA"/>
    <w:rsid w:val="002F7B41"/>
    <w:rsid w:val="002F7BD0"/>
    <w:rsid w:val="002F7D89"/>
    <w:rsid w:val="0030044A"/>
    <w:rsid w:val="00301D28"/>
    <w:rsid w:val="003030D8"/>
    <w:rsid w:val="003032B6"/>
    <w:rsid w:val="00303461"/>
    <w:rsid w:val="0030411D"/>
    <w:rsid w:val="0030427B"/>
    <w:rsid w:val="0030501B"/>
    <w:rsid w:val="00305291"/>
    <w:rsid w:val="00305A7C"/>
    <w:rsid w:val="00305BBD"/>
    <w:rsid w:val="00305CA2"/>
    <w:rsid w:val="00305CCF"/>
    <w:rsid w:val="0030663F"/>
    <w:rsid w:val="0030667A"/>
    <w:rsid w:val="003066D8"/>
    <w:rsid w:val="00306868"/>
    <w:rsid w:val="0030688D"/>
    <w:rsid w:val="00306D55"/>
    <w:rsid w:val="00307175"/>
    <w:rsid w:val="003071A5"/>
    <w:rsid w:val="003077DB"/>
    <w:rsid w:val="0031054F"/>
    <w:rsid w:val="003105C6"/>
    <w:rsid w:val="00310FC4"/>
    <w:rsid w:val="00311400"/>
    <w:rsid w:val="00311505"/>
    <w:rsid w:val="00311AD3"/>
    <w:rsid w:val="00311C92"/>
    <w:rsid w:val="00311E41"/>
    <w:rsid w:val="003124BF"/>
    <w:rsid w:val="0031258E"/>
    <w:rsid w:val="00312A39"/>
    <w:rsid w:val="00312DF8"/>
    <w:rsid w:val="003133A1"/>
    <w:rsid w:val="003137F2"/>
    <w:rsid w:val="00313810"/>
    <w:rsid w:val="0031389F"/>
    <w:rsid w:val="00313949"/>
    <w:rsid w:val="00313B20"/>
    <w:rsid w:val="00313B76"/>
    <w:rsid w:val="003146AB"/>
    <w:rsid w:val="00314F5C"/>
    <w:rsid w:val="00315480"/>
    <w:rsid w:val="00315C46"/>
    <w:rsid w:val="003164A6"/>
    <w:rsid w:val="0031672D"/>
    <w:rsid w:val="0031691F"/>
    <w:rsid w:val="003169FA"/>
    <w:rsid w:val="00317174"/>
    <w:rsid w:val="00317965"/>
    <w:rsid w:val="00317F9D"/>
    <w:rsid w:val="0032027E"/>
    <w:rsid w:val="00320D9B"/>
    <w:rsid w:val="00320E58"/>
    <w:rsid w:val="0032158E"/>
    <w:rsid w:val="003215F4"/>
    <w:rsid w:val="003217E2"/>
    <w:rsid w:val="0032190E"/>
    <w:rsid w:val="00321F26"/>
    <w:rsid w:val="00321FA1"/>
    <w:rsid w:val="0032224C"/>
    <w:rsid w:val="00322379"/>
    <w:rsid w:val="003224B6"/>
    <w:rsid w:val="00322784"/>
    <w:rsid w:val="00322BEB"/>
    <w:rsid w:val="00322D6E"/>
    <w:rsid w:val="00322F88"/>
    <w:rsid w:val="00323376"/>
    <w:rsid w:val="00323E4D"/>
    <w:rsid w:val="00323F38"/>
    <w:rsid w:val="00323F65"/>
    <w:rsid w:val="00324549"/>
    <w:rsid w:val="00324681"/>
    <w:rsid w:val="00324890"/>
    <w:rsid w:val="0032489D"/>
    <w:rsid w:val="003248CD"/>
    <w:rsid w:val="00324B80"/>
    <w:rsid w:val="00324C50"/>
    <w:rsid w:val="00324EDA"/>
    <w:rsid w:val="00325678"/>
    <w:rsid w:val="0032575E"/>
    <w:rsid w:val="0032585A"/>
    <w:rsid w:val="00325DE3"/>
    <w:rsid w:val="003263E6"/>
    <w:rsid w:val="00326439"/>
    <w:rsid w:val="003270DA"/>
    <w:rsid w:val="003271A4"/>
    <w:rsid w:val="00327B8F"/>
    <w:rsid w:val="00327C8A"/>
    <w:rsid w:val="00327CFA"/>
    <w:rsid w:val="00327E6D"/>
    <w:rsid w:val="00330084"/>
    <w:rsid w:val="003308B7"/>
    <w:rsid w:val="003308BB"/>
    <w:rsid w:val="00330C91"/>
    <w:rsid w:val="00330DE6"/>
    <w:rsid w:val="00330F33"/>
    <w:rsid w:val="003310D9"/>
    <w:rsid w:val="00331738"/>
    <w:rsid w:val="00331B72"/>
    <w:rsid w:val="0033226C"/>
    <w:rsid w:val="0033244B"/>
    <w:rsid w:val="003325C1"/>
    <w:rsid w:val="003325CF"/>
    <w:rsid w:val="0033264C"/>
    <w:rsid w:val="0033282F"/>
    <w:rsid w:val="0033361F"/>
    <w:rsid w:val="00333AB0"/>
    <w:rsid w:val="00333DAA"/>
    <w:rsid w:val="0033411B"/>
    <w:rsid w:val="003345FA"/>
    <w:rsid w:val="00334943"/>
    <w:rsid w:val="00334BB3"/>
    <w:rsid w:val="00334DC6"/>
    <w:rsid w:val="00334F3B"/>
    <w:rsid w:val="00335511"/>
    <w:rsid w:val="003355AE"/>
    <w:rsid w:val="003356A7"/>
    <w:rsid w:val="0033595A"/>
    <w:rsid w:val="00335CFB"/>
    <w:rsid w:val="00336276"/>
    <w:rsid w:val="00336D9F"/>
    <w:rsid w:val="00337132"/>
    <w:rsid w:val="00337290"/>
    <w:rsid w:val="00340215"/>
    <w:rsid w:val="00340890"/>
    <w:rsid w:val="00340942"/>
    <w:rsid w:val="00340A33"/>
    <w:rsid w:val="00340A76"/>
    <w:rsid w:val="00340E99"/>
    <w:rsid w:val="00341069"/>
    <w:rsid w:val="003410D9"/>
    <w:rsid w:val="003411A6"/>
    <w:rsid w:val="0034135E"/>
    <w:rsid w:val="00341D47"/>
    <w:rsid w:val="00341DDE"/>
    <w:rsid w:val="003424F2"/>
    <w:rsid w:val="0034257C"/>
    <w:rsid w:val="00342732"/>
    <w:rsid w:val="00342C10"/>
    <w:rsid w:val="00342D02"/>
    <w:rsid w:val="00342DF9"/>
    <w:rsid w:val="003432B0"/>
    <w:rsid w:val="0034377D"/>
    <w:rsid w:val="003439CD"/>
    <w:rsid w:val="00343BE5"/>
    <w:rsid w:val="00343C57"/>
    <w:rsid w:val="00343D2D"/>
    <w:rsid w:val="0034439D"/>
    <w:rsid w:val="003444F9"/>
    <w:rsid w:val="00344591"/>
    <w:rsid w:val="00344F58"/>
    <w:rsid w:val="003455C4"/>
    <w:rsid w:val="00345E7C"/>
    <w:rsid w:val="0034611E"/>
    <w:rsid w:val="0034678C"/>
    <w:rsid w:val="003469B4"/>
    <w:rsid w:val="00346B6A"/>
    <w:rsid w:val="00346CBB"/>
    <w:rsid w:val="00346CD1"/>
    <w:rsid w:val="00346FF2"/>
    <w:rsid w:val="00347519"/>
    <w:rsid w:val="0035008A"/>
    <w:rsid w:val="00350852"/>
    <w:rsid w:val="00351984"/>
    <w:rsid w:val="00351ACC"/>
    <w:rsid w:val="00351FC7"/>
    <w:rsid w:val="003521F2"/>
    <w:rsid w:val="00352360"/>
    <w:rsid w:val="0035284E"/>
    <w:rsid w:val="00352993"/>
    <w:rsid w:val="00352ED4"/>
    <w:rsid w:val="00353AB7"/>
    <w:rsid w:val="00353E73"/>
    <w:rsid w:val="0035465D"/>
    <w:rsid w:val="00354DA9"/>
    <w:rsid w:val="00355066"/>
    <w:rsid w:val="00355830"/>
    <w:rsid w:val="003562ED"/>
    <w:rsid w:val="00356463"/>
    <w:rsid w:val="00356927"/>
    <w:rsid w:val="00356CB5"/>
    <w:rsid w:val="00357399"/>
    <w:rsid w:val="00357500"/>
    <w:rsid w:val="00357578"/>
    <w:rsid w:val="00357A48"/>
    <w:rsid w:val="00357A84"/>
    <w:rsid w:val="003605F1"/>
    <w:rsid w:val="003609E4"/>
    <w:rsid w:val="00360EE1"/>
    <w:rsid w:val="00360EEA"/>
    <w:rsid w:val="00361445"/>
    <w:rsid w:val="0036175D"/>
    <w:rsid w:val="00361CD1"/>
    <w:rsid w:val="00361E0B"/>
    <w:rsid w:val="003620F5"/>
    <w:rsid w:val="00362AB3"/>
    <w:rsid w:val="00362F59"/>
    <w:rsid w:val="00362FBA"/>
    <w:rsid w:val="00363023"/>
    <w:rsid w:val="00363350"/>
    <w:rsid w:val="0036347A"/>
    <w:rsid w:val="003637F0"/>
    <w:rsid w:val="00363E6F"/>
    <w:rsid w:val="00364477"/>
    <w:rsid w:val="003644C7"/>
    <w:rsid w:val="0036457C"/>
    <w:rsid w:val="0036507F"/>
    <w:rsid w:val="00365196"/>
    <w:rsid w:val="003652D8"/>
    <w:rsid w:val="00365528"/>
    <w:rsid w:val="00365760"/>
    <w:rsid w:val="00365797"/>
    <w:rsid w:val="003658DA"/>
    <w:rsid w:val="00365CA5"/>
    <w:rsid w:val="00365FDF"/>
    <w:rsid w:val="00366494"/>
    <w:rsid w:val="00366FA9"/>
    <w:rsid w:val="003671B8"/>
    <w:rsid w:val="003674AC"/>
    <w:rsid w:val="00367D43"/>
    <w:rsid w:val="003707A9"/>
    <w:rsid w:val="00370855"/>
    <w:rsid w:val="00370B34"/>
    <w:rsid w:val="00370D32"/>
    <w:rsid w:val="00370D61"/>
    <w:rsid w:val="00370DB3"/>
    <w:rsid w:val="0037162B"/>
    <w:rsid w:val="0037174F"/>
    <w:rsid w:val="00371778"/>
    <w:rsid w:val="00371A56"/>
    <w:rsid w:val="00372101"/>
    <w:rsid w:val="0037215C"/>
    <w:rsid w:val="00372441"/>
    <w:rsid w:val="00373188"/>
    <w:rsid w:val="003731DA"/>
    <w:rsid w:val="00373955"/>
    <w:rsid w:val="00373C88"/>
    <w:rsid w:val="00373C9C"/>
    <w:rsid w:val="00374564"/>
    <w:rsid w:val="00374972"/>
    <w:rsid w:val="00374A8D"/>
    <w:rsid w:val="00374E10"/>
    <w:rsid w:val="00374E73"/>
    <w:rsid w:val="00375013"/>
    <w:rsid w:val="00375401"/>
    <w:rsid w:val="003758AE"/>
    <w:rsid w:val="003759E8"/>
    <w:rsid w:val="00375C7C"/>
    <w:rsid w:val="00375E2D"/>
    <w:rsid w:val="003767F8"/>
    <w:rsid w:val="00376B3F"/>
    <w:rsid w:val="00376D4A"/>
    <w:rsid w:val="00376DC6"/>
    <w:rsid w:val="00376FD9"/>
    <w:rsid w:val="003770C3"/>
    <w:rsid w:val="00377370"/>
    <w:rsid w:val="00377B05"/>
    <w:rsid w:val="00377BCB"/>
    <w:rsid w:val="00377D52"/>
    <w:rsid w:val="0038004A"/>
    <w:rsid w:val="00380086"/>
    <w:rsid w:val="0038012C"/>
    <w:rsid w:val="00380636"/>
    <w:rsid w:val="0038079C"/>
    <w:rsid w:val="00381012"/>
    <w:rsid w:val="00381133"/>
    <w:rsid w:val="003817BF"/>
    <w:rsid w:val="00381EB9"/>
    <w:rsid w:val="003820AD"/>
    <w:rsid w:val="00382277"/>
    <w:rsid w:val="00382560"/>
    <w:rsid w:val="003826CF"/>
    <w:rsid w:val="003826E8"/>
    <w:rsid w:val="00382948"/>
    <w:rsid w:val="00382EC3"/>
    <w:rsid w:val="00383771"/>
    <w:rsid w:val="00383994"/>
    <w:rsid w:val="00383BCE"/>
    <w:rsid w:val="00384243"/>
    <w:rsid w:val="0038430D"/>
    <w:rsid w:val="003852AE"/>
    <w:rsid w:val="0038535B"/>
    <w:rsid w:val="003858F2"/>
    <w:rsid w:val="00385CEB"/>
    <w:rsid w:val="0038609D"/>
    <w:rsid w:val="003861E7"/>
    <w:rsid w:val="0038636C"/>
    <w:rsid w:val="003869E8"/>
    <w:rsid w:val="00386A34"/>
    <w:rsid w:val="00386C1E"/>
    <w:rsid w:val="003872BB"/>
    <w:rsid w:val="00387FB6"/>
    <w:rsid w:val="00390119"/>
    <w:rsid w:val="0039081E"/>
    <w:rsid w:val="00390CF4"/>
    <w:rsid w:val="00391442"/>
    <w:rsid w:val="0039166A"/>
    <w:rsid w:val="00391BEA"/>
    <w:rsid w:val="00391C6F"/>
    <w:rsid w:val="00391D12"/>
    <w:rsid w:val="003920C7"/>
    <w:rsid w:val="00392262"/>
    <w:rsid w:val="00392917"/>
    <w:rsid w:val="00392CCE"/>
    <w:rsid w:val="00392F36"/>
    <w:rsid w:val="0039384D"/>
    <w:rsid w:val="00393C7D"/>
    <w:rsid w:val="00393F72"/>
    <w:rsid w:val="0039439E"/>
    <w:rsid w:val="0039453C"/>
    <w:rsid w:val="003949AC"/>
    <w:rsid w:val="00394EF7"/>
    <w:rsid w:val="003951D8"/>
    <w:rsid w:val="00395314"/>
    <w:rsid w:val="003955EA"/>
    <w:rsid w:val="00395663"/>
    <w:rsid w:val="0039570C"/>
    <w:rsid w:val="00395AD4"/>
    <w:rsid w:val="00395D51"/>
    <w:rsid w:val="003961D7"/>
    <w:rsid w:val="003961E7"/>
    <w:rsid w:val="0039649E"/>
    <w:rsid w:val="00396659"/>
    <w:rsid w:val="003969A8"/>
    <w:rsid w:val="00396CFC"/>
    <w:rsid w:val="003970EC"/>
    <w:rsid w:val="003972EE"/>
    <w:rsid w:val="00397947"/>
    <w:rsid w:val="00397BA5"/>
    <w:rsid w:val="00397C87"/>
    <w:rsid w:val="00397ECD"/>
    <w:rsid w:val="003A09A8"/>
    <w:rsid w:val="003A09AF"/>
    <w:rsid w:val="003A0BA0"/>
    <w:rsid w:val="003A0E2C"/>
    <w:rsid w:val="003A0E8C"/>
    <w:rsid w:val="003A1151"/>
    <w:rsid w:val="003A11C5"/>
    <w:rsid w:val="003A12E2"/>
    <w:rsid w:val="003A1634"/>
    <w:rsid w:val="003A1FDA"/>
    <w:rsid w:val="003A2312"/>
    <w:rsid w:val="003A268E"/>
    <w:rsid w:val="003A27A6"/>
    <w:rsid w:val="003A2869"/>
    <w:rsid w:val="003A3676"/>
    <w:rsid w:val="003A3731"/>
    <w:rsid w:val="003A3AA5"/>
    <w:rsid w:val="003A3B2C"/>
    <w:rsid w:val="003A3B85"/>
    <w:rsid w:val="003A3E29"/>
    <w:rsid w:val="003A3E3A"/>
    <w:rsid w:val="003A4009"/>
    <w:rsid w:val="003A402C"/>
    <w:rsid w:val="003A40D0"/>
    <w:rsid w:val="003A40D4"/>
    <w:rsid w:val="003A412D"/>
    <w:rsid w:val="003A48D7"/>
    <w:rsid w:val="003A4953"/>
    <w:rsid w:val="003A4AFA"/>
    <w:rsid w:val="003A5438"/>
    <w:rsid w:val="003A55EB"/>
    <w:rsid w:val="003A595C"/>
    <w:rsid w:val="003A59F1"/>
    <w:rsid w:val="003A5F72"/>
    <w:rsid w:val="003A6350"/>
    <w:rsid w:val="003A65FD"/>
    <w:rsid w:val="003A6DFD"/>
    <w:rsid w:val="003A7661"/>
    <w:rsid w:val="003A7A71"/>
    <w:rsid w:val="003A7B71"/>
    <w:rsid w:val="003A7BD7"/>
    <w:rsid w:val="003B0133"/>
    <w:rsid w:val="003B04A8"/>
    <w:rsid w:val="003B06E2"/>
    <w:rsid w:val="003B07AF"/>
    <w:rsid w:val="003B0ADE"/>
    <w:rsid w:val="003B0EA7"/>
    <w:rsid w:val="003B10F5"/>
    <w:rsid w:val="003B112A"/>
    <w:rsid w:val="003B1807"/>
    <w:rsid w:val="003B1876"/>
    <w:rsid w:val="003B252A"/>
    <w:rsid w:val="003B2A67"/>
    <w:rsid w:val="003B2E1D"/>
    <w:rsid w:val="003B2EC5"/>
    <w:rsid w:val="003B3292"/>
    <w:rsid w:val="003B35A6"/>
    <w:rsid w:val="003B4086"/>
    <w:rsid w:val="003B465B"/>
    <w:rsid w:val="003B484B"/>
    <w:rsid w:val="003B4EC4"/>
    <w:rsid w:val="003B50D4"/>
    <w:rsid w:val="003B5739"/>
    <w:rsid w:val="003B5A59"/>
    <w:rsid w:val="003B6011"/>
    <w:rsid w:val="003B625D"/>
    <w:rsid w:val="003B66BF"/>
    <w:rsid w:val="003B67B2"/>
    <w:rsid w:val="003B6BEF"/>
    <w:rsid w:val="003B6C39"/>
    <w:rsid w:val="003B6F11"/>
    <w:rsid w:val="003B6F8E"/>
    <w:rsid w:val="003C070E"/>
    <w:rsid w:val="003C0802"/>
    <w:rsid w:val="003C090C"/>
    <w:rsid w:val="003C0C21"/>
    <w:rsid w:val="003C0EDF"/>
    <w:rsid w:val="003C10A3"/>
    <w:rsid w:val="003C1321"/>
    <w:rsid w:val="003C1687"/>
    <w:rsid w:val="003C2783"/>
    <w:rsid w:val="003C2D74"/>
    <w:rsid w:val="003C35A9"/>
    <w:rsid w:val="003C3B0C"/>
    <w:rsid w:val="003C3D93"/>
    <w:rsid w:val="003C3E6D"/>
    <w:rsid w:val="003C4096"/>
    <w:rsid w:val="003C417A"/>
    <w:rsid w:val="003C4ACE"/>
    <w:rsid w:val="003C4BFF"/>
    <w:rsid w:val="003C5274"/>
    <w:rsid w:val="003C55A7"/>
    <w:rsid w:val="003C5871"/>
    <w:rsid w:val="003C5B7C"/>
    <w:rsid w:val="003C6426"/>
    <w:rsid w:val="003C6498"/>
    <w:rsid w:val="003C64B8"/>
    <w:rsid w:val="003C676A"/>
    <w:rsid w:val="003C702F"/>
    <w:rsid w:val="003C75D4"/>
    <w:rsid w:val="003C76DC"/>
    <w:rsid w:val="003C777B"/>
    <w:rsid w:val="003C78CF"/>
    <w:rsid w:val="003C7D53"/>
    <w:rsid w:val="003D00FA"/>
    <w:rsid w:val="003D0690"/>
    <w:rsid w:val="003D0951"/>
    <w:rsid w:val="003D12E9"/>
    <w:rsid w:val="003D14F0"/>
    <w:rsid w:val="003D1FA2"/>
    <w:rsid w:val="003D2C71"/>
    <w:rsid w:val="003D3008"/>
    <w:rsid w:val="003D31D4"/>
    <w:rsid w:val="003D36D0"/>
    <w:rsid w:val="003D3C12"/>
    <w:rsid w:val="003D435D"/>
    <w:rsid w:val="003D4374"/>
    <w:rsid w:val="003D4B3D"/>
    <w:rsid w:val="003D4BAF"/>
    <w:rsid w:val="003D4C5E"/>
    <w:rsid w:val="003D4F4E"/>
    <w:rsid w:val="003D4FA4"/>
    <w:rsid w:val="003D55E9"/>
    <w:rsid w:val="003D5AE6"/>
    <w:rsid w:val="003D5D28"/>
    <w:rsid w:val="003D5F6D"/>
    <w:rsid w:val="003D6247"/>
    <w:rsid w:val="003D6303"/>
    <w:rsid w:val="003D64AF"/>
    <w:rsid w:val="003D6568"/>
    <w:rsid w:val="003D6863"/>
    <w:rsid w:val="003D6CB5"/>
    <w:rsid w:val="003D6F9C"/>
    <w:rsid w:val="003D7911"/>
    <w:rsid w:val="003D7D82"/>
    <w:rsid w:val="003D7F56"/>
    <w:rsid w:val="003E013E"/>
    <w:rsid w:val="003E0733"/>
    <w:rsid w:val="003E077A"/>
    <w:rsid w:val="003E0A5F"/>
    <w:rsid w:val="003E0CF7"/>
    <w:rsid w:val="003E116A"/>
    <w:rsid w:val="003E1383"/>
    <w:rsid w:val="003E13F6"/>
    <w:rsid w:val="003E1658"/>
    <w:rsid w:val="003E195F"/>
    <w:rsid w:val="003E1D9C"/>
    <w:rsid w:val="003E237A"/>
    <w:rsid w:val="003E29B0"/>
    <w:rsid w:val="003E2C3A"/>
    <w:rsid w:val="003E2C41"/>
    <w:rsid w:val="003E2FA8"/>
    <w:rsid w:val="003E30E3"/>
    <w:rsid w:val="003E312B"/>
    <w:rsid w:val="003E335E"/>
    <w:rsid w:val="003E3D7E"/>
    <w:rsid w:val="003E3D94"/>
    <w:rsid w:val="003E3E02"/>
    <w:rsid w:val="003E3F97"/>
    <w:rsid w:val="003E415A"/>
    <w:rsid w:val="003E42DF"/>
    <w:rsid w:val="003E42E7"/>
    <w:rsid w:val="003E4496"/>
    <w:rsid w:val="003E4D47"/>
    <w:rsid w:val="003E4E16"/>
    <w:rsid w:val="003E4EC8"/>
    <w:rsid w:val="003E5085"/>
    <w:rsid w:val="003E51D7"/>
    <w:rsid w:val="003E556D"/>
    <w:rsid w:val="003E59BC"/>
    <w:rsid w:val="003E5E19"/>
    <w:rsid w:val="003E6213"/>
    <w:rsid w:val="003E62CB"/>
    <w:rsid w:val="003E72CF"/>
    <w:rsid w:val="003E7879"/>
    <w:rsid w:val="003F024F"/>
    <w:rsid w:val="003F0394"/>
    <w:rsid w:val="003F0B7F"/>
    <w:rsid w:val="003F0FC0"/>
    <w:rsid w:val="003F10F1"/>
    <w:rsid w:val="003F14C1"/>
    <w:rsid w:val="003F1D64"/>
    <w:rsid w:val="003F1EB0"/>
    <w:rsid w:val="003F1EE7"/>
    <w:rsid w:val="003F1EFA"/>
    <w:rsid w:val="003F1F7F"/>
    <w:rsid w:val="003F2086"/>
    <w:rsid w:val="003F21F6"/>
    <w:rsid w:val="003F2464"/>
    <w:rsid w:val="003F3EA1"/>
    <w:rsid w:val="003F439C"/>
    <w:rsid w:val="003F4C61"/>
    <w:rsid w:val="003F55E9"/>
    <w:rsid w:val="003F55F4"/>
    <w:rsid w:val="003F58BA"/>
    <w:rsid w:val="003F6811"/>
    <w:rsid w:val="003F6998"/>
    <w:rsid w:val="003F769E"/>
    <w:rsid w:val="003F76C6"/>
    <w:rsid w:val="003F7731"/>
    <w:rsid w:val="0040005E"/>
    <w:rsid w:val="0040025E"/>
    <w:rsid w:val="00400636"/>
    <w:rsid w:val="004007BE"/>
    <w:rsid w:val="00400BE3"/>
    <w:rsid w:val="00400E73"/>
    <w:rsid w:val="00400F49"/>
    <w:rsid w:val="004010DA"/>
    <w:rsid w:val="004012FB"/>
    <w:rsid w:val="00401418"/>
    <w:rsid w:val="00401810"/>
    <w:rsid w:val="0040198A"/>
    <w:rsid w:val="00401DD7"/>
    <w:rsid w:val="0040200A"/>
    <w:rsid w:val="00402547"/>
    <w:rsid w:val="00402EE8"/>
    <w:rsid w:val="004031FD"/>
    <w:rsid w:val="004033F9"/>
    <w:rsid w:val="004035B1"/>
    <w:rsid w:val="0040385A"/>
    <w:rsid w:val="004038BB"/>
    <w:rsid w:val="00403C19"/>
    <w:rsid w:val="00403EEB"/>
    <w:rsid w:val="004040A6"/>
    <w:rsid w:val="00404229"/>
    <w:rsid w:val="00404256"/>
    <w:rsid w:val="00404646"/>
    <w:rsid w:val="004047D0"/>
    <w:rsid w:val="00404A12"/>
    <w:rsid w:val="00404B01"/>
    <w:rsid w:val="00404BC8"/>
    <w:rsid w:val="004051B5"/>
    <w:rsid w:val="00405349"/>
    <w:rsid w:val="004054DF"/>
    <w:rsid w:val="00405C6F"/>
    <w:rsid w:val="00405ED9"/>
    <w:rsid w:val="0040651B"/>
    <w:rsid w:val="00406C23"/>
    <w:rsid w:val="00406E79"/>
    <w:rsid w:val="00407285"/>
    <w:rsid w:val="004072FE"/>
    <w:rsid w:val="00407854"/>
    <w:rsid w:val="00407DF0"/>
    <w:rsid w:val="00407F00"/>
    <w:rsid w:val="004102AA"/>
    <w:rsid w:val="00410CC7"/>
    <w:rsid w:val="004112DA"/>
    <w:rsid w:val="0041146C"/>
    <w:rsid w:val="004115F8"/>
    <w:rsid w:val="00411B75"/>
    <w:rsid w:val="0041219E"/>
    <w:rsid w:val="0041291C"/>
    <w:rsid w:val="00412A5E"/>
    <w:rsid w:val="00412B81"/>
    <w:rsid w:val="00413299"/>
    <w:rsid w:val="00413A4B"/>
    <w:rsid w:val="00413AA9"/>
    <w:rsid w:val="004142D8"/>
    <w:rsid w:val="00414F61"/>
    <w:rsid w:val="00415F64"/>
    <w:rsid w:val="00416220"/>
    <w:rsid w:val="00416728"/>
    <w:rsid w:val="00416BE4"/>
    <w:rsid w:val="00416E70"/>
    <w:rsid w:val="00416FB0"/>
    <w:rsid w:val="004171DF"/>
    <w:rsid w:val="00417575"/>
    <w:rsid w:val="00417D28"/>
    <w:rsid w:val="00420854"/>
    <w:rsid w:val="00420E8E"/>
    <w:rsid w:val="00420E9C"/>
    <w:rsid w:val="00420F4E"/>
    <w:rsid w:val="00420FA4"/>
    <w:rsid w:val="00421202"/>
    <w:rsid w:val="00421636"/>
    <w:rsid w:val="00421858"/>
    <w:rsid w:val="0042195A"/>
    <w:rsid w:val="00421BB3"/>
    <w:rsid w:val="00421FA1"/>
    <w:rsid w:val="00421FEF"/>
    <w:rsid w:val="00422686"/>
    <w:rsid w:val="004228F5"/>
    <w:rsid w:val="00422965"/>
    <w:rsid w:val="00422B98"/>
    <w:rsid w:val="00422D01"/>
    <w:rsid w:val="00423073"/>
    <w:rsid w:val="00423142"/>
    <w:rsid w:val="004239ED"/>
    <w:rsid w:val="004240AE"/>
    <w:rsid w:val="00424325"/>
    <w:rsid w:val="004244A3"/>
    <w:rsid w:val="0042451A"/>
    <w:rsid w:val="00424807"/>
    <w:rsid w:val="00424F01"/>
    <w:rsid w:val="00425044"/>
    <w:rsid w:val="004252CC"/>
    <w:rsid w:val="00425820"/>
    <w:rsid w:val="00425AAA"/>
    <w:rsid w:val="00425E5A"/>
    <w:rsid w:val="00425EFE"/>
    <w:rsid w:val="004261D0"/>
    <w:rsid w:val="004262E9"/>
    <w:rsid w:val="004268E8"/>
    <w:rsid w:val="004275B7"/>
    <w:rsid w:val="00427611"/>
    <w:rsid w:val="0042783F"/>
    <w:rsid w:val="00427A68"/>
    <w:rsid w:val="00427A9F"/>
    <w:rsid w:val="0043047F"/>
    <w:rsid w:val="004304B4"/>
    <w:rsid w:val="00430FC3"/>
    <w:rsid w:val="00431198"/>
    <w:rsid w:val="00431A5D"/>
    <w:rsid w:val="00432ADA"/>
    <w:rsid w:val="00432E20"/>
    <w:rsid w:val="004331D4"/>
    <w:rsid w:val="004334D0"/>
    <w:rsid w:val="004335A6"/>
    <w:rsid w:val="00433743"/>
    <w:rsid w:val="00433FF4"/>
    <w:rsid w:val="00434157"/>
    <w:rsid w:val="004343A5"/>
    <w:rsid w:val="004343AA"/>
    <w:rsid w:val="004343C3"/>
    <w:rsid w:val="00434BD7"/>
    <w:rsid w:val="00434E44"/>
    <w:rsid w:val="0043523A"/>
    <w:rsid w:val="004355AA"/>
    <w:rsid w:val="00436157"/>
    <w:rsid w:val="004362A5"/>
    <w:rsid w:val="004367D5"/>
    <w:rsid w:val="00437036"/>
    <w:rsid w:val="0044008A"/>
    <w:rsid w:val="004403C1"/>
    <w:rsid w:val="00440F95"/>
    <w:rsid w:val="00441033"/>
    <w:rsid w:val="00441442"/>
    <w:rsid w:val="00441967"/>
    <w:rsid w:val="00441A0C"/>
    <w:rsid w:val="00442035"/>
    <w:rsid w:val="0044216A"/>
    <w:rsid w:val="0044243E"/>
    <w:rsid w:val="004424E5"/>
    <w:rsid w:val="00442565"/>
    <w:rsid w:val="00443471"/>
    <w:rsid w:val="004441C7"/>
    <w:rsid w:val="0044486E"/>
    <w:rsid w:val="00444938"/>
    <w:rsid w:val="00445560"/>
    <w:rsid w:val="00445AE2"/>
    <w:rsid w:val="00446290"/>
    <w:rsid w:val="0044665D"/>
    <w:rsid w:val="00446BA2"/>
    <w:rsid w:val="00447536"/>
    <w:rsid w:val="004475DC"/>
    <w:rsid w:val="00447930"/>
    <w:rsid w:val="004479C6"/>
    <w:rsid w:val="00447E26"/>
    <w:rsid w:val="00447EA9"/>
    <w:rsid w:val="00450412"/>
    <w:rsid w:val="00450A7A"/>
    <w:rsid w:val="00450C6F"/>
    <w:rsid w:val="00451275"/>
    <w:rsid w:val="004512D2"/>
    <w:rsid w:val="004516EA"/>
    <w:rsid w:val="00451A97"/>
    <w:rsid w:val="00451ACE"/>
    <w:rsid w:val="00451CC0"/>
    <w:rsid w:val="004520E2"/>
    <w:rsid w:val="00452236"/>
    <w:rsid w:val="00452244"/>
    <w:rsid w:val="00453190"/>
    <w:rsid w:val="004532BD"/>
    <w:rsid w:val="00453B57"/>
    <w:rsid w:val="00453C2E"/>
    <w:rsid w:val="00453D92"/>
    <w:rsid w:val="00453E41"/>
    <w:rsid w:val="00454344"/>
    <w:rsid w:val="00454366"/>
    <w:rsid w:val="00454518"/>
    <w:rsid w:val="00454950"/>
    <w:rsid w:val="00454CEF"/>
    <w:rsid w:val="00454E98"/>
    <w:rsid w:val="004550B0"/>
    <w:rsid w:val="0045535C"/>
    <w:rsid w:val="00455A68"/>
    <w:rsid w:val="00455A6A"/>
    <w:rsid w:val="00455C47"/>
    <w:rsid w:val="00456200"/>
    <w:rsid w:val="0045680C"/>
    <w:rsid w:val="0045681D"/>
    <w:rsid w:val="00457366"/>
    <w:rsid w:val="00457425"/>
    <w:rsid w:val="004574F6"/>
    <w:rsid w:val="00457513"/>
    <w:rsid w:val="00457C13"/>
    <w:rsid w:val="00457F28"/>
    <w:rsid w:val="00460532"/>
    <w:rsid w:val="00460CC9"/>
    <w:rsid w:val="00460DFD"/>
    <w:rsid w:val="004611F2"/>
    <w:rsid w:val="00461244"/>
    <w:rsid w:val="00461287"/>
    <w:rsid w:val="00461645"/>
    <w:rsid w:val="00461984"/>
    <w:rsid w:val="0046199D"/>
    <w:rsid w:val="00461CB1"/>
    <w:rsid w:val="00462351"/>
    <w:rsid w:val="0046240A"/>
    <w:rsid w:val="0046281E"/>
    <w:rsid w:val="00463986"/>
    <w:rsid w:val="00463C25"/>
    <w:rsid w:val="00463C89"/>
    <w:rsid w:val="004642FA"/>
    <w:rsid w:val="00464486"/>
    <w:rsid w:val="004646E4"/>
    <w:rsid w:val="00464C51"/>
    <w:rsid w:val="00464EB9"/>
    <w:rsid w:val="00465B76"/>
    <w:rsid w:val="00465BA7"/>
    <w:rsid w:val="00465FA4"/>
    <w:rsid w:val="00466322"/>
    <w:rsid w:val="004668F6"/>
    <w:rsid w:val="00466A35"/>
    <w:rsid w:val="00466EE9"/>
    <w:rsid w:val="00466FD5"/>
    <w:rsid w:val="0046716D"/>
    <w:rsid w:val="004675C1"/>
    <w:rsid w:val="004675F2"/>
    <w:rsid w:val="004678A2"/>
    <w:rsid w:val="004700E2"/>
    <w:rsid w:val="00470247"/>
    <w:rsid w:val="00470311"/>
    <w:rsid w:val="0047085B"/>
    <w:rsid w:val="00470ABB"/>
    <w:rsid w:val="00470CDC"/>
    <w:rsid w:val="00470CE4"/>
    <w:rsid w:val="00471197"/>
    <w:rsid w:val="00471315"/>
    <w:rsid w:val="0047176F"/>
    <w:rsid w:val="00471992"/>
    <w:rsid w:val="00471C07"/>
    <w:rsid w:val="00471CEC"/>
    <w:rsid w:val="0047202B"/>
    <w:rsid w:val="00472DBA"/>
    <w:rsid w:val="00473275"/>
    <w:rsid w:val="0047334C"/>
    <w:rsid w:val="00473B77"/>
    <w:rsid w:val="00473D85"/>
    <w:rsid w:val="00473FD8"/>
    <w:rsid w:val="00474339"/>
    <w:rsid w:val="00474653"/>
    <w:rsid w:val="00474E64"/>
    <w:rsid w:val="00474EA9"/>
    <w:rsid w:val="004752A1"/>
    <w:rsid w:val="00475AB3"/>
    <w:rsid w:val="00475B82"/>
    <w:rsid w:val="00476365"/>
    <w:rsid w:val="004763BC"/>
    <w:rsid w:val="00476E8E"/>
    <w:rsid w:val="00476FBB"/>
    <w:rsid w:val="00477016"/>
    <w:rsid w:val="00477057"/>
    <w:rsid w:val="00477164"/>
    <w:rsid w:val="00477225"/>
    <w:rsid w:val="00477238"/>
    <w:rsid w:val="00477285"/>
    <w:rsid w:val="004772EB"/>
    <w:rsid w:val="0047759B"/>
    <w:rsid w:val="0047759D"/>
    <w:rsid w:val="004777D4"/>
    <w:rsid w:val="00477A22"/>
    <w:rsid w:val="00477A32"/>
    <w:rsid w:val="00477C2A"/>
    <w:rsid w:val="004803F7"/>
    <w:rsid w:val="004804AE"/>
    <w:rsid w:val="0048065B"/>
    <w:rsid w:val="00480849"/>
    <w:rsid w:val="00480877"/>
    <w:rsid w:val="00481536"/>
    <w:rsid w:val="00481692"/>
    <w:rsid w:val="004817FA"/>
    <w:rsid w:val="00481A09"/>
    <w:rsid w:val="00482281"/>
    <w:rsid w:val="00482527"/>
    <w:rsid w:val="00482D5D"/>
    <w:rsid w:val="00483052"/>
    <w:rsid w:val="004837A1"/>
    <w:rsid w:val="00483B15"/>
    <w:rsid w:val="00483B22"/>
    <w:rsid w:val="00484868"/>
    <w:rsid w:val="004849E1"/>
    <w:rsid w:val="00484C8E"/>
    <w:rsid w:val="00484FD0"/>
    <w:rsid w:val="0048593D"/>
    <w:rsid w:val="00486053"/>
    <w:rsid w:val="00486266"/>
    <w:rsid w:val="004862FF"/>
    <w:rsid w:val="00486884"/>
    <w:rsid w:val="00486AD2"/>
    <w:rsid w:val="00486DB4"/>
    <w:rsid w:val="004870E2"/>
    <w:rsid w:val="004874DC"/>
    <w:rsid w:val="00487C55"/>
    <w:rsid w:val="00490137"/>
    <w:rsid w:val="004908D8"/>
    <w:rsid w:val="00490A73"/>
    <w:rsid w:val="00490F70"/>
    <w:rsid w:val="0049124F"/>
    <w:rsid w:val="004912C0"/>
    <w:rsid w:val="00491637"/>
    <w:rsid w:val="00491921"/>
    <w:rsid w:val="00491B89"/>
    <w:rsid w:val="00491E30"/>
    <w:rsid w:val="0049202B"/>
    <w:rsid w:val="004920C2"/>
    <w:rsid w:val="004924A6"/>
    <w:rsid w:val="00492F3E"/>
    <w:rsid w:val="00493270"/>
    <w:rsid w:val="00493414"/>
    <w:rsid w:val="00493857"/>
    <w:rsid w:val="004940C6"/>
    <w:rsid w:val="004942BB"/>
    <w:rsid w:val="0049447A"/>
    <w:rsid w:val="00494DCE"/>
    <w:rsid w:val="00494E21"/>
    <w:rsid w:val="00494F50"/>
    <w:rsid w:val="004950AC"/>
    <w:rsid w:val="004956E9"/>
    <w:rsid w:val="00495A18"/>
    <w:rsid w:val="00495B46"/>
    <w:rsid w:val="004967A2"/>
    <w:rsid w:val="00496D0B"/>
    <w:rsid w:val="0049702B"/>
    <w:rsid w:val="00497590"/>
    <w:rsid w:val="004977E0"/>
    <w:rsid w:val="004979E8"/>
    <w:rsid w:val="004A0021"/>
    <w:rsid w:val="004A0141"/>
    <w:rsid w:val="004A01B0"/>
    <w:rsid w:val="004A0902"/>
    <w:rsid w:val="004A0A46"/>
    <w:rsid w:val="004A0C0D"/>
    <w:rsid w:val="004A0C2C"/>
    <w:rsid w:val="004A1607"/>
    <w:rsid w:val="004A1CC8"/>
    <w:rsid w:val="004A1DDC"/>
    <w:rsid w:val="004A1EC1"/>
    <w:rsid w:val="004A20A8"/>
    <w:rsid w:val="004A2185"/>
    <w:rsid w:val="004A2305"/>
    <w:rsid w:val="004A2A9B"/>
    <w:rsid w:val="004A31F2"/>
    <w:rsid w:val="004A3452"/>
    <w:rsid w:val="004A3510"/>
    <w:rsid w:val="004A369E"/>
    <w:rsid w:val="004A3772"/>
    <w:rsid w:val="004A3B88"/>
    <w:rsid w:val="004A4047"/>
    <w:rsid w:val="004A4583"/>
    <w:rsid w:val="004A53D2"/>
    <w:rsid w:val="004A546E"/>
    <w:rsid w:val="004A58FE"/>
    <w:rsid w:val="004A5B2F"/>
    <w:rsid w:val="004A5F0D"/>
    <w:rsid w:val="004A6FE2"/>
    <w:rsid w:val="004A73F1"/>
    <w:rsid w:val="004A76DF"/>
    <w:rsid w:val="004A79B2"/>
    <w:rsid w:val="004A7EAC"/>
    <w:rsid w:val="004B07CE"/>
    <w:rsid w:val="004B08DE"/>
    <w:rsid w:val="004B0963"/>
    <w:rsid w:val="004B0F0E"/>
    <w:rsid w:val="004B1139"/>
    <w:rsid w:val="004B1188"/>
    <w:rsid w:val="004B1566"/>
    <w:rsid w:val="004B1899"/>
    <w:rsid w:val="004B19BC"/>
    <w:rsid w:val="004B1B05"/>
    <w:rsid w:val="004B1C3F"/>
    <w:rsid w:val="004B1E59"/>
    <w:rsid w:val="004B1F11"/>
    <w:rsid w:val="004B215D"/>
    <w:rsid w:val="004B2192"/>
    <w:rsid w:val="004B22C0"/>
    <w:rsid w:val="004B23B8"/>
    <w:rsid w:val="004B35FD"/>
    <w:rsid w:val="004B4AC7"/>
    <w:rsid w:val="004B4ADA"/>
    <w:rsid w:val="004B4D57"/>
    <w:rsid w:val="004B4EA8"/>
    <w:rsid w:val="004B501B"/>
    <w:rsid w:val="004B5130"/>
    <w:rsid w:val="004B56E7"/>
    <w:rsid w:val="004B5774"/>
    <w:rsid w:val="004B5B60"/>
    <w:rsid w:val="004B5BC7"/>
    <w:rsid w:val="004B5D18"/>
    <w:rsid w:val="004B5FDB"/>
    <w:rsid w:val="004B6062"/>
    <w:rsid w:val="004B636A"/>
    <w:rsid w:val="004B65B0"/>
    <w:rsid w:val="004B65D2"/>
    <w:rsid w:val="004B66CD"/>
    <w:rsid w:val="004B6BB5"/>
    <w:rsid w:val="004B6DCA"/>
    <w:rsid w:val="004B6F6A"/>
    <w:rsid w:val="004B7C6C"/>
    <w:rsid w:val="004C00BA"/>
    <w:rsid w:val="004C054E"/>
    <w:rsid w:val="004C058C"/>
    <w:rsid w:val="004C0969"/>
    <w:rsid w:val="004C104A"/>
    <w:rsid w:val="004C1196"/>
    <w:rsid w:val="004C1285"/>
    <w:rsid w:val="004C17BC"/>
    <w:rsid w:val="004C1BC2"/>
    <w:rsid w:val="004C248B"/>
    <w:rsid w:val="004C24A1"/>
    <w:rsid w:val="004C26BC"/>
    <w:rsid w:val="004C2772"/>
    <w:rsid w:val="004C28F2"/>
    <w:rsid w:val="004C31D9"/>
    <w:rsid w:val="004C32AC"/>
    <w:rsid w:val="004C38CB"/>
    <w:rsid w:val="004C3EAC"/>
    <w:rsid w:val="004C3F97"/>
    <w:rsid w:val="004C42B1"/>
    <w:rsid w:val="004C4341"/>
    <w:rsid w:val="004C4D72"/>
    <w:rsid w:val="004C574F"/>
    <w:rsid w:val="004C5942"/>
    <w:rsid w:val="004C5A91"/>
    <w:rsid w:val="004C5BCD"/>
    <w:rsid w:val="004C6016"/>
    <w:rsid w:val="004C607A"/>
    <w:rsid w:val="004C615C"/>
    <w:rsid w:val="004C61EF"/>
    <w:rsid w:val="004C631F"/>
    <w:rsid w:val="004C6458"/>
    <w:rsid w:val="004C67A9"/>
    <w:rsid w:val="004C6A59"/>
    <w:rsid w:val="004C6CE1"/>
    <w:rsid w:val="004C70B9"/>
    <w:rsid w:val="004C70E1"/>
    <w:rsid w:val="004C72E0"/>
    <w:rsid w:val="004C74A7"/>
    <w:rsid w:val="004C76A7"/>
    <w:rsid w:val="004D003C"/>
    <w:rsid w:val="004D0381"/>
    <w:rsid w:val="004D05D8"/>
    <w:rsid w:val="004D05F1"/>
    <w:rsid w:val="004D066C"/>
    <w:rsid w:val="004D076F"/>
    <w:rsid w:val="004D098C"/>
    <w:rsid w:val="004D133D"/>
    <w:rsid w:val="004D152A"/>
    <w:rsid w:val="004D158B"/>
    <w:rsid w:val="004D1981"/>
    <w:rsid w:val="004D2133"/>
    <w:rsid w:val="004D2285"/>
    <w:rsid w:val="004D22FF"/>
    <w:rsid w:val="004D2A45"/>
    <w:rsid w:val="004D2DFB"/>
    <w:rsid w:val="004D319D"/>
    <w:rsid w:val="004D34DA"/>
    <w:rsid w:val="004D3764"/>
    <w:rsid w:val="004D3C2B"/>
    <w:rsid w:val="004D429A"/>
    <w:rsid w:val="004D457E"/>
    <w:rsid w:val="004D4608"/>
    <w:rsid w:val="004D48EC"/>
    <w:rsid w:val="004D53EC"/>
    <w:rsid w:val="004D560D"/>
    <w:rsid w:val="004D56D8"/>
    <w:rsid w:val="004D5D80"/>
    <w:rsid w:val="004D628F"/>
    <w:rsid w:val="004D647A"/>
    <w:rsid w:val="004D6547"/>
    <w:rsid w:val="004D6AAD"/>
    <w:rsid w:val="004D6D8E"/>
    <w:rsid w:val="004D6DF1"/>
    <w:rsid w:val="004D71D1"/>
    <w:rsid w:val="004D7458"/>
    <w:rsid w:val="004D74DD"/>
    <w:rsid w:val="004D7C0B"/>
    <w:rsid w:val="004E00CC"/>
    <w:rsid w:val="004E00FD"/>
    <w:rsid w:val="004E055E"/>
    <w:rsid w:val="004E0652"/>
    <w:rsid w:val="004E08D5"/>
    <w:rsid w:val="004E0B59"/>
    <w:rsid w:val="004E0D9E"/>
    <w:rsid w:val="004E154B"/>
    <w:rsid w:val="004E1C87"/>
    <w:rsid w:val="004E1C94"/>
    <w:rsid w:val="004E1ED6"/>
    <w:rsid w:val="004E217E"/>
    <w:rsid w:val="004E2328"/>
    <w:rsid w:val="004E255B"/>
    <w:rsid w:val="004E40C0"/>
    <w:rsid w:val="004E4103"/>
    <w:rsid w:val="004E4453"/>
    <w:rsid w:val="004E46F7"/>
    <w:rsid w:val="004E4AFA"/>
    <w:rsid w:val="004E4EFE"/>
    <w:rsid w:val="004E5933"/>
    <w:rsid w:val="004E5B69"/>
    <w:rsid w:val="004E5DC7"/>
    <w:rsid w:val="004E666A"/>
    <w:rsid w:val="004E67D8"/>
    <w:rsid w:val="004E684B"/>
    <w:rsid w:val="004E6BF4"/>
    <w:rsid w:val="004E7084"/>
    <w:rsid w:val="004E757E"/>
    <w:rsid w:val="004E76F8"/>
    <w:rsid w:val="004E78C5"/>
    <w:rsid w:val="004E7A3F"/>
    <w:rsid w:val="004F05BF"/>
    <w:rsid w:val="004F0710"/>
    <w:rsid w:val="004F0E49"/>
    <w:rsid w:val="004F109D"/>
    <w:rsid w:val="004F1367"/>
    <w:rsid w:val="004F1504"/>
    <w:rsid w:val="004F162A"/>
    <w:rsid w:val="004F1631"/>
    <w:rsid w:val="004F1D0D"/>
    <w:rsid w:val="004F1F41"/>
    <w:rsid w:val="004F28AF"/>
    <w:rsid w:val="004F2A4A"/>
    <w:rsid w:val="004F3865"/>
    <w:rsid w:val="004F3DA1"/>
    <w:rsid w:val="004F3EFB"/>
    <w:rsid w:val="004F43B9"/>
    <w:rsid w:val="004F4537"/>
    <w:rsid w:val="004F4C43"/>
    <w:rsid w:val="004F53CB"/>
    <w:rsid w:val="004F54EE"/>
    <w:rsid w:val="004F56DD"/>
    <w:rsid w:val="004F5988"/>
    <w:rsid w:val="004F5D3A"/>
    <w:rsid w:val="004F6160"/>
    <w:rsid w:val="004F6E0B"/>
    <w:rsid w:val="004F6E0F"/>
    <w:rsid w:val="004F762D"/>
    <w:rsid w:val="004F76AC"/>
    <w:rsid w:val="004F7AD5"/>
    <w:rsid w:val="00500946"/>
    <w:rsid w:val="00500E6C"/>
    <w:rsid w:val="0050104C"/>
    <w:rsid w:val="005011D0"/>
    <w:rsid w:val="005012C2"/>
    <w:rsid w:val="00501CD2"/>
    <w:rsid w:val="00501DA6"/>
    <w:rsid w:val="00502699"/>
    <w:rsid w:val="00503187"/>
    <w:rsid w:val="0050319A"/>
    <w:rsid w:val="00503210"/>
    <w:rsid w:val="005032A1"/>
    <w:rsid w:val="00503439"/>
    <w:rsid w:val="0050377F"/>
    <w:rsid w:val="00503AA6"/>
    <w:rsid w:val="00503DC8"/>
    <w:rsid w:val="00503F07"/>
    <w:rsid w:val="005045FC"/>
    <w:rsid w:val="00504971"/>
    <w:rsid w:val="00504DA4"/>
    <w:rsid w:val="00505527"/>
    <w:rsid w:val="00505657"/>
    <w:rsid w:val="005057B7"/>
    <w:rsid w:val="00505AB4"/>
    <w:rsid w:val="00505E5C"/>
    <w:rsid w:val="00506824"/>
    <w:rsid w:val="00506BE8"/>
    <w:rsid w:val="00507345"/>
    <w:rsid w:val="00507357"/>
    <w:rsid w:val="00507766"/>
    <w:rsid w:val="005102F4"/>
    <w:rsid w:val="0051036D"/>
    <w:rsid w:val="00510665"/>
    <w:rsid w:val="00510B74"/>
    <w:rsid w:val="00510D64"/>
    <w:rsid w:val="00510DA0"/>
    <w:rsid w:val="005111B3"/>
    <w:rsid w:val="005111E9"/>
    <w:rsid w:val="00511272"/>
    <w:rsid w:val="00511618"/>
    <w:rsid w:val="00511951"/>
    <w:rsid w:val="00511BBC"/>
    <w:rsid w:val="00511D9D"/>
    <w:rsid w:val="00511DB6"/>
    <w:rsid w:val="00512058"/>
    <w:rsid w:val="00512232"/>
    <w:rsid w:val="0051232E"/>
    <w:rsid w:val="0051258D"/>
    <w:rsid w:val="005128D1"/>
    <w:rsid w:val="00512CC9"/>
    <w:rsid w:val="00512F80"/>
    <w:rsid w:val="0051307F"/>
    <w:rsid w:val="00513315"/>
    <w:rsid w:val="00513666"/>
    <w:rsid w:val="005137A9"/>
    <w:rsid w:val="00513932"/>
    <w:rsid w:val="00513AB9"/>
    <w:rsid w:val="00513E13"/>
    <w:rsid w:val="00514866"/>
    <w:rsid w:val="00514B1B"/>
    <w:rsid w:val="005150E5"/>
    <w:rsid w:val="005157B2"/>
    <w:rsid w:val="00515E46"/>
    <w:rsid w:val="0051610D"/>
    <w:rsid w:val="0051632E"/>
    <w:rsid w:val="005167AD"/>
    <w:rsid w:val="005169A3"/>
    <w:rsid w:val="00516A93"/>
    <w:rsid w:val="00516FF3"/>
    <w:rsid w:val="0051769D"/>
    <w:rsid w:val="00517B54"/>
    <w:rsid w:val="00517E32"/>
    <w:rsid w:val="00520157"/>
    <w:rsid w:val="0052034B"/>
    <w:rsid w:val="00520709"/>
    <w:rsid w:val="00520791"/>
    <w:rsid w:val="00520AD9"/>
    <w:rsid w:val="00521006"/>
    <w:rsid w:val="00521147"/>
    <w:rsid w:val="00521625"/>
    <w:rsid w:val="00521A04"/>
    <w:rsid w:val="00521A40"/>
    <w:rsid w:val="00521C29"/>
    <w:rsid w:val="00521EB0"/>
    <w:rsid w:val="00521ED2"/>
    <w:rsid w:val="00522026"/>
    <w:rsid w:val="00522104"/>
    <w:rsid w:val="0052225F"/>
    <w:rsid w:val="00522354"/>
    <w:rsid w:val="005228FA"/>
    <w:rsid w:val="00522F14"/>
    <w:rsid w:val="00523725"/>
    <w:rsid w:val="00523D63"/>
    <w:rsid w:val="00524470"/>
    <w:rsid w:val="00524592"/>
    <w:rsid w:val="00524736"/>
    <w:rsid w:val="00524838"/>
    <w:rsid w:val="005248AA"/>
    <w:rsid w:val="00524923"/>
    <w:rsid w:val="00524BE6"/>
    <w:rsid w:val="00524D40"/>
    <w:rsid w:val="005250D6"/>
    <w:rsid w:val="00525B2F"/>
    <w:rsid w:val="00525CEF"/>
    <w:rsid w:val="005263B4"/>
    <w:rsid w:val="00526484"/>
    <w:rsid w:val="00526A6F"/>
    <w:rsid w:val="00526D2A"/>
    <w:rsid w:val="005270E0"/>
    <w:rsid w:val="005273EC"/>
    <w:rsid w:val="00527419"/>
    <w:rsid w:val="005276D6"/>
    <w:rsid w:val="00527887"/>
    <w:rsid w:val="005278A9"/>
    <w:rsid w:val="00527B05"/>
    <w:rsid w:val="00527F2C"/>
    <w:rsid w:val="005303E2"/>
    <w:rsid w:val="0053062E"/>
    <w:rsid w:val="0053092B"/>
    <w:rsid w:val="00530C43"/>
    <w:rsid w:val="00531130"/>
    <w:rsid w:val="0053116A"/>
    <w:rsid w:val="005313A5"/>
    <w:rsid w:val="00531505"/>
    <w:rsid w:val="005319AA"/>
    <w:rsid w:val="005319C6"/>
    <w:rsid w:val="00531C3B"/>
    <w:rsid w:val="00531DFF"/>
    <w:rsid w:val="00532229"/>
    <w:rsid w:val="005322A7"/>
    <w:rsid w:val="005325A7"/>
    <w:rsid w:val="00532871"/>
    <w:rsid w:val="00532D1F"/>
    <w:rsid w:val="00533115"/>
    <w:rsid w:val="00533D4A"/>
    <w:rsid w:val="00533EE6"/>
    <w:rsid w:val="00534327"/>
    <w:rsid w:val="0053479C"/>
    <w:rsid w:val="005347E5"/>
    <w:rsid w:val="005347E6"/>
    <w:rsid w:val="00534AEA"/>
    <w:rsid w:val="00534BC7"/>
    <w:rsid w:val="00534EDE"/>
    <w:rsid w:val="00535518"/>
    <w:rsid w:val="00535573"/>
    <w:rsid w:val="005355E5"/>
    <w:rsid w:val="00535A24"/>
    <w:rsid w:val="005363F6"/>
    <w:rsid w:val="005368A2"/>
    <w:rsid w:val="005368B8"/>
    <w:rsid w:val="00536D73"/>
    <w:rsid w:val="00536DA1"/>
    <w:rsid w:val="00536E6F"/>
    <w:rsid w:val="00536E72"/>
    <w:rsid w:val="00536ED5"/>
    <w:rsid w:val="005370DA"/>
    <w:rsid w:val="00537886"/>
    <w:rsid w:val="00540004"/>
    <w:rsid w:val="005400FC"/>
    <w:rsid w:val="0054033C"/>
    <w:rsid w:val="005408D5"/>
    <w:rsid w:val="00540C75"/>
    <w:rsid w:val="00540EC2"/>
    <w:rsid w:val="005415C7"/>
    <w:rsid w:val="0054182A"/>
    <w:rsid w:val="005418C9"/>
    <w:rsid w:val="005419AE"/>
    <w:rsid w:val="005421EB"/>
    <w:rsid w:val="005426E1"/>
    <w:rsid w:val="00542A7D"/>
    <w:rsid w:val="00542A7E"/>
    <w:rsid w:val="00542D2B"/>
    <w:rsid w:val="00542FBF"/>
    <w:rsid w:val="005432DF"/>
    <w:rsid w:val="00543458"/>
    <w:rsid w:val="005435CE"/>
    <w:rsid w:val="005437B3"/>
    <w:rsid w:val="00544241"/>
    <w:rsid w:val="0054467E"/>
    <w:rsid w:val="00544873"/>
    <w:rsid w:val="00544B79"/>
    <w:rsid w:val="00544F62"/>
    <w:rsid w:val="00544F84"/>
    <w:rsid w:val="005450DF"/>
    <w:rsid w:val="0054559B"/>
    <w:rsid w:val="00545DDE"/>
    <w:rsid w:val="0054648A"/>
    <w:rsid w:val="00546612"/>
    <w:rsid w:val="00546633"/>
    <w:rsid w:val="00546BAB"/>
    <w:rsid w:val="00546C4A"/>
    <w:rsid w:val="00546C86"/>
    <w:rsid w:val="00546EDF"/>
    <w:rsid w:val="00546EE3"/>
    <w:rsid w:val="0054750C"/>
    <w:rsid w:val="005475E3"/>
    <w:rsid w:val="0054771A"/>
    <w:rsid w:val="005478BC"/>
    <w:rsid w:val="00547CB5"/>
    <w:rsid w:val="005503C7"/>
    <w:rsid w:val="00550568"/>
    <w:rsid w:val="00550654"/>
    <w:rsid w:val="00550661"/>
    <w:rsid w:val="00550E85"/>
    <w:rsid w:val="0055141B"/>
    <w:rsid w:val="005517FF"/>
    <w:rsid w:val="00551840"/>
    <w:rsid w:val="00551C89"/>
    <w:rsid w:val="00551D71"/>
    <w:rsid w:val="005522D5"/>
    <w:rsid w:val="005527D9"/>
    <w:rsid w:val="00552ADC"/>
    <w:rsid w:val="00552E06"/>
    <w:rsid w:val="00553018"/>
    <w:rsid w:val="00553440"/>
    <w:rsid w:val="005536D8"/>
    <w:rsid w:val="0055373B"/>
    <w:rsid w:val="00553758"/>
    <w:rsid w:val="00553856"/>
    <w:rsid w:val="00553AE4"/>
    <w:rsid w:val="00553DF3"/>
    <w:rsid w:val="00554916"/>
    <w:rsid w:val="00554B31"/>
    <w:rsid w:val="005550FF"/>
    <w:rsid w:val="00555741"/>
    <w:rsid w:val="0055577B"/>
    <w:rsid w:val="0055588E"/>
    <w:rsid w:val="00555D07"/>
    <w:rsid w:val="00555DF6"/>
    <w:rsid w:val="00555FF9"/>
    <w:rsid w:val="0055657C"/>
    <w:rsid w:val="005566FC"/>
    <w:rsid w:val="005572D5"/>
    <w:rsid w:val="005600AC"/>
    <w:rsid w:val="0056046C"/>
    <w:rsid w:val="00560912"/>
    <w:rsid w:val="00560D9C"/>
    <w:rsid w:val="00560E52"/>
    <w:rsid w:val="00560EF8"/>
    <w:rsid w:val="00561770"/>
    <w:rsid w:val="005618DF"/>
    <w:rsid w:val="00561E02"/>
    <w:rsid w:val="0056200E"/>
    <w:rsid w:val="0056202C"/>
    <w:rsid w:val="0056215C"/>
    <w:rsid w:val="00562532"/>
    <w:rsid w:val="005626E9"/>
    <w:rsid w:val="00562E00"/>
    <w:rsid w:val="00562E5B"/>
    <w:rsid w:val="00562EEE"/>
    <w:rsid w:val="005631B7"/>
    <w:rsid w:val="005632AB"/>
    <w:rsid w:val="005632CC"/>
    <w:rsid w:val="0056352D"/>
    <w:rsid w:val="0056474D"/>
    <w:rsid w:val="00564A88"/>
    <w:rsid w:val="00564AB1"/>
    <w:rsid w:val="00564ADD"/>
    <w:rsid w:val="00564C04"/>
    <w:rsid w:val="00564D5B"/>
    <w:rsid w:val="00565369"/>
    <w:rsid w:val="00565A5E"/>
    <w:rsid w:val="00566990"/>
    <w:rsid w:val="00566AC2"/>
    <w:rsid w:val="00566F23"/>
    <w:rsid w:val="00567212"/>
    <w:rsid w:val="00567440"/>
    <w:rsid w:val="0056754A"/>
    <w:rsid w:val="005675FB"/>
    <w:rsid w:val="005678B4"/>
    <w:rsid w:val="00567920"/>
    <w:rsid w:val="00567D22"/>
    <w:rsid w:val="00570077"/>
    <w:rsid w:val="005700DA"/>
    <w:rsid w:val="0057050D"/>
    <w:rsid w:val="005714F6"/>
    <w:rsid w:val="0057166F"/>
    <w:rsid w:val="005716C3"/>
    <w:rsid w:val="00571BA0"/>
    <w:rsid w:val="00571F35"/>
    <w:rsid w:val="0057222F"/>
    <w:rsid w:val="00572624"/>
    <w:rsid w:val="00572681"/>
    <w:rsid w:val="00572B3C"/>
    <w:rsid w:val="00572B76"/>
    <w:rsid w:val="00572DD5"/>
    <w:rsid w:val="00572E94"/>
    <w:rsid w:val="0057322A"/>
    <w:rsid w:val="00573E48"/>
    <w:rsid w:val="00574042"/>
    <w:rsid w:val="00574116"/>
    <w:rsid w:val="00574235"/>
    <w:rsid w:val="005743C1"/>
    <w:rsid w:val="005745C4"/>
    <w:rsid w:val="005745F4"/>
    <w:rsid w:val="00574FB6"/>
    <w:rsid w:val="005757CB"/>
    <w:rsid w:val="005769AA"/>
    <w:rsid w:val="00576CD1"/>
    <w:rsid w:val="00576D99"/>
    <w:rsid w:val="00576EEA"/>
    <w:rsid w:val="005777D5"/>
    <w:rsid w:val="00577AA8"/>
    <w:rsid w:val="00580243"/>
    <w:rsid w:val="00580473"/>
    <w:rsid w:val="00580CD8"/>
    <w:rsid w:val="0058107E"/>
    <w:rsid w:val="00581300"/>
    <w:rsid w:val="00581760"/>
    <w:rsid w:val="0058196F"/>
    <w:rsid w:val="00581B37"/>
    <w:rsid w:val="00581FFF"/>
    <w:rsid w:val="00582258"/>
    <w:rsid w:val="005824F6"/>
    <w:rsid w:val="00582D2C"/>
    <w:rsid w:val="00583B5D"/>
    <w:rsid w:val="00583C54"/>
    <w:rsid w:val="005840A7"/>
    <w:rsid w:val="0058417E"/>
    <w:rsid w:val="005841BA"/>
    <w:rsid w:val="005842AD"/>
    <w:rsid w:val="0058450C"/>
    <w:rsid w:val="00584529"/>
    <w:rsid w:val="005849B5"/>
    <w:rsid w:val="00584BDB"/>
    <w:rsid w:val="00584DB1"/>
    <w:rsid w:val="00584E23"/>
    <w:rsid w:val="00584E61"/>
    <w:rsid w:val="00584FB7"/>
    <w:rsid w:val="00585079"/>
    <w:rsid w:val="00585208"/>
    <w:rsid w:val="00585A01"/>
    <w:rsid w:val="00586846"/>
    <w:rsid w:val="005872B1"/>
    <w:rsid w:val="00587674"/>
    <w:rsid w:val="0058785C"/>
    <w:rsid w:val="00587B3F"/>
    <w:rsid w:val="00587D07"/>
    <w:rsid w:val="00590475"/>
    <w:rsid w:val="005905C3"/>
    <w:rsid w:val="0059091A"/>
    <w:rsid w:val="00590DAA"/>
    <w:rsid w:val="00591BDB"/>
    <w:rsid w:val="00591CF8"/>
    <w:rsid w:val="0059214F"/>
    <w:rsid w:val="00592320"/>
    <w:rsid w:val="005924B3"/>
    <w:rsid w:val="00592985"/>
    <w:rsid w:val="0059371F"/>
    <w:rsid w:val="005937EA"/>
    <w:rsid w:val="00593B84"/>
    <w:rsid w:val="00593C19"/>
    <w:rsid w:val="00594188"/>
    <w:rsid w:val="00594FD0"/>
    <w:rsid w:val="0059513D"/>
    <w:rsid w:val="005951BB"/>
    <w:rsid w:val="005952DA"/>
    <w:rsid w:val="005953B8"/>
    <w:rsid w:val="00595560"/>
    <w:rsid w:val="005958DE"/>
    <w:rsid w:val="00595B40"/>
    <w:rsid w:val="00595FB1"/>
    <w:rsid w:val="00596695"/>
    <w:rsid w:val="00596FEF"/>
    <w:rsid w:val="00597074"/>
    <w:rsid w:val="00597272"/>
    <w:rsid w:val="005973E8"/>
    <w:rsid w:val="005975F3"/>
    <w:rsid w:val="00597665"/>
    <w:rsid w:val="00597A2B"/>
    <w:rsid w:val="00597B16"/>
    <w:rsid w:val="00597C3D"/>
    <w:rsid w:val="00597C8D"/>
    <w:rsid w:val="005A03BD"/>
    <w:rsid w:val="005A061F"/>
    <w:rsid w:val="005A06E1"/>
    <w:rsid w:val="005A0FB5"/>
    <w:rsid w:val="005A1119"/>
    <w:rsid w:val="005A14B9"/>
    <w:rsid w:val="005A1662"/>
    <w:rsid w:val="005A16A7"/>
    <w:rsid w:val="005A16E1"/>
    <w:rsid w:val="005A1B4E"/>
    <w:rsid w:val="005A1CAC"/>
    <w:rsid w:val="005A1F2F"/>
    <w:rsid w:val="005A210A"/>
    <w:rsid w:val="005A22CF"/>
    <w:rsid w:val="005A2510"/>
    <w:rsid w:val="005A257A"/>
    <w:rsid w:val="005A287A"/>
    <w:rsid w:val="005A2D60"/>
    <w:rsid w:val="005A2F67"/>
    <w:rsid w:val="005A36E6"/>
    <w:rsid w:val="005A3BAE"/>
    <w:rsid w:val="005A3DF3"/>
    <w:rsid w:val="005A3E81"/>
    <w:rsid w:val="005A4B7C"/>
    <w:rsid w:val="005A4EBC"/>
    <w:rsid w:val="005A5028"/>
    <w:rsid w:val="005A55E2"/>
    <w:rsid w:val="005A567A"/>
    <w:rsid w:val="005A56A2"/>
    <w:rsid w:val="005A58A6"/>
    <w:rsid w:val="005A654B"/>
    <w:rsid w:val="005A6650"/>
    <w:rsid w:val="005A6677"/>
    <w:rsid w:val="005A69BB"/>
    <w:rsid w:val="005A6D98"/>
    <w:rsid w:val="005A711C"/>
    <w:rsid w:val="005A71A7"/>
    <w:rsid w:val="005A722D"/>
    <w:rsid w:val="005A728D"/>
    <w:rsid w:val="005A76F4"/>
    <w:rsid w:val="005A781B"/>
    <w:rsid w:val="005B1079"/>
    <w:rsid w:val="005B1233"/>
    <w:rsid w:val="005B12BC"/>
    <w:rsid w:val="005B1DBE"/>
    <w:rsid w:val="005B1E59"/>
    <w:rsid w:val="005B1F34"/>
    <w:rsid w:val="005B23EC"/>
    <w:rsid w:val="005B2571"/>
    <w:rsid w:val="005B25E3"/>
    <w:rsid w:val="005B2E74"/>
    <w:rsid w:val="005B311A"/>
    <w:rsid w:val="005B3AD9"/>
    <w:rsid w:val="005B417B"/>
    <w:rsid w:val="005B4185"/>
    <w:rsid w:val="005B41C5"/>
    <w:rsid w:val="005B45DC"/>
    <w:rsid w:val="005B4ACA"/>
    <w:rsid w:val="005B5623"/>
    <w:rsid w:val="005B5F60"/>
    <w:rsid w:val="005B6194"/>
    <w:rsid w:val="005B62B0"/>
    <w:rsid w:val="005B630E"/>
    <w:rsid w:val="005B64DA"/>
    <w:rsid w:val="005B662B"/>
    <w:rsid w:val="005B6DA1"/>
    <w:rsid w:val="005B7683"/>
    <w:rsid w:val="005B7732"/>
    <w:rsid w:val="005B7854"/>
    <w:rsid w:val="005B7BB5"/>
    <w:rsid w:val="005C0410"/>
    <w:rsid w:val="005C0596"/>
    <w:rsid w:val="005C0BF6"/>
    <w:rsid w:val="005C0F94"/>
    <w:rsid w:val="005C11D5"/>
    <w:rsid w:val="005C148E"/>
    <w:rsid w:val="005C17EF"/>
    <w:rsid w:val="005C1E7E"/>
    <w:rsid w:val="005C26DA"/>
    <w:rsid w:val="005C2A33"/>
    <w:rsid w:val="005C30F5"/>
    <w:rsid w:val="005C3485"/>
    <w:rsid w:val="005C34E5"/>
    <w:rsid w:val="005C36CB"/>
    <w:rsid w:val="005C36DF"/>
    <w:rsid w:val="005C3B3E"/>
    <w:rsid w:val="005C3CB4"/>
    <w:rsid w:val="005C48B6"/>
    <w:rsid w:val="005C5012"/>
    <w:rsid w:val="005C50BB"/>
    <w:rsid w:val="005C5360"/>
    <w:rsid w:val="005C540C"/>
    <w:rsid w:val="005C5880"/>
    <w:rsid w:val="005C5BF8"/>
    <w:rsid w:val="005C6DF0"/>
    <w:rsid w:val="005C722A"/>
    <w:rsid w:val="005C7F18"/>
    <w:rsid w:val="005D1767"/>
    <w:rsid w:val="005D1A0A"/>
    <w:rsid w:val="005D1B9B"/>
    <w:rsid w:val="005D1E65"/>
    <w:rsid w:val="005D1E9F"/>
    <w:rsid w:val="005D2A98"/>
    <w:rsid w:val="005D2B38"/>
    <w:rsid w:val="005D2B4B"/>
    <w:rsid w:val="005D2C5B"/>
    <w:rsid w:val="005D2E8F"/>
    <w:rsid w:val="005D2EB4"/>
    <w:rsid w:val="005D2F81"/>
    <w:rsid w:val="005D3013"/>
    <w:rsid w:val="005D31BF"/>
    <w:rsid w:val="005D32B1"/>
    <w:rsid w:val="005D3BFF"/>
    <w:rsid w:val="005D3E0A"/>
    <w:rsid w:val="005D3FD9"/>
    <w:rsid w:val="005D3FE3"/>
    <w:rsid w:val="005D4613"/>
    <w:rsid w:val="005D4A3B"/>
    <w:rsid w:val="005D4C8F"/>
    <w:rsid w:val="005D4D51"/>
    <w:rsid w:val="005D50DC"/>
    <w:rsid w:val="005D5199"/>
    <w:rsid w:val="005D53C3"/>
    <w:rsid w:val="005D549F"/>
    <w:rsid w:val="005D5982"/>
    <w:rsid w:val="005D59E4"/>
    <w:rsid w:val="005D5E73"/>
    <w:rsid w:val="005D6679"/>
    <w:rsid w:val="005D6A50"/>
    <w:rsid w:val="005D6E46"/>
    <w:rsid w:val="005D6F1E"/>
    <w:rsid w:val="005D7407"/>
    <w:rsid w:val="005D7E65"/>
    <w:rsid w:val="005E0101"/>
    <w:rsid w:val="005E05CD"/>
    <w:rsid w:val="005E0A13"/>
    <w:rsid w:val="005E1073"/>
    <w:rsid w:val="005E172A"/>
    <w:rsid w:val="005E1802"/>
    <w:rsid w:val="005E1838"/>
    <w:rsid w:val="005E18AB"/>
    <w:rsid w:val="005E24C0"/>
    <w:rsid w:val="005E24EE"/>
    <w:rsid w:val="005E293C"/>
    <w:rsid w:val="005E294A"/>
    <w:rsid w:val="005E2D83"/>
    <w:rsid w:val="005E33B7"/>
    <w:rsid w:val="005E343A"/>
    <w:rsid w:val="005E3828"/>
    <w:rsid w:val="005E398C"/>
    <w:rsid w:val="005E3A33"/>
    <w:rsid w:val="005E40D2"/>
    <w:rsid w:val="005E42C0"/>
    <w:rsid w:val="005E47E3"/>
    <w:rsid w:val="005E481B"/>
    <w:rsid w:val="005E4825"/>
    <w:rsid w:val="005E494B"/>
    <w:rsid w:val="005E4A64"/>
    <w:rsid w:val="005E4F78"/>
    <w:rsid w:val="005E4F7D"/>
    <w:rsid w:val="005E5249"/>
    <w:rsid w:val="005E59C8"/>
    <w:rsid w:val="005E59D8"/>
    <w:rsid w:val="005E5B3F"/>
    <w:rsid w:val="005E607A"/>
    <w:rsid w:val="005E627E"/>
    <w:rsid w:val="005E6D63"/>
    <w:rsid w:val="005E6F52"/>
    <w:rsid w:val="005E74F8"/>
    <w:rsid w:val="005E7690"/>
    <w:rsid w:val="005E792A"/>
    <w:rsid w:val="005F014F"/>
    <w:rsid w:val="005F064B"/>
    <w:rsid w:val="005F0668"/>
    <w:rsid w:val="005F0831"/>
    <w:rsid w:val="005F0897"/>
    <w:rsid w:val="005F0D35"/>
    <w:rsid w:val="005F1141"/>
    <w:rsid w:val="005F1448"/>
    <w:rsid w:val="005F190D"/>
    <w:rsid w:val="005F198E"/>
    <w:rsid w:val="005F1AE9"/>
    <w:rsid w:val="005F1D67"/>
    <w:rsid w:val="005F21AC"/>
    <w:rsid w:val="005F239C"/>
    <w:rsid w:val="005F35DB"/>
    <w:rsid w:val="005F3A5B"/>
    <w:rsid w:val="005F3B13"/>
    <w:rsid w:val="005F3D17"/>
    <w:rsid w:val="005F3D99"/>
    <w:rsid w:val="005F405D"/>
    <w:rsid w:val="005F4472"/>
    <w:rsid w:val="005F4AC4"/>
    <w:rsid w:val="005F4D49"/>
    <w:rsid w:val="005F4D5C"/>
    <w:rsid w:val="005F512D"/>
    <w:rsid w:val="005F5341"/>
    <w:rsid w:val="005F609C"/>
    <w:rsid w:val="005F616A"/>
    <w:rsid w:val="005F643B"/>
    <w:rsid w:val="005F699B"/>
    <w:rsid w:val="005F739D"/>
    <w:rsid w:val="005F7411"/>
    <w:rsid w:val="005F751F"/>
    <w:rsid w:val="005F7536"/>
    <w:rsid w:val="005F784C"/>
    <w:rsid w:val="005F7A79"/>
    <w:rsid w:val="005F7DE4"/>
    <w:rsid w:val="0060070D"/>
    <w:rsid w:val="00600968"/>
    <w:rsid w:val="00600BD0"/>
    <w:rsid w:val="006011C2"/>
    <w:rsid w:val="0060122E"/>
    <w:rsid w:val="00601449"/>
    <w:rsid w:val="00601499"/>
    <w:rsid w:val="006017ED"/>
    <w:rsid w:val="006022A6"/>
    <w:rsid w:val="006025B9"/>
    <w:rsid w:val="00602E41"/>
    <w:rsid w:val="00603A7C"/>
    <w:rsid w:val="00603FDA"/>
    <w:rsid w:val="00604295"/>
    <w:rsid w:val="00604466"/>
    <w:rsid w:val="00604731"/>
    <w:rsid w:val="0060576F"/>
    <w:rsid w:val="00605B51"/>
    <w:rsid w:val="00605C06"/>
    <w:rsid w:val="00606191"/>
    <w:rsid w:val="00606323"/>
    <w:rsid w:val="006067E5"/>
    <w:rsid w:val="00606A3A"/>
    <w:rsid w:val="00606DEF"/>
    <w:rsid w:val="0060705B"/>
    <w:rsid w:val="006074D5"/>
    <w:rsid w:val="00607DEB"/>
    <w:rsid w:val="006100BF"/>
    <w:rsid w:val="00610105"/>
    <w:rsid w:val="00610323"/>
    <w:rsid w:val="006103A1"/>
    <w:rsid w:val="0061081F"/>
    <w:rsid w:val="00610B82"/>
    <w:rsid w:val="00610C2E"/>
    <w:rsid w:val="00610D7D"/>
    <w:rsid w:val="00611224"/>
    <w:rsid w:val="00611550"/>
    <w:rsid w:val="006115CC"/>
    <w:rsid w:val="00611643"/>
    <w:rsid w:val="00611AE6"/>
    <w:rsid w:val="00611BD7"/>
    <w:rsid w:val="00612307"/>
    <w:rsid w:val="006125C8"/>
    <w:rsid w:val="0061265C"/>
    <w:rsid w:val="0061298E"/>
    <w:rsid w:val="0061307D"/>
    <w:rsid w:val="006133B6"/>
    <w:rsid w:val="006138A6"/>
    <w:rsid w:val="00613EB1"/>
    <w:rsid w:val="00613FD5"/>
    <w:rsid w:val="006142E2"/>
    <w:rsid w:val="00615500"/>
    <w:rsid w:val="006156D0"/>
    <w:rsid w:val="006158C2"/>
    <w:rsid w:val="00615A42"/>
    <w:rsid w:val="00616687"/>
    <w:rsid w:val="00616D5E"/>
    <w:rsid w:val="0061723A"/>
    <w:rsid w:val="00617C95"/>
    <w:rsid w:val="00617ED7"/>
    <w:rsid w:val="00620047"/>
    <w:rsid w:val="00620297"/>
    <w:rsid w:val="00620978"/>
    <w:rsid w:val="00620C5E"/>
    <w:rsid w:val="00620DEF"/>
    <w:rsid w:val="006214FC"/>
    <w:rsid w:val="00621B22"/>
    <w:rsid w:val="00621D33"/>
    <w:rsid w:val="00622466"/>
    <w:rsid w:val="00622647"/>
    <w:rsid w:val="00622BEA"/>
    <w:rsid w:val="00622D3D"/>
    <w:rsid w:val="006233EB"/>
    <w:rsid w:val="0062387D"/>
    <w:rsid w:val="0062389A"/>
    <w:rsid w:val="00623FAF"/>
    <w:rsid w:val="006240B4"/>
    <w:rsid w:val="006243E3"/>
    <w:rsid w:val="00624D72"/>
    <w:rsid w:val="00625041"/>
    <w:rsid w:val="0062536B"/>
    <w:rsid w:val="00625668"/>
    <w:rsid w:val="006264AE"/>
    <w:rsid w:val="00626870"/>
    <w:rsid w:val="00626877"/>
    <w:rsid w:val="00626929"/>
    <w:rsid w:val="00626E6C"/>
    <w:rsid w:val="0062776C"/>
    <w:rsid w:val="00627C07"/>
    <w:rsid w:val="0063074C"/>
    <w:rsid w:val="0063095B"/>
    <w:rsid w:val="00630B00"/>
    <w:rsid w:val="00631899"/>
    <w:rsid w:val="00631A9E"/>
    <w:rsid w:val="00631C2D"/>
    <w:rsid w:val="0063235C"/>
    <w:rsid w:val="00632391"/>
    <w:rsid w:val="006323E9"/>
    <w:rsid w:val="006323EF"/>
    <w:rsid w:val="00632535"/>
    <w:rsid w:val="00632C75"/>
    <w:rsid w:val="00633173"/>
    <w:rsid w:val="006339E9"/>
    <w:rsid w:val="00634B34"/>
    <w:rsid w:val="00635CCD"/>
    <w:rsid w:val="0063652E"/>
    <w:rsid w:val="00636B04"/>
    <w:rsid w:val="00636F56"/>
    <w:rsid w:val="00637567"/>
    <w:rsid w:val="0063773E"/>
    <w:rsid w:val="006379D1"/>
    <w:rsid w:val="00637A9A"/>
    <w:rsid w:val="00637DC3"/>
    <w:rsid w:val="00640027"/>
    <w:rsid w:val="00640203"/>
    <w:rsid w:val="00640504"/>
    <w:rsid w:val="0064052F"/>
    <w:rsid w:val="0064055A"/>
    <w:rsid w:val="00640D24"/>
    <w:rsid w:val="00640EA7"/>
    <w:rsid w:val="00640F84"/>
    <w:rsid w:val="00640FDB"/>
    <w:rsid w:val="00641230"/>
    <w:rsid w:val="0064156F"/>
    <w:rsid w:val="0064174A"/>
    <w:rsid w:val="00641A46"/>
    <w:rsid w:val="0064223D"/>
    <w:rsid w:val="00642331"/>
    <w:rsid w:val="006427AE"/>
    <w:rsid w:val="00642B17"/>
    <w:rsid w:val="00642D85"/>
    <w:rsid w:val="00643529"/>
    <w:rsid w:val="00643598"/>
    <w:rsid w:val="006439C8"/>
    <w:rsid w:val="00643C61"/>
    <w:rsid w:val="006441D4"/>
    <w:rsid w:val="00644552"/>
    <w:rsid w:val="00644E02"/>
    <w:rsid w:val="00645552"/>
    <w:rsid w:val="00645B5B"/>
    <w:rsid w:val="00645BF2"/>
    <w:rsid w:val="00645D05"/>
    <w:rsid w:val="006461EF"/>
    <w:rsid w:val="00646653"/>
    <w:rsid w:val="00646B5B"/>
    <w:rsid w:val="006473B6"/>
    <w:rsid w:val="006473FC"/>
    <w:rsid w:val="0064742D"/>
    <w:rsid w:val="00647803"/>
    <w:rsid w:val="00647C29"/>
    <w:rsid w:val="00647D04"/>
    <w:rsid w:val="00650111"/>
    <w:rsid w:val="00650D6D"/>
    <w:rsid w:val="00651D15"/>
    <w:rsid w:val="00651F3C"/>
    <w:rsid w:val="006521CC"/>
    <w:rsid w:val="00652350"/>
    <w:rsid w:val="006523A7"/>
    <w:rsid w:val="006524AB"/>
    <w:rsid w:val="00652A3E"/>
    <w:rsid w:val="00652B69"/>
    <w:rsid w:val="00653613"/>
    <w:rsid w:val="006536D9"/>
    <w:rsid w:val="006539DA"/>
    <w:rsid w:val="00653BD1"/>
    <w:rsid w:val="00654029"/>
    <w:rsid w:val="006540EB"/>
    <w:rsid w:val="0065413E"/>
    <w:rsid w:val="00654763"/>
    <w:rsid w:val="006548B6"/>
    <w:rsid w:val="00654A06"/>
    <w:rsid w:val="00654CEB"/>
    <w:rsid w:val="0065538E"/>
    <w:rsid w:val="006553EA"/>
    <w:rsid w:val="006554D3"/>
    <w:rsid w:val="00655B19"/>
    <w:rsid w:val="006566D5"/>
    <w:rsid w:val="00656CB3"/>
    <w:rsid w:val="00656E11"/>
    <w:rsid w:val="00656E4B"/>
    <w:rsid w:val="006571A2"/>
    <w:rsid w:val="006573D2"/>
    <w:rsid w:val="006574CC"/>
    <w:rsid w:val="00657957"/>
    <w:rsid w:val="00657C9F"/>
    <w:rsid w:val="00657D9A"/>
    <w:rsid w:val="00657E12"/>
    <w:rsid w:val="00657E97"/>
    <w:rsid w:val="00657EBF"/>
    <w:rsid w:val="00660A4D"/>
    <w:rsid w:val="00661136"/>
    <w:rsid w:val="006619F5"/>
    <w:rsid w:val="00661CEA"/>
    <w:rsid w:val="006621E7"/>
    <w:rsid w:val="0066238A"/>
    <w:rsid w:val="00662484"/>
    <w:rsid w:val="00662675"/>
    <w:rsid w:val="006627A5"/>
    <w:rsid w:val="00662B3C"/>
    <w:rsid w:val="00662F34"/>
    <w:rsid w:val="0066327D"/>
    <w:rsid w:val="00663321"/>
    <w:rsid w:val="00663D05"/>
    <w:rsid w:val="00663FC0"/>
    <w:rsid w:val="006642C9"/>
    <w:rsid w:val="00664EE8"/>
    <w:rsid w:val="006650CB"/>
    <w:rsid w:val="00665281"/>
    <w:rsid w:val="006652EA"/>
    <w:rsid w:val="00665387"/>
    <w:rsid w:val="00665470"/>
    <w:rsid w:val="00665935"/>
    <w:rsid w:val="00665E34"/>
    <w:rsid w:val="00665E6D"/>
    <w:rsid w:val="00666548"/>
    <w:rsid w:val="006670D1"/>
    <w:rsid w:val="00667113"/>
    <w:rsid w:val="0066720A"/>
    <w:rsid w:val="006674C2"/>
    <w:rsid w:val="00667522"/>
    <w:rsid w:val="006676BC"/>
    <w:rsid w:val="006704CD"/>
    <w:rsid w:val="0067082C"/>
    <w:rsid w:val="00670905"/>
    <w:rsid w:val="006709EC"/>
    <w:rsid w:val="00670D0B"/>
    <w:rsid w:val="00670DE4"/>
    <w:rsid w:val="006711F7"/>
    <w:rsid w:val="00671213"/>
    <w:rsid w:val="0067182E"/>
    <w:rsid w:val="00672147"/>
    <w:rsid w:val="006724E6"/>
    <w:rsid w:val="006725D1"/>
    <w:rsid w:val="006726BF"/>
    <w:rsid w:val="00672964"/>
    <w:rsid w:val="0067362D"/>
    <w:rsid w:val="0067395D"/>
    <w:rsid w:val="00674068"/>
    <w:rsid w:val="0067410A"/>
    <w:rsid w:val="00674582"/>
    <w:rsid w:val="006747FD"/>
    <w:rsid w:val="00674807"/>
    <w:rsid w:val="00674A0D"/>
    <w:rsid w:val="00674A70"/>
    <w:rsid w:val="00674D4A"/>
    <w:rsid w:val="0067528F"/>
    <w:rsid w:val="006753EC"/>
    <w:rsid w:val="0067599C"/>
    <w:rsid w:val="0067654D"/>
    <w:rsid w:val="00676AEC"/>
    <w:rsid w:val="00676BDB"/>
    <w:rsid w:val="00676C86"/>
    <w:rsid w:val="00676E47"/>
    <w:rsid w:val="00676E9B"/>
    <w:rsid w:val="00677DC6"/>
    <w:rsid w:val="00680B35"/>
    <w:rsid w:val="00680C41"/>
    <w:rsid w:val="006810F9"/>
    <w:rsid w:val="00681287"/>
    <w:rsid w:val="006813FB"/>
    <w:rsid w:val="00681B6C"/>
    <w:rsid w:val="0068205F"/>
    <w:rsid w:val="00682436"/>
    <w:rsid w:val="0068246D"/>
    <w:rsid w:val="00682999"/>
    <w:rsid w:val="00682B34"/>
    <w:rsid w:val="00682CDC"/>
    <w:rsid w:val="00682FEB"/>
    <w:rsid w:val="0068316D"/>
    <w:rsid w:val="00683B56"/>
    <w:rsid w:val="00684130"/>
    <w:rsid w:val="00684467"/>
    <w:rsid w:val="006846CB"/>
    <w:rsid w:val="00684DDA"/>
    <w:rsid w:val="006857D4"/>
    <w:rsid w:val="00685D5A"/>
    <w:rsid w:val="00685D80"/>
    <w:rsid w:val="00685F0A"/>
    <w:rsid w:val="00685F9D"/>
    <w:rsid w:val="006860C1"/>
    <w:rsid w:val="00686541"/>
    <w:rsid w:val="006866C0"/>
    <w:rsid w:val="0068674B"/>
    <w:rsid w:val="00686C25"/>
    <w:rsid w:val="00686E3C"/>
    <w:rsid w:val="006871C2"/>
    <w:rsid w:val="006879D2"/>
    <w:rsid w:val="00687B16"/>
    <w:rsid w:val="00687D59"/>
    <w:rsid w:val="0069027E"/>
    <w:rsid w:val="00690352"/>
    <w:rsid w:val="00690877"/>
    <w:rsid w:val="00690987"/>
    <w:rsid w:val="00690C06"/>
    <w:rsid w:val="00690C2A"/>
    <w:rsid w:val="00690F2C"/>
    <w:rsid w:val="006910E9"/>
    <w:rsid w:val="00691118"/>
    <w:rsid w:val="00691212"/>
    <w:rsid w:val="0069153E"/>
    <w:rsid w:val="00691717"/>
    <w:rsid w:val="0069185F"/>
    <w:rsid w:val="0069188C"/>
    <w:rsid w:val="00691A5B"/>
    <w:rsid w:val="00691CFB"/>
    <w:rsid w:val="00692688"/>
    <w:rsid w:val="00692820"/>
    <w:rsid w:val="006932DF"/>
    <w:rsid w:val="0069388D"/>
    <w:rsid w:val="00693B4F"/>
    <w:rsid w:val="00693F25"/>
    <w:rsid w:val="00694011"/>
    <w:rsid w:val="0069424B"/>
    <w:rsid w:val="00694298"/>
    <w:rsid w:val="00694EA8"/>
    <w:rsid w:val="00694EEE"/>
    <w:rsid w:val="00694FC6"/>
    <w:rsid w:val="0069569E"/>
    <w:rsid w:val="00695FD4"/>
    <w:rsid w:val="006963BC"/>
    <w:rsid w:val="00696636"/>
    <w:rsid w:val="0069680F"/>
    <w:rsid w:val="00696CB7"/>
    <w:rsid w:val="006971AC"/>
    <w:rsid w:val="00697211"/>
    <w:rsid w:val="006974D3"/>
    <w:rsid w:val="00697996"/>
    <w:rsid w:val="00697B0C"/>
    <w:rsid w:val="00697C53"/>
    <w:rsid w:val="006A01C8"/>
    <w:rsid w:val="006A0257"/>
    <w:rsid w:val="006A0F97"/>
    <w:rsid w:val="006A13AA"/>
    <w:rsid w:val="006A17B7"/>
    <w:rsid w:val="006A19DD"/>
    <w:rsid w:val="006A1D80"/>
    <w:rsid w:val="006A1DC6"/>
    <w:rsid w:val="006A1E72"/>
    <w:rsid w:val="006A1F01"/>
    <w:rsid w:val="006A2AEA"/>
    <w:rsid w:val="006A2D2C"/>
    <w:rsid w:val="006A2D66"/>
    <w:rsid w:val="006A3330"/>
    <w:rsid w:val="006A35A5"/>
    <w:rsid w:val="006A36B7"/>
    <w:rsid w:val="006A3717"/>
    <w:rsid w:val="006A3AFF"/>
    <w:rsid w:val="006A452F"/>
    <w:rsid w:val="006A4702"/>
    <w:rsid w:val="006A4709"/>
    <w:rsid w:val="006A4816"/>
    <w:rsid w:val="006A48C5"/>
    <w:rsid w:val="006A4A8F"/>
    <w:rsid w:val="006A532A"/>
    <w:rsid w:val="006A56AB"/>
    <w:rsid w:val="006A5DBF"/>
    <w:rsid w:val="006A5E65"/>
    <w:rsid w:val="006A5F63"/>
    <w:rsid w:val="006A686C"/>
    <w:rsid w:val="006A6AB7"/>
    <w:rsid w:val="006A6C67"/>
    <w:rsid w:val="006A6D0E"/>
    <w:rsid w:val="006A7042"/>
    <w:rsid w:val="006A720B"/>
    <w:rsid w:val="006A7689"/>
    <w:rsid w:val="006A7847"/>
    <w:rsid w:val="006A7C52"/>
    <w:rsid w:val="006A7CFF"/>
    <w:rsid w:val="006B07FB"/>
    <w:rsid w:val="006B0828"/>
    <w:rsid w:val="006B0953"/>
    <w:rsid w:val="006B0D23"/>
    <w:rsid w:val="006B0F3C"/>
    <w:rsid w:val="006B1172"/>
    <w:rsid w:val="006B12C6"/>
    <w:rsid w:val="006B1B15"/>
    <w:rsid w:val="006B2391"/>
    <w:rsid w:val="006B2B35"/>
    <w:rsid w:val="006B2C7C"/>
    <w:rsid w:val="006B30B6"/>
    <w:rsid w:val="006B31C6"/>
    <w:rsid w:val="006B336E"/>
    <w:rsid w:val="006B3511"/>
    <w:rsid w:val="006B3894"/>
    <w:rsid w:val="006B3ACE"/>
    <w:rsid w:val="006B3AFD"/>
    <w:rsid w:val="006B3BEA"/>
    <w:rsid w:val="006B40AC"/>
    <w:rsid w:val="006B4B22"/>
    <w:rsid w:val="006B554B"/>
    <w:rsid w:val="006B57E0"/>
    <w:rsid w:val="006B5B95"/>
    <w:rsid w:val="006B5D41"/>
    <w:rsid w:val="006B60A8"/>
    <w:rsid w:val="006B60C8"/>
    <w:rsid w:val="006B6148"/>
    <w:rsid w:val="006B62AF"/>
    <w:rsid w:val="006B6A25"/>
    <w:rsid w:val="006B6C6A"/>
    <w:rsid w:val="006B6C72"/>
    <w:rsid w:val="006B6F7B"/>
    <w:rsid w:val="006B78D5"/>
    <w:rsid w:val="006B7913"/>
    <w:rsid w:val="006B7B47"/>
    <w:rsid w:val="006C006D"/>
    <w:rsid w:val="006C01DE"/>
    <w:rsid w:val="006C0476"/>
    <w:rsid w:val="006C0B21"/>
    <w:rsid w:val="006C14F9"/>
    <w:rsid w:val="006C169D"/>
    <w:rsid w:val="006C1AFB"/>
    <w:rsid w:val="006C1B3C"/>
    <w:rsid w:val="006C237B"/>
    <w:rsid w:val="006C30BF"/>
    <w:rsid w:val="006C36F2"/>
    <w:rsid w:val="006C3809"/>
    <w:rsid w:val="006C3A8C"/>
    <w:rsid w:val="006C429F"/>
    <w:rsid w:val="006C447D"/>
    <w:rsid w:val="006C44CB"/>
    <w:rsid w:val="006C496C"/>
    <w:rsid w:val="006C4D46"/>
    <w:rsid w:val="006C5168"/>
    <w:rsid w:val="006C5216"/>
    <w:rsid w:val="006C53EF"/>
    <w:rsid w:val="006C54E9"/>
    <w:rsid w:val="006C5CB1"/>
    <w:rsid w:val="006C6204"/>
    <w:rsid w:val="006C7472"/>
    <w:rsid w:val="006C7EC3"/>
    <w:rsid w:val="006D0165"/>
    <w:rsid w:val="006D0467"/>
    <w:rsid w:val="006D0482"/>
    <w:rsid w:val="006D06E3"/>
    <w:rsid w:val="006D06F7"/>
    <w:rsid w:val="006D0FDD"/>
    <w:rsid w:val="006D11D6"/>
    <w:rsid w:val="006D1524"/>
    <w:rsid w:val="006D187A"/>
    <w:rsid w:val="006D1A9A"/>
    <w:rsid w:val="006D1B04"/>
    <w:rsid w:val="006D28D8"/>
    <w:rsid w:val="006D316C"/>
    <w:rsid w:val="006D3273"/>
    <w:rsid w:val="006D3668"/>
    <w:rsid w:val="006D36DA"/>
    <w:rsid w:val="006D37D1"/>
    <w:rsid w:val="006D4647"/>
    <w:rsid w:val="006D4B06"/>
    <w:rsid w:val="006D4C1B"/>
    <w:rsid w:val="006D4EA1"/>
    <w:rsid w:val="006D51AA"/>
    <w:rsid w:val="006D5530"/>
    <w:rsid w:val="006D5588"/>
    <w:rsid w:val="006D5773"/>
    <w:rsid w:val="006D5A03"/>
    <w:rsid w:val="006D5ED0"/>
    <w:rsid w:val="006D63E4"/>
    <w:rsid w:val="006D6BE7"/>
    <w:rsid w:val="006D6F48"/>
    <w:rsid w:val="006D6F78"/>
    <w:rsid w:val="006D7096"/>
    <w:rsid w:val="006D70E5"/>
    <w:rsid w:val="006D7140"/>
    <w:rsid w:val="006D753E"/>
    <w:rsid w:val="006D7950"/>
    <w:rsid w:val="006D7C0C"/>
    <w:rsid w:val="006D7E60"/>
    <w:rsid w:val="006E02C2"/>
    <w:rsid w:val="006E0EA2"/>
    <w:rsid w:val="006E104B"/>
    <w:rsid w:val="006E175D"/>
    <w:rsid w:val="006E2402"/>
    <w:rsid w:val="006E25E1"/>
    <w:rsid w:val="006E2989"/>
    <w:rsid w:val="006E2B24"/>
    <w:rsid w:val="006E2FC6"/>
    <w:rsid w:val="006E3338"/>
    <w:rsid w:val="006E347D"/>
    <w:rsid w:val="006E3A1D"/>
    <w:rsid w:val="006E3BA3"/>
    <w:rsid w:val="006E3C71"/>
    <w:rsid w:val="006E4C98"/>
    <w:rsid w:val="006E4D6F"/>
    <w:rsid w:val="006E526C"/>
    <w:rsid w:val="006E52CF"/>
    <w:rsid w:val="006E5F28"/>
    <w:rsid w:val="006E6433"/>
    <w:rsid w:val="006E649B"/>
    <w:rsid w:val="006E672F"/>
    <w:rsid w:val="006E701A"/>
    <w:rsid w:val="006E76C7"/>
    <w:rsid w:val="006F0B4B"/>
    <w:rsid w:val="006F0FD4"/>
    <w:rsid w:val="006F1019"/>
    <w:rsid w:val="006F10B5"/>
    <w:rsid w:val="006F140C"/>
    <w:rsid w:val="006F27BF"/>
    <w:rsid w:val="006F2BD8"/>
    <w:rsid w:val="006F362D"/>
    <w:rsid w:val="006F3759"/>
    <w:rsid w:val="006F3B9F"/>
    <w:rsid w:val="006F4000"/>
    <w:rsid w:val="006F428C"/>
    <w:rsid w:val="006F484D"/>
    <w:rsid w:val="006F4873"/>
    <w:rsid w:val="006F4FEA"/>
    <w:rsid w:val="006F546C"/>
    <w:rsid w:val="006F54DE"/>
    <w:rsid w:val="006F55D6"/>
    <w:rsid w:val="006F583D"/>
    <w:rsid w:val="006F60CB"/>
    <w:rsid w:val="006F6AC9"/>
    <w:rsid w:val="006F6C2E"/>
    <w:rsid w:val="006F7070"/>
    <w:rsid w:val="006F7256"/>
    <w:rsid w:val="006F7278"/>
    <w:rsid w:val="006F72E2"/>
    <w:rsid w:val="006F78A6"/>
    <w:rsid w:val="007005B0"/>
    <w:rsid w:val="00700D0F"/>
    <w:rsid w:val="00700D8B"/>
    <w:rsid w:val="0070105E"/>
    <w:rsid w:val="00701A4C"/>
    <w:rsid w:val="00701C39"/>
    <w:rsid w:val="00701CC8"/>
    <w:rsid w:val="0070225F"/>
    <w:rsid w:val="00702491"/>
    <w:rsid w:val="007028DC"/>
    <w:rsid w:val="00702EEF"/>
    <w:rsid w:val="00703440"/>
    <w:rsid w:val="00703A66"/>
    <w:rsid w:val="00703E9B"/>
    <w:rsid w:val="00703F46"/>
    <w:rsid w:val="00704544"/>
    <w:rsid w:val="00704A16"/>
    <w:rsid w:val="00704ECF"/>
    <w:rsid w:val="00704EED"/>
    <w:rsid w:val="00704F5D"/>
    <w:rsid w:val="00704F91"/>
    <w:rsid w:val="00704FE0"/>
    <w:rsid w:val="0070539B"/>
    <w:rsid w:val="0070554A"/>
    <w:rsid w:val="0070581D"/>
    <w:rsid w:val="00705A35"/>
    <w:rsid w:val="00705A46"/>
    <w:rsid w:val="00705BB0"/>
    <w:rsid w:val="00705BC5"/>
    <w:rsid w:val="00705D88"/>
    <w:rsid w:val="007065F4"/>
    <w:rsid w:val="00706680"/>
    <w:rsid w:val="007066A9"/>
    <w:rsid w:val="0070690E"/>
    <w:rsid w:val="00706A01"/>
    <w:rsid w:val="00706C79"/>
    <w:rsid w:val="00707350"/>
    <w:rsid w:val="007077BF"/>
    <w:rsid w:val="00707863"/>
    <w:rsid w:val="00707D9F"/>
    <w:rsid w:val="0071044D"/>
    <w:rsid w:val="0071049A"/>
    <w:rsid w:val="00710B84"/>
    <w:rsid w:val="0071177F"/>
    <w:rsid w:val="00711CDC"/>
    <w:rsid w:val="00712132"/>
    <w:rsid w:val="007121D0"/>
    <w:rsid w:val="00712ADD"/>
    <w:rsid w:val="00713636"/>
    <w:rsid w:val="00713881"/>
    <w:rsid w:val="007146F3"/>
    <w:rsid w:val="00714A02"/>
    <w:rsid w:val="007158C9"/>
    <w:rsid w:val="00715AE9"/>
    <w:rsid w:val="00715E3E"/>
    <w:rsid w:val="0071683B"/>
    <w:rsid w:val="00716A30"/>
    <w:rsid w:val="00716A9A"/>
    <w:rsid w:val="00716B0A"/>
    <w:rsid w:val="00717022"/>
    <w:rsid w:val="00717062"/>
    <w:rsid w:val="00717890"/>
    <w:rsid w:val="00720235"/>
    <w:rsid w:val="00720479"/>
    <w:rsid w:val="007204D7"/>
    <w:rsid w:val="00720600"/>
    <w:rsid w:val="00720735"/>
    <w:rsid w:val="00720AEB"/>
    <w:rsid w:val="00720D84"/>
    <w:rsid w:val="00720EA2"/>
    <w:rsid w:val="007212D2"/>
    <w:rsid w:val="00721B83"/>
    <w:rsid w:val="00721D39"/>
    <w:rsid w:val="00721E46"/>
    <w:rsid w:val="00721E84"/>
    <w:rsid w:val="0072259D"/>
    <w:rsid w:val="007226F9"/>
    <w:rsid w:val="00722874"/>
    <w:rsid w:val="00723284"/>
    <w:rsid w:val="00723476"/>
    <w:rsid w:val="00723A1B"/>
    <w:rsid w:val="00723C26"/>
    <w:rsid w:val="00723DD0"/>
    <w:rsid w:val="007242B1"/>
    <w:rsid w:val="00724D71"/>
    <w:rsid w:val="00724E0C"/>
    <w:rsid w:val="00724F5B"/>
    <w:rsid w:val="0072593A"/>
    <w:rsid w:val="00725A33"/>
    <w:rsid w:val="00725AC8"/>
    <w:rsid w:val="0072656F"/>
    <w:rsid w:val="00727227"/>
    <w:rsid w:val="00727333"/>
    <w:rsid w:val="007276D7"/>
    <w:rsid w:val="007279F8"/>
    <w:rsid w:val="007305BC"/>
    <w:rsid w:val="007306EA"/>
    <w:rsid w:val="00730BCB"/>
    <w:rsid w:val="00730CF9"/>
    <w:rsid w:val="00730D8B"/>
    <w:rsid w:val="00730FB5"/>
    <w:rsid w:val="00731503"/>
    <w:rsid w:val="007319D0"/>
    <w:rsid w:val="00731E52"/>
    <w:rsid w:val="00731ED5"/>
    <w:rsid w:val="0073202A"/>
    <w:rsid w:val="00732501"/>
    <w:rsid w:val="00732604"/>
    <w:rsid w:val="00732A71"/>
    <w:rsid w:val="00732D79"/>
    <w:rsid w:val="00732D81"/>
    <w:rsid w:val="007332CE"/>
    <w:rsid w:val="0073341B"/>
    <w:rsid w:val="007334C3"/>
    <w:rsid w:val="00733749"/>
    <w:rsid w:val="00733953"/>
    <w:rsid w:val="00734164"/>
    <w:rsid w:val="00734878"/>
    <w:rsid w:val="007348A2"/>
    <w:rsid w:val="00734C93"/>
    <w:rsid w:val="00734CB1"/>
    <w:rsid w:val="00735571"/>
    <w:rsid w:val="00735C27"/>
    <w:rsid w:val="00735E2A"/>
    <w:rsid w:val="00735F8B"/>
    <w:rsid w:val="00736193"/>
    <w:rsid w:val="007361C7"/>
    <w:rsid w:val="007364FE"/>
    <w:rsid w:val="007365D9"/>
    <w:rsid w:val="00736636"/>
    <w:rsid w:val="00736694"/>
    <w:rsid w:val="0073690D"/>
    <w:rsid w:val="00737025"/>
    <w:rsid w:val="0073736B"/>
    <w:rsid w:val="0073767A"/>
    <w:rsid w:val="00737D6C"/>
    <w:rsid w:val="00737E55"/>
    <w:rsid w:val="00740573"/>
    <w:rsid w:val="007405E4"/>
    <w:rsid w:val="00740B0E"/>
    <w:rsid w:val="0074137F"/>
    <w:rsid w:val="007416C4"/>
    <w:rsid w:val="007416D1"/>
    <w:rsid w:val="007417A4"/>
    <w:rsid w:val="00741B38"/>
    <w:rsid w:val="00741E0B"/>
    <w:rsid w:val="00741E95"/>
    <w:rsid w:val="007420E7"/>
    <w:rsid w:val="00742610"/>
    <w:rsid w:val="007426FE"/>
    <w:rsid w:val="00742972"/>
    <w:rsid w:val="00742A1D"/>
    <w:rsid w:val="00742F67"/>
    <w:rsid w:val="00743302"/>
    <w:rsid w:val="0074347C"/>
    <w:rsid w:val="007434BF"/>
    <w:rsid w:val="0074407E"/>
    <w:rsid w:val="00744195"/>
    <w:rsid w:val="0074424E"/>
    <w:rsid w:val="00744273"/>
    <w:rsid w:val="00744AA7"/>
    <w:rsid w:val="00744E65"/>
    <w:rsid w:val="00745811"/>
    <w:rsid w:val="0074670A"/>
    <w:rsid w:val="0074673E"/>
    <w:rsid w:val="007475D5"/>
    <w:rsid w:val="00747907"/>
    <w:rsid w:val="007479DA"/>
    <w:rsid w:val="00747B63"/>
    <w:rsid w:val="00750049"/>
    <w:rsid w:val="00750153"/>
    <w:rsid w:val="007501D2"/>
    <w:rsid w:val="007502E9"/>
    <w:rsid w:val="00750671"/>
    <w:rsid w:val="00750D2F"/>
    <w:rsid w:val="00750D6E"/>
    <w:rsid w:val="00750F4B"/>
    <w:rsid w:val="00751514"/>
    <w:rsid w:val="00751A4B"/>
    <w:rsid w:val="00752261"/>
    <w:rsid w:val="0075283F"/>
    <w:rsid w:val="007528A9"/>
    <w:rsid w:val="007529DF"/>
    <w:rsid w:val="00752CA7"/>
    <w:rsid w:val="00753353"/>
    <w:rsid w:val="00753820"/>
    <w:rsid w:val="00753D71"/>
    <w:rsid w:val="00753D96"/>
    <w:rsid w:val="007543C4"/>
    <w:rsid w:val="0075464B"/>
    <w:rsid w:val="00754845"/>
    <w:rsid w:val="00754EA9"/>
    <w:rsid w:val="0075567C"/>
    <w:rsid w:val="007557A1"/>
    <w:rsid w:val="00755B45"/>
    <w:rsid w:val="00755C0A"/>
    <w:rsid w:val="00755F14"/>
    <w:rsid w:val="007564A6"/>
    <w:rsid w:val="007568BE"/>
    <w:rsid w:val="0075697E"/>
    <w:rsid w:val="00756A3F"/>
    <w:rsid w:val="00756AD5"/>
    <w:rsid w:val="00756CBF"/>
    <w:rsid w:val="0075712B"/>
    <w:rsid w:val="007600A6"/>
    <w:rsid w:val="00760301"/>
    <w:rsid w:val="00761247"/>
    <w:rsid w:val="007619A7"/>
    <w:rsid w:val="00761C4F"/>
    <w:rsid w:val="00761CAE"/>
    <w:rsid w:val="00761D75"/>
    <w:rsid w:val="00761FB3"/>
    <w:rsid w:val="00762158"/>
    <w:rsid w:val="007624E3"/>
    <w:rsid w:val="00762603"/>
    <w:rsid w:val="00762609"/>
    <w:rsid w:val="0076260A"/>
    <w:rsid w:val="00762B77"/>
    <w:rsid w:val="00762FF2"/>
    <w:rsid w:val="00762FFF"/>
    <w:rsid w:val="007637E2"/>
    <w:rsid w:val="00763971"/>
    <w:rsid w:val="00763B9B"/>
    <w:rsid w:val="00763FD5"/>
    <w:rsid w:val="0076456D"/>
    <w:rsid w:val="00765416"/>
    <w:rsid w:val="00765770"/>
    <w:rsid w:val="00765A9C"/>
    <w:rsid w:val="00765BD9"/>
    <w:rsid w:val="00765E8B"/>
    <w:rsid w:val="0076619D"/>
    <w:rsid w:val="0076641A"/>
    <w:rsid w:val="00766516"/>
    <w:rsid w:val="00766791"/>
    <w:rsid w:val="00767259"/>
    <w:rsid w:val="00767BAA"/>
    <w:rsid w:val="007706F0"/>
    <w:rsid w:val="00770AAC"/>
    <w:rsid w:val="00770C1B"/>
    <w:rsid w:val="00770C46"/>
    <w:rsid w:val="00770D13"/>
    <w:rsid w:val="00770EEB"/>
    <w:rsid w:val="007713A5"/>
    <w:rsid w:val="007715A8"/>
    <w:rsid w:val="00771CB6"/>
    <w:rsid w:val="007722FE"/>
    <w:rsid w:val="007723BD"/>
    <w:rsid w:val="007723EF"/>
    <w:rsid w:val="00772958"/>
    <w:rsid w:val="00772AEA"/>
    <w:rsid w:val="00772CA3"/>
    <w:rsid w:val="00772CD8"/>
    <w:rsid w:val="007730D3"/>
    <w:rsid w:val="0077316B"/>
    <w:rsid w:val="007732B5"/>
    <w:rsid w:val="007734B7"/>
    <w:rsid w:val="0077353E"/>
    <w:rsid w:val="00773633"/>
    <w:rsid w:val="007738FF"/>
    <w:rsid w:val="00773B5F"/>
    <w:rsid w:val="00773E01"/>
    <w:rsid w:val="0077412D"/>
    <w:rsid w:val="0077442B"/>
    <w:rsid w:val="007746C1"/>
    <w:rsid w:val="00774D75"/>
    <w:rsid w:val="00774E1E"/>
    <w:rsid w:val="00774EBF"/>
    <w:rsid w:val="00774FF4"/>
    <w:rsid w:val="0077515A"/>
    <w:rsid w:val="00775DE8"/>
    <w:rsid w:val="007765F0"/>
    <w:rsid w:val="00776615"/>
    <w:rsid w:val="007769F0"/>
    <w:rsid w:val="00777506"/>
    <w:rsid w:val="00777EBD"/>
    <w:rsid w:val="00777F04"/>
    <w:rsid w:val="00777FB5"/>
    <w:rsid w:val="0078001C"/>
    <w:rsid w:val="00780484"/>
    <w:rsid w:val="00780787"/>
    <w:rsid w:val="0078144E"/>
    <w:rsid w:val="007816F8"/>
    <w:rsid w:val="007819E7"/>
    <w:rsid w:val="00781A93"/>
    <w:rsid w:val="00781C1E"/>
    <w:rsid w:val="007827FF"/>
    <w:rsid w:val="0078284A"/>
    <w:rsid w:val="00782879"/>
    <w:rsid w:val="0078299B"/>
    <w:rsid w:val="00782EF7"/>
    <w:rsid w:val="0078320D"/>
    <w:rsid w:val="0078321A"/>
    <w:rsid w:val="00783254"/>
    <w:rsid w:val="00783747"/>
    <w:rsid w:val="0078375A"/>
    <w:rsid w:val="007837FE"/>
    <w:rsid w:val="0078393D"/>
    <w:rsid w:val="00783B4A"/>
    <w:rsid w:val="00783CFC"/>
    <w:rsid w:val="00783DC4"/>
    <w:rsid w:val="00783E6D"/>
    <w:rsid w:val="00783F27"/>
    <w:rsid w:val="00784858"/>
    <w:rsid w:val="007848B4"/>
    <w:rsid w:val="00784E40"/>
    <w:rsid w:val="00785188"/>
    <w:rsid w:val="007863C5"/>
    <w:rsid w:val="007863DF"/>
    <w:rsid w:val="0078644E"/>
    <w:rsid w:val="007865C1"/>
    <w:rsid w:val="007869DD"/>
    <w:rsid w:val="0078711E"/>
    <w:rsid w:val="00787C54"/>
    <w:rsid w:val="00787CFC"/>
    <w:rsid w:val="00787F8F"/>
    <w:rsid w:val="0079037D"/>
    <w:rsid w:val="0079068C"/>
    <w:rsid w:val="00790847"/>
    <w:rsid w:val="00790933"/>
    <w:rsid w:val="00790AB7"/>
    <w:rsid w:val="00790D22"/>
    <w:rsid w:val="00791C33"/>
    <w:rsid w:val="00791E09"/>
    <w:rsid w:val="00792150"/>
    <w:rsid w:val="00792402"/>
    <w:rsid w:val="0079256F"/>
    <w:rsid w:val="007926CC"/>
    <w:rsid w:val="0079299D"/>
    <w:rsid w:val="00792F09"/>
    <w:rsid w:val="0079302A"/>
    <w:rsid w:val="007932F7"/>
    <w:rsid w:val="0079346C"/>
    <w:rsid w:val="00793528"/>
    <w:rsid w:val="00793611"/>
    <w:rsid w:val="0079370E"/>
    <w:rsid w:val="00793C4A"/>
    <w:rsid w:val="0079459E"/>
    <w:rsid w:val="0079485D"/>
    <w:rsid w:val="00794E3D"/>
    <w:rsid w:val="0079515C"/>
    <w:rsid w:val="0079575A"/>
    <w:rsid w:val="00795E9E"/>
    <w:rsid w:val="00796241"/>
    <w:rsid w:val="0079698F"/>
    <w:rsid w:val="00796C27"/>
    <w:rsid w:val="00796F37"/>
    <w:rsid w:val="00797268"/>
    <w:rsid w:val="00797850"/>
    <w:rsid w:val="00797886"/>
    <w:rsid w:val="00797F3A"/>
    <w:rsid w:val="00797FA2"/>
    <w:rsid w:val="007A00E4"/>
    <w:rsid w:val="007A1063"/>
    <w:rsid w:val="007A1363"/>
    <w:rsid w:val="007A198F"/>
    <w:rsid w:val="007A1CC5"/>
    <w:rsid w:val="007A1EC7"/>
    <w:rsid w:val="007A1FA6"/>
    <w:rsid w:val="007A22D5"/>
    <w:rsid w:val="007A25F3"/>
    <w:rsid w:val="007A27E5"/>
    <w:rsid w:val="007A3372"/>
    <w:rsid w:val="007A3C4D"/>
    <w:rsid w:val="007A3CDA"/>
    <w:rsid w:val="007A3EEA"/>
    <w:rsid w:val="007A4107"/>
    <w:rsid w:val="007A41D8"/>
    <w:rsid w:val="007A4B6B"/>
    <w:rsid w:val="007A5362"/>
    <w:rsid w:val="007A54A8"/>
    <w:rsid w:val="007A5541"/>
    <w:rsid w:val="007A5903"/>
    <w:rsid w:val="007A5E59"/>
    <w:rsid w:val="007A5EBA"/>
    <w:rsid w:val="007A6311"/>
    <w:rsid w:val="007A693E"/>
    <w:rsid w:val="007A6C2C"/>
    <w:rsid w:val="007A72ED"/>
    <w:rsid w:val="007A7373"/>
    <w:rsid w:val="007A7456"/>
    <w:rsid w:val="007A751A"/>
    <w:rsid w:val="007A7659"/>
    <w:rsid w:val="007A7CE0"/>
    <w:rsid w:val="007B0170"/>
    <w:rsid w:val="007B017A"/>
    <w:rsid w:val="007B02C0"/>
    <w:rsid w:val="007B077A"/>
    <w:rsid w:val="007B09E9"/>
    <w:rsid w:val="007B10C6"/>
    <w:rsid w:val="007B10C8"/>
    <w:rsid w:val="007B11D9"/>
    <w:rsid w:val="007B13C4"/>
    <w:rsid w:val="007B1848"/>
    <w:rsid w:val="007B199C"/>
    <w:rsid w:val="007B1C3F"/>
    <w:rsid w:val="007B25AE"/>
    <w:rsid w:val="007B263B"/>
    <w:rsid w:val="007B273F"/>
    <w:rsid w:val="007B2B0D"/>
    <w:rsid w:val="007B3667"/>
    <w:rsid w:val="007B3A00"/>
    <w:rsid w:val="007B4C81"/>
    <w:rsid w:val="007B5064"/>
    <w:rsid w:val="007B5244"/>
    <w:rsid w:val="007B5DB9"/>
    <w:rsid w:val="007B600E"/>
    <w:rsid w:val="007B6222"/>
    <w:rsid w:val="007B65B6"/>
    <w:rsid w:val="007B66F1"/>
    <w:rsid w:val="007B7228"/>
    <w:rsid w:val="007B750F"/>
    <w:rsid w:val="007C0261"/>
    <w:rsid w:val="007C04C0"/>
    <w:rsid w:val="007C06F7"/>
    <w:rsid w:val="007C0B57"/>
    <w:rsid w:val="007C0C8A"/>
    <w:rsid w:val="007C0E45"/>
    <w:rsid w:val="007C10CB"/>
    <w:rsid w:val="007C18A2"/>
    <w:rsid w:val="007C1FDC"/>
    <w:rsid w:val="007C22E2"/>
    <w:rsid w:val="007C2365"/>
    <w:rsid w:val="007C2557"/>
    <w:rsid w:val="007C2AD8"/>
    <w:rsid w:val="007C2B7E"/>
    <w:rsid w:val="007C2C65"/>
    <w:rsid w:val="007C2C7A"/>
    <w:rsid w:val="007C31F9"/>
    <w:rsid w:val="007C32C7"/>
    <w:rsid w:val="007C3501"/>
    <w:rsid w:val="007C389C"/>
    <w:rsid w:val="007C3E59"/>
    <w:rsid w:val="007C4086"/>
    <w:rsid w:val="007C4763"/>
    <w:rsid w:val="007C4CF3"/>
    <w:rsid w:val="007C4FDB"/>
    <w:rsid w:val="007C512D"/>
    <w:rsid w:val="007C5214"/>
    <w:rsid w:val="007C581F"/>
    <w:rsid w:val="007C5842"/>
    <w:rsid w:val="007C596B"/>
    <w:rsid w:val="007C5A50"/>
    <w:rsid w:val="007C5BC1"/>
    <w:rsid w:val="007C5DCA"/>
    <w:rsid w:val="007C6386"/>
    <w:rsid w:val="007C63EF"/>
    <w:rsid w:val="007C6885"/>
    <w:rsid w:val="007C698F"/>
    <w:rsid w:val="007C6B59"/>
    <w:rsid w:val="007C6DF9"/>
    <w:rsid w:val="007C7093"/>
    <w:rsid w:val="007C7520"/>
    <w:rsid w:val="007C7954"/>
    <w:rsid w:val="007C79FB"/>
    <w:rsid w:val="007C7B90"/>
    <w:rsid w:val="007C7CD8"/>
    <w:rsid w:val="007D01BE"/>
    <w:rsid w:val="007D027D"/>
    <w:rsid w:val="007D029D"/>
    <w:rsid w:val="007D04A9"/>
    <w:rsid w:val="007D04DE"/>
    <w:rsid w:val="007D0CB1"/>
    <w:rsid w:val="007D1336"/>
    <w:rsid w:val="007D15D2"/>
    <w:rsid w:val="007D1762"/>
    <w:rsid w:val="007D17A0"/>
    <w:rsid w:val="007D1E2F"/>
    <w:rsid w:val="007D1E3F"/>
    <w:rsid w:val="007D24A0"/>
    <w:rsid w:val="007D318D"/>
    <w:rsid w:val="007D3359"/>
    <w:rsid w:val="007D368C"/>
    <w:rsid w:val="007D36B7"/>
    <w:rsid w:val="007D3C44"/>
    <w:rsid w:val="007D3FD1"/>
    <w:rsid w:val="007D403C"/>
    <w:rsid w:val="007D41EC"/>
    <w:rsid w:val="007D4217"/>
    <w:rsid w:val="007D42E0"/>
    <w:rsid w:val="007D460C"/>
    <w:rsid w:val="007D48A2"/>
    <w:rsid w:val="007D4A6F"/>
    <w:rsid w:val="007D4F14"/>
    <w:rsid w:val="007D5350"/>
    <w:rsid w:val="007D5C95"/>
    <w:rsid w:val="007D5DA6"/>
    <w:rsid w:val="007D5E2A"/>
    <w:rsid w:val="007D6318"/>
    <w:rsid w:val="007D6536"/>
    <w:rsid w:val="007D6D25"/>
    <w:rsid w:val="007D71B4"/>
    <w:rsid w:val="007D7C31"/>
    <w:rsid w:val="007D7DA0"/>
    <w:rsid w:val="007D7DAA"/>
    <w:rsid w:val="007E01B2"/>
    <w:rsid w:val="007E037F"/>
    <w:rsid w:val="007E07A2"/>
    <w:rsid w:val="007E0907"/>
    <w:rsid w:val="007E0962"/>
    <w:rsid w:val="007E0BCA"/>
    <w:rsid w:val="007E1273"/>
    <w:rsid w:val="007E13B7"/>
    <w:rsid w:val="007E16C2"/>
    <w:rsid w:val="007E1941"/>
    <w:rsid w:val="007E197F"/>
    <w:rsid w:val="007E19B3"/>
    <w:rsid w:val="007E1E1C"/>
    <w:rsid w:val="007E2308"/>
    <w:rsid w:val="007E23AB"/>
    <w:rsid w:val="007E27E9"/>
    <w:rsid w:val="007E2AFD"/>
    <w:rsid w:val="007E2E16"/>
    <w:rsid w:val="007E2E4F"/>
    <w:rsid w:val="007E3282"/>
    <w:rsid w:val="007E34B3"/>
    <w:rsid w:val="007E3D8C"/>
    <w:rsid w:val="007E45FB"/>
    <w:rsid w:val="007E4ADF"/>
    <w:rsid w:val="007E59AB"/>
    <w:rsid w:val="007E5B27"/>
    <w:rsid w:val="007E5D57"/>
    <w:rsid w:val="007E60E0"/>
    <w:rsid w:val="007E6705"/>
    <w:rsid w:val="007E6D65"/>
    <w:rsid w:val="007E7B67"/>
    <w:rsid w:val="007F0027"/>
    <w:rsid w:val="007F0041"/>
    <w:rsid w:val="007F01E7"/>
    <w:rsid w:val="007F02BF"/>
    <w:rsid w:val="007F0469"/>
    <w:rsid w:val="007F07A6"/>
    <w:rsid w:val="007F1557"/>
    <w:rsid w:val="007F15A8"/>
    <w:rsid w:val="007F1614"/>
    <w:rsid w:val="007F16EA"/>
    <w:rsid w:val="007F196C"/>
    <w:rsid w:val="007F1B88"/>
    <w:rsid w:val="007F1EE8"/>
    <w:rsid w:val="007F2411"/>
    <w:rsid w:val="007F2767"/>
    <w:rsid w:val="007F30CA"/>
    <w:rsid w:val="007F3529"/>
    <w:rsid w:val="007F3551"/>
    <w:rsid w:val="007F35B5"/>
    <w:rsid w:val="007F3FCD"/>
    <w:rsid w:val="007F40F8"/>
    <w:rsid w:val="007F43A3"/>
    <w:rsid w:val="007F4522"/>
    <w:rsid w:val="007F4566"/>
    <w:rsid w:val="007F4570"/>
    <w:rsid w:val="007F4983"/>
    <w:rsid w:val="007F4A3C"/>
    <w:rsid w:val="007F575D"/>
    <w:rsid w:val="007F595E"/>
    <w:rsid w:val="007F59F9"/>
    <w:rsid w:val="007F5A34"/>
    <w:rsid w:val="007F5B5A"/>
    <w:rsid w:val="007F6544"/>
    <w:rsid w:val="007F68B5"/>
    <w:rsid w:val="007F6B51"/>
    <w:rsid w:val="007F6D72"/>
    <w:rsid w:val="007F6DD5"/>
    <w:rsid w:val="007F6DF6"/>
    <w:rsid w:val="007F7005"/>
    <w:rsid w:val="007F7078"/>
    <w:rsid w:val="007F737D"/>
    <w:rsid w:val="007F79F5"/>
    <w:rsid w:val="007F7A55"/>
    <w:rsid w:val="007F7CEE"/>
    <w:rsid w:val="007F7FB6"/>
    <w:rsid w:val="007F7FF3"/>
    <w:rsid w:val="0080004F"/>
    <w:rsid w:val="00800854"/>
    <w:rsid w:val="00800A05"/>
    <w:rsid w:val="00800A14"/>
    <w:rsid w:val="00800CDD"/>
    <w:rsid w:val="00800F40"/>
    <w:rsid w:val="008014AA"/>
    <w:rsid w:val="008016A2"/>
    <w:rsid w:val="00801963"/>
    <w:rsid w:val="00801E16"/>
    <w:rsid w:val="00801F0F"/>
    <w:rsid w:val="008020DF"/>
    <w:rsid w:val="008024E9"/>
    <w:rsid w:val="00802F1E"/>
    <w:rsid w:val="0080323B"/>
    <w:rsid w:val="0080349B"/>
    <w:rsid w:val="00803C56"/>
    <w:rsid w:val="00803FAC"/>
    <w:rsid w:val="00803FFB"/>
    <w:rsid w:val="00804225"/>
    <w:rsid w:val="00804292"/>
    <w:rsid w:val="008047C3"/>
    <w:rsid w:val="00804D2E"/>
    <w:rsid w:val="00805262"/>
    <w:rsid w:val="0080542B"/>
    <w:rsid w:val="008055FD"/>
    <w:rsid w:val="008057B1"/>
    <w:rsid w:val="00805826"/>
    <w:rsid w:val="00805828"/>
    <w:rsid w:val="00805A67"/>
    <w:rsid w:val="00805AB0"/>
    <w:rsid w:val="00805F42"/>
    <w:rsid w:val="00805F53"/>
    <w:rsid w:val="0080648A"/>
    <w:rsid w:val="008066A3"/>
    <w:rsid w:val="00807019"/>
    <w:rsid w:val="00807094"/>
    <w:rsid w:val="00807331"/>
    <w:rsid w:val="00807B31"/>
    <w:rsid w:val="00807C44"/>
    <w:rsid w:val="0081054A"/>
    <w:rsid w:val="00810A66"/>
    <w:rsid w:val="00810E88"/>
    <w:rsid w:val="0081161C"/>
    <w:rsid w:val="008118B9"/>
    <w:rsid w:val="008118DC"/>
    <w:rsid w:val="00811A3F"/>
    <w:rsid w:val="00811DB7"/>
    <w:rsid w:val="008125C1"/>
    <w:rsid w:val="008127C4"/>
    <w:rsid w:val="00813193"/>
    <w:rsid w:val="008133BF"/>
    <w:rsid w:val="008135F0"/>
    <w:rsid w:val="0081391B"/>
    <w:rsid w:val="00813E12"/>
    <w:rsid w:val="00813E2F"/>
    <w:rsid w:val="00813FF2"/>
    <w:rsid w:val="0081448C"/>
    <w:rsid w:val="00814BC4"/>
    <w:rsid w:val="00814BCE"/>
    <w:rsid w:val="00814C27"/>
    <w:rsid w:val="00814F6A"/>
    <w:rsid w:val="008151E6"/>
    <w:rsid w:val="00815540"/>
    <w:rsid w:val="0081572D"/>
    <w:rsid w:val="0081576A"/>
    <w:rsid w:val="00815781"/>
    <w:rsid w:val="008164A1"/>
    <w:rsid w:val="008165B9"/>
    <w:rsid w:val="00816861"/>
    <w:rsid w:val="00816A70"/>
    <w:rsid w:val="00816FD0"/>
    <w:rsid w:val="00817068"/>
    <w:rsid w:val="008173E6"/>
    <w:rsid w:val="008179C2"/>
    <w:rsid w:val="008206BC"/>
    <w:rsid w:val="008208F7"/>
    <w:rsid w:val="00820B00"/>
    <w:rsid w:val="00820BA3"/>
    <w:rsid w:val="00820FED"/>
    <w:rsid w:val="00820FFB"/>
    <w:rsid w:val="0082126E"/>
    <w:rsid w:val="00821658"/>
    <w:rsid w:val="008218EE"/>
    <w:rsid w:val="00822169"/>
    <w:rsid w:val="0082283C"/>
    <w:rsid w:val="00822D7E"/>
    <w:rsid w:val="00822E26"/>
    <w:rsid w:val="00823754"/>
    <w:rsid w:val="0082416C"/>
    <w:rsid w:val="00824275"/>
    <w:rsid w:val="00824A76"/>
    <w:rsid w:val="00825079"/>
    <w:rsid w:val="0082549B"/>
    <w:rsid w:val="00825775"/>
    <w:rsid w:val="00825A51"/>
    <w:rsid w:val="00825BC5"/>
    <w:rsid w:val="00825DCC"/>
    <w:rsid w:val="00826050"/>
    <w:rsid w:val="00826243"/>
    <w:rsid w:val="00826725"/>
    <w:rsid w:val="0082679B"/>
    <w:rsid w:val="00826850"/>
    <w:rsid w:val="00826BE4"/>
    <w:rsid w:val="00826C65"/>
    <w:rsid w:val="0082702C"/>
    <w:rsid w:val="008270AF"/>
    <w:rsid w:val="0082766C"/>
    <w:rsid w:val="00827758"/>
    <w:rsid w:val="00827871"/>
    <w:rsid w:val="008278F8"/>
    <w:rsid w:val="00827E84"/>
    <w:rsid w:val="0083080D"/>
    <w:rsid w:val="00830932"/>
    <w:rsid w:val="00830A0D"/>
    <w:rsid w:val="00830CB1"/>
    <w:rsid w:val="00830F89"/>
    <w:rsid w:val="00831169"/>
    <w:rsid w:val="008314CE"/>
    <w:rsid w:val="008316C8"/>
    <w:rsid w:val="00831B3C"/>
    <w:rsid w:val="00831B56"/>
    <w:rsid w:val="00831C04"/>
    <w:rsid w:val="00831D72"/>
    <w:rsid w:val="00831F03"/>
    <w:rsid w:val="00831F7A"/>
    <w:rsid w:val="0083243A"/>
    <w:rsid w:val="00832CE4"/>
    <w:rsid w:val="00833098"/>
    <w:rsid w:val="00833316"/>
    <w:rsid w:val="00833725"/>
    <w:rsid w:val="0083391F"/>
    <w:rsid w:val="00835721"/>
    <w:rsid w:val="0083576C"/>
    <w:rsid w:val="00835A2B"/>
    <w:rsid w:val="00836305"/>
    <w:rsid w:val="00836A52"/>
    <w:rsid w:val="00836D31"/>
    <w:rsid w:val="008370F2"/>
    <w:rsid w:val="008374FF"/>
    <w:rsid w:val="008375DD"/>
    <w:rsid w:val="008377CF"/>
    <w:rsid w:val="008379F5"/>
    <w:rsid w:val="0084003E"/>
    <w:rsid w:val="008402F5"/>
    <w:rsid w:val="008409C9"/>
    <w:rsid w:val="00840F62"/>
    <w:rsid w:val="008410A0"/>
    <w:rsid w:val="008410CB"/>
    <w:rsid w:val="0084122F"/>
    <w:rsid w:val="008419EC"/>
    <w:rsid w:val="00842051"/>
    <w:rsid w:val="00842BDF"/>
    <w:rsid w:val="00842C85"/>
    <w:rsid w:val="00842CA4"/>
    <w:rsid w:val="00842CC4"/>
    <w:rsid w:val="00842DEE"/>
    <w:rsid w:val="008433B0"/>
    <w:rsid w:val="0084341B"/>
    <w:rsid w:val="0084385F"/>
    <w:rsid w:val="00843B3B"/>
    <w:rsid w:val="00843D70"/>
    <w:rsid w:val="00843F30"/>
    <w:rsid w:val="00844016"/>
    <w:rsid w:val="00844A64"/>
    <w:rsid w:val="0084513E"/>
    <w:rsid w:val="008451B1"/>
    <w:rsid w:val="0084557F"/>
    <w:rsid w:val="0084564A"/>
    <w:rsid w:val="008460E3"/>
    <w:rsid w:val="008465AD"/>
    <w:rsid w:val="008466A8"/>
    <w:rsid w:val="008471F0"/>
    <w:rsid w:val="008472F1"/>
    <w:rsid w:val="00847649"/>
    <w:rsid w:val="00847CA0"/>
    <w:rsid w:val="00847FCD"/>
    <w:rsid w:val="00850BAE"/>
    <w:rsid w:val="00850DF2"/>
    <w:rsid w:val="0085104F"/>
    <w:rsid w:val="00851174"/>
    <w:rsid w:val="008519AA"/>
    <w:rsid w:val="00851D4A"/>
    <w:rsid w:val="00851E72"/>
    <w:rsid w:val="00852F56"/>
    <w:rsid w:val="0085304D"/>
    <w:rsid w:val="00853356"/>
    <w:rsid w:val="0085341C"/>
    <w:rsid w:val="00853579"/>
    <w:rsid w:val="00853756"/>
    <w:rsid w:val="00853D2C"/>
    <w:rsid w:val="008560A2"/>
    <w:rsid w:val="00856227"/>
    <w:rsid w:val="008567A7"/>
    <w:rsid w:val="008569C6"/>
    <w:rsid w:val="008574C7"/>
    <w:rsid w:val="00857581"/>
    <w:rsid w:val="00857699"/>
    <w:rsid w:val="00857707"/>
    <w:rsid w:val="00857A1D"/>
    <w:rsid w:val="00857E82"/>
    <w:rsid w:val="00860078"/>
    <w:rsid w:val="00860142"/>
    <w:rsid w:val="00860B65"/>
    <w:rsid w:val="0086142A"/>
    <w:rsid w:val="008619C7"/>
    <w:rsid w:val="008619FA"/>
    <w:rsid w:val="00862331"/>
    <w:rsid w:val="0086233B"/>
    <w:rsid w:val="00862772"/>
    <w:rsid w:val="008627A5"/>
    <w:rsid w:val="00862987"/>
    <w:rsid w:val="00862ABC"/>
    <w:rsid w:val="00862CD1"/>
    <w:rsid w:val="00862E05"/>
    <w:rsid w:val="00862F38"/>
    <w:rsid w:val="008630A2"/>
    <w:rsid w:val="008631B1"/>
    <w:rsid w:val="00863404"/>
    <w:rsid w:val="0086359D"/>
    <w:rsid w:val="008638E7"/>
    <w:rsid w:val="00863D1C"/>
    <w:rsid w:val="00863E41"/>
    <w:rsid w:val="00863EFD"/>
    <w:rsid w:val="00863F93"/>
    <w:rsid w:val="00864193"/>
    <w:rsid w:val="0086487E"/>
    <w:rsid w:val="00864915"/>
    <w:rsid w:val="00864DE4"/>
    <w:rsid w:val="00864E4B"/>
    <w:rsid w:val="00865060"/>
    <w:rsid w:val="00866FCB"/>
    <w:rsid w:val="0086701A"/>
    <w:rsid w:val="008701AC"/>
    <w:rsid w:val="00870368"/>
    <w:rsid w:val="008703ED"/>
    <w:rsid w:val="008703FB"/>
    <w:rsid w:val="008704C0"/>
    <w:rsid w:val="00870A2D"/>
    <w:rsid w:val="00870C83"/>
    <w:rsid w:val="00870DE0"/>
    <w:rsid w:val="00870F9F"/>
    <w:rsid w:val="008710C3"/>
    <w:rsid w:val="00871184"/>
    <w:rsid w:val="008713F9"/>
    <w:rsid w:val="00871516"/>
    <w:rsid w:val="00871656"/>
    <w:rsid w:val="008716E8"/>
    <w:rsid w:val="008717D8"/>
    <w:rsid w:val="008719E5"/>
    <w:rsid w:val="00872A0E"/>
    <w:rsid w:val="00872DAF"/>
    <w:rsid w:val="00872F03"/>
    <w:rsid w:val="00872F73"/>
    <w:rsid w:val="00873668"/>
    <w:rsid w:val="00873A47"/>
    <w:rsid w:val="00873C95"/>
    <w:rsid w:val="008744AF"/>
    <w:rsid w:val="0087452D"/>
    <w:rsid w:val="008745D5"/>
    <w:rsid w:val="00874EA8"/>
    <w:rsid w:val="008756FB"/>
    <w:rsid w:val="0087585A"/>
    <w:rsid w:val="00875CDC"/>
    <w:rsid w:val="00875DEB"/>
    <w:rsid w:val="00876155"/>
    <w:rsid w:val="0087695A"/>
    <w:rsid w:val="00876CAD"/>
    <w:rsid w:val="00876E15"/>
    <w:rsid w:val="008770E1"/>
    <w:rsid w:val="008772E8"/>
    <w:rsid w:val="00877A1A"/>
    <w:rsid w:val="00877FBC"/>
    <w:rsid w:val="00880065"/>
    <w:rsid w:val="0088043A"/>
    <w:rsid w:val="008806E5"/>
    <w:rsid w:val="00880C34"/>
    <w:rsid w:val="008813AE"/>
    <w:rsid w:val="008816FE"/>
    <w:rsid w:val="00881A41"/>
    <w:rsid w:val="008823B9"/>
    <w:rsid w:val="00882820"/>
    <w:rsid w:val="00882DC9"/>
    <w:rsid w:val="008831DB"/>
    <w:rsid w:val="00883271"/>
    <w:rsid w:val="008833AB"/>
    <w:rsid w:val="0088366C"/>
    <w:rsid w:val="00883973"/>
    <w:rsid w:val="00883E54"/>
    <w:rsid w:val="00883FA4"/>
    <w:rsid w:val="00884103"/>
    <w:rsid w:val="00884BC5"/>
    <w:rsid w:val="00884EDA"/>
    <w:rsid w:val="008850EA"/>
    <w:rsid w:val="008851AD"/>
    <w:rsid w:val="00885289"/>
    <w:rsid w:val="00885421"/>
    <w:rsid w:val="0088546C"/>
    <w:rsid w:val="00885E54"/>
    <w:rsid w:val="008860D4"/>
    <w:rsid w:val="008865D7"/>
    <w:rsid w:val="00886BB6"/>
    <w:rsid w:val="008870C0"/>
    <w:rsid w:val="008871B5"/>
    <w:rsid w:val="00887295"/>
    <w:rsid w:val="008875F4"/>
    <w:rsid w:val="00890011"/>
    <w:rsid w:val="008904C9"/>
    <w:rsid w:val="0089084F"/>
    <w:rsid w:val="00890F9D"/>
    <w:rsid w:val="008910B7"/>
    <w:rsid w:val="008916C2"/>
    <w:rsid w:val="00891AA3"/>
    <w:rsid w:val="00891BF0"/>
    <w:rsid w:val="00891E43"/>
    <w:rsid w:val="0089205F"/>
    <w:rsid w:val="008920D0"/>
    <w:rsid w:val="008928A8"/>
    <w:rsid w:val="00892C89"/>
    <w:rsid w:val="00892D88"/>
    <w:rsid w:val="00893467"/>
    <w:rsid w:val="00893A68"/>
    <w:rsid w:val="008944AF"/>
    <w:rsid w:val="008945EF"/>
    <w:rsid w:val="00894624"/>
    <w:rsid w:val="00894D55"/>
    <w:rsid w:val="00894E20"/>
    <w:rsid w:val="00895252"/>
    <w:rsid w:val="00895DCD"/>
    <w:rsid w:val="00895E2F"/>
    <w:rsid w:val="00895EC8"/>
    <w:rsid w:val="00896294"/>
    <w:rsid w:val="00896840"/>
    <w:rsid w:val="00896B91"/>
    <w:rsid w:val="00896BDF"/>
    <w:rsid w:val="00896D63"/>
    <w:rsid w:val="0089722E"/>
    <w:rsid w:val="008973F1"/>
    <w:rsid w:val="00897558"/>
    <w:rsid w:val="0089767D"/>
    <w:rsid w:val="00897AFA"/>
    <w:rsid w:val="00897B54"/>
    <w:rsid w:val="00897DFF"/>
    <w:rsid w:val="008A062B"/>
    <w:rsid w:val="008A0B83"/>
    <w:rsid w:val="008A0D44"/>
    <w:rsid w:val="008A11CC"/>
    <w:rsid w:val="008A1535"/>
    <w:rsid w:val="008A154B"/>
    <w:rsid w:val="008A21F2"/>
    <w:rsid w:val="008A22F2"/>
    <w:rsid w:val="008A27C9"/>
    <w:rsid w:val="008A3536"/>
    <w:rsid w:val="008A38AD"/>
    <w:rsid w:val="008A38DA"/>
    <w:rsid w:val="008A3D74"/>
    <w:rsid w:val="008A3EA3"/>
    <w:rsid w:val="008A4396"/>
    <w:rsid w:val="008A45AB"/>
    <w:rsid w:val="008A483D"/>
    <w:rsid w:val="008A4849"/>
    <w:rsid w:val="008A4C6C"/>
    <w:rsid w:val="008A4E58"/>
    <w:rsid w:val="008A52D3"/>
    <w:rsid w:val="008A5827"/>
    <w:rsid w:val="008A5881"/>
    <w:rsid w:val="008A595C"/>
    <w:rsid w:val="008A59FB"/>
    <w:rsid w:val="008A5ECA"/>
    <w:rsid w:val="008A61BF"/>
    <w:rsid w:val="008A67F0"/>
    <w:rsid w:val="008A69A9"/>
    <w:rsid w:val="008A6AB9"/>
    <w:rsid w:val="008A7651"/>
    <w:rsid w:val="008A7903"/>
    <w:rsid w:val="008A7B8F"/>
    <w:rsid w:val="008A7F9E"/>
    <w:rsid w:val="008A7FBB"/>
    <w:rsid w:val="008B022F"/>
    <w:rsid w:val="008B05DB"/>
    <w:rsid w:val="008B0A14"/>
    <w:rsid w:val="008B0D82"/>
    <w:rsid w:val="008B0F11"/>
    <w:rsid w:val="008B1095"/>
    <w:rsid w:val="008B11BA"/>
    <w:rsid w:val="008B220D"/>
    <w:rsid w:val="008B22E1"/>
    <w:rsid w:val="008B26F1"/>
    <w:rsid w:val="008B278A"/>
    <w:rsid w:val="008B292C"/>
    <w:rsid w:val="008B3140"/>
    <w:rsid w:val="008B320C"/>
    <w:rsid w:val="008B3396"/>
    <w:rsid w:val="008B405A"/>
    <w:rsid w:val="008B466B"/>
    <w:rsid w:val="008B4B18"/>
    <w:rsid w:val="008B4CAB"/>
    <w:rsid w:val="008B4EEE"/>
    <w:rsid w:val="008B5259"/>
    <w:rsid w:val="008B5D3D"/>
    <w:rsid w:val="008B5DAA"/>
    <w:rsid w:val="008B5E86"/>
    <w:rsid w:val="008B605C"/>
    <w:rsid w:val="008B63BD"/>
    <w:rsid w:val="008B6763"/>
    <w:rsid w:val="008B67F8"/>
    <w:rsid w:val="008B6CE9"/>
    <w:rsid w:val="008B6D4F"/>
    <w:rsid w:val="008B6EE8"/>
    <w:rsid w:val="008B7143"/>
    <w:rsid w:val="008B74AA"/>
    <w:rsid w:val="008B7C8A"/>
    <w:rsid w:val="008B7CB0"/>
    <w:rsid w:val="008C017B"/>
    <w:rsid w:val="008C09B9"/>
    <w:rsid w:val="008C1084"/>
    <w:rsid w:val="008C147D"/>
    <w:rsid w:val="008C18CD"/>
    <w:rsid w:val="008C1993"/>
    <w:rsid w:val="008C1C75"/>
    <w:rsid w:val="008C2521"/>
    <w:rsid w:val="008C2683"/>
    <w:rsid w:val="008C2E5E"/>
    <w:rsid w:val="008C375A"/>
    <w:rsid w:val="008C37B7"/>
    <w:rsid w:val="008C37F4"/>
    <w:rsid w:val="008C3A57"/>
    <w:rsid w:val="008C3E6B"/>
    <w:rsid w:val="008C3F1D"/>
    <w:rsid w:val="008C4084"/>
    <w:rsid w:val="008C4119"/>
    <w:rsid w:val="008C48F3"/>
    <w:rsid w:val="008C4D63"/>
    <w:rsid w:val="008C5E7F"/>
    <w:rsid w:val="008C634C"/>
    <w:rsid w:val="008C68E7"/>
    <w:rsid w:val="008C6961"/>
    <w:rsid w:val="008C6B14"/>
    <w:rsid w:val="008C6EED"/>
    <w:rsid w:val="008C707A"/>
    <w:rsid w:val="008C720C"/>
    <w:rsid w:val="008C7812"/>
    <w:rsid w:val="008C7B64"/>
    <w:rsid w:val="008C7B9A"/>
    <w:rsid w:val="008D0245"/>
    <w:rsid w:val="008D06C0"/>
    <w:rsid w:val="008D073A"/>
    <w:rsid w:val="008D07B6"/>
    <w:rsid w:val="008D082E"/>
    <w:rsid w:val="008D1073"/>
    <w:rsid w:val="008D13C2"/>
    <w:rsid w:val="008D1BAA"/>
    <w:rsid w:val="008D1BBF"/>
    <w:rsid w:val="008D213C"/>
    <w:rsid w:val="008D2C6D"/>
    <w:rsid w:val="008D2CA4"/>
    <w:rsid w:val="008D2D13"/>
    <w:rsid w:val="008D3246"/>
    <w:rsid w:val="008D3A9F"/>
    <w:rsid w:val="008D4022"/>
    <w:rsid w:val="008D4775"/>
    <w:rsid w:val="008D4D3A"/>
    <w:rsid w:val="008D5905"/>
    <w:rsid w:val="008D67D7"/>
    <w:rsid w:val="008D6947"/>
    <w:rsid w:val="008D6E11"/>
    <w:rsid w:val="008D7A9F"/>
    <w:rsid w:val="008D7C69"/>
    <w:rsid w:val="008D7E2D"/>
    <w:rsid w:val="008E001D"/>
    <w:rsid w:val="008E028D"/>
    <w:rsid w:val="008E0669"/>
    <w:rsid w:val="008E0970"/>
    <w:rsid w:val="008E0A0C"/>
    <w:rsid w:val="008E1125"/>
    <w:rsid w:val="008E120C"/>
    <w:rsid w:val="008E1879"/>
    <w:rsid w:val="008E1999"/>
    <w:rsid w:val="008E2106"/>
    <w:rsid w:val="008E2436"/>
    <w:rsid w:val="008E24E2"/>
    <w:rsid w:val="008E2716"/>
    <w:rsid w:val="008E28C3"/>
    <w:rsid w:val="008E2DDA"/>
    <w:rsid w:val="008E3908"/>
    <w:rsid w:val="008E39CA"/>
    <w:rsid w:val="008E423E"/>
    <w:rsid w:val="008E4F8F"/>
    <w:rsid w:val="008E5323"/>
    <w:rsid w:val="008E54E9"/>
    <w:rsid w:val="008E567F"/>
    <w:rsid w:val="008E5BF9"/>
    <w:rsid w:val="008E5D40"/>
    <w:rsid w:val="008E6080"/>
    <w:rsid w:val="008E651E"/>
    <w:rsid w:val="008E71B9"/>
    <w:rsid w:val="008E7635"/>
    <w:rsid w:val="008E7786"/>
    <w:rsid w:val="008E7813"/>
    <w:rsid w:val="008E7868"/>
    <w:rsid w:val="008E787D"/>
    <w:rsid w:val="008E7917"/>
    <w:rsid w:val="008E796C"/>
    <w:rsid w:val="008E7A27"/>
    <w:rsid w:val="008F0085"/>
    <w:rsid w:val="008F01C2"/>
    <w:rsid w:val="008F0221"/>
    <w:rsid w:val="008F0236"/>
    <w:rsid w:val="008F03D8"/>
    <w:rsid w:val="008F0451"/>
    <w:rsid w:val="008F08CD"/>
    <w:rsid w:val="008F0F00"/>
    <w:rsid w:val="008F0F03"/>
    <w:rsid w:val="008F1010"/>
    <w:rsid w:val="008F1C3D"/>
    <w:rsid w:val="008F20E1"/>
    <w:rsid w:val="008F2884"/>
    <w:rsid w:val="008F3001"/>
    <w:rsid w:val="008F3268"/>
    <w:rsid w:val="008F33D1"/>
    <w:rsid w:val="008F36C1"/>
    <w:rsid w:val="008F36CB"/>
    <w:rsid w:val="008F3D73"/>
    <w:rsid w:val="008F4496"/>
    <w:rsid w:val="008F452A"/>
    <w:rsid w:val="008F4567"/>
    <w:rsid w:val="008F4640"/>
    <w:rsid w:val="008F5422"/>
    <w:rsid w:val="008F5A1C"/>
    <w:rsid w:val="008F5A47"/>
    <w:rsid w:val="008F5AAE"/>
    <w:rsid w:val="008F5CBD"/>
    <w:rsid w:val="008F6261"/>
    <w:rsid w:val="008F64CD"/>
    <w:rsid w:val="008F6583"/>
    <w:rsid w:val="008F6B8E"/>
    <w:rsid w:val="008F6BC1"/>
    <w:rsid w:val="008F6E2E"/>
    <w:rsid w:val="008F79C6"/>
    <w:rsid w:val="008F7BEE"/>
    <w:rsid w:val="009005EA"/>
    <w:rsid w:val="00900B5A"/>
    <w:rsid w:val="00900E74"/>
    <w:rsid w:val="00901CB1"/>
    <w:rsid w:val="00901CF5"/>
    <w:rsid w:val="0090211D"/>
    <w:rsid w:val="00902161"/>
    <w:rsid w:val="00902890"/>
    <w:rsid w:val="00902C01"/>
    <w:rsid w:val="00902C1A"/>
    <w:rsid w:val="00902D2E"/>
    <w:rsid w:val="00902D46"/>
    <w:rsid w:val="00902D90"/>
    <w:rsid w:val="00902EA0"/>
    <w:rsid w:val="00902F24"/>
    <w:rsid w:val="009030BF"/>
    <w:rsid w:val="00903E3F"/>
    <w:rsid w:val="00904A40"/>
    <w:rsid w:val="00904A86"/>
    <w:rsid w:val="00904BC2"/>
    <w:rsid w:val="00905336"/>
    <w:rsid w:val="00905D85"/>
    <w:rsid w:val="00905DE8"/>
    <w:rsid w:val="00905FAF"/>
    <w:rsid w:val="00906406"/>
    <w:rsid w:val="00906DDE"/>
    <w:rsid w:val="00906E79"/>
    <w:rsid w:val="00907BB0"/>
    <w:rsid w:val="00907D34"/>
    <w:rsid w:val="00907FDF"/>
    <w:rsid w:val="00910254"/>
    <w:rsid w:val="00910494"/>
    <w:rsid w:val="009105AA"/>
    <w:rsid w:val="0091096A"/>
    <w:rsid w:val="009112B5"/>
    <w:rsid w:val="00911929"/>
    <w:rsid w:val="00911E94"/>
    <w:rsid w:val="00911F0F"/>
    <w:rsid w:val="009121DF"/>
    <w:rsid w:val="0091224F"/>
    <w:rsid w:val="00912634"/>
    <w:rsid w:val="009126A7"/>
    <w:rsid w:val="0091275A"/>
    <w:rsid w:val="0091292A"/>
    <w:rsid w:val="00912A12"/>
    <w:rsid w:val="00912BB1"/>
    <w:rsid w:val="00912BC6"/>
    <w:rsid w:val="00912CC8"/>
    <w:rsid w:val="00912D56"/>
    <w:rsid w:val="009132C4"/>
    <w:rsid w:val="00913853"/>
    <w:rsid w:val="00913AD6"/>
    <w:rsid w:val="00913D37"/>
    <w:rsid w:val="00914153"/>
    <w:rsid w:val="0091421F"/>
    <w:rsid w:val="0091433A"/>
    <w:rsid w:val="009148A7"/>
    <w:rsid w:val="00914D02"/>
    <w:rsid w:val="009153B2"/>
    <w:rsid w:val="00915511"/>
    <w:rsid w:val="00915B0A"/>
    <w:rsid w:val="00915B99"/>
    <w:rsid w:val="00915BD3"/>
    <w:rsid w:val="00915C54"/>
    <w:rsid w:val="0091612F"/>
    <w:rsid w:val="009162D4"/>
    <w:rsid w:val="009163A0"/>
    <w:rsid w:val="0091645D"/>
    <w:rsid w:val="00916520"/>
    <w:rsid w:val="0091663D"/>
    <w:rsid w:val="00917602"/>
    <w:rsid w:val="00917716"/>
    <w:rsid w:val="00917A9F"/>
    <w:rsid w:val="00917C10"/>
    <w:rsid w:val="00917E08"/>
    <w:rsid w:val="00917F07"/>
    <w:rsid w:val="00917F0F"/>
    <w:rsid w:val="00920422"/>
    <w:rsid w:val="009206F1"/>
    <w:rsid w:val="00920733"/>
    <w:rsid w:val="0092097B"/>
    <w:rsid w:val="00920B0E"/>
    <w:rsid w:val="00920B1E"/>
    <w:rsid w:val="00920CF2"/>
    <w:rsid w:val="009212C6"/>
    <w:rsid w:val="009213B6"/>
    <w:rsid w:val="009214A5"/>
    <w:rsid w:val="00922237"/>
    <w:rsid w:val="00922A3E"/>
    <w:rsid w:val="00922FB9"/>
    <w:rsid w:val="009232AA"/>
    <w:rsid w:val="009232CD"/>
    <w:rsid w:val="00923492"/>
    <w:rsid w:val="00923B02"/>
    <w:rsid w:val="00923CE1"/>
    <w:rsid w:val="00924793"/>
    <w:rsid w:val="00925374"/>
    <w:rsid w:val="009258FB"/>
    <w:rsid w:val="00925B4A"/>
    <w:rsid w:val="00925B77"/>
    <w:rsid w:val="00925C47"/>
    <w:rsid w:val="00926329"/>
    <w:rsid w:val="00926806"/>
    <w:rsid w:val="00926A9B"/>
    <w:rsid w:val="00926C42"/>
    <w:rsid w:val="00926F94"/>
    <w:rsid w:val="009270F3"/>
    <w:rsid w:val="0092711F"/>
    <w:rsid w:val="00927850"/>
    <w:rsid w:val="00927ECA"/>
    <w:rsid w:val="00930423"/>
    <w:rsid w:val="009307DF"/>
    <w:rsid w:val="00930AC7"/>
    <w:rsid w:val="00930DC2"/>
    <w:rsid w:val="009313A1"/>
    <w:rsid w:val="00931A95"/>
    <w:rsid w:val="00931AF0"/>
    <w:rsid w:val="00931C83"/>
    <w:rsid w:val="00931EB7"/>
    <w:rsid w:val="009327A0"/>
    <w:rsid w:val="0093345A"/>
    <w:rsid w:val="009336E3"/>
    <w:rsid w:val="0093397E"/>
    <w:rsid w:val="009339E5"/>
    <w:rsid w:val="00933C76"/>
    <w:rsid w:val="00933D80"/>
    <w:rsid w:val="00933F53"/>
    <w:rsid w:val="00933F5F"/>
    <w:rsid w:val="0093422D"/>
    <w:rsid w:val="009342E2"/>
    <w:rsid w:val="00934312"/>
    <w:rsid w:val="00934456"/>
    <w:rsid w:val="00934899"/>
    <w:rsid w:val="00934D7E"/>
    <w:rsid w:val="00935289"/>
    <w:rsid w:val="00935466"/>
    <w:rsid w:val="00935B09"/>
    <w:rsid w:val="00935CFD"/>
    <w:rsid w:val="00936001"/>
    <w:rsid w:val="00936249"/>
    <w:rsid w:val="009363A4"/>
    <w:rsid w:val="00936ACA"/>
    <w:rsid w:val="00936CDC"/>
    <w:rsid w:val="00936D68"/>
    <w:rsid w:val="00936E46"/>
    <w:rsid w:val="00937494"/>
    <w:rsid w:val="0093769E"/>
    <w:rsid w:val="009377D9"/>
    <w:rsid w:val="009407FF"/>
    <w:rsid w:val="009408CD"/>
    <w:rsid w:val="00940A39"/>
    <w:rsid w:val="0094160E"/>
    <w:rsid w:val="00941AA8"/>
    <w:rsid w:val="00941EE2"/>
    <w:rsid w:val="00941FA9"/>
    <w:rsid w:val="00942401"/>
    <w:rsid w:val="009424CF"/>
    <w:rsid w:val="0094268F"/>
    <w:rsid w:val="009428CD"/>
    <w:rsid w:val="00942C88"/>
    <w:rsid w:val="00942E15"/>
    <w:rsid w:val="00942E6F"/>
    <w:rsid w:val="00942EB6"/>
    <w:rsid w:val="009430C2"/>
    <w:rsid w:val="00943223"/>
    <w:rsid w:val="0094386F"/>
    <w:rsid w:val="00943888"/>
    <w:rsid w:val="00943895"/>
    <w:rsid w:val="00943FE0"/>
    <w:rsid w:val="009440A7"/>
    <w:rsid w:val="009442CE"/>
    <w:rsid w:val="00944305"/>
    <w:rsid w:val="00944A77"/>
    <w:rsid w:val="00944C16"/>
    <w:rsid w:val="00944E92"/>
    <w:rsid w:val="00945275"/>
    <w:rsid w:val="00945ABF"/>
    <w:rsid w:val="00945C56"/>
    <w:rsid w:val="00945C7D"/>
    <w:rsid w:val="00945DD1"/>
    <w:rsid w:val="0094672D"/>
    <w:rsid w:val="00946761"/>
    <w:rsid w:val="0094693E"/>
    <w:rsid w:val="00946B1E"/>
    <w:rsid w:val="0094751F"/>
    <w:rsid w:val="00947912"/>
    <w:rsid w:val="00947C25"/>
    <w:rsid w:val="00947C4C"/>
    <w:rsid w:val="00950347"/>
    <w:rsid w:val="009503C3"/>
    <w:rsid w:val="00950706"/>
    <w:rsid w:val="009507DC"/>
    <w:rsid w:val="00950CD1"/>
    <w:rsid w:val="00950FB6"/>
    <w:rsid w:val="009513F9"/>
    <w:rsid w:val="009514A3"/>
    <w:rsid w:val="00951B3A"/>
    <w:rsid w:val="009520CA"/>
    <w:rsid w:val="009528FC"/>
    <w:rsid w:val="00952C06"/>
    <w:rsid w:val="009533C9"/>
    <w:rsid w:val="009536C8"/>
    <w:rsid w:val="00953C57"/>
    <w:rsid w:val="00953DF9"/>
    <w:rsid w:val="0095411E"/>
    <w:rsid w:val="00954297"/>
    <w:rsid w:val="00954645"/>
    <w:rsid w:val="00954949"/>
    <w:rsid w:val="009558D2"/>
    <w:rsid w:val="00955994"/>
    <w:rsid w:val="00955BA4"/>
    <w:rsid w:val="00955E46"/>
    <w:rsid w:val="009562EA"/>
    <w:rsid w:val="00956798"/>
    <w:rsid w:val="009569F8"/>
    <w:rsid w:val="00956FE9"/>
    <w:rsid w:val="0095731B"/>
    <w:rsid w:val="00957356"/>
    <w:rsid w:val="0095759E"/>
    <w:rsid w:val="0095780B"/>
    <w:rsid w:val="00957C21"/>
    <w:rsid w:val="00957F8F"/>
    <w:rsid w:val="009604EE"/>
    <w:rsid w:val="00960680"/>
    <w:rsid w:val="00960EF3"/>
    <w:rsid w:val="00960F51"/>
    <w:rsid w:val="009614B2"/>
    <w:rsid w:val="00961565"/>
    <w:rsid w:val="00961847"/>
    <w:rsid w:val="009619CB"/>
    <w:rsid w:val="00961C56"/>
    <w:rsid w:val="00961C81"/>
    <w:rsid w:val="00961CF0"/>
    <w:rsid w:val="00961D4F"/>
    <w:rsid w:val="00961DB6"/>
    <w:rsid w:val="0096254D"/>
    <w:rsid w:val="00962CDA"/>
    <w:rsid w:val="00963085"/>
    <w:rsid w:val="0096429F"/>
    <w:rsid w:val="00964952"/>
    <w:rsid w:val="00964CF9"/>
    <w:rsid w:val="0096501E"/>
    <w:rsid w:val="00965412"/>
    <w:rsid w:val="0096567E"/>
    <w:rsid w:val="009656A8"/>
    <w:rsid w:val="00965AEC"/>
    <w:rsid w:val="00965FBE"/>
    <w:rsid w:val="009669AF"/>
    <w:rsid w:val="00966A8B"/>
    <w:rsid w:val="00966B35"/>
    <w:rsid w:val="00967453"/>
    <w:rsid w:val="00970D77"/>
    <w:rsid w:val="009717A0"/>
    <w:rsid w:val="00971E8B"/>
    <w:rsid w:val="009721D2"/>
    <w:rsid w:val="00972489"/>
    <w:rsid w:val="00972C21"/>
    <w:rsid w:val="00972C4D"/>
    <w:rsid w:val="00972D78"/>
    <w:rsid w:val="00973010"/>
    <w:rsid w:val="00973087"/>
    <w:rsid w:val="009731E4"/>
    <w:rsid w:val="0097324C"/>
    <w:rsid w:val="009733C0"/>
    <w:rsid w:val="00973BBA"/>
    <w:rsid w:val="009740E6"/>
    <w:rsid w:val="00974297"/>
    <w:rsid w:val="00974A9D"/>
    <w:rsid w:val="009755A2"/>
    <w:rsid w:val="009755AA"/>
    <w:rsid w:val="00975BA0"/>
    <w:rsid w:val="00975E39"/>
    <w:rsid w:val="00976514"/>
    <w:rsid w:val="00976538"/>
    <w:rsid w:val="00976913"/>
    <w:rsid w:val="00976C15"/>
    <w:rsid w:val="00976EEA"/>
    <w:rsid w:val="00976FC0"/>
    <w:rsid w:val="009770A5"/>
    <w:rsid w:val="00977CB7"/>
    <w:rsid w:val="00977FAA"/>
    <w:rsid w:val="0098001C"/>
    <w:rsid w:val="00980452"/>
    <w:rsid w:val="009805C9"/>
    <w:rsid w:val="00980826"/>
    <w:rsid w:val="00980A03"/>
    <w:rsid w:val="00980C6B"/>
    <w:rsid w:val="00980FA6"/>
    <w:rsid w:val="0098126D"/>
    <w:rsid w:val="0098144A"/>
    <w:rsid w:val="0098144F"/>
    <w:rsid w:val="00981471"/>
    <w:rsid w:val="0098153B"/>
    <w:rsid w:val="009815EE"/>
    <w:rsid w:val="00981CB8"/>
    <w:rsid w:val="00981D2F"/>
    <w:rsid w:val="00981F05"/>
    <w:rsid w:val="00981F73"/>
    <w:rsid w:val="00982184"/>
    <w:rsid w:val="0098236C"/>
    <w:rsid w:val="00982B14"/>
    <w:rsid w:val="0098393B"/>
    <w:rsid w:val="0098398D"/>
    <w:rsid w:val="00983EF1"/>
    <w:rsid w:val="00984291"/>
    <w:rsid w:val="009842D2"/>
    <w:rsid w:val="009843A1"/>
    <w:rsid w:val="009846A8"/>
    <w:rsid w:val="00984701"/>
    <w:rsid w:val="00984A09"/>
    <w:rsid w:val="00984D2B"/>
    <w:rsid w:val="00984FEB"/>
    <w:rsid w:val="00985090"/>
    <w:rsid w:val="00985340"/>
    <w:rsid w:val="009854CB"/>
    <w:rsid w:val="009858BE"/>
    <w:rsid w:val="00985D3B"/>
    <w:rsid w:val="00985E86"/>
    <w:rsid w:val="00986592"/>
    <w:rsid w:val="009867EB"/>
    <w:rsid w:val="00986955"/>
    <w:rsid w:val="00986E36"/>
    <w:rsid w:val="0098798B"/>
    <w:rsid w:val="00987C73"/>
    <w:rsid w:val="00987EA5"/>
    <w:rsid w:val="00990187"/>
    <w:rsid w:val="009905C9"/>
    <w:rsid w:val="00991070"/>
    <w:rsid w:val="00991236"/>
    <w:rsid w:val="00991470"/>
    <w:rsid w:val="00991685"/>
    <w:rsid w:val="00991C54"/>
    <w:rsid w:val="00991D4E"/>
    <w:rsid w:val="00992108"/>
    <w:rsid w:val="009923DC"/>
    <w:rsid w:val="009925BF"/>
    <w:rsid w:val="00992605"/>
    <w:rsid w:val="009926D0"/>
    <w:rsid w:val="00992B41"/>
    <w:rsid w:val="009937B5"/>
    <w:rsid w:val="00993D94"/>
    <w:rsid w:val="009941C9"/>
    <w:rsid w:val="0099443B"/>
    <w:rsid w:val="009945FB"/>
    <w:rsid w:val="00994721"/>
    <w:rsid w:val="009948B1"/>
    <w:rsid w:val="00994A1A"/>
    <w:rsid w:val="00994AD5"/>
    <w:rsid w:val="00994B86"/>
    <w:rsid w:val="00995042"/>
    <w:rsid w:val="00995065"/>
    <w:rsid w:val="00995334"/>
    <w:rsid w:val="009954A2"/>
    <w:rsid w:val="00995EC8"/>
    <w:rsid w:val="00996A18"/>
    <w:rsid w:val="00996D1F"/>
    <w:rsid w:val="009975AD"/>
    <w:rsid w:val="00997604"/>
    <w:rsid w:val="00997A39"/>
    <w:rsid w:val="009A0067"/>
    <w:rsid w:val="009A01C9"/>
    <w:rsid w:val="009A0298"/>
    <w:rsid w:val="009A0728"/>
    <w:rsid w:val="009A0798"/>
    <w:rsid w:val="009A1AB5"/>
    <w:rsid w:val="009A1B62"/>
    <w:rsid w:val="009A1CEB"/>
    <w:rsid w:val="009A1D91"/>
    <w:rsid w:val="009A1ED6"/>
    <w:rsid w:val="009A259A"/>
    <w:rsid w:val="009A2669"/>
    <w:rsid w:val="009A2AE8"/>
    <w:rsid w:val="009A30D5"/>
    <w:rsid w:val="009A3583"/>
    <w:rsid w:val="009A3598"/>
    <w:rsid w:val="009A3B7D"/>
    <w:rsid w:val="009A3BDB"/>
    <w:rsid w:val="009A3E38"/>
    <w:rsid w:val="009A446F"/>
    <w:rsid w:val="009A4865"/>
    <w:rsid w:val="009A4D8B"/>
    <w:rsid w:val="009A5099"/>
    <w:rsid w:val="009A52E8"/>
    <w:rsid w:val="009A52F7"/>
    <w:rsid w:val="009A54D0"/>
    <w:rsid w:val="009A57C5"/>
    <w:rsid w:val="009A5954"/>
    <w:rsid w:val="009A5E62"/>
    <w:rsid w:val="009A5EC7"/>
    <w:rsid w:val="009A6121"/>
    <w:rsid w:val="009A623A"/>
    <w:rsid w:val="009A65FB"/>
    <w:rsid w:val="009A67FF"/>
    <w:rsid w:val="009A6909"/>
    <w:rsid w:val="009A76A2"/>
    <w:rsid w:val="009A7A15"/>
    <w:rsid w:val="009A7AB6"/>
    <w:rsid w:val="009B01B2"/>
    <w:rsid w:val="009B0ADC"/>
    <w:rsid w:val="009B0C28"/>
    <w:rsid w:val="009B0DE4"/>
    <w:rsid w:val="009B118C"/>
    <w:rsid w:val="009B123A"/>
    <w:rsid w:val="009B16A7"/>
    <w:rsid w:val="009B1B9A"/>
    <w:rsid w:val="009B214F"/>
    <w:rsid w:val="009B21A2"/>
    <w:rsid w:val="009B25EF"/>
    <w:rsid w:val="009B29D5"/>
    <w:rsid w:val="009B2BD8"/>
    <w:rsid w:val="009B2C9C"/>
    <w:rsid w:val="009B2FD8"/>
    <w:rsid w:val="009B3086"/>
    <w:rsid w:val="009B328E"/>
    <w:rsid w:val="009B3523"/>
    <w:rsid w:val="009B361F"/>
    <w:rsid w:val="009B36A9"/>
    <w:rsid w:val="009B3796"/>
    <w:rsid w:val="009B40CF"/>
    <w:rsid w:val="009B4249"/>
    <w:rsid w:val="009B43B0"/>
    <w:rsid w:val="009B45A6"/>
    <w:rsid w:val="009B46ED"/>
    <w:rsid w:val="009B4CD5"/>
    <w:rsid w:val="009B5512"/>
    <w:rsid w:val="009B5A3F"/>
    <w:rsid w:val="009B600A"/>
    <w:rsid w:val="009B63AD"/>
    <w:rsid w:val="009B63B3"/>
    <w:rsid w:val="009B63EE"/>
    <w:rsid w:val="009B6787"/>
    <w:rsid w:val="009B6BFF"/>
    <w:rsid w:val="009B6DD4"/>
    <w:rsid w:val="009B70C8"/>
    <w:rsid w:val="009B738B"/>
    <w:rsid w:val="009B756A"/>
    <w:rsid w:val="009B7571"/>
    <w:rsid w:val="009B7A92"/>
    <w:rsid w:val="009B7BE5"/>
    <w:rsid w:val="009C0428"/>
    <w:rsid w:val="009C090F"/>
    <w:rsid w:val="009C0ACE"/>
    <w:rsid w:val="009C1638"/>
    <w:rsid w:val="009C1913"/>
    <w:rsid w:val="009C1B22"/>
    <w:rsid w:val="009C1D51"/>
    <w:rsid w:val="009C2303"/>
    <w:rsid w:val="009C2474"/>
    <w:rsid w:val="009C2AB9"/>
    <w:rsid w:val="009C2C2D"/>
    <w:rsid w:val="009C31B1"/>
    <w:rsid w:val="009C3BAB"/>
    <w:rsid w:val="009C4202"/>
    <w:rsid w:val="009C447E"/>
    <w:rsid w:val="009C477B"/>
    <w:rsid w:val="009C48AB"/>
    <w:rsid w:val="009C4A33"/>
    <w:rsid w:val="009C4E19"/>
    <w:rsid w:val="009C5270"/>
    <w:rsid w:val="009C545A"/>
    <w:rsid w:val="009C5AFC"/>
    <w:rsid w:val="009C5D8B"/>
    <w:rsid w:val="009C60EA"/>
    <w:rsid w:val="009C6121"/>
    <w:rsid w:val="009C66B7"/>
    <w:rsid w:val="009C67CD"/>
    <w:rsid w:val="009C67F6"/>
    <w:rsid w:val="009C684D"/>
    <w:rsid w:val="009C6B72"/>
    <w:rsid w:val="009C77AC"/>
    <w:rsid w:val="009C7E4E"/>
    <w:rsid w:val="009D0757"/>
    <w:rsid w:val="009D0B59"/>
    <w:rsid w:val="009D0EAA"/>
    <w:rsid w:val="009D1032"/>
    <w:rsid w:val="009D1430"/>
    <w:rsid w:val="009D1C62"/>
    <w:rsid w:val="009D2107"/>
    <w:rsid w:val="009D2376"/>
    <w:rsid w:val="009D2388"/>
    <w:rsid w:val="009D25D5"/>
    <w:rsid w:val="009D27C5"/>
    <w:rsid w:val="009D294A"/>
    <w:rsid w:val="009D3183"/>
    <w:rsid w:val="009D3595"/>
    <w:rsid w:val="009D3737"/>
    <w:rsid w:val="009D42FE"/>
    <w:rsid w:val="009D4D6D"/>
    <w:rsid w:val="009D544A"/>
    <w:rsid w:val="009D5672"/>
    <w:rsid w:val="009D578A"/>
    <w:rsid w:val="009D5BDC"/>
    <w:rsid w:val="009D5E79"/>
    <w:rsid w:val="009D6A93"/>
    <w:rsid w:val="009D6EFE"/>
    <w:rsid w:val="009D7424"/>
    <w:rsid w:val="009D76D0"/>
    <w:rsid w:val="009D781C"/>
    <w:rsid w:val="009D7A4C"/>
    <w:rsid w:val="009D7B4D"/>
    <w:rsid w:val="009D7D4F"/>
    <w:rsid w:val="009D7F85"/>
    <w:rsid w:val="009E00CA"/>
    <w:rsid w:val="009E0A37"/>
    <w:rsid w:val="009E0A3F"/>
    <w:rsid w:val="009E0CCD"/>
    <w:rsid w:val="009E123D"/>
    <w:rsid w:val="009E12DA"/>
    <w:rsid w:val="009E1566"/>
    <w:rsid w:val="009E17C6"/>
    <w:rsid w:val="009E18CC"/>
    <w:rsid w:val="009E1CE9"/>
    <w:rsid w:val="009E1E1E"/>
    <w:rsid w:val="009E1ECF"/>
    <w:rsid w:val="009E20AC"/>
    <w:rsid w:val="009E25EB"/>
    <w:rsid w:val="009E2D93"/>
    <w:rsid w:val="009E2F8B"/>
    <w:rsid w:val="009E2FED"/>
    <w:rsid w:val="009E3229"/>
    <w:rsid w:val="009E33F6"/>
    <w:rsid w:val="009E3BE0"/>
    <w:rsid w:val="009E43B8"/>
    <w:rsid w:val="009E43DD"/>
    <w:rsid w:val="009E4E1C"/>
    <w:rsid w:val="009E4EAF"/>
    <w:rsid w:val="009E5150"/>
    <w:rsid w:val="009E52FF"/>
    <w:rsid w:val="009E5914"/>
    <w:rsid w:val="009E59CA"/>
    <w:rsid w:val="009E5ABD"/>
    <w:rsid w:val="009E663E"/>
    <w:rsid w:val="009E6877"/>
    <w:rsid w:val="009E6E06"/>
    <w:rsid w:val="009E70F5"/>
    <w:rsid w:val="009E73F6"/>
    <w:rsid w:val="009E7B30"/>
    <w:rsid w:val="009F02DC"/>
    <w:rsid w:val="009F03B6"/>
    <w:rsid w:val="009F07CC"/>
    <w:rsid w:val="009F0A39"/>
    <w:rsid w:val="009F0ADB"/>
    <w:rsid w:val="009F0CBA"/>
    <w:rsid w:val="009F1387"/>
    <w:rsid w:val="009F15D0"/>
    <w:rsid w:val="009F1631"/>
    <w:rsid w:val="009F1806"/>
    <w:rsid w:val="009F18D4"/>
    <w:rsid w:val="009F1DF6"/>
    <w:rsid w:val="009F1E22"/>
    <w:rsid w:val="009F26D6"/>
    <w:rsid w:val="009F27AE"/>
    <w:rsid w:val="009F27DD"/>
    <w:rsid w:val="009F2D50"/>
    <w:rsid w:val="009F2F25"/>
    <w:rsid w:val="009F3144"/>
    <w:rsid w:val="009F314D"/>
    <w:rsid w:val="009F3265"/>
    <w:rsid w:val="009F327E"/>
    <w:rsid w:val="009F33ED"/>
    <w:rsid w:val="009F354D"/>
    <w:rsid w:val="009F3869"/>
    <w:rsid w:val="009F4892"/>
    <w:rsid w:val="009F596F"/>
    <w:rsid w:val="009F6317"/>
    <w:rsid w:val="009F6554"/>
    <w:rsid w:val="009F6718"/>
    <w:rsid w:val="009F6840"/>
    <w:rsid w:val="009F6937"/>
    <w:rsid w:val="009F6C2D"/>
    <w:rsid w:val="009F6C83"/>
    <w:rsid w:val="009F71FC"/>
    <w:rsid w:val="009F73A1"/>
    <w:rsid w:val="009F742E"/>
    <w:rsid w:val="009F7628"/>
    <w:rsid w:val="009F784B"/>
    <w:rsid w:val="009F7D23"/>
    <w:rsid w:val="00A000E1"/>
    <w:rsid w:val="00A008DD"/>
    <w:rsid w:val="00A00A92"/>
    <w:rsid w:val="00A00BD8"/>
    <w:rsid w:val="00A018D6"/>
    <w:rsid w:val="00A01C8D"/>
    <w:rsid w:val="00A01D1D"/>
    <w:rsid w:val="00A01D3D"/>
    <w:rsid w:val="00A01E3A"/>
    <w:rsid w:val="00A02530"/>
    <w:rsid w:val="00A02CCA"/>
    <w:rsid w:val="00A031AC"/>
    <w:rsid w:val="00A036F7"/>
    <w:rsid w:val="00A03982"/>
    <w:rsid w:val="00A03B76"/>
    <w:rsid w:val="00A04187"/>
    <w:rsid w:val="00A046FC"/>
    <w:rsid w:val="00A049D8"/>
    <w:rsid w:val="00A05923"/>
    <w:rsid w:val="00A05FA2"/>
    <w:rsid w:val="00A0643F"/>
    <w:rsid w:val="00A06601"/>
    <w:rsid w:val="00A066A7"/>
    <w:rsid w:val="00A069AB"/>
    <w:rsid w:val="00A0749F"/>
    <w:rsid w:val="00A078A2"/>
    <w:rsid w:val="00A07951"/>
    <w:rsid w:val="00A07DA7"/>
    <w:rsid w:val="00A07E7B"/>
    <w:rsid w:val="00A108A4"/>
    <w:rsid w:val="00A10EBE"/>
    <w:rsid w:val="00A11464"/>
    <w:rsid w:val="00A1146A"/>
    <w:rsid w:val="00A1163C"/>
    <w:rsid w:val="00A11895"/>
    <w:rsid w:val="00A121A0"/>
    <w:rsid w:val="00A12236"/>
    <w:rsid w:val="00A12819"/>
    <w:rsid w:val="00A1292C"/>
    <w:rsid w:val="00A12BDE"/>
    <w:rsid w:val="00A1343B"/>
    <w:rsid w:val="00A13E98"/>
    <w:rsid w:val="00A13E99"/>
    <w:rsid w:val="00A1411A"/>
    <w:rsid w:val="00A147A2"/>
    <w:rsid w:val="00A148DA"/>
    <w:rsid w:val="00A14AD3"/>
    <w:rsid w:val="00A14BAE"/>
    <w:rsid w:val="00A15233"/>
    <w:rsid w:val="00A15EDB"/>
    <w:rsid w:val="00A16299"/>
    <w:rsid w:val="00A1661E"/>
    <w:rsid w:val="00A16755"/>
    <w:rsid w:val="00A167C8"/>
    <w:rsid w:val="00A16967"/>
    <w:rsid w:val="00A16AC1"/>
    <w:rsid w:val="00A1734D"/>
    <w:rsid w:val="00A17686"/>
    <w:rsid w:val="00A17B8B"/>
    <w:rsid w:val="00A17FF3"/>
    <w:rsid w:val="00A20234"/>
    <w:rsid w:val="00A205D6"/>
    <w:rsid w:val="00A20626"/>
    <w:rsid w:val="00A20929"/>
    <w:rsid w:val="00A20BC8"/>
    <w:rsid w:val="00A20FAA"/>
    <w:rsid w:val="00A216EA"/>
    <w:rsid w:val="00A21C68"/>
    <w:rsid w:val="00A2222E"/>
    <w:rsid w:val="00A2227A"/>
    <w:rsid w:val="00A22B64"/>
    <w:rsid w:val="00A233D7"/>
    <w:rsid w:val="00A2359B"/>
    <w:rsid w:val="00A23C9C"/>
    <w:rsid w:val="00A23D97"/>
    <w:rsid w:val="00A23DE5"/>
    <w:rsid w:val="00A240C5"/>
    <w:rsid w:val="00A240CE"/>
    <w:rsid w:val="00A241FB"/>
    <w:rsid w:val="00A2458E"/>
    <w:rsid w:val="00A24880"/>
    <w:rsid w:val="00A24BC2"/>
    <w:rsid w:val="00A24BD3"/>
    <w:rsid w:val="00A24E06"/>
    <w:rsid w:val="00A250D9"/>
    <w:rsid w:val="00A2528B"/>
    <w:rsid w:val="00A25584"/>
    <w:rsid w:val="00A2569F"/>
    <w:rsid w:val="00A25A4C"/>
    <w:rsid w:val="00A25C43"/>
    <w:rsid w:val="00A25F14"/>
    <w:rsid w:val="00A26095"/>
    <w:rsid w:val="00A2621C"/>
    <w:rsid w:val="00A2632D"/>
    <w:rsid w:val="00A26763"/>
    <w:rsid w:val="00A2677F"/>
    <w:rsid w:val="00A26881"/>
    <w:rsid w:val="00A26EC0"/>
    <w:rsid w:val="00A27759"/>
    <w:rsid w:val="00A2794F"/>
    <w:rsid w:val="00A304E2"/>
    <w:rsid w:val="00A305B4"/>
    <w:rsid w:val="00A30966"/>
    <w:rsid w:val="00A30DDC"/>
    <w:rsid w:val="00A3137F"/>
    <w:rsid w:val="00A315B8"/>
    <w:rsid w:val="00A316E8"/>
    <w:rsid w:val="00A31D27"/>
    <w:rsid w:val="00A31E89"/>
    <w:rsid w:val="00A31EA2"/>
    <w:rsid w:val="00A3264B"/>
    <w:rsid w:val="00A3277E"/>
    <w:rsid w:val="00A327CA"/>
    <w:rsid w:val="00A32945"/>
    <w:rsid w:val="00A32D8F"/>
    <w:rsid w:val="00A32F16"/>
    <w:rsid w:val="00A32F5D"/>
    <w:rsid w:val="00A330AB"/>
    <w:rsid w:val="00A33433"/>
    <w:rsid w:val="00A334D5"/>
    <w:rsid w:val="00A3373F"/>
    <w:rsid w:val="00A3376E"/>
    <w:rsid w:val="00A337B6"/>
    <w:rsid w:val="00A33A4D"/>
    <w:rsid w:val="00A34416"/>
    <w:rsid w:val="00A34B70"/>
    <w:rsid w:val="00A3517E"/>
    <w:rsid w:val="00A351EB"/>
    <w:rsid w:val="00A3541F"/>
    <w:rsid w:val="00A3547F"/>
    <w:rsid w:val="00A35495"/>
    <w:rsid w:val="00A357E5"/>
    <w:rsid w:val="00A3582B"/>
    <w:rsid w:val="00A35E9C"/>
    <w:rsid w:val="00A35FBD"/>
    <w:rsid w:val="00A364A3"/>
    <w:rsid w:val="00A3670E"/>
    <w:rsid w:val="00A3688B"/>
    <w:rsid w:val="00A36D7F"/>
    <w:rsid w:val="00A36FA5"/>
    <w:rsid w:val="00A37007"/>
    <w:rsid w:val="00A375A7"/>
    <w:rsid w:val="00A37606"/>
    <w:rsid w:val="00A37639"/>
    <w:rsid w:val="00A376A4"/>
    <w:rsid w:val="00A40203"/>
    <w:rsid w:val="00A40675"/>
    <w:rsid w:val="00A406AE"/>
    <w:rsid w:val="00A40B02"/>
    <w:rsid w:val="00A40B11"/>
    <w:rsid w:val="00A40DFB"/>
    <w:rsid w:val="00A40E39"/>
    <w:rsid w:val="00A41314"/>
    <w:rsid w:val="00A4145E"/>
    <w:rsid w:val="00A41499"/>
    <w:rsid w:val="00A41D65"/>
    <w:rsid w:val="00A4259D"/>
    <w:rsid w:val="00A42766"/>
    <w:rsid w:val="00A42D54"/>
    <w:rsid w:val="00A430A9"/>
    <w:rsid w:val="00A4310B"/>
    <w:rsid w:val="00A43B4D"/>
    <w:rsid w:val="00A43C07"/>
    <w:rsid w:val="00A4448A"/>
    <w:rsid w:val="00A44A07"/>
    <w:rsid w:val="00A44DD5"/>
    <w:rsid w:val="00A45128"/>
    <w:rsid w:val="00A45224"/>
    <w:rsid w:val="00A45539"/>
    <w:rsid w:val="00A459B8"/>
    <w:rsid w:val="00A45CBC"/>
    <w:rsid w:val="00A45F17"/>
    <w:rsid w:val="00A461C9"/>
    <w:rsid w:val="00A4645D"/>
    <w:rsid w:val="00A4683A"/>
    <w:rsid w:val="00A46B9E"/>
    <w:rsid w:val="00A46C55"/>
    <w:rsid w:val="00A47078"/>
    <w:rsid w:val="00A47552"/>
    <w:rsid w:val="00A47722"/>
    <w:rsid w:val="00A47AA5"/>
    <w:rsid w:val="00A47C8C"/>
    <w:rsid w:val="00A504C4"/>
    <w:rsid w:val="00A506C8"/>
    <w:rsid w:val="00A506DB"/>
    <w:rsid w:val="00A50757"/>
    <w:rsid w:val="00A50CCE"/>
    <w:rsid w:val="00A50D63"/>
    <w:rsid w:val="00A511DD"/>
    <w:rsid w:val="00A512AC"/>
    <w:rsid w:val="00A51601"/>
    <w:rsid w:val="00A51C95"/>
    <w:rsid w:val="00A51D9D"/>
    <w:rsid w:val="00A5217A"/>
    <w:rsid w:val="00A534AA"/>
    <w:rsid w:val="00A53725"/>
    <w:rsid w:val="00A53998"/>
    <w:rsid w:val="00A53A03"/>
    <w:rsid w:val="00A53C5F"/>
    <w:rsid w:val="00A540C3"/>
    <w:rsid w:val="00A540D0"/>
    <w:rsid w:val="00A54714"/>
    <w:rsid w:val="00A54A9D"/>
    <w:rsid w:val="00A54B86"/>
    <w:rsid w:val="00A55040"/>
    <w:rsid w:val="00A558B8"/>
    <w:rsid w:val="00A55A11"/>
    <w:rsid w:val="00A56A1B"/>
    <w:rsid w:val="00A56D3B"/>
    <w:rsid w:val="00A5710D"/>
    <w:rsid w:val="00A57796"/>
    <w:rsid w:val="00A57BCD"/>
    <w:rsid w:val="00A57C68"/>
    <w:rsid w:val="00A57EB9"/>
    <w:rsid w:val="00A57F2F"/>
    <w:rsid w:val="00A60508"/>
    <w:rsid w:val="00A60E0B"/>
    <w:rsid w:val="00A6135B"/>
    <w:rsid w:val="00A619A0"/>
    <w:rsid w:val="00A61ADC"/>
    <w:rsid w:val="00A61CB3"/>
    <w:rsid w:val="00A62797"/>
    <w:rsid w:val="00A62EC6"/>
    <w:rsid w:val="00A6384A"/>
    <w:rsid w:val="00A63896"/>
    <w:rsid w:val="00A639B6"/>
    <w:rsid w:val="00A63B54"/>
    <w:rsid w:val="00A63F70"/>
    <w:rsid w:val="00A645FF"/>
    <w:rsid w:val="00A646E8"/>
    <w:rsid w:val="00A648EE"/>
    <w:rsid w:val="00A64A80"/>
    <w:rsid w:val="00A64F8D"/>
    <w:rsid w:val="00A66102"/>
    <w:rsid w:val="00A664DC"/>
    <w:rsid w:val="00A666F3"/>
    <w:rsid w:val="00A66BC1"/>
    <w:rsid w:val="00A670A9"/>
    <w:rsid w:val="00A6726E"/>
    <w:rsid w:val="00A67402"/>
    <w:rsid w:val="00A678ED"/>
    <w:rsid w:val="00A6792A"/>
    <w:rsid w:val="00A67D52"/>
    <w:rsid w:val="00A67E00"/>
    <w:rsid w:val="00A707DD"/>
    <w:rsid w:val="00A707E7"/>
    <w:rsid w:val="00A70820"/>
    <w:rsid w:val="00A70919"/>
    <w:rsid w:val="00A709CA"/>
    <w:rsid w:val="00A70B17"/>
    <w:rsid w:val="00A70BA6"/>
    <w:rsid w:val="00A70DEA"/>
    <w:rsid w:val="00A71098"/>
    <w:rsid w:val="00A71817"/>
    <w:rsid w:val="00A71E6A"/>
    <w:rsid w:val="00A71F7C"/>
    <w:rsid w:val="00A72528"/>
    <w:rsid w:val="00A72F90"/>
    <w:rsid w:val="00A7307C"/>
    <w:rsid w:val="00A73166"/>
    <w:rsid w:val="00A7340B"/>
    <w:rsid w:val="00A745A6"/>
    <w:rsid w:val="00A748CF"/>
    <w:rsid w:val="00A750BA"/>
    <w:rsid w:val="00A75209"/>
    <w:rsid w:val="00A75CDE"/>
    <w:rsid w:val="00A7604C"/>
    <w:rsid w:val="00A761D1"/>
    <w:rsid w:val="00A76748"/>
    <w:rsid w:val="00A76B2F"/>
    <w:rsid w:val="00A76C2E"/>
    <w:rsid w:val="00A76C66"/>
    <w:rsid w:val="00A77262"/>
    <w:rsid w:val="00A774CF"/>
    <w:rsid w:val="00A7791A"/>
    <w:rsid w:val="00A77E03"/>
    <w:rsid w:val="00A77EAA"/>
    <w:rsid w:val="00A77EB7"/>
    <w:rsid w:val="00A8032F"/>
    <w:rsid w:val="00A806D9"/>
    <w:rsid w:val="00A80DAA"/>
    <w:rsid w:val="00A80FB4"/>
    <w:rsid w:val="00A8154B"/>
    <w:rsid w:val="00A8163D"/>
    <w:rsid w:val="00A81725"/>
    <w:rsid w:val="00A81759"/>
    <w:rsid w:val="00A81950"/>
    <w:rsid w:val="00A826C6"/>
    <w:rsid w:val="00A82A9B"/>
    <w:rsid w:val="00A82D70"/>
    <w:rsid w:val="00A82F6F"/>
    <w:rsid w:val="00A83D8E"/>
    <w:rsid w:val="00A84457"/>
    <w:rsid w:val="00A844CF"/>
    <w:rsid w:val="00A85269"/>
    <w:rsid w:val="00A85567"/>
    <w:rsid w:val="00A85683"/>
    <w:rsid w:val="00A8585E"/>
    <w:rsid w:val="00A8643C"/>
    <w:rsid w:val="00A869D8"/>
    <w:rsid w:val="00A86BCB"/>
    <w:rsid w:val="00A86D73"/>
    <w:rsid w:val="00A8768C"/>
    <w:rsid w:val="00A87A69"/>
    <w:rsid w:val="00A87E69"/>
    <w:rsid w:val="00A87FA0"/>
    <w:rsid w:val="00A87FBB"/>
    <w:rsid w:val="00A90372"/>
    <w:rsid w:val="00A90587"/>
    <w:rsid w:val="00A90757"/>
    <w:rsid w:val="00A90B74"/>
    <w:rsid w:val="00A90FAB"/>
    <w:rsid w:val="00A91358"/>
    <w:rsid w:val="00A91AA6"/>
    <w:rsid w:val="00A91E7E"/>
    <w:rsid w:val="00A92071"/>
    <w:rsid w:val="00A92309"/>
    <w:rsid w:val="00A9288C"/>
    <w:rsid w:val="00A928A4"/>
    <w:rsid w:val="00A928F4"/>
    <w:rsid w:val="00A92D82"/>
    <w:rsid w:val="00A932A8"/>
    <w:rsid w:val="00A93542"/>
    <w:rsid w:val="00A935CD"/>
    <w:rsid w:val="00A9387F"/>
    <w:rsid w:val="00A93A5E"/>
    <w:rsid w:val="00A93D5B"/>
    <w:rsid w:val="00A93D8C"/>
    <w:rsid w:val="00A94033"/>
    <w:rsid w:val="00A9417C"/>
    <w:rsid w:val="00A942B1"/>
    <w:rsid w:val="00A942B4"/>
    <w:rsid w:val="00A943E3"/>
    <w:rsid w:val="00A94400"/>
    <w:rsid w:val="00A9533F"/>
    <w:rsid w:val="00A9572C"/>
    <w:rsid w:val="00A95D0F"/>
    <w:rsid w:val="00A95DB1"/>
    <w:rsid w:val="00A9669D"/>
    <w:rsid w:val="00A9681F"/>
    <w:rsid w:val="00A9683A"/>
    <w:rsid w:val="00A968ED"/>
    <w:rsid w:val="00A96A85"/>
    <w:rsid w:val="00A96CF0"/>
    <w:rsid w:val="00A97479"/>
    <w:rsid w:val="00AA004F"/>
    <w:rsid w:val="00AA020C"/>
    <w:rsid w:val="00AA04A5"/>
    <w:rsid w:val="00AA0647"/>
    <w:rsid w:val="00AA0A7D"/>
    <w:rsid w:val="00AA0ACD"/>
    <w:rsid w:val="00AA0D6E"/>
    <w:rsid w:val="00AA0EF9"/>
    <w:rsid w:val="00AA1743"/>
    <w:rsid w:val="00AA1805"/>
    <w:rsid w:val="00AA198F"/>
    <w:rsid w:val="00AA1AFF"/>
    <w:rsid w:val="00AA1FD8"/>
    <w:rsid w:val="00AA26A3"/>
    <w:rsid w:val="00AA2CE7"/>
    <w:rsid w:val="00AA302C"/>
    <w:rsid w:val="00AA356E"/>
    <w:rsid w:val="00AA3884"/>
    <w:rsid w:val="00AA3D77"/>
    <w:rsid w:val="00AA4E05"/>
    <w:rsid w:val="00AA5500"/>
    <w:rsid w:val="00AA5587"/>
    <w:rsid w:val="00AA5609"/>
    <w:rsid w:val="00AA560D"/>
    <w:rsid w:val="00AA57E6"/>
    <w:rsid w:val="00AA58C2"/>
    <w:rsid w:val="00AA5DF3"/>
    <w:rsid w:val="00AA5F56"/>
    <w:rsid w:val="00AA61C0"/>
    <w:rsid w:val="00AA655F"/>
    <w:rsid w:val="00AA6A48"/>
    <w:rsid w:val="00AA6AAE"/>
    <w:rsid w:val="00AA6F14"/>
    <w:rsid w:val="00AA6F41"/>
    <w:rsid w:val="00AA707F"/>
    <w:rsid w:val="00AA7086"/>
    <w:rsid w:val="00AA714E"/>
    <w:rsid w:val="00AA752E"/>
    <w:rsid w:val="00AA799F"/>
    <w:rsid w:val="00AA7A93"/>
    <w:rsid w:val="00AB0492"/>
    <w:rsid w:val="00AB08A9"/>
    <w:rsid w:val="00AB0A4C"/>
    <w:rsid w:val="00AB0C1E"/>
    <w:rsid w:val="00AB0ECB"/>
    <w:rsid w:val="00AB10AC"/>
    <w:rsid w:val="00AB11D4"/>
    <w:rsid w:val="00AB1396"/>
    <w:rsid w:val="00AB1476"/>
    <w:rsid w:val="00AB1729"/>
    <w:rsid w:val="00AB1AFA"/>
    <w:rsid w:val="00AB1CBF"/>
    <w:rsid w:val="00AB306B"/>
    <w:rsid w:val="00AB30BF"/>
    <w:rsid w:val="00AB320A"/>
    <w:rsid w:val="00AB3346"/>
    <w:rsid w:val="00AB3642"/>
    <w:rsid w:val="00AB3B0F"/>
    <w:rsid w:val="00AB3C71"/>
    <w:rsid w:val="00AB3DA2"/>
    <w:rsid w:val="00AB3ED8"/>
    <w:rsid w:val="00AB4418"/>
    <w:rsid w:val="00AB47DA"/>
    <w:rsid w:val="00AB5434"/>
    <w:rsid w:val="00AB56A7"/>
    <w:rsid w:val="00AB5B39"/>
    <w:rsid w:val="00AB5C0F"/>
    <w:rsid w:val="00AB626B"/>
    <w:rsid w:val="00AB6727"/>
    <w:rsid w:val="00AB7150"/>
    <w:rsid w:val="00AB7258"/>
    <w:rsid w:val="00AB78EA"/>
    <w:rsid w:val="00AB7C0B"/>
    <w:rsid w:val="00AB7CDF"/>
    <w:rsid w:val="00AC0089"/>
    <w:rsid w:val="00AC038B"/>
    <w:rsid w:val="00AC0919"/>
    <w:rsid w:val="00AC0D33"/>
    <w:rsid w:val="00AC0D94"/>
    <w:rsid w:val="00AC0FEC"/>
    <w:rsid w:val="00AC1054"/>
    <w:rsid w:val="00AC12AC"/>
    <w:rsid w:val="00AC18DF"/>
    <w:rsid w:val="00AC1CD6"/>
    <w:rsid w:val="00AC1DFC"/>
    <w:rsid w:val="00AC2461"/>
    <w:rsid w:val="00AC2555"/>
    <w:rsid w:val="00AC2874"/>
    <w:rsid w:val="00AC2A56"/>
    <w:rsid w:val="00AC3C6E"/>
    <w:rsid w:val="00AC41DB"/>
    <w:rsid w:val="00AC44E4"/>
    <w:rsid w:val="00AC4BEE"/>
    <w:rsid w:val="00AC4DE6"/>
    <w:rsid w:val="00AC501C"/>
    <w:rsid w:val="00AC505F"/>
    <w:rsid w:val="00AC5245"/>
    <w:rsid w:val="00AC52C8"/>
    <w:rsid w:val="00AC5598"/>
    <w:rsid w:val="00AC57D1"/>
    <w:rsid w:val="00AC5D80"/>
    <w:rsid w:val="00AC6207"/>
    <w:rsid w:val="00AC69D5"/>
    <w:rsid w:val="00AC7183"/>
    <w:rsid w:val="00AC783E"/>
    <w:rsid w:val="00AC78CA"/>
    <w:rsid w:val="00AC7D11"/>
    <w:rsid w:val="00AC7E17"/>
    <w:rsid w:val="00AD0CEA"/>
    <w:rsid w:val="00AD18F9"/>
    <w:rsid w:val="00AD1BCF"/>
    <w:rsid w:val="00AD1E50"/>
    <w:rsid w:val="00AD242D"/>
    <w:rsid w:val="00AD2457"/>
    <w:rsid w:val="00AD26BF"/>
    <w:rsid w:val="00AD285E"/>
    <w:rsid w:val="00AD2B53"/>
    <w:rsid w:val="00AD31CE"/>
    <w:rsid w:val="00AD42E5"/>
    <w:rsid w:val="00AD442D"/>
    <w:rsid w:val="00AD5597"/>
    <w:rsid w:val="00AD5BAA"/>
    <w:rsid w:val="00AD5EF8"/>
    <w:rsid w:val="00AD5EF9"/>
    <w:rsid w:val="00AD6152"/>
    <w:rsid w:val="00AD6160"/>
    <w:rsid w:val="00AD6164"/>
    <w:rsid w:val="00AD6331"/>
    <w:rsid w:val="00AD653E"/>
    <w:rsid w:val="00AD6801"/>
    <w:rsid w:val="00AD6A4E"/>
    <w:rsid w:val="00AD6C7D"/>
    <w:rsid w:val="00AD709C"/>
    <w:rsid w:val="00AD784F"/>
    <w:rsid w:val="00AD785F"/>
    <w:rsid w:val="00AD78D1"/>
    <w:rsid w:val="00AD7B52"/>
    <w:rsid w:val="00AD7DBB"/>
    <w:rsid w:val="00AE016E"/>
    <w:rsid w:val="00AE02DE"/>
    <w:rsid w:val="00AE05EF"/>
    <w:rsid w:val="00AE0B88"/>
    <w:rsid w:val="00AE0CC4"/>
    <w:rsid w:val="00AE0CE6"/>
    <w:rsid w:val="00AE0E83"/>
    <w:rsid w:val="00AE0F2A"/>
    <w:rsid w:val="00AE11FB"/>
    <w:rsid w:val="00AE1309"/>
    <w:rsid w:val="00AE1442"/>
    <w:rsid w:val="00AE1600"/>
    <w:rsid w:val="00AE1678"/>
    <w:rsid w:val="00AE186F"/>
    <w:rsid w:val="00AE1B10"/>
    <w:rsid w:val="00AE1CAC"/>
    <w:rsid w:val="00AE1EB0"/>
    <w:rsid w:val="00AE1EBC"/>
    <w:rsid w:val="00AE20E1"/>
    <w:rsid w:val="00AE2467"/>
    <w:rsid w:val="00AE2D0B"/>
    <w:rsid w:val="00AE2FC5"/>
    <w:rsid w:val="00AE31D2"/>
    <w:rsid w:val="00AE3597"/>
    <w:rsid w:val="00AE3CB6"/>
    <w:rsid w:val="00AE3F8D"/>
    <w:rsid w:val="00AE41B7"/>
    <w:rsid w:val="00AE44CF"/>
    <w:rsid w:val="00AE4FB4"/>
    <w:rsid w:val="00AE5140"/>
    <w:rsid w:val="00AE53A6"/>
    <w:rsid w:val="00AE5429"/>
    <w:rsid w:val="00AE5B47"/>
    <w:rsid w:val="00AE5D04"/>
    <w:rsid w:val="00AE5DC0"/>
    <w:rsid w:val="00AE5ED3"/>
    <w:rsid w:val="00AE66B4"/>
    <w:rsid w:val="00AE69D6"/>
    <w:rsid w:val="00AE6E76"/>
    <w:rsid w:val="00AE746C"/>
    <w:rsid w:val="00AE7A8B"/>
    <w:rsid w:val="00AE7B05"/>
    <w:rsid w:val="00AF027B"/>
    <w:rsid w:val="00AF048D"/>
    <w:rsid w:val="00AF0BCD"/>
    <w:rsid w:val="00AF0EA1"/>
    <w:rsid w:val="00AF0F4A"/>
    <w:rsid w:val="00AF0FB0"/>
    <w:rsid w:val="00AF1292"/>
    <w:rsid w:val="00AF1433"/>
    <w:rsid w:val="00AF187C"/>
    <w:rsid w:val="00AF18D8"/>
    <w:rsid w:val="00AF1C34"/>
    <w:rsid w:val="00AF2423"/>
    <w:rsid w:val="00AF2DF4"/>
    <w:rsid w:val="00AF2F55"/>
    <w:rsid w:val="00AF3831"/>
    <w:rsid w:val="00AF3D81"/>
    <w:rsid w:val="00AF3E15"/>
    <w:rsid w:val="00AF468C"/>
    <w:rsid w:val="00AF4845"/>
    <w:rsid w:val="00AF48A8"/>
    <w:rsid w:val="00AF5191"/>
    <w:rsid w:val="00AF5B1F"/>
    <w:rsid w:val="00AF5B49"/>
    <w:rsid w:val="00AF5C0C"/>
    <w:rsid w:val="00AF5CB2"/>
    <w:rsid w:val="00AF5D93"/>
    <w:rsid w:val="00AF6C12"/>
    <w:rsid w:val="00AF6C58"/>
    <w:rsid w:val="00AF70D9"/>
    <w:rsid w:val="00AF76FC"/>
    <w:rsid w:val="00AF7FC1"/>
    <w:rsid w:val="00B006D5"/>
    <w:rsid w:val="00B00983"/>
    <w:rsid w:val="00B012DA"/>
    <w:rsid w:val="00B01977"/>
    <w:rsid w:val="00B01A25"/>
    <w:rsid w:val="00B01A48"/>
    <w:rsid w:val="00B01A88"/>
    <w:rsid w:val="00B02052"/>
    <w:rsid w:val="00B023A8"/>
    <w:rsid w:val="00B02423"/>
    <w:rsid w:val="00B02B32"/>
    <w:rsid w:val="00B02DE4"/>
    <w:rsid w:val="00B02E04"/>
    <w:rsid w:val="00B0334D"/>
    <w:rsid w:val="00B033CA"/>
    <w:rsid w:val="00B034B8"/>
    <w:rsid w:val="00B036DA"/>
    <w:rsid w:val="00B0382E"/>
    <w:rsid w:val="00B03861"/>
    <w:rsid w:val="00B03AA3"/>
    <w:rsid w:val="00B03AF4"/>
    <w:rsid w:val="00B03BEE"/>
    <w:rsid w:val="00B03C02"/>
    <w:rsid w:val="00B0461E"/>
    <w:rsid w:val="00B04718"/>
    <w:rsid w:val="00B047CC"/>
    <w:rsid w:val="00B04947"/>
    <w:rsid w:val="00B04961"/>
    <w:rsid w:val="00B04F28"/>
    <w:rsid w:val="00B0548F"/>
    <w:rsid w:val="00B05643"/>
    <w:rsid w:val="00B05D70"/>
    <w:rsid w:val="00B06026"/>
    <w:rsid w:val="00B067BA"/>
    <w:rsid w:val="00B06DC3"/>
    <w:rsid w:val="00B06FAE"/>
    <w:rsid w:val="00B0714C"/>
    <w:rsid w:val="00B07BEA"/>
    <w:rsid w:val="00B07C76"/>
    <w:rsid w:val="00B07D11"/>
    <w:rsid w:val="00B1005C"/>
    <w:rsid w:val="00B10675"/>
    <w:rsid w:val="00B112CA"/>
    <w:rsid w:val="00B11327"/>
    <w:rsid w:val="00B116A2"/>
    <w:rsid w:val="00B116E0"/>
    <w:rsid w:val="00B1181D"/>
    <w:rsid w:val="00B11D31"/>
    <w:rsid w:val="00B11E4F"/>
    <w:rsid w:val="00B12004"/>
    <w:rsid w:val="00B12369"/>
    <w:rsid w:val="00B129E7"/>
    <w:rsid w:val="00B12D22"/>
    <w:rsid w:val="00B12D7E"/>
    <w:rsid w:val="00B12ECC"/>
    <w:rsid w:val="00B1323D"/>
    <w:rsid w:val="00B1352D"/>
    <w:rsid w:val="00B136AD"/>
    <w:rsid w:val="00B13745"/>
    <w:rsid w:val="00B13866"/>
    <w:rsid w:val="00B139DC"/>
    <w:rsid w:val="00B14505"/>
    <w:rsid w:val="00B14B79"/>
    <w:rsid w:val="00B14BA3"/>
    <w:rsid w:val="00B14F3F"/>
    <w:rsid w:val="00B150BB"/>
    <w:rsid w:val="00B15164"/>
    <w:rsid w:val="00B151BC"/>
    <w:rsid w:val="00B15458"/>
    <w:rsid w:val="00B15655"/>
    <w:rsid w:val="00B15968"/>
    <w:rsid w:val="00B15BFB"/>
    <w:rsid w:val="00B15E77"/>
    <w:rsid w:val="00B16306"/>
    <w:rsid w:val="00B1665C"/>
    <w:rsid w:val="00B16937"/>
    <w:rsid w:val="00B1727A"/>
    <w:rsid w:val="00B1730E"/>
    <w:rsid w:val="00B1775C"/>
    <w:rsid w:val="00B2006B"/>
    <w:rsid w:val="00B204B1"/>
    <w:rsid w:val="00B2064F"/>
    <w:rsid w:val="00B2089D"/>
    <w:rsid w:val="00B20F06"/>
    <w:rsid w:val="00B213F3"/>
    <w:rsid w:val="00B21452"/>
    <w:rsid w:val="00B2160F"/>
    <w:rsid w:val="00B2181A"/>
    <w:rsid w:val="00B2212C"/>
    <w:rsid w:val="00B22162"/>
    <w:rsid w:val="00B2230B"/>
    <w:rsid w:val="00B22522"/>
    <w:rsid w:val="00B228B2"/>
    <w:rsid w:val="00B23534"/>
    <w:rsid w:val="00B2356F"/>
    <w:rsid w:val="00B23A5D"/>
    <w:rsid w:val="00B23B10"/>
    <w:rsid w:val="00B249F5"/>
    <w:rsid w:val="00B24CFA"/>
    <w:rsid w:val="00B2511E"/>
    <w:rsid w:val="00B253D0"/>
    <w:rsid w:val="00B254FF"/>
    <w:rsid w:val="00B25775"/>
    <w:rsid w:val="00B25CB2"/>
    <w:rsid w:val="00B2604A"/>
    <w:rsid w:val="00B263F4"/>
    <w:rsid w:val="00B269F6"/>
    <w:rsid w:val="00B26A54"/>
    <w:rsid w:val="00B26A70"/>
    <w:rsid w:val="00B26DC1"/>
    <w:rsid w:val="00B26E19"/>
    <w:rsid w:val="00B272DD"/>
    <w:rsid w:val="00B27FFA"/>
    <w:rsid w:val="00B3073D"/>
    <w:rsid w:val="00B30996"/>
    <w:rsid w:val="00B31291"/>
    <w:rsid w:val="00B31C8D"/>
    <w:rsid w:val="00B31EEB"/>
    <w:rsid w:val="00B32541"/>
    <w:rsid w:val="00B32635"/>
    <w:rsid w:val="00B328D4"/>
    <w:rsid w:val="00B32952"/>
    <w:rsid w:val="00B32E0F"/>
    <w:rsid w:val="00B32EA4"/>
    <w:rsid w:val="00B33327"/>
    <w:rsid w:val="00B3337D"/>
    <w:rsid w:val="00B333C2"/>
    <w:rsid w:val="00B33947"/>
    <w:rsid w:val="00B33CCE"/>
    <w:rsid w:val="00B33DBD"/>
    <w:rsid w:val="00B33DD7"/>
    <w:rsid w:val="00B3413F"/>
    <w:rsid w:val="00B34279"/>
    <w:rsid w:val="00B3442E"/>
    <w:rsid w:val="00B34A8D"/>
    <w:rsid w:val="00B359B3"/>
    <w:rsid w:val="00B35B3D"/>
    <w:rsid w:val="00B360F0"/>
    <w:rsid w:val="00B365BE"/>
    <w:rsid w:val="00B36D81"/>
    <w:rsid w:val="00B3722F"/>
    <w:rsid w:val="00B3751F"/>
    <w:rsid w:val="00B37901"/>
    <w:rsid w:val="00B379BE"/>
    <w:rsid w:val="00B37C77"/>
    <w:rsid w:val="00B37D39"/>
    <w:rsid w:val="00B37E95"/>
    <w:rsid w:val="00B4011C"/>
    <w:rsid w:val="00B401BF"/>
    <w:rsid w:val="00B404BA"/>
    <w:rsid w:val="00B406B9"/>
    <w:rsid w:val="00B40D4A"/>
    <w:rsid w:val="00B40DEA"/>
    <w:rsid w:val="00B40FA7"/>
    <w:rsid w:val="00B41EC4"/>
    <w:rsid w:val="00B41ECF"/>
    <w:rsid w:val="00B42019"/>
    <w:rsid w:val="00B420F6"/>
    <w:rsid w:val="00B4242C"/>
    <w:rsid w:val="00B42498"/>
    <w:rsid w:val="00B42609"/>
    <w:rsid w:val="00B42722"/>
    <w:rsid w:val="00B427A5"/>
    <w:rsid w:val="00B42917"/>
    <w:rsid w:val="00B42DE8"/>
    <w:rsid w:val="00B436AA"/>
    <w:rsid w:val="00B437A7"/>
    <w:rsid w:val="00B43B64"/>
    <w:rsid w:val="00B43FA5"/>
    <w:rsid w:val="00B4433C"/>
    <w:rsid w:val="00B445B0"/>
    <w:rsid w:val="00B44BD9"/>
    <w:rsid w:val="00B44F77"/>
    <w:rsid w:val="00B450DB"/>
    <w:rsid w:val="00B45BA3"/>
    <w:rsid w:val="00B46173"/>
    <w:rsid w:val="00B46877"/>
    <w:rsid w:val="00B46C41"/>
    <w:rsid w:val="00B46E22"/>
    <w:rsid w:val="00B46FC1"/>
    <w:rsid w:val="00B47580"/>
    <w:rsid w:val="00B47EAD"/>
    <w:rsid w:val="00B50110"/>
    <w:rsid w:val="00B5035E"/>
    <w:rsid w:val="00B504F2"/>
    <w:rsid w:val="00B50710"/>
    <w:rsid w:val="00B5119F"/>
    <w:rsid w:val="00B51449"/>
    <w:rsid w:val="00B514AE"/>
    <w:rsid w:val="00B51D48"/>
    <w:rsid w:val="00B51D49"/>
    <w:rsid w:val="00B52156"/>
    <w:rsid w:val="00B52332"/>
    <w:rsid w:val="00B52B77"/>
    <w:rsid w:val="00B52BC4"/>
    <w:rsid w:val="00B52C1E"/>
    <w:rsid w:val="00B53196"/>
    <w:rsid w:val="00B53198"/>
    <w:rsid w:val="00B5320C"/>
    <w:rsid w:val="00B537E8"/>
    <w:rsid w:val="00B5381E"/>
    <w:rsid w:val="00B53A01"/>
    <w:rsid w:val="00B53D50"/>
    <w:rsid w:val="00B53F41"/>
    <w:rsid w:val="00B53F44"/>
    <w:rsid w:val="00B542BF"/>
    <w:rsid w:val="00B54311"/>
    <w:rsid w:val="00B546F1"/>
    <w:rsid w:val="00B54B79"/>
    <w:rsid w:val="00B54D76"/>
    <w:rsid w:val="00B5529E"/>
    <w:rsid w:val="00B55B22"/>
    <w:rsid w:val="00B55CEE"/>
    <w:rsid w:val="00B55F24"/>
    <w:rsid w:val="00B55FB4"/>
    <w:rsid w:val="00B56210"/>
    <w:rsid w:val="00B56371"/>
    <w:rsid w:val="00B566F0"/>
    <w:rsid w:val="00B56C85"/>
    <w:rsid w:val="00B56CF1"/>
    <w:rsid w:val="00B56DFF"/>
    <w:rsid w:val="00B570AA"/>
    <w:rsid w:val="00B575D5"/>
    <w:rsid w:val="00B5781C"/>
    <w:rsid w:val="00B579B6"/>
    <w:rsid w:val="00B57B52"/>
    <w:rsid w:val="00B57B84"/>
    <w:rsid w:val="00B57F8E"/>
    <w:rsid w:val="00B60195"/>
    <w:rsid w:val="00B602B1"/>
    <w:rsid w:val="00B60582"/>
    <w:rsid w:val="00B609A0"/>
    <w:rsid w:val="00B60FAB"/>
    <w:rsid w:val="00B61382"/>
    <w:rsid w:val="00B619BD"/>
    <w:rsid w:val="00B61D58"/>
    <w:rsid w:val="00B61D5F"/>
    <w:rsid w:val="00B61DB4"/>
    <w:rsid w:val="00B62255"/>
    <w:rsid w:val="00B62CD4"/>
    <w:rsid w:val="00B63F5E"/>
    <w:rsid w:val="00B64177"/>
    <w:rsid w:val="00B64488"/>
    <w:rsid w:val="00B64E52"/>
    <w:rsid w:val="00B64F21"/>
    <w:rsid w:val="00B650FE"/>
    <w:rsid w:val="00B652B6"/>
    <w:rsid w:val="00B65472"/>
    <w:rsid w:val="00B6568A"/>
    <w:rsid w:val="00B65A38"/>
    <w:rsid w:val="00B65BB2"/>
    <w:rsid w:val="00B6668C"/>
    <w:rsid w:val="00B668A2"/>
    <w:rsid w:val="00B66D8F"/>
    <w:rsid w:val="00B67354"/>
    <w:rsid w:val="00B6791B"/>
    <w:rsid w:val="00B67CCB"/>
    <w:rsid w:val="00B67FDB"/>
    <w:rsid w:val="00B70383"/>
    <w:rsid w:val="00B7049B"/>
    <w:rsid w:val="00B70572"/>
    <w:rsid w:val="00B70B83"/>
    <w:rsid w:val="00B70BC5"/>
    <w:rsid w:val="00B712D8"/>
    <w:rsid w:val="00B71394"/>
    <w:rsid w:val="00B71E21"/>
    <w:rsid w:val="00B71E9E"/>
    <w:rsid w:val="00B721CD"/>
    <w:rsid w:val="00B72B3A"/>
    <w:rsid w:val="00B7304C"/>
    <w:rsid w:val="00B73117"/>
    <w:rsid w:val="00B733CA"/>
    <w:rsid w:val="00B735AB"/>
    <w:rsid w:val="00B743DD"/>
    <w:rsid w:val="00B7443E"/>
    <w:rsid w:val="00B746A0"/>
    <w:rsid w:val="00B7477E"/>
    <w:rsid w:val="00B74F03"/>
    <w:rsid w:val="00B74F98"/>
    <w:rsid w:val="00B75AA8"/>
    <w:rsid w:val="00B761D8"/>
    <w:rsid w:val="00B764CE"/>
    <w:rsid w:val="00B7664B"/>
    <w:rsid w:val="00B76A96"/>
    <w:rsid w:val="00B76AC8"/>
    <w:rsid w:val="00B76DA5"/>
    <w:rsid w:val="00B77104"/>
    <w:rsid w:val="00B773B8"/>
    <w:rsid w:val="00B77471"/>
    <w:rsid w:val="00B775AB"/>
    <w:rsid w:val="00B7779D"/>
    <w:rsid w:val="00B77FB2"/>
    <w:rsid w:val="00B77FCF"/>
    <w:rsid w:val="00B800B4"/>
    <w:rsid w:val="00B801BD"/>
    <w:rsid w:val="00B805AC"/>
    <w:rsid w:val="00B80B53"/>
    <w:rsid w:val="00B820EF"/>
    <w:rsid w:val="00B825AC"/>
    <w:rsid w:val="00B825B0"/>
    <w:rsid w:val="00B827C3"/>
    <w:rsid w:val="00B82816"/>
    <w:rsid w:val="00B82BE4"/>
    <w:rsid w:val="00B82E93"/>
    <w:rsid w:val="00B83081"/>
    <w:rsid w:val="00B833A8"/>
    <w:rsid w:val="00B834B0"/>
    <w:rsid w:val="00B835C8"/>
    <w:rsid w:val="00B8456D"/>
    <w:rsid w:val="00B8489C"/>
    <w:rsid w:val="00B84F5D"/>
    <w:rsid w:val="00B86195"/>
    <w:rsid w:val="00B862B0"/>
    <w:rsid w:val="00B86504"/>
    <w:rsid w:val="00B867FA"/>
    <w:rsid w:val="00B86F92"/>
    <w:rsid w:val="00B8724F"/>
    <w:rsid w:val="00B87717"/>
    <w:rsid w:val="00B87822"/>
    <w:rsid w:val="00B87CF9"/>
    <w:rsid w:val="00B90777"/>
    <w:rsid w:val="00B90D39"/>
    <w:rsid w:val="00B90F24"/>
    <w:rsid w:val="00B9102A"/>
    <w:rsid w:val="00B911F5"/>
    <w:rsid w:val="00B9138E"/>
    <w:rsid w:val="00B91979"/>
    <w:rsid w:val="00B91DAB"/>
    <w:rsid w:val="00B91E11"/>
    <w:rsid w:val="00B9228E"/>
    <w:rsid w:val="00B922C4"/>
    <w:rsid w:val="00B924AD"/>
    <w:rsid w:val="00B927F3"/>
    <w:rsid w:val="00B929D1"/>
    <w:rsid w:val="00B92DA2"/>
    <w:rsid w:val="00B933FC"/>
    <w:rsid w:val="00B9357E"/>
    <w:rsid w:val="00B93685"/>
    <w:rsid w:val="00B9381B"/>
    <w:rsid w:val="00B93A6A"/>
    <w:rsid w:val="00B93C61"/>
    <w:rsid w:val="00B93C7A"/>
    <w:rsid w:val="00B93D68"/>
    <w:rsid w:val="00B940FB"/>
    <w:rsid w:val="00B942A1"/>
    <w:rsid w:val="00B943EB"/>
    <w:rsid w:val="00B950C5"/>
    <w:rsid w:val="00B956E9"/>
    <w:rsid w:val="00B9596A"/>
    <w:rsid w:val="00B95A19"/>
    <w:rsid w:val="00B95B06"/>
    <w:rsid w:val="00B95CD6"/>
    <w:rsid w:val="00B965FF"/>
    <w:rsid w:val="00B9674B"/>
    <w:rsid w:val="00B96C34"/>
    <w:rsid w:val="00B97344"/>
    <w:rsid w:val="00B975B7"/>
    <w:rsid w:val="00BA00AF"/>
    <w:rsid w:val="00BA00BB"/>
    <w:rsid w:val="00BA0725"/>
    <w:rsid w:val="00BA09BE"/>
    <w:rsid w:val="00BA1708"/>
    <w:rsid w:val="00BA1723"/>
    <w:rsid w:val="00BA1AA2"/>
    <w:rsid w:val="00BA1B62"/>
    <w:rsid w:val="00BA1CAD"/>
    <w:rsid w:val="00BA1F50"/>
    <w:rsid w:val="00BA1FAD"/>
    <w:rsid w:val="00BA21A9"/>
    <w:rsid w:val="00BA22CB"/>
    <w:rsid w:val="00BA2E76"/>
    <w:rsid w:val="00BA2F0E"/>
    <w:rsid w:val="00BA3DC2"/>
    <w:rsid w:val="00BA41F4"/>
    <w:rsid w:val="00BA4913"/>
    <w:rsid w:val="00BA4A50"/>
    <w:rsid w:val="00BA531A"/>
    <w:rsid w:val="00BA54C5"/>
    <w:rsid w:val="00BA5670"/>
    <w:rsid w:val="00BA58AB"/>
    <w:rsid w:val="00BA67FC"/>
    <w:rsid w:val="00BA6D30"/>
    <w:rsid w:val="00BA7146"/>
    <w:rsid w:val="00BA7207"/>
    <w:rsid w:val="00BA7357"/>
    <w:rsid w:val="00BA7592"/>
    <w:rsid w:val="00BA762E"/>
    <w:rsid w:val="00BA77C9"/>
    <w:rsid w:val="00BA77CF"/>
    <w:rsid w:val="00BA786F"/>
    <w:rsid w:val="00BA7939"/>
    <w:rsid w:val="00BA7CE8"/>
    <w:rsid w:val="00BA7D26"/>
    <w:rsid w:val="00BB018D"/>
    <w:rsid w:val="00BB03ED"/>
    <w:rsid w:val="00BB0867"/>
    <w:rsid w:val="00BB0BA2"/>
    <w:rsid w:val="00BB0CAE"/>
    <w:rsid w:val="00BB0EC5"/>
    <w:rsid w:val="00BB0EFC"/>
    <w:rsid w:val="00BB100E"/>
    <w:rsid w:val="00BB1103"/>
    <w:rsid w:val="00BB15D8"/>
    <w:rsid w:val="00BB185C"/>
    <w:rsid w:val="00BB1AAD"/>
    <w:rsid w:val="00BB1B88"/>
    <w:rsid w:val="00BB1F57"/>
    <w:rsid w:val="00BB20FB"/>
    <w:rsid w:val="00BB22A3"/>
    <w:rsid w:val="00BB23DA"/>
    <w:rsid w:val="00BB27A1"/>
    <w:rsid w:val="00BB28C5"/>
    <w:rsid w:val="00BB2C62"/>
    <w:rsid w:val="00BB2F30"/>
    <w:rsid w:val="00BB3367"/>
    <w:rsid w:val="00BB3A6E"/>
    <w:rsid w:val="00BB3C30"/>
    <w:rsid w:val="00BB4B8D"/>
    <w:rsid w:val="00BB4EAA"/>
    <w:rsid w:val="00BB4FBD"/>
    <w:rsid w:val="00BB503E"/>
    <w:rsid w:val="00BB5554"/>
    <w:rsid w:val="00BB5C67"/>
    <w:rsid w:val="00BB7015"/>
    <w:rsid w:val="00BB7233"/>
    <w:rsid w:val="00BB78DC"/>
    <w:rsid w:val="00BC0379"/>
    <w:rsid w:val="00BC0822"/>
    <w:rsid w:val="00BC0899"/>
    <w:rsid w:val="00BC0FD7"/>
    <w:rsid w:val="00BC12F6"/>
    <w:rsid w:val="00BC16D3"/>
    <w:rsid w:val="00BC240F"/>
    <w:rsid w:val="00BC2478"/>
    <w:rsid w:val="00BC2501"/>
    <w:rsid w:val="00BC26A4"/>
    <w:rsid w:val="00BC2921"/>
    <w:rsid w:val="00BC2949"/>
    <w:rsid w:val="00BC2C60"/>
    <w:rsid w:val="00BC2DF1"/>
    <w:rsid w:val="00BC2ED5"/>
    <w:rsid w:val="00BC3032"/>
    <w:rsid w:val="00BC32BD"/>
    <w:rsid w:val="00BC370E"/>
    <w:rsid w:val="00BC3A38"/>
    <w:rsid w:val="00BC3E13"/>
    <w:rsid w:val="00BC428E"/>
    <w:rsid w:val="00BC437A"/>
    <w:rsid w:val="00BC4ADA"/>
    <w:rsid w:val="00BC4CA8"/>
    <w:rsid w:val="00BC4F59"/>
    <w:rsid w:val="00BC4F8D"/>
    <w:rsid w:val="00BC510C"/>
    <w:rsid w:val="00BC536D"/>
    <w:rsid w:val="00BC55CD"/>
    <w:rsid w:val="00BC567B"/>
    <w:rsid w:val="00BC5719"/>
    <w:rsid w:val="00BC5771"/>
    <w:rsid w:val="00BC5D9C"/>
    <w:rsid w:val="00BC6014"/>
    <w:rsid w:val="00BC6112"/>
    <w:rsid w:val="00BC6342"/>
    <w:rsid w:val="00BC638B"/>
    <w:rsid w:val="00BC6718"/>
    <w:rsid w:val="00BC6C77"/>
    <w:rsid w:val="00BC6D16"/>
    <w:rsid w:val="00BC70DC"/>
    <w:rsid w:val="00BC7475"/>
    <w:rsid w:val="00BC74B2"/>
    <w:rsid w:val="00BC78A1"/>
    <w:rsid w:val="00BC7B2D"/>
    <w:rsid w:val="00BC7CC5"/>
    <w:rsid w:val="00BC7CE4"/>
    <w:rsid w:val="00BD0339"/>
    <w:rsid w:val="00BD042F"/>
    <w:rsid w:val="00BD0457"/>
    <w:rsid w:val="00BD0FA5"/>
    <w:rsid w:val="00BD12CE"/>
    <w:rsid w:val="00BD1430"/>
    <w:rsid w:val="00BD14FA"/>
    <w:rsid w:val="00BD1850"/>
    <w:rsid w:val="00BD1A87"/>
    <w:rsid w:val="00BD2031"/>
    <w:rsid w:val="00BD2795"/>
    <w:rsid w:val="00BD2AC2"/>
    <w:rsid w:val="00BD2E55"/>
    <w:rsid w:val="00BD2F84"/>
    <w:rsid w:val="00BD314E"/>
    <w:rsid w:val="00BD31B5"/>
    <w:rsid w:val="00BD3773"/>
    <w:rsid w:val="00BD3A31"/>
    <w:rsid w:val="00BD3CCD"/>
    <w:rsid w:val="00BD44BC"/>
    <w:rsid w:val="00BD47C6"/>
    <w:rsid w:val="00BD48B6"/>
    <w:rsid w:val="00BD4984"/>
    <w:rsid w:val="00BD5029"/>
    <w:rsid w:val="00BD5050"/>
    <w:rsid w:val="00BD5239"/>
    <w:rsid w:val="00BD576E"/>
    <w:rsid w:val="00BD5790"/>
    <w:rsid w:val="00BD58D8"/>
    <w:rsid w:val="00BD5C04"/>
    <w:rsid w:val="00BD5C53"/>
    <w:rsid w:val="00BD5ECA"/>
    <w:rsid w:val="00BD5F13"/>
    <w:rsid w:val="00BD67A0"/>
    <w:rsid w:val="00BD6B1A"/>
    <w:rsid w:val="00BD6E3E"/>
    <w:rsid w:val="00BD7111"/>
    <w:rsid w:val="00BD716C"/>
    <w:rsid w:val="00BD76B7"/>
    <w:rsid w:val="00BE06B1"/>
    <w:rsid w:val="00BE0CD9"/>
    <w:rsid w:val="00BE0F58"/>
    <w:rsid w:val="00BE1041"/>
    <w:rsid w:val="00BE1112"/>
    <w:rsid w:val="00BE148A"/>
    <w:rsid w:val="00BE172A"/>
    <w:rsid w:val="00BE183A"/>
    <w:rsid w:val="00BE1C44"/>
    <w:rsid w:val="00BE2044"/>
    <w:rsid w:val="00BE2113"/>
    <w:rsid w:val="00BE24A5"/>
    <w:rsid w:val="00BE25DE"/>
    <w:rsid w:val="00BE289F"/>
    <w:rsid w:val="00BE299C"/>
    <w:rsid w:val="00BE2E82"/>
    <w:rsid w:val="00BE3631"/>
    <w:rsid w:val="00BE36B5"/>
    <w:rsid w:val="00BE3C93"/>
    <w:rsid w:val="00BE3CF6"/>
    <w:rsid w:val="00BE512E"/>
    <w:rsid w:val="00BE5445"/>
    <w:rsid w:val="00BE54B3"/>
    <w:rsid w:val="00BE56F4"/>
    <w:rsid w:val="00BE6919"/>
    <w:rsid w:val="00BE6E8D"/>
    <w:rsid w:val="00BE73C2"/>
    <w:rsid w:val="00BE7658"/>
    <w:rsid w:val="00BF11E8"/>
    <w:rsid w:val="00BF1434"/>
    <w:rsid w:val="00BF1619"/>
    <w:rsid w:val="00BF1DFE"/>
    <w:rsid w:val="00BF1F8F"/>
    <w:rsid w:val="00BF22C4"/>
    <w:rsid w:val="00BF28D0"/>
    <w:rsid w:val="00BF2BBC"/>
    <w:rsid w:val="00BF2C61"/>
    <w:rsid w:val="00BF3BDF"/>
    <w:rsid w:val="00BF3BEE"/>
    <w:rsid w:val="00BF3DFC"/>
    <w:rsid w:val="00BF4079"/>
    <w:rsid w:val="00BF4203"/>
    <w:rsid w:val="00BF4BAF"/>
    <w:rsid w:val="00BF55E1"/>
    <w:rsid w:val="00BF5ADE"/>
    <w:rsid w:val="00BF5DDC"/>
    <w:rsid w:val="00BF5E28"/>
    <w:rsid w:val="00BF6643"/>
    <w:rsid w:val="00BF6728"/>
    <w:rsid w:val="00BF6A66"/>
    <w:rsid w:val="00BF6CB5"/>
    <w:rsid w:val="00BF6E05"/>
    <w:rsid w:val="00BF6E09"/>
    <w:rsid w:val="00BF6FA0"/>
    <w:rsid w:val="00BF72DE"/>
    <w:rsid w:val="00BF77E1"/>
    <w:rsid w:val="00BF7ADF"/>
    <w:rsid w:val="00C003F9"/>
    <w:rsid w:val="00C0085C"/>
    <w:rsid w:val="00C00906"/>
    <w:rsid w:val="00C009E2"/>
    <w:rsid w:val="00C0174E"/>
    <w:rsid w:val="00C02014"/>
    <w:rsid w:val="00C022C1"/>
    <w:rsid w:val="00C0241D"/>
    <w:rsid w:val="00C02616"/>
    <w:rsid w:val="00C02625"/>
    <w:rsid w:val="00C02770"/>
    <w:rsid w:val="00C02A6D"/>
    <w:rsid w:val="00C02AAD"/>
    <w:rsid w:val="00C02C00"/>
    <w:rsid w:val="00C0380C"/>
    <w:rsid w:val="00C03C3F"/>
    <w:rsid w:val="00C03EDB"/>
    <w:rsid w:val="00C04249"/>
    <w:rsid w:val="00C0444F"/>
    <w:rsid w:val="00C04783"/>
    <w:rsid w:val="00C04987"/>
    <w:rsid w:val="00C04CE7"/>
    <w:rsid w:val="00C05524"/>
    <w:rsid w:val="00C05536"/>
    <w:rsid w:val="00C05811"/>
    <w:rsid w:val="00C05C90"/>
    <w:rsid w:val="00C05DF5"/>
    <w:rsid w:val="00C05F05"/>
    <w:rsid w:val="00C062A8"/>
    <w:rsid w:val="00C064BB"/>
    <w:rsid w:val="00C067B1"/>
    <w:rsid w:val="00C06D30"/>
    <w:rsid w:val="00C0708D"/>
    <w:rsid w:val="00C0729D"/>
    <w:rsid w:val="00C07A37"/>
    <w:rsid w:val="00C1002C"/>
    <w:rsid w:val="00C102F6"/>
    <w:rsid w:val="00C104EC"/>
    <w:rsid w:val="00C107C6"/>
    <w:rsid w:val="00C10823"/>
    <w:rsid w:val="00C1085E"/>
    <w:rsid w:val="00C1087A"/>
    <w:rsid w:val="00C10974"/>
    <w:rsid w:val="00C10B10"/>
    <w:rsid w:val="00C10E7B"/>
    <w:rsid w:val="00C11034"/>
    <w:rsid w:val="00C111B2"/>
    <w:rsid w:val="00C1142C"/>
    <w:rsid w:val="00C11654"/>
    <w:rsid w:val="00C11DC1"/>
    <w:rsid w:val="00C11F7A"/>
    <w:rsid w:val="00C11F7D"/>
    <w:rsid w:val="00C12183"/>
    <w:rsid w:val="00C122C0"/>
    <w:rsid w:val="00C12327"/>
    <w:rsid w:val="00C12497"/>
    <w:rsid w:val="00C129ED"/>
    <w:rsid w:val="00C12BCF"/>
    <w:rsid w:val="00C133C2"/>
    <w:rsid w:val="00C13A60"/>
    <w:rsid w:val="00C13DFE"/>
    <w:rsid w:val="00C13E9F"/>
    <w:rsid w:val="00C142A0"/>
    <w:rsid w:val="00C1437A"/>
    <w:rsid w:val="00C1454E"/>
    <w:rsid w:val="00C1460C"/>
    <w:rsid w:val="00C1491F"/>
    <w:rsid w:val="00C14A12"/>
    <w:rsid w:val="00C14D10"/>
    <w:rsid w:val="00C15007"/>
    <w:rsid w:val="00C1505B"/>
    <w:rsid w:val="00C151F3"/>
    <w:rsid w:val="00C15331"/>
    <w:rsid w:val="00C153B0"/>
    <w:rsid w:val="00C156C5"/>
    <w:rsid w:val="00C15CB0"/>
    <w:rsid w:val="00C15FE1"/>
    <w:rsid w:val="00C16066"/>
    <w:rsid w:val="00C1610C"/>
    <w:rsid w:val="00C16825"/>
    <w:rsid w:val="00C16C08"/>
    <w:rsid w:val="00C177B6"/>
    <w:rsid w:val="00C178B1"/>
    <w:rsid w:val="00C17F73"/>
    <w:rsid w:val="00C20590"/>
    <w:rsid w:val="00C208D5"/>
    <w:rsid w:val="00C20DF6"/>
    <w:rsid w:val="00C21222"/>
    <w:rsid w:val="00C212D4"/>
    <w:rsid w:val="00C21732"/>
    <w:rsid w:val="00C2260B"/>
    <w:rsid w:val="00C2281F"/>
    <w:rsid w:val="00C22DC1"/>
    <w:rsid w:val="00C2395A"/>
    <w:rsid w:val="00C23F45"/>
    <w:rsid w:val="00C242C4"/>
    <w:rsid w:val="00C24301"/>
    <w:rsid w:val="00C247AE"/>
    <w:rsid w:val="00C24915"/>
    <w:rsid w:val="00C24D99"/>
    <w:rsid w:val="00C24E1F"/>
    <w:rsid w:val="00C25368"/>
    <w:rsid w:val="00C2537B"/>
    <w:rsid w:val="00C25970"/>
    <w:rsid w:val="00C25996"/>
    <w:rsid w:val="00C25CE0"/>
    <w:rsid w:val="00C25CEF"/>
    <w:rsid w:val="00C25DD4"/>
    <w:rsid w:val="00C25E45"/>
    <w:rsid w:val="00C25F6A"/>
    <w:rsid w:val="00C260EC"/>
    <w:rsid w:val="00C266AC"/>
    <w:rsid w:val="00C26C09"/>
    <w:rsid w:val="00C2725C"/>
    <w:rsid w:val="00C27A89"/>
    <w:rsid w:val="00C27B51"/>
    <w:rsid w:val="00C27EC1"/>
    <w:rsid w:val="00C300DA"/>
    <w:rsid w:val="00C3038F"/>
    <w:rsid w:val="00C308F8"/>
    <w:rsid w:val="00C30909"/>
    <w:rsid w:val="00C309F2"/>
    <w:rsid w:val="00C30B7D"/>
    <w:rsid w:val="00C30CEC"/>
    <w:rsid w:val="00C30DBC"/>
    <w:rsid w:val="00C30FFD"/>
    <w:rsid w:val="00C3128B"/>
    <w:rsid w:val="00C31380"/>
    <w:rsid w:val="00C3140D"/>
    <w:rsid w:val="00C3162B"/>
    <w:rsid w:val="00C31669"/>
    <w:rsid w:val="00C3200D"/>
    <w:rsid w:val="00C320FB"/>
    <w:rsid w:val="00C3213C"/>
    <w:rsid w:val="00C3221B"/>
    <w:rsid w:val="00C32489"/>
    <w:rsid w:val="00C32603"/>
    <w:rsid w:val="00C328A9"/>
    <w:rsid w:val="00C32C9C"/>
    <w:rsid w:val="00C32E6D"/>
    <w:rsid w:val="00C335E0"/>
    <w:rsid w:val="00C33716"/>
    <w:rsid w:val="00C341EC"/>
    <w:rsid w:val="00C3464D"/>
    <w:rsid w:val="00C34650"/>
    <w:rsid w:val="00C348F5"/>
    <w:rsid w:val="00C34A97"/>
    <w:rsid w:val="00C34CA0"/>
    <w:rsid w:val="00C3502F"/>
    <w:rsid w:val="00C3524F"/>
    <w:rsid w:val="00C3527F"/>
    <w:rsid w:val="00C3532E"/>
    <w:rsid w:val="00C35B32"/>
    <w:rsid w:val="00C35B34"/>
    <w:rsid w:val="00C35D0A"/>
    <w:rsid w:val="00C35F0A"/>
    <w:rsid w:val="00C36792"/>
    <w:rsid w:val="00C369A6"/>
    <w:rsid w:val="00C36B16"/>
    <w:rsid w:val="00C36BBC"/>
    <w:rsid w:val="00C36BF6"/>
    <w:rsid w:val="00C36D51"/>
    <w:rsid w:val="00C37509"/>
    <w:rsid w:val="00C37A04"/>
    <w:rsid w:val="00C37AAD"/>
    <w:rsid w:val="00C37D20"/>
    <w:rsid w:val="00C37D30"/>
    <w:rsid w:val="00C37D90"/>
    <w:rsid w:val="00C37FCC"/>
    <w:rsid w:val="00C37FE0"/>
    <w:rsid w:val="00C408F1"/>
    <w:rsid w:val="00C40CDA"/>
    <w:rsid w:val="00C40FEB"/>
    <w:rsid w:val="00C4122C"/>
    <w:rsid w:val="00C41788"/>
    <w:rsid w:val="00C41D2C"/>
    <w:rsid w:val="00C42223"/>
    <w:rsid w:val="00C42C55"/>
    <w:rsid w:val="00C42D95"/>
    <w:rsid w:val="00C432C2"/>
    <w:rsid w:val="00C43321"/>
    <w:rsid w:val="00C433DA"/>
    <w:rsid w:val="00C4348B"/>
    <w:rsid w:val="00C437D3"/>
    <w:rsid w:val="00C438BB"/>
    <w:rsid w:val="00C43EC5"/>
    <w:rsid w:val="00C43F2B"/>
    <w:rsid w:val="00C43F33"/>
    <w:rsid w:val="00C44559"/>
    <w:rsid w:val="00C445CA"/>
    <w:rsid w:val="00C44674"/>
    <w:rsid w:val="00C446EA"/>
    <w:rsid w:val="00C447F1"/>
    <w:rsid w:val="00C44A50"/>
    <w:rsid w:val="00C44C7F"/>
    <w:rsid w:val="00C454FC"/>
    <w:rsid w:val="00C45539"/>
    <w:rsid w:val="00C455B1"/>
    <w:rsid w:val="00C45F84"/>
    <w:rsid w:val="00C47423"/>
    <w:rsid w:val="00C4754C"/>
    <w:rsid w:val="00C475C1"/>
    <w:rsid w:val="00C47A57"/>
    <w:rsid w:val="00C47CD5"/>
    <w:rsid w:val="00C50004"/>
    <w:rsid w:val="00C500A4"/>
    <w:rsid w:val="00C5043B"/>
    <w:rsid w:val="00C504C4"/>
    <w:rsid w:val="00C50542"/>
    <w:rsid w:val="00C505E7"/>
    <w:rsid w:val="00C506F4"/>
    <w:rsid w:val="00C50B89"/>
    <w:rsid w:val="00C50E2F"/>
    <w:rsid w:val="00C50E5D"/>
    <w:rsid w:val="00C50ED2"/>
    <w:rsid w:val="00C5114A"/>
    <w:rsid w:val="00C5143D"/>
    <w:rsid w:val="00C5196F"/>
    <w:rsid w:val="00C52072"/>
    <w:rsid w:val="00C523D8"/>
    <w:rsid w:val="00C5268B"/>
    <w:rsid w:val="00C52EA9"/>
    <w:rsid w:val="00C53682"/>
    <w:rsid w:val="00C537C4"/>
    <w:rsid w:val="00C54174"/>
    <w:rsid w:val="00C54BFA"/>
    <w:rsid w:val="00C54DBC"/>
    <w:rsid w:val="00C54E04"/>
    <w:rsid w:val="00C5513F"/>
    <w:rsid w:val="00C55289"/>
    <w:rsid w:val="00C552EA"/>
    <w:rsid w:val="00C5587E"/>
    <w:rsid w:val="00C5589D"/>
    <w:rsid w:val="00C56013"/>
    <w:rsid w:val="00C5604D"/>
    <w:rsid w:val="00C5640C"/>
    <w:rsid w:val="00C5673B"/>
    <w:rsid w:val="00C569C1"/>
    <w:rsid w:val="00C56BE5"/>
    <w:rsid w:val="00C5726F"/>
    <w:rsid w:val="00C57315"/>
    <w:rsid w:val="00C5734D"/>
    <w:rsid w:val="00C574CD"/>
    <w:rsid w:val="00C57807"/>
    <w:rsid w:val="00C5780B"/>
    <w:rsid w:val="00C57B65"/>
    <w:rsid w:val="00C57BC1"/>
    <w:rsid w:val="00C57C29"/>
    <w:rsid w:val="00C57E74"/>
    <w:rsid w:val="00C60535"/>
    <w:rsid w:val="00C61505"/>
    <w:rsid w:val="00C621A8"/>
    <w:rsid w:val="00C62239"/>
    <w:rsid w:val="00C622BB"/>
    <w:rsid w:val="00C623FE"/>
    <w:rsid w:val="00C624CF"/>
    <w:rsid w:val="00C62673"/>
    <w:rsid w:val="00C62A0F"/>
    <w:rsid w:val="00C62A1C"/>
    <w:rsid w:val="00C63263"/>
    <w:rsid w:val="00C63751"/>
    <w:rsid w:val="00C63AB1"/>
    <w:rsid w:val="00C63BAA"/>
    <w:rsid w:val="00C63CAE"/>
    <w:rsid w:val="00C63FBB"/>
    <w:rsid w:val="00C641C6"/>
    <w:rsid w:val="00C6431B"/>
    <w:rsid w:val="00C64A05"/>
    <w:rsid w:val="00C64B86"/>
    <w:rsid w:val="00C64D94"/>
    <w:rsid w:val="00C651CD"/>
    <w:rsid w:val="00C65607"/>
    <w:rsid w:val="00C65EC1"/>
    <w:rsid w:val="00C66557"/>
    <w:rsid w:val="00C66914"/>
    <w:rsid w:val="00C66EA8"/>
    <w:rsid w:val="00C671D2"/>
    <w:rsid w:val="00C6786E"/>
    <w:rsid w:val="00C67F65"/>
    <w:rsid w:val="00C700C2"/>
    <w:rsid w:val="00C701F5"/>
    <w:rsid w:val="00C7060E"/>
    <w:rsid w:val="00C7082C"/>
    <w:rsid w:val="00C70B38"/>
    <w:rsid w:val="00C711B3"/>
    <w:rsid w:val="00C7123F"/>
    <w:rsid w:val="00C712F6"/>
    <w:rsid w:val="00C71DD8"/>
    <w:rsid w:val="00C72194"/>
    <w:rsid w:val="00C728DB"/>
    <w:rsid w:val="00C7299C"/>
    <w:rsid w:val="00C72B71"/>
    <w:rsid w:val="00C73AE1"/>
    <w:rsid w:val="00C73D9F"/>
    <w:rsid w:val="00C73F50"/>
    <w:rsid w:val="00C74965"/>
    <w:rsid w:val="00C7535C"/>
    <w:rsid w:val="00C7556D"/>
    <w:rsid w:val="00C75C96"/>
    <w:rsid w:val="00C75DAF"/>
    <w:rsid w:val="00C75E0F"/>
    <w:rsid w:val="00C760D0"/>
    <w:rsid w:val="00C76252"/>
    <w:rsid w:val="00C7664A"/>
    <w:rsid w:val="00C76B3C"/>
    <w:rsid w:val="00C76F68"/>
    <w:rsid w:val="00C7708A"/>
    <w:rsid w:val="00C773E7"/>
    <w:rsid w:val="00C7767D"/>
    <w:rsid w:val="00C779DD"/>
    <w:rsid w:val="00C779F0"/>
    <w:rsid w:val="00C77B4D"/>
    <w:rsid w:val="00C77B9C"/>
    <w:rsid w:val="00C77C95"/>
    <w:rsid w:val="00C77CBB"/>
    <w:rsid w:val="00C77DDE"/>
    <w:rsid w:val="00C77E18"/>
    <w:rsid w:val="00C80744"/>
    <w:rsid w:val="00C80CC0"/>
    <w:rsid w:val="00C80E9E"/>
    <w:rsid w:val="00C80EA5"/>
    <w:rsid w:val="00C80FB1"/>
    <w:rsid w:val="00C80FC4"/>
    <w:rsid w:val="00C80FDD"/>
    <w:rsid w:val="00C81588"/>
    <w:rsid w:val="00C8172A"/>
    <w:rsid w:val="00C817B9"/>
    <w:rsid w:val="00C81835"/>
    <w:rsid w:val="00C81BF7"/>
    <w:rsid w:val="00C81CC4"/>
    <w:rsid w:val="00C81E57"/>
    <w:rsid w:val="00C81ED8"/>
    <w:rsid w:val="00C82167"/>
    <w:rsid w:val="00C828D6"/>
    <w:rsid w:val="00C8305D"/>
    <w:rsid w:val="00C83120"/>
    <w:rsid w:val="00C8318D"/>
    <w:rsid w:val="00C83496"/>
    <w:rsid w:val="00C83CDD"/>
    <w:rsid w:val="00C83D3A"/>
    <w:rsid w:val="00C83F9E"/>
    <w:rsid w:val="00C84140"/>
    <w:rsid w:val="00C843E3"/>
    <w:rsid w:val="00C8446C"/>
    <w:rsid w:val="00C84531"/>
    <w:rsid w:val="00C846F7"/>
    <w:rsid w:val="00C84B31"/>
    <w:rsid w:val="00C85886"/>
    <w:rsid w:val="00C859A1"/>
    <w:rsid w:val="00C85BCB"/>
    <w:rsid w:val="00C85D40"/>
    <w:rsid w:val="00C85DCF"/>
    <w:rsid w:val="00C85EEB"/>
    <w:rsid w:val="00C86432"/>
    <w:rsid w:val="00C86C45"/>
    <w:rsid w:val="00C86C6F"/>
    <w:rsid w:val="00C86FBF"/>
    <w:rsid w:val="00C87047"/>
    <w:rsid w:val="00C87175"/>
    <w:rsid w:val="00C87209"/>
    <w:rsid w:val="00C8726B"/>
    <w:rsid w:val="00C8733D"/>
    <w:rsid w:val="00C877AF"/>
    <w:rsid w:val="00C87E19"/>
    <w:rsid w:val="00C87EE0"/>
    <w:rsid w:val="00C9009A"/>
    <w:rsid w:val="00C9010C"/>
    <w:rsid w:val="00C9016D"/>
    <w:rsid w:val="00C90EF2"/>
    <w:rsid w:val="00C919B4"/>
    <w:rsid w:val="00C91A8E"/>
    <w:rsid w:val="00C91B82"/>
    <w:rsid w:val="00C91E80"/>
    <w:rsid w:val="00C923B1"/>
    <w:rsid w:val="00C9290C"/>
    <w:rsid w:val="00C92CA6"/>
    <w:rsid w:val="00C92D7E"/>
    <w:rsid w:val="00C92D9B"/>
    <w:rsid w:val="00C931E9"/>
    <w:rsid w:val="00C93369"/>
    <w:rsid w:val="00C93890"/>
    <w:rsid w:val="00C93E44"/>
    <w:rsid w:val="00C93F43"/>
    <w:rsid w:val="00C94224"/>
    <w:rsid w:val="00C9446F"/>
    <w:rsid w:val="00C94585"/>
    <w:rsid w:val="00C94CD6"/>
    <w:rsid w:val="00C95BD0"/>
    <w:rsid w:val="00C95DC4"/>
    <w:rsid w:val="00C95EC7"/>
    <w:rsid w:val="00C964FC"/>
    <w:rsid w:val="00C9684C"/>
    <w:rsid w:val="00C96F7C"/>
    <w:rsid w:val="00C9751D"/>
    <w:rsid w:val="00C975FF"/>
    <w:rsid w:val="00C976E6"/>
    <w:rsid w:val="00C97A02"/>
    <w:rsid w:val="00C97F8D"/>
    <w:rsid w:val="00CA0399"/>
    <w:rsid w:val="00CA0960"/>
    <w:rsid w:val="00CA0B49"/>
    <w:rsid w:val="00CA0B8F"/>
    <w:rsid w:val="00CA0BFD"/>
    <w:rsid w:val="00CA13F0"/>
    <w:rsid w:val="00CA14FA"/>
    <w:rsid w:val="00CA19EA"/>
    <w:rsid w:val="00CA2534"/>
    <w:rsid w:val="00CA2628"/>
    <w:rsid w:val="00CA27F9"/>
    <w:rsid w:val="00CA2817"/>
    <w:rsid w:val="00CA28B8"/>
    <w:rsid w:val="00CA2A3C"/>
    <w:rsid w:val="00CA2A60"/>
    <w:rsid w:val="00CA2BFC"/>
    <w:rsid w:val="00CA2C69"/>
    <w:rsid w:val="00CA2E5B"/>
    <w:rsid w:val="00CA32A5"/>
    <w:rsid w:val="00CA367E"/>
    <w:rsid w:val="00CA3B23"/>
    <w:rsid w:val="00CA3E94"/>
    <w:rsid w:val="00CA3F91"/>
    <w:rsid w:val="00CA45FE"/>
    <w:rsid w:val="00CA49E5"/>
    <w:rsid w:val="00CA4C7E"/>
    <w:rsid w:val="00CA513B"/>
    <w:rsid w:val="00CA525A"/>
    <w:rsid w:val="00CA5839"/>
    <w:rsid w:val="00CA5995"/>
    <w:rsid w:val="00CA5A91"/>
    <w:rsid w:val="00CA5D2F"/>
    <w:rsid w:val="00CA5DBE"/>
    <w:rsid w:val="00CA5F2A"/>
    <w:rsid w:val="00CA63A5"/>
    <w:rsid w:val="00CA6729"/>
    <w:rsid w:val="00CA6C84"/>
    <w:rsid w:val="00CA759C"/>
    <w:rsid w:val="00CA7C42"/>
    <w:rsid w:val="00CB01F2"/>
    <w:rsid w:val="00CB0AE4"/>
    <w:rsid w:val="00CB0B74"/>
    <w:rsid w:val="00CB0CA6"/>
    <w:rsid w:val="00CB0EE0"/>
    <w:rsid w:val="00CB0FE2"/>
    <w:rsid w:val="00CB1114"/>
    <w:rsid w:val="00CB12B6"/>
    <w:rsid w:val="00CB1430"/>
    <w:rsid w:val="00CB209E"/>
    <w:rsid w:val="00CB240B"/>
    <w:rsid w:val="00CB2594"/>
    <w:rsid w:val="00CB28E9"/>
    <w:rsid w:val="00CB2B94"/>
    <w:rsid w:val="00CB2E3F"/>
    <w:rsid w:val="00CB3272"/>
    <w:rsid w:val="00CB36F2"/>
    <w:rsid w:val="00CB4D60"/>
    <w:rsid w:val="00CB53CB"/>
    <w:rsid w:val="00CB53E6"/>
    <w:rsid w:val="00CB541F"/>
    <w:rsid w:val="00CB554E"/>
    <w:rsid w:val="00CB5796"/>
    <w:rsid w:val="00CB5996"/>
    <w:rsid w:val="00CB5C0C"/>
    <w:rsid w:val="00CB5DC2"/>
    <w:rsid w:val="00CB6408"/>
    <w:rsid w:val="00CB68C4"/>
    <w:rsid w:val="00CB77B8"/>
    <w:rsid w:val="00CB7EE3"/>
    <w:rsid w:val="00CB7F4C"/>
    <w:rsid w:val="00CC07FA"/>
    <w:rsid w:val="00CC0CFB"/>
    <w:rsid w:val="00CC184A"/>
    <w:rsid w:val="00CC1896"/>
    <w:rsid w:val="00CC255F"/>
    <w:rsid w:val="00CC282D"/>
    <w:rsid w:val="00CC2B68"/>
    <w:rsid w:val="00CC2B81"/>
    <w:rsid w:val="00CC3636"/>
    <w:rsid w:val="00CC3DC7"/>
    <w:rsid w:val="00CC3F9E"/>
    <w:rsid w:val="00CC462B"/>
    <w:rsid w:val="00CC4D0E"/>
    <w:rsid w:val="00CC4D79"/>
    <w:rsid w:val="00CC5134"/>
    <w:rsid w:val="00CC52B4"/>
    <w:rsid w:val="00CC5427"/>
    <w:rsid w:val="00CC54C1"/>
    <w:rsid w:val="00CC5555"/>
    <w:rsid w:val="00CC5641"/>
    <w:rsid w:val="00CC58C5"/>
    <w:rsid w:val="00CC6707"/>
    <w:rsid w:val="00CC67A9"/>
    <w:rsid w:val="00CC6B48"/>
    <w:rsid w:val="00CC6E0C"/>
    <w:rsid w:val="00CC7006"/>
    <w:rsid w:val="00CC7A3B"/>
    <w:rsid w:val="00CD04A9"/>
    <w:rsid w:val="00CD0ED4"/>
    <w:rsid w:val="00CD11DD"/>
    <w:rsid w:val="00CD1A61"/>
    <w:rsid w:val="00CD1C88"/>
    <w:rsid w:val="00CD24AF"/>
    <w:rsid w:val="00CD2B8B"/>
    <w:rsid w:val="00CD2E12"/>
    <w:rsid w:val="00CD2FE2"/>
    <w:rsid w:val="00CD2FE3"/>
    <w:rsid w:val="00CD30CB"/>
    <w:rsid w:val="00CD31AC"/>
    <w:rsid w:val="00CD3760"/>
    <w:rsid w:val="00CD3C4F"/>
    <w:rsid w:val="00CD4817"/>
    <w:rsid w:val="00CD4995"/>
    <w:rsid w:val="00CD4C3B"/>
    <w:rsid w:val="00CD4DC3"/>
    <w:rsid w:val="00CD5157"/>
    <w:rsid w:val="00CD52DD"/>
    <w:rsid w:val="00CD59CE"/>
    <w:rsid w:val="00CD5EDA"/>
    <w:rsid w:val="00CD6201"/>
    <w:rsid w:val="00CD717C"/>
    <w:rsid w:val="00CD736E"/>
    <w:rsid w:val="00CD7A0F"/>
    <w:rsid w:val="00CD7E84"/>
    <w:rsid w:val="00CE0746"/>
    <w:rsid w:val="00CE0D7A"/>
    <w:rsid w:val="00CE0D81"/>
    <w:rsid w:val="00CE1238"/>
    <w:rsid w:val="00CE1474"/>
    <w:rsid w:val="00CE1493"/>
    <w:rsid w:val="00CE14E3"/>
    <w:rsid w:val="00CE15B8"/>
    <w:rsid w:val="00CE1BE0"/>
    <w:rsid w:val="00CE1DF0"/>
    <w:rsid w:val="00CE258E"/>
    <w:rsid w:val="00CE26A7"/>
    <w:rsid w:val="00CE3401"/>
    <w:rsid w:val="00CE42A0"/>
    <w:rsid w:val="00CE4673"/>
    <w:rsid w:val="00CE4C7D"/>
    <w:rsid w:val="00CE4F16"/>
    <w:rsid w:val="00CE5029"/>
    <w:rsid w:val="00CE56BB"/>
    <w:rsid w:val="00CE5849"/>
    <w:rsid w:val="00CE5CB0"/>
    <w:rsid w:val="00CE5CFF"/>
    <w:rsid w:val="00CE62D2"/>
    <w:rsid w:val="00CE62F6"/>
    <w:rsid w:val="00CE6722"/>
    <w:rsid w:val="00CE684F"/>
    <w:rsid w:val="00CE70A5"/>
    <w:rsid w:val="00CE70D4"/>
    <w:rsid w:val="00CE7464"/>
    <w:rsid w:val="00CE74B9"/>
    <w:rsid w:val="00CE7626"/>
    <w:rsid w:val="00CE77A7"/>
    <w:rsid w:val="00CF02E1"/>
    <w:rsid w:val="00CF04F7"/>
    <w:rsid w:val="00CF06AC"/>
    <w:rsid w:val="00CF0814"/>
    <w:rsid w:val="00CF087F"/>
    <w:rsid w:val="00CF0975"/>
    <w:rsid w:val="00CF118B"/>
    <w:rsid w:val="00CF188A"/>
    <w:rsid w:val="00CF2006"/>
    <w:rsid w:val="00CF2431"/>
    <w:rsid w:val="00CF2A57"/>
    <w:rsid w:val="00CF3C35"/>
    <w:rsid w:val="00CF3DA9"/>
    <w:rsid w:val="00CF3F1B"/>
    <w:rsid w:val="00CF498C"/>
    <w:rsid w:val="00CF4D5F"/>
    <w:rsid w:val="00CF4FBC"/>
    <w:rsid w:val="00CF592A"/>
    <w:rsid w:val="00CF5A5B"/>
    <w:rsid w:val="00CF5AA6"/>
    <w:rsid w:val="00CF5EBB"/>
    <w:rsid w:val="00CF626F"/>
    <w:rsid w:val="00CF6289"/>
    <w:rsid w:val="00CF6A4C"/>
    <w:rsid w:val="00CF708A"/>
    <w:rsid w:val="00CF7C1B"/>
    <w:rsid w:val="00CF7C62"/>
    <w:rsid w:val="00CF7C7E"/>
    <w:rsid w:val="00CF7F02"/>
    <w:rsid w:val="00D0026C"/>
    <w:rsid w:val="00D0064F"/>
    <w:rsid w:val="00D0088B"/>
    <w:rsid w:val="00D00BCF"/>
    <w:rsid w:val="00D00E32"/>
    <w:rsid w:val="00D00E59"/>
    <w:rsid w:val="00D00F3D"/>
    <w:rsid w:val="00D00F7C"/>
    <w:rsid w:val="00D0101C"/>
    <w:rsid w:val="00D01759"/>
    <w:rsid w:val="00D01948"/>
    <w:rsid w:val="00D01A99"/>
    <w:rsid w:val="00D01FB4"/>
    <w:rsid w:val="00D02031"/>
    <w:rsid w:val="00D0237C"/>
    <w:rsid w:val="00D02724"/>
    <w:rsid w:val="00D027BC"/>
    <w:rsid w:val="00D02D99"/>
    <w:rsid w:val="00D03201"/>
    <w:rsid w:val="00D035FB"/>
    <w:rsid w:val="00D03637"/>
    <w:rsid w:val="00D03930"/>
    <w:rsid w:val="00D03C59"/>
    <w:rsid w:val="00D03D9B"/>
    <w:rsid w:val="00D03DBD"/>
    <w:rsid w:val="00D04132"/>
    <w:rsid w:val="00D0444C"/>
    <w:rsid w:val="00D04C85"/>
    <w:rsid w:val="00D04D59"/>
    <w:rsid w:val="00D04EE2"/>
    <w:rsid w:val="00D04F6C"/>
    <w:rsid w:val="00D0522D"/>
    <w:rsid w:val="00D05827"/>
    <w:rsid w:val="00D05B55"/>
    <w:rsid w:val="00D05BBE"/>
    <w:rsid w:val="00D05C6D"/>
    <w:rsid w:val="00D05E25"/>
    <w:rsid w:val="00D05F58"/>
    <w:rsid w:val="00D06701"/>
    <w:rsid w:val="00D06A7D"/>
    <w:rsid w:val="00D075F8"/>
    <w:rsid w:val="00D07758"/>
    <w:rsid w:val="00D077CA"/>
    <w:rsid w:val="00D0785E"/>
    <w:rsid w:val="00D07DB2"/>
    <w:rsid w:val="00D1106B"/>
    <w:rsid w:val="00D1161A"/>
    <w:rsid w:val="00D116C4"/>
    <w:rsid w:val="00D119CE"/>
    <w:rsid w:val="00D11B32"/>
    <w:rsid w:val="00D12089"/>
    <w:rsid w:val="00D122BC"/>
    <w:rsid w:val="00D125E5"/>
    <w:rsid w:val="00D12AAD"/>
    <w:rsid w:val="00D131BA"/>
    <w:rsid w:val="00D13354"/>
    <w:rsid w:val="00D13815"/>
    <w:rsid w:val="00D142BD"/>
    <w:rsid w:val="00D14F63"/>
    <w:rsid w:val="00D15729"/>
    <w:rsid w:val="00D15C1C"/>
    <w:rsid w:val="00D1615C"/>
    <w:rsid w:val="00D166E2"/>
    <w:rsid w:val="00D168D1"/>
    <w:rsid w:val="00D16982"/>
    <w:rsid w:val="00D16B81"/>
    <w:rsid w:val="00D16EB2"/>
    <w:rsid w:val="00D170FB"/>
    <w:rsid w:val="00D174DB"/>
    <w:rsid w:val="00D17EE8"/>
    <w:rsid w:val="00D2013D"/>
    <w:rsid w:val="00D205AD"/>
    <w:rsid w:val="00D20ECA"/>
    <w:rsid w:val="00D20FC7"/>
    <w:rsid w:val="00D21206"/>
    <w:rsid w:val="00D21567"/>
    <w:rsid w:val="00D217B7"/>
    <w:rsid w:val="00D21895"/>
    <w:rsid w:val="00D218E8"/>
    <w:rsid w:val="00D21A0C"/>
    <w:rsid w:val="00D21DF5"/>
    <w:rsid w:val="00D21E9D"/>
    <w:rsid w:val="00D22367"/>
    <w:rsid w:val="00D223B9"/>
    <w:rsid w:val="00D231EE"/>
    <w:rsid w:val="00D235DA"/>
    <w:rsid w:val="00D23787"/>
    <w:rsid w:val="00D23D1B"/>
    <w:rsid w:val="00D23D8E"/>
    <w:rsid w:val="00D24089"/>
    <w:rsid w:val="00D24095"/>
    <w:rsid w:val="00D240E1"/>
    <w:rsid w:val="00D24151"/>
    <w:rsid w:val="00D24575"/>
    <w:rsid w:val="00D246F8"/>
    <w:rsid w:val="00D24721"/>
    <w:rsid w:val="00D24968"/>
    <w:rsid w:val="00D249E7"/>
    <w:rsid w:val="00D24E0A"/>
    <w:rsid w:val="00D24E72"/>
    <w:rsid w:val="00D25013"/>
    <w:rsid w:val="00D25210"/>
    <w:rsid w:val="00D25637"/>
    <w:rsid w:val="00D25914"/>
    <w:rsid w:val="00D259E7"/>
    <w:rsid w:val="00D25FE9"/>
    <w:rsid w:val="00D261D5"/>
    <w:rsid w:val="00D26374"/>
    <w:rsid w:val="00D2667E"/>
    <w:rsid w:val="00D26FA1"/>
    <w:rsid w:val="00D27241"/>
    <w:rsid w:val="00D2734F"/>
    <w:rsid w:val="00D278C8"/>
    <w:rsid w:val="00D30158"/>
    <w:rsid w:val="00D30F88"/>
    <w:rsid w:val="00D31279"/>
    <w:rsid w:val="00D31399"/>
    <w:rsid w:val="00D317D6"/>
    <w:rsid w:val="00D31AE7"/>
    <w:rsid w:val="00D31AFA"/>
    <w:rsid w:val="00D31CD4"/>
    <w:rsid w:val="00D31D07"/>
    <w:rsid w:val="00D32382"/>
    <w:rsid w:val="00D323C8"/>
    <w:rsid w:val="00D32C9B"/>
    <w:rsid w:val="00D32CA2"/>
    <w:rsid w:val="00D32DC0"/>
    <w:rsid w:val="00D330F6"/>
    <w:rsid w:val="00D335A9"/>
    <w:rsid w:val="00D337FA"/>
    <w:rsid w:val="00D33BBC"/>
    <w:rsid w:val="00D33BE4"/>
    <w:rsid w:val="00D3415C"/>
    <w:rsid w:val="00D34218"/>
    <w:rsid w:val="00D3482C"/>
    <w:rsid w:val="00D35F35"/>
    <w:rsid w:val="00D364A3"/>
    <w:rsid w:val="00D366D2"/>
    <w:rsid w:val="00D36C70"/>
    <w:rsid w:val="00D370B3"/>
    <w:rsid w:val="00D37F41"/>
    <w:rsid w:val="00D40798"/>
    <w:rsid w:val="00D40B00"/>
    <w:rsid w:val="00D414EA"/>
    <w:rsid w:val="00D414F0"/>
    <w:rsid w:val="00D41F4E"/>
    <w:rsid w:val="00D420BB"/>
    <w:rsid w:val="00D42543"/>
    <w:rsid w:val="00D427BB"/>
    <w:rsid w:val="00D42EAC"/>
    <w:rsid w:val="00D4313E"/>
    <w:rsid w:val="00D432F7"/>
    <w:rsid w:val="00D43358"/>
    <w:rsid w:val="00D4342D"/>
    <w:rsid w:val="00D4364E"/>
    <w:rsid w:val="00D438DA"/>
    <w:rsid w:val="00D43F44"/>
    <w:rsid w:val="00D43F66"/>
    <w:rsid w:val="00D43F90"/>
    <w:rsid w:val="00D44010"/>
    <w:rsid w:val="00D4404B"/>
    <w:rsid w:val="00D44196"/>
    <w:rsid w:val="00D44370"/>
    <w:rsid w:val="00D445E9"/>
    <w:rsid w:val="00D445FB"/>
    <w:rsid w:val="00D45368"/>
    <w:rsid w:val="00D45E17"/>
    <w:rsid w:val="00D45E4E"/>
    <w:rsid w:val="00D462D5"/>
    <w:rsid w:val="00D462EE"/>
    <w:rsid w:val="00D46480"/>
    <w:rsid w:val="00D467D4"/>
    <w:rsid w:val="00D46D2C"/>
    <w:rsid w:val="00D47539"/>
    <w:rsid w:val="00D50250"/>
    <w:rsid w:val="00D5035B"/>
    <w:rsid w:val="00D50614"/>
    <w:rsid w:val="00D508B9"/>
    <w:rsid w:val="00D50973"/>
    <w:rsid w:val="00D50A7C"/>
    <w:rsid w:val="00D50D44"/>
    <w:rsid w:val="00D50E8A"/>
    <w:rsid w:val="00D5140A"/>
    <w:rsid w:val="00D515EA"/>
    <w:rsid w:val="00D5167E"/>
    <w:rsid w:val="00D51686"/>
    <w:rsid w:val="00D51945"/>
    <w:rsid w:val="00D51F09"/>
    <w:rsid w:val="00D53DBC"/>
    <w:rsid w:val="00D540F8"/>
    <w:rsid w:val="00D54BC3"/>
    <w:rsid w:val="00D54BDF"/>
    <w:rsid w:val="00D54FD3"/>
    <w:rsid w:val="00D55026"/>
    <w:rsid w:val="00D5531E"/>
    <w:rsid w:val="00D55707"/>
    <w:rsid w:val="00D55785"/>
    <w:rsid w:val="00D55E2A"/>
    <w:rsid w:val="00D56394"/>
    <w:rsid w:val="00D56480"/>
    <w:rsid w:val="00D5650D"/>
    <w:rsid w:val="00D56517"/>
    <w:rsid w:val="00D56559"/>
    <w:rsid w:val="00D56992"/>
    <w:rsid w:val="00D57058"/>
    <w:rsid w:val="00D575EF"/>
    <w:rsid w:val="00D5774B"/>
    <w:rsid w:val="00D578C9"/>
    <w:rsid w:val="00D57B36"/>
    <w:rsid w:val="00D6019F"/>
    <w:rsid w:val="00D601FF"/>
    <w:rsid w:val="00D6033F"/>
    <w:rsid w:val="00D603E0"/>
    <w:rsid w:val="00D606FF"/>
    <w:rsid w:val="00D60977"/>
    <w:rsid w:val="00D60EEB"/>
    <w:rsid w:val="00D6114F"/>
    <w:rsid w:val="00D61833"/>
    <w:rsid w:val="00D6184C"/>
    <w:rsid w:val="00D618D3"/>
    <w:rsid w:val="00D61D1E"/>
    <w:rsid w:val="00D61E02"/>
    <w:rsid w:val="00D61E98"/>
    <w:rsid w:val="00D621A1"/>
    <w:rsid w:val="00D621E8"/>
    <w:rsid w:val="00D62244"/>
    <w:rsid w:val="00D62876"/>
    <w:rsid w:val="00D62973"/>
    <w:rsid w:val="00D62C54"/>
    <w:rsid w:val="00D6319B"/>
    <w:rsid w:val="00D632F0"/>
    <w:rsid w:val="00D63573"/>
    <w:rsid w:val="00D64083"/>
    <w:rsid w:val="00D651E5"/>
    <w:rsid w:val="00D65586"/>
    <w:rsid w:val="00D659A6"/>
    <w:rsid w:val="00D66150"/>
    <w:rsid w:val="00D669D9"/>
    <w:rsid w:val="00D66A8B"/>
    <w:rsid w:val="00D66B3D"/>
    <w:rsid w:val="00D66DC2"/>
    <w:rsid w:val="00D6700D"/>
    <w:rsid w:val="00D6706F"/>
    <w:rsid w:val="00D67322"/>
    <w:rsid w:val="00D67B9F"/>
    <w:rsid w:val="00D67E2F"/>
    <w:rsid w:val="00D70155"/>
    <w:rsid w:val="00D7041C"/>
    <w:rsid w:val="00D711DF"/>
    <w:rsid w:val="00D7136E"/>
    <w:rsid w:val="00D715DC"/>
    <w:rsid w:val="00D71A90"/>
    <w:rsid w:val="00D71D3F"/>
    <w:rsid w:val="00D71F08"/>
    <w:rsid w:val="00D7206F"/>
    <w:rsid w:val="00D72212"/>
    <w:rsid w:val="00D7269E"/>
    <w:rsid w:val="00D729CD"/>
    <w:rsid w:val="00D72DB4"/>
    <w:rsid w:val="00D72DFA"/>
    <w:rsid w:val="00D73B4F"/>
    <w:rsid w:val="00D73E45"/>
    <w:rsid w:val="00D74333"/>
    <w:rsid w:val="00D74A74"/>
    <w:rsid w:val="00D74C4C"/>
    <w:rsid w:val="00D75531"/>
    <w:rsid w:val="00D7568E"/>
    <w:rsid w:val="00D75C16"/>
    <w:rsid w:val="00D75D45"/>
    <w:rsid w:val="00D75DF4"/>
    <w:rsid w:val="00D75EB9"/>
    <w:rsid w:val="00D76225"/>
    <w:rsid w:val="00D76FCA"/>
    <w:rsid w:val="00D774A1"/>
    <w:rsid w:val="00D775D5"/>
    <w:rsid w:val="00D77607"/>
    <w:rsid w:val="00D77711"/>
    <w:rsid w:val="00D7776B"/>
    <w:rsid w:val="00D77820"/>
    <w:rsid w:val="00D77CAD"/>
    <w:rsid w:val="00D77DB2"/>
    <w:rsid w:val="00D809B5"/>
    <w:rsid w:val="00D80AEC"/>
    <w:rsid w:val="00D80C12"/>
    <w:rsid w:val="00D80F32"/>
    <w:rsid w:val="00D80F60"/>
    <w:rsid w:val="00D815FD"/>
    <w:rsid w:val="00D81741"/>
    <w:rsid w:val="00D817B5"/>
    <w:rsid w:val="00D818EE"/>
    <w:rsid w:val="00D82605"/>
    <w:rsid w:val="00D827B6"/>
    <w:rsid w:val="00D82DEB"/>
    <w:rsid w:val="00D82FC5"/>
    <w:rsid w:val="00D83086"/>
    <w:rsid w:val="00D83B48"/>
    <w:rsid w:val="00D83C15"/>
    <w:rsid w:val="00D83C9F"/>
    <w:rsid w:val="00D83F75"/>
    <w:rsid w:val="00D84575"/>
    <w:rsid w:val="00D847E3"/>
    <w:rsid w:val="00D84CC9"/>
    <w:rsid w:val="00D85169"/>
    <w:rsid w:val="00D851D4"/>
    <w:rsid w:val="00D85214"/>
    <w:rsid w:val="00D85C2D"/>
    <w:rsid w:val="00D85E08"/>
    <w:rsid w:val="00D85E6B"/>
    <w:rsid w:val="00D8616B"/>
    <w:rsid w:val="00D866C2"/>
    <w:rsid w:val="00D867FF"/>
    <w:rsid w:val="00D86D16"/>
    <w:rsid w:val="00D86D54"/>
    <w:rsid w:val="00D87279"/>
    <w:rsid w:val="00D872AE"/>
    <w:rsid w:val="00D87658"/>
    <w:rsid w:val="00D87FAA"/>
    <w:rsid w:val="00D901A5"/>
    <w:rsid w:val="00D902EF"/>
    <w:rsid w:val="00D911A1"/>
    <w:rsid w:val="00D91422"/>
    <w:rsid w:val="00D9167A"/>
    <w:rsid w:val="00D91AAE"/>
    <w:rsid w:val="00D92AC2"/>
    <w:rsid w:val="00D92D7F"/>
    <w:rsid w:val="00D93863"/>
    <w:rsid w:val="00D939C1"/>
    <w:rsid w:val="00D9441A"/>
    <w:rsid w:val="00D94751"/>
    <w:rsid w:val="00D94A5D"/>
    <w:rsid w:val="00D95809"/>
    <w:rsid w:val="00D958D0"/>
    <w:rsid w:val="00D95A2E"/>
    <w:rsid w:val="00D95D47"/>
    <w:rsid w:val="00D96068"/>
    <w:rsid w:val="00D964BB"/>
    <w:rsid w:val="00D96915"/>
    <w:rsid w:val="00D96D06"/>
    <w:rsid w:val="00D9715E"/>
    <w:rsid w:val="00D97435"/>
    <w:rsid w:val="00D974F7"/>
    <w:rsid w:val="00D97929"/>
    <w:rsid w:val="00DA05D6"/>
    <w:rsid w:val="00DA1016"/>
    <w:rsid w:val="00DA150F"/>
    <w:rsid w:val="00DA15DD"/>
    <w:rsid w:val="00DA16BE"/>
    <w:rsid w:val="00DA1B2C"/>
    <w:rsid w:val="00DA1E90"/>
    <w:rsid w:val="00DA1F66"/>
    <w:rsid w:val="00DA1FD9"/>
    <w:rsid w:val="00DA1FE6"/>
    <w:rsid w:val="00DA2050"/>
    <w:rsid w:val="00DA2275"/>
    <w:rsid w:val="00DA227D"/>
    <w:rsid w:val="00DA2356"/>
    <w:rsid w:val="00DA2706"/>
    <w:rsid w:val="00DA27D6"/>
    <w:rsid w:val="00DA2C62"/>
    <w:rsid w:val="00DA2EBD"/>
    <w:rsid w:val="00DA3205"/>
    <w:rsid w:val="00DA32CE"/>
    <w:rsid w:val="00DA3434"/>
    <w:rsid w:val="00DA38A7"/>
    <w:rsid w:val="00DA3AF2"/>
    <w:rsid w:val="00DA3FBE"/>
    <w:rsid w:val="00DA3FE3"/>
    <w:rsid w:val="00DA4E14"/>
    <w:rsid w:val="00DA4FCB"/>
    <w:rsid w:val="00DA51D0"/>
    <w:rsid w:val="00DA5221"/>
    <w:rsid w:val="00DA5390"/>
    <w:rsid w:val="00DA54BE"/>
    <w:rsid w:val="00DA5D10"/>
    <w:rsid w:val="00DA6319"/>
    <w:rsid w:val="00DA6628"/>
    <w:rsid w:val="00DA6A44"/>
    <w:rsid w:val="00DA7257"/>
    <w:rsid w:val="00DA7603"/>
    <w:rsid w:val="00DA78C9"/>
    <w:rsid w:val="00DA7E36"/>
    <w:rsid w:val="00DB001A"/>
    <w:rsid w:val="00DB01E7"/>
    <w:rsid w:val="00DB0260"/>
    <w:rsid w:val="00DB041B"/>
    <w:rsid w:val="00DB04FB"/>
    <w:rsid w:val="00DB0578"/>
    <w:rsid w:val="00DB0F20"/>
    <w:rsid w:val="00DB160C"/>
    <w:rsid w:val="00DB16DC"/>
    <w:rsid w:val="00DB1B78"/>
    <w:rsid w:val="00DB1D7D"/>
    <w:rsid w:val="00DB27F4"/>
    <w:rsid w:val="00DB2BB1"/>
    <w:rsid w:val="00DB2CE4"/>
    <w:rsid w:val="00DB32D0"/>
    <w:rsid w:val="00DB3A35"/>
    <w:rsid w:val="00DB42E1"/>
    <w:rsid w:val="00DB535F"/>
    <w:rsid w:val="00DB56E4"/>
    <w:rsid w:val="00DB5960"/>
    <w:rsid w:val="00DB6372"/>
    <w:rsid w:val="00DB6421"/>
    <w:rsid w:val="00DB6516"/>
    <w:rsid w:val="00DB6727"/>
    <w:rsid w:val="00DB6982"/>
    <w:rsid w:val="00DB6B80"/>
    <w:rsid w:val="00DB6C4A"/>
    <w:rsid w:val="00DB6CF9"/>
    <w:rsid w:val="00DB6E9D"/>
    <w:rsid w:val="00DB7112"/>
    <w:rsid w:val="00DB7134"/>
    <w:rsid w:val="00DB761C"/>
    <w:rsid w:val="00DB7688"/>
    <w:rsid w:val="00DB7A3C"/>
    <w:rsid w:val="00DB7A98"/>
    <w:rsid w:val="00DB7BC8"/>
    <w:rsid w:val="00DB7EEC"/>
    <w:rsid w:val="00DC0140"/>
    <w:rsid w:val="00DC03C8"/>
    <w:rsid w:val="00DC0B21"/>
    <w:rsid w:val="00DC0D2B"/>
    <w:rsid w:val="00DC0D92"/>
    <w:rsid w:val="00DC123D"/>
    <w:rsid w:val="00DC149C"/>
    <w:rsid w:val="00DC18D6"/>
    <w:rsid w:val="00DC1968"/>
    <w:rsid w:val="00DC1CC2"/>
    <w:rsid w:val="00DC2149"/>
    <w:rsid w:val="00DC22D0"/>
    <w:rsid w:val="00DC2E84"/>
    <w:rsid w:val="00DC3125"/>
    <w:rsid w:val="00DC416F"/>
    <w:rsid w:val="00DC44B8"/>
    <w:rsid w:val="00DC4978"/>
    <w:rsid w:val="00DC5029"/>
    <w:rsid w:val="00DC5181"/>
    <w:rsid w:val="00DC5607"/>
    <w:rsid w:val="00DC56F8"/>
    <w:rsid w:val="00DC5ADE"/>
    <w:rsid w:val="00DC5C42"/>
    <w:rsid w:val="00DC5CC0"/>
    <w:rsid w:val="00DC5CE0"/>
    <w:rsid w:val="00DC5D1F"/>
    <w:rsid w:val="00DC6326"/>
    <w:rsid w:val="00DC649A"/>
    <w:rsid w:val="00DC6920"/>
    <w:rsid w:val="00DC6A46"/>
    <w:rsid w:val="00DC6C30"/>
    <w:rsid w:val="00DC6D67"/>
    <w:rsid w:val="00DC6DB6"/>
    <w:rsid w:val="00DC6FD6"/>
    <w:rsid w:val="00DC71F1"/>
    <w:rsid w:val="00DC7528"/>
    <w:rsid w:val="00DC75D1"/>
    <w:rsid w:val="00DC7812"/>
    <w:rsid w:val="00DC793C"/>
    <w:rsid w:val="00DC7980"/>
    <w:rsid w:val="00DD0885"/>
    <w:rsid w:val="00DD0B25"/>
    <w:rsid w:val="00DD0BD3"/>
    <w:rsid w:val="00DD119C"/>
    <w:rsid w:val="00DD12EB"/>
    <w:rsid w:val="00DD1485"/>
    <w:rsid w:val="00DD1818"/>
    <w:rsid w:val="00DD18F6"/>
    <w:rsid w:val="00DD1B9D"/>
    <w:rsid w:val="00DD209E"/>
    <w:rsid w:val="00DD23B6"/>
    <w:rsid w:val="00DD2774"/>
    <w:rsid w:val="00DD2A40"/>
    <w:rsid w:val="00DD2B8B"/>
    <w:rsid w:val="00DD2B9B"/>
    <w:rsid w:val="00DD2C0E"/>
    <w:rsid w:val="00DD2C53"/>
    <w:rsid w:val="00DD2D11"/>
    <w:rsid w:val="00DD3108"/>
    <w:rsid w:val="00DD31FE"/>
    <w:rsid w:val="00DD3301"/>
    <w:rsid w:val="00DD367A"/>
    <w:rsid w:val="00DD3A5D"/>
    <w:rsid w:val="00DD3AC2"/>
    <w:rsid w:val="00DD3C74"/>
    <w:rsid w:val="00DD403B"/>
    <w:rsid w:val="00DD4648"/>
    <w:rsid w:val="00DD46E9"/>
    <w:rsid w:val="00DD47AA"/>
    <w:rsid w:val="00DD4827"/>
    <w:rsid w:val="00DD4B19"/>
    <w:rsid w:val="00DD50F4"/>
    <w:rsid w:val="00DD5454"/>
    <w:rsid w:val="00DD57EC"/>
    <w:rsid w:val="00DD5A3B"/>
    <w:rsid w:val="00DD5F54"/>
    <w:rsid w:val="00DD65A6"/>
    <w:rsid w:val="00DD6BD4"/>
    <w:rsid w:val="00DD70B7"/>
    <w:rsid w:val="00DD7664"/>
    <w:rsid w:val="00DE009A"/>
    <w:rsid w:val="00DE01A6"/>
    <w:rsid w:val="00DE0259"/>
    <w:rsid w:val="00DE04DE"/>
    <w:rsid w:val="00DE0617"/>
    <w:rsid w:val="00DE07E8"/>
    <w:rsid w:val="00DE07ED"/>
    <w:rsid w:val="00DE0912"/>
    <w:rsid w:val="00DE0F65"/>
    <w:rsid w:val="00DE1692"/>
    <w:rsid w:val="00DE17EA"/>
    <w:rsid w:val="00DE1B8B"/>
    <w:rsid w:val="00DE1DFB"/>
    <w:rsid w:val="00DE215C"/>
    <w:rsid w:val="00DE27A1"/>
    <w:rsid w:val="00DE294D"/>
    <w:rsid w:val="00DE2C29"/>
    <w:rsid w:val="00DE3179"/>
    <w:rsid w:val="00DE43B8"/>
    <w:rsid w:val="00DE4637"/>
    <w:rsid w:val="00DE4AAC"/>
    <w:rsid w:val="00DE4AD3"/>
    <w:rsid w:val="00DE53A9"/>
    <w:rsid w:val="00DE5910"/>
    <w:rsid w:val="00DE600F"/>
    <w:rsid w:val="00DE62FC"/>
    <w:rsid w:val="00DE6861"/>
    <w:rsid w:val="00DE6DE3"/>
    <w:rsid w:val="00DE6F76"/>
    <w:rsid w:val="00DE73DB"/>
    <w:rsid w:val="00DE7BA0"/>
    <w:rsid w:val="00DE7BB9"/>
    <w:rsid w:val="00DE7C05"/>
    <w:rsid w:val="00DE7D0F"/>
    <w:rsid w:val="00DE7E1D"/>
    <w:rsid w:val="00DE7E56"/>
    <w:rsid w:val="00DF088E"/>
    <w:rsid w:val="00DF09EF"/>
    <w:rsid w:val="00DF0D58"/>
    <w:rsid w:val="00DF0EE2"/>
    <w:rsid w:val="00DF102E"/>
    <w:rsid w:val="00DF179C"/>
    <w:rsid w:val="00DF1B11"/>
    <w:rsid w:val="00DF1CCF"/>
    <w:rsid w:val="00DF250B"/>
    <w:rsid w:val="00DF255E"/>
    <w:rsid w:val="00DF265A"/>
    <w:rsid w:val="00DF2AFB"/>
    <w:rsid w:val="00DF315D"/>
    <w:rsid w:val="00DF3701"/>
    <w:rsid w:val="00DF3B4B"/>
    <w:rsid w:val="00DF412F"/>
    <w:rsid w:val="00DF43C0"/>
    <w:rsid w:val="00DF47AF"/>
    <w:rsid w:val="00DF4845"/>
    <w:rsid w:val="00DF4B1C"/>
    <w:rsid w:val="00DF50F6"/>
    <w:rsid w:val="00DF577C"/>
    <w:rsid w:val="00DF5DB9"/>
    <w:rsid w:val="00DF674E"/>
    <w:rsid w:val="00DF6A85"/>
    <w:rsid w:val="00DF6BED"/>
    <w:rsid w:val="00DF6F57"/>
    <w:rsid w:val="00DF6F59"/>
    <w:rsid w:val="00DF78D6"/>
    <w:rsid w:val="00DF7AE5"/>
    <w:rsid w:val="00DF7C16"/>
    <w:rsid w:val="00DF7FC4"/>
    <w:rsid w:val="00DF7FFC"/>
    <w:rsid w:val="00E00034"/>
    <w:rsid w:val="00E00079"/>
    <w:rsid w:val="00E001D8"/>
    <w:rsid w:val="00E00B4C"/>
    <w:rsid w:val="00E00BFB"/>
    <w:rsid w:val="00E00EE5"/>
    <w:rsid w:val="00E0100F"/>
    <w:rsid w:val="00E01489"/>
    <w:rsid w:val="00E014E4"/>
    <w:rsid w:val="00E017CB"/>
    <w:rsid w:val="00E01836"/>
    <w:rsid w:val="00E01994"/>
    <w:rsid w:val="00E01DA2"/>
    <w:rsid w:val="00E01E64"/>
    <w:rsid w:val="00E02517"/>
    <w:rsid w:val="00E02535"/>
    <w:rsid w:val="00E02B56"/>
    <w:rsid w:val="00E031AD"/>
    <w:rsid w:val="00E03326"/>
    <w:rsid w:val="00E03605"/>
    <w:rsid w:val="00E036E3"/>
    <w:rsid w:val="00E03703"/>
    <w:rsid w:val="00E03DA9"/>
    <w:rsid w:val="00E03FF6"/>
    <w:rsid w:val="00E040B9"/>
    <w:rsid w:val="00E052B2"/>
    <w:rsid w:val="00E05441"/>
    <w:rsid w:val="00E054F2"/>
    <w:rsid w:val="00E05BF6"/>
    <w:rsid w:val="00E05CCA"/>
    <w:rsid w:val="00E05D0C"/>
    <w:rsid w:val="00E069C3"/>
    <w:rsid w:val="00E06BFC"/>
    <w:rsid w:val="00E06C44"/>
    <w:rsid w:val="00E06D25"/>
    <w:rsid w:val="00E06DAF"/>
    <w:rsid w:val="00E06DC7"/>
    <w:rsid w:val="00E07100"/>
    <w:rsid w:val="00E0736B"/>
    <w:rsid w:val="00E079B2"/>
    <w:rsid w:val="00E079E5"/>
    <w:rsid w:val="00E10489"/>
    <w:rsid w:val="00E1065F"/>
    <w:rsid w:val="00E10687"/>
    <w:rsid w:val="00E11089"/>
    <w:rsid w:val="00E113F4"/>
    <w:rsid w:val="00E11826"/>
    <w:rsid w:val="00E11DA0"/>
    <w:rsid w:val="00E11E29"/>
    <w:rsid w:val="00E121DD"/>
    <w:rsid w:val="00E12530"/>
    <w:rsid w:val="00E12E3F"/>
    <w:rsid w:val="00E12E4C"/>
    <w:rsid w:val="00E12F95"/>
    <w:rsid w:val="00E130CF"/>
    <w:rsid w:val="00E1367B"/>
    <w:rsid w:val="00E13F10"/>
    <w:rsid w:val="00E13F24"/>
    <w:rsid w:val="00E141D1"/>
    <w:rsid w:val="00E1421B"/>
    <w:rsid w:val="00E14B20"/>
    <w:rsid w:val="00E15402"/>
    <w:rsid w:val="00E156E3"/>
    <w:rsid w:val="00E156FB"/>
    <w:rsid w:val="00E15790"/>
    <w:rsid w:val="00E15949"/>
    <w:rsid w:val="00E16061"/>
    <w:rsid w:val="00E16175"/>
    <w:rsid w:val="00E162A3"/>
    <w:rsid w:val="00E1651D"/>
    <w:rsid w:val="00E16E7F"/>
    <w:rsid w:val="00E170CE"/>
    <w:rsid w:val="00E171E5"/>
    <w:rsid w:val="00E1721D"/>
    <w:rsid w:val="00E1734F"/>
    <w:rsid w:val="00E175F0"/>
    <w:rsid w:val="00E177B2"/>
    <w:rsid w:val="00E177BF"/>
    <w:rsid w:val="00E17FB0"/>
    <w:rsid w:val="00E203E7"/>
    <w:rsid w:val="00E20699"/>
    <w:rsid w:val="00E207AD"/>
    <w:rsid w:val="00E2124B"/>
    <w:rsid w:val="00E212BC"/>
    <w:rsid w:val="00E219F5"/>
    <w:rsid w:val="00E21C8A"/>
    <w:rsid w:val="00E21F39"/>
    <w:rsid w:val="00E22035"/>
    <w:rsid w:val="00E223C4"/>
    <w:rsid w:val="00E22466"/>
    <w:rsid w:val="00E22518"/>
    <w:rsid w:val="00E226AD"/>
    <w:rsid w:val="00E226C4"/>
    <w:rsid w:val="00E22E67"/>
    <w:rsid w:val="00E2311A"/>
    <w:rsid w:val="00E23A3A"/>
    <w:rsid w:val="00E23BE1"/>
    <w:rsid w:val="00E248FF"/>
    <w:rsid w:val="00E24A91"/>
    <w:rsid w:val="00E24E3A"/>
    <w:rsid w:val="00E2522F"/>
    <w:rsid w:val="00E25705"/>
    <w:rsid w:val="00E25DBA"/>
    <w:rsid w:val="00E25FF1"/>
    <w:rsid w:val="00E2626C"/>
    <w:rsid w:val="00E26344"/>
    <w:rsid w:val="00E2641B"/>
    <w:rsid w:val="00E2648D"/>
    <w:rsid w:val="00E266DA"/>
    <w:rsid w:val="00E26B14"/>
    <w:rsid w:val="00E2747C"/>
    <w:rsid w:val="00E27648"/>
    <w:rsid w:val="00E2777D"/>
    <w:rsid w:val="00E27821"/>
    <w:rsid w:val="00E27CD7"/>
    <w:rsid w:val="00E27F91"/>
    <w:rsid w:val="00E30375"/>
    <w:rsid w:val="00E30ADD"/>
    <w:rsid w:val="00E310B9"/>
    <w:rsid w:val="00E312E9"/>
    <w:rsid w:val="00E314BF"/>
    <w:rsid w:val="00E3153E"/>
    <w:rsid w:val="00E31758"/>
    <w:rsid w:val="00E31929"/>
    <w:rsid w:val="00E31AB2"/>
    <w:rsid w:val="00E31B54"/>
    <w:rsid w:val="00E31F54"/>
    <w:rsid w:val="00E325F9"/>
    <w:rsid w:val="00E3321A"/>
    <w:rsid w:val="00E33765"/>
    <w:rsid w:val="00E337FE"/>
    <w:rsid w:val="00E33DB1"/>
    <w:rsid w:val="00E33F90"/>
    <w:rsid w:val="00E340B2"/>
    <w:rsid w:val="00E34131"/>
    <w:rsid w:val="00E3480A"/>
    <w:rsid w:val="00E348BD"/>
    <w:rsid w:val="00E348E4"/>
    <w:rsid w:val="00E35397"/>
    <w:rsid w:val="00E35B8E"/>
    <w:rsid w:val="00E35F54"/>
    <w:rsid w:val="00E3613E"/>
    <w:rsid w:val="00E36A8D"/>
    <w:rsid w:val="00E36AEB"/>
    <w:rsid w:val="00E36BA6"/>
    <w:rsid w:val="00E3733C"/>
    <w:rsid w:val="00E37675"/>
    <w:rsid w:val="00E376C9"/>
    <w:rsid w:val="00E37C9C"/>
    <w:rsid w:val="00E404DF"/>
    <w:rsid w:val="00E408F9"/>
    <w:rsid w:val="00E40A00"/>
    <w:rsid w:val="00E41340"/>
    <w:rsid w:val="00E415CB"/>
    <w:rsid w:val="00E4166A"/>
    <w:rsid w:val="00E41779"/>
    <w:rsid w:val="00E41DCD"/>
    <w:rsid w:val="00E42222"/>
    <w:rsid w:val="00E425B5"/>
    <w:rsid w:val="00E42B3D"/>
    <w:rsid w:val="00E42BD3"/>
    <w:rsid w:val="00E42E2C"/>
    <w:rsid w:val="00E43499"/>
    <w:rsid w:val="00E434AC"/>
    <w:rsid w:val="00E43626"/>
    <w:rsid w:val="00E4399F"/>
    <w:rsid w:val="00E43B8F"/>
    <w:rsid w:val="00E43D28"/>
    <w:rsid w:val="00E449B1"/>
    <w:rsid w:val="00E44D61"/>
    <w:rsid w:val="00E44EC1"/>
    <w:rsid w:val="00E4514E"/>
    <w:rsid w:val="00E45296"/>
    <w:rsid w:val="00E45950"/>
    <w:rsid w:val="00E45969"/>
    <w:rsid w:val="00E45CCC"/>
    <w:rsid w:val="00E45D73"/>
    <w:rsid w:val="00E462DF"/>
    <w:rsid w:val="00E462FC"/>
    <w:rsid w:val="00E463A0"/>
    <w:rsid w:val="00E466D6"/>
    <w:rsid w:val="00E46718"/>
    <w:rsid w:val="00E46BA4"/>
    <w:rsid w:val="00E46C7A"/>
    <w:rsid w:val="00E46DD3"/>
    <w:rsid w:val="00E46E7A"/>
    <w:rsid w:val="00E47235"/>
    <w:rsid w:val="00E47300"/>
    <w:rsid w:val="00E474EB"/>
    <w:rsid w:val="00E4752F"/>
    <w:rsid w:val="00E4755E"/>
    <w:rsid w:val="00E475F8"/>
    <w:rsid w:val="00E47BF6"/>
    <w:rsid w:val="00E47D90"/>
    <w:rsid w:val="00E5013D"/>
    <w:rsid w:val="00E501F3"/>
    <w:rsid w:val="00E5042C"/>
    <w:rsid w:val="00E50700"/>
    <w:rsid w:val="00E515FD"/>
    <w:rsid w:val="00E51BB0"/>
    <w:rsid w:val="00E51CD6"/>
    <w:rsid w:val="00E51F0D"/>
    <w:rsid w:val="00E52B50"/>
    <w:rsid w:val="00E52B79"/>
    <w:rsid w:val="00E52D8F"/>
    <w:rsid w:val="00E5361D"/>
    <w:rsid w:val="00E53A00"/>
    <w:rsid w:val="00E53BA0"/>
    <w:rsid w:val="00E53E8E"/>
    <w:rsid w:val="00E547F4"/>
    <w:rsid w:val="00E54A86"/>
    <w:rsid w:val="00E54AB7"/>
    <w:rsid w:val="00E54C93"/>
    <w:rsid w:val="00E55A39"/>
    <w:rsid w:val="00E55C9B"/>
    <w:rsid w:val="00E55FB6"/>
    <w:rsid w:val="00E5610C"/>
    <w:rsid w:val="00E56119"/>
    <w:rsid w:val="00E56513"/>
    <w:rsid w:val="00E565B1"/>
    <w:rsid w:val="00E56F7D"/>
    <w:rsid w:val="00E570C9"/>
    <w:rsid w:val="00E57170"/>
    <w:rsid w:val="00E57B0B"/>
    <w:rsid w:val="00E600FF"/>
    <w:rsid w:val="00E606A9"/>
    <w:rsid w:val="00E613D6"/>
    <w:rsid w:val="00E61B94"/>
    <w:rsid w:val="00E61C2B"/>
    <w:rsid w:val="00E61CB3"/>
    <w:rsid w:val="00E61D6D"/>
    <w:rsid w:val="00E6225D"/>
    <w:rsid w:val="00E62333"/>
    <w:rsid w:val="00E628F9"/>
    <w:rsid w:val="00E62F11"/>
    <w:rsid w:val="00E630B6"/>
    <w:rsid w:val="00E637D4"/>
    <w:rsid w:val="00E63A6D"/>
    <w:rsid w:val="00E63BEA"/>
    <w:rsid w:val="00E64349"/>
    <w:rsid w:val="00E645EA"/>
    <w:rsid w:val="00E64E4F"/>
    <w:rsid w:val="00E650CE"/>
    <w:rsid w:val="00E6511E"/>
    <w:rsid w:val="00E6531C"/>
    <w:rsid w:val="00E6545A"/>
    <w:rsid w:val="00E6568B"/>
    <w:rsid w:val="00E65922"/>
    <w:rsid w:val="00E65961"/>
    <w:rsid w:val="00E65E0C"/>
    <w:rsid w:val="00E6614E"/>
    <w:rsid w:val="00E662D9"/>
    <w:rsid w:val="00E6631E"/>
    <w:rsid w:val="00E66E49"/>
    <w:rsid w:val="00E6718D"/>
    <w:rsid w:val="00E67256"/>
    <w:rsid w:val="00E67280"/>
    <w:rsid w:val="00E67949"/>
    <w:rsid w:val="00E679B4"/>
    <w:rsid w:val="00E67DBF"/>
    <w:rsid w:val="00E67E7B"/>
    <w:rsid w:val="00E70258"/>
    <w:rsid w:val="00E70793"/>
    <w:rsid w:val="00E707ED"/>
    <w:rsid w:val="00E708ED"/>
    <w:rsid w:val="00E70A8B"/>
    <w:rsid w:val="00E70F20"/>
    <w:rsid w:val="00E70F6B"/>
    <w:rsid w:val="00E70FEA"/>
    <w:rsid w:val="00E712E2"/>
    <w:rsid w:val="00E71413"/>
    <w:rsid w:val="00E716F3"/>
    <w:rsid w:val="00E71F5F"/>
    <w:rsid w:val="00E71FCB"/>
    <w:rsid w:val="00E720E0"/>
    <w:rsid w:val="00E72829"/>
    <w:rsid w:val="00E72C58"/>
    <w:rsid w:val="00E72C86"/>
    <w:rsid w:val="00E72D5D"/>
    <w:rsid w:val="00E72F7F"/>
    <w:rsid w:val="00E738AB"/>
    <w:rsid w:val="00E74181"/>
    <w:rsid w:val="00E7425C"/>
    <w:rsid w:val="00E7445B"/>
    <w:rsid w:val="00E74726"/>
    <w:rsid w:val="00E74DA6"/>
    <w:rsid w:val="00E753DE"/>
    <w:rsid w:val="00E755A1"/>
    <w:rsid w:val="00E756FE"/>
    <w:rsid w:val="00E759FA"/>
    <w:rsid w:val="00E75A66"/>
    <w:rsid w:val="00E75C4B"/>
    <w:rsid w:val="00E75CAF"/>
    <w:rsid w:val="00E75D36"/>
    <w:rsid w:val="00E762AB"/>
    <w:rsid w:val="00E76CF9"/>
    <w:rsid w:val="00E777B3"/>
    <w:rsid w:val="00E77B9E"/>
    <w:rsid w:val="00E77D79"/>
    <w:rsid w:val="00E800D1"/>
    <w:rsid w:val="00E805FB"/>
    <w:rsid w:val="00E80DBA"/>
    <w:rsid w:val="00E81064"/>
    <w:rsid w:val="00E81491"/>
    <w:rsid w:val="00E81C3C"/>
    <w:rsid w:val="00E81F71"/>
    <w:rsid w:val="00E82084"/>
    <w:rsid w:val="00E82723"/>
    <w:rsid w:val="00E8278D"/>
    <w:rsid w:val="00E82C14"/>
    <w:rsid w:val="00E830E8"/>
    <w:rsid w:val="00E83A08"/>
    <w:rsid w:val="00E8460C"/>
    <w:rsid w:val="00E84613"/>
    <w:rsid w:val="00E84E43"/>
    <w:rsid w:val="00E8528E"/>
    <w:rsid w:val="00E855D9"/>
    <w:rsid w:val="00E85661"/>
    <w:rsid w:val="00E85751"/>
    <w:rsid w:val="00E85D65"/>
    <w:rsid w:val="00E862C1"/>
    <w:rsid w:val="00E86718"/>
    <w:rsid w:val="00E86B97"/>
    <w:rsid w:val="00E86C03"/>
    <w:rsid w:val="00E86E17"/>
    <w:rsid w:val="00E86E5F"/>
    <w:rsid w:val="00E870C0"/>
    <w:rsid w:val="00E87104"/>
    <w:rsid w:val="00E87114"/>
    <w:rsid w:val="00E878F4"/>
    <w:rsid w:val="00E87D29"/>
    <w:rsid w:val="00E87DBB"/>
    <w:rsid w:val="00E87EA2"/>
    <w:rsid w:val="00E90805"/>
    <w:rsid w:val="00E90985"/>
    <w:rsid w:val="00E90A5B"/>
    <w:rsid w:val="00E90A60"/>
    <w:rsid w:val="00E91205"/>
    <w:rsid w:val="00E913DF"/>
    <w:rsid w:val="00E91593"/>
    <w:rsid w:val="00E91DC8"/>
    <w:rsid w:val="00E92AC4"/>
    <w:rsid w:val="00E92DF5"/>
    <w:rsid w:val="00E9324C"/>
    <w:rsid w:val="00E93322"/>
    <w:rsid w:val="00E938F5"/>
    <w:rsid w:val="00E93F7B"/>
    <w:rsid w:val="00E93FB4"/>
    <w:rsid w:val="00E93FE1"/>
    <w:rsid w:val="00E9421A"/>
    <w:rsid w:val="00E94281"/>
    <w:rsid w:val="00E94A5B"/>
    <w:rsid w:val="00E94DB3"/>
    <w:rsid w:val="00E9532B"/>
    <w:rsid w:val="00E954CD"/>
    <w:rsid w:val="00E95AE1"/>
    <w:rsid w:val="00E95BCB"/>
    <w:rsid w:val="00E95E9D"/>
    <w:rsid w:val="00E963D2"/>
    <w:rsid w:val="00E96C36"/>
    <w:rsid w:val="00E96D91"/>
    <w:rsid w:val="00E97484"/>
    <w:rsid w:val="00E97859"/>
    <w:rsid w:val="00E97A78"/>
    <w:rsid w:val="00E97B6A"/>
    <w:rsid w:val="00E97D1A"/>
    <w:rsid w:val="00E97E32"/>
    <w:rsid w:val="00E97FCB"/>
    <w:rsid w:val="00EA003F"/>
    <w:rsid w:val="00EA08FC"/>
    <w:rsid w:val="00EA0BE4"/>
    <w:rsid w:val="00EA0D11"/>
    <w:rsid w:val="00EA2774"/>
    <w:rsid w:val="00EA2A15"/>
    <w:rsid w:val="00EA2E10"/>
    <w:rsid w:val="00EA2E77"/>
    <w:rsid w:val="00EA32DF"/>
    <w:rsid w:val="00EA366F"/>
    <w:rsid w:val="00EA3D76"/>
    <w:rsid w:val="00EA4432"/>
    <w:rsid w:val="00EA4727"/>
    <w:rsid w:val="00EA4A5F"/>
    <w:rsid w:val="00EA4C46"/>
    <w:rsid w:val="00EA4F19"/>
    <w:rsid w:val="00EA5278"/>
    <w:rsid w:val="00EA543D"/>
    <w:rsid w:val="00EA560C"/>
    <w:rsid w:val="00EA56A6"/>
    <w:rsid w:val="00EA5F6C"/>
    <w:rsid w:val="00EA646D"/>
    <w:rsid w:val="00EA6564"/>
    <w:rsid w:val="00EA65A5"/>
    <w:rsid w:val="00EA6839"/>
    <w:rsid w:val="00EA6B24"/>
    <w:rsid w:val="00EA7201"/>
    <w:rsid w:val="00EA78D0"/>
    <w:rsid w:val="00EA790A"/>
    <w:rsid w:val="00EB04AD"/>
    <w:rsid w:val="00EB04F6"/>
    <w:rsid w:val="00EB0764"/>
    <w:rsid w:val="00EB0D15"/>
    <w:rsid w:val="00EB1365"/>
    <w:rsid w:val="00EB139A"/>
    <w:rsid w:val="00EB1756"/>
    <w:rsid w:val="00EB1C72"/>
    <w:rsid w:val="00EB1F05"/>
    <w:rsid w:val="00EB22F9"/>
    <w:rsid w:val="00EB2381"/>
    <w:rsid w:val="00EB23EF"/>
    <w:rsid w:val="00EB370F"/>
    <w:rsid w:val="00EB37D8"/>
    <w:rsid w:val="00EB37DC"/>
    <w:rsid w:val="00EB3C30"/>
    <w:rsid w:val="00EB404F"/>
    <w:rsid w:val="00EB4727"/>
    <w:rsid w:val="00EB4735"/>
    <w:rsid w:val="00EB56A9"/>
    <w:rsid w:val="00EB58DA"/>
    <w:rsid w:val="00EB5A2A"/>
    <w:rsid w:val="00EB5A41"/>
    <w:rsid w:val="00EB5A59"/>
    <w:rsid w:val="00EB5C04"/>
    <w:rsid w:val="00EB5D11"/>
    <w:rsid w:val="00EB69E7"/>
    <w:rsid w:val="00EB6C20"/>
    <w:rsid w:val="00EB713B"/>
    <w:rsid w:val="00EB736C"/>
    <w:rsid w:val="00EB762C"/>
    <w:rsid w:val="00EB794D"/>
    <w:rsid w:val="00EB79BA"/>
    <w:rsid w:val="00EB7C7F"/>
    <w:rsid w:val="00EB7F1B"/>
    <w:rsid w:val="00EC03EB"/>
    <w:rsid w:val="00EC0B1D"/>
    <w:rsid w:val="00EC0DA4"/>
    <w:rsid w:val="00EC0EE6"/>
    <w:rsid w:val="00EC177E"/>
    <w:rsid w:val="00EC2065"/>
    <w:rsid w:val="00EC29F9"/>
    <w:rsid w:val="00EC2BAB"/>
    <w:rsid w:val="00EC2D0C"/>
    <w:rsid w:val="00EC2D30"/>
    <w:rsid w:val="00EC324F"/>
    <w:rsid w:val="00EC369E"/>
    <w:rsid w:val="00EC3AE0"/>
    <w:rsid w:val="00EC3E3A"/>
    <w:rsid w:val="00EC4652"/>
    <w:rsid w:val="00EC4BB5"/>
    <w:rsid w:val="00EC4D9F"/>
    <w:rsid w:val="00EC4E07"/>
    <w:rsid w:val="00EC4FC3"/>
    <w:rsid w:val="00EC513B"/>
    <w:rsid w:val="00EC5165"/>
    <w:rsid w:val="00EC5327"/>
    <w:rsid w:val="00EC56D7"/>
    <w:rsid w:val="00EC671D"/>
    <w:rsid w:val="00EC6D2C"/>
    <w:rsid w:val="00EC6D70"/>
    <w:rsid w:val="00EC716A"/>
    <w:rsid w:val="00EC717E"/>
    <w:rsid w:val="00EC7874"/>
    <w:rsid w:val="00EC7987"/>
    <w:rsid w:val="00EC7DB1"/>
    <w:rsid w:val="00EC7E75"/>
    <w:rsid w:val="00ED0754"/>
    <w:rsid w:val="00ED0BFB"/>
    <w:rsid w:val="00ED0CC2"/>
    <w:rsid w:val="00ED1090"/>
    <w:rsid w:val="00ED1668"/>
    <w:rsid w:val="00ED186F"/>
    <w:rsid w:val="00ED1919"/>
    <w:rsid w:val="00ED1B51"/>
    <w:rsid w:val="00ED2198"/>
    <w:rsid w:val="00ED25BC"/>
    <w:rsid w:val="00ED299E"/>
    <w:rsid w:val="00ED2C2A"/>
    <w:rsid w:val="00ED3078"/>
    <w:rsid w:val="00ED309A"/>
    <w:rsid w:val="00ED33DC"/>
    <w:rsid w:val="00ED34C3"/>
    <w:rsid w:val="00ED38A4"/>
    <w:rsid w:val="00ED3DA8"/>
    <w:rsid w:val="00ED410E"/>
    <w:rsid w:val="00ED418A"/>
    <w:rsid w:val="00ED41A9"/>
    <w:rsid w:val="00ED44FA"/>
    <w:rsid w:val="00ED49E7"/>
    <w:rsid w:val="00ED4BB3"/>
    <w:rsid w:val="00ED4BFC"/>
    <w:rsid w:val="00ED5610"/>
    <w:rsid w:val="00ED5919"/>
    <w:rsid w:val="00ED5FD0"/>
    <w:rsid w:val="00ED6858"/>
    <w:rsid w:val="00ED6F08"/>
    <w:rsid w:val="00ED703E"/>
    <w:rsid w:val="00ED74E2"/>
    <w:rsid w:val="00ED74EB"/>
    <w:rsid w:val="00ED779E"/>
    <w:rsid w:val="00ED78B3"/>
    <w:rsid w:val="00ED7E03"/>
    <w:rsid w:val="00EE000A"/>
    <w:rsid w:val="00EE0072"/>
    <w:rsid w:val="00EE0460"/>
    <w:rsid w:val="00EE04A7"/>
    <w:rsid w:val="00EE0B8C"/>
    <w:rsid w:val="00EE0BA0"/>
    <w:rsid w:val="00EE0D5E"/>
    <w:rsid w:val="00EE10F6"/>
    <w:rsid w:val="00EE144B"/>
    <w:rsid w:val="00EE15C2"/>
    <w:rsid w:val="00EE1B57"/>
    <w:rsid w:val="00EE1D59"/>
    <w:rsid w:val="00EE1E8F"/>
    <w:rsid w:val="00EE1F06"/>
    <w:rsid w:val="00EE2147"/>
    <w:rsid w:val="00EE2313"/>
    <w:rsid w:val="00EE29E0"/>
    <w:rsid w:val="00EE3630"/>
    <w:rsid w:val="00EE3795"/>
    <w:rsid w:val="00EE37E4"/>
    <w:rsid w:val="00EE44C5"/>
    <w:rsid w:val="00EE48AC"/>
    <w:rsid w:val="00EE5671"/>
    <w:rsid w:val="00EE5865"/>
    <w:rsid w:val="00EE5A69"/>
    <w:rsid w:val="00EE60F5"/>
    <w:rsid w:val="00EE6131"/>
    <w:rsid w:val="00EE6239"/>
    <w:rsid w:val="00EE6487"/>
    <w:rsid w:val="00EE669E"/>
    <w:rsid w:val="00EE694E"/>
    <w:rsid w:val="00EE7021"/>
    <w:rsid w:val="00EE7098"/>
    <w:rsid w:val="00EE7244"/>
    <w:rsid w:val="00EE76C6"/>
    <w:rsid w:val="00EE79D0"/>
    <w:rsid w:val="00EE7A22"/>
    <w:rsid w:val="00EE7BC4"/>
    <w:rsid w:val="00EE7D15"/>
    <w:rsid w:val="00EE7D77"/>
    <w:rsid w:val="00EF0A57"/>
    <w:rsid w:val="00EF13A5"/>
    <w:rsid w:val="00EF24B6"/>
    <w:rsid w:val="00EF25D3"/>
    <w:rsid w:val="00EF2641"/>
    <w:rsid w:val="00EF2868"/>
    <w:rsid w:val="00EF2E91"/>
    <w:rsid w:val="00EF3962"/>
    <w:rsid w:val="00EF3A42"/>
    <w:rsid w:val="00EF3CB6"/>
    <w:rsid w:val="00EF3D8A"/>
    <w:rsid w:val="00EF3DA4"/>
    <w:rsid w:val="00EF40DF"/>
    <w:rsid w:val="00EF43E3"/>
    <w:rsid w:val="00EF4A55"/>
    <w:rsid w:val="00EF4E44"/>
    <w:rsid w:val="00EF4FF8"/>
    <w:rsid w:val="00EF5013"/>
    <w:rsid w:val="00EF5412"/>
    <w:rsid w:val="00EF5891"/>
    <w:rsid w:val="00EF5926"/>
    <w:rsid w:val="00EF5A31"/>
    <w:rsid w:val="00EF5AF6"/>
    <w:rsid w:val="00EF5B97"/>
    <w:rsid w:val="00EF5E8A"/>
    <w:rsid w:val="00EF60F7"/>
    <w:rsid w:val="00EF651B"/>
    <w:rsid w:val="00EF65F7"/>
    <w:rsid w:val="00EF6A6C"/>
    <w:rsid w:val="00EF74BD"/>
    <w:rsid w:val="00EF7515"/>
    <w:rsid w:val="00F002F6"/>
    <w:rsid w:val="00F003B6"/>
    <w:rsid w:val="00F006DC"/>
    <w:rsid w:val="00F007EC"/>
    <w:rsid w:val="00F00ABB"/>
    <w:rsid w:val="00F00BEC"/>
    <w:rsid w:val="00F00E7C"/>
    <w:rsid w:val="00F016AC"/>
    <w:rsid w:val="00F019ED"/>
    <w:rsid w:val="00F021AE"/>
    <w:rsid w:val="00F022A1"/>
    <w:rsid w:val="00F02FEF"/>
    <w:rsid w:val="00F0322B"/>
    <w:rsid w:val="00F037CF"/>
    <w:rsid w:val="00F038D5"/>
    <w:rsid w:val="00F0429E"/>
    <w:rsid w:val="00F042A9"/>
    <w:rsid w:val="00F04465"/>
    <w:rsid w:val="00F04488"/>
    <w:rsid w:val="00F044EB"/>
    <w:rsid w:val="00F04B01"/>
    <w:rsid w:val="00F04CB8"/>
    <w:rsid w:val="00F04CE5"/>
    <w:rsid w:val="00F04EDA"/>
    <w:rsid w:val="00F04F9C"/>
    <w:rsid w:val="00F051B6"/>
    <w:rsid w:val="00F052EB"/>
    <w:rsid w:val="00F0591B"/>
    <w:rsid w:val="00F060ED"/>
    <w:rsid w:val="00F06F21"/>
    <w:rsid w:val="00F0709B"/>
    <w:rsid w:val="00F0718C"/>
    <w:rsid w:val="00F0785E"/>
    <w:rsid w:val="00F07AAE"/>
    <w:rsid w:val="00F07AF9"/>
    <w:rsid w:val="00F07C9F"/>
    <w:rsid w:val="00F10095"/>
    <w:rsid w:val="00F11151"/>
    <w:rsid w:val="00F112D7"/>
    <w:rsid w:val="00F1179C"/>
    <w:rsid w:val="00F11A4A"/>
    <w:rsid w:val="00F11A75"/>
    <w:rsid w:val="00F11CF5"/>
    <w:rsid w:val="00F11FAF"/>
    <w:rsid w:val="00F122E9"/>
    <w:rsid w:val="00F124E0"/>
    <w:rsid w:val="00F125BA"/>
    <w:rsid w:val="00F126C5"/>
    <w:rsid w:val="00F12B0D"/>
    <w:rsid w:val="00F12C34"/>
    <w:rsid w:val="00F12D24"/>
    <w:rsid w:val="00F132F5"/>
    <w:rsid w:val="00F13594"/>
    <w:rsid w:val="00F1404C"/>
    <w:rsid w:val="00F14080"/>
    <w:rsid w:val="00F1467C"/>
    <w:rsid w:val="00F14720"/>
    <w:rsid w:val="00F14C4E"/>
    <w:rsid w:val="00F14D47"/>
    <w:rsid w:val="00F151C4"/>
    <w:rsid w:val="00F153B8"/>
    <w:rsid w:val="00F15554"/>
    <w:rsid w:val="00F15713"/>
    <w:rsid w:val="00F15810"/>
    <w:rsid w:val="00F15870"/>
    <w:rsid w:val="00F15EDB"/>
    <w:rsid w:val="00F16162"/>
    <w:rsid w:val="00F16232"/>
    <w:rsid w:val="00F165A7"/>
    <w:rsid w:val="00F1683A"/>
    <w:rsid w:val="00F16E82"/>
    <w:rsid w:val="00F16F77"/>
    <w:rsid w:val="00F17359"/>
    <w:rsid w:val="00F179AD"/>
    <w:rsid w:val="00F2021D"/>
    <w:rsid w:val="00F206F4"/>
    <w:rsid w:val="00F20ED5"/>
    <w:rsid w:val="00F20F8E"/>
    <w:rsid w:val="00F215B0"/>
    <w:rsid w:val="00F21CDE"/>
    <w:rsid w:val="00F2212D"/>
    <w:rsid w:val="00F22219"/>
    <w:rsid w:val="00F2248B"/>
    <w:rsid w:val="00F224D5"/>
    <w:rsid w:val="00F22808"/>
    <w:rsid w:val="00F2282A"/>
    <w:rsid w:val="00F22F7A"/>
    <w:rsid w:val="00F24267"/>
    <w:rsid w:val="00F24583"/>
    <w:rsid w:val="00F2502B"/>
    <w:rsid w:val="00F251CB"/>
    <w:rsid w:val="00F25371"/>
    <w:rsid w:val="00F2539F"/>
    <w:rsid w:val="00F253D1"/>
    <w:rsid w:val="00F255D1"/>
    <w:rsid w:val="00F2565B"/>
    <w:rsid w:val="00F2589A"/>
    <w:rsid w:val="00F2595F"/>
    <w:rsid w:val="00F25E7B"/>
    <w:rsid w:val="00F25FFD"/>
    <w:rsid w:val="00F2637A"/>
    <w:rsid w:val="00F263FC"/>
    <w:rsid w:val="00F2670E"/>
    <w:rsid w:val="00F26AF7"/>
    <w:rsid w:val="00F27043"/>
    <w:rsid w:val="00F2707D"/>
    <w:rsid w:val="00F271D3"/>
    <w:rsid w:val="00F273A9"/>
    <w:rsid w:val="00F27435"/>
    <w:rsid w:val="00F2744C"/>
    <w:rsid w:val="00F27530"/>
    <w:rsid w:val="00F277A5"/>
    <w:rsid w:val="00F27972"/>
    <w:rsid w:val="00F27C59"/>
    <w:rsid w:val="00F27E86"/>
    <w:rsid w:val="00F27F56"/>
    <w:rsid w:val="00F301A8"/>
    <w:rsid w:val="00F30B4D"/>
    <w:rsid w:val="00F30E07"/>
    <w:rsid w:val="00F30F95"/>
    <w:rsid w:val="00F3183F"/>
    <w:rsid w:val="00F31C4A"/>
    <w:rsid w:val="00F32B9A"/>
    <w:rsid w:val="00F32CA7"/>
    <w:rsid w:val="00F32CCD"/>
    <w:rsid w:val="00F32FAD"/>
    <w:rsid w:val="00F3305D"/>
    <w:rsid w:val="00F33262"/>
    <w:rsid w:val="00F33440"/>
    <w:rsid w:val="00F33561"/>
    <w:rsid w:val="00F3358D"/>
    <w:rsid w:val="00F33891"/>
    <w:rsid w:val="00F34175"/>
    <w:rsid w:val="00F3437E"/>
    <w:rsid w:val="00F344F0"/>
    <w:rsid w:val="00F34A12"/>
    <w:rsid w:val="00F34F23"/>
    <w:rsid w:val="00F35191"/>
    <w:rsid w:val="00F36C1E"/>
    <w:rsid w:val="00F40132"/>
    <w:rsid w:val="00F40349"/>
    <w:rsid w:val="00F40417"/>
    <w:rsid w:val="00F40845"/>
    <w:rsid w:val="00F40CF5"/>
    <w:rsid w:val="00F4109B"/>
    <w:rsid w:val="00F4110F"/>
    <w:rsid w:val="00F41419"/>
    <w:rsid w:val="00F414B3"/>
    <w:rsid w:val="00F414F5"/>
    <w:rsid w:val="00F41A02"/>
    <w:rsid w:val="00F41A9A"/>
    <w:rsid w:val="00F41DA3"/>
    <w:rsid w:val="00F42534"/>
    <w:rsid w:val="00F42BCE"/>
    <w:rsid w:val="00F4310C"/>
    <w:rsid w:val="00F4312D"/>
    <w:rsid w:val="00F434DF"/>
    <w:rsid w:val="00F43682"/>
    <w:rsid w:val="00F436BE"/>
    <w:rsid w:val="00F43821"/>
    <w:rsid w:val="00F43B28"/>
    <w:rsid w:val="00F43B3A"/>
    <w:rsid w:val="00F43D1C"/>
    <w:rsid w:val="00F44031"/>
    <w:rsid w:val="00F4411F"/>
    <w:rsid w:val="00F4413E"/>
    <w:rsid w:val="00F44C37"/>
    <w:rsid w:val="00F44E0E"/>
    <w:rsid w:val="00F45031"/>
    <w:rsid w:val="00F4580B"/>
    <w:rsid w:val="00F45880"/>
    <w:rsid w:val="00F45F5A"/>
    <w:rsid w:val="00F469C2"/>
    <w:rsid w:val="00F46B2C"/>
    <w:rsid w:val="00F46BFB"/>
    <w:rsid w:val="00F4712D"/>
    <w:rsid w:val="00F47236"/>
    <w:rsid w:val="00F474CC"/>
    <w:rsid w:val="00F478B1"/>
    <w:rsid w:val="00F47F6F"/>
    <w:rsid w:val="00F50328"/>
    <w:rsid w:val="00F51168"/>
    <w:rsid w:val="00F5148A"/>
    <w:rsid w:val="00F514C2"/>
    <w:rsid w:val="00F514FA"/>
    <w:rsid w:val="00F51939"/>
    <w:rsid w:val="00F51D8E"/>
    <w:rsid w:val="00F51EB5"/>
    <w:rsid w:val="00F5394D"/>
    <w:rsid w:val="00F53B62"/>
    <w:rsid w:val="00F53C35"/>
    <w:rsid w:val="00F53FAC"/>
    <w:rsid w:val="00F5402A"/>
    <w:rsid w:val="00F54037"/>
    <w:rsid w:val="00F5424E"/>
    <w:rsid w:val="00F545E5"/>
    <w:rsid w:val="00F54A3F"/>
    <w:rsid w:val="00F54E26"/>
    <w:rsid w:val="00F5505E"/>
    <w:rsid w:val="00F5509B"/>
    <w:rsid w:val="00F551B5"/>
    <w:rsid w:val="00F5525A"/>
    <w:rsid w:val="00F55519"/>
    <w:rsid w:val="00F563B5"/>
    <w:rsid w:val="00F5688E"/>
    <w:rsid w:val="00F568AE"/>
    <w:rsid w:val="00F56E88"/>
    <w:rsid w:val="00F56F4D"/>
    <w:rsid w:val="00F56FBE"/>
    <w:rsid w:val="00F57386"/>
    <w:rsid w:val="00F576E6"/>
    <w:rsid w:val="00F601E5"/>
    <w:rsid w:val="00F60805"/>
    <w:rsid w:val="00F60D36"/>
    <w:rsid w:val="00F60F58"/>
    <w:rsid w:val="00F617DC"/>
    <w:rsid w:val="00F61DAB"/>
    <w:rsid w:val="00F62388"/>
    <w:rsid w:val="00F62915"/>
    <w:rsid w:val="00F62C9B"/>
    <w:rsid w:val="00F6324E"/>
    <w:rsid w:val="00F634E9"/>
    <w:rsid w:val="00F63D09"/>
    <w:rsid w:val="00F63D72"/>
    <w:rsid w:val="00F63E9B"/>
    <w:rsid w:val="00F6432E"/>
    <w:rsid w:val="00F64334"/>
    <w:rsid w:val="00F64387"/>
    <w:rsid w:val="00F64838"/>
    <w:rsid w:val="00F64CC5"/>
    <w:rsid w:val="00F654E9"/>
    <w:rsid w:val="00F65700"/>
    <w:rsid w:val="00F657CC"/>
    <w:rsid w:val="00F65D5D"/>
    <w:rsid w:val="00F661FF"/>
    <w:rsid w:val="00F6684D"/>
    <w:rsid w:val="00F6763F"/>
    <w:rsid w:val="00F67A69"/>
    <w:rsid w:val="00F67CE4"/>
    <w:rsid w:val="00F67D76"/>
    <w:rsid w:val="00F70382"/>
    <w:rsid w:val="00F70530"/>
    <w:rsid w:val="00F70860"/>
    <w:rsid w:val="00F7086F"/>
    <w:rsid w:val="00F712E9"/>
    <w:rsid w:val="00F715B2"/>
    <w:rsid w:val="00F71A92"/>
    <w:rsid w:val="00F71B4A"/>
    <w:rsid w:val="00F71EAB"/>
    <w:rsid w:val="00F71EBF"/>
    <w:rsid w:val="00F721A9"/>
    <w:rsid w:val="00F725F2"/>
    <w:rsid w:val="00F72CE8"/>
    <w:rsid w:val="00F73F37"/>
    <w:rsid w:val="00F742A9"/>
    <w:rsid w:val="00F74CDE"/>
    <w:rsid w:val="00F74DD9"/>
    <w:rsid w:val="00F7524C"/>
    <w:rsid w:val="00F7538F"/>
    <w:rsid w:val="00F76518"/>
    <w:rsid w:val="00F76948"/>
    <w:rsid w:val="00F77011"/>
    <w:rsid w:val="00F77349"/>
    <w:rsid w:val="00F77619"/>
    <w:rsid w:val="00F77B7F"/>
    <w:rsid w:val="00F77BC2"/>
    <w:rsid w:val="00F77D65"/>
    <w:rsid w:val="00F806BA"/>
    <w:rsid w:val="00F807D3"/>
    <w:rsid w:val="00F8096B"/>
    <w:rsid w:val="00F80A59"/>
    <w:rsid w:val="00F80ECC"/>
    <w:rsid w:val="00F80F2E"/>
    <w:rsid w:val="00F811C1"/>
    <w:rsid w:val="00F8130B"/>
    <w:rsid w:val="00F81441"/>
    <w:rsid w:val="00F816AC"/>
    <w:rsid w:val="00F81AAB"/>
    <w:rsid w:val="00F81BC5"/>
    <w:rsid w:val="00F81BE6"/>
    <w:rsid w:val="00F82198"/>
    <w:rsid w:val="00F8246B"/>
    <w:rsid w:val="00F82751"/>
    <w:rsid w:val="00F8276C"/>
    <w:rsid w:val="00F82D56"/>
    <w:rsid w:val="00F83398"/>
    <w:rsid w:val="00F8391D"/>
    <w:rsid w:val="00F84076"/>
    <w:rsid w:val="00F841D3"/>
    <w:rsid w:val="00F84C80"/>
    <w:rsid w:val="00F84F75"/>
    <w:rsid w:val="00F84FF7"/>
    <w:rsid w:val="00F85464"/>
    <w:rsid w:val="00F85737"/>
    <w:rsid w:val="00F85BAD"/>
    <w:rsid w:val="00F86108"/>
    <w:rsid w:val="00F862F6"/>
    <w:rsid w:val="00F86397"/>
    <w:rsid w:val="00F864E7"/>
    <w:rsid w:val="00F86554"/>
    <w:rsid w:val="00F86892"/>
    <w:rsid w:val="00F86B6A"/>
    <w:rsid w:val="00F86E5D"/>
    <w:rsid w:val="00F86F93"/>
    <w:rsid w:val="00F876D6"/>
    <w:rsid w:val="00F877F0"/>
    <w:rsid w:val="00F90614"/>
    <w:rsid w:val="00F911A1"/>
    <w:rsid w:val="00F917D7"/>
    <w:rsid w:val="00F91955"/>
    <w:rsid w:val="00F91D6E"/>
    <w:rsid w:val="00F92117"/>
    <w:rsid w:val="00F92501"/>
    <w:rsid w:val="00F92575"/>
    <w:rsid w:val="00F92761"/>
    <w:rsid w:val="00F92A6F"/>
    <w:rsid w:val="00F92C95"/>
    <w:rsid w:val="00F9370D"/>
    <w:rsid w:val="00F93AA1"/>
    <w:rsid w:val="00F93C46"/>
    <w:rsid w:val="00F93DED"/>
    <w:rsid w:val="00F93E18"/>
    <w:rsid w:val="00F94060"/>
    <w:rsid w:val="00F9480C"/>
    <w:rsid w:val="00F9490A"/>
    <w:rsid w:val="00F94CD8"/>
    <w:rsid w:val="00F94E9E"/>
    <w:rsid w:val="00F951DD"/>
    <w:rsid w:val="00F95D08"/>
    <w:rsid w:val="00F96072"/>
    <w:rsid w:val="00F96081"/>
    <w:rsid w:val="00F963AF"/>
    <w:rsid w:val="00F96583"/>
    <w:rsid w:val="00F96958"/>
    <w:rsid w:val="00F96A8B"/>
    <w:rsid w:val="00F972FA"/>
    <w:rsid w:val="00F975AB"/>
    <w:rsid w:val="00F975D8"/>
    <w:rsid w:val="00F9785A"/>
    <w:rsid w:val="00F97917"/>
    <w:rsid w:val="00F97A6E"/>
    <w:rsid w:val="00F97AD4"/>
    <w:rsid w:val="00F97F55"/>
    <w:rsid w:val="00FA008A"/>
    <w:rsid w:val="00FA0290"/>
    <w:rsid w:val="00FA050E"/>
    <w:rsid w:val="00FA09C0"/>
    <w:rsid w:val="00FA0D28"/>
    <w:rsid w:val="00FA11E6"/>
    <w:rsid w:val="00FA164C"/>
    <w:rsid w:val="00FA175B"/>
    <w:rsid w:val="00FA17FE"/>
    <w:rsid w:val="00FA1A2D"/>
    <w:rsid w:val="00FA1AF3"/>
    <w:rsid w:val="00FA1B12"/>
    <w:rsid w:val="00FA1C39"/>
    <w:rsid w:val="00FA1E5D"/>
    <w:rsid w:val="00FA1EA0"/>
    <w:rsid w:val="00FA2662"/>
    <w:rsid w:val="00FA27F6"/>
    <w:rsid w:val="00FA2AD7"/>
    <w:rsid w:val="00FA2BC3"/>
    <w:rsid w:val="00FA3243"/>
    <w:rsid w:val="00FA3339"/>
    <w:rsid w:val="00FA3708"/>
    <w:rsid w:val="00FA3C2C"/>
    <w:rsid w:val="00FA3C4E"/>
    <w:rsid w:val="00FA3C81"/>
    <w:rsid w:val="00FA3CF9"/>
    <w:rsid w:val="00FA3D32"/>
    <w:rsid w:val="00FA42CA"/>
    <w:rsid w:val="00FA4338"/>
    <w:rsid w:val="00FA454F"/>
    <w:rsid w:val="00FA4715"/>
    <w:rsid w:val="00FA49C6"/>
    <w:rsid w:val="00FA4A5B"/>
    <w:rsid w:val="00FA5450"/>
    <w:rsid w:val="00FA54C3"/>
    <w:rsid w:val="00FA55F9"/>
    <w:rsid w:val="00FA686D"/>
    <w:rsid w:val="00FA6BDB"/>
    <w:rsid w:val="00FA6C3A"/>
    <w:rsid w:val="00FA6D0E"/>
    <w:rsid w:val="00FA6EE8"/>
    <w:rsid w:val="00FA740B"/>
    <w:rsid w:val="00FA75E8"/>
    <w:rsid w:val="00FA777F"/>
    <w:rsid w:val="00FA7966"/>
    <w:rsid w:val="00FA7A79"/>
    <w:rsid w:val="00FA7C42"/>
    <w:rsid w:val="00FA7D53"/>
    <w:rsid w:val="00FA7DEA"/>
    <w:rsid w:val="00FB09B9"/>
    <w:rsid w:val="00FB0BB8"/>
    <w:rsid w:val="00FB1147"/>
    <w:rsid w:val="00FB185E"/>
    <w:rsid w:val="00FB19FF"/>
    <w:rsid w:val="00FB1AF2"/>
    <w:rsid w:val="00FB1CB2"/>
    <w:rsid w:val="00FB1FDA"/>
    <w:rsid w:val="00FB2071"/>
    <w:rsid w:val="00FB2AEA"/>
    <w:rsid w:val="00FB2E87"/>
    <w:rsid w:val="00FB3008"/>
    <w:rsid w:val="00FB36AD"/>
    <w:rsid w:val="00FB374F"/>
    <w:rsid w:val="00FB3AFE"/>
    <w:rsid w:val="00FB3B48"/>
    <w:rsid w:val="00FB3E6D"/>
    <w:rsid w:val="00FB41E2"/>
    <w:rsid w:val="00FB41F9"/>
    <w:rsid w:val="00FB4912"/>
    <w:rsid w:val="00FB4FAD"/>
    <w:rsid w:val="00FB4FBD"/>
    <w:rsid w:val="00FB58EA"/>
    <w:rsid w:val="00FB5B50"/>
    <w:rsid w:val="00FB64E3"/>
    <w:rsid w:val="00FB742E"/>
    <w:rsid w:val="00FB76FB"/>
    <w:rsid w:val="00FB7A94"/>
    <w:rsid w:val="00FB7B25"/>
    <w:rsid w:val="00FB7B4D"/>
    <w:rsid w:val="00FB7C76"/>
    <w:rsid w:val="00FB7F6D"/>
    <w:rsid w:val="00FB7FAA"/>
    <w:rsid w:val="00FC00AE"/>
    <w:rsid w:val="00FC013E"/>
    <w:rsid w:val="00FC09C6"/>
    <w:rsid w:val="00FC0D83"/>
    <w:rsid w:val="00FC1329"/>
    <w:rsid w:val="00FC146D"/>
    <w:rsid w:val="00FC149C"/>
    <w:rsid w:val="00FC1858"/>
    <w:rsid w:val="00FC2373"/>
    <w:rsid w:val="00FC25AE"/>
    <w:rsid w:val="00FC2716"/>
    <w:rsid w:val="00FC2A1D"/>
    <w:rsid w:val="00FC30F9"/>
    <w:rsid w:val="00FC3365"/>
    <w:rsid w:val="00FC34DA"/>
    <w:rsid w:val="00FC36B4"/>
    <w:rsid w:val="00FC3B93"/>
    <w:rsid w:val="00FC3F50"/>
    <w:rsid w:val="00FC42A6"/>
    <w:rsid w:val="00FC4666"/>
    <w:rsid w:val="00FC4697"/>
    <w:rsid w:val="00FC497D"/>
    <w:rsid w:val="00FC4E1D"/>
    <w:rsid w:val="00FC5099"/>
    <w:rsid w:val="00FC5787"/>
    <w:rsid w:val="00FC5FE4"/>
    <w:rsid w:val="00FC6135"/>
    <w:rsid w:val="00FC61F0"/>
    <w:rsid w:val="00FC6769"/>
    <w:rsid w:val="00FC6BAA"/>
    <w:rsid w:val="00FC6BD7"/>
    <w:rsid w:val="00FC6E6E"/>
    <w:rsid w:val="00FC776F"/>
    <w:rsid w:val="00FC7D39"/>
    <w:rsid w:val="00FC7EFB"/>
    <w:rsid w:val="00FD00A7"/>
    <w:rsid w:val="00FD0ABB"/>
    <w:rsid w:val="00FD1375"/>
    <w:rsid w:val="00FD1E55"/>
    <w:rsid w:val="00FD2156"/>
    <w:rsid w:val="00FD245F"/>
    <w:rsid w:val="00FD24E7"/>
    <w:rsid w:val="00FD2852"/>
    <w:rsid w:val="00FD2A52"/>
    <w:rsid w:val="00FD2BD4"/>
    <w:rsid w:val="00FD31F2"/>
    <w:rsid w:val="00FD322E"/>
    <w:rsid w:val="00FD3600"/>
    <w:rsid w:val="00FD3758"/>
    <w:rsid w:val="00FD38AE"/>
    <w:rsid w:val="00FD39B8"/>
    <w:rsid w:val="00FD4218"/>
    <w:rsid w:val="00FD455C"/>
    <w:rsid w:val="00FD50A7"/>
    <w:rsid w:val="00FD51EB"/>
    <w:rsid w:val="00FD534A"/>
    <w:rsid w:val="00FD559E"/>
    <w:rsid w:val="00FD56C7"/>
    <w:rsid w:val="00FD598C"/>
    <w:rsid w:val="00FD59FD"/>
    <w:rsid w:val="00FD5FBA"/>
    <w:rsid w:val="00FD6028"/>
    <w:rsid w:val="00FD6401"/>
    <w:rsid w:val="00FD6436"/>
    <w:rsid w:val="00FD6472"/>
    <w:rsid w:val="00FD6507"/>
    <w:rsid w:val="00FD6983"/>
    <w:rsid w:val="00FD6B11"/>
    <w:rsid w:val="00FD6E22"/>
    <w:rsid w:val="00FD7144"/>
    <w:rsid w:val="00FD7254"/>
    <w:rsid w:val="00FD7754"/>
    <w:rsid w:val="00FD7A10"/>
    <w:rsid w:val="00FD7B17"/>
    <w:rsid w:val="00FE0014"/>
    <w:rsid w:val="00FE01AF"/>
    <w:rsid w:val="00FE0842"/>
    <w:rsid w:val="00FE08EC"/>
    <w:rsid w:val="00FE0C79"/>
    <w:rsid w:val="00FE1266"/>
    <w:rsid w:val="00FE13BE"/>
    <w:rsid w:val="00FE14E4"/>
    <w:rsid w:val="00FE1502"/>
    <w:rsid w:val="00FE1794"/>
    <w:rsid w:val="00FE1AD8"/>
    <w:rsid w:val="00FE1C66"/>
    <w:rsid w:val="00FE201D"/>
    <w:rsid w:val="00FE2240"/>
    <w:rsid w:val="00FE2347"/>
    <w:rsid w:val="00FE2890"/>
    <w:rsid w:val="00FE2CBB"/>
    <w:rsid w:val="00FE2FD3"/>
    <w:rsid w:val="00FE32B4"/>
    <w:rsid w:val="00FE33F8"/>
    <w:rsid w:val="00FE3662"/>
    <w:rsid w:val="00FE3678"/>
    <w:rsid w:val="00FE3A06"/>
    <w:rsid w:val="00FE3C2C"/>
    <w:rsid w:val="00FE3EAA"/>
    <w:rsid w:val="00FE4884"/>
    <w:rsid w:val="00FE4DE7"/>
    <w:rsid w:val="00FE4E19"/>
    <w:rsid w:val="00FE580E"/>
    <w:rsid w:val="00FE5C26"/>
    <w:rsid w:val="00FE5CFA"/>
    <w:rsid w:val="00FE5E68"/>
    <w:rsid w:val="00FE5F08"/>
    <w:rsid w:val="00FE670B"/>
    <w:rsid w:val="00FE6833"/>
    <w:rsid w:val="00FE6B04"/>
    <w:rsid w:val="00FE74C5"/>
    <w:rsid w:val="00FE79B1"/>
    <w:rsid w:val="00FE79E3"/>
    <w:rsid w:val="00FF0421"/>
    <w:rsid w:val="00FF054F"/>
    <w:rsid w:val="00FF0A10"/>
    <w:rsid w:val="00FF1431"/>
    <w:rsid w:val="00FF1690"/>
    <w:rsid w:val="00FF17D4"/>
    <w:rsid w:val="00FF19E1"/>
    <w:rsid w:val="00FF3069"/>
    <w:rsid w:val="00FF3115"/>
    <w:rsid w:val="00FF31DD"/>
    <w:rsid w:val="00FF35EF"/>
    <w:rsid w:val="00FF3878"/>
    <w:rsid w:val="00FF3CE8"/>
    <w:rsid w:val="00FF406A"/>
    <w:rsid w:val="00FF40FF"/>
    <w:rsid w:val="00FF45A1"/>
    <w:rsid w:val="00FF45F5"/>
    <w:rsid w:val="00FF4AB6"/>
    <w:rsid w:val="00FF4BF2"/>
    <w:rsid w:val="00FF4CC9"/>
    <w:rsid w:val="00FF4E23"/>
    <w:rsid w:val="00FF5089"/>
    <w:rsid w:val="00FF5B53"/>
    <w:rsid w:val="00FF5C18"/>
    <w:rsid w:val="00FF61AE"/>
    <w:rsid w:val="00FF6967"/>
    <w:rsid w:val="00FF6BC3"/>
    <w:rsid w:val="00FF6C45"/>
    <w:rsid w:val="00FF70F6"/>
    <w:rsid w:val="00FF7152"/>
    <w:rsid w:val="00FF725C"/>
    <w:rsid w:val="00FF758D"/>
    <w:rsid w:val="00FF7632"/>
    <w:rsid w:val="00FF7AC4"/>
    <w:rsid w:val="01094808"/>
    <w:rsid w:val="012B64AF"/>
    <w:rsid w:val="01336C8A"/>
    <w:rsid w:val="01343764"/>
    <w:rsid w:val="013C246A"/>
    <w:rsid w:val="014A5A11"/>
    <w:rsid w:val="01545A05"/>
    <w:rsid w:val="016460E7"/>
    <w:rsid w:val="01703E3E"/>
    <w:rsid w:val="01777BCF"/>
    <w:rsid w:val="018F2A41"/>
    <w:rsid w:val="018F2EE2"/>
    <w:rsid w:val="019E3125"/>
    <w:rsid w:val="019F72EE"/>
    <w:rsid w:val="01A20482"/>
    <w:rsid w:val="01A324E9"/>
    <w:rsid w:val="01F50D62"/>
    <w:rsid w:val="01F73A93"/>
    <w:rsid w:val="01FD7E4B"/>
    <w:rsid w:val="021120DD"/>
    <w:rsid w:val="02290C40"/>
    <w:rsid w:val="02856FA3"/>
    <w:rsid w:val="02927BD2"/>
    <w:rsid w:val="02A464AF"/>
    <w:rsid w:val="02D41F55"/>
    <w:rsid w:val="02DD1A2B"/>
    <w:rsid w:val="02F0175E"/>
    <w:rsid w:val="02FC45A7"/>
    <w:rsid w:val="03012F09"/>
    <w:rsid w:val="030B6598"/>
    <w:rsid w:val="032928CD"/>
    <w:rsid w:val="032E5B79"/>
    <w:rsid w:val="03676684"/>
    <w:rsid w:val="038F541B"/>
    <w:rsid w:val="039447DF"/>
    <w:rsid w:val="039667A9"/>
    <w:rsid w:val="03A72764"/>
    <w:rsid w:val="03B1762F"/>
    <w:rsid w:val="03B86720"/>
    <w:rsid w:val="03F36308"/>
    <w:rsid w:val="03F94756"/>
    <w:rsid w:val="040E0C34"/>
    <w:rsid w:val="041E22FB"/>
    <w:rsid w:val="04275653"/>
    <w:rsid w:val="04333FF8"/>
    <w:rsid w:val="04406715"/>
    <w:rsid w:val="04425FE9"/>
    <w:rsid w:val="046A6F32"/>
    <w:rsid w:val="04736C5E"/>
    <w:rsid w:val="047C599F"/>
    <w:rsid w:val="048F16B9"/>
    <w:rsid w:val="04AB30A7"/>
    <w:rsid w:val="04BC223F"/>
    <w:rsid w:val="050339CA"/>
    <w:rsid w:val="0511372D"/>
    <w:rsid w:val="05445D91"/>
    <w:rsid w:val="055406CA"/>
    <w:rsid w:val="05704DD8"/>
    <w:rsid w:val="05726DA2"/>
    <w:rsid w:val="05777F14"/>
    <w:rsid w:val="05860887"/>
    <w:rsid w:val="059164F7"/>
    <w:rsid w:val="05950B3A"/>
    <w:rsid w:val="05AA2098"/>
    <w:rsid w:val="05AB204D"/>
    <w:rsid w:val="05B42F17"/>
    <w:rsid w:val="05B66C8F"/>
    <w:rsid w:val="05C018BB"/>
    <w:rsid w:val="05E12078"/>
    <w:rsid w:val="05E7509A"/>
    <w:rsid w:val="06191AB4"/>
    <w:rsid w:val="064A75A3"/>
    <w:rsid w:val="06930D7E"/>
    <w:rsid w:val="06A95C2E"/>
    <w:rsid w:val="06E17D3B"/>
    <w:rsid w:val="06E45DCD"/>
    <w:rsid w:val="06EA6EE5"/>
    <w:rsid w:val="072365A6"/>
    <w:rsid w:val="072E58CA"/>
    <w:rsid w:val="0738659A"/>
    <w:rsid w:val="07436550"/>
    <w:rsid w:val="0753050F"/>
    <w:rsid w:val="075451AE"/>
    <w:rsid w:val="07574AD6"/>
    <w:rsid w:val="07670F2A"/>
    <w:rsid w:val="078D7EC3"/>
    <w:rsid w:val="07995B9A"/>
    <w:rsid w:val="07E95AC2"/>
    <w:rsid w:val="08080695"/>
    <w:rsid w:val="080F2686"/>
    <w:rsid w:val="08181615"/>
    <w:rsid w:val="08254DC3"/>
    <w:rsid w:val="085B70D3"/>
    <w:rsid w:val="0876395E"/>
    <w:rsid w:val="087D7F38"/>
    <w:rsid w:val="088445AD"/>
    <w:rsid w:val="08AF52C3"/>
    <w:rsid w:val="08B170DB"/>
    <w:rsid w:val="08E954CF"/>
    <w:rsid w:val="08F848D5"/>
    <w:rsid w:val="09077801"/>
    <w:rsid w:val="092E1232"/>
    <w:rsid w:val="09736C45"/>
    <w:rsid w:val="09896468"/>
    <w:rsid w:val="098D5F59"/>
    <w:rsid w:val="098D7D07"/>
    <w:rsid w:val="09945539"/>
    <w:rsid w:val="099472E7"/>
    <w:rsid w:val="099F0077"/>
    <w:rsid w:val="09D1411B"/>
    <w:rsid w:val="09F45FD8"/>
    <w:rsid w:val="09F50350"/>
    <w:rsid w:val="09FC08F4"/>
    <w:rsid w:val="0A033A90"/>
    <w:rsid w:val="0A09702C"/>
    <w:rsid w:val="0A212885"/>
    <w:rsid w:val="0A36214C"/>
    <w:rsid w:val="0A73514E"/>
    <w:rsid w:val="0A79028B"/>
    <w:rsid w:val="0A892BC4"/>
    <w:rsid w:val="0AAE262A"/>
    <w:rsid w:val="0AC21C32"/>
    <w:rsid w:val="0ACC485F"/>
    <w:rsid w:val="0AD33C0F"/>
    <w:rsid w:val="0AEE6ECB"/>
    <w:rsid w:val="0AF9236B"/>
    <w:rsid w:val="0B022976"/>
    <w:rsid w:val="0B05584A"/>
    <w:rsid w:val="0B1F52D6"/>
    <w:rsid w:val="0B2B5A29"/>
    <w:rsid w:val="0B35117B"/>
    <w:rsid w:val="0B4D146E"/>
    <w:rsid w:val="0B5F1B77"/>
    <w:rsid w:val="0B720CBA"/>
    <w:rsid w:val="0B7C44D7"/>
    <w:rsid w:val="0B8D51F1"/>
    <w:rsid w:val="0BA13F3D"/>
    <w:rsid w:val="0BBC6C01"/>
    <w:rsid w:val="0BC450F6"/>
    <w:rsid w:val="0BCD0D95"/>
    <w:rsid w:val="0BD51E39"/>
    <w:rsid w:val="0C012C2E"/>
    <w:rsid w:val="0C5D74F6"/>
    <w:rsid w:val="0C7156BE"/>
    <w:rsid w:val="0C7D2D3D"/>
    <w:rsid w:val="0C8427D5"/>
    <w:rsid w:val="0C845F1E"/>
    <w:rsid w:val="0C8956D0"/>
    <w:rsid w:val="0C9870EE"/>
    <w:rsid w:val="0CC021A1"/>
    <w:rsid w:val="0CD85A2E"/>
    <w:rsid w:val="0CEC743A"/>
    <w:rsid w:val="0CF81D6E"/>
    <w:rsid w:val="0D2B61B4"/>
    <w:rsid w:val="0D2E35AF"/>
    <w:rsid w:val="0D5079C9"/>
    <w:rsid w:val="0D5A4D64"/>
    <w:rsid w:val="0D614C45"/>
    <w:rsid w:val="0D88346D"/>
    <w:rsid w:val="0DAD0977"/>
    <w:rsid w:val="0DAF1F1B"/>
    <w:rsid w:val="0E2F2CB1"/>
    <w:rsid w:val="0E305806"/>
    <w:rsid w:val="0E5531FB"/>
    <w:rsid w:val="0E675367"/>
    <w:rsid w:val="0E7019A5"/>
    <w:rsid w:val="0E774234"/>
    <w:rsid w:val="0E792F4F"/>
    <w:rsid w:val="0EA62097"/>
    <w:rsid w:val="0F046CBD"/>
    <w:rsid w:val="0F1113DA"/>
    <w:rsid w:val="0F450727"/>
    <w:rsid w:val="0F773FEC"/>
    <w:rsid w:val="0F997873"/>
    <w:rsid w:val="0FD61CDB"/>
    <w:rsid w:val="0FE10DAC"/>
    <w:rsid w:val="0FF06008"/>
    <w:rsid w:val="0FFD3FC3"/>
    <w:rsid w:val="100D394F"/>
    <w:rsid w:val="100D3FEC"/>
    <w:rsid w:val="10150A56"/>
    <w:rsid w:val="101C0298"/>
    <w:rsid w:val="10394744"/>
    <w:rsid w:val="103D4B9D"/>
    <w:rsid w:val="10487E27"/>
    <w:rsid w:val="104D6442"/>
    <w:rsid w:val="1057393C"/>
    <w:rsid w:val="1066305F"/>
    <w:rsid w:val="108D4A90"/>
    <w:rsid w:val="10A2678D"/>
    <w:rsid w:val="10AF2C58"/>
    <w:rsid w:val="10B73B8E"/>
    <w:rsid w:val="10C6648B"/>
    <w:rsid w:val="10DB18C8"/>
    <w:rsid w:val="10E548CC"/>
    <w:rsid w:val="110A4333"/>
    <w:rsid w:val="110B7E38"/>
    <w:rsid w:val="1111746F"/>
    <w:rsid w:val="11194576"/>
    <w:rsid w:val="11405FA6"/>
    <w:rsid w:val="115832F0"/>
    <w:rsid w:val="117F087D"/>
    <w:rsid w:val="118A0FD0"/>
    <w:rsid w:val="118E286E"/>
    <w:rsid w:val="119051EF"/>
    <w:rsid w:val="119A3FC3"/>
    <w:rsid w:val="11B20E46"/>
    <w:rsid w:val="11CB5870"/>
    <w:rsid w:val="11E03525"/>
    <w:rsid w:val="11E46932"/>
    <w:rsid w:val="12031CEC"/>
    <w:rsid w:val="12192A7F"/>
    <w:rsid w:val="122628D8"/>
    <w:rsid w:val="12301B77"/>
    <w:rsid w:val="12403C8F"/>
    <w:rsid w:val="124D40DD"/>
    <w:rsid w:val="12537D93"/>
    <w:rsid w:val="126B2CAE"/>
    <w:rsid w:val="127C6B6A"/>
    <w:rsid w:val="128F1BE2"/>
    <w:rsid w:val="12C02EFB"/>
    <w:rsid w:val="12DF001F"/>
    <w:rsid w:val="12E27315"/>
    <w:rsid w:val="12F22C87"/>
    <w:rsid w:val="12F708E7"/>
    <w:rsid w:val="1300699D"/>
    <w:rsid w:val="13192B93"/>
    <w:rsid w:val="13394752"/>
    <w:rsid w:val="134765D4"/>
    <w:rsid w:val="134D0507"/>
    <w:rsid w:val="134D4F2C"/>
    <w:rsid w:val="13617973"/>
    <w:rsid w:val="137837D5"/>
    <w:rsid w:val="139D62CF"/>
    <w:rsid w:val="13AC7D0A"/>
    <w:rsid w:val="13FE5991"/>
    <w:rsid w:val="14025795"/>
    <w:rsid w:val="14193A38"/>
    <w:rsid w:val="141A2ADF"/>
    <w:rsid w:val="142148E5"/>
    <w:rsid w:val="14264FE0"/>
    <w:rsid w:val="144A665F"/>
    <w:rsid w:val="145204CA"/>
    <w:rsid w:val="145E16ED"/>
    <w:rsid w:val="14774DBB"/>
    <w:rsid w:val="14900B24"/>
    <w:rsid w:val="1497412F"/>
    <w:rsid w:val="14CA62B3"/>
    <w:rsid w:val="15051099"/>
    <w:rsid w:val="150A02E8"/>
    <w:rsid w:val="1525101E"/>
    <w:rsid w:val="152517AE"/>
    <w:rsid w:val="153674A4"/>
    <w:rsid w:val="15373CF1"/>
    <w:rsid w:val="153C2FC6"/>
    <w:rsid w:val="15520056"/>
    <w:rsid w:val="15521594"/>
    <w:rsid w:val="155C49B9"/>
    <w:rsid w:val="15657D89"/>
    <w:rsid w:val="156F54C4"/>
    <w:rsid w:val="15721859"/>
    <w:rsid w:val="157B06DA"/>
    <w:rsid w:val="15877333"/>
    <w:rsid w:val="158D108E"/>
    <w:rsid w:val="159931E5"/>
    <w:rsid w:val="15A74CEF"/>
    <w:rsid w:val="15AB3D60"/>
    <w:rsid w:val="15B30AF5"/>
    <w:rsid w:val="15B8138A"/>
    <w:rsid w:val="15CC605B"/>
    <w:rsid w:val="15EB2A49"/>
    <w:rsid w:val="15EF1193"/>
    <w:rsid w:val="15F15AC1"/>
    <w:rsid w:val="162C4A32"/>
    <w:rsid w:val="166C1727"/>
    <w:rsid w:val="168047A1"/>
    <w:rsid w:val="16B32D77"/>
    <w:rsid w:val="16C858E8"/>
    <w:rsid w:val="16EB2510"/>
    <w:rsid w:val="16F72C63"/>
    <w:rsid w:val="16FE0496"/>
    <w:rsid w:val="17090F79"/>
    <w:rsid w:val="17163A31"/>
    <w:rsid w:val="171862DF"/>
    <w:rsid w:val="1720040C"/>
    <w:rsid w:val="173B6FF4"/>
    <w:rsid w:val="174C193E"/>
    <w:rsid w:val="17571954"/>
    <w:rsid w:val="176C79C8"/>
    <w:rsid w:val="177A7E64"/>
    <w:rsid w:val="17920BDE"/>
    <w:rsid w:val="17C214C3"/>
    <w:rsid w:val="17D22226"/>
    <w:rsid w:val="17D300EB"/>
    <w:rsid w:val="17E56F60"/>
    <w:rsid w:val="17F055A4"/>
    <w:rsid w:val="18025D64"/>
    <w:rsid w:val="185C36C6"/>
    <w:rsid w:val="18754787"/>
    <w:rsid w:val="189B4074"/>
    <w:rsid w:val="18A607AB"/>
    <w:rsid w:val="18CD0120"/>
    <w:rsid w:val="18CE72B0"/>
    <w:rsid w:val="18E86D07"/>
    <w:rsid w:val="192F37A8"/>
    <w:rsid w:val="19404245"/>
    <w:rsid w:val="195D1545"/>
    <w:rsid w:val="19676326"/>
    <w:rsid w:val="19762565"/>
    <w:rsid w:val="198526B0"/>
    <w:rsid w:val="1990114D"/>
    <w:rsid w:val="199E0BD7"/>
    <w:rsid w:val="19BC5B06"/>
    <w:rsid w:val="19C83B7E"/>
    <w:rsid w:val="19EA6027"/>
    <w:rsid w:val="19F46BAA"/>
    <w:rsid w:val="1A00792C"/>
    <w:rsid w:val="1A02204B"/>
    <w:rsid w:val="1A042245"/>
    <w:rsid w:val="1A0F55B1"/>
    <w:rsid w:val="1A111F53"/>
    <w:rsid w:val="1A1E49AB"/>
    <w:rsid w:val="1A2F0966"/>
    <w:rsid w:val="1A3D3083"/>
    <w:rsid w:val="1A3E13E6"/>
    <w:rsid w:val="1A5204C9"/>
    <w:rsid w:val="1A907011"/>
    <w:rsid w:val="1A9E6389"/>
    <w:rsid w:val="1AA90718"/>
    <w:rsid w:val="1AB64BE3"/>
    <w:rsid w:val="1ACA73D7"/>
    <w:rsid w:val="1AD11A1D"/>
    <w:rsid w:val="1AD25EC1"/>
    <w:rsid w:val="1AD86359"/>
    <w:rsid w:val="1AEB53E7"/>
    <w:rsid w:val="1AF6393B"/>
    <w:rsid w:val="1AFE6CB6"/>
    <w:rsid w:val="1B040045"/>
    <w:rsid w:val="1B05659B"/>
    <w:rsid w:val="1B322450"/>
    <w:rsid w:val="1B430354"/>
    <w:rsid w:val="1B6026F0"/>
    <w:rsid w:val="1B740B27"/>
    <w:rsid w:val="1B7E6930"/>
    <w:rsid w:val="1B9206DD"/>
    <w:rsid w:val="1BDF162E"/>
    <w:rsid w:val="1BEF4851"/>
    <w:rsid w:val="1BF12377"/>
    <w:rsid w:val="1BF73705"/>
    <w:rsid w:val="1C032B21"/>
    <w:rsid w:val="1C1B32D9"/>
    <w:rsid w:val="1C202C5C"/>
    <w:rsid w:val="1C420E24"/>
    <w:rsid w:val="1CAC2742"/>
    <w:rsid w:val="1CB3762C"/>
    <w:rsid w:val="1CE84E58"/>
    <w:rsid w:val="1CF00880"/>
    <w:rsid w:val="1D3E2E78"/>
    <w:rsid w:val="1D4D7722"/>
    <w:rsid w:val="1D5C62D9"/>
    <w:rsid w:val="1D61352C"/>
    <w:rsid w:val="1D790876"/>
    <w:rsid w:val="1D7B132A"/>
    <w:rsid w:val="1D937A73"/>
    <w:rsid w:val="1DF93765"/>
    <w:rsid w:val="1E087E4C"/>
    <w:rsid w:val="1E0D7210"/>
    <w:rsid w:val="1E1467F1"/>
    <w:rsid w:val="1E1E141D"/>
    <w:rsid w:val="1E390005"/>
    <w:rsid w:val="1E3E6606"/>
    <w:rsid w:val="1E4F4886"/>
    <w:rsid w:val="1E57048B"/>
    <w:rsid w:val="1E65704C"/>
    <w:rsid w:val="1E9D2342"/>
    <w:rsid w:val="1ECF7290"/>
    <w:rsid w:val="1EEA12FF"/>
    <w:rsid w:val="1EF81C6E"/>
    <w:rsid w:val="1EFA1543"/>
    <w:rsid w:val="1F1A3993"/>
    <w:rsid w:val="1F58270D"/>
    <w:rsid w:val="1F5E747B"/>
    <w:rsid w:val="1F7370F5"/>
    <w:rsid w:val="1F7D2A0F"/>
    <w:rsid w:val="1F882FF2"/>
    <w:rsid w:val="1F8F00FA"/>
    <w:rsid w:val="1F9D5835"/>
    <w:rsid w:val="1FB738D7"/>
    <w:rsid w:val="1FBC4A4A"/>
    <w:rsid w:val="1FBE772B"/>
    <w:rsid w:val="1FC60008"/>
    <w:rsid w:val="1FCB4355"/>
    <w:rsid w:val="2007660D"/>
    <w:rsid w:val="20304A05"/>
    <w:rsid w:val="20307817"/>
    <w:rsid w:val="204D7D98"/>
    <w:rsid w:val="206770AC"/>
    <w:rsid w:val="20680E8E"/>
    <w:rsid w:val="209E05F3"/>
    <w:rsid w:val="20A07A41"/>
    <w:rsid w:val="20A828C8"/>
    <w:rsid w:val="20B41BC5"/>
    <w:rsid w:val="20BE2A44"/>
    <w:rsid w:val="20C718F8"/>
    <w:rsid w:val="211865F8"/>
    <w:rsid w:val="213276BA"/>
    <w:rsid w:val="213F0854"/>
    <w:rsid w:val="214A56BB"/>
    <w:rsid w:val="21590EA2"/>
    <w:rsid w:val="218D6A9F"/>
    <w:rsid w:val="2197751D"/>
    <w:rsid w:val="21A12149"/>
    <w:rsid w:val="21B93937"/>
    <w:rsid w:val="21D34012"/>
    <w:rsid w:val="21F91F85"/>
    <w:rsid w:val="22023BA0"/>
    <w:rsid w:val="22042B99"/>
    <w:rsid w:val="22394A78"/>
    <w:rsid w:val="22462D77"/>
    <w:rsid w:val="224C6559"/>
    <w:rsid w:val="224F7DF7"/>
    <w:rsid w:val="225615B4"/>
    <w:rsid w:val="22822780"/>
    <w:rsid w:val="22AF5D5D"/>
    <w:rsid w:val="22D87DED"/>
    <w:rsid w:val="22FD2D7A"/>
    <w:rsid w:val="230E3251"/>
    <w:rsid w:val="23271CE1"/>
    <w:rsid w:val="23580AEF"/>
    <w:rsid w:val="23906919"/>
    <w:rsid w:val="23A20590"/>
    <w:rsid w:val="23A210F0"/>
    <w:rsid w:val="23AF6D6C"/>
    <w:rsid w:val="23B63E77"/>
    <w:rsid w:val="24007C98"/>
    <w:rsid w:val="24107A5A"/>
    <w:rsid w:val="24140553"/>
    <w:rsid w:val="2426102C"/>
    <w:rsid w:val="24286B52"/>
    <w:rsid w:val="243358A0"/>
    <w:rsid w:val="244A219D"/>
    <w:rsid w:val="244D65B8"/>
    <w:rsid w:val="244F40DF"/>
    <w:rsid w:val="247D68DF"/>
    <w:rsid w:val="24833D88"/>
    <w:rsid w:val="24B165F9"/>
    <w:rsid w:val="24C04FDC"/>
    <w:rsid w:val="24CA7C09"/>
    <w:rsid w:val="24D91B04"/>
    <w:rsid w:val="24D92AF5"/>
    <w:rsid w:val="24F42ED8"/>
    <w:rsid w:val="24F912B3"/>
    <w:rsid w:val="251E1D03"/>
    <w:rsid w:val="252E0198"/>
    <w:rsid w:val="252F3F10"/>
    <w:rsid w:val="253432D4"/>
    <w:rsid w:val="256661D9"/>
    <w:rsid w:val="25704DA4"/>
    <w:rsid w:val="258560D1"/>
    <w:rsid w:val="25894A6C"/>
    <w:rsid w:val="259049AF"/>
    <w:rsid w:val="25BC10FA"/>
    <w:rsid w:val="25F82554"/>
    <w:rsid w:val="25FD341D"/>
    <w:rsid w:val="2603217C"/>
    <w:rsid w:val="261206FC"/>
    <w:rsid w:val="26163F51"/>
    <w:rsid w:val="26295ED3"/>
    <w:rsid w:val="264B6B28"/>
    <w:rsid w:val="265E685B"/>
    <w:rsid w:val="26764FA0"/>
    <w:rsid w:val="267F67D1"/>
    <w:rsid w:val="26914E82"/>
    <w:rsid w:val="26CB51F8"/>
    <w:rsid w:val="26D27CDE"/>
    <w:rsid w:val="26F23447"/>
    <w:rsid w:val="26F7280B"/>
    <w:rsid w:val="26F96584"/>
    <w:rsid w:val="270B7A08"/>
    <w:rsid w:val="27135897"/>
    <w:rsid w:val="2725381D"/>
    <w:rsid w:val="273B094A"/>
    <w:rsid w:val="27612030"/>
    <w:rsid w:val="27675BE3"/>
    <w:rsid w:val="27750300"/>
    <w:rsid w:val="27DC037F"/>
    <w:rsid w:val="27F07987"/>
    <w:rsid w:val="280B2A12"/>
    <w:rsid w:val="28222492"/>
    <w:rsid w:val="285D2B42"/>
    <w:rsid w:val="285F2D5E"/>
    <w:rsid w:val="28941555"/>
    <w:rsid w:val="28B44E58"/>
    <w:rsid w:val="28C72DDD"/>
    <w:rsid w:val="28CF3A40"/>
    <w:rsid w:val="28D41056"/>
    <w:rsid w:val="28D728F5"/>
    <w:rsid w:val="29026ADA"/>
    <w:rsid w:val="290819A0"/>
    <w:rsid w:val="2910142B"/>
    <w:rsid w:val="29206461"/>
    <w:rsid w:val="2939535D"/>
    <w:rsid w:val="29750748"/>
    <w:rsid w:val="2975102F"/>
    <w:rsid w:val="297A7319"/>
    <w:rsid w:val="298760C9"/>
    <w:rsid w:val="29934A6D"/>
    <w:rsid w:val="29AD3BD6"/>
    <w:rsid w:val="29EE6148"/>
    <w:rsid w:val="29FF65A7"/>
    <w:rsid w:val="2A161D3A"/>
    <w:rsid w:val="2A202079"/>
    <w:rsid w:val="2A2D3DE1"/>
    <w:rsid w:val="2A946CEF"/>
    <w:rsid w:val="2AA36F32"/>
    <w:rsid w:val="2AB27175"/>
    <w:rsid w:val="2ABF1892"/>
    <w:rsid w:val="2AC5334C"/>
    <w:rsid w:val="2ADA5A13"/>
    <w:rsid w:val="2AEA2C7B"/>
    <w:rsid w:val="2AEF2177"/>
    <w:rsid w:val="2AFA28CA"/>
    <w:rsid w:val="2B275DB5"/>
    <w:rsid w:val="2B4B5360"/>
    <w:rsid w:val="2B4C7BA5"/>
    <w:rsid w:val="2B547A60"/>
    <w:rsid w:val="2B936FA7"/>
    <w:rsid w:val="2B9845BD"/>
    <w:rsid w:val="2BBE50F8"/>
    <w:rsid w:val="2BC96C92"/>
    <w:rsid w:val="2BED7625"/>
    <w:rsid w:val="2BF13CCD"/>
    <w:rsid w:val="2BF437BD"/>
    <w:rsid w:val="2C2045B2"/>
    <w:rsid w:val="2C3E5B4D"/>
    <w:rsid w:val="2C4604BD"/>
    <w:rsid w:val="2C4E2ECE"/>
    <w:rsid w:val="2C550700"/>
    <w:rsid w:val="2C622E1D"/>
    <w:rsid w:val="2C73502A"/>
    <w:rsid w:val="2C8E3C12"/>
    <w:rsid w:val="2C8E776E"/>
    <w:rsid w:val="2C9C31E0"/>
    <w:rsid w:val="2CA458D6"/>
    <w:rsid w:val="2CB35427"/>
    <w:rsid w:val="2CF64FCD"/>
    <w:rsid w:val="2D0D0FDB"/>
    <w:rsid w:val="2D12039F"/>
    <w:rsid w:val="2D65477E"/>
    <w:rsid w:val="2D690CEA"/>
    <w:rsid w:val="2D715636"/>
    <w:rsid w:val="2D83304B"/>
    <w:rsid w:val="2D870D8D"/>
    <w:rsid w:val="2DAD4480"/>
    <w:rsid w:val="2DDF4725"/>
    <w:rsid w:val="2E132621"/>
    <w:rsid w:val="2E1661E6"/>
    <w:rsid w:val="2E252B60"/>
    <w:rsid w:val="2E2760CC"/>
    <w:rsid w:val="2E5A1FFE"/>
    <w:rsid w:val="2E6438CA"/>
    <w:rsid w:val="2E6626E4"/>
    <w:rsid w:val="2E730163"/>
    <w:rsid w:val="2E761EA4"/>
    <w:rsid w:val="2E8B665B"/>
    <w:rsid w:val="2E9F285F"/>
    <w:rsid w:val="2EAB4607"/>
    <w:rsid w:val="2EC67693"/>
    <w:rsid w:val="2EDF603A"/>
    <w:rsid w:val="2EF84F00"/>
    <w:rsid w:val="2F1A178D"/>
    <w:rsid w:val="2F210D6D"/>
    <w:rsid w:val="2F3A3B1A"/>
    <w:rsid w:val="2F4862FA"/>
    <w:rsid w:val="2F5729E1"/>
    <w:rsid w:val="2F875074"/>
    <w:rsid w:val="2F8A3E1E"/>
    <w:rsid w:val="2F977F57"/>
    <w:rsid w:val="2FCC6F2B"/>
    <w:rsid w:val="2FD275FB"/>
    <w:rsid w:val="2FE83C6E"/>
    <w:rsid w:val="2FF26266"/>
    <w:rsid w:val="2FFC57D5"/>
    <w:rsid w:val="300D3FF6"/>
    <w:rsid w:val="30155AC7"/>
    <w:rsid w:val="30227E4E"/>
    <w:rsid w:val="30450A8C"/>
    <w:rsid w:val="304707B9"/>
    <w:rsid w:val="304D1825"/>
    <w:rsid w:val="30503789"/>
    <w:rsid w:val="30A02DE0"/>
    <w:rsid w:val="30A56A10"/>
    <w:rsid w:val="3115220C"/>
    <w:rsid w:val="31216F29"/>
    <w:rsid w:val="312D68D2"/>
    <w:rsid w:val="312E32CE"/>
    <w:rsid w:val="313034EA"/>
    <w:rsid w:val="31380CD8"/>
    <w:rsid w:val="315764B6"/>
    <w:rsid w:val="31774C75"/>
    <w:rsid w:val="317F1D7B"/>
    <w:rsid w:val="318A49A8"/>
    <w:rsid w:val="31A4638C"/>
    <w:rsid w:val="31A83831"/>
    <w:rsid w:val="31D976DD"/>
    <w:rsid w:val="31DC63C6"/>
    <w:rsid w:val="321B1AA4"/>
    <w:rsid w:val="32612C13"/>
    <w:rsid w:val="32613F1F"/>
    <w:rsid w:val="32731939"/>
    <w:rsid w:val="3286248E"/>
    <w:rsid w:val="32BA66BD"/>
    <w:rsid w:val="32BF4B25"/>
    <w:rsid w:val="32C739DA"/>
    <w:rsid w:val="32FC346C"/>
    <w:rsid w:val="330B38C7"/>
    <w:rsid w:val="33100E63"/>
    <w:rsid w:val="33185FE3"/>
    <w:rsid w:val="332130EA"/>
    <w:rsid w:val="33242BDA"/>
    <w:rsid w:val="33286E85"/>
    <w:rsid w:val="333E1EEE"/>
    <w:rsid w:val="336E3E55"/>
    <w:rsid w:val="33727DEA"/>
    <w:rsid w:val="33813B89"/>
    <w:rsid w:val="33944855"/>
    <w:rsid w:val="339644A9"/>
    <w:rsid w:val="33CD3272"/>
    <w:rsid w:val="33E01FCD"/>
    <w:rsid w:val="33E800AC"/>
    <w:rsid w:val="33F425C6"/>
    <w:rsid w:val="340F1F84"/>
    <w:rsid w:val="3444623E"/>
    <w:rsid w:val="3454129D"/>
    <w:rsid w:val="346A0500"/>
    <w:rsid w:val="348821CB"/>
    <w:rsid w:val="34936269"/>
    <w:rsid w:val="34B00BC9"/>
    <w:rsid w:val="34B278FA"/>
    <w:rsid w:val="34E42621"/>
    <w:rsid w:val="34EB7E53"/>
    <w:rsid w:val="34EC3F7C"/>
    <w:rsid w:val="351C000D"/>
    <w:rsid w:val="35216B3A"/>
    <w:rsid w:val="35223149"/>
    <w:rsid w:val="35645510"/>
    <w:rsid w:val="356F5668"/>
    <w:rsid w:val="3575596F"/>
    <w:rsid w:val="3589141A"/>
    <w:rsid w:val="3598340C"/>
    <w:rsid w:val="359978AF"/>
    <w:rsid w:val="35A27397"/>
    <w:rsid w:val="35CE6E2D"/>
    <w:rsid w:val="35D021F8"/>
    <w:rsid w:val="35FF2F0A"/>
    <w:rsid w:val="36050AA1"/>
    <w:rsid w:val="36282F5A"/>
    <w:rsid w:val="3629331C"/>
    <w:rsid w:val="363A2B4F"/>
    <w:rsid w:val="367B0D63"/>
    <w:rsid w:val="36851BE2"/>
    <w:rsid w:val="36963DEF"/>
    <w:rsid w:val="36A06A1C"/>
    <w:rsid w:val="371371EE"/>
    <w:rsid w:val="371A299C"/>
    <w:rsid w:val="373553B6"/>
    <w:rsid w:val="37713067"/>
    <w:rsid w:val="377406A3"/>
    <w:rsid w:val="37BF2ED1"/>
    <w:rsid w:val="37C04489"/>
    <w:rsid w:val="37D567DE"/>
    <w:rsid w:val="37D7646D"/>
    <w:rsid w:val="380B2CEA"/>
    <w:rsid w:val="380F20AB"/>
    <w:rsid w:val="382B7851"/>
    <w:rsid w:val="38660E7F"/>
    <w:rsid w:val="387B14EE"/>
    <w:rsid w:val="38A50319"/>
    <w:rsid w:val="38B95424"/>
    <w:rsid w:val="38C764E2"/>
    <w:rsid w:val="38D64977"/>
    <w:rsid w:val="38DC5B2C"/>
    <w:rsid w:val="38F117B0"/>
    <w:rsid w:val="38F51028"/>
    <w:rsid w:val="39454D75"/>
    <w:rsid w:val="394C6492"/>
    <w:rsid w:val="394E0C8C"/>
    <w:rsid w:val="395225B0"/>
    <w:rsid w:val="39655323"/>
    <w:rsid w:val="397739E6"/>
    <w:rsid w:val="39975B32"/>
    <w:rsid w:val="39BD1693"/>
    <w:rsid w:val="39D730B0"/>
    <w:rsid w:val="39DD3AE3"/>
    <w:rsid w:val="39F50E2C"/>
    <w:rsid w:val="39F57734"/>
    <w:rsid w:val="39F738EC"/>
    <w:rsid w:val="39FD5C99"/>
    <w:rsid w:val="3A1E529D"/>
    <w:rsid w:val="3A257964"/>
    <w:rsid w:val="3A3758E9"/>
    <w:rsid w:val="3A39340F"/>
    <w:rsid w:val="3A4F32A6"/>
    <w:rsid w:val="3A532053"/>
    <w:rsid w:val="3A782540"/>
    <w:rsid w:val="3A93317B"/>
    <w:rsid w:val="3A9B5E78"/>
    <w:rsid w:val="3AA33360"/>
    <w:rsid w:val="3AA52853"/>
    <w:rsid w:val="3AB922F9"/>
    <w:rsid w:val="3AD44A78"/>
    <w:rsid w:val="3AD77735"/>
    <w:rsid w:val="3AFC09D7"/>
    <w:rsid w:val="3B1E1D4E"/>
    <w:rsid w:val="3B23153A"/>
    <w:rsid w:val="3B27770B"/>
    <w:rsid w:val="3B383C97"/>
    <w:rsid w:val="3B4A33FA"/>
    <w:rsid w:val="3B4C0F20"/>
    <w:rsid w:val="3B4E14F1"/>
    <w:rsid w:val="3B561D9F"/>
    <w:rsid w:val="3B5878C5"/>
    <w:rsid w:val="3B7B35B3"/>
    <w:rsid w:val="3B8B1A48"/>
    <w:rsid w:val="3BB6283D"/>
    <w:rsid w:val="3BC86FE8"/>
    <w:rsid w:val="3BE05EF3"/>
    <w:rsid w:val="3BE73CA1"/>
    <w:rsid w:val="3BF71FF4"/>
    <w:rsid w:val="3BF96496"/>
    <w:rsid w:val="3C070788"/>
    <w:rsid w:val="3C090BBF"/>
    <w:rsid w:val="3C176736"/>
    <w:rsid w:val="3C1F4887"/>
    <w:rsid w:val="3C7324DC"/>
    <w:rsid w:val="3C771FCD"/>
    <w:rsid w:val="3C7E15AD"/>
    <w:rsid w:val="3C815BEB"/>
    <w:rsid w:val="3C8F5EDF"/>
    <w:rsid w:val="3C8F7CA1"/>
    <w:rsid w:val="3CDC469E"/>
    <w:rsid w:val="3CE059F3"/>
    <w:rsid w:val="3CFB2884"/>
    <w:rsid w:val="3CFD6976"/>
    <w:rsid w:val="3D1A0F1E"/>
    <w:rsid w:val="3D2478F0"/>
    <w:rsid w:val="3D324146"/>
    <w:rsid w:val="3D4225DB"/>
    <w:rsid w:val="3D497CCF"/>
    <w:rsid w:val="3D87623F"/>
    <w:rsid w:val="3D911531"/>
    <w:rsid w:val="3DC41242"/>
    <w:rsid w:val="3DD07BE6"/>
    <w:rsid w:val="3DD62955"/>
    <w:rsid w:val="3DDF42CD"/>
    <w:rsid w:val="3E2C2BBB"/>
    <w:rsid w:val="3E304B29"/>
    <w:rsid w:val="3E3839DE"/>
    <w:rsid w:val="3E3C3D2E"/>
    <w:rsid w:val="3E3E4857"/>
    <w:rsid w:val="3E4E4FAF"/>
    <w:rsid w:val="3E595E2E"/>
    <w:rsid w:val="3E6F38A3"/>
    <w:rsid w:val="3E7E3EC9"/>
    <w:rsid w:val="3E9C7F12"/>
    <w:rsid w:val="3EB16D20"/>
    <w:rsid w:val="3EC6723B"/>
    <w:rsid w:val="3ECB5495"/>
    <w:rsid w:val="3ED85992"/>
    <w:rsid w:val="3EDE27D5"/>
    <w:rsid w:val="3EE33B9D"/>
    <w:rsid w:val="3F0919DA"/>
    <w:rsid w:val="3F1461F9"/>
    <w:rsid w:val="3F1948C2"/>
    <w:rsid w:val="3F3348D1"/>
    <w:rsid w:val="3F474FAC"/>
    <w:rsid w:val="3F496996"/>
    <w:rsid w:val="3F4A1C1A"/>
    <w:rsid w:val="3F892743"/>
    <w:rsid w:val="3F89675E"/>
    <w:rsid w:val="3F9B4224"/>
    <w:rsid w:val="3FBD419A"/>
    <w:rsid w:val="3FDF4AF2"/>
    <w:rsid w:val="3FE8319B"/>
    <w:rsid w:val="3FEB6F5A"/>
    <w:rsid w:val="3FEC4A80"/>
    <w:rsid w:val="3FF83425"/>
    <w:rsid w:val="400242A3"/>
    <w:rsid w:val="40284B98"/>
    <w:rsid w:val="40296AF8"/>
    <w:rsid w:val="40955117"/>
    <w:rsid w:val="409E221E"/>
    <w:rsid w:val="40C477AB"/>
    <w:rsid w:val="40F55BB6"/>
    <w:rsid w:val="41043F00"/>
    <w:rsid w:val="41272213"/>
    <w:rsid w:val="41331CB3"/>
    <w:rsid w:val="417B4D92"/>
    <w:rsid w:val="418A09F4"/>
    <w:rsid w:val="41965891"/>
    <w:rsid w:val="41A970CC"/>
    <w:rsid w:val="41CF7963"/>
    <w:rsid w:val="41F52311"/>
    <w:rsid w:val="41FA16D6"/>
    <w:rsid w:val="421227CC"/>
    <w:rsid w:val="42521512"/>
    <w:rsid w:val="425A0117"/>
    <w:rsid w:val="4267663F"/>
    <w:rsid w:val="4269685C"/>
    <w:rsid w:val="42703746"/>
    <w:rsid w:val="42822E30"/>
    <w:rsid w:val="42880B3B"/>
    <w:rsid w:val="4292190E"/>
    <w:rsid w:val="42C61EBF"/>
    <w:rsid w:val="42C85330"/>
    <w:rsid w:val="42ED123B"/>
    <w:rsid w:val="42F5769A"/>
    <w:rsid w:val="42F93762"/>
    <w:rsid w:val="42FE6FA4"/>
    <w:rsid w:val="431762B8"/>
    <w:rsid w:val="432114C9"/>
    <w:rsid w:val="43394480"/>
    <w:rsid w:val="437B1FB6"/>
    <w:rsid w:val="43805C0B"/>
    <w:rsid w:val="43866F99"/>
    <w:rsid w:val="43A318F9"/>
    <w:rsid w:val="43B91888"/>
    <w:rsid w:val="43DB1093"/>
    <w:rsid w:val="43E17249"/>
    <w:rsid w:val="440C749E"/>
    <w:rsid w:val="440E0177"/>
    <w:rsid w:val="44305883"/>
    <w:rsid w:val="44413627"/>
    <w:rsid w:val="444460B6"/>
    <w:rsid w:val="444906F3"/>
    <w:rsid w:val="4456284F"/>
    <w:rsid w:val="445C3187"/>
    <w:rsid w:val="44693D42"/>
    <w:rsid w:val="446F6BCC"/>
    <w:rsid w:val="447B1EDA"/>
    <w:rsid w:val="44894F93"/>
    <w:rsid w:val="44C304A5"/>
    <w:rsid w:val="44E95A32"/>
    <w:rsid w:val="44F87A23"/>
    <w:rsid w:val="451F7CF8"/>
    <w:rsid w:val="452D7567"/>
    <w:rsid w:val="455C2932"/>
    <w:rsid w:val="457A48DC"/>
    <w:rsid w:val="45B25DBF"/>
    <w:rsid w:val="45B85B30"/>
    <w:rsid w:val="45D1274E"/>
    <w:rsid w:val="45D36916"/>
    <w:rsid w:val="45DB41E7"/>
    <w:rsid w:val="45E46091"/>
    <w:rsid w:val="45E549B4"/>
    <w:rsid w:val="45F63CE4"/>
    <w:rsid w:val="45F75F2C"/>
    <w:rsid w:val="45FD437A"/>
    <w:rsid w:val="460324F4"/>
    <w:rsid w:val="46056014"/>
    <w:rsid w:val="46164604"/>
    <w:rsid w:val="463B2E36"/>
    <w:rsid w:val="46433AF4"/>
    <w:rsid w:val="46633A7C"/>
    <w:rsid w:val="46893BE0"/>
    <w:rsid w:val="468E490C"/>
    <w:rsid w:val="46D13C6F"/>
    <w:rsid w:val="46E91D19"/>
    <w:rsid w:val="46F4261E"/>
    <w:rsid w:val="46F81F5C"/>
    <w:rsid w:val="4706293F"/>
    <w:rsid w:val="47102D15"/>
    <w:rsid w:val="471425D5"/>
    <w:rsid w:val="471E5E67"/>
    <w:rsid w:val="472B0583"/>
    <w:rsid w:val="47312172"/>
    <w:rsid w:val="47347285"/>
    <w:rsid w:val="477C5088"/>
    <w:rsid w:val="47841A42"/>
    <w:rsid w:val="478D4D9A"/>
    <w:rsid w:val="478E1441"/>
    <w:rsid w:val="47971775"/>
    <w:rsid w:val="47B10AC1"/>
    <w:rsid w:val="47B642F1"/>
    <w:rsid w:val="47B672E7"/>
    <w:rsid w:val="47C13ED6"/>
    <w:rsid w:val="47C27152"/>
    <w:rsid w:val="47D32328"/>
    <w:rsid w:val="47FA66CD"/>
    <w:rsid w:val="47FE7A46"/>
    <w:rsid w:val="4800556C"/>
    <w:rsid w:val="48050DD4"/>
    <w:rsid w:val="480D334D"/>
    <w:rsid w:val="481459CA"/>
    <w:rsid w:val="481711A1"/>
    <w:rsid w:val="482968CF"/>
    <w:rsid w:val="483F42E6"/>
    <w:rsid w:val="48942081"/>
    <w:rsid w:val="48955123"/>
    <w:rsid w:val="48B562BD"/>
    <w:rsid w:val="48B6702D"/>
    <w:rsid w:val="48B87DAA"/>
    <w:rsid w:val="48BB76E5"/>
    <w:rsid w:val="48BD345D"/>
    <w:rsid w:val="48C30478"/>
    <w:rsid w:val="48F0738F"/>
    <w:rsid w:val="48F86C92"/>
    <w:rsid w:val="48FF5824"/>
    <w:rsid w:val="491017DF"/>
    <w:rsid w:val="491369CC"/>
    <w:rsid w:val="49320D4E"/>
    <w:rsid w:val="493C0826"/>
    <w:rsid w:val="494164C0"/>
    <w:rsid w:val="494476DB"/>
    <w:rsid w:val="494E62A6"/>
    <w:rsid w:val="495D7511"/>
    <w:rsid w:val="497E0E3E"/>
    <w:rsid w:val="49C012F8"/>
    <w:rsid w:val="49CA6D2C"/>
    <w:rsid w:val="49D24CE6"/>
    <w:rsid w:val="49E7024F"/>
    <w:rsid w:val="49EA64D4"/>
    <w:rsid w:val="49EF5898"/>
    <w:rsid w:val="4A0155CC"/>
    <w:rsid w:val="4A077C9F"/>
    <w:rsid w:val="4A2512BA"/>
    <w:rsid w:val="4A34004C"/>
    <w:rsid w:val="4A36378E"/>
    <w:rsid w:val="4A937C3C"/>
    <w:rsid w:val="4AB14E58"/>
    <w:rsid w:val="4AE110CD"/>
    <w:rsid w:val="4AE747C1"/>
    <w:rsid w:val="4AF557DA"/>
    <w:rsid w:val="4B027E16"/>
    <w:rsid w:val="4B3C4202"/>
    <w:rsid w:val="4B3F1E2E"/>
    <w:rsid w:val="4B5C6F5D"/>
    <w:rsid w:val="4B5D2CD5"/>
    <w:rsid w:val="4B645E12"/>
    <w:rsid w:val="4B6A3D2F"/>
    <w:rsid w:val="4B6F2FB4"/>
    <w:rsid w:val="4B883008"/>
    <w:rsid w:val="4B9177DA"/>
    <w:rsid w:val="4BBF129A"/>
    <w:rsid w:val="4BC30D8B"/>
    <w:rsid w:val="4BC70265"/>
    <w:rsid w:val="4BE96317"/>
    <w:rsid w:val="4BF2341E"/>
    <w:rsid w:val="4BF4363A"/>
    <w:rsid w:val="4BF61160"/>
    <w:rsid w:val="4C054C56"/>
    <w:rsid w:val="4C0F5D7E"/>
    <w:rsid w:val="4C2B6930"/>
    <w:rsid w:val="4C3D2939"/>
    <w:rsid w:val="4C490FE0"/>
    <w:rsid w:val="4C55381A"/>
    <w:rsid w:val="4C8A062B"/>
    <w:rsid w:val="4C9704B6"/>
    <w:rsid w:val="4CB21E49"/>
    <w:rsid w:val="4D072EF9"/>
    <w:rsid w:val="4D142FE0"/>
    <w:rsid w:val="4D215349"/>
    <w:rsid w:val="4D2A12E8"/>
    <w:rsid w:val="4D5316C1"/>
    <w:rsid w:val="4D554464"/>
    <w:rsid w:val="4D607C36"/>
    <w:rsid w:val="4D732CDE"/>
    <w:rsid w:val="4D76420B"/>
    <w:rsid w:val="4D7D21B0"/>
    <w:rsid w:val="4DB23902"/>
    <w:rsid w:val="4DCD2983"/>
    <w:rsid w:val="4DE33A74"/>
    <w:rsid w:val="4DF16362"/>
    <w:rsid w:val="4DF71011"/>
    <w:rsid w:val="4E1E2C51"/>
    <w:rsid w:val="4E465CA3"/>
    <w:rsid w:val="4E6A0A71"/>
    <w:rsid w:val="4EA03605"/>
    <w:rsid w:val="4EA604F0"/>
    <w:rsid w:val="4EB96475"/>
    <w:rsid w:val="4ED35788"/>
    <w:rsid w:val="4EE01F29"/>
    <w:rsid w:val="4F05790C"/>
    <w:rsid w:val="4F0772D2"/>
    <w:rsid w:val="4F8847C5"/>
    <w:rsid w:val="4F9541FD"/>
    <w:rsid w:val="4FA40ED3"/>
    <w:rsid w:val="4FD07F1A"/>
    <w:rsid w:val="4FD712A8"/>
    <w:rsid w:val="4FD86DCF"/>
    <w:rsid w:val="4FDC3661"/>
    <w:rsid w:val="500D4CCA"/>
    <w:rsid w:val="501F42A7"/>
    <w:rsid w:val="50242014"/>
    <w:rsid w:val="50412F77"/>
    <w:rsid w:val="505E72D4"/>
    <w:rsid w:val="50903205"/>
    <w:rsid w:val="50E36767"/>
    <w:rsid w:val="5119109C"/>
    <w:rsid w:val="51662C85"/>
    <w:rsid w:val="5170137B"/>
    <w:rsid w:val="517C62DE"/>
    <w:rsid w:val="519531C9"/>
    <w:rsid w:val="5198054E"/>
    <w:rsid w:val="51B601CE"/>
    <w:rsid w:val="51C413B8"/>
    <w:rsid w:val="51CB65A8"/>
    <w:rsid w:val="51DD691E"/>
    <w:rsid w:val="51E41767"/>
    <w:rsid w:val="51F779E0"/>
    <w:rsid w:val="52067C23"/>
    <w:rsid w:val="520B348B"/>
    <w:rsid w:val="524076F7"/>
    <w:rsid w:val="5285323E"/>
    <w:rsid w:val="52BD2B3B"/>
    <w:rsid w:val="52DE7590"/>
    <w:rsid w:val="52EB2107"/>
    <w:rsid w:val="5305283D"/>
    <w:rsid w:val="530A54F1"/>
    <w:rsid w:val="530E7343"/>
    <w:rsid w:val="5311062D"/>
    <w:rsid w:val="53213874"/>
    <w:rsid w:val="534A720B"/>
    <w:rsid w:val="53542C10"/>
    <w:rsid w:val="53890B0C"/>
    <w:rsid w:val="539227A8"/>
    <w:rsid w:val="539B589C"/>
    <w:rsid w:val="53A476F3"/>
    <w:rsid w:val="53B82FEC"/>
    <w:rsid w:val="53D55AFF"/>
    <w:rsid w:val="53DA1367"/>
    <w:rsid w:val="53E72F59"/>
    <w:rsid w:val="540B4393"/>
    <w:rsid w:val="540E1011"/>
    <w:rsid w:val="541F7ABB"/>
    <w:rsid w:val="54356900"/>
    <w:rsid w:val="544476F3"/>
    <w:rsid w:val="54585ABA"/>
    <w:rsid w:val="54905ECA"/>
    <w:rsid w:val="54A31759"/>
    <w:rsid w:val="54B020C8"/>
    <w:rsid w:val="54B5148C"/>
    <w:rsid w:val="54BC0A6D"/>
    <w:rsid w:val="54C0055D"/>
    <w:rsid w:val="54C618EB"/>
    <w:rsid w:val="54D758A7"/>
    <w:rsid w:val="551E34D6"/>
    <w:rsid w:val="553E6F3C"/>
    <w:rsid w:val="555818D9"/>
    <w:rsid w:val="5560589C"/>
    <w:rsid w:val="5563713A"/>
    <w:rsid w:val="55693925"/>
    <w:rsid w:val="556A04C9"/>
    <w:rsid w:val="55886BA1"/>
    <w:rsid w:val="55B80F19"/>
    <w:rsid w:val="55D42F39"/>
    <w:rsid w:val="55DA6ED2"/>
    <w:rsid w:val="55E464CD"/>
    <w:rsid w:val="56007BF1"/>
    <w:rsid w:val="56293EE0"/>
    <w:rsid w:val="5647080A"/>
    <w:rsid w:val="567253EB"/>
    <w:rsid w:val="56861332"/>
    <w:rsid w:val="56C41E5B"/>
    <w:rsid w:val="56E10C5F"/>
    <w:rsid w:val="56E36785"/>
    <w:rsid w:val="56E754E2"/>
    <w:rsid w:val="56F269C8"/>
    <w:rsid w:val="56F910CB"/>
    <w:rsid w:val="570C38FA"/>
    <w:rsid w:val="57266400"/>
    <w:rsid w:val="572F6882"/>
    <w:rsid w:val="57415259"/>
    <w:rsid w:val="57536CD1"/>
    <w:rsid w:val="578A57A7"/>
    <w:rsid w:val="57932B34"/>
    <w:rsid w:val="57AA28DF"/>
    <w:rsid w:val="57BD5228"/>
    <w:rsid w:val="57E142B5"/>
    <w:rsid w:val="57F549C2"/>
    <w:rsid w:val="57F624E8"/>
    <w:rsid w:val="58133165"/>
    <w:rsid w:val="582726A1"/>
    <w:rsid w:val="583152CE"/>
    <w:rsid w:val="583E0FCC"/>
    <w:rsid w:val="583F021F"/>
    <w:rsid w:val="584722A5"/>
    <w:rsid w:val="5866141B"/>
    <w:rsid w:val="586A6826"/>
    <w:rsid w:val="58910F35"/>
    <w:rsid w:val="589D2963"/>
    <w:rsid w:val="58B634E6"/>
    <w:rsid w:val="58BB3691"/>
    <w:rsid w:val="58BE394B"/>
    <w:rsid w:val="59795237"/>
    <w:rsid w:val="598A0241"/>
    <w:rsid w:val="59995821"/>
    <w:rsid w:val="599F393A"/>
    <w:rsid w:val="59A10231"/>
    <w:rsid w:val="59A541C5"/>
    <w:rsid w:val="59C5504E"/>
    <w:rsid w:val="59D86349"/>
    <w:rsid w:val="59EC5950"/>
    <w:rsid w:val="5A045E42"/>
    <w:rsid w:val="5A0A227A"/>
    <w:rsid w:val="5A132EDD"/>
    <w:rsid w:val="5A151207"/>
    <w:rsid w:val="5A4960FE"/>
    <w:rsid w:val="5A883676"/>
    <w:rsid w:val="5A884377"/>
    <w:rsid w:val="5AD92379"/>
    <w:rsid w:val="5AE14D89"/>
    <w:rsid w:val="5AEF176E"/>
    <w:rsid w:val="5B24111A"/>
    <w:rsid w:val="5B461090"/>
    <w:rsid w:val="5B4B48F9"/>
    <w:rsid w:val="5B591320"/>
    <w:rsid w:val="5B660030"/>
    <w:rsid w:val="5B755A94"/>
    <w:rsid w:val="5B8E6BCB"/>
    <w:rsid w:val="5B977B3E"/>
    <w:rsid w:val="5B9E0ECC"/>
    <w:rsid w:val="5BAC41E1"/>
    <w:rsid w:val="5BD415F8"/>
    <w:rsid w:val="5C322687"/>
    <w:rsid w:val="5C381321"/>
    <w:rsid w:val="5C3D06E5"/>
    <w:rsid w:val="5C6B0A66"/>
    <w:rsid w:val="5C6C60CA"/>
    <w:rsid w:val="5C715975"/>
    <w:rsid w:val="5C7F0CFE"/>
    <w:rsid w:val="5C871960"/>
    <w:rsid w:val="5C91458D"/>
    <w:rsid w:val="5CB63FF4"/>
    <w:rsid w:val="5CB66239"/>
    <w:rsid w:val="5CC901CB"/>
    <w:rsid w:val="5CE419CF"/>
    <w:rsid w:val="5CE768A3"/>
    <w:rsid w:val="5CED5FBE"/>
    <w:rsid w:val="5D047455"/>
    <w:rsid w:val="5D335644"/>
    <w:rsid w:val="5D37429C"/>
    <w:rsid w:val="5D3E547C"/>
    <w:rsid w:val="5D480AC5"/>
    <w:rsid w:val="5D740137"/>
    <w:rsid w:val="5D7E0FB5"/>
    <w:rsid w:val="5D931EAB"/>
    <w:rsid w:val="5D9513A6"/>
    <w:rsid w:val="5DA5560A"/>
    <w:rsid w:val="5DAA1DAA"/>
    <w:rsid w:val="5DAF5613"/>
    <w:rsid w:val="5DCE7323"/>
    <w:rsid w:val="5DEA43BA"/>
    <w:rsid w:val="5E0B036F"/>
    <w:rsid w:val="5E0C4813"/>
    <w:rsid w:val="5E510478"/>
    <w:rsid w:val="5E5C6533"/>
    <w:rsid w:val="5E7A79CF"/>
    <w:rsid w:val="5E9B0827"/>
    <w:rsid w:val="5E9B16F3"/>
    <w:rsid w:val="5EA4703F"/>
    <w:rsid w:val="5EA67036"/>
    <w:rsid w:val="5EAD14C3"/>
    <w:rsid w:val="5EAF1474"/>
    <w:rsid w:val="5EC23124"/>
    <w:rsid w:val="5EE27322"/>
    <w:rsid w:val="5EE4309A"/>
    <w:rsid w:val="5EF32937"/>
    <w:rsid w:val="5F02777A"/>
    <w:rsid w:val="5F06000A"/>
    <w:rsid w:val="5F1178F0"/>
    <w:rsid w:val="5F117C07"/>
    <w:rsid w:val="5F1D65AC"/>
    <w:rsid w:val="5F7E34EF"/>
    <w:rsid w:val="5F7E529D"/>
    <w:rsid w:val="5F9C5A4A"/>
    <w:rsid w:val="5FB7183B"/>
    <w:rsid w:val="5FC9012F"/>
    <w:rsid w:val="5FC91A22"/>
    <w:rsid w:val="5FD924D3"/>
    <w:rsid w:val="5FEA352A"/>
    <w:rsid w:val="5FF73DBD"/>
    <w:rsid w:val="60182674"/>
    <w:rsid w:val="60243CC7"/>
    <w:rsid w:val="602970B6"/>
    <w:rsid w:val="60423399"/>
    <w:rsid w:val="604B63DB"/>
    <w:rsid w:val="60854409"/>
    <w:rsid w:val="60A01243"/>
    <w:rsid w:val="60B71EF9"/>
    <w:rsid w:val="60D25784"/>
    <w:rsid w:val="60F92F16"/>
    <w:rsid w:val="610D7308"/>
    <w:rsid w:val="611275BB"/>
    <w:rsid w:val="6115091A"/>
    <w:rsid w:val="61433D9D"/>
    <w:rsid w:val="616E6A18"/>
    <w:rsid w:val="61CB6793"/>
    <w:rsid w:val="621041A6"/>
    <w:rsid w:val="6216183D"/>
    <w:rsid w:val="621E2D67"/>
    <w:rsid w:val="622013DC"/>
    <w:rsid w:val="622A6AAC"/>
    <w:rsid w:val="62436329"/>
    <w:rsid w:val="62540537"/>
    <w:rsid w:val="62726336"/>
    <w:rsid w:val="628F5A13"/>
    <w:rsid w:val="629E5C56"/>
    <w:rsid w:val="62B45479"/>
    <w:rsid w:val="62C7746F"/>
    <w:rsid w:val="62D81168"/>
    <w:rsid w:val="62DD37B2"/>
    <w:rsid w:val="62DE5FEA"/>
    <w:rsid w:val="62ED4385"/>
    <w:rsid w:val="62F15D85"/>
    <w:rsid w:val="632E6FDA"/>
    <w:rsid w:val="634560D1"/>
    <w:rsid w:val="635C3B47"/>
    <w:rsid w:val="636C365E"/>
    <w:rsid w:val="63835B20"/>
    <w:rsid w:val="63A67C2C"/>
    <w:rsid w:val="63D105AA"/>
    <w:rsid w:val="640C336D"/>
    <w:rsid w:val="643B7129"/>
    <w:rsid w:val="646A3AD7"/>
    <w:rsid w:val="647629E6"/>
    <w:rsid w:val="64786D26"/>
    <w:rsid w:val="64AB37B1"/>
    <w:rsid w:val="64B259E8"/>
    <w:rsid w:val="64B65ED1"/>
    <w:rsid w:val="64D8544F"/>
    <w:rsid w:val="64E262CE"/>
    <w:rsid w:val="64E5191A"/>
    <w:rsid w:val="65321F17"/>
    <w:rsid w:val="653B1E64"/>
    <w:rsid w:val="65444892"/>
    <w:rsid w:val="654622C2"/>
    <w:rsid w:val="6570058C"/>
    <w:rsid w:val="657333CA"/>
    <w:rsid w:val="65AE016F"/>
    <w:rsid w:val="65D8322D"/>
    <w:rsid w:val="65FF6A0B"/>
    <w:rsid w:val="66415276"/>
    <w:rsid w:val="66481519"/>
    <w:rsid w:val="66502145"/>
    <w:rsid w:val="66630D48"/>
    <w:rsid w:val="6691114E"/>
    <w:rsid w:val="669D1887"/>
    <w:rsid w:val="669F3A29"/>
    <w:rsid w:val="66B71094"/>
    <w:rsid w:val="66F52482"/>
    <w:rsid w:val="670D56F3"/>
    <w:rsid w:val="672E6849"/>
    <w:rsid w:val="673646AF"/>
    <w:rsid w:val="674072DB"/>
    <w:rsid w:val="6772154E"/>
    <w:rsid w:val="67765760"/>
    <w:rsid w:val="67BF6ED1"/>
    <w:rsid w:val="67CA4DF7"/>
    <w:rsid w:val="67D77C40"/>
    <w:rsid w:val="67F81964"/>
    <w:rsid w:val="681A75AA"/>
    <w:rsid w:val="683B0252"/>
    <w:rsid w:val="68572B2F"/>
    <w:rsid w:val="687C2595"/>
    <w:rsid w:val="689616D8"/>
    <w:rsid w:val="68A7159B"/>
    <w:rsid w:val="68C63810"/>
    <w:rsid w:val="68CF4A83"/>
    <w:rsid w:val="68D67EF7"/>
    <w:rsid w:val="690115CE"/>
    <w:rsid w:val="691602F4"/>
    <w:rsid w:val="69407A67"/>
    <w:rsid w:val="69594684"/>
    <w:rsid w:val="69AE706B"/>
    <w:rsid w:val="69F820EF"/>
    <w:rsid w:val="6A034EC0"/>
    <w:rsid w:val="6A050368"/>
    <w:rsid w:val="6A107439"/>
    <w:rsid w:val="6A132A85"/>
    <w:rsid w:val="6A401B02"/>
    <w:rsid w:val="6A5135AE"/>
    <w:rsid w:val="6A6652AB"/>
    <w:rsid w:val="6A9B743F"/>
    <w:rsid w:val="6AB9412D"/>
    <w:rsid w:val="6AC932A0"/>
    <w:rsid w:val="6AD46458"/>
    <w:rsid w:val="6AEC1C54"/>
    <w:rsid w:val="6B144D07"/>
    <w:rsid w:val="6B2C2051"/>
    <w:rsid w:val="6B3E7FD6"/>
    <w:rsid w:val="6B96452C"/>
    <w:rsid w:val="6BA442DD"/>
    <w:rsid w:val="6BBE2717"/>
    <w:rsid w:val="6BCE3551"/>
    <w:rsid w:val="6BEA64F1"/>
    <w:rsid w:val="6BF012D0"/>
    <w:rsid w:val="6BFE3795"/>
    <w:rsid w:val="6C0E5BFA"/>
    <w:rsid w:val="6C57134F"/>
    <w:rsid w:val="6C6018D2"/>
    <w:rsid w:val="6C726189"/>
    <w:rsid w:val="6CE138C1"/>
    <w:rsid w:val="6D0C5E17"/>
    <w:rsid w:val="6D1B5985"/>
    <w:rsid w:val="6D5E7E22"/>
    <w:rsid w:val="6D635AD2"/>
    <w:rsid w:val="6D6361DA"/>
    <w:rsid w:val="6D702D90"/>
    <w:rsid w:val="6D876C38"/>
    <w:rsid w:val="6DA93E2C"/>
    <w:rsid w:val="6DB8406F"/>
    <w:rsid w:val="6DCC2905"/>
    <w:rsid w:val="6DE97FB4"/>
    <w:rsid w:val="6DF1607A"/>
    <w:rsid w:val="6DF350A8"/>
    <w:rsid w:val="6E0E5A3E"/>
    <w:rsid w:val="6E1E6586"/>
    <w:rsid w:val="6E63661D"/>
    <w:rsid w:val="6E6C4E5A"/>
    <w:rsid w:val="6E9A19C7"/>
    <w:rsid w:val="6EC66318"/>
    <w:rsid w:val="6EE87094"/>
    <w:rsid w:val="6EF41474"/>
    <w:rsid w:val="6F0E4E12"/>
    <w:rsid w:val="6F141779"/>
    <w:rsid w:val="6F1B2B08"/>
    <w:rsid w:val="6F2470E4"/>
    <w:rsid w:val="6F294F68"/>
    <w:rsid w:val="6F370FC4"/>
    <w:rsid w:val="6F4F630E"/>
    <w:rsid w:val="6F55769C"/>
    <w:rsid w:val="6F584155"/>
    <w:rsid w:val="6F5E54CB"/>
    <w:rsid w:val="6F875CF8"/>
    <w:rsid w:val="6F917A0E"/>
    <w:rsid w:val="6F974ECD"/>
    <w:rsid w:val="6FB0625F"/>
    <w:rsid w:val="6FED6EB9"/>
    <w:rsid w:val="6FF27051"/>
    <w:rsid w:val="70131A31"/>
    <w:rsid w:val="703D260A"/>
    <w:rsid w:val="70450E43"/>
    <w:rsid w:val="704C4F43"/>
    <w:rsid w:val="705D2203"/>
    <w:rsid w:val="70C64CF5"/>
    <w:rsid w:val="70C70EB4"/>
    <w:rsid w:val="70CE67A7"/>
    <w:rsid w:val="70F61D02"/>
    <w:rsid w:val="712B2DAA"/>
    <w:rsid w:val="712B4B58"/>
    <w:rsid w:val="7146247B"/>
    <w:rsid w:val="71791D68"/>
    <w:rsid w:val="717E112C"/>
    <w:rsid w:val="71824970"/>
    <w:rsid w:val="718D3F98"/>
    <w:rsid w:val="71937162"/>
    <w:rsid w:val="719B7F30"/>
    <w:rsid w:val="71B30B1B"/>
    <w:rsid w:val="71B72890"/>
    <w:rsid w:val="71B903B6"/>
    <w:rsid w:val="71C50B09"/>
    <w:rsid w:val="71D15351"/>
    <w:rsid w:val="71D36501"/>
    <w:rsid w:val="71E23DDD"/>
    <w:rsid w:val="71E83539"/>
    <w:rsid w:val="71FB4625"/>
    <w:rsid w:val="720B40D4"/>
    <w:rsid w:val="720E15CF"/>
    <w:rsid w:val="722E4CA8"/>
    <w:rsid w:val="723B526F"/>
    <w:rsid w:val="7270316B"/>
    <w:rsid w:val="727037E7"/>
    <w:rsid w:val="728C4A86"/>
    <w:rsid w:val="729D1A86"/>
    <w:rsid w:val="72AA6F92"/>
    <w:rsid w:val="72B13D23"/>
    <w:rsid w:val="72B56DCF"/>
    <w:rsid w:val="72DF3E4C"/>
    <w:rsid w:val="72E256EB"/>
    <w:rsid w:val="72E651DB"/>
    <w:rsid w:val="73125FD0"/>
    <w:rsid w:val="73245D03"/>
    <w:rsid w:val="732D2E0A"/>
    <w:rsid w:val="732D4BB8"/>
    <w:rsid w:val="734168B5"/>
    <w:rsid w:val="73504D4A"/>
    <w:rsid w:val="738549F4"/>
    <w:rsid w:val="739C3AEB"/>
    <w:rsid w:val="739F538A"/>
    <w:rsid w:val="73AB01D2"/>
    <w:rsid w:val="73AF3567"/>
    <w:rsid w:val="73B1063A"/>
    <w:rsid w:val="73B800DD"/>
    <w:rsid w:val="73C70D00"/>
    <w:rsid w:val="73C90ED4"/>
    <w:rsid w:val="73E7745D"/>
    <w:rsid w:val="73EF00BF"/>
    <w:rsid w:val="74365CEE"/>
    <w:rsid w:val="743B72F2"/>
    <w:rsid w:val="74414B62"/>
    <w:rsid w:val="74493C73"/>
    <w:rsid w:val="74512794"/>
    <w:rsid w:val="7487654A"/>
    <w:rsid w:val="749B3DA3"/>
    <w:rsid w:val="74A239DD"/>
    <w:rsid w:val="74BD640F"/>
    <w:rsid w:val="74D3605E"/>
    <w:rsid w:val="74F2001A"/>
    <w:rsid w:val="75023E22"/>
    <w:rsid w:val="750D5282"/>
    <w:rsid w:val="750E0A19"/>
    <w:rsid w:val="750E6C6B"/>
    <w:rsid w:val="751D6EAE"/>
    <w:rsid w:val="752A4BB8"/>
    <w:rsid w:val="752B15CB"/>
    <w:rsid w:val="752E2E69"/>
    <w:rsid w:val="75673778"/>
    <w:rsid w:val="75703482"/>
    <w:rsid w:val="75706FDE"/>
    <w:rsid w:val="75986535"/>
    <w:rsid w:val="75A70DE7"/>
    <w:rsid w:val="75B25C4B"/>
    <w:rsid w:val="75CB454E"/>
    <w:rsid w:val="75D339A9"/>
    <w:rsid w:val="75D8638B"/>
    <w:rsid w:val="75DC28C5"/>
    <w:rsid w:val="7601232C"/>
    <w:rsid w:val="76283328"/>
    <w:rsid w:val="763079CC"/>
    <w:rsid w:val="76360227"/>
    <w:rsid w:val="76361FD5"/>
    <w:rsid w:val="76441304"/>
    <w:rsid w:val="76475E5A"/>
    <w:rsid w:val="767847F4"/>
    <w:rsid w:val="76995FEA"/>
    <w:rsid w:val="76C13E16"/>
    <w:rsid w:val="76FB1881"/>
    <w:rsid w:val="77277D4B"/>
    <w:rsid w:val="772A140E"/>
    <w:rsid w:val="775F2C73"/>
    <w:rsid w:val="779276DF"/>
    <w:rsid w:val="77A860A6"/>
    <w:rsid w:val="77C8358B"/>
    <w:rsid w:val="77D53A70"/>
    <w:rsid w:val="77DE57B1"/>
    <w:rsid w:val="78034139"/>
    <w:rsid w:val="780B56E4"/>
    <w:rsid w:val="780F6F82"/>
    <w:rsid w:val="78174088"/>
    <w:rsid w:val="7834012E"/>
    <w:rsid w:val="78460F93"/>
    <w:rsid w:val="78525DA0"/>
    <w:rsid w:val="78656BA2"/>
    <w:rsid w:val="786B0E1B"/>
    <w:rsid w:val="787029C7"/>
    <w:rsid w:val="7885138D"/>
    <w:rsid w:val="78872FBC"/>
    <w:rsid w:val="78896743"/>
    <w:rsid w:val="78917997"/>
    <w:rsid w:val="789E0306"/>
    <w:rsid w:val="78B8303D"/>
    <w:rsid w:val="78E51A91"/>
    <w:rsid w:val="78E57CE3"/>
    <w:rsid w:val="7906409F"/>
    <w:rsid w:val="79133A02"/>
    <w:rsid w:val="791F1447"/>
    <w:rsid w:val="79433874"/>
    <w:rsid w:val="7956298E"/>
    <w:rsid w:val="799534B7"/>
    <w:rsid w:val="79A436FA"/>
    <w:rsid w:val="79BE0DF9"/>
    <w:rsid w:val="79C00372"/>
    <w:rsid w:val="79C619C0"/>
    <w:rsid w:val="79E63D12"/>
    <w:rsid w:val="7A102B3D"/>
    <w:rsid w:val="7A1A1C0E"/>
    <w:rsid w:val="7A1C5324"/>
    <w:rsid w:val="7A1E0CD4"/>
    <w:rsid w:val="7A203A4F"/>
    <w:rsid w:val="7A236D15"/>
    <w:rsid w:val="7A7541DE"/>
    <w:rsid w:val="7AB5745B"/>
    <w:rsid w:val="7ABC586B"/>
    <w:rsid w:val="7ADA3941"/>
    <w:rsid w:val="7B306A5E"/>
    <w:rsid w:val="7B411303"/>
    <w:rsid w:val="7B4927AB"/>
    <w:rsid w:val="7B6475E5"/>
    <w:rsid w:val="7B752FD1"/>
    <w:rsid w:val="7B8A4415"/>
    <w:rsid w:val="7B914152"/>
    <w:rsid w:val="7BA104C8"/>
    <w:rsid w:val="7BA901F2"/>
    <w:rsid w:val="7BBF2A6D"/>
    <w:rsid w:val="7BC32003"/>
    <w:rsid w:val="7BC36FAE"/>
    <w:rsid w:val="7BC71922"/>
    <w:rsid w:val="7BCD202A"/>
    <w:rsid w:val="7BF02C26"/>
    <w:rsid w:val="7BF91C6D"/>
    <w:rsid w:val="7BFD514E"/>
    <w:rsid w:val="7C084414"/>
    <w:rsid w:val="7C311B97"/>
    <w:rsid w:val="7C4116D4"/>
    <w:rsid w:val="7C4555D9"/>
    <w:rsid w:val="7C4B60AF"/>
    <w:rsid w:val="7C884387"/>
    <w:rsid w:val="7C8855F8"/>
    <w:rsid w:val="7C8A69D3"/>
    <w:rsid w:val="7C98178C"/>
    <w:rsid w:val="7CA3413D"/>
    <w:rsid w:val="7CBC51FE"/>
    <w:rsid w:val="7CD936EE"/>
    <w:rsid w:val="7CDB5685"/>
    <w:rsid w:val="7CDE2919"/>
    <w:rsid w:val="7CE64029"/>
    <w:rsid w:val="7CF378E9"/>
    <w:rsid w:val="7D221505"/>
    <w:rsid w:val="7D3E3E65"/>
    <w:rsid w:val="7D7A2DAA"/>
    <w:rsid w:val="7D8A0E59"/>
    <w:rsid w:val="7D99109C"/>
    <w:rsid w:val="7E4B683A"/>
    <w:rsid w:val="7E6C693B"/>
    <w:rsid w:val="7E967BCA"/>
    <w:rsid w:val="7EBA0DE8"/>
    <w:rsid w:val="7EF156AE"/>
    <w:rsid w:val="7EF72556"/>
    <w:rsid w:val="7F0569E9"/>
    <w:rsid w:val="7F0F3F28"/>
    <w:rsid w:val="7F1B445E"/>
    <w:rsid w:val="7F231565"/>
    <w:rsid w:val="7F3B7B10"/>
    <w:rsid w:val="7F4F63EA"/>
    <w:rsid w:val="7F525177"/>
    <w:rsid w:val="7F584ABF"/>
    <w:rsid w:val="7F7D6EC7"/>
    <w:rsid w:val="7F932247"/>
    <w:rsid w:val="7FCC5758"/>
    <w:rsid w:val="7FCE7723"/>
    <w:rsid w:val="7FD665D7"/>
    <w:rsid w:val="7FFC4290"/>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0" w:semiHidden="0" w:name="table of authorities"/>
    <w:lsdException w:uiPriority="0" w:name="macro"/>
    <w:lsdException w:uiPriority="0" w:name="toa heading"/>
    <w:lsdException w:qFormat="1" w:unhideWhenUsed="0" w:uiPriority="99" w:semiHidden="0" w:name="List"/>
    <w:lsdException w:uiPriority="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99"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qFormat="1" w:unhideWhenUsed="0" w:uiPriority="99"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5"/>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7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71"/>
    <w:qFormat/>
    <w:uiPriority w:val="0"/>
    <w:pPr>
      <w:keepNext/>
      <w:keepLines/>
      <w:spacing w:before="260" w:after="260" w:line="416" w:lineRule="auto"/>
      <w:outlineLvl w:val="2"/>
    </w:pPr>
    <w:rPr>
      <w:b/>
      <w:bCs/>
      <w:sz w:val="32"/>
      <w:szCs w:val="32"/>
    </w:rPr>
  </w:style>
  <w:style w:type="paragraph" w:styleId="6">
    <w:name w:val="heading 4"/>
    <w:basedOn w:val="1"/>
    <w:next w:val="1"/>
    <w:link w:val="68"/>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72"/>
    <w:qFormat/>
    <w:uiPriority w:val="0"/>
    <w:pPr>
      <w:keepNext/>
      <w:keepLines/>
      <w:numPr>
        <w:ilvl w:val="4"/>
        <w:numId w:val="1"/>
      </w:numPr>
      <w:spacing w:before="280" w:after="290" w:line="376" w:lineRule="auto"/>
      <w:outlineLvl w:val="4"/>
    </w:pPr>
    <w:rPr>
      <w:b/>
      <w:sz w:val="28"/>
    </w:rPr>
  </w:style>
  <w:style w:type="paragraph" w:styleId="8">
    <w:name w:val="heading 6"/>
    <w:basedOn w:val="1"/>
    <w:next w:val="9"/>
    <w:link w:val="73"/>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9"/>
    <w:link w:val="74"/>
    <w:qFormat/>
    <w:uiPriority w:val="99"/>
    <w:pPr>
      <w:keepNext/>
      <w:keepLines/>
      <w:numPr>
        <w:ilvl w:val="6"/>
        <w:numId w:val="1"/>
      </w:numPr>
      <w:spacing w:before="240" w:after="64" w:line="320" w:lineRule="auto"/>
      <w:outlineLvl w:val="6"/>
    </w:pPr>
    <w:rPr>
      <w:b/>
      <w:sz w:val="24"/>
    </w:rPr>
  </w:style>
  <w:style w:type="paragraph" w:styleId="11">
    <w:name w:val="heading 8"/>
    <w:basedOn w:val="1"/>
    <w:next w:val="9"/>
    <w:link w:val="75"/>
    <w:qFormat/>
    <w:uiPriority w:val="9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9"/>
    <w:link w:val="76"/>
    <w:qFormat/>
    <w:uiPriority w:val="99"/>
    <w:pPr>
      <w:keepNext/>
      <w:keepLines/>
      <w:numPr>
        <w:ilvl w:val="8"/>
        <w:numId w:val="1"/>
      </w:numPr>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4">
    <w:name w:val="正文首行缩进2字符"/>
    <w:basedOn w:val="1"/>
    <w:qFormat/>
    <w:uiPriority w:val="0"/>
    <w:pPr>
      <w:widowControl/>
      <w:adjustRightInd w:val="0"/>
    </w:pPr>
  </w:style>
  <w:style w:type="paragraph" w:styleId="9">
    <w:name w:val="Normal Indent"/>
    <w:basedOn w:val="1"/>
    <w:qFormat/>
    <w:uiPriority w:val="99"/>
    <w:pPr>
      <w:ind w:firstLine="420"/>
    </w:pPr>
    <w:rPr>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tabs>
        <w:tab w:val="right" w:leader="dot" w:pos="9185"/>
      </w:tabs>
      <w:adjustRightInd w:val="0"/>
      <w:spacing w:line="312" w:lineRule="atLeast"/>
      <w:ind w:left="2520"/>
      <w:textAlignment w:val="baseline"/>
    </w:pPr>
    <w:rPr>
      <w:kern w:val="0"/>
      <w:szCs w:val="20"/>
    </w:rPr>
  </w:style>
  <w:style w:type="paragraph" w:styleId="15">
    <w:name w:val="table of authorities"/>
    <w:basedOn w:val="1"/>
    <w:next w:val="1"/>
    <w:unhideWhenUsed/>
    <w:qFormat/>
    <w:uiPriority w:val="0"/>
    <w:pPr>
      <w:widowControl/>
      <w:spacing w:line="300" w:lineRule="exact"/>
      <w:ind w:left="420" w:leftChars="200"/>
    </w:pPr>
    <w:rPr>
      <w:kern w:val="0"/>
      <w:szCs w:val="22"/>
    </w:rPr>
  </w:style>
  <w:style w:type="paragraph" w:styleId="16">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qFormat/>
    <w:uiPriority w:val="99"/>
    <w:pPr>
      <w:spacing w:before="152" w:after="160"/>
    </w:pPr>
    <w:rPr>
      <w:rFonts w:ascii="Arial" w:hAnsi="Arial" w:eastAsia="黑体" w:cs="Arial"/>
      <w:sz w:val="20"/>
      <w:szCs w:val="20"/>
    </w:rPr>
  </w:style>
  <w:style w:type="paragraph" w:styleId="18">
    <w:name w:val="Document Map"/>
    <w:basedOn w:val="1"/>
    <w:link w:val="122"/>
    <w:semiHidden/>
    <w:qFormat/>
    <w:uiPriority w:val="99"/>
    <w:pPr>
      <w:shd w:val="clear" w:color="auto" w:fill="000080"/>
      <w:adjustRightInd w:val="0"/>
      <w:spacing w:line="312" w:lineRule="atLeast"/>
      <w:textAlignment w:val="baseline"/>
    </w:pPr>
    <w:rPr>
      <w:kern w:val="0"/>
      <w:szCs w:val="20"/>
    </w:rPr>
  </w:style>
  <w:style w:type="paragraph" w:styleId="19">
    <w:name w:val="annotation text"/>
    <w:basedOn w:val="1"/>
    <w:link w:val="102"/>
    <w:qFormat/>
    <w:uiPriority w:val="99"/>
    <w:pPr>
      <w:jc w:val="left"/>
    </w:pPr>
  </w:style>
  <w:style w:type="paragraph" w:styleId="20">
    <w:name w:val="Body Text 3"/>
    <w:basedOn w:val="1"/>
    <w:link w:val="108"/>
    <w:qFormat/>
    <w:uiPriority w:val="99"/>
    <w:pPr>
      <w:spacing w:line="500" w:lineRule="exact"/>
    </w:pPr>
    <w:rPr>
      <w:b/>
      <w:bCs/>
      <w:sz w:val="24"/>
    </w:rPr>
  </w:style>
  <w:style w:type="paragraph" w:styleId="21">
    <w:name w:val="Body Text"/>
    <w:basedOn w:val="1"/>
    <w:next w:val="1"/>
    <w:link w:val="103"/>
    <w:qFormat/>
    <w:uiPriority w:val="0"/>
    <w:pPr>
      <w:spacing w:line="380" w:lineRule="exact"/>
    </w:pPr>
    <w:rPr>
      <w:sz w:val="24"/>
    </w:rPr>
  </w:style>
  <w:style w:type="paragraph" w:styleId="22">
    <w:name w:val="Body Text Indent"/>
    <w:basedOn w:val="1"/>
    <w:next w:val="23"/>
    <w:link w:val="99"/>
    <w:qFormat/>
    <w:uiPriority w:val="99"/>
    <w:pPr>
      <w:ind w:firstLine="830" w:firstLineChars="352"/>
    </w:pPr>
    <w:rPr>
      <w:rFonts w:ascii="仿宋_GB2312" w:eastAsia="仿宋_GB2312"/>
      <w:sz w:val="32"/>
      <w:szCs w:val="20"/>
    </w:rPr>
  </w:style>
  <w:style w:type="paragraph" w:customStyle="1" w:styleId="23">
    <w:name w:val="目录 42"/>
    <w:next w:val="1"/>
    <w:qFormat/>
    <w:uiPriority w:val="99"/>
    <w:pPr>
      <w:wordWrap w:val="0"/>
      <w:ind w:left="850"/>
      <w:jc w:val="both"/>
    </w:pPr>
    <w:rPr>
      <w:rFonts w:ascii="Times New Roman" w:hAnsi="Times New Roman" w:eastAsia="宋体" w:cs="Times New Roman"/>
      <w:sz w:val="21"/>
      <w:szCs w:val="22"/>
      <w:lang w:val="en-US" w:eastAsia="zh-CN" w:bidi="ar-SA"/>
    </w:rPr>
  </w:style>
  <w:style w:type="paragraph" w:styleId="24">
    <w:name w:val="List Number 3"/>
    <w:basedOn w:val="1"/>
    <w:qFormat/>
    <w:uiPriority w:val="99"/>
    <w:pPr>
      <w:tabs>
        <w:tab w:val="left" w:pos="1200"/>
      </w:tabs>
      <w:ind w:left="1200" w:leftChars="400" w:hanging="360" w:hangingChars="200"/>
    </w:pPr>
  </w:style>
  <w:style w:type="paragraph" w:styleId="25">
    <w:name w:val="List 2"/>
    <w:basedOn w:val="1"/>
    <w:qFormat/>
    <w:uiPriority w:val="99"/>
    <w:pPr>
      <w:ind w:left="100" w:leftChars="200" w:hanging="200" w:hangingChars="200"/>
    </w:pPr>
    <w:rPr>
      <w:sz w:val="28"/>
    </w:rPr>
  </w:style>
  <w:style w:type="paragraph" w:styleId="26">
    <w:name w:val="Block Text"/>
    <w:basedOn w:val="1"/>
    <w:qFormat/>
    <w:uiPriority w:val="99"/>
    <w:pPr>
      <w:adjustRightInd w:val="0"/>
      <w:ind w:left="420" w:right="33"/>
      <w:jc w:val="left"/>
      <w:textAlignment w:val="baseline"/>
    </w:pPr>
    <w:rPr>
      <w:kern w:val="0"/>
      <w:sz w:val="24"/>
      <w:szCs w:val="20"/>
    </w:rPr>
  </w:style>
  <w:style w:type="paragraph" w:styleId="27">
    <w:name w:val="toc 5"/>
    <w:basedOn w:val="1"/>
    <w:next w:val="1"/>
    <w:semiHidden/>
    <w:qFormat/>
    <w:uiPriority w:val="99"/>
    <w:pPr>
      <w:tabs>
        <w:tab w:val="right" w:leader="dot" w:pos="9185"/>
      </w:tabs>
      <w:adjustRightInd w:val="0"/>
      <w:spacing w:line="312" w:lineRule="atLeast"/>
      <w:ind w:left="1680"/>
      <w:textAlignment w:val="baseline"/>
    </w:pPr>
    <w:rPr>
      <w:kern w:val="0"/>
      <w:szCs w:val="20"/>
    </w:rPr>
  </w:style>
  <w:style w:type="paragraph" w:styleId="28">
    <w:name w:val="toc 3"/>
    <w:basedOn w:val="1"/>
    <w:next w:val="1"/>
    <w:semiHidden/>
    <w:qFormat/>
    <w:uiPriority w:val="99"/>
    <w:pPr>
      <w:ind w:left="840" w:leftChars="400"/>
    </w:pPr>
  </w:style>
  <w:style w:type="paragraph" w:styleId="29">
    <w:name w:val="Plain Text"/>
    <w:basedOn w:val="1"/>
    <w:next w:val="6"/>
    <w:link w:val="107"/>
    <w:qFormat/>
    <w:uiPriority w:val="99"/>
    <w:rPr>
      <w:rFonts w:ascii="宋体" w:hAnsi="Courier New" w:cs="Courier New"/>
      <w:szCs w:val="21"/>
    </w:rPr>
  </w:style>
  <w:style w:type="paragraph" w:styleId="30">
    <w:name w:val="toc 8"/>
    <w:basedOn w:val="1"/>
    <w:next w:val="1"/>
    <w:semiHidden/>
    <w:qFormat/>
    <w:uiPriority w:val="99"/>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3"/>
    <w:qFormat/>
    <w:uiPriority w:val="99"/>
    <w:pPr>
      <w:ind w:left="100" w:leftChars="2500"/>
    </w:pPr>
    <w:rPr>
      <w:rFonts w:ascii="宋体" w:hAnsi="Courier New" w:cs="Courier New"/>
      <w:szCs w:val="21"/>
    </w:rPr>
  </w:style>
  <w:style w:type="paragraph" w:styleId="32">
    <w:name w:val="Body Text Indent 2"/>
    <w:basedOn w:val="1"/>
    <w:link w:val="141"/>
    <w:qFormat/>
    <w:uiPriority w:val="99"/>
    <w:pPr>
      <w:ind w:firstLine="630"/>
    </w:pPr>
    <w:rPr>
      <w:sz w:val="32"/>
      <w:szCs w:val="20"/>
    </w:rPr>
  </w:style>
  <w:style w:type="paragraph" w:styleId="33">
    <w:name w:val="Balloon Text"/>
    <w:basedOn w:val="1"/>
    <w:link w:val="158"/>
    <w:semiHidden/>
    <w:qFormat/>
    <w:uiPriority w:val="99"/>
    <w:rPr>
      <w:sz w:val="18"/>
      <w:szCs w:val="18"/>
    </w:rPr>
  </w:style>
  <w:style w:type="paragraph" w:styleId="34">
    <w:name w:val="footer"/>
    <w:basedOn w:val="1"/>
    <w:next w:val="1"/>
    <w:link w:val="96"/>
    <w:qFormat/>
    <w:uiPriority w:val="99"/>
    <w:pPr>
      <w:tabs>
        <w:tab w:val="center" w:pos="4153"/>
        <w:tab w:val="right" w:pos="8306"/>
      </w:tabs>
      <w:snapToGrid w:val="0"/>
      <w:jc w:val="left"/>
    </w:pPr>
    <w:rPr>
      <w:sz w:val="18"/>
      <w:szCs w:val="18"/>
    </w:rPr>
  </w:style>
  <w:style w:type="paragraph" w:styleId="35">
    <w:name w:val="header"/>
    <w:basedOn w:val="1"/>
    <w:link w:val="104"/>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semiHidden/>
    <w:qFormat/>
    <w:uiPriority w:val="99"/>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39">
    <w:name w:val="List"/>
    <w:basedOn w:val="1"/>
    <w:qFormat/>
    <w:uiPriority w:val="99"/>
    <w:pPr>
      <w:ind w:left="200" w:hanging="200" w:hangingChars="200"/>
    </w:pPr>
    <w:rPr>
      <w:sz w:val="28"/>
    </w:rPr>
  </w:style>
  <w:style w:type="paragraph" w:styleId="40">
    <w:name w:val="toc 6"/>
    <w:basedOn w:val="1"/>
    <w:next w:val="1"/>
    <w:semiHidden/>
    <w:qFormat/>
    <w:uiPriority w:val="99"/>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99"/>
    <w:pPr>
      <w:ind w:left="2100" w:hanging="420"/>
    </w:pPr>
    <w:rPr>
      <w:szCs w:val="20"/>
    </w:rPr>
  </w:style>
  <w:style w:type="paragraph" w:styleId="42">
    <w:name w:val="Body Text Indent 3"/>
    <w:basedOn w:val="1"/>
    <w:link w:val="124"/>
    <w:qFormat/>
    <w:uiPriority w:val="99"/>
    <w:pPr>
      <w:spacing w:after="12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semiHidden/>
    <w:qFormat/>
    <w:uiPriority w:val="99"/>
    <w:pPr>
      <w:tabs>
        <w:tab w:val="right" w:leader="dot" w:pos="9185"/>
      </w:tabs>
      <w:adjustRightInd w:val="0"/>
      <w:spacing w:line="312" w:lineRule="atLeast"/>
      <w:ind w:left="3360"/>
      <w:textAlignment w:val="baseline"/>
    </w:pPr>
    <w:rPr>
      <w:kern w:val="0"/>
      <w:szCs w:val="20"/>
    </w:rPr>
  </w:style>
  <w:style w:type="paragraph" w:styleId="45">
    <w:name w:val="Body Text 2"/>
    <w:basedOn w:val="1"/>
    <w:next w:val="21"/>
    <w:link w:val="139"/>
    <w:qFormat/>
    <w:uiPriority w:val="99"/>
    <w:pPr>
      <w:spacing w:after="120" w:line="480" w:lineRule="auto"/>
    </w:pPr>
  </w:style>
  <w:style w:type="paragraph" w:styleId="46">
    <w:name w:val="List 4"/>
    <w:basedOn w:val="1"/>
    <w:qFormat/>
    <w:uiPriority w:val="99"/>
    <w:pPr>
      <w:ind w:left="100" w:leftChars="600" w:hanging="200" w:hangingChars="200"/>
    </w:pPr>
  </w:style>
  <w:style w:type="paragraph" w:styleId="47">
    <w:name w:val="List Continue 2"/>
    <w:basedOn w:val="1"/>
    <w:qFormat/>
    <w:uiPriority w:val="99"/>
    <w:pPr>
      <w:spacing w:after="120"/>
      <w:ind w:left="840" w:leftChars="400"/>
    </w:pPr>
  </w:style>
  <w:style w:type="paragraph" w:styleId="48">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0"/>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99"/>
    <w:pPr>
      <w:spacing w:line="400" w:lineRule="exact"/>
      <w:ind w:firstLine="420" w:firstLineChars="200"/>
    </w:pPr>
    <w:rPr>
      <w:rFonts w:ascii="宋体" w:hAnsi="Courier New"/>
      <w:b/>
      <w:szCs w:val="20"/>
    </w:rPr>
  </w:style>
  <w:style w:type="paragraph" w:styleId="51">
    <w:name w:val="Title"/>
    <w:basedOn w:val="1"/>
    <w:link w:val="151"/>
    <w:qFormat/>
    <w:uiPriority w:val="10"/>
    <w:pPr>
      <w:jc w:val="center"/>
    </w:pPr>
    <w:rPr>
      <w:sz w:val="30"/>
    </w:rPr>
  </w:style>
  <w:style w:type="paragraph" w:styleId="52">
    <w:name w:val="annotation subject"/>
    <w:basedOn w:val="19"/>
    <w:next w:val="19"/>
    <w:link w:val="118"/>
    <w:semiHidden/>
    <w:qFormat/>
    <w:uiPriority w:val="99"/>
    <w:rPr>
      <w:b/>
      <w:bCs/>
    </w:rPr>
  </w:style>
  <w:style w:type="paragraph" w:styleId="53">
    <w:name w:val="Body Text First Indent"/>
    <w:basedOn w:val="21"/>
    <w:link w:val="149"/>
    <w:qFormat/>
    <w:uiPriority w:val="99"/>
    <w:pPr>
      <w:spacing w:after="120" w:line="240" w:lineRule="auto"/>
      <w:ind w:firstLine="420" w:firstLineChars="100"/>
    </w:pPr>
    <w:rPr>
      <w:sz w:val="21"/>
    </w:rPr>
  </w:style>
  <w:style w:type="paragraph" w:styleId="54">
    <w:name w:val="Body Text First Indent 2"/>
    <w:basedOn w:val="22"/>
    <w:link w:val="152"/>
    <w:qFormat/>
    <w:uiPriority w:val="99"/>
    <w:pPr>
      <w:spacing w:after="120"/>
      <w:ind w:left="420" w:leftChars="200" w:firstLine="420" w:firstLineChars="200"/>
    </w:pPr>
    <w:rPr>
      <w:rFonts w:ascii="Times New Roman" w:eastAsia="宋体"/>
      <w:sz w:val="21"/>
      <w:szCs w:val="24"/>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qFormat/>
    <w:uiPriority w:val="0"/>
    <w:rPr>
      <w:color w:val="800080"/>
      <w:u w:val="single"/>
    </w:rPr>
  </w:style>
  <w:style w:type="character" w:styleId="61">
    <w:name w:val="Hyperlink"/>
    <w:qFormat/>
    <w:uiPriority w:val="99"/>
    <w:rPr>
      <w:color w:val="0000FF"/>
      <w:u w:val="single"/>
    </w:rPr>
  </w:style>
  <w:style w:type="character" w:styleId="62">
    <w:name w:val="HTML Code"/>
    <w:qFormat/>
    <w:uiPriority w:val="0"/>
    <w:rPr>
      <w:rFonts w:ascii="宋体" w:hAnsi="宋体" w:eastAsia="宋体" w:cs="宋体"/>
      <w:sz w:val="24"/>
      <w:szCs w:val="24"/>
    </w:rPr>
  </w:style>
  <w:style w:type="character" w:styleId="63">
    <w:name w:val="annotation reference"/>
    <w:qFormat/>
    <w:uiPriority w:val="99"/>
    <w:rPr>
      <w:sz w:val="21"/>
      <w:szCs w:val="21"/>
    </w:rPr>
  </w:style>
  <w:style w:type="paragraph" w:customStyle="1" w:styleId="64">
    <w:name w:val="Default"/>
    <w:next w:val="6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5">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6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8">
    <w:name w:val="标题 4 Char"/>
    <w:basedOn w:val="57"/>
    <w:link w:val="6"/>
    <w:qFormat/>
    <w:uiPriority w:val="0"/>
    <w:rPr>
      <w:rFonts w:ascii="Arial" w:hAnsi="Arial" w:eastAsia="黑体"/>
      <w:sz w:val="28"/>
    </w:rPr>
  </w:style>
  <w:style w:type="character" w:customStyle="1" w:styleId="69">
    <w:name w:val="标题 1 Char"/>
    <w:link w:val="2"/>
    <w:qFormat/>
    <w:uiPriority w:val="0"/>
    <w:rPr>
      <w:rFonts w:eastAsia="宋体"/>
      <w:b/>
      <w:bCs/>
      <w:kern w:val="44"/>
      <w:sz w:val="44"/>
      <w:szCs w:val="44"/>
      <w:lang w:val="en-US" w:eastAsia="zh-CN" w:bidi="ar-SA"/>
    </w:rPr>
  </w:style>
  <w:style w:type="character" w:customStyle="1" w:styleId="70">
    <w:name w:val="标题 2 Char"/>
    <w:link w:val="3"/>
    <w:qFormat/>
    <w:uiPriority w:val="0"/>
    <w:rPr>
      <w:rFonts w:ascii="Arial" w:hAnsi="Arial" w:eastAsia="黑体"/>
      <w:b/>
      <w:bCs/>
      <w:kern w:val="2"/>
      <w:sz w:val="32"/>
      <w:szCs w:val="32"/>
      <w:lang w:val="en-US" w:eastAsia="zh-CN" w:bidi="ar-SA"/>
    </w:rPr>
  </w:style>
  <w:style w:type="character" w:customStyle="1" w:styleId="71">
    <w:name w:val="标题 3 Char"/>
    <w:link w:val="5"/>
    <w:qFormat/>
    <w:uiPriority w:val="0"/>
    <w:rPr>
      <w:rFonts w:eastAsia="宋体"/>
      <w:b/>
      <w:bCs/>
      <w:kern w:val="2"/>
      <w:sz w:val="32"/>
      <w:szCs w:val="32"/>
      <w:lang w:val="en-US" w:eastAsia="zh-CN" w:bidi="ar-SA"/>
    </w:rPr>
  </w:style>
  <w:style w:type="character" w:customStyle="1" w:styleId="72">
    <w:name w:val="标题 5 Char"/>
    <w:basedOn w:val="57"/>
    <w:link w:val="7"/>
    <w:qFormat/>
    <w:uiPriority w:val="0"/>
    <w:rPr>
      <w:b/>
      <w:kern w:val="2"/>
      <w:sz w:val="28"/>
      <w:szCs w:val="24"/>
    </w:rPr>
  </w:style>
  <w:style w:type="character" w:customStyle="1" w:styleId="73">
    <w:name w:val="标题 6 Char"/>
    <w:basedOn w:val="57"/>
    <w:link w:val="8"/>
    <w:qFormat/>
    <w:uiPriority w:val="0"/>
    <w:rPr>
      <w:rFonts w:ascii="Arial" w:hAnsi="Arial" w:eastAsia="黑体"/>
      <w:b/>
      <w:kern w:val="2"/>
      <w:sz w:val="24"/>
      <w:szCs w:val="24"/>
    </w:rPr>
  </w:style>
  <w:style w:type="character" w:customStyle="1" w:styleId="74">
    <w:name w:val="标题 7 Char"/>
    <w:basedOn w:val="57"/>
    <w:link w:val="10"/>
    <w:qFormat/>
    <w:uiPriority w:val="99"/>
    <w:rPr>
      <w:b/>
      <w:kern w:val="2"/>
      <w:sz w:val="24"/>
      <w:szCs w:val="24"/>
    </w:rPr>
  </w:style>
  <w:style w:type="character" w:customStyle="1" w:styleId="75">
    <w:name w:val="标题 8 Char"/>
    <w:basedOn w:val="57"/>
    <w:link w:val="11"/>
    <w:qFormat/>
    <w:uiPriority w:val="99"/>
    <w:rPr>
      <w:rFonts w:ascii="Arial" w:hAnsi="Arial" w:eastAsia="黑体"/>
      <w:kern w:val="2"/>
      <w:sz w:val="24"/>
      <w:szCs w:val="24"/>
    </w:rPr>
  </w:style>
  <w:style w:type="character" w:customStyle="1" w:styleId="76">
    <w:name w:val="标题 9 Char"/>
    <w:basedOn w:val="57"/>
    <w:link w:val="12"/>
    <w:qFormat/>
    <w:uiPriority w:val="99"/>
    <w:rPr>
      <w:rFonts w:ascii="Arial" w:hAnsi="Arial" w:eastAsia="黑体"/>
      <w:kern w:val="2"/>
      <w:sz w:val="21"/>
      <w:szCs w:val="24"/>
    </w:rPr>
  </w:style>
  <w:style w:type="character" w:customStyle="1" w:styleId="77">
    <w:name w:val="style21"/>
    <w:qFormat/>
    <w:uiPriority w:val="0"/>
    <w:rPr>
      <w:sz w:val="17"/>
      <w:szCs w:val="17"/>
    </w:rPr>
  </w:style>
  <w:style w:type="character" w:customStyle="1" w:styleId="78">
    <w:name w:val="text11"/>
    <w:qFormat/>
    <w:uiPriority w:val="0"/>
    <w:rPr>
      <w:rFonts w:hint="default" w:ascii="Verdana" w:hAnsi="Verdana"/>
      <w:color w:val="4E4E4E"/>
      <w:sz w:val="18"/>
      <w:szCs w:val="18"/>
    </w:rPr>
  </w:style>
  <w:style w:type="character" w:customStyle="1" w:styleId="79">
    <w:name w:val="content2"/>
    <w:basedOn w:val="57"/>
    <w:qFormat/>
    <w:uiPriority w:val="0"/>
  </w:style>
  <w:style w:type="character" w:customStyle="1" w:styleId="80">
    <w:name w:val="mark8"/>
    <w:qFormat/>
    <w:uiPriority w:val="0"/>
    <w:rPr>
      <w:b/>
      <w:bCs/>
      <w:sz w:val="21"/>
      <w:szCs w:val="21"/>
    </w:rPr>
  </w:style>
  <w:style w:type="character" w:customStyle="1" w:styleId="81">
    <w:name w:val="gray12"/>
    <w:basedOn w:val="57"/>
    <w:qFormat/>
    <w:uiPriority w:val="0"/>
  </w:style>
  <w:style w:type="character" w:customStyle="1" w:styleId="82">
    <w:name w:val="f151"/>
    <w:qFormat/>
    <w:uiPriority w:val="0"/>
    <w:rPr>
      <w:sz w:val="23"/>
      <w:szCs w:val="23"/>
    </w:rPr>
  </w:style>
  <w:style w:type="character" w:customStyle="1" w:styleId="83">
    <w:name w:val="st"/>
    <w:basedOn w:val="57"/>
    <w:qFormat/>
    <w:uiPriority w:val="0"/>
  </w:style>
  <w:style w:type="character" w:customStyle="1" w:styleId="84">
    <w:name w:val="white"/>
    <w:basedOn w:val="57"/>
    <w:qFormat/>
    <w:uiPriority w:val="0"/>
  </w:style>
  <w:style w:type="character" w:customStyle="1" w:styleId="85">
    <w:name w:val="批注文字 Char2"/>
    <w:qFormat/>
    <w:uiPriority w:val="0"/>
    <w:rPr>
      <w:kern w:val="2"/>
      <w:sz w:val="21"/>
      <w:szCs w:val="24"/>
      <w:lang w:bidi="ar-SA"/>
    </w:rPr>
  </w:style>
  <w:style w:type="character" w:customStyle="1" w:styleId="86">
    <w:name w:val="small"/>
    <w:basedOn w:val="57"/>
    <w:qFormat/>
    <w:uiPriority w:val="0"/>
  </w:style>
  <w:style w:type="character" w:customStyle="1" w:styleId="87">
    <w:name w:val="普通文字 Char Char3"/>
    <w:qFormat/>
    <w:uiPriority w:val="0"/>
    <w:rPr>
      <w:rFonts w:ascii="宋体" w:hAnsi="Courier New" w:eastAsia="宋体"/>
      <w:kern w:val="2"/>
      <w:sz w:val="21"/>
      <w:lang w:val="en-US" w:eastAsia="zh-CN" w:bidi="ar-SA"/>
    </w:rPr>
  </w:style>
  <w:style w:type="character" w:customStyle="1" w:styleId="88">
    <w:name w:val="apple-style-span"/>
    <w:basedOn w:val="57"/>
    <w:qFormat/>
    <w:uiPriority w:val="0"/>
  </w:style>
  <w:style w:type="character" w:customStyle="1" w:styleId="89">
    <w:name w:val="case31"/>
    <w:qFormat/>
    <w:uiPriority w:val="0"/>
    <w:rPr>
      <w:rFonts w:hint="default"/>
      <w:sz w:val="21"/>
      <w:szCs w:val="21"/>
    </w:rPr>
  </w:style>
  <w:style w:type="character" w:customStyle="1" w:styleId="90">
    <w:name w:val="text"/>
    <w:basedOn w:val="57"/>
    <w:qFormat/>
    <w:uiPriority w:val="0"/>
  </w:style>
  <w:style w:type="character" w:customStyle="1" w:styleId="91">
    <w:name w:val="1ji Char"/>
    <w:link w:val="92"/>
    <w:qFormat/>
    <w:uiPriority w:val="0"/>
    <w:rPr>
      <w:rFonts w:ascii="宋体" w:hAnsi="宋体" w:eastAsia="宋体"/>
      <w:b/>
      <w:bCs/>
      <w:kern w:val="44"/>
      <w:sz w:val="36"/>
      <w:szCs w:val="44"/>
      <w:lang w:val="en-US" w:eastAsia="zh-CN" w:bidi="ar-SA"/>
    </w:rPr>
  </w:style>
  <w:style w:type="paragraph" w:customStyle="1" w:styleId="92">
    <w:name w:val="1ji"/>
    <w:basedOn w:val="2"/>
    <w:link w:val="91"/>
    <w:qFormat/>
    <w:uiPriority w:val="0"/>
    <w:pPr>
      <w:keepLines w:val="0"/>
      <w:widowControl/>
      <w:spacing w:before="0" w:after="0" w:line="240" w:lineRule="auto"/>
      <w:jc w:val="center"/>
    </w:pPr>
    <w:rPr>
      <w:rFonts w:ascii="宋体" w:hAnsi="宋体"/>
      <w:sz w:val="36"/>
    </w:rPr>
  </w:style>
  <w:style w:type="character" w:customStyle="1" w:styleId="93">
    <w:name w:val="日期 Char"/>
    <w:link w:val="31"/>
    <w:qFormat/>
    <w:uiPriority w:val="99"/>
    <w:rPr>
      <w:rFonts w:ascii="宋体" w:hAnsi="Courier New" w:eastAsia="宋体" w:cs="Courier New"/>
      <w:kern w:val="2"/>
      <w:sz w:val="21"/>
      <w:szCs w:val="21"/>
      <w:lang w:val="en-US" w:eastAsia="zh-CN" w:bidi="ar-SA"/>
    </w:rPr>
  </w:style>
  <w:style w:type="character" w:customStyle="1" w:styleId="94">
    <w:name w:val="纯文本 Char1"/>
    <w:qFormat/>
    <w:uiPriority w:val="0"/>
    <w:rPr>
      <w:rFonts w:ascii="宋体" w:hAnsi="Courier New" w:eastAsia="宋体" w:cs="Courier New"/>
      <w:kern w:val="2"/>
      <w:sz w:val="21"/>
      <w:szCs w:val="21"/>
      <w:lang w:val="en-US" w:eastAsia="zh-CN" w:bidi="ar-SA"/>
    </w:rPr>
  </w:style>
  <w:style w:type="character" w:customStyle="1" w:styleId="95">
    <w:name w:val="unnamed3"/>
    <w:basedOn w:val="57"/>
    <w:qFormat/>
    <w:uiPriority w:val="0"/>
  </w:style>
  <w:style w:type="character" w:customStyle="1" w:styleId="96">
    <w:name w:val="页脚 Char"/>
    <w:link w:val="34"/>
    <w:qFormat/>
    <w:uiPriority w:val="99"/>
    <w:rPr>
      <w:rFonts w:eastAsia="宋体"/>
      <w:kern w:val="2"/>
      <w:sz w:val="18"/>
      <w:szCs w:val="18"/>
      <w:lang w:val="en-US" w:eastAsia="zh-CN" w:bidi="ar-SA"/>
    </w:rPr>
  </w:style>
  <w:style w:type="character" w:customStyle="1" w:styleId="97">
    <w:name w:val="graytext1"/>
    <w:qFormat/>
    <w:uiPriority w:val="0"/>
    <w:rPr>
      <w:color w:val="666666"/>
    </w:rPr>
  </w:style>
  <w:style w:type="character" w:customStyle="1" w:styleId="98">
    <w:name w:val="1051"/>
    <w:qFormat/>
    <w:uiPriority w:val="0"/>
    <w:rPr>
      <w:sz w:val="21"/>
      <w:szCs w:val="21"/>
    </w:rPr>
  </w:style>
  <w:style w:type="character" w:customStyle="1" w:styleId="99">
    <w:name w:val="正文文本缩进 Char"/>
    <w:link w:val="22"/>
    <w:qFormat/>
    <w:uiPriority w:val="0"/>
    <w:rPr>
      <w:rFonts w:ascii="仿宋_GB2312" w:eastAsia="仿宋_GB2312"/>
      <w:kern w:val="2"/>
      <w:sz w:val="32"/>
      <w:lang w:val="en-US" w:eastAsia="zh-CN" w:bidi="ar-SA"/>
    </w:rPr>
  </w:style>
  <w:style w:type="character" w:customStyle="1" w:styleId="100">
    <w:name w:val="h Char"/>
    <w:qFormat/>
    <w:uiPriority w:val="0"/>
    <w:rPr>
      <w:rFonts w:eastAsia="宋体"/>
      <w:kern w:val="2"/>
      <w:sz w:val="18"/>
      <w:szCs w:val="18"/>
      <w:lang w:val="en-US" w:eastAsia="zh-CN" w:bidi="ar-SA"/>
    </w:rPr>
  </w:style>
  <w:style w:type="character" w:customStyle="1" w:styleId="101">
    <w:name w:val="fo Char"/>
    <w:qFormat/>
    <w:uiPriority w:val="0"/>
    <w:rPr>
      <w:rFonts w:eastAsia="宋体"/>
      <w:kern w:val="2"/>
      <w:sz w:val="18"/>
      <w:szCs w:val="18"/>
      <w:lang w:val="en-US" w:eastAsia="zh-CN" w:bidi="ar-SA"/>
    </w:rPr>
  </w:style>
  <w:style w:type="character" w:customStyle="1" w:styleId="102">
    <w:name w:val="批注文字 Char"/>
    <w:link w:val="19"/>
    <w:qFormat/>
    <w:uiPriority w:val="99"/>
    <w:rPr>
      <w:rFonts w:eastAsia="宋体"/>
      <w:kern w:val="2"/>
      <w:sz w:val="21"/>
      <w:szCs w:val="24"/>
      <w:lang w:val="en-US" w:eastAsia="zh-CN" w:bidi="ar-SA"/>
    </w:rPr>
  </w:style>
  <w:style w:type="character" w:customStyle="1" w:styleId="103">
    <w:name w:val="正文文本 Char"/>
    <w:link w:val="21"/>
    <w:qFormat/>
    <w:uiPriority w:val="0"/>
    <w:rPr>
      <w:rFonts w:eastAsia="宋体"/>
      <w:kern w:val="2"/>
      <w:sz w:val="24"/>
      <w:szCs w:val="24"/>
      <w:lang w:val="en-US" w:eastAsia="zh-CN" w:bidi="ar-SA"/>
    </w:rPr>
  </w:style>
  <w:style w:type="character" w:customStyle="1" w:styleId="104">
    <w:name w:val="页眉 Char"/>
    <w:link w:val="35"/>
    <w:qFormat/>
    <w:uiPriority w:val="99"/>
    <w:rPr>
      <w:rFonts w:eastAsia="宋体"/>
      <w:kern w:val="2"/>
      <w:sz w:val="18"/>
      <w:szCs w:val="18"/>
      <w:lang w:val="en-US" w:eastAsia="zh-CN" w:bidi="ar-SA"/>
    </w:rPr>
  </w:style>
  <w:style w:type="character" w:customStyle="1" w:styleId="105">
    <w:name w:val="Arial Char"/>
    <w:link w:val="106"/>
    <w:qFormat/>
    <w:locked/>
    <w:uiPriority w:val="99"/>
    <w:rPr>
      <w:rFonts w:ascii="Arial" w:hAnsi="Arial"/>
      <w:kern w:val="2"/>
      <w:sz w:val="24"/>
      <w:szCs w:val="24"/>
    </w:rPr>
  </w:style>
  <w:style w:type="paragraph" w:customStyle="1" w:styleId="106">
    <w:name w:val="Arial"/>
    <w:basedOn w:val="1"/>
    <w:link w:val="105"/>
    <w:qFormat/>
    <w:uiPriority w:val="99"/>
    <w:pPr>
      <w:tabs>
        <w:tab w:val="left" w:pos="360"/>
      </w:tabs>
      <w:spacing w:line="400" w:lineRule="exact"/>
      <w:ind w:left="360" w:hanging="360"/>
    </w:pPr>
    <w:rPr>
      <w:rFonts w:ascii="Arial" w:hAnsi="Arial"/>
      <w:sz w:val="24"/>
    </w:rPr>
  </w:style>
  <w:style w:type="character" w:customStyle="1" w:styleId="107">
    <w:name w:val="纯文本 Char"/>
    <w:link w:val="29"/>
    <w:qFormat/>
    <w:uiPriority w:val="0"/>
    <w:rPr>
      <w:rFonts w:ascii="宋体" w:hAnsi="Courier New" w:eastAsia="宋体" w:cs="Courier New"/>
      <w:kern w:val="2"/>
      <w:sz w:val="21"/>
      <w:szCs w:val="21"/>
      <w:lang w:val="en-US" w:eastAsia="zh-CN" w:bidi="ar-SA"/>
    </w:rPr>
  </w:style>
  <w:style w:type="character" w:customStyle="1" w:styleId="108">
    <w:name w:val="正文文本 3 Char"/>
    <w:link w:val="20"/>
    <w:qFormat/>
    <w:uiPriority w:val="99"/>
    <w:rPr>
      <w:rFonts w:eastAsia="宋体"/>
      <w:b/>
      <w:bCs/>
      <w:kern w:val="2"/>
      <w:sz w:val="24"/>
      <w:szCs w:val="24"/>
      <w:lang w:val="en-US" w:eastAsia="zh-CN" w:bidi="ar-SA"/>
    </w:rPr>
  </w:style>
  <w:style w:type="character" w:customStyle="1" w:styleId="109">
    <w:name w:val="style11"/>
    <w:qFormat/>
    <w:uiPriority w:val="0"/>
    <w:rPr>
      <w:rFonts w:hint="default" w:ascii="Arial" w:hAnsi="Arial" w:cs="Arial"/>
    </w:rPr>
  </w:style>
  <w:style w:type="character" w:customStyle="1" w:styleId="110">
    <w:name w:val="纯文本 Char2"/>
    <w:qFormat/>
    <w:uiPriority w:val="0"/>
    <w:rPr>
      <w:rFonts w:ascii="宋体" w:hAnsi="Courier New" w:eastAsia="宋体"/>
      <w:kern w:val="2"/>
      <w:sz w:val="21"/>
    </w:rPr>
  </w:style>
  <w:style w:type="character" w:customStyle="1" w:styleId="111">
    <w:name w:val="062"/>
    <w:qFormat/>
    <w:uiPriority w:val="0"/>
    <w:rPr>
      <w:rFonts w:ascii="宋体" w:hAnsi="宋体"/>
      <w:b/>
      <w:bCs/>
      <w:sz w:val="32"/>
    </w:rPr>
  </w:style>
  <w:style w:type="paragraph" w:customStyle="1" w:styleId="112">
    <w:name w:val="2-2ji"/>
    <w:basedOn w:val="3"/>
    <w:qFormat/>
    <w:uiPriority w:val="99"/>
    <w:pPr>
      <w:adjustRightInd w:val="0"/>
      <w:spacing w:before="0" w:after="0" w:line="360" w:lineRule="auto"/>
      <w:jc w:val="center"/>
      <w:textAlignment w:val="baseline"/>
    </w:pPr>
    <w:rPr>
      <w:rFonts w:ascii="宋体" w:hAnsi="宋体" w:eastAsia="宋体"/>
      <w:bCs w:val="0"/>
      <w:kern w:val="0"/>
      <w:sz w:val="36"/>
    </w:rPr>
  </w:style>
  <w:style w:type="paragraph" w:customStyle="1" w:styleId="113">
    <w:name w:val="tgt1"/>
    <w:basedOn w:val="1"/>
    <w:qFormat/>
    <w:uiPriority w:val="99"/>
    <w:pPr>
      <w:widowControl/>
      <w:spacing w:after="150"/>
      <w:jc w:val="left"/>
    </w:pPr>
    <w:rPr>
      <w:rFonts w:ascii="宋体" w:hAnsi="宋体" w:cs="宋体"/>
      <w:kern w:val="0"/>
      <w:sz w:val="24"/>
    </w:rPr>
  </w:style>
  <w:style w:type="paragraph" w:customStyle="1" w:styleId="114">
    <w:name w:val="Char1"/>
    <w:basedOn w:val="1"/>
    <w:qFormat/>
    <w:uiPriority w:val="99"/>
    <w:rPr>
      <w:szCs w:val="21"/>
    </w:rPr>
  </w:style>
  <w:style w:type="paragraph" w:customStyle="1" w:styleId="115">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16">
    <w:name w:val="普通 (Web)"/>
    <w:basedOn w:val="1"/>
    <w:qFormat/>
    <w:uiPriority w:val="99"/>
    <w:pPr>
      <w:widowControl/>
      <w:spacing w:before="100" w:beforeAutospacing="1" w:after="100" w:afterAutospacing="1"/>
      <w:jc w:val="left"/>
    </w:pPr>
    <w:rPr>
      <w:rFonts w:ascii="宋体" w:hAnsi="宋体"/>
      <w:kern w:val="0"/>
      <w:sz w:val="24"/>
    </w:rPr>
  </w:style>
  <w:style w:type="paragraph" w:styleId="117">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118">
    <w:name w:val="批注主题 Char"/>
    <w:basedOn w:val="102"/>
    <w:link w:val="52"/>
    <w:semiHidden/>
    <w:qFormat/>
    <w:uiPriority w:val="99"/>
    <w:rPr>
      <w:rFonts w:eastAsia="宋体"/>
      <w:b/>
      <w:bCs/>
      <w:kern w:val="2"/>
      <w:sz w:val="21"/>
      <w:szCs w:val="24"/>
      <w:lang w:val="en-US" w:eastAsia="zh-CN" w:bidi="ar-SA"/>
    </w:rPr>
  </w:style>
  <w:style w:type="paragraph" w:customStyle="1" w:styleId="119">
    <w:name w:val="Char Char Char Char Char Char Char Char Char Char Char Char Char Char Char Char"/>
    <w:basedOn w:val="1"/>
    <w:qFormat/>
    <w:uiPriority w:val="99"/>
    <w:pPr>
      <w:tabs>
        <w:tab w:val="left" w:pos="360"/>
      </w:tabs>
      <w:spacing w:line="360" w:lineRule="auto"/>
      <w:ind w:left="482" w:firstLine="200" w:firstLineChars="200"/>
    </w:pPr>
    <w:rPr>
      <w:rFonts w:ascii="宋体"/>
      <w:sz w:val="24"/>
    </w:rPr>
  </w:style>
  <w:style w:type="paragraph" w:customStyle="1" w:styleId="120">
    <w:name w:val="Char1 Char Char Char Char Char Char"/>
    <w:basedOn w:val="1"/>
    <w:qFormat/>
    <w:uiPriority w:val="99"/>
    <w:rPr>
      <w:rFonts w:ascii="Tahoma" w:hAnsi="Tahoma"/>
      <w:sz w:val="24"/>
      <w:szCs w:val="20"/>
    </w:rPr>
  </w:style>
  <w:style w:type="paragraph" w:customStyle="1" w:styleId="121">
    <w:name w:val="Char Char Char Char Char Char Char Char Char Char Char Char Char"/>
    <w:basedOn w:val="18"/>
    <w:qFormat/>
    <w:uiPriority w:val="99"/>
    <w:pPr>
      <w:adjustRightInd/>
      <w:spacing w:line="240" w:lineRule="auto"/>
      <w:textAlignment w:val="auto"/>
    </w:pPr>
    <w:rPr>
      <w:rFonts w:ascii="Tahoma" w:hAnsi="Tahoma"/>
      <w:kern w:val="2"/>
      <w:sz w:val="24"/>
      <w:szCs w:val="24"/>
    </w:rPr>
  </w:style>
  <w:style w:type="character" w:customStyle="1" w:styleId="122">
    <w:name w:val="文档结构图 Char"/>
    <w:basedOn w:val="57"/>
    <w:link w:val="18"/>
    <w:semiHidden/>
    <w:qFormat/>
    <w:uiPriority w:val="99"/>
    <w:rPr>
      <w:sz w:val="21"/>
      <w:shd w:val="clear" w:color="auto" w:fill="000080"/>
    </w:rPr>
  </w:style>
  <w:style w:type="paragraph" w:customStyle="1" w:styleId="123">
    <w:name w:val="样式 首行缩进:  2 字符"/>
    <w:basedOn w:val="1"/>
    <w:qFormat/>
    <w:uiPriority w:val="99"/>
    <w:pPr>
      <w:spacing w:line="400" w:lineRule="exact"/>
      <w:ind w:firstLine="200" w:firstLineChars="200"/>
    </w:pPr>
    <w:rPr>
      <w:rFonts w:cs="宋体"/>
      <w:sz w:val="24"/>
    </w:rPr>
  </w:style>
  <w:style w:type="character" w:customStyle="1" w:styleId="124">
    <w:name w:val="正文文本缩进 3 Char"/>
    <w:basedOn w:val="57"/>
    <w:link w:val="42"/>
    <w:qFormat/>
    <w:uiPriority w:val="99"/>
    <w:rPr>
      <w:kern w:val="2"/>
      <w:sz w:val="16"/>
      <w:szCs w:val="16"/>
    </w:rPr>
  </w:style>
  <w:style w:type="paragraph" w:customStyle="1" w:styleId="125">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26">
    <w:name w:val="xl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7">
    <w:name w:val="默认段落字体 Para Char1"/>
    <w:next w:val="1"/>
    <w:qFormat/>
    <w:uiPriority w:val="99"/>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28">
    <w:name w:val="Char1 Char Char Char Char Char Char1"/>
    <w:basedOn w:val="1"/>
    <w:qFormat/>
    <w:uiPriority w:val="99"/>
    <w:rPr>
      <w:rFonts w:ascii="Tahoma" w:hAnsi="Tahoma"/>
      <w:sz w:val="24"/>
      <w:szCs w:val="20"/>
    </w:rPr>
  </w:style>
  <w:style w:type="paragraph" w:customStyle="1" w:styleId="129">
    <w:name w:val="五号正文（标准）"/>
    <w:basedOn w:val="1"/>
    <w:qFormat/>
    <w:uiPriority w:val="99"/>
    <w:pPr>
      <w:spacing w:line="360" w:lineRule="auto"/>
      <w:ind w:right="55" w:firstLine="560" w:firstLineChars="200"/>
    </w:pPr>
    <w:rPr>
      <w:rFonts w:eastAsia="仿宋_GB2312"/>
      <w:sz w:val="28"/>
      <w:szCs w:val="20"/>
    </w:rPr>
  </w:style>
  <w:style w:type="paragraph" w:customStyle="1" w:styleId="130">
    <w:name w:val="Main_heading"/>
    <w:basedOn w:val="1"/>
    <w:next w:val="1"/>
    <w:qFormat/>
    <w:uiPriority w:val="99"/>
    <w:pPr>
      <w:widowControl/>
      <w:spacing w:before="240" w:after="240" w:line="240" w:lineRule="atLeast"/>
      <w:jc w:val="left"/>
    </w:pPr>
    <w:rPr>
      <w:rFonts w:eastAsia="MS Mincho"/>
      <w:b/>
      <w:kern w:val="0"/>
      <w:sz w:val="28"/>
      <w:szCs w:val="20"/>
      <w:lang w:eastAsia="ja-JP"/>
    </w:rPr>
  </w:style>
  <w:style w:type="paragraph" w:customStyle="1" w:styleId="131">
    <w:name w:val="a9"/>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2">
    <w:name w:val="Char2"/>
    <w:basedOn w:val="1"/>
    <w:qFormat/>
    <w:uiPriority w:val="99"/>
    <w:pPr>
      <w:widowControl/>
      <w:spacing w:after="160" w:line="240" w:lineRule="exact"/>
      <w:jc w:val="left"/>
    </w:pPr>
    <w:rPr>
      <w:rFonts w:ascii="Verdana" w:hAnsi="Verdana"/>
      <w:kern w:val="0"/>
      <w:szCs w:val="20"/>
      <w:lang w:eastAsia="en-US"/>
    </w:rPr>
  </w:style>
  <w:style w:type="character" w:customStyle="1" w:styleId="133">
    <w:name w:val="HTML 预设格式 Char"/>
    <w:basedOn w:val="57"/>
    <w:link w:val="48"/>
    <w:qFormat/>
    <w:uiPriority w:val="0"/>
    <w:rPr>
      <w:rFonts w:ascii="黑体" w:hAnsi="Courier New" w:eastAsia="黑体" w:cs="Courier New"/>
    </w:rPr>
  </w:style>
  <w:style w:type="paragraph" w:customStyle="1" w:styleId="134">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 Char1"/>
    <w:basedOn w:val="18"/>
    <w:qFormat/>
    <w:uiPriority w:val="99"/>
    <w:pPr>
      <w:adjustRightInd/>
      <w:spacing w:line="240" w:lineRule="auto"/>
      <w:textAlignment w:val="auto"/>
    </w:pPr>
    <w:rPr>
      <w:rFonts w:ascii="Tahoma" w:hAnsi="Tahoma"/>
      <w:kern w:val="2"/>
      <w:sz w:val="24"/>
      <w:szCs w:val="24"/>
    </w:rPr>
  </w:style>
  <w:style w:type="paragraph" w:customStyle="1" w:styleId="136">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137">
    <w:name w:val="Char21"/>
    <w:basedOn w:val="1"/>
    <w:qFormat/>
    <w:uiPriority w:val="99"/>
    <w:pPr>
      <w:widowControl/>
      <w:spacing w:after="160" w:line="240" w:lineRule="exact"/>
      <w:jc w:val="left"/>
    </w:pPr>
    <w:rPr>
      <w:rFonts w:ascii="Verdana" w:hAnsi="Verdana"/>
      <w:kern w:val="0"/>
      <w:szCs w:val="20"/>
      <w:lang w:eastAsia="en-US"/>
    </w:rPr>
  </w:style>
  <w:style w:type="paragraph" w:customStyle="1" w:styleId="138">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character" w:customStyle="1" w:styleId="139">
    <w:name w:val="正文文本 2 Char"/>
    <w:basedOn w:val="57"/>
    <w:link w:val="45"/>
    <w:qFormat/>
    <w:uiPriority w:val="99"/>
    <w:rPr>
      <w:kern w:val="2"/>
      <w:sz w:val="21"/>
      <w:szCs w:val="24"/>
    </w:rPr>
  </w:style>
  <w:style w:type="paragraph" w:customStyle="1" w:styleId="140">
    <w:name w:val="Char Char Char Char Char Char Char1"/>
    <w:basedOn w:val="1"/>
    <w:qFormat/>
    <w:uiPriority w:val="99"/>
    <w:pPr>
      <w:widowControl/>
      <w:spacing w:after="160" w:line="240" w:lineRule="exact"/>
      <w:jc w:val="left"/>
    </w:pPr>
    <w:rPr>
      <w:rFonts w:ascii="Arial" w:hAnsi="Arial" w:eastAsia="Times New Roman" w:cs="Verdana"/>
      <w:b/>
      <w:kern w:val="0"/>
      <w:sz w:val="24"/>
      <w:lang w:eastAsia="en-US"/>
    </w:rPr>
  </w:style>
  <w:style w:type="character" w:customStyle="1" w:styleId="141">
    <w:name w:val="正文文本缩进 2 Char"/>
    <w:basedOn w:val="57"/>
    <w:link w:val="32"/>
    <w:qFormat/>
    <w:uiPriority w:val="99"/>
    <w:rPr>
      <w:kern w:val="2"/>
      <w:sz w:val="32"/>
    </w:rPr>
  </w:style>
  <w:style w:type="paragraph" w:customStyle="1" w:styleId="142">
    <w:name w:val="2ji"/>
    <w:basedOn w:val="3"/>
    <w:qFormat/>
    <w:uiPriority w:val="99"/>
    <w:pPr>
      <w:adjustRightInd w:val="0"/>
      <w:spacing w:before="0" w:after="0" w:line="360" w:lineRule="auto"/>
      <w:textAlignment w:val="baseline"/>
    </w:pPr>
    <w:rPr>
      <w:rFonts w:ascii="宋体" w:hAnsi="宋体" w:eastAsia="宋体"/>
      <w:kern w:val="0"/>
      <w:sz w:val="21"/>
      <w:szCs w:val="21"/>
    </w:rPr>
  </w:style>
  <w:style w:type="paragraph" w:customStyle="1" w:styleId="143">
    <w:name w:val="样式1"/>
    <w:basedOn w:val="1"/>
    <w:qFormat/>
    <w:uiPriority w:val="99"/>
    <w:pPr>
      <w:spacing w:before="120" w:after="120" w:line="300" w:lineRule="auto"/>
    </w:pPr>
    <w:rPr>
      <w:rFonts w:ascii="宋体" w:hAnsi="宋体"/>
      <w:b/>
      <w:sz w:val="24"/>
      <w:szCs w:val="20"/>
    </w:rPr>
  </w:style>
  <w:style w:type="paragraph" w:styleId="144">
    <w:name w:val="List Paragraph"/>
    <w:basedOn w:val="1"/>
    <w:link w:val="145"/>
    <w:qFormat/>
    <w:uiPriority w:val="34"/>
    <w:pPr>
      <w:ind w:firstLine="420" w:firstLineChars="200"/>
    </w:pPr>
    <w:rPr>
      <w:szCs w:val="22"/>
    </w:rPr>
  </w:style>
  <w:style w:type="character" w:customStyle="1" w:styleId="145">
    <w:name w:val="列出段落 Char"/>
    <w:link w:val="144"/>
    <w:qFormat/>
    <w:uiPriority w:val="0"/>
    <w:rPr>
      <w:kern w:val="2"/>
      <w:sz w:val="21"/>
      <w:szCs w:val="22"/>
    </w:rPr>
  </w:style>
  <w:style w:type="paragraph" w:customStyle="1" w:styleId="146">
    <w:name w:val="Char Char Char Char Char Char Char"/>
    <w:basedOn w:val="1"/>
    <w:qFormat/>
    <w:uiPriority w:val="99"/>
  </w:style>
  <w:style w:type="paragraph" w:customStyle="1" w:styleId="147">
    <w:name w:val="正文首行缩进两字符"/>
    <w:basedOn w:val="1"/>
    <w:qFormat/>
    <w:uiPriority w:val="99"/>
    <w:pPr>
      <w:spacing w:line="360" w:lineRule="auto"/>
      <w:ind w:firstLine="200" w:firstLineChars="200"/>
    </w:pPr>
  </w:style>
  <w:style w:type="paragraph" w:customStyle="1" w:styleId="148">
    <w:name w:val="表内文字"/>
    <w:basedOn w:val="1"/>
    <w:qFormat/>
    <w:uiPriority w:val="99"/>
    <w:pPr>
      <w:snapToGrid w:val="0"/>
      <w:spacing w:before="50" w:after="50"/>
      <w:jc w:val="center"/>
    </w:pPr>
    <w:rPr>
      <w:rFonts w:ascii="仿宋_GB2312" w:hAnsi="宋体" w:eastAsia="仿宋_GB2312"/>
      <w:b/>
      <w:color w:val="000000"/>
      <w:sz w:val="32"/>
      <w:szCs w:val="32"/>
    </w:rPr>
  </w:style>
  <w:style w:type="character" w:customStyle="1" w:styleId="149">
    <w:name w:val="正文首行缩进 Char"/>
    <w:basedOn w:val="103"/>
    <w:link w:val="53"/>
    <w:qFormat/>
    <w:uiPriority w:val="99"/>
    <w:rPr>
      <w:rFonts w:eastAsia="宋体"/>
      <w:kern w:val="2"/>
      <w:sz w:val="21"/>
      <w:szCs w:val="24"/>
      <w:lang w:val="en-US" w:eastAsia="zh-CN" w:bidi="ar-SA"/>
    </w:rPr>
  </w:style>
  <w:style w:type="paragraph" w:customStyle="1" w:styleId="150">
    <w:name w:val="444"/>
    <w:basedOn w:val="1"/>
    <w:qFormat/>
    <w:uiPriority w:val="99"/>
    <w:pPr>
      <w:adjustRightInd w:val="0"/>
      <w:spacing w:line="312" w:lineRule="atLeast"/>
      <w:jc w:val="center"/>
      <w:textAlignment w:val="baseline"/>
    </w:pPr>
    <w:rPr>
      <w:b/>
      <w:kern w:val="0"/>
      <w:sz w:val="36"/>
      <w:szCs w:val="36"/>
    </w:rPr>
  </w:style>
  <w:style w:type="character" w:customStyle="1" w:styleId="151">
    <w:name w:val="标题 Char"/>
    <w:basedOn w:val="57"/>
    <w:link w:val="51"/>
    <w:qFormat/>
    <w:uiPriority w:val="10"/>
    <w:rPr>
      <w:kern w:val="2"/>
      <w:sz w:val="30"/>
      <w:szCs w:val="24"/>
    </w:rPr>
  </w:style>
  <w:style w:type="character" w:customStyle="1" w:styleId="152">
    <w:name w:val="正文首行缩进 2 Char"/>
    <w:basedOn w:val="99"/>
    <w:link w:val="54"/>
    <w:qFormat/>
    <w:uiPriority w:val="99"/>
    <w:rPr>
      <w:rFonts w:ascii="Times New Roman" w:eastAsia="仿宋_GB2312"/>
      <w:kern w:val="2"/>
      <w:sz w:val="21"/>
      <w:szCs w:val="24"/>
      <w:lang w:val="en-US" w:eastAsia="zh-CN" w:bidi="ar-SA"/>
    </w:rPr>
  </w:style>
  <w:style w:type="paragraph" w:customStyle="1" w:styleId="153">
    <w:name w:val="Char Char Char"/>
    <w:basedOn w:val="1"/>
    <w:qFormat/>
    <w:uiPriority w:val="99"/>
    <w:rPr>
      <w:rFonts w:ascii="Tahoma" w:hAnsi="Tahoma"/>
      <w:sz w:val="24"/>
      <w:szCs w:val="20"/>
    </w:rPr>
  </w:style>
  <w:style w:type="paragraph" w:customStyle="1" w:styleId="154">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5">
    <w:name w:val="Char Char1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56">
    <w:name w:val="修订1"/>
    <w:unhideWhenUsed/>
    <w:qFormat/>
    <w:uiPriority w:val="99"/>
    <w:rPr>
      <w:rFonts w:ascii="Calibri" w:hAnsi="Calibri" w:eastAsia="宋体" w:cs="Times New Roman"/>
      <w:kern w:val="2"/>
      <w:sz w:val="21"/>
      <w:szCs w:val="24"/>
      <w:lang w:val="en-US" w:eastAsia="zh-CN" w:bidi="ar-SA"/>
    </w:rPr>
  </w:style>
  <w:style w:type="paragraph" w:customStyle="1" w:styleId="157">
    <w:name w:val="Char4"/>
    <w:basedOn w:val="1"/>
    <w:qFormat/>
    <w:uiPriority w:val="99"/>
    <w:pPr>
      <w:tabs>
        <w:tab w:val="left" w:pos="360"/>
      </w:tabs>
      <w:ind w:left="252" w:hanging="252" w:hangingChars="140"/>
    </w:pPr>
    <w:rPr>
      <w:rFonts w:ascii="宋体"/>
      <w:sz w:val="18"/>
      <w:szCs w:val="18"/>
    </w:rPr>
  </w:style>
  <w:style w:type="character" w:customStyle="1" w:styleId="158">
    <w:name w:val="批注框文本 Char"/>
    <w:basedOn w:val="57"/>
    <w:link w:val="33"/>
    <w:semiHidden/>
    <w:qFormat/>
    <w:uiPriority w:val="99"/>
    <w:rPr>
      <w:kern w:val="2"/>
      <w:sz w:val="18"/>
      <w:szCs w:val="18"/>
    </w:rPr>
  </w:style>
  <w:style w:type="paragraph" w:customStyle="1" w:styleId="159">
    <w:name w:val="p0"/>
    <w:basedOn w:val="1"/>
    <w:qFormat/>
    <w:uiPriority w:val="99"/>
    <w:pPr>
      <w:widowControl/>
      <w:spacing w:before="100" w:beforeAutospacing="1" w:after="100" w:afterAutospacing="1"/>
      <w:jc w:val="left"/>
    </w:pPr>
    <w:rPr>
      <w:rFonts w:ascii="宋体" w:hAnsi="宋体" w:cs="宋体"/>
      <w:kern w:val="0"/>
      <w:sz w:val="24"/>
    </w:rPr>
  </w:style>
  <w:style w:type="paragraph" w:styleId="160">
    <w:name w:val="Intense Quote"/>
    <w:basedOn w:val="1"/>
    <w:next w:val="1"/>
    <w:qFormat/>
    <w:uiPriority w:val="99"/>
    <w:pPr>
      <w:pBdr>
        <w:top w:val="single" w:color="5B9BD5" w:sz="4" w:space="10"/>
        <w:bottom w:val="single" w:color="5B9BD5" w:sz="4" w:space="10"/>
      </w:pBdr>
      <w:spacing w:before="360" w:after="360"/>
      <w:ind w:left="864" w:right="864"/>
      <w:jc w:val="center"/>
    </w:pPr>
    <w:rPr>
      <w:i/>
      <w:iCs/>
      <w:color w:val="5B9BD5"/>
    </w:rPr>
  </w:style>
  <w:style w:type="paragraph" w:customStyle="1" w:styleId="161">
    <w:name w:val="Char Char Char Char Char Char Char Char Char Char Char Char Char1"/>
    <w:basedOn w:val="18"/>
    <w:qFormat/>
    <w:uiPriority w:val="99"/>
    <w:pPr>
      <w:adjustRightInd/>
      <w:spacing w:line="240" w:lineRule="auto"/>
      <w:textAlignment w:val="auto"/>
    </w:pPr>
    <w:rPr>
      <w:rFonts w:ascii="Tahoma" w:hAnsi="Tahoma"/>
      <w:kern w:val="2"/>
      <w:sz w:val="24"/>
      <w:szCs w:val="24"/>
    </w:rPr>
  </w:style>
  <w:style w:type="paragraph" w:customStyle="1" w:styleId="162">
    <w:name w:val="表格"/>
    <w:basedOn w:val="1"/>
    <w:qFormat/>
    <w:uiPriority w:val="99"/>
    <w:pPr>
      <w:spacing w:line="400" w:lineRule="exact"/>
    </w:pPr>
    <w:rPr>
      <w:sz w:val="24"/>
    </w:rPr>
  </w:style>
  <w:style w:type="paragraph" w:customStyle="1" w:styleId="163">
    <w:name w:val="Char Char1 Char Char Char Char Char Char 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64">
    <w:name w:val="正文段"/>
    <w:basedOn w:val="1"/>
    <w:qFormat/>
    <w:uiPriority w:val="99"/>
    <w:pPr>
      <w:widowControl/>
      <w:snapToGrid w:val="0"/>
      <w:spacing w:afterLines="50"/>
      <w:ind w:firstLine="200" w:firstLineChars="200"/>
    </w:pPr>
    <w:rPr>
      <w:kern w:val="0"/>
      <w:sz w:val="24"/>
      <w:szCs w:val="20"/>
    </w:rPr>
  </w:style>
  <w:style w:type="paragraph" w:customStyle="1" w:styleId="165">
    <w:name w:val="默认段落字体 Para Char Char Char Char Char Char Char Char Char1 Char Char Char Char"/>
    <w:basedOn w:val="1"/>
    <w:qFormat/>
    <w:uiPriority w:val="99"/>
    <w:rPr>
      <w:rFonts w:ascii="Tahoma" w:hAnsi="Tahoma"/>
      <w:sz w:val="24"/>
      <w:szCs w:val="20"/>
    </w:rPr>
  </w:style>
  <w:style w:type="paragraph" w:customStyle="1" w:styleId="166">
    <w:name w:val="Char Char Char2"/>
    <w:basedOn w:val="18"/>
    <w:qFormat/>
    <w:uiPriority w:val="99"/>
    <w:pPr>
      <w:adjustRightInd/>
      <w:spacing w:line="240" w:lineRule="auto"/>
      <w:textAlignment w:val="auto"/>
    </w:pPr>
    <w:rPr>
      <w:rFonts w:ascii="Tahoma" w:hAnsi="Tahoma"/>
      <w:kern w:val="2"/>
      <w:sz w:val="24"/>
      <w:szCs w:val="24"/>
    </w:rPr>
  </w:style>
  <w:style w:type="paragraph" w:customStyle="1" w:styleId="167">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68">
    <w:name w:val="Char Char Char Char Char Char1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169">
    <w:name w:val="Char Char Char Char Char Char Char2"/>
    <w:basedOn w:val="1"/>
    <w:qFormat/>
    <w:uiPriority w:val="99"/>
    <w:pPr>
      <w:widowControl/>
      <w:spacing w:after="160" w:line="240" w:lineRule="exact"/>
      <w:jc w:val="left"/>
    </w:pPr>
    <w:rPr>
      <w:rFonts w:ascii="Arial" w:hAnsi="Arial" w:eastAsia="Times New Roman" w:cs="Verdana"/>
      <w:b/>
      <w:kern w:val="0"/>
      <w:sz w:val="24"/>
      <w:lang w:eastAsia="en-US"/>
    </w:rPr>
  </w:style>
  <w:style w:type="paragraph" w:customStyle="1" w:styleId="170">
    <w:name w:val="列出段落1"/>
    <w:basedOn w:val="1"/>
    <w:qFormat/>
    <w:uiPriority w:val="34"/>
    <w:pPr>
      <w:ind w:firstLine="420" w:firstLineChars="200"/>
    </w:pPr>
    <w:rPr>
      <w:szCs w:val="22"/>
    </w:rPr>
  </w:style>
  <w:style w:type="paragraph" w:customStyle="1" w:styleId="171">
    <w:name w:val="xl31"/>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2">
    <w:name w:val="列出段落2"/>
    <w:basedOn w:val="1"/>
    <w:qFormat/>
    <w:uiPriority w:val="99"/>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173">
    <w:name w:val="xl2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74">
    <w:name w:val="默认段落字体 Para Char"/>
    <w:basedOn w:val="1"/>
    <w:qFormat/>
    <w:uiPriority w:val="99"/>
    <w:pPr>
      <w:adjustRightInd w:val="0"/>
      <w:spacing w:line="360" w:lineRule="auto"/>
    </w:pPr>
    <w:rPr>
      <w:kern w:val="0"/>
      <w:sz w:val="24"/>
      <w:szCs w:val="20"/>
    </w:rPr>
  </w:style>
  <w:style w:type="paragraph" w:customStyle="1" w:styleId="175">
    <w:name w:val="F2"/>
    <w:basedOn w:val="1"/>
    <w:qFormat/>
    <w:uiPriority w:val="99"/>
    <w:pPr>
      <w:autoSpaceDE w:val="0"/>
      <w:autoSpaceDN w:val="0"/>
      <w:adjustRightInd w:val="0"/>
      <w:ind w:firstLine="601"/>
      <w:textAlignment w:val="baseline"/>
    </w:pPr>
    <w:rPr>
      <w:kern w:val="0"/>
      <w:sz w:val="24"/>
      <w:szCs w:val="20"/>
    </w:rPr>
  </w:style>
  <w:style w:type="paragraph" w:customStyle="1" w:styleId="176">
    <w:name w:val="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77">
    <w:name w:val="Char Char Char Char Char Char1 Char2"/>
    <w:basedOn w:val="18"/>
    <w:qFormat/>
    <w:uiPriority w:val="99"/>
    <w:pPr>
      <w:adjustRightInd/>
      <w:spacing w:line="240" w:lineRule="auto"/>
      <w:textAlignment w:val="auto"/>
    </w:pPr>
    <w:rPr>
      <w:rFonts w:ascii="Tahoma" w:hAnsi="Tahoma"/>
      <w:kern w:val="2"/>
      <w:sz w:val="24"/>
      <w:szCs w:val="24"/>
    </w:rPr>
  </w:style>
  <w:style w:type="paragraph" w:customStyle="1" w:styleId="178">
    <w:name w:val="二级无"/>
    <w:basedOn w:val="1"/>
    <w:qFormat/>
    <w:uiPriority w:val="99"/>
    <w:pPr>
      <w:widowControl/>
      <w:jc w:val="left"/>
      <w:outlineLvl w:val="3"/>
    </w:pPr>
    <w:rPr>
      <w:rFonts w:ascii="宋体"/>
      <w:kern w:val="0"/>
      <w:szCs w:val="21"/>
    </w:rPr>
  </w:style>
  <w:style w:type="paragraph" w:customStyle="1" w:styleId="179">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8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Char Char Char Char Char Char1 Char1"/>
    <w:basedOn w:val="18"/>
    <w:qFormat/>
    <w:uiPriority w:val="99"/>
    <w:pPr>
      <w:adjustRightInd/>
      <w:spacing w:line="240" w:lineRule="auto"/>
      <w:textAlignment w:val="auto"/>
    </w:pPr>
    <w:rPr>
      <w:rFonts w:ascii="Tahoma" w:hAnsi="Tahoma"/>
      <w:kern w:val="2"/>
      <w:sz w:val="24"/>
      <w:szCs w:val="24"/>
    </w:rPr>
  </w:style>
  <w:style w:type="paragraph" w:customStyle="1" w:styleId="182">
    <w:name w:val="1"/>
    <w:basedOn w:val="1"/>
    <w:next w:val="29"/>
    <w:qFormat/>
    <w:uiPriority w:val="99"/>
    <w:rPr>
      <w:rFonts w:ascii="宋体" w:hAnsi="Courier New"/>
      <w:szCs w:val="20"/>
    </w:rPr>
  </w:style>
  <w:style w:type="paragraph" w:customStyle="1" w:styleId="183">
    <w:name w:val="缺省文本"/>
    <w:basedOn w:val="1"/>
    <w:qFormat/>
    <w:uiPriority w:val="99"/>
    <w:pPr>
      <w:autoSpaceDE w:val="0"/>
      <w:autoSpaceDN w:val="0"/>
      <w:adjustRightInd w:val="0"/>
      <w:spacing w:line="360" w:lineRule="auto"/>
      <w:jc w:val="left"/>
    </w:pPr>
    <w:rPr>
      <w:kern w:val="0"/>
      <w:sz w:val="24"/>
      <w:szCs w:val="20"/>
    </w:rPr>
  </w:style>
  <w:style w:type="paragraph" w:customStyle="1" w:styleId="184">
    <w:name w:val="Char3"/>
    <w:basedOn w:val="1"/>
    <w:qFormat/>
    <w:uiPriority w:val="99"/>
    <w:pPr>
      <w:tabs>
        <w:tab w:val="left" w:pos="360"/>
      </w:tabs>
      <w:ind w:left="252" w:hanging="252" w:hangingChars="140"/>
    </w:pPr>
    <w:rPr>
      <w:rFonts w:ascii="宋体"/>
      <w:sz w:val="18"/>
      <w:szCs w:val="18"/>
    </w:rPr>
  </w:style>
  <w:style w:type="paragraph" w:customStyle="1" w:styleId="185">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186">
    <w:name w:val="Char Char Char Char Char Char Char Char Char Char Char Char Char Char Char Char1"/>
    <w:basedOn w:val="1"/>
    <w:qFormat/>
    <w:uiPriority w:val="99"/>
    <w:pPr>
      <w:tabs>
        <w:tab w:val="left" w:pos="360"/>
      </w:tabs>
      <w:spacing w:line="360" w:lineRule="auto"/>
      <w:ind w:left="482" w:firstLine="200" w:firstLineChars="200"/>
    </w:pPr>
    <w:rPr>
      <w:rFonts w:ascii="宋体"/>
      <w:sz w:val="24"/>
    </w:rPr>
  </w:style>
  <w:style w:type="paragraph" w:customStyle="1" w:styleId="187">
    <w:name w:val="次小点说明 Char"/>
    <w:basedOn w:val="9"/>
    <w:qFormat/>
    <w:uiPriority w:val="99"/>
    <w:pPr>
      <w:ind w:firstLine="0"/>
    </w:pPr>
    <w:rPr>
      <w:sz w:val="24"/>
      <w:szCs w:val="24"/>
    </w:rPr>
  </w:style>
  <w:style w:type="paragraph" w:customStyle="1" w:styleId="188">
    <w:name w:val="Char Char Char Char Char Char Char Char Char Char Char Char Char Char Char Char2"/>
    <w:basedOn w:val="1"/>
    <w:qFormat/>
    <w:uiPriority w:val="99"/>
    <w:pPr>
      <w:tabs>
        <w:tab w:val="left" w:pos="360"/>
      </w:tabs>
      <w:spacing w:line="360" w:lineRule="auto"/>
      <w:ind w:left="482" w:firstLine="200" w:firstLineChars="200"/>
    </w:pPr>
    <w:rPr>
      <w:rFonts w:ascii="宋体"/>
      <w:sz w:val="24"/>
    </w:rPr>
  </w:style>
  <w:style w:type="paragraph" w:customStyle="1" w:styleId="189">
    <w:name w:val="Char1 Char Char Char Char Char Char2"/>
    <w:basedOn w:val="1"/>
    <w:qFormat/>
    <w:uiPriority w:val="99"/>
    <w:rPr>
      <w:rFonts w:ascii="Tahoma" w:hAnsi="Tahoma"/>
      <w:sz w:val="24"/>
      <w:szCs w:val="20"/>
    </w:rPr>
  </w:style>
  <w:style w:type="paragraph" w:customStyle="1" w:styleId="190">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91">
    <w:name w:val="Char22"/>
    <w:basedOn w:val="1"/>
    <w:qFormat/>
    <w:uiPriority w:val="99"/>
    <w:pPr>
      <w:widowControl/>
      <w:spacing w:after="160" w:line="240" w:lineRule="exact"/>
      <w:jc w:val="left"/>
    </w:pPr>
    <w:rPr>
      <w:rFonts w:ascii="Verdana" w:hAnsi="Verdana"/>
      <w:kern w:val="0"/>
      <w:szCs w:val="20"/>
      <w:lang w:eastAsia="en-US"/>
    </w:rPr>
  </w:style>
  <w:style w:type="paragraph" w:customStyle="1" w:styleId="192">
    <w:name w:val="Char Char Char Char Char Char Char3"/>
    <w:basedOn w:val="1"/>
    <w:qFormat/>
    <w:uiPriority w:val="99"/>
  </w:style>
  <w:style w:type="paragraph" w:customStyle="1" w:styleId="193">
    <w:name w:val="Char Char1 Char Char Char Char Char Char Char Char Char Char Char Char Char Char2"/>
    <w:basedOn w:val="1"/>
    <w:qFormat/>
    <w:uiPriority w:val="99"/>
    <w:pPr>
      <w:widowControl/>
      <w:spacing w:after="160" w:line="240" w:lineRule="exact"/>
      <w:jc w:val="left"/>
    </w:pPr>
    <w:rPr>
      <w:rFonts w:ascii="Verdana" w:hAnsi="Verdana"/>
      <w:kern w:val="0"/>
      <w:sz w:val="20"/>
      <w:szCs w:val="20"/>
      <w:lang w:eastAsia="en-US"/>
    </w:rPr>
  </w:style>
  <w:style w:type="paragraph" w:customStyle="1" w:styleId="194">
    <w:name w:val="Char5"/>
    <w:basedOn w:val="1"/>
    <w:qFormat/>
    <w:uiPriority w:val="99"/>
    <w:pPr>
      <w:tabs>
        <w:tab w:val="left" w:pos="360"/>
      </w:tabs>
      <w:ind w:left="252" w:hanging="252" w:hangingChars="140"/>
    </w:pPr>
    <w:rPr>
      <w:rFonts w:ascii="宋体"/>
      <w:sz w:val="18"/>
      <w:szCs w:val="18"/>
    </w:rPr>
  </w:style>
  <w:style w:type="paragraph" w:customStyle="1" w:styleId="195">
    <w:name w:val="Char Char Char Char Char Char Char Char Char Char Char Char Char2"/>
    <w:basedOn w:val="18"/>
    <w:qFormat/>
    <w:uiPriority w:val="99"/>
    <w:pPr>
      <w:adjustRightInd/>
      <w:spacing w:line="240" w:lineRule="auto"/>
      <w:textAlignment w:val="auto"/>
    </w:pPr>
    <w:rPr>
      <w:rFonts w:ascii="Tahoma" w:hAnsi="Tahoma"/>
      <w:kern w:val="2"/>
      <w:sz w:val="24"/>
      <w:szCs w:val="24"/>
    </w:rPr>
  </w:style>
  <w:style w:type="paragraph" w:customStyle="1" w:styleId="196">
    <w:name w:val="Char Char Char3"/>
    <w:basedOn w:val="18"/>
    <w:qFormat/>
    <w:uiPriority w:val="99"/>
    <w:pPr>
      <w:adjustRightInd/>
      <w:spacing w:line="240" w:lineRule="auto"/>
      <w:textAlignment w:val="auto"/>
    </w:pPr>
    <w:rPr>
      <w:rFonts w:ascii="Tahoma" w:hAnsi="Tahoma"/>
      <w:kern w:val="2"/>
      <w:sz w:val="24"/>
      <w:szCs w:val="24"/>
    </w:rPr>
  </w:style>
  <w:style w:type="paragraph" w:customStyle="1" w:styleId="197">
    <w:name w:val="Char Char Char Char Char Char1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198">
    <w:name w:val="列出段落3"/>
    <w:basedOn w:val="1"/>
    <w:qFormat/>
    <w:uiPriority w:val="99"/>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199">
    <w:name w:val="样式3"/>
    <w:basedOn w:val="21"/>
    <w:qFormat/>
    <w:uiPriority w:val="99"/>
    <w:pPr>
      <w:spacing w:after="120" w:line="360" w:lineRule="auto"/>
    </w:pPr>
    <w:rPr>
      <w:rFonts w:ascii="宋体" w:hAnsi="Times New Roman"/>
      <w:sz w:val="21"/>
    </w:rPr>
  </w:style>
  <w:style w:type="character" w:customStyle="1" w:styleId="200">
    <w:name w:val="纯文本 字符"/>
    <w:qFormat/>
    <w:uiPriority w:val="99"/>
    <w:rPr>
      <w:rFonts w:ascii="宋体" w:hAnsi="Courier New" w:eastAsia="宋体" w:cs="Courier New"/>
      <w:kern w:val="2"/>
      <w:sz w:val="21"/>
      <w:szCs w:val="21"/>
      <w:lang w:val="en-US" w:eastAsia="zh-CN" w:bidi="ar-SA"/>
    </w:rPr>
  </w:style>
  <w:style w:type="paragraph" w:customStyle="1" w:styleId="201">
    <w:name w:val="修订111"/>
    <w:unhideWhenUsed/>
    <w:qFormat/>
    <w:uiPriority w:val="99"/>
    <w:rPr>
      <w:rFonts w:ascii="Calibri" w:hAnsi="Calibri" w:eastAsia="宋体" w:cs="Times New Roman"/>
      <w:kern w:val="2"/>
      <w:sz w:val="21"/>
      <w:szCs w:val="24"/>
      <w:lang w:val="en-US" w:eastAsia="zh-CN" w:bidi="ar-SA"/>
    </w:rPr>
  </w:style>
  <w:style w:type="paragraph" w:customStyle="1" w:styleId="202">
    <w:name w:val="TOC 标题11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203">
    <w:name w:val="修订2"/>
    <w:qFormat/>
    <w:uiPriority w:val="99"/>
    <w:rPr>
      <w:rFonts w:ascii="Calibri" w:hAnsi="Calibri" w:eastAsia="宋体" w:cs="Times New Roman"/>
      <w:kern w:val="2"/>
      <w:sz w:val="21"/>
      <w:szCs w:val="24"/>
      <w:lang w:val="en-US" w:eastAsia="zh-CN" w:bidi="ar-SA"/>
    </w:rPr>
  </w:style>
  <w:style w:type="paragraph" w:customStyle="1" w:styleId="204">
    <w:name w:val="TOC 标题2"/>
    <w:basedOn w:val="2"/>
    <w:next w:val="1"/>
    <w:qFormat/>
    <w:uiPriority w:val="39"/>
    <w:pPr>
      <w:widowControl/>
      <w:spacing w:before="240" w:after="0" w:line="256" w:lineRule="auto"/>
      <w:jc w:val="left"/>
      <w:outlineLvl w:val="9"/>
    </w:pPr>
    <w:rPr>
      <w:rFonts w:ascii="等线 Light" w:hAnsi="等线 Light" w:eastAsia="等线 Light"/>
      <w:b w:val="0"/>
      <w:bCs w:val="0"/>
      <w:color w:val="2E74B5"/>
      <w:kern w:val="0"/>
      <w:sz w:val="32"/>
      <w:szCs w:val="32"/>
    </w:rPr>
  </w:style>
  <w:style w:type="character" w:customStyle="1" w:styleId="205">
    <w:name w:val="NormalCharacter"/>
    <w:link w:val="1"/>
    <w:qFormat/>
    <w:uiPriority w:val="0"/>
    <w:rPr>
      <w:rFonts w:ascii="Calibri" w:hAnsi="Calibri" w:eastAsia="宋体" w:cs="Times New Roman"/>
      <w:kern w:val="2"/>
      <w:sz w:val="21"/>
      <w:szCs w:val="24"/>
      <w:lang w:val="en-US" w:eastAsia="zh-CN" w:bidi="ar-SA"/>
    </w:rPr>
  </w:style>
  <w:style w:type="character" w:customStyle="1" w:styleId="206">
    <w:name w:val="font21"/>
    <w:basedOn w:val="57"/>
    <w:qFormat/>
    <w:uiPriority w:val="0"/>
    <w:rPr>
      <w:rFonts w:hint="default" w:ascii="Times New Roman" w:hAnsi="Times New Roman" w:cs="Times New Roman"/>
      <w:color w:val="000000"/>
      <w:sz w:val="20"/>
      <w:szCs w:val="20"/>
      <w:u w:val="none"/>
    </w:rPr>
  </w:style>
  <w:style w:type="paragraph" w:customStyle="1" w:styleId="207">
    <w:name w:val="UP标题3"/>
    <w:basedOn w:val="1"/>
    <w:qFormat/>
    <w:uiPriority w:val="0"/>
    <w:pPr>
      <w:spacing w:line="360" w:lineRule="auto"/>
      <w:ind w:firstLine="149" w:firstLineChars="149"/>
    </w:pPr>
    <w:rPr>
      <w:rFonts w:ascii="黑体" w:eastAsia="黑体" w:cs="宋体" w:hAnsiTheme="minorHAnsi"/>
      <w:sz w:val="28"/>
      <w:szCs w:val="28"/>
    </w:rPr>
  </w:style>
  <w:style w:type="paragraph" w:customStyle="1" w:styleId="208">
    <w:name w:val="修订11"/>
    <w:unhideWhenUsed/>
    <w:qFormat/>
    <w:uiPriority w:val="99"/>
    <w:rPr>
      <w:rFonts w:ascii="Calibri" w:hAnsi="Calibri" w:eastAsia="宋体" w:cs="Times New Roman"/>
      <w:kern w:val="2"/>
      <w:sz w:val="21"/>
      <w:szCs w:val="24"/>
      <w:lang w:val="en-US" w:eastAsia="zh-CN" w:bidi="ar-SA"/>
    </w:rPr>
  </w:style>
  <w:style w:type="paragraph" w:customStyle="1" w:styleId="209">
    <w:name w:val="TOC 标题11"/>
    <w:basedOn w:val="2"/>
    <w:next w:val="1"/>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210">
    <w:name w:val="纯文本 字符2"/>
    <w:qFormat/>
    <w:uiPriority w:val="0"/>
    <w:rPr>
      <w:rFonts w:ascii="宋体" w:hAnsi="Courier New" w:cs="Courier New"/>
      <w:kern w:val="2"/>
      <w:sz w:val="21"/>
      <w:szCs w:val="21"/>
    </w:rPr>
  </w:style>
  <w:style w:type="paragraph" w:customStyle="1" w:styleId="211">
    <w:name w:val="列出段落4"/>
    <w:basedOn w:val="1"/>
    <w:qFormat/>
    <w:uiPriority w:val="0"/>
    <w:pPr>
      <w:ind w:firstLine="420" w:firstLineChars="200"/>
    </w:pPr>
    <w:rPr>
      <w:szCs w:val="22"/>
    </w:rPr>
  </w:style>
  <w:style w:type="paragraph" w:customStyle="1" w:styleId="212">
    <w:name w:val="表格文字"/>
    <w:basedOn w:val="1"/>
    <w:qFormat/>
    <w:uiPriority w:val="0"/>
    <w:pPr>
      <w:spacing w:before="25" w:after="25"/>
      <w:jc w:val="left"/>
    </w:pPr>
    <w:rPr>
      <w:bCs/>
      <w:spacing w:val="10"/>
      <w:kern w:val="0"/>
      <w:sz w:val="24"/>
    </w:rPr>
  </w:style>
  <w:style w:type="paragraph" w:customStyle="1" w:styleId="2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4">
    <w:name w:val="font41"/>
    <w:basedOn w:val="57"/>
    <w:qFormat/>
    <w:uiPriority w:val="0"/>
    <w:rPr>
      <w:rFonts w:hint="eastAsia" w:ascii="宋体" w:hAnsi="宋体" w:eastAsia="宋体" w:cs="宋体"/>
      <w:color w:val="000000"/>
      <w:sz w:val="20"/>
      <w:szCs w:val="20"/>
      <w:u w:val="none"/>
    </w:rPr>
  </w:style>
  <w:style w:type="character" w:customStyle="1" w:styleId="215">
    <w:name w:val="font112"/>
    <w:basedOn w:val="57"/>
    <w:qFormat/>
    <w:uiPriority w:val="0"/>
    <w:rPr>
      <w:rFonts w:hint="eastAsia" w:ascii="宋体" w:hAnsi="宋体" w:eastAsia="宋体" w:cs="宋体"/>
      <w:color w:val="FF0000"/>
      <w:sz w:val="20"/>
      <w:szCs w:val="20"/>
      <w:u w:val="none"/>
    </w:rPr>
  </w:style>
  <w:style w:type="paragraph" w:customStyle="1" w:styleId="216">
    <w:name w:val="列表段落1"/>
    <w:basedOn w:val="1"/>
    <w:qFormat/>
    <w:uiPriority w:val="34"/>
    <w:pPr>
      <w:ind w:firstLine="420" w:firstLineChars="200"/>
    </w:pPr>
  </w:style>
  <w:style w:type="character" w:customStyle="1" w:styleId="217">
    <w:name w:val="font31"/>
    <w:basedOn w:val="57"/>
    <w:qFormat/>
    <w:uiPriority w:val="0"/>
    <w:rPr>
      <w:rFonts w:hint="eastAsia" w:ascii="宋体" w:hAnsi="宋体" w:eastAsia="宋体" w:cs="宋体"/>
      <w:color w:val="000000"/>
      <w:sz w:val="21"/>
      <w:szCs w:val="21"/>
      <w:u w:val="none"/>
    </w:rPr>
  </w:style>
  <w:style w:type="paragraph" w:customStyle="1" w:styleId="218">
    <w:name w:val="p15"/>
    <w:basedOn w:val="1"/>
    <w:qFormat/>
    <w:uiPriority w:val="0"/>
    <w:pPr>
      <w:widowControl/>
    </w:pPr>
    <w:rPr>
      <w:rFonts w:ascii="宋体" w:hAnsi="宋体" w:cs="宋体"/>
      <w:kern w:val="0"/>
      <w:szCs w:val="21"/>
    </w:rPr>
  </w:style>
  <w:style w:type="paragraph" w:customStyle="1" w:styleId="219">
    <w:name w:val="Table Text"/>
    <w:basedOn w:val="1"/>
    <w:semiHidden/>
    <w:qFormat/>
    <w:uiPriority w:val="0"/>
    <w:rPr>
      <w:rFonts w:ascii="宋体" w:hAnsi="宋体" w:eastAsia="宋体" w:cs="宋体"/>
      <w:sz w:val="20"/>
      <w:szCs w:val="20"/>
      <w:lang w:val="en-US" w:eastAsia="en-US" w:bidi="ar-SA"/>
    </w:rPr>
  </w:style>
  <w:style w:type="table" w:customStyle="1" w:styleId="220">
    <w:name w:val="Table Normal"/>
    <w:semiHidden/>
    <w:unhideWhenUsed/>
    <w:qFormat/>
    <w:uiPriority w:val="0"/>
    <w:tblPr>
      <w:tblCellMar>
        <w:top w:w="0" w:type="dxa"/>
        <w:left w:w="0" w:type="dxa"/>
        <w:bottom w:w="0" w:type="dxa"/>
        <w:right w:w="0" w:type="dxa"/>
      </w:tblCellMar>
    </w:tblPr>
  </w:style>
  <w:style w:type="paragraph" w:customStyle="1" w:styleId="221">
    <w:name w:val="Plain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9B0C6-0128-4B8A-BB31-3659FACFD360}">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67</Pages>
  <Words>37993</Words>
  <Characters>39863</Characters>
  <Lines>244</Lines>
  <Paragraphs>68</Paragraphs>
  <TotalTime>23</TotalTime>
  <ScaleCrop>false</ScaleCrop>
  <LinksUpToDate>false</LinksUpToDate>
  <CharactersWithSpaces>40862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2023-07-21T07:20:00Z</dcterms:created>
  <dc:creator>WPS_1663467191</dc:creator>
  <cp:lastModifiedBy>susu</cp:lastModifiedBy>
  <cp:lastPrinted>2025-07-25T01:29:00Z</cp:lastPrinted>
  <dcterms:modified xsi:type="dcterms:W3CDTF">2026-04-29T09:13:41Z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783FFBDDE8F64B7EB406B9ED26CF173A_13</vt:lpwstr>
  </property>
  <property fmtid="{D5CDD505-2E9C-101B-9397-08002B2CF9AE}" pid="4" name="KSOTemplateDocerSaveRecord">
    <vt:lpwstr>eyJoZGlkIjoiN2ZiNWYzMjY0NjhmYjY3OTI1Y2Y3MTc4YzY3ZmI0OTkiLCJ1c2VySWQiOiI0NjA1NDIwNjIifQ==</vt:lpwstr>
  </property>
</Properties>
</file>