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1B5C19">
      <w:pPr>
        <w:rPr>
          <w:rStyle w:val="40"/>
          <w:rFonts w:hint="eastAsia" w:ascii="宋体" w:hAnsi="宋体" w:eastAsia="宋体"/>
          <w:color w:val="auto"/>
          <w:highlight w:val="none"/>
          <w:lang w:val="en-US" w:eastAsia="zh-CN"/>
        </w:rPr>
      </w:pPr>
      <w:r>
        <w:rPr>
          <w:rStyle w:val="40"/>
          <w:rFonts w:hint="eastAsia" w:ascii="宋体" w:hAnsi="宋体"/>
          <w:color w:val="auto"/>
          <w:highlight w:val="none"/>
          <w:lang w:val="en-US" w:eastAsia="zh-CN"/>
        </w:rPr>
        <w:t xml:space="preserve"> </w:t>
      </w:r>
    </w:p>
    <w:p w14:paraId="28DAA614">
      <w:pPr>
        <w:jc w:val="center"/>
        <w:rPr>
          <w:rStyle w:val="40"/>
          <w:rFonts w:ascii="宋体" w:hAnsi="宋体"/>
          <w:color w:val="auto"/>
          <w:highlight w:val="none"/>
        </w:rPr>
      </w:pPr>
      <w:r>
        <w:rPr>
          <w:rStyle w:val="40"/>
          <w:rFonts w:ascii="宋体" w:hAnsi="宋体"/>
          <w:color w:val="auto"/>
          <w:highlight w:val="none"/>
        </w:rPr>
        <w:t xml:space="preserve">                                                                                                                                                                                                                                                                                                                      </w:t>
      </w:r>
    </w:p>
    <w:p w14:paraId="60D1C4AB">
      <w:pPr>
        <w:jc w:val="center"/>
        <w:rPr>
          <w:color w:val="auto"/>
          <w:highlight w:val="none"/>
        </w:rPr>
      </w:pPr>
      <w:r>
        <w:rPr>
          <w:color w:val="auto"/>
        </w:rPr>
        <w:drawing>
          <wp:anchor distT="0" distB="0" distL="114300" distR="114300" simplePos="0" relativeHeight="251663360" behindDoc="1" locked="0" layoutInCell="1" allowOverlap="1">
            <wp:simplePos x="0" y="0"/>
            <wp:positionH relativeFrom="column">
              <wp:posOffset>2181225</wp:posOffset>
            </wp:positionH>
            <wp:positionV relativeFrom="paragraph">
              <wp:posOffset>105410</wp:posOffset>
            </wp:positionV>
            <wp:extent cx="1569720" cy="1965960"/>
            <wp:effectExtent l="0" t="0" r="11430" b="15240"/>
            <wp:wrapTight wrapText="bothSides">
              <wp:wrapPolygon>
                <wp:start x="0" y="0"/>
                <wp:lineTo x="0" y="21349"/>
                <wp:lineTo x="21233" y="21349"/>
                <wp:lineTo x="21233" y="0"/>
                <wp:lineTo x="0" y="0"/>
              </wp:wrapPolygon>
            </wp:wrapTight>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r:embed="rId13"/>
                    <a:stretch>
                      <a:fillRect/>
                    </a:stretch>
                  </pic:blipFill>
                  <pic:spPr>
                    <a:xfrm>
                      <a:off x="0" y="0"/>
                      <a:ext cx="1569720" cy="1965960"/>
                    </a:xfrm>
                    <a:prstGeom prst="rect">
                      <a:avLst/>
                    </a:prstGeom>
                    <a:noFill/>
                    <a:ln>
                      <a:noFill/>
                    </a:ln>
                  </pic:spPr>
                </pic:pic>
              </a:graphicData>
            </a:graphic>
          </wp:anchor>
        </w:drawing>
      </w:r>
      <w:r>
        <w:rPr>
          <w:color w:val="auto"/>
          <w:highlight w:val="none"/>
        </w:rPr>
        <mc:AlternateContent>
          <mc:Choice Requires="wps">
            <w:drawing>
              <wp:anchor distT="0" distB="0" distL="114300" distR="114300" simplePos="0" relativeHeight="251660288"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2" name="自选图形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635000" cy="635000"/>
                        </a:xfrm>
                        <a:custGeom>
                          <a:avLst/>
                          <a:gdLst/>
                          <a:ahLst/>
                          <a:cxnLst/>
                          <a:pathLst/>
                        </a:custGeom>
                        <a:noFill/>
                        <a:ln>
                          <a:noFill/>
                        </a:ln>
                      </wps:spPr>
                      <wps:bodyPr upright="1"/>
                    </wps:wsp>
                  </a:graphicData>
                </a:graphic>
              </wp:anchor>
            </w:drawing>
          </mc:Choice>
          <mc:Fallback>
            <w:pict>
              <v:shape id="自选图形 3" o:spid="_x0000_s1026" o:spt="100" style="position:absolute;left:0pt;margin-left:0pt;margin-top:0pt;height:50pt;width:50pt;visibility:hidden;z-index:251660288;mso-width-relative:page;mso-height-relative:page;" filled="f" stroked="f" coordsize="635000,635000" o:gfxdata="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mP3XpzwAAAAUBAAAPAAAAAAAAAAEAIAAAACIAAABkcnMvZG93bnJldi54bWxQSwECFAAU&#10;AAAACACHTuJA+in7OMEBAACLAwAADgAAAAAAAAABACAAAAAeAQAAZHJzL2Uyb0RvYy54bWxQSwUG&#10;AAAAAAYABgBZAQAAUQUAAAAA&#10;">
                <v:fill on="f" focussize="0,0"/>
                <v:stroke on="f"/>
                <v:imagedata o:title=""/>
                <o:lock v:ext="edit" selection="t" aspectratio="f"/>
              </v:shape>
            </w:pict>
          </mc:Fallback>
        </mc:AlternateContent>
      </w:r>
    </w:p>
    <w:p w14:paraId="3B998921">
      <w:pPr>
        <w:jc w:val="center"/>
        <w:rPr>
          <w:color w:val="auto"/>
          <w:highlight w:val="none"/>
        </w:rPr>
      </w:pPr>
    </w:p>
    <w:p w14:paraId="799F3092">
      <w:pPr>
        <w:jc w:val="center"/>
        <w:rPr>
          <w:color w:val="auto"/>
          <w:highlight w:val="none"/>
        </w:rPr>
      </w:pPr>
    </w:p>
    <w:p w14:paraId="5A41DBA8">
      <w:pPr>
        <w:jc w:val="center"/>
        <w:rPr>
          <w:rStyle w:val="40"/>
          <w:rFonts w:ascii="宋体" w:hAnsi="宋体"/>
          <w:color w:val="auto"/>
          <w:highlight w:val="none"/>
        </w:rPr>
      </w:pPr>
    </w:p>
    <w:p w14:paraId="6B6ADFFE">
      <w:pPr>
        <w:jc w:val="center"/>
        <w:rPr>
          <w:rStyle w:val="40"/>
          <w:rFonts w:ascii="宋体" w:hAnsi="宋体"/>
          <w:color w:val="auto"/>
          <w:highlight w:val="none"/>
        </w:rPr>
      </w:pPr>
    </w:p>
    <w:p w14:paraId="09D6131D">
      <w:pPr>
        <w:pStyle w:val="35"/>
        <w:jc w:val="both"/>
        <w:rPr>
          <w:rStyle w:val="40"/>
          <w:rFonts w:ascii="宋体" w:hAnsi="宋体"/>
          <w:color w:val="auto"/>
          <w:highlight w:val="none"/>
        </w:rPr>
      </w:pPr>
    </w:p>
    <w:p w14:paraId="63C6DB88">
      <w:pPr>
        <w:jc w:val="center"/>
        <w:rPr>
          <w:rStyle w:val="40"/>
          <w:rFonts w:ascii="宋体" w:hAnsi="宋体"/>
          <w:color w:val="auto"/>
          <w:highlight w:val="none"/>
        </w:rPr>
      </w:pPr>
    </w:p>
    <w:p w14:paraId="5228DD20">
      <w:pPr>
        <w:pStyle w:val="17"/>
        <w:rPr>
          <w:rStyle w:val="40"/>
          <w:rFonts w:ascii="宋体" w:hAnsi="宋体"/>
          <w:color w:val="auto"/>
          <w:highlight w:val="none"/>
        </w:rPr>
      </w:pPr>
    </w:p>
    <w:p w14:paraId="3831448E">
      <w:pPr>
        <w:pStyle w:val="17"/>
        <w:rPr>
          <w:rStyle w:val="40"/>
          <w:rFonts w:ascii="宋体" w:hAnsi="宋体"/>
          <w:color w:val="auto"/>
          <w:highlight w:val="none"/>
        </w:rPr>
      </w:pPr>
    </w:p>
    <w:p w14:paraId="2637334A">
      <w:pPr>
        <w:pStyle w:val="17"/>
        <w:rPr>
          <w:rStyle w:val="40"/>
          <w:rFonts w:ascii="宋体" w:hAnsi="宋体"/>
          <w:color w:val="auto"/>
          <w:highlight w:val="none"/>
        </w:rPr>
      </w:pPr>
    </w:p>
    <w:p w14:paraId="702260AE">
      <w:pPr>
        <w:pStyle w:val="17"/>
        <w:rPr>
          <w:rStyle w:val="40"/>
          <w:rFonts w:ascii="宋体" w:hAnsi="宋体"/>
          <w:color w:val="auto"/>
          <w:highlight w:val="none"/>
        </w:rPr>
      </w:pPr>
    </w:p>
    <w:p w14:paraId="68F9D39D">
      <w:pPr>
        <w:pStyle w:val="17"/>
        <w:rPr>
          <w:rStyle w:val="40"/>
          <w:rFonts w:ascii="宋体" w:hAnsi="宋体"/>
          <w:color w:val="auto"/>
          <w:highlight w:val="none"/>
        </w:rPr>
      </w:pPr>
    </w:p>
    <w:p w14:paraId="32654DF7">
      <w:pPr>
        <w:pStyle w:val="17"/>
        <w:rPr>
          <w:rStyle w:val="40"/>
          <w:rFonts w:ascii="宋体" w:hAnsi="宋体"/>
          <w:color w:val="auto"/>
          <w:highlight w:val="none"/>
        </w:rPr>
      </w:pPr>
    </w:p>
    <w:p w14:paraId="74BA98C1">
      <w:pPr>
        <w:pStyle w:val="17"/>
        <w:rPr>
          <w:rStyle w:val="40"/>
          <w:rFonts w:ascii="宋体" w:hAnsi="宋体"/>
          <w:color w:val="auto"/>
          <w:highlight w:val="none"/>
        </w:rPr>
      </w:pPr>
    </w:p>
    <w:p w14:paraId="1E5BD0F6">
      <w:pPr>
        <w:pStyle w:val="17"/>
        <w:rPr>
          <w:rStyle w:val="40"/>
          <w:rFonts w:ascii="宋体" w:hAnsi="宋体"/>
          <w:color w:val="auto"/>
          <w:highlight w:val="none"/>
        </w:rPr>
      </w:pPr>
    </w:p>
    <w:p w14:paraId="7E8B94AE">
      <w:pPr>
        <w:spacing w:before="156"/>
        <w:jc w:val="center"/>
        <w:rPr>
          <w:rStyle w:val="40"/>
          <w:rFonts w:ascii="宋体" w:hAnsi="宋体"/>
          <w:b/>
          <w:color w:val="auto"/>
          <w:sz w:val="72"/>
          <w:szCs w:val="72"/>
          <w:highlight w:val="none"/>
        </w:rPr>
      </w:pPr>
      <w:r>
        <w:rPr>
          <w:rStyle w:val="40"/>
          <w:rFonts w:ascii="宋体" w:hAnsi="宋体"/>
          <w:b/>
          <w:color w:val="auto"/>
          <w:sz w:val="72"/>
          <w:szCs w:val="72"/>
          <w:highlight w:val="none"/>
        </w:rPr>
        <w:t>竞争性磋商文件</w:t>
      </w:r>
    </w:p>
    <w:p w14:paraId="67875073">
      <w:pPr>
        <w:snapToGrid w:val="0"/>
        <w:spacing w:before="156" w:line="500" w:lineRule="exact"/>
        <w:rPr>
          <w:rStyle w:val="40"/>
          <w:rFonts w:ascii="宋体" w:hAnsi="宋体"/>
          <w:color w:val="auto"/>
          <w:highlight w:val="none"/>
        </w:rPr>
      </w:pPr>
    </w:p>
    <w:p w14:paraId="4A8B3A83">
      <w:pPr>
        <w:snapToGrid w:val="0"/>
        <w:spacing w:before="156" w:line="500" w:lineRule="exact"/>
        <w:jc w:val="center"/>
        <w:rPr>
          <w:rStyle w:val="40"/>
          <w:rFonts w:ascii="宋体" w:hAnsi="宋体" w:cs="宋体"/>
          <w:b/>
          <w:bCs/>
          <w:color w:val="auto"/>
          <w:sz w:val="30"/>
          <w:szCs w:val="30"/>
          <w:highlight w:val="none"/>
        </w:rPr>
      </w:pPr>
    </w:p>
    <w:p w14:paraId="6DD587FE">
      <w:pPr>
        <w:snapToGrid w:val="0"/>
        <w:spacing w:before="156" w:line="500" w:lineRule="exact"/>
        <w:ind w:firstLine="1205" w:firstLineChars="400"/>
        <w:rPr>
          <w:rStyle w:val="40"/>
          <w:rFonts w:hint="eastAsia" w:ascii="宋体" w:hAnsi="宋体" w:cs="宋体"/>
          <w:b/>
          <w:bCs/>
          <w:color w:val="auto"/>
          <w:sz w:val="30"/>
          <w:szCs w:val="30"/>
          <w:highlight w:val="none"/>
        </w:rPr>
      </w:pPr>
      <w:r>
        <w:rPr>
          <w:rStyle w:val="40"/>
          <w:rFonts w:ascii="宋体" w:hAnsi="宋体" w:cs="宋体"/>
          <w:b/>
          <w:bCs/>
          <w:color w:val="auto"/>
          <w:sz w:val="30"/>
          <w:szCs w:val="30"/>
          <w:highlight w:val="none"/>
        </w:rPr>
        <w:t>项目名称：</w:t>
      </w:r>
      <w:r>
        <w:rPr>
          <w:rStyle w:val="40"/>
          <w:rFonts w:hint="eastAsia" w:ascii="宋体" w:hAnsi="宋体" w:cs="宋体"/>
          <w:b/>
          <w:bCs/>
          <w:color w:val="auto"/>
          <w:sz w:val="30"/>
          <w:szCs w:val="30"/>
          <w:highlight w:val="none"/>
        </w:rPr>
        <w:t>港南区2026年生产障碍耕地治理项目</w:t>
      </w:r>
    </w:p>
    <w:p w14:paraId="0FD166C0">
      <w:pPr>
        <w:snapToGrid w:val="0"/>
        <w:spacing w:before="156" w:line="500" w:lineRule="exact"/>
        <w:ind w:firstLine="1205" w:firstLineChars="400"/>
        <w:rPr>
          <w:rStyle w:val="40"/>
          <w:rFonts w:hint="eastAsia" w:ascii="宋体" w:hAnsi="宋体" w:cs="宋体"/>
          <w:b/>
          <w:bCs/>
          <w:color w:val="auto"/>
          <w:sz w:val="30"/>
          <w:szCs w:val="30"/>
          <w:highlight w:val="none"/>
          <w:lang w:eastAsia="zh-CN"/>
        </w:rPr>
      </w:pPr>
      <w:r>
        <w:rPr>
          <w:rStyle w:val="40"/>
          <w:rFonts w:ascii="宋体" w:hAnsi="宋体" w:cs="宋体"/>
          <w:b/>
          <w:bCs/>
          <w:color w:val="auto"/>
          <w:sz w:val="30"/>
          <w:szCs w:val="30"/>
          <w:highlight w:val="none"/>
        </w:rPr>
        <w:t>项目编号：</w:t>
      </w:r>
      <w:r>
        <w:rPr>
          <w:rStyle w:val="40"/>
          <w:rFonts w:hint="eastAsia" w:ascii="宋体" w:hAnsi="宋体" w:cs="宋体"/>
          <w:b/>
          <w:bCs/>
          <w:color w:val="auto"/>
          <w:sz w:val="30"/>
          <w:szCs w:val="30"/>
          <w:highlight w:val="none"/>
          <w:lang w:eastAsia="zh-CN"/>
        </w:rPr>
        <w:t>GGZC2026-C3-030056-ARXM</w:t>
      </w:r>
    </w:p>
    <w:p w14:paraId="3C44D685">
      <w:pPr>
        <w:snapToGrid w:val="0"/>
        <w:spacing w:before="156" w:line="500" w:lineRule="exact"/>
        <w:rPr>
          <w:rStyle w:val="40"/>
          <w:rFonts w:ascii="宋体" w:hAnsi="宋体" w:cs="宋体"/>
          <w:bCs/>
          <w:color w:val="auto"/>
          <w:szCs w:val="21"/>
          <w:highlight w:val="none"/>
          <w:u w:val="single"/>
        </w:rPr>
      </w:pPr>
      <w:r>
        <w:rPr>
          <w:rStyle w:val="40"/>
          <w:rFonts w:ascii="宋体" w:hAnsi="宋体" w:cs="宋体"/>
          <w:bCs/>
          <w:color w:val="auto"/>
          <w:szCs w:val="21"/>
          <w:highlight w:val="none"/>
          <w:u w:val="single"/>
        </w:rPr>
        <w:t xml:space="preserve">                            </w:t>
      </w:r>
    </w:p>
    <w:p w14:paraId="4D2D8964">
      <w:pPr>
        <w:pStyle w:val="23"/>
        <w:ind w:left="0" w:leftChars="0" w:firstLine="0" w:firstLineChars="0"/>
        <w:rPr>
          <w:rStyle w:val="40"/>
          <w:rFonts w:ascii="宋体" w:hAnsi="宋体" w:cs="宋体"/>
          <w:bCs/>
          <w:color w:val="auto"/>
          <w:szCs w:val="21"/>
          <w:highlight w:val="none"/>
          <w:u w:val="single"/>
        </w:rPr>
      </w:pPr>
    </w:p>
    <w:p w14:paraId="2A0535EB">
      <w:pPr>
        <w:pStyle w:val="23"/>
        <w:ind w:left="0" w:leftChars="0" w:firstLine="0" w:firstLineChars="0"/>
        <w:rPr>
          <w:rStyle w:val="40"/>
          <w:rFonts w:ascii="宋体" w:hAnsi="宋体" w:cs="宋体"/>
          <w:bCs/>
          <w:color w:val="auto"/>
          <w:szCs w:val="21"/>
          <w:highlight w:val="none"/>
          <w:u w:val="single"/>
        </w:rPr>
      </w:pPr>
    </w:p>
    <w:p w14:paraId="045E9420">
      <w:pPr>
        <w:pStyle w:val="23"/>
        <w:rPr>
          <w:rStyle w:val="40"/>
          <w:rFonts w:ascii="宋体" w:hAnsi="宋体" w:cs="宋体"/>
          <w:bCs/>
          <w:color w:val="auto"/>
          <w:szCs w:val="21"/>
          <w:highlight w:val="none"/>
          <w:u w:val="single"/>
        </w:rPr>
      </w:pPr>
    </w:p>
    <w:p w14:paraId="210C289C">
      <w:pPr>
        <w:pStyle w:val="23"/>
        <w:rPr>
          <w:rStyle w:val="40"/>
          <w:rFonts w:ascii="宋体" w:hAnsi="宋体" w:cs="宋体"/>
          <w:bCs/>
          <w:color w:val="auto"/>
          <w:szCs w:val="21"/>
          <w:highlight w:val="none"/>
          <w:u w:val="single"/>
        </w:rPr>
      </w:pPr>
    </w:p>
    <w:p w14:paraId="0088366A">
      <w:pPr>
        <w:pStyle w:val="23"/>
        <w:rPr>
          <w:rStyle w:val="40"/>
          <w:rFonts w:ascii="宋体" w:hAnsi="宋体" w:cs="宋体"/>
          <w:bCs/>
          <w:color w:val="auto"/>
          <w:szCs w:val="21"/>
          <w:highlight w:val="none"/>
          <w:u w:val="single"/>
        </w:rPr>
      </w:pPr>
    </w:p>
    <w:p w14:paraId="6DE58510">
      <w:pPr>
        <w:pStyle w:val="23"/>
        <w:rPr>
          <w:rStyle w:val="40"/>
          <w:rFonts w:ascii="宋体" w:hAnsi="宋体" w:cs="宋体"/>
          <w:bCs/>
          <w:color w:val="auto"/>
          <w:szCs w:val="21"/>
          <w:highlight w:val="none"/>
          <w:u w:val="single"/>
        </w:rPr>
      </w:pPr>
    </w:p>
    <w:p w14:paraId="678F4390">
      <w:pPr>
        <w:pStyle w:val="23"/>
        <w:rPr>
          <w:rStyle w:val="40"/>
          <w:rFonts w:ascii="宋体" w:hAnsi="宋体" w:cs="宋体"/>
          <w:bCs/>
          <w:color w:val="auto"/>
          <w:szCs w:val="21"/>
          <w:highlight w:val="none"/>
          <w:u w:val="single"/>
        </w:rPr>
      </w:pPr>
    </w:p>
    <w:p w14:paraId="62E285FF">
      <w:pPr>
        <w:pStyle w:val="23"/>
        <w:rPr>
          <w:rStyle w:val="40"/>
          <w:rFonts w:ascii="宋体" w:hAnsi="宋体" w:cs="宋体"/>
          <w:bCs/>
          <w:color w:val="auto"/>
          <w:szCs w:val="21"/>
          <w:highlight w:val="none"/>
          <w:u w:val="single"/>
        </w:rPr>
      </w:pPr>
    </w:p>
    <w:p w14:paraId="2929F24E">
      <w:pPr>
        <w:pStyle w:val="23"/>
        <w:rPr>
          <w:rStyle w:val="40"/>
          <w:rFonts w:ascii="宋体" w:hAnsi="宋体" w:cs="宋体"/>
          <w:bCs/>
          <w:color w:val="auto"/>
          <w:szCs w:val="21"/>
          <w:highlight w:val="none"/>
          <w:u w:val="single"/>
        </w:rPr>
      </w:pPr>
    </w:p>
    <w:p w14:paraId="5CE66602">
      <w:pPr>
        <w:pStyle w:val="23"/>
        <w:rPr>
          <w:rStyle w:val="40"/>
          <w:rFonts w:ascii="宋体" w:hAnsi="宋体" w:cs="宋体"/>
          <w:bCs/>
          <w:color w:val="auto"/>
          <w:szCs w:val="21"/>
          <w:highlight w:val="none"/>
          <w:u w:val="single"/>
        </w:rPr>
      </w:pPr>
    </w:p>
    <w:p w14:paraId="431DF69B">
      <w:pPr>
        <w:pStyle w:val="23"/>
        <w:rPr>
          <w:rStyle w:val="40"/>
          <w:rFonts w:ascii="宋体" w:hAnsi="宋体" w:cs="宋体"/>
          <w:bCs/>
          <w:color w:val="auto"/>
          <w:szCs w:val="21"/>
          <w:highlight w:val="none"/>
          <w:u w:val="single"/>
        </w:rPr>
      </w:pPr>
    </w:p>
    <w:p w14:paraId="07F09397">
      <w:pPr>
        <w:pStyle w:val="23"/>
        <w:rPr>
          <w:rStyle w:val="40"/>
          <w:rFonts w:ascii="宋体" w:hAnsi="宋体" w:cs="宋体"/>
          <w:bCs/>
          <w:color w:val="auto"/>
          <w:szCs w:val="21"/>
          <w:highlight w:val="none"/>
          <w:u w:val="single"/>
        </w:rPr>
      </w:pPr>
    </w:p>
    <w:p w14:paraId="1D5ABBBF">
      <w:pPr>
        <w:pStyle w:val="23"/>
        <w:rPr>
          <w:rStyle w:val="40"/>
          <w:rFonts w:ascii="宋体" w:hAnsi="宋体" w:cs="宋体"/>
          <w:bCs/>
          <w:color w:val="auto"/>
          <w:szCs w:val="21"/>
          <w:highlight w:val="none"/>
          <w:u w:val="single"/>
        </w:rPr>
      </w:pPr>
    </w:p>
    <w:p w14:paraId="5EE75B0E">
      <w:pPr>
        <w:pStyle w:val="23"/>
        <w:rPr>
          <w:rStyle w:val="40"/>
          <w:rFonts w:ascii="宋体" w:hAnsi="宋体" w:cs="宋体"/>
          <w:bCs/>
          <w:color w:val="auto"/>
          <w:szCs w:val="21"/>
          <w:highlight w:val="none"/>
          <w:u w:val="single"/>
        </w:rPr>
      </w:pPr>
    </w:p>
    <w:p w14:paraId="3C05B4F2">
      <w:pPr>
        <w:pStyle w:val="23"/>
        <w:rPr>
          <w:rStyle w:val="40"/>
          <w:rFonts w:ascii="宋体" w:hAnsi="宋体" w:cs="宋体"/>
          <w:bCs/>
          <w:color w:val="auto"/>
          <w:szCs w:val="21"/>
          <w:highlight w:val="none"/>
          <w:u w:val="single"/>
        </w:rPr>
      </w:pPr>
    </w:p>
    <w:p w14:paraId="74CE28F6">
      <w:pPr>
        <w:pStyle w:val="23"/>
        <w:rPr>
          <w:rStyle w:val="40"/>
          <w:rFonts w:ascii="宋体" w:hAnsi="宋体" w:cs="宋体"/>
          <w:bCs/>
          <w:color w:val="auto"/>
          <w:szCs w:val="21"/>
          <w:highlight w:val="none"/>
          <w:u w:val="single"/>
        </w:rPr>
      </w:pPr>
    </w:p>
    <w:p w14:paraId="1FBB447D">
      <w:pPr>
        <w:snapToGrid w:val="0"/>
        <w:spacing w:before="156" w:line="500" w:lineRule="exact"/>
        <w:ind w:left="2084" w:leftChars="855" w:hanging="289"/>
        <w:jc w:val="left"/>
        <w:rPr>
          <w:rStyle w:val="40"/>
          <w:rFonts w:hint="eastAsia" w:ascii="宋体" w:hAnsi="宋体" w:cs="宋体"/>
          <w:b/>
          <w:bCs/>
          <w:color w:val="auto"/>
          <w:sz w:val="30"/>
          <w:szCs w:val="30"/>
          <w:highlight w:val="none"/>
          <w:lang w:eastAsia="zh-CN"/>
        </w:rPr>
      </w:pPr>
      <w:r>
        <w:rPr>
          <w:rStyle w:val="40"/>
          <w:rFonts w:ascii="宋体" w:hAnsi="宋体" w:cs="宋体"/>
          <w:b/>
          <w:bCs/>
          <w:color w:val="auto"/>
          <w:sz w:val="30"/>
          <w:szCs w:val="30"/>
          <w:highlight w:val="none"/>
        </w:rPr>
        <w:t>采购单位：</w:t>
      </w:r>
      <w:r>
        <w:rPr>
          <w:rStyle w:val="40"/>
          <w:rFonts w:hint="eastAsia" w:ascii="宋体" w:hAnsi="宋体" w:cs="宋体"/>
          <w:b/>
          <w:bCs/>
          <w:color w:val="auto"/>
          <w:sz w:val="30"/>
          <w:szCs w:val="30"/>
          <w:highlight w:val="none"/>
        </w:rPr>
        <w:t>贵港市港南区农业农村局</w:t>
      </w:r>
    </w:p>
    <w:p w14:paraId="5506CA0E">
      <w:pPr>
        <w:jc w:val="center"/>
        <w:rPr>
          <w:rStyle w:val="40"/>
          <w:rFonts w:hint="eastAsia" w:ascii="宋体" w:hAnsi="宋体" w:cs="宋体"/>
          <w:b/>
          <w:bCs/>
          <w:color w:val="auto"/>
          <w:sz w:val="30"/>
          <w:szCs w:val="30"/>
          <w:highlight w:val="none"/>
          <w:lang w:eastAsia="zh-CN"/>
        </w:rPr>
      </w:pPr>
      <w:r>
        <w:rPr>
          <w:rStyle w:val="40"/>
          <w:rFonts w:ascii="宋体" w:hAnsi="宋体" w:cs="宋体"/>
          <w:b/>
          <w:bCs/>
          <w:color w:val="auto"/>
          <w:sz w:val="30"/>
          <w:szCs w:val="30"/>
          <w:highlight w:val="none"/>
        </w:rPr>
        <w:t>采购代理机构：</w:t>
      </w:r>
      <w:r>
        <w:rPr>
          <w:rStyle w:val="40"/>
          <w:rFonts w:hint="eastAsia" w:ascii="宋体" w:hAnsi="宋体" w:cs="宋体"/>
          <w:b/>
          <w:bCs/>
          <w:color w:val="auto"/>
          <w:sz w:val="30"/>
          <w:szCs w:val="30"/>
          <w:highlight w:val="none"/>
          <w:lang w:eastAsia="zh-CN"/>
        </w:rPr>
        <w:t>贵港市安然项目管理有限公司</w:t>
      </w:r>
    </w:p>
    <w:p w14:paraId="5DA961BC">
      <w:pPr>
        <w:jc w:val="center"/>
        <w:rPr>
          <w:rStyle w:val="40"/>
          <w:rFonts w:ascii="宋体" w:hAnsi="宋体" w:cs="宋体"/>
          <w:b/>
          <w:bCs/>
          <w:color w:val="auto"/>
          <w:sz w:val="30"/>
          <w:szCs w:val="30"/>
          <w:highlight w:val="none"/>
        </w:rPr>
      </w:pPr>
      <w:r>
        <w:rPr>
          <w:rStyle w:val="40"/>
          <w:rFonts w:hint="eastAsia" w:ascii="宋体" w:hAnsi="宋体" w:cs="宋体"/>
          <w:b/>
          <w:bCs/>
          <w:color w:val="auto"/>
          <w:sz w:val="30"/>
          <w:szCs w:val="30"/>
          <w:highlight w:val="none"/>
          <w:lang w:eastAsia="zh-CN"/>
        </w:rPr>
        <w:t>2026</w:t>
      </w:r>
      <w:r>
        <w:rPr>
          <w:rStyle w:val="40"/>
          <w:rFonts w:ascii="宋体" w:hAnsi="宋体" w:cs="宋体"/>
          <w:b/>
          <w:bCs/>
          <w:color w:val="auto"/>
          <w:sz w:val="30"/>
          <w:szCs w:val="30"/>
          <w:highlight w:val="none"/>
        </w:rPr>
        <w:t>年</w:t>
      </w:r>
      <w:r>
        <w:rPr>
          <w:rStyle w:val="40"/>
          <w:rFonts w:hint="eastAsia" w:ascii="宋体" w:hAnsi="宋体" w:cs="宋体"/>
          <w:b/>
          <w:bCs/>
          <w:color w:val="auto"/>
          <w:sz w:val="30"/>
          <w:szCs w:val="30"/>
          <w:highlight w:val="none"/>
          <w:lang w:val="en-US" w:eastAsia="zh-CN"/>
        </w:rPr>
        <w:t>7</w:t>
      </w:r>
      <w:r>
        <w:rPr>
          <w:rStyle w:val="40"/>
          <w:rFonts w:ascii="宋体" w:hAnsi="宋体" w:cs="宋体"/>
          <w:b/>
          <w:bCs/>
          <w:color w:val="auto"/>
          <w:sz w:val="30"/>
          <w:szCs w:val="30"/>
          <w:highlight w:val="none"/>
        </w:rPr>
        <w:t>月</w:t>
      </w:r>
    </w:p>
    <w:p w14:paraId="14B8ECF1">
      <w:pPr>
        <w:pStyle w:val="10"/>
        <w:rPr>
          <w:rStyle w:val="40"/>
          <w:rFonts w:ascii="宋体" w:hAnsi="宋体" w:cs="宋体"/>
          <w:b/>
          <w:bCs/>
          <w:color w:val="auto"/>
          <w:sz w:val="30"/>
          <w:szCs w:val="30"/>
          <w:highlight w:val="none"/>
        </w:rPr>
      </w:pPr>
    </w:p>
    <w:p w14:paraId="52AF6039">
      <w:pPr>
        <w:rPr>
          <w:rStyle w:val="40"/>
          <w:rFonts w:ascii="宋体" w:hAnsi="宋体" w:cs="宋体"/>
          <w:b/>
          <w:bCs/>
          <w:color w:val="auto"/>
          <w:sz w:val="30"/>
          <w:szCs w:val="30"/>
          <w:highlight w:val="none"/>
        </w:rPr>
      </w:pPr>
    </w:p>
    <w:p w14:paraId="24BC9CC8">
      <w:pPr>
        <w:pStyle w:val="10"/>
        <w:rPr>
          <w:color w:val="auto"/>
          <w:highlight w:val="none"/>
        </w:rPr>
      </w:pPr>
    </w:p>
    <w:p w14:paraId="116756DD">
      <w:pPr>
        <w:pStyle w:val="33"/>
        <w:jc w:val="center"/>
        <w:rPr>
          <w:rStyle w:val="40"/>
          <w:rFonts w:ascii="宋体" w:hAnsi="宋体" w:cs="宋体"/>
          <w:b/>
          <w:bCs/>
          <w:color w:val="auto"/>
          <w:sz w:val="52"/>
          <w:szCs w:val="52"/>
          <w:highlight w:val="none"/>
        </w:rPr>
      </w:pPr>
      <w:r>
        <w:rPr>
          <w:rStyle w:val="40"/>
          <w:rFonts w:ascii="宋体" w:hAnsi="宋体" w:cs="宋体"/>
          <w:b/>
          <w:bCs/>
          <w:color w:val="auto"/>
          <w:sz w:val="52"/>
          <w:szCs w:val="52"/>
          <w:highlight w:val="none"/>
        </w:rPr>
        <w:t>目    录</w:t>
      </w:r>
    </w:p>
    <w:p w14:paraId="43EDDDF2">
      <w:pPr>
        <w:pStyle w:val="103"/>
        <w:tabs>
          <w:tab w:val="right" w:leader="dot" w:pos="9638"/>
        </w:tabs>
        <w:spacing w:line="360" w:lineRule="auto"/>
        <w:jc w:val="both"/>
        <w:rPr>
          <w:rStyle w:val="40"/>
          <w:rFonts w:hint="eastAsia" w:ascii="宋体" w:hAnsi="宋体" w:eastAsia="宋体"/>
          <w:color w:val="auto"/>
          <w:sz w:val="28"/>
          <w:szCs w:val="28"/>
          <w:highlight w:val="none"/>
          <w:lang w:eastAsia="zh-CN"/>
        </w:rPr>
      </w:pPr>
      <w:r>
        <w:rPr>
          <w:rStyle w:val="40"/>
          <w:rFonts w:ascii="宋体" w:hAnsi="宋体"/>
          <w:color w:val="auto"/>
          <w:sz w:val="28"/>
          <w:szCs w:val="28"/>
          <w:highlight w:val="none"/>
        </w:rPr>
        <w:t>第一章    竞争性磋商公告</w:t>
      </w:r>
      <w:r>
        <w:rPr>
          <w:rFonts w:ascii="宋体" w:hAnsi="宋体"/>
          <w:color w:val="auto"/>
          <w:sz w:val="28"/>
          <w:highlight w:val="none"/>
        </w:rPr>
        <w:tab/>
      </w:r>
      <w:r>
        <w:rPr>
          <w:rFonts w:hint="eastAsia" w:ascii="宋体" w:hAnsi="宋体"/>
          <w:color w:val="auto"/>
          <w:sz w:val="28"/>
          <w:highlight w:val="none"/>
          <w:lang w:val="en-US" w:eastAsia="zh-CN"/>
        </w:rPr>
        <w:t>3</w:t>
      </w:r>
    </w:p>
    <w:p w14:paraId="1CB59792">
      <w:pPr>
        <w:pStyle w:val="103"/>
        <w:tabs>
          <w:tab w:val="right" w:leader="dot" w:pos="9638"/>
        </w:tabs>
        <w:spacing w:line="360" w:lineRule="auto"/>
        <w:jc w:val="both"/>
        <w:rPr>
          <w:rStyle w:val="40"/>
          <w:rFonts w:hint="eastAsia" w:ascii="宋体" w:hAnsi="宋体" w:eastAsia="宋体"/>
          <w:color w:val="auto"/>
          <w:sz w:val="28"/>
          <w:szCs w:val="28"/>
          <w:highlight w:val="none"/>
          <w:lang w:eastAsia="zh-CN"/>
        </w:rPr>
      </w:pPr>
      <w:r>
        <w:rPr>
          <w:rStyle w:val="40"/>
          <w:rFonts w:ascii="宋体" w:hAnsi="宋体"/>
          <w:color w:val="auto"/>
          <w:sz w:val="28"/>
          <w:szCs w:val="28"/>
          <w:highlight w:val="none"/>
        </w:rPr>
        <w:t>第二章    磋商供应商须知及前附表</w:t>
      </w:r>
      <w:r>
        <w:rPr>
          <w:rFonts w:ascii="宋体" w:hAnsi="宋体"/>
          <w:color w:val="auto"/>
          <w:sz w:val="28"/>
          <w:highlight w:val="none"/>
        </w:rPr>
        <w:tab/>
      </w:r>
      <w:r>
        <w:rPr>
          <w:rFonts w:hint="eastAsia" w:ascii="宋体" w:hAnsi="宋体"/>
          <w:color w:val="auto"/>
          <w:sz w:val="28"/>
          <w:highlight w:val="none"/>
          <w:lang w:val="en-US" w:eastAsia="zh-CN"/>
        </w:rPr>
        <w:t>7</w:t>
      </w:r>
    </w:p>
    <w:p w14:paraId="1308EF6D">
      <w:pPr>
        <w:pStyle w:val="103"/>
        <w:tabs>
          <w:tab w:val="right" w:leader="dot" w:pos="9638"/>
        </w:tabs>
        <w:spacing w:line="360" w:lineRule="auto"/>
        <w:jc w:val="both"/>
        <w:rPr>
          <w:rStyle w:val="40"/>
          <w:rFonts w:hint="default" w:ascii="宋体" w:hAnsi="宋体" w:eastAsia="宋体"/>
          <w:color w:val="auto"/>
          <w:sz w:val="28"/>
          <w:szCs w:val="28"/>
          <w:highlight w:val="none"/>
          <w:lang w:val="en-US" w:eastAsia="zh-CN"/>
        </w:rPr>
      </w:pPr>
      <w:r>
        <w:rPr>
          <w:rStyle w:val="40"/>
          <w:rFonts w:ascii="宋体" w:hAnsi="宋体"/>
          <w:color w:val="auto"/>
          <w:sz w:val="28"/>
          <w:szCs w:val="28"/>
          <w:highlight w:val="none"/>
        </w:rPr>
        <w:t>第三章    项目采购需求</w:t>
      </w:r>
      <w:r>
        <w:rPr>
          <w:rFonts w:ascii="宋体" w:hAnsi="宋体"/>
          <w:color w:val="auto"/>
          <w:sz w:val="28"/>
          <w:highlight w:val="none"/>
        </w:rPr>
        <w:tab/>
      </w:r>
      <w:r>
        <w:rPr>
          <w:rFonts w:hint="eastAsia" w:ascii="宋体" w:hAnsi="宋体"/>
          <w:color w:val="auto"/>
          <w:sz w:val="28"/>
          <w:highlight w:val="none"/>
          <w:lang w:val="en-US" w:eastAsia="zh-CN"/>
        </w:rPr>
        <w:t>20</w:t>
      </w:r>
    </w:p>
    <w:p w14:paraId="7148C6B2">
      <w:pPr>
        <w:pStyle w:val="103"/>
        <w:tabs>
          <w:tab w:val="right" w:leader="dot" w:pos="9638"/>
        </w:tabs>
        <w:spacing w:line="360" w:lineRule="auto"/>
        <w:jc w:val="both"/>
        <w:rPr>
          <w:rStyle w:val="40"/>
          <w:rFonts w:hint="default" w:ascii="宋体" w:hAnsi="宋体" w:eastAsia="宋体"/>
          <w:color w:val="auto"/>
          <w:sz w:val="28"/>
          <w:szCs w:val="28"/>
          <w:highlight w:val="none"/>
          <w:lang w:val="en-US" w:eastAsia="zh-CN"/>
        </w:rPr>
      </w:pPr>
      <w:r>
        <w:rPr>
          <w:rStyle w:val="40"/>
          <w:rFonts w:ascii="宋体" w:hAnsi="宋体"/>
          <w:color w:val="auto"/>
          <w:sz w:val="28"/>
          <w:szCs w:val="28"/>
          <w:highlight w:val="none"/>
        </w:rPr>
        <w:t>第四章    合同协议书（参考格式）</w:t>
      </w:r>
      <w:r>
        <w:rPr>
          <w:rFonts w:ascii="宋体" w:hAnsi="宋体"/>
          <w:color w:val="auto"/>
          <w:sz w:val="28"/>
          <w:highlight w:val="none"/>
        </w:rPr>
        <w:tab/>
      </w:r>
      <w:r>
        <w:rPr>
          <w:rFonts w:hint="eastAsia" w:ascii="宋体" w:hAnsi="宋体"/>
          <w:color w:val="auto"/>
          <w:sz w:val="28"/>
          <w:highlight w:val="none"/>
          <w:lang w:val="en-US" w:eastAsia="zh-CN"/>
        </w:rPr>
        <w:t>28</w:t>
      </w:r>
    </w:p>
    <w:p w14:paraId="0ED198B8">
      <w:pPr>
        <w:pStyle w:val="103"/>
        <w:tabs>
          <w:tab w:val="right" w:leader="dot" w:pos="9638"/>
        </w:tabs>
        <w:spacing w:line="360" w:lineRule="auto"/>
        <w:jc w:val="both"/>
        <w:rPr>
          <w:rStyle w:val="40"/>
          <w:rFonts w:hint="default" w:ascii="宋体" w:hAnsi="宋体" w:eastAsia="宋体"/>
          <w:color w:val="auto"/>
          <w:sz w:val="28"/>
          <w:szCs w:val="28"/>
          <w:highlight w:val="none"/>
          <w:lang w:val="en-US" w:eastAsia="zh-CN"/>
        </w:rPr>
      </w:pPr>
      <w:r>
        <w:rPr>
          <w:rStyle w:val="40"/>
          <w:rFonts w:ascii="宋体" w:hAnsi="宋体"/>
          <w:color w:val="auto"/>
          <w:sz w:val="28"/>
          <w:szCs w:val="28"/>
          <w:highlight w:val="none"/>
        </w:rPr>
        <w:t>第五章    评标办法及评审标准</w:t>
      </w:r>
      <w:r>
        <w:rPr>
          <w:rFonts w:ascii="宋体" w:hAnsi="宋体"/>
          <w:color w:val="auto"/>
          <w:sz w:val="28"/>
          <w:highlight w:val="none"/>
        </w:rPr>
        <w:tab/>
      </w:r>
      <w:r>
        <w:rPr>
          <w:rFonts w:hint="eastAsia" w:ascii="宋体" w:hAnsi="宋体"/>
          <w:color w:val="auto"/>
          <w:sz w:val="28"/>
          <w:highlight w:val="none"/>
          <w:lang w:val="en-US" w:eastAsia="zh-CN"/>
        </w:rPr>
        <w:t>33</w:t>
      </w:r>
    </w:p>
    <w:p w14:paraId="505A7347">
      <w:pPr>
        <w:pStyle w:val="103"/>
        <w:tabs>
          <w:tab w:val="right" w:leader="dot" w:pos="9638"/>
        </w:tabs>
        <w:spacing w:line="360" w:lineRule="auto"/>
        <w:jc w:val="both"/>
        <w:rPr>
          <w:rStyle w:val="40"/>
          <w:rFonts w:hint="default" w:ascii="宋体" w:hAnsi="宋体" w:eastAsia="宋体"/>
          <w:color w:val="auto"/>
          <w:sz w:val="28"/>
          <w:szCs w:val="28"/>
          <w:highlight w:val="none"/>
          <w:lang w:val="en-US" w:eastAsia="zh-CN"/>
        </w:rPr>
      </w:pPr>
      <w:r>
        <w:rPr>
          <w:rStyle w:val="40"/>
          <w:rFonts w:ascii="宋体" w:hAnsi="宋体"/>
          <w:color w:val="auto"/>
          <w:sz w:val="28"/>
          <w:szCs w:val="28"/>
          <w:highlight w:val="none"/>
        </w:rPr>
        <w:t>第六章    竞争性磋商响应文件（格式）</w:t>
      </w:r>
      <w:r>
        <w:rPr>
          <w:rFonts w:ascii="宋体" w:hAnsi="宋体"/>
          <w:color w:val="auto"/>
          <w:sz w:val="28"/>
          <w:highlight w:val="none"/>
        </w:rPr>
        <w:tab/>
      </w:r>
      <w:r>
        <w:rPr>
          <w:rFonts w:hint="eastAsia" w:ascii="宋体" w:hAnsi="宋体"/>
          <w:color w:val="auto"/>
          <w:sz w:val="28"/>
          <w:highlight w:val="none"/>
          <w:lang w:val="en-US" w:eastAsia="zh-CN"/>
        </w:rPr>
        <w:t>43</w:t>
      </w:r>
    </w:p>
    <w:p w14:paraId="50C740D8">
      <w:pPr>
        <w:pStyle w:val="103"/>
        <w:tabs>
          <w:tab w:val="right" w:leader="dot" w:pos="9638"/>
        </w:tabs>
        <w:spacing w:line="360" w:lineRule="auto"/>
        <w:jc w:val="both"/>
        <w:rPr>
          <w:rStyle w:val="40"/>
          <w:rFonts w:ascii="宋体" w:hAnsi="宋体"/>
          <w:color w:val="auto"/>
          <w:sz w:val="28"/>
          <w:szCs w:val="28"/>
          <w:highlight w:val="none"/>
        </w:rPr>
      </w:pPr>
      <w:r>
        <w:rPr>
          <w:rStyle w:val="40"/>
          <w:rFonts w:ascii="宋体" w:hAnsi="宋体"/>
          <w:color w:val="auto"/>
          <w:sz w:val="28"/>
          <w:szCs w:val="28"/>
          <w:highlight w:val="none"/>
        </w:rPr>
        <w:t>第七章    附件</w:t>
      </w:r>
      <w:r>
        <w:rPr>
          <w:rFonts w:ascii="宋体" w:hAnsi="宋体"/>
          <w:color w:val="auto"/>
          <w:sz w:val="28"/>
          <w:highlight w:val="none"/>
        </w:rPr>
        <w:tab/>
      </w:r>
      <w:r>
        <w:rPr>
          <w:rFonts w:hint="eastAsia" w:ascii="宋体" w:hAnsi="宋体"/>
          <w:color w:val="auto"/>
          <w:sz w:val="28"/>
          <w:highlight w:val="none"/>
          <w:lang w:val="en-US" w:eastAsia="zh-CN"/>
        </w:rPr>
        <w:t>6</w:t>
      </w:r>
      <w:r>
        <w:rPr>
          <w:rFonts w:ascii="宋体" w:hAnsi="宋体"/>
          <w:color w:val="auto"/>
          <w:sz w:val="28"/>
          <w:highlight w:val="none"/>
        </w:rPr>
        <w:t>0</w:t>
      </w:r>
    </w:p>
    <w:p w14:paraId="2BDAE8C4">
      <w:pPr>
        <w:rPr>
          <w:rStyle w:val="40"/>
          <w:rFonts w:hint="eastAsia" w:ascii="宋体" w:hAnsi="宋体" w:eastAsia="宋体"/>
          <w:color w:val="auto"/>
          <w:highlight w:val="none"/>
          <w:lang w:eastAsia="zh-CN"/>
        </w:rPr>
      </w:pPr>
    </w:p>
    <w:p w14:paraId="4D359E13">
      <w:pPr>
        <w:rPr>
          <w:rStyle w:val="40"/>
          <w:rFonts w:ascii="宋体" w:hAnsi="宋体"/>
          <w:color w:val="auto"/>
          <w:highlight w:val="none"/>
        </w:rPr>
      </w:pPr>
      <w:r>
        <w:rPr>
          <w:rStyle w:val="40"/>
          <w:rFonts w:ascii="宋体" w:hAnsi="宋体"/>
          <w:color w:val="auto"/>
          <w:highlight w:val="none"/>
        </w:rPr>
        <w:t xml:space="preserve"> </w:t>
      </w:r>
    </w:p>
    <w:p w14:paraId="5DE3ACC9">
      <w:pPr>
        <w:rPr>
          <w:rStyle w:val="40"/>
          <w:rFonts w:ascii="宋体" w:hAnsi="宋体"/>
          <w:color w:val="auto"/>
          <w:highlight w:val="none"/>
        </w:rPr>
      </w:pPr>
      <w:r>
        <w:rPr>
          <w:rStyle w:val="40"/>
          <w:rFonts w:ascii="宋体" w:hAnsi="宋体"/>
          <w:color w:val="auto"/>
          <w:highlight w:val="none"/>
        </w:rPr>
        <w:t xml:space="preserve"> </w:t>
      </w:r>
    </w:p>
    <w:p w14:paraId="1A4FFFD2">
      <w:pPr>
        <w:rPr>
          <w:rStyle w:val="40"/>
          <w:rFonts w:ascii="宋体" w:hAnsi="宋体"/>
          <w:color w:val="auto"/>
          <w:highlight w:val="none"/>
        </w:rPr>
      </w:pPr>
      <w:r>
        <w:rPr>
          <w:rStyle w:val="40"/>
          <w:rFonts w:ascii="宋体" w:hAnsi="宋体"/>
          <w:color w:val="auto"/>
          <w:highlight w:val="none"/>
        </w:rPr>
        <w:t xml:space="preserve"> </w:t>
      </w:r>
    </w:p>
    <w:p w14:paraId="55F070AC">
      <w:pPr>
        <w:rPr>
          <w:rStyle w:val="40"/>
          <w:rFonts w:ascii="宋体" w:hAnsi="宋体"/>
          <w:color w:val="auto"/>
          <w:highlight w:val="none"/>
        </w:rPr>
      </w:pPr>
      <w:r>
        <w:rPr>
          <w:rStyle w:val="40"/>
          <w:rFonts w:ascii="宋体" w:hAnsi="宋体"/>
          <w:color w:val="auto"/>
          <w:highlight w:val="none"/>
        </w:rPr>
        <w:t xml:space="preserve">                                          </w:t>
      </w:r>
    </w:p>
    <w:p w14:paraId="1BB33015">
      <w:pPr>
        <w:rPr>
          <w:rStyle w:val="40"/>
          <w:rFonts w:ascii="宋体" w:hAnsi="宋体"/>
          <w:color w:val="auto"/>
          <w:highlight w:val="none"/>
        </w:rPr>
      </w:pPr>
      <w:r>
        <w:rPr>
          <w:rStyle w:val="40"/>
          <w:rFonts w:ascii="宋体" w:hAnsi="宋体"/>
          <w:color w:val="auto"/>
          <w:highlight w:val="none"/>
        </w:rPr>
        <w:t xml:space="preserve"> </w:t>
      </w:r>
    </w:p>
    <w:p w14:paraId="7BE76305">
      <w:pPr>
        <w:rPr>
          <w:rStyle w:val="40"/>
          <w:rFonts w:ascii="宋体" w:hAnsi="宋体"/>
          <w:color w:val="auto"/>
          <w:highlight w:val="none"/>
        </w:rPr>
      </w:pPr>
      <w:r>
        <w:rPr>
          <w:rStyle w:val="40"/>
          <w:rFonts w:ascii="宋体" w:hAnsi="宋体"/>
          <w:color w:val="auto"/>
          <w:highlight w:val="none"/>
        </w:rPr>
        <w:t xml:space="preserve"> </w:t>
      </w:r>
    </w:p>
    <w:p w14:paraId="36A896BF">
      <w:pPr>
        <w:rPr>
          <w:rStyle w:val="40"/>
          <w:rFonts w:ascii="宋体" w:hAnsi="宋体"/>
          <w:color w:val="auto"/>
          <w:highlight w:val="none"/>
        </w:rPr>
      </w:pPr>
      <w:r>
        <w:rPr>
          <w:rStyle w:val="40"/>
          <w:rFonts w:ascii="宋体" w:hAnsi="宋体"/>
          <w:color w:val="auto"/>
          <w:highlight w:val="none"/>
        </w:rPr>
        <w:t xml:space="preserve"> </w:t>
      </w:r>
    </w:p>
    <w:p w14:paraId="6E9A50BF">
      <w:pPr>
        <w:rPr>
          <w:rStyle w:val="40"/>
          <w:rFonts w:ascii="宋体" w:hAnsi="宋体"/>
          <w:color w:val="auto"/>
          <w:highlight w:val="none"/>
        </w:rPr>
      </w:pPr>
      <w:r>
        <w:rPr>
          <w:rStyle w:val="40"/>
          <w:rFonts w:ascii="宋体" w:hAnsi="宋体"/>
          <w:color w:val="auto"/>
          <w:highlight w:val="none"/>
        </w:rPr>
        <w:t xml:space="preserve"> </w:t>
      </w:r>
    </w:p>
    <w:p w14:paraId="7A98D266">
      <w:pPr>
        <w:rPr>
          <w:rStyle w:val="40"/>
          <w:rFonts w:ascii="宋体" w:hAnsi="宋体"/>
          <w:color w:val="auto"/>
          <w:highlight w:val="none"/>
        </w:rPr>
      </w:pPr>
      <w:r>
        <w:rPr>
          <w:rStyle w:val="40"/>
          <w:rFonts w:ascii="宋体" w:hAnsi="宋体"/>
          <w:color w:val="auto"/>
          <w:highlight w:val="none"/>
        </w:rPr>
        <w:t xml:space="preserve"> </w:t>
      </w:r>
    </w:p>
    <w:p w14:paraId="46C74911">
      <w:pPr>
        <w:rPr>
          <w:rStyle w:val="40"/>
          <w:rFonts w:ascii="宋体" w:hAnsi="宋体"/>
          <w:color w:val="auto"/>
          <w:highlight w:val="none"/>
        </w:rPr>
      </w:pPr>
      <w:r>
        <w:rPr>
          <w:rStyle w:val="40"/>
          <w:rFonts w:ascii="宋体" w:hAnsi="宋体"/>
          <w:color w:val="auto"/>
          <w:highlight w:val="none"/>
        </w:rPr>
        <w:t xml:space="preserve"> </w:t>
      </w:r>
    </w:p>
    <w:p w14:paraId="1A8A0F0C">
      <w:pPr>
        <w:rPr>
          <w:rStyle w:val="40"/>
          <w:rFonts w:ascii="宋体" w:hAnsi="宋体"/>
          <w:color w:val="auto"/>
          <w:highlight w:val="none"/>
        </w:rPr>
      </w:pPr>
      <w:r>
        <w:rPr>
          <w:rStyle w:val="40"/>
          <w:rFonts w:ascii="宋体" w:hAnsi="宋体"/>
          <w:color w:val="auto"/>
          <w:highlight w:val="none"/>
        </w:rPr>
        <w:t xml:space="preserve"> </w:t>
      </w:r>
    </w:p>
    <w:p w14:paraId="4DF8235F">
      <w:pPr>
        <w:rPr>
          <w:rStyle w:val="40"/>
          <w:rFonts w:ascii="宋体" w:hAnsi="宋体"/>
          <w:color w:val="auto"/>
          <w:highlight w:val="none"/>
        </w:rPr>
      </w:pPr>
      <w:r>
        <w:rPr>
          <w:rStyle w:val="40"/>
          <w:rFonts w:ascii="宋体" w:hAnsi="宋体"/>
          <w:color w:val="auto"/>
          <w:highlight w:val="none"/>
        </w:rPr>
        <w:t xml:space="preserve"> </w:t>
      </w:r>
    </w:p>
    <w:p w14:paraId="698E8953">
      <w:pPr>
        <w:rPr>
          <w:rStyle w:val="40"/>
          <w:rFonts w:ascii="宋体" w:hAnsi="宋体"/>
          <w:color w:val="auto"/>
          <w:highlight w:val="none"/>
        </w:rPr>
      </w:pPr>
      <w:r>
        <w:rPr>
          <w:rStyle w:val="40"/>
          <w:rFonts w:ascii="宋体" w:hAnsi="宋体"/>
          <w:color w:val="auto"/>
          <w:highlight w:val="none"/>
        </w:rPr>
        <w:t xml:space="preserve"> </w:t>
      </w:r>
    </w:p>
    <w:p w14:paraId="09EB5EDD">
      <w:pPr>
        <w:rPr>
          <w:rStyle w:val="40"/>
          <w:rFonts w:ascii="宋体" w:hAnsi="宋体"/>
          <w:color w:val="auto"/>
          <w:highlight w:val="none"/>
        </w:rPr>
      </w:pPr>
      <w:r>
        <w:rPr>
          <w:rStyle w:val="40"/>
          <w:rFonts w:ascii="宋体" w:hAnsi="宋体"/>
          <w:color w:val="auto"/>
          <w:highlight w:val="none"/>
        </w:rPr>
        <w:t xml:space="preserve"> </w:t>
      </w:r>
    </w:p>
    <w:p w14:paraId="57C2DBAC">
      <w:pPr>
        <w:rPr>
          <w:rStyle w:val="40"/>
          <w:rFonts w:ascii="宋体" w:hAnsi="宋体"/>
          <w:color w:val="auto"/>
          <w:highlight w:val="none"/>
        </w:rPr>
      </w:pPr>
    </w:p>
    <w:p w14:paraId="0EDC5AC4">
      <w:pPr>
        <w:rPr>
          <w:rStyle w:val="40"/>
          <w:rFonts w:ascii="宋体" w:hAnsi="宋体"/>
          <w:color w:val="auto"/>
          <w:highlight w:val="none"/>
        </w:rPr>
      </w:pPr>
      <w:r>
        <w:rPr>
          <w:rStyle w:val="40"/>
          <w:rFonts w:ascii="宋体" w:hAnsi="宋体"/>
          <w:color w:val="auto"/>
          <w:highlight w:val="none"/>
        </w:rPr>
        <w:t xml:space="preserve"> </w:t>
      </w:r>
    </w:p>
    <w:p w14:paraId="107A4694">
      <w:pPr>
        <w:rPr>
          <w:rStyle w:val="40"/>
          <w:rFonts w:ascii="宋体" w:hAnsi="宋体"/>
          <w:color w:val="auto"/>
          <w:highlight w:val="none"/>
        </w:rPr>
      </w:pPr>
      <w:r>
        <w:rPr>
          <w:rStyle w:val="40"/>
          <w:rFonts w:ascii="宋体" w:hAnsi="宋体"/>
          <w:color w:val="auto"/>
          <w:highlight w:val="none"/>
        </w:rPr>
        <w:t xml:space="preserve"> </w:t>
      </w:r>
    </w:p>
    <w:p w14:paraId="131A08B1">
      <w:pPr>
        <w:rPr>
          <w:rStyle w:val="40"/>
          <w:rFonts w:ascii="宋体" w:hAnsi="宋体"/>
          <w:color w:val="auto"/>
          <w:highlight w:val="none"/>
        </w:rPr>
      </w:pPr>
    </w:p>
    <w:p w14:paraId="4F785176">
      <w:pPr>
        <w:rPr>
          <w:rStyle w:val="40"/>
          <w:rFonts w:ascii="宋体" w:hAnsi="宋体"/>
          <w:color w:val="auto"/>
          <w:highlight w:val="none"/>
        </w:rPr>
      </w:pPr>
      <w:r>
        <w:rPr>
          <w:rStyle w:val="40"/>
          <w:rFonts w:ascii="宋体" w:hAnsi="宋体"/>
          <w:color w:val="auto"/>
          <w:highlight w:val="none"/>
        </w:rPr>
        <w:t xml:space="preserve"> </w:t>
      </w:r>
    </w:p>
    <w:p w14:paraId="7C7F3F15">
      <w:pPr>
        <w:rPr>
          <w:rStyle w:val="40"/>
          <w:rFonts w:ascii="宋体" w:hAnsi="宋体"/>
          <w:color w:val="auto"/>
          <w:highlight w:val="none"/>
        </w:rPr>
      </w:pPr>
    </w:p>
    <w:p w14:paraId="3547BBC5">
      <w:pPr>
        <w:rPr>
          <w:rStyle w:val="40"/>
          <w:rFonts w:ascii="宋体" w:hAnsi="宋体"/>
          <w:color w:val="auto"/>
          <w:highlight w:val="none"/>
        </w:rPr>
      </w:pPr>
    </w:p>
    <w:p w14:paraId="59A2B1F2">
      <w:pPr>
        <w:pStyle w:val="5"/>
        <w:rPr>
          <w:color w:val="auto"/>
          <w:highlight w:val="none"/>
        </w:rPr>
      </w:pPr>
    </w:p>
    <w:p w14:paraId="1076CEC2">
      <w:pPr>
        <w:rPr>
          <w:rStyle w:val="40"/>
          <w:rFonts w:ascii="宋体" w:hAnsi="宋体"/>
          <w:color w:val="auto"/>
          <w:highlight w:val="none"/>
        </w:rPr>
      </w:pPr>
    </w:p>
    <w:p w14:paraId="4ED6B03C">
      <w:pPr>
        <w:pStyle w:val="10"/>
        <w:rPr>
          <w:rStyle w:val="40"/>
          <w:rFonts w:ascii="宋体" w:hAnsi="宋体"/>
          <w:color w:val="auto"/>
          <w:highlight w:val="none"/>
        </w:rPr>
      </w:pPr>
    </w:p>
    <w:p w14:paraId="69126376">
      <w:pPr>
        <w:rPr>
          <w:rStyle w:val="40"/>
          <w:rFonts w:ascii="宋体" w:hAnsi="宋体"/>
          <w:color w:val="auto"/>
          <w:highlight w:val="none"/>
        </w:rPr>
      </w:pPr>
    </w:p>
    <w:p w14:paraId="0E2D21ED">
      <w:pPr>
        <w:pStyle w:val="10"/>
        <w:rPr>
          <w:rStyle w:val="40"/>
          <w:rFonts w:ascii="宋体" w:hAnsi="宋体"/>
          <w:color w:val="auto"/>
          <w:highlight w:val="none"/>
        </w:rPr>
      </w:pPr>
    </w:p>
    <w:p w14:paraId="0809543F">
      <w:pPr>
        <w:rPr>
          <w:color w:val="auto"/>
        </w:rPr>
      </w:pPr>
    </w:p>
    <w:p w14:paraId="357DE527">
      <w:pPr>
        <w:rPr>
          <w:rStyle w:val="40"/>
          <w:rFonts w:ascii="宋体" w:hAnsi="宋体"/>
          <w:color w:val="auto"/>
          <w:highlight w:val="none"/>
        </w:rPr>
      </w:pPr>
    </w:p>
    <w:p w14:paraId="02EB1A54">
      <w:pPr>
        <w:rPr>
          <w:rStyle w:val="40"/>
          <w:rFonts w:ascii="宋体" w:hAnsi="宋体"/>
          <w:color w:val="auto"/>
          <w:highlight w:val="none"/>
        </w:rPr>
      </w:pPr>
    </w:p>
    <w:p w14:paraId="302D98FB">
      <w:pPr>
        <w:pStyle w:val="22"/>
        <w:jc w:val="center"/>
        <w:outlineLvl w:val="0"/>
        <w:rPr>
          <w:rStyle w:val="40"/>
          <w:rFonts w:ascii="宋体" w:hAnsi="宋体" w:cs="宋体"/>
          <w:b/>
          <w:bCs/>
          <w:color w:val="auto"/>
          <w:highlight w:val="none"/>
        </w:rPr>
      </w:pPr>
      <w:r>
        <w:rPr>
          <w:rStyle w:val="40"/>
          <w:rFonts w:ascii="宋体" w:hAnsi="宋体" w:cs="宋体"/>
          <w:b/>
          <w:bCs/>
          <w:color w:val="auto"/>
          <w:highlight w:val="none"/>
        </w:rPr>
        <w:t>第一章    竞争性磋商公告</w:t>
      </w:r>
    </w:p>
    <w:p w14:paraId="01C250C7">
      <w:pPr>
        <w:spacing w:after="240"/>
        <w:jc w:val="center"/>
        <w:rPr>
          <w:rStyle w:val="40"/>
          <w:rFonts w:ascii="宋体" w:hAnsi="宋体"/>
          <w:b/>
          <w:color w:val="auto"/>
          <w:sz w:val="28"/>
          <w:szCs w:val="28"/>
          <w:highlight w:val="none"/>
        </w:rPr>
      </w:pPr>
      <w:r>
        <w:rPr>
          <w:rStyle w:val="40"/>
          <w:rFonts w:hint="eastAsia" w:ascii="宋体" w:hAnsi="宋体" w:cs="宋体"/>
          <w:b/>
          <w:bCs/>
          <w:color w:val="auto"/>
          <w:sz w:val="28"/>
          <w:szCs w:val="28"/>
          <w:highlight w:val="none"/>
          <w:lang w:eastAsia="zh-CN"/>
        </w:rPr>
        <w:t>贵港市安然项目管理有限公司</w:t>
      </w:r>
      <w:r>
        <w:rPr>
          <w:rStyle w:val="40"/>
          <w:rFonts w:ascii="宋体" w:hAnsi="宋体" w:cs="宋体"/>
          <w:b/>
          <w:bCs/>
          <w:color w:val="auto"/>
          <w:sz w:val="28"/>
          <w:szCs w:val="28"/>
          <w:highlight w:val="none"/>
        </w:rPr>
        <w:t>关于</w:t>
      </w:r>
      <w:r>
        <w:rPr>
          <w:rStyle w:val="40"/>
          <w:rFonts w:hint="eastAsia" w:ascii="宋体" w:hAnsi="宋体" w:cs="宋体"/>
          <w:b/>
          <w:bCs/>
          <w:color w:val="auto"/>
          <w:sz w:val="28"/>
          <w:szCs w:val="28"/>
          <w:highlight w:val="none"/>
          <w:lang w:val="en-US" w:eastAsia="zh-CN"/>
        </w:rPr>
        <w:t>港南区2026年生产障碍耕地治理项目</w:t>
      </w:r>
      <w:r>
        <w:rPr>
          <w:rStyle w:val="40"/>
          <w:rFonts w:ascii="宋体" w:hAnsi="宋体" w:cs="宋体"/>
          <w:b/>
          <w:bCs/>
          <w:color w:val="auto"/>
          <w:sz w:val="28"/>
          <w:szCs w:val="28"/>
          <w:highlight w:val="none"/>
        </w:rPr>
        <w:t>（</w:t>
      </w:r>
      <w:r>
        <w:rPr>
          <w:rStyle w:val="40"/>
          <w:rFonts w:hint="eastAsia" w:ascii="宋体" w:hAnsi="宋体" w:cs="宋体"/>
          <w:b/>
          <w:bCs/>
          <w:color w:val="auto"/>
          <w:sz w:val="28"/>
          <w:szCs w:val="28"/>
          <w:highlight w:val="none"/>
          <w:lang w:eastAsia="zh-CN"/>
        </w:rPr>
        <w:t>GGZC2026-C3-030056-ARXM</w:t>
      </w:r>
      <w:r>
        <w:rPr>
          <w:rStyle w:val="40"/>
          <w:rFonts w:ascii="宋体" w:hAnsi="宋体" w:cs="宋体"/>
          <w:b/>
          <w:bCs/>
          <w:color w:val="auto"/>
          <w:sz w:val="28"/>
          <w:szCs w:val="28"/>
          <w:highlight w:val="none"/>
        </w:rPr>
        <w:t>）</w:t>
      </w:r>
      <w:r>
        <w:rPr>
          <w:rStyle w:val="40"/>
          <w:rFonts w:ascii="宋体" w:hAnsi="宋体"/>
          <w:b/>
          <w:color w:val="auto"/>
          <w:sz w:val="28"/>
          <w:szCs w:val="28"/>
          <w:highlight w:val="none"/>
        </w:rPr>
        <w:t>竞争性磋商公告</w:t>
      </w:r>
    </w:p>
    <w:tbl>
      <w:tblPr>
        <w:tblStyle w:val="24"/>
        <w:tblW w:w="1000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7"/>
      </w:tblGrid>
      <w:tr w14:paraId="4BC15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07" w:type="dxa"/>
            <w:tcBorders>
              <w:top w:val="single" w:color="000000" w:sz="4" w:space="0"/>
              <w:left w:val="single" w:color="000000" w:sz="4" w:space="0"/>
              <w:bottom w:val="single" w:color="000000" w:sz="4" w:space="0"/>
              <w:right w:val="single" w:color="000000" w:sz="4" w:space="0"/>
            </w:tcBorders>
          </w:tcPr>
          <w:p w14:paraId="0FE1E9D0">
            <w:pPr>
              <w:spacing w:line="360" w:lineRule="auto"/>
              <w:rPr>
                <w:rStyle w:val="40"/>
                <w:rFonts w:ascii="宋体" w:hAnsi="宋体"/>
                <w:b/>
                <w:color w:val="auto"/>
                <w:spacing w:val="-2"/>
                <w:szCs w:val="21"/>
                <w:highlight w:val="none"/>
              </w:rPr>
            </w:pPr>
            <w:r>
              <w:rPr>
                <w:rStyle w:val="40"/>
                <w:rFonts w:ascii="宋体" w:hAnsi="宋体"/>
                <w:b/>
                <w:color w:val="auto"/>
                <w:spacing w:val="-2"/>
                <w:szCs w:val="21"/>
                <w:highlight w:val="none"/>
              </w:rPr>
              <w:t>项目概况</w:t>
            </w:r>
          </w:p>
          <w:p w14:paraId="0E76C254">
            <w:pPr>
              <w:spacing w:line="360" w:lineRule="auto"/>
              <w:ind w:firstLine="414" w:firstLineChars="200"/>
              <w:jc w:val="left"/>
              <w:rPr>
                <w:rStyle w:val="40"/>
                <w:color w:val="auto"/>
                <w:highlight w:val="none"/>
              </w:rPr>
            </w:pPr>
            <w:r>
              <w:rPr>
                <w:rStyle w:val="40"/>
                <w:rFonts w:hint="eastAsia" w:ascii="宋体" w:hAnsi="宋体"/>
                <w:b/>
                <w:bCs/>
                <w:color w:val="auto"/>
                <w:spacing w:val="-2"/>
                <w:szCs w:val="21"/>
                <w:highlight w:val="none"/>
                <w:u w:val="single"/>
                <w:lang w:val="en-US" w:eastAsia="zh-CN"/>
              </w:rPr>
              <w:t>港南区2026年生产障碍耕地治理项目</w:t>
            </w:r>
            <w:r>
              <w:rPr>
                <w:rStyle w:val="40"/>
                <w:rFonts w:ascii="宋体" w:hAnsi="宋体"/>
                <w:color w:val="auto"/>
                <w:spacing w:val="-2"/>
                <w:szCs w:val="21"/>
                <w:highlight w:val="none"/>
              </w:rPr>
              <w:t>的潜在供应商应在</w:t>
            </w:r>
            <w:r>
              <w:rPr>
                <w:rStyle w:val="40"/>
                <w:rFonts w:hint="eastAsia"/>
                <w:color w:val="auto"/>
                <w:highlight w:val="none"/>
                <w:lang w:eastAsia="zh-CN"/>
              </w:rPr>
              <w:t>广西政府采购云平台</w:t>
            </w:r>
            <w:r>
              <w:rPr>
                <w:rStyle w:val="40"/>
                <w:color w:val="auto"/>
                <w:highlight w:val="none"/>
              </w:rPr>
              <w:t>“项目采购—获取采购文件”模块自行下载采购文件</w:t>
            </w:r>
            <w:r>
              <w:rPr>
                <w:rStyle w:val="40"/>
                <w:rFonts w:ascii="宋体" w:hAnsi="宋体"/>
                <w:color w:val="auto"/>
                <w:spacing w:val="-2"/>
                <w:szCs w:val="21"/>
                <w:highlight w:val="none"/>
              </w:rPr>
              <w:t>，并于</w:t>
            </w:r>
            <w:r>
              <w:rPr>
                <w:rStyle w:val="40"/>
                <w:rFonts w:hint="eastAsia" w:ascii="宋体" w:hAnsi="宋体"/>
                <w:b/>
                <w:bCs/>
                <w:color w:val="auto"/>
                <w:spacing w:val="-2"/>
                <w:szCs w:val="21"/>
                <w:highlight w:val="none"/>
                <w:u w:val="single"/>
                <w:lang w:eastAsia="zh-CN"/>
              </w:rPr>
              <w:t>2026</w:t>
            </w:r>
            <w:r>
              <w:rPr>
                <w:rStyle w:val="40"/>
                <w:rFonts w:ascii="宋体" w:hAnsi="宋体"/>
                <w:b/>
                <w:bCs/>
                <w:color w:val="auto"/>
                <w:spacing w:val="-2"/>
                <w:szCs w:val="21"/>
                <w:highlight w:val="none"/>
                <w:u w:val="single"/>
              </w:rPr>
              <w:t>年</w:t>
            </w:r>
            <w:r>
              <w:rPr>
                <w:rStyle w:val="40"/>
                <w:rFonts w:hint="eastAsia" w:ascii="宋体" w:hAnsi="宋体"/>
                <w:b/>
                <w:bCs/>
                <w:color w:val="auto"/>
                <w:spacing w:val="-2"/>
                <w:szCs w:val="21"/>
                <w:highlight w:val="none"/>
                <w:u w:val="single"/>
                <w:lang w:val="en-US" w:eastAsia="zh-CN"/>
              </w:rPr>
              <w:t>7</w:t>
            </w:r>
            <w:r>
              <w:rPr>
                <w:rStyle w:val="40"/>
                <w:rFonts w:ascii="宋体" w:hAnsi="宋体"/>
                <w:b/>
                <w:bCs/>
                <w:color w:val="auto"/>
                <w:spacing w:val="-2"/>
                <w:szCs w:val="21"/>
                <w:highlight w:val="none"/>
                <w:u w:val="single"/>
              </w:rPr>
              <w:t>月</w:t>
            </w:r>
            <w:r>
              <w:rPr>
                <w:rStyle w:val="40"/>
                <w:rFonts w:hint="eastAsia" w:ascii="宋体" w:hAnsi="宋体"/>
                <w:b/>
                <w:bCs/>
                <w:color w:val="auto"/>
                <w:spacing w:val="-2"/>
                <w:szCs w:val="21"/>
                <w:highlight w:val="none"/>
                <w:u w:val="single"/>
                <w:lang w:val="en-US" w:eastAsia="zh-CN"/>
              </w:rPr>
              <w:t>31</w:t>
            </w:r>
            <w:r>
              <w:rPr>
                <w:rStyle w:val="40"/>
                <w:rFonts w:ascii="宋体" w:hAnsi="宋体"/>
                <w:b/>
                <w:bCs/>
                <w:color w:val="auto"/>
                <w:spacing w:val="-2"/>
                <w:szCs w:val="21"/>
                <w:highlight w:val="none"/>
                <w:u w:val="single"/>
              </w:rPr>
              <w:t>日</w:t>
            </w:r>
            <w:r>
              <w:rPr>
                <w:rStyle w:val="40"/>
                <w:rFonts w:hint="eastAsia" w:ascii="宋体" w:hAnsi="宋体"/>
                <w:b/>
                <w:bCs/>
                <w:color w:val="auto"/>
                <w:spacing w:val="-2"/>
                <w:szCs w:val="21"/>
                <w:highlight w:val="none"/>
                <w:u w:val="single"/>
                <w:lang w:val="en-US" w:eastAsia="zh-CN"/>
              </w:rPr>
              <w:t>09</w:t>
            </w:r>
            <w:r>
              <w:rPr>
                <w:rStyle w:val="40"/>
                <w:rFonts w:ascii="宋体" w:hAnsi="宋体"/>
                <w:b/>
                <w:bCs/>
                <w:color w:val="auto"/>
                <w:spacing w:val="-2"/>
                <w:szCs w:val="21"/>
                <w:highlight w:val="none"/>
                <w:u w:val="single"/>
              </w:rPr>
              <w:t>时</w:t>
            </w:r>
            <w:r>
              <w:rPr>
                <w:rStyle w:val="40"/>
                <w:rFonts w:hint="eastAsia" w:ascii="宋体" w:hAnsi="宋体"/>
                <w:b/>
                <w:bCs/>
                <w:color w:val="auto"/>
                <w:spacing w:val="-2"/>
                <w:szCs w:val="21"/>
                <w:highlight w:val="none"/>
                <w:u w:val="single"/>
                <w:lang w:val="en-US" w:eastAsia="zh-CN"/>
              </w:rPr>
              <w:t>00</w:t>
            </w:r>
            <w:r>
              <w:rPr>
                <w:rStyle w:val="40"/>
                <w:rFonts w:ascii="宋体" w:hAnsi="宋体"/>
                <w:b/>
                <w:bCs/>
                <w:color w:val="auto"/>
                <w:spacing w:val="-2"/>
                <w:szCs w:val="21"/>
                <w:highlight w:val="none"/>
                <w:u w:val="single"/>
              </w:rPr>
              <w:t>分</w:t>
            </w:r>
            <w:r>
              <w:rPr>
                <w:rStyle w:val="40"/>
                <w:rFonts w:ascii="宋体" w:hAnsi="宋体"/>
                <w:b/>
                <w:bCs/>
                <w:color w:val="auto"/>
                <w:spacing w:val="-2"/>
                <w:szCs w:val="21"/>
                <w:highlight w:val="none"/>
                <w:u w:val="single"/>
              </w:rPr>
              <w:t>（</w:t>
            </w:r>
            <w:r>
              <w:rPr>
                <w:rStyle w:val="40"/>
                <w:rFonts w:ascii="宋体" w:hAnsi="宋体"/>
                <w:b/>
                <w:bCs/>
                <w:color w:val="auto"/>
                <w:spacing w:val="-2"/>
                <w:szCs w:val="21"/>
                <w:highlight w:val="none"/>
              </w:rPr>
              <w:t>北京</w:t>
            </w:r>
            <w:r>
              <w:rPr>
                <w:rStyle w:val="40"/>
                <w:rFonts w:hint="eastAsia" w:ascii="宋体" w:hAnsi="宋体"/>
                <w:b/>
                <w:bCs/>
                <w:color w:val="auto"/>
                <w:spacing w:val="-2"/>
                <w:szCs w:val="21"/>
                <w:highlight w:val="none"/>
                <w:lang w:val="en-US" w:eastAsia="zh-CN"/>
              </w:rPr>
              <w:t xml:space="preserve"> </w:t>
            </w:r>
            <w:r>
              <w:rPr>
                <w:rStyle w:val="40"/>
                <w:rFonts w:ascii="宋体" w:hAnsi="宋体"/>
                <w:b/>
                <w:bCs/>
                <w:color w:val="auto"/>
                <w:spacing w:val="-2"/>
                <w:szCs w:val="21"/>
                <w:highlight w:val="none"/>
              </w:rPr>
              <w:t>时间）</w:t>
            </w:r>
            <w:r>
              <w:rPr>
                <w:rStyle w:val="40"/>
                <w:rFonts w:ascii="宋体" w:hAnsi="宋体"/>
                <w:color w:val="auto"/>
                <w:spacing w:val="-2"/>
                <w:szCs w:val="21"/>
                <w:highlight w:val="none"/>
              </w:rPr>
              <w:t>前递交响应文件。</w:t>
            </w:r>
          </w:p>
        </w:tc>
      </w:tr>
    </w:tbl>
    <w:p w14:paraId="3ADED6DE">
      <w:pPr>
        <w:spacing w:line="450" w:lineRule="atLeast"/>
        <w:textAlignment w:val="auto"/>
        <w:rPr>
          <w:rFonts w:cs="宋体" w:asciiTheme="minorEastAsia" w:hAnsiTheme="minorEastAsia" w:eastAsiaTheme="minorEastAsia"/>
          <w:b/>
          <w:bCs/>
          <w:color w:val="auto"/>
          <w:kern w:val="0"/>
          <w:szCs w:val="21"/>
          <w:highlight w:val="none"/>
        </w:rPr>
      </w:pPr>
      <w:r>
        <w:rPr>
          <w:rFonts w:cs="宋体" w:asciiTheme="minorEastAsia" w:hAnsiTheme="minorEastAsia" w:eastAsiaTheme="minorEastAsia"/>
          <w:b/>
          <w:bCs/>
          <w:color w:val="auto"/>
          <w:kern w:val="0"/>
          <w:szCs w:val="21"/>
          <w:highlight w:val="none"/>
        </w:rPr>
        <w:t>一、项目基本情况</w:t>
      </w:r>
    </w:p>
    <w:p w14:paraId="69F1AC1B">
      <w:pPr>
        <w:spacing w:line="450" w:lineRule="atLeast"/>
        <w:ind w:firstLine="210" w:firstLineChars="100"/>
        <w:textAlignment w:val="auto"/>
        <w:rPr>
          <w:rFonts w:hint="eastAsia" w:cs="宋体" w:asciiTheme="minorEastAsia" w:hAnsiTheme="minorEastAsia" w:eastAsiaTheme="minorEastAsia"/>
          <w:b/>
          <w:bCs w:val="0"/>
          <w:color w:val="auto"/>
          <w:kern w:val="0"/>
          <w:szCs w:val="21"/>
          <w:highlight w:val="none"/>
          <w:lang w:eastAsia="zh-CN"/>
        </w:rPr>
      </w:pPr>
      <w:r>
        <w:rPr>
          <w:rFonts w:cs="宋体" w:asciiTheme="minorEastAsia" w:hAnsiTheme="minorEastAsia" w:eastAsiaTheme="minorEastAsia"/>
          <w:bCs/>
          <w:color w:val="auto"/>
          <w:kern w:val="0"/>
          <w:szCs w:val="21"/>
          <w:highlight w:val="none"/>
        </w:rPr>
        <w:t>项目编号：</w:t>
      </w:r>
      <w:r>
        <w:rPr>
          <w:rFonts w:hint="eastAsia" w:cs="宋体" w:asciiTheme="minorEastAsia" w:hAnsiTheme="minorEastAsia" w:eastAsiaTheme="minorEastAsia"/>
          <w:b/>
          <w:bCs w:val="0"/>
          <w:color w:val="auto"/>
          <w:kern w:val="0"/>
          <w:szCs w:val="21"/>
          <w:highlight w:val="none"/>
        </w:rPr>
        <w:t>GGZC2026-C3-030056-ARXM</w:t>
      </w:r>
    </w:p>
    <w:p w14:paraId="70FDC4BE">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lang w:val="en-US" w:eastAsia="zh-CN"/>
        </w:rPr>
      </w:pPr>
      <w:r>
        <w:rPr>
          <w:rFonts w:cs="宋体" w:asciiTheme="minorEastAsia" w:hAnsiTheme="minorEastAsia" w:eastAsiaTheme="minorEastAsia"/>
          <w:bCs/>
          <w:color w:val="auto"/>
          <w:kern w:val="0"/>
          <w:szCs w:val="21"/>
          <w:highlight w:val="none"/>
        </w:rPr>
        <w:t>政府采购计划编号：</w:t>
      </w:r>
      <w:r>
        <w:rPr>
          <w:rFonts w:cs="宋体" w:asciiTheme="minorEastAsia" w:hAnsiTheme="minorEastAsia" w:eastAsiaTheme="minorEastAsia"/>
          <w:b/>
          <w:bCs w:val="0"/>
          <w:color w:val="auto"/>
          <w:kern w:val="0"/>
          <w:szCs w:val="21"/>
          <w:highlight w:val="none"/>
        </w:rPr>
        <w:t>G</w:t>
      </w:r>
      <w:r>
        <w:rPr>
          <w:rFonts w:hint="eastAsia" w:cs="宋体" w:asciiTheme="minorEastAsia" w:hAnsiTheme="minorEastAsia" w:eastAsiaTheme="minorEastAsia"/>
          <w:b/>
          <w:bCs w:val="0"/>
          <w:color w:val="auto"/>
          <w:kern w:val="0"/>
          <w:szCs w:val="21"/>
          <w:highlight w:val="none"/>
          <w:lang w:val="en-US" w:eastAsia="zh-CN"/>
        </w:rPr>
        <w:t>N</w:t>
      </w:r>
      <w:r>
        <w:rPr>
          <w:rFonts w:hint="eastAsia" w:cs="宋体" w:asciiTheme="minorEastAsia" w:hAnsiTheme="minorEastAsia" w:eastAsiaTheme="minorEastAsia"/>
          <w:b/>
          <w:bCs w:val="0"/>
          <w:color w:val="auto"/>
          <w:kern w:val="0"/>
          <w:szCs w:val="21"/>
          <w:highlight w:val="none"/>
        </w:rPr>
        <w:t>ZC[</w:t>
      </w:r>
      <w:r>
        <w:rPr>
          <w:rFonts w:hint="eastAsia" w:cs="宋体" w:asciiTheme="minorEastAsia" w:hAnsiTheme="minorEastAsia" w:eastAsiaTheme="minorEastAsia"/>
          <w:b/>
          <w:bCs w:val="0"/>
          <w:color w:val="auto"/>
          <w:kern w:val="0"/>
          <w:szCs w:val="21"/>
          <w:highlight w:val="none"/>
          <w:lang w:eastAsia="zh-CN"/>
        </w:rPr>
        <w:t>2026</w:t>
      </w:r>
      <w:r>
        <w:rPr>
          <w:rFonts w:hint="eastAsia" w:cs="宋体" w:asciiTheme="minorEastAsia" w:hAnsiTheme="minorEastAsia" w:eastAsiaTheme="minorEastAsia"/>
          <w:b/>
          <w:bCs w:val="0"/>
          <w:color w:val="auto"/>
          <w:kern w:val="0"/>
          <w:szCs w:val="21"/>
          <w:highlight w:val="none"/>
        </w:rPr>
        <w:t>]</w:t>
      </w:r>
      <w:r>
        <w:rPr>
          <w:rFonts w:hint="eastAsia" w:cs="宋体" w:asciiTheme="minorEastAsia" w:hAnsiTheme="minorEastAsia" w:eastAsiaTheme="minorEastAsia"/>
          <w:b/>
          <w:bCs w:val="0"/>
          <w:color w:val="auto"/>
          <w:kern w:val="0"/>
          <w:szCs w:val="21"/>
          <w:highlight w:val="none"/>
          <w:lang w:val="en-US" w:eastAsia="zh-CN"/>
        </w:rPr>
        <w:t>01512号</w:t>
      </w:r>
    </w:p>
    <w:p w14:paraId="569790A1">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项目名称：</w:t>
      </w:r>
      <w:r>
        <w:rPr>
          <w:rFonts w:hint="eastAsia" w:cs="宋体" w:asciiTheme="minorEastAsia" w:hAnsiTheme="minorEastAsia" w:eastAsiaTheme="minorEastAsia"/>
          <w:bCs/>
          <w:color w:val="auto"/>
          <w:kern w:val="0"/>
          <w:szCs w:val="21"/>
          <w:highlight w:val="none"/>
          <w:lang w:val="en-US" w:eastAsia="zh-CN"/>
        </w:rPr>
        <w:t>港南区2026年生产障碍耕地治理项目</w:t>
      </w:r>
    </w:p>
    <w:p w14:paraId="5FDB9B91">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采购方式：竞争性磋商</w:t>
      </w:r>
    </w:p>
    <w:p w14:paraId="2EFD2FD8">
      <w:pPr>
        <w:widowControl/>
        <w:spacing w:before="75" w:after="75" w:line="360" w:lineRule="auto"/>
        <w:ind w:firstLine="211" w:firstLineChars="100"/>
        <w:jc w:val="left"/>
        <w:rPr>
          <w:rFonts w:ascii="宋体" w:hAnsi="宋体" w:cs="宋体"/>
          <w:b/>
          <w:bCs/>
          <w:color w:val="auto"/>
          <w:kern w:val="0"/>
          <w:szCs w:val="21"/>
        </w:rPr>
      </w:pPr>
      <w:r>
        <w:rPr>
          <w:rFonts w:hint="eastAsia" w:ascii="宋体" w:hAnsi="宋体" w:cs="宋体"/>
          <w:b/>
          <w:bCs/>
          <w:color w:val="auto"/>
          <w:kern w:val="0"/>
          <w:szCs w:val="21"/>
        </w:rPr>
        <w:t>预算</w:t>
      </w:r>
      <w:r>
        <w:rPr>
          <w:rFonts w:hint="eastAsia" w:ascii="宋体" w:hAnsi="宋体" w:cs="宋体"/>
          <w:b/>
          <w:bCs/>
          <w:color w:val="auto"/>
          <w:kern w:val="0"/>
          <w:szCs w:val="21"/>
          <w:lang w:val="en-US" w:eastAsia="zh-CN"/>
        </w:rPr>
        <w:t>总</w:t>
      </w:r>
      <w:r>
        <w:rPr>
          <w:rFonts w:hint="eastAsia" w:ascii="宋体" w:hAnsi="宋体" w:cs="宋体"/>
          <w:b/>
          <w:bCs/>
          <w:color w:val="auto"/>
          <w:kern w:val="0"/>
          <w:szCs w:val="21"/>
        </w:rPr>
        <w:t>金额：人民币</w:t>
      </w:r>
      <w:r>
        <w:rPr>
          <w:rFonts w:hint="eastAsia" w:ascii="宋体" w:hAnsi="宋体" w:cs="宋体"/>
          <w:b/>
          <w:bCs/>
          <w:color w:val="auto"/>
          <w:kern w:val="0"/>
          <w:szCs w:val="21"/>
          <w:lang w:val="en-US" w:eastAsia="zh-CN"/>
        </w:rPr>
        <w:t>贰佰柒拾叁万贰仟伍佰元整</w:t>
      </w:r>
      <w:r>
        <w:rPr>
          <w:rFonts w:hint="eastAsia" w:ascii="宋体" w:hAnsi="宋体" w:cs="宋体"/>
          <w:b/>
          <w:bCs/>
          <w:color w:val="auto"/>
          <w:kern w:val="0"/>
          <w:szCs w:val="21"/>
        </w:rPr>
        <w:t>（￥</w:t>
      </w:r>
      <w:r>
        <w:rPr>
          <w:rFonts w:hint="eastAsia" w:ascii="宋体" w:hAnsi="宋体" w:cs="宋体"/>
          <w:b/>
          <w:bCs/>
          <w:color w:val="auto"/>
          <w:kern w:val="0"/>
          <w:szCs w:val="21"/>
          <w:lang w:val="en-US" w:eastAsia="zh-CN"/>
        </w:rPr>
        <w:t>2732500.00</w:t>
      </w:r>
      <w:r>
        <w:rPr>
          <w:rFonts w:hint="eastAsia" w:ascii="宋体" w:hAnsi="宋体" w:cs="宋体"/>
          <w:b/>
          <w:bCs/>
          <w:color w:val="auto"/>
          <w:kern w:val="0"/>
          <w:szCs w:val="21"/>
        </w:rPr>
        <w:t>）</w:t>
      </w:r>
    </w:p>
    <w:p w14:paraId="7CFA8FA9">
      <w:pPr>
        <w:widowControl/>
        <w:spacing w:before="75" w:after="75" w:line="360" w:lineRule="auto"/>
        <w:ind w:firstLine="211" w:firstLineChars="100"/>
        <w:jc w:val="left"/>
        <w:rPr>
          <w:rFonts w:hint="eastAsia" w:ascii="宋体" w:hAnsi="宋体" w:cs="宋体"/>
          <w:b/>
          <w:bCs/>
          <w:color w:val="auto"/>
          <w:kern w:val="0"/>
          <w:szCs w:val="21"/>
        </w:rPr>
      </w:pPr>
      <w:r>
        <w:rPr>
          <w:rFonts w:hint="eastAsia" w:ascii="宋体" w:hAnsi="宋体" w:cs="宋体"/>
          <w:b/>
          <w:bCs/>
          <w:color w:val="auto"/>
          <w:kern w:val="0"/>
          <w:szCs w:val="21"/>
        </w:rPr>
        <w:t>采购需求：</w:t>
      </w:r>
    </w:p>
    <w:p w14:paraId="30894E3F">
      <w:pPr>
        <w:widowControl/>
        <w:spacing w:before="75" w:after="75" w:line="360" w:lineRule="auto"/>
        <w:ind w:firstLine="480"/>
        <w:jc w:val="left"/>
        <w:rPr>
          <w:rFonts w:hint="default" w:ascii="宋体" w:hAnsi="宋体" w:cs="宋体"/>
          <w:b/>
          <w:bCs/>
          <w:color w:val="auto"/>
          <w:kern w:val="0"/>
          <w:szCs w:val="21"/>
          <w:lang w:val="en-US" w:eastAsia="zh-CN"/>
        </w:rPr>
      </w:pPr>
      <w:r>
        <w:rPr>
          <w:rFonts w:hint="eastAsia" w:ascii="宋体" w:hAnsi="宋体" w:cs="宋体"/>
          <w:b/>
          <w:bCs/>
          <w:color w:val="auto"/>
          <w:kern w:val="0"/>
          <w:szCs w:val="21"/>
          <w:lang w:eastAsia="zh-CN"/>
        </w:rPr>
        <w:t>标项一</w:t>
      </w:r>
      <w:r>
        <w:rPr>
          <w:rFonts w:hint="eastAsia" w:ascii="宋体" w:hAnsi="宋体" w:cs="宋体"/>
          <w:b/>
          <w:bCs/>
          <w:color w:val="auto"/>
          <w:kern w:val="0"/>
          <w:szCs w:val="21"/>
          <w:lang w:val="en-US" w:eastAsia="zh-CN"/>
        </w:rPr>
        <w:t xml:space="preserve">   </w:t>
      </w:r>
      <w:r>
        <w:rPr>
          <w:rFonts w:hint="eastAsia" w:ascii="宋体" w:hAnsi="宋体" w:cs="宋体"/>
          <w:b/>
          <w:bCs/>
          <w:color w:val="auto"/>
          <w:kern w:val="0"/>
          <w:szCs w:val="21"/>
          <w:lang w:eastAsia="zh-CN"/>
        </w:rPr>
        <w:t>标项名称:</w:t>
      </w:r>
      <w:r>
        <w:rPr>
          <w:rFonts w:hint="eastAsia" w:ascii="宋体" w:hAnsi="宋体" w:cs="宋体"/>
          <w:b/>
          <w:bCs/>
          <w:color w:val="auto"/>
          <w:kern w:val="0"/>
          <w:szCs w:val="21"/>
          <w:lang w:val="en-US" w:eastAsia="zh-CN"/>
        </w:rPr>
        <w:t>港南区2026年生产障碍耕地治理项目-1分标</w:t>
      </w:r>
    </w:p>
    <w:p w14:paraId="2B7FDD9A">
      <w:pPr>
        <w:widowControl/>
        <w:spacing w:before="75" w:after="75" w:line="360" w:lineRule="auto"/>
        <w:ind w:firstLine="48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数量:不限</w:t>
      </w:r>
    </w:p>
    <w:p w14:paraId="6E3B0107">
      <w:pPr>
        <w:widowControl/>
        <w:spacing w:before="75" w:after="75" w:line="360" w:lineRule="auto"/>
        <w:ind w:firstLine="480"/>
        <w:jc w:val="left"/>
        <w:rPr>
          <w:rFonts w:hint="default" w:ascii="宋体" w:hAnsi="宋体" w:cs="宋体"/>
          <w:color w:val="auto"/>
          <w:kern w:val="0"/>
          <w:szCs w:val="21"/>
          <w:lang w:val="en-US" w:eastAsia="zh-CN"/>
        </w:rPr>
      </w:pPr>
      <w:r>
        <w:rPr>
          <w:rFonts w:hint="eastAsia" w:ascii="宋体" w:hAnsi="宋体" w:cs="宋体"/>
          <w:color w:val="auto"/>
          <w:kern w:val="0"/>
          <w:szCs w:val="21"/>
          <w:lang w:eastAsia="zh-CN"/>
        </w:rPr>
        <w:t>预算金额（元）:</w:t>
      </w:r>
      <w:r>
        <w:rPr>
          <w:rFonts w:hint="eastAsia" w:ascii="宋体" w:hAnsi="宋体" w:cs="宋体"/>
          <w:color w:val="auto"/>
          <w:kern w:val="0"/>
          <w:szCs w:val="21"/>
          <w:lang w:val="en-US" w:eastAsia="zh-CN"/>
        </w:rPr>
        <w:t>1366250.00</w:t>
      </w:r>
    </w:p>
    <w:p w14:paraId="638D820E">
      <w:pPr>
        <w:widowControl/>
        <w:spacing w:before="75" w:after="75" w:line="360" w:lineRule="auto"/>
        <w:ind w:firstLine="480"/>
        <w:jc w:val="left"/>
        <w:rPr>
          <w:rFonts w:hint="eastAsia" w:ascii="宋体" w:hAnsi="宋体" w:cs="宋体"/>
          <w:b w:val="0"/>
          <w:bCs w:val="0"/>
          <w:color w:val="auto"/>
          <w:kern w:val="0"/>
          <w:szCs w:val="21"/>
          <w:highlight w:val="none"/>
          <w:lang w:eastAsia="zh-CN"/>
        </w:rPr>
      </w:pPr>
      <w:r>
        <w:rPr>
          <w:rFonts w:hint="eastAsia" w:ascii="宋体" w:hAnsi="宋体" w:cs="宋体"/>
          <w:b w:val="0"/>
          <w:bCs w:val="0"/>
          <w:color w:val="auto"/>
          <w:kern w:val="0"/>
          <w:szCs w:val="21"/>
          <w:lang w:eastAsia="zh-CN"/>
        </w:rPr>
        <w:t>简要规格描述或项目基本概况介绍、用途</w:t>
      </w:r>
      <w:r>
        <w:rPr>
          <w:rFonts w:hint="eastAsia" w:ascii="宋体" w:hAnsi="宋体" w:eastAsia="宋体" w:cs="宋体"/>
          <w:b w:val="0"/>
          <w:bCs w:val="0"/>
          <w:color w:val="auto"/>
          <w:kern w:val="0"/>
          <w:szCs w:val="21"/>
          <w:lang w:eastAsia="zh-CN"/>
        </w:rPr>
        <w:t>：</w:t>
      </w:r>
      <w:r>
        <w:rPr>
          <w:rFonts w:hint="eastAsia" w:ascii="宋体" w:hAnsi="宋体" w:eastAsia="宋体" w:cs="宋体"/>
          <w:b w:val="0"/>
          <w:bCs w:val="0"/>
          <w:color w:val="auto"/>
          <w:kern w:val="0"/>
          <w:szCs w:val="21"/>
          <w:lang w:val="en-US" w:eastAsia="zh-CN"/>
        </w:rPr>
        <w:t>港南区2026年生产障碍耕地治理项目</w:t>
      </w:r>
      <w:r>
        <w:rPr>
          <w:rFonts w:hint="eastAsia" w:ascii="宋体" w:hAnsi="宋体" w:cs="宋体"/>
          <w:b w:val="0"/>
          <w:bCs w:val="0"/>
          <w:color w:val="auto"/>
          <w:kern w:val="0"/>
          <w:szCs w:val="21"/>
          <w:lang w:val="en-US" w:eastAsia="zh-CN"/>
        </w:rPr>
        <w:t>一项</w:t>
      </w:r>
      <w:r>
        <w:rPr>
          <w:rFonts w:hint="eastAsia" w:ascii="宋体" w:hAnsi="宋体" w:cs="宋体"/>
          <w:b w:val="0"/>
          <w:bCs w:val="0"/>
          <w:color w:val="auto"/>
          <w:kern w:val="0"/>
          <w:szCs w:val="21"/>
          <w:lang w:eastAsia="zh-CN"/>
        </w:rPr>
        <w:t>，具体详见竞争性磋商文</w:t>
      </w:r>
      <w:r>
        <w:rPr>
          <w:rFonts w:hint="eastAsia" w:ascii="宋体" w:hAnsi="宋体" w:cs="宋体"/>
          <w:b w:val="0"/>
          <w:bCs w:val="0"/>
          <w:color w:val="auto"/>
          <w:kern w:val="0"/>
          <w:szCs w:val="21"/>
          <w:highlight w:val="none"/>
          <w:lang w:eastAsia="zh-CN"/>
        </w:rPr>
        <w:t>件。</w:t>
      </w:r>
    </w:p>
    <w:p w14:paraId="6EB8D1EB">
      <w:pPr>
        <w:widowControl/>
        <w:spacing w:before="75" w:after="75" w:line="360" w:lineRule="auto"/>
        <w:ind w:firstLine="48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eastAsia="zh-CN"/>
        </w:rPr>
        <w:t>最高限价（如有）：</w:t>
      </w:r>
      <w:r>
        <w:rPr>
          <w:rFonts w:hint="eastAsia" w:ascii="宋体" w:hAnsi="宋体" w:cs="宋体"/>
          <w:color w:val="auto"/>
          <w:kern w:val="0"/>
          <w:szCs w:val="21"/>
          <w:highlight w:val="none"/>
          <w:lang w:val="en-US" w:eastAsia="zh-CN"/>
        </w:rPr>
        <w:t>1366250.00</w:t>
      </w:r>
    </w:p>
    <w:p w14:paraId="34DCB1D6">
      <w:pPr>
        <w:widowControl/>
        <w:spacing w:before="75" w:after="75" w:line="360" w:lineRule="auto"/>
        <w:ind w:firstLine="480"/>
        <w:jc w:val="left"/>
        <w:rPr>
          <w:rFonts w:hint="eastAsia" w:ascii="宋体" w:hAnsi="宋体" w:cs="宋体"/>
          <w:color w:val="auto"/>
          <w:kern w:val="0"/>
          <w:szCs w:val="21"/>
          <w:lang w:val="en-US" w:eastAsia="zh-CN"/>
        </w:rPr>
      </w:pPr>
      <w:r>
        <w:rPr>
          <w:rFonts w:hint="eastAsia" w:ascii="宋体" w:hAnsi="宋体" w:cs="宋体"/>
          <w:color w:val="auto"/>
          <w:kern w:val="0"/>
          <w:szCs w:val="21"/>
          <w:highlight w:val="none"/>
          <w:lang w:eastAsia="zh-CN"/>
        </w:rPr>
        <w:t>合同履约期限：</w:t>
      </w:r>
      <w:r>
        <w:rPr>
          <w:rFonts w:hint="eastAsia" w:ascii="宋体" w:hAnsi="宋体" w:cs="宋体"/>
          <w:color w:val="auto"/>
          <w:kern w:val="0"/>
          <w:szCs w:val="21"/>
          <w:highlight w:val="none"/>
          <w:lang w:val="en-US" w:eastAsia="zh-CN"/>
        </w:rPr>
        <w:t>2026</w:t>
      </w:r>
      <w:r>
        <w:rPr>
          <w:rFonts w:hint="eastAsia" w:ascii="宋体" w:hAnsi="宋体" w:cs="宋体"/>
          <w:color w:val="auto"/>
          <w:kern w:val="0"/>
          <w:szCs w:val="21"/>
          <w:highlight w:val="none"/>
          <w:lang w:eastAsia="zh-CN"/>
        </w:rPr>
        <w:t>年</w:t>
      </w:r>
      <w:r>
        <w:rPr>
          <w:rFonts w:hint="eastAsia" w:ascii="宋体" w:hAnsi="宋体" w:cs="宋体"/>
          <w:color w:val="auto"/>
          <w:kern w:val="0"/>
          <w:szCs w:val="21"/>
          <w:highlight w:val="none"/>
          <w:lang w:val="en-US" w:eastAsia="zh-CN"/>
        </w:rPr>
        <w:t>12</w:t>
      </w:r>
      <w:r>
        <w:rPr>
          <w:rFonts w:hint="eastAsia" w:ascii="宋体" w:hAnsi="宋体" w:cs="宋体"/>
          <w:color w:val="auto"/>
          <w:kern w:val="0"/>
          <w:szCs w:val="21"/>
          <w:highlight w:val="none"/>
          <w:lang w:eastAsia="zh-CN"/>
        </w:rPr>
        <w:t>月</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lang w:eastAsia="zh-CN"/>
        </w:rPr>
        <w:t>日前，完成</w:t>
      </w:r>
      <w:r>
        <w:rPr>
          <w:rFonts w:hint="eastAsia" w:ascii="宋体" w:hAnsi="宋体" w:cs="宋体"/>
          <w:color w:val="auto"/>
          <w:kern w:val="0"/>
          <w:szCs w:val="21"/>
          <w:highlight w:val="none"/>
          <w:lang w:val="en-US" w:eastAsia="zh-CN"/>
        </w:rPr>
        <w:t>港南区2026年生产障碍耕地治理项目。</w:t>
      </w:r>
      <w:r>
        <w:rPr>
          <w:rFonts w:hint="eastAsia" w:ascii="宋体" w:hAnsi="宋体" w:cs="宋体"/>
          <w:color w:val="auto"/>
          <w:kern w:val="0"/>
          <w:szCs w:val="21"/>
          <w:lang w:val="en-US" w:eastAsia="zh-CN"/>
        </w:rPr>
        <w:t>（如因特殊天气、错过农时及实施面积不足等原因无法实施，则项目顺延至2027年实施）。</w:t>
      </w:r>
    </w:p>
    <w:p w14:paraId="089FA9C9">
      <w:pPr>
        <w:widowControl/>
        <w:spacing w:before="75" w:after="75" w:line="360" w:lineRule="auto"/>
        <w:ind w:firstLine="480"/>
        <w:jc w:val="left"/>
        <w:rPr>
          <w:rFonts w:hint="eastAsia" w:ascii="宋体" w:hAnsi="宋体" w:cs="宋体"/>
          <w:color w:val="auto"/>
          <w:kern w:val="0"/>
          <w:szCs w:val="21"/>
          <w:lang w:val="en-US" w:eastAsia="zh-CN"/>
        </w:rPr>
      </w:pPr>
      <w:r>
        <w:rPr>
          <w:rFonts w:hint="eastAsia" w:ascii="宋体" w:hAnsi="宋体" w:eastAsia="宋体" w:cs="宋体"/>
          <w:color w:val="auto"/>
          <w:kern w:val="0"/>
          <w:szCs w:val="21"/>
          <w:highlight w:val="none"/>
          <w:lang w:eastAsia="zh-CN"/>
        </w:rPr>
        <w:t>本标项（否）接受联合体竞标</w:t>
      </w:r>
    </w:p>
    <w:p w14:paraId="4B5E8F46">
      <w:pPr>
        <w:widowControl/>
        <w:spacing w:before="75" w:after="75" w:line="360" w:lineRule="auto"/>
        <w:ind w:firstLine="480"/>
        <w:jc w:val="left"/>
        <w:rPr>
          <w:rFonts w:hint="eastAsia" w:ascii="宋体" w:hAnsi="宋体" w:cs="宋体"/>
          <w:b/>
          <w:bCs/>
          <w:color w:val="auto"/>
          <w:kern w:val="0"/>
          <w:szCs w:val="21"/>
          <w:highlight w:val="none"/>
          <w:lang w:eastAsia="zh-CN"/>
        </w:rPr>
      </w:pPr>
      <w:r>
        <w:rPr>
          <w:rFonts w:hint="eastAsia" w:ascii="宋体" w:hAnsi="宋体" w:cs="宋体"/>
          <w:b/>
          <w:bCs/>
          <w:color w:val="auto"/>
          <w:kern w:val="0"/>
          <w:szCs w:val="21"/>
          <w:highlight w:val="none"/>
          <w:lang w:eastAsia="zh-CN"/>
        </w:rPr>
        <w:t>备注：标项一面向中小企业采购</w:t>
      </w:r>
    </w:p>
    <w:p w14:paraId="6683770B">
      <w:pPr>
        <w:widowControl/>
        <w:spacing w:before="75" w:after="75" w:line="360" w:lineRule="auto"/>
        <w:ind w:firstLine="480"/>
        <w:jc w:val="left"/>
        <w:rPr>
          <w:rFonts w:hint="default" w:ascii="宋体" w:hAnsi="宋体" w:cs="宋体"/>
          <w:b/>
          <w:bCs/>
          <w:color w:val="auto"/>
          <w:kern w:val="0"/>
          <w:szCs w:val="21"/>
          <w:lang w:val="en-US" w:eastAsia="zh-CN"/>
        </w:rPr>
      </w:pPr>
      <w:r>
        <w:rPr>
          <w:rFonts w:hint="eastAsia" w:ascii="宋体" w:hAnsi="宋体" w:cs="宋体"/>
          <w:b/>
          <w:bCs/>
          <w:color w:val="auto"/>
          <w:kern w:val="0"/>
          <w:szCs w:val="21"/>
          <w:lang w:eastAsia="zh-CN"/>
        </w:rPr>
        <w:t>标项</w:t>
      </w:r>
      <w:r>
        <w:rPr>
          <w:rFonts w:hint="eastAsia" w:ascii="宋体" w:hAnsi="宋体" w:cs="宋体"/>
          <w:b/>
          <w:bCs/>
          <w:color w:val="auto"/>
          <w:kern w:val="0"/>
          <w:szCs w:val="21"/>
          <w:lang w:val="en-US" w:eastAsia="zh-CN"/>
        </w:rPr>
        <w:t xml:space="preserve">二   </w:t>
      </w:r>
      <w:r>
        <w:rPr>
          <w:rFonts w:hint="eastAsia" w:ascii="宋体" w:hAnsi="宋体" w:cs="宋体"/>
          <w:b/>
          <w:bCs/>
          <w:color w:val="auto"/>
          <w:kern w:val="0"/>
          <w:szCs w:val="21"/>
          <w:lang w:eastAsia="zh-CN"/>
        </w:rPr>
        <w:t>标项名称:</w:t>
      </w:r>
      <w:r>
        <w:rPr>
          <w:rFonts w:hint="eastAsia" w:ascii="宋体" w:hAnsi="宋体" w:cs="宋体"/>
          <w:b/>
          <w:bCs/>
          <w:color w:val="auto"/>
          <w:kern w:val="0"/>
          <w:szCs w:val="21"/>
          <w:lang w:val="en-US" w:eastAsia="zh-CN"/>
        </w:rPr>
        <w:t>港南区2026年生产障碍耕地治理项目-2分标</w:t>
      </w:r>
    </w:p>
    <w:p w14:paraId="610F5103">
      <w:pPr>
        <w:widowControl/>
        <w:spacing w:before="75" w:after="75" w:line="360" w:lineRule="auto"/>
        <w:ind w:firstLine="48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数量:不限</w:t>
      </w:r>
    </w:p>
    <w:p w14:paraId="3EFDFCD7">
      <w:pPr>
        <w:widowControl/>
        <w:spacing w:before="75" w:after="75" w:line="360" w:lineRule="auto"/>
        <w:ind w:firstLine="480"/>
        <w:jc w:val="left"/>
        <w:rPr>
          <w:rFonts w:hint="default" w:ascii="宋体" w:hAnsi="宋体" w:cs="宋体"/>
          <w:color w:val="auto"/>
          <w:kern w:val="0"/>
          <w:szCs w:val="21"/>
          <w:lang w:val="en-US" w:eastAsia="zh-CN"/>
        </w:rPr>
      </w:pPr>
      <w:r>
        <w:rPr>
          <w:rFonts w:hint="eastAsia" w:ascii="宋体" w:hAnsi="宋体" w:cs="宋体"/>
          <w:color w:val="auto"/>
          <w:kern w:val="0"/>
          <w:szCs w:val="21"/>
          <w:lang w:eastAsia="zh-CN"/>
        </w:rPr>
        <w:t>预算金额（元）:</w:t>
      </w:r>
      <w:r>
        <w:rPr>
          <w:rFonts w:hint="eastAsia" w:ascii="宋体" w:hAnsi="宋体" w:cs="宋体"/>
          <w:color w:val="auto"/>
          <w:kern w:val="0"/>
          <w:szCs w:val="21"/>
          <w:lang w:val="en-US" w:eastAsia="zh-CN"/>
        </w:rPr>
        <w:t>1366250.00</w:t>
      </w:r>
    </w:p>
    <w:p w14:paraId="50578C48">
      <w:pPr>
        <w:widowControl/>
        <w:spacing w:before="75" w:after="75" w:line="360" w:lineRule="auto"/>
        <w:ind w:firstLine="480"/>
        <w:jc w:val="left"/>
        <w:rPr>
          <w:rFonts w:hint="eastAsia" w:ascii="宋体" w:hAnsi="宋体" w:cs="宋体"/>
          <w:b w:val="0"/>
          <w:bCs w:val="0"/>
          <w:color w:val="auto"/>
          <w:kern w:val="0"/>
          <w:szCs w:val="21"/>
          <w:highlight w:val="none"/>
          <w:lang w:eastAsia="zh-CN"/>
        </w:rPr>
      </w:pPr>
      <w:r>
        <w:rPr>
          <w:rFonts w:hint="eastAsia" w:ascii="宋体" w:hAnsi="宋体" w:cs="宋体"/>
          <w:b w:val="0"/>
          <w:bCs w:val="0"/>
          <w:color w:val="auto"/>
          <w:kern w:val="0"/>
          <w:szCs w:val="21"/>
          <w:lang w:eastAsia="zh-CN"/>
        </w:rPr>
        <w:t>简要规格描述或项目基本概况介绍、用途</w:t>
      </w:r>
      <w:r>
        <w:rPr>
          <w:rFonts w:hint="eastAsia" w:ascii="宋体" w:hAnsi="宋体" w:eastAsia="宋体" w:cs="宋体"/>
          <w:b w:val="0"/>
          <w:bCs w:val="0"/>
          <w:color w:val="auto"/>
          <w:kern w:val="0"/>
          <w:szCs w:val="21"/>
          <w:lang w:eastAsia="zh-CN"/>
        </w:rPr>
        <w:t>：</w:t>
      </w:r>
      <w:r>
        <w:rPr>
          <w:rFonts w:hint="eastAsia" w:ascii="宋体" w:hAnsi="宋体" w:eastAsia="宋体" w:cs="宋体"/>
          <w:b w:val="0"/>
          <w:bCs w:val="0"/>
          <w:color w:val="auto"/>
          <w:kern w:val="0"/>
          <w:szCs w:val="21"/>
          <w:lang w:val="en-US" w:eastAsia="zh-CN"/>
        </w:rPr>
        <w:t>港南区2026年生产障碍耕地治理项目</w:t>
      </w:r>
      <w:r>
        <w:rPr>
          <w:rFonts w:hint="eastAsia" w:ascii="宋体" w:hAnsi="宋体" w:cs="宋体"/>
          <w:b w:val="0"/>
          <w:bCs w:val="0"/>
          <w:color w:val="auto"/>
          <w:kern w:val="0"/>
          <w:szCs w:val="21"/>
          <w:lang w:val="en-US" w:eastAsia="zh-CN"/>
        </w:rPr>
        <w:t>一项</w:t>
      </w:r>
      <w:r>
        <w:rPr>
          <w:rFonts w:hint="eastAsia" w:ascii="宋体" w:hAnsi="宋体" w:cs="宋体"/>
          <w:b w:val="0"/>
          <w:bCs w:val="0"/>
          <w:color w:val="auto"/>
          <w:kern w:val="0"/>
          <w:szCs w:val="21"/>
          <w:lang w:eastAsia="zh-CN"/>
        </w:rPr>
        <w:t>，具体详见竞争性磋商文</w:t>
      </w:r>
      <w:r>
        <w:rPr>
          <w:rFonts w:hint="eastAsia" w:ascii="宋体" w:hAnsi="宋体" w:cs="宋体"/>
          <w:b w:val="0"/>
          <w:bCs w:val="0"/>
          <w:color w:val="auto"/>
          <w:kern w:val="0"/>
          <w:szCs w:val="21"/>
          <w:highlight w:val="none"/>
          <w:lang w:eastAsia="zh-CN"/>
        </w:rPr>
        <w:t>件。</w:t>
      </w:r>
    </w:p>
    <w:p w14:paraId="60B4FAD5">
      <w:pPr>
        <w:widowControl/>
        <w:spacing w:before="75" w:after="75" w:line="360" w:lineRule="auto"/>
        <w:ind w:firstLine="48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eastAsia="zh-CN"/>
        </w:rPr>
        <w:t>最高限价（如有）：</w:t>
      </w:r>
      <w:r>
        <w:rPr>
          <w:rFonts w:hint="eastAsia" w:ascii="宋体" w:hAnsi="宋体" w:cs="宋体"/>
          <w:color w:val="auto"/>
          <w:kern w:val="0"/>
          <w:szCs w:val="21"/>
          <w:highlight w:val="none"/>
          <w:lang w:val="en-US" w:eastAsia="zh-CN"/>
        </w:rPr>
        <w:t>1366250.00</w:t>
      </w:r>
    </w:p>
    <w:p w14:paraId="422146EA">
      <w:pPr>
        <w:widowControl/>
        <w:spacing w:before="75" w:after="75" w:line="360" w:lineRule="auto"/>
        <w:ind w:firstLine="480"/>
        <w:jc w:val="left"/>
        <w:rPr>
          <w:rFonts w:hint="eastAsia" w:ascii="宋体" w:hAnsi="宋体" w:cs="宋体"/>
          <w:color w:val="auto"/>
          <w:kern w:val="0"/>
          <w:szCs w:val="21"/>
          <w:lang w:val="en-US" w:eastAsia="zh-CN"/>
        </w:rPr>
      </w:pPr>
      <w:r>
        <w:rPr>
          <w:rFonts w:hint="eastAsia" w:ascii="宋体" w:hAnsi="宋体" w:cs="宋体"/>
          <w:color w:val="auto"/>
          <w:kern w:val="0"/>
          <w:szCs w:val="21"/>
          <w:highlight w:val="none"/>
          <w:lang w:eastAsia="zh-CN"/>
        </w:rPr>
        <w:t>合同履约期限：</w:t>
      </w:r>
      <w:r>
        <w:rPr>
          <w:rFonts w:hint="eastAsia" w:ascii="宋体" w:hAnsi="宋体" w:cs="宋体"/>
          <w:color w:val="auto"/>
          <w:kern w:val="0"/>
          <w:szCs w:val="21"/>
          <w:highlight w:val="none"/>
          <w:lang w:val="en-US" w:eastAsia="zh-CN"/>
        </w:rPr>
        <w:t>2026</w:t>
      </w:r>
      <w:r>
        <w:rPr>
          <w:rFonts w:hint="eastAsia" w:ascii="宋体" w:hAnsi="宋体" w:cs="宋体"/>
          <w:color w:val="auto"/>
          <w:kern w:val="0"/>
          <w:szCs w:val="21"/>
          <w:highlight w:val="none"/>
          <w:lang w:eastAsia="zh-CN"/>
        </w:rPr>
        <w:t>年</w:t>
      </w:r>
      <w:r>
        <w:rPr>
          <w:rFonts w:hint="eastAsia" w:ascii="宋体" w:hAnsi="宋体" w:cs="宋体"/>
          <w:color w:val="auto"/>
          <w:kern w:val="0"/>
          <w:szCs w:val="21"/>
          <w:highlight w:val="none"/>
          <w:lang w:val="en-US" w:eastAsia="zh-CN"/>
        </w:rPr>
        <w:t>12</w:t>
      </w:r>
      <w:r>
        <w:rPr>
          <w:rFonts w:hint="eastAsia" w:ascii="宋体" w:hAnsi="宋体" w:cs="宋体"/>
          <w:color w:val="auto"/>
          <w:kern w:val="0"/>
          <w:szCs w:val="21"/>
          <w:highlight w:val="none"/>
          <w:lang w:eastAsia="zh-CN"/>
        </w:rPr>
        <w:t>月</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lang w:eastAsia="zh-CN"/>
        </w:rPr>
        <w:t>日前，完成</w:t>
      </w:r>
      <w:r>
        <w:rPr>
          <w:rFonts w:hint="eastAsia" w:ascii="宋体" w:hAnsi="宋体" w:cs="宋体"/>
          <w:color w:val="auto"/>
          <w:kern w:val="0"/>
          <w:szCs w:val="21"/>
          <w:highlight w:val="none"/>
          <w:lang w:val="en-US" w:eastAsia="zh-CN"/>
        </w:rPr>
        <w:t>港南区2026年生产障碍耕地治理项目。</w:t>
      </w:r>
      <w:r>
        <w:rPr>
          <w:rFonts w:hint="eastAsia" w:ascii="宋体" w:hAnsi="宋体" w:cs="宋体"/>
          <w:color w:val="auto"/>
          <w:kern w:val="0"/>
          <w:szCs w:val="21"/>
          <w:lang w:val="en-US" w:eastAsia="zh-CN"/>
        </w:rPr>
        <w:t>（如因特殊天气、错过农时及实施面积不足等原因无法实施，则项目顺延至2027年实施）。</w:t>
      </w:r>
    </w:p>
    <w:p w14:paraId="1D68401D">
      <w:pPr>
        <w:widowControl/>
        <w:spacing w:before="75" w:after="75" w:line="360" w:lineRule="auto"/>
        <w:ind w:firstLine="480"/>
        <w:jc w:val="left"/>
        <w:rPr>
          <w:rFonts w:hint="eastAsia" w:ascii="宋体" w:hAnsi="宋体" w:cs="宋体"/>
          <w:color w:val="auto"/>
          <w:kern w:val="0"/>
          <w:szCs w:val="21"/>
          <w:lang w:val="en-US" w:eastAsia="zh-CN"/>
        </w:rPr>
      </w:pPr>
      <w:r>
        <w:rPr>
          <w:rFonts w:hint="eastAsia" w:ascii="宋体" w:hAnsi="宋体" w:eastAsia="宋体" w:cs="宋体"/>
          <w:color w:val="auto"/>
          <w:kern w:val="0"/>
          <w:szCs w:val="21"/>
          <w:highlight w:val="none"/>
          <w:lang w:eastAsia="zh-CN"/>
        </w:rPr>
        <w:t>本标项（否）接受联合体竞标</w:t>
      </w:r>
    </w:p>
    <w:p w14:paraId="56656E89">
      <w:pPr>
        <w:widowControl/>
        <w:spacing w:before="75" w:after="75" w:line="360" w:lineRule="auto"/>
        <w:ind w:firstLine="480"/>
        <w:jc w:val="left"/>
        <w:rPr>
          <w:rFonts w:hint="eastAsia" w:ascii="宋体" w:hAnsi="宋体" w:cs="宋体"/>
          <w:b/>
          <w:bCs/>
          <w:color w:val="auto"/>
          <w:kern w:val="0"/>
          <w:szCs w:val="21"/>
          <w:highlight w:val="none"/>
          <w:lang w:eastAsia="zh-CN"/>
        </w:rPr>
      </w:pPr>
      <w:r>
        <w:rPr>
          <w:rFonts w:hint="eastAsia" w:ascii="宋体" w:hAnsi="宋体" w:cs="宋体"/>
          <w:b/>
          <w:bCs/>
          <w:color w:val="auto"/>
          <w:kern w:val="0"/>
          <w:szCs w:val="21"/>
          <w:highlight w:val="none"/>
          <w:lang w:eastAsia="zh-CN"/>
        </w:rPr>
        <w:t>备注：标项</w:t>
      </w:r>
      <w:r>
        <w:rPr>
          <w:rFonts w:hint="eastAsia" w:ascii="宋体" w:hAnsi="宋体" w:cs="宋体"/>
          <w:b/>
          <w:bCs/>
          <w:color w:val="auto"/>
          <w:kern w:val="0"/>
          <w:szCs w:val="21"/>
          <w:highlight w:val="none"/>
          <w:lang w:val="en-US" w:eastAsia="zh-CN"/>
        </w:rPr>
        <w:t>二</w:t>
      </w:r>
      <w:r>
        <w:rPr>
          <w:rFonts w:hint="eastAsia" w:ascii="宋体" w:hAnsi="宋体" w:cs="宋体"/>
          <w:b/>
          <w:bCs/>
          <w:color w:val="auto"/>
          <w:kern w:val="0"/>
          <w:szCs w:val="21"/>
          <w:highlight w:val="none"/>
          <w:lang w:eastAsia="zh-CN"/>
        </w:rPr>
        <w:t>面向中小企业采购</w:t>
      </w:r>
    </w:p>
    <w:p w14:paraId="3581CC5C">
      <w:pPr>
        <w:pStyle w:val="32"/>
        <w:ind w:firstLine="482" w:firstLineChars="200"/>
        <w:rPr>
          <w:rFonts w:hint="default"/>
          <w:lang w:val="en-US" w:eastAsia="zh-CN"/>
        </w:rPr>
      </w:pPr>
      <w:r>
        <w:rPr>
          <w:rFonts w:hint="eastAsia"/>
          <w:b/>
          <w:bCs/>
          <w:u w:val="single"/>
          <w:lang w:val="en-US" w:eastAsia="zh-CN"/>
        </w:rPr>
        <w:t>备注：本次采购项目划分为2个分标，投标人可对 2个分标中的1个或者多个分标竞标，限中1个分标（含1个)，如：同时获得1分标、2分标的第一中标候选人，只能获得1分标的第一个成交候选人资格，2分标的不推荐为成交候选人。</w:t>
      </w:r>
    </w:p>
    <w:p w14:paraId="00328A0F">
      <w:pPr>
        <w:widowControl/>
        <w:numPr>
          <w:ilvl w:val="0"/>
          <w:numId w:val="2"/>
        </w:numPr>
        <w:spacing w:before="75" w:after="75" w:line="360" w:lineRule="auto"/>
        <w:ind w:firstLine="480"/>
        <w:jc w:val="left"/>
        <w:rPr>
          <w:rFonts w:cs="宋体" w:asciiTheme="minorEastAsia" w:hAnsiTheme="minorEastAsia" w:eastAsiaTheme="minorEastAsia"/>
          <w:b/>
          <w:bCs/>
          <w:color w:val="auto"/>
          <w:kern w:val="0"/>
          <w:szCs w:val="21"/>
          <w:highlight w:val="none"/>
        </w:rPr>
      </w:pPr>
      <w:r>
        <w:rPr>
          <w:rFonts w:cs="宋体" w:asciiTheme="minorEastAsia" w:hAnsiTheme="minorEastAsia" w:eastAsiaTheme="minorEastAsia"/>
          <w:b/>
          <w:bCs/>
          <w:color w:val="auto"/>
          <w:kern w:val="0"/>
          <w:szCs w:val="21"/>
          <w:highlight w:val="none"/>
        </w:rPr>
        <w:t>申请人的资格要求：</w:t>
      </w:r>
    </w:p>
    <w:p w14:paraId="40C124F2">
      <w:pPr>
        <w:widowControl/>
        <w:numPr>
          <w:ilvl w:val="0"/>
          <w:numId w:val="0"/>
        </w:numPr>
        <w:spacing w:before="75" w:after="75" w:line="360" w:lineRule="auto"/>
        <w:ind w:firstLine="420" w:firstLineChars="200"/>
        <w:jc w:val="left"/>
        <w:rPr>
          <w:rFonts w:cs="宋体" w:asciiTheme="minorEastAsia" w:hAnsiTheme="minorEastAsia" w:eastAsiaTheme="minorEastAsia"/>
          <w:bCs/>
          <w:color w:val="auto"/>
          <w:kern w:val="0"/>
          <w:szCs w:val="21"/>
          <w:highlight w:val="none"/>
        </w:rPr>
      </w:pPr>
      <w:r>
        <w:rPr>
          <w:rFonts w:hint="eastAsia" w:cs="宋体" w:asciiTheme="minorEastAsia" w:hAnsiTheme="minorEastAsia" w:eastAsiaTheme="minorEastAsia"/>
          <w:bCs/>
          <w:color w:val="auto"/>
          <w:kern w:val="0"/>
          <w:szCs w:val="21"/>
          <w:highlight w:val="none"/>
          <w:lang w:val="en-US" w:eastAsia="zh-CN"/>
        </w:rPr>
        <w:t>1.</w:t>
      </w:r>
      <w:r>
        <w:rPr>
          <w:rFonts w:cs="宋体" w:asciiTheme="minorEastAsia" w:hAnsiTheme="minorEastAsia" w:eastAsiaTheme="minorEastAsia"/>
          <w:bCs/>
          <w:color w:val="auto"/>
          <w:kern w:val="0"/>
          <w:szCs w:val="21"/>
          <w:highlight w:val="none"/>
        </w:rPr>
        <w:t>满足《中华人民共和国政府采购法》第二十二条规定；</w:t>
      </w:r>
    </w:p>
    <w:p w14:paraId="47A14134">
      <w:pPr>
        <w:widowControl/>
        <w:numPr>
          <w:ilvl w:val="0"/>
          <w:numId w:val="0"/>
        </w:numPr>
        <w:spacing w:before="75" w:after="75" w:line="360" w:lineRule="auto"/>
        <w:ind w:firstLine="420" w:firstLineChars="200"/>
        <w:jc w:val="left"/>
        <w:rPr>
          <w:rFonts w:hint="eastAsia" w:cs="宋体" w:asciiTheme="minorEastAsia" w:hAnsiTheme="minorEastAsia" w:eastAsiaTheme="minorEastAsia"/>
          <w:bCs/>
          <w:color w:val="auto"/>
          <w:kern w:val="0"/>
          <w:szCs w:val="21"/>
          <w:highlight w:val="none"/>
          <w:lang w:val="en-US" w:eastAsia="zh-CN"/>
        </w:rPr>
      </w:pPr>
      <w:r>
        <w:rPr>
          <w:rFonts w:cs="宋体" w:asciiTheme="minorEastAsia" w:hAnsiTheme="minorEastAsia" w:eastAsiaTheme="minorEastAsia"/>
          <w:bCs/>
          <w:color w:val="auto"/>
          <w:kern w:val="0"/>
          <w:szCs w:val="21"/>
          <w:highlight w:val="none"/>
        </w:rPr>
        <w:t>2.落实政府采购政策需满足的资格要求：</w:t>
      </w:r>
      <w:r>
        <w:rPr>
          <w:rFonts w:hint="eastAsia" w:cs="宋体" w:asciiTheme="minorEastAsia" w:hAnsiTheme="minorEastAsia" w:eastAsiaTheme="minorEastAsia"/>
          <w:b/>
          <w:bCs w:val="0"/>
          <w:color w:val="auto"/>
          <w:kern w:val="0"/>
          <w:szCs w:val="21"/>
          <w:highlight w:val="none"/>
          <w:u w:val="single"/>
          <w:lang w:val="en-US" w:eastAsia="zh-CN"/>
        </w:rPr>
        <w:t>本项目属于专门面向小微企业采购的项目</w:t>
      </w:r>
      <w:r>
        <w:rPr>
          <w:rFonts w:hint="eastAsia" w:cs="宋体" w:asciiTheme="minorEastAsia" w:hAnsiTheme="minorEastAsia" w:eastAsiaTheme="minorEastAsia"/>
          <w:bCs/>
          <w:color w:val="auto"/>
          <w:kern w:val="0"/>
          <w:szCs w:val="21"/>
          <w:highlight w:val="none"/>
          <w:lang w:val="en-US" w:eastAsia="zh-CN"/>
        </w:rPr>
        <w:t>，供应商应为符合《政府采购促进中小企业发展管理办法》（财库﹝2020﹞46号）、《关于政府采购支持监狱企业发展有关问题的通知》(财库〔2014〕68号)、《财政部民政部中国残疾人联合会关于促进残疾人就业政府采购政策的通知》（财库〔2017〕141号）等规定的条件的中小微企业、监狱企业、残疾人福利性单位。</w:t>
      </w:r>
    </w:p>
    <w:p w14:paraId="7CDF6BF1">
      <w:pPr>
        <w:widowControl/>
        <w:numPr>
          <w:ilvl w:val="0"/>
          <w:numId w:val="0"/>
        </w:numPr>
        <w:spacing w:before="75" w:after="75" w:line="360" w:lineRule="auto"/>
        <w:ind w:firstLine="422" w:firstLineChars="200"/>
        <w:jc w:val="left"/>
        <w:rPr>
          <w:rFonts w:cs="宋体" w:asciiTheme="minorEastAsia" w:hAnsiTheme="minorEastAsia" w:eastAsiaTheme="minorEastAsia"/>
          <w:b/>
          <w:bCs w:val="0"/>
          <w:color w:val="auto"/>
          <w:kern w:val="0"/>
          <w:szCs w:val="21"/>
          <w:highlight w:val="none"/>
        </w:rPr>
      </w:pPr>
      <w:r>
        <w:rPr>
          <w:rFonts w:cs="宋体" w:asciiTheme="minorEastAsia" w:hAnsiTheme="minorEastAsia" w:eastAsiaTheme="minorEastAsia"/>
          <w:b/>
          <w:bCs w:val="0"/>
          <w:color w:val="auto"/>
          <w:kern w:val="0"/>
          <w:szCs w:val="21"/>
          <w:highlight w:val="none"/>
        </w:rPr>
        <w:t>3.本项目的特定资格要求：</w:t>
      </w:r>
    </w:p>
    <w:p w14:paraId="6CCCBB79">
      <w:pPr>
        <w:widowControl/>
        <w:numPr>
          <w:ilvl w:val="0"/>
          <w:numId w:val="0"/>
        </w:numPr>
        <w:spacing w:before="75" w:after="75" w:line="360" w:lineRule="auto"/>
        <w:ind w:firstLine="420" w:firstLineChars="200"/>
        <w:jc w:val="left"/>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3.1国内注册（指按国家有关规定要求注册的），满足本次招标采购需求，能够提供技术及服务，并在人员、设备、资金和良好信誉等方面具有相应能力。</w:t>
      </w:r>
    </w:p>
    <w:p w14:paraId="40BA538B">
      <w:pPr>
        <w:widowControl/>
        <w:numPr>
          <w:ilvl w:val="0"/>
          <w:numId w:val="0"/>
        </w:numPr>
        <w:spacing w:before="75" w:after="75" w:line="360" w:lineRule="auto"/>
        <w:ind w:firstLine="420" w:firstLineChars="200"/>
        <w:jc w:val="left"/>
        <w:rPr>
          <w:rFonts w:hint="eastAsia"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lang w:val="en-US" w:eastAsia="zh-CN"/>
        </w:rPr>
        <w:t>3.2</w:t>
      </w:r>
      <w:r>
        <w:rPr>
          <w:rFonts w:hint="eastAsia" w:cs="宋体" w:asciiTheme="minorEastAsia" w:hAnsiTheme="minorEastAsia" w:eastAsiaTheme="minorEastAsia"/>
          <w:b w:val="0"/>
          <w:bCs w:val="0"/>
          <w:color w:val="auto"/>
          <w:kern w:val="0"/>
          <w:szCs w:val="21"/>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7562A8E6">
      <w:pPr>
        <w:widowControl/>
        <w:numPr>
          <w:ilvl w:val="0"/>
          <w:numId w:val="0"/>
        </w:numPr>
        <w:spacing w:before="75" w:after="75" w:line="360" w:lineRule="auto"/>
        <w:ind w:firstLine="420" w:firstLineChars="200"/>
        <w:jc w:val="left"/>
        <w:rPr>
          <w:rFonts w:hint="eastAsia"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lang w:val="en-US" w:eastAsia="zh-CN"/>
        </w:rPr>
        <w:t>3.3</w:t>
      </w:r>
      <w:r>
        <w:rPr>
          <w:rFonts w:hint="eastAsia" w:cs="宋体" w:asciiTheme="minorEastAsia" w:hAnsiTheme="minorEastAsia" w:eastAsiaTheme="minorEastAsia"/>
          <w:b w:val="0"/>
          <w:bCs w:val="0"/>
          <w:color w:val="auto"/>
          <w:kern w:val="0"/>
          <w:szCs w:val="21"/>
          <w:highlight w:val="none"/>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1FBCEA64">
      <w:pPr>
        <w:widowControl/>
        <w:numPr>
          <w:ilvl w:val="0"/>
          <w:numId w:val="0"/>
        </w:numPr>
        <w:spacing w:before="75" w:after="75" w:line="360" w:lineRule="auto"/>
        <w:ind w:firstLine="420" w:firstLineChars="200"/>
        <w:jc w:val="left"/>
        <w:rPr>
          <w:rFonts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val="0"/>
          <w:bCs w:val="0"/>
          <w:color w:val="auto"/>
          <w:kern w:val="0"/>
          <w:szCs w:val="21"/>
          <w:highlight w:val="none"/>
          <w:lang w:val="en-US" w:eastAsia="zh-CN"/>
        </w:rPr>
        <w:t>3.4</w:t>
      </w:r>
      <w:r>
        <w:rPr>
          <w:rFonts w:hint="eastAsia" w:cs="宋体" w:asciiTheme="minorEastAsia" w:hAnsiTheme="minorEastAsia" w:eastAsiaTheme="minorEastAsia"/>
          <w:b w:val="0"/>
          <w:bCs w:val="0"/>
          <w:color w:val="auto"/>
          <w:kern w:val="0"/>
          <w:szCs w:val="21"/>
          <w:highlight w:val="none"/>
        </w:rPr>
        <w:t>本项目不接受未通过政府采购云平台实名制获取本项目《竞争性磋商文件》的供应商参加</w:t>
      </w:r>
      <w:r>
        <w:rPr>
          <w:rFonts w:hint="eastAsia" w:cs="宋体" w:asciiTheme="minorEastAsia" w:hAnsiTheme="minorEastAsia" w:eastAsiaTheme="minorEastAsia"/>
          <w:b w:val="0"/>
          <w:bCs w:val="0"/>
          <w:color w:val="auto"/>
          <w:kern w:val="0"/>
          <w:szCs w:val="21"/>
          <w:highlight w:val="none"/>
          <w:lang w:val="en-US" w:eastAsia="zh-CN"/>
        </w:rPr>
        <w:t>投</w:t>
      </w:r>
      <w:r>
        <w:rPr>
          <w:rFonts w:hint="eastAsia" w:cs="宋体" w:asciiTheme="minorEastAsia" w:hAnsiTheme="minorEastAsia" w:eastAsiaTheme="minorEastAsia"/>
          <w:b w:val="0"/>
          <w:bCs w:val="0"/>
          <w:color w:val="auto"/>
          <w:kern w:val="0"/>
          <w:szCs w:val="21"/>
          <w:highlight w:val="none"/>
        </w:rPr>
        <w:t>标。</w:t>
      </w:r>
      <w:r>
        <w:rPr>
          <w:rFonts w:cs="宋体" w:asciiTheme="minorEastAsia" w:hAnsiTheme="minorEastAsia" w:eastAsiaTheme="minorEastAsia"/>
          <w:b/>
          <w:bCs/>
          <w:color w:val="auto"/>
          <w:kern w:val="0"/>
          <w:szCs w:val="21"/>
          <w:highlight w:val="none"/>
        </w:rPr>
        <w:t>三、获取采购文件</w:t>
      </w:r>
    </w:p>
    <w:p w14:paraId="2B4AA64C">
      <w:pPr>
        <w:widowControl/>
        <w:numPr>
          <w:ilvl w:val="0"/>
          <w:numId w:val="0"/>
        </w:numPr>
        <w:spacing w:before="75" w:after="75" w:line="360" w:lineRule="auto"/>
        <w:ind w:firstLine="420" w:firstLineChars="200"/>
        <w:jc w:val="left"/>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时间：自竞争性磋商公告发出之时起至截标时间前</w:t>
      </w:r>
      <w:r>
        <w:rPr>
          <w:rFonts w:hint="eastAsia" w:cs="宋体" w:asciiTheme="minorEastAsia" w:hAnsiTheme="minorEastAsia" w:eastAsiaTheme="minorEastAsia"/>
          <w:bCs/>
          <w:color w:val="auto"/>
          <w:kern w:val="0"/>
          <w:szCs w:val="21"/>
          <w:highlight w:val="none"/>
        </w:rPr>
        <w:t>，</w:t>
      </w:r>
      <w:r>
        <w:rPr>
          <w:rFonts w:cs="宋体" w:asciiTheme="minorEastAsia" w:hAnsiTheme="minorEastAsia" w:eastAsiaTheme="minorEastAsia"/>
          <w:bCs/>
          <w:color w:val="auto"/>
          <w:kern w:val="0"/>
          <w:szCs w:val="21"/>
          <w:highlight w:val="none"/>
        </w:rPr>
        <w:t>登陆</w:t>
      </w:r>
      <w:r>
        <w:rPr>
          <w:rFonts w:hint="eastAsia" w:cs="宋体" w:asciiTheme="minorEastAsia" w:hAnsiTheme="minorEastAsia" w:eastAsiaTheme="minorEastAsia"/>
          <w:bCs/>
          <w:color w:val="auto"/>
          <w:kern w:val="0"/>
          <w:szCs w:val="21"/>
          <w:highlight w:val="none"/>
        </w:rPr>
        <w:t>广西政府采购云平台</w:t>
      </w:r>
      <w:r>
        <w:rPr>
          <w:rFonts w:cs="宋体" w:asciiTheme="minorEastAsia" w:hAnsiTheme="minorEastAsia" w:eastAsiaTheme="minorEastAsia"/>
          <w:bCs/>
          <w:color w:val="auto"/>
          <w:kern w:val="0"/>
          <w:szCs w:val="21"/>
          <w:highlight w:val="none"/>
        </w:rPr>
        <w:t>自行下载竞争性磋商采购文件。</w:t>
      </w:r>
    </w:p>
    <w:p w14:paraId="25D80E39">
      <w:pPr>
        <w:widowControl/>
        <w:numPr>
          <w:ilvl w:val="0"/>
          <w:numId w:val="0"/>
        </w:numPr>
        <w:spacing w:before="75" w:after="75" w:line="360" w:lineRule="auto"/>
        <w:ind w:firstLine="420" w:firstLineChars="200"/>
        <w:jc w:val="left"/>
        <w:rPr>
          <w:rFonts w:hint="eastAsia"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rPr>
        <w:t>地点（网址）：广西政府采购云平台（https://www.gcy.zfcg.gxzf.gov.cn/） </w:t>
      </w:r>
    </w:p>
    <w:p w14:paraId="00490753">
      <w:pPr>
        <w:spacing w:line="360" w:lineRule="auto"/>
        <w:ind w:firstLine="210" w:firstLineChars="100"/>
        <w:textAlignment w:val="auto"/>
        <w:rPr>
          <w:rFonts w:hint="eastAsia" w:cs="宋体" w:asciiTheme="minorEastAsia" w:hAnsiTheme="minorEastAsia" w:eastAsiaTheme="minorEastAsia"/>
          <w:b/>
          <w:bCs/>
          <w:color w:val="auto"/>
          <w:kern w:val="0"/>
          <w:szCs w:val="21"/>
          <w:highlight w:val="none"/>
          <w:lang w:eastAsia="zh-CN"/>
        </w:rPr>
      </w:pPr>
      <w:r>
        <w:rPr>
          <w:rFonts w:hint="eastAsia" w:cs="宋体" w:asciiTheme="minorEastAsia" w:hAnsiTheme="minorEastAsia" w:eastAsiaTheme="minorEastAsia"/>
          <w:b w:val="0"/>
          <w:bCs w:val="0"/>
          <w:color w:val="auto"/>
          <w:kern w:val="0"/>
          <w:szCs w:val="21"/>
          <w:highlight w:val="none"/>
        </w:rPr>
        <w:t>方式：供应商登录广西政府采购云平台https://www.gcy.zfcg.gxzf.gov.cn/在线申请获取采购文件（进入“项目采购”应用，在获取采购文件菜单中选择项目，申请获取采购文件）。</w:t>
      </w:r>
    </w:p>
    <w:p w14:paraId="37821693">
      <w:pPr>
        <w:numPr>
          <w:ilvl w:val="0"/>
          <w:numId w:val="0"/>
        </w:numPr>
        <w:spacing w:line="240" w:lineRule="auto"/>
        <w:textAlignment w:val="auto"/>
        <w:rPr>
          <w:rFonts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lang w:eastAsia="zh-CN"/>
        </w:rPr>
        <w:t>四、</w:t>
      </w:r>
      <w:r>
        <w:rPr>
          <w:rFonts w:cs="宋体" w:asciiTheme="minorEastAsia" w:hAnsiTheme="minorEastAsia" w:eastAsiaTheme="minorEastAsia"/>
          <w:b/>
          <w:bCs/>
          <w:color w:val="auto"/>
          <w:kern w:val="0"/>
          <w:szCs w:val="21"/>
          <w:highlight w:val="none"/>
        </w:rPr>
        <w:t>响应文件提交</w:t>
      </w:r>
    </w:p>
    <w:p w14:paraId="7F1A6B3E">
      <w:pPr>
        <w:spacing w:line="450" w:lineRule="atLeast"/>
        <w:ind w:firstLine="211" w:firstLineChars="100"/>
        <w:textAlignment w:val="auto"/>
        <w:rPr>
          <w:rFonts w:cs="宋体" w:asciiTheme="minorEastAsia" w:hAnsiTheme="minorEastAsia" w:eastAsiaTheme="minorEastAsia"/>
          <w:b/>
          <w:bCs w:val="0"/>
          <w:color w:val="auto"/>
          <w:kern w:val="0"/>
          <w:szCs w:val="21"/>
          <w:highlight w:val="none"/>
        </w:rPr>
      </w:pPr>
      <w:r>
        <w:rPr>
          <w:rFonts w:cs="宋体" w:asciiTheme="minorEastAsia" w:hAnsiTheme="minorEastAsia" w:eastAsiaTheme="minorEastAsia"/>
          <w:b/>
          <w:bCs w:val="0"/>
          <w:color w:val="auto"/>
          <w:kern w:val="0"/>
          <w:szCs w:val="21"/>
          <w:highlight w:val="none"/>
        </w:rPr>
        <w:t>截止时间：</w:t>
      </w:r>
      <w:r>
        <w:rPr>
          <w:rFonts w:hint="eastAsia" w:cs="宋体" w:asciiTheme="minorEastAsia" w:hAnsiTheme="minorEastAsia" w:eastAsiaTheme="minorEastAsia"/>
          <w:b/>
          <w:bCs w:val="0"/>
          <w:color w:val="auto"/>
          <w:kern w:val="0"/>
          <w:szCs w:val="21"/>
          <w:highlight w:val="none"/>
          <w:lang w:eastAsia="zh-CN"/>
        </w:rPr>
        <w:t>2026</w:t>
      </w:r>
      <w:r>
        <w:rPr>
          <w:rFonts w:cs="宋体" w:asciiTheme="minorEastAsia" w:hAnsiTheme="minorEastAsia" w:eastAsiaTheme="minorEastAsia"/>
          <w:b/>
          <w:bCs w:val="0"/>
          <w:color w:val="auto"/>
          <w:kern w:val="0"/>
          <w:szCs w:val="21"/>
          <w:highlight w:val="none"/>
        </w:rPr>
        <w:t>年</w:t>
      </w:r>
      <w:r>
        <w:rPr>
          <w:rFonts w:hint="eastAsia" w:cs="宋体" w:asciiTheme="minorEastAsia" w:hAnsiTheme="minorEastAsia" w:eastAsiaTheme="minorEastAsia"/>
          <w:b/>
          <w:bCs w:val="0"/>
          <w:color w:val="auto"/>
          <w:kern w:val="0"/>
          <w:szCs w:val="21"/>
          <w:highlight w:val="none"/>
          <w:lang w:val="en-US" w:eastAsia="zh-CN"/>
        </w:rPr>
        <w:t>7月31日09</w:t>
      </w:r>
      <w:r>
        <w:rPr>
          <w:rFonts w:cs="宋体" w:asciiTheme="minorEastAsia" w:hAnsiTheme="minorEastAsia" w:eastAsiaTheme="minorEastAsia"/>
          <w:b/>
          <w:bCs w:val="0"/>
          <w:color w:val="auto"/>
          <w:kern w:val="0"/>
          <w:szCs w:val="21"/>
          <w:highlight w:val="none"/>
        </w:rPr>
        <w:t>时</w:t>
      </w:r>
      <w:r>
        <w:rPr>
          <w:rFonts w:hint="eastAsia" w:cs="宋体" w:asciiTheme="minorEastAsia" w:hAnsiTheme="minorEastAsia" w:eastAsiaTheme="minorEastAsia"/>
          <w:b/>
          <w:bCs w:val="0"/>
          <w:color w:val="auto"/>
          <w:kern w:val="0"/>
          <w:szCs w:val="21"/>
          <w:highlight w:val="none"/>
          <w:lang w:val="en-US" w:eastAsia="zh-CN"/>
        </w:rPr>
        <w:t>00</w:t>
      </w:r>
      <w:r>
        <w:rPr>
          <w:rFonts w:cs="宋体" w:asciiTheme="minorEastAsia" w:hAnsiTheme="minorEastAsia" w:eastAsiaTheme="minorEastAsia"/>
          <w:b/>
          <w:bCs w:val="0"/>
          <w:color w:val="auto"/>
          <w:kern w:val="0"/>
          <w:szCs w:val="21"/>
          <w:highlight w:val="none"/>
        </w:rPr>
        <w:t>分（北京时间）</w:t>
      </w:r>
    </w:p>
    <w:p w14:paraId="5B1AF8E3">
      <w:pPr>
        <w:spacing w:line="450" w:lineRule="atLeast"/>
        <w:ind w:firstLine="210" w:firstLineChars="100"/>
        <w:textAlignment w:val="auto"/>
        <w:rPr>
          <w:rFonts w:hint="eastAsia" w:cs="宋体" w:asciiTheme="minorEastAsia" w:hAnsiTheme="minorEastAsia" w:eastAsiaTheme="minorEastAsia"/>
          <w:b w:val="0"/>
          <w:bCs/>
          <w:color w:val="auto"/>
          <w:kern w:val="0"/>
          <w:szCs w:val="21"/>
          <w:highlight w:val="none"/>
        </w:rPr>
      </w:pPr>
      <w:r>
        <w:rPr>
          <w:rFonts w:cs="宋体" w:asciiTheme="minorEastAsia" w:hAnsiTheme="minorEastAsia" w:eastAsiaTheme="minorEastAsia"/>
          <w:b w:val="0"/>
          <w:bCs/>
          <w:color w:val="auto"/>
          <w:kern w:val="0"/>
          <w:szCs w:val="21"/>
          <w:highlight w:val="none"/>
        </w:rPr>
        <w:t>地点：</w:t>
      </w:r>
      <w:r>
        <w:rPr>
          <w:rFonts w:hint="eastAsia" w:cs="宋体" w:asciiTheme="minorEastAsia" w:hAnsiTheme="minorEastAsia" w:eastAsiaTheme="minorEastAsia"/>
          <w:b w:val="0"/>
          <w:bCs/>
          <w:color w:val="auto"/>
          <w:kern w:val="0"/>
          <w:szCs w:val="21"/>
          <w:highlight w:val="none"/>
          <w:lang w:val="en-US" w:eastAsia="zh-CN"/>
        </w:rPr>
        <w:t>通过</w:t>
      </w:r>
      <w:r>
        <w:rPr>
          <w:rFonts w:hint="eastAsia" w:cs="宋体" w:asciiTheme="minorEastAsia" w:hAnsiTheme="minorEastAsia" w:eastAsiaTheme="minorEastAsia"/>
          <w:b w:val="0"/>
          <w:bCs/>
          <w:color w:val="auto"/>
          <w:kern w:val="0"/>
          <w:szCs w:val="21"/>
          <w:highlight w:val="none"/>
        </w:rPr>
        <w:t>广西政府采购云平台</w:t>
      </w:r>
      <w:r>
        <w:rPr>
          <w:rFonts w:hint="eastAsia" w:cs="宋体" w:asciiTheme="minorEastAsia" w:hAnsiTheme="minorEastAsia" w:eastAsiaTheme="minorEastAsia"/>
          <w:b w:val="0"/>
          <w:bCs/>
          <w:color w:val="auto"/>
          <w:kern w:val="0"/>
          <w:szCs w:val="21"/>
          <w:highlight w:val="none"/>
          <w:lang w:val="en-US" w:eastAsia="zh-CN"/>
        </w:rPr>
        <w:t>实行在线投标响应。</w:t>
      </w:r>
    </w:p>
    <w:p w14:paraId="3CB7ACF2">
      <w:pPr>
        <w:spacing w:line="450" w:lineRule="atLeast"/>
        <w:textAlignment w:val="auto"/>
        <w:rPr>
          <w:rFonts w:cs="宋体" w:asciiTheme="minorEastAsia" w:hAnsiTheme="minorEastAsia" w:eastAsiaTheme="minorEastAsia"/>
          <w:b/>
          <w:bCs w:val="0"/>
          <w:color w:val="auto"/>
          <w:kern w:val="0"/>
          <w:szCs w:val="21"/>
          <w:highlight w:val="none"/>
        </w:rPr>
      </w:pPr>
      <w:r>
        <w:rPr>
          <w:rFonts w:cs="宋体" w:asciiTheme="minorEastAsia" w:hAnsiTheme="minorEastAsia" w:eastAsiaTheme="minorEastAsia"/>
          <w:b/>
          <w:bCs w:val="0"/>
          <w:color w:val="auto"/>
          <w:kern w:val="0"/>
          <w:szCs w:val="21"/>
          <w:highlight w:val="none"/>
        </w:rPr>
        <w:t>五、开启</w:t>
      </w:r>
    </w:p>
    <w:p w14:paraId="7485EAA2">
      <w:pPr>
        <w:spacing w:line="450" w:lineRule="atLeast"/>
        <w:ind w:firstLine="211" w:firstLineChars="100"/>
        <w:textAlignment w:val="auto"/>
        <w:rPr>
          <w:rFonts w:cs="宋体" w:asciiTheme="minorEastAsia" w:hAnsiTheme="minorEastAsia" w:eastAsiaTheme="minorEastAsia"/>
          <w:b/>
          <w:bCs w:val="0"/>
          <w:color w:val="auto"/>
          <w:kern w:val="0"/>
          <w:szCs w:val="21"/>
          <w:highlight w:val="none"/>
        </w:rPr>
      </w:pPr>
      <w:r>
        <w:rPr>
          <w:rFonts w:cs="宋体" w:asciiTheme="minorEastAsia" w:hAnsiTheme="minorEastAsia" w:eastAsiaTheme="minorEastAsia"/>
          <w:b/>
          <w:bCs w:val="0"/>
          <w:color w:val="auto"/>
          <w:kern w:val="0"/>
          <w:szCs w:val="21"/>
          <w:highlight w:val="none"/>
        </w:rPr>
        <w:t>时间：</w:t>
      </w:r>
      <w:r>
        <w:rPr>
          <w:rFonts w:hint="eastAsia" w:cs="宋体" w:asciiTheme="minorEastAsia" w:hAnsiTheme="minorEastAsia" w:eastAsiaTheme="minorEastAsia"/>
          <w:b/>
          <w:bCs w:val="0"/>
          <w:color w:val="auto"/>
          <w:kern w:val="0"/>
          <w:szCs w:val="21"/>
          <w:highlight w:val="none"/>
          <w:lang w:eastAsia="zh-CN"/>
        </w:rPr>
        <w:t>2026</w:t>
      </w:r>
      <w:r>
        <w:rPr>
          <w:rFonts w:cs="宋体" w:asciiTheme="minorEastAsia" w:hAnsiTheme="minorEastAsia" w:eastAsiaTheme="minorEastAsia"/>
          <w:b/>
          <w:bCs w:val="0"/>
          <w:color w:val="auto"/>
          <w:kern w:val="0"/>
          <w:szCs w:val="21"/>
          <w:highlight w:val="none"/>
        </w:rPr>
        <w:t>年</w:t>
      </w:r>
      <w:r>
        <w:rPr>
          <w:rFonts w:hint="eastAsia" w:cs="宋体" w:asciiTheme="minorEastAsia" w:hAnsiTheme="minorEastAsia" w:eastAsiaTheme="minorEastAsia"/>
          <w:b/>
          <w:bCs w:val="0"/>
          <w:color w:val="auto"/>
          <w:kern w:val="0"/>
          <w:szCs w:val="21"/>
          <w:highlight w:val="none"/>
          <w:lang w:val="en-US" w:eastAsia="zh-CN"/>
        </w:rPr>
        <w:t>7</w:t>
      </w:r>
      <w:r>
        <w:rPr>
          <w:rFonts w:cs="宋体" w:asciiTheme="minorEastAsia" w:hAnsiTheme="minorEastAsia" w:eastAsiaTheme="minorEastAsia"/>
          <w:b/>
          <w:bCs w:val="0"/>
          <w:color w:val="auto"/>
          <w:kern w:val="0"/>
          <w:szCs w:val="21"/>
          <w:highlight w:val="none"/>
        </w:rPr>
        <w:t>月</w:t>
      </w:r>
      <w:r>
        <w:rPr>
          <w:rFonts w:hint="eastAsia" w:cs="宋体" w:asciiTheme="minorEastAsia" w:hAnsiTheme="minorEastAsia" w:eastAsiaTheme="minorEastAsia"/>
          <w:b/>
          <w:bCs w:val="0"/>
          <w:color w:val="auto"/>
          <w:kern w:val="0"/>
          <w:szCs w:val="21"/>
          <w:highlight w:val="none"/>
          <w:lang w:val="en-US" w:eastAsia="zh-CN"/>
        </w:rPr>
        <w:t>31</w:t>
      </w:r>
      <w:r>
        <w:rPr>
          <w:rFonts w:cs="宋体" w:asciiTheme="minorEastAsia" w:hAnsiTheme="minorEastAsia" w:eastAsiaTheme="minorEastAsia"/>
          <w:b/>
          <w:bCs w:val="0"/>
          <w:color w:val="auto"/>
          <w:kern w:val="0"/>
          <w:szCs w:val="21"/>
          <w:highlight w:val="none"/>
        </w:rPr>
        <w:t>日</w:t>
      </w:r>
      <w:r>
        <w:rPr>
          <w:rFonts w:hint="eastAsia" w:cs="宋体" w:asciiTheme="minorEastAsia" w:hAnsiTheme="minorEastAsia" w:eastAsiaTheme="minorEastAsia"/>
          <w:b/>
          <w:bCs w:val="0"/>
          <w:color w:val="auto"/>
          <w:kern w:val="0"/>
          <w:szCs w:val="21"/>
          <w:highlight w:val="none"/>
          <w:lang w:val="en-US" w:eastAsia="zh-CN"/>
        </w:rPr>
        <w:t>09</w:t>
      </w:r>
      <w:r>
        <w:rPr>
          <w:rFonts w:cs="宋体" w:asciiTheme="minorEastAsia" w:hAnsiTheme="minorEastAsia" w:eastAsiaTheme="minorEastAsia"/>
          <w:b/>
          <w:bCs w:val="0"/>
          <w:color w:val="auto"/>
          <w:kern w:val="0"/>
          <w:szCs w:val="21"/>
          <w:highlight w:val="none"/>
        </w:rPr>
        <w:t>时</w:t>
      </w:r>
      <w:r>
        <w:rPr>
          <w:rFonts w:hint="eastAsia" w:cs="宋体" w:asciiTheme="minorEastAsia" w:hAnsiTheme="minorEastAsia" w:eastAsiaTheme="minorEastAsia"/>
          <w:b/>
          <w:bCs w:val="0"/>
          <w:color w:val="auto"/>
          <w:kern w:val="0"/>
          <w:szCs w:val="21"/>
          <w:highlight w:val="none"/>
          <w:lang w:val="en-US" w:eastAsia="zh-CN"/>
        </w:rPr>
        <w:t>00</w:t>
      </w:r>
      <w:r>
        <w:rPr>
          <w:rFonts w:cs="宋体" w:asciiTheme="minorEastAsia" w:hAnsiTheme="minorEastAsia" w:eastAsiaTheme="minorEastAsia"/>
          <w:b/>
          <w:bCs w:val="0"/>
          <w:color w:val="auto"/>
          <w:kern w:val="0"/>
          <w:szCs w:val="21"/>
          <w:highlight w:val="none"/>
        </w:rPr>
        <w:t>分（北京时间）</w:t>
      </w:r>
    </w:p>
    <w:p w14:paraId="191FDFB6">
      <w:pPr>
        <w:spacing w:line="450" w:lineRule="atLeast"/>
        <w:ind w:firstLine="210" w:firstLineChars="100"/>
        <w:textAlignment w:val="auto"/>
        <w:rPr>
          <w:rFonts w:cs="宋体" w:asciiTheme="minorEastAsia" w:hAnsiTheme="minorEastAsia" w:eastAsiaTheme="minorEastAsia"/>
          <w:b w:val="0"/>
          <w:bCs/>
          <w:color w:val="auto"/>
          <w:kern w:val="0"/>
          <w:szCs w:val="21"/>
          <w:highlight w:val="none"/>
        </w:rPr>
      </w:pPr>
      <w:r>
        <w:rPr>
          <w:rFonts w:cs="宋体" w:asciiTheme="minorEastAsia" w:hAnsiTheme="minorEastAsia" w:eastAsiaTheme="minorEastAsia"/>
          <w:b w:val="0"/>
          <w:bCs/>
          <w:color w:val="auto"/>
          <w:kern w:val="0"/>
          <w:szCs w:val="21"/>
          <w:highlight w:val="none"/>
        </w:rPr>
        <w:t>地点：</w:t>
      </w:r>
      <w:r>
        <w:rPr>
          <w:rFonts w:hint="eastAsia" w:cs="宋体" w:asciiTheme="minorEastAsia" w:hAnsiTheme="minorEastAsia" w:eastAsiaTheme="minorEastAsia"/>
          <w:b w:val="0"/>
          <w:bCs/>
          <w:color w:val="auto"/>
          <w:kern w:val="0"/>
          <w:szCs w:val="21"/>
          <w:highlight w:val="none"/>
        </w:rPr>
        <w:t>通过广西政府采购云平台实行在线解密开启。</w:t>
      </w:r>
    </w:p>
    <w:p w14:paraId="12A35256">
      <w:pPr>
        <w:spacing w:line="450" w:lineRule="atLeast"/>
        <w:textAlignment w:val="auto"/>
        <w:rPr>
          <w:rFonts w:cs="宋体" w:asciiTheme="minorEastAsia" w:hAnsiTheme="minorEastAsia" w:eastAsiaTheme="minorEastAsia"/>
          <w:b/>
          <w:bCs/>
          <w:color w:val="auto"/>
          <w:kern w:val="0"/>
          <w:szCs w:val="21"/>
          <w:highlight w:val="none"/>
        </w:rPr>
      </w:pPr>
      <w:r>
        <w:rPr>
          <w:rFonts w:cs="宋体" w:asciiTheme="minorEastAsia" w:hAnsiTheme="minorEastAsia" w:eastAsiaTheme="minorEastAsia"/>
          <w:b/>
          <w:bCs/>
          <w:color w:val="auto"/>
          <w:kern w:val="0"/>
          <w:szCs w:val="21"/>
          <w:highlight w:val="none"/>
        </w:rPr>
        <w:t>六、公告期限</w:t>
      </w:r>
    </w:p>
    <w:p w14:paraId="7B7336CE">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自本公告发布之日起5个工作日。</w:t>
      </w:r>
    </w:p>
    <w:p w14:paraId="667BBE8A">
      <w:pPr>
        <w:spacing w:line="450" w:lineRule="atLeast"/>
        <w:textAlignment w:val="auto"/>
        <w:rPr>
          <w:rFonts w:cs="宋体" w:asciiTheme="minorEastAsia" w:hAnsiTheme="minorEastAsia" w:eastAsiaTheme="minorEastAsia"/>
          <w:b/>
          <w:bCs/>
          <w:color w:val="auto"/>
          <w:kern w:val="0"/>
          <w:szCs w:val="21"/>
          <w:highlight w:val="none"/>
        </w:rPr>
      </w:pPr>
      <w:r>
        <w:rPr>
          <w:rFonts w:cs="宋体" w:asciiTheme="minorEastAsia" w:hAnsiTheme="minorEastAsia" w:eastAsiaTheme="minorEastAsia"/>
          <w:b/>
          <w:bCs/>
          <w:color w:val="auto"/>
          <w:kern w:val="0"/>
          <w:szCs w:val="21"/>
          <w:highlight w:val="none"/>
        </w:rPr>
        <w:t>七、其他补充事宜：</w:t>
      </w:r>
    </w:p>
    <w:p w14:paraId="2246D47E">
      <w:pPr>
        <w:spacing w:line="450" w:lineRule="atLeast"/>
        <w:ind w:firstLine="210" w:firstLineChars="100"/>
        <w:textAlignment w:val="auto"/>
        <w:rPr>
          <w:rFonts w:cs="宋体" w:asciiTheme="minorEastAsia" w:hAnsiTheme="minorEastAsia" w:eastAsiaTheme="minorEastAsia"/>
          <w:bCs/>
          <w:color w:val="auto"/>
          <w:szCs w:val="21"/>
          <w:highlight w:val="none"/>
        </w:rPr>
      </w:pPr>
      <w:r>
        <w:rPr>
          <w:rFonts w:cs="宋体" w:asciiTheme="minorEastAsia" w:hAnsiTheme="minorEastAsia" w:eastAsiaTheme="minorEastAsia"/>
          <w:bCs/>
          <w:color w:val="auto"/>
          <w:szCs w:val="21"/>
          <w:highlight w:val="none"/>
        </w:rPr>
        <w:t>1、磋商保证金：本项目免收保证金。</w:t>
      </w:r>
    </w:p>
    <w:p w14:paraId="199F9B27">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lang w:val="en-US" w:eastAsia="zh-CN"/>
        </w:rPr>
      </w:pPr>
      <w:r>
        <w:rPr>
          <w:rFonts w:cs="宋体" w:asciiTheme="minorEastAsia" w:hAnsiTheme="minorEastAsia" w:eastAsiaTheme="minorEastAsia"/>
          <w:bCs/>
          <w:color w:val="auto"/>
          <w:kern w:val="0"/>
          <w:szCs w:val="21"/>
          <w:highlight w:val="none"/>
        </w:rPr>
        <w:t>2、公告查询地址：</w:t>
      </w:r>
      <w:r>
        <w:rPr>
          <w:rFonts w:hint="eastAsia" w:cs="宋体" w:asciiTheme="minorEastAsia" w:hAnsiTheme="minorEastAsia" w:eastAsiaTheme="minorEastAsia"/>
          <w:bCs/>
          <w:color w:val="auto"/>
          <w:kern w:val="0"/>
          <w:szCs w:val="21"/>
          <w:highlight w:val="none"/>
          <w:lang w:val="en-US" w:eastAsia="zh-CN"/>
        </w:rPr>
        <w:fldChar w:fldCharType="begin"/>
      </w:r>
      <w:r>
        <w:rPr>
          <w:rFonts w:hint="eastAsia" w:cs="宋体" w:asciiTheme="minorEastAsia" w:hAnsiTheme="minorEastAsia" w:eastAsiaTheme="minorEastAsia"/>
          <w:bCs/>
          <w:color w:val="auto"/>
          <w:kern w:val="0"/>
          <w:szCs w:val="21"/>
          <w:highlight w:val="none"/>
          <w:lang w:val="en-US" w:eastAsia="zh-CN"/>
        </w:rPr>
        <w:instrText xml:space="preserve"> HYPERLINK "http://www.ccgp.gov.cn（中国政府采购网）、http:/www.gxzfcg.gov.cn（广西壮族自治区政府采购网）、http:/zfcg.ggcz.gov.cn/（贵港市政府采购网）、http:/ggggjy.gxgg.gov.cn:9005/（贵港市公共资源交易中心网）、http:/ggzy.jgswj.gxzf.gov.cn/ggggzy/【全国公共资源交易平台（广西·贵港）】。" </w:instrText>
      </w:r>
      <w:r>
        <w:rPr>
          <w:rFonts w:hint="eastAsia" w:cs="宋体" w:asciiTheme="minorEastAsia" w:hAnsiTheme="minorEastAsia" w:eastAsiaTheme="minorEastAsia"/>
          <w:bCs/>
          <w:color w:val="auto"/>
          <w:kern w:val="0"/>
          <w:szCs w:val="21"/>
          <w:highlight w:val="none"/>
          <w:lang w:val="en-US" w:eastAsia="zh-CN"/>
        </w:rPr>
        <w:fldChar w:fldCharType="separate"/>
      </w:r>
      <w:r>
        <w:rPr>
          <w:rFonts w:hint="eastAsia" w:cs="宋体" w:asciiTheme="minorEastAsia" w:hAnsiTheme="minorEastAsia" w:eastAsiaTheme="minorEastAsia"/>
          <w:bCs/>
          <w:color w:val="auto"/>
          <w:kern w:val="0"/>
          <w:szCs w:val="21"/>
          <w:highlight w:val="none"/>
          <w:lang w:val="en-US" w:eastAsia="zh-CN"/>
        </w:rPr>
        <w:t>http://www.ccgp.gov.cn（中国政府采购网）、http://www.gxzfcg.gov.cn（广西壮族自治区政府采购网）、http://ggzy.jgswj.gxzf.gov.cn/ggggzy/【全国公共资源交易平台（广西·贵港）】。</w:t>
      </w:r>
      <w:r>
        <w:rPr>
          <w:rFonts w:hint="eastAsia" w:cs="宋体" w:asciiTheme="minorEastAsia" w:hAnsiTheme="minorEastAsia" w:eastAsiaTheme="minorEastAsia"/>
          <w:bCs/>
          <w:color w:val="auto"/>
          <w:kern w:val="0"/>
          <w:szCs w:val="21"/>
          <w:highlight w:val="none"/>
          <w:lang w:val="en-US" w:eastAsia="zh-CN"/>
        </w:rPr>
        <w:fldChar w:fldCharType="end"/>
      </w:r>
    </w:p>
    <w:p w14:paraId="7FA092D3">
      <w:pPr>
        <w:spacing w:line="450" w:lineRule="atLeast"/>
        <w:ind w:firstLine="211" w:firstLineChars="100"/>
        <w:textAlignment w:val="auto"/>
        <w:rPr>
          <w:rFonts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lang w:val="en-US" w:eastAsia="zh-CN"/>
        </w:rPr>
        <w:t>3</w:t>
      </w:r>
      <w:r>
        <w:rPr>
          <w:rFonts w:cs="宋体" w:asciiTheme="minorEastAsia" w:hAnsiTheme="minorEastAsia" w:eastAsiaTheme="minorEastAsia"/>
          <w:b/>
          <w:bCs/>
          <w:color w:val="auto"/>
          <w:kern w:val="0"/>
          <w:szCs w:val="21"/>
          <w:highlight w:val="none"/>
        </w:rPr>
        <w:t>、</w:t>
      </w:r>
      <w:r>
        <w:rPr>
          <w:rFonts w:hint="eastAsia" w:cs="宋体" w:asciiTheme="minorEastAsia" w:hAnsiTheme="minorEastAsia" w:eastAsiaTheme="minorEastAsia"/>
          <w:b/>
          <w:bCs/>
          <w:color w:val="auto"/>
          <w:kern w:val="0"/>
          <w:szCs w:val="21"/>
          <w:highlight w:val="none"/>
        </w:rPr>
        <w:t>在线投标响应（电子投标）说明</w:t>
      </w:r>
    </w:p>
    <w:p w14:paraId="3333F688">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3.1本项目通过</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实行在线投标响应（电子投标），供应商需要先安装“</w:t>
      </w:r>
      <w:r>
        <w:rPr>
          <w:rFonts w:hint="eastAsia" w:cs="宋体" w:asciiTheme="minorEastAsia" w:hAnsiTheme="minorEastAsia" w:eastAsiaTheme="minorEastAsia"/>
          <w:b w:val="0"/>
          <w:bCs w:val="0"/>
          <w:color w:val="auto"/>
          <w:kern w:val="0"/>
          <w:szCs w:val="21"/>
          <w:highlight w:val="none"/>
        </w:rPr>
        <w:t xml:space="preserve"> 广西政府采购云平台新版客户端</w:t>
      </w:r>
      <w:r>
        <w:rPr>
          <w:rFonts w:hint="eastAsia" w:cs="宋体" w:asciiTheme="minorEastAsia" w:hAnsiTheme="minorEastAsia" w:eastAsiaTheme="minorEastAsia"/>
          <w:b w:val="0"/>
          <w:bCs w:val="0"/>
          <w:color w:val="auto"/>
          <w:kern w:val="0"/>
          <w:szCs w:val="21"/>
          <w:highlight w:val="none"/>
          <w:lang w:val="en-US" w:eastAsia="zh-CN"/>
        </w:rPr>
        <w:t>”，并按照本竞争性磋商采购文件和</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的要求，通过“</w:t>
      </w:r>
      <w:r>
        <w:rPr>
          <w:rFonts w:hint="eastAsia" w:cs="宋体" w:asciiTheme="minorEastAsia" w:hAnsiTheme="minorEastAsia" w:eastAsiaTheme="minorEastAsia"/>
          <w:b w:val="0"/>
          <w:bCs w:val="0"/>
          <w:color w:val="auto"/>
          <w:kern w:val="0"/>
          <w:szCs w:val="21"/>
          <w:highlight w:val="none"/>
        </w:rPr>
        <w:t xml:space="preserve"> 广西政府采购云平台新版客户端</w:t>
      </w:r>
      <w:r>
        <w:rPr>
          <w:rFonts w:hint="eastAsia" w:cs="宋体" w:asciiTheme="minorEastAsia" w:hAnsiTheme="minorEastAsia" w:eastAsiaTheme="minorEastAsia"/>
          <w:b w:val="0"/>
          <w:bCs w:val="0"/>
          <w:color w:val="auto"/>
          <w:kern w:val="0"/>
          <w:szCs w:val="21"/>
          <w:highlight w:val="none"/>
          <w:lang w:val="en-US" w:eastAsia="zh-CN"/>
        </w:rPr>
        <w:t>”编制并加密响应文件。供应商未按规定编制并加密的响应文件，</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将予以拒收。</w:t>
      </w:r>
    </w:p>
    <w:p w14:paraId="2D535F6F">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3.2 “</w:t>
      </w:r>
      <w:r>
        <w:rPr>
          <w:rFonts w:hint="eastAsia" w:cs="宋体" w:asciiTheme="minorEastAsia" w:hAnsiTheme="minorEastAsia" w:eastAsiaTheme="minorEastAsia"/>
          <w:b w:val="0"/>
          <w:bCs w:val="0"/>
          <w:color w:val="auto"/>
          <w:kern w:val="0"/>
          <w:szCs w:val="21"/>
          <w:highlight w:val="none"/>
        </w:rPr>
        <w:t>广西政府采购云平台新版客户端</w:t>
      </w:r>
      <w:r>
        <w:rPr>
          <w:rFonts w:hint="eastAsia" w:cs="宋体" w:asciiTheme="minorEastAsia" w:hAnsiTheme="minorEastAsia" w:eastAsiaTheme="minorEastAsia"/>
          <w:b w:val="0"/>
          <w:bCs w:val="0"/>
          <w:color w:val="auto"/>
          <w:kern w:val="0"/>
          <w:szCs w:val="21"/>
          <w:highlight w:val="none"/>
          <w:lang w:val="en-US" w:eastAsia="zh-CN"/>
        </w:rPr>
        <w:t>”</w:t>
      </w:r>
      <w:r>
        <w:rPr>
          <w:rFonts w:hint="eastAsia" w:cs="宋体" w:asciiTheme="minorEastAsia" w:hAnsiTheme="minorEastAsia" w:eastAsiaTheme="minorEastAsia"/>
          <w:b w:val="0"/>
          <w:bCs w:val="0"/>
          <w:color w:val="auto"/>
          <w:kern w:val="0"/>
          <w:szCs w:val="21"/>
          <w:highlight w:val="none"/>
        </w:rPr>
        <w:t>请自行前往广西政府采购网（访问地址http://zfcg.gxzf.gov.cn/）—办事服务—下载专区</w:t>
      </w:r>
      <w:r>
        <w:rPr>
          <w:rFonts w:hint="eastAsia" w:cs="宋体" w:asciiTheme="minorEastAsia" w:hAnsiTheme="minorEastAsia" w:eastAsiaTheme="minorEastAsia"/>
          <w:b w:val="0"/>
          <w:bCs w:val="0"/>
          <w:color w:val="auto"/>
          <w:kern w:val="0"/>
          <w:szCs w:val="21"/>
          <w:highlight w:val="none"/>
          <w:lang w:val="en-US" w:eastAsia="zh-CN"/>
        </w:rPr>
        <w:t>下载；电子投标具体操作流程参考《政府采购项目电子交易管理操作指南-供应商》；在使用</w:t>
      </w:r>
      <w:r>
        <w:rPr>
          <w:rFonts w:hint="eastAsia" w:cs="宋体" w:asciiTheme="minorEastAsia" w:hAnsiTheme="minorEastAsia" w:eastAsiaTheme="minorEastAsia"/>
          <w:b w:val="0"/>
          <w:bCs w:val="0"/>
          <w:color w:val="auto"/>
          <w:kern w:val="0"/>
          <w:szCs w:val="21"/>
          <w:highlight w:val="none"/>
        </w:rPr>
        <w:t>广西政府采购云平台新版客户端</w:t>
      </w:r>
      <w:r>
        <w:rPr>
          <w:rFonts w:hint="eastAsia" w:cs="宋体" w:asciiTheme="minorEastAsia" w:hAnsiTheme="minorEastAsia" w:eastAsiaTheme="minorEastAsia"/>
          <w:b w:val="0"/>
          <w:bCs w:val="0"/>
          <w:color w:val="auto"/>
          <w:kern w:val="0"/>
          <w:szCs w:val="21"/>
          <w:highlight w:val="none"/>
          <w:lang w:val="en-US" w:eastAsia="zh-CN"/>
        </w:rPr>
        <w:t>时，建议使用win7及以上操作系统，通过</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参与在线投标时如遇平台技术问题详询95763。</w:t>
      </w:r>
    </w:p>
    <w:p w14:paraId="2A9A92A9">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3.3为确保网上操作合法、有效和安全，磋商供应商应当在响应文件提交截止时间前完成在“</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”的身份认证，确保在电子投标过程中能够对相关数据电文进行加密和使用电子签章。使用“</w:t>
      </w:r>
      <w:r>
        <w:rPr>
          <w:rFonts w:hint="eastAsia" w:cs="宋体" w:asciiTheme="minorEastAsia" w:hAnsiTheme="minorEastAsia" w:eastAsiaTheme="minorEastAsia"/>
          <w:b w:val="0"/>
          <w:bCs w:val="0"/>
          <w:color w:val="auto"/>
          <w:kern w:val="0"/>
          <w:szCs w:val="21"/>
          <w:highlight w:val="none"/>
        </w:rPr>
        <w:t>广西政府采购云平台新版客户端</w:t>
      </w:r>
      <w:r>
        <w:rPr>
          <w:rFonts w:hint="eastAsia" w:cs="宋体" w:asciiTheme="minorEastAsia" w:hAnsiTheme="minorEastAsia" w:eastAsiaTheme="minorEastAsia"/>
          <w:b w:val="0"/>
          <w:bCs w:val="0"/>
          <w:color w:val="auto"/>
          <w:kern w:val="0"/>
          <w:szCs w:val="21"/>
          <w:highlight w:val="none"/>
          <w:lang w:val="en-US" w:eastAsia="zh-CN"/>
        </w:rPr>
        <w:t>”需要提前申领CA数字证书，申领流程请自行前往相关网站进行查阅（完成CA数字证书办理预计一周左右，建议供应商获取竞争性磋商采购文件后立即办理）。</w:t>
      </w:r>
    </w:p>
    <w:p w14:paraId="2A5764B9">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3.4磋商供应商应当在响应文件提交截止时间前，将生成的“电子加密响应文件”上传提交至</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响应文件提交截止时间前可以补充、修改或者撤回电子磋商响应文件。补充或者修改电子磋商响应文件的，应当先行撤回原文件，补充、修改后重新传输递交，响应文件提交截止时间前未完成传输的，视为撤回响应文件。</w:t>
      </w:r>
    </w:p>
    <w:p w14:paraId="44BD4F15">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3.5响应文件提交截止时间后，</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（电子交易平台）自动提取所有响应文件，各供应商须在提交响应文件截止后30分钟内对上传</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的响应文件进行解密，所有供应商在规定的解密时限内解密完成或解密时限到后，采购代理机构开启响应文件；供应商超过解密时限的，系统默认自动放弃。</w:t>
      </w:r>
    </w:p>
    <w:p w14:paraId="6BFE1AC8">
      <w:pPr>
        <w:spacing w:line="450" w:lineRule="atLeast"/>
        <w:textAlignment w:val="auto"/>
        <w:rPr>
          <w:rFonts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lang w:val="en-US" w:eastAsia="zh-CN"/>
        </w:rPr>
        <w:t>八</w:t>
      </w:r>
      <w:r>
        <w:rPr>
          <w:rFonts w:hint="eastAsia" w:cs="宋体" w:asciiTheme="minorEastAsia" w:hAnsiTheme="minorEastAsia" w:eastAsiaTheme="minorEastAsia"/>
          <w:b/>
          <w:bCs/>
          <w:color w:val="auto"/>
          <w:kern w:val="0"/>
          <w:szCs w:val="21"/>
          <w:highlight w:val="none"/>
        </w:rPr>
        <w:t>、</w:t>
      </w:r>
      <w:r>
        <w:rPr>
          <w:rFonts w:cs="宋体" w:asciiTheme="minorEastAsia" w:hAnsiTheme="minorEastAsia" w:eastAsiaTheme="minorEastAsia"/>
          <w:b/>
          <w:bCs/>
          <w:color w:val="auto"/>
          <w:kern w:val="0"/>
          <w:szCs w:val="21"/>
          <w:highlight w:val="none"/>
        </w:rPr>
        <w:t>凡对本次采购提出询问，请按以下方式联系</w:t>
      </w:r>
    </w:p>
    <w:p w14:paraId="781AD82A">
      <w:pPr>
        <w:spacing w:line="450" w:lineRule="atLeast"/>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1.采购人信息</w:t>
      </w:r>
    </w:p>
    <w:p w14:paraId="1ED56DCE">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hint="eastAsia" w:cs="宋体" w:asciiTheme="minorEastAsia" w:hAnsiTheme="minorEastAsia" w:eastAsiaTheme="minorEastAsia"/>
          <w:bCs/>
          <w:color w:val="auto"/>
          <w:kern w:val="0"/>
          <w:szCs w:val="21"/>
          <w:highlight w:val="none"/>
        </w:rPr>
        <w:t>名</w:t>
      </w:r>
      <w:r>
        <w:rPr>
          <w:rFonts w:cs="宋体" w:asciiTheme="minorEastAsia" w:hAnsiTheme="minorEastAsia" w:eastAsiaTheme="minorEastAsia"/>
          <w:bCs/>
          <w:color w:val="auto"/>
          <w:kern w:val="0"/>
          <w:szCs w:val="21"/>
          <w:highlight w:val="none"/>
        </w:rPr>
        <w:t xml:space="preserve"> </w:t>
      </w:r>
      <w:r>
        <w:rPr>
          <w:rFonts w:hint="eastAsia" w:cs="宋体" w:asciiTheme="minorEastAsia" w:hAnsiTheme="minorEastAsia" w:eastAsiaTheme="minorEastAsia"/>
          <w:bCs/>
          <w:color w:val="auto"/>
          <w:kern w:val="0"/>
          <w:szCs w:val="21"/>
          <w:highlight w:val="none"/>
        </w:rPr>
        <w:t>称：贵港市港南区农业农村局</w:t>
      </w:r>
      <w:r>
        <w:rPr>
          <w:rFonts w:cs="宋体" w:asciiTheme="minorEastAsia" w:hAnsiTheme="minorEastAsia" w:eastAsiaTheme="minorEastAsia"/>
          <w:bCs/>
          <w:color w:val="auto"/>
          <w:kern w:val="0"/>
          <w:szCs w:val="21"/>
          <w:highlight w:val="none"/>
        </w:rPr>
        <w:t xml:space="preserve"> </w:t>
      </w:r>
      <w:r>
        <w:rPr>
          <w:rFonts w:hint="eastAsia" w:cs="宋体" w:asciiTheme="minorEastAsia" w:hAnsiTheme="minorEastAsia" w:eastAsiaTheme="minorEastAsia"/>
          <w:bCs/>
          <w:color w:val="auto"/>
          <w:kern w:val="0"/>
          <w:szCs w:val="21"/>
          <w:highlight w:val="none"/>
        </w:rPr>
        <w:t>　</w:t>
      </w:r>
    </w:p>
    <w:p w14:paraId="5E84734F">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lang w:val="en-US" w:eastAsia="zh-CN"/>
        </w:rPr>
      </w:pPr>
      <w:r>
        <w:rPr>
          <w:rFonts w:hint="eastAsia" w:cs="宋体" w:asciiTheme="minorEastAsia" w:hAnsiTheme="minorEastAsia" w:eastAsiaTheme="minorEastAsia"/>
          <w:bCs/>
          <w:color w:val="auto"/>
          <w:kern w:val="0"/>
          <w:szCs w:val="21"/>
          <w:highlight w:val="none"/>
        </w:rPr>
        <w:t>地址：贵港市港南区公正街</w:t>
      </w:r>
      <w:r>
        <w:rPr>
          <w:rFonts w:cs="宋体" w:asciiTheme="minorEastAsia" w:hAnsiTheme="minorEastAsia" w:eastAsiaTheme="minorEastAsia"/>
          <w:bCs/>
          <w:color w:val="auto"/>
          <w:kern w:val="0"/>
          <w:szCs w:val="21"/>
          <w:highlight w:val="none"/>
        </w:rPr>
        <w:t>2</w:t>
      </w:r>
      <w:r>
        <w:rPr>
          <w:rFonts w:hint="eastAsia" w:cs="宋体" w:asciiTheme="minorEastAsia" w:hAnsiTheme="minorEastAsia" w:eastAsiaTheme="minorEastAsia"/>
          <w:bCs/>
          <w:color w:val="auto"/>
          <w:kern w:val="0"/>
          <w:szCs w:val="21"/>
          <w:highlight w:val="none"/>
        </w:rPr>
        <w:t>号</w:t>
      </w:r>
      <w:r>
        <w:rPr>
          <w:rFonts w:hint="eastAsia" w:cs="宋体" w:asciiTheme="minorEastAsia" w:hAnsiTheme="minorEastAsia" w:eastAsiaTheme="minorEastAsia"/>
          <w:bCs/>
          <w:color w:val="auto"/>
          <w:kern w:val="0"/>
          <w:szCs w:val="21"/>
          <w:highlight w:val="none"/>
          <w:lang w:val="en-US" w:eastAsia="zh-CN"/>
        </w:rPr>
        <w:t xml:space="preserve">   </w:t>
      </w:r>
    </w:p>
    <w:p w14:paraId="21FC7569">
      <w:pPr>
        <w:spacing w:line="450" w:lineRule="atLeast"/>
        <w:textAlignment w:val="auto"/>
        <w:rPr>
          <w:rFonts w:hint="default" w:cs="宋体" w:asciiTheme="minorEastAsia" w:hAnsiTheme="minorEastAsia" w:eastAsiaTheme="minorEastAsia"/>
          <w:bCs/>
          <w:color w:val="auto"/>
          <w:kern w:val="0"/>
          <w:szCs w:val="21"/>
          <w:highlight w:val="none"/>
          <w:lang w:val="en-US" w:eastAsia="zh-CN"/>
        </w:rPr>
      </w:pPr>
      <w:r>
        <w:rPr>
          <w:rFonts w:hint="eastAsia" w:cs="宋体" w:asciiTheme="minorEastAsia" w:hAnsiTheme="minorEastAsia" w:eastAsiaTheme="minorEastAsia"/>
          <w:bCs/>
          <w:color w:val="auto"/>
          <w:kern w:val="0"/>
          <w:szCs w:val="21"/>
          <w:highlight w:val="none"/>
          <w:lang w:val="en-US" w:eastAsia="zh-CN"/>
        </w:rPr>
        <w:t xml:space="preserve">  </w:t>
      </w:r>
      <w:r>
        <w:rPr>
          <w:rFonts w:hint="eastAsia" w:cs="宋体" w:asciiTheme="minorEastAsia" w:hAnsiTheme="minorEastAsia" w:eastAsiaTheme="minorEastAsia"/>
          <w:bCs/>
          <w:color w:val="auto"/>
          <w:kern w:val="0"/>
          <w:szCs w:val="21"/>
          <w:highlight w:val="none"/>
        </w:rPr>
        <w:t>联系方式：</w:t>
      </w:r>
      <w:r>
        <w:rPr>
          <w:rFonts w:hint="eastAsia" w:cs="宋体" w:asciiTheme="minorEastAsia" w:hAnsiTheme="minorEastAsia" w:eastAsiaTheme="minorEastAsia"/>
          <w:bCs/>
          <w:color w:val="auto"/>
          <w:kern w:val="0"/>
          <w:szCs w:val="21"/>
          <w:highlight w:val="none"/>
          <w:lang w:val="en-US" w:eastAsia="zh-CN"/>
        </w:rPr>
        <w:t>谢工，0775-4332680</w:t>
      </w:r>
    </w:p>
    <w:p w14:paraId="2F54EF7D">
      <w:pPr>
        <w:spacing w:line="450" w:lineRule="atLeast"/>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2.采购代理机构信息</w:t>
      </w:r>
    </w:p>
    <w:p w14:paraId="52FD5D21">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名 称：</w:t>
      </w:r>
      <w:r>
        <w:rPr>
          <w:rFonts w:hint="eastAsia" w:cs="宋体" w:asciiTheme="minorEastAsia" w:hAnsiTheme="minorEastAsia" w:eastAsiaTheme="minorEastAsia"/>
          <w:bCs/>
          <w:color w:val="auto"/>
          <w:kern w:val="0"/>
          <w:szCs w:val="21"/>
          <w:highlight w:val="none"/>
          <w:lang w:eastAsia="zh-CN"/>
        </w:rPr>
        <w:t>贵港市安然项目管理有限公司</w:t>
      </w:r>
      <w:r>
        <w:rPr>
          <w:rFonts w:cs="宋体" w:asciiTheme="minorEastAsia" w:hAnsiTheme="minorEastAsia" w:eastAsiaTheme="minorEastAsia"/>
          <w:bCs/>
          <w:color w:val="auto"/>
          <w:kern w:val="0"/>
          <w:szCs w:val="21"/>
          <w:highlight w:val="none"/>
        </w:rPr>
        <w:t>　</w:t>
      </w:r>
    </w:p>
    <w:p w14:paraId="62C5ED8E">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地　址：</w:t>
      </w:r>
      <w:r>
        <w:rPr>
          <w:rFonts w:hint="eastAsia" w:cs="宋体" w:asciiTheme="minorEastAsia" w:hAnsiTheme="minorEastAsia" w:eastAsiaTheme="minorEastAsia"/>
          <w:bCs/>
          <w:color w:val="auto"/>
          <w:kern w:val="0"/>
          <w:szCs w:val="21"/>
          <w:highlight w:val="none"/>
        </w:rPr>
        <w:t>贵港市港北区（广西贵港.上亿国际汽贸博览城）38栋26号 </w:t>
      </w:r>
      <w:r>
        <w:rPr>
          <w:rFonts w:cs="宋体" w:asciiTheme="minorEastAsia" w:hAnsiTheme="minorEastAsia" w:eastAsiaTheme="minorEastAsia"/>
          <w:bCs/>
          <w:color w:val="auto"/>
          <w:kern w:val="0"/>
          <w:szCs w:val="21"/>
          <w:highlight w:val="none"/>
        </w:rPr>
        <w:t>　</w:t>
      </w:r>
    </w:p>
    <w:p w14:paraId="52ED9D04">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联系方式：0775-</w:t>
      </w:r>
      <w:r>
        <w:rPr>
          <w:rFonts w:hint="eastAsia" w:cs="宋体" w:asciiTheme="minorEastAsia" w:hAnsiTheme="minorEastAsia" w:eastAsiaTheme="minorEastAsia"/>
          <w:bCs/>
          <w:color w:val="auto"/>
          <w:kern w:val="0"/>
          <w:szCs w:val="21"/>
          <w:highlight w:val="none"/>
          <w:lang w:val="en-US" w:eastAsia="zh-CN"/>
        </w:rPr>
        <w:t>4328663</w:t>
      </w:r>
      <w:r>
        <w:rPr>
          <w:rFonts w:hint="eastAsia" w:cs="宋体" w:asciiTheme="minorEastAsia" w:hAnsiTheme="minorEastAsia" w:eastAsiaTheme="minorEastAsia"/>
          <w:bCs/>
          <w:color w:val="auto"/>
          <w:kern w:val="0"/>
          <w:szCs w:val="21"/>
          <w:highlight w:val="none"/>
        </w:rPr>
        <w:t> </w:t>
      </w:r>
      <w:r>
        <w:rPr>
          <w:rFonts w:cs="宋体" w:asciiTheme="minorEastAsia" w:hAnsiTheme="minorEastAsia" w:eastAsiaTheme="minorEastAsia"/>
          <w:bCs/>
          <w:color w:val="auto"/>
          <w:kern w:val="0"/>
          <w:szCs w:val="21"/>
          <w:highlight w:val="none"/>
        </w:rPr>
        <w:t xml:space="preserve">   　</w:t>
      </w:r>
    </w:p>
    <w:p w14:paraId="34AAF5F0">
      <w:pPr>
        <w:spacing w:line="450" w:lineRule="atLeast"/>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3.项目联系方式</w:t>
      </w:r>
    </w:p>
    <w:p w14:paraId="35DCEF90">
      <w:pPr>
        <w:spacing w:line="450" w:lineRule="atLeast"/>
        <w:ind w:firstLine="210" w:firstLineChars="100"/>
        <w:textAlignment w:val="auto"/>
        <w:rPr>
          <w:rFonts w:hint="default" w:cs="宋体" w:asciiTheme="minorEastAsia" w:hAnsiTheme="minorEastAsia" w:eastAsiaTheme="minorEastAsia"/>
          <w:bCs/>
          <w:color w:val="auto"/>
          <w:kern w:val="0"/>
          <w:szCs w:val="21"/>
          <w:highlight w:val="none"/>
          <w:lang w:val="en-US" w:eastAsia="zh-CN"/>
        </w:rPr>
      </w:pPr>
      <w:r>
        <w:rPr>
          <w:rFonts w:cs="宋体" w:asciiTheme="minorEastAsia" w:hAnsiTheme="minorEastAsia" w:eastAsiaTheme="minorEastAsia"/>
          <w:bCs/>
          <w:color w:val="auto"/>
          <w:kern w:val="0"/>
          <w:szCs w:val="21"/>
          <w:highlight w:val="none"/>
        </w:rPr>
        <w:t>项目联系人：</w:t>
      </w:r>
      <w:r>
        <w:rPr>
          <w:rFonts w:hint="eastAsia" w:cs="宋体" w:asciiTheme="minorEastAsia" w:hAnsiTheme="minorEastAsia" w:eastAsiaTheme="minorEastAsia"/>
          <w:bCs/>
          <w:color w:val="auto"/>
          <w:kern w:val="0"/>
          <w:szCs w:val="21"/>
          <w:highlight w:val="none"/>
          <w:lang w:eastAsia="zh-CN"/>
        </w:rPr>
        <w:t>韦雪英</w:t>
      </w:r>
      <w:r>
        <w:rPr>
          <w:rFonts w:cs="宋体" w:asciiTheme="minorEastAsia" w:hAnsiTheme="minorEastAsia" w:eastAsiaTheme="minorEastAsia"/>
          <w:bCs/>
          <w:color w:val="auto"/>
          <w:kern w:val="0"/>
          <w:szCs w:val="21"/>
          <w:highlight w:val="none"/>
        </w:rPr>
        <w:t xml:space="preserve"> </w:t>
      </w:r>
      <w:r>
        <w:rPr>
          <w:rFonts w:hint="eastAsia" w:cs="宋体" w:asciiTheme="minorEastAsia" w:hAnsiTheme="minorEastAsia" w:eastAsiaTheme="minorEastAsia"/>
          <w:bCs/>
          <w:color w:val="auto"/>
          <w:kern w:val="0"/>
          <w:szCs w:val="21"/>
          <w:highlight w:val="none"/>
          <w:lang w:val="en-US" w:eastAsia="zh-CN"/>
        </w:rPr>
        <w:t xml:space="preserve">   </w:t>
      </w:r>
      <w:r>
        <w:rPr>
          <w:rFonts w:cs="宋体" w:asciiTheme="minorEastAsia" w:hAnsiTheme="minorEastAsia" w:eastAsiaTheme="minorEastAsia"/>
          <w:bCs/>
          <w:color w:val="auto"/>
          <w:kern w:val="0"/>
          <w:szCs w:val="21"/>
          <w:highlight w:val="none"/>
        </w:rPr>
        <w:t>电　话：0775-</w:t>
      </w:r>
      <w:r>
        <w:rPr>
          <w:rFonts w:hint="eastAsia" w:cs="宋体" w:asciiTheme="minorEastAsia" w:hAnsiTheme="minorEastAsia" w:eastAsiaTheme="minorEastAsia"/>
          <w:bCs/>
          <w:color w:val="auto"/>
          <w:kern w:val="0"/>
          <w:szCs w:val="21"/>
          <w:highlight w:val="none"/>
          <w:lang w:val="en-US" w:eastAsia="zh-CN"/>
        </w:rPr>
        <w:t>4328663</w:t>
      </w:r>
    </w:p>
    <w:p w14:paraId="14474429">
      <w:pPr>
        <w:pStyle w:val="21"/>
        <w:spacing w:before="156" w:beforeLines="50" w:beforeAutospacing="0" w:after="156" w:afterLines="50" w:afterAutospacing="0" w:line="360" w:lineRule="atLeast"/>
        <w:rPr>
          <w:rFonts w:hint="eastAsia"/>
          <w:color w:val="auto"/>
          <w:sz w:val="21"/>
          <w:highlight w:val="none"/>
        </w:rPr>
      </w:pPr>
      <w:r>
        <w:rPr>
          <w:rFonts w:hint="eastAsia"/>
          <w:color w:val="auto"/>
          <w:sz w:val="21"/>
          <w:highlight w:val="none"/>
        </w:rPr>
        <w:t>4.监督部门及联系电话</w:t>
      </w:r>
      <w:r>
        <w:rPr>
          <w:rFonts w:hint="eastAsia"/>
          <w:color w:val="auto"/>
          <w:sz w:val="21"/>
          <w:highlight w:val="none"/>
          <w:lang w:val="en-US" w:eastAsia="zh-CN"/>
        </w:rPr>
        <w:t>:贵港市</w:t>
      </w:r>
      <w:r>
        <w:rPr>
          <w:rFonts w:hint="eastAsia"/>
          <w:color w:val="auto"/>
          <w:sz w:val="21"/>
          <w:highlight w:val="none"/>
        </w:rPr>
        <w:t>港南区财政局政府采购监督管理股    联系电话：0775-4327666</w:t>
      </w:r>
    </w:p>
    <w:p w14:paraId="08F8E41B">
      <w:pPr>
        <w:pStyle w:val="21"/>
        <w:spacing w:before="156" w:beforeLines="50" w:beforeAutospacing="0" w:after="156" w:afterLines="50" w:afterAutospacing="0" w:line="360" w:lineRule="atLeast"/>
        <w:rPr>
          <w:color w:val="auto"/>
          <w:sz w:val="21"/>
          <w:highlight w:val="none"/>
        </w:rPr>
      </w:pPr>
      <w:r>
        <w:rPr>
          <w:rFonts w:hint="eastAsia"/>
          <w:color w:val="auto"/>
          <w:sz w:val="21"/>
          <w:highlight w:val="none"/>
        </w:rPr>
        <w:t xml:space="preserve">5.相关业务联系单位及联系电话 </w:t>
      </w:r>
    </w:p>
    <w:p w14:paraId="29852DB6">
      <w:pPr>
        <w:pStyle w:val="21"/>
        <w:spacing w:before="156" w:beforeLines="50" w:beforeAutospacing="0" w:after="156" w:afterLines="50" w:afterAutospacing="0" w:line="360" w:lineRule="atLeast"/>
        <w:ind w:firstLine="405"/>
        <w:rPr>
          <w:rFonts w:hint="eastAsia" w:asciiTheme="minorEastAsia" w:hAnsiTheme="minorEastAsia" w:eastAsiaTheme="minorEastAsia"/>
          <w:color w:val="auto"/>
          <w:highlight w:val="none"/>
        </w:rPr>
      </w:pPr>
      <w:r>
        <w:rPr>
          <w:rFonts w:hint="eastAsia"/>
          <w:color w:val="auto"/>
          <w:sz w:val="21"/>
          <w:highlight w:val="none"/>
        </w:rPr>
        <w:t xml:space="preserve">CA咨询(汇信公司)客服热线：400-888-4636 </w:t>
      </w:r>
      <w:r>
        <w:rPr>
          <w:rFonts w:hint="eastAsia"/>
          <w:color w:val="auto"/>
          <w:sz w:val="21"/>
          <w:highlight w:val="none"/>
          <w:lang w:val="en-US" w:eastAsia="zh-CN"/>
        </w:rPr>
        <w:t xml:space="preserve">    </w:t>
      </w:r>
      <w:r>
        <w:rPr>
          <w:rFonts w:hint="eastAsia" w:asciiTheme="minorEastAsia" w:hAnsiTheme="minorEastAsia" w:eastAsiaTheme="minorEastAsia"/>
          <w:color w:val="auto"/>
          <w:highlight w:val="none"/>
        </w:rPr>
        <w:t>广西政府采购云平台客服电话：95763 </w:t>
      </w:r>
    </w:p>
    <w:p w14:paraId="75448C00">
      <w:pPr>
        <w:spacing w:line="360" w:lineRule="exact"/>
        <w:rPr>
          <w:rStyle w:val="40"/>
          <w:rFonts w:ascii="宋体" w:hAnsi="宋体"/>
          <w:color w:val="auto"/>
          <w:highlight w:val="none"/>
        </w:rPr>
      </w:pPr>
    </w:p>
    <w:p w14:paraId="294821C5">
      <w:pPr>
        <w:pStyle w:val="20"/>
        <w:ind w:firstLine="4830" w:firstLineChars="2300"/>
        <w:rPr>
          <w:rFonts w:hint="default" w:ascii="宋体" w:hAnsi="宋体" w:eastAsia="宋体" w:cs="Times New Roman"/>
          <w:color w:val="auto"/>
          <w:kern w:val="0"/>
          <w:sz w:val="21"/>
          <w:szCs w:val="24"/>
          <w:highlight w:val="none"/>
          <w:lang w:val="en-US" w:eastAsia="zh-CN" w:bidi="ar-SA"/>
        </w:rPr>
      </w:pPr>
    </w:p>
    <w:p w14:paraId="3E8CDC5F">
      <w:pPr>
        <w:pStyle w:val="20"/>
        <w:ind w:firstLine="4830" w:firstLineChars="2300"/>
        <w:rPr>
          <w:rFonts w:hint="default" w:ascii="宋体" w:hAnsi="宋体" w:eastAsia="宋体" w:cs="Times New Roman"/>
          <w:color w:val="auto"/>
          <w:kern w:val="0"/>
          <w:sz w:val="21"/>
          <w:szCs w:val="24"/>
          <w:highlight w:val="none"/>
          <w:lang w:val="en-US" w:eastAsia="zh-CN" w:bidi="ar-SA"/>
        </w:rPr>
      </w:pPr>
    </w:p>
    <w:p w14:paraId="78AC4459">
      <w:pPr>
        <w:pStyle w:val="20"/>
        <w:ind w:firstLine="5040" w:firstLineChars="2400"/>
        <w:rPr>
          <w:rFonts w:hint="default" w:ascii="宋体" w:hAnsi="宋体" w:eastAsia="宋体" w:cs="Times New Roman"/>
          <w:color w:val="auto"/>
          <w:kern w:val="0"/>
          <w:sz w:val="21"/>
          <w:szCs w:val="24"/>
          <w:highlight w:val="none"/>
          <w:lang w:val="en-US" w:eastAsia="zh-CN" w:bidi="ar-SA"/>
        </w:rPr>
      </w:pPr>
      <w:r>
        <w:rPr>
          <w:rFonts w:hint="default" w:ascii="宋体" w:hAnsi="宋体" w:eastAsia="宋体" w:cs="Times New Roman"/>
          <w:color w:val="auto"/>
          <w:kern w:val="0"/>
          <w:sz w:val="21"/>
          <w:szCs w:val="24"/>
          <w:highlight w:val="none"/>
          <w:lang w:val="en-US" w:eastAsia="zh-CN" w:bidi="ar-SA"/>
        </w:rPr>
        <w:t>贵港市安然项目管理有限公司</w:t>
      </w:r>
    </w:p>
    <w:p w14:paraId="22C507E2">
      <w:pPr>
        <w:pStyle w:val="20"/>
        <w:ind w:firstLine="4830" w:firstLineChars="2300"/>
        <w:rPr>
          <w:rFonts w:hint="default" w:ascii="宋体" w:hAnsi="宋体" w:eastAsia="宋体" w:cs="Times New Roman"/>
          <w:color w:val="auto"/>
          <w:kern w:val="0"/>
          <w:sz w:val="21"/>
          <w:szCs w:val="24"/>
          <w:highlight w:val="none"/>
          <w:lang w:val="en-US" w:eastAsia="zh-CN" w:bidi="ar-SA"/>
        </w:rPr>
      </w:pPr>
    </w:p>
    <w:p w14:paraId="0F39A036">
      <w:pPr>
        <w:pStyle w:val="20"/>
        <w:ind w:firstLine="5880" w:firstLineChars="2800"/>
        <w:rPr>
          <w:rFonts w:hint="default" w:ascii="宋体" w:hAnsi="宋体" w:eastAsia="宋体" w:cs="Times New Roman"/>
          <w:color w:val="auto"/>
          <w:kern w:val="0"/>
          <w:sz w:val="21"/>
          <w:szCs w:val="24"/>
          <w:highlight w:val="none"/>
          <w:lang w:val="en-US" w:eastAsia="zh-CN" w:bidi="ar-SA"/>
        </w:rPr>
        <w:sectPr>
          <w:footerReference r:id="rId3" w:type="default"/>
          <w:pgSz w:w="11912" w:h="16840"/>
          <w:pgMar w:top="1157" w:right="1060" w:bottom="1123" w:left="1147" w:header="0" w:footer="873" w:gutter="0"/>
          <w:pgNumType w:fmt="decimal" w:start="1"/>
          <w:cols w:space="0" w:num="1"/>
          <w:rtlGutter w:val="0"/>
          <w:docGrid w:linePitch="0" w:charSpace="0"/>
        </w:sectPr>
      </w:pPr>
      <w:r>
        <w:rPr>
          <w:rFonts w:hint="eastAsia" w:ascii="宋体" w:hAnsi="宋体" w:eastAsia="宋体" w:cs="Times New Roman"/>
          <w:color w:val="auto"/>
          <w:kern w:val="0"/>
          <w:sz w:val="21"/>
          <w:szCs w:val="24"/>
          <w:highlight w:val="none"/>
          <w:lang w:val="en-US" w:eastAsia="zh-CN" w:bidi="ar-SA"/>
        </w:rPr>
        <w:t>2026年</w:t>
      </w:r>
      <w:r>
        <w:rPr>
          <w:rFonts w:hint="eastAsia" w:ascii="宋体" w:eastAsia="宋体" w:cs="Times New Roman"/>
          <w:color w:val="auto"/>
          <w:kern w:val="0"/>
          <w:sz w:val="21"/>
          <w:szCs w:val="24"/>
          <w:highlight w:val="none"/>
          <w:lang w:val="en-US" w:eastAsia="zh-CN" w:bidi="ar-SA"/>
        </w:rPr>
        <w:t>7</w:t>
      </w:r>
      <w:r>
        <w:rPr>
          <w:rFonts w:hint="eastAsia" w:ascii="宋体" w:hAnsi="宋体" w:eastAsia="宋体" w:cs="Times New Roman"/>
          <w:color w:val="auto"/>
          <w:kern w:val="0"/>
          <w:sz w:val="21"/>
          <w:szCs w:val="24"/>
          <w:highlight w:val="none"/>
          <w:lang w:val="en-US" w:eastAsia="zh-CN" w:bidi="ar-SA"/>
        </w:rPr>
        <w:t>月</w:t>
      </w:r>
      <w:r>
        <w:rPr>
          <w:rFonts w:hint="eastAsia" w:ascii="宋体" w:eastAsia="宋体" w:cs="Times New Roman"/>
          <w:color w:val="auto"/>
          <w:kern w:val="0"/>
          <w:sz w:val="21"/>
          <w:szCs w:val="24"/>
          <w:highlight w:val="none"/>
          <w:lang w:val="en-US" w:eastAsia="zh-CN" w:bidi="ar-SA"/>
        </w:rPr>
        <w:t>20</w:t>
      </w:r>
      <w:r>
        <w:rPr>
          <w:rFonts w:hint="eastAsia" w:ascii="宋体" w:hAnsi="宋体" w:eastAsia="宋体" w:cs="Times New Roman"/>
          <w:color w:val="auto"/>
          <w:kern w:val="0"/>
          <w:sz w:val="21"/>
          <w:szCs w:val="24"/>
          <w:highlight w:val="none"/>
          <w:lang w:val="en-US" w:eastAsia="zh-CN" w:bidi="ar-SA"/>
        </w:rPr>
        <w:t>日</w:t>
      </w:r>
    </w:p>
    <w:p w14:paraId="76209C72">
      <w:pPr>
        <w:pStyle w:val="22"/>
        <w:jc w:val="center"/>
        <w:outlineLvl w:val="0"/>
        <w:rPr>
          <w:rStyle w:val="40"/>
          <w:rFonts w:ascii="宋体" w:hAnsi="宋体" w:cs="宋体"/>
          <w:b/>
          <w:bCs/>
          <w:color w:val="auto"/>
          <w:highlight w:val="none"/>
        </w:rPr>
      </w:pPr>
      <w:r>
        <w:rPr>
          <w:rStyle w:val="40"/>
          <w:rFonts w:ascii="宋体" w:hAnsi="宋体" w:cs="宋体"/>
          <w:b/>
          <w:bCs/>
          <w:color w:val="auto"/>
          <w:highlight w:val="none"/>
        </w:rPr>
        <w:t>第二章    磋商供应商须知及前附表</w:t>
      </w:r>
    </w:p>
    <w:p w14:paraId="1E256B9B">
      <w:pPr>
        <w:ind w:firstLine="3855" w:firstLineChars="1200"/>
        <w:jc w:val="both"/>
        <w:outlineLvl w:val="1"/>
        <w:rPr>
          <w:rStyle w:val="40"/>
          <w:rFonts w:ascii="宋体" w:hAnsi="宋体"/>
          <w:b/>
          <w:color w:val="auto"/>
          <w:sz w:val="32"/>
          <w:szCs w:val="32"/>
          <w:highlight w:val="none"/>
        </w:rPr>
      </w:pPr>
      <w:r>
        <w:rPr>
          <w:rStyle w:val="40"/>
          <w:rFonts w:ascii="宋体" w:hAnsi="宋体"/>
          <w:b/>
          <w:color w:val="auto"/>
          <w:sz w:val="32"/>
          <w:szCs w:val="32"/>
          <w:highlight w:val="none"/>
        </w:rPr>
        <w:t>磋商供应商须知前附表</w:t>
      </w:r>
    </w:p>
    <w:tbl>
      <w:tblPr>
        <w:tblStyle w:val="24"/>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0"/>
        <w:gridCol w:w="1162"/>
        <w:gridCol w:w="7757"/>
      </w:tblGrid>
      <w:tr w14:paraId="40B3A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3E4F38A8">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序号</w:t>
            </w:r>
          </w:p>
        </w:tc>
        <w:tc>
          <w:tcPr>
            <w:tcW w:w="1162" w:type="dxa"/>
            <w:tcBorders>
              <w:top w:val="single" w:color="000000" w:sz="4" w:space="0"/>
              <w:left w:val="single" w:color="000000" w:sz="4" w:space="0"/>
              <w:bottom w:val="single" w:color="000000" w:sz="4" w:space="0"/>
              <w:right w:val="single" w:color="000000" w:sz="4" w:space="0"/>
            </w:tcBorders>
            <w:vAlign w:val="center"/>
          </w:tcPr>
          <w:p w14:paraId="6D9CEAB3">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条款号</w:t>
            </w:r>
          </w:p>
        </w:tc>
        <w:tc>
          <w:tcPr>
            <w:tcW w:w="7757" w:type="dxa"/>
            <w:tcBorders>
              <w:top w:val="single" w:color="000000" w:sz="4" w:space="0"/>
              <w:left w:val="single" w:color="000000" w:sz="4" w:space="0"/>
              <w:bottom w:val="single" w:color="000000" w:sz="4" w:space="0"/>
              <w:right w:val="single" w:color="000000" w:sz="4" w:space="0"/>
            </w:tcBorders>
            <w:vAlign w:val="center"/>
          </w:tcPr>
          <w:p w14:paraId="17761E8B">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内      容</w:t>
            </w:r>
          </w:p>
        </w:tc>
      </w:tr>
      <w:tr w14:paraId="56234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65B9FD39">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1</w:t>
            </w:r>
          </w:p>
        </w:tc>
        <w:tc>
          <w:tcPr>
            <w:tcW w:w="1162" w:type="dxa"/>
            <w:tcBorders>
              <w:top w:val="single" w:color="000000" w:sz="4" w:space="0"/>
              <w:left w:val="single" w:color="000000" w:sz="4" w:space="0"/>
              <w:bottom w:val="single" w:color="000000" w:sz="4" w:space="0"/>
              <w:right w:val="single" w:color="000000" w:sz="4" w:space="0"/>
            </w:tcBorders>
            <w:vAlign w:val="center"/>
          </w:tcPr>
          <w:p w14:paraId="7CC8509C">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1.1</w:t>
            </w:r>
          </w:p>
        </w:tc>
        <w:tc>
          <w:tcPr>
            <w:tcW w:w="7757" w:type="dxa"/>
            <w:tcBorders>
              <w:top w:val="single" w:color="000000" w:sz="4" w:space="0"/>
              <w:left w:val="single" w:color="000000" w:sz="4" w:space="0"/>
              <w:bottom w:val="single" w:color="000000" w:sz="4" w:space="0"/>
              <w:right w:val="single" w:color="000000" w:sz="4" w:space="0"/>
            </w:tcBorders>
            <w:vAlign w:val="center"/>
          </w:tcPr>
          <w:p w14:paraId="110CB4EA">
            <w:pPr>
              <w:spacing w:line="380" w:lineRule="exact"/>
              <w:rPr>
                <w:rStyle w:val="40"/>
                <w:rFonts w:hint="eastAsia" w:ascii="宋体" w:hAnsi="宋体" w:cs="宋体"/>
                <w:bCs/>
                <w:color w:val="auto"/>
                <w:szCs w:val="21"/>
                <w:highlight w:val="none"/>
                <w:lang w:eastAsia="zh-CN"/>
              </w:rPr>
            </w:pPr>
            <w:r>
              <w:rPr>
                <w:rStyle w:val="40"/>
                <w:rFonts w:ascii="宋体" w:hAnsi="宋体"/>
                <w:color w:val="auto"/>
                <w:szCs w:val="21"/>
                <w:highlight w:val="none"/>
              </w:rPr>
              <w:t>项目名称</w:t>
            </w:r>
            <w:r>
              <w:rPr>
                <w:rStyle w:val="40"/>
                <w:rFonts w:hint="eastAsia" w:ascii="宋体" w:hAnsi="宋体"/>
                <w:color w:val="auto"/>
                <w:szCs w:val="21"/>
                <w:highlight w:val="none"/>
                <w:lang w:eastAsia="zh-CN"/>
              </w:rPr>
              <w:t>：</w:t>
            </w:r>
            <w:r>
              <w:rPr>
                <w:rStyle w:val="40"/>
                <w:rFonts w:hint="eastAsia" w:ascii="宋体" w:hAnsi="宋体" w:cs="宋体"/>
                <w:bCs/>
                <w:color w:val="auto"/>
                <w:szCs w:val="21"/>
                <w:highlight w:val="none"/>
                <w:lang w:eastAsia="zh-CN"/>
              </w:rPr>
              <w:t>港南区2026年生产障碍耕地治理项目</w:t>
            </w:r>
          </w:p>
          <w:p w14:paraId="2F27859D">
            <w:pPr>
              <w:spacing w:line="380" w:lineRule="exact"/>
              <w:rPr>
                <w:rStyle w:val="40"/>
                <w:rFonts w:hint="eastAsia" w:ascii="宋体" w:hAnsi="宋体"/>
                <w:color w:val="auto"/>
                <w:szCs w:val="21"/>
                <w:highlight w:val="none"/>
              </w:rPr>
            </w:pPr>
            <w:r>
              <w:rPr>
                <w:rStyle w:val="40"/>
                <w:rFonts w:ascii="宋体" w:hAnsi="宋体"/>
                <w:color w:val="auto"/>
                <w:szCs w:val="21"/>
                <w:highlight w:val="none"/>
              </w:rPr>
              <w:t>项目编号：</w:t>
            </w:r>
            <w:r>
              <w:rPr>
                <w:rStyle w:val="40"/>
                <w:rFonts w:hint="eastAsia" w:ascii="宋体" w:hAnsi="宋体"/>
                <w:color w:val="auto"/>
                <w:szCs w:val="21"/>
                <w:highlight w:val="none"/>
              </w:rPr>
              <w:t>GGZC2026-C3-030056-ARXM</w:t>
            </w:r>
          </w:p>
          <w:p w14:paraId="3A313411">
            <w:pPr>
              <w:spacing w:line="380" w:lineRule="exact"/>
              <w:rPr>
                <w:rStyle w:val="40"/>
                <w:rFonts w:hint="eastAsia" w:ascii="宋体" w:hAnsi="宋体" w:eastAsia="宋体"/>
                <w:color w:val="auto"/>
                <w:szCs w:val="21"/>
                <w:highlight w:val="none"/>
                <w:lang w:eastAsia="zh-CN"/>
              </w:rPr>
            </w:pPr>
            <w:r>
              <w:rPr>
                <w:rStyle w:val="40"/>
                <w:rFonts w:hint="eastAsia" w:ascii="宋体" w:hAnsi="宋体"/>
                <w:color w:val="auto"/>
                <w:szCs w:val="21"/>
                <w:highlight w:val="none"/>
              </w:rPr>
              <w:t>资金来源：</w:t>
            </w:r>
            <w:r>
              <w:rPr>
                <w:rStyle w:val="40"/>
                <w:rFonts w:hint="eastAsia" w:ascii="宋体" w:hAnsi="宋体"/>
                <w:color w:val="auto"/>
                <w:szCs w:val="21"/>
                <w:highlight w:val="none"/>
                <w:lang w:eastAsia="zh-CN"/>
              </w:rPr>
              <w:t>财政资金</w:t>
            </w:r>
          </w:p>
        </w:tc>
      </w:tr>
      <w:tr w14:paraId="7F7B7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5"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36C52DCD">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2</w:t>
            </w:r>
          </w:p>
        </w:tc>
        <w:tc>
          <w:tcPr>
            <w:tcW w:w="1162" w:type="dxa"/>
            <w:tcBorders>
              <w:top w:val="single" w:color="000000" w:sz="4" w:space="0"/>
              <w:left w:val="single" w:color="000000" w:sz="4" w:space="0"/>
              <w:bottom w:val="single" w:color="000000" w:sz="4" w:space="0"/>
              <w:right w:val="single" w:color="000000" w:sz="4" w:space="0"/>
            </w:tcBorders>
            <w:vAlign w:val="center"/>
          </w:tcPr>
          <w:p w14:paraId="1807EC46">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2.1</w:t>
            </w:r>
          </w:p>
        </w:tc>
        <w:tc>
          <w:tcPr>
            <w:tcW w:w="7757" w:type="dxa"/>
            <w:tcBorders>
              <w:top w:val="single" w:color="000000" w:sz="4" w:space="0"/>
              <w:left w:val="single" w:color="000000" w:sz="4" w:space="0"/>
              <w:bottom w:val="single" w:color="000000" w:sz="4" w:space="0"/>
              <w:right w:val="single" w:color="000000" w:sz="4" w:space="0"/>
            </w:tcBorders>
            <w:vAlign w:val="center"/>
          </w:tcPr>
          <w:p w14:paraId="47CDA3E4">
            <w:pPr>
              <w:spacing w:line="380" w:lineRule="exact"/>
              <w:rPr>
                <w:rStyle w:val="40"/>
                <w:rFonts w:ascii="宋体" w:hAnsi="宋体"/>
                <w:b/>
                <w:color w:val="auto"/>
                <w:szCs w:val="21"/>
                <w:highlight w:val="none"/>
              </w:rPr>
            </w:pPr>
            <w:r>
              <w:rPr>
                <w:rStyle w:val="40"/>
                <w:rFonts w:ascii="宋体" w:hAnsi="宋体"/>
                <w:b/>
                <w:color w:val="auto"/>
                <w:szCs w:val="21"/>
                <w:highlight w:val="none"/>
              </w:rPr>
              <w:t>磋商供应商资格：</w:t>
            </w:r>
          </w:p>
          <w:p w14:paraId="2DF9FB52">
            <w:pPr>
              <w:numPr>
                <w:ilvl w:val="0"/>
                <w:numId w:val="0"/>
              </w:numPr>
              <w:spacing w:line="380" w:lineRule="exact"/>
              <w:ind w:firstLine="420" w:firstLineChars="200"/>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1.国内注册（指按国家有关规定要求注册的），满足本次招标采购需求，能够提供技术及服务，并在人员、设备、资金和良好信誉等方面具有相应能力</w:t>
            </w:r>
          </w:p>
          <w:p w14:paraId="2C1CD35F">
            <w:pPr>
              <w:numPr>
                <w:ilvl w:val="0"/>
                <w:numId w:val="0"/>
              </w:numPr>
              <w:spacing w:line="380" w:lineRule="exact"/>
              <w:ind w:firstLine="420" w:firstLineChars="200"/>
              <w:rPr>
                <w:rStyle w:val="40"/>
                <w:rFonts w:hint="eastAsia" w:ascii="宋体" w:hAnsi="宋体"/>
                <w:color w:val="auto"/>
                <w:szCs w:val="21"/>
                <w:highlight w:val="none"/>
              </w:rPr>
            </w:pPr>
            <w:r>
              <w:rPr>
                <w:rStyle w:val="40"/>
                <w:rFonts w:hint="eastAsia" w:ascii="宋体" w:hAnsi="宋体"/>
                <w:color w:val="auto"/>
                <w:szCs w:val="21"/>
                <w:highlight w:val="none"/>
                <w:lang w:val="en-US" w:eastAsia="zh-CN"/>
              </w:rPr>
              <w:t>2.</w:t>
            </w:r>
            <w:r>
              <w:rPr>
                <w:rStyle w:val="40"/>
                <w:rFonts w:hint="eastAsia" w:ascii="宋体" w:hAnsi="宋体"/>
                <w:color w:val="auto"/>
                <w:szCs w:val="21"/>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7ABAE609">
            <w:pPr>
              <w:spacing w:line="380" w:lineRule="exact"/>
              <w:ind w:firstLine="388" w:firstLineChars="185"/>
              <w:rPr>
                <w:rStyle w:val="40"/>
                <w:rFonts w:hint="eastAsia" w:ascii="宋体" w:hAnsi="宋体"/>
                <w:color w:val="auto"/>
                <w:szCs w:val="21"/>
                <w:highlight w:val="none"/>
              </w:rPr>
            </w:pPr>
            <w:r>
              <w:rPr>
                <w:rStyle w:val="40"/>
                <w:rFonts w:hint="eastAsia" w:ascii="宋体" w:hAnsi="宋体"/>
                <w:color w:val="auto"/>
                <w:szCs w:val="21"/>
                <w:highlight w:val="none"/>
                <w:lang w:val="en-US" w:eastAsia="zh-CN"/>
              </w:rPr>
              <w:t>3.</w:t>
            </w:r>
            <w:r>
              <w:rPr>
                <w:rStyle w:val="40"/>
                <w:rFonts w:hint="eastAsia" w:ascii="宋体" w:hAnsi="宋体"/>
                <w:color w:val="auto"/>
                <w:szCs w:val="21"/>
                <w:highlight w:val="none"/>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23B0328E">
            <w:pPr>
              <w:spacing w:line="380" w:lineRule="exact"/>
              <w:ind w:firstLine="388" w:firstLineChars="185"/>
              <w:rPr>
                <w:rStyle w:val="40"/>
                <w:rFonts w:ascii="宋体" w:hAnsi="宋体"/>
                <w:color w:val="auto"/>
                <w:szCs w:val="21"/>
                <w:highlight w:val="none"/>
              </w:rPr>
            </w:pPr>
            <w:r>
              <w:rPr>
                <w:rStyle w:val="40"/>
                <w:rFonts w:hint="eastAsia" w:ascii="宋体" w:hAnsi="宋体"/>
                <w:color w:val="auto"/>
                <w:szCs w:val="21"/>
                <w:highlight w:val="none"/>
                <w:lang w:val="en-US" w:eastAsia="zh-CN"/>
              </w:rPr>
              <w:t>4.</w:t>
            </w:r>
            <w:r>
              <w:rPr>
                <w:rStyle w:val="40"/>
                <w:rFonts w:hint="eastAsia" w:ascii="宋体" w:hAnsi="宋体"/>
                <w:color w:val="auto"/>
                <w:szCs w:val="21"/>
                <w:highlight w:val="none"/>
              </w:rPr>
              <w:t>本项目不接受未通过政府采购云平台实名制获取本项目《</w:t>
            </w:r>
            <w:r>
              <w:rPr>
                <w:rFonts w:hint="eastAsia" w:cs="宋体" w:asciiTheme="minorEastAsia" w:hAnsiTheme="minorEastAsia" w:eastAsiaTheme="minorEastAsia"/>
                <w:b w:val="0"/>
                <w:bCs w:val="0"/>
                <w:color w:val="auto"/>
                <w:kern w:val="0"/>
                <w:szCs w:val="21"/>
                <w:highlight w:val="none"/>
              </w:rPr>
              <w:t>竞争性磋商文件</w:t>
            </w:r>
            <w:r>
              <w:rPr>
                <w:rStyle w:val="40"/>
                <w:rFonts w:hint="eastAsia" w:ascii="宋体" w:hAnsi="宋体"/>
                <w:color w:val="auto"/>
                <w:szCs w:val="21"/>
                <w:highlight w:val="none"/>
              </w:rPr>
              <w:t>》的供应商参加</w:t>
            </w:r>
            <w:r>
              <w:rPr>
                <w:rStyle w:val="40"/>
                <w:rFonts w:hint="eastAsia" w:ascii="宋体" w:hAnsi="宋体"/>
                <w:color w:val="auto"/>
                <w:szCs w:val="21"/>
                <w:highlight w:val="none"/>
                <w:lang w:val="en-US" w:eastAsia="zh-CN"/>
              </w:rPr>
              <w:t>投</w:t>
            </w:r>
            <w:r>
              <w:rPr>
                <w:rStyle w:val="40"/>
                <w:rFonts w:hint="eastAsia" w:ascii="宋体" w:hAnsi="宋体"/>
                <w:color w:val="auto"/>
                <w:szCs w:val="21"/>
                <w:highlight w:val="none"/>
              </w:rPr>
              <w:t>标。</w:t>
            </w:r>
          </w:p>
        </w:tc>
      </w:tr>
      <w:tr w14:paraId="3BD73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43447600">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3</w:t>
            </w:r>
          </w:p>
        </w:tc>
        <w:tc>
          <w:tcPr>
            <w:tcW w:w="1162" w:type="dxa"/>
            <w:tcBorders>
              <w:top w:val="single" w:color="000000" w:sz="4" w:space="0"/>
              <w:left w:val="single" w:color="000000" w:sz="4" w:space="0"/>
              <w:bottom w:val="single" w:color="000000" w:sz="4" w:space="0"/>
              <w:right w:val="single" w:color="000000" w:sz="4" w:space="0"/>
            </w:tcBorders>
            <w:vAlign w:val="center"/>
          </w:tcPr>
          <w:p w14:paraId="71A90BE5">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3.1</w:t>
            </w:r>
          </w:p>
        </w:tc>
        <w:tc>
          <w:tcPr>
            <w:tcW w:w="7757" w:type="dxa"/>
            <w:tcBorders>
              <w:top w:val="single" w:color="000000" w:sz="4" w:space="0"/>
              <w:left w:val="single" w:color="000000" w:sz="4" w:space="0"/>
              <w:bottom w:val="single" w:color="000000" w:sz="4" w:space="0"/>
              <w:right w:val="single" w:color="000000" w:sz="4" w:space="0"/>
            </w:tcBorders>
            <w:vAlign w:val="center"/>
          </w:tcPr>
          <w:p w14:paraId="60F4773C">
            <w:pPr>
              <w:spacing w:before="75" w:after="75" w:line="276" w:lineRule="auto"/>
              <w:ind w:firstLine="178" w:firstLineChars="85"/>
              <w:jc w:val="left"/>
              <w:rPr>
                <w:rStyle w:val="40"/>
                <w:rFonts w:ascii="宋体" w:hAnsi="宋体"/>
                <w:b/>
                <w:color w:val="auto"/>
                <w:szCs w:val="21"/>
                <w:highlight w:val="none"/>
              </w:rPr>
            </w:pPr>
            <w:r>
              <w:rPr>
                <w:rStyle w:val="40"/>
                <w:rFonts w:ascii="宋体" w:hAnsi="宋体"/>
                <w:color w:val="auto"/>
                <w:kern w:val="0"/>
                <w:szCs w:val="21"/>
                <w:highlight w:val="none"/>
              </w:rPr>
              <w:t>磋商保证金：本项目免收保证金。</w:t>
            </w:r>
          </w:p>
        </w:tc>
      </w:tr>
      <w:tr w14:paraId="18620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65824156">
            <w:pPr>
              <w:spacing w:line="380" w:lineRule="exact"/>
              <w:jc w:val="center"/>
              <w:rPr>
                <w:rStyle w:val="40"/>
                <w:rFonts w:ascii="宋体" w:hAnsi="宋体"/>
                <w:color w:val="auto"/>
                <w:szCs w:val="21"/>
                <w:highlight w:val="none"/>
              </w:rPr>
            </w:pPr>
          </w:p>
        </w:tc>
        <w:tc>
          <w:tcPr>
            <w:tcW w:w="1162" w:type="dxa"/>
            <w:tcBorders>
              <w:top w:val="single" w:color="000000" w:sz="4" w:space="0"/>
              <w:left w:val="single" w:color="000000" w:sz="4" w:space="0"/>
              <w:bottom w:val="single" w:color="000000" w:sz="4" w:space="0"/>
              <w:right w:val="single" w:color="000000" w:sz="4" w:space="0"/>
            </w:tcBorders>
            <w:vAlign w:val="center"/>
          </w:tcPr>
          <w:p w14:paraId="15FF5BEC">
            <w:pPr>
              <w:spacing w:line="380" w:lineRule="exact"/>
              <w:jc w:val="center"/>
              <w:rPr>
                <w:rStyle w:val="40"/>
                <w:rFonts w:hint="default" w:ascii="宋体" w:hAnsi="宋体" w:eastAsia="宋体"/>
                <w:color w:val="auto"/>
                <w:szCs w:val="21"/>
                <w:highlight w:val="none"/>
                <w:lang w:val="en-US" w:eastAsia="zh-CN"/>
              </w:rPr>
            </w:pPr>
            <w:r>
              <w:rPr>
                <w:rStyle w:val="40"/>
                <w:rFonts w:hint="eastAsia" w:ascii="宋体" w:hAnsi="宋体"/>
                <w:color w:val="auto"/>
                <w:szCs w:val="21"/>
                <w:highlight w:val="none"/>
                <w:lang w:val="en-US" w:eastAsia="zh-CN"/>
              </w:rPr>
              <w:t>3.2</w:t>
            </w:r>
          </w:p>
        </w:tc>
        <w:tc>
          <w:tcPr>
            <w:tcW w:w="7757" w:type="dxa"/>
            <w:tcBorders>
              <w:top w:val="single" w:color="000000" w:sz="4" w:space="0"/>
              <w:left w:val="single" w:color="000000" w:sz="4" w:space="0"/>
              <w:bottom w:val="single" w:color="000000" w:sz="4" w:space="0"/>
              <w:right w:val="single" w:color="000000" w:sz="4" w:space="0"/>
            </w:tcBorders>
            <w:vAlign w:val="center"/>
          </w:tcPr>
          <w:p w14:paraId="39B6D6E2">
            <w:pPr>
              <w:spacing w:before="75" w:after="75" w:line="276" w:lineRule="auto"/>
              <w:ind w:firstLine="197" w:firstLineChars="85"/>
              <w:jc w:val="left"/>
              <w:rPr>
                <w:rStyle w:val="40"/>
                <w:rFonts w:ascii="宋体" w:hAnsi="宋体"/>
                <w:color w:val="auto"/>
                <w:kern w:val="0"/>
                <w:szCs w:val="21"/>
                <w:highlight w:val="none"/>
              </w:rPr>
            </w:pPr>
            <w:r>
              <w:rPr>
                <w:rFonts w:hint="eastAsia" w:ascii="宋体" w:hAnsi="宋体" w:eastAsia="宋体" w:cs="宋体"/>
                <w:caps w:val="0"/>
                <w:color w:val="auto"/>
                <w:spacing w:val="11"/>
                <w:highlight w:val="none"/>
              </w:rPr>
              <w:t>磋商有效期：60日历</w:t>
            </w:r>
            <w:r>
              <w:rPr>
                <w:rFonts w:hint="eastAsia" w:ascii="宋体" w:hAnsi="宋体" w:eastAsia="宋体" w:cs="宋体"/>
                <w:caps w:val="0"/>
                <w:color w:val="auto"/>
                <w:spacing w:val="11"/>
                <w:highlight w:val="none"/>
                <w:lang w:val="en-US" w:eastAsia="zh-CN"/>
              </w:rPr>
              <w:t>天</w:t>
            </w:r>
            <w:r>
              <w:rPr>
                <w:rFonts w:hint="eastAsia" w:ascii="宋体" w:hAnsi="宋体" w:eastAsia="宋体" w:cs="宋体"/>
                <w:caps w:val="0"/>
                <w:color w:val="auto"/>
                <w:spacing w:val="11"/>
                <w:highlight w:val="none"/>
              </w:rPr>
              <w:t>。</w:t>
            </w:r>
          </w:p>
        </w:tc>
      </w:tr>
      <w:tr w14:paraId="35F8C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7A529A4B">
            <w:pPr>
              <w:spacing w:line="380" w:lineRule="exact"/>
              <w:jc w:val="center"/>
              <w:rPr>
                <w:rStyle w:val="40"/>
                <w:rFonts w:ascii="宋体" w:hAnsi="宋体"/>
                <w:color w:val="auto"/>
                <w:szCs w:val="21"/>
                <w:highlight w:val="none"/>
              </w:rPr>
            </w:pPr>
          </w:p>
        </w:tc>
        <w:tc>
          <w:tcPr>
            <w:tcW w:w="1162" w:type="dxa"/>
            <w:tcBorders>
              <w:top w:val="single" w:color="000000" w:sz="4" w:space="0"/>
              <w:left w:val="single" w:color="000000" w:sz="4" w:space="0"/>
              <w:bottom w:val="single" w:color="000000" w:sz="4" w:space="0"/>
              <w:right w:val="single" w:color="000000" w:sz="4" w:space="0"/>
            </w:tcBorders>
            <w:vAlign w:val="center"/>
          </w:tcPr>
          <w:p w14:paraId="73C71215">
            <w:pPr>
              <w:spacing w:line="380" w:lineRule="exact"/>
              <w:jc w:val="center"/>
              <w:rPr>
                <w:rStyle w:val="40"/>
                <w:rFonts w:hint="default" w:ascii="宋体" w:hAnsi="宋体"/>
                <w:color w:val="auto"/>
                <w:szCs w:val="21"/>
                <w:highlight w:val="none"/>
                <w:lang w:val="en-US" w:eastAsia="zh-CN"/>
              </w:rPr>
            </w:pPr>
            <w:r>
              <w:rPr>
                <w:rStyle w:val="40"/>
                <w:rFonts w:hint="eastAsia" w:ascii="宋体" w:hAnsi="宋体"/>
                <w:color w:val="auto"/>
                <w:szCs w:val="21"/>
                <w:highlight w:val="none"/>
                <w:lang w:val="en-US" w:eastAsia="zh-CN"/>
              </w:rPr>
              <w:t>3.3</w:t>
            </w:r>
          </w:p>
        </w:tc>
        <w:tc>
          <w:tcPr>
            <w:tcW w:w="7757" w:type="dxa"/>
            <w:tcBorders>
              <w:top w:val="single" w:color="000000" w:sz="4" w:space="0"/>
              <w:left w:val="single" w:color="000000" w:sz="4" w:space="0"/>
              <w:bottom w:val="single" w:color="000000" w:sz="4" w:space="0"/>
              <w:right w:val="single" w:color="000000" w:sz="4" w:space="0"/>
            </w:tcBorders>
            <w:vAlign w:val="center"/>
          </w:tcPr>
          <w:p w14:paraId="4FB6D817">
            <w:pPr>
              <w:spacing w:before="75" w:after="75" w:line="276" w:lineRule="auto"/>
              <w:ind w:firstLine="179" w:firstLineChars="85"/>
              <w:jc w:val="left"/>
              <w:rPr>
                <w:rFonts w:hint="eastAsia" w:ascii="宋体" w:hAnsi="宋体" w:eastAsia="宋体" w:cs="宋体"/>
                <w:caps w:val="0"/>
                <w:color w:val="auto"/>
                <w:spacing w:val="11"/>
                <w:highlight w:val="none"/>
              </w:rPr>
            </w:pPr>
            <w:r>
              <w:rPr>
                <w:rFonts w:hint="eastAsia" w:hAnsi="宋体" w:cs="宋体"/>
                <w:b/>
                <w:bCs/>
                <w:color w:val="auto"/>
                <w:highlight w:val="none"/>
                <w:lang w:val="en-US" w:eastAsia="zh-CN"/>
              </w:rPr>
              <w:t>本项目标</w:t>
            </w:r>
            <w:r>
              <w:rPr>
                <w:rFonts w:hint="eastAsia" w:ascii="宋体" w:hAnsi="宋体" w:cs="宋体"/>
                <w:b/>
                <w:bCs/>
                <w:color w:val="auto"/>
                <w:highlight w:val="none"/>
                <w:lang w:val="en-US" w:eastAsia="zh-CN"/>
              </w:rPr>
              <w:t>所属行业</w:t>
            </w:r>
            <w:r>
              <w:rPr>
                <w:rFonts w:hint="eastAsia" w:hAnsi="宋体" w:cs="宋体"/>
                <w:b/>
                <w:bCs/>
                <w:color w:val="auto"/>
                <w:highlight w:val="none"/>
                <w:lang w:val="en-US" w:eastAsia="zh-CN"/>
              </w:rPr>
              <w:t>:</w:t>
            </w:r>
            <w:r>
              <w:rPr>
                <w:rFonts w:hint="eastAsia" w:ascii="宋体" w:hAnsi="宋体"/>
                <w:b/>
                <w:bCs/>
                <w:color w:val="auto"/>
                <w:szCs w:val="21"/>
              </w:rPr>
              <w:t>农、林、牧、渔业</w:t>
            </w:r>
          </w:p>
        </w:tc>
      </w:tr>
      <w:tr w14:paraId="3627B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69EDAB9E">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4</w:t>
            </w:r>
          </w:p>
        </w:tc>
        <w:tc>
          <w:tcPr>
            <w:tcW w:w="1162" w:type="dxa"/>
            <w:tcBorders>
              <w:top w:val="single" w:color="000000" w:sz="4" w:space="0"/>
              <w:left w:val="single" w:color="000000" w:sz="4" w:space="0"/>
              <w:bottom w:val="single" w:color="000000" w:sz="4" w:space="0"/>
              <w:right w:val="single" w:color="000000" w:sz="4" w:space="0"/>
            </w:tcBorders>
            <w:vAlign w:val="center"/>
          </w:tcPr>
          <w:p w14:paraId="2627980B">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4.1</w:t>
            </w:r>
          </w:p>
        </w:tc>
        <w:tc>
          <w:tcPr>
            <w:tcW w:w="7757" w:type="dxa"/>
            <w:tcBorders>
              <w:top w:val="single" w:color="000000" w:sz="4" w:space="0"/>
              <w:left w:val="single" w:color="000000" w:sz="4" w:space="0"/>
              <w:bottom w:val="single" w:color="000000" w:sz="4" w:space="0"/>
              <w:right w:val="single" w:color="000000" w:sz="4" w:space="0"/>
            </w:tcBorders>
            <w:vAlign w:val="center"/>
          </w:tcPr>
          <w:p w14:paraId="79D8C169">
            <w:pPr>
              <w:spacing w:line="380" w:lineRule="exact"/>
              <w:rPr>
                <w:rStyle w:val="40"/>
                <w:rFonts w:ascii="宋体" w:hAnsi="宋体"/>
                <w:color w:val="auto"/>
                <w:szCs w:val="21"/>
                <w:highlight w:val="none"/>
              </w:rPr>
            </w:pPr>
            <w:r>
              <w:rPr>
                <w:rStyle w:val="40"/>
                <w:rFonts w:ascii="宋体" w:hAnsi="宋体"/>
                <w:color w:val="auto"/>
                <w:szCs w:val="21"/>
                <w:highlight w:val="none"/>
              </w:rPr>
              <w:t>磋商报价及费用：</w:t>
            </w:r>
          </w:p>
          <w:p w14:paraId="22710B0D">
            <w:pPr>
              <w:spacing w:line="380" w:lineRule="exact"/>
              <w:rPr>
                <w:rStyle w:val="40"/>
                <w:rFonts w:ascii="宋体" w:hAnsi="宋体"/>
                <w:color w:val="auto"/>
                <w:szCs w:val="21"/>
                <w:highlight w:val="none"/>
              </w:rPr>
            </w:pPr>
            <w:r>
              <w:rPr>
                <w:rStyle w:val="40"/>
                <w:rFonts w:ascii="宋体" w:hAnsi="宋体"/>
                <w:color w:val="auto"/>
                <w:szCs w:val="21"/>
                <w:highlight w:val="none"/>
              </w:rPr>
              <w:t>1、本项目磋商应以人民币报价；</w:t>
            </w:r>
          </w:p>
          <w:p w14:paraId="006A8184">
            <w:pPr>
              <w:spacing w:line="380" w:lineRule="exact"/>
              <w:rPr>
                <w:rStyle w:val="40"/>
                <w:rFonts w:ascii="宋体" w:hAnsi="宋体"/>
                <w:color w:val="auto"/>
                <w:szCs w:val="21"/>
                <w:highlight w:val="none"/>
              </w:rPr>
            </w:pPr>
            <w:r>
              <w:rPr>
                <w:rStyle w:val="40"/>
                <w:rFonts w:ascii="宋体" w:hAnsi="宋体"/>
                <w:color w:val="auto"/>
                <w:szCs w:val="21"/>
                <w:highlight w:val="none"/>
              </w:rPr>
              <w:t>2、不论磋商结果如何，磋商供应商均应自行承担所有与磋商有关的全部费用；</w:t>
            </w:r>
          </w:p>
          <w:p w14:paraId="33E12ACB">
            <w:pPr>
              <w:spacing w:line="380" w:lineRule="exact"/>
              <w:rPr>
                <w:rStyle w:val="40"/>
                <w:rFonts w:ascii="宋体" w:hAnsi="宋体"/>
                <w:color w:val="auto"/>
                <w:szCs w:val="21"/>
                <w:highlight w:val="none"/>
              </w:rPr>
            </w:pPr>
            <w:r>
              <w:rPr>
                <w:rStyle w:val="40"/>
                <w:rFonts w:ascii="宋体" w:hAnsi="宋体"/>
                <w:color w:val="auto"/>
                <w:szCs w:val="21"/>
                <w:highlight w:val="none"/>
              </w:rPr>
              <w:t>3、本项目招标代理服务费按国家发展改革委《关于进一步放开建设项目专业服务价格的通知》发改价格〔2015〕299号文执行，方式为由成交</w:t>
            </w:r>
            <w:r>
              <w:rPr>
                <w:rStyle w:val="40"/>
                <w:rFonts w:hint="eastAsia" w:ascii="宋体" w:hAnsi="宋体"/>
                <w:color w:val="auto"/>
                <w:szCs w:val="21"/>
                <w:highlight w:val="none"/>
                <w:lang w:eastAsia="zh-CN"/>
              </w:rPr>
              <w:t>供应商</w:t>
            </w:r>
            <w:r>
              <w:rPr>
                <w:rStyle w:val="40"/>
                <w:rFonts w:ascii="宋体" w:hAnsi="宋体"/>
                <w:color w:val="auto"/>
                <w:szCs w:val="21"/>
                <w:highlight w:val="none"/>
              </w:rPr>
              <w:t>向采购代理机构支付。代理服务费请转到以下账户：</w:t>
            </w:r>
          </w:p>
          <w:p w14:paraId="0B914405">
            <w:pPr>
              <w:spacing w:line="380" w:lineRule="exact"/>
              <w:rPr>
                <w:rStyle w:val="40"/>
                <w:rFonts w:hint="eastAsia" w:ascii="宋体" w:hAnsi="宋体"/>
                <w:color w:val="auto"/>
                <w:szCs w:val="21"/>
                <w:lang w:eastAsia="zh-CN"/>
              </w:rPr>
            </w:pPr>
            <w:r>
              <w:rPr>
                <w:rStyle w:val="40"/>
                <w:rFonts w:hint="eastAsia" w:ascii="宋体" w:hAnsi="宋体"/>
                <w:color w:val="auto"/>
                <w:szCs w:val="21"/>
              </w:rPr>
              <w:t>开户银行：</w:t>
            </w:r>
            <w:r>
              <w:rPr>
                <w:rStyle w:val="40"/>
                <w:rFonts w:hint="eastAsia" w:ascii="宋体" w:hAnsi="宋体"/>
                <w:color w:val="auto"/>
                <w:szCs w:val="21"/>
                <w:lang w:eastAsia="zh-CN"/>
              </w:rPr>
              <w:t>贵港市区农村信用合作联社西郊分区</w:t>
            </w:r>
          </w:p>
          <w:p w14:paraId="56ECF803">
            <w:pPr>
              <w:spacing w:line="380" w:lineRule="exact"/>
              <w:rPr>
                <w:rStyle w:val="40"/>
                <w:rFonts w:hint="eastAsia" w:ascii="宋体" w:hAnsi="宋体"/>
                <w:color w:val="auto"/>
                <w:szCs w:val="21"/>
              </w:rPr>
            </w:pPr>
            <w:r>
              <w:rPr>
                <w:rStyle w:val="40"/>
                <w:rFonts w:hint="eastAsia" w:ascii="宋体" w:hAnsi="宋体"/>
                <w:color w:val="auto"/>
                <w:szCs w:val="21"/>
              </w:rPr>
              <w:t xml:space="preserve">账户名称：贵港市安然项目管理有限公司 </w:t>
            </w:r>
          </w:p>
          <w:p w14:paraId="07E5FECB">
            <w:pPr>
              <w:spacing w:line="380" w:lineRule="exact"/>
              <w:rPr>
                <w:rStyle w:val="40"/>
                <w:rFonts w:ascii="宋体" w:hAnsi="宋体"/>
                <w:color w:val="auto"/>
                <w:szCs w:val="21"/>
                <w:highlight w:val="none"/>
              </w:rPr>
            </w:pPr>
            <w:r>
              <w:rPr>
                <w:rStyle w:val="40"/>
                <w:rFonts w:hint="eastAsia" w:ascii="宋体" w:hAnsi="宋体"/>
                <w:color w:val="auto"/>
                <w:szCs w:val="21"/>
              </w:rPr>
              <w:t>银行账号：903312010107472899</w:t>
            </w:r>
          </w:p>
        </w:tc>
      </w:tr>
      <w:tr w14:paraId="13ED5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12FBA28A">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5</w:t>
            </w:r>
          </w:p>
        </w:tc>
        <w:tc>
          <w:tcPr>
            <w:tcW w:w="1162" w:type="dxa"/>
            <w:tcBorders>
              <w:top w:val="single" w:color="000000" w:sz="4" w:space="0"/>
              <w:left w:val="single" w:color="000000" w:sz="4" w:space="0"/>
              <w:bottom w:val="single" w:color="000000" w:sz="4" w:space="0"/>
              <w:right w:val="single" w:color="000000" w:sz="4" w:space="0"/>
            </w:tcBorders>
            <w:vAlign w:val="center"/>
          </w:tcPr>
          <w:p w14:paraId="35737FE1">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5.1</w:t>
            </w:r>
          </w:p>
        </w:tc>
        <w:tc>
          <w:tcPr>
            <w:tcW w:w="7757" w:type="dxa"/>
            <w:tcBorders>
              <w:top w:val="single" w:color="000000" w:sz="4" w:space="0"/>
              <w:left w:val="single" w:color="000000" w:sz="4" w:space="0"/>
              <w:bottom w:val="single" w:color="000000" w:sz="4" w:space="0"/>
              <w:right w:val="single" w:color="000000" w:sz="4" w:space="0"/>
            </w:tcBorders>
            <w:vAlign w:val="center"/>
          </w:tcPr>
          <w:p w14:paraId="2DC07C70">
            <w:pPr>
              <w:spacing w:line="380" w:lineRule="exact"/>
              <w:rPr>
                <w:rStyle w:val="40"/>
                <w:rFonts w:ascii="宋体" w:hAnsi="宋体"/>
                <w:color w:val="auto"/>
                <w:szCs w:val="21"/>
                <w:highlight w:val="none"/>
              </w:rPr>
            </w:pPr>
            <w:r>
              <w:rPr>
                <w:rStyle w:val="40"/>
                <w:rFonts w:ascii="宋体" w:hAnsi="宋体"/>
                <w:color w:val="auto"/>
                <w:szCs w:val="21"/>
                <w:highlight w:val="none"/>
              </w:rPr>
              <w:t>响应文件：</w:t>
            </w:r>
            <w:r>
              <w:rPr>
                <w:rStyle w:val="40"/>
                <w:rFonts w:hint="eastAsia" w:ascii="宋体" w:hAnsi="宋体"/>
                <w:color w:val="auto"/>
                <w:szCs w:val="21"/>
                <w:highlight w:val="none"/>
              </w:rPr>
              <w:t>电子版一份；</w:t>
            </w:r>
          </w:p>
        </w:tc>
      </w:tr>
      <w:tr w14:paraId="6BB9A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1A08DAA1">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6</w:t>
            </w:r>
          </w:p>
        </w:tc>
        <w:tc>
          <w:tcPr>
            <w:tcW w:w="1162" w:type="dxa"/>
            <w:tcBorders>
              <w:top w:val="single" w:color="000000" w:sz="4" w:space="0"/>
              <w:left w:val="single" w:color="000000" w:sz="4" w:space="0"/>
              <w:bottom w:val="single" w:color="000000" w:sz="4" w:space="0"/>
              <w:right w:val="single" w:color="000000" w:sz="4" w:space="0"/>
            </w:tcBorders>
            <w:vAlign w:val="center"/>
          </w:tcPr>
          <w:p w14:paraId="5C5A1221">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6.1</w:t>
            </w:r>
          </w:p>
        </w:tc>
        <w:tc>
          <w:tcPr>
            <w:tcW w:w="7757" w:type="dxa"/>
            <w:tcBorders>
              <w:top w:val="single" w:color="000000" w:sz="4" w:space="0"/>
              <w:left w:val="single" w:color="000000" w:sz="4" w:space="0"/>
              <w:bottom w:val="single" w:color="000000" w:sz="4" w:space="0"/>
              <w:right w:val="single" w:color="000000" w:sz="4" w:space="0"/>
            </w:tcBorders>
            <w:vAlign w:val="center"/>
          </w:tcPr>
          <w:p w14:paraId="7B6D70DB">
            <w:pPr>
              <w:spacing w:line="380" w:lineRule="exact"/>
              <w:rPr>
                <w:rStyle w:val="40"/>
                <w:rFonts w:hint="eastAsia" w:ascii="宋体" w:hAnsi="宋体" w:eastAsia="宋体"/>
                <w:color w:val="auto"/>
                <w:szCs w:val="21"/>
                <w:highlight w:val="none"/>
                <w:lang w:val="en-US" w:eastAsia="zh-CN"/>
              </w:rPr>
            </w:pPr>
            <w:r>
              <w:rPr>
                <w:rStyle w:val="40"/>
                <w:rFonts w:ascii="宋体" w:hAnsi="宋体"/>
                <w:color w:val="auto"/>
                <w:szCs w:val="21"/>
                <w:highlight w:val="none"/>
              </w:rPr>
              <w:t>响应文件递交截止时间：</w:t>
            </w:r>
            <w:r>
              <w:rPr>
                <w:rFonts w:hint="eastAsia" w:cs="宋体" w:asciiTheme="minorEastAsia" w:hAnsiTheme="minorEastAsia" w:eastAsiaTheme="minorEastAsia"/>
                <w:b/>
                <w:bCs w:val="0"/>
                <w:color w:val="auto"/>
                <w:kern w:val="0"/>
                <w:szCs w:val="21"/>
                <w:highlight w:val="none"/>
                <w:lang w:eastAsia="zh-CN"/>
              </w:rPr>
              <w:t>2026</w:t>
            </w:r>
            <w:r>
              <w:rPr>
                <w:rFonts w:cs="宋体" w:asciiTheme="minorEastAsia" w:hAnsiTheme="minorEastAsia" w:eastAsiaTheme="minorEastAsia"/>
                <w:b/>
                <w:bCs w:val="0"/>
                <w:color w:val="auto"/>
                <w:kern w:val="0"/>
                <w:szCs w:val="21"/>
                <w:highlight w:val="none"/>
              </w:rPr>
              <w:t>年</w:t>
            </w:r>
            <w:r>
              <w:rPr>
                <w:rFonts w:hint="eastAsia" w:cs="宋体" w:asciiTheme="minorEastAsia" w:hAnsiTheme="minorEastAsia" w:eastAsiaTheme="minorEastAsia"/>
                <w:b/>
                <w:bCs w:val="0"/>
                <w:color w:val="auto"/>
                <w:kern w:val="0"/>
                <w:szCs w:val="21"/>
                <w:highlight w:val="none"/>
                <w:lang w:val="en-US" w:eastAsia="zh-CN"/>
              </w:rPr>
              <w:t>7</w:t>
            </w:r>
            <w:r>
              <w:rPr>
                <w:rFonts w:cs="宋体" w:asciiTheme="minorEastAsia" w:hAnsiTheme="minorEastAsia" w:eastAsiaTheme="minorEastAsia"/>
                <w:b/>
                <w:bCs w:val="0"/>
                <w:color w:val="auto"/>
                <w:kern w:val="0"/>
                <w:szCs w:val="21"/>
                <w:highlight w:val="none"/>
              </w:rPr>
              <w:t>月</w:t>
            </w:r>
            <w:r>
              <w:rPr>
                <w:rFonts w:hint="eastAsia" w:cs="宋体" w:asciiTheme="minorEastAsia" w:hAnsiTheme="minorEastAsia" w:eastAsiaTheme="minorEastAsia"/>
                <w:b/>
                <w:bCs w:val="0"/>
                <w:color w:val="auto"/>
                <w:kern w:val="0"/>
                <w:szCs w:val="21"/>
                <w:highlight w:val="none"/>
                <w:lang w:val="en-US" w:eastAsia="zh-CN"/>
              </w:rPr>
              <w:t>31</w:t>
            </w:r>
            <w:r>
              <w:rPr>
                <w:rFonts w:cs="宋体" w:asciiTheme="minorEastAsia" w:hAnsiTheme="minorEastAsia" w:eastAsiaTheme="minorEastAsia"/>
                <w:b/>
                <w:bCs w:val="0"/>
                <w:color w:val="auto"/>
                <w:kern w:val="0"/>
                <w:szCs w:val="21"/>
                <w:highlight w:val="none"/>
              </w:rPr>
              <w:t>日</w:t>
            </w:r>
            <w:r>
              <w:rPr>
                <w:rFonts w:hint="eastAsia" w:cs="宋体" w:asciiTheme="minorEastAsia" w:hAnsiTheme="minorEastAsia" w:eastAsiaTheme="minorEastAsia"/>
                <w:b/>
                <w:bCs w:val="0"/>
                <w:color w:val="auto"/>
                <w:kern w:val="0"/>
                <w:szCs w:val="21"/>
                <w:highlight w:val="none"/>
                <w:lang w:val="en-US" w:eastAsia="zh-CN"/>
              </w:rPr>
              <w:t>09</w:t>
            </w:r>
            <w:r>
              <w:rPr>
                <w:rFonts w:cs="宋体" w:asciiTheme="minorEastAsia" w:hAnsiTheme="minorEastAsia" w:eastAsiaTheme="minorEastAsia"/>
                <w:b/>
                <w:bCs w:val="0"/>
                <w:color w:val="auto"/>
                <w:kern w:val="0"/>
                <w:szCs w:val="21"/>
                <w:highlight w:val="none"/>
              </w:rPr>
              <w:t>时</w:t>
            </w:r>
            <w:r>
              <w:rPr>
                <w:rFonts w:hint="eastAsia" w:cs="宋体" w:asciiTheme="minorEastAsia" w:hAnsiTheme="minorEastAsia" w:eastAsiaTheme="minorEastAsia"/>
                <w:b/>
                <w:bCs w:val="0"/>
                <w:color w:val="auto"/>
                <w:kern w:val="0"/>
                <w:szCs w:val="21"/>
                <w:highlight w:val="none"/>
                <w:lang w:val="en-US" w:eastAsia="zh-CN"/>
              </w:rPr>
              <w:t>00</w:t>
            </w:r>
            <w:r>
              <w:rPr>
                <w:rFonts w:cs="宋体" w:asciiTheme="minorEastAsia" w:hAnsiTheme="minorEastAsia" w:eastAsiaTheme="minorEastAsia"/>
                <w:b/>
                <w:bCs w:val="0"/>
                <w:color w:val="auto"/>
                <w:kern w:val="0"/>
                <w:szCs w:val="21"/>
                <w:highlight w:val="none"/>
              </w:rPr>
              <w:t>分</w:t>
            </w:r>
            <w:r>
              <w:rPr>
                <w:rFonts w:hint="eastAsia" w:ascii="宋体" w:hAnsi="宋体"/>
                <w:color w:val="auto"/>
                <w:szCs w:val="21"/>
                <w:highlight w:val="none"/>
              </w:rPr>
              <w:t>之</w:t>
            </w:r>
            <w:r>
              <w:rPr>
                <w:rFonts w:hint="eastAsia" w:ascii="宋体" w:hAnsi="宋体"/>
                <w:color w:val="auto"/>
                <w:szCs w:val="21"/>
                <w:highlight w:val="none"/>
              </w:rPr>
              <w:t>前将电子磋商响应文件上传到</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。应按照本项目竞争性磋商文件和</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的要求编制、加密传输磋商响应文件。供应商在使用系统进行投标的过程中遇到涉及平台使用的任何问题，可致电</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技术支持热线咨询，联系方式：95763</w:t>
            </w:r>
          </w:p>
        </w:tc>
      </w:tr>
      <w:tr w14:paraId="4F7E2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4911DA60">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7</w:t>
            </w:r>
          </w:p>
        </w:tc>
        <w:tc>
          <w:tcPr>
            <w:tcW w:w="1162" w:type="dxa"/>
            <w:tcBorders>
              <w:top w:val="single" w:color="000000" w:sz="4" w:space="0"/>
              <w:left w:val="single" w:color="000000" w:sz="4" w:space="0"/>
              <w:bottom w:val="single" w:color="000000" w:sz="4" w:space="0"/>
              <w:right w:val="single" w:color="000000" w:sz="4" w:space="0"/>
            </w:tcBorders>
            <w:vAlign w:val="center"/>
          </w:tcPr>
          <w:p w14:paraId="27E6319B">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7.1</w:t>
            </w:r>
          </w:p>
        </w:tc>
        <w:tc>
          <w:tcPr>
            <w:tcW w:w="7757" w:type="dxa"/>
            <w:tcBorders>
              <w:top w:val="single" w:color="000000" w:sz="4" w:space="0"/>
              <w:left w:val="single" w:color="000000" w:sz="4" w:space="0"/>
              <w:bottom w:val="single" w:color="000000" w:sz="4" w:space="0"/>
              <w:right w:val="single" w:color="000000" w:sz="4" w:space="0"/>
            </w:tcBorders>
            <w:vAlign w:val="center"/>
          </w:tcPr>
          <w:p w14:paraId="4362F43F">
            <w:pPr>
              <w:spacing w:line="380" w:lineRule="exact"/>
              <w:rPr>
                <w:rStyle w:val="40"/>
                <w:rFonts w:ascii="宋体" w:hAnsi="宋体"/>
                <w:color w:val="auto"/>
                <w:szCs w:val="21"/>
                <w:highlight w:val="none"/>
              </w:rPr>
            </w:pPr>
            <w:r>
              <w:rPr>
                <w:rStyle w:val="40"/>
                <w:rFonts w:ascii="宋体" w:hAnsi="宋体"/>
                <w:color w:val="auto"/>
                <w:szCs w:val="21"/>
                <w:highlight w:val="none"/>
              </w:rPr>
              <w:t>响应文件有效期 ：响应文件递交截止日期后60天。</w:t>
            </w:r>
          </w:p>
        </w:tc>
      </w:tr>
      <w:tr w14:paraId="16C1A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1152D898">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8</w:t>
            </w:r>
          </w:p>
        </w:tc>
        <w:tc>
          <w:tcPr>
            <w:tcW w:w="1162" w:type="dxa"/>
            <w:tcBorders>
              <w:top w:val="single" w:color="000000" w:sz="4" w:space="0"/>
              <w:left w:val="single" w:color="000000" w:sz="4" w:space="0"/>
              <w:bottom w:val="single" w:color="000000" w:sz="4" w:space="0"/>
              <w:right w:val="single" w:color="000000" w:sz="4" w:space="0"/>
            </w:tcBorders>
            <w:vAlign w:val="center"/>
          </w:tcPr>
          <w:p w14:paraId="10C7B25A">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8.1</w:t>
            </w:r>
          </w:p>
        </w:tc>
        <w:tc>
          <w:tcPr>
            <w:tcW w:w="7757" w:type="dxa"/>
            <w:tcBorders>
              <w:top w:val="single" w:color="000000" w:sz="4" w:space="0"/>
              <w:left w:val="single" w:color="000000" w:sz="4" w:space="0"/>
              <w:bottom w:val="single" w:color="000000" w:sz="4" w:space="0"/>
              <w:right w:val="single" w:color="000000" w:sz="4" w:space="0"/>
            </w:tcBorders>
            <w:vAlign w:val="center"/>
          </w:tcPr>
          <w:p w14:paraId="1DA02912">
            <w:pPr>
              <w:spacing w:line="400" w:lineRule="exact"/>
              <w:rPr>
                <w:rStyle w:val="40"/>
                <w:rFonts w:ascii="宋体" w:hAnsi="宋体"/>
                <w:b/>
                <w:color w:val="auto"/>
                <w:szCs w:val="21"/>
                <w:highlight w:val="none"/>
              </w:rPr>
            </w:pPr>
            <w:r>
              <w:rPr>
                <w:rStyle w:val="40"/>
                <w:rFonts w:ascii="宋体" w:hAnsi="宋体"/>
                <w:b/>
                <w:color w:val="auto"/>
                <w:szCs w:val="21"/>
                <w:highlight w:val="none"/>
              </w:rPr>
              <w:t>诚信要求：</w:t>
            </w:r>
          </w:p>
          <w:p w14:paraId="2CEBB67B">
            <w:pPr>
              <w:spacing w:line="400" w:lineRule="exact"/>
              <w:ind w:firstLine="315" w:firstLineChars="150"/>
              <w:rPr>
                <w:rStyle w:val="40"/>
                <w:rFonts w:ascii="宋体" w:hAnsi="宋体"/>
                <w:color w:val="auto"/>
                <w:szCs w:val="21"/>
                <w:highlight w:val="none"/>
              </w:rPr>
            </w:pPr>
            <w:r>
              <w:rPr>
                <w:rStyle w:val="40"/>
                <w:rFonts w:ascii="宋体" w:hAnsi="宋体"/>
                <w:color w:val="auto"/>
                <w:szCs w:val="21"/>
                <w:highlight w:val="none"/>
              </w:rPr>
              <w:t>供应商如被列入失信被执行人、重大税收违法案件当事人名单、政府采购严重违法失信行为记录名单，则资格审查不予通过，按无效响应处理。</w:t>
            </w:r>
          </w:p>
          <w:p w14:paraId="056F0E90">
            <w:pPr>
              <w:spacing w:line="400" w:lineRule="exact"/>
              <w:rPr>
                <w:rStyle w:val="40"/>
                <w:rFonts w:ascii="宋体" w:hAnsi="宋体"/>
                <w:color w:val="auto"/>
                <w:szCs w:val="21"/>
                <w:highlight w:val="none"/>
              </w:rPr>
            </w:pPr>
            <w:r>
              <w:rPr>
                <w:rStyle w:val="40"/>
                <w:rFonts w:ascii="宋体" w:hAnsi="宋体"/>
                <w:color w:val="auto"/>
                <w:szCs w:val="21"/>
                <w:highlight w:val="none"/>
              </w:rPr>
              <w:t xml:space="preserve">①信用信息查询渠道：中国政府采购网 “政府采购严重违法失信行为记录名单” 信用中国网：“失信被执行人”、“重大税收违法案件当事人名单” </w:t>
            </w:r>
          </w:p>
          <w:p w14:paraId="260AC6B5">
            <w:pPr>
              <w:spacing w:line="400" w:lineRule="exact"/>
              <w:rPr>
                <w:rStyle w:val="40"/>
                <w:rFonts w:ascii="宋体" w:hAnsi="宋体"/>
                <w:color w:val="auto"/>
                <w:szCs w:val="21"/>
                <w:highlight w:val="none"/>
              </w:rPr>
            </w:pPr>
            <w:r>
              <w:rPr>
                <w:rStyle w:val="40"/>
                <w:rFonts w:ascii="宋体" w:hAnsi="宋体"/>
                <w:color w:val="auto"/>
                <w:szCs w:val="21"/>
                <w:highlight w:val="none"/>
              </w:rPr>
              <w:t>②查询方式：资格审查时，采购人或采购代理机构通过上述渠道查询供应商的信用记录供评委审核。</w:t>
            </w:r>
          </w:p>
          <w:p w14:paraId="1C8D2DC6">
            <w:pPr>
              <w:spacing w:line="380" w:lineRule="exact"/>
              <w:rPr>
                <w:rStyle w:val="40"/>
                <w:rFonts w:ascii="宋体" w:hAnsi="宋体"/>
                <w:color w:val="auto"/>
                <w:szCs w:val="21"/>
                <w:highlight w:val="none"/>
              </w:rPr>
            </w:pPr>
            <w:r>
              <w:rPr>
                <w:rStyle w:val="40"/>
                <w:rFonts w:ascii="宋体" w:hAnsi="宋体"/>
                <w:color w:val="auto"/>
                <w:szCs w:val="21"/>
                <w:highlight w:val="none"/>
              </w:rPr>
              <w:t>③信用信息查询记录和证据留存的具体方式：通过上述查询渠道查询的供应商信用记录查询结果，将作为政府采购活动档案留存。</w:t>
            </w:r>
          </w:p>
        </w:tc>
      </w:tr>
      <w:tr w14:paraId="4754A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1A3C296D">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9</w:t>
            </w:r>
          </w:p>
        </w:tc>
        <w:tc>
          <w:tcPr>
            <w:tcW w:w="1162" w:type="dxa"/>
            <w:tcBorders>
              <w:top w:val="single" w:color="000000" w:sz="4" w:space="0"/>
              <w:left w:val="single" w:color="000000" w:sz="4" w:space="0"/>
              <w:bottom w:val="single" w:color="000000" w:sz="4" w:space="0"/>
              <w:right w:val="single" w:color="000000" w:sz="4" w:space="0"/>
            </w:tcBorders>
            <w:vAlign w:val="center"/>
          </w:tcPr>
          <w:p w14:paraId="6BA9D3A1">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9.1</w:t>
            </w:r>
          </w:p>
        </w:tc>
        <w:tc>
          <w:tcPr>
            <w:tcW w:w="7757" w:type="dxa"/>
            <w:tcBorders>
              <w:top w:val="single" w:color="000000" w:sz="4" w:space="0"/>
              <w:left w:val="single" w:color="000000" w:sz="4" w:space="0"/>
              <w:bottom w:val="single" w:color="000000" w:sz="4" w:space="0"/>
              <w:right w:val="single" w:color="000000" w:sz="4" w:space="0"/>
            </w:tcBorders>
            <w:vAlign w:val="center"/>
          </w:tcPr>
          <w:p w14:paraId="473716D3">
            <w:pPr>
              <w:spacing w:line="380" w:lineRule="exact"/>
              <w:rPr>
                <w:rStyle w:val="40"/>
                <w:rFonts w:ascii="宋体" w:hAnsi="宋体"/>
                <w:color w:val="auto"/>
                <w:szCs w:val="21"/>
                <w:highlight w:val="none"/>
              </w:rPr>
            </w:pPr>
            <w:r>
              <w:rPr>
                <w:rStyle w:val="40"/>
                <w:rFonts w:ascii="宋体" w:hAnsi="宋体"/>
                <w:color w:val="auto"/>
                <w:szCs w:val="21"/>
                <w:highlight w:val="none"/>
              </w:rPr>
              <w:t>磋商时间：</w:t>
            </w:r>
            <w:r>
              <w:rPr>
                <w:rFonts w:hint="eastAsia" w:cs="宋体" w:asciiTheme="minorEastAsia" w:hAnsiTheme="minorEastAsia" w:eastAsiaTheme="minorEastAsia"/>
                <w:b/>
                <w:bCs w:val="0"/>
                <w:color w:val="auto"/>
                <w:kern w:val="0"/>
                <w:szCs w:val="21"/>
                <w:highlight w:val="none"/>
                <w:lang w:eastAsia="zh-CN"/>
              </w:rPr>
              <w:t>2026</w:t>
            </w:r>
            <w:r>
              <w:rPr>
                <w:rFonts w:cs="宋体" w:asciiTheme="minorEastAsia" w:hAnsiTheme="minorEastAsia" w:eastAsiaTheme="minorEastAsia"/>
                <w:b/>
                <w:bCs w:val="0"/>
                <w:color w:val="auto"/>
                <w:kern w:val="0"/>
                <w:szCs w:val="21"/>
                <w:highlight w:val="none"/>
              </w:rPr>
              <w:t>年</w:t>
            </w:r>
            <w:r>
              <w:rPr>
                <w:rFonts w:hint="eastAsia" w:cs="宋体" w:asciiTheme="minorEastAsia" w:hAnsiTheme="minorEastAsia" w:eastAsiaTheme="minorEastAsia"/>
                <w:b/>
                <w:bCs w:val="0"/>
                <w:color w:val="auto"/>
                <w:kern w:val="0"/>
                <w:szCs w:val="21"/>
                <w:highlight w:val="none"/>
                <w:lang w:val="en-US" w:eastAsia="zh-CN"/>
              </w:rPr>
              <w:t>7</w:t>
            </w:r>
            <w:r>
              <w:rPr>
                <w:rFonts w:cs="宋体" w:asciiTheme="minorEastAsia" w:hAnsiTheme="minorEastAsia" w:eastAsiaTheme="minorEastAsia"/>
                <w:b/>
                <w:bCs w:val="0"/>
                <w:color w:val="auto"/>
                <w:kern w:val="0"/>
                <w:szCs w:val="21"/>
                <w:highlight w:val="none"/>
              </w:rPr>
              <w:t>月</w:t>
            </w:r>
            <w:r>
              <w:rPr>
                <w:rFonts w:hint="eastAsia" w:cs="宋体" w:asciiTheme="minorEastAsia" w:hAnsiTheme="minorEastAsia" w:eastAsiaTheme="minorEastAsia"/>
                <w:b/>
                <w:bCs w:val="0"/>
                <w:color w:val="auto"/>
                <w:kern w:val="0"/>
                <w:szCs w:val="21"/>
                <w:highlight w:val="none"/>
                <w:lang w:val="en-US" w:eastAsia="zh-CN"/>
              </w:rPr>
              <w:t>31</w:t>
            </w:r>
            <w:r>
              <w:rPr>
                <w:rFonts w:cs="宋体" w:asciiTheme="minorEastAsia" w:hAnsiTheme="minorEastAsia" w:eastAsiaTheme="minorEastAsia"/>
                <w:b/>
                <w:bCs w:val="0"/>
                <w:color w:val="auto"/>
                <w:kern w:val="0"/>
                <w:szCs w:val="21"/>
                <w:highlight w:val="none"/>
              </w:rPr>
              <w:t>日</w:t>
            </w:r>
            <w:r>
              <w:rPr>
                <w:rFonts w:hint="eastAsia" w:cs="宋体" w:asciiTheme="minorEastAsia" w:hAnsiTheme="minorEastAsia" w:eastAsiaTheme="minorEastAsia"/>
                <w:b/>
                <w:bCs w:val="0"/>
                <w:color w:val="auto"/>
                <w:kern w:val="0"/>
                <w:szCs w:val="21"/>
                <w:highlight w:val="none"/>
                <w:lang w:val="en-US" w:eastAsia="zh-CN"/>
              </w:rPr>
              <w:t>09</w:t>
            </w:r>
            <w:r>
              <w:rPr>
                <w:rFonts w:cs="宋体" w:asciiTheme="minorEastAsia" w:hAnsiTheme="minorEastAsia" w:eastAsiaTheme="minorEastAsia"/>
                <w:b/>
                <w:bCs w:val="0"/>
                <w:color w:val="auto"/>
                <w:kern w:val="0"/>
                <w:szCs w:val="21"/>
                <w:highlight w:val="none"/>
              </w:rPr>
              <w:t>时</w:t>
            </w:r>
            <w:r>
              <w:rPr>
                <w:rFonts w:hint="eastAsia" w:cs="宋体" w:asciiTheme="minorEastAsia" w:hAnsiTheme="minorEastAsia" w:eastAsiaTheme="minorEastAsia"/>
                <w:b/>
                <w:bCs w:val="0"/>
                <w:color w:val="auto"/>
                <w:kern w:val="0"/>
                <w:szCs w:val="21"/>
                <w:highlight w:val="none"/>
                <w:lang w:val="en-US" w:eastAsia="zh-CN"/>
              </w:rPr>
              <w:t>00</w:t>
            </w:r>
            <w:r>
              <w:rPr>
                <w:rFonts w:cs="宋体" w:asciiTheme="minorEastAsia" w:hAnsiTheme="minorEastAsia" w:eastAsiaTheme="minorEastAsia"/>
                <w:b/>
                <w:bCs w:val="0"/>
                <w:color w:val="auto"/>
                <w:kern w:val="0"/>
                <w:szCs w:val="21"/>
                <w:highlight w:val="none"/>
              </w:rPr>
              <w:t>分</w:t>
            </w:r>
            <w:r>
              <w:rPr>
                <w:rStyle w:val="40"/>
                <w:rFonts w:ascii="宋体" w:hAnsi="宋体"/>
                <w:b/>
                <w:bCs w:val="0"/>
                <w:color w:val="auto"/>
                <w:szCs w:val="21"/>
                <w:highlight w:val="none"/>
              </w:rPr>
              <w:t>截标后</w:t>
            </w:r>
            <w:r>
              <w:rPr>
                <w:rStyle w:val="40"/>
                <w:rFonts w:ascii="宋体" w:hAnsi="宋体"/>
                <w:color w:val="auto"/>
                <w:szCs w:val="21"/>
                <w:highlight w:val="none"/>
              </w:rPr>
              <w:t xml:space="preserve"> </w:t>
            </w:r>
          </w:p>
          <w:p w14:paraId="2A1CF732">
            <w:pPr>
              <w:spacing w:line="380" w:lineRule="exact"/>
              <w:rPr>
                <w:rStyle w:val="40"/>
                <w:rFonts w:ascii="宋体" w:hAnsi="宋体"/>
                <w:color w:val="auto"/>
                <w:szCs w:val="21"/>
                <w:highlight w:val="none"/>
              </w:rPr>
            </w:pPr>
            <w:r>
              <w:rPr>
                <w:rStyle w:val="40"/>
                <w:rFonts w:ascii="宋体" w:hAnsi="宋体"/>
                <w:color w:val="auto"/>
                <w:szCs w:val="21"/>
                <w:highlight w:val="none"/>
              </w:rPr>
              <w:t>磋商地点 ：</w:t>
            </w:r>
            <w:r>
              <w:rPr>
                <w:rFonts w:hint="eastAsia" w:ascii="宋体" w:hAnsi="宋体"/>
                <w:color w:val="auto"/>
                <w:szCs w:val="21"/>
                <w:highlight w:val="none"/>
              </w:rPr>
              <w:t>通过</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实行在线解密开启。</w:t>
            </w:r>
          </w:p>
        </w:tc>
      </w:tr>
      <w:tr w14:paraId="3ED7F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407F53C2">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10</w:t>
            </w:r>
          </w:p>
        </w:tc>
        <w:tc>
          <w:tcPr>
            <w:tcW w:w="1162" w:type="dxa"/>
            <w:tcBorders>
              <w:top w:val="single" w:color="000000" w:sz="4" w:space="0"/>
              <w:left w:val="single" w:color="000000" w:sz="4" w:space="0"/>
              <w:bottom w:val="single" w:color="000000" w:sz="4" w:space="0"/>
              <w:right w:val="single" w:color="000000" w:sz="4" w:space="0"/>
            </w:tcBorders>
            <w:vAlign w:val="center"/>
          </w:tcPr>
          <w:p w14:paraId="47CD8C98">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10.1</w:t>
            </w:r>
          </w:p>
        </w:tc>
        <w:tc>
          <w:tcPr>
            <w:tcW w:w="7757" w:type="dxa"/>
            <w:tcBorders>
              <w:top w:val="single" w:color="000000" w:sz="4" w:space="0"/>
              <w:left w:val="single" w:color="000000" w:sz="4" w:space="0"/>
              <w:bottom w:val="single" w:color="000000" w:sz="4" w:space="0"/>
              <w:right w:val="single" w:color="000000" w:sz="4" w:space="0"/>
            </w:tcBorders>
            <w:vAlign w:val="center"/>
          </w:tcPr>
          <w:p w14:paraId="4C3565F5">
            <w:pPr>
              <w:spacing w:line="380" w:lineRule="exact"/>
              <w:rPr>
                <w:rStyle w:val="40"/>
                <w:rFonts w:ascii="宋体" w:hAnsi="宋体"/>
                <w:color w:val="auto"/>
                <w:szCs w:val="21"/>
                <w:highlight w:val="none"/>
              </w:rPr>
            </w:pPr>
            <w:r>
              <w:rPr>
                <w:rStyle w:val="40"/>
                <w:rFonts w:ascii="宋体" w:hAnsi="宋体"/>
                <w:color w:val="auto"/>
                <w:szCs w:val="21"/>
                <w:highlight w:val="none"/>
              </w:rPr>
              <w:t>评标办法 ： 综合评分法 （详细见第五章 ）</w:t>
            </w:r>
          </w:p>
        </w:tc>
      </w:tr>
      <w:tr w14:paraId="03D45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28A71178">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11</w:t>
            </w:r>
          </w:p>
        </w:tc>
        <w:tc>
          <w:tcPr>
            <w:tcW w:w="1162" w:type="dxa"/>
            <w:tcBorders>
              <w:top w:val="single" w:color="000000" w:sz="4" w:space="0"/>
              <w:left w:val="single" w:color="000000" w:sz="4" w:space="0"/>
              <w:bottom w:val="single" w:color="000000" w:sz="4" w:space="0"/>
              <w:right w:val="single" w:color="000000" w:sz="4" w:space="0"/>
            </w:tcBorders>
            <w:vAlign w:val="center"/>
          </w:tcPr>
          <w:p w14:paraId="0AB9378E">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11.1</w:t>
            </w:r>
          </w:p>
        </w:tc>
        <w:tc>
          <w:tcPr>
            <w:tcW w:w="7757" w:type="dxa"/>
            <w:tcBorders>
              <w:top w:val="single" w:color="000000" w:sz="4" w:space="0"/>
              <w:left w:val="single" w:color="000000" w:sz="4" w:space="0"/>
              <w:bottom w:val="single" w:color="000000" w:sz="4" w:space="0"/>
              <w:right w:val="single" w:color="000000" w:sz="4" w:space="0"/>
            </w:tcBorders>
            <w:vAlign w:val="center"/>
          </w:tcPr>
          <w:p w14:paraId="0E53B8F2">
            <w:pPr>
              <w:spacing w:line="380" w:lineRule="exact"/>
              <w:rPr>
                <w:rFonts w:ascii="宋体" w:hAnsi="宋体"/>
                <w:b/>
                <w:bCs/>
                <w:color w:val="auto"/>
                <w:szCs w:val="21"/>
                <w:highlight w:val="none"/>
              </w:rPr>
            </w:pPr>
            <w:r>
              <w:rPr>
                <w:rFonts w:hint="eastAsia" w:ascii="宋体" w:hAnsi="宋体"/>
                <w:b/>
                <w:bCs/>
                <w:color w:val="auto"/>
                <w:szCs w:val="21"/>
                <w:highlight w:val="none"/>
              </w:rPr>
              <w:t>磋商前准备：</w:t>
            </w:r>
          </w:p>
          <w:p w14:paraId="6CA296D4">
            <w:pPr>
              <w:spacing w:line="380" w:lineRule="exac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本项目实行网上</w:t>
            </w:r>
            <w:r>
              <w:rPr>
                <w:rFonts w:hint="eastAsia" w:ascii="宋体" w:hAnsi="宋体"/>
                <w:color w:val="auto"/>
                <w:szCs w:val="21"/>
                <w:highlight w:val="none"/>
              </w:rPr>
              <w:t>磋商</w:t>
            </w:r>
            <w:r>
              <w:rPr>
                <w:rFonts w:ascii="宋体" w:hAnsi="宋体"/>
                <w:color w:val="auto"/>
                <w:szCs w:val="21"/>
                <w:highlight w:val="none"/>
              </w:rPr>
              <w:t>，采用电子</w:t>
            </w:r>
            <w:r>
              <w:rPr>
                <w:rFonts w:hint="eastAsia" w:ascii="宋体" w:hAnsi="宋体"/>
                <w:color w:val="auto"/>
                <w:szCs w:val="21"/>
                <w:highlight w:val="none"/>
              </w:rPr>
              <w:t>磋商响应</w:t>
            </w:r>
            <w:r>
              <w:rPr>
                <w:rFonts w:ascii="宋体" w:hAnsi="宋体"/>
                <w:color w:val="auto"/>
                <w:szCs w:val="21"/>
                <w:highlight w:val="none"/>
              </w:rPr>
              <w:t>文件。若供应商参与</w:t>
            </w:r>
            <w:r>
              <w:rPr>
                <w:rFonts w:hint="eastAsia" w:ascii="宋体" w:hAnsi="宋体"/>
                <w:color w:val="auto"/>
                <w:szCs w:val="21"/>
                <w:highlight w:val="none"/>
              </w:rPr>
              <w:t>磋商</w:t>
            </w:r>
            <w:r>
              <w:rPr>
                <w:rFonts w:ascii="宋体" w:hAnsi="宋体"/>
                <w:color w:val="auto"/>
                <w:szCs w:val="21"/>
                <w:highlight w:val="none"/>
              </w:rPr>
              <w:t>，自行承担</w:t>
            </w:r>
            <w:r>
              <w:rPr>
                <w:rFonts w:hint="eastAsia" w:ascii="宋体" w:hAnsi="宋体"/>
                <w:color w:val="auto"/>
                <w:szCs w:val="21"/>
                <w:highlight w:val="none"/>
              </w:rPr>
              <w:t>磋商</w:t>
            </w:r>
            <w:r>
              <w:rPr>
                <w:rFonts w:ascii="宋体" w:hAnsi="宋体"/>
                <w:color w:val="auto"/>
                <w:szCs w:val="21"/>
                <w:highlight w:val="none"/>
              </w:rPr>
              <w:t>一切费用</w:t>
            </w:r>
            <w:r>
              <w:rPr>
                <w:rFonts w:hint="eastAsia" w:ascii="宋体" w:hAnsi="宋体"/>
                <w:color w:val="auto"/>
                <w:szCs w:val="21"/>
                <w:highlight w:val="none"/>
              </w:rPr>
              <w:t>。</w:t>
            </w:r>
          </w:p>
          <w:p w14:paraId="09CC2BE0">
            <w:pPr>
              <w:spacing w:line="380" w:lineRule="exact"/>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各供应商应在</w:t>
            </w:r>
            <w:r>
              <w:rPr>
                <w:rFonts w:hint="eastAsia" w:ascii="宋体" w:hAnsi="宋体"/>
                <w:color w:val="auto"/>
                <w:szCs w:val="21"/>
                <w:highlight w:val="none"/>
              </w:rPr>
              <w:t>截</w:t>
            </w:r>
            <w:r>
              <w:rPr>
                <w:rFonts w:ascii="宋体" w:hAnsi="宋体"/>
                <w:color w:val="auto"/>
                <w:szCs w:val="21"/>
                <w:highlight w:val="none"/>
              </w:rPr>
              <w:t>标前应确保成为</w:t>
            </w:r>
            <w:r>
              <w:rPr>
                <w:rFonts w:hint="eastAsia" w:ascii="宋体" w:hAnsi="宋体"/>
                <w:color w:val="auto"/>
                <w:szCs w:val="21"/>
                <w:highlight w:val="none"/>
                <w:lang w:eastAsia="zh-CN"/>
              </w:rPr>
              <w:t>广西政府采购云平台</w:t>
            </w:r>
            <w:r>
              <w:rPr>
                <w:rFonts w:ascii="宋体" w:hAnsi="宋体"/>
                <w:color w:val="auto"/>
                <w:szCs w:val="21"/>
                <w:highlight w:val="none"/>
              </w:rPr>
              <w:t>正式注册入库供应商，并完成CA数字证书</w:t>
            </w:r>
            <w:r>
              <w:rPr>
                <w:rFonts w:hint="eastAsia" w:ascii="宋体" w:hAnsi="宋体"/>
                <w:color w:val="auto"/>
                <w:szCs w:val="21"/>
                <w:highlight w:val="none"/>
              </w:rPr>
              <w:t>申领</w:t>
            </w:r>
            <w:r>
              <w:rPr>
                <w:rFonts w:ascii="宋体" w:hAnsi="宋体"/>
                <w:color w:val="auto"/>
                <w:szCs w:val="21"/>
                <w:highlight w:val="none"/>
              </w:rPr>
              <w:t>。因未注册入库、未办理CA数字证书等原因造成无法</w:t>
            </w:r>
            <w:r>
              <w:rPr>
                <w:rFonts w:hint="eastAsia" w:ascii="宋体" w:hAnsi="宋体"/>
                <w:color w:val="auto"/>
                <w:szCs w:val="21"/>
                <w:highlight w:val="none"/>
              </w:rPr>
              <w:t>磋商</w:t>
            </w:r>
            <w:r>
              <w:rPr>
                <w:rFonts w:ascii="宋体" w:hAnsi="宋体"/>
                <w:color w:val="auto"/>
                <w:szCs w:val="21"/>
                <w:highlight w:val="none"/>
              </w:rPr>
              <w:t>或</w:t>
            </w:r>
            <w:r>
              <w:rPr>
                <w:rFonts w:hint="eastAsia" w:ascii="宋体" w:hAnsi="宋体"/>
                <w:color w:val="auto"/>
                <w:szCs w:val="21"/>
                <w:highlight w:val="none"/>
              </w:rPr>
              <w:t>磋商</w:t>
            </w:r>
            <w:r>
              <w:rPr>
                <w:rFonts w:ascii="宋体" w:hAnsi="宋体"/>
                <w:color w:val="auto"/>
                <w:szCs w:val="21"/>
                <w:highlight w:val="none"/>
              </w:rPr>
              <w:t>失败等后果由供应商自行承担。</w:t>
            </w:r>
          </w:p>
          <w:p w14:paraId="1A3CF986">
            <w:pPr>
              <w:spacing w:line="380" w:lineRule="exact"/>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供应商将政采云电子交易客户端下载、安装完成后，可通过账号密码或CA登录客户端进行</w:t>
            </w:r>
            <w:r>
              <w:rPr>
                <w:rFonts w:hint="eastAsia" w:ascii="宋体" w:hAnsi="宋体"/>
                <w:color w:val="auto"/>
                <w:szCs w:val="21"/>
                <w:highlight w:val="none"/>
              </w:rPr>
              <w:t>响应文件</w:t>
            </w:r>
            <w:r>
              <w:rPr>
                <w:rFonts w:ascii="宋体" w:hAnsi="宋体"/>
                <w:color w:val="auto"/>
                <w:szCs w:val="21"/>
                <w:highlight w:val="none"/>
              </w:rPr>
              <w:t>制作。</w:t>
            </w:r>
            <w:r>
              <w:rPr>
                <w:rFonts w:hint="eastAsia" w:ascii="宋体" w:hAnsi="宋体"/>
                <w:color w:val="auto"/>
                <w:szCs w:val="21"/>
                <w:highlight w:val="none"/>
              </w:rPr>
              <w:t>客户端请至网站下载专区查看，如有问题可拨打</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客户服务热线95763进行咨询。</w:t>
            </w:r>
          </w:p>
          <w:p w14:paraId="73C5D8C8">
            <w:pPr>
              <w:spacing w:line="380" w:lineRule="exact"/>
              <w:rPr>
                <w:rFonts w:ascii="宋体" w:hAnsi="宋体"/>
                <w:b/>
                <w:bCs/>
                <w:color w:val="auto"/>
                <w:szCs w:val="21"/>
                <w:highlight w:val="none"/>
              </w:rPr>
            </w:pPr>
            <w:r>
              <w:rPr>
                <w:rFonts w:hint="eastAsia" w:ascii="宋体" w:hAnsi="宋体"/>
                <w:b/>
                <w:bCs/>
                <w:color w:val="auto"/>
                <w:szCs w:val="21"/>
                <w:highlight w:val="none"/>
              </w:rPr>
              <w:t>磋商响应文件解密时间：</w:t>
            </w:r>
          </w:p>
          <w:p w14:paraId="6061FE4D">
            <w:pPr>
              <w:spacing w:line="380" w:lineRule="exact"/>
              <w:rPr>
                <w:rStyle w:val="40"/>
                <w:rFonts w:ascii="宋体" w:hAnsi="宋体"/>
                <w:color w:val="auto"/>
                <w:spacing w:val="2"/>
                <w:szCs w:val="21"/>
                <w:highlight w:val="none"/>
              </w:rPr>
            </w:pPr>
            <w:r>
              <w:rPr>
                <w:rFonts w:hint="eastAsia" w:ascii="宋体" w:hAnsi="宋体"/>
                <w:color w:val="auto"/>
                <w:szCs w:val="21"/>
                <w:highlight w:val="none"/>
              </w:rPr>
              <w:t>截标时间后30分钟内磋商供应商可以登录</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，用“项目采购-开标评标”功能进行解密磋商响应文件。若磋商供应商在规定时间内无法解密或解密失败，可以以电子备份磋商响应文件作为依据，若电子备份磋商响应文件件与</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上传的电子磋商响应文件被识别为不一致的，以电子备份磋商响应文件作为评审依据；磋商供应商按时在线解密响应文件的，以在线解密的响应文件作为评审依据。若磋商供应商在规定时间内无法解密或解密失败且未提供电子备份磋商响应文件的，视为响应文件撤回。</w:t>
            </w:r>
          </w:p>
        </w:tc>
      </w:tr>
      <w:tr w14:paraId="4E88C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45EBC0CD">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12</w:t>
            </w:r>
          </w:p>
        </w:tc>
        <w:tc>
          <w:tcPr>
            <w:tcW w:w="1162" w:type="dxa"/>
            <w:tcBorders>
              <w:top w:val="single" w:color="000000" w:sz="4" w:space="0"/>
              <w:left w:val="single" w:color="000000" w:sz="4" w:space="0"/>
              <w:bottom w:val="single" w:color="000000" w:sz="4" w:space="0"/>
              <w:right w:val="single" w:color="000000" w:sz="4" w:space="0"/>
            </w:tcBorders>
            <w:vAlign w:val="center"/>
          </w:tcPr>
          <w:p w14:paraId="210E7F94">
            <w:pPr>
              <w:spacing w:line="380" w:lineRule="exact"/>
              <w:jc w:val="center"/>
              <w:rPr>
                <w:rStyle w:val="40"/>
                <w:rFonts w:ascii="宋体" w:hAnsi="宋体"/>
                <w:color w:val="auto"/>
                <w:szCs w:val="21"/>
                <w:highlight w:val="none"/>
              </w:rPr>
            </w:pPr>
            <w:r>
              <w:rPr>
                <w:rStyle w:val="40"/>
                <w:rFonts w:ascii="宋体" w:hAnsi="宋体"/>
                <w:color w:val="auto"/>
                <w:szCs w:val="21"/>
                <w:highlight w:val="none"/>
              </w:rPr>
              <w:t>履约质保金</w:t>
            </w:r>
          </w:p>
        </w:tc>
        <w:tc>
          <w:tcPr>
            <w:tcW w:w="7757" w:type="dxa"/>
            <w:tcBorders>
              <w:top w:val="single" w:color="000000" w:sz="4" w:space="0"/>
              <w:left w:val="single" w:color="000000" w:sz="4" w:space="0"/>
              <w:bottom w:val="single" w:color="000000" w:sz="4" w:space="0"/>
              <w:right w:val="single" w:color="000000" w:sz="4" w:space="0"/>
            </w:tcBorders>
            <w:vAlign w:val="center"/>
          </w:tcPr>
          <w:p w14:paraId="05A0CD28">
            <w:pPr>
              <w:spacing w:line="380" w:lineRule="exact"/>
              <w:jc w:val="left"/>
              <w:rPr>
                <w:rStyle w:val="40"/>
                <w:rFonts w:ascii="宋体" w:hAnsi="宋体"/>
                <w:color w:val="auto"/>
                <w:szCs w:val="21"/>
                <w:highlight w:val="none"/>
              </w:rPr>
            </w:pPr>
            <w:r>
              <w:rPr>
                <w:rStyle w:val="40"/>
                <w:rFonts w:ascii="宋体" w:hAnsi="宋体"/>
                <w:color w:val="auto"/>
                <w:szCs w:val="21"/>
                <w:highlight w:val="none"/>
              </w:rPr>
              <w:t>无</w:t>
            </w:r>
          </w:p>
        </w:tc>
      </w:tr>
      <w:tr w14:paraId="76DE5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2359EF6A">
            <w:pPr>
              <w:spacing w:line="380" w:lineRule="exact"/>
              <w:jc w:val="center"/>
              <w:rPr>
                <w:rStyle w:val="40"/>
                <w:rFonts w:ascii="宋体" w:hAnsi="宋体"/>
                <w:color w:val="auto"/>
                <w:szCs w:val="21"/>
                <w:highlight w:val="none"/>
              </w:rPr>
            </w:pPr>
            <w:r>
              <w:rPr>
                <w:rStyle w:val="40"/>
                <w:rFonts w:hint="eastAsia" w:ascii="宋体" w:hAnsi="宋体"/>
                <w:color w:val="auto"/>
                <w:szCs w:val="21"/>
                <w:highlight w:val="none"/>
              </w:rPr>
              <w:t>13</w:t>
            </w:r>
          </w:p>
        </w:tc>
        <w:tc>
          <w:tcPr>
            <w:tcW w:w="1162" w:type="dxa"/>
            <w:tcBorders>
              <w:top w:val="single" w:color="000000" w:sz="4" w:space="0"/>
              <w:left w:val="single" w:color="000000" w:sz="4" w:space="0"/>
              <w:bottom w:val="single" w:color="000000" w:sz="4" w:space="0"/>
              <w:right w:val="single" w:color="000000" w:sz="4" w:space="0"/>
            </w:tcBorders>
            <w:vAlign w:val="center"/>
          </w:tcPr>
          <w:p w14:paraId="65BD0990">
            <w:pPr>
              <w:spacing w:line="380" w:lineRule="exact"/>
              <w:jc w:val="center"/>
              <w:rPr>
                <w:rStyle w:val="40"/>
                <w:rFonts w:ascii="宋体" w:hAnsi="宋体"/>
                <w:color w:val="auto"/>
                <w:szCs w:val="21"/>
                <w:highlight w:val="none"/>
              </w:rPr>
            </w:pPr>
            <w:r>
              <w:rPr>
                <w:rStyle w:val="40"/>
                <w:rFonts w:hint="eastAsia" w:ascii="宋体" w:hAnsi="宋体"/>
                <w:color w:val="auto"/>
                <w:szCs w:val="21"/>
                <w:highlight w:val="none"/>
              </w:rPr>
              <w:t>13</w:t>
            </w:r>
            <w:r>
              <w:rPr>
                <w:rStyle w:val="40"/>
                <w:rFonts w:ascii="宋体" w:hAnsi="宋体"/>
                <w:color w:val="auto"/>
                <w:szCs w:val="21"/>
                <w:highlight w:val="none"/>
              </w:rPr>
              <w:t>.1</w:t>
            </w:r>
          </w:p>
        </w:tc>
        <w:tc>
          <w:tcPr>
            <w:tcW w:w="7757" w:type="dxa"/>
            <w:tcBorders>
              <w:top w:val="single" w:color="000000" w:sz="4" w:space="0"/>
              <w:left w:val="single" w:color="000000" w:sz="4" w:space="0"/>
              <w:bottom w:val="single" w:color="000000" w:sz="4" w:space="0"/>
              <w:right w:val="single" w:color="000000" w:sz="4" w:space="0"/>
            </w:tcBorders>
            <w:vAlign w:val="center"/>
          </w:tcPr>
          <w:p w14:paraId="0EAAFC68">
            <w:pPr>
              <w:snapToGrid w:val="0"/>
              <w:spacing w:line="380" w:lineRule="exact"/>
              <w:textAlignment w:val="bottom"/>
              <w:rPr>
                <w:rStyle w:val="40"/>
                <w:rFonts w:ascii="宋体" w:hAnsi="宋体"/>
                <w:color w:val="auto"/>
                <w:spacing w:val="2"/>
                <w:szCs w:val="21"/>
                <w:highlight w:val="none"/>
              </w:rPr>
            </w:pPr>
            <w:r>
              <w:rPr>
                <w:rStyle w:val="40"/>
                <w:rFonts w:ascii="宋体" w:hAnsi="宋体"/>
                <w:color w:val="auto"/>
                <w:spacing w:val="2"/>
                <w:szCs w:val="21"/>
                <w:highlight w:val="none"/>
              </w:rPr>
              <w:t>1、本文件中描述磋商供应商的“公章”是指根据我国对公章的管理规定，用磋商供应商法定主体行为名称制作的印章，除本文件有特殊规定外，磋商供应商的财务章、部门章、分公司章、工会章、合同章、业务专用章及银行的转账章、现金收讫章、现金付讫章等其它形式印章均不能代替公章。</w:t>
            </w:r>
          </w:p>
          <w:p w14:paraId="16A0CFF3">
            <w:pPr>
              <w:spacing w:line="380" w:lineRule="exact"/>
              <w:rPr>
                <w:rStyle w:val="40"/>
                <w:rFonts w:ascii="宋体" w:hAnsi="宋体"/>
                <w:color w:val="auto"/>
                <w:szCs w:val="21"/>
                <w:highlight w:val="none"/>
              </w:rPr>
            </w:pPr>
            <w:r>
              <w:rPr>
                <w:rStyle w:val="40"/>
                <w:rFonts w:ascii="宋体" w:hAnsi="宋体"/>
                <w:color w:val="auto"/>
                <w:spacing w:val="2"/>
                <w:szCs w:val="21"/>
                <w:highlight w:val="none"/>
              </w:rPr>
              <w:t>2、本文件中描述磋商供应商的“签字”是指磋商供应商的法定代表人或被授权人亲自在文件规定签署处亲笔写上个人的名字的行为，私章、签字章、印鉴、影印等其他形式均不能代替亲笔签名。</w:t>
            </w:r>
          </w:p>
        </w:tc>
      </w:tr>
    </w:tbl>
    <w:p w14:paraId="22FA4146">
      <w:pPr>
        <w:rPr>
          <w:rStyle w:val="40"/>
          <w:rFonts w:ascii="宋体" w:hAnsi="宋体"/>
          <w:b/>
          <w:color w:val="auto"/>
          <w:sz w:val="36"/>
          <w:szCs w:val="36"/>
          <w:highlight w:val="none"/>
        </w:rPr>
      </w:pPr>
    </w:p>
    <w:p w14:paraId="30B6608B">
      <w:pPr>
        <w:rPr>
          <w:rStyle w:val="40"/>
          <w:rFonts w:ascii="宋体" w:hAnsi="宋体"/>
          <w:b/>
          <w:color w:val="auto"/>
          <w:sz w:val="36"/>
          <w:szCs w:val="36"/>
          <w:highlight w:val="none"/>
        </w:rPr>
      </w:pPr>
    </w:p>
    <w:p w14:paraId="7FD8E9E9">
      <w:pPr>
        <w:rPr>
          <w:rStyle w:val="40"/>
          <w:rFonts w:ascii="宋体" w:hAnsi="宋体"/>
          <w:b/>
          <w:color w:val="auto"/>
          <w:sz w:val="36"/>
          <w:szCs w:val="36"/>
          <w:highlight w:val="none"/>
        </w:rPr>
      </w:pPr>
    </w:p>
    <w:p w14:paraId="6485CEAC">
      <w:pPr>
        <w:rPr>
          <w:rStyle w:val="40"/>
          <w:rFonts w:ascii="宋体" w:hAnsi="宋体"/>
          <w:b/>
          <w:color w:val="auto"/>
          <w:sz w:val="36"/>
          <w:szCs w:val="36"/>
          <w:highlight w:val="none"/>
        </w:rPr>
      </w:pPr>
    </w:p>
    <w:p w14:paraId="3F74BC76">
      <w:pPr>
        <w:rPr>
          <w:rStyle w:val="40"/>
          <w:rFonts w:ascii="宋体" w:hAnsi="宋体"/>
          <w:b/>
          <w:color w:val="auto"/>
          <w:sz w:val="36"/>
          <w:szCs w:val="36"/>
          <w:highlight w:val="none"/>
        </w:rPr>
      </w:pPr>
    </w:p>
    <w:p w14:paraId="12C719EE">
      <w:pPr>
        <w:rPr>
          <w:rStyle w:val="40"/>
          <w:rFonts w:ascii="宋体" w:hAnsi="宋体"/>
          <w:b/>
          <w:color w:val="auto"/>
          <w:sz w:val="36"/>
          <w:szCs w:val="36"/>
          <w:highlight w:val="none"/>
        </w:rPr>
      </w:pPr>
    </w:p>
    <w:p w14:paraId="580F140A">
      <w:pPr>
        <w:rPr>
          <w:rStyle w:val="40"/>
          <w:rFonts w:ascii="宋体" w:hAnsi="宋体"/>
          <w:b/>
          <w:color w:val="auto"/>
          <w:sz w:val="36"/>
          <w:szCs w:val="36"/>
          <w:highlight w:val="none"/>
        </w:rPr>
      </w:pPr>
    </w:p>
    <w:p w14:paraId="17F14B7F">
      <w:pPr>
        <w:rPr>
          <w:rStyle w:val="40"/>
          <w:rFonts w:ascii="宋体" w:hAnsi="宋体"/>
          <w:b/>
          <w:color w:val="auto"/>
          <w:sz w:val="36"/>
          <w:szCs w:val="36"/>
          <w:highlight w:val="none"/>
        </w:rPr>
      </w:pPr>
    </w:p>
    <w:p w14:paraId="2ACDAD53">
      <w:pPr>
        <w:rPr>
          <w:rStyle w:val="40"/>
          <w:rFonts w:ascii="宋体" w:hAnsi="宋体"/>
          <w:b/>
          <w:color w:val="auto"/>
          <w:sz w:val="36"/>
          <w:szCs w:val="36"/>
          <w:highlight w:val="none"/>
        </w:rPr>
      </w:pPr>
    </w:p>
    <w:p w14:paraId="21D1157C">
      <w:pPr>
        <w:rPr>
          <w:rStyle w:val="40"/>
          <w:rFonts w:ascii="宋体" w:hAnsi="宋体"/>
          <w:b/>
          <w:color w:val="auto"/>
          <w:sz w:val="36"/>
          <w:szCs w:val="36"/>
          <w:highlight w:val="none"/>
        </w:rPr>
      </w:pPr>
    </w:p>
    <w:p w14:paraId="0B9B5A48">
      <w:pPr>
        <w:rPr>
          <w:rStyle w:val="40"/>
          <w:rFonts w:ascii="宋体" w:hAnsi="宋体"/>
          <w:b/>
          <w:color w:val="auto"/>
          <w:sz w:val="36"/>
          <w:szCs w:val="36"/>
          <w:highlight w:val="none"/>
        </w:rPr>
      </w:pPr>
    </w:p>
    <w:p w14:paraId="75C527CA">
      <w:pPr>
        <w:rPr>
          <w:rStyle w:val="40"/>
          <w:rFonts w:ascii="宋体" w:hAnsi="宋体"/>
          <w:b/>
          <w:color w:val="auto"/>
          <w:sz w:val="36"/>
          <w:szCs w:val="36"/>
          <w:highlight w:val="none"/>
        </w:rPr>
      </w:pPr>
    </w:p>
    <w:p w14:paraId="4568DAF2">
      <w:pPr>
        <w:rPr>
          <w:rStyle w:val="40"/>
          <w:rFonts w:ascii="宋体" w:hAnsi="宋体"/>
          <w:b/>
          <w:color w:val="auto"/>
          <w:sz w:val="36"/>
          <w:szCs w:val="36"/>
          <w:highlight w:val="none"/>
        </w:rPr>
      </w:pPr>
    </w:p>
    <w:p w14:paraId="066BE954">
      <w:pPr>
        <w:rPr>
          <w:rStyle w:val="40"/>
          <w:rFonts w:ascii="宋体" w:hAnsi="宋体"/>
          <w:b/>
          <w:color w:val="auto"/>
          <w:sz w:val="36"/>
          <w:szCs w:val="36"/>
          <w:highlight w:val="none"/>
        </w:rPr>
      </w:pPr>
    </w:p>
    <w:p w14:paraId="0DC26EB1">
      <w:pPr>
        <w:rPr>
          <w:rStyle w:val="40"/>
          <w:rFonts w:ascii="宋体" w:hAnsi="宋体"/>
          <w:b/>
          <w:color w:val="auto"/>
          <w:sz w:val="36"/>
          <w:szCs w:val="36"/>
          <w:highlight w:val="none"/>
        </w:rPr>
      </w:pPr>
    </w:p>
    <w:p w14:paraId="2927E1C7">
      <w:pPr>
        <w:rPr>
          <w:rStyle w:val="40"/>
          <w:rFonts w:ascii="宋体" w:hAnsi="宋体"/>
          <w:b/>
          <w:color w:val="auto"/>
          <w:sz w:val="36"/>
          <w:szCs w:val="36"/>
          <w:highlight w:val="none"/>
        </w:rPr>
      </w:pPr>
    </w:p>
    <w:p w14:paraId="364FE30A">
      <w:pPr>
        <w:rPr>
          <w:rStyle w:val="40"/>
          <w:rFonts w:ascii="宋体" w:hAnsi="宋体"/>
          <w:b/>
          <w:color w:val="auto"/>
          <w:sz w:val="36"/>
          <w:szCs w:val="36"/>
          <w:highlight w:val="none"/>
        </w:rPr>
      </w:pPr>
    </w:p>
    <w:p w14:paraId="0CA72B90">
      <w:pPr>
        <w:rPr>
          <w:rStyle w:val="40"/>
          <w:rFonts w:ascii="宋体" w:hAnsi="宋体"/>
          <w:b/>
          <w:color w:val="auto"/>
          <w:sz w:val="36"/>
          <w:szCs w:val="36"/>
          <w:highlight w:val="none"/>
        </w:rPr>
      </w:pPr>
    </w:p>
    <w:p w14:paraId="13BCE92B">
      <w:pPr>
        <w:pStyle w:val="10"/>
        <w:rPr>
          <w:rStyle w:val="40"/>
          <w:rFonts w:ascii="宋体" w:hAnsi="宋体"/>
          <w:b/>
          <w:color w:val="auto"/>
          <w:sz w:val="36"/>
          <w:szCs w:val="36"/>
          <w:highlight w:val="none"/>
        </w:rPr>
      </w:pPr>
    </w:p>
    <w:p w14:paraId="33A9896E">
      <w:pPr>
        <w:pStyle w:val="22"/>
        <w:rPr>
          <w:rStyle w:val="40"/>
          <w:rFonts w:ascii="宋体" w:hAnsi="宋体"/>
          <w:b/>
          <w:color w:val="auto"/>
          <w:sz w:val="36"/>
          <w:szCs w:val="36"/>
          <w:highlight w:val="none"/>
        </w:rPr>
      </w:pPr>
    </w:p>
    <w:p w14:paraId="02BAA902">
      <w:pPr>
        <w:rPr>
          <w:rStyle w:val="40"/>
          <w:rFonts w:ascii="宋体" w:hAnsi="宋体"/>
          <w:b/>
          <w:color w:val="auto"/>
          <w:sz w:val="36"/>
          <w:szCs w:val="36"/>
          <w:highlight w:val="none"/>
        </w:rPr>
      </w:pPr>
    </w:p>
    <w:p w14:paraId="2902249F">
      <w:pPr>
        <w:pStyle w:val="10"/>
        <w:rPr>
          <w:rStyle w:val="40"/>
          <w:rFonts w:ascii="宋体" w:hAnsi="宋体"/>
          <w:b/>
          <w:color w:val="auto"/>
          <w:sz w:val="36"/>
          <w:szCs w:val="36"/>
          <w:highlight w:val="none"/>
        </w:rPr>
      </w:pPr>
    </w:p>
    <w:p w14:paraId="73D2AC33">
      <w:pPr>
        <w:rPr>
          <w:rStyle w:val="40"/>
          <w:rFonts w:ascii="宋体" w:hAnsi="宋体"/>
          <w:b/>
          <w:color w:val="auto"/>
          <w:sz w:val="36"/>
          <w:szCs w:val="36"/>
          <w:highlight w:val="none"/>
        </w:rPr>
      </w:pPr>
    </w:p>
    <w:p w14:paraId="6928D3D6">
      <w:pPr>
        <w:pStyle w:val="10"/>
      </w:pPr>
    </w:p>
    <w:p w14:paraId="2BB013F5">
      <w:pPr>
        <w:rPr>
          <w:color w:val="auto"/>
        </w:rPr>
      </w:pPr>
    </w:p>
    <w:p w14:paraId="69132FB1">
      <w:pPr>
        <w:jc w:val="center"/>
        <w:outlineLvl w:val="1"/>
        <w:rPr>
          <w:rStyle w:val="40"/>
          <w:rFonts w:ascii="宋体" w:hAnsi="宋体"/>
          <w:b/>
          <w:color w:val="auto"/>
          <w:sz w:val="36"/>
          <w:szCs w:val="36"/>
          <w:highlight w:val="none"/>
        </w:rPr>
      </w:pPr>
      <w:r>
        <w:rPr>
          <w:rStyle w:val="40"/>
          <w:rFonts w:ascii="宋体" w:hAnsi="宋体"/>
          <w:b/>
          <w:color w:val="auto"/>
          <w:sz w:val="36"/>
          <w:szCs w:val="36"/>
          <w:highlight w:val="none"/>
        </w:rPr>
        <w:t>磋商供应商须知</w:t>
      </w:r>
    </w:p>
    <w:p w14:paraId="1969B611">
      <w:pPr>
        <w:pStyle w:val="38"/>
        <w:outlineLvl w:val="2"/>
        <w:rPr>
          <w:rStyle w:val="40"/>
          <w:rFonts w:ascii="宋体" w:hAnsi="宋体" w:cs="宋体"/>
          <w:b/>
          <w:bCs/>
          <w:color w:val="auto"/>
          <w:sz w:val="36"/>
          <w:highlight w:val="none"/>
        </w:rPr>
      </w:pPr>
      <w:r>
        <w:rPr>
          <w:rStyle w:val="40"/>
          <w:rFonts w:ascii="宋体" w:hAnsi="宋体" w:cs="宋体"/>
          <w:b/>
          <w:bCs/>
          <w:color w:val="auto"/>
          <w:highlight w:val="none"/>
        </w:rPr>
        <w:t>一、总 则</w:t>
      </w:r>
    </w:p>
    <w:p w14:paraId="5A56EED3">
      <w:pPr>
        <w:spacing w:line="360" w:lineRule="auto"/>
        <w:ind w:firstLine="316" w:firstLineChars="150"/>
        <w:rPr>
          <w:rStyle w:val="40"/>
          <w:rFonts w:ascii="宋体" w:hAnsi="宋体"/>
          <w:b/>
          <w:color w:val="auto"/>
          <w:szCs w:val="21"/>
          <w:highlight w:val="none"/>
        </w:rPr>
      </w:pPr>
      <w:r>
        <w:rPr>
          <w:rStyle w:val="40"/>
          <w:rFonts w:ascii="宋体" w:hAnsi="宋体"/>
          <w:b/>
          <w:color w:val="auto"/>
          <w:szCs w:val="21"/>
          <w:highlight w:val="none"/>
        </w:rPr>
        <w:t xml:space="preserve">1. 适用范围  </w:t>
      </w:r>
    </w:p>
    <w:p w14:paraId="2D73CA98">
      <w:pPr>
        <w:spacing w:line="360" w:lineRule="auto"/>
        <w:ind w:firstLine="630" w:firstLineChars="300"/>
        <w:rPr>
          <w:rStyle w:val="40"/>
          <w:rFonts w:hint="eastAsia" w:ascii="宋体" w:hAnsi="宋体" w:cs="宋体"/>
          <w:bCs/>
          <w:color w:val="auto"/>
          <w:szCs w:val="21"/>
          <w:highlight w:val="none"/>
          <w:lang w:eastAsia="zh-CN"/>
        </w:rPr>
      </w:pPr>
      <w:r>
        <w:rPr>
          <w:rStyle w:val="40"/>
          <w:rFonts w:ascii="宋体" w:hAnsi="宋体"/>
          <w:color w:val="auto"/>
          <w:szCs w:val="21"/>
          <w:highlight w:val="none"/>
        </w:rPr>
        <w:t>1.1项目名称：</w:t>
      </w:r>
      <w:r>
        <w:rPr>
          <w:rStyle w:val="40"/>
          <w:rFonts w:hint="eastAsia" w:ascii="宋体" w:hAnsi="宋体"/>
          <w:color w:val="auto"/>
          <w:szCs w:val="21"/>
          <w:highlight w:val="none"/>
        </w:rPr>
        <w:t>港南区2026年生产障碍耕地治理项目</w:t>
      </w:r>
    </w:p>
    <w:p w14:paraId="236D22FF">
      <w:pPr>
        <w:spacing w:line="360" w:lineRule="auto"/>
        <w:ind w:firstLine="630" w:firstLineChars="300"/>
        <w:rPr>
          <w:rStyle w:val="40"/>
          <w:rFonts w:ascii="宋体" w:hAnsi="宋体"/>
          <w:color w:val="auto"/>
          <w:szCs w:val="21"/>
          <w:highlight w:val="none"/>
        </w:rPr>
      </w:pPr>
      <w:r>
        <w:rPr>
          <w:rStyle w:val="40"/>
          <w:rFonts w:ascii="宋体" w:hAnsi="宋体"/>
          <w:color w:val="auto"/>
          <w:szCs w:val="21"/>
          <w:highlight w:val="none"/>
        </w:rPr>
        <w:t>项目编号：</w:t>
      </w:r>
      <w:r>
        <w:rPr>
          <w:rStyle w:val="40"/>
          <w:rFonts w:hint="eastAsia" w:ascii="宋体" w:hAnsi="宋体"/>
          <w:color w:val="auto"/>
          <w:szCs w:val="21"/>
          <w:highlight w:val="none"/>
          <w:lang w:eastAsia="zh-CN"/>
        </w:rPr>
        <w:t>GGZC2026-C3-030056-ARXM</w:t>
      </w:r>
      <w:r>
        <w:rPr>
          <w:rStyle w:val="40"/>
          <w:rFonts w:ascii="宋体" w:hAnsi="宋体"/>
          <w:color w:val="auto"/>
          <w:szCs w:val="21"/>
          <w:highlight w:val="none"/>
        </w:rPr>
        <w:t xml:space="preserve">本文件仅适用于本文件中所叙述的服务类采购项目。  </w:t>
      </w:r>
    </w:p>
    <w:p w14:paraId="0D5F0139">
      <w:pPr>
        <w:spacing w:line="360" w:lineRule="auto"/>
        <w:ind w:firstLine="316" w:firstLineChars="150"/>
        <w:rPr>
          <w:rStyle w:val="40"/>
          <w:rFonts w:ascii="宋体" w:hAnsi="宋体"/>
          <w:b/>
          <w:color w:val="auto"/>
          <w:szCs w:val="21"/>
          <w:highlight w:val="none"/>
        </w:rPr>
      </w:pPr>
      <w:r>
        <w:rPr>
          <w:rStyle w:val="40"/>
          <w:rFonts w:ascii="宋体" w:hAnsi="宋体"/>
          <w:b/>
          <w:color w:val="auto"/>
          <w:szCs w:val="21"/>
          <w:highlight w:val="none"/>
        </w:rPr>
        <w:t xml:space="preserve">2. 定义 </w:t>
      </w:r>
    </w:p>
    <w:p w14:paraId="2BA7B6DD">
      <w:pPr>
        <w:spacing w:line="360" w:lineRule="auto"/>
        <w:ind w:firstLine="315" w:firstLineChars="150"/>
        <w:rPr>
          <w:rStyle w:val="40"/>
          <w:rFonts w:hint="eastAsia" w:ascii="宋体" w:hAnsi="宋体"/>
          <w:color w:val="auto"/>
          <w:szCs w:val="21"/>
          <w:highlight w:val="none"/>
          <w:lang w:eastAsia="zh-CN"/>
        </w:rPr>
      </w:pPr>
      <w:r>
        <w:rPr>
          <w:rStyle w:val="40"/>
          <w:rFonts w:ascii="宋体" w:hAnsi="宋体"/>
          <w:color w:val="auto"/>
          <w:szCs w:val="21"/>
          <w:highlight w:val="none"/>
        </w:rPr>
        <w:t>2.1 “采购人”是指：</w:t>
      </w:r>
      <w:r>
        <w:rPr>
          <w:rStyle w:val="40"/>
          <w:rFonts w:hint="eastAsia" w:ascii="宋体" w:hAnsi="宋体"/>
          <w:color w:val="auto"/>
          <w:szCs w:val="21"/>
          <w:highlight w:val="none"/>
          <w:lang w:eastAsia="zh-CN"/>
        </w:rPr>
        <w:t>贵港市港南区农业农村局</w:t>
      </w:r>
    </w:p>
    <w:p w14:paraId="36B53BDA">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2.2 “采购代理机构” 是指：</w:t>
      </w:r>
      <w:r>
        <w:rPr>
          <w:rStyle w:val="40"/>
          <w:rFonts w:hint="eastAsia" w:ascii="宋体" w:hAnsi="宋体"/>
          <w:color w:val="auto"/>
          <w:szCs w:val="21"/>
          <w:highlight w:val="none"/>
          <w:lang w:eastAsia="zh-CN"/>
        </w:rPr>
        <w:t>贵港市安然项目管理有限公司</w:t>
      </w:r>
      <w:r>
        <w:rPr>
          <w:rStyle w:val="40"/>
          <w:rFonts w:ascii="宋体" w:hAnsi="宋体"/>
          <w:color w:val="auto"/>
          <w:szCs w:val="21"/>
          <w:highlight w:val="none"/>
        </w:rPr>
        <w:t xml:space="preserve">(以下简称“本公司”) 。 </w:t>
      </w:r>
    </w:p>
    <w:p w14:paraId="13A90170">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2.3 “磋商供应商”是指响应本文件要求，参加磋商的法人或者其他组织。如果该供应商在本次磋商中成交，即成为“成交供应商”。  </w:t>
      </w:r>
    </w:p>
    <w:p w14:paraId="78B2C643">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2.4 “服务”是指除货物和工程以外的其他采购对象 。  </w:t>
      </w:r>
    </w:p>
    <w:p w14:paraId="21A9BDCE">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2.5 “竞争性磋商响应文件”是指：磋商供应商根据本磋商文件要求，编制包含报价、技术和服务等所有内容的文件。  </w:t>
      </w:r>
    </w:p>
    <w:p w14:paraId="4115036F">
      <w:pPr>
        <w:spacing w:line="360" w:lineRule="auto"/>
        <w:ind w:firstLine="316" w:firstLineChars="150"/>
        <w:rPr>
          <w:rStyle w:val="40"/>
          <w:rFonts w:ascii="宋体" w:hAnsi="宋体"/>
          <w:b/>
          <w:color w:val="auto"/>
          <w:szCs w:val="21"/>
          <w:highlight w:val="none"/>
        </w:rPr>
      </w:pPr>
      <w:r>
        <w:rPr>
          <w:rStyle w:val="40"/>
          <w:rFonts w:ascii="宋体" w:hAnsi="宋体"/>
          <w:b/>
          <w:color w:val="auto"/>
          <w:szCs w:val="21"/>
          <w:highlight w:val="none"/>
        </w:rPr>
        <w:t xml:space="preserve">3. 磋商供应商的资格   </w:t>
      </w:r>
    </w:p>
    <w:p w14:paraId="024BA094">
      <w:pPr>
        <w:spacing w:line="360" w:lineRule="auto"/>
        <w:ind w:firstLine="315" w:firstLineChars="150"/>
        <w:rPr>
          <w:rFonts w:hint="eastAsia" w:ascii="宋体" w:hAnsi="宋体" w:eastAsia="宋体"/>
          <w:bCs/>
          <w:color w:val="auto"/>
          <w:szCs w:val="21"/>
          <w:highlight w:val="none"/>
          <w:lang w:val="en-US" w:eastAsia="zh-CN"/>
        </w:rPr>
      </w:pPr>
      <w:r>
        <w:rPr>
          <w:rFonts w:hint="eastAsia" w:ascii="宋体" w:hAnsi="宋体" w:eastAsia="宋体"/>
          <w:bCs/>
          <w:color w:val="auto"/>
          <w:szCs w:val="21"/>
          <w:highlight w:val="none"/>
          <w:lang w:val="en-US" w:eastAsia="zh-CN"/>
        </w:rPr>
        <w:t>3.1国内注册（指按国家有关规定要求注册的），满足本次招标采购需求，能够提供技术及服务，并在人员、设备、资金和良好信誉等方面具有相应能力</w:t>
      </w:r>
      <w:r>
        <w:rPr>
          <w:rFonts w:hint="eastAsia" w:ascii="宋体" w:hAnsi="宋体"/>
          <w:bCs/>
          <w:color w:val="auto"/>
          <w:szCs w:val="21"/>
          <w:highlight w:val="none"/>
          <w:lang w:val="en-US" w:eastAsia="zh-CN"/>
        </w:rPr>
        <w:t>。</w:t>
      </w:r>
    </w:p>
    <w:p w14:paraId="73785E75">
      <w:pPr>
        <w:spacing w:line="360" w:lineRule="auto"/>
        <w:ind w:firstLine="315" w:firstLineChars="150"/>
        <w:rPr>
          <w:rFonts w:hint="eastAsia" w:ascii="宋体" w:hAnsi="宋体" w:eastAsia="宋体"/>
          <w:bCs/>
          <w:color w:val="auto"/>
          <w:szCs w:val="21"/>
          <w:highlight w:val="none"/>
        </w:rPr>
      </w:pPr>
      <w:r>
        <w:rPr>
          <w:rFonts w:hint="eastAsia" w:ascii="宋体" w:hAnsi="宋体" w:eastAsia="宋体"/>
          <w:bCs/>
          <w:color w:val="auto"/>
          <w:szCs w:val="21"/>
          <w:highlight w:val="none"/>
          <w:lang w:val="en-US" w:eastAsia="zh-CN"/>
        </w:rPr>
        <w:t>3.2</w:t>
      </w:r>
      <w:r>
        <w:rPr>
          <w:rFonts w:hint="eastAsia" w:ascii="宋体" w:hAnsi="宋体" w:eastAsia="宋体"/>
          <w:bCs/>
          <w:color w:val="auto"/>
          <w:szCs w:val="21"/>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0B09386A">
      <w:pPr>
        <w:spacing w:line="360" w:lineRule="auto"/>
        <w:ind w:firstLine="315" w:firstLineChars="150"/>
        <w:rPr>
          <w:rFonts w:hint="eastAsia" w:ascii="宋体" w:hAnsi="宋体" w:eastAsia="宋体"/>
          <w:bCs/>
          <w:color w:val="auto"/>
          <w:szCs w:val="21"/>
          <w:highlight w:val="none"/>
        </w:rPr>
      </w:pPr>
      <w:r>
        <w:rPr>
          <w:rFonts w:hint="eastAsia" w:ascii="宋体" w:hAnsi="宋体" w:eastAsia="宋体"/>
          <w:bCs/>
          <w:color w:val="auto"/>
          <w:szCs w:val="21"/>
          <w:highlight w:val="none"/>
          <w:lang w:val="en-US" w:eastAsia="zh-CN"/>
        </w:rPr>
        <w:t>3.3</w:t>
      </w:r>
      <w:r>
        <w:rPr>
          <w:rFonts w:hint="eastAsia" w:ascii="宋体" w:hAnsi="宋体" w:eastAsia="宋体"/>
          <w:bCs/>
          <w:color w:val="auto"/>
          <w:szCs w:val="21"/>
          <w:highlight w:val="none"/>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3D8074DB">
      <w:pPr>
        <w:spacing w:line="360" w:lineRule="auto"/>
        <w:ind w:firstLine="315" w:firstLineChars="150"/>
        <w:rPr>
          <w:rFonts w:ascii="宋体" w:hAnsi="宋体" w:eastAsia="宋体"/>
          <w:bCs/>
          <w:color w:val="auto"/>
          <w:szCs w:val="21"/>
          <w:highlight w:val="none"/>
        </w:rPr>
      </w:pPr>
      <w:r>
        <w:rPr>
          <w:rFonts w:hint="eastAsia" w:ascii="宋体" w:hAnsi="宋体" w:eastAsia="宋体"/>
          <w:bCs/>
          <w:color w:val="auto"/>
          <w:szCs w:val="21"/>
          <w:highlight w:val="none"/>
          <w:lang w:val="en-US" w:eastAsia="zh-CN"/>
        </w:rPr>
        <w:t>3.4</w:t>
      </w:r>
      <w:r>
        <w:rPr>
          <w:rFonts w:hint="eastAsia" w:ascii="宋体" w:hAnsi="宋体" w:eastAsia="宋体"/>
          <w:bCs/>
          <w:color w:val="auto"/>
          <w:szCs w:val="21"/>
          <w:highlight w:val="none"/>
        </w:rPr>
        <w:t>本项目不接受未通过政府采购云平台实名制获取本项目《竞争性磋商文件》的供应商参加</w:t>
      </w:r>
      <w:r>
        <w:rPr>
          <w:rFonts w:hint="eastAsia" w:ascii="宋体" w:hAnsi="宋体" w:eastAsia="宋体"/>
          <w:bCs/>
          <w:color w:val="auto"/>
          <w:szCs w:val="21"/>
          <w:highlight w:val="none"/>
          <w:lang w:val="en-US" w:eastAsia="zh-CN"/>
        </w:rPr>
        <w:t>投</w:t>
      </w:r>
      <w:r>
        <w:rPr>
          <w:rFonts w:hint="eastAsia" w:ascii="宋体" w:hAnsi="宋体" w:eastAsia="宋体"/>
          <w:bCs/>
          <w:color w:val="auto"/>
          <w:szCs w:val="21"/>
          <w:highlight w:val="none"/>
        </w:rPr>
        <w:t>标。</w:t>
      </w:r>
    </w:p>
    <w:p w14:paraId="24C8E3C4">
      <w:pPr>
        <w:spacing w:line="360" w:lineRule="auto"/>
        <w:ind w:firstLine="316" w:firstLineChars="150"/>
        <w:rPr>
          <w:rStyle w:val="40"/>
          <w:rFonts w:ascii="宋体" w:hAnsi="宋体"/>
          <w:b/>
          <w:color w:val="auto"/>
          <w:szCs w:val="21"/>
          <w:highlight w:val="none"/>
        </w:rPr>
      </w:pPr>
      <w:r>
        <w:rPr>
          <w:rStyle w:val="40"/>
          <w:rFonts w:ascii="宋体" w:hAnsi="宋体"/>
          <w:b/>
          <w:color w:val="auto"/>
          <w:szCs w:val="21"/>
          <w:highlight w:val="none"/>
        </w:rPr>
        <w:t xml:space="preserve">4. 磋商费用、竞争性磋商公告、竞争性磋商文件的澄清和修改  </w:t>
      </w:r>
    </w:p>
    <w:p w14:paraId="6125F17A">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4.1 磋商费用：磋商供应商应自行承担所有与编写和提交竞争性磋商响应文件有关的费用，不论磋商结果如何，采购人和本公司在任何情况下无义务和责任承担此类费用。  </w:t>
      </w:r>
    </w:p>
    <w:p w14:paraId="111F5F86">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4.2 竞争性磋商公告：</w:t>
      </w:r>
      <w:r>
        <w:rPr>
          <w:rStyle w:val="40"/>
          <w:rFonts w:hint="eastAsia" w:ascii="宋体" w:hAnsi="宋体"/>
          <w:color w:val="auto"/>
          <w:szCs w:val="21"/>
          <w:highlight w:val="none"/>
        </w:rPr>
        <w:t>http://www.ccgp.gov.cn（中国政府采购网）、http://www.gxzfcg.gov.cn（广西壮族自治区政府采购网）、</w:t>
      </w:r>
      <w:r>
        <w:rPr>
          <w:rStyle w:val="40"/>
          <w:rFonts w:hint="eastAsia" w:ascii="宋体" w:hAnsi="宋体"/>
          <w:color w:val="auto"/>
          <w:szCs w:val="21"/>
          <w:highlight w:val="none"/>
          <w:lang w:eastAsia="zh-CN"/>
        </w:rPr>
        <w:t>http://ggzy.jgswj.gxzf.gov.cn/ggggzy/【全国公共资源交易平台（广西·贵港）】</w:t>
      </w:r>
      <w:r>
        <w:rPr>
          <w:rStyle w:val="40"/>
          <w:rFonts w:hint="eastAsia" w:ascii="宋体" w:hAnsi="宋体"/>
          <w:color w:val="auto"/>
          <w:szCs w:val="21"/>
          <w:highlight w:val="none"/>
        </w:rPr>
        <w:t>上发布</w:t>
      </w:r>
      <w:r>
        <w:rPr>
          <w:rStyle w:val="40"/>
          <w:rFonts w:hint="eastAsia" w:ascii="宋体" w:hAnsi="宋体"/>
          <w:color w:val="auto"/>
          <w:szCs w:val="21"/>
          <w:highlight w:val="none"/>
          <w:lang w:eastAsia="zh-CN"/>
        </w:rPr>
        <w:t>。</w:t>
      </w:r>
      <w:r>
        <w:rPr>
          <w:rStyle w:val="40"/>
          <w:rFonts w:ascii="宋体" w:hAnsi="宋体"/>
          <w:color w:val="auto"/>
          <w:szCs w:val="21"/>
          <w:highlight w:val="none"/>
        </w:rPr>
        <w:t xml:space="preserve">  </w:t>
      </w:r>
    </w:p>
    <w:p w14:paraId="55A1EA30">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4.3 竞争性磋商文件的澄清和修改：  </w:t>
      </w:r>
    </w:p>
    <w:p w14:paraId="65B9ED80">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4.3.1 磋商供应商应认真审核《采购需求》中的服务需求及要求，如发现采购需求中服务需求及要求有误或要求不合理的，磋商供应商必须在规定的时间前要求澄清，否则，由此产生的后果由磋商供应商负责 。  </w:t>
      </w:r>
    </w:p>
    <w:p w14:paraId="1F714408">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4.3.2 任何要求澄清竞争性磋商文件的磋商供应商，在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  </w:t>
      </w:r>
    </w:p>
    <w:p w14:paraId="45C583E9">
      <w:pPr>
        <w:spacing w:line="360" w:lineRule="auto"/>
        <w:ind w:firstLine="411" w:firstLineChars="196"/>
        <w:rPr>
          <w:rStyle w:val="40"/>
          <w:rFonts w:ascii="宋体" w:hAnsi="宋体"/>
          <w:color w:val="auto"/>
          <w:szCs w:val="21"/>
          <w:highlight w:val="none"/>
        </w:rPr>
      </w:pPr>
      <w:r>
        <w:rPr>
          <w:rStyle w:val="40"/>
          <w:rFonts w:ascii="宋体" w:hAnsi="宋体"/>
          <w:color w:val="auto"/>
          <w:szCs w:val="21"/>
          <w:highlight w:val="none"/>
        </w:rPr>
        <w:t>4.3.3 本公司对已发出的磋商文件进行必要澄清或者修改的，在竞争性磋商文件要求提交竞争性磋商响应文件截止时间五日前（不足五日顺延），在</w:t>
      </w:r>
      <w:r>
        <w:rPr>
          <w:rStyle w:val="40"/>
          <w:rFonts w:hint="eastAsia" w:ascii="宋体" w:hAnsi="宋体"/>
          <w:color w:val="auto"/>
          <w:szCs w:val="21"/>
          <w:highlight w:val="none"/>
        </w:rPr>
        <w:t>http://www.ccgp.gov.cn（中国政府采购网）、http://www.gxzfcg.gov.cn（广西壮族自治区政府采购网）、</w:t>
      </w:r>
      <w:r>
        <w:rPr>
          <w:rStyle w:val="40"/>
          <w:rFonts w:hint="eastAsia" w:ascii="宋体" w:hAnsi="宋体"/>
          <w:color w:val="auto"/>
          <w:szCs w:val="21"/>
          <w:highlight w:val="none"/>
          <w:lang w:eastAsia="zh-CN"/>
        </w:rPr>
        <w:t>http://ggzy.jgswj.gxzf.gov.cn/ggggzy/【全国公共资源交易平台（广西·贵港）】</w:t>
      </w:r>
      <w:r>
        <w:rPr>
          <w:rStyle w:val="40"/>
          <w:rFonts w:ascii="宋体" w:hAnsi="宋体"/>
          <w:color w:val="auto"/>
          <w:szCs w:val="21"/>
          <w:highlight w:val="none"/>
        </w:rPr>
        <w:t xml:space="preserve">上发布更正公告，该澄清或者修改的内容为竞争性磋商文件的组成部分。  </w:t>
      </w:r>
    </w:p>
    <w:p w14:paraId="1448E932">
      <w:pPr>
        <w:spacing w:line="360" w:lineRule="auto"/>
        <w:ind w:firstLine="411" w:firstLineChars="196"/>
        <w:rPr>
          <w:rStyle w:val="40"/>
          <w:rFonts w:ascii="宋体" w:hAnsi="宋体"/>
          <w:color w:val="auto"/>
          <w:szCs w:val="21"/>
          <w:highlight w:val="none"/>
        </w:rPr>
      </w:pPr>
      <w:r>
        <w:rPr>
          <w:rStyle w:val="40"/>
          <w:rFonts w:ascii="宋体" w:hAnsi="宋体"/>
          <w:color w:val="auto"/>
          <w:szCs w:val="21"/>
          <w:highlight w:val="none"/>
        </w:rPr>
        <w:t>4.3.4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92AD47E">
      <w:pPr>
        <w:spacing w:line="360" w:lineRule="auto"/>
        <w:ind w:firstLine="411" w:firstLineChars="196"/>
        <w:rPr>
          <w:rStyle w:val="40"/>
          <w:rFonts w:ascii="宋体" w:hAnsi="宋体"/>
          <w:color w:val="auto"/>
          <w:szCs w:val="21"/>
          <w:highlight w:val="none"/>
        </w:rPr>
      </w:pPr>
      <w:r>
        <w:rPr>
          <w:rStyle w:val="40"/>
          <w:rFonts w:ascii="宋体" w:hAnsi="宋体"/>
          <w:color w:val="auto"/>
          <w:szCs w:val="21"/>
          <w:highlight w:val="none"/>
        </w:rPr>
        <w:t>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015E0EAA">
      <w:pPr>
        <w:pStyle w:val="38"/>
        <w:outlineLvl w:val="2"/>
        <w:rPr>
          <w:rStyle w:val="40"/>
          <w:rFonts w:ascii="宋体" w:hAnsi="宋体" w:cs="宋体"/>
          <w:b/>
          <w:bCs/>
          <w:color w:val="auto"/>
          <w:highlight w:val="none"/>
        </w:rPr>
      </w:pPr>
      <w:r>
        <w:rPr>
          <w:rStyle w:val="40"/>
          <w:rFonts w:ascii="宋体" w:hAnsi="宋体" w:cs="宋体"/>
          <w:b/>
          <w:bCs/>
          <w:color w:val="auto"/>
          <w:highlight w:val="none"/>
        </w:rPr>
        <w:t xml:space="preserve">二、竞争性磋商响应文件的编制 </w:t>
      </w:r>
    </w:p>
    <w:p w14:paraId="348743BD">
      <w:pPr>
        <w:spacing w:line="360" w:lineRule="auto"/>
        <w:ind w:firstLine="310" w:firstLineChars="147"/>
        <w:rPr>
          <w:rFonts w:ascii="宋体" w:hAnsi="宋体" w:cs="宋体"/>
          <w:color w:val="auto"/>
          <w:szCs w:val="21"/>
          <w:highlight w:val="none"/>
        </w:rPr>
      </w:pPr>
      <w:r>
        <w:rPr>
          <w:rStyle w:val="40"/>
          <w:rFonts w:ascii="宋体" w:hAnsi="宋体"/>
          <w:b/>
          <w:color w:val="auto"/>
          <w:szCs w:val="21"/>
          <w:highlight w:val="none"/>
        </w:rPr>
        <w:t xml:space="preserve">5. 竞争性磋商响应文件编制基本要求 </w:t>
      </w:r>
    </w:p>
    <w:p w14:paraId="33F18ED4">
      <w:pPr>
        <w:spacing w:line="440" w:lineRule="exact"/>
        <w:ind w:firstLine="360"/>
        <w:rPr>
          <w:rFonts w:ascii="宋体" w:hAnsi="宋体"/>
          <w:color w:val="auto"/>
          <w:szCs w:val="21"/>
          <w:highlight w:val="none"/>
        </w:rPr>
      </w:pPr>
      <w:r>
        <w:rPr>
          <w:rFonts w:hint="eastAsia" w:ascii="宋体" w:hAnsi="宋体"/>
          <w:color w:val="auto"/>
          <w:szCs w:val="21"/>
          <w:highlight w:val="none"/>
        </w:rPr>
        <w:t>5.1.本项目实行电子投标，供应商应准备电子磋商响应文件：</w:t>
      </w:r>
    </w:p>
    <w:p w14:paraId="1A34898B">
      <w:pPr>
        <w:spacing w:line="440" w:lineRule="exact"/>
        <w:ind w:firstLine="360"/>
        <w:rPr>
          <w:rFonts w:ascii="宋体" w:hAnsi="宋体"/>
          <w:color w:val="auto"/>
          <w:szCs w:val="21"/>
          <w:highlight w:val="none"/>
        </w:rPr>
      </w:pPr>
      <w:r>
        <w:rPr>
          <w:rFonts w:hint="eastAsia" w:ascii="宋体" w:hAnsi="宋体"/>
          <w:color w:val="auto"/>
          <w:szCs w:val="21"/>
          <w:highlight w:val="none"/>
        </w:rPr>
        <w:t>5.1.1电子响应文件按</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要求及本竞争性磋商文件要求制作、加密并递交。具体操作流程可参考《政府采购项目电子交易管理操作指南-供应商》，指南可在http://zfcg.gxzf.gov.cn/）—办事服务—下载专区下载。</w:t>
      </w:r>
    </w:p>
    <w:p w14:paraId="481B3F05">
      <w:pPr>
        <w:spacing w:line="440" w:lineRule="exact"/>
        <w:ind w:firstLine="360"/>
        <w:rPr>
          <w:rFonts w:ascii="宋体" w:hAnsi="宋体"/>
          <w:color w:val="auto"/>
          <w:szCs w:val="21"/>
          <w:highlight w:val="none"/>
        </w:rPr>
      </w:pPr>
      <w:r>
        <w:rPr>
          <w:rFonts w:hint="eastAsia" w:ascii="宋体" w:hAnsi="宋体"/>
          <w:color w:val="auto"/>
          <w:szCs w:val="21"/>
          <w:highlight w:val="none"/>
        </w:rPr>
        <w:t>▲5.1.2磋商响应文件启用顺序和效力：磋商响应文件的启用，按先后顺位分别为电子磋商响应文件、电子备份磋商响应文件。若磋商供应商在规定时间内无法解密或解密失败，可以以电子备份磋商响应文件作为依据，若电子备份磋商响应文件与</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上传的电子磋商响应文件被识别为不一致的，以电子备份磋商响应文件作为评审依据；磋商供应商按时在线解密响应文件的，以在线解密的响应文件作为评审依据。若磋商供应商在规定时间内无法解密或解密失败且未提供电子备份磋商响应文件的，视为响应文件撤回。</w:t>
      </w:r>
    </w:p>
    <w:p w14:paraId="41E148B5">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5.</w:t>
      </w:r>
      <w:r>
        <w:rPr>
          <w:rStyle w:val="40"/>
          <w:rFonts w:hint="eastAsia" w:ascii="宋体" w:hAnsi="宋体"/>
          <w:color w:val="auto"/>
          <w:szCs w:val="21"/>
          <w:highlight w:val="none"/>
        </w:rPr>
        <w:t>2</w:t>
      </w:r>
      <w:r>
        <w:rPr>
          <w:rStyle w:val="40"/>
          <w:rFonts w:ascii="宋体" w:hAnsi="宋体"/>
          <w:color w:val="auto"/>
          <w:szCs w:val="21"/>
          <w:highlight w:val="none"/>
        </w:rPr>
        <w:t xml:space="preserve"> 磋商供应商</w:t>
      </w:r>
      <w:r>
        <w:rPr>
          <w:rStyle w:val="40"/>
          <w:rFonts w:hint="eastAsia" w:ascii="宋体" w:hAnsi="宋体"/>
          <w:color w:val="auto"/>
          <w:szCs w:val="21"/>
          <w:highlight w:val="none"/>
        </w:rPr>
        <w:t>应按采购文件的要求</w:t>
      </w:r>
      <w:r>
        <w:rPr>
          <w:rStyle w:val="40"/>
          <w:rFonts w:ascii="宋体" w:hAnsi="宋体"/>
          <w:color w:val="auto"/>
          <w:szCs w:val="21"/>
          <w:highlight w:val="none"/>
        </w:rPr>
        <w:t>对竞争性磋商</w:t>
      </w:r>
      <w:r>
        <w:rPr>
          <w:rStyle w:val="40"/>
          <w:rFonts w:hint="eastAsia" w:ascii="宋体" w:hAnsi="宋体"/>
          <w:color w:val="auto"/>
          <w:szCs w:val="21"/>
          <w:highlight w:val="none"/>
        </w:rPr>
        <w:t>电子</w:t>
      </w:r>
      <w:r>
        <w:rPr>
          <w:rStyle w:val="40"/>
          <w:rFonts w:ascii="宋体" w:hAnsi="宋体"/>
          <w:color w:val="auto"/>
          <w:szCs w:val="21"/>
          <w:highlight w:val="none"/>
        </w:rPr>
        <w:t>响应文件</w:t>
      </w:r>
      <w:r>
        <w:rPr>
          <w:rStyle w:val="40"/>
          <w:rFonts w:hint="eastAsia" w:ascii="宋体" w:hAnsi="宋体"/>
          <w:color w:val="auto"/>
          <w:szCs w:val="21"/>
          <w:highlight w:val="none"/>
        </w:rPr>
        <w:t>进行</w:t>
      </w:r>
      <w:r>
        <w:rPr>
          <w:rStyle w:val="40"/>
          <w:rFonts w:ascii="宋体" w:hAnsi="宋体"/>
          <w:color w:val="auto"/>
          <w:szCs w:val="21"/>
          <w:highlight w:val="none"/>
        </w:rPr>
        <w:t xml:space="preserve">编制。  </w:t>
      </w:r>
    </w:p>
    <w:p w14:paraId="68A08506">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5.</w:t>
      </w:r>
      <w:r>
        <w:rPr>
          <w:rStyle w:val="40"/>
          <w:rFonts w:hint="eastAsia" w:ascii="宋体" w:hAnsi="宋体"/>
          <w:color w:val="auto"/>
          <w:szCs w:val="21"/>
          <w:highlight w:val="none"/>
        </w:rPr>
        <w:t>3</w:t>
      </w:r>
      <w:r>
        <w:rPr>
          <w:rStyle w:val="40"/>
          <w:rFonts w:ascii="宋体" w:hAnsi="宋体"/>
          <w:color w:val="auto"/>
          <w:szCs w:val="21"/>
          <w:highlight w:val="none"/>
        </w:rPr>
        <w:t xml:space="preserve">磋商供应商提交的竞争性磋商响应文件以及磋商供应商与本公司和采购人就有关磋商的所有来往函电均应使用中文。磋商供应商提交的支持文件和印刷的文献可以使用别的语言，但其相应内容必须附有中文翻译文本，在解释竞争性磋商响应文件时以翻译文本为主。  </w:t>
      </w:r>
    </w:p>
    <w:p w14:paraId="4E9A951A">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5.</w:t>
      </w:r>
      <w:r>
        <w:rPr>
          <w:rStyle w:val="40"/>
          <w:rFonts w:hint="eastAsia" w:ascii="宋体" w:hAnsi="宋体"/>
          <w:color w:val="auto"/>
          <w:szCs w:val="21"/>
          <w:highlight w:val="none"/>
        </w:rPr>
        <w:t>4</w:t>
      </w:r>
      <w:r>
        <w:rPr>
          <w:rStyle w:val="40"/>
          <w:rFonts w:ascii="宋体" w:hAnsi="宋体"/>
          <w:color w:val="auto"/>
          <w:szCs w:val="21"/>
          <w:highlight w:val="none"/>
        </w:rPr>
        <w:t xml:space="preserve"> 磋商供应商应认真阅读、并充分理解本文件的全部内容（包括所有的澄清、更改、补充、答疑等内容），承诺并履行本文件中各项条款规定及要求 。  </w:t>
      </w:r>
    </w:p>
    <w:p w14:paraId="63EB4F14">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5.</w:t>
      </w:r>
      <w:r>
        <w:rPr>
          <w:rStyle w:val="40"/>
          <w:rFonts w:hint="eastAsia" w:ascii="宋体" w:hAnsi="宋体"/>
          <w:color w:val="auto"/>
          <w:szCs w:val="21"/>
          <w:highlight w:val="none"/>
        </w:rPr>
        <w:t>5</w:t>
      </w:r>
      <w:r>
        <w:rPr>
          <w:rStyle w:val="40"/>
          <w:rFonts w:ascii="宋体" w:hAnsi="宋体"/>
          <w:color w:val="auto"/>
          <w:szCs w:val="21"/>
          <w:highlight w:val="none"/>
        </w:rPr>
        <w:t>竞争性磋商响应文件必须按本文件的全部内容，包括所有的澄清、更改、补充、答疑等内容及附件进行编制。</w:t>
      </w:r>
    </w:p>
    <w:p w14:paraId="705FEC0D">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5.</w:t>
      </w:r>
      <w:r>
        <w:rPr>
          <w:rStyle w:val="40"/>
          <w:rFonts w:hint="eastAsia" w:ascii="宋体" w:hAnsi="宋体"/>
          <w:color w:val="auto"/>
          <w:szCs w:val="21"/>
          <w:highlight w:val="none"/>
        </w:rPr>
        <w:t>6</w:t>
      </w:r>
      <w:r>
        <w:rPr>
          <w:rStyle w:val="40"/>
          <w:rFonts w:ascii="宋体" w:hAnsi="宋体"/>
          <w:color w:val="auto"/>
          <w:szCs w:val="21"/>
          <w:highlight w:val="none"/>
        </w:rPr>
        <w:t xml:space="preserve"> 如因磋商供应商只填写和提供了本文件要求的部分内容和附件，而给磋商小组评审造成困难，其可能导致的结果和责任由磋商供应商自行承担。 </w:t>
      </w:r>
    </w:p>
    <w:p w14:paraId="0E936C19">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5.</w:t>
      </w:r>
      <w:r>
        <w:rPr>
          <w:rStyle w:val="40"/>
          <w:rFonts w:hint="eastAsia" w:ascii="宋体" w:hAnsi="宋体"/>
          <w:color w:val="auto"/>
          <w:szCs w:val="21"/>
          <w:highlight w:val="none"/>
        </w:rPr>
        <w:t>7</w:t>
      </w:r>
      <w:r>
        <w:rPr>
          <w:rStyle w:val="40"/>
          <w:rFonts w:ascii="宋体" w:hAnsi="宋体"/>
          <w:color w:val="auto"/>
          <w:szCs w:val="21"/>
          <w:highlight w:val="none"/>
        </w:rPr>
        <w:t xml:space="preserve">竞争性磋商响应文件的组成：竞争性磋商响应文件应分为商务及资格文件和技术文件两个部分组成。 </w:t>
      </w:r>
    </w:p>
    <w:p w14:paraId="32AD5249">
      <w:pPr>
        <w:spacing w:line="420" w:lineRule="exact"/>
        <w:ind w:firstLine="316" w:firstLineChars="150"/>
        <w:rPr>
          <w:rStyle w:val="40"/>
          <w:rFonts w:ascii="宋体" w:hAnsi="宋体"/>
          <w:b/>
          <w:bCs/>
          <w:color w:val="auto"/>
          <w:szCs w:val="21"/>
          <w:highlight w:val="none"/>
        </w:rPr>
      </w:pPr>
      <w:r>
        <w:rPr>
          <w:rStyle w:val="40"/>
          <w:rFonts w:ascii="宋体" w:hAnsi="宋体"/>
          <w:b/>
          <w:bCs/>
          <w:color w:val="auto"/>
          <w:szCs w:val="21"/>
          <w:highlight w:val="none"/>
        </w:rPr>
        <w:t>5.</w:t>
      </w:r>
      <w:r>
        <w:rPr>
          <w:rStyle w:val="40"/>
          <w:rFonts w:hint="eastAsia" w:ascii="宋体" w:hAnsi="宋体"/>
          <w:b/>
          <w:bCs/>
          <w:color w:val="auto"/>
          <w:szCs w:val="21"/>
          <w:highlight w:val="none"/>
        </w:rPr>
        <w:t>8</w:t>
      </w:r>
      <w:r>
        <w:rPr>
          <w:rStyle w:val="40"/>
          <w:rFonts w:ascii="宋体" w:hAnsi="宋体"/>
          <w:b/>
          <w:bCs/>
          <w:color w:val="auto"/>
          <w:szCs w:val="21"/>
          <w:highlight w:val="none"/>
        </w:rPr>
        <w:t>.1 商务及资格文件</w:t>
      </w:r>
    </w:p>
    <w:p w14:paraId="0DF96F86">
      <w:pPr>
        <w:spacing w:line="420" w:lineRule="exact"/>
        <w:ind w:firstLine="315" w:firstLineChars="150"/>
        <w:rPr>
          <w:rStyle w:val="40"/>
          <w:rFonts w:ascii="宋体" w:hAnsi="宋体"/>
          <w:b/>
          <w:color w:val="auto"/>
          <w:szCs w:val="21"/>
          <w:highlight w:val="none"/>
        </w:rPr>
      </w:pPr>
      <w:r>
        <w:rPr>
          <w:rStyle w:val="40"/>
          <w:rFonts w:ascii="宋体" w:hAnsi="宋体"/>
          <w:color w:val="auto"/>
          <w:szCs w:val="21"/>
          <w:highlight w:val="none"/>
        </w:rPr>
        <w:t>1）磋商书；</w:t>
      </w:r>
      <w:r>
        <w:rPr>
          <w:rStyle w:val="40"/>
          <w:rFonts w:ascii="宋体" w:hAnsi="宋体" w:cs="宋体"/>
          <w:b/>
          <w:bCs/>
          <w:color w:val="auto"/>
          <w:szCs w:val="21"/>
          <w:highlight w:val="none"/>
        </w:rPr>
        <w:t>（必须提供，加盖单位公章）</w:t>
      </w:r>
    </w:p>
    <w:p w14:paraId="6ABFBF61">
      <w:pPr>
        <w:spacing w:line="420" w:lineRule="exact"/>
        <w:ind w:firstLine="315" w:firstLineChars="150"/>
        <w:rPr>
          <w:rStyle w:val="40"/>
          <w:rFonts w:ascii="宋体" w:hAnsi="宋体" w:cs="宋体"/>
          <w:b/>
          <w:bCs/>
          <w:color w:val="auto"/>
          <w:szCs w:val="21"/>
          <w:highlight w:val="none"/>
        </w:rPr>
      </w:pPr>
      <w:r>
        <w:rPr>
          <w:rStyle w:val="40"/>
          <w:rFonts w:ascii="宋体" w:hAnsi="宋体"/>
          <w:color w:val="auto"/>
          <w:szCs w:val="21"/>
          <w:highlight w:val="none"/>
        </w:rPr>
        <w:t>2）磋商报价表；</w:t>
      </w:r>
      <w:r>
        <w:rPr>
          <w:rStyle w:val="40"/>
          <w:rFonts w:ascii="宋体" w:hAnsi="宋体" w:cs="宋体"/>
          <w:b/>
          <w:bCs/>
          <w:color w:val="auto"/>
          <w:szCs w:val="21"/>
          <w:highlight w:val="none"/>
        </w:rPr>
        <w:t>（必须提供，加盖单位公章）</w:t>
      </w:r>
    </w:p>
    <w:p w14:paraId="5D4ABA22">
      <w:pPr>
        <w:spacing w:line="420" w:lineRule="exact"/>
        <w:ind w:firstLine="316" w:firstLineChars="150"/>
        <w:rPr>
          <w:rStyle w:val="40"/>
          <w:rFonts w:ascii="宋体" w:hAnsi="宋体"/>
          <w:b/>
          <w:bCs/>
          <w:color w:val="auto"/>
          <w:szCs w:val="21"/>
          <w:highlight w:val="none"/>
        </w:rPr>
      </w:pPr>
      <w:r>
        <w:rPr>
          <w:rStyle w:val="40"/>
          <w:rFonts w:hint="eastAsia" w:ascii="宋体" w:hAnsi="宋体"/>
          <w:b/>
          <w:bCs/>
          <w:color w:val="auto"/>
          <w:szCs w:val="21"/>
          <w:highlight w:val="none"/>
          <w:lang w:val="en-US" w:eastAsia="zh-CN"/>
        </w:rPr>
        <w:t>3</w:t>
      </w:r>
      <w:r>
        <w:rPr>
          <w:rStyle w:val="40"/>
          <w:rFonts w:ascii="宋体" w:hAnsi="宋体"/>
          <w:b/>
          <w:bCs/>
          <w:color w:val="auto"/>
          <w:szCs w:val="21"/>
          <w:highlight w:val="none"/>
        </w:rPr>
        <w:t>）资格证明文件；</w:t>
      </w:r>
    </w:p>
    <w:p w14:paraId="645A0E10">
      <w:pPr>
        <w:spacing w:line="420" w:lineRule="exact"/>
        <w:ind w:firstLine="105" w:firstLineChars="50"/>
        <w:rPr>
          <w:rStyle w:val="40"/>
          <w:rFonts w:ascii="宋体" w:hAnsi="宋体"/>
          <w:color w:val="auto"/>
          <w:szCs w:val="21"/>
          <w:highlight w:val="none"/>
        </w:rPr>
      </w:pPr>
      <w:r>
        <w:rPr>
          <w:rStyle w:val="40"/>
          <w:rFonts w:ascii="宋体" w:hAnsi="宋体"/>
          <w:color w:val="auto"/>
          <w:szCs w:val="21"/>
          <w:highlight w:val="none"/>
        </w:rPr>
        <w:t>（1）</w:t>
      </w:r>
      <w:r>
        <w:rPr>
          <w:rStyle w:val="40"/>
          <w:rFonts w:hint="eastAsia" w:ascii="宋体" w:hAnsi="宋体"/>
          <w:color w:val="auto"/>
          <w:szCs w:val="21"/>
          <w:highlight w:val="none"/>
          <w:lang w:eastAsia="zh-CN"/>
        </w:rPr>
        <w:t>有效的</w:t>
      </w:r>
      <w:r>
        <w:rPr>
          <w:rStyle w:val="40"/>
          <w:rFonts w:ascii="宋体" w:hAnsi="宋体"/>
          <w:color w:val="auto"/>
          <w:szCs w:val="21"/>
          <w:highlight w:val="none"/>
        </w:rPr>
        <w:t>营业执照副本复印件；</w:t>
      </w:r>
      <w:r>
        <w:rPr>
          <w:rStyle w:val="40"/>
          <w:rFonts w:ascii="宋体" w:hAnsi="宋体" w:cs="宋体"/>
          <w:b/>
          <w:bCs/>
          <w:color w:val="auto"/>
          <w:szCs w:val="21"/>
          <w:highlight w:val="none"/>
        </w:rPr>
        <w:t>（必须提供，加盖单位公章）</w:t>
      </w:r>
      <w:r>
        <w:rPr>
          <w:rStyle w:val="40"/>
          <w:rFonts w:ascii="宋体" w:hAnsi="宋体"/>
          <w:color w:val="auto"/>
          <w:szCs w:val="21"/>
          <w:highlight w:val="none"/>
        </w:rPr>
        <w:t>；</w:t>
      </w:r>
    </w:p>
    <w:p w14:paraId="3D2C1253">
      <w:pPr>
        <w:spacing w:line="420" w:lineRule="exact"/>
        <w:ind w:firstLine="105" w:firstLineChars="5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rPr>
        <w:t>2</w:t>
      </w:r>
      <w:r>
        <w:rPr>
          <w:rStyle w:val="40"/>
          <w:rFonts w:ascii="宋体" w:hAnsi="宋体"/>
          <w:color w:val="auto"/>
          <w:szCs w:val="21"/>
          <w:highlight w:val="none"/>
        </w:rPr>
        <w:t>）磋商供应商资格声明；</w:t>
      </w:r>
      <w:r>
        <w:rPr>
          <w:rStyle w:val="40"/>
          <w:rFonts w:ascii="宋体" w:hAnsi="宋体" w:cs="宋体"/>
          <w:b/>
          <w:bCs/>
          <w:color w:val="auto"/>
          <w:szCs w:val="21"/>
          <w:highlight w:val="none"/>
        </w:rPr>
        <w:t>（必须提供，加盖单位公章）</w:t>
      </w:r>
      <w:r>
        <w:rPr>
          <w:rStyle w:val="40"/>
          <w:rFonts w:ascii="宋体" w:hAnsi="宋体"/>
          <w:color w:val="auto"/>
          <w:szCs w:val="21"/>
          <w:highlight w:val="none"/>
        </w:rPr>
        <w:t xml:space="preserve">； </w:t>
      </w:r>
    </w:p>
    <w:p w14:paraId="5BCF7E48">
      <w:pPr>
        <w:spacing w:line="420" w:lineRule="exact"/>
        <w:ind w:firstLine="105" w:firstLineChars="5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rPr>
        <w:t>3</w:t>
      </w:r>
      <w:r>
        <w:rPr>
          <w:rStyle w:val="40"/>
          <w:rFonts w:ascii="宋体" w:hAnsi="宋体"/>
          <w:color w:val="auto"/>
          <w:szCs w:val="21"/>
          <w:highlight w:val="none"/>
        </w:rPr>
        <w:t>）法定代表人有效的身份证正反面复印件；</w:t>
      </w:r>
      <w:r>
        <w:rPr>
          <w:rStyle w:val="40"/>
          <w:rFonts w:ascii="宋体" w:hAnsi="宋体" w:cs="宋体"/>
          <w:b/>
          <w:bCs/>
          <w:color w:val="auto"/>
          <w:szCs w:val="21"/>
          <w:highlight w:val="none"/>
        </w:rPr>
        <w:t>（必须提供，加盖单位公章）</w:t>
      </w:r>
      <w:r>
        <w:rPr>
          <w:rStyle w:val="40"/>
          <w:rFonts w:ascii="宋体" w:hAnsi="宋体"/>
          <w:color w:val="auto"/>
          <w:szCs w:val="21"/>
          <w:highlight w:val="none"/>
        </w:rPr>
        <w:t>；</w:t>
      </w:r>
    </w:p>
    <w:p w14:paraId="102A2F05">
      <w:pPr>
        <w:spacing w:line="420" w:lineRule="exact"/>
        <w:ind w:firstLine="105" w:firstLineChars="5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rPr>
        <w:t>4</w:t>
      </w:r>
      <w:r>
        <w:rPr>
          <w:rStyle w:val="40"/>
          <w:rFonts w:ascii="宋体" w:hAnsi="宋体"/>
          <w:color w:val="auto"/>
          <w:szCs w:val="21"/>
          <w:highlight w:val="none"/>
        </w:rPr>
        <w:t>）法定代表人授权书及委托代理人身份证正反面复印件；</w:t>
      </w:r>
      <w:r>
        <w:rPr>
          <w:rStyle w:val="40"/>
          <w:rFonts w:ascii="宋体" w:hAnsi="宋体" w:cs="宋体"/>
          <w:b/>
          <w:bCs/>
          <w:color w:val="auto"/>
          <w:szCs w:val="21"/>
          <w:highlight w:val="none"/>
        </w:rPr>
        <w:t>（委托代理时必须提供，加盖投标单位公章，否则将被当作资格审查不合格而取消投标资格）</w:t>
      </w:r>
      <w:r>
        <w:rPr>
          <w:rStyle w:val="40"/>
          <w:rFonts w:ascii="宋体" w:hAnsi="宋体"/>
          <w:color w:val="auto"/>
          <w:szCs w:val="21"/>
          <w:highlight w:val="none"/>
        </w:rPr>
        <w:t>；</w:t>
      </w:r>
    </w:p>
    <w:p w14:paraId="4B67931B">
      <w:pPr>
        <w:spacing w:line="420" w:lineRule="exact"/>
        <w:ind w:firstLine="105" w:firstLineChars="50"/>
        <w:rPr>
          <w:rStyle w:val="40"/>
          <w:rFonts w:ascii="宋体" w:hAnsi="宋体"/>
          <w:color w:val="auto"/>
          <w:kern w:val="0"/>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5</w:t>
      </w:r>
      <w:r>
        <w:rPr>
          <w:rStyle w:val="40"/>
          <w:rFonts w:ascii="宋体" w:hAnsi="宋体"/>
          <w:color w:val="auto"/>
          <w:szCs w:val="21"/>
          <w:highlight w:val="none"/>
        </w:rPr>
        <w:t>）</w:t>
      </w:r>
      <w:r>
        <w:rPr>
          <w:rStyle w:val="40"/>
          <w:rFonts w:ascii="宋体" w:hAnsi="宋体"/>
          <w:color w:val="auto"/>
          <w:kern w:val="0"/>
          <w:highlight w:val="none"/>
        </w:rPr>
        <w:t>贵港市政府采购项目投标资格承诺函</w:t>
      </w:r>
      <w:r>
        <w:rPr>
          <w:rStyle w:val="40"/>
          <w:rFonts w:ascii="宋体" w:hAnsi="宋体" w:cs="宋体"/>
          <w:b/>
          <w:bCs/>
          <w:color w:val="auto"/>
          <w:kern w:val="0"/>
          <w:highlight w:val="none"/>
        </w:rPr>
        <w:t>（</w:t>
      </w:r>
      <w:r>
        <w:rPr>
          <w:rStyle w:val="40"/>
          <w:rFonts w:ascii="宋体" w:hAnsi="宋体"/>
          <w:b/>
          <w:color w:val="auto"/>
          <w:szCs w:val="21"/>
          <w:highlight w:val="none"/>
        </w:rPr>
        <w:t>必须提供</w:t>
      </w:r>
      <w:r>
        <w:rPr>
          <w:rStyle w:val="40"/>
          <w:rFonts w:ascii="宋体" w:hAnsi="宋体" w:cs="宋体"/>
          <w:b/>
          <w:bCs/>
          <w:color w:val="auto"/>
          <w:kern w:val="0"/>
          <w:highlight w:val="none"/>
        </w:rPr>
        <w:t>，</w:t>
      </w:r>
      <w:r>
        <w:rPr>
          <w:rStyle w:val="40"/>
          <w:rFonts w:ascii="宋体" w:hAnsi="宋体" w:cs="宋体"/>
          <w:b/>
          <w:bCs/>
          <w:color w:val="auto"/>
          <w:szCs w:val="21"/>
          <w:highlight w:val="none"/>
        </w:rPr>
        <w:t>加盖单位公章</w:t>
      </w:r>
      <w:r>
        <w:rPr>
          <w:rStyle w:val="40"/>
          <w:rFonts w:ascii="宋体" w:hAnsi="宋体" w:cs="宋体"/>
          <w:b/>
          <w:bCs/>
          <w:color w:val="auto"/>
          <w:kern w:val="0"/>
          <w:highlight w:val="none"/>
        </w:rPr>
        <w:t>）</w:t>
      </w:r>
      <w:r>
        <w:rPr>
          <w:rStyle w:val="40"/>
          <w:rFonts w:ascii="宋体" w:hAnsi="宋体"/>
          <w:color w:val="auto"/>
          <w:kern w:val="0"/>
          <w:highlight w:val="none"/>
        </w:rPr>
        <w:t>；</w:t>
      </w:r>
    </w:p>
    <w:p w14:paraId="2EDFACB0">
      <w:pPr>
        <w:spacing w:line="420" w:lineRule="exact"/>
        <w:ind w:firstLine="105" w:firstLineChars="50"/>
        <w:rPr>
          <w:rStyle w:val="40"/>
          <w:rFonts w:hint="default" w:ascii="宋体" w:hAnsi="宋体" w:eastAsia="宋体"/>
          <w:color w:val="auto"/>
          <w:kern w:val="0"/>
          <w:highlight w:val="none"/>
          <w:lang w:val="en-US" w:eastAsia="zh-CN"/>
        </w:rPr>
      </w:pPr>
      <w:r>
        <w:rPr>
          <w:rStyle w:val="40"/>
          <w:rFonts w:hint="eastAsia" w:ascii="宋体" w:hAnsi="宋体"/>
          <w:color w:val="auto"/>
          <w:kern w:val="0"/>
          <w:highlight w:val="none"/>
          <w:lang w:eastAsia="zh-CN"/>
        </w:rPr>
        <w:t>（</w:t>
      </w:r>
      <w:r>
        <w:rPr>
          <w:rStyle w:val="40"/>
          <w:rFonts w:hint="eastAsia" w:ascii="宋体" w:hAnsi="宋体"/>
          <w:color w:val="auto"/>
          <w:kern w:val="0"/>
          <w:highlight w:val="none"/>
          <w:lang w:val="en-US" w:eastAsia="zh-CN"/>
        </w:rPr>
        <w:t>6</w:t>
      </w:r>
      <w:r>
        <w:rPr>
          <w:rStyle w:val="40"/>
          <w:rFonts w:hint="eastAsia" w:ascii="宋体" w:hAnsi="宋体"/>
          <w:color w:val="auto"/>
          <w:kern w:val="0"/>
          <w:highlight w:val="none"/>
          <w:lang w:eastAsia="zh-CN"/>
        </w:rPr>
        <w:t>）中小企业声明函</w:t>
      </w:r>
      <w:r>
        <w:rPr>
          <w:rStyle w:val="40"/>
          <w:rFonts w:ascii="宋体" w:hAnsi="宋体" w:cs="宋体"/>
          <w:b/>
          <w:bCs/>
          <w:color w:val="auto"/>
          <w:kern w:val="0"/>
          <w:highlight w:val="none"/>
        </w:rPr>
        <w:t>（</w:t>
      </w:r>
      <w:r>
        <w:rPr>
          <w:rStyle w:val="40"/>
          <w:rFonts w:ascii="宋体" w:hAnsi="宋体"/>
          <w:b/>
          <w:color w:val="auto"/>
          <w:szCs w:val="21"/>
          <w:highlight w:val="none"/>
        </w:rPr>
        <w:t>必须提供</w:t>
      </w:r>
      <w:r>
        <w:rPr>
          <w:rStyle w:val="40"/>
          <w:rFonts w:ascii="宋体" w:hAnsi="宋体" w:cs="宋体"/>
          <w:b/>
          <w:bCs/>
          <w:color w:val="auto"/>
          <w:kern w:val="0"/>
          <w:highlight w:val="none"/>
        </w:rPr>
        <w:t>，</w:t>
      </w:r>
      <w:r>
        <w:rPr>
          <w:rStyle w:val="40"/>
          <w:rFonts w:ascii="宋体" w:hAnsi="宋体" w:cs="宋体"/>
          <w:b/>
          <w:bCs/>
          <w:color w:val="auto"/>
          <w:szCs w:val="21"/>
          <w:highlight w:val="none"/>
        </w:rPr>
        <w:t>加盖单位公章</w:t>
      </w:r>
      <w:r>
        <w:rPr>
          <w:rStyle w:val="40"/>
          <w:rFonts w:ascii="宋体" w:hAnsi="宋体" w:cs="宋体"/>
          <w:b/>
          <w:bCs/>
          <w:color w:val="auto"/>
          <w:kern w:val="0"/>
          <w:highlight w:val="none"/>
        </w:rPr>
        <w:t>）</w:t>
      </w:r>
      <w:r>
        <w:rPr>
          <w:rStyle w:val="40"/>
          <w:rFonts w:ascii="宋体" w:hAnsi="宋体"/>
          <w:color w:val="auto"/>
          <w:kern w:val="0"/>
          <w:highlight w:val="none"/>
        </w:rPr>
        <w:t>；</w:t>
      </w:r>
    </w:p>
    <w:p w14:paraId="420001CC">
      <w:pPr>
        <w:spacing w:line="360" w:lineRule="auto"/>
        <w:ind w:firstLine="105" w:firstLineChars="50"/>
        <w:rPr>
          <w:rStyle w:val="40"/>
          <w:rFonts w:ascii="宋体" w:hAnsi="宋体"/>
          <w:color w:val="auto"/>
          <w:kern w:val="0"/>
          <w:highlight w:val="none"/>
        </w:rPr>
      </w:pPr>
      <w:r>
        <w:rPr>
          <w:rStyle w:val="40"/>
          <w:rFonts w:ascii="宋体" w:hAnsi="宋体"/>
          <w:color w:val="auto"/>
          <w:kern w:val="0"/>
          <w:highlight w:val="none"/>
        </w:rPr>
        <w:t>（</w:t>
      </w:r>
      <w:r>
        <w:rPr>
          <w:rStyle w:val="40"/>
          <w:rFonts w:hint="eastAsia" w:ascii="宋体" w:hAnsi="宋体"/>
          <w:color w:val="auto"/>
          <w:kern w:val="0"/>
          <w:highlight w:val="none"/>
          <w:lang w:val="en-US" w:eastAsia="zh-CN"/>
        </w:rPr>
        <w:t>7</w:t>
      </w:r>
      <w:r>
        <w:rPr>
          <w:rStyle w:val="40"/>
          <w:rFonts w:ascii="宋体" w:hAnsi="宋体"/>
          <w:color w:val="auto"/>
          <w:kern w:val="0"/>
          <w:highlight w:val="none"/>
        </w:rPr>
        <w:t>）无重大违法记录声明书；</w:t>
      </w:r>
      <w:r>
        <w:rPr>
          <w:rStyle w:val="40"/>
          <w:rFonts w:ascii="宋体" w:hAnsi="宋体" w:cs="宋体"/>
          <w:b/>
          <w:bCs/>
          <w:color w:val="auto"/>
          <w:kern w:val="0"/>
          <w:highlight w:val="none"/>
        </w:rPr>
        <w:t>（</w:t>
      </w:r>
      <w:r>
        <w:rPr>
          <w:rStyle w:val="40"/>
          <w:rFonts w:ascii="宋体" w:hAnsi="宋体"/>
          <w:b/>
          <w:color w:val="auto"/>
          <w:szCs w:val="21"/>
          <w:highlight w:val="none"/>
        </w:rPr>
        <w:t>必须提供</w:t>
      </w:r>
      <w:r>
        <w:rPr>
          <w:rStyle w:val="40"/>
          <w:rFonts w:ascii="宋体" w:hAnsi="宋体" w:cs="宋体"/>
          <w:b/>
          <w:bCs/>
          <w:color w:val="auto"/>
          <w:kern w:val="0"/>
          <w:highlight w:val="none"/>
        </w:rPr>
        <w:t>，</w:t>
      </w:r>
      <w:r>
        <w:rPr>
          <w:rStyle w:val="40"/>
          <w:rFonts w:ascii="宋体" w:hAnsi="宋体" w:cs="宋体"/>
          <w:b/>
          <w:bCs/>
          <w:color w:val="auto"/>
          <w:szCs w:val="21"/>
          <w:highlight w:val="none"/>
        </w:rPr>
        <w:t>加盖单位公章</w:t>
      </w:r>
      <w:r>
        <w:rPr>
          <w:rStyle w:val="40"/>
          <w:rFonts w:ascii="宋体" w:hAnsi="宋体" w:cs="宋体"/>
          <w:b/>
          <w:bCs/>
          <w:color w:val="auto"/>
          <w:kern w:val="0"/>
          <w:highlight w:val="none"/>
        </w:rPr>
        <w:t>）</w:t>
      </w:r>
      <w:r>
        <w:rPr>
          <w:rStyle w:val="40"/>
          <w:rFonts w:ascii="宋体" w:hAnsi="宋体"/>
          <w:color w:val="auto"/>
          <w:kern w:val="0"/>
          <w:highlight w:val="none"/>
        </w:rPr>
        <w:t>；</w:t>
      </w:r>
    </w:p>
    <w:p w14:paraId="14CE7562">
      <w:pPr>
        <w:spacing w:line="360" w:lineRule="auto"/>
        <w:ind w:firstLine="105" w:firstLineChars="50"/>
        <w:rPr>
          <w:rStyle w:val="40"/>
          <w:rFonts w:hint="default" w:ascii="宋体" w:hAnsi="宋体" w:eastAsia="宋体"/>
          <w:color w:val="auto"/>
          <w:kern w:val="0"/>
          <w:highlight w:val="none"/>
          <w:lang w:val="en-US" w:eastAsia="zh-CN"/>
        </w:rPr>
      </w:pPr>
      <w:r>
        <w:rPr>
          <w:rStyle w:val="40"/>
          <w:rFonts w:ascii="宋体" w:hAnsi="宋体"/>
          <w:color w:val="auto"/>
          <w:kern w:val="0"/>
          <w:highlight w:val="none"/>
        </w:rPr>
        <w:t>（</w:t>
      </w:r>
      <w:r>
        <w:rPr>
          <w:rStyle w:val="40"/>
          <w:rFonts w:hint="eastAsia" w:ascii="宋体" w:hAnsi="宋体"/>
          <w:color w:val="auto"/>
          <w:kern w:val="0"/>
          <w:highlight w:val="none"/>
          <w:lang w:val="en-US" w:eastAsia="zh-CN"/>
        </w:rPr>
        <w:t>8</w:t>
      </w:r>
      <w:r>
        <w:rPr>
          <w:rStyle w:val="40"/>
          <w:rFonts w:ascii="宋体" w:hAnsi="宋体"/>
          <w:color w:val="auto"/>
          <w:kern w:val="0"/>
          <w:highlight w:val="none"/>
        </w:rPr>
        <w:t>）类似成功案例的业绩（以签订合同或中标通知书或验收证明材料复印件并加盖投标人单位公章为准）</w:t>
      </w:r>
      <w:r>
        <w:rPr>
          <w:rStyle w:val="40"/>
          <w:rFonts w:hint="eastAsia" w:ascii="宋体" w:hAnsi="宋体"/>
          <w:color w:val="auto"/>
          <w:kern w:val="0"/>
          <w:highlight w:val="none"/>
          <w:lang w:eastAsia="zh-CN"/>
        </w:rPr>
        <w:t>（如有请提供）</w:t>
      </w:r>
    </w:p>
    <w:p w14:paraId="26CCA049">
      <w:pPr>
        <w:spacing w:line="360" w:lineRule="auto"/>
        <w:ind w:firstLine="105" w:firstLineChars="50"/>
        <w:rPr>
          <w:rStyle w:val="40"/>
          <w:rFonts w:ascii="宋体" w:hAnsi="宋体"/>
          <w:color w:val="auto"/>
          <w:kern w:val="0"/>
          <w:highlight w:val="none"/>
        </w:rPr>
      </w:pPr>
      <w:r>
        <w:rPr>
          <w:rStyle w:val="40"/>
          <w:rFonts w:ascii="宋体" w:hAnsi="宋体"/>
          <w:color w:val="auto"/>
          <w:kern w:val="0"/>
          <w:highlight w:val="none"/>
        </w:rPr>
        <w:t>（</w:t>
      </w:r>
      <w:r>
        <w:rPr>
          <w:rStyle w:val="40"/>
          <w:rFonts w:hint="eastAsia" w:ascii="宋体" w:hAnsi="宋体"/>
          <w:color w:val="auto"/>
          <w:kern w:val="0"/>
          <w:highlight w:val="none"/>
          <w:lang w:val="en-US" w:eastAsia="zh-CN"/>
        </w:rPr>
        <w:t>9</w:t>
      </w:r>
      <w:r>
        <w:rPr>
          <w:rStyle w:val="40"/>
          <w:rFonts w:ascii="宋体" w:hAnsi="宋体"/>
          <w:color w:val="auto"/>
          <w:kern w:val="0"/>
          <w:highlight w:val="none"/>
        </w:rPr>
        <w:t>）磋商供应商质量管理和质量保证体系等方面的认证证书；</w:t>
      </w:r>
      <w:r>
        <w:rPr>
          <w:rStyle w:val="40"/>
          <w:rFonts w:hint="eastAsia" w:ascii="宋体" w:hAnsi="宋体"/>
          <w:color w:val="auto"/>
          <w:kern w:val="0"/>
          <w:highlight w:val="none"/>
          <w:lang w:eastAsia="zh-CN"/>
        </w:rPr>
        <w:t>（如有请提供）</w:t>
      </w:r>
    </w:p>
    <w:p w14:paraId="688C9D1C">
      <w:pPr>
        <w:spacing w:line="360" w:lineRule="auto"/>
        <w:ind w:firstLine="105" w:firstLineChars="50"/>
        <w:rPr>
          <w:rStyle w:val="40"/>
          <w:rFonts w:ascii="宋体" w:hAnsi="宋体"/>
          <w:color w:val="auto"/>
          <w:kern w:val="0"/>
          <w:highlight w:val="none"/>
        </w:rPr>
      </w:pPr>
      <w:r>
        <w:rPr>
          <w:rStyle w:val="40"/>
          <w:rFonts w:ascii="宋体" w:hAnsi="宋体"/>
          <w:color w:val="auto"/>
          <w:kern w:val="0"/>
          <w:highlight w:val="none"/>
        </w:rPr>
        <w:t>（</w:t>
      </w:r>
      <w:r>
        <w:rPr>
          <w:rStyle w:val="40"/>
          <w:rFonts w:hint="eastAsia" w:ascii="宋体" w:hAnsi="宋体"/>
          <w:color w:val="auto"/>
          <w:kern w:val="0"/>
          <w:highlight w:val="none"/>
          <w:lang w:val="en-US" w:eastAsia="zh-CN"/>
        </w:rPr>
        <w:t>10</w:t>
      </w:r>
      <w:r>
        <w:rPr>
          <w:rStyle w:val="40"/>
          <w:rFonts w:ascii="宋体" w:hAnsi="宋体"/>
          <w:color w:val="auto"/>
          <w:kern w:val="0"/>
          <w:highlight w:val="none"/>
        </w:rPr>
        <w:t>）磋商供应商认为可以证明其能力或业绩的其他材料；</w:t>
      </w:r>
      <w:r>
        <w:rPr>
          <w:rStyle w:val="40"/>
          <w:rFonts w:hint="eastAsia" w:ascii="宋体" w:hAnsi="宋体"/>
          <w:color w:val="auto"/>
          <w:kern w:val="0"/>
          <w:highlight w:val="none"/>
          <w:lang w:eastAsia="zh-CN"/>
        </w:rPr>
        <w:t>（如有请提供）</w:t>
      </w:r>
    </w:p>
    <w:p w14:paraId="687C0B42">
      <w:pPr>
        <w:spacing w:line="360" w:lineRule="auto"/>
        <w:ind w:firstLine="105" w:firstLineChars="50"/>
        <w:rPr>
          <w:rStyle w:val="40"/>
          <w:rFonts w:ascii="宋体" w:hAnsi="宋体"/>
          <w:color w:val="auto"/>
          <w:szCs w:val="21"/>
          <w:highlight w:val="none"/>
        </w:rPr>
      </w:pPr>
      <w:r>
        <w:rPr>
          <w:rStyle w:val="40"/>
          <w:rFonts w:ascii="宋体" w:hAnsi="宋体"/>
          <w:color w:val="auto"/>
          <w:szCs w:val="21"/>
          <w:highlight w:val="none"/>
        </w:rPr>
        <w:t>（1</w:t>
      </w:r>
      <w:r>
        <w:rPr>
          <w:rStyle w:val="40"/>
          <w:rFonts w:hint="eastAsia" w:ascii="宋体" w:hAnsi="宋体"/>
          <w:color w:val="auto"/>
          <w:szCs w:val="21"/>
          <w:highlight w:val="none"/>
          <w:lang w:val="en-US" w:eastAsia="zh-CN"/>
        </w:rPr>
        <w:t>1</w:t>
      </w:r>
      <w:r>
        <w:rPr>
          <w:rStyle w:val="40"/>
          <w:rFonts w:ascii="宋体" w:hAnsi="宋体"/>
          <w:color w:val="auto"/>
          <w:szCs w:val="21"/>
          <w:highlight w:val="none"/>
        </w:rPr>
        <w:t>）磋商文件列明的其他证明材料；</w:t>
      </w:r>
      <w:r>
        <w:rPr>
          <w:rStyle w:val="40"/>
          <w:rFonts w:hint="eastAsia" w:ascii="宋体" w:hAnsi="宋体"/>
          <w:color w:val="auto"/>
          <w:kern w:val="0"/>
          <w:highlight w:val="none"/>
          <w:lang w:eastAsia="zh-CN"/>
        </w:rPr>
        <w:t>（如有请提供）</w:t>
      </w:r>
    </w:p>
    <w:p w14:paraId="77FAD390">
      <w:pPr>
        <w:spacing w:line="420" w:lineRule="exact"/>
        <w:ind w:firstLine="211" w:firstLineChars="100"/>
        <w:rPr>
          <w:rStyle w:val="40"/>
          <w:rFonts w:ascii="宋体" w:hAnsi="宋体"/>
          <w:b/>
          <w:bCs/>
          <w:color w:val="auto"/>
          <w:szCs w:val="21"/>
          <w:highlight w:val="none"/>
        </w:rPr>
      </w:pPr>
      <w:r>
        <w:rPr>
          <w:rStyle w:val="40"/>
          <w:rFonts w:ascii="宋体" w:hAnsi="宋体"/>
          <w:b/>
          <w:bCs/>
          <w:color w:val="auto"/>
          <w:szCs w:val="21"/>
          <w:highlight w:val="none"/>
        </w:rPr>
        <w:t>5.</w:t>
      </w:r>
      <w:r>
        <w:rPr>
          <w:rStyle w:val="40"/>
          <w:rFonts w:hint="eastAsia" w:ascii="宋体" w:hAnsi="宋体"/>
          <w:b/>
          <w:bCs/>
          <w:color w:val="auto"/>
          <w:szCs w:val="21"/>
          <w:highlight w:val="none"/>
        </w:rPr>
        <w:t>8</w:t>
      </w:r>
      <w:r>
        <w:rPr>
          <w:rStyle w:val="40"/>
          <w:rFonts w:ascii="宋体" w:hAnsi="宋体"/>
          <w:b/>
          <w:bCs/>
          <w:color w:val="auto"/>
          <w:szCs w:val="21"/>
          <w:highlight w:val="none"/>
        </w:rPr>
        <w:t xml:space="preserve">.2 技术文件 </w:t>
      </w:r>
    </w:p>
    <w:p w14:paraId="299C7E36">
      <w:pPr>
        <w:spacing w:line="420" w:lineRule="exact"/>
        <w:ind w:firstLine="210" w:firstLineChars="10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1</w:t>
      </w:r>
      <w:r>
        <w:rPr>
          <w:rStyle w:val="40"/>
          <w:rFonts w:ascii="宋体" w:hAnsi="宋体"/>
          <w:color w:val="auto"/>
          <w:szCs w:val="21"/>
          <w:highlight w:val="none"/>
        </w:rPr>
        <w:t>）</w:t>
      </w:r>
      <w:r>
        <w:rPr>
          <w:rFonts w:hint="eastAsia" w:ascii="宋体" w:hAnsi="宋体"/>
          <w:color w:val="auto"/>
          <w:szCs w:val="21"/>
          <w:highlight w:val="none"/>
        </w:rPr>
        <w:t>技术响应、</w:t>
      </w:r>
      <w:r>
        <w:rPr>
          <w:rFonts w:hint="eastAsia" w:ascii="宋体" w:hAnsi="宋体"/>
          <w:color w:val="auto"/>
          <w:szCs w:val="21"/>
          <w:highlight w:val="none"/>
          <w:lang w:val="en-US" w:eastAsia="zh-CN"/>
        </w:rPr>
        <w:t>商务响应</w:t>
      </w:r>
      <w:r>
        <w:rPr>
          <w:rFonts w:hint="eastAsia" w:ascii="宋体" w:hAnsi="宋体"/>
          <w:color w:val="auto"/>
          <w:szCs w:val="21"/>
          <w:highlight w:val="none"/>
        </w:rPr>
        <w:t>偏离情况说明表</w:t>
      </w:r>
      <w:r>
        <w:rPr>
          <w:rStyle w:val="40"/>
          <w:rFonts w:ascii="宋体" w:hAnsi="宋体" w:cs="宋体"/>
          <w:b/>
          <w:bCs/>
          <w:color w:val="auto"/>
          <w:szCs w:val="21"/>
          <w:highlight w:val="none"/>
        </w:rPr>
        <w:t>（必须提供，加盖单位公章）</w:t>
      </w:r>
      <w:r>
        <w:rPr>
          <w:rStyle w:val="40"/>
          <w:rFonts w:ascii="宋体" w:hAnsi="宋体"/>
          <w:color w:val="auto"/>
          <w:szCs w:val="21"/>
          <w:highlight w:val="none"/>
        </w:rPr>
        <w:t>；</w:t>
      </w:r>
    </w:p>
    <w:p w14:paraId="5B2048DB">
      <w:pPr>
        <w:spacing w:line="420" w:lineRule="exact"/>
        <w:ind w:firstLine="210" w:firstLineChars="10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2</w:t>
      </w:r>
      <w:r>
        <w:rPr>
          <w:rStyle w:val="40"/>
          <w:rFonts w:ascii="宋体" w:hAnsi="宋体"/>
          <w:color w:val="auto"/>
          <w:szCs w:val="21"/>
          <w:highlight w:val="none"/>
        </w:rPr>
        <w:t>）</w:t>
      </w:r>
      <w:r>
        <w:rPr>
          <w:rFonts w:hint="eastAsia" w:ascii="宋体" w:hAnsi="宋体"/>
          <w:color w:val="auto"/>
          <w:szCs w:val="21"/>
          <w:highlight w:val="none"/>
        </w:rPr>
        <w:t>项目实施及承诺方案</w:t>
      </w:r>
      <w:r>
        <w:rPr>
          <w:rStyle w:val="40"/>
          <w:rFonts w:ascii="宋体" w:hAnsi="宋体" w:cs="宋体"/>
          <w:b/>
          <w:bCs/>
          <w:color w:val="auto"/>
          <w:szCs w:val="21"/>
          <w:highlight w:val="none"/>
        </w:rPr>
        <w:t>（格式自拟，必须提供，加盖单位公章）</w:t>
      </w:r>
      <w:r>
        <w:rPr>
          <w:rStyle w:val="40"/>
          <w:rFonts w:ascii="宋体" w:hAnsi="宋体"/>
          <w:color w:val="auto"/>
          <w:szCs w:val="21"/>
          <w:highlight w:val="none"/>
        </w:rPr>
        <w:t>；</w:t>
      </w:r>
    </w:p>
    <w:p w14:paraId="2878D66A">
      <w:pPr>
        <w:spacing w:line="360" w:lineRule="auto"/>
        <w:ind w:firstLine="210" w:firstLineChars="100"/>
        <w:rPr>
          <w:rStyle w:val="40"/>
          <w:rFonts w:hint="eastAsia" w:ascii="宋体" w:hAnsi="宋体"/>
          <w:color w:val="auto"/>
          <w:kern w:val="0"/>
          <w:highlight w:val="none"/>
          <w:lang w:eastAsia="zh-CN"/>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3</w:t>
      </w:r>
      <w:r>
        <w:rPr>
          <w:rStyle w:val="40"/>
          <w:rFonts w:ascii="宋体" w:hAnsi="宋体"/>
          <w:color w:val="auto"/>
          <w:szCs w:val="21"/>
          <w:highlight w:val="none"/>
        </w:rPr>
        <w:t>）投标人对本项目的合理化建议和改进措施；</w:t>
      </w:r>
      <w:r>
        <w:rPr>
          <w:rStyle w:val="40"/>
          <w:rFonts w:hint="eastAsia" w:ascii="宋体" w:hAnsi="宋体"/>
          <w:color w:val="auto"/>
          <w:kern w:val="0"/>
          <w:highlight w:val="none"/>
          <w:lang w:eastAsia="zh-CN"/>
        </w:rPr>
        <w:t>（如有请提供）</w:t>
      </w:r>
    </w:p>
    <w:p w14:paraId="513E92CA">
      <w:pPr>
        <w:spacing w:line="360" w:lineRule="auto"/>
        <w:ind w:firstLine="210" w:firstLineChars="10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4</w:t>
      </w:r>
      <w:r>
        <w:rPr>
          <w:rStyle w:val="40"/>
          <w:rFonts w:ascii="宋体" w:hAnsi="宋体"/>
          <w:color w:val="auto"/>
          <w:szCs w:val="21"/>
          <w:highlight w:val="none"/>
        </w:rPr>
        <w:t>）磋商供应商认为有必要提供的其它文件及资料。</w:t>
      </w:r>
      <w:r>
        <w:rPr>
          <w:rStyle w:val="40"/>
          <w:rFonts w:hint="eastAsia" w:ascii="宋体" w:hAnsi="宋体"/>
          <w:color w:val="auto"/>
          <w:kern w:val="0"/>
          <w:highlight w:val="none"/>
          <w:lang w:eastAsia="zh-CN"/>
        </w:rPr>
        <w:t>（如有请提供）</w:t>
      </w:r>
    </w:p>
    <w:p w14:paraId="3183C1DE">
      <w:pPr>
        <w:spacing w:line="360" w:lineRule="auto"/>
        <w:rPr>
          <w:rFonts w:ascii="宋体" w:hAnsi="宋体"/>
          <w:b/>
          <w:color w:val="auto"/>
          <w:szCs w:val="21"/>
          <w:highlight w:val="none"/>
        </w:rPr>
      </w:pPr>
      <w:r>
        <w:rPr>
          <w:rFonts w:hint="eastAsia" w:ascii="宋体" w:hAnsi="宋体"/>
          <w:color w:val="auto"/>
          <w:szCs w:val="21"/>
          <w:highlight w:val="none"/>
        </w:rPr>
        <w:t>▲</w:t>
      </w:r>
      <w:r>
        <w:rPr>
          <w:rFonts w:hint="eastAsia" w:ascii="宋体" w:hAnsi="宋体"/>
          <w:b/>
          <w:color w:val="auto"/>
          <w:szCs w:val="21"/>
          <w:highlight w:val="none"/>
        </w:rPr>
        <w:t>特别说明：（1）电子磋商</w:t>
      </w:r>
      <w:r>
        <w:rPr>
          <w:rFonts w:ascii="宋体" w:hAnsi="宋体"/>
          <w:b/>
          <w:color w:val="auto"/>
          <w:szCs w:val="21"/>
          <w:highlight w:val="none"/>
        </w:rPr>
        <w:t>响应文件中所须加盖公章部分均采用CA签章。若</w:t>
      </w:r>
      <w:r>
        <w:rPr>
          <w:rFonts w:hint="eastAsia" w:ascii="宋体" w:hAnsi="宋体"/>
          <w:b/>
          <w:color w:val="auto"/>
          <w:szCs w:val="21"/>
          <w:highlight w:val="none"/>
        </w:rPr>
        <w:t>竞争性磋商响应文件</w:t>
      </w:r>
      <w:r>
        <w:rPr>
          <w:rFonts w:ascii="宋体" w:hAnsi="宋体"/>
          <w:b/>
          <w:color w:val="auto"/>
          <w:szCs w:val="21"/>
          <w:highlight w:val="none"/>
        </w:rPr>
        <w:t>中有专门标注的某关联点</w:t>
      </w:r>
      <w:r>
        <w:rPr>
          <w:rFonts w:hint="eastAsia" w:ascii="宋体" w:hAnsi="宋体"/>
          <w:b/>
          <w:color w:val="auto"/>
          <w:szCs w:val="21"/>
          <w:highlight w:val="none"/>
        </w:rPr>
        <w:t>，</w:t>
      </w:r>
      <w:r>
        <w:rPr>
          <w:rFonts w:ascii="宋体" w:hAnsi="宋体"/>
          <w:b/>
          <w:color w:val="auto"/>
          <w:szCs w:val="21"/>
          <w:highlight w:val="none"/>
        </w:rPr>
        <w:t>并要求供应商在电子投标系统中作出</w:t>
      </w:r>
      <w:r>
        <w:rPr>
          <w:rFonts w:hint="eastAsia" w:ascii="宋体" w:hAnsi="宋体"/>
          <w:b/>
          <w:color w:val="auto"/>
          <w:szCs w:val="21"/>
          <w:highlight w:val="none"/>
        </w:rPr>
        <w:t>磋商</w:t>
      </w:r>
      <w:r>
        <w:rPr>
          <w:rFonts w:ascii="宋体" w:hAnsi="宋体"/>
          <w:b/>
          <w:color w:val="auto"/>
          <w:szCs w:val="21"/>
          <w:highlight w:val="none"/>
        </w:rPr>
        <w:t>响应的，如供应商未对关联点进行响应或者在响应文件其它内容进行描述，造成电子评审不能查询的责任由供应商自行承担。</w:t>
      </w:r>
    </w:p>
    <w:p w14:paraId="38225580">
      <w:pPr>
        <w:spacing w:line="360" w:lineRule="auto"/>
        <w:rPr>
          <w:rFonts w:ascii="宋体" w:hAnsi="宋体"/>
          <w:b/>
          <w:color w:val="auto"/>
          <w:szCs w:val="21"/>
          <w:highlight w:val="none"/>
        </w:rPr>
      </w:pPr>
      <w:r>
        <w:rPr>
          <w:rFonts w:hint="eastAsia" w:ascii="宋体" w:hAnsi="宋体"/>
          <w:b/>
          <w:color w:val="auto"/>
          <w:szCs w:val="21"/>
          <w:highlight w:val="none"/>
        </w:rPr>
        <w:t>（</w:t>
      </w:r>
      <w:r>
        <w:rPr>
          <w:rFonts w:ascii="宋体" w:hAnsi="宋体"/>
          <w:b/>
          <w:color w:val="auto"/>
          <w:szCs w:val="21"/>
          <w:highlight w:val="none"/>
        </w:rPr>
        <w:t>2</w:t>
      </w:r>
      <w:r>
        <w:rPr>
          <w:rFonts w:hint="eastAsia" w:ascii="宋体" w:hAnsi="宋体"/>
          <w:b/>
          <w:color w:val="auto"/>
          <w:szCs w:val="21"/>
          <w:highlight w:val="none"/>
        </w:rPr>
        <w:t>）竞争性磋商文件要求提供的的各种复印件，须加盖磋商供应商CA签章，否则其磋商无效。</w:t>
      </w:r>
    </w:p>
    <w:p w14:paraId="35BDAE7B">
      <w:pPr>
        <w:spacing w:line="360" w:lineRule="auto"/>
        <w:rPr>
          <w:rFonts w:ascii="宋体" w:hAnsi="宋体"/>
          <w:b/>
          <w:color w:val="auto"/>
          <w:szCs w:val="21"/>
          <w:highlight w:val="none"/>
        </w:rPr>
      </w:pPr>
      <w:r>
        <w:rPr>
          <w:rFonts w:hint="eastAsia" w:ascii="宋体" w:hAnsi="宋体"/>
          <w:b/>
          <w:color w:val="auto"/>
          <w:szCs w:val="21"/>
          <w:highlight w:val="none"/>
        </w:rPr>
        <w:t>（</w:t>
      </w:r>
      <w:r>
        <w:rPr>
          <w:rFonts w:ascii="宋体" w:hAnsi="宋体"/>
          <w:b/>
          <w:color w:val="auto"/>
          <w:szCs w:val="21"/>
          <w:highlight w:val="none"/>
        </w:rPr>
        <w:t>3</w:t>
      </w:r>
      <w:r>
        <w:rPr>
          <w:rFonts w:hint="eastAsia" w:ascii="宋体" w:hAnsi="宋体"/>
          <w:b/>
          <w:color w:val="auto"/>
          <w:szCs w:val="21"/>
          <w:highlight w:val="none"/>
        </w:rPr>
        <w:t>）竞争性磋商文件要求“必须提供”的证明等材料，磋商供应商必须全部提供，缺一不可，否则磋商无效。</w:t>
      </w:r>
    </w:p>
    <w:p w14:paraId="3DBE4462">
      <w:pPr>
        <w:spacing w:line="360" w:lineRule="auto"/>
        <w:rPr>
          <w:rFonts w:ascii="宋体" w:hAnsi="宋体"/>
          <w:color w:val="auto"/>
          <w:szCs w:val="21"/>
          <w:highlight w:val="none"/>
        </w:rPr>
      </w:pPr>
      <w:r>
        <w:rPr>
          <w:rFonts w:hint="eastAsia" w:ascii="宋体" w:hAnsi="宋体"/>
          <w:b/>
          <w:color w:val="auto"/>
          <w:szCs w:val="21"/>
          <w:highlight w:val="none"/>
        </w:rPr>
        <w:t>（4）竞争性磋商文件要求法定代表人（负责人）或委托代理人签字的部分必须签字然后扫描或者拍照做成pdf格式上传，无签字的视为磋商无效。</w:t>
      </w:r>
    </w:p>
    <w:p w14:paraId="49CD28C2">
      <w:pPr>
        <w:spacing w:line="360" w:lineRule="auto"/>
        <w:rPr>
          <w:rStyle w:val="40"/>
          <w:rFonts w:ascii="宋体" w:hAnsi="宋体"/>
          <w:b/>
          <w:color w:val="auto"/>
          <w:szCs w:val="21"/>
          <w:highlight w:val="none"/>
        </w:rPr>
      </w:pPr>
      <w:r>
        <w:rPr>
          <w:rStyle w:val="40"/>
          <w:rFonts w:ascii="宋体" w:hAnsi="宋体"/>
          <w:color w:val="auto"/>
          <w:szCs w:val="21"/>
          <w:highlight w:val="none"/>
        </w:rPr>
        <w:t xml:space="preserve">   </w:t>
      </w:r>
      <w:r>
        <w:rPr>
          <w:rStyle w:val="40"/>
          <w:rFonts w:ascii="宋体" w:hAnsi="宋体"/>
          <w:b/>
          <w:color w:val="auto"/>
          <w:szCs w:val="21"/>
          <w:highlight w:val="none"/>
        </w:rPr>
        <w:t xml:space="preserve">6. 计量单位  </w:t>
      </w:r>
    </w:p>
    <w:p w14:paraId="61254FEE">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6.1 除技术要求中另有规定外，本文件所要求使用的计量单位均应采用国家法定计量单位。 </w:t>
      </w:r>
    </w:p>
    <w:p w14:paraId="2A527C24">
      <w:pPr>
        <w:pStyle w:val="38"/>
        <w:rPr>
          <w:rStyle w:val="40"/>
          <w:rFonts w:ascii="宋体" w:hAnsi="宋体" w:cs="宋体"/>
          <w:b/>
          <w:bCs/>
          <w:color w:val="auto"/>
          <w:highlight w:val="none"/>
        </w:rPr>
      </w:pPr>
    </w:p>
    <w:p w14:paraId="4A26BA9A">
      <w:pPr>
        <w:pStyle w:val="38"/>
        <w:outlineLvl w:val="2"/>
        <w:rPr>
          <w:rStyle w:val="40"/>
          <w:rFonts w:ascii="宋体" w:hAnsi="宋体" w:cs="宋体"/>
          <w:b/>
          <w:bCs/>
          <w:color w:val="auto"/>
          <w:highlight w:val="none"/>
        </w:rPr>
      </w:pPr>
      <w:r>
        <w:rPr>
          <w:rStyle w:val="40"/>
          <w:rFonts w:ascii="宋体" w:hAnsi="宋体" w:cs="宋体"/>
          <w:b/>
          <w:bCs/>
          <w:color w:val="auto"/>
          <w:highlight w:val="none"/>
        </w:rPr>
        <w:t xml:space="preserve">三、报价要求 </w:t>
      </w:r>
    </w:p>
    <w:p w14:paraId="7054CFB5">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7.1 成交供应商负责本项目所需培训服务及售后服务等全部工作。  </w:t>
      </w:r>
    </w:p>
    <w:p w14:paraId="50461886">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7.2对不同文字文本竞争性磋商响应文件的解释发生异议的，以中文文本为准。除上述原因以外，如果因磋商供应商原因引起的报价失误，并在磋商时被接受，其后果由磋商供应商自负 。  </w:t>
      </w:r>
    </w:p>
    <w:p w14:paraId="1B5D7EC5">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7.3 报价：</w:t>
      </w:r>
    </w:p>
    <w:p w14:paraId="49D9E777">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7.3.1.本项目磋商应以人民币报价；</w:t>
      </w:r>
    </w:p>
    <w:p w14:paraId="6BC1D535">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7.3.2.不论磋商结果如何，磋商供应商均应自行承担所有与磋商有关的全部费用；</w:t>
      </w:r>
    </w:p>
    <w:p w14:paraId="1B37A416">
      <w:pPr>
        <w:spacing w:line="360" w:lineRule="auto"/>
        <w:ind w:firstLine="315" w:firstLineChars="150"/>
        <w:rPr>
          <w:rStyle w:val="40"/>
          <w:rFonts w:ascii="宋体" w:hAnsi="宋体"/>
          <w:b/>
          <w:color w:val="auto"/>
          <w:szCs w:val="21"/>
          <w:highlight w:val="none"/>
        </w:rPr>
      </w:pPr>
      <w:r>
        <w:rPr>
          <w:rStyle w:val="40"/>
          <w:rFonts w:ascii="宋体" w:hAnsi="宋体"/>
          <w:color w:val="auto"/>
          <w:szCs w:val="21"/>
          <w:highlight w:val="none"/>
        </w:rPr>
        <w:t>报价是履行合同的最终价格，磋商报价为含税，应包括设计费、材料费、施工制作、安装费、人工费、劳务、管理、保险、利润、税金、运输费、维修、保养、政策性文件规定及合同包含的应有风险、责任等各项应有费用。对于本文件中未列明，而供应商认为必需的费用也需列入总报价。在合同实施时，采购人将不予支付成交供应商没有列入的项目费用，并认为此项目的费用已包括在总报价中。</w:t>
      </w:r>
    </w:p>
    <w:p w14:paraId="6A4BF491">
      <w:pPr>
        <w:spacing w:line="360" w:lineRule="auto"/>
        <w:ind w:firstLine="316" w:firstLineChars="150"/>
        <w:rPr>
          <w:rStyle w:val="40"/>
          <w:rFonts w:ascii="宋体" w:hAnsi="宋体"/>
          <w:color w:val="auto"/>
          <w:szCs w:val="21"/>
          <w:highlight w:val="none"/>
        </w:rPr>
      </w:pPr>
      <w:r>
        <w:rPr>
          <w:rStyle w:val="40"/>
          <w:rFonts w:ascii="宋体" w:hAnsi="宋体"/>
          <w:b/>
          <w:color w:val="auto"/>
          <w:szCs w:val="21"/>
          <w:highlight w:val="none"/>
        </w:rPr>
        <w:t>磋商小组认为，磋商报价明显不合理或者低于成本，有可能影响服务质量和不能诚信履约的，应当要求其在规定的期限内提供书面文件予以解释说明，并提交相关证明材料；供应商不能提供证明材料或证明材料无法证明的，磋商小组可以认定其报价为低于成本，或严重不平衡、不合理报价，其竞标作无效处理。</w:t>
      </w:r>
    </w:p>
    <w:p w14:paraId="450BDE7F">
      <w:pPr>
        <w:rPr>
          <w:rStyle w:val="40"/>
          <w:color w:val="auto"/>
          <w:highlight w:val="none"/>
        </w:rPr>
      </w:pPr>
    </w:p>
    <w:p w14:paraId="3B961162">
      <w:pPr>
        <w:pStyle w:val="38"/>
        <w:outlineLvl w:val="2"/>
        <w:rPr>
          <w:rStyle w:val="40"/>
          <w:rFonts w:ascii="宋体" w:hAnsi="宋体" w:cs="宋体"/>
          <w:b/>
          <w:bCs/>
          <w:color w:val="auto"/>
          <w:highlight w:val="none"/>
        </w:rPr>
      </w:pPr>
      <w:r>
        <w:rPr>
          <w:rStyle w:val="40"/>
          <w:rFonts w:ascii="宋体" w:hAnsi="宋体" w:cs="宋体"/>
          <w:b/>
          <w:bCs/>
          <w:color w:val="auto"/>
          <w:highlight w:val="none"/>
        </w:rPr>
        <w:t xml:space="preserve">四、竞争性磋商响应文件的签署、份数、封装和递交 </w:t>
      </w:r>
    </w:p>
    <w:p w14:paraId="789F8858">
      <w:pPr>
        <w:spacing w:line="360" w:lineRule="auto"/>
        <w:ind w:firstLine="316" w:firstLineChars="150"/>
        <w:rPr>
          <w:rStyle w:val="40"/>
          <w:rFonts w:ascii="宋体" w:hAnsi="宋体"/>
          <w:b/>
          <w:color w:val="auto"/>
          <w:szCs w:val="21"/>
          <w:highlight w:val="none"/>
        </w:rPr>
      </w:pPr>
      <w:r>
        <w:rPr>
          <w:rStyle w:val="40"/>
          <w:rFonts w:ascii="宋体" w:hAnsi="宋体"/>
          <w:b/>
          <w:color w:val="auto"/>
          <w:szCs w:val="21"/>
          <w:highlight w:val="none"/>
        </w:rPr>
        <w:t>8. 竞争性磋商响应文件的签署、份数和封装</w:t>
      </w:r>
    </w:p>
    <w:p w14:paraId="6DB84E33">
      <w:pPr>
        <w:spacing w:line="360" w:lineRule="auto"/>
        <w:ind w:firstLine="315" w:firstLineChars="150"/>
        <w:rPr>
          <w:rFonts w:ascii="宋体" w:hAnsi="宋体"/>
          <w:b/>
          <w:bCs/>
          <w:color w:val="auto"/>
          <w:szCs w:val="21"/>
          <w:highlight w:val="none"/>
        </w:rPr>
      </w:pPr>
      <w:r>
        <w:rPr>
          <w:rFonts w:hint="eastAsia" w:ascii="宋体" w:hAnsi="宋体"/>
          <w:color w:val="auto"/>
          <w:szCs w:val="21"/>
          <w:highlight w:val="none"/>
        </w:rPr>
        <w:t>8.1磋商响应文件的封装</w:t>
      </w:r>
    </w:p>
    <w:p w14:paraId="21A678CB">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8.1.1.电子磋商响应文件中须加盖供应商公章部分均采用 CA 签章，并根据“政府采购项目电子交易管理操作指南-供应商”及本竞争性磋商文件规定的格式和顺序编制电子磋商响应文件并进行关联定位，以便磋商小组在评审时，点击评分项可直接定位到该评分项内容。如对竞争性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 漏读，或者在按竞争性磋商文件规定的部位查找不到相关内容的，由供应商自行承担。</w:t>
      </w:r>
    </w:p>
    <w:p w14:paraId="0A36ADBE">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8.1.2 CA 签章上目前没有法人（负责人）或授权代表签字信息，供应商在磋商响应文件中涉及到签字的位置线下签好字然后扫描或者拍照做成PDF的格式即可。</w:t>
      </w:r>
    </w:p>
    <w:p w14:paraId="583A0A79">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15.3. 磋商响应文件不得涂改，若有修改错漏处，须法定代表人（负责人）或授权委托人签字。磋商响应文件因字迹潦草或表达不清所引起的后果由供应商负责。</w:t>
      </w:r>
    </w:p>
    <w:p w14:paraId="0640E3DB">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8.2．响应文件的递交</w:t>
      </w:r>
    </w:p>
    <w:p w14:paraId="58E2C1B7">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8.2.1 所有竞争性磋商响应文件应于竞争性磋商文件中规定的时间前</w:t>
      </w:r>
      <w:r>
        <w:rPr>
          <w:rFonts w:ascii="宋体" w:hAnsi="宋体"/>
          <w:color w:val="auto"/>
          <w:szCs w:val="21"/>
          <w:highlight w:val="none"/>
        </w:rPr>
        <w:t>上传递交至</w:t>
      </w:r>
      <w:r>
        <w:rPr>
          <w:rFonts w:hint="eastAsia" w:ascii="宋体" w:hAnsi="宋体"/>
          <w:color w:val="auto"/>
          <w:szCs w:val="21"/>
          <w:highlight w:val="none"/>
          <w:lang w:eastAsia="zh-CN"/>
        </w:rPr>
        <w:t>广西政府采购云平台</w:t>
      </w:r>
      <w:r>
        <w:rPr>
          <w:rFonts w:ascii="宋体" w:hAnsi="宋体"/>
          <w:color w:val="auto"/>
          <w:szCs w:val="21"/>
          <w:highlight w:val="none"/>
        </w:rPr>
        <w:t>。</w:t>
      </w:r>
    </w:p>
    <w:p w14:paraId="6EAD959D">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8.2.2</w:t>
      </w:r>
      <w:r>
        <w:rPr>
          <w:rFonts w:ascii="宋体" w:hAnsi="宋体"/>
          <w:color w:val="auto"/>
          <w:szCs w:val="21"/>
          <w:highlight w:val="none"/>
        </w:rPr>
        <w:t xml:space="preserve">竞争性磋商响应文件从响应文件递交截止日期后60天内有效。  </w:t>
      </w:r>
    </w:p>
    <w:p w14:paraId="5013A2F7">
      <w:pPr>
        <w:spacing w:line="360" w:lineRule="auto"/>
        <w:ind w:firstLine="316" w:firstLineChars="150"/>
        <w:rPr>
          <w:rFonts w:ascii="宋体" w:hAnsi="宋体"/>
          <w:b/>
          <w:color w:val="auto"/>
          <w:szCs w:val="21"/>
          <w:highlight w:val="none"/>
        </w:rPr>
      </w:pPr>
      <w:r>
        <w:rPr>
          <w:rFonts w:ascii="宋体" w:hAnsi="宋体"/>
          <w:b/>
          <w:color w:val="auto"/>
          <w:szCs w:val="21"/>
          <w:highlight w:val="none"/>
        </w:rPr>
        <w:t>电子</w:t>
      </w:r>
      <w:r>
        <w:rPr>
          <w:rFonts w:hint="eastAsia" w:ascii="宋体" w:hAnsi="宋体"/>
          <w:b/>
          <w:color w:val="auto"/>
          <w:szCs w:val="21"/>
          <w:highlight w:val="none"/>
        </w:rPr>
        <w:t>响应文件</w:t>
      </w:r>
      <w:r>
        <w:rPr>
          <w:rFonts w:ascii="宋体" w:hAnsi="宋体"/>
          <w:b/>
          <w:color w:val="auto"/>
          <w:szCs w:val="21"/>
          <w:highlight w:val="none"/>
        </w:rPr>
        <w:t>的相关说明</w:t>
      </w:r>
      <w:r>
        <w:rPr>
          <w:rFonts w:hint="eastAsia" w:ascii="宋体" w:hAnsi="宋体"/>
          <w:b/>
          <w:color w:val="auto"/>
          <w:szCs w:val="21"/>
          <w:highlight w:val="none"/>
        </w:rPr>
        <w:t>：</w:t>
      </w:r>
    </w:p>
    <w:p w14:paraId="6C5AF6BF">
      <w:pPr>
        <w:spacing w:line="360" w:lineRule="auto"/>
        <w:ind w:firstLine="316" w:firstLineChars="150"/>
        <w:rPr>
          <w:rFonts w:ascii="宋体" w:hAnsi="宋体"/>
          <w:b/>
          <w:color w:val="auto"/>
          <w:szCs w:val="21"/>
          <w:highlight w:val="none"/>
        </w:rPr>
      </w:pPr>
      <w:r>
        <w:rPr>
          <w:rFonts w:ascii="宋体" w:hAnsi="宋体"/>
          <w:b/>
          <w:color w:val="auto"/>
          <w:szCs w:val="21"/>
          <w:highlight w:val="none"/>
        </w:rPr>
        <w:t>（1）供应商进行电子投标应安装客户端软件，并按照</w:t>
      </w:r>
      <w:r>
        <w:rPr>
          <w:rFonts w:hint="eastAsia" w:ascii="宋体" w:hAnsi="宋体"/>
          <w:b/>
          <w:color w:val="auto"/>
          <w:szCs w:val="21"/>
          <w:highlight w:val="none"/>
        </w:rPr>
        <w:t>竞争性磋商</w:t>
      </w:r>
      <w:r>
        <w:rPr>
          <w:rFonts w:ascii="宋体" w:hAnsi="宋体"/>
          <w:b/>
          <w:color w:val="auto"/>
          <w:szCs w:val="21"/>
          <w:highlight w:val="none"/>
        </w:rPr>
        <w:t>文件和电子交易平台的要求编制并加密</w:t>
      </w:r>
      <w:r>
        <w:rPr>
          <w:rFonts w:hint="eastAsia" w:ascii="宋体" w:hAnsi="宋体"/>
          <w:b/>
          <w:color w:val="auto"/>
          <w:szCs w:val="21"/>
          <w:highlight w:val="none"/>
        </w:rPr>
        <w:t>磋商</w:t>
      </w:r>
      <w:r>
        <w:rPr>
          <w:rFonts w:ascii="宋体" w:hAnsi="宋体"/>
          <w:b/>
          <w:color w:val="auto"/>
          <w:szCs w:val="21"/>
          <w:highlight w:val="none"/>
        </w:rPr>
        <w:t>响应文件。供应商未按规定加密的</w:t>
      </w:r>
      <w:r>
        <w:rPr>
          <w:rFonts w:hint="eastAsia" w:ascii="宋体" w:hAnsi="宋体"/>
          <w:b/>
          <w:color w:val="auto"/>
          <w:szCs w:val="21"/>
          <w:highlight w:val="none"/>
        </w:rPr>
        <w:t>磋商</w:t>
      </w:r>
      <w:r>
        <w:rPr>
          <w:rFonts w:ascii="宋体" w:hAnsi="宋体"/>
          <w:b/>
          <w:color w:val="auto"/>
          <w:szCs w:val="21"/>
          <w:highlight w:val="none"/>
        </w:rPr>
        <w:t>响应文件，电子交易平台将拒收。供应商应当在</w:t>
      </w:r>
      <w:r>
        <w:rPr>
          <w:rFonts w:hint="eastAsia" w:ascii="宋体" w:hAnsi="宋体"/>
          <w:b/>
          <w:color w:val="auto"/>
          <w:szCs w:val="21"/>
          <w:highlight w:val="none"/>
        </w:rPr>
        <w:t>磋商</w:t>
      </w:r>
      <w:r>
        <w:rPr>
          <w:rFonts w:ascii="宋体" w:hAnsi="宋体"/>
          <w:b/>
          <w:color w:val="auto"/>
          <w:szCs w:val="21"/>
          <w:highlight w:val="none"/>
        </w:rPr>
        <w:t>截止时间前完成</w:t>
      </w:r>
      <w:r>
        <w:rPr>
          <w:rFonts w:hint="eastAsia" w:ascii="宋体" w:hAnsi="宋体"/>
          <w:b/>
          <w:color w:val="auto"/>
          <w:szCs w:val="21"/>
          <w:highlight w:val="none"/>
        </w:rPr>
        <w:t>磋商</w:t>
      </w:r>
      <w:r>
        <w:rPr>
          <w:rFonts w:ascii="宋体" w:hAnsi="宋体"/>
          <w:b/>
          <w:color w:val="auto"/>
          <w:szCs w:val="21"/>
          <w:highlight w:val="none"/>
        </w:rPr>
        <w:t>响应文件的传输递交，并可以补充、修改或者撤回</w:t>
      </w:r>
      <w:r>
        <w:rPr>
          <w:rFonts w:hint="eastAsia" w:ascii="宋体" w:hAnsi="宋体"/>
          <w:b/>
          <w:color w:val="auto"/>
          <w:szCs w:val="21"/>
          <w:highlight w:val="none"/>
        </w:rPr>
        <w:t>磋商</w:t>
      </w:r>
      <w:r>
        <w:rPr>
          <w:rFonts w:ascii="宋体" w:hAnsi="宋体"/>
          <w:b/>
          <w:color w:val="auto"/>
          <w:szCs w:val="21"/>
          <w:highlight w:val="none"/>
        </w:rPr>
        <w:t>响应文件。补充或者修改</w:t>
      </w:r>
      <w:r>
        <w:rPr>
          <w:rFonts w:hint="eastAsia" w:ascii="宋体" w:hAnsi="宋体"/>
          <w:b/>
          <w:color w:val="auto"/>
          <w:szCs w:val="21"/>
          <w:highlight w:val="none"/>
        </w:rPr>
        <w:t>磋商</w:t>
      </w:r>
      <w:r>
        <w:rPr>
          <w:rFonts w:ascii="宋体" w:hAnsi="宋体"/>
          <w:b/>
          <w:color w:val="auto"/>
          <w:szCs w:val="21"/>
          <w:highlight w:val="none"/>
        </w:rPr>
        <w:t>响应文件的，应当先行撤回原文件</w:t>
      </w:r>
      <w:r>
        <w:rPr>
          <w:rFonts w:hint="eastAsia" w:ascii="宋体" w:hAnsi="宋体"/>
          <w:b/>
          <w:color w:val="auto"/>
          <w:szCs w:val="21"/>
          <w:highlight w:val="none"/>
        </w:rPr>
        <w:t>，</w:t>
      </w:r>
      <w:r>
        <w:rPr>
          <w:rFonts w:ascii="宋体" w:hAnsi="宋体"/>
          <w:b/>
          <w:color w:val="auto"/>
          <w:szCs w:val="21"/>
          <w:highlight w:val="none"/>
        </w:rPr>
        <w:t>补充、修改后重新传输递交。</w:t>
      </w:r>
      <w:r>
        <w:rPr>
          <w:rFonts w:hint="eastAsia" w:ascii="宋体" w:hAnsi="宋体"/>
          <w:b/>
          <w:color w:val="auto"/>
          <w:szCs w:val="21"/>
          <w:highlight w:val="none"/>
        </w:rPr>
        <w:t>磋商</w:t>
      </w:r>
      <w:r>
        <w:rPr>
          <w:rFonts w:ascii="宋体" w:hAnsi="宋体"/>
          <w:b/>
          <w:color w:val="auto"/>
          <w:szCs w:val="21"/>
          <w:highlight w:val="none"/>
        </w:rPr>
        <w:t>截止时间前未完成传输的，视为撤回</w:t>
      </w:r>
      <w:r>
        <w:rPr>
          <w:rFonts w:hint="eastAsia" w:ascii="宋体" w:hAnsi="宋体"/>
          <w:b/>
          <w:color w:val="auto"/>
          <w:szCs w:val="21"/>
          <w:highlight w:val="none"/>
        </w:rPr>
        <w:t>磋商</w:t>
      </w:r>
      <w:r>
        <w:rPr>
          <w:rFonts w:ascii="宋体" w:hAnsi="宋体"/>
          <w:b/>
          <w:color w:val="auto"/>
          <w:szCs w:val="21"/>
          <w:highlight w:val="none"/>
        </w:rPr>
        <w:t>响应文件。</w:t>
      </w:r>
      <w:r>
        <w:rPr>
          <w:rFonts w:hint="eastAsia" w:ascii="宋体" w:hAnsi="宋体"/>
          <w:b/>
          <w:color w:val="auto"/>
          <w:szCs w:val="21"/>
          <w:highlight w:val="none"/>
        </w:rPr>
        <w:t>磋商</w:t>
      </w:r>
      <w:r>
        <w:rPr>
          <w:rFonts w:ascii="宋体" w:hAnsi="宋体"/>
          <w:b/>
          <w:color w:val="auto"/>
          <w:szCs w:val="21"/>
          <w:highlight w:val="none"/>
        </w:rPr>
        <w:t>截止时间后递交的</w:t>
      </w:r>
      <w:r>
        <w:rPr>
          <w:rFonts w:hint="eastAsia" w:ascii="宋体" w:hAnsi="宋体"/>
          <w:b/>
          <w:color w:val="auto"/>
          <w:szCs w:val="21"/>
          <w:highlight w:val="none"/>
        </w:rPr>
        <w:t>磋商</w:t>
      </w:r>
      <w:r>
        <w:rPr>
          <w:rFonts w:ascii="宋体" w:hAnsi="宋体"/>
          <w:b/>
          <w:color w:val="auto"/>
          <w:szCs w:val="21"/>
          <w:highlight w:val="none"/>
        </w:rPr>
        <w:t>响应文件，电子交易平台将拒收。</w:t>
      </w:r>
    </w:p>
    <w:p w14:paraId="4D8F72FA">
      <w:pPr>
        <w:spacing w:line="360" w:lineRule="auto"/>
        <w:ind w:firstLine="316" w:firstLineChars="150"/>
        <w:rPr>
          <w:rFonts w:ascii="宋体" w:hAnsi="宋体"/>
          <w:b/>
          <w:color w:val="auto"/>
          <w:szCs w:val="21"/>
          <w:highlight w:val="none"/>
        </w:rPr>
      </w:pPr>
      <w:r>
        <w:rPr>
          <w:rFonts w:ascii="宋体" w:hAnsi="宋体"/>
          <w:b/>
          <w:color w:val="auto"/>
          <w:szCs w:val="21"/>
          <w:highlight w:val="none"/>
        </w:rPr>
        <w:t>（</w:t>
      </w:r>
      <w:r>
        <w:rPr>
          <w:rFonts w:hint="eastAsia" w:ascii="宋体" w:hAnsi="宋体"/>
          <w:b/>
          <w:color w:val="auto"/>
          <w:szCs w:val="21"/>
          <w:highlight w:val="none"/>
        </w:rPr>
        <w:t>2</w:t>
      </w:r>
      <w:r>
        <w:rPr>
          <w:rFonts w:ascii="宋体" w:hAnsi="宋体"/>
          <w:b/>
          <w:color w:val="auto"/>
          <w:szCs w:val="21"/>
          <w:highlight w:val="none"/>
        </w:rPr>
        <w:t>）如有特殊情况，采购代理机构延长截止时间和开标时间，采购代理机构和供应商的权利和义务将受到新的截止时间和开标时间的约束。</w:t>
      </w:r>
    </w:p>
    <w:p w14:paraId="7FD89ED5">
      <w:pPr>
        <w:spacing w:line="360" w:lineRule="auto"/>
        <w:ind w:firstLine="316" w:firstLineChars="150"/>
        <w:rPr>
          <w:rFonts w:ascii="宋体" w:hAnsi="宋体"/>
          <w:b/>
          <w:bCs/>
          <w:color w:val="auto"/>
          <w:szCs w:val="21"/>
          <w:highlight w:val="none"/>
        </w:rPr>
      </w:pPr>
      <w:r>
        <w:rPr>
          <w:rFonts w:hint="eastAsia" w:ascii="宋体" w:hAnsi="宋体"/>
          <w:b/>
          <w:bCs/>
          <w:color w:val="auto"/>
          <w:szCs w:val="21"/>
          <w:highlight w:val="none"/>
        </w:rPr>
        <w:t>8.3.迟交的响应文件</w:t>
      </w:r>
    </w:p>
    <w:p w14:paraId="4343F343">
      <w:pPr>
        <w:spacing w:line="360" w:lineRule="auto"/>
        <w:ind w:firstLine="315" w:firstLineChars="150"/>
        <w:rPr>
          <w:rStyle w:val="40"/>
          <w:rFonts w:ascii="宋体" w:hAnsi="宋体"/>
          <w:color w:val="auto"/>
          <w:szCs w:val="21"/>
          <w:highlight w:val="none"/>
        </w:rPr>
      </w:pPr>
      <w:r>
        <w:rPr>
          <w:rFonts w:hint="eastAsia" w:ascii="宋体" w:hAnsi="宋体"/>
          <w:color w:val="auto"/>
          <w:szCs w:val="21"/>
          <w:highlight w:val="none"/>
        </w:rPr>
        <w:t>采购代理机构拒绝在其规定的递交响应文件截止时间之后收到的任何响应文件。</w:t>
      </w:r>
    </w:p>
    <w:p w14:paraId="3D1C290A">
      <w:pPr>
        <w:spacing w:line="360" w:lineRule="auto"/>
        <w:ind w:firstLine="210" w:firstLineChars="100"/>
        <w:rPr>
          <w:rStyle w:val="40"/>
          <w:rFonts w:ascii="宋体" w:hAnsi="宋体"/>
          <w:color w:val="auto"/>
          <w:szCs w:val="21"/>
          <w:highlight w:val="none"/>
        </w:rPr>
      </w:pPr>
      <w:r>
        <w:rPr>
          <w:rStyle w:val="40"/>
          <w:rFonts w:ascii="宋体" w:hAnsi="宋体"/>
          <w:color w:val="auto"/>
          <w:szCs w:val="21"/>
          <w:highlight w:val="none"/>
        </w:rPr>
        <w:t>供应商应认真阅读、并充分理解本文件的全部内容（包括所有的补充、修改内容），承诺并履行本文件中各项条款规定及要求。</w:t>
      </w:r>
    </w:p>
    <w:p w14:paraId="366BE31F">
      <w:pPr>
        <w:spacing w:line="360" w:lineRule="auto"/>
        <w:ind w:firstLine="210" w:firstLineChars="100"/>
        <w:rPr>
          <w:rStyle w:val="40"/>
          <w:rFonts w:ascii="宋体" w:hAnsi="宋体"/>
          <w:color w:val="auto"/>
          <w:szCs w:val="21"/>
          <w:highlight w:val="none"/>
        </w:rPr>
      </w:pPr>
      <w:r>
        <w:rPr>
          <w:rStyle w:val="40"/>
          <w:rFonts w:ascii="宋体" w:hAnsi="宋体"/>
          <w:color w:val="auto"/>
          <w:szCs w:val="21"/>
          <w:highlight w:val="none"/>
        </w:rPr>
        <w:t>响应文件必须按本文件的全部内容，包括所有的补充通知及附件进行编制。</w:t>
      </w:r>
    </w:p>
    <w:p w14:paraId="1E9E67A5">
      <w:pPr>
        <w:spacing w:line="360" w:lineRule="auto"/>
        <w:ind w:firstLine="210" w:firstLineChars="100"/>
        <w:rPr>
          <w:rStyle w:val="40"/>
          <w:rFonts w:ascii="宋体" w:hAnsi="宋体"/>
          <w:color w:val="auto"/>
          <w:szCs w:val="21"/>
          <w:highlight w:val="none"/>
        </w:rPr>
      </w:pPr>
      <w:r>
        <w:rPr>
          <w:rStyle w:val="40"/>
          <w:rFonts w:ascii="宋体" w:hAnsi="宋体"/>
          <w:color w:val="auto"/>
          <w:szCs w:val="21"/>
          <w:highlight w:val="none"/>
        </w:rPr>
        <w:t>如因供应商只填写和提供了本文件要求的部分内容和附件，而给评审造成困难，其可能导致的结果和责任由供应商自行承担。</w:t>
      </w:r>
    </w:p>
    <w:p w14:paraId="6BD37BBE">
      <w:pPr>
        <w:spacing w:line="360" w:lineRule="auto"/>
        <w:ind w:firstLine="424" w:firstLineChars="201"/>
        <w:rPr>
          <w:rStyle w:val="40"/>
          <w:rFonts w:ascii="宋体" w:hAnsi="宋体"/>
          <w:color w:val="auto"/>
          <w:szCs w:val="21"/>
          <w:highlight w:val="none"/>
        </w:rPr>
      </w:pPr>
      <w:r>
        <w:rPr>
          <w:rStyle w:val="40"/>
          <w:rFonts w:ascii="宋体" w:hAnsi="宋体"/>
          <w:b/>
          <w:color w:val="auto"/>
          <w:szCs w:val="21"/>
          <w:highlight w:val="none"/>
        </w:rPr>
        <w:t>9.保证金金额</w:t>
      </w:r>
      <w:r>
        <w:rPr>
          <w:rStyle w:val="40"/>
          <w:rFonts w:ascii="宋体" w:hAnsi="宋体"/>
          <w:color w:val="auto"/>
          <w:szCs w:val="21"/>
          <w:highlight w:val="none"/>
        </w:rPr>
        <w:t xml:space="preserve">：无。 </w:t>
      </w:r>
    </w:p>
    <w:p w14:paraId="2BD797DE">
      <w:pPr>
        <w:spacing w:line="276" w:lineRule="auto"/>
        <w:ind w:firstLine="424" w:firstLineChars="201"/>
        <w:rPr>
          <w:rStyle w:val="40"/>
          <w:rFonts w:ascii="宋体" w:hAnsi="宋体"/>
          <w:b/>
          <w:color w:val="auto"/>
          <w:szCs w:val="21"/>
          <w:highlight w:val="none"/>
        </w:rPr>
      </w:pPr>
      <w:r>
        <w:rPr>
          <w:rStyle w:val="40"/>
          <w:rFonts w:ascii="宋体" w:hAnsi="宋体"/>
          <w:b/>
          <w:color w:val="auto"/>
          <w:szCs w:val="21"/>
          <w:highlight w:val="none"/>
        </w:rPr>
        <w:t>1</w:t>
      </w:r>
      <w:r>
        <w:rPr>
          <w:rStyle w:val="40"/>
          <w:rFonts w:hint="eastAsia" w:ascii="宋体" w:hAnsi="宋体"/>
          <w:b/>
          <w:color w:val="auto"/>
          <w:szCs w:val="21"/>
          <w:highlight w:val="none"/>
        </w:rPr>
        <w:t>0</w:t>
      </w:r>
      <w:r>
        <w:rPr>
          <w:rStyle w:val="40"/>
          <w:rFonts w:ascii="宋体" w:hAnsi="宋体"/>
          <w:b/>
          <w:color w:val="auto"/>
          <w:szCs w:val="21"/>
          <w:highlight w:val="none"/>
        </w:rPr>
        <w:t>. 计量单位</w:t>
      </w:r>
    </w:p>
    <w:p w14:paraId="6C0EFA36">
      <w:pPr>
        <w:spacing w:line="276" w:lineRule="auto"/>
        <w:ind w:firstLine="422" w:firstLineChars="201"/>
        <w:rPr>
          <w:rStyle w:val="40"/>
          <w:rFonts w:ascii="宋体" w:hAnsi="宋体"/>
          <w:color w:val="auto"/>
          <w:szCs w:val="21"/>
          <w:highlight w:val="none"/>
        </w:rPr>
      </w:pPr>
      <w:r>
        <w:rPr>
          <w:rStyle w:val="40"/>
          <w:rFonts w:ascii="宋体" w:hAnsi="宋体"/>
          <w:color w:val="auto"/>
          <w:szCs w:val="21"/>
          <w:highlight w:val="none"/>
        </w:rPr>
        <w:t>1</w:t>
      </w:r>
      <w:r>
        <w:rPr>
          <w:rStyle w:val="40"/>
          <w:rFonts w:hint="eastAsia" w:ascii="宋体" w:hAnsi="宋体"/>
          <w:color w:val="auto"/>
          <w:szCs w:val="21"/>
          <w:highlight w:val="none"/>
        </w:rPr>
        <w:t>0</w:t>
      </w:r>
      <w:r>
        <w:rPr>
          <w:rStyle w:val="40"/>
          <w:rFonts w:ascii="宋体" w:hAnsi="宋体"/>
          <w:color w:val="auto"/>
          <w:szCs w:val="21"/>
          <w:highlight w:val="none"/>
        </w:rPr>
        <w:t>.1除技术要求中另有规定外，本文件所要求使用的计量单位均应采用国家法定计量单位。</w:t>
      </w:r>
    </w:p>
    <w:p w14:paraId="52AA1357">
      <w:pPr>
        <w:spacing w:line="276" w:lineRule="auto"/>
        <w:ind w:firstLine="424" w:firstLineChars="201"/>
        <w:rPr>
          <w:rStyle w:val="40"/>
          <w:rFonts w:ascii="宋体" w:hAnsi="宋体"/>
          <w:b/>
          <w:color w:val="auto"/>
          <w:szCs w:val="21"/>
          <w:highlight w:val="none"/>
        </w:rPr>
      </w:pPr>
      <w:r>
        <w:rPr>
          <w:rStyle w:val="40"/>
          <w:rFonts w:ascii="宋体" w:hAnsi="宋体"/>
          <w:b/>
          <w:color w:val="auto"/>
          <w:szCs w:val="21"/>
          <w:highlight w:val="none"/>
        </w:rPr>
        <w:t>1</w:t>
      </w:r>
      <w:r>
        <w:rPr>
          <w:rStyle w:val="40"/>
          <w:rFonts w:hint="eastAsia" w:ascii="宋体" w:hAnsi="宋体"/>
          <w:b/>
          <w:color w:val="auto"/>
          <w:szCs w:val="21"/>
          <w:highlight w:val="none"/>
        </w:rPr>
        <w:t>11</w:t>
      </w:r>
      <w:r>
        <w:rPr>
          <w:rStyle w:val="40"/>
          <w:rFonts w:ascii="宋体" w:hAnsi="宋体"/>
          <w:b/>
          <w:color w:val="auto"/>
          <w:szCs w:val="21"/>
          <w:highlight w:val="none"/>
        </w:rPr>
        <w:t>.响应文件有效期</w:t>
      </w:r>
    </w:p>
    <w:p w14:paraId="1F65C2C3">
      <w:pPr>
        <w:spacing w:line="276" w:lineRule="auto"/>
        <w:ind w:firstLine="422" w:firstLineChars="201"/>
        <w:rPr>
          <w:rStyle w:val="40"/>
          <w:rFonts w:ascii="宋体" w:hAnsi="宋体"/>
          <w:color w:val="auto"/>
          <w:szCs w:val="21"/>
          <w:highlight w:val="none"/>
        </w:rPr>
      </w:pPr>
      <w:r>
        <w:rPr>
          <w:rStyle w:val="40"/>
          <w:rFonts w:ascii="宋体" w:hAnsi="宋体"/>
          <w:color w:val="auto"/>
          <w:szCs w:val="21"/>
          <w:highlight w:val="none"/>
        </w:rPr>
        <w:t>1</w:t>
      </w:r>
      <w:r>
        <w:rPr>
          <w:rStyle w:val="40"/>
          <w:rFonts w:hint="eastAsia" w:ascii="宋体" w:hAnsi="宋体"/>
          <w:color w:val="auto"/>
          <w:szCs w:val="21"/>
          <w:highlight w:val="none"/>
        </w:rPr>
        <w:t>1</w:t>
      </w:r>
      <w:r>
        <w:rPr>
          <w:rStyle w:val="40"/>
          <w:rFonts w:ascii="宋体" w:hAnsi="宋体"/>
          <w:color w:val="auto"/>
          <w:szCs w:val="21"/>
          <w:highlight w:val="none"/>
        </w:rPr>
        <w:t>.1响应文件有效期按须知前附表规定的期限，有效期不足的响应文件按无效处理。</w:t>
      </w:r>
    </w:p>
    <w:p w14:paraId="3CB46AF1">
      <w:pPr>
        <w:spacing w:line="276" w:lineRule="auto"/>
        <w:ind w:firstLine="422" w:firstLineChars="201"/>
        <w:rPr>
          <w:rStyle w:val="40"/>
          <w:rFonts w:ascii="宋体" w:hAnsi="宋体"/>
          <w:color w:val="auto"/>
          <w:szCs w:val="21"/>
          <w:highlight w:val="none"/>
        </w:rPr>
      </w:pPr>
      <w:r>
        <w:rPr>
          <w:rStyle w:val="40"/>
          <w:rFonts w:ascii="宋体" w:hAnsi="宋体"/>
          <w:color w:val="auto"/>
          <w:szCs w:val="21"/>
          <w:highlight w:val="none"/>
        </w:rPr>
        <w:t>1</w:t>
      </w:r>
      <w:r>
        <w:rPr>
          <w:rStyle w:val="40"/>
          <w:rFonts w:hint="eastAsia" w:ascii="宋体" w:hAnsi="宋体"/>
          <w:color w:val="auto"/>
          <w:szCs w:val="21"/>
          <w:highlight w:val="none"/>
        </w:rPr>
        <w:t>1</w:t>
      </w:r>
      <w:r>
        <w:rPr>
          <w:rStyle w:val="40"/>
          <w:rFonts w:ascii="宋体" w:hAnsi="宋体"/>
          <w:color w:val="auto"/>
          <w:szCs w:val="21"/>
          <w:highlight w:val="none"/>
        </w:rPr>
        <w:t>.2未成交的响应文件有效期内均应保持有效。</w:t>
      </w:r>
    </w:p>
    <w:p w14:paraId="5CC9947D">
      <w:pPr>
        <w:spacing w:line="276" w:lineRule="auto"/>
        <w:ind w:firstLine="422" w:firstLineChars="201"/>
        <w:rPr>
          <w:rStyle w:val="40"/>
          <w:rFonts w:ascii="宋体" w:hAnsi="宋体"/>
          <w:color w:val="auto"/>
          <w:szCs w:val="21"/>
          <w:highlight w:val="none"/>
        </w:rPr>
      </w:pPr>
      <w:r>
        <w:rPr>
          <w:rStyle w:val="40"/>
          <w:rFonts w:ascii="宋体" w:hAnsi="宋体"/>
          <w:color w:val="auto"/>
          <w:szCs w:val="21"/>
          <w:highlight w:val="none"/>
        </w:rPr>
        <w:t>1</w:t>
      </w:r>
      <w:r>
        <w:rPr>
          <w:rStyle w:val="40"/>
          <w:rFonts w:hint="eastAsia" w:ascii="宋体" w:hAnsi="宋体"/>
          <w:color w:val="auto"/>
          <w:szCs w:val="21"/>
          <w:highlight w:val="none"/>
        </w:rPr>
        <w:t>1</w:t>
      </w:r>
      <w:r>
        <w:rPr>
          <w:rStyle w:val="40"/>
          <w:rFonts w:ascii="宋体" w:hAnsi="宋体"/>
          <w:color w:val="auto"/>
          <w:szCs w:val="21"/>
          <w:highlight w:val="none"/>
        </w:rPr>
        <w:t>.3成交供应商的响应文件自响应文件递交截止之日起至合同履行完毕止均应保持有效。</w:t>
      </w:r>
    </w:p>
    <w:p w14:paraId="3C5AB80C">
      <w:pPr>
        <w:spacing w:line="276" w:lineRule="auto"/>
        <w:ind w:firstLine="424" w:firstLineChars="201"/>
        <w:rPr>
          <w:rStyle w:val="40"/>
          <w:rFonts w:ascii="宋体" w:hAnsi="宋体" w:eastAsia="宋体" w:cs="Times New Roman"/>
          <w:b/>
          <w:bCs/>
          <w:color w:val="auto"/>
          <w:szCs w:val="21"/>
          <w:highlight w:val="none"/>
        </w:rPr>
      </w:pPr>
      <w:r>
        <w:rPr>
          <w:rStyle w:val="40"/>
          <w:rFonts w:hint="eastAsia" w:ascii="宋体" w:hAnsi="宋体" w:eastAsia="宋体" w:cs="Times New Roman"/>
          <w:b/>
          <w:bCs/>
          <w:color w:val="auto"/>
          <w:szCs w:val="21"/>
          <w:highlight w:val="none"/>
          <w:lang w:val="en-US" w:eastAsia="zh-CN"/>
        </w:rPr>
        <w:t xml:space="preserve">12 </w:t>
      </w:r>
      <w:r>
        <w:rPr>
          <w:rStyle w:val="40"/>
          <w:rFonts w:hint="eastAsia" w:ascii="宋体" w:hAnsi="宋体" w:eastAsia="宋体" w:cs="Times New Roman"/>
          <w:b/>
          <w:bCs/>
          <w:color w:val="auto"/>
          <w:szCs w:val="21"/>
          <w:highlight w:val="none"/>
        </w:rPr>
        <w:t>特别说明</w:t>
      </w:r>
    </w:p>
    <w:p w14:paraId="41E43F3B">
      <w:pPr>
        <w:spacing w:line="276" w:lineRule="auto"/>
        <w:ind w:firstLine="422" w:firstLineChars="201"/>
        <w:rPr>
          <w:rStyle w:val="40"/>
          <w:rFonts w:ascii="宋体" w:hAnsi="宋体" w:eastAsia="宋体" w:cs="Times New Roman"/>
          <w:color w:val="auto"/>
          <w:szCs w:val="21"/>
          <w:highlight w:val="none"/>
        </w:rPr>
      </w:pPr>
      <w:r>
        <w:rPr>
          <w:rStyle w:val="40"/>
          <w:rFonts w:hint="eastAsia" w:ascii="宋体" w:hAnsi="宋体" w:eastAsia="宋体" w:cs="Times New Roman"/>
          <w:color w:val="auto"/>
          <w:szCs w:val="21"/>
          <w:highlight w:val="none"/>
          <w:lang w:val="en-US" w:eastAsia="zh-CN"/>
        </w:rPr>
        <w:t>12.1</w:t>
      </w:r>
      <w:r>
        <w:rPr>
          <w:rStyle w:val="40"/>
          <w:rFonts w:hint="eastAsia" w:ascii="宋体" w:hAnsi="宋体" w:eastAsia="宋体" w:cs="Times New Roman"/>
          <w:color w:val="auto"/>
          <w:szCs w:val="21"/>
          <w:highlight w:val="none"/>
        </w:rPr>
        <w:t>如果本磋商文件要求提供供应商或制造商的资格、信誉、荣誉、业绩与企业认证等材料的，资格、信誉、荣誉、业绩与企业认证等必须为供应商或者制造商所拥有或自身获得 。</w:t>
      </w:r>
    </w:p>
    <w:p w14:paraId="30ED0783">
      <w:pPr>
        <w:spacing w:line="276" w:lineRule="auto"/>
        <w:ind w:firstLine="422" w:firstLineChars="201"/>
        <w:rPr>
          <w:rStyle w:val="40"/>
          <w:rFonts w:ascii="宋体" w:hAnsi="宋体" w:eastAsia="宋体" w:cs="Times New Roman"/>
          <w:color w:val="auto"/>
          <w:szCs w:val="21"/>
          <w:highlight w:val="none"/>
        </w:rPr>
      </w:pPr>
      <w:r>
        <w:rPr>
          <w:rStyle w:val="40"/>
          <w:rFonts w:hint="eastAsia" w:ascii="宋体" w:hAnsi="宋体" w:eastAsia="宋体" w:cs="Times New Roman"/>
          <w:color w:val="auto"/>
          <w:szCs w:val="21"/>
          <w:highlight w:val="none"/>
          <w:lang w:val="en-US" w:eastAsia="zh-CN"/>
        </w:rPr>
        <w:t>12.2</w:t>
      </w:r>
      <w:r>
        <w:rPr>
          <w:rStyle w:val="40"/>
          <w:rFonts w:hint="eastAsia" w:ascii="宋体" w:hAnsi="宋体" w:eastAsia="宋体" w:cs="Times New Roman"/>
          <w:color w:val="auto"/>
          <w:szCs w:val="21"/>
          <w:highlight w:val="none"/>
        </w:rPr>
        <w:t>供应商应仔细阅读磋商文件的所有内容，按照磋商文件的要求提交响应文件，并对所提供的全部资料的真实性承担法律责任。</w:t>
      </w:r>
    </w:p>
    <w:p w14:paraId="2A79EA7C">
      <w:pPr>
        <w:spacing w:line="276" w:lineRule="auto"/>
        <w:ind w:firstLine="422" w:firstLineChars="201"/>
        <w:rPr>
          <w:rStyle w:val="40"/>
          <w:rFonts w:ascii="宋体" w:hAnsi="宋体" w:eastAsia="宋体" w:cs="Times New Roman"/>
          <w:color w:val="auto"/>
          <w:szCs w:val="21"/>
          <w:highlight w:val="none"/>
        </w:rPr>
      </w:pPr>
      <w:r>
        <w:rPr>
          <w:rStyle w:val="40"/>
          <w:rFonts w:hint="eastAsia" w:ascii="宋体" w:hAnsi="宋体" w:eastAsia="宋体" w:cs="Times New Roman"/>
          <w:color w:val="auto"/>
          <w:szCs w:val="21"/>
          <w:highlight w:val="none"/>
          <w:lang w:val="en-US" w:eastAsia="zh-CN"/>
        </w:rPr>
        <w:t>12.3</w:t>
      </w:r>
      <w:r>
        <w:rPr>
          <w:rStyle w:val="40"/>
          <w:rFonts w:hint="eastAsia" w:ascii="宋体" w:hAnsi="宋体" w:eastAsia="宋体" w:cs="Times New Roman"/>
          <w:color w:val="auto"/>
          <w:szCs w:val="21"/>
          <w:highlight w:val="none"/>
        </w:rPr>
        <w:t>供应商在竞标活动中提供任何疑似虚假材料，将报监管部门查处；签订合同后发现的，成交供应商须依法赔偿采购人，且民事赔偿并不免除违法供应商的行政与刑事责任。</w:t>
      </w:r>
    </w:p>
    <w:p w14:paraId="2A3E5CB3">
      <w:pPr>
        <w:spacing w:line="276" w:lineRule="auto"/>
        <w:ind w:firstLine="422" w:firstLineChars="201"/>
        <w:rPr>
          <w:rStyle w:val="40"/>
          <w:rFonts w:ascii="宋体" w:hAnsi="宋体" w:eastAsia="宋体" w:cs="Times New Roman"/>
          <w:color w:val="auto"/>
          <w:szCs w:val="21"/>
          <w:highlight w:val="none"/>
        </w:rPr>
      </w:pPr>
      <w:r>
        <w:rPr>
          <w:rStyle w:val="40"/>
          <w:rFonts w:hint="eastAsia" w:ascii="宋体" w:hAnsi="宋体" w:eastAsia="宋体" w:cs="Times New Roman"/>
          <w:color w:val="auto"/>
          <w:szCs w:val="21"/>
          <w:highlight w:val="none"/>
          <w:lang w:val="en-US" w:eastAsia="zh-CN"/>
        </w:rPr>
        <w:t>12.4</w:t>
      </w:r>
      <w:r>
        <w:rPr>
          <w:rStyle w:val="40"/>
          <w:rFonts w:hint="eastAsia" w:ascii="宋体" w:hAnsi="宋体" w:eastAsia="宋体" w:cs="Times New Roman"/>
          <w:color w:val="auto"/>
          <w:szCs w:val="21"/>
          <w:highlight w:val="none"/>
        </w:rPr>
        <w:t>在政府采购活动中，采购人员及相关人员与供应商有下列利害关系之一的，应当回避：</w:t>
      </w:r>
    </w:p>
    <w:p w14:paraId="3EF74ED5">
      <w:pPr>
        <w:spacing w:line="276" w:lineRule="auto"/>
        <w:ind w:firstLine="840" w:firstLineChars="400"/>
        <w:rPr>
          <w:rStyle w:val="40"/>
          <w:rFonts w:ascii="宋体" w:hAnsi="宋体" w:eastAsia="宋体" w:cs="Times New Roman"/>
          <w:color w:val="auto"/>
          <w:szCs w:val="21"/>
          <w:highlight w:val="none"/>
        </w:rPr>
      </w:pPr>
      <w:r>
        <w:rPr>
          <w:rStyle w:val="40"/>
          <w:rFonts w:hint="eastAsia" w:ascii="宋体" w:hAnsi="宋体" w:eastAsia="宋体" w:cs="Times New Roman"/>
          <w:color w:val="auto"/>
          <w:szCs w:val="21"/>
          <w:highlight w:val="none"/>
        </w:rPr>
        <w:t>参加采购活动前 3 年内与供应商存在劳动关系；</w:t>
      </w:r>
    </w:p>
    <w:p w14:paraId="3BC0CB25">
      <w:pPr>
        <w:spacing w:line="276" w:lineRule="auto"/>
        <w:ind w:firstLine="840" w:firstLineChars="400"/>
        <w:rPr>
          <w:rStyle w:val="40"/>
          <w:rFonts w:ascii="宋体" w:hAnsi="宋体" w:eastAsia="宋体" w:cs="Times New Roman"/>
          <w:color w:val="auto"/>
          <w:szCs w:val="21"/>
          <w:highlight w:val="none"/>
        </w:rPr>
      </w:pPr>
      <w:r>
        <w:rPr>
          <w:rStyle w:val="40"/>
          <w:rFonts w:hint="eastAsia" w:ascii="宋体" w:hAnsi="宋体" w:eastAsia="宋体" w:cs="Times New Roman"/>
          <w:color w:val="auto"/>
          <w:szCs w:val="21"/>
          <w:highlight w:val="none"/>
        </w:rPr>
        <w:t>参加采购活动前 3 年内担任供应商的董事、监事；</w:t>
      </w:r>
    </w:p>
    <w:p w14:paraId="1416906A">
      <w:pPr>
        <w:spacing w:line="276" w:lineRule="auto"/>
        <w:ind w:firstLine="840" w:firstLineChars="400"/>
        <w:rPr>
          <w:rStyle w:val="40"/>
          <w:rFonts w:ascii="宋体" w:hAnsi="宋体" w:eastAsia="宋体" w:cs="Times New Roman"/>
          <w:color w:val="auto"/>
          <w:szCs w:val="21"/>
          <w:highlight w:val="none"/>
        </w:rPr>
      </w:pPr>
      <w:r>
        <w:rPr>
          <w:rStyle w:val="40"/>
          <w:rFonts w:hint="eastAsia" w:ascii="宋体" w:hAnsi="宋体" w:eastAsia="宋体" w:cs="Times New Roman"/>
          <w:color w:val="auto"/>
          <w:szCs w:val="21"/>
          <w:highlight w:val="none"/>
        </w:rPr>
        <w:t>参加采购活动前 3 年内是供应商的控股股东或者实际控制人；</w:t>
      </w:r>
    </w:p>
    <w:p w14:paraId="5DB7D4AD">
      <w:pPr>
        <w:spacing w:line="276" w:lineRule="auto"/>
        <w:ind w:firstLine="840" w:firstLineChars="400"/>
        <w:rPr>
          <w:rStyle w:val="40"/>
          <w:rFonts w:ascii="宋体" w:hAnsi="宋体" w:eastAsia="宋体" w:cs="Times New Roman"/>
          <w:color w:val="auto"/>
          <w:szCs w:val="21"/>
          <w:highlight w:val="none"/>
        </w:rPr>
      </w:pPr>
      <w:r>
        <w:rPr>
          <w:rStyle w:val="40"/>
          <w:rFonts w:hint="eastAsia" w:ascii="宋体" w:hAnsi="宋体" w:eastAsia="宋体" w:cs="Times New Roman"/>
          <w:color w:val="auto"/>
          <w:szCs w:val="21"/>
          <w:highlight w:val="none"/>
        </w:rPr>
        <w:t>与供应商的法定代表人或者负责人有夫妻、直系血亲、三代以内旁系血亲或者近姻亲关系；</w:t>
      </w:r>
    </w:p>
    <w:p w14:paraId="58351BBF">
      <w:pPr>
        <w:spacing w:line="276" w:lineRule="auto"/>
        <w:ind w:firstLine="840" w:firstLineChars="400"/>
        <w:rPr>
          <w:rStyle w:val="40"/>
          <w:rFonts w:ascii="宋体" w:hAnsi="宋体" w:eastAsia="宋体" w:cs="Times New Roman"/>
          <w:color w:val="auto"/>
          <w:szCs w:val="21"/>
          <w:highlight w:val="none"/>
        </w:rPr>
      </w:pPr>
      <w:r>
        <w:rPr>
          <w:rStyle w:val="40"/>
          <w:rFonts w:hint="eastAsia" w:ascii="宋体" w:hAnsi="宋体" w:eastAsia="宋体" w:cs="Times New Roman"/>
          <w:color w:val="auto"/>
          <w:szCs w:val="21"/>
          <w:highlight w:val="none"/>
        </w:rPr>
        <w:t>与供应商有其他可能影响政府采购活动公平、公正进行的关系。</w:t>
      </w:r>
    </w:p>
    <w:p w14:paraId="7E59E0E9">
      <w:pPr>
        <w:spacing w:line="276" w:lineRule="auto"/>
        <w:ind w:firstLine="840" w:firstLineChars="400"/>
        <w:rPr>
          <w:rStyle w:val="40"/>
          <w:rFonts w:ascii="宋体" w:hAnsi="宋体" w:eastAsia="宋体" w:cs="Times New Roman"/>
          <w:color w:val="auto"/>
          <w:szCs w:val="21"/>
          <w:highlight w:val="none"/>
        </w:rPr>
      </w:pPr>
      <w:r>
        <w:rPr>
          <w:rStyle w:val="40"/>
          <w:rFonts w:hint="eastAsia" w:ascii="宋体" w:hAnsi="宋体" w:eastAsia="宋体" w:cs="Times New Roman"/>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85FDE97">
      <w:pPr>
        <w:spacing w:line="276" w:lineRule="auto"/>
        <w:ind w:firstLine="424" w:firstLineChars="201"/>
        <w:rPr>
          <w:rStyle w:val="40"/>
          <w:rFonts w:ascii="宋体" w:hAnsi="宋体" w:eastAsia="宋体" w:cs="Times New Roman"/>
          <w:b/>
          <w:bCs/>
          <w:color w:val="auto"/>
          <w:szCs w:val="21"/>
          <w:highlight w:val="none"/>
        </w:rPr>
      </w:pPr>
      <w:r>
        <w:rPr>
          <w:rStyle w:val="40"/>
          <w:rFonts w:hint="eastAsia" w:ascii="宋体" w:hAnsi="宋体" w:eastAsia="宋体" w:cs="Times New Roman"/>
          <w:b/>
          <w:bCs/>
          <w:color w:val="auto"/>
          <w:szCs w:val="21"/>
          <w:highlight w:val="none"/>
          <w:lang w:val="en-US" w:eastAsia="zh-CN"/>
        </w:rPr>
        <w:t>12.5</w:t>
      </w:r>
      <w:r>
        <w:rPr>
          <w:rStyle w:val="40"/>
          <w:rFonts w:hint="eastAsia" w:ascii="宋体" w:hAnsi="宋体" w:eastAsia="宋体" w:cs="Times New Roman"/>
          <w:b/>
          <w:bCs/>
          <w:color w:val="auto"/>
          <w:szCs w:val="21"/>
          <w:highlight w:val="none"/>
        </w:rPr>
        <w:t>有下列情形之一的视为供应商相互串通竞标，响应文件将被视为无效：</w:t>
      </w:r>
    </w:p>
    <w:p w14:paraId="7774E17A">
      <w:pPr>
        <w:spacing w:line="276" w:lineRule="auto"/>
        <w:ind w:firstLine="843" w:firstLineChars="400"/>
        <w:rPr>
          <w:rStyle w:val="40"/>
          <w:rFonts w:ascii="宋体" w:hAnsi="宋体" w:eastAsia="宋体" w:cs="Times New Roman"/>
          <w:b/>
          <w:bCs/>
          <w:color w:val="auto"/>
          <w:szCs w:val="21"/>
          <w:highlight w:val="none"/>
        </w:rPr>
      </w:pPr>
      <w:r>
        <w:rPr>
          <w:rStyle w:val="40"/>
          <w:rFonts w:hint="eastAsia" w:ascii="宋体" w:hAnsi="宋体" w:eastAsia="宋体" w:cs="Times New Roman"/>
          <w:b/>
          <w:bCs/>
          <w:color w:val="auto"/>
          <w:szCs w:val="21"/>
          <w:highlight w:val="none"/>
        </w:rPr>
        <w:t>不同供应商的响应文件由同一单位或者个人编制；</w:t>
      </w:r>
    </w:p>
    <w:p w14:paraId="08F13DB1">
      <w:pPr>
        <w:spacing w:line="276" w:lineRule="auto"/>
        <w:ind w:firstLine="843" w:firstLineChars="400"/>
        <w:rPr>
          <w:rStyle w:val="40"/>
          <w:rFonts w:ascii="宋体" w:hAnsi="宋体" w:eastAsia="宋体" w:cs="Times New Roman"/>
          <w:b/>
          <w:bCs/>
          <w:color w:val="auto"/>
          <w:szCs w:val="21"/>
          <w:highlight w:val="none"/>
        </w:rPr>
      </w:pPr>
      <w:r>
        <w:rPr>
          <w:rStyle w:val="40"/>
          <w:rFonts w:hint="eastAsia" w:ascii="宋体" w:hAnsi="宋体" w:eastAsia="宋体" w:cs="Times New Roman"/>
          <w:b/>
          <w:bCs/>
          <w:color w:val="auto"/>
          <w:szCs w:val="21"/>
          <w:highlight w:val="none"/>
        </w:rPr>
        <w:t>不同供应商委托同一单位或者个人办理竞标事宜；</w:t>
      </w:r>
    </w:p>
    <w:p w14:paraId="32A14C0D">
      <w:pPr>
        <w:spacing w:line="276" w:lineRule="auto"/>
        <w:ind w:firstLine="843" w:firstLineChars="400"/>
        <w:rPr>
          <w:rStyle w:val="40"/>
          <w:rFonts w:ascii="宋体" w:hAnsi="宋体" w:eastAsia="宋体" w:cs="Times New Roman"/>
          <w:b/>
          <w:bCs/>
          <w:color w:val="auto"/>
          <w:szCs w:val="21"/>
          <w:highlight w:val="none"/>
        </w:rPr>
      </w:pPr>
      <w:r>
        <w:rPr>
          <w:rStyle w:val="40"/>
          <w:rFonts w:hint="eastAsia" w:ascii="宋体" w:hAnsi="宋体" w:eastAsia="宋体" w:cs="Times New Roman"/>
          <w:b/>
          <w:bCs/>
          <w:color w:val="auto"/>
          <w:szCs w:val="21"/>
          <w:highlight w:val="none"/>
        </w:rPr>
        <w:t>不同的供应商的响应文件载明的项目管理员为同一个人；</w:t>
      </w:r>
    </w:p>
    <w:p w14:paraId="66DF6800">
      <w:pPr>
        <w:spacing w:line="276" w:lineRule="auto"/>
        <w:ind w:firstLine="843" w:firstLineChars="400"/>
        <w:rPr>
          <w:rStyle w:val="40"/>
          <w:rFonts w:ascii="宋体" w:hAnsi="宋体" w:eastAsia="宋体" w:cs="Times New Roman"/>
          <w:b/>
          <w:bCs/>
          <w:color w:val="auto"/>
          <w:szCs w:val="21"/>
          <w:highlight w:val="none"/>
        </w:rPr>
      </w:pPr>
      <w:r>
        <w:rPr>
          <w:rStyle w:val="40"/>
          <w:rFonts w:hint="eastAsia" w:ascii="宋体" w:hAnsi="宋体" w:eastAsia="宋体" w:cs="Times New Roman"/>
          <w:b/>
          <w:bCs/>
          <w:color w:val="auto"/>
          <w:szCs w:val="21"/>
          <w:highlight w:val="none"/>
        </w:rPr>
        <w:t>不同供应商的响应文件异常一致或者报价呈规律性差异；</w:t>
      </w:r>
    </w:p>
    <w:p w14:paraId="450B24F1">
      <w:pPr>
        <w:spacing w:line="276" w:lineRule="auto"/>
        <w:ind w:firstLine="843" w:firstLineChars="400"/>
        <w:rPr>
          <w:rStyle w:val="40"/>
          <w:rFonts w:ascii="宋体" w:hAnsi="宋体" w:eastAsia="宋体" w:cs="Times New Roman"/>
          <w:b/>
          <w:bCs/>
          <w:color w:val="auto"/>
          <w:szCs w:val="21"/>
          <w:highlight w:val="none"/>
        </w:rPr>
      </w:pPr>
      <w:r>
        <w:rPr>
          <w:rStyle w:val="40"/>
          <w:rFonts w:hint="eastAsia" w:ascii="宋体" w:hAnsi="宋体" w:eastAsia="宋体" w:cs="Times New Roman"/>
          <w:b/>
          <w:bCs/>
          <w:color w:val="auto"/>
          <w:szCs w:val="21"/>
          <w:highlight w:val="none"/>
        </w:rPr>
        <w:t>不同供应商的响应文件相互混装；</w:t>
      </w:r>
    </w:p>
    <w:p w14:paraId="69796A68">
      <w:pPr>
        <w:spacing w:line="276" w:lineRule="auto"/>
        <w:ind w:firstLine="843" w:firstLineChars="400"/>
        <w:rPr>
          <w:rStyle w:val="40"/>
          <w:rFonts w:ascii="宋体" w:hAnsi="宋体" w:eastAsia="宋体" w:cs="Times New Roman"/>
          <w:b/>
          <w:bCs/>
          <w:color w:val="auto"/>
          <w:szCs w:val="21"/>
          <w:highlight w:val="none"/>
        </w:rPr>
      </w:pPr>
      <w:r>
        <w:rPr>
          <w:rStyle w:val="40"/>
          <w:rFonts w:hint="eastAsia" w:ascii="宋体" w:hAnsi="宋体" w:eastAsia="宋体" w:cs="Times New Roman"/>
          <w:b/>
          <w:bCs/>
          <w:color w:val="auto"/>
          <w:szCs w:val="21"/>
          <w:highlight w:val="none"/>
        </w:rPr>
        <w:t>不同供应商的磋商保证金从同一单位或者个人账户转出。</w:t>
      </w:r>
    </w:p>
    <w:p w14:paraId="2CCB4B26">
      <w:pPr>
        <w:spacing w:line="276" w:lineRule="auto"/>
        <w:ind w:firstLine="424" w:firstLineChars="201"/>
        <w:rPr>
          <w:rStyle w:val="40"/>
          <w:rFonts w:ascii="宋体" w:hAnsi="宋体" w:eastAsia="宋体" w:cs="Times New Roman"/>
          <w:b/>
          <w:bCs/>
          <w:color w:val="auto"/>
          <w:szCs w:val="21"/>
          <w:highlight w:val="none"/>
        </w:rPr>
      </w:pPr>
      <w:r>
        <w:rPr>
          <w:rStyle w:val="40"/>
          <w:rFonts w:hint="eastAsia" w:ascii="宋体" w:hAnsi="宋体" w:eastAsia="宋体" w:cs="Times New Roman"/>
          <w:b/>
          <w:bCs/>
          <w:color w:val="auto"/>
          <w:szCs w:val="21"/>
          <w:highlight w:val="none"/>
        </w:rPr>
        <w:t>供应商有下列情形之一的，属于恶意串通行为，将报同级监督管理部门：</w:t>
      </w:r>
    </w:p>
    <w:p w14:paraId="12253F5E">
      <w:pPr>
        <w:spacing w:line="276" w:lineRule="auto"/>
        <w:ind w:firstLine="422" w:firstLineChars="201"/>
        <w:rPr>
          <w:rStyle w:val="40"/>
          <w:rFonts w:ascii="宋体" w:hAnsi="宋体" w:eastAsia="宋体" w:cs="Times New Roman"/>
          <w:color w:val="auto"/>
          <w:szCs w:val="21"/>
          <w:highlight w:val="none"/>
        </w:rPr>
      </w:pPr>
      <w:r>
        <w:rPr>
          <w:rStyle w:val="40"/>
          <w:rFonts w:ascii="宋体" w:hAnsi="宋体" w:eastAsia="宋体" w:cs="Times New Roman"/>
          <w:color w:val="auto"/>
          <w:szCs w:val="21"/>
          <w:highlight w:val="none"/>
        </w:rPr>
        <w:t>供应商直接或者间接从采购人或者采购代理机构处获得其他供应商的相关信息并修改其响应文件；</w:t>
      </w:r>
    </w:p>
    <w:p w14:paraId="2BDECF7A">
      <w:pPr>
        <w:spacing w:line="276" w:lineRule="auto"/>
        <w:ind w:firstLine="422" w:firstLineChars="201"/>
        <w:rPr>
          <w:rStyle w:val="40"/>
          <w:rFonts w:ascii="宋体" w:hAnsi="宋体" w:eastAsia="宋体" w:cs="Times New Roman"/>
          <w:color w:val="auto"/>
          <w:szCs w:val="21"/>
          <w:highlight w:val="none"/>
        </w:rPr>
      </w:pPr>
      <w:r>
        <w:rPr>
          <w:rStyle w:val="40"/>
          <w:rFonts w:ascii="宋体" w:hAnsi="宋体" w:eastAsia="宋体" w:cs="Times New Roman"/>
          <w:color w:val="auto"/>
          <w:szCs w:val="21"/>
          <w:highlight w:val="none"/>
        </w:rPr>
        <w:t>供应商按照采购人或者采购代理机构的授意撤换、修改响应文件；</w:t>
      </w:r>
    </w:p>
    <w:p w14:paraId="25634028">
      <w:pPr>
        <w:spacing w:line="276" w:lineRule="auto"/>
        <w:ind w:firstLine="422" w:firstLineChars="201"/>
        <w:rPr>
          <w:rStyle w:val="40"/>
          <w:rFonts w:ascii="宋体" w:hAnsi="宋体" w:eastAsia="宋体" w:cs="Times New Roman"/>
          <w:color w:val="auto"/>
          <w:szCs w:val="21"/>
          <w:highlight w:val="none"/>
        </w:rPr>
      </w:pPr>
      <w:r>
        <w:rPr>
          <w:rStyle w:val="40"/>
          <w:rFonts w:ascii="宋体" w:hAnsi="宋体" w:eastAsia="宋体" w:cs="Times New Roman"/>
          <w:color w:val="auto"/>
          <w:szCs w:val="21"/>
          <w:highlight w:val="none"/>
        </w:rPr>
        <w:t>供应商之间协商报价、技术方案等响应文件或者响应文件的实质性内容；</w:t>
      </w:r>
    </w:p>
    <w:p w14:paraId="5D3E4DB2">
      <w:pPr>
        <w:spacing w:line="276" w:lineRule="auto"/>
        <w:ind w:firstLine="422" w:firstLineChars="201"/>
        <w:rPr>
          <w:rStyle w:val="40"/>
          <w:rFonts w:ascii="宋体" w:hAnsi="宋体" w:eastAsia="宋体" w:cs="Times New Roman"/>
          <w:color w:val="auto"/>
          <w:szCs w:val="21"/>
          <w:highlight w:val="none"/>
        </w:rPr>
      </w:pPr>
      <w:r>
        <w:rPr>
          <w:rStyle w:val="40"/>
          <w:rFonts w:ascii="宋体" w:hAnsi="宋体" w:eastAsia="宋体" w:cs="Times New Roman"/>
          <w:color w:val="auto"/>
          <w:szCs w:val="21"/>
          <w:highlight w:val="none"/>
        </w:rPr>
        <w:t>属于同一集团、协会、商会等组织成员的供应商按照该组织要求协同参加政府采购活动；</w:t>
      </w:r>
    </w:p>
    <w:p w14:paraId="2033CFD1">
      <w:pPr>
        <w:spacing w:line="276" w:lineRule="auto"/>
        <w:ind w:firstLine="422" w:firstLineChars="201"/>
        <w:rPr>
          <w:rStyle w:val="40"/>
          <w:rFonts w:ascii="宋体" w:hAnsi="宋体" w:eastAsia="宋体" w:cs="Times New Roman"/>
          <w:color w:val="auto"/>
          <w:szCs w:val="21"/>
          <w:highlight w:val="none"/>
        </w:rPr>
      </w:pPr>
      <w:r>
        <w:rPr>
          <w:rStyle w:val="40"/>
          <w:rFonts w:ascii="宋体" w:hAnsi="宋体" w:eastAsia="宋体" w:cs="Times New Roman"/>
          <w:color w:val="auto"/>
          <w:szCs w:val="21"/>
          <w:highlight w:val="none"/>
        </w:rPr>
        <w:t>供应商之间事先约定一致抬高或者压低报价，或者在政府采购活动中事先约定轮流以高价位或者低价位成交，或者事先约定由某一特定供应商成交，然后再参加竞标；</w:t>
      </w:r>
    </w:p>
    <w:p w14:paraId="5F8CFDBC">
      <w:pPr>
        <w:spacing w:line="276" w:lineRule="auto"/>
        <w:ind w:firstLine="422" w:firstLineChars="201"/>
        <w:rPr>
          <w:rStyle w:val="40"/>
          <w:rFonts w:ascii="宋体" w:hAnsi="宋体" w:eastAsia="宋体" w:cs="Times New Roman"/>
          <w:color w:val="auto"/>
          <w:szCs w:val="21"/>
          <w:highlight w:val="none"/>
        </w:rPr>
      </w:pPr>
      <w:r>
        <w:rPr>
          <w:rStyle w:val="40"/>
          <w:rFonts w:ascii="宋体" w:hAnsi="宋体" w:eastAsia="宋体" w:cs="Times New Roman"/>
          <w:color w:val="auto"/>
          <w:szCs w:val="21"/>
          <w:highlight w:val="none"/>
        </w:rPr>
        <w:t>供应商之间商定部分供应商放弃参加政府采购活动或者放弃成交；</w:t>
      </w:r>
    </w:p>
    <w:p w14:paraId="5DA198A0">
      <w:pPr>
        <w:spacing w:line="276" w:lineRule="auto"/>
        <w:ind w:firstLine="422" w:firstLineChars="201"/>
        <w:rPr>
          <w:rStyle w:val="40"/>
          <w:rFonts w:ascii="宋体" w:hAnsi="宋体" w:eastAsia="宋体" w:cs="Times New Roman"/>
          <w:color w:val="auto"/>
          <w:szCs w:val="21"/>
          <w:highlight w:val="none"/>
        </w:rPr>
      </w:pPr>
      <w:r>
        <w:rPr>
          <w:rStyle w:val="40"/>
          <w:rFonts w:ascii="宋体" w:hAnsi="宋体" w:eastAsia="宋体" w:cs="Times New Roman"/>
          <w:color w:val="auto"/>
          <w:szCs w:val="21"/>
          <w:highlight w:val="none"/>
        </w:rPr>
        <w:t>供应商与采购人或者采购代理机构之间、供应商相互之间，为谋求特定供应商成交或者排斥其他供应商的其他串通行为。</w:t>
      </w:r>
    </w:p>
    <w:p w14:paraId="62DFA5B4">
      <w:pPr>
        <w:spacing w:line="276" w:lineRule="auto"/>
        <w:ind w:firstLine="422" w:firstLineChars="201"/>
        <w:rPr>
          <w:rStyle w:val="40"/>
          <w:rFonts w:ascii="宋体" w:hAnsi="宋体"/>
          <w:color w:val="auto"/>
          <w:szCs w:val="21"/>
          <w:highlight w:val="none"/>
        </w:rPr>
      </w:pPr>
    </w:p>
    <w:p w14:paraId="63C21637">
      <w:pPr>
        <w:pStyle w:val="38"/>
        <w:jc w:val="center"/>
        <w:outlineLvl w:val="2"/>
        <w:rPr>
          <w:rStyle w:val="40"/>
          <w:rFonts w:ascii="宋体" w:hAnsi="宋体" w:cs="宋体"/>
          <w:b/>
          <w:bCs/>
          <w:color w:val="auto"/>
          <w:highlight w:val="none"/>
        </w:rPr>
      </w:pPr>
      <w:r>
        <w:rPr>
          <w:rStyle w:val="40"/>
          <w:rFonts w:ascii="宋体" w:hAnsi="宋体" w:cs="宋体"/>
          <w:b/>
          <w:bCs/>
          <w:color w:val="auto"/>
          <w:highlight w:val="none"/>
        </w:rPr>
        <w:t>五、磋商程序及评审方法</w:t>
      </w:r>
    </w:p>
    <w:p w14:paraId="6C3D1F8D">
      <w:pPr>
        <w:spacing w:line="360" w:lineRule="auto"/>
        <w:ind w:firstLine="315" w:firstLineChars="150"/>
        <w:rPr>
          <w:rFonts w:ascii="宋体" w:hAnsi="宋体"/>
          <w:bCs/>
          <w:color w:val="auto"/>
          <w:szCs w:val="21"/>
          <w:highlight w:val="none"/>
        </w:rPr>
      </w:pPr>
      <w:r>
        <w:rPr>
          <w:rFonts w:hint="eastAsia" w:ascii="宋体" w:hAnsi="宋体"/>
          <w:bCs/>
          <w:color w:val="auto"/>
          <w:szCs w:val="21"/>
          <w:highlight w:val="none"/>
        </w:rPr>
        <w:t>采购代理机构结束解密后，磋商小组接收所有的响应文件开始评审。</w:t>
      </w:r>
    </w:p>
    <w:p w14:paraId="095C1EB6">
      <w:pPr>
        <w:spacing w:line="360" w:lineRule="auto"/>
        <w:ind w:firstLine="316" w:firstLineChars="150"/>
        <w:rPr>
          <w:rStyle w:val="40"/>
          <w:rFonts w:ascii="宋体" w:hAnsi="宋体"/>
          <w:b/>
          <w:color w:val="auto"/>
          <w:szCs w:val="21"/>
          <w:highlight w:val="none"/>
        </w:rPr>
      </w:pPr>
      <w:r>
        <w:rPr>
          <w:rStyle w:val="40"/>
          <w:rFonts w:ascii="宋体" w:hAnsi="宋体"/>
          <w:b/>
          <w:color w:val="auto"/>
          <w:szCs w:val="21"/>
          <w:highlight w:val="none"/>
        </w:rPr>
        <w:t xml:space="preserve">12.1 第一轮磋商 </w:t>
      </w:r>
    </w:p>
    <w:p w14:paraId="71A3E537">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磋商时间及地点:详见本须知前附表第8项规定。</w:t>
      </w:r>
    </w:p>
    <w:p w14:paraId="049A9B2D">
      <w:pPr>
        <w:spacing w:line="360" w:lineRule="auto"/>
        <w:ind w:firstLine="315" w:firstLineChars="150"/>
        <w:rPr>
          <w:rFonts w:ascii="宋体" w:hAnsi="宋体"/>
          <w:bCs/>
          <w:color w:val="auto"/>
          <w:szCs w:val="21"/>
          <w:highlight w:val="none"/>
        </w:rPr>
      </w:pPr>
      <w:r>
        <w:rPr>
          <w:rFonts w:hint="eastAsia" w:ascii="宋体" w:hAnsi="宋体"/>
          <w:bCs/>
          <w:color w:val="auto"/>
          <w:szCs w:val="21"/>
          <w:highlight w:val="none"/>
        </w:rPr>
        <w:t>磋商小组评审响应文件</w:t>
      </w:r>
    </w:p>
    <w:p w14:paraId="797A4AA6">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磋商小组对供应商资格条件和响应文件的有效性、完整性和响应程度进行审查。</w:t>
      </w:r>
      <w:r>
        <w:rPr>
          <w:rStyle w:val="40"/>
          <w:rFonts w:ascii="宋体" w:hAnsi="宋体"/>
          <w:color w:val="auto"/>
          <w:szCs w:val="21"/>
          <w:highlight w:val="none"/>
        </w:rPr>
        <w:t>审查竞争性磋商响应文件是否实质上响应了竞争性磋商文件的要求，在评审</w:t>
      </w:r>
      <w:r>
        <w:rPr>
          <w:rStyle w:val="40"/>
          <w:rFonts w:hint="eastAsia" w:ascii="宋体" w:hAnsi="宋体"/>
          <w:color w:val="auto"/>
          <w:szCs w:val="21"/>
          <w:highlight w:val="none"/>
        </w:rPr>
        <w:t>时</w:t>
      </w:r>
      <w:r>
        <w:rPr>
          <w:rStyle w:val="40"/>
          <w:rFonts w:ascii="宋体" w:hAnsi="宋体"/>
          <w:color w:val="auto"/>
          <w:szCs w:val="21"/>
          <w:highlight w:val="none"/>
        </w:rPr>
        <w:t>由磋商小组组长主持，归纳各专家审核意见，形成磋商</w:t>
      </w:r>
      <w:r>
        <w:rPr>
          <w:rStyle w:val="40"/>
          <w:rFonts w:hint="eastAsia" w:ascii="宋体" w:hAnsi="宋体"/>
          <w:color w:val="auto"/>
          <w:szCs w:val="21"/>
          <w:highlight w:val="none"/>
        </w:rPr>
        <w:t>记录。</w:t>
      </w:r>
    </w:p>
    <w:p w14:paraId="4943BBAA">
      <w:pPr>
        <w:spacing w:line="360" w:lineRule="auto"/>
        <w:ind w:firstLine="316" w:firstLineChars="150"/>
        <w:rPr>
          <w:rFonts w:ascii="宋体" w:hAnsi="宋体"/>
          <w:color w:val="auto"/>
          <w:szCs w:val="21"/>
          <w:highlight w:val="none"/>
        </w:rPr>
      </w:pPr>
      <w:r>
        <w:rPr>
          <w:rFonts w:hint="eastAsia" w:ascii="宋体" w:hAnsi="宋体"/>
          <w:b/>
          <w:bCs/>
          <w:color w:val="auto"/>
          <w:szCs w:val="21"/>
          <w:highlight w:val="none"/>
        </w:rPr>
        <w:t>特别说明：政采云公司如对电子化磋商及评审程序有调整的，按调整后的程序操作。</w:t>
      </w:r>
    </w:p>
    <w:p w14:paraId="72E309AE">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澄清有关问题。对响应文件中含义不明确、同类问题表述不一致或者有明显文字和计算错误的内容，磋商小组可以要求供应商作出必要的澄清、说明或者纠正。供应商的澄清、说明或者纠正应当采用书面形式</w:t>
      </w:r>
      <w:r>
        <w:rPr>
          <w:rFonts w:hint="eastAsia" w:ascii="宋体" w:hAnsi="宋体"/>
          <w:color w:val="auto"/>
          <w:szCs w:val="21"/>
          <w:highlight w:val="none"/>
          <w:lang w:val="en-US" w:eastAsia="zh-CN"/>
        </w:rPr>
        <w:t>在线签章完成</w:t>
      </w:r>
      <w:r>
        <w:rPr>
          <w:rFonts w:hint="eastAsia" w:ascii="宋体" w:hAnsi="宋体"/>
          <w:color w:val="auto"/>
          <w:szCs w:val="21"/>
          <w:highlight w:val="none"/>
        </w:rPr>
        <w:t>，由法定代表人或其委托代理人签字或盖章确认，且不得超出响应文件的范围或者改变响应文件的实质性内容。该澄清、说明或者纠正是响应文件的组成部分。</w:t>
      </w:r>
    </w:p>
    <w:p w14:paraId="041E6BF3">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 xml:space="preserve">12.1.1确定参加磋商的供应商名单。磋商小组将所有通过资格性审查及符合性审查的供应商确定为参加磋商的供应商。 </w:t>
      </w:r>
    </w:p>
    <w:p w14:paraId="32ACB0FD">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12.1.2采购过程中出现以下情形，导致电子交易平台无法正常运行，或者无法保证电子交易的公平、公正和安全时，采购组织机构可中止电子交易活动：</w:t>
      </w:r>
    </w:p>
    <w:p w14:paraId="08F5808C">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 xml:space="preserve">12.1.3电子交易平台发生故障而无法登录访问的； </w:t>
      </w:r>
    </w:p>
    <w:p w14:paraId="38A2C475">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12.1.4电子交易平台应用或数据库出现错误，不能进行正常操作的；</w:t>
      </w:r>
    </w:p>
    <w:p w14:paraId="2A077447">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12.1.5电子交易平台发现严重安全漏洞，有潜在泄密危险的；</w:t>
      </w:r>
    </w:p>
    <w:p w14:paraId="12DAEBA7">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 xml:space="preserve">12.1.6病毒发作导致不能进行正常操作的； </w:t>
      </w:r>
    </w:p>
    <w:p w14:paraId="1C3FEDFA">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12.1.7其他无法保证电子交易的公平、公正和安全的情况。</w:t>
      </w:r>
    </w:p>
    <w:p w14:paraId="71F35EFD">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12.1.8出现前款规定情形，不影响采购公平、公正性的，采购组织机构可以待上述情形消除后继续组织电子交易活动，也可以决定某些环节以纸质形式进行；影响或可能影响采购公平、公正性的，应当重新采购。</w:t>
      </w:r>
    </w:p>
    <w:p w14:paraId="05E62710">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12.1.9磋商小组对磋商资格条件及响应文件进行评审，并从符合竟争性磋商文件规定的相应资格条件的供应商名单中确定不少于3家的供应商参加磋商，符合财库〔2014〕214号《政府采购竞争性磋商采购方式管理暂行办法》第三条第一项（政府购买服务项目）情形的，确定不少于2家的供应商参加磋商。资格条件不符合的供应商或未实质性响应磋商文件的响应文件按无效响应处理，磋商小组应当告知有关供应商。</w:t>
      </w:r>
    </w:p>
    <w:p w14:paraId="2A8808D4">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A1E6246">
      <w:pPr>
        <w:spacing w:line="360" w:lineRule="auto"/>
        <w:ind w:firstLine="315" w:firstLineChars="150"/>
        <w:rPr>
          <w:rStyle w:val="40"/>
          <w:rFonts w:ascii="宋体" w:hAnsi="宋体"/>
          <w:color w:val="auto"/>
          <w:szCs w:val="21"/>
          <w:highlight w:val="none"/>
        </w:rPr>
      </w:pPr>
      <w:r>
        <w:rPr>
          <w:rFonts w:hint="eastAsia" w:ascii="宋体" w:hAnsi="宋体"/>
          <w:color w:val="auto"/>
          <w:szCs w:val="21"/>
          <w:highlight w:val="none"/>
        </w:rPr>
        <w:t>磋商小组要求供应商澄清、说明或者更正响应文件应当在政采云在线评标系统向供应商发起在线询标澄清。供应商的澄清、说明或者更正应当由法定代表人或其授权代表签字或者加盖公章。由授权代表签字的，应当附法定代表人授权书。供应商为自然人的，应当由本人签字并附身份证明。</w:t>
      </w:r>
    </w:p>
    <w:p w14:paraId="719095BB">
      <w:pPr>
        <w:snapToGrid w:val="0"/>
        <w:spacing w:line="360" w:lineRule="auto"/>
        <w:ind w:firstLine="315" w:firstLineChars="150"/>
        <w:textAlignment w:val="bottom"/>
        <w:rPr>
          <w:rStyle w:val="40"/>
          <w:rFonts w:ascii="宋体" w:hAnsi="宋体"/>
          <w:color w:val="auto"/>
          <w:szCs w:val="21"/>
          <w:highlight w:val="none"/>
        </w:rPr>
      </w:pPr>
      <w:r>
        <w:rPr>
          <w:rStyle w:val="40"/>
          <w:rFonts w:ascii="宋体" w:hAnsi="宋体"/>
          <w:color w:val="auto"/>
          <w:szCs w:val="21"/>
          <w:highlight w:val="none"/>
        </w:rPr>
        <w:t>磋商主要内容及程序：</w:t>
      </w:r>
    </w:p>
    <w:p w14:paraId="63769773">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1. 就本项目各类报价进行磋商； </w:t>
      </w:r>
    </w:p>
    <w:p w14:paraId="3C7CF64C">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2. 就本项目的服务承诺进行磋商；</w:t>
      </w:r>
    </w:p>
    <w:p w14:paraId="1B05D1EF">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3. 就本项目的质量要求进行磋商并对其作出相关承诺。</w:t>
      </w:r>
    </w:p>
    <w:p w14:paraId="11E828DD">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磋商评审在严格保密的情况下进行，磋商的任何一方不得透露与磋商有关的其他供应商的技术服务资料、价格和其他信息。</w:t>
      </w:r>
    </w:p>
    <w:p w14:paraId="115BBE5C">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当磋商小组一致确定磋商供应商的竞争性磋商响应文件能够详细列明采购标的技术、服务要求且符合竞争性磋商文件要求，无需再磋商的，磋商小组按竞争性磋商文件设定的12.4、12.7程序和综合评分法确定成交候选供应商。第一轮磋商后竞争性磋商文件有实质性变动或仍需磋商的，磋商小组对竞争性磋商文件变动或提出磋商意见后进行第二轮磋商。</w:t>
      </w:r>
    </w:p>
    <w:p w14:paraId="4BEE2353">
      <w:pPr>
        <w:spacing w:line="360" w:lineRule="auto"/>
        <w:ind w:firstLine="316" w:firstLineChars="150"/>
        <w:rPr>
          <w:rStyle w:val="40"/>
          <w:rFonts w:ascii="宋体" w:hAnsi="宋体"/>
          <w:b/>
          <w:color w:val="auto"/>
          <w:szCs w:val="21"/>
          <w:highlight w:val="none"/>
        </w:rPr>
      </w:pPr>
      <w:r>
        <w:rPr>
          <w:rStyle w:val="40"/>
          <w:rFonts w:ascii="宋体" w:hAnsi="宋体"/>
          <w:b/>
          <w:color w:val="auto"/>
          <w:szCs w:val="21"/>
          <w:highlight w:val="none"/>
        </w:rPr>
        <w:t xml:space="preserve">12.2 竞争性磋商文件变动  </w:t>
      </w:r>
    </w:p>
    <w:p w14:paraId="6F0649E9">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⑴ 第一轮磋商结束后，各磋商供应商退场等候，由磋商小组组长主持，根据竞争性磋商文件和磋商情况结合第一轮磋商整体情况，可以对竞争性磋商文件采购需求中已事先明确的可能实质性变动采购需求中的技术、服务要求以及协议草案条款进行统一变动，但不得变动竞争性磋商文件中的其他内容。实质性变动的内容，须经采购人代表确认。  </w:t>
      </w:r>
    </w:p>
    <w:p w14:paraId="4C1F4E29">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对竞争性磋商文件作出的实质性变动是竞争性磋商文件的有效组成部分，磋商小组应当同时通知所有参加磋商的磋商供应商，并要求磋商供应商做出书面响应。</w:t>
      </w:r>
    </w:p>
    <w:p w14:paraId="7FFC0ADD">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⑵ 磋商供应商应当按照竞争性磋商文件的变动情况和磋商小组的要求提交竞争性磋商</w:t>
      </w:r>
      <w:r>
        <w:rPr>
          <w:rStyle w:val="40"/>
          <w:rFonts w:hint="eastAsia" w:ascii="宋体" w:hAnsi="宋体"/>
          <w:color w:val="auto"/>
          <w:szCs w:val="21"/>
          <w:highlight w:val="none"/>
        </w:rPr>
        <w:t>报价</w:t>
      </w:r>
      <w:r>
        <w:rPr>
          <w:rStyle w:val="40"/>
          <w:rFonts w:ascii="宋体" w:hAnsi="宋体"/>
          <w:color w:val="auto"/>
          <w:szCs w:val="21"/>
          <w:highlight w:val="none"/>
        </w:rPr>
        <w:t xml:space="preserve">文件，逾时不交的，视同放弃磋商。重新提交的响应文件与竞争性磋商响应文件同具法律效力。  </w:t>
      </w:r>
    </w:p>
    <w:p w14:paraId="5E4E0F9A">
      <w:pPr>
        <w:spacing w:line="360" w:lineRule="auto"/>
        <w:ind w:firstLine="316" w:firstLineChars="150"/>
        <w:rPr>
          <w:rStyle w:val="40"/>
          <w:rFonts w:ascii="宋体" w:hAnsi="宋体"/>
          <w:b/>
          <w:color w:val="auto"/>
          <w:szCs w:val="21"/>
          <w:highlight w:val="none"/>
        </w:rPr>
      </w:pPr>
      <w:r>
        <w:rPr>
          <w:rStyle w:val="40"/>
          <w:rFonts w:ascii="宋体" w:hAnsi="宋体"/>
          <w:b/>
          <w:color w:val="auto"/>
          <w:szCs w:val="21"/>
          <w:highlight w:val="none"/>
        </w:rPr>
        <w:t>12.3 第二轮磋商</w:t>
      </w:r>
    </w:p>
    <w:p w14:paraId="6F9D1ADE">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磋商小组集中就重新提交的响应文件或磋商小组提出的磋商意见与单一响应磋商供应商分别进行磋商。本公司对磋商过程和重要磋商内容进行记录，磋商双方在记录上签字确认。</w:t>
      </w:r>
    </w:p>
    <w:p w14:paraId="3B7D3E5B">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磋商后，磋商供应商根据磋商小组统一整理的书面磋商记录要求做出书面承诺，并由其法定代表人(负责人)或授权代表签字或者加盖公章后按时密封递交。</w:t>
      </w:r>
    </w:p>
    <w:p w14:paraId="734CCE28">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当磋商小组一致确定磋商供应商的竞争性磋商响应文件能够详细列明采购标的的技术、服务要求且符合竞争性磋商文件要求，无需再磋商的，磋商小组按竞争性磋商文件设定的12.4、12.7程序和综合评分法确定成交候选供应商。第二轮磋商后竞争性磋商文件仍有实质性变动的或仍需磋商的，磋商小组对竞争性磋商文件变动或提出磋商意见后进行第三轮磋商，以此类推。</w:t>
      </w:r>
    </w:p>
    <w:p w14:paraId="4A8ED3FF">
      <w:pPr>
        <w:spacing w:line="360" w:lineRule="auto"/>
        <w:ind w:firstLine="316" w:firstLineChars="150"/>
        <w:rPr>
          <w:rStyle w:val="40"/>
          <w:rFonts w:hint="eastAsia" w:ascii="宋体" w:hAnsi="宋体" w:eastAsia="宋体"/>
          <w:b/>
          <w:color w:val="auto"/>
          <w:szCs w:val="21"/>
          <w:highlight w:val="none"/>
          <w:lang w:eastAsia="zh-CN"/>
        </w:rPr>
      </w:pPr>
      <w:r>
        <w:rPr>
          <w:rStyle w:val="40"/>
          <w:rFonts w:ascii="宋体" w:hAnsi="宋体"/>
          <w:b/>
          <w:color w:val="auto"/>
          <w:szCs w:val="21"/>
          <w:highlight w:val="none"/>
        </w:rPr>
        <w:t>12.4  磋商结束后，磋商小组应当要求所有实质性响应的供应商在规定时间内提交最后报价，提交最后报价的供应商不得少于3家。磋商文件能够详细列明采购标的的技术、服务要求的，磋商结束后，磋商小组应当要求所有继续参加磋商的供应商在规定时间内密封提交最后报价，提交最后报价的供应商不得少于3家。最后报价是供应商响应文件的有效组成部分。符合以下情形的：（一）政府购买服务项目；（二）技术复杂或者性质特殊，不能确定详细规格或者具体要求的；（三）因艺术品采购、专利、专有技术或者服务的时间、数量事先不能确定等原因不能事先计算出价格总额的；（四）市场竞争不充分的科研项目，以及需要扶持的科技成果转化项目</w:t>
      </w:r>
      <w:r>
        <w:rPr>
          <w:rStyle w:val="40"/>
          <w:rFonts w:hint="eastAsia" w:ascii="宋体" w:hAnsi="宋体"/>
          <w:b/>
          <w:color w:val="auto"/>
          <w:szCs w:val="21"/>
          <w:highlight w:val="none"/>
          <w:lang w:eastAsia="zh-CN"/>
        </w:rPr>
        <w:t>。</w:t>
      </w:r>
    </w:p>
    <w:p w14:paraId="6551579D">
      <w:pPr>
        <w:tabs>
          <w:tab w:val="left" w:pos="540"/>
        </w:tabs>
        <w:spacing w:line="320" w:lineRule="exact"/>
        <w:ind w:firstLine="424" w:firstLineChars="201"/>
        <w:jc w:val="left"/>
        <w:rPr>
          <w:rStyle w:val="40"/>
          <w:rFonts w:ascii="宋体" w:hAnsi="宋体"/>
          <w:b/>
          <w:color w:val="auto"/>
          <w:szCs w:val="21"/>
          <w:highlight w:val="none"/>
        </w:rPr>
      </w:pPr>
      <w:r>
        <w:rPr>
          <w:rStyle w:val="40"/>
          <w:rFonts w:ascii="宋体" w:hAnsi="宋体"/>
          <w:b/>
          <w:color w:val="auto"/>
          <w:szCs w:val="21"/>
          <w:highlight w:val="none"/>
        </w:rPr>
        <w:t>12.5最终磋商结束后，磋商小组不得再与供应商进行任何形式的商谈。</w:t>
      </w:r>
    </w:p>
    <w:p w14:paraId="0236014C">
      <w:pPr>
        <w:tabs>
          <w:tab w:val="left" w:pos="540"/>
        </w:tabs>
        <w:spacing w:line="320" w:lineRule="exact"/>
        <w:ind w:firstLine="424" w:firstLineChars="201"/>
        <w:jc w:val="left"/>
        <w:rPr>
          <w:rStyle w:val="40"/>
          <w:rFonts w:ascii="宋体" w:hAnsi="宋体"/>
          <w:b/>
          <w:color w:val="auto"/>
          <w:szCs w:val="21"/>
          <w:highlight w:val="none"/>
        </w:rPr>
      </w:pPr>
      <w:r>
        <w:rPr>
          <w:rStyle w:val="40"/>
          <w:rFonts w:ascii="宋体" w:hAnsi="宋体"/>
          <w:b/>
          <w:color w:val="auto"/>
          <w:szCs w:val="21"/>
          <w:highlight w:val="none"/>
        </w:rPr>
        <w:t>12.6评审与比较</w:t>
      </w:r>
    </w:p>
    <w:p w14:paraId="6AB86156">
      <w:pPr>
        <w:tabs>
          <w:tab w:val="left" w:pos="540"/>
        </w:tabs>
        <w:spacing w:line="276" w:lineRule="auto"/>
        <w:ind w:firstLine="422" w:firstLineChars="201"/>
        <w:jc w:val="left"/>
        <w:rPr>
          <w:rStyle w:val="40"/>
          <w:rFonts w:ascii="宋体" w:hAnsi="宋体"/>
          <w:color w:val="auto"/>
          <w:szCs w:val="21"/>
          <w:highlight w:val="none"/>
        </w:rPr>
      </w:pPr>
      <w:r>
        <w:rPr>
          <w:rStyle w:val="40"/>
          <w:rFonts w:ascii="宋体" w:hAnsi="宋体"/>
          <w:color w:val="auto"/>
          <w:szCs w:val="21"/>
          <w:highlight w:val="none"/>
        </w:rPr>
        <w:t>12.6.1经磋商确定最终采购需求和提交最后报价的供应商后，由磋商小组采用综合评分法对提交最后报价的供应商的响应文件和最后报价进行综合评分。</w:t>
      </w:r>
    </w:p>
    <w:p w14:paraId="015F4BF2">
      <w:pPr>
        <w:tabs>
          <w:tab w:val="left" w:pos="540"/>
        </w:tabs>
        <w:spacing w:line="276" w:lineRule="auto"/>
        <w:ind w:firstLine="422" w:firstLineChars="201"/>
        <w:jc w:val="left"/>
        <w:rPr>
          <w:rStyle w:val="40"/>
          <w:rFonts w:ascii="宋体" w:hAnsi="宋体"/>
          <w:color w:val="auto"/>
          <w:szCs w:val="21"/>
          <w:highlight w:val="none"/>
        </w:rPr>
      </w:pPr>
      <w:r>
        <w:rPr>
          <w:rStyle w:val="40"/>
          <w:rFonts w:ascii="宋体" w:hAnsi="宋体"/>
          <w:color w:val="auto"/>
          <w:szCs w:val="21"/>
          <w:highlight w:val="none"/>
        </w:rPr>
        <w:t>12.6.2评审原则。磋商小组必须公平、公正、客观，不带任何倾向性和启发性；不得向外界透露任何与评审有关的内容；任何单位和个人不得干扰、影响评审的正常进行。</w:t>
      </w:r>
    </w:p>
    <w:p w14:paraId="780B9C3C">
      <w:pPr>
        <w:spacing w:line="360" w:lineRule="auto"/>
        <w:ind w:firstLine="316" w:firstLineChars="150"/>
        <w:rPr>
          <w:rStyle w:val="40"/>
          <w:rFonts w:ascii="宋体" w:hAnsi="宋体"/>
          <w:b/>
          <w:color w:val="auto"/>
          <w:szCs w:val="21"/>
          <w:highlight w:val="none"/>
        </w:rPr>
      </w:pPr>
      <w:r>
        <w:rPr>
          <w:rStyle w:val="40"/>
          <w:rFonts w:ascii="宋体" w:hAnsi="宋体"/>
          <w:b/>
          <w:color w:val="auto"/>
          <w:szCs w:val="21"/>
          <w:highlight w:val="none"/>
        </w:rPr>
        <w:t>12.7最后报价及成交候选磋商供应商推荐</w:t>
      </w:r>
    </w:p>
    <w:p w14:paraId="3B8E4A58">
      <w:pPr>
        <w:spacing w:line="360" w:lineRule="auto"/>
        <w:rPr>
          <w:rStyle w:val="40"/>
          <w:rFonts w:ascii="宋体" w:hAnsi="宋体"/>
          <w:color w:val="auto"/>
          <w:szCs w:val="21"/>
          <w:highlight w:val="none"/>
        </w:rPr>
      </w:pPr>
      <w:r>
        <w:rPr>
          <w:rStyle w:val="40"/>
          <w:rFonts w:ascii="宋体" w:hAnsi="宋体"/>
          <w:color w:val="auto"/>
          <w:szCs w:val="21"/>
          <w:highlight w:val="none"/>
        </w:rPr>
        <w:t xml:space="preserve">   磋商结束后，磋商小组要求所有继续参加磋商的供应商在规定时间内提交最后报价。继续参加磋商的供应商作最后报价，由其法定代表人(负责人)或授权代表签字或者加盖公章后密封递交磋商小组。</w:t>
      </w:r>
    </w:p>
    <w:p w14:paraId="02B5E77C">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磋商小组根据综合评分情况，按照评审得分由高到低顺序推荐3名成交候选供应商，并编写评审报告。评审得分相同的，按照最后报价由低到高的顺序推荐。评审得分且最后报价相同的，按照技术指标优劣顺序推荐，由采购单位确定成交候选供应商。最后报价是磋商供应商竞争性磋商响应文件的有效组成部分。 </w:t>
      </w:r>
    </w:p>
    <w:p w14:paraId="5A7BAE46">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CE5152D">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12.7 磋商供应商的报价均超过了上限控制价的，采购人不能支付的，磋商活动终止。  </w:t>
      </w:r>
    </w:p>
    <w:p w14:paraId="68498B8B">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12.8 本采购项目的评审依据为竞争性磋商文件和竞争性磋商响应文件，采用的评审方法为</w:t>
      </w:r>
      <w:r>
        <w:rPr>
          <w:rStyle w:val="40"/>
          <w:rFonts w:ascii="宋体" w:hAnsi="宋体"/>
          <w:color w:val="auto"/>
          <w:szCs w:val="21"/>
          <w:highlight w:val="none"/>
          <w:u w:val="single"/>
        </w:rPr>
        <w:t>综合评分法</w:t>
      </w:r>
      <w:r>
        <w:rPr>
          <w:rStyle w:val="40"/>
          <w:rFonts w:ascii="宋体" w:hAnsi="宋体"/>
          <w:color w:val="auto"/>
          <w:szCs w:val="21"/>
          <w:highlight w:val="none"/>
        </w:rPr>
        <w:t>。</w:t>
      </w:r>
    </w:p>
    <w:p w14:paraId="1F2B7D9E">
      <w:pPr>
        <w:pStyle w:val="38"/>
        <w:outlineLvl w:val="2"/>
        <w:rPr>
          <w:rStyle w:val="40"/>
          <w:rFonts w:ascii="宋体" w:hAnsi="宋体" w:cs="宋体"/>
          <w:b/>
          <w:bCs/>
          <w:color w:val="auto"/>
          <w:highlight w:val="none"/>
        </w:rPr>
      </w:pPr>
      <w:r>
        <w:rPr>
          <w:rStyle w:val="40"/>
          <w:rFonts w:ascii="宋体" w:hAnsi="宋体" w:cs="宋体"/>
          <w:b/>
          <w:bCs/>
          <w:color w:val="auto"/>
          <w:highlight w:val="none"/>
        </w:rPr>
        <w:t>六、确定成交供应商</w:t>
      </w:r>
    </w:p>
    <w:p w14:paraId="74960F58">
      <w:pPr>
        <w:spacing w:line="360" w:lineRule="auto"/>
        <w:ind w:firstLine="316" w:firstLineChars="150"/>
        <w:rPr>
          <w:rStyle w:val="40"/>
          <w:rFonts w:ascii="宋体" w:hAnsi="宋体"/>
          <w:b/>
          <w:color w:val="auto"/>
          <w:szCs w:val="21"/>
          <w:highlight w:val="none"/>
        </w:rPr>
      </w:pPr>
      <w:r>
        <w:rPr>
          <w:rStyle w:val="40"/>
          <w:rFonts w:ascii="宋体" w:hAnsi="宋体"/>
          <w:b/>
          <w:color w:val="auto"/>
          <w:szCs w:val="21"/>
          <w:highlight w:val="none"/>
        </w:rPr>
        <w:t xml:space="preserve">13. 根据以下原则确定成交供应商： </w:t>
      </w:r>
    </w:p>
    <w:p w14:paraId="26F0C33D">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13.1 响应文件满足磋商文件全部实质性要求且按评审因素的量化指标评审综合得分最高的磋商供应商为成交供应商，如排名第一的成交候选供应商放弃成交、因不可抗力提出不能履行协议的，采购单位可以确定排名第二的成交候选供应商为成交供应商，也可以重新组织开展采购活动。  </w:t>
      </w:r>
    </w:p>
    <w:p w14:paraId="46A9B6E8">
      <w:pPr>
        <w:pStyle w:val="38"/>
        <w:outlineLvl w:val="2"/>
        <w:rPr>
          <w:rStyle w:val="40"/>
          <w:rFonts w:ascii="宋体" w:hAnsi="宋体" w:cs="宋体"/>
          <w:b/>
          <w:bCs/>
          <w:color w:val="auto"/>
          <w:highlight w:val="none"/>
        </w:rPr>
      </w:pPr>
      <w:r>
        <w:rPr>
          <w:rStyle w:val="40"/>
          <w:rFonts w:ascii="宋体" w:hAnsi="宋体" w:cs="宋体"/>
          <w:b/>
          <w:bCs/>
          <w:color w:val="auto"/>
          <w:highlight w:val="none"/>
        </w:rPr>
        <w:t xml:space="preserve">七、成交结果公告 </w:t>
      </w:r>
    </w:p>
    <w:p w14:paraId="3C9709CE">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14.1代理机构应当自评审结束之日起2个工作日内将评审报告送交采购人，采购人在收到代理机构提交的评审报告后，2个工作日内从评审报告提出的成交候选供应商中确定成交供应商。</w:t>
      </w:r>
    </w:p>
    <w:p w14:paraId="3AAAEE35">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14.2采购代理机构应当在成交供应商确定后2个工作日内，在磋商公告发布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前款规定的同样原因被取消成交资格的，采购人可以确定排名第三的成交候选人为成交人。</w:t>
      </w:r>
    </w:p>
    <w:p w14:paraId="630B391E">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14.3磋商供应商认为成交结果使自己的权益受到损害的，可以在成交结果公告期限届满之日起七个工作日内以书面形式向本公司提出质疑。本公司将在收到磋商供应商的书面质疑后七个工作日内做出答复， 但答复的内容不得涉及商业秘密 。  </w:t>
      </w:r>
    </w:p>
    <w:p w14:paraId="2B29770A">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14.4质疑磋商供应商必须首先经过质疑程序，在对本公司的答复不满意或者本公司未在规定的时间内做出答复的，可以在答复期满后十五个工作日内书面向本级采购监督管理部门投诉。  </w:t>
      </w:r>
    </w:p>
    <w:p w14:paraId="0D1807AD">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质疑联系部门及电话为：</w:t>
      </w:r>
      <w:r>
        <w:rPr>
          <w:rStyle w:val="40"/>
          <w:rFonts w:hint="eastAsia" w:ascii="宋体" w:hAnsi="宋体"/>
          <w:color w:val="auto"/>
          <w:szCs w:val="21"/>
          <w:highlight w:val="none"/>
          <w:lang w:eastAsia="zh-CN"/>
        </w:rPr>
        <w:t>贵港市安然项目管理有限公司</w:t>
      </w:r>
      <w:r>
        <w:rPr>
          <w:rStyle w:val="40"/>
          <w:rFonts w:hint="eastAsia" w:ascii="宋体" w:hAnsi="宋体"/>
          <w:color w:val="auto"/>
          <w:szCs w:val="21"/>
          <w:highlight w:val="none"/>
        </w:rPr>
        <w:t>，电话：0775-</w:t>
      </w:r>
      <w:r>
        <w:rPr>
          <w:rStyle w:val="40"/>
          <w:rFonts w:hint="eastAsia" w:ascii="宋体" w:hAnsi="宋体"/>
          <w:color w:val="auto"/>
          <w:szCs w:val="21"/>
          <w:highlight w:val="none"/>
          <w:lang w:val="en-US" w:eastAsia="zh-CN"/>
        </w:rPr>
        <w:t>4328663</w:t>
      </w:r>
      <w:r>
        <w:rPr>
          <w:rStyle w:val="40"/>
          <w:rFonts w:hint="eastAsia" w:ascii="宋体" w:hAnsi="宋体"/>
          <w:color w:val="auto"/>
          <w:szCs w:val="21"/>
          <w:highlight w:val="none"/>
        </w:rPr>
        <w:t>　</w:t>
      </w:r>
      <w:r>
        <w:rPr>
          <w:rStyle w:val="40"/>
          <w:rFonts w:ascii="宋体" w:hAnsi="宋体"/>
          <w:color w:val="auto"/>
          <w:szCs w:val="21"/>
          <w:highlight w:val="none"/>
        </w:rPr>
        <w:t xml:space="preserve">  </w:t>
      </w:r>
    </w:p>
    <w:p w14:paraId="5D9FFDFA">
      <w:pPr>
        <w:pStyle w:val="10"/>
        <w:ind w:firstLine="420" w:firstLineChars="200"/>
        <w:rPr>
          <w:rStyle w:val="40"/>
          <w:rFonts w:ascii="宋体" w:hAnsi="宋体" w:eastAsia="宋体" w:cs="Times New Roman"/>
          <w:color w:val="auto"/>
          <w:kern w:val="2"/>
          <w:sz w:val="21"/>
          <w:szCs w:val="21"/>
          <w:highlight w:val="none"/>
          <w:lang w:val="en-US" w:eastAsia="zh-CN" w:bidi="ar-SA"/>
        </w:rPr>
      </w:pPr>
      <w:r>
        <w:rPr>
          <w:rStyle w:val="40"/>
          <w:rFonts w:ascii="宋体" w:hAnsi="宋体" w:eastAsia="宋体" w:cs="Times New Roman"/>
          <w:color w:val="auto"/>
          <w:kern w:val="2"/>
          <w:sz w:val="21"/>
          <w:szCs w:val="21"/>
          <w:highlight w:val="none"/>
          <w:lang w:val="en-US" w:eastAsia="zh-CN" w:bidi="ar-SA"/>
        </w:rPr>
        <w:t>投诉联系部门及电话为：</w:t>
      </w:r>
      <w:r>
        <w:rPr>
          <w:rStyle w:val="40"/>
          <w:rFonts w:hint="eastAsia" w:ascii="宋体" w:hAnsi="宋体" w:eastAsia="宋体" w:cs="Times New Roman"/>
          <w:color w:val="auto"/>
          <w:kern w:val="2"/>
          <w:sz w:val="21"/>
          <w:szCs w:val="21"/>
          <w:highlight w:val="none"/>
          <w:lang w:val="en-US" w:eastAsia="zh-CN" w:bidi="ar-SA"/>
        </w:rPr>
        <w:t>港南区财政局政府采购监督管理股</w:t>
      </w:r>
      <w:r>
        <w:rPr>
          <w:rStyle w:val="40"/>
          <w:rFonts w:ascii="宋体" w:hAnsi="宋体" w:eastAsia="宋体" w:cs="Times New Roman"/>
          <w:color w:val="auto"/>
          <w:kern w:val="2"/>
          <w:sz w:val="21"/>
          <w:szCs w:val="21"/>
          <w:highlight w:val="none"/>
          <w:lang w:val="en-US" w:eastAsia="zh-CN" w:bidi="ar-SA"/>
        </w:rPr>
        <w:t xml:space="preserve">   </w:t>
      </w:r>
      <w:r>
        <w:rPr>
          <w:rStyle w:val="40"/>
          <w:rFonts w:hint="eastAsia" w:ascii="宋体" w:hAnsi="宋体" w:eastAsia="宋体" w:cs="Times New Roman"/>
          <w:color w:val="auto"/>
          <w:kern w:val="2"/>
          <w:sz w:val="21"/>
          <w:szCs w:val="21"/>
          <w:highlight w:val="none"/>
          <w:lang w:val="en-US" w:eastAsia="zh-CN" w:bidi="ar-SA"/>
        </w:rPr>
        <w:t>电话：</w:t>
      </w:r>
      <w:r>
        <w:rPr>
          <w:rStyle w:val="40"/>
          <w:rFonts w:ascii="宋体" w:hAnsi="宋体" w:eastAsia="宋体" w:cs="Times New Roman"/>
          <w:color w:val="auto"/>
          <w:kern w:val="2"/>
          <w:sz w:val="21"/>
          <w:szCs w:val="21"/>
          <w:highlight w:val="none"/>
          <w:lang w:val="en-US" w:eastAsia="zh-CN" w:bidi="ar-SA"/>
        </w:rPr>
        <w:t>0775-4327666</w:t>
      </w:r>
    </w:p>
    <w:p w14:paraId="1761E36C">
      <w:pPr>
        <w:pStyle w:val="10"/>
        <w:rPr>
          <w:color w:val="auto"/>
          <w:highlight w:val="none"/>
        </w:rPr>
      </w:pPr>
    </w:p>
    <w:p w14:paraId="5B15B536">
      <w:pPr>
        <w:pStyle w:val="38"/>
        <w:outlineLvl w:val="2"/>
        <w:rPr>
          <w:rStyle w:val="40"/>
          <w:rFonts w:ascii="宋体" w:hAnsi="宋体" w:cs="宋体"/>
          <w:b/>
          <w:bCs/>
          <w:color w:val="auto"/>
          <w:highlight w:val="none"/>
        </w:rPr>
      </w:pPr>
      <w:r>
        <w:rPr>
          <w:rStyle w:val="40"/>
          <w:rFonts w:ascii="宋体" w:hAnsi="宋体" w:cs="宋体"/>
          <w:b/>
          <w:bCs/>
          <w:color w:val="auto"/>
          <w:highlight w:val="none"/>
        </w:rPr>
        <w:t>八、签订协议</w:t>
      </w:r>
    </w:p>
    <w:p w14:paraId="2A3DF97E">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15.1 成交供应商自成交通知书发出之日起</w:t>
      </w:r>
      <w:r>
        <w:rPr>
          <w:rStyle w:val="40"/>
          <w:rFonts w:hint="eastAsia" w:ascii="宋体" w:hAnsi="宋体"/>
          <w:color w:val="auto"/>
          <w:szCs w:val="21"/>
          <w:highlight w:val="none"/>
          <w:lang w:val="en-US" w:eastAsia="zh-CN"/>
        </w:rPr>
        <w:t>20</w:t>
      </w:r>
      <w:r>
        <w:rPr>
          <w:rStyle w:val="40"/>
          <w:rFonts w:hint="eastAsia" w:ascii="宋体" w:hAnsi="宋体"/>
          <w:color w:val="auto"/>
          <w:szCs w:val="21"/>
          <w:highlight w:val="none"/>
        </w:rPr>
        <w:t>个工作</w:t>
      </w:r>
      <w:r>
        <w:rPr>
          <w:rStyle w:val="40"/>
          <w:rFonts w:ascii="宋体" w:hAnsi="宋体"/>
          <w:color w:val="auto"/>
          <w:szCs w:val="21"/>
          <w:highlight w:val="none"/>
        </w:rPr>
        <w:t xml:space="preserve">日内与采购人签订协议。  </w:t>
      </w:r>
    </w:p>
    <w:p w14:paraId="6D9D8D1E">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15.2 成交供应商拒绝签订采购协议的，采购人可以根据磋商评审报告确定成交供应商之后排名第一的成交候选供应商作为成交供应商并签订采购协议，也可以重新组织开展采购活动。拒绝签订采购协议的成交供应商不得再参加对该项目重新组织开展的采购活动 。   </w:t>
      </w:r>
    </w:p>
    <w:p w14:paraId="2486027F">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15.3 成交供应商拒绝签订采购协议的，给采购人造成其损失的，还应当赔偿损失，并作为不良行为记录在案。  </w:t>
      </w:r>
    </w:p>
    <w:p w14:paraId="461C179A">
      <w:pPr>
        <w:pStyle w:val="38"/>
        <w:outlineLvl w:val="2"/>
        <w:rPr>
          <w:rStyle w:val="40"/>
          <w:rFonts w:ascii="宋体" w:hAnsi="宋体" w:cs="宋体"/>
          <w:b/>
          <w:bCs/>
          <w:color w:val="auto"/>
          <w:highlight w:val="none"/>
        </w:rPr>
      </w:pPr>
      <w:r>
        <w:rPr>
          <w:rStyle w:val="40"/>
          <w:rFonts w:ascii="宋体" w:hAnsi="宋体" w:cs="宋体"/>
          <w:b/>
          <w:bCs/>
          <w:color w:val="auto"/>
          <w:highlight w:val="none"/>
        </w:rPr>
        <w:t>九、适用法律</w:t>
      </w:r>
    </w:p>
    <w:p w14:paraId="47F2D3F7">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16. 采购当事人的一切活动均适用于《政府采购法》 及相关规定。最终磋商结束后，磋商小组不得再与磋商供应商进行任何形式的磋商。 </w:t>
      </w:r>
    </w:p>
    <w:p w14:paraId="43E23172">
      <w:pPr>
        <w:pStyle w:val="38"/>
        <w:outlineLvl w:val="2"/>
        <w:rPr>
          <w:rStyle w:val="40"/>
          <w:rFonts w:ascii="宋体" w:hAnsi="宋体" w:cs="宋体"/>
          <w:b/>
          <w:bCs/>
          <w:color w:val="auto"/>
          <w:highlight w:val="none"/>
        </w:rPr>
      </w:pPr>
      <w:r>
        <w:rPr>
          <w:rStyle w:val="40"/>
          <w:rFonts w:ascii="宋体" w:hAnsi="宋体" w:cs="宋体"/>
          <w:b/>
          <w:bCs/>
          <w:color w:val="auto"/>
          <w:highlight w:val="none"/>
        </w:rPr>
        <w:t xml:space="preserve">十、其他事项 </w:t>
      </w:r>
    </w:p>
    <w:p w14:paraId="34B8ED78">
      <w:pPr>
        <w:spacing w:line="360" w:lineRule="auto"/>
        <w:ind w:firstLine="420" w:firstLineChars="200"/>
        <w:rPr>
          <w:rStyle w:val="40"/>
          <w:rFonts w:hint="eastAsia" w:ascii="宋体" w:hAnsi="宋体" w:eastAsia="宋体"/>
          <w:b/>
          <w:bCs/>
          <w:color w:val="auto"/>
          <w:szCs w:val="21"/>
          <w:highlight w:val="none"/>
          <w:lang w:eastAsia="zh-CN"/>
        </w:rPr>
      </w:pPr>
      <w:r>
        <w:rPr>
          <w:rStyle w:val="40"/>
          <w:rFonts w:ascii="宋体" w:hAnsi="宋体"/>
          <w:color w:val="auto"/>
          <w:szCs w:val="21"/>
          <w:highlight w:val="none"/>
        </w:rPr>
        <w:t>17.1签订合同前，成交供应商须向采购代理机构一次性付清成交服务费，成交服务收费参照国家计委关于招标代理服务收费管理暂行办法》（计价格〔2015〕299号）文的规定按“服务类”向成交人收取</w:t>
      </w:r>
      <w:r>
        <w:rPr>
          <w:rStyle w:val="40"/>
          <w:rFonts w:hint="eastAsia" w:ascii="宋体" w:hAnsi="宋体"/>
          <w:color w:val="auto"/>
          <w:szCs w:val="21"/>
          <w:highlight w:val="none"/>
          <w:lang w:eastAsia="zh-CN"/>
        </w:rPr>
        <w:t>。</w:t>
      </w:r>
    </w:p>
    <w:p w14:paraId="0F843B8D">
      <w:pPr>
        <w:snapToGrid w:val="0"/>
        <w:spacing w:line="360" w:lineRule="auto"/>
        <w:rPr>
          <w:rStyle w:val="40"/>
          <w:rFonts w:ascii="宋体" w:hAnsi="宋体"/>
          <w:color w:val="auto"/>
          <w:szCs w:val="21"/>
          <w:highlight w:val="none"/>
        </w:rPr>
      </w:pPr>
      <w:r>
        <w:rPr>
          <w:rStyle w:val="40"/>
          <w:rFonts w:ascii="宋体" w:hAnsi="宋体"/>
          <w:color w:val="auto"/>
          <w:szCs w:val="21"/>
          <w:highlight w:val="none"/>
        </w:rPr>
        <w:t>招标代理服务费缴纳账户：</w:t>
      </w:r>
    </w:p>
    <w:p w14:paraId="6C64E6D0">
      <w:pPr>
        <w:spacing w:line="360" w:lineRule="auto"/>
        <w:ind w:left="420" w:leftChars="200" w:firstLine="0" w:firstLineChars="0"/>
        <w:rPr>
          <w:rStyle w:val="40"/>
          <w:rFonts w:hint="eastAsia" w:ascii="宋体" w:hAnsi="宋体"/>
          <w:color w:val="auto"/>
          <w:szCs w:val="21"/>
          <w:highlight w:val="none"/>
          <w:lang w:eastAsia="zh-CN"/>
        </w:rPr>
      </w:pPr>
      <w:r>
        <w:rPr>
          <w:rStyle w:val="40"/>
          <w:rFonts w:hint="eastAsia" w:ascii="宋体" w:hAnsi="宋体"/>
          <w:color w:val="auto"/>
          <w:szCs w:val="21"/>
          <w:highlight w:val="none"/>
        </w:rPr>
        <w:t>开户银行：</w:t>
      </w:r>
      <w:r>
        <w:rPr>
          <w:rStyle w:val="40"/>
          <w:rFonts w:hint="eastAsia" w:ascii="宋体" w:hAnsi="宋体"/>
          <w:color w:val="auto"/>
          <w:szCs w:val="21"/>
          <w:highlight w:val="none"/>
          <w:lang w:eastAsia="zh-CN"/>
        </w:rPr>
        <w:t>贵港市区农村信用合作联社西郊分区</w:t>
      </w:r>
    </w:p>
    <w:p w14:paraId="446728D5">
      <w:pPr>
        <w:spacing w:line="360" w:lineRule="auto"/>
        <w:ind w:left="420" w:leftChars="200" w:firstLine="0" w:firstLineChars="0"/>
        <w:rPr>
          <w:rStyle w:val="40"/>
          <w:rFonts w:hint="eastAsia" w:ascii="宋体" w:hAnsi="宋体"/>
          <w:color w:val="auto"/>
          <w:szCs w:val="21"/>
          <w:highlight w:val="none"/>
        </w:rPr>
      </w:pPr>
      <w:r>
        <w:rPr>
          <w:rStyle w:val="40"/>
          <w:rFonts w:hint="eastAsia" w:ascii="宋体" w:hAnsi="宋体"/>
          <w:color w:val="auto"/>
          <w:szCs w:val="21"/>
          <w:highlight w:val="none"/>
        </w:rPr>
        <w:t>账户名称：</w:t>
      </w:r>
      <w:r>
        <w:rPr>
          <w:rStyle w:val="40"/>
          <w:rFonts w:hint="eastAsia" w:ascii="宋体" w:hAnsi="宋体"/>
          <w:color w:val="auto"/>
          <w:szCs w:val="21"/>
          <w:highlight w:val="none"/>
          <w:lang w:eastAsia="zh-CN"/>
        </w:rPr>
        <w:t>贵港市安然项目管理有限公司</w:t>
      </w:r>
      <w:r>
        <w:rPr>
          <w:rStyle w:val="40"/>
          <w:rFonts w:hint="eastAsia" w:ascii="宋体" w:hAnsi="宋体"/>
          <w:color w:val="auto"/>
          <w:szCs w:val="21"/>
          <w:highlight w:val="none"/>
        </w:rPr>
        <w:t xml:space="preserve"> </w:t>
      </w:r>
    </w:p>
    <w:p w14:paraId="17789027">
      <w:pPr>
        <w:spacing w:line="360" w:lineRule="auto"/>
        <w:ind w:left="420" w:leftChars="200" w:firstLine="0" w:firstLineChars="0"/>
        <w:rPr>
          <w:rStyle w:val="40"/>
          <w:rFonts w:ascii="宋体" w:hAnsi="宋体"/>
          <w:color w:val="auto"/>
          <w:szCs w:val="21"/>
          <w:highlight w:val="none"/>
        </w:rPr>
      </w:pPr>
      <w:r>
        <w:rPr>
          <w:rStyle w:val="40"/>
          <w:rFonts w:hint="eastAsia" w:ascii="宋体" w:hAnsi="宋体"/>
          <w:color w:val="auto"/>
          <w:szCs w:val="21"/>
          <w:highlight w:val="none"/>
        </w:rPr>
        <w:t>银行账号：903312010107472899</w:t>
      </w:r>
    </w:p>
    <w:p w14:paraId="2EDA89A2">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2.解释权</w:t>
      </w:r>
    </w:p>
    <w:p w14:paraId="235A25DE">
      <w:pPr>
        <w:spacing w:line="360" w:lineRule="auto"/>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本竞争性磋商文件解释权属本公司 。  </w:t>
      </w:r>
    </w:p>
    <w:p w14:paraId="2AF562BC">
      <w:pPr>
        <w:spacing w:line="360" w:lineRule="auto"/>
        <w:ind w:firstLine="315" w:firstLineChars="150"/>
        <w:jc w:val="center"/>
        <w:rPr>
          <w:rStyle w:val="40"/>
          <w:rFonts w:ascii="宋体" w:hAnsi="宋体"/>
          <w:color w:val="auto"/>
          <w:szCs w:val="21"/>
          <w:highlight w:val="none"/>
        </w:rPr>
      </w:pPr>
    </w:p>
    <w:p w14:paraId="02B1F4BB">
      <w:pPr>
        <w:pStyle w:val="22"/>
        <w:jc w:val="center"/>
        <w:rPr>
          <w:rStyle w:val="40"/>
          <w:rFonts w:ascii="宋体" w:hAnsi="宋体" w:cs="宋体"/>
          <w:b/>
          <w:bCs/>
          <w:color w:val="auto"/>
          <w:highlight w:val="none"/>
        </w:rPr>
      </w:pPr>
      <w:bookmarkStart w:id="0" w:name="_Toc96865207"/>
      <w:bookmarkStart w:id="1" w:name="_Toc78604604"/>
    </w:p>
    <w:p w14:paraId="706B00BB">
      <w:pPr>
        <w:rPr>
          <w:rStyle w:val="40"/>
          <w:rFonts w:ascii="宋体" w:hAnsi="宋体" w:cs="宋体"/>
          <w:b/>
          <w:bCs/>
          <w:color w:val="auto"/>
          <w:highlight w:val="none"/>
        </w:rPr>
      </w:pPr>
    </w:p>
    <w:p w14:paraId="55E5BB0B">
      <w:pPr>
        <w:pStyle w:val="10"/>
        <w:rPr>
          <w:color w:val="auto"/>
        </w:rPr>
      </w:pPr>
    </w:p>
    <w:p w14:paraId="25EAFD51">
      <w:pPr>
        <w:rPr>
          <w:rStyle w:val="40"/>
          <w:rFonts w:ascii="宋体" w:hAnsi="宋体" w:cs="宋体"/>
          <w:b/>
          <w:bCs/>
          <w:color w:val="auto"/>
          <w:highlight w:val="none"/>
        </w:rPr>
      </w:pPr>
    </w:p>
    <w:p w14:paraId="207B42FF">
      <w:pPr>
        <w:rPr>
          <w:rStyle w:val="40"/>
          <w:rFonts w:ascii="宋体" w:hAnsi="宋体" w:cs="宋体"/>
          <w:b/>
          <w:bCs/>
          <w:color w:val="auto"/>
          <w:highlight w:val="none"/>
        </w:rPr>
      </w:pPr>
    </w:p>
    <w:p w14:paraId="6092E702">
      <w:pPr>
        <w:rPr>
          <w:rStyle w:val="40"/>
          <w:rFonts w:ascii="宋体" w:hAnsi="宋体" w:cs="宋体"/>
          <w:b/>
          <w:bCs/>
          <w:color w:val="auto"/>
          <w:highlight w:val="none"/>
        </w:rPr>
      </w:pPr>
    </w:p>
    <w:p w14:paraId="03022699">
      <w:pPr>
        <w:pStyle w:val="22"/>
        <w:numPr>
          <w:ilvl w:val="0"/>
          <w:numId w:val="3"/>
        </w:numPr>
        <w:jc w:val="center"/>
        <w:outlineLvl w:val="0"/>
        <w:rPr>
          <w:rStyle w:val="40"/>
          <w:rFonts w:ascii="宋体" w:hAnsi="宋体" w:cs="宋体"/>
          <w:b/>
          <w:bCs/>
          <w:color w:val="auto"/>
          <w:highlight w:val="none"/>
        </w:rPr>
      </w:pPr>
      <w:r>
        <w:rPr>
          <w:rStyle w:val="40"/>
          <w:rFonts w:ascii="宋体" w:hAnsi="宋体" w:cs="宋体"/>
          <w:b/>
          <w:bCs/>
          <w:color w:val="auto"/>
          <w:highlight w:val="none"/>
        </w:rPr>
        <w:t xml:space="preserve">  项目采购服务需求</w:t>
      </w:r>
    </w:p>
    <w:p w14:paraId="4E462838">
      <w:pPr>
        <w:numPr>
          <w:ilvl w:val="0"/>
          <w:numId w:val="0"/>
        </w:numPr>
        <w:rPr>
          <w:rFonts w:hint="default" w:eastAsia="宋体"/>
          <w:b/>
          <w:bCs/>
          <w:sz w:val="36"/>
          <w:szCs w:val="36"/>
          <w:lang w:val="en-US" w:eastAsia="zh-CN"/>
        </w:rPr>
      </w:pPr>
      <w:r>
        <w:rPr>
          <w:rFonts w:hint="eastAsia"/>
          <w:b/>
          <w:bCs/>
          <w:sz w:val="36"/>
          <w:szCs w:val="36"/>
          <w:lang w:val="en-US" w:eastAsia="zh-CN"/>
        </w:rPr>
        <w:t>标项一：采购需求</w:t>
      </w:r>
    </w:p>
    <w:p w14:paraId="4E7EDE13">
      <w:pPr>
        <w:rPr>
          <w:color w:val="auto"/>
          <w:highlight w:val="none"/>
        </w:rPr>
      </w:pPr>
    </w:p>
    <w:tbl>
      <w:tblPr>
        <w:tblStyle w:val="125"/>
        <w:tblW w:w="9606" w:type="dxa"/>
        <w:tblInd w:w="2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6"/>
        <w:gridCol w:w="621"/>
        <w:gridCol w:w="7704"/>
        <w:gridCol w:w="825"/>
      </w:tblGrid>
      <w:tr w14:paraId="5D3D2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456" w:type="dxa"/>
            <w:vAlign w:val="top"/>
          </w:tcPr>
          <w:p w14:paraId="1B5313D1">
            <w:pPr>
              <w:pStyle w:val="124"/>
              <w:spacing w:before="39" w:line="221" w:lineRule="auto"/>
              <w:ind w:left="174"/>
            </w:pPr>
            <w:r>
              <w:rPr>
                <w:spacing w:val="5"/>
              </w:rPr>
              <w:t>序号</w:t>
            </w:r>
          </w:p>
        </w:tc>
        <w:tc>
          <w:tcPr>
            <w:tcW w:w="621" w:type="dxa"/>
            <w:vAlign w:val="top"/>
          </w:tcPr>
          <w:p w14:paraId="0F687FBE">
            <w:pPr>
              <w:pStyle w:val="124"/>
              <w:spacing w:before="39" w:line="221" w:lineRule="auto"/>
              <w:ind w:left="132"/>
            </w:pPr>
            <w:r>
              <w:rPr>
                <w:rFonts w:hint="eastAsia"/>
                <w:spacing w:val="7"/>
                <w:lang w:eastAsia="zh-CN"/>
              </w:rPr>
              <w:t>标项</w:t>
            </w:r>
            <w:r>
              <w:rPr>
                <w:spacing w:val="7"/>
              </w:rPr>
              <w:t>名称</w:t>
            </w:r>
          </w:p>
        </w:tc>
        <w:tc>
          <w:tcPr>
            <w:tcW w:w="7704" w:type="dxa"/>
            <w:vAlign w:val="top"/>
          </w:tcPr>
          <w:p w14:paraId="77167AA4">
            <w:pPr>
              <w:pStyle w:val="124"/>
              <w:spacing w:before="39" w:line="221" w:lineRule="auto"/>
              <w:ind w:left="3191"/>
            </w:pPr>
            <w:r>
              <w:rPr>
                <w:spacing w:val="8"/>
              </w:rPr>
              <w:t>服务内容及要求</w:t>
            </w:r>
          </w:p>
        </w:tc>
        <w:tc>
          <w:tcPr>
            <w:tcW w:w="825" w:type="dxa"/>
            <w:vAlign w:val="top"/>
          </w:tcPr>
          <w:p w14:paraId="4BF580CE">
            <w:pPr>
              <w:pStyle w:val="124"/>
              <w:spacing w:before="39" w:line="221" w:lineRule="auto"/>
              <w:ind w:left="3191"/>
              <w:jc w:val="center"/>
              <w:rPr>
                <w:spacing w:val="8"/>
              </w:rPr>
            </w:pPr>
          </w:p>
          <w:p w14:paraId="3454B8C4">
            <w:pPr>
              <w:bidi w:val="0"/>
              <w:jc w:val="center"/>
              <w:rPr>
                <w:rFonts w:hint="eastAsia" w:eastAsia="宋体"/>
                <w:lang w:eastAsia="zh-CN"/>
              </w:rPr>
            </w:pPr>
            <w:r>
              <w:rPr>
                <w:rFonts w:hint="eastAsia"/>
                <w:lang w:eastAsia="zh-CN"/>
              </w:rPr>
              <w:t>备注</w:t>
            </w:r>
          </w:p>
        </w:tc>
      </w:tr>
      <w:tr w14:paraId="7BC43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9" w:hRule="atLeast"/>
        </w:trPr>
        <w:tc>
          <w:tcPr>
            <w:tcW w:w="456" w:type="dxa"/>
            <w:vAlign w:val="top"/>
          </w:tcPr>
          <w:p w14:paraId="72B98F2D">
            <w:pPr>
              <w:spacing w:line="256" w:lineRule="auto"/>
              <w:rPr>
                <w:rFonts w:ascii="Arial"/>
                <w:sz w:val="21"/>
              </w:rPr>
            </w:pPr>
          </w:p>
          <w:p w14:paraId="57C2382C">
            <w:pPr>
              <w:spacing w:line="256" w:lineRule="auto"/>
              <w:rPr>
                <w:rFonts w:ascii="Arial"/>
                <w:sz w:val="21"/>
              </w:rPr>
            </w:pPr>
          </w:p>
          <w:p w14:paraId="448C6932">
            <w:pPr>
              <w:spacing w:line="256" w:lineRule="auto"/>
              <w:rPr>
                <w:rFonts w:ascii="Arial"/>
                <w:sz w:val="21"/>
              </w:rPr>
            </w:pPr>
          </w:p>
          <w:p w14:paraId="6206119D">
            <w:pPr>
              <w:spacing w:line="256" w:lineRule="auto"/>
              <w:rPr>
                <w:rFonts w:ascii="Arial"/>
                <w:sz w:val="21"/>
              </w:rPr>
            </w:pPr>
          </w:p>
          <w:p w14:paraId="1E050D6E">
            <w:pPr>
              <w:spacing w:line="256" w:lineRule="auto"/>
              <w:rPr>
                <w:rFonts w:ascii="Arial"/>
                <w:sz w:val="21"/>
              </w:rPr>
            </w:pPr>
          </w:p>
          <w:p w14:paraId="25E79205">
            <w:pPr>
              <w:spacing w:line="257" w:lineRule="auto"/>
              <w:rPr>
                <w:rFonts w:ascii="Arial"/>
                <w:sz w:val="21"/>
              </w:rPr>
            </w:pPr>
          </w:p>
          <w:p w14:paraId="0F73F03F">
            <w:pPr>
              <w:spacing w:line="257" w:lineRule="auto"/>
              <w:rPr>
                <w:rFonts w:ascii="Arial"/>
                <w:sz w:val="21"/>
              </w:rPr>
            </w:pPr>
          </w:p>
          <w:p w14:paraId="1160BE49">
            <w:pPr>
              <w:spacing w:line="257" w:lineRule="auto"/>
              <w:rPr>
                <w:rFonts w:ascii="Arial"/>
                <w:sz w:val="21"/>
              </w:rPr>
            </w:pPr>
          </w:p>
          <w:p w14:paraId="7917CB84">
            <w:pPr>
              <w:spacing w:line="257" w:lineRule="auto"/>
              <w:rPr>
                <w:rFonts w:ascii="Arial"/>
                <w:sz w:val="21"/>
              </w:rPr>
            </w:pPr>
          </w:p>
          <w:p w14:paraId="182A3AB2">
            <w:pPr>
              <w:spacing w:line="257" w:lineRule="auto"/>
              <w:rPr>
                <w:rFonts w:ascii="Arial"/>
                <w:sz w:val="21"/>
              </w:rPr>
            </w:pPr>
          </w:p>
          <w:p w14:paraId="7927A880">
            <w:pPr>
              <w:spacing w:line="257" w:lineRule="auto"/>
              <w:rPr>
                <w:rFonts w:ascii="Arial"/>
                <w:sz w:val="21"/>
              </w:rPr>
            </w:pPr>
          </w:p>
          <w:p w14:paraId="2B646C88">
            <w:pPr>
              <w:spacing w:line="257" w:lineRule="auto"/>
              <w:rPr>
                <w:rFonts w:ascii="Arial"/>
                <w:sz w:val="21"/>
              </w:rPr>
            </w:pPr>
          </w:p>
          <w:p w14:paraId="5CC9980E">
            <w:pPr>
              <w:pStyle w:val="124"/>
              <w:spacing w:before="65" w:line="270" w:lineRule="exact"/>
              <w:ind w:left="349"/>
              <w:jc w:val="left"/>
            </w:pPr>
            <w:r>
              <w:rPr>
                <w:position w:val="1"/>
              </w:rPr>
              <w:t>1</w:t>
            </w:r>
          </w:p>
        </w:tc>
        <w:tc>
          <w:tcPr>
            <w:tcW w:w="621" w:type="dxa"/>
            <w:vAlign w:val="top"/>
          </w:tcPr>
          <w:p w14:paraId="7CD62B7F">
            <w:pPr>
              <w:spacing w:line="252" w:lineRule="auto"/>
              <w:rPr>
                <w:rFonts w:ascii="Arial"/>
                <w:sz w:val="21"/>
              </w:rPr>
            </w:pPr>
          </w:p>
          <w:p w14:paraId="150FE545">
            <w:pPr>
              <w:spacing w:line="252" w:lineRule="auto"/>
              <w:rPr>
                <w:rFonts w:ascii="Arial"/>
                <w:sz w:val="21"/>
              </w:rPr>
            </w:pPr>
          </w:p>
          <w:p w14:paraId="51CE6A07">
            <w:pPr>
              <w:spacing w:line="252" w:lineRule="auto"/>
              <w:rPr>
                <w:rFonts w:ascii="Arial"/>
                <w:sz w:val="21"/>
              </w:rPr>
            </w:pPr>
          </w:p>
          <w:p w14:paraId="0831B411">
            <w:pPr>
              <w:spacing w:line="252" w:lineRule="auto"/>
              <w:rPr>
                <w:rFonts w:ascii="Arial"/>
                <w:sz w:val="21"/>
              </w:rPr>
            </w:pPr>
          </w:p>
          <w:p w14:paraId="67787EF3">
            <w:pPr>
              <w:spacing w:line="252" w:lineRule="auto"/>
              <w:rPr>
                <w:rFonts w:ascii="Arial"/>
                <w:sz w:val="21"/>
              </w:rPr>
            </w:pPr>
          </w:p>
          <w:p w14:paraId="78609F0F">
            <w:pPr>
              <w:spacing w:line="252" w:lineRule="auto"/>
              <w:rPr>
                <w:rFonts w:ascii="Arial"/>
                <w:sz w:val="21"/>
              </w:rPr>
            </w:pPr>
          </w:p>
          <w:p w14:paraId="57F6F2E6">
            <w:pPr>
              <w:spacing w:line="252" w:lineRule="auto"/>
              <w:rPr>
                <w:rFonts w:ascii="Arial"/>
                <w:sz w:val="21"/>
              </w:rPr>
            </w:pPr>
          </w:p>
          <w:p w14:paraId="748D5DA2">
            <w:pPr>
              <w:spacing w:line="252" w:lineRule="auto"/>
              <w:jc w:val="center"/>
              <w:rPr>
                <w:rFonts w:ascii="Arial"/>
                <w:sz w:val="21"/>
              </w:rPr>
            </w:pPr>
          </w:p>
          <w:p w14:paraId="7B03DB94">
            <w:pPr>
              <w:spacing w:line="252" w:lineRule="auto"/>
              <w:rPr>
                <w:rFonts w:hint="eastAsia" w:ascii="Arial" w:eastAsia="宋体"/>
                <w:sz w:val="21"/>
                <w:lang w:val="en-US" w:eastAsia="zh-CN"/>
              </w:rPr>
            </w:pPr>
          </w:p>
          <w:p w14:paraId="7307A675">
            <w:pPr>
              <w:pStyle w:val="124"/>
              <w:spacing w:before="25" w:line="229" w:lineRule="auto"/>
              <w:ind w:left="346"/>
              <w:jc w:val="both"/>
              <w:rPr>
                <w:rFonts w:hint="eastAsia" w:eastAsia="宋体"/>
                <w:lang w:eastAsia="zh-CN"/>
              </w:rPr>
            </w:pPr>
            <w:r>
              <w:rPr>
                <w:rFonts w:hint="eastAsia" w:eastAsia="宋体"/>
                <w:lang w:eastAsia="zh-CN"/>
              </w:rPr>
              <w:t>港南区2026年生产障碍耕地治理项目-</w:t>
            </w:r>
          </w:p>
          <w:p w14:paraId="2324981D">
            <w:pPr>
              <w:pStyle w:val="124"/>
              <w:spacing w:before="25" w:line="229" w:lineRule="auto"/>
              <w:ind w:left="346"/>
              <w:jc w:val="both"/>
              <w:rPr>
                <w:rFonts w:hint="default" w:eastAsia="宋体"/>
                <w:lang w:val="en-US" w:eastAsia="zh-CN"/>
              </w:rPr>
            </w:pPr>
            <w:r>
              <w:rPr>
                <w:rFonts w:hint="eastAsia"/>
                <w:lang w:val="en-US" w:eastAsia="zh-CN"/>
              </w:rPr>
              <w:t>1分标</w:t>
            </w:r>
          </w:p>
        </w:tc>
        <w:tc>
          <w:tcPr>
            <w:tcW w:w="7704" w:type="dxa"/>
            <w:vAlign w:val="top"/>
          </w:tcPr>
          <w:p w14:paraId="6EB43A79">
            <w:pPr>
              <w:pStyle w:val="124"/>
              <w:spacing w:before="161" w:line="360" w:lineRule="auto"/>
              <w:ind w:left="112" w:right="279" w:firstLine="421"/>
              <w:rPr>
                <w:rFonts w:hint="eastAsia"/>
                <w:spacing w:val="10"/>
              </w:rPr>
            </w:pPr>
            <w:r>
              <w:rPr>
                <w:rFonts w:hint="eastAsia"/>
                <w:spacing w:val="10"/>
                <w:lang w:eastAsia="zh-CN"/>
              </w:rPr>
              <w:t>根据</w:t>
            </w:r>
            <w:r>
              <w:rPr>
                <w:rFonts w:hint="eastAsia"/>
                <w:spacing w:val="10"/>
              </w:rPr>
              <w:t>《</w:t>
            </w:r>
            <w:r>
              <w:rPr>
                <w:rFonts w:hint="eastAsia"/>
                <w:spacing w:val="10"/>
                <w:lang w:val="en-US" w:eastAsia="zh-CN"/>
              </w:rPr>
              <w:t>耕地土壤污染治理规范</w:t>
            </w:r>
            <w:r>
              <w:rPr>
                <w:rFonts w:hint="eastAsia"/>
                <w:spacing w:val="10"/>
              </w:rPr>
              <w:t>》（NY/T</w:t>
            </w:r>
            <w:r>
              <w:rPr>
                <w:rFonts w:hint="eastAsia"/>
                <w:spacing w:val="10"/>
                <w:lang w:val="en-US" w:eastAsia="zh-CN"/>
              </w:rPr>
              <w:t xml:space="preserve"> 4600</w:t>
            </w:r>
            <w:r>
              <w:rPr>
                <w:rFonts w:hint="eastAsia"/>
                <w:spacing w:val="10"/>
                <w:lang w:eastAsia="zh-CN"/>
              </w:rPr>
              <w:t>—</w:t>
            </w:r>
            <w:r>
              <w:rPr>
                <w:rFonts w:hint="eastAsia"/>
                <w:spacing w:val="10"/>
                <w:lang w:val="en-US" w:eastAsia="zh-CN"/>
              </w:rPr>
              <w:t>2025</w:t>
            </w:r>
            <w:r>
              <w:rPr>
                <w:rFonts w:hint="eastAsia"/>
                <w:spacing w:val="10"/>
              </w:rPr>
              <w:t>）、《农业农村部办公厅关于印发〈轻中度污染耕地安全利用与治理修复推荐技术名录（2019年版）〉的通知》（农办科〔2019〕14号），结合广西水稻产地安全利用“GTP+”技术模式，因地制宜</w:t>
            </w:r>
            <w:r>
              <w:rPr>
                <w:rFonts w:hint="eastAsia"/>
                <w:spacing w:val="10"/>
                <w:lang w:val="en-US" w:eastAsia="zh-CN"/>
              </w:rPr>
              <w:t>选取“叶面阻隔+”或者“镉低积累品种替代+”技术措施模式来进行项目实施，全区项目实施面积1.05万亩。</w:t>
            </w:r>
            <w:r>
              <w:rPr>
                <w:rFonts w:hint="eastAsia"/>
                <w:spacing w:val="10"/>
              </w:rPr>
              <w:t>其中</w:t>
            </w:r>
            <w:r>
              <w:rPr>
                <w:rFonts w:hint="eastAsia"/>
                <w:spacing w:val="10"/>
                <w:lang w:eastAsia="zh-CN"/>
              </w:rPr>
              <w:t>，</w:t>
            </w:r>
            <w:r>
              <w:rPr>
                <w:rFonts w:hint="eastAsia"/>
                <w:spacing w:val="10"/>
                <w:lang w:val="en-US" w:eastAsia="zh-CN"/>
              </w:rPr>
              <w:t>“叶面阻隔+”技术措施模式主要包括以下实施内容：1.喷施叶面阻隔剂两次；2.土壤pH调节（</w:t>
            </w:r>
            <w:r>
              <w:rPr>
                <w:rFonts w:hint="eastAsia"/>
                <w:spacing w:val="10"/>
              </w:rPr>
              <w:t>在土壤pH值低于6.5的地块实施土壤pH调节</w:t>
            </w:r>
            <w:r>
              <w:rPr>
                <w:rFonts w:hint="eastAsia"/>
                <w:spacing w:val="10"/>
                <w:lang w:val="en-US" w:eastAsia="zh-CN"/>
              </w:rPr>
              <w:t>）或微生物修复调控；3.</w:t>
            </w:r>
            <w:r>
              <w:rPr>
                <w:rFonts w:hint="eastAsia"/>
                <w:spacing w:val="10"/>
              </w:rPr>
              <w:t>开展技术宣传指导</w:t>
            </w:r>
            <w:r>
              <w:rPr>
                <w:rFonts w:hint="eastAsia"/>
                <w:spacing w:val="10"/>
                <w:lang w:eastAsia="zh-CN"/>
              </w:rPr>
              <w:t>。</w:t>
            </w:r>
            <w:r>
              <w:rPr>
                <w:rFonts w:hint="eastAsia"/>
                <w:spacing w:val="10"/>
                <w:lang w:val="en-US" w:eastAsia="zh-CN"/>
              </w:rPr>
              <w:t>镉低积累品种替代+”技术措施模式主要包括以下实施内容：1.镉低积累水稻品种替代；2.增施锰肥；3.开展技术宣传指导。要注意做好项目农业投入品质量管控，严禁使用不合格投入品，避免造成人为污染。</w:t>
            </w:r>
            <w:r>
              <w:rPr>
                <w:rFonts w:hint="eastAsia"/>
                <w:spacing w:val="10"/>
              </w:rPr>
              <w:t>以完成项目实施区域安全利用率不低于9</w:t>
            </w:r>
            <w:r>
              <w:rPr>
                <w:rFonts w:hint="eastAsia"/>
                <w:spacing w:val="10"/>
                <w:lang w:val="en-US" w:eastAsia="zh-CN"/>
              </w:rPr>
              <w:t>3</w:t>
            </w:r>
            <w:r>
              <w:rPr>
                <w:rFonts w:hint="eastAsia"/>
                <w:spacing w:val="10"/>
              </w:rPr>
              <w:t>%为绩效目标，根据实际情况增加具体技术措施（含增加叶面阻控剂主要元素或者提高必须元素含量等要求），</w:t>
            </w:r>
            <w:r>
              <w:rPr>
                <w:rFonts w:hint="eastAsia"/>
                <w:spacing w:val="10"/>
                <w:lang w:val="en-US" w:eastAsia="zh-CN"/>
              </w:rPr>
              <w:t>承接项目的第三方须</w:t>
            </w:r>
            <w:r>
              <w:rPr>
                <w:rFonts w:hint="eastAsia"/>
                <w:spacing w:val="10"/>
              </w:rPr>
              <w:t>制定具体实施方案</w:t>
            </w:r>
            <w:r>
              <w:rPr>
                <w:rFonts w:hint="eastAsia"/>
                <w:spacing w:val="10"/>
                <w:lang w:val="en-US" w:eastAsia="zh-CN"/>
              </w:rPr>
              <w:t>且实际实施面积应比合同面积多5%来计划</w:t>
            </w:r>
            <w:r>
              <w:rPr>
                <w:rFonts w:hint="eastAsia"/>
                <w:b/>
                <w:bCs/>
                <w:color w:val="auto"/>
                <w:spacing w:val="10"/>
                <w:lang w:eastAsia="zh-CN"/>
              </w:rPr>
              <w:t>（</w:t>
            </w:r>
            <w:r>
              <w:rPr>
                <w:rFonts w:hint="eastAsia"/>
                <w:b/>
                <w:bCs/>
                <w:color w:val="auto"/>
                <w:spacing w:val="10"/>
                <w:lang w:val="en-US" w:eastAsia="zh-CN"/>
              </w:rPr>
              <w:t>在湛江镇、桥圩镇、八塘街道等安全利用类耕地及严格管控类耕地仍种植水稻区域完成“叶面阻隔+”或者“镉低积累品种替代+”技术措施落地不少于5250亩，技术指导人数不少于1325人</w:t>
            </w:r>
            <w:r>
              <w:rPr>
                <w:rFonts w:hint="eastAsia"/>
                <w:b/>
                <w:bCs/>
                <w:spacing w:val="10"/>
                <w:lang w:eastAsia="zh-CN"/>
              </w:rPr>
              <w:t>）</w:t>
            </w:r>
            <w:r>
              <w:rPr>
                <w:rFonts w:hint="eastAsia"/>
                <w:spacing w:val="10"/>
                <w:lang w:eastAsia="zh-CN"/>
              </w:rPr>
              <w:t>，</w:t>
            </w:r>
            <w:r>
              <w:rPr>
                <w:rFonts w:hint="eastAsia"/>
                <w:spacing w:val="10"/>
              </w:rPr>
              <w:t>以实现克服农产品产地环境障碍为目标，提</w:t>
            </w:r>
            <w:r>
              <w:rPr>
                <w:rFonts w:hint="eastAsia"/>
                <w:spacing w:val="10"/>
                <w:lang w:eastAsia="zh-CN"/>
              </w:rPr>
              <w:t>高</w:t>
            </w:r>
            <w:r>
              <w:rPr>
                <w:rFonts w:hint="eastAsia"/>
                <w:spacing w:val="10"/>
              </w:rPr>
              <w:t>稻谷质量（重金属）安全水平。</w:t>
            </w:r>
          </w:p>
          <w:p w14:paraId="27ABB6D5">
            <w:pPr>
              <w:pStyle w:val="124"/>
              <w:spacing w:before="161" w:line="360" w:lineRule="auto"/>
              <w:ind w:left="112" w:right="279" w:firstLine="421"/>
              <w:rPr>
                <w:rFonts w:hint="eastAsia"/>
                <w:spacing w:val="10"/>
                <w:lang w:val="en-US" w:eastAsia="zh-CN"/>
              </w:rPr>
            </w:pPr>
            <w:r>
              <w:rPr>
                <w:rFonts w:hint="eastAsia"/>
                <w:spacing w:val="10"/>
                <w:lang w:val="en-US" w:eastAsia="zh-CN"/>
              </w:rPr>
              <w:t>1、“叶面阻隔+”模式。</w:t>
            </w:r>
          </w:p>
          <w:p w14:paraId="7FCEC5A1">
            <w:pPr>
              <w:pStyle w:val="124"/>
              <w:spacing w:before="161" w:line="360" w:lineRule="auto"/>
              <w:ind w:left="112" w:right="279" w:firstLine="421"/>
              <w:rPr>
                <w:rFonts w:hint="eastAsia"/>
                <w:spacing w:val="10"/>
              </w:rPr>
            </w:pPr>
            <w:r>
              <w:rPr>
                <w:rFonts w:hint="eastAsia"/>
                <w:spacing w:val="10"/>
                <w:lang w:val="en-US" w:eastAsia="zh-CN"/>
              </w:rPr>
              <w:t>（1）</w:t>
            </w:r>
            <w:r>
              <w:rPr>
                <w:rFonts w:hint="eastAsia"/>
                <w:spacing w:val="10"/>
              </w:rPr>
              <w:t>叶面阻</w:t>
            </w:r>
            <w:r>
              <w:rPr>
                <w:rFonts w:hint="eastAsia"/>
                <w:spacing w:val="10"/>
                <w:lang w:val="en-US" w:eastAsia="zh-CN"/>
              </w:rPr>
              <w:t>隔。</w:t>
            </w:r>
            <w:r>
              <w:rPr>
                <w:rFonts w:hint="eastAsia"/>
                <w:spacing w:val="10"/>
              </w:rPr>
              <w:t>喷施两次及以上叶面阻控剂（获得相应肥料登记的产品）。承接项目的第三方须根据项目实施区域当地稻谷重金属超标程度，参照国家标准文件《稻田重金属治理 第3部分：生理阻隔》（GB/T 43419.3—2023）规范要求选择适配产品[含非金属元素型（主要有硅Si、硒Se、磷P等）、金属元素型（主要有锌Zn、铁Fe、锰Mn、铜Cu、硼B、钼Mo等）、有机型（主要有脯氨酸、谷氨酸、半胱氨酸等氨基酸）等，且是获得相应肥料登记的产品]，按照各厂家产品说明书推荐的每亩用量和稀释倍数使用。建议在分蘖盛期至齐穗期前喷施，时间间隔至少7天，选择在下午4:00后喷施效果最佳，如果扬花期喷施则必须在下午进行，切忌中午喷施，喷施后如在4小时内遇雨则需重新喷施。</w:t>
            </w:r>
          </w:p>
          <w:p w14:paraId="627E5BC1">
            <w:pPr>
              <w:pStyle w:val="124"/>
              <w:spacing w:before="161" w:line="360" w:lineRule="auto"/>
              <w:ind w:left="112" w:right="279" w:firstLine="421"/>
              <w:rPr>
                <w:rFonts w:hint="eastAsia"/>
                <w:spacing w:val="10"/>
              </w:rPr>
            </w:pPr>
            <w:r>
              <w:rPr>
                <w:rFonts w:hint="eastAsia"/>
                <w:spacing w:val="10"/>
                <w:lang w:val="en-US" w:eastAsia="zh-CN"/>
              </w:rPr>
              <w:t>（2）土壤pH调节。</w:t>
            </w:r>
            <w:r>
              <w:rPr>
                <w:rFonts w:hint="eastAsia"/>
                <w:spacing w:val="10"/>
              </w:rPr>
              <w:t>按照“一区一策、同区同策”的农用地安全利用“GTP+”技术措施落实原则，在不改变原有田块布局的基础上，承接项目的第三方须开展种植区域或者地块pH值检测，制定工作方案（含明确土壤pH具体调节措施、小区域或者地块清单及物料用量等数据</w:t>
            </w:r>
            <w:r>
              <w:rPr>
                <w:rFonts w:hint="eastAsia"/>
                <w:spacing w:val="10"/>
                <w:lang w:eastAsia="zh-CN"/>
              </w:rPr>
              <w:t>。</w:t>
            </w:r>
            <w:r>
              <w:rPr>
                <w:rFonts w:hint="eastAsia"/>
                <w:spacing w:val="10"/>
                <w:lang w:val="en-US" w:eastAsia="zh-CN"/>
              </w:rPr>
              <w:t>如因错过农时无法在水稻移栽前撒入，经业主同意后可调整使用颗粒型调理剂</w:t>
            </w:r>
            <w:r>
              <w:rPr>
                <w:rFonts w:hint="eastAsia"/>
                <w:spacing w:val="10"/>
              </w:rPr>
              <w:t>）。pH值低于6.5的区域实施土壤pH调节，主要建议施用获得登记的钙镁磷肥、硅钙肥</w:t>
            </w:r>
            <w:r>
              <w:rPr>
                <w:rFonts w:hint="eastAsia"/>
                <w:spacing w:val="10"/>
                <w:lang w:eastAsia="zh-CN"/>
              </w:rPr>
              <w:t>、碱性有机肥</w:t>
            </w:r>
            <w:r>
              <w:rPr>
                <w:rFonts w:hint="eastAsia"/>
                <w:spacing w:val="10"/>
              </w:rPr>
              <w:t>及其他碱性肥料调节土壤pH。</w:t>
            </w:r>
          </w:p>
          <w:p w14:paraId="71927F7F">
            <w:pPr>
              <w:pStyle w:val="124"/>
              <w:spacing w:before="161" w:line="360" w:lineRule="auto"/>
              <w:ind w:left="112" w:right="279" w:firstLine="421"/>
              <w:rPr>
                <w:rFonts w:hint="eastAsia"/>
                <w:spacing w:val="10"/>
              </w:rPr>
            </w:pPr>
            <w:r>
              <w:rPr>
                <w:rFonts w:hint="eastAsia"/>
                <w:spacing w:val="10"/>
                <w:lang w:val="en-US" w:eastAsia="zh-CN"/>
              </w:rPr>
              <w:t>注：钙镁磷肥要求满足指标:五氧化二磷(P205)&gt;12%、钙(CaO)≥20%、有效镁(Mg)&gt;4%、可溶性硅(</w:t>
            </w:r>
            <w:r>
              <w:rPr>
                <w:rFonts w:hint="eastAsia"/>
                <w:spacing w:val="10"/>
              </w:rPr>
              <w:t>SiO2</w:t>
            </w:r>
            <w:r>
              <w:rPr>
                <w:rFonts w:hint="eastAsia"/>
                <w:spacing w:val="10"/>
                <w:lang w:val="en-US" w:eastAsia="zh-CN"/>
              </w:rPr>
              <w:t>)&gt; 20%、pH在8.5-10.5；</w:t>
            </w:r>
            <w:r>
              <w:rPr>
                <w:rFonts w:hint="eastAsia"/>
                <w:spacing w:val="10"/>
              </w:rPr>
              <w:t>硅钙类土壤调理剂符合行业标准NY/T 3830-2021要求，指标需满足：氧化硅（SiO2）≥25%、氧化钙Ca0≥30%、钙Ca+镁Mg≥20%。</w:t>
            </w:r>
          </w:p>
          <w:p w14:paraId="40E9B238">
            <w:pPr>
              <w:pStyle w:val="124"/>
              <w:numPr>
                <w:ilvl w:val="0"/>
                <w:numId w:val="4"/>
              </w:numPr>
              <w:spacing w:before="161" w:line="360" w:lineRule="auto"/>
              <w:ind w:left="112" w:right="279" w:firstLine="421"/>
              <w:rPr>
                <w:rFonts w:hint="eastAsia"/>
                <w:spacing w:val="10"/>
              </w:rPr>
            </w:pPr>
            <w:r>
              <w:rPr>
                <w:rFonts w:hint="eastAsia"/>
                <w:spacing w:val="10"/>
                <w:lang w:val="en-US" w:eastAsia="zh-CN"/>
              </w:rPr>
              <w:t>微生物修复调控。选用稻田重金属耐性专用功能有益微生物，通过根系吸附、离子沉淀、胞外络合、根际微环境调节等作用，原位钝化土壤镉等重金属，降低重金属生物有效性与迁移活性，抑制水稻重金属根系吸收及籽粒富集。微生物修复材料包括微生物菌剂﹑微生物接种剂﹑复合微生物肥料和生物有机肥、农用微生物菌剂（执行GB 20287—2006）和微生物浓缩制剂（执行NY/T 3083—2017）等。</w:t>
            </w:r>
          </w:p>
          <w:p w14:paraId="692FC996">
            <w:pPr>
              <w:pStyle w:val="124"/>
              <w:numPr>
                <w:ilvl w:val="0"/>
                <w:numId w:val="0"/>
              </w:numPr>
              <w:spacing w:before="161" w:line="360" w:lineRule="auto"/>
              <w:ind w:right="279" w:rightChars="0"/>
              <w:rPr>
                <w:rFonts w:hint="eastAsia"/>
                <w:spacing w:val="10"/>
              </w:rPr>
            </w:pPr>
            <w:r>
              <w:rPr>
                <w:rFonts w:hint="eastAsia"/>
                <w:spacing w:val="10"/>
              </w:rPr>
              <w:t>注：</w:t>
            </w:r>
            <w:r>
              <w:rPr>
                <w:rFonts w:hint="eastAsia"/>
                <w:spacing w:val="10"/>
                <w:lang w:val="en-US" w:eastAsia="zh-CN"/>
              </w:rPr>
              <w:t>以上投入品</w:t>
            </w:r>
            <w:r>
              <w:rPr>
                <w:rFonts w:hint="eastAsia"/>
                <w:spacing w:val="10"/>
              </w:rPr>
              <w:t>实施前需经过抽检，</w:t>
            </w:r>
            <w:r>
              <w:rPr>
                <w:rFonts w:hint="eastAsia"/>
                <w:spacing w:val="10"/>
                <w:lang w:eastAsia="zh-CN"/>
              </w:rPr>
              <w:t>符合相关标准，</w:t>
            </w:r>
            <w:r>
              <w:rPr>
                <w:rFonts w:hint="eastAsia"/>
                <w:spacing w:val="10"/>
              </w:rPr>
              <w:t>重金属含量不能超过GB15618-2018 规定筛选值</w:t>
            </w:r>
            <w:r>
              <w:rPr>
                <w:rFonts w:hint="eastAsia"/>
                <w:spacing w:val="10"/>
                <w:lang w:eastAsia="zh-CN"/>
              </w:rPr>
              <w:t>的合格品</w:t>
            </w:r>
            <w:r>
              <w:rPr>
                <w:rFonts w:hint="eastAsia"/>
                <w:spacing w:val="10"/>
              </w:rPr>
              <w:t>，拟采购的用量需满足每亩施用量，才能采购实施</w:t>
            </w:r>
            <w:r>
              <w:rPr>
                <w:rFonts w:hint="eastAsia"/>
                <w:spacing w:val="10"/>
                <w:lang w:eastAsia="zh-CN"/>
              </w:rPr>
              <w:t>。</w:t>
            </w:r>
          </w:p>
          <w:p w14:paraId="4E4248DB">
            <w:pPr>
              <w:pStyle w:val="124"/>
              <w:spacing w:before="161" w:line="360" w:lineRule="auto"/>
              <w:ind w:left="112" w:right="279" w:firstLine="421"/>
              <w:rPr>
                <w:rFonts w:hint="eastAsia"/>
                <w:spacing w:val="10"/>
                <w:lang w:val="en-US" w:eastAsia="zh-CN"/>
              </w:rPr>
            </w:pPr>
            <w:r>
              <w:rPr>
                <w:rFonts w:hint="eastAsia"/>
                <w:spacing w:val="10"/>
                <w:lang w:val="en-US" w:eastAsia="zh-CN"/>
              </w:rPr>
              <w:t>2.“镉低积累水稻品种替代+”模式。</w:t>
            </w:r>
          </w:p>
          <w:p w14:paraId="2B6E7CE3">
            <w:pPr>
              <w:pStyle w:val="124"/>
              <w:spacing w:before="161" w:line="360" w:lineRule="auto"/>
              <w:ind w:left="112" w:right="279" w:firstLine="421"/>
              <w:rPr>
                <w:rFonts w:hint="eastAsia"/>
                <w:spacing w:val="10"/>
                <w:lang w:val="en-US" w:eastAsia="zh-CN"/>
              </w:rPr>
            </w:pPr>
            <w:r>
              <w:rPr>
                <w:rFonts w:hint="eastAsia"/>
                <w:spacing w:val="10"/>
                <w:lang w:val="en-US" w:eastAsia="zh-CN"/>
              </w:rPr>
              <w:t>（1）品种选择。</w:t>
            </w:r>
            <w:r>
              <w:rPr>
                <w:rFonts w:hint="default"/>
                <w:spacing w:val="10"/>
                <w:lang w:val="en-US" w:eastAsia="zh-CN"/>
              </w:rPr>
              <w:t>根据《自治区农业农村厅办公室关于印发2026年广西镉低积累水稻品种推广工作方案通知》（</w:t>
            </w:r>
            <w:r>
              <w:rPr>
                <w:rFonts w:hint="default"/>
                <w:spacing w:val="10"/>
              </w:rPr>
              <w:t>桂农厅办发〔202</w:t>
            </w:r>
            <w:r>
              <w:rPr>
                <w:rFonts w:hint="default"/>
                <w:spacing w:val="10"/>
                <w:lang w:val="en-US" w:eastAsia="zh-CN"/>
              </w:rPr>
              <w:t>6</w:t>
            </w:r>
            <w:r>
              <w:rPr>
                <w:rFonts w:hint="default"/>
                <w:spacing w:val="10"/>
              </w:rPr>
              <w:t>〕</w:t>
            </w:r>
            <w:r>
              <w:rPr>
                <w:rFonts w:hint="default"/>
                <w:spacing w:val="10"/>
                <w:lang w:val="en-US" w:eastAsia="zh-CN"/>
              </w:rPr>
              <w:t>33</w:t>
            </w:r>
            <w:r>
              <w:rPr>
                <w:rFonts w:hint="default"/>
                <w:spacing w:val="10"/>
              </w:rPr>
              <w:t>号</w:t>
            </w:r>
            <w:r>
              <w:rPr>
                <w:rFonts w:hint="default"/>
                <w:spacing w:val="10"/>
                <w:lang w:val="en-US" w:eastAsia="zh-CN"/>
              </w:rPr>
              <w:t>）</w:t>
            </w:r>
            <w:r>
              <w:rPr>
                <w:rFonts w:hint="eastAsia"/>
                <w:spacing w:val="10"/>
                <w:lang w:val="en-US" w:eastAsia="zh-CN"/>
              </w:rPr>
              <w:t>推荐，在尊重农民意愿的基础上，在项目实施区域改种目前已通过审定且适宜桂南稻作区种植的镉低积累水稻品种（洁两优Q3、洁两优玉占、安两优2号），从源头上降低稻谷镉含量超标风险，保障水稻重金属质量安全。</w:t>
            </w:r>
          </w:p>
          <w:p w14:paraId="0CD3EE7C">
            <w:pPr>
              <w:pStyle w:val="124"/>
              <w:spacing w:before="161" w:line="360" w:lineRule="auto"/>
              <w:ind w:left="112" w:right="279" w:firstLine="421"/>
              <w:rPr>
                <w:rFonts w:hint="eastAsia"/>
                <w:spacing w:val="10"/>
                <w:lang w:val="en-US" w:eastAsia="zh-CN"/>
              </w:rPr>
            </w:pPr>
            <w:r>
              <w:rPr>
                <w:rFonts w:hint="eastAsia"/>
                <w:spacing w:val="10"/>
                <w:lang w:val="en-US" w:eastAsia="zh-CN"/>
              </w:rPr>
              <w:t>（2）增施锰肥。对于镉低积累水稻品种替代种植区域，原则上科学补充锰素营养，承接项目的第三方须依据项目区域土壤重金属含量情况及田间养分状况，因地制宜选配适宜锰肥产品。可选用氨基酸锰、复合螯合锰肥、含锰叶面阻隔剂等（投入品需符合NY 1428-2010《微量元素水溶肥料》标准），按照各厂家产品说明书推荐的每亩用量和稀释倍数使用，每亩每次折合纯锰10～30g，喷施浓度以纯锰计不宜超过0.5%，避免叶片灼伤。建议在分蘖盛期、孕穗期各喷施1次，严禁与碱性农药或碱性肥料混用，避免与磷肥同期叶面施用。</w:t>
            </w:r>
          </w:p>
          <w:p w14:paraId="4E30C401">
            <w:pPr>
              <w:pStyle w:val="124"/>
              <w:spacing w:before="161" w:line="360" w:lineRule="auto"/>
              <w:ind w:left="112" w:right="279" w:firstLine="421"/>
              <w:rPr>
                <w:rFonts w:hint="eastAsia"/>
                <w:spacing w:val="10"/>
                <w:lang w:eastAsia="zh-CN"/>
              </w:rPr>
            </w:pPr>
            <w:r>
              <w:rPr>
                <w:rFonts w:hint="eastAsia"/>
                <w:spacing w:val="10"/>
                <w:lang w:val="en-US" w:eastAsia="zh-CN"/>
              </w:rPr>
              <w:t>3</w:t>
            </w:r>
            <w:r>
              <w:rPr>
                <w:rFonts w:hint="eastAsia"/>
                <w:spacing w:val="10"/>
              </w:rPr>
              <w:t>.技术宣传指导</w:t>
            </w:r>
            <w:r>
              <w:rPr>
                <w:rFonts w:hint="eastAsia"/>
                <w:spacing w:val="10"/>
                <w:lang w:eastAsia="zh-CN"/>
              </w:rPr>
              <w:t>。</w:t>
            </w:r>
          </w:p>
          <w:p w14:paraId="3E274857">
            <w:pPr>
              <w:pStyle w:val="124"/>
              <w:spacing w:before="161" w:line="360" w:lineRule="auto"/>
              <w:ind w:left="112" w:right="279" w:firstLine="421"/>
              <w:rPr>
                <w:rFonts w:hint="eastAsia"/>
                <w:spacing w:val="10"/>
                <w:lang w:eastAsia="zh-CN"/>
              </w:rPr>
            </w:pPr>
            <w:r>
              <w:rPr>
                <w:rFonts w:hint="eastAsia"/>
                <w:spacing w:val="10"/>
                <w:lang w:val="en-US" w:eastAsia="zh-CN"/>
              </w:rPr>
              <w:t>上述两种技术措施模式实施过程均需依托农用地安全利用村级服务站、农民田间学校等场所加强</w:t>
            </w:r>
            <w:r>
              <w:rPr>
                <w:rFonts w:hint="eastAsia"/>
                <w:spacing w:val="10"/>
                <w:lang w:eastAsia="zh-CN"/>
              </w:rPr>
              <w:t>对</w:t>
            </w:r>
            <w:r>
              <w:rPr>
                <w:rFonts w:hint="eastAsia"/>
                <w:spacing w:val="10"/>
              </w:rPr>
              <w:t>项目实施区域内</w:t>
            </w:r>
            <w:r>
              <w:rPr>
                <w:rFonts w:hint="eastAsia"/>
                <w:spacing w:val="10"/>
                <w:lang w:val="en-US" w:eastAsia="zh-CN"/>
              </w:rPr>
              <w:t>及周边安全利用类、严格管控类耕地区域涉及的</w:t>
            </w:r>
            <w:r>
              <w:rPr>
                <w:rFonts w:hint="eastAsia"/>
                <w:spacing w:val="10"/>
              </w:rPr>
              <w:t>农户进行技术宣传指导，有针对性的为农业生产从业者提供农用地安全利用技术落地需要的</w:t>
            </w:r>
            <w:r>
              <w:rPr>
                <w:rFonts w:hint="eastAsia"/>
                <w:spacing w:val="10"/>
                <w:lang w:val="en-US" w:eastAsia="zh-CN"/>
              </w:rPr>
              <w:t>指导、</w:t>
            </w:r>
            <w:r>
              <w:rPr>
                <w:rFonts w:hint="eastAsia"/>
                <w:spacing w:val="10"/>
              </w:rPr>
              <w:t>宣传及物资等服务</w:t>
            </w:r>
            <w:r>
              <w:rPr>
                <w:rFonts w:hint="eastAsia"/>
                <w:spacing w:val="10"/>
                <w:lang w:eastAsia="zh-CN"/>
              </w:rPr>
              <w:t>。项目实施区域内涉及的水稻生产经营主体基本要接受技术指导，项目区域外的优先对科技示范户、种植大户、家庭农场等人员进行指导，重点指导水稻种植户推广低积累品种替代、土壤调理、水分管理、叶面阻隔等农用地安全利用技术，使农业生产者掌握技术并能自行实施，技术指导人数不少于2750人，对接受指导的农户要进行登记造册。同时，根据项目实施进度合理安排在水稻生产各个环节采取相应技术措施的时间，相应时间节点需在现场设置专人讲解采取措施的作用和意义，保证有一定数量的农民群众到现场学习实操。</w:t>
            </w:r>
          </w:p>
          <w:p w14:paraId="4B85068D">
            <w:pPr>
              <w:pStyle w:val="124"/>
              <w:spacing w:before="161" w:line="360" w:lineRule="auto"/>
              <w:ind w:left="112" w:right="279" w:firstLine="421"/>
              <w:rPr>
                <w:rFonts w:hint="eastAsia"/>
                <w:spacing w:val="10"/>
              </w:rPr>
            </w:pPr>
            <w:r>
              <w:rPr>
                <w:rFonts w:hint="eastAsia"/>
                <w:spacing w:val="10"/>
                <w:lang w:eastAsia="zh-CN"/>
              </w:rPr>
              <w:t>（</w:t>
            </w:r>
            <w:r>
              <w:rPr>
                <w:rFonts w:hint="eastAsia"/>
                <w:spacing w:val="10"/>
                <w:lang w:val="en-US" w:eastAsia="zh-CN"/>
              </w:rPr>
              <w:t>四</w:t>
            </w:r>
            <w:r>
              <w:rPr>
                <w:rFonts w:hint="eastAsia"/>
                <w:spacing w:val="10"/>
                <w:lang w:eastAsia="zh-CN"/>
              </w:rPr>
              <w:t>）</w:t>
            </w:r>
            <w:r>
              <w:rPr>
                <w:rFonts w:hint="eastAsia"/>
                <w:spacing w:val="10"/>
              </w:rPr>
              <w:t>实施要求</w:t>
            </w:r>
          </w:p>
          <w:p w14:paraId="7DC44352">
            <w:pPr>
              <w:pStyle w:val="124"/>
              <w:spacing w:before="161" w:line="360" w:lineRule="auto"/>
              <w:ind w:left="112" w:right="279" w:firstLine="421"/>
              <w:rPr>
                <w:spacing w:val="10"/>
              </w:rPr>
            </w:pPr>
            <w:r>
              <w:rPr>
                <w:rFonts w:hint="eastAsia"/>
                <w:spacing w:val="10"/>
              </w:rPr>
              <w:t>承接项目的第三方根据项目区具体的土壤和农产品重金属超标</w:t>
            </w:r>
            <w:r>
              <w:rPr>
                <w:rFonts w:hint="eastAsia"/>
                <w:spacing w:val="10"/>
                <w:lang w:val="en-US" w:eastAsia="zh-CN"/>
              </w:rPr>
              <w:t>情况</w:t>
            </w:r>
            <w:r>
              <w:rPr>
                <w:rFonts w:hint="eastAsia"/>
                <w:spacing w:val="10"/>
              </w:rPr>
              <w:t>，</w:t>
            </w:r>
            <w:r>
              <w:rPr>
                <w:rFonts w:hint="eastAsia"/>
                <w:spacing w:val="10"/>
                <w:lang w:val="en-US" w:eastAsia="zh-CN"/>
              </w:rPr>
              <w:t>制定详细</w:t>
            </w:r>
            <w:r>
              <w:rPr>
                <w:rFonts w:hint="eastAsia"/>
                <w:spacing w:val="10"/>
              </w:rPr>
              <w:t>实施方案</w:t>
            </w:r>
            <w:r>
              <w:rPr>
                <w:rFonts w:hint="eastAsia"/>
                <w:spacing w:val="10"/>
                <w:lang w:eastAsia="zh-CN"/>
              </w:rPr>
              <w:t>（</w:t>
            </w:r>
            <w:r>
              <w:rPr>
                <w:rFonts w:hint="eastAsia"/>
                <w:spacing w:val="10"/>
                <w:lang w:val="en-US" w:eastAsia="zh-CN"/>
              </w:rPr>
              <w:t>如果采取“叶面阻隔+土壤调理剂”治理，则需按150亩1个点</w:t>
            </w:r>
            <w:r>
              <w:rPr>
                <w:rFonts w:hint="eastAsia"/>
                <w:spacing w:val="10"/>
              </w:rPr>
              <w:t>对</w:t>
            </w:r>
            <w:r>
              <w:rPr>
                <w:rFonts w:hint="eastAsia"/>
                <w:spacing w:val="10"/>
                <w:lang w:val="en-US" w:eastAsia="zh-CN"/>
              </w:rPr>
              <w:t>实施区域</w:t>
            </w:r>
            <w:r>
              <w:rPr>
                <w:rFonts w:hint="eastAsia"/>
                <w:spacing w:val="10"/>
              </w:rPr>
              <w:t>进行前期</w:t>
            </w:r>
            <w:r>
              <w:rPr>
                <w:rFonts w:hint="eastAsia"/>
                <w:spacing w:val="10"/>
                <w:lang w:val="en-US" w:eastAsia="zh-CN"/>
              </w:rPr>
              <w:t>土壤pH值检测</w:t>
            </w:r>
            <w:r>
              <w:rPr>
                <w:rFonts w:hint="eastAsia"/>
                <w:spacing w:val="10"/>
                <w:lang w:eastAsia="zh-CN"/>
              </w:rPr>
              <w:t>。</w:t>
            </w:r>
            <w:r>
              <w:rPr>
                <w:rFonts w:hint="eastAsia"/>
                <w:spacing w:val="10"/>
                <w:lang w:val="en-US" w:eastAsia="zh-CN"/>
              </w:rPr>
              <w:t>项目实施前需按100亩1个样对实施区域土壤进行加密采样检测）。方案</w:t>
            </w:r>
            <w:r>
              <w:rPr>
                <w:rFonts w:hint="eastAsia"/>
                <w:spacing w:val="10"/>
              </w:rPr>
              <w:t>须通过</w:t>
            </w:r>
            <w:r>
              <w:rPr>
                <w:rFonts w:hint="eastAsia"/>
                <w:spacing w:val="10"/>
                <w:lang w:val="en-US" w:eastAsia="zh-CN"/>
              </w:rPr>
              <w:t>业主</w:t>
            </w:r>
            <w:r>
              <w:rPr>
                <w:rFonts w:hint="eastAsia"/>
                <w:spacing w:val="10"/>
              </w:rPr>
              <w:t>认可后才能实施。具体实施要求如下：</w:t>
            </w:r>
          </w:p>
          <w:p w14:paraId="5EC5CFD6">
            <w:pPr>
              <w:pStyle w:val="124"/>
              <w:spacing w:before="161" w:line="360" w:lineRule="auto"/>
              <w:ind w:left="112" w:right="279" w:firstLine="421"/>
              <w:rPr>
                <w:rFonts w:hint="eastAsia"/>
                <w:spacing w:val="10"/>
              </w:rPr>
            </w:pPr>
            <w:r>
              <w:rPr>
                <w:rFonts w:hint="eastAsia"/>
                <w:spacing w:val="10"/>
                <w:lang w:val="en-US" w:eastAsia="zh-CN"/>
              </w:rPr>
              <w:t>1.</w:t>
            </w:r>
            <w:r>
              <w:rPr>
                <w:rFonts w:hint="eastAsia"/>
                <w:spacing w:val="10"/>
              </w:rPr>
              <w:t>实施面积</w:t>
            </w:r>
          </w:p>
          <w:p w14:paraId="76D88CF9">
            <w:pPr>
              <w:pStyle w:val="124"/>
              <w:spacing w:before="161" w:line="360" w:lineRule="auto"/>
              <w:ind w:left="112" w:right="279" w:firstLine="421"/>
              <w:rPr>
                <w:rFonts w:hint="eastAsia"/>
                <w:spacing w:val="10"/>
              </w:rPr>
            </w:pPr>
            <w:r>
              <w:rPr>
                <w:rFonts w:hint="eastAsia"/>
                <w:spacing w:val="10"/>
              </w:rPr>
              <w:t>在农用地土壤污染状况详查结果中稻米超标并且现在继续种植水稻的地块实施的，才能计算为实施的面积。</w:t>
            </w:r>
          </w:p>
          <w:p w14:paraId="03AFB458">
            <w:pPr>
              <w:pStyle w:val="124"/>
              <w:spacing w:before="161" w:line="360" w:lineRule="auto"/>
              <w:ind w:left="112" w:right="279" w:firstLine="421"/>
              <w:rPr>
                <w:rFonts w:hint="eastAsia"/>
                <w:spacing w:val="10"/>
              </w:rPr>
            </w:pPr>
            <w:r>
              <w:rPr>
                <w:rFonts w:hint="eastAsia"/>
                <w:spacing w:val="10"/>
                <w:lang w:val="en-US" w:eastAsia="zh-CN"/>
              </w:rPr>
              <w:t>2.</w:t>
            </w:r>
            <w:r>
              <w:rPr>
                <w:rFonts w:hint="eastAsia"/>
                <w:spacing w:val="10"/>
              </w:rPr>
              <w:t>产量保障</w:t>
            </w:r>
          </w:p>
          <w:p w14:paraId="7D1702DF">
            <w:pPr>
              <w:pStyle w:val="124"/>
              <w:spacing w:before="161" w:line="360" w:lineRule="auto"/>
              <w:ind w:left="112" w:right="279" w:firstLine="421"/>
              <w:rPr>
                <w:rFonts w:hint="eastAsia"/>
                <w:spacing w:val="10"/>
              </w:rPr>
            </w:pPr>
            <w:r>
              <w:rPr>
                <w:rFonts w:hint="eastAsia"/>
                <w:spacing w:val="10"/>
              </w:rPr>
              <w:t>耕地生产障碍修复利用技术措施实施过程中，项目区域内水稻减产量不得超过同等条件下正常种植区域同品种（技术措施空白对照点）产量的 10%。如果出现减产超过10%的现象，相关中标单位必须承担相应的减产损失；如果减产超过 20%以上，中标单位不但需要承担减产损失，同时需要承担恢复区域地力直至产量恢复正常水平的责任。</w:t>
            </w:r>
          </w:p>
          <w:p w14:paraId="67CE9AA1">
            <w:pPr>
              <w:pStyle w:val="124"/>
              <w:numPr>
                <w:ilvl w:val="0"/>
                <w:numId w:val="5"/>
              </w:numPr>
              <w:spacing w:before="161" w:line="360" w:lineRule="auto"/>
              <w:ind w:left="112" w:right="279" w:firstLine="421"/>
              <w:rPr>
                <w:rFonts w:hint="eastAsia"/>
                <w:spacing w:val="10"/>
              </w:rPr>
            </w:pPr>
            <w:r>
              <w:rPr>
                <w:rFonts w:hint="eastAsia"/>
                <w:spacing w:val="10"/>
              </w:rPr>
              <w:t>质量保障</w:t>
            </w:r>
          </w:p>
          <w:p w14:paraId="7F7716CA">
            <w:pPr>
              <w:pStyle w:val="124"/>
              <w:numPr>
                <w:ilvl w:val="0"/>
                <w:numId w:val="0"/>
              </w:numPr>
              <w:spacing w:before="161" w:line="360" w:lineRule="auto"/>
              <w:ind w:right="279" w:rightChars="0" w:firstLine="440" w:firstLineChars="200"/>
              <w:rPr>
                <w:rFonts w:hint="eastAsia"/>
                <w:spacing w:val="10"/>
              </w:rPr>
            </w:pPr>
            <w:r>
              <w:rPr>
                <w:rFonts w:hint="eastAsia"/>
                <w:spacing w:val="10"/>
              </w:rPr>
              <w:t>承接项目的第三方所施用土壤调理剂、叶面阻控剂等投入品均需提供产品质检报告和肥料登记证，并按照实施方案、合同及相关要求，接受监理单位随机抽样检测，若产品检验不合格，一律无条件更换，直至检验合格，由此造成的损失由中标的第三方单位负责。</w:t>
            </w:r>
          </w:p>
          <w:p w14:paraId="443ED62C">
            <w:pPr>
              <w:pStyle w:val="124"/>
              <w:spacing w:before="161" w:line="360" w:lineRule="auto"/>
              <w:ind w:left="112" w:right="279" w:firstLine="421"/>
              <w:rPr>
                <w:rFonts w:hint="eastAsia"/>
              </w:rPr>
            </w:pPr>
            <w:r>
              <w:rPr>
                <w:spacing w:val="10"/>
              </w:rPr>
              <w:t>三、其他要求：中标单位在签订合同前必须与采购</w:t>
            </w:r>
            <w:r>
              <w:rPr>
                <w:spacing w:val="9"/>
              </w:rPr>
              <w:t>人签订关于本项目的保密协议书，项目所得成果须全部移交业主，不能私自应用；具体实施以</w:t>
            </w:r>
            <w:r>
              <w:rPr>
                <w:rFonts w:hint="eastAsia"/>
                <w:spacing w:val="9"/>
                <w:lang w:val="en"/>
              </w:rPr>
              <w:t>港南区202</w:t>
            </w:r>
            <w:r>
              <w:rPr>
                <w:rFonts w:hint="eastAsia"/>
                <w:spacing w:val="9"/>
                <w:lang w:val="en-US" w:eastAsia="zh-CN"/>
              </w:rPr>
              <w:t>6</w:t>
            </w:r>
            <w:r>
              <w:rPr>
                <w:rFonts w:hint="eastAsia"/>
                <w:spacing w:val="9"/>
                <w:lang w:val="en"/>
              </w:rPr>
              <w:t>年生产障碍耕地治理项目农用地安全利用</w:t>
            </w:r>
            <w:r>
              <w:rPr>
                <w:rFonts w:hint="eastAsia"/>
                <w:spacing w:val="9"/>
              </w:rPr>
              <w:t>及技术宣传指导实施方案</w:t>
            </w:r>
            <w:r>
              <w:rPr>
                <w:spacing w:val="5"/>
              </w:rPr>
              <w:t>为准。</w:t>
            </w:r>
          </w:p>
        </w:tc>
        <w:tc>
          <w:tcPr>
            <w:tcW w:w="825" w:type="dxa"/>
            <w:vAlign w:val="top"/>
          </w:tcPr>
          <w:p w14:paraId="1BBE473E">
            <w:pPr>
              <w:pStyle w:val="124"/>
              <w:spacing w:before="161" w:line="302" w:lineRule="auto"/>
              <w:ind w:left="112" w:right="279" w:firstLine="421"/>
              <w:rPr>
                <w:rFonts w:hint="eastAsia" w:ascii="宋体" w:hAnsi="宋体" w:cs="宋体"/>
                <w:color w:val="000000"/>
                <w:kern w:val="0"/>
                <w:szCs w:val="21"/>
                <w:lang w:bidi="ar"/>
              </w:rPr>
            </w:pPr>
          </w:p>
          <w:p w14:paraId="7DE6F51A">
            <w:pPr>
              <w:pStyle w:val="124"/>
              <w:spacing w:before="161" w:line="302" w:lineRule="auto"/>
              <w:ind w:right="279"/>
              <w:jc w:val="center"/>
              <w:rPr>
                <w:rFonts w:hint="eastAsia"/>
              </w:rPr>
            </w:pPr>
            <w:r>
              <w:rPr>
                <w:rFonts w:hint="eastAsia" w:ascii="宋体" w:hAnsi="宋体" w:eastAsia="宋体" w:cs="宋体"/>
                <w:i w:val="0"/>
                <w:iCs w:val="0"/>
                <w:color w:val="000000"/>
                <w:kern w:val="0"/>
                <w:sz w:val="21"/>
                <w:szCs w:val="21"/>
                <w:u w:val="none"/>
                <w:lang w:val="en-US" w:eastAsia="zh-CN" w:bidi="ar"/>
              </w:rPr>
              <w:t>湛江镇、桥圩镇、八塘街道等（实施区域具体以航拍后分配）；土壤调理剂用量根据pH值测定情况确定。</w:t>
            </w:r>
          </w:p>
        </w:tc>
      </w:tr>
      <w:tr w14:paraId="23B51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8" w:hRule="atLeast"/>
        </w:trPr>
        <w:tc>
          <w:tcPr>
            <w:tcW w:w="1077" w:type="dxa"/>
            <w:gridSpan w:val="2"/>
            <w:vAlign w:val="top"/>
          </w:tcPr>
          <w:p w14:paraId="5698AD96">
            <w:pPr>
              <w:pStyle w:val="124"/>
              <w:spacing w:before="25" w:line="229" w:lineRule="auto"/>
              <w:ind w:left="346"/>
              <w:jc w:val="center"/>
              <w:rPr>
                <w:spacing w:val="6"/>
              </w:rPr>
            </w:pPr>
          </w:p>
          <w:p w14:paraId="3D0552D9">
            <w:pPr>
              <w:pStyle w:val="124"/>
              <w:spacing w:before="25" w:line="229" w:lineRule="auto"/>
              <w:ind w:left="346"/>
              <w:jc w:val="center"/>
              <w:rPr>
                <w:spacing w:val="6"/>
              </w:rPr>
            </w:pPr>
          </w:p>
          <w:p w14:paraId="5FA77B49">
            <w:pPr>
              <w:pStyle w:val="124"/>
              <w:spacing w:before="25" w:line="229" w:lineRule="auto"/>
              <w:ind w:left="346"/>
              <w:jc w:val="center"/>
              <w:rPr>
                <w:spacing w:val="6"/>
              </w:rPr>
            </w:pPr>
          </w:p>
          <w:p w14:paraId="060A9765">
            <w:pPr>
              <w:pStyle w:val="124"/>
              <w:spacing w:before="25" w:line="229" w:lineRule="auto"/>
              <w:ind w:left="346"/>
              <w:jc w:val="center"/>
              <w:rPr>
                <w:spacing w:val="6"/>
              </w:rPr>
            </w:pPr>
          </w:p>
          <w:p w14:paraId="579E4517">
            <w:pPr>
              <w:pStyle w:val="124"/>
              <w:spacing w:before="25" w:line="229" w:lineRule="auto"/>
              <w:ind w:left="346"/>
              <w:jc w:val="center"/>
              <w:rPr>
                <w:spacing w:val="6"/>
              </w:rPr>
            </w:pPr>
          </w:p>
          <w:p w14:paraId="54A429C6">
            <w:pPr>
              <w:pStyle w:val="124"/>
              <w:spacing w:before="25" w:line="229" w:lineRule="auto"/>
              <w:ind w:left="346"/>
              <w:jc w:val="center"/>
              <w:rPr>
                <w:spacing w:val="6"/>
              </w:rPr>
            </w:pPr>
          </w:p>
          <w:p w14:paraId="7FC4561B">
            <w:pPr>
              <w:pStyle w:val="124"/>
              <w:spacing w:before="25" w:line="229" w:lineRule="auto"/>
              <w:ind w:left="346"/>
              <w:jc w:val="center"/>
              <w:rPr>
                <w:spacing w:val="6"/>
              </w:rPr>
            </w:pPr>
          </w:p>
          <w:p w14:paraId="04338004">
            <w:pPr>
              <w:pStyle w:val="124"/>
              <w:spacing w:before="25" w:line="229" w:lineRule="auto"/>
              <w:ind w:left="346"/>
              <w:jc w:val="center"/>
              <w:rPr>
                <w:spacing w:val="6"/>
              </w:rPr>
            </w:pPr>
            <w:r>
              <w:rPr>
                <w:spacing w:val="6"/>
              </w:rPr>
              <w:t>商</w:t>
            </w:r>
          </w:p>
          <w:p w14:paraId="4B5B5041">
            <w:pPr>
              <w:pStyle w:val="124"/>
              <w:spacing w:before="25" w:line="229" w:lineRule="auto"/>
              <w:ind w:left="346"/>
              <w:jc w:val="center"/>
              <w:rPr>
                <w:spacing w:val="6"/>
              </w:rPr>
            </w:pPr>
            <w:r>
              <w:rPr>
                <w:spacing w:val="6"/>
              </w:rPr>
              <w:t>务</w:t>
            </w:r>
          </w:p>
          <w:p w14:paraId="28E3B595">
            <w:pPr>
              <w:pStyle w:val="124"/>
              <w:spacing w:before="25" w:line="229" w:lineRule="auto"/>
              <w:ind w:left="346"/>
              <w:jc w:val="center"/>
              <w:rPr>
                <w:spacing w:val="6"/>
              </w:rPr>
            </w:pPr>
            <w:r>
              <w:rPr>
                <w:spacing w:val="6"/>
              </w:rPr>
              <w:t>条</w:t>
            </w:r>
          </w:p>
          <w:p w14:paraId="34B8EF70">
            <w:pPr>
              <w:pStyle w:val="124"/>
              <w:spacing w:before="25" w:line="229" w:lineRule="auto"/>
              <w:ind w:left="346"/>
              <w:jc w:val="center"/>
              <w:rPr>
                <w:rFonts w:hint="eastAsia" w:eastAsia="宋体"/>
                <w:lang w:eastAsia="zh-CN"/>
              </w:rPr>
            </w:pPr>
            <w:r>
              <w:rPr>
                <w:spacing w:val="6"/>
              </w:rPr>
              <w:t>款</w:t>
            </w:r>
          </w:p>
        </w:tc>
        <w:tc>
          <w:tcPr>
            <w:tcW w:w="8529" w:type="dxa"/>
            <w:gridSpan w:val="2"/>
            <w:vAlign w:val="top"/>
          </w:tcPr>
          <w:p w14:paraId="380BC02B">
            <w:pPr>
              <w:pStyle w:val="124"/>
              <w:spacing w:before="32" w:line="302" w:lineRule="auto"/>
              <w:ind w:left="115" w:right="169"/>
              <w:rPr>
                <w:b w:val="0"/>
                <w:bCs w:val="0"/>
                <w:highlight w:val="none"/>
              </w:rPr>
            </w:pPr>
            <w:r>
              <w:rPr>
                <w:b w:val="0"/>
                <w:bCs w:val="0"/>
                <w:spacing w:val="9"/>
              </w:rPr>
              <w:t>一、报</w:t>
            </w:r>
            <w:r>
              <w:rPr>
                <w:b w:val="0"/>
                <w:bCs w:val="0"/>
                <w:spacing w:val="9"/>
                <w:highlight w:val="none"/>
              </w:rPr>
              <w:t>价要求：投标总报价包括提供本次服务的所有费用，含必要的保险费用和各项税金等；招标人不再提供差旅、交通、通讯、食宿等任何费用或条件。</w:t>
            </w:r>
          </w:p>
          <w:p w14:paraId="243F0400">
            <w:pPr>
              <w:pStyle w:val="124"/>
              <w:spacing w:before="164" w:line="227" w:lineRule="auto"/>
              <w:ind w:left="115"/>
              <w:rPr>
                <w:b w:val="0"/>
                <w:bCs w:val="0"/>
                <w:highlight w:val="none"/>
              </w:rPr>
            </w:pPr>
            <w:r>
              <w:rPr>
                <w:b w:val="0"/>
                <w:bCs w:val="0"/>
                <w:spacing w:val="7"/>
                <w:highlight w:val="none"/>
              </w:rPr>
              <w:t>二、</w:t>
            </w:r>
            <w:r>
              <w:rPr>
                <w:rFonts w:hint="eastAsia"/>
                <w:b w:val="0"/>
                <w:bCs w:val="0"/>
                <w:spacing w:val="7"/>
                <w:highlight w:val="none"/>
                <w:lang w:eastAsia="zh-CN"/>
              </w:rPr>
              <w:t>合同履约期限：</w:t>
            </w:r>
            <w:r>
              <w:rPr>
                <w:rFonts w:hint="eastAsia"/>
                <w:b w:val="0"/>
                <w:bCs w:val="0"/>
                <w:spacing w:val="7"/>
                <w:highlight w:val="none"/>
                <w:lang w:val="en-US" w:eastAsia="zh-CN"/>
              </w:rPr>
              <w:t>2026</w:t>
            </w:r>
            <w:r>
              <w:rPr>
                <w:rFonts w:hint="eastAsia"/>
                <w:b w:val="0"/>
                <w:bCs w:val="0"/>
                <w:spacing w:val="7"/>
                <w:highlight w:val="none"/>
                <w:lang w:eastAsia="zh-CN"/>
              </w:rPr>
              <w:t>年</w:t>
            </w:r>
            <w:r>
              <w:rPr>
                <w:rFonts w:hint="eastAsia"/>
                <w:b w:val="0"/>
                <w:bCs w:val="0"/>
                <w:spacing w:val="7"/>
                <w:highlight w:val="none"/>
                <w:lang w:val="en-US" w:eastAsia="zh-CN"/>
              </w:rPr>
              <w:t>12</w:t>
            </w:r>
            <w:r>
              <w:rPr>
                <w:rFonts w:hint="eastAsia"/>
                <w:b w:val="0"/>
                <w:bCs w:val="0"/>
                <w:spacing w:val="7"/>
                <w:highlight w:val="none"/>
                <w:lang w:eastAsia="zh-CN"/>
              </w:rPr>
              <w:t>月</w:t>
            </w:r>
            <w:r>
              <w:rPr>
                <w:rFonts w:hint="eastAsia"/>
                <w:b w:val="0"/>
                <w:bCs w:val="0"/>
                <w:spacing w:val="7"/>
                <w:highlight w:val="none"/>
                <w:lang w:val="en-US" w:eastAsia="zh-CN"/>
              </w:rPr>
              <w:t>30</w:t>
            </w:r>
            <w:r>
              <w:rPr>
                <w:rFonts w:hint="eastAsia"/>
                <w:b w:val="0"/>
                <w:bCs w:val="0"/>
                <w:spacing w:val="7"/>
                <w:highlight w:val="none"/>
                <w:lang w:eastAsia="zh-CN"/>
              </w:rPr>
              <w:t>日前，完成</w:t>
            </w:r>
            <w:r>
              <w:rPr>
                <w:rFonts w:hint="eastAsia"/>
                <w:b w:val="0"/>
                <w:bCs w:val="0"/>
                <w:spacing w:val="7"/>
                <w:highlight w:val="none"/>
                <w:lang w:val="en-US" w:eastAsia="zh-CN"/>
              </w:rPr>
              <w:t>港南区2026年生产障碍耕地治理项目。（如因特殊天气、错过农时及实施面积不足等原因无法实施，则项目顺延至2027年实施）。</w:t>
            </w:r>
          </w:p>
          <w:p w14:paraId="00158445">
            <w:pPr>
              <w:pStyle w:val="124"/>
              <w:spacing w:before="162" w:line="227" w:lineRule="auto"/>
              <w:ind w:left="111"/>
              <w:rPr>
                <w:b w:val="0"/>
                <w:bCs w:val="0"/>
                <w:highlight w:val="none"/>
              </w:rPr>
            </w:pPr>
            <w:r>
              <w:rPr>
                <w:b w:val="0"/>
                <w:bCs w:val="0"/>
                <w:spacing w:val="7"/>
                <w:highlight w:val="none"/>
              </w:rPr>
              <w:t>三、签订合同时间：</w:t>
            </w:r>
            <w:r>
              <w:rPr>
                <w:b w:val="0"/>
                <w:bCs w:val="0"/>
                <w:spacing w:val="-28"/>
                <w:highlight w:val="none"/>
              </w:rPr>
              <w:t xml:space="preserve"> </w:t>
            </w:r>
            <w:r>
              <w:rPr>
                <w:b w:val="0"/>
                <w:bCs w:val="0"/>
                <w:spacing w:val="7"/>
                <w:highlight w:val="none"/>
              </w:rPr>
              <w:t>自发出成交通知书之日起的</w:t>
            </w:r>
            <w:r>
              <w:rPr>
                <w:rFonts w:hint="eastAsia"/>
                <w:b w:val="0"/>
                <w:bCs w:val="0"/>
                <w:spacing w:val="7"/>
                <w:highlight w:val="none"/>
                <w:lang w:val="en-US" w:eastAsia="zh-CN"/>
              </w:rPr>
              <w:t>20</w:t>
            </w:r>
            <w:r>
              <w:rPr>
                <w:b w:val="0"/>
                <w:bCs w:val="0"/>
                <w:spacing w:val="7"/>
                <w:highlight w:val="none"/>
              </w:rPr>
              <w:t>日内与采购人签订合同。</w:t>
            </w:r>
          </w:p>
          <w:p w14:paraId="3A05F0B8">
            <w:pPr>
              <w:pStyle w:val="124"/>
              <w:spacing w:before="161" w:line="228" w:lineRule="auto"/>
              <w:ind w:left="131"/>
              <w:rPr>
                <w:b/>
                <w:bCs/>
                <w:highlight w:val="none"/>
              </w:rPr>
            </w:pPr>
            <w:r>
              <w:rPr>
                <w:b/>
                <w:bCs/>
                <w:spacing w:val="2"/>
                <w:highlight w:val="none"/>
              </w:rPr>
              <w:t>四、付款方式</w:t>
            </w:r>
            <w:r>
              <w:rPr>
                <w:rFonts w:hint="eastAsia" w:ascii="宋体" w:hAnsi="宋体" w:cs="宋体"/>
                <w:b/>
                <w:bCs/>
                <w:color w:val="000000" w:themeColor="text1"/>
                <w:szCs w:val="21"/>
                <w:highlight w:val="none"/>
                <w14:textFill>
                  <w14:solidFill>
                    <w14:schemeClr w14:val="tx1"/>
                  </w14:solidFill>
                </w14:textFill>
              </w:rPr>
              <w:t>（进度和方式）</w:t>
            </w:r>
            <w:r>
              <w:rPr>
                <w:b/>
                <w:bCs/>
                <w:spacing w:val="2"/>
                <w:highlight w:val="none"/>
              </w:rPr>
              <w:t>：</w:t>
            </w:r>
          </w:p>
          <w:p w14:paraId="43F9EBF9">
            <w:pPr>
              <w:spacing w:line="360" w:lineRule="auto"/>
              <w:ind w:firstLine="422" w:firstLineChars="200"/>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eastAsia="宋体" w:cs="宋体"/>
                <w:b/>
                <w:bCs/>
                <w:color w:val="000000" w:themeColor="text1"/>
                <w:szCs w:val="21"/>
                <w:highlight w:val="none"/>
                <w:lang w:eastAsia="zh-CN"/>
                <w14:textFill>
                  <w14:solidFill>
                    <w14:schemeClr w14:val="tx1"/>
                  </w14:solidFill>
                </w14:textFill>
              </w:rPr>
              <w:t>1.“土壤调理或者叶面阻隔+”技术措施模式：</w:t>
            </w:r>
          </w:p>
          <w:p w14:paraId="6F464F1D">
            <w:pPr>
              <w:spacing w:line="360" w:lineRule="auto"/>
              <w:ind w:firstLine="420" w:firstLineChars="200"/>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szCs w:val="21"/>
                <w:highlight w:val="none"/>
                <w:lang w:eastAsia="zh-CN"/>
                <w14:textFill>
                  <w14:solidFill>
                    <w14:schemeClr w14:val="tx1"/>
                  </w14:solidFill>
                </w14:textFill>
              </w:rPr>
              <w:t>签订合同后物料进场后，由项目业主、项目监理确认进度，可申请至30%项目进度款；治理措施全部落地后由项目业主、项目监理组织专家</w:t>
            </w:r>
            <w:r>
              <w:rPr>
                <w:rFonts w:hint="eastAsia" w:ascii="宋体" w:hAnsi="宋体" w:cs="宋体"/>
                <w:b w:val="0"/>
                <w:bCs w:val="0"/>
                <w:color w:val="000000" w:themeColor="text1"/>
                <w:szCs w:val="21"/>
                <w:highlight w:val="none"/>
                <w:lang w:eastAsia="zh-CN"/>
                <w14:textFill>
                  <w14:solidFill>
                    <w14:schemeClr w14:val="tx1"/>
                  </w14:solidFill>
                </w14:textFill>
              </w:rPr>
              <w:t>确认各项措施的面积和宣传指导的</w:t>
            </w:r>
            <w:r>
              <w:rPr>
                <w:rFonts w:hint="eastAsia" w:ascii="宋体" w:hAnsi="宋体" w:eastAsia="宋体" w:cs="宋体"/>
                <w:b w:val="0"/>
                <w:bCs w:val="0"/>
                <w:color w:val="000000" w:themeColor="text1"/>
                <w:szCs w:val="21"/>
                <w:highlight w:val="none"/>
                <w:lang w:eastAsia="zh-CN"/>
                <w14:textFill>
                  <w14:solidFill>
                    <w14:schemeClr w14:val="tx1"/>
                  </w14:solidFill>
                </w14:textFill>
              </w:rPr>
              <w:t>人员数量，可申请至项目资金总额的70%进度款。</w:t>
            </w:r>
          </w:p>
          <w:p w14:paraId="6A445D21">
            <w:pPr>
              <w:spacing w:line="360" w:lineRule="auto"/>
              <w:ind w:firstLine="420" w:firstLineChars="20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实施效果部分安排的资金占项目资金总额的30%。根据项目实施，农业农村部门通过采样检测结果核算得出的项目实施区域产品合格率进行结算，其中：</w:t>
            </w:r>
          </w:p>
          <w:p w14:paraId="77F93BC4">
            <w:pPr>
              <w:pStyle w:val="32"/>
              <w:spacing w:line="360" w:lineRule="auto"/>
              <w:ind w:firstLine="420" w:firstLineChars="20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1.1产品合格率：≥93%，可以结算30%项目款项。</w:t>
            </w:r>
          </w:p>
          <w:p w14:paraId="3F78AED9">
            <w:pPr>
              <w:pStyle w:val="32"/>
              <w:spacing w:line="360" w:lineRule="auto"/>
              <w:ind w:firstLine="420" w:firstLineChars="20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1.2产品合格率：60%（含）—93%（不含），可以结算30%项目款项×实际产品合格率÷93%的款项。</w:t>
            </w:r>
          </w:p>
          <w:p w14:paraId="4B8AB62B">
            <w:pPr>
              <w:spacing w:line="360" w:lineRule="auto"/>
              <w:ind w:firstLine="420" w:firstLineChars="200"/>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1.3产品合格率：小于60%（不含），除已经按工作措施实施进度比例支付的合同款额，不再支付30%项目剩余款额。</w:t>
            </w:r>
          </w:p>
          <w:p w14:paraId="2193C22D">
            <w:pPr>
              <w:numPr>
                <w:ilvl w:val="0"/>
                <w:numId w:val="0"/>
              </w:numPr>
              <w:spacing w:line="360" w:lineRule="auto"/>
              <w:ind w:firstLine="422" w:firstLineChars="200"/>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2.</w:t>
            </w:r>
            <w:r>
              <w:rPr>
                <w:rFonts w:hint="eastAsia" w:ascii="宋体" w:hAnsi="宋体" w:eastAsia="宋体" w:cs="宋体"/>
                <w:b/>
                <w:bCs/>
                <w:color w:val="000000" w:themeColor="text1"/>
                <w:szCs w:val="21"/>
                <w:highlight w:val="none"/>
                <w:lang w:eastAsia="zh-CN"/>
                <w14:textFill>
                  <w14:solidFill>
                    <w14:schemeClr w14:val="tx1"/>
                  </w14:solidFill>
                </w14:textFill>
              </w:rPr>
              <w:t>“镉低积累品种替代+”技术措施模式：</w:t>
            </w:r>
          </w:p>
          <w:p w14:paraId="15710030">
            <w:pPr>
              <w:numPr>
                <w:ilvl w:val="0"/>
                <w:numId w:val="0"/>
              </w:numPr>
              <w:spacing w:line="360" w:lineRule="auto"/>
              <w:ind w:firstLine="420" w:firstLineChars="20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eastAsia="zh-CN"/>
                <w14:textFill>
                  <w14:solidFill>
                    <w14:schemeClr w14:val="tx1"/>
                  </w14:solidFill>
                </w14:textFill>
              </w:rPr>
              <w:t>签订合同后物料进场后，由</w:t>
            </w:r>
            <w:r>
              <w:rPr>
                <w:rFonts w:hint="eastAsia" w:ascii="宋体" w:hAnsi="宋体" w:cs="宋体"/>
                <w:b w:val="0"/>
                <w:bCs w:val="0"/>
                <w:color w:val="000000" w:themeColor="text1"/>
                <w:szCs w:val="21"/>
                <w:highlight w:val="none"/>
                <w:lang w:eastAsia="zh-CN"/>
                <w14:textFill>
                  <w14:solidFill>
                    <w14:schemeClr w14:val="tx1"/>
                  </w14:solidFill>
                </w14:textFill>
              </w:rPr>
              <w:t>采购人、项目监理确认供种</w:t>
            </w:r>
            <w:r>
              <w:rPr>
                <w:rFonts w:hint="eastAsia" w:ascii="宋体" w:hAnsi="宋体" w:eastAsia="宋体" w:cs="宋体"/>
                <w:b w:val="0"/>
                <w:bCs w:val="0"/>
                <w:color w:val="000000" w:themeColor="text1"/>
                <w:szCs w:val="21"/>
                <w:highlight w:val="none"/>
                <w:lang w:eastAsia="zh-CN"/>
                <w14:textFill>
                  <w14:solidFill>
                    <w14:schemeClr w14:val="tx1"/>
                  </w14:solidFill>
                </w14:textFill>
              </w:rPr>
              <w:t>质量、品种真实性后，安排的资金占项目资金总额的60%；如果检测发现提供的种子不是指定的镉低积累水稻品种</w:t>
            </w:r>
            <w:r>
              <w:rPr>
                <w:rFonts w:hint="eastAsia" w:ascii="宋体" w:hAnsi="宋体" w:cs="宋体"/>
                <w:b w:val="0"/>
                <w:bCs w:val="0"/>
                <w:color w:val="000000" w:themeColor="text1"/>
                <w:szCs w:val="21"/>
                <w:highlight w:val="none"/>
                <w:lang w:eastAsia="zh-CN"/>
                <w14:textFill>
                  <w14:solidFill>
                    <w14:schemeClr w14:val="tx1"/>
                  </w14:solidFill>
                </w14:textFill>
              </w:rPr>
              <w:t>或种子质量不达标的，不支付项目全部合同款项</w:t>
            </w:r>
            <w:r>
              <w:rPr>
                <w:rFonts w:hint="eastAsia" w:ascii="宋体" w:hAnsi="宋体" w:eastAsia="宋体" w:cs="宋体"/>
                <w:b w:val="0"/>
                <w:bCs w:val="0"/>
                <w:color w:val="000000" w:themeColor="text1"/>
                <w:szCs w:val="21"/>
                <w:highlight w:val="none"/>
                <w:lang w:eastAsia="zh-CN"/>
                <w14:textFill>
                  <w14:solidFill>
                    <w14:schemeClr w14:val="tx1"/>
                  </w14:solidFill>
                </w14:textFill>
              </w:rPr>
              <w:t>。措施落地后，由项目业主、项目监理组织专家确认相关措施的面积和宣传指导的人员数量后，</w:t>
            </w:r>
            <w:r>
              <w:rPr>
                <w:rFonts w:hint="eastAsia" w:ascii="宋体" w:hAnsi="宋体" w:cs="宋体"/>
                <w:b w:val="0"/>
                <w:bCs w:val="0"/>
                <w:color w:val="000000" w:themeColor="text1"/>
                <w:szCs w:val="21"/>
                <w:highlight w:val="none"/>
                <w:lang w:eastAsia="zh-CN"/>
                <w14:textFill>
                  <w14:solidFill>
                    <w14:schemeClr w14:val="tx1"/>
                  </w14:solidFill>
                </w14:textFill>
              </w:rPr>
              <w:t>再安排项目合同资金额的30%</w:t>
            </w:r>
            <w:r>
              <w:rPr>
                <w:rFonts w:hint="eastAsia" w:ascii="宋体" w:hAnsi="宋体" w:eastAsia="宋体" w:cs="宋体"/>
                <w:b w:val="0"/>
                <w:bCs w:val="0"/>
                <w:color w:val="000000" w:themeColor="text1"/>
                <w:szCs w:val="21"/>
                <w:highlight w:val="none"/>
                <w:lang w:eastAsia="zh-CN"/>
                <w14:textFill>
                  <w14:solidFill>
                    <w14:schemeClr w14:val="tx1"/>
                  </w14:solidFill>
                </w14:textFill>
              </w:rPr>
              <w:t>进度款。实施效果部分安排的资金占项目资金总额的10%。</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根据项目实施农业农村部门通过采样检测结果核算得出的项目实施区域产品合格率进行结算，其中：</w:t>
            </w:r>
          </w:p>
          <w:p w14:paraId="0816B089">
            <w:pPr>
              <w:pStyle w:val="32"/>
              <w:spacing w:line="360" w:lineRule="auto"/>
              <w:ind w:firstLine="420" w:firstLineChars="20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2.1产品合格率：≥93%，可以结算10%项目款项。</w:t>
            </w:r>
          </w:p>
          <w:p w14:paraId="05B9359F">
            <w:pPr>
              <w:pStyle w:val="32"/>
              <w:spacing w:line="360" w:lineRule="auto"/>
              <w:ind w:firstLine="420" w:firstLineChars="20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2.2产品合格率：60%（含）—93%（不含），可以结算10%项目款项×实际产品合格率÷93%的款项。</w:t>
            </w:r>
          </w:p>
          <w:p w14:paraId="31EE2329">
            <w:pPr>
              <w:pStyle w:val="32"/>
              <w:spacing w:line="360" w:lineRule="auto"/>
              <w:ind w:firstLine="420" w:firstLineChars="200"/>
              <w:rPr>
                <w:rFonts w:hint="eastAsia" w:ascii="宋体" w:hAnsi="宋体" w:cs="宋体"/>
                <w:b w:val="0"/>
                <w:bCs w:val="0"/>
                <w:color w:val="000000"/>
                <w:kern w:val="0"/>
                <w:szCs w:val="21"/>
                <w:lang w:bidi="ar"/>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2.3产品合格率：小于60%（不含），不再支付10%项目剩余款额。</w:t>
            </w:r>
          </w:p>
        </w:tc>
      </w:tr>
      <w:tr w14:paraId="151C24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77" w:type="dxa"/>
            <w:gridSpan w:val="2"/>
            <w:vAlign w:val="top"/>
          </w:tcPr>
          <w:p w14:paraId="1E9A911B">
            <w:pPr>
              <w:pStyle w:val="124"/>
              <w:spacing w:before="25" w:line="229" w:lineRule="auto"/>
              <w:ind w:left="346"/>
              <w:jc w:val="center"/>
              <w:rPr>
                <w:rFonts w:hint="eastAsia" w:ascii="宋体" w:hAnsi="宋体" w:cs="宋体"/>
                <w:b/>
                <w:bCs w:val="0"/>
                <w:color w:val="000000" w:themeColor="text1"/>
                <w:szCs w:val="21"/>
                <w:highlight w:val="none"/>
                <w:lang w:eastAsia="zh-CN"/>
                <w14:textFill>
                  <w14:solidFill>
                    <w14:schemeClr w14:val="tx1"/>
                  </w14:solidFill>
                </w14:textFill>
              </w:rPr>
            </w:pPr>
          </w:p>
          <w:p w14:paraId="6BEB770E">
            <w:pPr>
              <w:pStyle w:val="124"/>
              <w:spacing w:before="25" w:line="229" w:lineRule="auto"/>
              <w:ind w:left="346"/>
              <w:jc w:val="center"/>
              <w:rPr>
                <w:rFonts w:hint="eastAsia" w:ascii="宋体" w:hAnsi="宋体" w:cs="宋体"/>
                <w:b/>
                <w:bCs w:val="0"/>
                <w:color w:val="000000" w:themeColor="text1"/>
                <w:szCs w:val="21"/>
                <w:highlight w:val="none"/>
                <w:lang w:eastAsia="zh-CN"/>
                <w14:textFill>
                  <w14:solidFill>
                    <w14:schemeClr w14:val="tx1"/>
                  </w14:solidFill>
                </w14:textFill>
              </w:rPr>
            </w:pPr>
          </w:p>
          <w:p w14:paraId="2CFF7721">
            <w:pPr>
              <w:pStyle w:val="124"/>
              <w:spacing w:before="25" w:line="229" w:lineRule="auto"/>
              <w:jc w:val="center"/>
              <w:rPr>
                <w:spacing w:val="6"/>
              </w:rPr>
            </w:pPr>
            <w:r>
              <w:rPr>
                <w:rFonts w:hint="eastAsia" w:ascii="宋体" w:hAnsi="宋体" w:cs="宋体"/>
                <w:b/>
                <w:bCs w:val="0"/>
                <w:color w:val="000000" w:themeColor="text1"/>
                <w:szCs w:val="21"/>
                <w:highlight w:val="none"/>
                <w:lang w:eastAsia="zh-CN"/>
                <w14:textFill>
                  <w14:solidFill>
                    <w14:schemeClr w14:val="tx1"/>
                  </w14:solidFill>
                </w14:textFill>
              </w:rPr>
              <w:t>技术服务要求</w:t>
            </w:r>
          </w:p>
        </w:tc>
        <w:tc>
          <w:tcPr>
            <w:tcW w:w="8529" w:type="dxa"/>
            <w:gridSpan w:val="2"/>
            <w:shd w:val="clear" w:color="auto" w:fill="auto"/>
            <w:vAlign w:val="center"/>
          </w:tcPr>
          <w:p w14:paraId="5B874226">
            <w:pPr>
              <w:numPr>
                <w:ilvl w:val="0"/>
                <w:numId w:val="0"/>
              </w:numPr>
              <w:spacing w:line="360" w:lineRule="auto"/>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lang w:val="en-US" w:eastAsia="zh-CN" w:bidi="ar-SA"/>
                <w14:textFill>
                  <w14:solidFill>
                    <w14:schemeClr w14:val="tx1"/>
                  </w14:solidFill>
                </w14:textFill>
              </w:rPr>
              <w:t>1、</w:t>
            </w:r>
            <w:r>
              <w:rPr>
                <w:rFonts w:hint="eastAsia" w:ascii="宋体" w:hAnsi="宋体" w:cs="宋体"/>
                <w:b w:val="0"/>
                <w:bCs w:val="0"/>
                <w:color w:val="000000" w:themeColor="text1"/>
                <w:szCs w:val="21"/>
                <w:highlight w:val="none"/>
                <w:lang w:eastAsia="zh-CN"/>
                <w14:textFill>
                  <w14:solidFill>
                    <w14:schemeClr w14:val="tx1"/>
                  </w14:solidFill>
                </w14:textFill>
              </w:rPr>
              <w:t>成交供应商</w:t>
            </w:r>
            <w:r>
              <w:rPr>
                <w:rFonts w:hint="eastAsia" w:ascii="宋体" w:hAnsi="宋体" w:cs="宋体"/>
                <w:b w:val="0"/>
                <w:bCs w:val="0"/>
                <w:color w:val="000000" w:themeColor="text1"/>
                <w:szCs w:val="21"/>
                <w:highlight w:val="none"/>
                <w14:textFill>
                  <w14:solidFill>
                    <w14:schemeClr w14:val="tx1"/>
                  </w14:solidFill>
                </w14:textFill>
              </w:rPr>
              <w:t>应严格按</w:t>
            </w:r>
            <w:r>
              <w:rPr>
                <w:rFonts w:hint="eastAsia" w:ascii="宋体" w:hAnsi="宋体" w:cs="宋体"/>
                <w:b w:val="0"/>
                <w:bCs w:val="0"/>
                <w:color w:val="000000" w:themeColor="text1"/>
                <w:szCs w:val="21"/>
                <w:highlight w:val="none"/>
                <w:lang w:eastAsia="zh-CN"/>
                <w14:textFill>
                  <w14:solidFill>
                    <w14:schemeClr w14:val="tx1"/>
                  </w14:solidFill>
                </w14:textFill>
              </w:rPr>
              <w:t>照响应文件要求做好项目服务工作，直至项目整体验收完毕为止</w:t>
            </w:r>
            <w:r>
              <w:rPr>
                <w:rFonts w:hint="eastAsia" w:ascii="宋体" w:hAnsi="宋体" w:cs="宋体"/>
                <w:b w:val="0"/>
                <w:bCs w:val="0"/>
                <w:color w:val="000000" w:themeColor="text1"/>
                <w:szCs w:val="21"/>
                <w:highlight w:val="none"/>
                <w14:textFill>
                  <w14:solidFill>
                    <w14:schemeClr w14:val="tx1"/>
                  </w14:solidFill>
                </w14:textFill>
              </w:rPr>
              <w:t>，由此产生的一切费用由</w:t>
            </w:r>
            <w:r>
              <w:rPr>
                <w:rFonts w:hint="eastAsia" w:ascii="宋体" w:hAnsi="宋体" w:cs="宋体"/>
                <w:b w:val="0"/>
                <w:bCs w:val="0"/>
                <w:color w:val="000000" w:themeColor="text1"/>
                <w:szCs w:val="21"/>
                <w:highlight w:val="none"/>
                <w:lang w:eastAsia="zh-CN"/>
                <w14:textFill>
                  <w14:solidFill>
                    <w14:schemeClr w14:val="tx1"/>
                  </w14:solidFill>
                </w14:textFill>
              </w:rPr>
              <w:t>成交供应商</w:t>
            </w:r>
            <w:r>
              <w:rPr>
                <w:rFonts w:hint="eastAsia" w:ascii="宋体" w:hAnsi="宋体" w:cs="宋体"/>
                <w:b w:val="0"/>
                <w:bCs w:val="0"/>
                <w:color w:val="000000" w:themeColor="text1"/>
                <w:szCs w:val="21"/>
                <w:highlight w:val="none"/>
                <w14:textFill>
                  <w14:solidFill>
                    <w14:schemeClr w14:val="tx1"/>
                  </w14:solidFill>
                </w14:textFill>
              </w:rPr>
              <w:t xml:space="preserve">负责。 </w:t>
            </w:r>
          </w:p>
          <w:p w14:paraId="11D7BB06">
            <w:pPr>
              <w:numPr>
                <w:ilvl w:val="0"/>
                <w:numId w:val="0"/>
              </w:numPr>
              <w:spacing w:line="360" w:lineRule="auto"/>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lang w:val="en-US" w:eastAsia="zh-CN" w:bidi="ar-SA"/>
                <w14:textFill>
                  <w14:solidFill>
                    <w14:schemeClr w14:val="tx1"/>
                  </w14:solidFill>
                </w14:textFill>
              </w:rPr>
              <w:t>2、</w:t>
            </w:r>
            <w:r>
              <w:rPr>
                <w:rFonts w:hint="eastAsia" w:ascii="宋体" w:hAnsi="宋体" w:cs="宋体"/>
                <w:b w:val="0"/>
                <w:bCs w:val="0"/>
                <w:color w:val="000000" w:themeColor="text1"/>
                <w:szCs w:val="21"/>
                <w:highlight w:val="none"/>
                <w14:textFill>
                  <w14:solidFill>
                    <w14:schemeClr w14:val="tx1"/>
                  </w14:solidFill>
                </w14:textFill>
              </w:rPr>
              <w:t>处理问题响应时间：接到采购人处理问题通知后 24 小时内到达采购人指定现场。</w:t>
            </w:r>
          </w:p>
          <w:p w14:paraId="468A8B79">
            <w:pPr>
              <w:spacing w:line="360" w:lineRule="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3、</w:t>
            </w:r>
            <w:r>
              <w:rPr>
                <w:rFonts w:hint="eastAsia" w:ascii="宋体" w:hAnsi="宋体" w:cs="宋体"/>
                <w:b w:val="0"/>
                <w:bCs w:val="0"/>
                <w:color w:val="000000" w:themeColor="text1"/>
                <w:szCs w:val="21"/>
                <w:highlight w:val="none"/>
                <w:lang w:eastAsia="zh-CN"/>
                <w14:textFill>
                  <w14:solidFill>
                    <w14:schemeClr w14:val="tx1"/>
                  </w14:solidFill>
                </w14:textFill>
              </w:rPr>
              <w:t>成交供应商</w:t>
            </w:r>
            <w:r>
              <w:rPr>
                <w:rFonts w:hint="eastAsia" w:ascii="宋体" w:hAnsi="宋体" w:cs="宋体"/>
                <w:b w:val="0"/>
                <w:bCs w:val="0"/>
                <w:color w:val="000000" w:themeColor="text1"/>
                <w:szCs w:val="21"/>
                <w:highlight w:val="none"/>
                <w14:textFill>
                  <w14:solidFill>
                    <w14:schemeClr w14:val="tx1"/>
                  </w14:solidFill>
                </w14:textFill>
              </w:rPr>
              <w:t>必须配合采购人完成整体项目的验收。</w:t>
            </w:r>
          </w:p>
        </w:tc>
      </w:tr>
      <w:tr w14:paraId="4DA3C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77" w:type="dxa"/>
            <w:gridSpan w:val="2"/>
            <w:vAlign w:val="top"/>
          </w:tcPr>
          <w:p w14:paraId="112886D8">
            <w:pPr>
              <w:pStyle w:val="124"/>
              <w:spacing w:before="25" w:line="229" w:lineRule="auto"/>
              <w:jc w:val="center"/>
              <w:rPr>
                <w:rFonts w:hint="eastAsia" w:ascii="宋体" w:hAnsi="宋体" w:cs="宋体"/>
                <w:b/>
                <w:bCs w:val="0"/>
                <w:color w:val="000000" w:themeColor="text1"/>
                <w:szCs w:val="21"/>
                <w:highlight w:val="none"/>
                <w:lang w:eastAsia="zh-CN"/>
                <w14:textFill>
                  <w14:solidFill>
                    <w14:schemeClr w14:val="tx1"/>
                  </w14:solidFill>
                </w14:textFill>
              </w:rPr>
            </w:pPr>
            <w:r>
              <w:rPr>
                <w:rFonts w:hint="eastAsia" w:ascii="宋体" w:hAnsi="宋体"/>
                <w:b/>
                <w:bCs w:val="0"/>
                <w:color w:val="000000" w:themeColor="text1"/>
                <w:szCs w:val="21"/>
                <w:highlight w:val="none"/>
                <w14:textFill>
                  <w14:solidFill>
                    <w14:schemeClr w14:val="tx1"/>
                  </w14:solidFill>
                </w14:textFill>
              </w:rPr>
              <w:t>验收标准及要</w:t>
            </w:r>
            <w:r>
              <w:rPr>
                <w:rFonts w:hint="eastAsia" w:ascii="宋体" w:hAnsi="宋体"/>
                <w:b/>
                <w:bCs w:val="0"/>
                <w:color w:val="000000" w:themeColor="text1"/>
                <w:szCs w:val="21"/>
                <w:highlight w:val="none"/>
                <w:lang w:eastAsia="zh-CN"/>
                <w14:textFill>
                  <w14:solidFill>
                    <w14:schemeClr w14:val="tx1"/>
                  </w14:solidFill>
                </w14:textFill>
              </w:rPr>
              <w:t>求</w:t>
            </w:r>
          </w:p>
        </w:tc>
        <w:tc>
          <w:tcPr>
            <w:tcW w:w="8529" w:type="dxa"/>
            <w:gridSpan w:val="2"/>
            <w:shd w:val="clear" w:color="auto" w:fill="auto"/>
            <w:vAlign w:val="center"/>
          </w:tcPr>
          <w:p w14:paraId="58A5490E">
            <w:pPr>
              <w:spacing w:line="360" w:lineRule="exact"/>
              <w:rPr>
                <w:rFonts w:hint="eastAsia"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1</w:t>
            </w:r>
            <w:r>
              <w:rPr>
                <w:rFonts w:ascii="宋体" w:hAnsi="宋体"/>
                <w:b w:val="0"/>
                <w:bCs w:val="0"/>
                <w:color w:val="000000" w:themeColor="text1"/>
                <w:szCs w:val="21"/>
                <w:highlight w:val="none"/>
                <w14:textFill>
                  <w14:solidFill>
                    <w14:schemeClr w14:val="tx1"/>
                  </w14:solidFill>
                </w14:textFill>
              </w:rPr>
              <w:t>.</w:t>
            </w:r>
            <w:r>
              <w:rPr>
                <w:rFonts w:hint="eastAsia" w:ascii="宋体" w:hAnsi="宋体" w:cs="宋体"/>
                <w:b w:val="0"/>
                <w:bCs w:val="0"/>
                <w:color w:val="000000" w:themeColor="text1"/>
                <w:szCs w:val="21"/>
                <w:highlight w:val="none"/>
                <w:lang w:eastAsia="zh-CN"/>
                <w14:textFill>
                  <w14:solidFill>
                    <w14:schemeClr w14:val="tx1"/>
                  </w14:solidFill>
                </w14:textFill>
              </w:rPr>
              <w:t>成交供应商</w:t>
            </w:r>
            <w:r>
              <w:rPr>
                <w:rFonts w:hint="eastAsia" w:ascii="宋体" w:hAnsi="宋体" w:cs="宋体"/>
                <w:b w:val="0"/>
                <w:bCs w:val="0"/>
                <w:color w:val="000000" w:themeColor="text1"/>
                <w:szCs w:val="21"/>
                <w:highlight w:val="none"/>
                <w14:textFill>
                  <w14:solidFill>
                    <w14:schemeClr w14:val="tx1"/>
                  </w14:solidFill>
                </w14:textFill>
              </w:rPr>
              <w:t>向采购人提供的所有涉及成果资料必须符合国家、广西、贵港市的最新规范及要求</w:t>
            </w:r>
            <w:r>
              <w:rPr>
                <w:rFonts w:hint="eastAsia" w:ascii="宋体" w:hAnsi="宋体"/>
                <w:b w:val="0"/>
                <w:bCs w:val="0"/>
                <w:color w:val="000000" w:themeColor="text1"/>
                <w:szCs w:val="21"/>
                <w:highlight w:val="none"/>
                <w14:textFill>
                  <w14:solidFill>
                    <w14:schemeClr w14:val="tx1"/>
                  </w14:solidFill>
                </w14:textFill>
              </w:rPr>
              <w:t>。</w:t>
            </w:r>
            <w:r>
              <w:rPr>
                <w:rFonts w:ascii="宋体" w:hAnsi="宋体"/>
                <w:b w:val="0"/>
                <w:bCs w:val="0"/>
                <w:color w:val="000000" w:themeColor="text1"/>
                <w:szCs w:val="21"/>
                <w:highlight w:val="none"/>
                <w14:textFill>
                  <w14:solidFill>
                    <w14:schemeClr w14:val="tx1"/>
                  </w14:solidFill>
                </w14:textFill>
              </w:rPr>
              <w:t>2</w:t>
            </w:r>
            <w:r>
              <w:rPr>
                <w:rFonts w:hint="eastAsia" w:ascii="宋体" w:hAnsi="宋体"/>
                <w:b w:val="0"/>
                <w:bCs w:val="0"/>
                <w:color w:val="000000" w:themeColor="text1"/>
                <w:szCs w:val="21"/>
                <w:highlight w:val="none"/>
                <w14:textFill>
                  <w14:solidFill>
                    <w14:schemeClr w14:val="tx1"/>
                  </w14:solidFill>
                </w14:textFill>
              </w:rPr>
              <w:t>.验收过程中所产生的一切费用均由</w:t>
            </w:r>
            <w:r>
              <w:rPr>
                <w:rFonts w:hint="eastAsia" w:ascii="宋体" w:hAnsi="宋体"/>
                <w:b w:val="0"/>
                <w:bCs w:val="0"/>
                <w:color w:val="000000" w:themeColor="text1"/>
                <w:szCs w:val="21"/>
                <w:highlight w:val="none"/>
                <w:lang w:eastAsia="zh-CN"/>
                <w14:textFill>
                  <w14:solidFill>
                    <w14:schemeClr w14:val="tx1"/>
                  </w14:solidFill>
                </w14:textFill>
              </w:rPr>
              <w:t>成交供应商</w:t>
            </w:r>
            <w:r>
              <w:rPr>
                <w:rFonts w:hint="eastAsia" w:ascii="宋体" w:hAnsi="宋体"/>
                <w:b w:val="0"/>
                <w:bCs w:val="0"/>
                <w:color w:val="000000" w:themeColor="text1"/>
                <w:szCs w:val="21"/>
                <w:highlight w:val="none"/>
                <w14:textFill>
                  <w14:solidFill>
                    <w14:schemeClr w14:val="tx1"/>
                  </w14:solidFill>
                </w14:textFill>
              </w:rPr>
              <w:t>承担。报价时应考虑相关费用。</w:t>
            </w:r>
          </w:p>
          <w:p w14:paraId="11F0ABE3">
            <w:pPr>
              <w:spacing w:line="360" w:lineRule="exact"/>
              <w:rPr>
                <w:rFonts w:hint="eastAsia" w:ascii="宋体" w:hAnsi="宋体"/>
                <w:b w:val="0"/>
                <w:bCs w:val="0"/>
                <w:color w:val="000000" w:themeColor="text1"/>
                <w:szCs w:val="21"/>
                <w:highlight w:val="none"/>
                <w14:textFill>
                  <w14:solidFill>
                    <w14:schemeClr w14:val="tx1"/>
                  </w14:solidFill>
                </w14:textFill>
              </w:rPr>
            </w:pPr>
            <w:r>
              <w:rPr>
                <w:rFonts w:ascii="宋体" w:hAnsi="宋体"/>
                <w:b w:val="0"/>
                <w:bCs w:val="0"/>
                <w:color w:val="000000" w:themeColor="text1"/>
                <w:szCs w:val="21"/>
                <w:highlight w:val="none"/>
                <w14:textFill>
                  <w14:solidFill>
                    <w14:schemeClr w14:val="tx1"/>
                  </w14:solidFill>
                </w14:textFill>
              </w:rPr>
              <w:t>3</w:t>
            </w:r>
            <w:r>
              <w:rPr>
                <w:rFonts w:hint="eastAsia" w:ascii="宋体" w:hAnsi="宋体"/>
                <w:b w:val="0"/>
                <w:bCs w:val="0"/>
                <w:color w:val="000000" w:themeColor="text1"/>
                <w:szCs w:val="21"/>
                <w:highlight w:val="none"/>
                <w14:textFill>
                  <w14:solidFill>
                    <w14:schemeClr w14:val="tx1"/>
                  </w14:solidFill>
                </w14:textFill>
              </w:rPr>
              <w:t>.采购人根据工作实际所需环节组织验收，</w:t>
            </w:r>
            <w:r>
              <w:rPr>
                <w:rFonts w:hint="eastAsia" w:ascii="宋体" w:hAnsi="宋体"/>
                <w:b w:val="0"/>
                <w:bCs w:val="0"/>
                <w:color w:val="000000" w:themeColor="text1"/>
                <w:szCs w:val="21"/>
                <w:highlight w:val="none"/>
                <w:lang w:eastAsia="zh-CN"/>
                <w14:textFill>
                  <w14:solidFill>
                    <w14:schemeClr w14:val="tx1"/>
                  </w14:solidFill>
                </w14:textFill>
              </w:rPr>
              <w:t>成交供应商</w:t>
            </w:r>
            <w:r>
              <w:rPr>
                <w:rFonts w:hint="eastAsia" w:ascii="宋体" w:hAnsi="宋体"/>
                <w:b w:val="0"/>
                <w:bCs w:val="0"/>
                <w:color w:val="000000" w:themeColor="text1"/>
                <w:szCs w:val="21"/>
                <w:highlight w:val="none"/>
                <w14:textFill>
                  <w14:solidFill>
                    <w14:schemeClr w14:val="tx1"/>
                  </w14:solidFill>
                </w14:textFill>
              </w:rPr>
              <w:t>必须到场配合，验收合格后双方签署验收合格凭证。</w:t>
            </w:r>
          </w:p>
          <w:p w14:paraId="6871CD51">
            <w:pPr>
              <w:spacing w:line="360" w:lineRule="auto"/>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4.其他未尽事宜应严格按照《关于印发广西壮族自治区政府采购项目履约验收管理办法的通知》[桂财采〔2015〕22号]以及《财政部关于进一步加强政府采购需求和履约验收管理的指导意见》[财库〔2016〕205号]规定执行。</w:t>
            </w:r>
          </w:p>
        </w:tc>
      </w:tr>
    </w:tbl>
    <w:p w14:paraId="5D1F79C8">
      <w:pPr>
        <w:rPr>
          <w:rFonts w:hint="eastAsia"/>
          <w:color w:val="auto"/>
          <w:highlight w:val="none"/>
        </w:rPr>
      </w:pPr>
    </w:p>
    <w:p w14:paraId="0CB3F743">
      <w:pPr>
        <w:rPr>
          <w:rFonts w:hint="eastAsia"/>
          <w:color w:val="auto"/>
          <w:highlight w:val="none"/>
        </w:rPr>
      </w:pPr>
    </w:p>
    <w:p w14:paraId="073D8971">
      <w:pPr>
        <w:rPr>
          <w:rFonts w:hint="eastAsia"/>
          <w:color w:val="auto"/>
          <w:highlight w:val="none"/>
        </w:rPr>
      </w:pPr>
    </w:p>
    <w:p w14:paraId="4386013C">
      <w:pPr>
        <w:rPr>
          <w:rFonts w:hint="eastAsia"/>
          <w:color w:val="auto"/>
          <w:highlight w:val="none"/>
        </w:rPr>
      </w:pPr>
    </w:p>
    <w:p w14:paraId="764506AE">
      <w:pPr>
        <w:rPr>
          <w:rFonts w:hint="eastAsia"/>
          <w:color w:val="auto"/>
          <w:highlight w:val="none"/>
        </w:rPr>
      </w:pPr>
    </w:p>
    <w:p w14:paraId="546E6345">
      <w:pPr>
        <w:rPr>
          <w:rFonts w:hint="eastAsia"/>
          <w:color w:val="auto"/>
          <w:highlight w:val="none"/>
        </w:rPr>
      </w:pPr>
    </w:p>
    <w:p w14:paraId="2A067538">
      <w:pPr>
        <w:rPr>
          <w:rFonts w:hint="eastAsia"/>
          <w:color w:val="auto"/>
          <w:highlight w:val="none"/>
        </w:rPr>
      </w:pPr>
    </w:p>
    <w:p w14:paraId="35BA5677">
      <w:pPr>
        <w:rPr>
          <w:rFonts w:hint="eastAsia"/>
          <w:color w:val="auto"/>
          <w:highlight w:val="none"/>
        </w:rPr>
      </w:pPr>
    </w:p>
    <w:p w14:paraId="00DB97EA">
      <w:pPr>
        <w:rPr>
          <w:rFonts w:hint="eastAsia"/>
          <w:color w:val="auto"/>
          <w:highlight w:val="none"/>
        </w:rPr>
      </w:pPr>
    </w:p>
    <w:p w14:paraId="5840F6DF">
      <w:pPr>
        <w:rPr>
          <w:rFonts w:hint="eastAsia"/>
          <w:color w:val="auto"/>
          <w:highlight w:val="none"/>
        </w:rPr>
      </w:pPr>
    </w:p>
    <w:p w14:paraId="65551570">
      <w:pPr>
        <w:rPr>
          <w:rFonts w:hint="eastAsia"/>
          <w:color w:val="auto"/>
          <w:highlight w:val="none"/>
        </w:rPr>
      </w:pPr>
    </w:p>
    <w:p w14:paraId="733F99FE">
      <w:pPr>
        <w:rPr>
          <w:rFonts w:hint="eastAsia"/>
          <w:color w:val="auto"/>
          <w:highlight w:val="none"/>
        </w:rPr>
      </w:pPr>
    </w:p>
    <w:p w14:paraId="38F03FDB">
      <w:pPr>
        <w:rPr>
          <w:rFonts w:hint="eastAsia"/>
          <w:color w:val="auto"/>
          <w:highlight w:val="none"/>
        </w:rPr>
      </w:pPr>
    </w:p>
    <w:p w14:paraId="05A7D21E">
      <w:pPr>
        <w:rPr>
          <w:rFonts w:hint="eastAsia"/>
          <w:color w:val="auto"/>
          <w:highlight w:val="none"/>
        </w:rPr>
      </w:pPr>
    </w:p>
    <w:p w14:paraId="28E9BCCF">
      <w:pPr>
        <w:rPr>
          <w:rFonts w:hint="eastAsia"/>
          <w:color w:val="auto"/>
          <w:highlight w:val="none"/>
        </w:rPr>
      </w:pPr>
    </w:p>
    <w:p w14:paraId="0430E0F4">
      <w:pPr>
        <w:rPr>
          <w:rFonts w:hint="eastAsia"/>
          <w:color w:val="auto"/>
          <w:highlight w:val="none"/>
        </w:rPr>
      </w:pPr>
    </w:p>
    <w:p w14:paraId="037B1D1E">
      <w:pPr>
        <w:rPr>
          <w:rFonts w:hint="eastAsia"/>
          <w:color w:val="auto"/>
          <w:highlight w:val="none"/>
        </w:rPr>
      </w:pPr>
    </w:p>
    <w:p w14:paraId="6A2E3C93">
      <w:pPr>
        <w:rPr>
          <w:rFonts w:hint="eastAsia"/>
          <w:color w:val="auto"/>
          <w:highlight w:val="none"/>
        </w:rPr>
      </w:pPr>
    </w:p>
    <w:p w14:paraId="6EC3A21B">
      <w:pPr>
        <w:rPr>
          <w:rFonts w:hint="eastAsia"/>
          <w:color w:val="auto"/>
          <w:highlight w:val="none"/>
        </w:rPr>
      </w:pPr>
    </w:p>
    <w:p w14:paraId="37BACD33">
      <w:pPr>
        <w:rPr>
          <w:rFonts w:hint="eastAsia"/>
          <w:color w:val="auto"/>
          <w:highlight w:val="none"/>
        </w:rPr>
      </w:pPr>
    </w:p>
    <w:p w14:paraId="56AD0404">
      <w:pPr>
        <w:rPr>
          <w:rFonts w:hint="eastAsia"/>
          <w:color w:val="auto"/>
          <w:highlight w:val="none"/>
        </w:rPr>
      </w:pPr>
    </w:p>
    <w:p w14:paraId="069084E6">
      <w:pPr>
        <w:rPr>
          <w:rFonts w:hint="eastAsia"/>
          <w:color w:val="auto"/>
          <w:highlight w:val="none"/>
        </w:rPr>
      </w:pPr>
    </w:p>
    <w:p w14:paraId="4E4BA744">
      <w:pPr>
        <w:rPr>
          <w:rFonts w:hint="eastAsia"/>
          <w:color w:val="auto"/>
          <w:highlight w:val="none"/>
        </w:rPr>
      </w:pPr>
    </w:p>
    <w:p w14:paraId="5CFE9E9C">
      <w:pPr>
        <w:rPr>
          <w:rFonts w:hint="eastAsia"/>
          <w:color w:val="auto"/>
          <w:highlight w:val="none"/>
        </w:rPr>
      </w:pPr>
    </w:p>
    <w:p w14:paraId="35FBDBB3">
      <w:pPr>
        <w:rPr>
          <w:rFonts w:hint="eastAsia"/>
          <w:color w:val="auto"/>
          <w:highlight w:val="none"/>
        </w:rPr>
      </w:pPr>
    </w:p>
    <w:p w14:paraId="6BBC940F">
      <w:pPr>
        <w:rPr>
          <w:rFonts w:hint="eastAsia"/>
          <w:color w:val="auto"/>
          <w:highlight w:val="none"/>
        </w:rPr>
      </w:pPr>
    </w:p>
    <w:p w14:paraId="70D0BBE5">
      <w:pPr>
        <w:rPr>
          <w:rFonts w:hint="eastAsia"/>
          <w:color w:val="auto"/>
          <w:highlight w:val="none"/>
        </w:rPr>
      </w:pPr>
    </w:p>
    <w:p w14:paraId="2DF2EDE2">
      <w:pPr>
        <w:rPr>
          <w:rFonts w:hint="eastAsia"/>
          <w:color w:val="auto"/>
          <w:highlight w:val="none"/>
        </w:rPr>
      </w:pPr>
    </w:p>
    <w:p w14:paraId="4FAF14D7">
      <w:pPr>
        <w:rPr>
          <w:rFonts w:hint="eastAsia"/>
          <w:color w:val="auto"/>
          <w:highlight w:val="none"/>
        </w:rPr>
      </w:pPr>
    </w:p>
    <w:p w14:paraId="5FF33696">
      <w:pPr>
        <w:rPr>
          <w:rFonts w:hint="eastAsia"/>
          <w:color w:val="auto"/>
          <w:highlight w:val="none"/>
        </w:rPr>
      </w:pPr>
    </w:p>
    <w:p w14:paraId="3A0CD7FB">
      <w:pPr>
        <w:rPr>
          <w:rFonts w:hint="eastAsia"/>
          <w:color w:val="auto"/>
          <w:highlight w:val="none"/>
        </w:rPr>
      </w:pPr>
    </w:p>
    <w:p w14:paraId="67B60F0A">
      <w:pPr>
        <w:rPr>
          <w:rFonts w:hint="eastAsia"/>
          <w:color w:val="auto"/>
          <w:highlight w:val="none"/>
        </w:rPr>
      </w:pPr>
    </w:p>
    <w:p w14:paraId="1835B588">
      <w:pPr>
        <w:rPr>
          <w:rFonts w:hint="eastAsia"/>
          <w:color w:val="auto"/>
          <w:highlight w:val="none"/>
        </w:rPr>
      </w:pPr>
    </w:p>
    <w:p w14:paraId="751F4C6F">
      <w:pPr>
        <w:rPr>
          <w:rFonts w:hint="eastAsia"/>
          <w:color w:val="auto"/>
          <w:highlight w:val="none"/>
        </w:rPr>
      </w:pPr>
    </w:p>
    <w:p w14:paraId="1094696E">
      <w:pPr>
        <w:rPr>
          <w:rFonts w:hint="eastAsia"/>
          <w:color w:val="auto"/>
          <w:highlight w:val="none"/>
        </w:rPr>
      </w:pPr>
    </w:p>
    <w:p w14:paraId="2025B603">
      <w:pPr>
        <w:rPr>
          <w:rFonts w:hint="eastAsia"/>
          <w:color w:val="auto"/>
          <w:highlight w:val="none"/>
        </w:rPr>
      </w:pPr>
    </w:p>
    <w:p w14:paraId="0EA0F7D4">
      <w:pPr>
        <w:rPr>
          <w:rFonts w:hint="eastAsia"/>
          <w:color w:val="auto"/>
          <w:highlight w:val="none"/>
        </w:rPr>
      </w:pPr>
    </w:p>
    <w:p w14:paraId="04067BD3">
      <w:pPr>
        <w:rPr>
          <w:rFonts w:hint="eastAsia"/>
          <w:color w:val="auto"/>
          <w:highlight w:val="none"/>
        </w:rPr>
      </w:pPr>
    </w:p>
    <w:p w14:paraId="5175DEF0">
      <w:pPr>
        <w:pStyle w:val="17"/>
        <w:rPr>
          <w:rFonts w:hint="eastAsia"/>
          <w:color w:val="auto"/>
          <w:highlight w:val="none"/>
        </w:rPr>
      </w:pPr>
    </w:p>
    <w:p w14:paraId="66EC9CE3">
      <w:pPr>
        <w:rPr>
          <w:rFonts w:hint="default" w:eastAsia="宋体"/>
          <w:b/>
          <w:bCs/>
          <w:sz w:val="32"/>
          <w:szCs w:val="32"/>
          <w:lang w:val="en-US" w:eastAsia="zh-CN"/>
        </w:rPr>
      </w:pPr>
      <w:r>
        <w:rPr>
          <w:rFonts w:hint="eastAsia"/>
          <w:b/>
          <w:bCs/>
          <w:color w:val="auto"/>
          <w:sz w:val="32"/>
          <w:szCs w:val="32"/>
          <w:highlight w:val="none"/>
          <w:lang w:val="en-US" w:eastAsia="zh-CN"/>
        </w:rPr>
        <w:t>标项二：采购需求</w:t>
      </w:r>
    </w:p>
    <w:tbl>
      <w:tblPr>
        <w:tblStyle w:val="125"/>
        <w:tblW w:w="9606" w:type="dxa"/>
        <w:tblInd w:w="2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6"/>
        <w:gridCol w:w="621"/>
        <w:gridCol w:w="7704"/>
        <w:gridCol w:w="825"/>
      </w:tblGrid>
      <w:tr w14:paraId="611EDC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456" w:type="dxa"/>
            <w:vAlign w:val="top"/>
          </w:tcPr>
          <w:p w14:paraId="46F7C56F">
            <w:pPr>
              <w:pStyle w:val="124"/>
              <w:spacing w:before="39" w:line="221" w:lineRule="auto"/>
              <w:ind w:left="174"/>
            </w:pPr>
            <w:r>
              <w:rPr>
                <w:spacing w:val="5"/>
              </w:rPr>
              <w:t>序号</w:t>
            </w:r>
          </w:p>
        </w:tc>
        <w:tc>
          <w:tcPr>
            <w:tcW w:w="621" w:type="dxa"/>
            <w:vAlign w:val="top"/>
          </w:tcPr>
          <w:p w14:paraId="108EB7F4">
            <w:pPr>
              <w:pStyle w:val="124"/>
              <w:spacing w:before="39" w:line="221" w:lineRule="auto"/>
              <w:ind w:left="132"/>
            </w:pPr>
            <w:r>
              <w:rPr>
                <w:rFonts w:hint="eastAsia"/>
                <w:spacing w:val="7"/>
                <w:lang w:eastAsia="zh-CN"/>
              </w:rPr>
              <w:t>标项</w:t>
            </w:r>
            <w:r>
              <w:rPr>
                <w:spacing w:val="7"/>
              </w:rPr>
              <w:t>名称</w:t>
            </w:r>
          </w:p>
        </w:tc>
        <w:tc>
          <w:tcPr>
            <w:tcW w:w="7704" w:type="dxa"/>
            <w:vAlign w:val="top"/>
          </w:tcPr>
          <w:p w14:paraId="71DA7101">
            <w:pPr>
              <w:pStyle w:val="124"/>
              <w:spacing w:before="39" w:line="221" w:lineRule="auto"/>
              <w:ind w:left="3191"/>
            </w:pPr>
            <w:r>
              <w:rPr>
                <w:spacing w:val="8"/>
              </w:rPr>
              <w:t>服务内容及要求</w:t>
            </w:r>
          </w:p>
        </w:tc>
        <w:tc>
          <w:tcPr>
            <w:tcW w:w="825" w:type="dxa"/>
            <w:vAlign w:val="top"/>
          </w:tcPr>
          <w:p w14:paraId="2D64823B">
            <w:pPr>
              <w:pStyle w:val="124"/>
              <w:spacing w:before="39" w:line="221" w:lineRule="auto"/>
              <w:ind w:left="3191"/>
              <w:jc w:val="center"/>
              <w:rPr>
                <w:spacing w:val="8"/>
              </w:rPr>
            </w:pPr>
          </w:p>
          <w:p w14:paraId="6198EBD8">
            <w:pPr>
              <w:bidi w:val="0"/>
              <w:jc w:val="center"/>
              <w:rPr>
                <w:rFonts w:hint="eastAsia" w:eastAsia="宋体"/>
                <w:lang w:eastAsia="zh-CN"/>
              </w:rPr>
            </w:pPr>
            <w:r>
              <w:rPr>
                <w:rFonts w:hint="eastAsia"/>
                <w:lang w:eastAsia="zh-CN"/>
              </w:rPr>
              <w:t>备注</w:t>
            </w:r>
          </w:p>
        </w:tc>
      </w:tr>
      <w:tr w14:paraId="354A1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9" w:hRule="atLeast"/>
        </w:trPr>
        <w:tc>
          <w:tcPr>
            <w:tcW w:w="456" w:type="dxa"/>
            <w:vAlign w:val="top"/>
          </w:tcPr>
          <w:p w14:paraId="532ABED2">
            <w:pPr>
              <w:spacing w:line="256" w:lineRule="auto"/>
              <w:rPr>
                <w:rFonts w:ascii="Arial"/>
                <w:sz w:val="21"/>
              </w:rPr>
            </w:pPr>
          </w:p>
          <w:p w14:paraId="69B3AD73">
            <w:pPr>
              <w:spacing w:line="256" w:lineRule="auto"/>
              <w:rPr>
                <w:rFonts w:ascii="Arial"/>
                <w:sz w:val="21"/>
              </w:rPr>
            </w:pPr>
          </w:p>
          <w:p w14:paraId="1B03FC44">
            <w:pPr>
              <w:spacing w:line="256" w:lineRule="auto"/>
              <w:rPr>
                <w:rFonts w:ascii="Arial"/>
                <w:sz w:val="21"/>
              </w:rPr>
            </w:pPr>
          </w:p>
          <w:p w14:paraId="7E36C128">
            <w:pPr>
              <w:spacing w:line="256" w:lineRule="auto"/>
              <w:rPr>
                <w:rFonts w:ascii="Arial"/>
                <w:sz w:val="21"/>
              </w:rPr>
            </w:pPr>
          </w:p>
          <w:p w14:paraId="0C595816">
            <w:pPr>
              <w:spacing w:line="256" w:lineRule="auto"/>
              <w:rPr>
                <w:rFonts w:ascii="Arial"/>
                <w:sz w:val="21"/>
              </w:rPr>
            </w:pPr>
          </w:p>
          <w:p w14:paraId="5B2D4E45">
            <w:pPr>
              <w:spacing w:line="257" w:lineRule="auto"/>
              <w:rPr>
                <w:rFonts w:ascii="Arial"/>
                <w:sz w:val="21"/>
              </w:rPr>
            </w:pPr>
          </w:p>
          <w:p w14:paraId="3E80E415">
            <w:pPr>
              <w:spacing w:line="257" w:lineRule="auto"/>
              <w:rPr>
                <w:rFonts w:ascii="Arial"/>
                <w:sz w:val="21"/>
              </w:rPr>
            </w:pPr>
          </w:p>
          <w:p w14:paraId="12AE3E27">
            <w:pPr>
              <w:spacing w:line="257" w:lineRule="auto"/>
              <w:rPr>
                <w:rFonts w:ascii="Arial"/>
                <w:sz w:val="21"/>
              </w:rPr>
            </w:pPr>
          </w:p>
          <w:p w14:paraId="1D618412">
            <w:pPr>
              <w:spacing w:line="257" w:lineRule="auto"/>
              <w:rPr>
                <w:rFonts w:ascii="Arial"/>
                <w:sz w:val="21"/>
              </w:rPr>
            </w:pPr>
          </w:p>
          <w:p w14:paraId="1CB674E5">
            <w:pPr>
              <w:spacing w:line="257" w:lineRule="auto"/>
              <w:rPr>
                <w:rFonts w:ascii="Arial"/>
                <w:sz w:val="21"/>
              </w:rPr>
            </w:pPr>
          </w:p>
          <w:p w14:paraId="1E8F8D0D">
            <w:pPr>
              <w:spacing w:line="257" w:lineRule="auto"/>
              <w:rPr>
                <w:rFonts w:ascii="Arial"/>
                <w:sz w:val="21"/>
              </w:rPr>
            </w:pPr>
          </w:p>
          <w:p w14:paraId="4E7C518F">
            <w:pPr>
              <w:spacing w:line="257" w:lineRule="auto"/>
              <w:rPr>
                <w:rFonts w:ascii="Arial"/>
                <w:sz w:val="21"/>
              </w:rPr>
            </w:pPr>
          </w:p>
          <w:p w14:paraId="1DBD3BE5">
            <w:pPr>
              <w:pStyle w:val="124"/>
              <w:spacing w:before="65" w:line="270" w:lineRule="exact"/>
              <w:ind w:left="349"/>
              <w:jc w:val="left"/>
            </w:pPr>
            <w:r>
              <w:rPr>
                <w:position w:val="1"/>
              </w:rPr>
              <w:t>1</w:t>
            </w:r>
          </w:p>
        </w:tc>
        <w:tc>
          <w:tcPr>
            <w:tcW w:w="621" w:type="dxa"/>
            <w:vAlign w:val="top"/>
          </w:tcPr>
          <w:p w14:paraId="7C41115F">
            <w:pPr>
              <w:spacing w:line="252" w:lineRule="auto"/>
              <w:rPr>
                <w:rFonts w:ascii="Arial"/>
                <w:sz w:val="21"/>
              </w:rPr>
            </w:pPr>
          </w:p>
          <w:p w14:paraId="0FC4F941">
            <w:pPr>
              <w:spacing w:line="252" w:lineRule="auto"/>
              <w:rPr>
                <w:rFonts w:ascii="Arial"/>
                <w:sz w:val="21"/>
              </w:rPr>
            </w:pPr>
          </w:p>
          <w:p w14:paraId="57462165">
            <w:pPr>
              <w:spacing w:line="252" w:lineRule="auto"/>
              <w:rPr>
                <w:rFonts w:ascii="Arial"/>
                <w:sz w:val="21"/>
              </w:rPr>
            </w:pPr>
          </w:p>
          <w:p w14:paraId="3DE354D1">
            <w:pPr>
              <w:spacing w:line="252" w:lineRule="auto"/>
              <w:rPr>
                <w:rFonts w:ascii="Arial"/>
                <w:sz w:val="21"/>
              </w:rPr>
            </w:pPr>
          </w:p>
          <w:p w14:paraId="368BE48F">
            <w:pPr>
              <w:spacing w:line="252" w:lineRule="auto"/>
              <w:rPr>
                <w:rFonts w:ascii="Arial"/>
                <w:sz w:val="21"/>
              </w:rPr>
            </w:pPr>
          </w:p>
          <w:p w14:paraId="184B5477">
            <w:pPr>
              <w:spacing w:line="252" w:lineRule="auto"/>
              <w:rPr>
                <w:rFonts w:ascii="Arial"/>
                <w:sz w:val="21"/>
              </w:rPr>
            </w:pPr>
          </w:p>
          <w:p w14:paraId="5E4F406A">
            <w:pPr>
              <w:spacing w:line="252" w:lineRule="auto"/>
              <w:rPr>
                <w:rFonts w:ascii="Arial"/>
                <w:sz w:val="21"/>
              </w:rPr>
            </w:pPr>
          </w:p>
          <w:p w14:paraId="46D913CC">
            <w:pPr>
              <w:spacing w:line="252" w:lineRule="auto"/>
              <w:jc w:val="center"/>
              <w:rPr>
                <w:rFonts w:ascii="Arial"/>
                <w:sz w:val="21"/>
              </w:rPr>
            </w:pPr>
          </w:p>
          <w:p w14:paraId="01C030D0">
            <w:pPr>
              <w:spacing w:line="252" w:lineRule="auto"/>
              <w:rPr>
                <w:rFonts w:hint="eastAsia" w:ascii="Arial" w:eastAsia="宋体"/>
                <w:sz w:val="21"/>
                <w:lang w:val="en-US" w:eastAsia="zh-CN"/>
              </w:rPr>
            </w:pPr>
          </w:p>
          <w:p w14:paraId="13D0BFB3">
            <w:pPr>
              <w:pStyle w:val="124"/>
              <w:spacing w:before="25" w:line="229" w:lineRule="auto"/>
              <w:ind w:left="346"/>
              <w:jc w:val="both"/>
              <w:rPr>
                <w:rFonts w:hint="eastAsia" w:eastAsia="宋体"/>
                <w:lang w:eastAsia="zh-CN"/>
              </w:rPr>
            </w:pPr>
            <w:r>
              <w:rPr>
                <w:rFonts w:hint="eastAsia" w:eastAsia="宋体"/>
                <w:lang w:eastAsia="zh-CN"/>
              </w:rPr>
              <w:t>港南区2026年生产障碍耕地治理项目-</w:t>
            </w:r>
          </w:p>
          <w:p w14:paraId="4CB0745B">
            <w:pPr>
              <w:pStyle w:val="124"/>
              <w:spacing w:before="25" w:line="229" w:lineRule="auto"/>
              <w:ind w:left="346"/>
              <w:jc w:val="both"/>
              <w:rPr>
                <w:rFonts w:hint="default" w:eastAsia="宋体"/>
                <w:lang w:val="en-US" w:eastAsia="zh-CN"/>
              </w:rPr>
            </w:pPr>
            <w:r>
              <w:rPr>
                <w:rFonts w:hint="eastAsia"/>
                <w:lang w:val="en-US" w:eastAsia="zh-CN"/>
              </w:rPr>
              <w:t>2分标</w:t>
            </w:r>
          </w:p>
        </w:tc>
        <w:tc>
          <w:tcPr>
            <w:tcW w:w="7704" w:type="dxa"/>
            <w:vAlign w:val="top"/>
          </w:tcPr>
          <w:p w14:paraId="3D850DD8">
            <w:pPr>
              <w:pStyle w:val="124"/>
              <w:spacing w:before="161" w:line="360" w:lineRule="auto"/>
              <w:ind w:left="112" w:right="279" w:firstLine="421"/>
              <w:rPr>
                <w:rFonts w:hint="eastAsia"/>
                <w:spacing w:val="10"/>
              </w:rPr>
            </w:pPr>
            <w:r>
              <w:rPr>
                <w:rFonts w:hint="eastAsia"/>
                <w:spacing w:val="10"/>
                <w:lang w:eastAsia="zh-CN"/>
              </w:rPr>
              <w:t>根据</w:t>
            </w:r>
            <w:r>
              <w:rPr>
                <w:rFonts w:hint="eastAsia"/>
                <w:spacing w:val="10"/>
              </w:rPr>
              <w:t>《</w:t>
            </w:r>
            <w:r>
              <w:rPr>
                <w:rFonts w:hint="eastAsia"/>
                <w:spacing w:val="10"/>
                <w:lang w:val="en-US" w:eastAsia="zh-CN"/>
              </w:rPr>
              <w:t>耕地土壤污染治理规范</w:t>
            </w:r>
            <w:r>
              <w:rPr>
                <w:rFonts w:hint="eastAsia"/>
                <w:spacing w:val="10"/>
              </w:rPr>
              <w:t>》（NY/T</w:t>
            </w:r>
            <w:r>
              <w:rPr>
                <w:rFonts w:hint="eastAsia"/>
                <w:spacing w:val="10"/>
                <w:lang w:val="en-US" w:eastAsia="zh-CN"/>
              </w:rPr>
              <w:t xml:space="preserve"> 4600</w:t>
            </w:r>
            <w:r>
              <w:rPr>
                <w:rFonts w:hint="eastAsia"/>
                <w:spacing w:val="10"/>
                <w:lang w:eastAsia="zh-CN"/>
              </w:rPr>
              <w:t>—</w:t>
            </w:r>
            <w:r>
              <w:rPr>
                <w:rFonts w:hint="eastAsia"/>
                <w:spacing w:val="10"/>
                <w:lang w:val="en-US" w:eastAsia="zh-CN"/>
              </w:rPr>
              <w:t>2025</w:t>
            </w:r>
            <w:r>
              <w:rPr>
                <w:rFonts w:hint="eastAsia"/>
                <w:spacing w:val="10"/>
              </w:rPr>
              <w:t>）、《农业农村部办公厅关于印发〈轻中度污染耕地安全利用与治理修复推荐技术名录（2019年版）〉的通知》（农办科〔2019〕14号），结合广西水稻产地安全利用“GTP+”技术模式，因地制宜</w:t>
            </w:r>
            <w:r>
              <w:rPr>
                <w:rFonts w:hint="eastAsia"/>
                <w:spacing w:val="10"/>
                <w:lang w:val="en-US" w:eastAsia="zh-CN"/>
              </w:rPr>
              <w:t>选取“叶面阻隔+”或者“镉低积累品种替代+”技术措施模式来进行项目实施，全区项目实施面积1.1万亩，其中实施“镉积累品种替代+”技术措施的面积不少于500亩。</w:t>
            </w:r>
            <w:r>
              <w:rPr>
                <w:rFonts w:hint="eastAsia"/>
                <w:spacing w:val="10"/>
              </w:rPr>
              <w:t>其中</w:t>
            </w:r>
            <w:r>
              <w:rPr>
                <w:rFonts w:hint="eastAsia"/>
                <w:spacing w:val="10"/>
                <w:lang w:eastAsia="zh-CN"/>
              </w:rPr>
              <w:t>，</w:t>
            </w:r>
            <w:r>
              <w:rPr>
                <w:rFonts w:hint="eastAsia"/>
                <w:spacing w:val="10"/>
                <w:lang w:val="en-US" w:eastAsia="zh-CN"/>
              </w:rPr>
              <w:t>“叶面阻隔+”技术措施模式主要包括以下实施内容：1.喷施叶面阻隔剂两次；2.土壤pH调节（</w:t>
            </w:r>
            <w:r>
              <w:rPr>
                <w:rFonts w:hint="eastAsia"/>
                <w:spacing w:val="10"/>
              </w:rPr>
              <w:t>在土壤pH值低于6.5的地块实施土壤pH调节</w:t>
            </w:r>
            <w:r>
              <w:rPr>
                <w:rFonts w:hint="eastAsia"/>
                <w:spacing w:val="10"/>
                <w:lang w:val="en-US" w:eastAsia="zh-CN"/>
              </w:rPr>
              <w:t>）或微生物修复调控；3.</w:t>
            </w:r>
            <w:r>
              <w:rPr>
                <w:rFonts w:hint="eastAsia"/>
                <w:spacing w:val="10"/>
              </w:rPr>
              <w:t>开展技术宣传指导</w:t>
            </w:r>
            <w:r>
              <w:rPr>
                <w:rFonts w:hint="eastAsia"/>
                <w:spacing w:val="10"/>
                <w:lang w:eastAsia="zh-CN"/>
              </w:rPr>
              <w:t>。</w:t>
            </w:r>
            <w:r>
              <w:rPr>
                <w:rFonts w:hint="eastAsia"/>
                <w:spacing w:val="10"/>
                <w:lang w:val="en-US" w:eastAsia="zh-CN"/>
              </w:rPr>
              <w:t>镉低积累品种替代+”技术措施模式主要包括以下实施内容：1.镉低积累水稻品种替代；2.增施锰肥；3.开展技术宣传指导。要注意做好项目农业投入品质量管控，严禁使用不合格投入品，避免造成人为污染。</w:t>
            </w:r>
            <w:r>
              <w:rPr>
                <w:rFonts w:hint="eastAsia"/>
                <w:spacing w:val="10"/>
              </w:rPr>
              <w:t>以完成项目实施区域安全利用率不低于9</w:t>
            </w:r>
            <w:r>
              <w:rPr>
                <w:rFonts w:hint="eastAsia"/>
                <w:spacing w:val="10"/>
                <w:lang w:val="en-US" w:eastAsia="zh-CN"/>
              </w:rPr>
              <w:t>3</w:t>
            </w:r>
            <w:r>
              <w:rPr>
                <w:rFonts w:hint="eastAsia"/>
                <w:spacing w:val="10"/>
              </w:rPr>
              <w:t>%为绩效目标，根据实际情况增加具体技术措施（含增加叶面阻控剂主要元素或者提高必须元素含量等要求），</w:t>
            </w:r>
            <w:r>
              <w:rPr>
                <w:rFonts w:hint="eastAsia"/>
                <w:spacing w:val="10"/>
                <w:lang w:val="en-US" w:eastAsia="zh-CN"/>
              </w:rPr>
              <w:t>承接项目的第三方须</w:t>
            </w:r>
            <w:r>
              <w:rPr>
                <w:rFonts w:hint="eastAsia"/>
                <w:spacing w:val="10"/>
              </w:rPr>
              <w:t>制定具体实施方案</w:t>
            </w:r>
            <w:r>
              <w:rPr>
                <w:rFonts w:hint="eastAsia"/>
                <w:spacing w:val="10"/>
                <w:lang w:val="en-US" w:eastAsia="zh-CN"/>
              </w:rPr>
              <w:t>且实际实施面积应比合同面积多5%来计划</w:t>
            </w:r>
            <w:r>
              <w:rPr>
                <w:rFonts w:hint="eastAsia"/>
                <w:b/>
                <w:bCs/>
                <w:color w:val="auto"/>
                <w:spacing w:val="10"/>
                <w:lang w:eastAsia="zh-CN"/>
              </w:rPr>
              <w:t>（</w:t>
            </w:r>
            <w:r>
              <w:rPr>
                <w:rFonts w:hint="eastAsia"/>
                <w:b/>
                <w:bCs/>
                <w:color w:val="auto"/>
                <w:spacing w:val="10"/>
                <w:lang w:val="en-US" w:eastAsia="zh-CN"/>
              </w:rPr>
              <w:t>在新塘镇、瓦塘镇、木格镇等安全利用类耕地及严格管控类耕地仍种植水稻区域完成“叶面阻隔+”或者“镉低积累品种替代+”技术措施落地不少于5250亩，技术指导人数不少于1325人</w:t>
            </w:r>
            <w:r>
              <w:rPr>
                <w:rFonts w:hint="eastAsia"/>
                <w:b/>
                <w:bCs/>
                <w:spacing w:val="10"/>
                <w:lang w:eastAsia="zh-CN"/>
              </w:rPr>
              <w:t>）</w:t>
            </w:r>
            <w:r>
              <w:rPr>
                <w:rFonts w:hint="eastAsia"/>
                <w:spacing w:val="10"/>
              </w:rPr>
              <w:t>，以实现克服农产品产地环境障碍为目标，提</w:t>
            </w:r>
            <w:r>
              <w:rPr>
                <w:rFonts w:hint="eastAsia"/>
                <w:spacing w:val="10"/>
                <w:lang w:eastAsia="zh-CN"/>
              </w:rPr>
              <w:t>高</w:t>
            </w:r>
            <w:r>
              <w:rPr>
                <w:rFonts w:hint="eastAsia"/>
                <w:spacing w:val="10"/>
              </w:rPr>
              <w:t>稻谷质量（重金属）安全水平。</w:t>
            </w:r>
          </w:p>
          <w:p w14:paraId="356FAB56">
            <w:pPr>
              <w:pStyle w:val="124"/>
              <w:spacing w:before="161" w:line="360" w:lineRule="auto"/>
              <w:ind w:left="112" w:right="279" w:firstLine="421"/>
              <w:rPr>
                <w:rFonts w:hint="eastAsia"/>
                <w:spacing w:val="10"/>
                <w:lang w:val="en-US" w:eastAsia="zh-CN"/>
              </w:rPr>
            </w:pPr>
            <w:r>
              <w:rPr>
                <w:rFonts w:hint="eastAsia"/>
                <w:spacing w:val="10"/>
                <w:lang w:val="en-US" w:eastAsia="zh-CN"/>
              </w:rPr>
              <w:t>1、“叶面阻隔+”模式。</w:t>
            </w:r>
          </w:p>
          <w:p w14:paraId="58849CCE">
            <w:pPr>
              <w:pStyle w:val="124"/>
              <w:spacing w:before="161" w:line="360" w:lineRule="auto"/>
              <w:ind w:left="112" w:right="279" w:firstLine="421"/>
              <w:rPr>
                <w:rFonts w:hint="eastAsia"/>
                <w:spacing w:val="10"/>
              </w:rPr>
            </w:pPr>
            <w:r>
              <w:rPr>
                <w:rFonts w:hint="eastAsia"/>
                <w:spacing w:val="10"/>
                <w:lang w:val="en-US" w:eastAsia="zh-CN"/>
              </w:rPr>
              <w:t>（1）</w:t>
            </w:r>
            <w:r>
              <w:rPr>
                <w:rFonts w:hint="eastAsia"/>
                <w:spacing w:val="10"/>
              </w:rPr>
              <w:t>叶面阻</w:t>
            </w:r>
            <w:r>
              <w:rPr>
                <w:rFonts w:hint="eastAsia"/>
                <w:spacing w:val="10"/>
                <w:lang w:val="en-US" w:eastAsia="zh-CN"/>
              </w:rPr>
              <w:t>隔。</w:t>
            </w:r>
            <w:r>
              <w:rPr>
                <w:rFonts w:hint="eastAsia"/>
                <w:spacing w:val="10"/>
              </w:rPr>
              <w:t>喷施两次及以上叶面阻控剂（获得相应肥料登记的产品）。承接项目的第三方须根据项目实施区域当地稻谷重金属超标程度，参照国家标准文件《稻田重金属治理 第3部分：生理阻隔》（GB/T 43419.3—2023）规范要求选择适配产品[含非金属元素型（主要有硅Si、硒Se、磷P等）、金属元素型（主要有锌Zn、铁Fe、锰Mn、铜Cu、硼B、钼Mo等）、有机型（主要有脯氨酸、谷氨酸、半胱氨酸等氨基酸）等，且是获得相应肥料登记的产品]，按照各厂家产品说明书推荐的每亩用量和稀释倍数使用。建议在分蘖盛期至齐穗期前喷施，时间间隔至少7天，选择在下午4:00后喷施效果最佳，如果扬花期喷施则必须在下午进行，切忌中午喷施，喷施后如在4小时内遇雨则需重新喷施。</w:t>
            </w:r>
          </w:p>
          <w:p w14:paraId="4DD998FB">
            <w:pPr>
              <w:pStyle w:val="124"/>
              <w:spacing w:before="161" w:line="360" w:lineRule="auto"/>
              <w:ind w:left="112" w:right="279" w:firstLine="421"/>
              <w:rPr>
                <w:rFonts w:hint="eastAsia"/>
                <w:spacing w:val="10"/>
              </w:rPr>
            </w:pPr>
            <w:r>
              <w:rPr>
                <w:rFonts w:hint="eastAsia"/>
                <w:spacing w:val="10"/>
                <w:lang w:val="en-US" w:eastAsia="zh-CN"/>
              </w:rPr>
              <w:t>（2）土壤pH调节。</w:t>
            </w:r>
            <w:r>
              <w:rPr>
                <w:rFonts w:hint="eastAsia"/>
                <w:spacing w:val="10"/>
              </w:rPr>
              <w:t>按照“一区一策、同区同策”的农用地安全利用“GTP+”技术措施落实原则，在不改变原有田块布局的基础上，承接项目的第三方须开展种植区域或者地块pH值检测，制定工作方案（含明确土壤pH具体调节措施、小区域或者地块清单及物料用量等数据</w:t>
            </w:r>
            <w:r>
              <w:rPr>
                <w:rFonts w:hint="eastAsia"/>
                <w:spacing w:val="10"/>
                <w:lang w:eastAsia="zh-CN"/>
              </w:rPr>
              <w:t>。</w:t>
            </w:r>
            <w:r>
              <w:rPr>
                <w:rFonts w:hint="eastAsia"/>
                <w:spacing w:val="10"/>
                <w:lang w:val="en-US" w:eastAsia="zh-CN"/>
              </w:rPr>
              <w:t>如因错过农时无法在水稻移栽前撒入，经业主同意后可调整使用颗粒型调理剂</w:t>
            </w:r>
            <w:r>
              <w:rPr>
                <w:rFonts w:hint="eastAsia"/>
                <w:spacing w:val="10"/>
              </w:rPr>
              <w:t>）。pH值低于6.5的区域实施土壤pH调节，主要建议施用获得登记的钙镁磷肥、硅钙肥</w:t>
            </w:r>
            <w:r>
              <w:rPr>
                <w:rFonts w:hint="eastAsia"/>
                <w:spacing w:val="10"/>
                <w:lang w:eastAsia="zh-CN"/>
              </w:rPr>
              <w:t>、碱性有机肥</w:t>
            </w:r>
            <w:r>
              <w:rPr>
                <w:rFonts w:hint="eastAsia"/>
                <w:spacing w:val="10"/>
              </w:rPr>
              <w:t>及其他碱性肥料调节土壤pH。</w:t>
            </w:r>
          </w:p>
          <w:p w14:paraId="528FAB0F">
            <w:pPr>
              <w:pStyle w:val="124"/>
              <w:spacing w:before="161" w:line="360" w:lineRule="auto"/>
              <w:ind w:left="112" w:right="279" w:firstLine="421"/>
              <w:rPr>
                <w:rFonts w:hint="eastAsia"/>
                <w:spacing w:val="10"/>
              </w:rPr>
            </w:pPr>
            <w:r>
              <w:rPr>
                <w:rFonts w:hint="eastAsia"/>
                <w:spacing w:val="10"/>
                <w:lang w:val="en-US" w:eastAsia="zh-CN"/>
              </w:rPr>
              <w:t>注：钙镁磷肥要求满足指标:五氧化二磷(P205)&gt;12%、钙(CaO)≥20%、有效镁(Mg)&gt;4%、可溶性硅(</w:t>
            </w:r>
            <w:r>
              <w:rPr>
                <w:rFonts w:hint="eastAsia"/>
                <w:spacing w:val="10"/>
              </w:rPr>
              <w:t>SiO2</w:t>
            </w:r>
            <w:r>
              <w:rPr>
                <w:rFonts w:hint="eastAsia"/>
                <w:spacing w:val="10"/>
                <w:lang w:val="en-US" w:eastAsia="zh-CN"/>
              </w:rPr>
              <w:t>)&gt; 20%、pH在8.5-10.5；</w:t>
            </w:r>
            <w:r>
              <w:rPr>
                <w:rFonts w:hint="eastAsia"/>
                <w:spacing w:val="10"/>
              </w:rPr>
              <w:t>硅钙类土壤调理剂符合行业标准NY/T 3830-2021要求，指标需满足：氧化硅（SiO2）≥25%、氧化钙Ca0≥30%、钙Ca+镁Mg≥20%。</w:t>
            </w:r>
          </w:p>
          <w:p w14:paraId="3610229A">
            <w:pPr>
              <w:pStyle w:val="124"/>
              <w:spacing w:before="161" w:line="360" w:lineRule="auto"/>
              <w:ind w:left="112" w:right="279" w:firstLine="421"/>
              <w:rPr>
                <w:rFonts w:hint="eastAsia"/>
                <w:spacing w:val="10"/>
                <w:lang w:val="en-US" w:eastAsia="zh-CN"/>
              </w:rPr>
            </w:pPr>
            <w:r>
              <w:rPr>
                <w:rFonts w:hint="eastAsia"/>
                <w:spacing w:val="10"/>
                <w:lang w:val="en-US" w:eastAsia="zh-CN"/>
              </w:rPr>
              <w:t>（3）微生物修复调控。选用稻田重金属耐性专用功能有益微生物，通过根系吸附、离子沉淀、胞外络合、根际微环境调节等作用，原位钝化土壤镉等重金属，降低重金属生物有效性与迁移活性，抑制水稻重金属根系吸收及籽粒富集。微生物修复材料包括微生物菌剂﹑微生物接种剂﹑复合微生物肥料和生物有机肥、农用微生物菌剂（执行GB 20287—2006）和微生物浓缩制剂（执行NY/T 3083—2017）等。</w:t>
            </w:r>
          </w:p>
          <w:p w14:paraId="30E66D4B">
            <w:pPr>
              <w:pStyle w:val="124"/>
              <w:spacing w:before="161" w:line="360" w:lineRule="auto"/>
              <w:ind w:left="112" w:right="279" w:firstLine="421"/>
              <w:rPr>
                <w:rFonts w:hint="eastAsia"/>
                <w:spacing w:val="10"/>
              </w:rPr>
            </w:pPr>
            <w:r>
              <w:rPr>
                <w:rFonts w:hint="eastAsia"/>
                <w:spacing w:val="10"/>
              </w:rPr>
              <w:t>注：</w:t>
            </w:r>
            <w:r>
              <w:rPr>
                <w:rFonts w:hint="eastAsia"/>
                <w:spacing w:val="10"/>
                <w:lang w:val="en-US" w:eastAsia="zh-CN"/>
              </w:rPr>
              <w:t>以上投入品</w:t>
            </w:r>
            <w:r>
              <w:rPr>
                <w:rFonts w:hint="eastAsia"/>
                <w:spacing w:val="10"/>
              </w:rPr>
              <w:t>实施前需经过抽检，</w:t>
            </w:r>
            <w:r>
              <w:rPr>
                <w:rFonts w:hint="eastAsia"/>
                <w:spacing w:val="10"/>
                <w:lang w:eastAsia="zh-CN"/>
              </w:rPr>
              <w:t>符合相关标准，</w:t>
            </w:r>
            <w:r>
              <w:rPr>
                <w:rFonts w:hint="eastAsia"/>
                <w:spacing w:val="10"/>
              </w:rPr>
              <w:t>重金属含量不能超过GB15618-2018 规定筛选值</w:t>
            </w:r>
            <w:r>
              <w:rPr>
                <w:rFonts w:hint="eastAsia"/>
                <w:spacing w:val="10"/>
                <w:lang w:eastAsia="zh-CN"/>
              </w:rPr>
              <w:t>的合格品</w:t>
            </w:r>
            <w:r>
              <w:rPr>
                <w:rFonts w:hint="eastAsia"/>
                <w:spacing w:val="10"/>
              </w:rPr>
              <w:t>，拟采购的用量需满足每亩施用量，才能采购实施</w:t>
            </w:r>
            <w:r>
              <w:rPr>
                <w:rFonts w:hint="eastAsia"/>
                <w:spacing w:val="10"/>
                <w:lang w:eastAsia="zh-CN"/>
              </w:rPr>
              <w:t>。</w:t>
            </w:r>
          </w:p>
          <w:p w14:paraId="23A3BF71">
            <w:pPr>
              <w:pStyle w:val="124"/>
              <w:spacing w:before="161" w:line="360" w:lineRule="auto"/>
              <w:ind w:left="112" w:right="279" w:firstLine="421"/>
              <w:rPr>
                <w:rFonts w:hint="eastAsia"/>
                <w:spacing w:val="10"/>
                <w:lang w:val="en-US" w:eastAsia="zh-CN"/>
              </w:rPr>
            </w:pPr>
            <w:r>
              <w:rPr>
                <w:rFonts w:hint="eastAsia"/>
                <w:spacing w:val="10"/>
                <w:lang w:val="en-US" w:eastAsia="zh-CN"/>
              </w:rPr>
              <w:t>2.“镉低积累水稻品种替代+”模式。</w:t>
            </w:r>
          </w:p>
          <w:p w14:paraId="644DBFD0">
            <w:pPr>
              <w:pStyle w:val="124"/>
              <w:spacing w:before="161" w:line="360" w:lineRule="auto"/>
              <w:ind w:left="112" w:right="279" w:firstLine="421"/>
              <w:rPr>
                <w:rFonts w:hint="eastAsia"/>
                <w:spacing w:val="10"/>
                <w:lang w:val="en-US" w:eastAsia="zh-CN"/>
              </w:rPr>
            </w:pPr>
            <w:r>
              <w:rPr>
                <w:rFonts w:hint="eastAsia"/>
                <w:spacing w:val="10"/>
                <w:lang w:val="en-US" w:eastAsia="zh-CN"/>
              </w:rPr>
              <w:t>（1）品种选择。</w:t>
            </w:r>
            <w:r>
              <w:rPr>
                <w:rFonts w:hint="default"/>
                <w:spacing w:val="10"/>
                <w:lang w:val="en-US" w:eastAsia="zh-CN"/>
              </w:rPr>
              <w:t>根据《自治区农业农村厅办公室关于印发2026年广西镉低积累水稻品种推广工作方案通知》（</w:t>
            </w:r>
            <w:r>
              <w:rPr>
                <w:rFonts w:hint="default"/>
                <w:spacing w:val="10"/>
              </w:rPr>
              <w:t>桂农厅办发〔202</w:t>
            </w:r>
            <w:r>
              <w:rPr>
                <w:rFonts w:hint="default"/>
                <w:spacing w:val="10"/>
                <w:lang w:val="en-US" w:eastAsia="zh-CN"/>
              </w:rPr>
              <w:t>6</w:t>
            </w:r>
            <w:r>
              <w:rPr>
                <w:rFonts w:hint="default"/>
                <w:spacing w:val="10"/>
              </w:rPr>
              <w:t>〕</w:t>
            </w:r>
            <w:r>
              <w:rPr>
                <w:rFonts w:hint="default"/>
                <w:spacing w:val="10"/>
                <w:lang w:val="en-US" w:eastAsia="zh-CN"/>
              </w:rPr>
              <w:t>33</w:t>
            </w:r>
            <w:r>
              <w:rPr>
                <w:rFonts w:hint="default"/>
                <w:spacing w:val="10"/>
              </w:rPr>
              <w:t>号</w:t>
            </w:r>
            <w:r>
              <w:rPr>
                <w:rFonts w:hint="default"/>
                <w:spacing w:val="10"/>
                <w:lang w:val="en-US" w:eastAsia="zh-CN"/>
              </w:rPr>
              <w:t>）</w:t>
            </w:r>
            <w:r>
              <w:rPr>
                <w:rFonts w:hint="eastAsia"/>
                <w:spacing w:val="10"/>
                <w:lang w:val="en-US" w:eastAsia="zh-CN"/>
              </w:rPr>
              <w:t>推荐，在尊重农民意愿的基础上，在项目实施区域改种目前已通过审定且适宜桂南稻作区种植的镉低积累水稻品种（洁两优Q3、洁两优玉占、安两优2号），从源头上降低稻谷镉含量超标风险，保障水稻重金属质量安全。</w:t>
            </w:r>
          </w:p>
          <w:p w14:paraId="70C8DF32">
            <w:pPr>
              <w:pStyle w:val="124"/>
              <w:spacing w:before="161" w:line="360" w:lineRule="auto"/>
              <w:ind w:left="112" w:right="279" w:firstLine="421"/>
              <w:rPr>
                <w:rFonts w:hint="eastAsia"/>
                <w:spacing w:val="10"/>
                <w:lang w:val="en-US" w:eastAsia="zh-CN"/>
              </w:rPr>
            </w:pPr>
            <w:r>
              <w:rPr>
                <w:rFonts w:hint="eastAsia"/>
                <w:spacing w:val="10"/>
                <w:lang w:val="en-US" w:eastAsia="zh-CN"/>
              </w:rPr>
              <w:t>（2）增施锰肥。对于镉低积累水稻品种替代种植区域，原则上科学补充锰素营养，承接项目的第三方须依据项目区域土壤重金属含量情况及田间养分状况，因地制宜选配适宜锰肥产品。可选用氨基酸锰、复合螯合锰肥、含锰叶面阻隔剂等（投入品需符合NY 1428-2010《微量元素水溶肥料》标准），按照各厂家产品说明书推荐的每亩用量和稀释倍数使用，每亩每次折合纯锰10～30g，喷施浓度以纯锰计不宜超过0.5%，避免叶片灼伤。建议在分蘖盛期、孕穗期各喷施1次，严禁与碱性农药或碱性肥料混用，避免与磷肥同期叶面施用。</w:t>
            </w:r>
          </w:p>
          <w:p w14:paraId="308C6A65">
            <w:pPr>
              <w:pStyle w:val="124"/>
              <w:spacing w:before="161" w:line="360" w:lineRule="auto"/>
              <w:ind w:left="112" w:right="279" w:firstLine="421"/>
              <w:rPr>
                <w:rFonts w:hint="eastAsia"/>
                <w:spacing w:val="10"/>
                <w:lang w:eastAsia="zh-CN"/>
              </w:rPr>
            </w:pPr>
            <w:r>
              <w:rPr>
                <w:rFonts w:hint="eastAsia"/>
                <w:spacing w:val="10"/>
                <w:lang w:val="en-US" w:eastAsia="zh-CN"/>
              </w:rPr>
              <w:t>3</w:t>
            </w:r>
            <w:r>
              <w:rPr>
                <w:rFonts w:hint="eastAsia"/>
                <w:spacing w:val="10"/>
              </w:rPr>
              <w:t>.技术宣传指导</w:t>
            </w:r>
            <w:r>
              <w:rPr>
                <w:rFonts w:hint="eastAsia"/>
                <w:spacing w:val="10"/>
                <w:lang w:eastAsia="zh-CN"/>
              </w:rPr>
              <w:t>。</w:t>
            </w:r>
          </w:p>
          <w:p w14:paraId="61B33003">
            <w:pPr>
              <w:pStyle w:val="124"/>
              <w:spacing w:before="161" w:line="360" w:lineRule="auto"/>
              <w:ind w:left="112" w:right="279" w:firstLine="421"/>
              <w:rPr>
                <w:rFonts w:hint="eastAsia"/>
                <w:spacing w:val="10"/>
                <w:lang w:eastAsia="zh-CN"/>
              </w:rPr>
            </w:pPr>
            <w:r>
              <w:rPr>
                <w:rFonts w:hint="eastAsia"/>
                <w:spacing w:val="10"/>
                <w:lang w:val="en-US" w:eastAsia="zh-CN"/>
              </w:rPr>
              <w:t>上述两种技术措施模式实施过程均需依托农用地安全利用村级服务站、农民田间学校等场所加强</w:t>
            </w:r>
            <w:r>
              <w:rPr>
                <w:rFonts w:hint="eastAsia"/>
                <w:spacing w:val="10"/>
                <w:lang w:eastAsia="zh-CN"/>
              </w:rPr>
              <w:t>对</w:t>
            </w:r>
            <w:r>
              <w:rPr>
                <w:rFonts w:hint="eastAsia"/>
                <w:spacing w:val="10"/>
              </w:rPr>
              <w:t>项目实施区域内</w:t>
            </w:r>
            <w:r>
              <w:rPr>
                <w:rFonts w:hint="eastAsia"/>
                <w:spacing w:val="10"/>
                <w:lang w:val="en-US" w:eastAsia="zh-CN"/>
              </w:rPr>
              <w:t>及周边安全利用类、严格管控类耕地区域涉及的</w:t>
            </w:r>
            <w:r>
              <w:rPr>
                <w:rFonts w:hint="eastAsia"/>
                <w:spacing w:val="10"/>
              </w:rPr>
              <w:t>农户进行技术宣传指导，有针对性的为农业生产从业者提供农用地安全利用技术落地需要的</w:t>
            </w:r>
            <w:r>
              <w:rPr>
                <w:rFonts w:hint="eastAsia"/>
                <w:spacing w:val="10"/>
                <w:lang w:val="en-US" w:eastAsia="zh-CN"/>
              </w:rPr>
              <w:t>指导、</w:t>
            </w:r>
            <w:r>
              <w:rPr>
                <w:rFonts w:hint="eastAsia"/>
                <w:spacing w:val="10"/>
              </w:rPr>
              <w:t>宣传及物资等服务</w:t>
            </w:r>
            <w:r>
              <w:rPr>
                <w:rFonts w:hint="eastAsia"/>
                <w:spacing w:val="10"/>
                <w:lang w:eastAsia="zh-CN"/>
              </w:rPr>
              <w:t>。项目实施区域内涉及的水稻生产经营主体基本要接受技术指导，项目区域外的优先对科技示范户、种植大户、家庭农场等人员进行指导，重点指导水稻种植户推广低积累品种替代、土壤调理、水分管理、叶面阻隔等农用地安全利用技术，使农业生产者掌握技术并能自行实施，技术指导人数不少于2750人，对接受指导的农户要进行登记造册。同时，根据项目实施进度合理安排在水稻生产各个环节采取相应技术措施的时间，相应时间节点需在现场设置专人讲解采取措施的作用和意义，保证有一定数量的农民群众到现场学习实操。</w:t>
            </w:r>
          </w:p>
          <w:p w14:paraId="7AE0B5E6">
            <w:pPr>
              <w:pStyle w:val="124"/>
              <w:spacing w:before="161" w:line="360" w:lineRule="auto"/>
              <w:ind w:left="112" w:right="279" w:firstLine="421"/>
              <w:rPr>
                <w:rFonts w:hint="eastAsia"/>
                <w:spacing w:val="10"/>
              </w:rPr>
            </w:pPr>
            <w:r>
              <w:rPr>
                <w:rFonts w:hint="eastAsia"/>
                <w:spacing w:val="10"/>
                <w:lang w:eastAsia="zh-CN"/>
              </w:rPr>
              <w:t>（</w:t>
            </w:r>
            <w:r>
              <w:rPr>
                <w:rFonts w:hint="eastAsia"/>
                <w:spacing w:val="10"/>
                <w:lang w:val="en-US" w:eastAsia="zh-CN"/>
              </w:rPr>
              <w:t>四</w:t>
            </w:r>
            <w:r>
              <w:rPr>
                <w:rFonts w:hint="eastAsia"/>
                <w:spacing w:val="10"/>
                <w:lang w:eastAsia="zh-CN"/>
              </w:rPr>
              <w:t>）</w:t>
            </w:r>
            <w:r>
              <w:rPr>
                <w:rFonts w:hint="eastAsia"/>
                <w:spacing w:val="10"/>
              </w:rPr>
              <w:t>实施要求</w:t>
            </w:r>
          </w:p>
          <w:p w14:paraId="0F6A5DA8">
            <w:pPr>
              <w:pStyle w:val="124"/>
              <w:spacing w:before="161" w:line="360" w:lineRule="auto"/>
              <w:ind w:left="112" w:right="279" w:firstLine="421"/>
              <w:rPr>
                <w:spacing w:val="10"/>
              </w:rPr>
            </w:pPr>
            <w:r>
              <w:rPr>
                <w:rFonts w:hint="eastAsia"/>
                <w:spacing w:val="10"/>
              </w:rPr>
              <w:t>承接项目的第三方根据项目区具体的土壤和农产品重金属超标</w:t>
            </w:r>
            <w:r>
              <w:rPr>
                <w:rFonts w:hint="eastAsia"/>
                <w:spacing w:val="10"/>
                <w:lang w:val="en-US" w:eastAsia="zh-CN"/>
              </w:rPr>
              <w:t>情况</w:t>
            </w:r>
            <w:r>
              <w:rPr>
                <w:rFonts w:hint="eastAsia"/>
                <w:spacing w:val="10"/>
              </w:rPr>
              <w:t>，</w:t>
            </w:r>
            <w:r>
              <w:rPr>
                <w:rFonts w:hint="eastAsia"/>
                <w:spacing w:val="10"/>
                <w:lang w:val="en-US" w:eastAsia="zh-CN"/>
              </w:rPr>
              <w:t>制定详细</w:t>
            </w:r>
            <w:r>
              <w:rPr>
                <w:rFonts w:hint="eastAsia"/>
                <w:spacing w:val="10"/>
              </w:rPr>
              <w:t>实施方案</w:t>
            </w:r>
            <w:r>
              <w:rPr>
                <w:rFonts w:hint="eastAsia"/>
                <w:spacing w:val="10"/>
                <w:lang w:eastAsia="zh-CN"/>
              </w:rPr>
              <w:t>（</w:t>
            </w:r>
            <w:r>
              <w:rPr>
                <w:rFonts w:hint="eastAsia"/>
                <w:spacing w:val="10"/>
                <w:lang w:val="en-US" w:eastAsia="zh-CN"/>
              </w:rPr>
              <w:t>如果采取“叶面阻隔+土壤调理剂”治理，则需按150亩1个点</w:t>
            </w:r>
            <w:r>
              <w:rPr>
                <w:rFonts w:hint="eastAsia"/>
                <w:spacing w:val="10"/>
              </w:rPr>
              <w:t>对</w:t>
            </w:r>
            <w:r>
              <w:rPr>
                <w:rFonts w:hint="eastAsia"/>
                <w:spacing w:val="10"/>
                <w:lang w:val="en-US" w:eastAsia="zh-CN"/>
              </w:rPr>
              <w:t>实施区域</w:t>
            </w:r>
            <w:r>
              <w:rPr>
                <w:rFonts w:hint="eastAsia"/>
                <w:spacing w:val="10"/>
              </w:rPr>
              <w:t>进行前期</w:t>
            </w:r>
            <w:r>
              <w:rPr>
                <w:rFonts w:hint="eastAsia"/>
                <w:spacing w:val="10"/>
                <w:lang w:val="en-US" w:eastAsia="zh-CN"/>
              </w:rPr>
              <w:t>土壤pH值检测</w:t>
            </w:r>
            <w:r>
              <w:rPr>
                <w:rFonts w:hint="eastAsia"/>
                <w:spacing w:val="10"/>
                <w:lang w:eastAsia="zh-CN"/>
              </w:rPr>
              <w:t>。</w:t>
            </w:r>
            <w:r>
              <w:rPr>
                <w:rFonts w:hint="eastAsia"/>
                <w:spacing w:val="10"/>
                <w:lang w:val="en-US" w:eastAsia="zh-CN"/>
              </w:rPr>
              <w:t>项目实施前需按100亩1个样对实施区域土壤进行加密采样检测）。方案</w:t>
            </w:r>
            <w:r>
              <w:rPr>
                <w:rFonts w:hint="eastAsia"/>
                <w:spacing w:val="10"/>
              </w:rPr>
              <w:t>须通过</w:t>
            </w:r>
            <w:r>
              <w:rPr>
                <w:rFonts w:hint="eastAsia"/>
                <w:spacing w:val="10"/>
                <w:lang w:val="en-US" w:eastAsia="zh-CN"/>
              </w:rPr>
              <w:t>业主</w:t>
            </w:r>
            <w:r>
              <w:rPr>
                <w:rFonts w:hint="eastAsia"/>
                <w:spacing w:val="10"/>
              </w:rPr>
              <w:t>认可后才能实施。具体实施要求如下：</w:t>
            </w:r>
          </w:p>
          <w:p w14:paraId="5C10D36E">
            <w:pPr>
              <w:pStyle w:val="124"/>
              <w:spacing w:before="161" w:line="360" w:lineRule="auto"/>
              <w:ind w:left="112" w:right="279" w:firstLine="421"/>
              <w:rPr>
                <w:rFonts w:hint="eastAsia"/>
                <w:spacing w:val="10"/>
              </w:rPr>
            </w:pPr>
            <w:r>
              <w:rPr>
                <w:rFonts w:hint="eastAsia"/>
                <w:spacing w:val="10"/>
                <w:lang w:val="en-US" w:eastAsia="zh-CN"/>
              </w:rPr>
              <w:t>1.</w:t>
            </w:r>
            <w:r>
              <w:rPr>
                <w:rFonts w:hint="eastAsia"/>
                <w:spacing w:val="10"/>
              </w:rPr>
              <w:t>实施面积</w:t>
            </w:r>
          </w:p>
          <w:p w14:paraId="19CA4037">
            <w:pPr>
              <w:pStyle w:val="124"/>
              <w:spacing w:before="161" w:line="360" w:lineRule="auto"/>
              <w:ind w:left="112" w:right="279" w:firstLine="421"/>
              <w:rPr>
                <w:rFonts w:hint="eastAsia"/>
                <w:spacing w:val="10"/>
              </w:rPr>
            </w:pPr>
            <w:r>
              <w:rPr>
                <w:rFonts w:hint="eastAsia"/>
                <w:spacing w:val="10"/>
              </w:rPr>
              <w:t>在农用地土壤污染状况详查结果中稻米超标并且现在继续种植水稻的地块实施的，才能计算为实施的面积。</w:t>
            </w:r>
          </w:p>
          <w:p w14:paraId="10498CF9">
            <w:pPr>
              <w:pStyle w:val="124"/>
              <w:spacing w:before="161" w:line="360" w:lineRule="auto"/>
              <w:ind w:left="112" w:right="279" w:firstLine="421"/>
              <w:rPr>
                <w:rFonts w:hint="eastAsia"/>
                <w:spacing w:val="10"/>
              </w:rPr>
            </w:pPr>
            <w:r>
              <w:rPr>
                <w:rFonts w:hint="eastAsia"/>
                <w:spacing w:val="10"/>
                <w:lang w:val="en-US" w:eastAsia="zh-CN"/>
              </w:rPr>
              <w:t>2.</w:t>
            </w:r>
            <w:r>
              <w:rPr>
                <w:rFonts w:hint="eastAsia"/>
                <w:spacing w:val="10"/>
              </w:rPr>
              <w:t>产量保障</w:t>
            </w:r>
          </w:p>
          <w:p w14:paraId="34AFBC8A">
            <w:pPr>
              <w:pStyle w:val="124"/>
              <w:spacing w:before="161" w:line="360" w:lineRule="auto"/>
              <w:ind w:left="112" w:right="279" w:firstLine="421"/>
              <w:rPr>
                <w:rFonts w:hint="eastAsia"/>
                <w:spacing w:val="10"/>
              </w:rPr>
            </w:pPr>
            <w:r>
              <w:rPr>
                <w:rFonts w:hint="eastAsia"/>
                <w:spacing w:val="10"/>
              </w:rPr>
              <w:t>耕地生产障碍修复利用技术措施实施过程中，项目区域内水稻减产量不得超过同等条件下正常种植区域同品种（技术措施空白对照点）产量的 10%。如果出现减产超过10%的现象，相关中标单位必须承担相应的减产损失；如果减产超过 20%以上，中标单位不但需要承担减产损失，同时需要承担恢复区域地力直至产量恢复正常水平的责任。</w:t>
            </w:r>
          </w:p>
          <w:p w14:paraId="0087B5F7">
            <w:pPr>
              <w:pStyle w:val="124"/>
              <w:spacing w:before="161" w:line="360" w:lineRule="auto"/>
              <w:ind w:left="112" w:right="279" w:firstLine="421"/>
              <w:rPr>
                <w:rFonts w:hint="eastAsia"/>
                <w:spacing w:val="10"/>
              </w:rPr>
            </w:pPr>
            <w:r>
              <w:rPr>
                <w:rFonts w:hint="eastAsia"/>
                <w:spacing w:val="10"/>
                <w:lang w:val="en-US" w:eastAsia="zh-CN"/>
              </w:rPr>
              <w:t>3.</w:t>
            </w:r>
            <w:r>
              <w:rPr>
                <w:rFonts w:hint="eastAsia"/>
                <w:spacing w:val="10"/>
              </w:rPr>
              <w:t>质量保障</w:t>
            </w:r>
          </w:p>
          <w:p w14:paraId="50B48F1F">
            <w:pPr>
              <w:pStyle w:val="124"/>
              <w:spacing w:before="161" w:line="360" w:lineRule="auto"/>
              <w:ind w:left="112" w:right="279" w:firstLine="421"/>
              <w:rPr>
                <w:rFonts w:hint="eastAsia"/>
                <w:spacing w:val="10"/>
              </w:rPr>
            </w:pPr>
            <w:r>
              <w:rPr>
                <w:rFonts w:hint="eastAsia"/>
                <w:spacing w:val="10"/>
              </w:rPr>
              <w:t>承接项目的第三方所施用土壤调理剂、叶面阻控剂等投入品均需提供产品质检报告和肥料登记证，并按照实施方案、合同及相关要求，接受监理单位随机抽样检测，若产品检验不合格，一律无条件更换，直至检验合格，由此造成的损失由中标的第三方单位负责。</w:t>
            </w:r>
          </w:p>
          <w:p w14:paraId="455A2870">
            <w:pPr>
              <w:pStyle w:val="124"/>
              <w:spacing w:before="161" w:line="360" w:lineRule="auto"/>
              <w:ind w:left="112" w:right="279" w:firstLine="421"/>
              <w:rPr>
                <w:rFonts w:hint="eastAsia"/>
              </w:rPr>
            </w:pPr>
            <w:r>
              <w:rPr>
                <w:spacing w:val="10"/>
              </w:rPr>
              <w:t>三、其他要求：中标单位在签订合同前必须与采购</w:t>
            </w:r>
            <w:r>
              <w:rPr>
                <w:spacing w:val="9"/>
              </w:rPr>
              <w:t>人签订关于本项目的保密协议书，项目所得成果须全部移交业主，不能私自应用；具体实施以</w:t>
            </w:r>
            <w:r>
              <w:rPr>
                <w:rFonts w:hint="eastAsia"/>
                <w:spacing w:val="9"/>
                <w:lang w:val="en"/>
              </w:rPr>
              <w:t>港南区202</w:t>
            </w:r>
            <w:r>
              <w:rPr>
                <w:rFonts w:hint="eastAsia"/>
                <w:spacing w:val="9"/>
                <w:lang w:val="en-US" w:eastAsia="zh-CN"/>
              </w:rPr>
              <w:t>6</w:t>
            </w:r>
            <w:r>
              <w:rPr>
                <w:rFonts w:hint="eastAsia"/>
                <w:spacing w:val="9"/>
                <w:lang w:val="en"/>
              </w:rPr>
              <w:t>年生产障碍耕地治理项目农用地安全利用</w:t>
            </w:r>
            <w:r>
              <w:rPr>
                <w:rFonts w:hint="eastAsia"/>
                <w:spacing w:val="9"/>
              </w:rPr>
              <w:t>及技术宣传指导实施方案</w:t>
            </w:r>
            <w:r>
              <w:rPr>
                <w:spacing w:val="5"/>
              </w:rPr>
              <w:t>为准。</w:t>
            </w:r>
          </w:p>
        </w:tc>
        <w:tc>
          <w:tcPr>
            <w:tcW w:w="825" w:type="dxa"/>
            <w:vAlign w:val="top"/>
          </w:tcPr>
          <w:p w14:paraId="62E07430">
            <w:pPr>
              <w:pStyle w:val="124"/>
              <w:spacing w:before="161" w:line="302" w:lineRule="auto"/>
              <w:ind w:left="112" w:right="279" w:firstLine="421"/>
              <w:rPr>
                <w:rFonts w:hint="eastAsia" w:ascii="宋体" w:hAnsi="宋体" w:cs="宋体"/>
                <w:color w:val="000000"/>
                <w:kern w:val="0"/>
                <w:szCs w:val="21"/>
                <w:lang w:bidi="ar"/>
              </w:rPr>
            </w:pPr>
          </w:p>
          <w:p w14:paraId="2967FFC6">
            <w:pPr>
              <w:pStyle w:val="124"/>
              <w:spacing w:before="161" w:line="302" w:lineRule="auto"/>
              <w:ind w:right="279"/>
              <w:jc w:val="center"/>
              <w:rPr>
                <w:rFonts w:hint="eastAsia"/>
              </w:rPr>
            </w:pPr>
            <w:r>
              <w:rPr>
                <w:rFonts w:hint="eastAsia" w:ascii="宋体" w:hAnsi="宋体" w:eastAsia="宋体" w:cs="宋体"/>
                <w:i w:val="0"/>
                <w:iCs w:val="0"/>
                <w:color w:val="000000"/>
                <w:kern w:val="0"/>
                <w:sz w:val="21"/>
                <w:szCs w:val="21"/>
                <w:u w:val="none"/>
                <w:lang w:val="en-US" w:eastAsia="zh-CN" w:bidi="ar"/>
              </w:rPr>
              <w:t>新塘镇、瓦塘镇等（实施区域具体以航拍后分配）；土壤调理剂用量根据pH值测定情况确定。</w:t>
            </w:r>
          </w:p>
        </w:tc>
      </w:tr>
      <w:tr w14:paraId="78F532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8" w:hRule="atLeast"/>
        </w:trPr>
        <w:tc>
          <w:tcPr>
            <w:tcW w:w="1077" w:type="dxa"/>
            <w:gridSpan w:val="2"/>
            <w:vAlign w:val="top"/>
          </w:tcPr>
          <w:p w14:paraId="1401EDE1">
            <w:pPr>
              <w:pStyle w:val="124"/>
              <w:spacing w:before="25" w:line="229" w:lineRule="auto"/>
              <w:ind w:left="346"/>
              <w:jc w:val="center"/>
              <w:rPr>
                <w:spacing w:val="6"/>
              </w:rPr>
            </w:pPr>
          </w:p>
          <w:p w14:paraId="30FFBCD2">
            <w:pPr>
              <w:pStyle w:val="124"/>
              <w:spacing w:before="25" w:line="229" w:lineRule="auto"/>
              <w:ind w:left="346"/>
              <w:jc w:val="center"/>
              <w:rPr>
                <w:spacing w:val="6"/>
              </w:rPr>
            </w:pPr>
          </w:p>
          <w:p w14:paraId="57DA8DE7">
            <w:pPr>
              <w:pStyle w:val="124"/>
              <w:spacing w:before="25" w:line="229" w:lineRule="auto"/>
              <w:ind w:left="346"/>
              <w:jc w:val="center"/>
              <w:rPr>
                <w:spacing w:val="6"/>
              </w:rPr>
            </w:pPr>
          </w:p>
          <w:p w14:paraId="0F73E769">
            <w:pPr>
              <w:pStyle w:val="124"/>
              <w:spacing w:before="25" w:line="229" w:lineRule="auto"/>
              <w:ind w:left="346"/>
              <w:jc w:val="center"/>
              <w:rPr>
                <w:spacing w:val="6"/>
              </w:rPr>
            </w:pPr>
          </w:p>
          <w:p w14:paraId="49718AA2">
            <w:pPr>
              <w:pStyle w:val="124"/>
              <w:spacing w:before="25" w:line="229" w:lineRule="auto"/>
              <w:ind w:left="346"/>
              <w:jc w:val="center"/>
              <w:rPr>
                <w:spacing w:val="6"/>
              </w:rPr>
            </w:pPr>
          </w:p>
          <w:p w14:paraId="48C2AB60">
            <w:pPr>
              <w:pStyle w:val="124"/>
              <w:spacing w:before="25" w:line="229" w:lineRule="auto"/>
              <w:ind w:left="346"/>
              <w:jc w:val="center"/>
              <w:rPr>
                <w:spacing w:val="6"/>
              </w:rPr>
            </w:pPr>
          </w:p>
          <w:p w14:paraId="3464C6A1">
            <w:pPr>
              <w:pStyle w:val="124"/>
              <w:spacing w:before="25" w:line="229" w:lineRule="auto"/>
              <w:ind w:left="346"/>
              <w:jc w:val="center"/>
              <w:rPr>
                <w:spacing w:val="6"/>
              </w:rPr>
            </w:pPr>
          </w:p>
          <w:p w14:paraId="2F06EEA1">
            <w:pPr>
              <w:pStyle w:val="124"/>
              <w:spacing w:before="25" w:line="229" w:lineRule="auto"/>
              <w:ind w:left="346"/>
              <w:jc w:val="center"/>
              <w:rPr>
                <w:spacing w:val="6"/>
              </w:rPr>
            </w:pPr>
            <w:r>
              <w:rPr>
                <w:spacing w:val="6"/>
              </w:rPr>
              <w:t>商</w:t>
            </w:r>
          </w:p>
          <w:p w14:paraId="244CC8AB">
            <w:pPr>
              <w:pStyle w:val="124"/>
              <w:spacing w:before="25" w:line="229" w:lineRule="auto"/>
              <w:ind w:left="346"/>
              <w:jc w:val="center"/>
              <w:rPr>
                <w:spacing w:val="6"/>
              </w:rPr>
            </w:pPr>
            <w:r>
              <w:rPr>
                <w:spacing w:val="6"/>
              </w:rPr>
              <w:t>务</w:t>
            </w:r>
          </w:p>
          <w:p w14:paraId="3F7C25C8">
            <w:pPr>
              <w:pStyle w:val="124"/>
              <w:spacing w:before="25" w:line="229" w:lineRule="auto"/>
              <w:ind w:left="346"/>
              <w:jc w:val="center"/>
              <w:rPr>
                <w:spacing w:val="6"/>
              </w:rPr>
            </w:pPr>
            <w:r>
              <w:rPr>
                <w:spacing w:val="6"/>
              </w:rPr>
              <w:t>条</w:t>
            </w:r>
          </w:p>
          <w:p w14:paraId="4CF7D015">
            <w:pPr>
              <w:pStyle w:val="124"/>
              <w:spacing w:before="25" w:line="229" w:lineRule="auto"/>
              <w:ind w:left="346"/>
              <w:jc w:val="center"/>
              <w:rPr>
                <w:rFonts w:hint="eastAsia" w:eastAsia="宋体"/>
                <w:lang w:eastAsia="zh-CN"/>
              </w:rPr>
            </w:pPr>
            <w:r>
              <w:rPr>
                <w:spacing w:val="6"/>
              </w:rPr>
              <w:t>款</w:t>
            </w:r>
          </w:p>
        </w:tc>
        <w:tc>
          <w:tcPr>
            <w:tcW w:w="8529" w:type="dxa"/>
            <w:gridSpan w:val="2"/>
            <w:vAlign w:val="top"/>
          </w:tcPr>
          <w:p w14:paraId="66073ACA">
            <w:pPr>
              <w:pStyle w:val="124"/>
              <w:spacing w:before="32" w:line="302" w:lineRule="auto"/>
              <w:ind w:left="115" w:right="169"/>
              <w:rPr>
                <w:b w:val="0"/>
                <w:bCs w:val="0"/>
                <w:highlight w:val="none"/>
              </w:rPr>
            </w:pPr>
            <w:r>
              <w:rPr>
                <w:b w:val="0"/>
                <w:bCs w:val="0"/>
                <w:spacing w:val="9"/>
              </w:rPr>
              <w:t>一、报</w:t>
            </w:r>
            <w:r>
              <w:rPr>
                <w:b w:val="0"/>
                <w:bCs w:val="0"/>
                <w:spacing w:val="9"/>
                <w:highlight w:val="none"/>
              </w:rPr>
              <w:t>价要求：投标总报价包括提供本次服务的所有费用，含必要的保险费用和各项税金等；招标人不再提供差旅、交通、通讯、食宿等任何费用或条件。</w:t>
            </w:r>
          </w:p>
          <w:p w14:paraId="214F0C06">
            <w:pPr>
              <w:pStyle w:val="124"/>
              <w:spacing w:before="164" w:line="227" w:lineRule="auto"/>
              <w:ind w:left="115"/>
              <w:rPr>
                <w:b w:val="0"/>
                <w:bCs w:val="0"/>
                <w:highlight w:val="none"/>
              </w:rPr>
            </w:pPr>
            <w:r>
              <w:rPr>
                <w:b w:val="0"/>
                <w:bCs w:val="0"/>
                <w:spacing w:val="7"/>
                <w:highlight w:val="none"/>
              </w:rPr>
              <w:t>二、</w:t>
            </w:r>
            <w:r>
              <w:rPr>
                <w:rFonts w:hint="eastAsia"/>
                <w:b w:val="0"/>
                <w:bCs w:val="0"/>
                <w:spacing w:val="7"/>
                <w:highlight w:val="none"/>
                <w:lang w:eastAsia="zh-CN"/>
              </w:rPr>
              <w:t>合同履约期限：</w:t>
            </w:r>
            <w:r>
              <w:rPr>
                <w:rFonts w:hint="eastAsia"/>
                <w:b w:val="0"/>
                <w:bCs w:val="0"/>
                <w:spacing w:val="7"/>
                <w:highlight w:val="none"/>
                <w:lang w:val="en-US" w:eastAsia="zh-CN"/>
              </w:rPr>
              <w:t>2026</w:t>
            </w:r>
            <w:r>
              <w:rPr>
                <w:rFonts w:hint="eastAsia"/>
                <w:b w:val="0"/>
                <w:bCs w:val="0"/>
                <w:spacing w:val="7"/>
                <w:highlight w:val="none"/>
                <w:lang w:eastAsia="zh-CN"/>
              </w:rPr>
              <w:t>年</w:t>
            </w:r>
            <w:r>
              <w:rPr>
                <w:rFonts w:hint="eastAsia"/>
                <w:b w:val="0"/>
                <w:bCs w:val="0"/>
                <w:spacing w:val="7"/>
                <w:highlight w:val="none"/>
                <w:lang w:val="en-US" w:eastAsia="zh-CN"/>
              </w:rPr>
              <w:t>12</w:t>
            </w:r>
            <w:r>
              <w:rPr>
                <w:rFonts w:hint="eastAsia"/>
                <w:b w:val="0"/>
                <w:bCs w:val="0"/>
                <w:spacing w:val="7"/>
                <w:highlight w:val="none"/>
                <w:lang w:eastAsia="zh-CN"/>
              </w:rPr>
              <w:t>月</w:t>
            </w:r>
            <w:r>
              <w:rPr>
                <w:rFonts w:hint="eastAsia"/>
                <w:b w:val="0"/>
                <w:bCs w:val="0"/>
                <w:spacing w:val="7"/>
                <w:highlight w:val="none"/>
                <w:lang w:val="en-US" w:eastAsia="zh-CN"/>
              </w:rPr>
              <w:t>30</w:t>
            </w:r>
            <w:r>
              <w:rPr>
                <w:rFonts w:hint="eastAsia"/>
                <w:b w:val="0"/>
                <w:bCs w:val="0"/>
                <w:spacing w:val="7"/>
                <w:highlight w:val="none"/>
                <w:lang w:eastAsia="zh-CN"/>
              </w:rPr>
              <w:t>日前，完成</w:t>
            </w:r>
            <w:r>
              <w:rPr>
                <w:rFonts w:hint="eastAsia"/>
                <w:b w:val="0"/>
                <w:bCs w:val="0"/>
                <w:spacing w:val="7"/>
                <w:highlight w:val="none"/>
                <w:lang w:val="en-US" w:eastAsia="zh-CN"/>
              </w:rPr>
              <w:t>港南区2026年生产障碍耕地治理项目。（如因特殊天气、错过农时及实施面积不足等原因无法实施，则项目顺延至2027年实施）。</w:t>
            </w:r>
          </w:p>
          <w:p w14:paraId="36C5F675">
            <w:pPr>
              <w:pStyle w:val="124"/>
              <w:spacing w:before="162" w:line="227" w:lineRule="auto"/>
              <w:ind w:left="111"/>
              <w:rPr>
                <w:b w:val="0"/>
                <w:bCs w:val="0"/>
                <w:highlight w:val="none"/>
              </w:rPr>
            </w:pPr>
            <w:r>
              <w:rPr>
                <w:b w:val="0"/>
                <w:bCs w:val="0"/>
                <w:spacing w:val="7"/>
                <w:highlight w:val="none"/>
              </w:rPr>
              <w:t>三、签订合同时间：</w:t>
            </w:r>
            <w:r>
              <w:rPr>
                <w:b w:val="0"/>
                <w:bCs w:val="0"/>
                <w:spacing w:val="-28"/>
                <w:highlight w:val="none"/>
              </w:rPr>
              <w:t xml:space="preserve"> </w:t>
            </w:r>
            <w:r>
              <w:rPr>
                <w:b w:val="0"/>
                <w:bCs w:val="0"/>
                <w:spacing w:val="7"/>
                <w:highlight w:val="none"/>
              </w:rPr>
              <w:t>自发出成交通知书之日起的</w:t>
            </w:r>
            <w:r>
              <w:rPr>
                <w:rFonts w:hint="eastAsia"/>
                <w:b w:val="0"/>
                <w:bCs w:val="0"/>
                <w:spacing w:val="7"/>
                <w:highlight w:val="none"/>
                <w:lang w:val="en-US" w:eastAsia="zh-CN"/>
              </w:rPr>
              <w:t>20</w:t>
            </w:r>
            <w:r>
              <w:rPr>
                <w:b w:val="0"/>
                <w:bCs w:val="0"/>
                <w:spacing w:val="7"/>
                <w:highlight w:val="none"/>
              </w:rPr>
              <w:t>日内与采购人签订合同。</w:t>
            </w:r>
          </w:p>
          <w:p w14:paraId="15D23A86">
            <w:pPr>
              <w:pStyle w:val="124"/>
              <w:spacing w:before="161" w:line="228" w:lineRule="auto"/>
              <w:ind w:left="131"/>
              <w:rPr>
                <w:b/>
                <w:bCs/>
                <w:highlight w:val="none"/>
              </w:rPr>
            </w:pPr>
            <w:r>
              <w:rPr>
                <w:b/>
                <w:bCs/>
                <w:spacing w:val="2"/>
                <w:highlight w:val="none"/>
              </w:rPr>
              <w:t>四、付款方式</w:t>
            </w:r>
            <w:r>
              <w:rPr>
                <w:rFonts w:hint="eastAsia" w:ascii="宋体" w:hAnsi="宋体" w:cs="宋体"/>
                <w:b/>
                <w:bCs/>
                <w:color w:val="000000" w:themeColor="text1"/>
                <w:szCs w:val="21"/>
                <w:highlight w:val="none"/>
                <w14:textFill>
                  <w14:solidFill>
                    <w14:schemeClr w14:val="tx1"/>
                  </w14:solidFill>
                </w14:textFill>
              </w:rPr>
              <w:t>（进度和方式）</w:t>
            </w:r>
            <w:r>
              <w:rPr>
                <w:b/>
                <w:bCs/>
                <w:spacing w:val="2"/>
                <w:highlight w:val="none"/>
              </w:rPr>
              <w:t>：</w:t>
            </w:r>
          </w:p>
          <w:p w14:paraId="7C5FB800">
            <w:pPr>
              <w:spacing w:line="360" w:lineRule="auto"/>
              <w:ind w:firstLine="422" w:firstLineChars="200"/>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eastAsia="宋体" w:cs="宋体"/>
                <w:b/>
                <w:bCs/>
                <w:color w:val="000000" w:themeColor="text1"/>
                <w:szCs w:val="21"/>
                <w:highlight w:val="none"/>
                <w:lang w:eastAsia="zh-CN"/>
                <w14:textFill>
                  <w14:solidFill>
                    <w14:schemeClr w14:val="tx1"/>
                  </w14:solidFill>
                </w14:textFill>
              </w:rPr>
              <w:t>1.“土壤调理或者叶面阻隔+”技术措施模式：</w:t>
            </w:r>
          </w:p>
          <w:p w14:paraId="5B888F5C">
            <w:pPr>
              <w:spacing w:line="360" w:lineRule="auto"/>
              <w:ind w:firstLine="420" w:firstLineChars="200"/>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szCs w:val="21"/>
                <w:highlight w:val="none"/>
                <w:lang w:eastAsia="zh-CN"/>
                <w14:textFill>
                  <w14:solidFill>
                    <w14:schemeClr w14:val="tx1"/>
                  </w14:solidFill>
                </w14:textFill>
              </w:rPr>
              <w:t>签订合同后物料进场后，由项目业主、项目监理确认进度，可申请至30%项目进度款；治理措施全部落地后由项目业主、项目监理组织专家</w:t>
            </w:r>
            <w:r>
              <w:rPr>
                <w:rFonts w:hint="eastAsia" w:ascii="宋体" w:hAnsi="宋体" w:cs="宋体"/>
                <w:b w:val="0"/>
                <w:bCs w:val="0"/>
                <w:color w:val="000000" w:themeColor="text1"/>
                <w:szCs w:val="21"/>
                <w:highlight w:val="none"/>
                <w:lang w:eastAsia="zh-CN"/>
                <w14:textFill>
                  <w14:solidFill>
                    <w14:schemeClr w14:val="tx1"/>
                  </w14:solidFill>
                </w14:textFill>
              </w:rPr>
              <w:t>确认各项措施的面积和宣传指导的</w:t>
            </w:r>
            <w:r>
              <w:rPr>
                <w:rFonts w:hint="eastAsia" w:ascii="宋体" w:hAnsi="宋体" w:eastAsia="宋体" w:cs="宋体"/>
                <w:b w:val="0"/>
                <w:bCs w:val="0"/>
                <w:color w:val="000000" w:themeColor="text1"/>
                <w:szCs w:val="21"/>
                <w:highlight w:val="none"/>
                <w:lang w:eastAsia="zh-CN"/>
                <w14:textFill>
                  <w14:solidFill>
                    <w14:schemeClr w14:val="tx1"/>
                  </w14:solidFill>
                </w14:textFill>
              </w:rPr>
              <w:t>人员数量，可申请至项目资金总额的70%进度款。</w:t>
            </w:r>
          </w:p>
          <w:p w14:paraId="517179CE">
            <w:pPr>
              <w:spacing w:line="360" w:lineRule="auto"/>
              <w:ind w:firstLine="420" w:firstLineChars="20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实施效果部分安排的资金占项目资金总额的30%。根据项目实施，农业农村部门通过采样检测结果核算得出的项目实施区域产品合格率进行结算，其中：</w:t>
            </w:r>
          </w:p>
          <w:p w14:paraId="0C558F70">
            <w:pPr>
              <w:pStyle w:val="32"/>
              <w:spacing w:line="360" w:lineRule="auto"/>
              <w:ind w:firstLine="420" w:firstLineChars="20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1.1产品合格率：≥93%，可以结算30%项目款项。</w:t>
            </w:r>
          </w:p>
          <w:p w14:paraId="2403D3A5">
            <w:pPr>
              <w:pStyle w:val="32"/>
              <w:spacing w:line="360" w:lineRule="auto"/>
              <w:ind w:firstLine="420" w:firstLineChars="20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1.2产品合格率：60%（含）—93%（不含），可以结算30%项目款项×实际产品合格率÷93%的款项。</w:t>
            </w:r>
          </w:p>
          <w:p w14:paraId="6269D5DE">
            <w:pPr>
              <w:spacing w:line="360" w:lineRule="auto"/>
              <w:ind w:firstLine="420" w:firstLineChars="200"/>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1.3产品合格率：小于60%（不含），除已经按工作措施实施进度比例支付的合同款额，不再支付30%项目剩余款额。</w:t>
            </w:r>
          </w:p>
          <w:p w14:paraId="65CDBE16">
            <w:pPr>
              <w:numPr>
                <w:ilvl w:val="0"/>
                <w:numId w:val="0"/>
              </w:numPr>
              <w:spacing w:line="360" w:lineRule="auto"/>
              <w:ind w:firstLine="422" w:firstLineChars="200"/>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2.</w:t>
            </w:r>
            <w:r>
              <w:rPr>
                <w:rFonts w:hint="eastAsia" w:ascii="宋体" w:hAnsi="宋体" w:eastAsia="宋体" w:cs="宋体"/>
                <w:b/>
                <w:bCs/>
                <w:color w:val="000000" w:themeColor="text1"/>
                <w:szCs w:val="21"/>
                <w:highlight w:val="none"/>
                <w:lang w:eastAsia="zh-CN"/>
                <w14:textFill>
                  <w14:solidFill>
                    <w14:schemeClr w14:val="tx1"/>
                  </w14:solidFill>
                </w14:textFill>
              </w:rPr>
              <w:t>“镉低积累品种替代+”技术措施模式：</w:t>
            </w:r>
          </w:p>
          <w:p w14:paraId="618B97E9">
            <w:pPr>
              <w:numPr>
                <w:ilvl w:val="0"/>
                <w:numId w:val="0"/>
              </w:numPr>
              <w:spacing w:line="360" w:lineRule="auto"/>
              <w:ind w:firstLine="420" w:firstLineChars="20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Cs w:val="21"/>
                <w:highlight w:val="none"/>
                <w:lang w:eastAsia="zh-CN"/>
                <w14:textFill>
                  <w14:solidFill>
                    <w14:schemeClr w14:val="tx1"/>
                  </w14:solidFill>
                </w14:textFill>
              </w:rPr>
              <w:t>签订合同后物料进场后，由</w:t>
            </w:r>
            <w:r>
              <w:rPr>
                <w:rFonts w:hint="eastAsia" w:ascii="宋体" w:hAnsi="宋体" w:cs="宋体"/>
                <w:b w:val="0"/>
                <w:bCs w:val="0"/>
                <w:color w:val="000000" w:themeColor="text1"/>
                <w:szCs w:val="21"/>
                <w:highlight w:val="none"/>
                <w:lang w:eastAsia="zh-CN"/>
                <w14:textFill>
                  <w14:solidFill>
                    <w14:schemeClr w14:val="tx1"/>
                  </w14:solidFill>
                </w14:textFill>
              </w:rPr>
              <w:t>采购人、项目监理确认供种</w:t>
            </w:r>
            <w:r>
              <w:rPr>
                <w:rFonts w:hint="eastAsia" w:ascii="宋体" w:hAnsi="宋体" w:eastAsia="宋体" w:cs="宋体"/>
                <w:b w:val="0"/>
                <w:bCs w:val="0"/>
                <w:color w:val="000000" w:themeColor="text1"/>
                <w:szCs w:val="21"/>
                <w:highlight w:val="none"/>
                <w:lang w:eastAsia="zh-CN"/>
                <w14:textFill>
                  <w14:solidFill>
                    <w14:schemeClr w14:val="tx1"/>
                  </w14:solidFill>
                </w14:textFill>
              </w:rPr>
              <w:t>质量、品种真实性后，安排的资金占项目资金总额的60%；如果检测发现提供的种子不是指定的镉低积累水稻品种</w:t>
            </w:r>
            <w:r>
              <w:rPr>
                <w:rFonts w:hint="eastAsia" w:ascii="宋体" w:hAnsi="宋体" w:cs="宋体"/>
                <w:b w:val="0"/>
                <w:bCs w:val="0"/>
                <w:color w:val="000000" w:themeColor="text1"/>
                <w:szCs w:val="21"/>
                <w:highlight w:val="none"/>
                <w:lang w:eastAsia="zh-CN"/>
                <w14:textFill>
                  <w14:solidFill>
                    <w14:schemeClr w14:val="tx1"/>
                  </w14:solidFill>
                </w14:textFill>
              </w:rPr>
              <w:t>或种子质量不达标的，不支付项目全部合同款项</w:t>
            </w:r>
            <w:r>
              <w:rPr>
                <w:rFonts w:hint="eastAsia" w:ascii="宋体" w:hAnsi="宋体" w:eastAsia="宋体" w:cs="宋体"/>
                <w:b w:val="0"/>
                <w:bCs w:val="0"/>
                <w:color w:val="000000" w:themeColor="text1"/>
                <w:szCs w:val="21"/>
                <w:highlight w:val="none"/>
                <w:lang w:eastAsia="zh-CN"/>
                <w14:textFill>
                  <w14:solidFill>
                    <w14:schemeClr w14:val="tx1"/>
                  </w14:solidFill>
                </w14:textFill>
              </w:rPr>
              <w:t>。措施落地后，由项目业主、项目监理组织专家确认相关措施的面积和宣传指导的人员数量后，</w:t>
            </w:r>
            <w:r>
              <w:rPr>
                <w:rFonts w:hint="eastAsia" w:ascii="宋体" w:hAnsi="宋体" w:cs="宋体"/>
                <w:b w:val="0"/>
                <w:bCs w:val="0"/>
                <w:color w:val="000000" w:themeColor="text1"/>
                <w:szCs w:val="21"/>
                <w:highlight w:val="none"/>
                <w:lang w:eastAsia="zh-CN"/>
                <w14:textFill>
                  <w14:solidFill>
                    <w14:schemeClr w14:val="tx1"/>
                  </w14:solidFill>
                </w14:textFill>
              </w:rPr>
              <w:t>再安排项目合同资金额的30%</w:t>
            </w:r>
            <w:r>
              <w:rPr>
                <w:rFonts w:hint="eastAsia" w:ascii="宋体" w:hAnsi="宋体" w:eastAsia="宋体" w:cs="宋体"/>
                <w:b w:val="0"/>
                <w:bCs w:val="0"/>
                <w:color w:val="000000" w:themeColor="text1"/>
                <w:szCs w:val="21"/>
                <w:highlight w:val="none"/>
                <w:lang w:eastAsia="zh-CN"/>
                <w14:textFill>
                  <w14:solidFill>
                    <w14:schemeClr w14:val="tx1"/>
                  </w14:solidFill>
                </w14:textFill>
              </w:rPr>
              <w:t>进度款。实施效果部分安排的资金占项目资金总额的10%。</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根据项目实施农业农村部门通过采样检测结果核算得出的项目实施区域产品合格率进行结算，其中：</w:t>
            </w:r>
          </w:p>
          <w:p w14:paraId="21E799AE">
            <w:pPr>
              <w:pStyle w:val="32"/>
              <w:spacing w:line="360" w:lineRule="auto"/>
              <w:ind w:firstLine="420" w:firstLineChars="20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2.1产品合格率：≥93%，可以结算10%项目款项。</w:t>
            </w:r>
          </w:p>
          <w:p w14:paraId="25B0EC51">
            <w:pPr>
              <w:pStyle w:val="32"/>
              <w:spacing w:line="360" w:lineRule="auto"/>
              <w:ind w:firstLine="420" w:firstLineChars="20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2.2产品合格率：60%（含）—93%（不含），可以结算10%项目款项×实际产品合格率÷93%的款项。</w:t>
            </w:r>
          </w:p>
          <w:p w14:paraId="32F6AD65">
            <w:pPr>
              <w:pStyle w:val="32"/>
              <w:spacing w:line="360" w:lineRule="auto"/>
              <w:ind w:firstLine="420" w:firstLineChars="200"/>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2.3产品合格率：小于60%（不含），不再支付10%项目剩余款额。</w:t>
            </w:r>
          </w:p>
        </w:tc>
      </w:tr>
      <w:tr w14:paraId="228A8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77" w:type="dxa"/>
            <w:gridSpan w:val="2"/>
            <w:vAlign w:val="top"/>
          </w:tcPr>
          <w:p w14:paraId="4653B054">
            <w:pPr>
              <w:pStyle w:val="124"/>
              <w:spacing w:before="25" w:line="229" w:lineRule="auto"/>
              <w:ind w:left="346"/>
              <w:jc w:val="center"/>
              <w:rPr>
                <w:rFonts w:hint="eastAsia" w:ascii="宋体" w:hAnsi="宋体" w:cs="宋体"/>
                <w:b/>
                <w:bCs w:val="0"/>
                <w:color w:val="000000" w:themeColor="text1"/>
                <w:szCs w:val="21"/>
                <w:highlight w:val="none"/>
                <w:lang w:eastAsia="zh-CN"/>
                <w14:textFill>
                  <w14:solidFill>
                    <w14:schemeClr w14:val="tx1"/>
                  </w14:solidFill>
                </w14:textFill>
              </w:rPr>
            </w:pPr>
          </w:p>
          <w:p w14:paraId="6597EB60">
            <w:pPr>
              <w:pStyle w:val="124"/>
              <w:spacing w:before="25" w:line="229" w:lineRule="auto"/>
              <w:ind w:left="346"/>
              <w:jc w:val="center"/>
              <w:rPr>
                <w:rFonts w:hint="eastAsia" w:ascii="宋体" w:hAnsi="宋体" w:cs="宋体"/>
                <w:b/>
                <w:bCs w:val="0"/>
                <w:color w:val="000000" w:themeColor="text1"/>
                <w:szCs w:val="21"/>
                <w:highlight w:val="none"/>
                <w:lang w:eastAsia="zh-CN"/>
                <w14:textFill>
                  <w14:solidFill>
                    <w14:schemeClr w14:val="tx1"/>
                  </w14:solidFill>
                </w14:textFill>
              </w:rPr>
            </w:pPr>
          </w:p>
          <w:p w14:paraId="1C4D8E09">
            <w:pPr>
              <w:pStyle w:val="124"/>
              <w:spacing w:before="25" w:line="229" w:lineRule="auto"/>
              <w:jc w:val="center"/>
              <w:rPr>
                <w:spacing w:val="6"/>
              </w:rPr>
            </w:pPr>
            <w:r>
              <w:rPr>
                <w:rFonts w:hint="eastAsia" w:ascii="宋体" w:hAnsi="宋体" w:cs="宋体"/>
                <w:b/>
                <w:bCs w:val="0"/>
                <w:color w:val="000000" w:themeColor="text1"/>
                <w:szCs w:val="21"/>
                <w:highlight w:val="none"/>
                <w:lang w:eastAsia="zh-CN"/>
                <w14:textFill>
                  <w14:solidFill>
                    <w14:schemeClr w14:val="tx1"/>
                  </w14:solidFill>
                </w14:textFill>
              </w:rPr>
              <w:t>技术服务要求</w:t>
            </w:r>
          </w:p>
        </w:tc>
        <w:tc>
          <w:tcPr>
            <w:tcW w:w="8529" w:type="dxa"/>
            <w:gridSpan w:val="2"/>
            <w:shd w:val="clear" w:color="auto" w:fill="auto"/>
            <w:vAlign w:val="center"/>
          </w:tcPr>
          <w:p w14:paraId="379F09A3">
            <w:pPr>
              <w:numPr>
                <w:ilvl w:val="0"/>
                <w:numId w:val="0"/>
              </w:numPr>
              <w:spacing w:line="360" w:lineRule="auto"/>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lang w:val="en-US" w:eastAsia="zh-CN" w:bidi="ar-SA"/>
                <w14:textFill>
                  <w14:solidFill>
                    <w14:schemeClr w14:val="tx1"/>
                  </w14:solidFill>
                </w14:textFill>
              </w:rPr>
              <w:t>1、</w:t>
            </w:r>
            <w:r>
              <w:rPr>
                <w:rFonts w:hint="eastAsia" w:ascii="宋体" w:hAnsi="宋体" w:cs="宋体"/>
                <w:b w:val="0"/>
                <w:bCs w:val="0"/>
                <w:color w:val="000000" w:themeColor="text1"/>
                <w:szCs w:val="21"/>
                <w:highlight w:val="none"/>
                <w:lang w:eastAsia="zh-CN"/>
                <w14:textFill>
                  <w14:solidFill>
                    <w14:schemeClr w14:val="tx1"/>
                  </w14:solidFill>
                </w14:textFill>
              </w:rPr>
              <w:t>成交供应商</w:t>
            </w:r>
            <w:r>
              <w:rPr>
                <w:rFonts w:hint="eastAsia" w:ascii="宋体" w:hAnsi="宋体" w:cs="宋体"/>
                <w:b w:val="0"/>
                <w:bCs w:val="0"/>
                <w:color w:val="000000" w:themeColor="text1"/>
                <w:szCs w:val="21"/>
                <w:highlight w:val="none"/>
                <w14:textFill>
                  <w14:solidFill>
                    <w14:schemeClr w14:val="tx1"/>
                  </w14:solidFill>
                </w14:textFill>
              </w:rPr>
              <w:t>应严格按</w:t>
            </w:r>
            <w:r>
              <w:rPr>
                <w:rFonts w:hint="eastAsia" w:ascii="宋体" w:hAnsi="宋体" w:cs="宋体"/>
                <w:b w:val="0"/>
                <w:bCs w:val="0"/>
                <w:color w:val="000000" w:themeColor="text1"/>
                <w:szCs w:val="21"/>
                <w:highlight w:val="none"/>
                <w:lang w:eastAsia="zh-CN"/>
                <w14:textFill>
                  <w14:solidFill>
                    <w14:schemeClr w14:val="tx1"/>
                  </w14:solidFill>
                </w14:textFill>
              </w:rPr>
              <w:t>照响应文件要求做好项目服务工作，直至项目整体验收完毕为止</w:t>
            </w:r>
            <w:r>
              <w:rPr>
                <w:rFonts w:hint="eastAsia" w:ascii="宋体" w:hAnsi="宋体" w:cs="宋体"/>
                <w:b w:val="0"/>
                <w:bCs w:val="0"/>
                <w:color w:val="000000" w:themeColor="text1"/>
                <w:szCs w:val="21"/>
                <w:highlight w:val="none"/>
                <w14:textFill>
                  <w14:solidFill>
                    <w14:schemeClr w14:val="tx1"/>
                  </w14:solidFill>
                </w14:textFill>
              </w:rPr>
              <w:t>，由此产生的一切费用由</w:t>
            </w:r>
            <w:r>
              <w:rPr>
                <w:rFonts w:hint="eastAsia" w:ascii="宋体" w:hAnsi="宋体" w:cs="宋体"/>
                <w:b w:val="0"/>
                <w:bCs w:val="0"/>
                <w:color w:val="000000" w:themeColor="text1"/>
                <w:szCs w:val="21"/>
                <w:highlight w:val="none"/>
                <w:lang w:eastAsia="zh-CN"/>
                <w14:textFill>
                  <w14:solidFill>
                    <w14:schemeClr w14:val="tx1"/>
                  </w14:solidFill>
                </w14:textFill>
              </w:rPr>
              <w:t>成交供应商</w:t>
            </w:r>
            <w:r>
              <w:rPr>
                <w:rFonts w:hint="eastAsia" w:ascii="宋体" w:hAnsi="宋体" w:cs="宋体"/>
                <w:b w:val="0"/>
                <w:bCs w:val="0"/>
                <w:color w:val="000000" w:themeColor="text1"/>
                <w:szCs w:val="21"/>
                <w:highlight w:val="none"/>
                <w14:textFill>
                  <w14:solidFill>
                    <w14:schemeClr w14:val="tx1"/>
                  </w14:solidFill>
                </w14:textFill>
              </w:rPr>
              <w:t xml:space="preserve">负责。 </w:t>
            </w:r>
          </w:p>
          <w:p w14:paraId="57CDC378">
            <w:pPr>
              <w:numPr>
                <w:ilvl w:val="0"/>
                <w:numId w:val="0"/>
              </w:numPr>
              <w:spacing w:line="360" w:lineRule="auto"/>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lang w:val="en-US" w:eastAsia="zh-CN" w:bidi="ar-SA"/>
                <w14:textFill>
                  <w14:solidFill>
                    <w14:schemeClr w14:val="tx1"/>
                  </w14:solidFill>
                </w14:textFill>
              </w:rPr>
              <w:t>2、</w:t>
            </w:r>
            <w:r>
              <w:rPr>
                <w:rFonts w:hint="eastAsia" w:ascii="宋体" w:hAnsi="宋体" w:cs="宋体"/>
                <w:b w:val="0"/>
                <w:bCs w:val="0"/>
                <w:color w:val="000000" w:themeColor="text1"/>
                <w:szCs w:val="21"/>
                <w:highlight w:val="none"/>
                <w14:textFill>
                  <w14:solidFill>
                    <w14:schemeClr w14:val="tx1"/>
                  </w14:solidFill>
                </w14:textFill>
              </w:rPr>
              <w:t>处理问题响应时间：接到采购人处理问题通知后 24 小时内到达采购人指定现场。</w:t>
            </w:r>
          </w:p>
          <w:p w14:paraId="38122D0B">
            <w:pPr>
              <w:spacing w:line="360" w:lineRule="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3、</w:t>
            </w:r>
            <w:r>
              <w:rPr>
                <w:rFonts w:hint="eastAsia" w:ascii="宋体" w:hAnsi="宋体" w:cs="宋体"/>
                <w:b w:val="0"/>
                <w:bCs w:val="0"/>
                <w:color w:val="000000" w:themeColor="text1"/>
                <w:szCs w:val="21"/>
                <w:highlight w:val="none"/>
                <w:lang w:eastAsia="zh-CN"/>
                <w14:textFill>
                  <w14:solidFill>
                    <w14:schemeClr w14:val="tx1"/>
                  </w14:solidFill>
                </w14:textFill>
              </w:rPr>
              <w:t>成交供应商</w:t>
            </w:r>
            <w:r>
              <w:rPr>
                <w:rFonts w:hint="eastAsia" w:ascii="宋体" w:hAnsi="宋体" w:cs="宋体"/>
                <w:b w:val="0"/>
                <w:bCs w:val="0"/>
                <w:color w:val="000000" w:themeColor="text1"/>
                <w:szCs w:val="21"/>
                <w:highlight w:val="none"/>
                <w14:textFill>
                  <w14:solidFill>
                    <w14:schemeClr w14:val="tx1"/>
                  </w14:solidFill>
                </w14:textFill>
              </w:rPr>
              <w:t>必须配合采购人完成整体项目的验收。</w:t>
            </w:r>
          </w:p>
        </w:tc>
      </w:tr>
      <w:tr w14:paraId="437FE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77" w:type="dxa"/>
            <w:gridSpan w:val="2"/>
            <w:vAlign w:val="top"/>
          </w:tcPr>
          <w:p w14:paraId="10E3B656">
            <w:pPr>
              <w:pStyle w:val="124"/>
              <w:spacing w:before="25" w:line="229" w:lineRule="auto"/>
              <w:jc w:val="center"/>
              <w:rPr>
                <w:rFonts w:hint="eastAsia" w:ascii="宋体" w:hAnsi="宋体" w:cs="宋体"/>
                <w:b/>
                <w:bCs w:val="0"/>
                <w:color w:val="000000" w:themeColor="text1"/>
                <w:szCs w:val="21"/>
                <w:highlight w:val="none"/>
                <w:lang w:eastAsia="zh-CN"/>
                <w14:textFill>
                  <w14:solidFill>
                    <w14:schemeClr w14:val="tx1"/>
                  </w14:solidFill>
                </w14:textFill>
              </w:rPr>
            </w:pPr>
            <w:r>
              <w:rPr>
                <w:rFonts w:hint="eastAsia" w:ascii="宋体" w:hAnsi="宋体"/>
                <w:b/>
                <w:bCs w:val="0"/>
                <w:color w:val="000000" w:themeColor="text1"/>
                <w:szCs w:val="21"/>
                <w:highlight w:val="none"/>
                <w14:textFill>
                  <w14:solidFill>
                    <w14:schemeClr w14:val="tx1"/>
                  </w14:solidFill>
                </w14:textFill>
              </w:rPr>
              <w:t>验收标准及要</w:t>
            </w:r>
            <w:r>
              <w:rPr>
                <w:rFonts w:hint="eastAsia" w:ascii="宋体" w:hAnsi="宋体"/>
                <w:b/>
                <w:bCs w:val="0"/>
                <w:color w:val="000000" w:themeColor="text1"/>
                <w:szCs w:val="21"/>
                <w:highlight w:val="none"/>
                <w:lang w:eastAsia="zh-CN"/>
                <w14:textFill>
                  <w14:solidFill>
                    <w14:schemeClr w14:val="tx1"/>
                  </w14:solidFill>
                </w14:textFill>
              </w:rPr>
              <w:t>求</w:t>
            </w:r>
          </w:p>
        </w:tc>
        <w:tc>
          <w:tcPr>
            <w:tcW w:w="8529" w:type="dxa"/>
            <w:gridSpan w:val="2"/>
            <w:shd w:val="clear" w:color="auto" w:fill="auto"/>
            <w:vAlign w:val="center"/>
          </w:tcPr>
          <w:p w14:paraId="485F2C9B">
            <w:pPr>
              <w:spacing w:line="360" w:lineRule="exact"/>
              <w:rPr>
                <w:rFonts w:hint="eastAsia"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1</w:t>
            </w:r>
            <w:r>
              <w:rPr>
                <w:rFonts w:ascii="宋体" w:hAnsi="宋体"/>
                <w:b w:val="0"/>
                <w:bCs w:val="0"/>
                <w:color w:val="000000" w:themeColor="text1"/>
                <w:szCs w:val="21"/>
                <w:highlight w:val="none"/>
                <w14:textFill>
                  <w14:solidFill>
                    <w14:schemeClr w14:val="tx1"/>
                  </w14:solidFill>
                </w14:textFill>
              </w:rPr>
              <w:t>.</w:t>
            </w:r>
            <w:r>
              <w:rPr>
                <w:rFonts w:hint="eastAsia" w:ascii="宋体" w:hAnsi="宋体" w:cs="宋体"/>
                <w:b w:val="0"/>
                <w:bCs w:val="0"/>
                <w:color w:val="000000" w:themeColor="text1"/>
                <w:szCs w:val="21"/>
                <w:highlight w:val="none"/>
                <w:lang w:eastAsia="zh-CN"/>
                <w14:textFill>
                  <w14:solidFill>
                    <w14:schemeClr w14:val="tx1"/>
                  </w14:solidFill>
                </w14:textFill>
              </w:rPr>
              <w:t>成交供应商</w:t>
            </w:r>
            <w:r>
              <w:rPr>
                <w:rFonts w:hint="eastAsia" w:ascii="宋体" w:hAnsi="宋体" w:cs="宋体"/>
                <w:b w:val="0"/>
                <w:bCs w:val="0"/>
                <w:color w:val="000000" w:themeColor="text1"/>
                <w:szCs w:val="21"/>
                <w:highlight w:val="none"/>
                <w14:textFill>
                  <w14:solidFill>
                    <w14:schemeClr w14:val="tx1"/>
                  </w14:solidFill>
                </w14:textFill>
              </w:rPr>
              <w:t>向采购人提供的所有涉及成果资料必须符合国家、广西、贵港市的最新规范及要求</w:t>
            </w:r>
            <w:r>
              <w:rPr>
                <w:rFonts w:hint="eastAsia" w:ascii="宋体" w:hAnsi="宋体"/>
                <w:b w:val="0"/>
                <w:bCs w:val="0"/>
                <w:color w:val="000000" w:themeColor="text1"/>
                <w:szCs w:val="21"/>
                <w:highlight w:val="none"/>
                <w14:textFill>
                  <w14:solidFill>
                    <w14:schemeClr w14:val="tx1"/>
                  </w14:solidFill>
                </w14:textFill>
              </w:rPr>
              <w:t>。</w:t>
            </w:r>
            <w:r>
              <w:rPr>
                <w:rFonts w:ascii="宋体" w:hAnsi="宋体"/>
                <w:b w:val="0"/>
                <w:bCs w:val="0"/>
                <w:color w:val="000000" w:themeColor="text1"/>
                <w:szCs w:val="21"/>
                <w:highlight w:val="none"/>
                <w14:textFill>
                  <w14:solidFill>
                    <w14:schemeClr w14:val="tx1"/>
                  </w14:solidFill>
                </w14:textFill>
              </w:rPr>
              <w:t>2</w:t>
            </w:r>
            <w:r>
              <w:rPr>
                <w:rFonts w:hint="eastAsia" w:ascii="宋体" w:hAnsi="宋体"/>
                <w:b w:val="0"/>
                <w:bCs w:val="0"/>
                <w:color w:val="000000" w:themeColor="text1"/>
                <w:szCs w:val="21"/>
                <w:highlight w:val="none"/>
                <w14:textFill>
                  <w14:solidFill>
                    <w14:schemeClr w14:val="tx1"/>
                  </w14:solidFill>
                </w14:textFill>
              </w:rPr>
              <w:t>.验收过程中所产生的一切费用均由</w:t>
            </w:r>
            <w:r>
              <w:rPr>
                <w:rFonts w:hint="eastAsia" w:ascii="宋体" w:hAnsi="宋体"/>
                <w:b w:val="0"/>
                <w:bCs w:val="0"/>
                <w:color w:val="000000" w:themeColor="text1"/>
                <w:szCs w:val="21"/>
                <w:highlight w:val="none"/>
                <w:lang w:eastAsia="zh-CN"/>
                <w14:textFill>
                  <w14:solidFill>
                    <w14:schemeClr w14:val="tx1"/>
                  </w14:solidFill>
                </w14:textFill>
              </w:rPr>
              <w:t>成交供应商</w:t>
            </w:r>
            <w:r>
              <w:rPr>
                <w:rFonts w:hint="eastAsia" w:ascii="宋体" w:hAnsi="宋体"/>
                <w:b w:val="0"/>
                <w:bCs w:val="0"/>
                <w:color w:val="000000" w:themeColor="text1"/>
                <w:szCs w:val="21"/>
                <w:highlight w:val="none"/>
                <w14:textFill>
                  <w14:solidFill>
                    <w14:schemeClr w14:val="tx1"/>
                  </w14:solidFill>
                </w14:textFill>
              </w:rPr>
              <w:t>承担。报价时应考虑相关费用。</w:t>
            </w:r>
          </w:p>
          <w:p w14:paraId="75EFBCD8">
            <w:pPr>
              <w:spacing w:line="360" w:lineRule="exact"/>
              <w:rPr>
                <w:rFonts w:hint="eastAsia" w:ascii="宋体" w:hAnsi="宋体"/>
                <w:b w:val="0"/>
                <w:bCs w:val="0"/>
                <w:color w:val="000000" w:themeColor="text1"/>
                <w:szCs w:val="21"/>
                <w:highlight w:val="none"/>
                <w14:textFill>
                  <w14:solidFill>
                    <w14:schemeClr w14:val="tx1"/>
                  </w14:solidFill>
                </w14:textFill>
              </w:rPr>
            </w:pPr>
            <w:r>
              <w:rPr>
                <w:rFonts w:ascii="宋体" w:hAnsi="宋体"/>
                <w:b w:val="0"/>
                <w:bCs w:val="0"/>
                <w:color w:val="000000" w:themeColor="text1"/>
                <w:szCs w:val="21"/>
                <w:highlight w:val="none"/>
                <w14:textFill>
                  <w14:solidFill>
                    <w14:schemeClr w14:val="tx1"/>
                  </w14:solidFill>
                </w14:textFill>
              </w:rPr>
              <w:t>3</w:t>
            </w:r>
            <w:r>
              <w:rPr>
                <w:rFonts w:hint="eastAsia" w:ascii="宋体" w:hAnsi="宋体"/>
                <w:b w:val="0"/>
                <w:bCs w:val="0"/>
                <w:color w:val="000000" w:themeColor="text1"/>
                <w:szCs w:val="21"/>
                <w:highlight w:val="none"/>
                <w14:textFill>
                  <w14:solidFill>
                    <w14:schemeClr w14:val="tx1"/>
                  </w14:solidFill>
                </w14:textFill>
              </w:rPr>
              <w:t>.采购人根据工作实际所需环节组织验收，</w:t>
            </w:r>
            <w:r>
              <w:rPr>
                <w:rFonts w:hint="eastAsia" w:ascii="宋体" w:hAnsi="宋体"/>
                <w:b w:val="0"/>
                <w:bCs w:val="0"/>
                <w:color w:val="000000" w:themeColor="text1"/>
                <w:szCs w:val="21"/>
                <w:highlight w:val="none"/>
                <w:lang w:eastAsia="zh-CN"/>
                <w14:textFill>
                  <w14:solidFill>
                    <w14:schemeClr w14:val="tx1"/>
                  </w14:solidFill>
                </w14:textFill>
              </w:rPr>
              <w:t>成交供应商</w:t>
            </w:r>
            <w:r>
              <w:rPr>
                <w:rFonts w:hint="eastAsia" w:ascii="宋体" w:hAnsi="宋体"/>
                <w:b w:val="0"/>
                <w:bCs w:val="0"/>
                <w:color w:val="000000" w:themeColor="text1"/>
                <w:szCs w:val="21"/>
                <w:highlight w:val="none"/>
                <w14:textFill>
                  <w14:solidFill>
                    <w14:schemeClr w14:val="tx1"/>
                  </w14:solidFill>
                </w14:textFill>
              </w:rPr>
              <w:t>必须到场配合，验收合格后双方签署验收合格凭证。</w:t>
            </w:r>
          </w:p>
          <w:p w14:paraId="6F01182B">
            <w:pPr>
              <w:spacing w:line="360" w:lineRule="auto"/>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4.其他未尽事宜应严格按照《关于印发广西壮族自治区政府采购项目履约验收管理办法的通知》[桂财采〔2015〕22号]以及《财政部关于进一步加强政府采购需求和履约验收管理的指导意见》[财库〔2016〕205号]规定执行。</w:t>
            </w:r>
          </w:p>
        </w:tc>
      </w:tr>
    </w:tbl>
    <w:p w14:paraId="149CA5CE">
      <w:pPr>
        <w:rPr>
          <w:rFonts w:hint="eastAsia"/>
        </w:rPr>
        <w:sectPr>
          <w:headerReference r:id="rId4" w:type="first"/>
          <w:footerReference r:id="rId5" w:type="default"/>
          <w:pgSz w:w="11910" w:h="16840"/>
          <w:pgMar w:top="1417" w:right="1417" w:bottom="1417" w:left="1417" w:header="0" w:footer="1202" w:gutter="0"/>
          <w:cols w:space="0" w:num="1"/>
        </w:sectPr>
      </w:pPr>
    </w:p>
    <w:bookmarkEnd w:id="0"/>
    <w:bookmarkEnd w:id="1"/>
    <w:p w14:paraId="47513699">
      <w:pPr>
        <w:pStyle w:val="22"/>
        <w:numPr>
          <w:ilvl w:val="0"/>
          <w:numId w:val="0"/>
        </w:numPr>
        <w:jc w:val="center"/>
        <w:outlineLvl w:val="0"/>
        <w:rPr>
          <w:rStyle w:val="40"/>
          <w:rFonts w:hint="eastAsia" w:ascii="宋体" w:hAnsi="宋体" w:cs="宋体"/>
          <w:b/>
          <w:bCs/>
          <w:color w:val="auto"/>
          <w:highlight w:val="none"/>
          <w:lang w:val="en-US" w:eastAsia="zh-CN"/>
        </w:rPr>
      </w:pPr>
      <w:bookmarkStart w:id="2" w:name="一、项目要求及服务需求"/>
      <w:bookmarkEnd w:id="2"/>
    </w:p>
    <w:p w14:paraId="56FC1941">
      <w:pPr>
        <w:pStyle w:val="22"/>
        <w:numPr>
          <w:ilvl w:val="0"/>
          <w:numId w:val="0"/>
        </w:numPr>
        <w:jc w:val="center"/>
        <w:outlineLvl w:val="0"/>
        <w:rPr>
          <w:rStyle w:val="40"/>
          <w:rFonts w:ascii="宋体" w:hAnsi="宋体" w:cs="宋体"/>
          <w:b/>
          <w:bCs/>
          <w:color w:val="auto"/>
          <w:highlight w:val="none"/>
        </w:rPr>
      </w:pPr>
      <w:r>
        <w:rPr>
          <w:rStyle w:val="40"/>
          <w:rFonts w:hint="eastAsia" w:ascii="宋体" w:hAnsi="宋体" w:cs="宋体"/>
          <w:b/>
          <w:bCs/>
          <w:color w:val="auto"/>
          <w:highlight w:val="none"/>
          <w:lang w:val="en-US" w:eastAsia="zh-CN"/>
        </w:rPr>
        <w:t xml:space="preserve">第四章     </w:t>
      </w:r>
      <w:r>
        <w:rPr>
          <w:rStyle w:val="40"/>
          <w:rFonts w:ascii="宋体" w:hAnsi="宋体" w:cs="宋体"/>
          <w:b/>
          <w:bCs/>
          <w:color w:val="auto"/>
          <w:highlight w:val="none"/>
        </w:rPr>
        <w:t>合同协议书</w:t>
      </w:r>
    </w:p>
    <w:p w14:paraId="378757CE">
      <w:pPr>
        <w:pStyle w:val="22"/>
        <w:numPr>
          <w:ilvl w:val="0"/>
          <w:numId w:val="0"/>
        </w:numPr>
        <w:jc w:val="center"/>
        <w:outlineLvl w:val="0"/>
        <w:rPr>
          <w:rStyle w:val="40"/>
          <w:rFonts w:ascii="宋体" w:hAnsi="宋体" w:cs="宋体"/>
          <w:b/>
          <w:bCs/>
          <w:color w:val="auto"/>
          <w:highlight w:val="none"/>
        </w:rPr>
      </w:pPr>
      <w:r>
        <w:rPr>
          <w:rStyle w:val="40"/>
          <w:rFonts w:ascii="宋体" w:hAnsi="宋体" w:cs="宋体"/>
          <w:b/>
          <w:bCs/>
          <w:color w:val="auto"/>
          <w:highlight w:val="none"/>
        </w:rPr>
        <w:t>（</w:t>
      </w:r>
      <w:r>
        <w:rPr>
          <w:rStyle w:val="40"/>
          <w:rFonts w:hint="eastAsia" w:ascii="宋体" w:hAnsi="宋体" w:cs="宋体"/>
          <w:b/>
          <w:bCs/>
          <w:color w:val="auto"/>
          <w:highlight w:val="none"/>
          <w:lang w:eastAsia="zh-CN"/>
        </w:rPr>
        <w:t>仅</w:t>
      </w:r>
      <w:r>
        <w:rPr>
          <w:rStyle w:val="40"/>
          <w:rFonts w:ascii="宋体" w:hAnsi="宋体" w:cs="宋体"/>
          <w:b/>
          <w:bCs/>
          <w:color w:val="auto"/>
          <w:highlight w:val="none"/>
        </w:rPr>
        <w:t>参考格式</w:t>
      </w:r>
      <w:r>
        <w:rPr>
          <w:rStyle w:val="40"/>
          <w:rFonts w:hint="eastAsia" w:ascii="宋体" w:hAnsi="宋体" w:cs="宋体"/>
          <w:b/>
          <w:bCs/>
          <w:color w:val="auto"/>
          <w:highlight w:val="none"/>
          <w:lang w:eastAsia="zh-CN"/>
        </w:rPr>
        <w:t>，以正式签订合同为准</w:t>
      </w:r>
      <w:r>
        <w:rPr>
          <w:rStyle w:val="40"/>
          <w:rFonts w:ascii="宋体" w:hAnsi="宋体" w:cs="宋体"/>
          <w:b/>
          <w:bCs/>
          <w:color w:val="auto"/>
          <w:highlight w:val="none"/>
        </w:rPr>
        <w:t>）</w:t>
      </w:r>
    </w:p>
    <w:p w14:paraId="1237B988">
      <w:pPr>
        <w:tabs>
          <w:tab w:val="left" w:pos="417"/>
        </w:tabs>
        <w:spacing w:line="360" w:lineRule="auto"/>
        <w:jc w:val="center"/>
        <w:rPr>
          <w:rStyle w:val="40"/>
          <w:rFonts w:ascii="宋体" w:hAnsi="宋体"/>
          <w:b/>
          <w:color w:val="auto"/>
          <w:kern w:val="0"/>
          <w:sz w:val="52"/>
          <w:szCs w:val="52"/>
          <w:highlight w:val="none"/>
        </w:rPr>
      </w:pPr>
    </w:p>
    <w:p w14:paraId="027BB072">
      <w:pPr>
        <w:tabs>
          <w:tab w:val="left" w:pos="417"/>
        </w:tabs>
        <w:spacing w:line="360" w:lineRule="auto"/>
        <w:jc w:val="center"/>
        <w:rPr>
          <w:rStyle w:val="40"/>
          <w:rFonts w:ascii="宋体" w:hAnsi="宋体"/>
          <w:b/>
          <w:color w:val="auto"/>
          <w:kern w:val="0"/>
          <w:sz w:val="52"/>
          <w:szCs w:val="52"/>
          <w:highlight w:val="none"/>
        </w:rPr>
      </w:pPr>
      <w:r>
        <w:rPr>
          <w:rStyle w:val="40"/>
          <w:rFonts w:ascii="宋体" w:hAnsi="宋体"/>
          <w:b/>
          <w:color w:val="auto"/>
          <w:kern w:val="0"/>
          <w:sz w:val="52"/>
          <w:szCs w:val="52"/>
          <w:highlight w:val="none"/>
        </w:rPr>
        <w:t>XXXXXXXX（项目）</w:t>
      </w:r>
    </w:p>
    <w:p w14:paraId="20E64B17">
      <w:pPr>
        <w:tabs>
          <w:tab w:val="left" w:pos="417"/>
        </w:tabs>
        <w:spacing w:line="360" w:lineRule="auto"/>
        <w:jc w:val="center"/>
        <w:rPr>
          <w:rStyle w:val="40"/>
          <w:rFonts w:ascii="宋体" w:hAnsi="宋体"/>
          <w:b/>
          <w:color w:val="auto"/>
          <w:spacing w:val="60"/>
          <w:sz w:val="36"/>
          <w:szCs w:val="36"/>
          <w:highlight w:val="none"/>
          <w:u w:val="single"/>
        </w:rPr>
      </w:pPr>
      <w:r>
        <w:rPr>
          <w:rStyle w:val="40"/>
          <w:rFonts w:ascii="宋体" w:hAnsi="宋体"/>
          <w:b/>
          <w:color w:val="auto"/>
          <w:kern w:val="0"/>
          <w:sz w:val="52"/>
          <w:szCs w:val="52"/>
          <w:highlight w:val="none"/>
        </w:rPr>
        <w:t>政 府 采 购 合 同</w:t>
      </w:r>
    </w:p>
    <w:p w14:paraId="447904FD">
      <w:pPr>
        <w:rPr>
          <w:rStyle w:val="40"/>
          <w:rFonts w:ascii="宋体" w:hAnsi="宋体" w:cs="宋体"/>
          <w:b/>
          <w:bCs/>
          <w:color w:val="auto"/>
          <w:sz w:val="36"/>
          <w:szCs w:val="36"/>
          <w:highlight w:val="none"/>
        </w:rPr>
      </w:pPr>
    </w:p>
    <w:p w14:paraId="239A0325">
      <w:pPr>
        <w:spacing w:line="360" w:lineRule="auto"/>
        <w:ind w:firstLine="3000" w:firstLineChars="996"/>
        <w:rPr>
          <w:rStyle w:val="40"/>
          <w:rFonts w:ascii="宋体" w:hAnsi="宋体"/>
          <w:b/>
          <w:color w:val="auto"/>
          <w:sz w:val="30"/>
          <w:szCs w:val="30"/>
          <w:highlight w:val="none"/>
        </w:rPr>
      </w:pPr>
      <w:r>
        <w:rPr>
          <w:rStyle w:val="40"/>
          <w:rFonts w:hint="eastAsia" w:ascii="宋体" w:hAnsi="宋体"/>
          <w:b/>
          <w:color w:val="auto"/>
          <w:sz w:val="30"/>
          <w:szCs w:val="30"/>
          <w:highlight w:val="none"/>
        </w:rPr>
        <w:t>项目</w:t>
      </w:r>
      <w:r>
        <w:rPr>
          <w:rStyle w:val="40"/>
          <w:rFonts w:ascii="宋体" w:hAnsi="宋体"/>
          <w:b/>
          <w:color w:val="auto"/>
          <w:sz w:val="30"/>
          <w:szCs w:val="30"/>
          <w:highlight w:val="none"/>
        </w:rPr>
        <w:t>名称：</w:t>
      </w:r>
    </w:p>
    <w:p w14:paraId="72C865A1">
      <w:pPr>
        <w:spacing w:line="360" w:lineRule="auto"/>
        <w:ind w:firstLine="3000" w:firstLineChars="996"/>
        <w:rPr>
          <w:rStyle w:val="40"/>
          <w:rFonts w:ascii="宋体" w:hAnsi="宋体"/>
          <w:b/>
          <w:color w:val="auto"/>
          <w:sz w:val="30"/>
          <w:szCs w:val="30"/>
          <w:highlight w:val="none"/>
        </w:rPr>
      </w:pPr>
      <w:r>
        <w:rPr>
          <w:rStyle w:val="40"/>
          <w:rFonts w:hint="eastAsia" w:ascii="宋体" w:hAnsi="宋体"/>
          <w:b/>
          <w:color w:val="auto"/>
          <w:sz w:val="30"/>
          <w:szCs w:val="30"/>
          <w:highlight w:val="none"/>
        </w:rPr>
        <w:t>项目</w:t>
      </w:r>
      <w:r>
        <w:rPr>
          <w:rStyle w:val="40"/>
          <w:rFonts w:ascii="宋体" w:hAnsi="宋体"/>
          <w:b/>
          <w:color w:val="auto"/>
          <w:sz w:val="30"/>
          <w:szCs w:val="30"/>
          <w:highlight w:val="none"/>
        </w:rPr>
        <w:t xml:space="preserve">编号： </w:t>
      </w:r>
    </w:p>
    <w:p w14:paraId="46C798FD">
      <w:pPr>
        <w:spacing w:line="360" w:lineRule="auto"/>
        <w:jc w:val="left"/>
        <w:rPr>
          <w:rStyle w:val="40"/>
          <w:rFonts w:ascii="宋体" w:hAnsi="宋体"/>
          <w:color w:val="auto"/>
          <w:kern w:val="0"/>
          <w:sz w:val="24"/>
          <w:szCs w:val="20"/>
          <w:highlight w:val="none"/>
        </w:rPr>
      </w:pPr>
    </w:p>
    <w:p w14:paraId="470A613A">
      <w:pPr>
        <w:spacing w:line="360" w:lineRule="auto"/>
        <w:jc w:val="left"/>
        <w:rPr>
          <w:rStyle w:val="40"/>
          <w:rFonts w:ascii="宋体" w:hAnsi="宋体"/>
          <w:color w:val="auto"/>
          <w:kern w:val="0"/>
          <w:highlight w:val="none"/>
        </w:rPr>
      </w:pPr>
    </w:p>
    <w:p w14:paraId="19DC2867">
      <w:pPr>
        <w:spacing w:line="360" w:lineRule="auto"/>
        <w:jc w:val="left"/>
        <w:rPr>
          <w:rStyle w:val="40"/>
          <w:rFonts w:ascii="宋体" w:hAnsi="宋体"/>
          <w:color w:val="auto"/>
          <w:kern w:val="0"/>
          <w:highlight w:val="none"/>
        </w:rPr>
      </w:pPr>
    </w:p>
    <w:p w14:paraId="77E6996A">
      <w:pPr>
        <w:spacing w:line="360" w:lineRule="auto"/>
        <w:jc w:val="left"/>
        <w:rPr>
          <w:rStyle w:val="40"/>
          <w:rFonts w:ascii="宋体" w:hAnsi="宋体"/>
          <w:color w:val="auto"/>
          <w:kern w:val="0"/>
          <w:highlight w:val="none"/>
        </w:rPr>
      </w:pPr>
      <w:r>
        <w:rPr>
          <w:rStyle w:val="40"/>
          <w:rFonts w:ascii="宋体" w:hAnsi="宋体"/>
          <w:color w:val="auto"/>
          <w:kern w:val="0"/>
          <w:highlight w:val="none"/>
        </w:rPr>
        <w:t xml:space="preserve"> </w:t>
      </w:r>
    </w:p>
    <w:p w14:paraId="75C5881A">
      <w:pPr>
        <w:spacing w:line="360" w:lineRule="auto"/>
        <w:jc w:val="left"/>
        <w:rPr>
          <w:rStyle w:val="40"/>
          <w:rFonts w:ascii="宋体" w:hAnsi="宋体"/>
          <w:color w:val="auto"/>
          <w:kern w:val="0"/>
          <w:highlight w:val="none"/>
        </w:rPr>
      </w:pPr>
    </w:p>
    <w:p w14:paraId="1694DE0A">
      <w:pPr>
        <w:spacing w:line="360" w:lineRule="auto"/>
        <w:ind w:firstLine="551" w:firstLineChars="196"/>
        <w:rPr>
          <w:rStyle w:val="40"/>
          <w:rFonts w:ascii="宋体" w:hAnsi="宋体"/>
          <w:b/>
          <w:color w:val="auto"/>
          <w:kern w:val="0"/>
          <w:sz w:val="28"/>
          <w:szCs w:val="28"/>
          <w:highlight w:val="none"/>
          <w:u w:val="single"/>
        </w:rPr>
      </w:pPr>
      <w:r>
        <w:rPr>
          <w:rStyle w:val="40"/>
          <w:rFonts w:ascii="宋体" w:hAnsi="宋体"/>
          <w:b/>
          <w:color w:val="auto"/>
          <w:kern w:val="0"/>
          <w:sz w:val="28"/>
          <w:szCs w:val="28"/>
          <w:highlight w:val="none"/>
        </w:rPr>
        <w:t>采  购  人：</w:t>
      </w:r>
      <w:r>
        <w:rPr>
          <w:rStyle w:val="40"/>
          <w:rFonts w:ascii="宋体" w:hAnsi="宋体"/>
          <w:b/>
          <w:color w:val="auto"/>
          <w:kern w:val="0"/>
          <w:sz w:val="28"/>
          <w:szCs w:val="28"/>
          <w:highlight w:val="none"/>
          <w:u w:val="single"/>
        </w:rPr>
        <w:t xml:space="preserve">                                </w:t>
      </w:r>
    </w:p>
    <w:p w14:paraId="0B17060E">
      <w:pPr>
        <w:spacing w:line="360" w:lineRule="auto"/>
        <w:ind w:firstLine="551" w:firstLineChars="196"/>
        <w:rPr>
          <w:rStyle w:val="40"/>
          <w:rFonts w:ascii="宋体" w:hAnsi="宋体"/>
          <w:b/>
          <w:color w:val="auto"/>
          <w:kern w:val="0"/>
          <w:sz w:val="28"/>
          <w:szCs w:val="28"/>
          <w:highlight w:val="none"/>
          <w:u w:val="single"/>
        </w:rPr>
      </w:pPr>
      <w:r>
        <w:rPr>
          <w:rStyle w:val="40"/>
          <w:rFonts w:ascii="宋体" w:hAnsi="宋体"/>
          <w:b/>
          <w:color w:val="auto"/>
          <w:kern w:val="0"/>
          <w:sz w:val="28"/>
          <w:szCs w:val="28"/>
          <w:highlight w:val="none"/>
        </w:rPr>
        <w:t>成交供应商：</w:t>
      </w:r>
      <w:r>
        <w:rPr>
          <w:rStyle w:val="40"/>
          <w:rFonts w:ascii="宋体" w:hAnsi="宋体"/>
          <w:b/>
          <w:color w:val="auto"/>
          <w:kern w:val="0"/>
          <w:sz w:val="28"/>
          <w:szCs w:val="28"/>
          <w:highlight w:val="none"/>
          <w:u w:val="single"/>
        </w:rPr>
        <w:t xml:space="preserve">                                </w:t>
      </w:r>
    </w:p>
    <w:p w14:paraId="0E04B241">
      <w:pPr>
        <w:snapToGrid w:val="0"/>
        <w:spacing w:line="400" w:lineRule="exact"/>
        <w:rPr>
          <w:rStyle w:val="40"/>
          <w:rFonts w:ascii="宋体" w:hAnsi="宋体"/>
          <w:color w:val="auto"/>
          <w:szCs w:val="21"/>
          <w:highlight w:val="none"/>
        </w:rPr>
      </w:pPr>
    </w:p>
    <w:p w14:paraId="214F2B4A">
      <w:pPr>
        <w:pStyle w:val="23"/>
        <w:rPr>
          <w:color w:val="auto"/>
          <w:highlight w:val="none"/>
        </w:rPr>
      </w:pPr>
    </w:p>
    <w:p w14:paraId="3A61054B">
      <w:pPr>
        <w:snapToGrid w:val="0"/>
        <w:spacing w:line="400" w:lineRule="exact"/>
        <w:rPr>
          <w:rStyle w:val="40"/>
          <w:rFonts w:ascii="宋体" w:hAnsi="宋体"/>
          <w:color w:val="auto"/>
          <w:szCs w:val="21"/>
          <w:highlight w:val="none"/>
        </w:rPr>
      </w:pPr>
    </w:p>
    <w:p w14:paraId="46537D4D">
      <w:pPr>
        <w:snapToGrid w:val="0"/>
        <w:spacing w:line="400" w:lineRule="exact"/>
        <w:rPr>
          <w:rStyle w:val="40"/>
          <w:rFonts w:ascii="宋体" w:hAnsi="宋体"/>
          <w:color w:val="auto"/>
          <w:szCs w:val="21"/>
          <w:highlight w:val="none"/>
        </w:rPr>
      </w:pPr>
    </w:p>
    <w:p w14:paraId="4B295014">
      <w:pPr>
        <w:snapToGrid w:val="0"/>
        <w:spacing w:line="400" w:lineRule="exact"/>
        <w:rPr>
          <w:rStyle w:val="40"/>
          <w:rFonts w:ascii="宋体" w:hAnsi="宋体"/>
          <w:color w:val="auto"/>
          <w:szCs w:val="21"/>
          <w:highlight w:val="none"/>
        </w:rPr>
      </w:pPr>
    </w:p>
    <w:p w14:paraId="2B67465F">
      <w:pPr>
        <w:snapToGrid w:val="0"/>
        <w:spacing w:line="400" w:lineRule="exact"/>
        <w:rPr>
          <w:rStyle w:val="40"/>
          <w:rFonts w:ascii="宋体" w:hAnsi="宋体"/>
          <w:color w:val="auto"/>
          <w:szCs w:val="21"/>
          <w:highlight w:val="none"/>
        </w:rPr>
      </w:pPr>
    </w:p>
    <w:p w14:paraId="2E7D874A">
      <w:pPr>
        <w:snapToGrid w:val="0"/>
        <w:spacing w:line="400" w:lineRule="exact"/>
        <w:rPr>
          <w:rStyle w:val="40"/>
          <w:rFonts w:ascii="宋体" w:hAnsi="宋体"/>
          <w:color w:val="auto"/>
          <w:szCs w:val="21"/>
          <w:highlight w:val="none"/>
        </w:rPr>
      </w:pPr>
    </w:p>
    <w:p w14:paraId="1F6E33AA">
      <w:pPr>
        <w:snapToGrid w:val="0"/>
        <w:spacing w:line="400" w:lineRule="exact"/>
        <w:rPr>
          <w:rStyle w:val="40"/>
          <w:rFonts w:ascii="宋体" w:hAnsi="宋体"/>
          <w:color w:val="auto"/>
          <w:szCs w:val="21"/>
          <w:highlight w:val="none"/>
        </w:rPr>
      </w:pPr>
    </w:p>
    <w:p w14:paraId="53FC78DA">
      <w:pPr>
        <w:snapToGrid w:val="0"/>
        <w:spacing w:line="400" w:lineRule="exact"/>
        <w:rPr>
          <w:rStyle w:val="40"/>
          <w:rFonts w:ascii="宋体" w:hAnsi="宋体"/>
          <w:color w:val="auto"/>
          <w:szCs w:val="21"/>
          <w:highlight w:val="none"/>
        </w:rPr>
      </w:pPr>
    </w:p>
    <w:p w14:paraId="5E3F7CFD">
      <w:pPr>
        <w:snapToGrid w:val="0"/>
        <w:spacing w:line="400" w:lineRule="exact"/>
        <w:rPr>
          <w:rStyle w:val="40"/>
          <w:rFonts w:ascii="宋体" w:hAnsi="宋体"/>
          <w:color w:val="auto"/>
          <w:szCs w:val="21"/>
          <w:highlight w:val="none"/>
        </w:rPr>
      </w:pPr>
    </w:p>
    <w:p w14:paraId="3EBC139D">
      <w:pPr>
        <w:snapToGrid w:val="0"/>
        <w:spacing w:line="400" w:lineRule="exact"/>
        <w:rPr>
          <w:rStyle w:val="40"/>
          <w:rFonts w:ascii="宋体" w:hAnsi="宋体"/>
          <w:color w:val="auto"/>
          <w:szCs w:val="21"/>
          <w:highlight w:val="none"/>
        </w:rPr>
      </w:pPr>
    </w:p>
    <w:p w14:paraId="7C709AD3">
      <w:pPr>
        <w:snapToGrid w:val="0"/>
        <w:spacing w:line="400" w:lineRule="exact"/>
        <w:rPr>
          <w:rStyle w:val="40"/>
          <w:rFonts w:ascii="宋体" w:hAnsi="宋体"/>
          <w:color w:val="auto"/>
          <w:szCs w:val="21"/>
          <w:highlight w:val="none"/>
          <w:u w:val="single"/>
        </w:rPr>
      </w:pPr>
      <w:r>
        <w:rPr>
          <w:rStyle w:val="40"/>
          <w:rFonts w:ascii="宋体" w:hAnsi="宋体"/>
          <w:color w:val="auto"/>
          <w:szCs w:val="21"/>
          <w:highlight w:val="none"/>
        </w:rPr>
        <w:t>采购单位（甲方）</w:t>
      </w:r>
      <w:r>
        <w:rPr>
          <w:rStyle w:val="40"/>
          <w:rFonts w:ascii="宋体" w:hAnsi="宋体"/>
          <w:color w:val="auto"/>
          <w:szCs w:val="21"/>
          <w:highlight w:val="none"/>
          <w:u w:val="single"/>
        </w:rPr>
        <w:t xml:space="preserve">                          </w:t>
      </w:r>
      <w:r>
        <w:rPr>
          <w:rStyle w:val="40"/>
          <w:rFonts w:ascii="宋体" w:hAnsi="宋体"/>
          <w:color w:val="auto"/>
          <w:szCs w:val="21"/>
          <w:highlight w:val="none"/>
        </w:rPr>
        <w:t xml:space="preserve">  </w:t>
      </w:r>
      <w:r>
        <w:rPr>
          <w:rStyle w:val="40"/>
          <w:rFonts w:ascii="宋体" w:hAnsi="宋体"/>
          <w:color w:val="auto"/>
          <w:spacing w:val="-20"/>
          <w:szCs w:val="21"/>
          <w:highlight w:val="none"/>
        </w:rPr>
        <w:t>合 同  编   号</w:t>
      </w:r>
      <w:r>
        <w:rPr>
          <w:rStyle w:val="40"/>
          <w:rFonts w:ascii="宋体" w:hAnsi="宋体"/>
          <w:color w:val="auto"/>
          <w:szCs w:val="21"/>
          <w:highlight w:val="none"/>
          <w:u w:val="single"/>
        </w:rPr>
        <w:t xml:space="preserve"> </w:t>
      </w:r>
      <w:r>
        <w:rPr>
          <w:rStyle w:val="40"/>
          <w:rFonts w:hint="eastAsia" w:ascii="宋体" w:hAnsi="宋体"/>
          <w:color w:val="auto"/>
          <w:szCs w:val="21"/>
          <w:highlight w:val="none"/>
          <w:u w:val="single"/>
          <w:lang w:eastAsia="zh-CN"/>
        </w:rPr>
        <w:t>：</w:t>
      </w:r>
      <w:r>
        <w:rPr>
          <w:rStyle w:val="40"/>
          <w:rFonts w:ascii="宋体" w:hAnsi="宋体"/>
          <w:color w:val="auto"/>
          <w:szCs w:val="21"/>
          <w:highlight w:val="none"/>
          <w:u w:val="single"/>
        </w:rPr>
        <w:t xml:space="preserve">                      </w:t>
      </w:r>
    </w:p>
    <w:p w14:paraId="5A57FB79">
      <w:pPr>
        <w:snapToGrid w:val="0"/>
        <w:spacing w:line="400" w:lineRule="exact"/>
        <w:rPr>
          <w:rStyle w:val="40"/>
          <w:rFonts w:ascii="宋体" w:hAnsi="宋体"/>
          <w:color w:val="auto"/>
          <w:szCs w:val="21"/>
          <w:highlight w:val="none"/>
          <w:u w:val="single"/>
        </w:rPr>
      </w:pPr>
      <w:r>
        <w:rPr>
          <w:rStyle w:val="40"/>
          <w:rFonts w:ascii="宋体" w:hAnsi="宋体"/>
          <w:color w:val="auto"/>
          <w:szCs w:val="21"/>
          <w:highlight w:val="none"/>
        </w:rPr>
        <w:t>供 应 商（乙方）</w:t>
      </w:r>
      <w:r>
        <w:rPr>
          <w:rStyle w:val="40"/>
          <w:rFonts w:ascii="宋体" w:hAnsi="宋体"/>
          <w:color w:val="auto"/>
          <w:szCs w:val="21"/>
          <w:highlight w:val="none"/>
          <w:u w:val="single"/>
        </w:rPr>
        <w:t xml:space="preserve">                          </w:t>
      </w:r>
      <w:r>
        <w:rPr>
          <w:rStyle w:val="40"/>
          <w:rFonts w:ascii="宋体" w:hAnsi="宋体"/>
          <w:color w:val="auto"/>
          <w:szCs w:val="21"/>
          <w:highlight w:val="none"/>
        </w:rPr>
        <w:t xml:space="preserve">  </w:t>
      </w:r>
      <w:r>
        <w:rPr>
          <w:rStyle w:val="40"/>
          <w:rFonts w:ascii="宋体" w:hAnsi="宋体"/>
          <w:color w:val="auto"/>
          <w:spacing w:val="-20"/>
          <w:szCs w:val="21"/>
          <w:highlight w:val="none"/>
        </w:rPr>
        <w:t>项 目  编  号</w:t>
      </w:r>
      <w:r>
        <w:rPr>
          <w:rStyle w:val="40"/>
          <w:rFonts w:ascii="宋体" w:hAnsi="宋体"/>
          <w:color w:val="auto"/>
          <w:szCs w:val="21"/>
          <w:highlight w:val="none"/>
          <w:u w:val="single"/>
        </w:rPr>
        <w:t xml:space="preserve"> </w:t>
      </w:r>
      <w:r>
        <w:rPr>
          <w:rStyle w:val="40"/>
          <w:rFonts w:hint="eastAsia" w:ascii="宋体" w:hAnsi="宋体"/>
          <w:color w:val="auto"/>
          <w:szCs w:val="21"/>
          <w:highlight w:val="none"/>
          <w:u w:val="single"/>
          <w:lang w:eastAsia="zh-CN"/>
        </w:rPr>
        <w:t>：</w:t>
      </w:r>
      <w:r>
        <w:rPr>
          <w:rStyle w:val="40"/>
          <w:rFonts w:hint="eastAsia" w:ascii="宋体" w:hAnsi="宋体"/>
          <w:color w:val="auto"/>
          <w:szCs w:val="21"/>
          <w:highlight w:val="none"/>
          <w:u w:val="single"/>
          <w:lang w:val="en-US" w:eastAsia="zh-CN"/>
        </w:rPr>
        <w:t xml:space="preserve">       </w:t>
      </w:r>
      <w:r>
        <w:rPr>
          <w:rStyle w:val="40"/>
          <w:rFonts w:ascii="宋体" w:hAnsi="宋体"/>
          <w:color w:val="auto"/>
          <w:szCs w:val="21"/>
          <w:highlight w:val="none"/>
          <w:u w:val="single"/>
        </w:rPr>
        <w:t xml:space="preserve">                   </w:t>
      </w:r>
    </w:p>
    <w:p w14:paraId="0DBD066C">
      <w:pPr>
        <w:snapToGrid w:val="0"/>
        <w:spacing w:line="400" w:lineRule="exact"/>
        <w:rPr>
          <w:rStyle w:val="40"/>
          <w:rFonts w:ascii="宋体" w:hAnsi="宋体"/>
          <w:color w:val="auto"/>
          <w:szCs w:val="21"/>
          <w:highlight w:val="none"/>
          <w:u w:val="single"/>
        </w:rPr>
      </w:pPr>
      <w:r>
        <w:rPr>
          <w:rStyle w:val="40"/>
          <w:rFonts w:ascii="宋体" w:hAnsi="宋体"/>
          <w:color w:val="auto"/>
          <w:szCs w:val="21"/>
          <w:highlight w:val="none"/>
        </w:rPr>
        <w:t xml:space="preserve">签  订  地  点  </w:t>
      </w:r>
      <w:r>
        <w:rPr>
          <w:rStyle w:val="40"/>
          <w:rFonts w:ascii="宋体" w:hAnsi="宋体"/>
          <w:color w:val="auto"/>
          <w:szCs w:val="21"/>
          <w:highlight w:val="none"/>
          <w:u w:val="single"/>
        </w:rPr>
        <w:t xml:space="preserve">                          </w:t>
      </w:r>
      <w:r>
        <w:rPr>
          <w:rStyle w:val="40"/>
          <w:rFonts w:ascii="宋体" w:hAnsi="宋体"/>
          <w:color w:val="auto"/>
          <w:szCs w:val="21"/>
          <w:highlight w:val="none"/>
        </w:rPr>
        <w:t xml:space="preserve">  签 订 时 间</w:t>
      </w:r>
      <w:r>
        <w:rPr>
          <w:rStyle w:val="40"/>
          <w:rFonts w:hint="eastAsia" w:ascii="宋体" w:hAnsi="宋体"/>
          <w:color w:val="auto"/>
          <w:szCs w:val="21"/>
          <w:highlight w:val="none"/>
          <w:lang w:eastAsia="zh-CN"/>
        </w:rPr>
        <w:t>：</w:t>
      </w:r>
      <w:r>
        <w:rPr>
          <w:rStyle w:val="40"/>
          <w:rFonts w:ascii="宋体" w:hAnsi="宋体"/>
          <w:color w:val="auto"/>
          <w:szCs w:val="21"/>
          <w:highlight w:val="none"/>
          <w:u w:val="single"/>
        </w:rPr>
        <w:t xml:space="preserve">                    </w:t>
      </w:r>
    </w:p>
    <w:p w14:paraId="34F6B06A">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根据《中华人民共和国政府采购法》、《中华人民共和国合同法》等法律、法规规定，按照磋商文件规定条款和成交供应商承诺，甲乙双方签订本合同。</w:t>
      </w:r>
    </w:p>
    <w:p w14:paraId="027A80E2">
      <w:pPr>
        <w:snapToGrid w:val="0"/>
        <w:spacing w:line="400" w:lineRule="exact"/>
        <w:ind w:firstLine="422" w:firstLineChars="200"/>
        <w:rPr>
          <w:rStyle w:val="40"/>
          <w:rFonts w:ascii="宋体" w:hAnsi="宋体"/>
          <w:b/>
          <w:color w:val="auto"/>
          <w:szCs w:val="21"/>
          <w:highlight w:val="none"/>
        </w:rPr>
      </w:pPr>
      <w:r>
        <w:rPr>
          <w:rStyle w:val="40"/>
          <w:rFonts w:ascii="宋体" w:hAnsi="宋体"/>
          <w:b/>
          <w:color w:val="auto"/>
          <w:szCs w:val="21"/>
          <w:highlight w:val="none"/>
        </w:rPr>
        <w:t>第一条　合同标的</w:t>
      </w:r>
    </w:p>
    <w:p w14:paraId="5AC5DC7D">
      <w:pPr>
        <w:tabs>
          <w:tab w:val="left" w:pos="8280"/>
        </w:tabs>
        <w:snapToGrid w:val="0"/>
        <w:spacing w:line="400" w:lineRule="exact"/>
        <w:ind w:right="26" w:firstLine="420" w:firstLineChars="200"/>
        <w:rPr>
          <w:rStyle w:val="40"/>
          <w:rFonts w:ascii="宋体" w:hAnsi="宋体"/>
          <w:color w:val="auto"/>
          <w:szCs w:val="21"/>
          <w:highlight w:val="none"/>
        </w:rPr>
      </w:pPr>
      <w:r>
        <w:rPr>
          <w:rStyle w:val="40"/>
          <w:rFonts w:ascii="宋体" w:hAnsi="宋体"/>
          <w:color w:val="auto"/>
          <w:szCs w:val="21"/>
          <w:highlight w:val="none"/>
        </w:rPr>
        <w:t>1、服务项目</w:t>
      </w:r>
    </w:p>
    <w:p w14:paraId="6F627D93">
      <w:pPr>
        <w:tabs>
          <w:tab w:val="left" w:pos="8280"/>
        </w:tabs>
        <w:snapToGrid w:val="0"/>
        <w:spacing w:line="400" w:lineRule="exact"/>
        <w:ind w:right="26" w:firstLine="424" w:firstLineChars="202"/>
        <w:rPr>
          <w:rStyle w:val="40"/>
          <w:rFonts w:ascii="宋体" w:hAnsi="宋体"/>
          <w:color w:val="auto"/>
          <w:szCs w:val="21"/>
          <w:highlight w:val="none"/>
        </w:rPr>
      </w:pPr>
      <w:r>
        <w:rPr>
          <w:rStyle w:val="40"/>
          <w:rFonts w:ascii="宋体" w:hAnsi="宋体"/>
          <w:color w:val="auto"/>
          <w:szCs w:val="21"/>
          <w:highlight w:val="none"/>
        </w:rPr>
        <w:t>乙方接受甲方委托，承担</w:t>
      </w:r>
      <w:r>
        <w:rPr>
          <w:rStyle w:val="40"/>
          <w:rFonts w:hint="eastAsia" w:ascii="宋体" w:hAnsi="宋体"/>
          <w:color w:val="auto"/>
          <w:szCs w:val="21"/>
          <w:highlight w:val="none"/>
          <w:lang w:eastAsia="zh-CN"/>
        </w:rPr>
        <w:t>港南区2026年生产障碍耕地治理项目</w:t>
      </w:r>
      <w:r>
        <w:rPr>
          <w:rStyle w:val="40"/>
          <w:rFonts w:ascii="宋体" w:hAnsi="宋体"/>
          <w:color w:val="auto"/>
          <w:szCs w:val="21"/>
          <w:highlight w:val="none"/>
        </w:rPr>
        <w:t>工作，</w:t>
      </w:r>
    </w:p>
    <w:p w14:paraId="3A1C1C88">
      <w:pPr>
        <w:tabs>
          <w:tab w:val="left" w:pos="8280"/>
        </w:tabs>
        <w:snapToGrid w:val="0"/>
        <w:spacing w:line="400" w:lineRule="exact"/>
        <w:ind w:right="26" w:firstLine="424" w:firstLineChars="202"/>
        <w:rPr>
          <w:rStyle w:val="40"/>
          <w:rFonts w:ascii="宋体" w:hAnsi="宋体"/>
          <w:color w:val="auto"/>
          <w:szCs w:val="21"/>
          <w:highlight w:val="none"/>
        </w:rPr>
      </w:pPr>
      <w:r>
        <w:rPr>
          <w:rStyle w:val="40"/>
          <w:rFonts w:ascii="宋体" w:hAnsi="宋体"/>
          <w:color w:val="auto"/>
          <w:szCs w:val="21"/>
          <w:highlight w:val="none"/>
        </w:rPr>
        <w:t>合同金额（人民币）：</w:t>
      </w:r>
      <w:r>
        <w:rPr>
          <w:rStyle w:val="40"/>
          <w:rFonts w:ascii="宋体" w:hAnsi="宋体"/>
          <w:color w:val="auto"/>
          <w:szCs w:val="21"/>
          <w:highlight w:val="none"/>
          <w:u w:val="single"/>
        </w:rPr>
        <w:t xml:space="preserve">                            </w:t>
      </w:r>
      <w:r>
        <w:rPr>
          <w:rStyle w:val="40"/>
          <w:rFonts w:ascii="宋体" w:hAnsi="宋体"/>
          <w:color w:val="auto"/>
          <w:szCs w:val="21"/>
          <w:highlight w:val="none"/>
        </w:rPr>
        <w:t>元整。</w:t>
      </w:r>
    </w:p>
    <w:p w14:paraId="7FD08615">
      <w:pPr>
        <w:tabs>
          <w:tab w:val="left" w:pos="8280"/>
        </w:tabs>
        <w:snapToGrid w:val="0"/>
        <w:spacing w:line="400" w:lineRule="exact"/>
        <w:ind w:right="26" w:firstLine="420" w:firstLineChars="200"/>
        <w:rPr>
          <w:rStyle w:val="40"/>
          <w:rFonts w:ascii="宋体" w:hAnsi="宋体"/>
          <w:color w:val="auto"/>
          <w:szCs w:val="21"/>
          <w:highlight w:val="none"/>
          <w:lang w:val="zh-CN"/>
        </w:rPr>
      </w:pPr>
      <w:r>
        <w:rPr>
          <w:rStyle w:val="40"/>
          <w:rFonts w:ascii="宋体" w:hAnsi="宋体"/>
          <w:color w:val="auto"/>
          <w:szCs w:val="21"/>
          <w:highlight w:val="none"/>
        </w:rPr>
        <w:t>2、</w:t>
      </w:r>
      <w:r>
        <w:rPr>
          <w:rStyle w:val="40"/>
          <w:rFonts w:ascii="宋体" w:hAnsi="宋体"/>
          <w:color w:val="auto"/>
          <w:szCs w:val="21"/>
          <w:highlight w:val="none"/>
          <w:lang w:val="zh-CN"/>
        </w:rPr>
        <w:t>磋商</w:t>
      </w:r>
      <w:r>
        <w:rPr>
          <w:rStyle w:val="40"/>
          <w:rFonts w:ascii="宋体" w:hAnsi="宋体"/>
          <w:color w:val="auto"/>
          <w:szCs w:val="21"/>
          <w:highlight w:val="none"/>
        </w:rPr>
        <w:t>报价</w:t>
      </w:r>
      <w:r>
        <w:rPr>
          <w:rStyle w:val="40"/>
          <w:rFonts w:ascii="宋体" w:hAnsi="宋体"/>
          <w:color w:val="auto"/>
          <w:szCs w:val="21"/>
          <w:highlight w:val="none"/>
          <w:lang w:val="zh-CN"/>
        </w:rPr>
        <w:t>包括</w:t>
      </w:r>
      <w:r>
        <w:rPr>
          <w:rStyle w:val="40"/>
          <w:rFonts w:ascii="宋体" w:hAnsi="宋体"/>
          <w:color w:val="auto"/>
          <w:szCs w:val="21"/>
          <w:highlight w:val="none"/>
        </w:rPr>
        <w:t>本项目所有服务内容、所涉及的工具、劳务、人工费、交通、保险、评审费等各种费用和售后服务、税金及其它所有成本费用的总和。政策性文件规定及合同包含的应有风险、责任等各项应有费用</w:t>
      </w:r>
      <w:r>
        <w:rPr>
          <w:rStyle w:val="40"/>
          <w:rFonts w:ascii="宋体" w:hAnsi="宋体"/>
          <w:color w:val="auto"/>
          <w:szCs w:val="21"/>
          <w:highlight w:val="none"/>
          <w:lang w:val="zh-CN"/>
        </w:rPr>
        <w:t>。</w:t>
      </w:r>
    </w:p>
    <w:p w14:paraId="6B173A47">
      <w:pPr>
        <w:tabs>
          <w:tab w:val="left" w:pos="8280"/>
        </w:tabs>
        <w:snapToGrid w:val="0"/>
        <w:spacing w:line="400" w:lineRule="exact"/>
        <w:ind w:right="26" w:firstLine="422" w:firstLineChars="200"/>
        <w:rPr>
          <w:rStyle w:val="40"/>
          <w:rFonts w:ascii="宋体" w:hAnsi="宋体"/>
          <w:color w:val="auto"/>
          <w:szCs w:val="21"/>
          <w:highlight w:val="none"/>
        </w:rPr>
      </w:pPr>
      <w:r>
        <w:rPr>
          <w:rStyle w:val="40"/>
          <w:rFonts w:ascii="宋体" w:hAnsi="宋体"/>
          <w:b/>
          <w:color w:val="auto"/>
          <w:szCs w:val="21"/>
          <w:highlight w:val="none"/>
        </w:rPr>
        <w:t>第二条　服务保证</w:t>
      </w:r>
    </w:p>
    <w:p w14:paraId="68B24067">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乙方所提供的</w:t>
      </w:r>
      <w:r>
        <w:rPr>
          <w:rStyle w:val="40"/>
          <w:rFonts w:hint="eastAsia" w:ascii="宋体" w:hAnsi="宋体"/>
          <w:color w:val="auto"/>
          <w:szCs w:val="21"/>
          <w:highlight w:val="none"/>
          <w:lang w:eastAsia="zh-CN"/>
        </w:rPr>
        <w:t>港南区2026年生产障碍耕地治理项目</w:t>
      </w:r>
      <w:r>
        <w:rPr>
          <w:rStyle w:val="40"/>
          <w:rFonts w:ascii="宋体" w:hAnsi="宋体"/>
          <w:color w:val="auto"/>
          <w:szCs w:val="21"/>
          <w:highlight w:val="none"/>
        </w:rPr>
        <w:t>质量必须与响应文件和承诺相一致。</w:t>
      </w:r>
    </w:p>
    <w:p w14:paraId="5859D4E2">
      <w:pPr>
        <w:snapToGrid w:val="0"/>
        <w:spacing w:line="400" w:lineRule="exact"/>
        <w:ind w:firstLine="422" w:firstLineChars="200"/>
        <w:rPr>
          <w:rStyle w:val="40"/>
          <w:rFonts w:ascii="宋体" w:hAnsi="宋体"/>
          <w:color w:val="auto"/>
          <w:szCs w:val="21"/>
          <w:highlight w:val="none"/>
        </w:rPr>
      </w:pPr>
      <w:r>
        <w:rPr>
          <w:rStyle w:val="40"/>
          <w:rFonts w:ascii="宋体" w:hAnsi="宋体"/>
          <w:b/>
          <w:color w:val="auto"/>
          <w:szCs w:val="21"/>
          <w:highlight w:val="none"/>
        </w:rPr>
        <w:t>第三条　权力保证</w:t>
      </w:r>
    </w:p>
    <w:p w14:paraId="74CB3A40">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甲方根据工作需要，可为乙方开展服务提供相关资料。</w:t>
      </w:r>
    </w:p>
    <w:p w14:paraId="199BB40E">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乙方应按规定时间提交服务成果。</w:t>
      </w:r>
    </w:p>
    <w:p w14:paraId="59947C6D">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在服务期间，乙方不得以甲方名义发生各种谋取不正当利益的违法、违纪行为。</w:t>
      </w:r>
    </w:p>
    <w:p w14:paraId="70305E32">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乙方应保证所提供的服务成果不会侵犯任何第三方的专利权、著作权或其他权利。</w:t>
      </w:r>
    </w:p>
    <w:p w14:paraId="065855E7">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乙方应按响应文件规定的时间向甲方提供服务成果的有关资料。</w:t>
      </w:r>
    </w:p>
    <w:p w14:paraId="28909DD1">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没有甲方事先书面同意，乙方不得将由甲方提供的有关合同或任何合同条文、计划、资料等提供给与履行本合同无关的任何其他人。即使向履行本合同有关的人员提供，也应注意保密并限于履行合同的必需范围。</w:t>
      </w:r>
    </w:p>
    <w:p w14:paraId="2220F7C4">
      <w:pPr>
        <w:snapToGrid w:val="0"/>
        <w:spacing w:line="400" w:lineRule="exact"/>
        <w:ind w:firstLine="422" w:firstLineChars="200"/>
        <w:rPr>
          <w:rStyle w:val="40"/>
          <w:rFonts w:ascii="宋体" w:hAnsi="宋体"/>
          <w:color w:val="auto"/>
          <w:szCs w:val="21"/>
          <w:highlight w:val="none"/>
        </w:rPr>
      </w:pPr>
      <w:r>
        <w:rPr>
          <w:rStyle w:val="40"/>
          <w:rFonts w:ascii="宋体" w:hAnsi="宋体"/>
          <w:b/>
          <w:color w:val="auto"/>
          <w:szCs w:val="21"/>
          <w:highlight w:val="none"/>
        </w:rPr>
        <w:t>第四条　交付和验收</w:t>
      </w:r>
    </w:p>
    <w:p w14:paraId="4ADA32E7">
      <w:pPr>
        <w:snapToGrid w:val="0"/>
        <w:spacing w:line="400" w:lineRule="exact"/>
        <w:ind w:firstLine="420" w:firstLineChars="200"/>
        <w:rPr>
          <w:rStyle w:val="40"/>
          <w:rFonts w:ascii="宋体" w:hAnsi="宋体"/>
          <w:color w:val="auto"/>
          <w:szCs w:val="21"/>
          <w:highlight w:val="none"/>
          <w:u w:val="single"/>
        </w:rPr>
      </w:pPr>
      <w:r>
        <w:rPr>
          <w:rStyle w:val="40"/>
          <w:rFonts w:ascii="宋体" w:hAnsi="宋体"/>
          <w:color w:val="auto"/>
          <w:szCs w:val="21"/>
          <w:highlight w:val="none"/>
        </w:rPr>
        <w:t>1、交付时间及地点：</w:t>
      </w:r>
      <w:r>
        <w:rPr>
          <w:rStyle w:val="40"/>
          <w:rFonts w:ascii="宋体" w:hAnsi="宋体"/>
          <w:color w:val="auto"/>
          <w:szCs w:val="21"/>
          <w:highlight w:val="none"/>
          <w:u w:val="single"/>
        </w:rPr>
        <w:t>详见乙方响应文件</w:t>
      </w:r>
    </w:p>
    <w:p w14:paraId="6CF7E6EA">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2、乙方提供不符合采购文件和本合同规定的服务成果，甲方有权拒绝接受。</w:t>
      </w:r>
    </w:p>
    <w:p w14:paraId="2A061C36">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3、乙方应对提交的服务成果作出全面检查和整理，并列出清单，作为甲方验收和使用的技术条件依据，清单应随提交的服务成果交给甲方。</w:t>
      </w:r>
    </w:p>
    <w:p w14:paraId="0F83996F">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4、乙方应按要求提交服务成果材料：</w:t>
      </w:r>
      <w:r>
        <w:rPr>
          <w:rStyle w:val="40"/>
          <w:rFonts w:ascii="宋体" w:hAnsi="宋体"/>
          <w:color w:val="auto"/>
          <w:szCs w:val="21"/>
          <w:highlight w:val="none"/>
          <w:u w:val="single"/>
        </w:rPr>
        <w:t>详见乙方响应文件</w:t>
      </w:r>
      <w:r>
        <w:rPr>
          <w:rStyle w:val="40"/>
          <w:rFonts w:ascii="宋体" w:hAnsi="宋体"/>
          <w:color w:val="auto"/>
          <w:szCs w:val="21"/>
          <w:highlight w:val="none"/>
        </w:rPr>
        <w:t>，如有缺失应及时补齐，否则视为逾期交付。</w:t>
      </w:r>
    </w:p>
    <w:p w14:paraId="33B20308">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5、乙方应在约定时间指定地点提交服务成果后，甲方应在七个工作日内进行验收，验收后由甲乙双方签署验收单并加盖采购单位公章，甲乙双方各执一份。服务成果以乙方提交评审稿并获得批复后，方为验收合格。</w:t>
      </w:r>
    </w:p>
    <w:p w14:paraId="27E3DCDA">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6、甲方对验收有异议的，在验收后五个工作日内以书面形式向乙方提出，乙方应自收到甲方书面异议后</w:t>
      </w:r>
      <w:r>
        <w:rPr>
          <w:rStyle w:val="40"/>
          <w:rFonts w:ascii="宋体" w:hAnsi="宋体"/>
          <w:color w:val="auto"/>
          <w:szCs w:val="21"/>
          <w:highlight w:val="none"/>
          <w:u w:val="single"/>
        </w:rPr>
        <w:t xml:space="preserve"> 5个工作 </w:t>
      </w:r>
      <w:r>
        <w:rPr>
          <w:rStyle w:val="40"/>
          <w:rFonts w:ascii="宋体" w:hAnsi="宋体"/>
          <w:color w:val="auto"/>
          <w:szCs w:val="21"/>
          <w:highlight w:val="none"/>
        </w:rPr>
        <w:t>日内及时予以解决。</w:t>
      </w:r>
    </w:p>
    <w:p w14:paraId="1AE8A448">
      <w:pPr>
        <w:snapToGrid w:val="0"/>
        <w:spacing w:line="400" w:lineRule="exact"/>
        <w:ind w:firstLine="422" w:firstLineChars="200"/>
        <w:rPr>
          <w:rStyle w:val="40"/>
          <w:rFonts w:ascii="宋体" w:hAnsi="宋体"/>
          <w:b/>
          <w:color w:val="auto"/>
          <w:szCs w:val="21"/>
          <w:highlight w:val="none"/>
        </w:rPr>
      </w:pPr>
    </w:p>
    <w:p w14:paraId="325DAFB1">
      <w:pPr>
        <w:snapToGrid w:val="0"/>
        <w:spacing w:line="400" w:lineRule="exact"/>
        <w:ind w:firstLine="422" w:firstLineChars="200"/>
        <w:rPr>
          <w:rStyle w:val="40"/>
          <w:rFonts w:ascii="宋体" w:hAnsi="宋体"/>
          <w:b/>
          <w:color w:val="auto"/>
          <w:szCs w:val="21"/>
          <w:highlight w:val="none"/>
        </w:rPr>
      </w:pPr>
      <w:r>
        <w:rPr>
          <w:rStyle w:val="40"/>
          <w:rFonts w:ascii="宋体" w:hAnsi="宋体"/>
          <w:b/>
          <w:color w:val="auto"/>
          <w:szCs w:val="21"/>
          <w:highlight w:val="none"/>
        </w:rPr>
        <w:t>第五条  服务、质量保证期</w:t>
      </w:r>
    </w:p>
    <w:p w14:paraId="7F3BA616">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乙方应按照国家有关法律法规以及磋商文件和本合同所附的《售后服务承诺》，为甲方提供相关服务。</w:t>
      </w:r>
    </w:p>
    <w:p w14:paraId="35099F10">
      <w:pPr>
        <w:snapToGrid w:val="0"/>
        <w:spacing w:line="400" w:lineRule="exact"/>
        <w:ind w:firstLine="422" w:firstLineChars="200"/>
        <w:rPr>
          <w:rStyle w:val="40"/>
          <w:rFonts w:ascii="宋体" w:hAnsi="宋体"/>
          <w:color w:val="auto"/>
          <w:szCs w:val="21"/>
          <w:highlight w:val="none"/>
        </w:rPr>
      </w:pPr>
      <w:r>
        <w:rPr>
          <w:rStyle w:val="40"/>
          <w:rFonts w:ascii="宋体" w:hAnsi="宋体"/>
          <w:b/>
          <w:color w:val="auto"/>
          <w:szCs w:val="21"/>
          <w:highlight w:val="none"/>
        </w:rPr>
        <w:t>第六条　付款方式和保证金</w:t>
      </w:r>
    </w:p>
    <w:p w14:paraId="5073973E">
      <w:pPr>
        <w:pStyle w:val="56"/>
        <w:snapToGrid w:val="0"/>
        <w:spacing w:line="400" w:lineRule="exact"/>
        <w:ind w:firstLine="420" w:firstLineChars="200"/>
        <w:rPr>
          <w:rStyle w:val="40"/>
          <w:rFonts w:hAnsi="宋体"/>
          <w:color w:val="auto"/>
          <w:highlight w:val="none"/>
        </w:rPr>
      </w:pPr>
      <w:r>
        <w:rPr>
          <w:rStyle w:val="40"/>
          <w:rFonts w:hAnsi="宋体"/>
          <w:bCs/>
          <w:color w:val="auto"/>
          <w:highlight w:val="none"/>
        </w:rPr>
        <w:t>1、</w:t>
      </w:r>
      <w:r>
        <w:rPr>
          <w:rStyle w:val="40"/>
          <w:rFonts w:hAnsi="宋体"/>
          <w:color w:val="auto"/>
          <w:highlight w:val="none"/>
        </w:rPr>
        <w:t>在合同履行期间，甲方要求终止或解除合同，乙方已开始工作的，甲方应根据乙方已进行的实际工作量给予适当的补偿。</w:t>
      </w:r>
    </w:p>
    <w:p w14:paraId="3B963FDB">
      <w:pPr>
        <w:snapToGrid w:val="0"/>
        <w:spacing w:line="400" w:lineRule="exact"/>
        <w:ind w:firstLine="420" w:firstLineChars="200"/>
        <w:rPr>
          <w:rStyle w:val="40"/>
          <w:rFonts w:ascii="宋体" w:hAnsi="宋体"/>
          <w:color w:val="auto"/>
          <w:szCs w:val="21"/>
          <w:highlight w:val="none"/>
          <w:u w:val="single"/>
        </w:rPr>
      </w:pPr>
      <w:r>
        <w:rPr>
          <w:rStyle w:val="40"/>
          <w:rFonts w:ascii="宋体" w:hAnsi="宋体"/>
          <w:color w:val="auto"/>
          <w:szCs w:val="21"/>
          <w:highlight w:val="none"/>
        </w:rPr>
        <w:t>2、资金性质：</w:t>
      </w:r>
      <w:r>
        <w:rPr>
          <w:rStyle w:val="40"/>
          <w:rFonts w:ascii="宋体" w:hAnsi="宋体"/>
          <w:color w:val="auto"/>
          <w:szCs w:val="21"/>
          <w:highlight w:val="none"/>
          <w:u w:val="single"/>
        </w:rPr>
        <w:t xml:space="preserve">         。</w:t>
      </w:r>
    </w:p>
    <w:p w14:paraId="1C71A808">
      <w:pPr>
        <w:snapToGrid w:val="0"/>
        <w:spacing w:line="400" w:lineRule="exact"/>
        <w:ind w:left="-61" w:leftChars="-29" w:firstLine="514" w:firstLineChars="245"/>
        <w:rPr>
          <w:rStyle w:val="40"/>
          <w:rFonts w:ascii="宋体" w:hAnsi="宋体"/>
          <w:color w:val="auto"/>
          <w:kern w:val="0"/>
          <w:szCs w:val="21"/>
          <w:highlight w:val="none"/>
        </w:rPr>
      </w:pPr>
      <w:r>
        <w:rPr>
          <w:rStyle w:val="40"/>
          <w:rFonts w:ascii="宋体" w:hAnsi="宋体"/>
          <w:color w:val="auto"/>
          <w:kern w:val="0"/>
          <w:szCs w:val="21"/>
          <w:highlight w:val="none"/>
        </w:rPr>
        <w:t>3、付款方式：</w:t>
      </w:r>
      <w:r>
        <w:rPr>
          <w:rStyle w:val="40"/>
          <w:rFonts w:ascii="宋体" w:hAnsi="宋体"/>
          <w:color w:val="auto"/>
          <w:szCs w:val="21"/>
          <w:highlight w:val="none"/>
          <w:u w:val="single"/>
        </w:rPr>
        <w:t xml:space="preserve">         。</w:t>
      </w:r>
    </w:p>
    <w:p w14:paraId="401720B9">
      <w:pPr>
        <w:snapToGrid w:val="0"/>
        <w:spacing w:line="400" w:lineRule="exact"/>
        <w:ind w:left="-61" w:leftChars="-29" w:firstLine="517" w:firstLineChars="245"/>
        <w:rPr>
          <w:rStyle w:val="40"/>
          <w:rFonts w:ascii="宋体" w:hAnsi="宋体"/>
          <w:b/>
          <w:color w:val="auto"/>
          <w:szCs w:val="21"/>
          <w:highlight w:val="none"/>
        </w:rPr>
      </w:pPr>
      <w:r>
        <w:rPr>
          <w:rStyle w:val="40"/>
          <w:rFonts w:ascii="宋体" w:hAnsi="宋体"/>
          <w:b/>
          <w:color w:val="auto"/>
          <w:szCs w:val="21"/>
          <w:highlight w:val="none"/>
        </w:rPr>
        <w:t>第七条  税费</w:t>
      </w:r>
    </w:p>
    <w:p w14:paraId="260C6929">
      <w:pPr>
        <w:snapToGrid w:val="0"/>
        <w:spacing w:line="400" w:lineRule="exact"/>
        <w:ind w:left="-61" w:firstLine="514"/>
        <w:rPr>
          <w:rStyle w:val="40"/>
          <w:rFonts w:ascii="宋体" w:hAnsi="宋体"/>
          <w:color w:val="auto"/>
          <w:szCs w:val="21"/>
          <w:highlight w:val="none"/>
        </w:rPr>
      </w:pPr>
      <w:r>
        <w:rPr>
          <w:rStyle w:val="40"/>
          <w:rFonts w:ascii="宋体" w:hAnsi="宋体"/>
          <w:color w:val="auto"/>
          <w:szCs w:val="21"/>
          <w:highlight w:val="none"/>
        </w:rPr>
        <w:t>本合同执行中相关的一切税费均由乙方负担。</w:t>
      </w:r>
    </w:p>
    <w:p w14:paraId="0049307C">
      <w:pPr>
        <w:snapToGrid w:val="0"/>
        <w:spacing w:line="400" w:lineRule="exact"/>
        <w:ind w:left="-61" w:firstLine="514"/>
        <w:rPr>
          <w:rStyle w:val="40"/>
          <w:rFonts w:ascii="宋体" w:hAnsi="宋体"/>
          <w:color w:val="auto"/>
          <w:szCs w:val="21"/>
          <w:highlight w:val="none"/>
        </w:rPr>
      </w:pPr>
      <w:r>
        <w:rPr>
          <w:rStyle w:val="40"/>
          <w:rFonts w:ascii="宋体" w:hAnsi="宋体"/>
          <w:b/>
          <w:color w:val="auto"/>
          <w:szCs w:val="21"/>
          <w:highlight w:val="none"/>
        </w:rPr>
        <w:t>第八条  质量保证及售后服务</w:t>
      </w:r>
    </w:p>
    <w:p w14:paraId="232BA3E1">
      <w:pPr>
        <w:pStyle w:val="56"/>
        <w:snapToGrid w:val="0"/>
        <w:spacing w:line="400" w:lineRule="exact"/>
        <w:ind w:firstLine="420" w:firstLineChars="200"/>
        <w:rPr>
          <w:rStyle w:val="40"/>
          <w:rFonts w:hAnsi="宋体"/>
          <w:color w:val="auto"/>
          <w:highlight w:val="none"/>
        </w:rPr>
      </w:pPr>
      <w:r>
        <w:rPr>
          <w:rStyle w:val="40"/>
          <w:rFonts w:hAnsi="宋体"/>
          <w:color w:val="auto"/>
          <w:highlight w:val="none"/>
        </w:rPr>
        <w:t>1. 乙方应按磋商文件规定的服务内容、技术要求、质量标准向甲方提供无瑕疵的服务成果。乙方对提交的最终服务成果质量负责。</w:t>
      </w:r>
    </w:p>
    <w:p w14:paraId="52BC4212">
      <w:pPr>
        <w:pStyle w:val="56"/>
        <w:snapToGrid w:val="0"/>
        <w:spacing w:line="400" w:lineRule="exact"/>
        <w:ind w:firstLine="420" w:firstLineChars="200"/>
        <w:rPr>
          <w:rStyle w:val="40"/>
          <w:rFonts w:hAnsi="宋体"/>
          <w:color w:val="auto"/>
          <w:highlight w:val="none"/>
        </w:rPr>
      </w:pPr>
      <w:r>
        <w:rPr>
          <w:rStyle w:val="40"/>
          <w:rFonts w:hAnsi="宋体"/>
          <w:color w:val="auto"/>
          <w:highlight w:val="none"/>
        </w:rPr>
        <w:t>2. 成果提交后，如有修改，乙方应在规定时间按要求完成修改工作，甲方不另行支付修改费用。</w:t>
      </w:r>
    </w:p>
    <w:p w14:paraId="4CD8DB5A">
      <w:pPr>
        <w:snapToGrid w:val="0"/>
        <w:spacing w:line="400" w:lineRule="exact"/>
        <w:ind w:firstLine="422" w:firstLineChars="200"/>
        <w:rPr>
          <w:rStyle w:val="40"/>
          <w:rFonts w:ascii="宋体" w:hAnsi="宋体"/>
          <w:b/>
          <w:color w:val="auto"/>
          <w:szCs w:val="21"/>
          <w:highlight w:val="none"/>
        </w:rPr>
      </w:pPr>
      <w:r>
        <w:rPr>
          <w:rStyle w:val="40"/>
          <w:rFonts w:ascii="宋体" w:hAnsi="宋体"/>
          <w:b/>
          <w:color w:val="auto"/>
          <w:szCs w:val="21"/>
          <w:highlight w:val="none"/>
        </w:rPr>
        <w:t>第九条　违约责任</w:t>
      </w:r>
    </w:p>
    <w:p w14:paraId="00DE7A03">
      <w:pPr>
        <w:snapToGrid w:val="0"/>
        <w:spacing w:line="400" w:lineRule="exact"/>
        <w:ind w:firstLine="525" w:firstLineChars="250"/>
        <w:rPr>
          <w:rStyle w:val="40"/>
          <w:rFonts w:ascii="宋体" w:hAnsi="宋体"/>
          <w:color w:val="auto"/>
          <w:szCs w:val="21"/>
          <w:highlight w:val="none"/>
        </w:rPr>
      </w:pPr>
      <w:r>
        <w:rPr>
          <w:rStyle w:val="40"/>
          <w:rFonts w:ascii="宋体" w:hAnsi="宋体"/>
          <w:color w:val="auto"/>
          <w:szCs w:val="21"/>
          <w:highlight w:val="none"/>
        </w:rPr>
        <w:t>1、乙方未按期限提交成果或者提交的成果不符合约定的，乙方应向甲方支付违约服务款额</w:t>
      </w:r>
      <w:r>
        <w:rPr>
          <w:rStyle w:val="40"/>
          <w:rFonts w:ascii="宋体" w:hAnsi="宋体"/>
          <w:color w:val="auto"/>
          <w:szCs w:val="21"/>
          <w:highlight w:val="none"/>
          <w:u w:val="single"/>
        </w:rPr>
        <w:t xml:space="preserve">   </w:t>
      </w:r>
      <w:r>
        <w:rPr>
          <w:rStyle w:val="40"/>
          <w:rFonts w:ascii="宋体" w:hAnsi="宋体"/>
          <w:color w:val="auto"/>
          <w:szCs w:val="21"/>
          <w:highlight w:val="none"/>
        </w:rPr>
        <w:t xml:space="preserve">%违约金并赔偿甲方经济损失。                                       </w:t>
      </w:r>
    </w:p>
    <w:p w14:paraId="3493A622">
      <w:pPr>
        <w:snapToGrid w:val="0"/>
        <w:spacing w:line="400" w:lineRule="exact"/>
        <w:ind w:firstLine="472" w:firstLineChars="225"/>
        <w:rPr>
          <w:rStyle w:val="40"/>
          <w:rFonts w:ascii="宋体" w:hAnsi="宋体"/>
          <w:color w:val="auto"/>
          <w:szCs w:val="21"/>
          <w:highlight w:val="none"/>
        </w:rPr>
      </w:pPr>
      <w:r>
        <w:rPr>
          <w:rStyle w:val="40"/>
          <w:rFonts w:ascii="宋体" w:hAnsi="宋体"/>
          <w:color w:val="auto"/>
          <w:szCs w:val="21"/>
          <w:highlight w:val="none"/>
        </w:rPr>
        <w:t>2、乙方提供的成果如侵犯了第三方合法权益而引发的任何纠纷或诉讼，均由乙方负责交涉并承担全部责任。</w:t>
      </w:r>
    </w:p>
    <w:p w14:paraId="0193A994">
      <w:pPr>
        <w:snapToGrid w:val="0"/>
        <w:spacing w:line="400" w:lineRule="exact"/>
        <w:ind w:firstLine="472" w:firstLineChars="225"/>
        <w:rPr>
          <w:rStyle w:val="40"/>
          <w:rFonts w:ascii="宋体" w:hAnsi="宋体"/>
          <w:color w:val="auto"/>
          <w:szCs w:val="21"/>
          <w:highlight w:val="none"/>
        </w:rPr>
      </w:pPr>
      <w:r>
        <w:rPr>
          <w:rStyle w:val="40"/>
          <w:rFonts w:ascii="宋体" w:hAnsi="宋体"/>
          <w:color w:val="auto"/>
          <w:szCs w:val="21"/>
          <w:highlight w:val="none"/>
        </w:rPr>
        <w:t>3、由于甲方的原因造成合同不能如期履行的，双方可根据具体情况顺延合同的履行期，对乙方因此遭受的损失，甲方应予以补偿。</w:t>
      </w:r>
    </w:p>
    <w:p w14:paraId="1C178BBF">
      <w:pPr>
        <w:snapToGrid w:val="0"/>
        <w:spacing w:line="400" w:lineRule="exact"/>
        <w:ind w:firstLine="472" w:firstLineChars="225"/>
        <w:rPr>
          <w:rStyle w:val="40"/>
          <w:rFonts w:ascii="宋体" w:hAnsi="宋体"/>
          <w:color w:val="auto"/>
          <w:szCs w:val="21"/>
          <w:highlight w:val="none"/>
        </w:rPr>
      </w:pPr>
      <w:r>
        <w:rPr>
          <w:rStyle w:val="40"/>
          <w:rFonts w:ascii="宋体" w:hAnsi="宋体"/>
          <w:color w:val="auto"/>
          <w:szCs w:val="21"/>
          <w:highlight w:val="none"/>
        </w:rPr>
        <w:t>4、乙方未按本合同和响应文件中规定的服务承诺提供服务的，乙方应按本合同合计金额</w:t>
      </w:r>
      <w:r>
        <w:rPr>
          <w:rStyle w:val="40"/>
          <w:rFonts w:ascii="宋体" w:hAnsi="宋体"/>
          <w:color w:val="auto"/>
          <w:szCs w:val="21"/>
          <w:highlight w:val="none"/>
          <w:u w:val="single"/>
        </w:rPr>
        <w:t xml:space="preserve">   %</w:t>
      </w:r>
      <w:r>
        <w:rPr>
          <w:rStyle w:val="40"/>
          <w:rFonts w:ascii="宋体" w:hAnsi="宋体"/>
          <w:color w:val="auto"/>
          <w:szCs w:val="21"/>
          <w:highlight w:val="none"/>
        </w:rPr>
        <w:t>向甲方支付违约金。</w:t>
      </w:r>
    </w:p>
    <w:p w14:paraId="3F2FF113">
      <w:pPr>
        <w:pStyle w:val="56"/>
        <w:snapToGrid w:val="0"/>
        <w:spacing w:line="400" w:lineRule="exact"/>
        <w:ind w:firstLine="413" w:firstLineChars="196"/>
        <w:rPr>
          <w:rStyle w:val="40"/>
          <w:rFonts w:hAnsi="宋体"/>
          <w:b/>
          <w:color w:val="auto"/>
          <w:highlight w:val="none"/>
        </w:rPr>
      </w:pPr>
      <w:r>
        <w:rPr>
          <w:rStyle w:val="40"/>
          <w:rFonts w:hAnsi="宋体"/>
          <w:b/>
          <w:color w:val="auto"/>
          <w:highlight w:val="none"/>
        </w:rPr>
        <w:t>第十条  不可抗力事件处理</w:t>
      </w:r>
    </w:p>
    <w:p w14:paraId="4D9B0F87">
      <w:pPr>
        <w:pStyle w:val="56"/>
        <w:snapToGrid w:val="0"/>
        <w:spacing w:line="400" w:lineRule="exact"/>
        <w:ind w:firstLine="420" w:firstLineChars="200"/>
        <w:rPr>
          <w:rStyle w:val="40"/>
          <w:rFonts w:hAnsi="宋体"/>
          <w:color w:val="auto"/>
          <w:highlight w:val="none"/>
        </w:rPr>
      </w:pPr>
      <w:r>
        <w:rPr>
          <w:rStyle w:val="40"/>
          <w:rFonts w:hAnsi="宋体"/>
          <w:color w:val="auto"/>
          <w:highlight w:val="none"/>
        </w:rPr>
        <w:t>1. 在合同有效期内，任何一方因不可抗力事件导致不能履行合同，则合同履行期可延长，其延长期与不可抗力影响期相同。</w:t>
      </w:r>
    </w:p>
    <w:p w14:paraId="5AF83F80">
      <w:pPr>
        <w:pStyle w:val="56"/>
        <w:snapToGrid w:val="0"/>
        <w:spacing w:line="400" w:lineRule="exact"/>
        <w:ind w:firstLine="420" w:firstLineChars="200"/>
        <w:rPr>
          <w:rStyle w:val="40"/>
          <w:rFonts w:hAnsi="宋体"/>
          <w:color w:val="auto"/>
          <w:highlight w:val="none"/>
        </w:rPr>
      </w:pPr>
      <w:r>
        <w:rPr>
          <w:rStyle w:val="40"/>
          <w:rFonts w:hAnsi="宋体"/>
          <w:color w:val="auto"/>
          <w:highlight w:val="none"/>
        </w:rPr>
        <w:t>2. 不可抗力事件发生后，应立即通知对方，并寄送有关权威机构出具的证明。</w:t>
      </w:r>
    </w:p>
    <w:p w14:paraId="5714A11A">
      <w:pPr>
        <w:snapToGrid w:val="0"/>
        <w:spacing w:line="400" w:lineRule="exact"/>
        <w:ind w:left="-61" w:firstLine="514"/>
        <w:rPr>
          <w:rStyle w:val="40"/>
          <w:rFonts w:ascii="宋体" w:hAnsi="宋体"/>
          <w:color w:val="auto"/>
          <w:szCs w:val="21"/>
          <w:highlight w:val="none"/>
        </w:rPr>
      </w:pPr>
      <w:r>
        <w:rPr>
          <w:rStyle w:val="40"/>
          <w:rFonts w:ascii="宋体" w:hAnsi="宋体"/>
          <w:color w:val="auto"/>
          <w:szCs w:val="21"/>
          <w:highlight w:val="none"/>
        </w:rPr>
        <w:t>3. 不可抗力事件延续一百二十天以上，双方应通过友好协商，确定是否继续履行合同。</w:t>
      </w:r>
    </w:p>
    <w:p w14:paraId="3F95ADE4">
      <w:pPr>
        <w:snapToGrid w:val="0"/>
        <w:spacing w:line="400" w:lineRule="exact"/>
        <w:ind w:firstLine="422" w:firstLineChars="200"/>
        <w:rPr>
          <w:rStyle w:val="40"/>
          <w:rFonts w:ascii="宋体" w:hAnsi="宋体"/>
          <w:color w:val="auto"/>
          <w:szCs w:val="21"/>
          <w:highlight w:val="none"/>
        </w:rPr>
      </w:pPr>
      <w:r>
        <w:rPr>
          <w:rStyle w:val="40"/>
          <w:rFonts w:ascii="宋体" w:hAnsi="宋体"/>
          <w:b/>
          <w:color w:val="auto"/>
          <w:szCs w:val="21"/>
          <w:highlight w:val="none"/>
        </w:rPr>
        <w:t>第十一条  合同争议解决</w:t>
      </w:r>
    </w:p>
    <w:p w14:paraId="2F8DFB6C">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1、因履行本合同引起的或与本合同有关的争议，甲乙双方应首先通过友好协商解决，如果协商不能解决，由贵港仲裁委员会仲裁。</w:t>
      </w:r>
    </w:p>
    <w:p w14:paraId="7BD625DD">
      <w:pPr>
        <w:snapToGrid w:val="0"/>
        <w:spacing w:line="400" w:lineRule="exact"/>
        <w:ind w:left="-61" w:firstLine="514"/>
        <w:rPr>
          <w:rStyle w:val="40"/>
          <w:rFonts w:ascii="宋体" w:hAnsi="宋体"/>
          <w:color w:val="auto"/>
          <w:szCs w:val="21"/>
          <w:highlight w:val="none"/>
        </w:rPr>
      </w:pPr>
      <w:r>
        <w:rPr>
          <w:rStyle w:val="40"/>
          <w:rFonts w:ascii="宋体" w:hAnsi="宋体"/>
          <w:color w:val="auto"/>
          <w:szCs w:val="21"/>
          <w:highlight w:val="none"/>
        </w:rPr>
        <w:t>2、诉讼期间，本合同继续履行。</w:t>
      </w:r>
    </w:p>
    <w:p w14:paraId="0FE45AF3">
      <w:pPr>
        <w:pStyle w:val="56"/>
        <w:snapToGrid w:val="0"/>
        <w:spacing w:line="400" w:lineRule="exact"/>
        <w:ind w:firstLine="413" w:firstLineChars="196"/>
        <w:rPr>
          <w:rStyle w:val="40"/>
          <w:rFonts w:hAnsi="宋体"/>
          <w:b/>
          <w:color w:val="auto"/>
          <w:highlight w:val="none"/>
        </w:rPr>
      </w:pPr>
      <w:r>
        <w:rPr>
          <w:rStyle w:val="40"/>
          <w:rFonts w:hAnsi="宋体"/>
          <w:b/>
          <w:color w:val="auto"/>
          <w:highlight w:val="none"/>
        </w:rPr>
        <w:t>第十二条  合同生效及其它</w:t>
      </w:r>
    </w:p>
    <w:p w14:paraId="03CBBB73">
      <w:pPr>
        <w:pStyle w:val="56"/>
        <w:snapToGrid w:val="0"/>
        <w:spacing w:line="400" w:lineRule="exact"/>
        <w:ind w:firstLine="420" w:firstLineChars="200"/>
        <w:rPr>
          <w:rStyle w:val="40"/>
          <w:rFonts w:hAnsi="宋体"/>
          <w:color w:val="auto"/>
          <w:highlight w:val="none"/>
        </w:rPr>
      </w:pPr>
      <w:r>
        <w:rPr>
          <w:rStyle w:val="40"/>
          <w:rFonts w:hAnsi="宋体"/>
          <w:color w:val="auto"/>
          <w:highlight w:val="none"/>
        </w:rPr>
        <w:t>1.合同经双方法定代表人或被授权代表签字并加盖单位公章后生效。</w:t>
      </w:r>
    </w:p>
    <w:p w14:paraId="64953BEF">
      <w:pPr>
        <w:pStyle w:val="56"/>
        <w:snapToGrid w:val="0"/>
        <w:spacing w:line="400" w:lineRule="exact"/>
        <w:ind w:firstLine="420" w:firstLineChars="200"/>
        <w:rPr>
          <w:rStyle w:val="40"/>
          <w:rFonts w:hAnsi="宋体"/>
          <w:color w:val="auto"/>
          <w:highlight w:val="none"/>
        </w:rPr>
      </w:pPr>
      <w:r>
        <w:rPr>
          <w:rStyle w:val="40"/>
          <w:rFonts w:hAnsi="宋体"/>
          <w:color w:val="auto"/>
          <w:highlight w:val="none"/>
        </w:rPr>
        <w:t>2.合同执行中涉及采购资金和采购内容修改或补充的，须经财政部门审批，并签书面补充协议报财政部门备案，方可作为主合同不可分割的一部分。</w:t>
      </w:r>
    </w:p>
    <w:p w14:paraId="50CFDDE4">
      <w:pPr>
        <w:pStyle w:val="56"/>
        <w:snapToGrid w:val="0"/>
        <w:spacing w:line="400" w:lineRule="exact"/>
        <w:ind w:left="420" w:leftChars="200"/>
        <w:rPr>
          <w:rStyle w:val="40"/>
          <w:rFonts w:hAnsi="宋体"/>
          <w:color w:val="auto"/>
          <w:highlight w:val="none"/>
        </w:rPr>
      </w:pPr>
      <w:r>
        <w:rPr>
          <w:rStyle w:val="40"/>
          <w:rFonts w:hAnsi="宋体"/>
          <w:color w:val="auto"/>
          <w:highlight w:val="none"/>
        </w:rPr>
        <w:t>3.本合同未尽事宜，遵照《合同法》有关条文执行。</w:t>
      </w:r>
    </w:p>
    <w:p w14:paraId="5A0719D1">
      <w:pPr>
        <w:snapToGrid w:val="0"/>
        <w:spacing w:line="400" w:lineRule="exact"/>
        <w:ind w:firstLine="422" w:firstLineChars="200"/>
        <w:rPr>
          <w:rStyle w:val="40"/>
          <w:rFonts w:ascii="宋体" w:hAnsi="宋体"/>
          <w:b/>
          <w:color w:val="auto"/>
          <w:szCs w:val="21"/>
          <w:highlight w:val="none"/>
        </w:rPr>
      </w:pPr>
      <w:r>
        <w:rPr>
          <w:rStyle w:val="40"/>
          <w:rFonts w:ascii="宋体" w:hAnsi="宋体"/>
          <w:b/>
          <w:color w:val="auto"/>
          <w:szCs w:val="21"/>
          <w:highlight w:val="none"/>
        </w:rPr>
        <w:t>第十三条　合同的变更、终止与转让</w:t>
      </w:r>
    </w:p>
    <w:p w14:paraId="15670F07">
      <w:pPr>
        <w:snapToGrid w:val="0"/>
        <w:spacing w:line="400" w:lineRule="exact"/>
        <w:ind w:firstLine="420" w:firstLineChars="200"/>
        <w:rPr>
          <w:rStyle w:val="40"/>
          <w:rFonts w:ascii="宋体" w:hAnsi="宋体"/>
          <w:color w:val="auto"/>
          <w:szCs w:val="21"/>
          <w:highlight w:val="none"/>
        </w:rPr>
      </w:pPr>
      <w:r>
        <w:rPr>
          <w:rStyle w:val="40"/>
          <w:rFonts w:ascii="宋体" w:hAnsi="宋体"/>
          <w:color w:val="auto"/>
          <w:szCs w:val="21"/>
          <w:highlight w:val="none"/>
        </w:rPr>
        <w:t>1、除《中华人民共和国政府采购法》第五十条规定的情形外，本合同一经签订，甲乙双方不得擅自变更、中止或终止。</w:t>
      </w:r>
    </w:p>
    <w:p w14:paraId="5A44AF8F">
      <w:pPr>
        <w:snapToGrid w:val="0"/>
        <w:spacing w:line="400" w:lineRule="exact"/>
        <w:ind w:left="-61" w:firstLine="514"/>
        <w:rPr>
          <w:rStyle w:val="40"/>
          <w:rFonts w:ascii="宋体" w:hAnsi="宋体"/>
          <w:color w:val="auto"/>
          <w:szCs w:val="21"/>
          <w:highlight w:val="none"/>
        </w:rPr>
      </w:pPr>
      <w:r>
        <w:rPr>
          <w:rStyle w:val="40"/>
          <w:rFonts w:ascii="宋体" w:hAnsi="宋体"/>
          <w:color w:val="auto"/>
          <w:szCs w:val="21"/>
          <w:highlight w:val="none"/>
        </w:rPr>
        <w:t>2、乙方不得擅自转让其应履行的合同义务。</w:t>
      </w:r>
    </w:p>
    <w:p w14:paraId="1198A397">
      <w:pPr>
        <w:snapToGrid w:val="0"/>
        <w:spacing w:line="400" w:lineRule="exact"/>
        <w:ind w:firstLine="422" w:firstLineChars="200"/>
        <w:rPr>
          <w:rStyle w:val="40"/>
          <w:rFonts w:ascii="宋体" w:hAnsi="宋体"/>
          <w:b/>
          <w:color w:val="auto"/>
          <w:szCs w:val="21"/>
          <w:highlight w:val="none"/>
        </w:rPr>
      </w:pPr>
      <w:r>
        <w:rPr>
          <w:rStyle w:val="40"/>
          <w:rFonts w:ascii="宋体" w:hAnsi="宋体"/>
          <w:b/>
          <w:color w:val="auto"/>
          <w:szCs w:val="21"/>
          <w:highlight w:val="none"/>
        </w:rPr>
        <w:t>第十四条　签订本合同依据</w:t>
      </w:r>
    </w:p>
    <w:p w14:paraId="3D9651D4">
      <w:pPr>
        <w:pStyle w:val="56"/>
        <w:snapToGrid w:val="0"/>
        <w:spacing w:line="400" w:lineRule="exact"/>
        <w:ind w:left="420" w:leftChars="200"/>
        <w:rPr>
          <w:rStyle w:val="40"/>
          <w:rFonts w:hAnsi="宋体"/>
          <w:color w:val="auto"/>
          <w:highlight w:val="none"/>
        </w:rPr>
      </w:pPr>
      <w:r>
        <w:rPr>
          <w:rStyle w:val="40"/>
          <w:rFonts w:hAnsi="宋体"/>
          <w:color w:val="auto"/>
          <w:highlight w:val="none"/>
        </w:rPr>
        <w:t>1、磋商采购文件；</w:t>
      </w:r>
    </w:p>
    <w:p w14:paraId="0D264732">
      <w:pPr>
        <w:pStyle w:val="56"/>
        <w:snapToGrid w:val="0"/>
        <w:spacing w:line="400" w:lineRule="exact"/>
        <w:ind w:left="420" w:leftChars="200"/>
        <w:rPr>
          <w:rStyle w:val="40"/>
          <w:rFonts w:hAnsi="宋体"/>
          <w:color w:val="auto"/>
          <w:highlight w:val="none"/>
        </w:rPr>
      </w:pPr>
      <w:r>
        <w:rPr>
          <w:rStyle w:val="40"/>
          <w:rFonts w:hAnsi="宋体"/>
          <w:color w:val="auto"/>
          <w:highlight w:val="none"/>
        </w:rPr>
        <w:t>2、乙方提供的响应文件；</w:t>
      </w:r>
    </w:p>
    <w:p w14:paraId="0365ADC7">
      <w:pPr>
        <w:pStyle w:val="56"/>
        <w:snapToGrid w:val="0"/>
        <w:spacing w:line="400" w:lineRule="exact"/>
        <w:ind w:left="420" w:leftChars="200"/>
        <w:rPr>
          <w:rStyle w:val="40"/>
          <w:rFonts w:hAnsi="宋体"/>
          <w:b/>
          <w:color w:val="auto"/>
          <w:highlight w:val="none"/>
        </w:rPr>
      </w:pPr>
      <w:r>
        <w:rPr>
          <w:rStyle w:val="40"/>
          <w:rFonts w:hAnsi="宋体"/>
          <w:color w:val="auto"/>
          <w:highlight w:val="none"/>
        </w:rPr>
        <w:t>3、成交通知书。</w:t>
      </w:r>
    </w:p>
    <w:p w14:paraId="7C68EA07">
      <w:pPr>
        <w:snapToGrid w:val="0"/>
        <w:spacing w:line="440" w:lineRule="exact"/>
        <w:ind w:firstLine="422" w:firstLineChars="200"/>
        <w:rPr>
          <w:rStyle w:val="40"/>
          <w:rFonts w:ascii="宋体" w:hAnsi="宋体"/>
          <w:bCs/>
          <w:color w:val="auto"/>
          <w:szCs w:val="21"/>
          <w:highlight w:val="none"/>
        </w:rPr>
      </w:pPr>
      <w:r>
        <w:rPr>
          <w:rStyle w:val="40"/>
          <w:rFonts w:ascii="宋体" w:hAnsi="宋体"/>
          <w:b/>
          <w:color w:val="auto"/>
          <w:szCs w:val="21"/>
          <w:highlight w:val="none"/>
        </w:rPr>
        <w:t>第十五条　</w:t>
      </w:r>
      <w:r>
        <w:rPr>
          <w:rStyle w:val="40"/>
          <w:rFonts w:ascii="宋体" w:hAnsi="宋体"/>
          <w:color w:val="auto"/>
          <w:szCs w:val="21"/>
          <w:highlight w:val="none"/>
        </w:rPr>
        <w:t>本合同一式</w:t>
      </w:r>
      <w:r>
        <w:rPr>
          <w:rStyle w:val="40"/>
          <w:rFonts w:hint="eastAsia" w:ascii="宋体" w:hAnsi="宋体"/>
          <w:color w:val="auto"/>
          <w:szCs w:val="21"/>
          <w:highlight w:val="none"/>
          <w:lang w:eastAsia="zh-CN"/>
        </w:rPr>
        <w:t>四</w:t>
      </w:r>
      <w:r>
        <w:rPr>
          <w:rStyle w:val="40"/>
          <w:rFonts w:ascii="宋体" w:hAnsi="宋体"/>
          <w:color w:val="auto"/>
          <w:szCs w:val="21"/>
          <w:highlight w:val="none"/>
        </w:rPr>
        <w:t>份，具有同等法律效力，采购代理机构一份，甲方</w:t>
      </w:r>
      <w:r>
        <w:rPr>
          <w:rStyle w:val="40"/>
          <w:rFonts w:hint="eastAsia" w:ascii="宋体" w:hAnsi="宋体"/>
          <w:color w:val="auto"/>
          <w:szCs w:val="21"/>
          <w:highlight w:val="none"/>
          <w:lang w:eastAsia="zh-CN"/>
        </w:rPr>
        <w:t>二</w:t>
      </w:r>
      <w:r>
        <w:rPr>
          <w:rStyle w:val="40"/>
          <w:rFonts w:ascii="宋体" w:hAnsi="宋体"/>
          <w:color w:val="auto"/>
          <w:szCs w:val="21"/>
          <w:highlight w:val="none"/>
        </w:rPr>
        <w:t>份，乙方</w:t>
      </w:r>
      <w:r>
        <w:rPr>
          <w:rStyle w:val="40"/>
          <w:rFonts w:hint="eastAsia" w:ascii="宋体" w:hAnsi="宋体"/>
          <w:color w:val="auto"/>
          <w:szCs w:val="21"/>
          <w:highlight w:val="none"/>
          <w:lang w:eastAsia="zh-CN"/>
        </w:rPr>
        <w:t>一</w:t>
      </w:r>
      <w:r>
        <w:rPr>
          <w:rStyle w:val="40"/>
          <w:rFonts w:ascii="宋体" w:hAnsi="宋体"/>
          <w:color w:val="auto"/>
          <w:szCs w:val="21"/>
          <w:highlight w:val="none"/>
        </w:rPr>
        <w:t>份。本合同甲乙双方签字盖章后生效。</w:t>
      </w:r>
    </w:p>
    <w:tbl>
      <w:tblPr>
        <w:tblStyle w:val="24"/>
        <w:tblW w:w="936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0"/>
        <w:gridCol w:w="4680"/>
      </w:tblGrid>
      <w:tr w14:paraId="3501E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73"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025EF331">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 xml:space="preserve">甲方（章）           </w:t>
            </w:r>
          </w:p>
          <w:p w14:paraId="55ED5690">
            <w:pPr>
              <w:snapToGrid w:val="0"/>
              <w:spacing w:line="400" w:lineRule="exact"/>
              <w:rPr>
                <w:rStyle w:val="40"/>
                <w:rFonts w:ascii="宋体" w:hAnsi="宋体"/>
                <w:color w:val="auto"/>
                <w:szCs w:val="21"/>
                <w:highlight w:val="none"/>
              </w:rPr>
            </w:pPr>
          </w:p>
          <w:p w14:paraId="6424857E">
            <w:pPr>
              <w:snapToGrid w:val="0"/>
              <w:spacing w:line="400" w:lineRule="exact"/>
              <w:ind w:firstLine="945" w:firstLineChars="450"/>
              <w:jc w:val="right"/>
              <w:rPr>
                <w:rStyle w:val="40"/>
                <w:rFonts w:ascii="宋体" w:hAnsi="宋体"/>
                <w:color w:val="auto"/>
                <w:szCs w:val="21"/>
                <w:highlight w:val="none"/>
              </w:rPr>
            </w:pPr>
            <w:r>
              <w:rPr>
                <w:rStyle w:val="40"/>
                <w:rFonts w:ascii="宋体" w:hAnsi="宋体"/>
                <w:color w:val="auto"/>
                <w:szCs w:val="21"/>
                <w:highlight w:val="none"/>
              </w:rPr>
              <w:t>年   月   日</w:t>
            </w:r>
          </w:p>
        </w:tc>
        <w:tc>
          <w:tcPr>
            <w:tcW w:w="4680" w:type="dxa"/>
            <w:tcBorders>
              <w:top w:val="single" w:color="000000" w:sz="4" w:space="0"/>
              <w:left w:val="single" w:color="000000" w:sz="4" w:space="0"/>
              <w:bottom w:val="single" w:color="000000" w:sz="4" w:space="0"/>
              <w:right w:val="single" w:color="000000" w:sz="4" w:space="0"/>
            </w:tcBorders>
            <w:vAlign w:val="center"/>
          </w:tcPr>
          <w:p w14:paraId="427FCA96">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 xml:space="preserve">乙方（章）              </w:t>
            </w:r>
          </w:p>
          <w:p w14:paraId="6E1952F1">
            <w:pPr>
              <w:snapToGrid w:val="0"/>
              <w:spacing w:line="400" w:lineRule="exact"/>
              <w:rPr>
                <w:rStyle w:val="40"/>
                <w:rFonts w:ascii="宋体" w:hAnsi="宋体"/>
                <w:color w:val="auto"/>
                <w:szCs w:val="21"/>
                <w:highlight w:val="none"/>
              </w:rPr>
            </w:pPr>
          </w:p>
          <w:p w14:paraId="271B4D54">
            <w:pPr>
              <w:snapToGrid w:val="0"/>
              <w:spacing w:line="400" w:lineRule="exact"/>
              <w:jc w:val="right"/>
              <w:rPr>
                <w:rStyle w:val="40"/>
                <w:rFonts w:ascii="宋体" w:hAnsi="宋体"/>
                <w:color w:val="auto"/>
                <w:szCs w:val="21"/>
                <w:highlight w:val="none"/>
              </w:rPr>
            </w:pPr>
            <w:r>
              <w:rPr>
                <w:rStyle w:val="40"/>
                <w:rFonts w:ascii="宋体" w:hAnsi="宋体"/>
                <w:color w:val="auto"/>
                <w:szCs w:val="21"/>
                <w:highlight w:val="none"/>
              </w:rPr>
              <w:t xml:space="preserve"> 年   月   日</w:t>
            </w:r>
          </w:p>
        </w:tc>
      </w:tr>
      <w:tr w14:paraId="3920C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8"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1290ACBC">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单位地址：</w:t>
            </w:r>
          </w:p>
        </w:tc>
        <w:tc>
          <w:tcPr>
            <w:tcW w:w="4680" w:type="dxa"/>
            <w:tcBorders>
              <w:top w:val="single" w:color="000000" w:sz="4" w:space="0"/>
              <w:left w:val="single" w:color="000000" w:sz="4" w:space="0"/>
              <w:bottom w:val="single" w:color="000000" w:sz="4" w:space="0"/>
              <w:right w:val="single" w:color="000000" w:sz="4" w:space="0"/>
            </w:tcBorders>
            <w:vAlign w:val="center"/>
          </w:tcPr>
          <w:p w14:paraId="27AAE25A">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单位地址：</w:t>
            </w:r>
          </w:p>
        </w:tc>
      </w:tr>
      <w:tr w14:paraId="325C5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8"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5C6D974B">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法定代表人（或委托代理人）：</w:t>
            </w:r>
          </w:p>
        </w:tc>
        <w:tc>
          <w:tcPr>
            <w:tcW w:w="4680" w:type="dxa"/>
            <w:tcBorders>
              <w:top w:val="single" w:color="000000" w:sz="4" w:space="0"/>
              <w:left w:val="single" w:color="000000" w:sz="4" w:space="0"/>
              <w:bottom w:val="single" w:color="000000" w:sz="4" w:space="0"/>
              <w:right w:val="single" w:color="000000" w:sz="4" w:space="0"/>
            </w:tcBorders>
            <w:vAlign w:val="center"/>
          </w:tcPr>
          <w:p w14:paraId="3EDB73E4">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法定代表人（或委托代理人）：</w:t>
            </w:r>
          </w:p>
        </w:tc>
      </w:tr>
      <w:tr w14:paraId="6B244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8"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4CBF2D35">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电话：</w:t>
            </w:r>
          </w:p>
        </w:tc>
        <w:tc>
          <w:tcPr>
            <w:tcW w:w="4680" w:type="dxa"/>
            <w:tcBorders>
              <w:top w:val="single" w:color="000000" w:sz="4" w:space="0"/>
              <w:left w:val="single" w:color="000000" w:sz="4" w:space="0"/>
              <w:bottom w:val="single" w:color="000000" w:sz="4" w:space="0"/>
              <w:right w:val="single" w:color="000000" w:sz="4" w:space="0"/>
            </w:tcBorders>
            <w:vAlign w:val="center"/>
          </w:tcPr>
          <w:p w14:paraId="5084028F">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电话：</w:t>
            </w:r>
          </w:p>
        </w:tc>
      </w:tr>
      <w:tr w14:paraId="1C061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6"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5CCDFA8D">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电子邮箱：</w:t>
            </w:r>
          </w:p>
        </w:tc>
        <w:tc>
          <w:tcPr>
            <w:tcW w:w="4680" w:type="dxa"/>
            <w:tcBorders>
              <w:top w:val="single" w:color="000000" w:sz="4" w:space="0"/>
              <w:left w:val="single" w:color="000000" w:sz="4" w:space="0"/>
              <w:bottom w:val="single" w:color="000000" w:sz="4" w:space="0"/>
              <w:right w:val="single" w:color="000000" w:sz="4" w:space="0"/>
            </w:tcBorders>
            <w:vAlign w:val="center"/>
          </w:tcPr>
          <w:p w14:paraId="52B432CD">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电子邮箱：</w:t>
            </w:r>
          </w:p>
        </w:tc>
      </w:tr>
      <w:tr w14:paraId="57D4C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4"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70B0F100">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开户银行：</w:t>
            </w:r>
          </w:p>
        </w:tc>
        <w:tc>
          <w:tcPr>
            <w:tcW w:w="4680" w:type="dxa"/>
            <w:tcBorders>
              <w:top w:val="single" w:color="000000" w:sz="4" w:space="0"/>
              <w:left w:val="single" w:color="000000" w:sz="4" w:space="0"/>
              <w:bottom w:val="single" w:color="000000" w:sz="4" w:space="0"/>
              <w:right w:val="single" w:color="000000" w:sz="4" w:space="0"/>
            </w:tcBorders>
            <w:vAlign w:val="center"/>
          </w:tcPr>
          <w:p w14:paraId="583EAB69">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开户银行：</w:t>
            </w:r>
          </w:p>
        </w:tc>
      </w:tr>
      <w:tr w14:paraId="2DFAF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8"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68588E09">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账号：</w:t>
            </w:r>
          </w:p>
        </w:tc>
        <w:tc>
          <w:tcPr>
            <w:tcW w:w="4680" w:type="dxa"/>
            <w:tcBorders>
              <w:top w:val="single" w:color="000000" w:sz="4" w:space="0"/>
              <w:left w:val="single" w:color="000000" w:sz="4" w:space="0"/>
              <w:bottom w:val="single" w:color="000000" w:sz="4" w:space="0"/>
              <w:right w:val="single" w:color="000000" w:sz="4" w:space="0"/>
            </w:tcBorders>
            <w:vAlign w:val="center"/>
          </w:tcPr>
          <w:p w14:paraId="4B566CDD">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账号：</w:t>
            </w:r>
          </w:p>
        </w:tc>
      </w:tr>
      <w:tr w14:paraId="2034F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94"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7825F38B">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邮政编码：</w:t>
            </w:r>
          </w:p>
        </w:tc>
        <w:tc>
          <w:tcPr>
            <w:tcW w:w="4680" w:type="dxa"/>
            <w:tcBorders>
              <w:top w:val="single" w:color="000000" w:sz="4" w:space="0"/>
              <w:left w:val="single" w:color="000000" w:sz="4" w:space="0"/>
              <w:bottom w:val="single" w:color="000000" w:sz="4" w:space="0"/>
              <w:right w:val="single" w:color="000000" w:sz="4" w:space="0"/>
            </w:tcBorders>
            <w:vAlign w:val="center"/>
          </w:tcPr>
          <w:p w14:paraId="4F837AFE">
            <w:pPr>
              <w:snapToGrid w:val="0"/>
              <w:spacing w:line="400" w:lineRule="exact"/>
              <w:rPr>
                <w:rStyle w:val="40"/>
                <w:rFonts w:ascii="宋体" w:hAnsi="宋体"/>
                <w:color w:val="auto"/>
                <w:szCs w:val="21"/>
                <w:highlight w:val="none"/>
              </w:rPr>
            </w:pPr>
            <w:r>
              <w:rPr>
                <w:rStyle w:val="40"/>
                <w:rFonts w:ascii="宋体" w:hAnsi="宋体"/>
                <w:color w:val="auto"/>
                <w:szCs w:val="21"/>
                <w:highlight w:val="none"/>
              </w:rPr>
              <w:t>邮政编码：</w:t>
            </w:r>
          </w:p>
        </w:tc>
      </w:tr>
    </w:tbl>
    <w:p w14:paraId="48B90240">
      <w:pPr>
        <w:rPr>
          <w:rStyle w:val="40"/>
          <w:color w:val="auto"/>
          <w:highlight w:val="none"/>
        </w:rPr>
      </w:pPr>
    </w:p>
    <w:p w14:paraId="3C0A925F">
      <w:pPr>
        <w:pStyle w:val="56"/>
        <w:snapToGrid w:val="0"/>
        <w:rPr>
          <w:rStyle w:val="40"/>
          <w:rFonts w:hAnsi="宋体"/>
          <w:b/>
          <w:color w:val="auto"/>
          <w:highlight w:val="none"/>
        </w:rPr>
      </w:pPr>
    </w:p>
    <w:p w14:paraId="55F2E2D5">
      <w:pPr>
        <w:pStyle w:val="56"/>
        <w:snapToGrid w:val="0"/>
        <w:rPr>
          <w:rStyle w:val="40"/>
          <w:rFonts w:hAnsi="宋体"/>
          <w:b/>
          <w:color w:val="auto"/>
          <w:highlight w:val="none"/>
        </w:rPr>
      </w:pPr>
    </w:p>
    <w:p w14:paraId="3A1DEF9D">
      <w:pPr>
        <w:pStyle w:val="56"/>
        <w:snapToGrid w:val="0"/>
        <w:rPr>
          <w:rStyle w:val="40"/>
          <w:rFonts w:hAnsi="宋体"/>
          <w:b/>
          <w:color w:val="auto"/>
          <w:highlight w:val="none"/>
        </w:rPr>
      </w:pPr>
    </w:p>
    <w:p w14:paraId="6400A9AE">
      <w:pPr>
        <w:pStyle w:val="56"/>
        <w:snapToGrid w:val="0"/>
        <w:rPr>
          <w:rStyle w:val="40"/>
          <w:rFonts w:hAnsi="宋体"/>
          <w:b/>
          <w:color w:val="auto"/>
          <w:highlight w:val="none"/>
        </w:rPr>
      </w:pPr>
    </w:p>
    <w:p w14:paraId="1299A61E">
      <w:pPr>
        <w:pStyle w:val="56"/>
        <w:snapToGrid w:val="0"/>
        <w:rPr>
          <w:rStyle w:val="40"/>
          <w:rFonts w:hAnsi="宋体"/>
          <w:b/>
          <w:color w:val="auto"/>
          <w:highlight w:val="none"/>
        </w:rPr>
      </w:pPr>
    </w:p>
    <w:p w14:paraId="43EC96C5">
      <w:pPr>
        <w:pStyle w:val="56"/>
        <w:snapToGrid w:val="0"/>
        <w:rPr>
          <w:rStyle w:val="40"/>
          <w:rFonts w:hAnsi="宋体"/>
          <w:b/>
          <w:color w:val="auto"/>
          <w:highlight w:val="none"/>
        </w:rPr>
      </w:pPr>
    </w:p>
    <w:p w14:paraId="789372CE">
      <w:pPr>
        <w:pStyle w:val="56"/>
        <w:snapToGrid w:val="0"/>
        <w:rPr>
          <w:rStyle w:val="40"/>
          <w:rFonts w:hAnsi="宋体"/>
          <w:b/>
          <w:color w:val="auto"/>
          <w:highlight w:val="none"/>
        </w:rPr>
      </w:pPr>
    </w:p>
    <w:p w14:paraId="1A64A1F7">
      <w:pPr>
        <w:pStyle w:val="56"/>
        <w:snapToGrid w:val="0"/>
        <w:rPr>
          <w:rStyle w:val="40"/>
          <w:rFonts w:hAnsi="宋体"/>
          <w:b/>
          <w:color w:val="auto"/>
          <w:highlight w:val="none"/>
        </w:rPr>
      </w:pPr>
    </w:p>
    <w:p w14:paraId="126005C8">
      <w:pPr>
        <w:pStyle w:val="56"/>
        <w:snapToGrid w:val="0"/>
        <w:rPr>
          <w:rStyle w:val="40"/>
          <w:rFonts w:hAnsi="宋体"/>
          <w:b/>
          <w:color w:val="auto"/>
          <w:highlight w:val="none"/>
        </w:rPr>
      </w:pPr>
    </w:p>
    <w:p w14:paraId="2EDB9981">
      <w:pPr>
        <w:pStyle w:val="56"/>
        <w:snapToGrid w:val="0"/>
        <w:rPr>
          <w:rStyle w:val="40"/>
          <w:rFonts w:hAnsi="宋体"/>
          <w:b/>
          <w:color w:val="auto"/>
          <w:highlight w:val="none"/>
        </w:rPr>
      </w:pPr>
    </w:p>
    <w:p w14:paraId="2A6AAEEF">
      <w:pPr>
        <w:pStyle w:val="56"/>
        <w:snapToGrid w:val="0"/>
        <w:rPr>
          <w:rStyle w:val="40"/>
          <w:rFonts w:hAnsi="宋体"/>
          <w:b/>
          <w:color w:val="auto"/>
          <w:highlight w:val="none"/>
        </w:rPr>
      </w:pPr>
    </w:p>
    <w:p w14:paraId="4ADEE509">
      <w:pPr>
        <w:pStyle w:val="56"/>
        <w:snapToGrid w:val="0"/>
        <w:rPr>
          <w:rStyle w:val="40"/>
          <w:rFonts w:hAnsi="宋体"/>
          <w:b/>
          <w:color w:val="auto"/>
          <w:highlight w:val="none"/>
        </w:rPr>
      </w:pPr>
    </w:p>
    <w:p w14:paraId="4A7AA80B">
      <w:pPr>
        <w:pStyle w:val="56"/>
        <w:snapToGrid w:val="0"/>
        <w:rPr>
          <w:rStyle w:val="40"/>
          <w:rFonts w:hAnsi="宋体"/>
          <w:b/>
          <w:color w:val="auto"/>
          <w:highlight w:val="none"/>
        </w:rPr>
      </w:pPr>
    </w:p>
    <w:p w14:paraId="36DC3533">
      <w:pPr>
        <w:pStyle w:val="56"/>
        <w:snapToGrid w:val="0"/>
        <w:rPr>
          <w:rStyle w:val="40"/>
          <w:rFonts w:hAnsi="宋体"/>
          <w:b/>
          <w:color w:val="auto"/>
          <w:highlight w:val="none"/>
        </w:rPr>
      </w:pPr>
      <w:r>
        <w:rPr>
          <w:rStyle w:val="40"/>
          <w:rFonts w:hAnsi="宋体"/>
          <w:b/>
          <w:color w:val="auto"/>
          <w:highlight w:val="none"/>
        </w:rPr>
        <w:t>附件1：</w:t>
      </w:r>
    </w:p>
    <w:p w14:paraId="6BCD7CD5">
      <w:pPr>
        <w:pStyle w:val="56"/>
        <w:snapToGrid w:val="0"/>
        <w:ind w:firstLine="640" w:firstLineChars="200"/>
        <w:jc w:val="center"/>
        <w:rPr>
          <w:rStyle w:val="40"/>
          <w:rFonts w:hAnsi="宋体"/>
          <w:color w:val="auto"/>
          <w:sz w:val="32"/>
          <w:szCs w:val="32"/>
          <w:highlight w:val="none"/>
        </w:rPr>
      </w:pPr>
      <w:r>
        <w:rPr>
          <w:rStyle w:val="40"/>
          <w:rFonts w:hAnsi="宋体"/>
          <w:color w:val="auto"/>
          <w:sz w:val="32"/>
          <w:szCs w:val="32"/>
          <w:highlight w:val="none"/>
        </w:rPr>
        <w:t>广西壮族自治区政府采购项目合同验收书（格式）</w:t>
      </w:r>
    </w:p>
    <w:p w14:paraId="392534EE">
      <w:pPr>
        <w:shd w:val="clear" w:color="auto" w:fill="FFFFFF"/>
        <w:spacing w:line="480" w:lineRule="atLeast"/>
        <w:jc w:val="center"/>
        <w:rPr>
          <w:rStyle w:val="40"/>
          <w:rFonts w:ascii="宋体" w:hAnsi="宋体"/>
          <w:color w:val="auto"/>
          <w:kern w:val="0"/>
          <w:sz w:val="32"/>
          <w:szCs w:val="32"/>
          <w:highlight w:val="none"/>
        </w:rPr>
      </w:pPr>
    </w:p>
    <w:p w14:paraId="477D658B">
      <w:pPr>
        <w:shd w:val="clear" w:color="auto" w:fill="FFFFFF"/>
        <w:snapToGrid w:val="0"/>
        <w:spacing w:line="320" w:lineRule="atLeast"/>
        <w:ind w:firstLine="480"/>
        <w:jc w:val="left"/>
        <w:rPr>
          <w:rStyle w:val="40"/>
          <w:rFonts w:ascii="宋体" w:hAnsi="宋体"/>
          <w:color w:val="auto"/>
          <w:kern w:val="0"/>
          <w:szCs w:val="21"/>
          <w:highlight w:val="none"/>
        </w:rPr>
      </w:pPr>
      <w:r>
        <w:rPr>
          <w:rStyle w:val="40"/>
          <w:rFonts w:ascii="宋体" w:hAnsi="宋体"/>
          <w:color w:val="auto"/>
          <w:kern w:val="0"/>
          <w:szCs w:val="21"/>
          <w:highlight w:val="none"/>
        </w:rPr>
        <w:t>根据政府采购项目（</w:t>
      </w:r>
      <w:r>
        <w:rPr>
          <w:rStyle w:val="40"/>
          <w:rFonts w:ascii="宋体" w:hAnsi="宋体"/>
          <w:color w:val="auto"/>
          <w:kern w:val="0"/>
          <w:szCs w:val="21"/>
          <w:highlight w:val="none"/>
          <w:u w:val="single"/>
        </w:rPr>
        <w:t xml:space="preserve">采购合同编号：​ </w:t>
      </w:r>
      <w:r>
        <w:rPr>
          <w:rStyle w:val="40"/>
          <w:rFonts w:ascii="宋体" w:hAnsi="宋体"/>
          <w:color w:val="auto"/>
          <w:kern w:val="0"/>
          <w:szCs w:val="21"/>
          <w:highlight w:val="none"/>
        </w:rPr>
        <w:t>）的约定，我单位对（</w:t>
      </w:r>
      <w:r>
        <w:rPr>
          <w:rStyle w:val="40"/>
          <w:rFonts w:ascii="宋体" w:hAnsi="宋体"/>
          <w:color w:val="auto"/>
          <w:kern w:val="0"/>
          <w:szCs w:val="21"/>
          <w:highlight w:val="none"/>
          <w:u w:val="single"/>
        </w:rPr>
        <w:t xml:space="preserve"> 项目名称 </w:t>
      </w:r>
      <w:r>
        <w:rPr>
          <w:rStyle w:val="40"/>
          <w:rFonts w:ascii="宋体" w:hAnsi="宋体"/>
          <w:color w:val="auto"/>
          <w:kern w:val="0"/>
          <w:szCs w:val="21"/>
          <w:highlight w:val="none"/>
        </w:rPr>
        <w:t>） 政府采购项目中标（或成交）供应商（</w:t>
      </w:r>
      <w:r>
        <w:rPr>
          <w:rStyle w:val="40"/>
          <w:rFonts w:ascii="宋体" w:hAnsi="宋体"/>
          <w:color w:val="auto"/>
          <w:kern w:val="0"/>
          <w:szCs w:val="21"/>
          <w:highlight w:val="none"/>
          <w:u w:val="single"/>
        </w:rPr>
        <w:t xml:space="preserve"> 公司名称 </w:t>
      </w:r>
      <w:r>
        <w:rPr>
          <w:rStyle w:val="40"/>
          <w:rFonts w:ascii="宋体" w:hAnsi="宋体"/>
          <w:color w:val="auto"/>
          <w:kern w:val="0"/>
          <w:szCs w:val="21"/>
          <w:highlight w:val="none"/>
        </w:rPr>
        <w:t>） 提供的货物（或工程、服务）进行了验收，验收情况如下：</w:t>
      </w:r>
    </w:p>
    <w:tbl>
      <w:tblPr>
        <w:tblStyle w:val="24"/>
        <w:tblW w:w="84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31"/>
        <w:gridCol w:w="1921"/>
        <w:gridCol w:w="798"/>
        <w:gridCol w:w="102"/>
        <w:gridCol w:w="2002"/>
        <w:gridCol w:w="178"/>
        <w:gridCol w:w="685"/>
        <w:gridCol w:w="1428"/>
      </w:tblGrid>
      <w:tr w14:paraId="06D16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7" w:hRule="atLeast"/>
          <w:jc w:val="center"/>
        </w:trPr>
        <w:tc>
          <w:tcPr>
            <w:tcW w:w="3252" w:type="dxa"/>
            <w:gridSpan w:val="2"/>
            <w:tcBorders>
              <w:top w:val="single" w:color="000000" w:sz="8" w:space="0"/>
              <w:left w:val="single" w:color="000000" w:sz="8" w:space="0"/>
              <w:bottom w:val="single" w:color="000000" w:sz="8" w:space="0"/>
              <w:right w:val="single" w:color="000000" w:sz="8" w:space="0"/>
            </w:tcBorders>
            <w:vAlign w:val="center"/>
          </w:tcPr>
          <w:p w14:paraId="056D63D8">
            <w:pPr>
              <w:snapToGrid w:val="0"/>
              <w:spacing w:beforeAutospacing="1" w:afterAutospacing="1" w:line="320" w:lineRule="atLeast"/>
              <w:ind w:firstLine="5"/>
              <w:jc w:val="center"/>
              <w:rPr>
                <w:rStyle w:val="40"/>
                <w:rFonts w:ascii="宋体" w:hAnsi="宋体"/>
                <w:color w:val="auto"/>
                <w:kern w:val="0"/>
                <w:szCs w:val="21"/>
                <w:highlight w:val="none"/>
              </w:rPr>
            </w:pPr>
            <w:r>
              <w:rPr>
                <w:rStyle w:val="40"/>
                <w:rFonts w:ascii="宋体" w:hAnsi="宋体"/>
                <w:color w:val="auto"/>
                <w:kern w:val="0"/>
                <w:szCs w:val="21"/>
                <w:highlight w:val="none"/>
              </w:rPr>
              <w:t>验收方式：</w:t>
            </w:r>
          </w:p>
        </w:tc>
        <w:tc>
          <w:tcPr>
            <w:tcW w:w="5193" w:type="dxa"/>
            <w:gridSpan w:val="6"/>
            <w:tcBorders>
              <w:top w:val="single" w:color="000000" w:sz="8" w:space="0"/>
              <w:left w:val="nil"/>
              <w:bottom w:val="single" w:color="000000" w:sz="8" w:space="0"/>
              <w:right w:val="single" w:color="000000" w:sz="8" w:space="0"/>
            </w:tcBorders>
            <w:vAlign w:val="center"/>
          </w:tcPr>
          <w:p w14:paraId="6123333F">
            <w:pPr>
              <w:snapToGrid w:val="0"/>
              <w:spacing w:beforeAutospacing="1" w:afterAutospacing="1" w:line="320" w:lineRule="atLeast"/>
              <w:ind w:firstLine="480"/>
              <w:jc w:val="center"/>
              <w:rPr>
                <w:rStyle w:val="40"/>
                <w:rFonts w:ascii="宋体" w:hAnsi="宋体"/>
                <w:color w:val="auto"/>
                <w:kern w:val="0"/>
                <w:szCs w:val="21"/>
                <w:highlight w:val="none"/>
              </w:rPr>
            </w:pPr>
            <w:r>
              <w:rPr>
                <w:rStyle w:val="40"/>
                <w:rFonts w:ascii="宋体" w:hAnsi="宋体"/>
                <w:color w:val="auto"/>
                <w:kern w:val="0"/>
                <w:szCs w:val="21"/>
                <w:highlight w:val="none"/>
              </w:rPr>
              <w:t>□自行验收 □委托验收</w:t>
            </w:r>
          </w:p>
        </w:tc>
      </w:tr>
      <w:tr w14:paraId="3FEAC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331" w:type="dxa"/>
            <w:tcBorders>
              <w:top w:val="nil"/>
              <w:left w:val="single" w:color="000000" w:sz="8" w:space="0"/>
              <w:bottom w:val="single" w:color="000000" w:sz="8" w:space="0"/>
              <w:right w:val="single" w:color="000000" w:sz="8" w:space="0"/>
            </w:tcBorders>
            <w:vAlign w:val="center"/>
          </w:tcPr>
          <w:p w14:paraId="49103A1C">
            <w:pPr>
              <w:snapToGrid w:val="0"/>
              <w:spacing w:beforeAutospacing="1" w:afterAutospacing="1" w:line="320" w:lineRule="atLeast"/>
              <w:ind w:firstLine="2"/>
              <w:jc w:val="center"/>
              <w:rPr>
                <w:rStyle w:val="40"/>
                <w:rFonts w:ascii="宋体" w:hAnsi="宋体"/>
                <w:color w:val="auto"/>
                <w:kern w:val="0"/>
                <w:szCs w:val="21"/>
                <w:highlight w:val="none"/>
              </w:rPr>
            </w:pPr>
            <w:r>
              <w:rPr>
                <w:rStyle w:val="40"/>
                <w:rFonts w:ascii="宋体" w:hAnsi="宋体"/>
                <w:color w:val="auto"/>
                <w:kern w:val="0"/>
                <w:szCs w:val="21"/>
                <w:highlight w:val="none"/>
              </w:rPr>
              <w:t>序号</w:t>
            </w:r>
          </w:p>
        </w:tc>
        <w:tc>
          <w:tcPr>
            <w:tcW w:w="1921" w:type="dxa"/>
            <w:tcBorders>
              <w:top w:val="nil"/>
              <w:left w:val="nil"/>
              <w:bottom w:val="single" w:color="000000" w:sz="8" w:space="0"/>
              <w:right w:val="single" w:color="000000" w:sz="8" w:space="0"/>
            </w:tcBorders>
            <w:vAlign w:val="center"/>
          </w:tcPr>
          <w:p w14:paraId="1C6A233E">
            <w:pPr>
              <w:snapToGrid w:val="0"/>
              <w:spacing w:beforeAutospacing="1" w:afterAutospacing="1" w:line="320" w:lineRule="atLeast"/>
              <w:ind w:firstLine="2"/>
              <w:jc w:val="center"/>
              <w:rPr>
                <w:rStyle w:val="40"/>
                <w:rFonts w:ascii="宋体" w:hAnsi="宋体"/>
                <w:color w:val="auto"/>
                <w:kern w:val="0"/>
                <w:szCs w:val="21"/>
                <w:highlight w:val="none"/>
              </w:rPr>
            </w:pPr>
            <w:r>
              <w:rPr>
                <w:rStyle w:val="40"/>
                <w:rFonts w:ascii="宋体" w:hAnsi="宋体"/>
                <w:color w:val="auto"/>
                <w:kern w:val="0"/>
                <w:szCs w:val="21"/>
                <w:highlight w:val="none"/>
              </w:rPr>
              <w:t>名 称</w:t>
            </w:r>
          </w:p>
        </w:tc>
        <w:tc>
          <w:tcPr>
            <w:tcW w:w="2902" w:type="dxa"/>
            <w:gridSpan w:val="3"/>
            <w:tcBorders>
              <w:top w:val="nil"/>
              <w:left w:val="nil"/>
              <w:bottom w:val="single" w:color="000000" w:sz="8" w:space="0"/>
              <w:right w:val="single" w:color="000000" w:sz="8" w:space="0"/>
            </w:tcBorders>
            <w:vAlign w:val="center"/>
          </w:tcPr>
          <w:p w14:paraId="1E7E33E8">
            <w:pPr>
              <w:snapToGrid w:val="0"/>
              <w:spacing w:beforeAutospacing="1" w:afterAutospacing="1" w:line="320" w:lineRule="atLeast"/>
              <w:ind w:firstLine="2"/>
              <w:jc w:val="center"/>
              <w:rPr>
                <w:rStyle w:val="40"/>
                <w:rFonts w:ascii="宋体" w:hAnsi="宋体"/>
                <w:color w:val="auto"/>
                <w:kern w:val="0"/>
                <w:szCs w:val="21"/>
                <w:highlight w:val="none"/>
              </w:rPr>
            </w:pPr>
            <w:r>
              <w:rPr>
                <w:rStyle w:val="40"/>
                <w:rFonts w:ascii="宋体" w:hAnsi="宋体"/>
                <w:color w:val="auto"/>
                <w:kern w:val="0"/>
                <w:szCs w:val="21"/>
                <w:highlight w:val="none"/>
              </w:rPr>
              <w:t>货物型号规格、标准及配置等（或服务内容、标准）</w:t>
            </w:r>
          </w:p>
        </w:tc>
        <w:tc>
          <w:tcPr>
            <w:tcW w:w="863" w:type="dxa"/>
            <w:gridSpan w:val="2"/>
            <w:tcBorders>
              <w:top w:val="nil"/>
              <w:left w:val="nil"/>
              <w:bottom w:val="single" w:color="000000" w:sz="8" w:space="0"/>
              <w:right w:val="single" w:color="000000" w:sz="8" w:space="0"/>
            </w:tcBorders>
            <w:vAlign w:val="center"/>
          </w:tcPr>
          <w:p w14:paraId="7A3BD979">
            <w:pPr>
              <w:snapToGrid w:val="0"/>
              <w:spacing w:beforeAutospacing="1" w:afterAutospacing="1" w:line="320" w:lineRule="atLeast"/>
              <w:jc w:val="center"/>
              <w:rPr>
                <w:rStyle w:val="40"/>
                <w:rFonts w:ascii="宋体" w:hAnsi="宋体"/>
                <w:color w:val="auto"/>
                <w:kern w:val="0"/>
                <w:szCs w:val="21"/>
                <w:highlight w:val="none"/>
              </w:rPr>
            </w:pPr>
            <w:r>
              <w:rPr>
                <w:rStyle w:val="40"/>
                <w:rFonts w:ascii="宋体" w:hAnsi="宋体"/>
                <w:color w:val="auto"/>
                <w:kern w:val="0"/>
                <w:szCs w:val="21"/>
                <w:highlight w:val="none"/>
              </w:rPr>
              <w:t>数量</w:t>
            </w:r>
          </w:p>
        </w:tc>
        <w:tc>
          <w:tcPr>
            <w:tcW w:w="1428" w:type="dxa"/>
            <w:tcBorders>
              <w:top w:val="nil"/>
              <w:left w:val="nil"/>
              <w:bottom w:val="single" w:color="000000" w:sz="8" w:space="0"/>
              <w:right w:val="single" w:color="000000" w:sz="8" w:space="0"/>
            </w:tcBorders>
            <w:vAlign w:val="center"/>
          </w:tcPr>
          <w:p w14:paraId="648A03E5">
            <w:pPr>
              <w:snapToGrid w:val="0"/>
              <w:spacing w:beforeAutospacing="1" w:afterAutospacing="1" w:line="320" w:lineRule="atLeast"/>
              <w:ind w:firstLine="2"/>
              <w:jc w:val="center"/>
              <w:rPr>
                <w:rStyle w:val="40"/>
                <w:rFonts w:ascii="宋体" w:hAnsi="宋体"/>
                <w:color w:val="auto"/>
                <w:kern w:val="0"/>
                <w:szCs w:val="21"/>
                <w:highlight w:val="none"/>
              </w:rPr>
            </w:pPr>
            <w:r>
              <w:rPr>
                <w:rStyle w:val="40"/>
                <w:rFonts w:ascii="宋体" w:hAnsi="宋体"/>
                <w:color w:val="auto"/>
                <w:kern w:val="0"/>
                <w:szCs w:val="21"/>
                <w:highlight w:val="none"/>
              </w:rPr>
              <w:t>金 额</w:t>
            </w:r>
          </w:p>
        </w:tc>
      </w:tr>
      <w:tr w14:paraId="0ECE1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331" w:type="dxa"/>
            <w:tcBorders>
              <w:top w:val="nil"/>
              <w:left w:val="single" w:color="000000" w:sz="8" w:space="0"/>
              <w:bottom w:val="single" w:color="000000" w:sz="8" w:space="0"/>
              <w:right w:val="single" w:color="000000" w:sz="8" w:space="0"/>
            </w:tcBorders>
            <w:vAlign w:val="center"/>
          </w:tcPr>
          <w:p w14:paraId="43B69443">
            <w:pPr>
              <w:spacing w:beforeAutospacing="1" w:afterAutospacing="1" w:line="240" w:lineRule="atLeast"/>
              <w:jc w:val="center"/>
              <w:rPr>
                <w:rStyle w:val="40"/>
                <w:rFonts w:ascii="宋体" w:hAnsi="宋体"/>
                <w:color w:val="auto"/>
                <w:kern w:val="0"/>
                <w:szCs w:val="21"/>
                <w:highlight w:val="none"/>
              </w:rPr>
            </w:pPr>
          </w:p>
        </w:tc>
        <w:tc>
          <w:tcPr>
            <w:tcW w:w="1921" w:type="dxa"/>
            <w:tcBorders>
              <w:top w:val="nil"/>
              <w:left w:val="nil"/>
              <w:bottom w:val="single" w:color="000000" w:sz="8" w:space="0"/>
              <w:right w:val="single" w:color="000000" w:sz="8" w:space="0"/>
            </w:tcBorders>
            <w:vAlign w:val="center"/>
          </w:tcPr>
          <w:p w14:paraId="0F0618D6">
            <w:pPr>
              <w:spacing w:beforeAutospacing="1" w:afterAutospacing="1" w:line="240" w:lineRule="atLeast"/>
              <w:jc w:val="center"/>
              <w:rPr>
                <w:rStyle w:val="40"/>
                <w:rFonts w:ascii="宋体" w:hAnsi="宋体"/>
                <w:color w:val="auto"/>
                <w:kern w:val="0"/>
                <w:szCs w:val="21"/>
                <w:highlight w:val="none"/>
              </w:rPr>
            </w:pPr>
          </w:p>
        </w:tc>
        <w:tc>
          <w:tcPr>
            <w:tcW w:w="2902" w:type="dxa"/>
            <w:gridSpan w:val="3"/>
            <w:tcBorders>
              <w:top w:val="nil"/>
              <w:left w:val="nil"/>
              <w:bottom w:val="single" w:color="000000" w:sz="8" w:space="0"/>
              <w:right w:val="single" w:color="000000" w:sz="8" w:space="0"/>
            </w:tcBorders>
            <w:vAlign w:val="center"/>
          </w:tcPr>
          <w:p w14:paraId="24C58B75">
            <w:pPr>
              <w:spacing w:beforeAutospacing="1" w:afterAutospacing="1" w:line="240" w:lineRule="atLeast"/>
              <w:jc w:val="center"/>
              <w:rPr>
                <w:rStyle w:val="40"/>
                <w:rFonts w:ascii="宋体" w:hAnsi="宋体"/>
                <w:color w:val="auto"/>
                <w:kern w:val="0"/>
                <w:szCs w:val="21"/>
                <w:highlight w:val="none"/>
              </w:rPr>
            </w:pPr>
          </w:p>
        </w:tc>
        <w:tc>
          <w:tcPr>
            <w:tcW w:w="863" w:type="dxa"/>
            <w:gridSpan w:val="2"/>
            <w:tcBorders>
              <w:top w:val="nil"/>
              <w:left w:val="nil"/>
              <w:bottom w:val="single" w:color="000000" w:sz="8" w:space="0"/>
              <w:right w:val="single" w:color="000000" w:sz="8" w:space="0"/>
            </w:tcBorders>
            <w:vAlign w:val="center"/>
          </w:tcPr>
          <w:p w14:paraId="1B6C8D26">
            <w:pPr>
              <w:spacing w:beforeAutospacing="1" w:afterAutospacing="1" w:line="240" w:lineRule="atLeast"/>
              <w:jc w:val="center"/>
              <w:rPr>
                <w:rStyle w:val="40"/>
                <w:rFonts w:ascii="宋体" w:hAnsi="宋体"/>
                <w:color w:val="auto"/>
                <w:kern w:val="0"/>
                <w:szCs w:val="21"/>
                <w:highlight w:val="none"/>
              </w:rPr>
            </w:pPr>
          </w:p>
        </w:tc>
        <w:tc>
          <w:tcPr>
            <w:tcW w:w="1428" w:type="dxa"/>
            <w:tcBorders>
              <w:top w:val="nil"/>
              <w:left w:val="nil"/>
              <w:bottom w:val="single" w:color="000000" w:sz="8" w:space="0"/>
              <w:right w:val="single" w:color="000000" w:sz="8" w:space="0"/>
            </w:tcBorders>
            <w:vAlign w:val="center"/>
          </w:tcPr>
          <w:p w14:paraId="38B6EB1D">
            <w:pPr>
              <w:spacing w:beforeAutospacing="1" w:afterAutospacing="1" w:line="240" w:lineRule="atLeast"/>
              <w:jc w:val="center"/>
              <w:rPr>
                <w:rStyle w:val="40"/>
                <w:rFonts w:ascii="宋体" w:hAnsi="宋体"/>
                <w:color w:val="auto"/>
                <w:kern w:val="0"/>
                <w:szCs w:val="21"/>
                <w:highlight w:val="none"/>
              </w:rPr>
            </w:pPr>
          </w:p>
        </w:tc>
      </w:tr>
      <w:tr w14:paraId="0D36E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331" w:type="dxa"/>
            <w:tcBorders>
              <w:top w:val="nil"/>
              <w:left w:val="single" w:color="000000" w:sz="8" w:space="0"/>
              <w:bottom w:val="single" w:color="000000" w:sz="8" w:space="0"/>
              <w:right w:val="single" w:color="000000" w:sz="8" w:space="0"/>
            </w:tcBorders>
            <w:vAlign w:val="center"/>
          </w:tcPr>
          <w:p w14:paraId="104C0206">
            <w:pPr>
              <w:spacing w:beforeAutospacing="1" w:afterAutospacing="1" w:line="240" w:lineRule="atLeast"/>
              <w:jc w:val="center"/>
              <w:rPr>
                <w:rStyle w:val="40"/>
                <w:rFonts w:ascii="宋体" w:hAnsi="宋体"/>
                <w:color w:val="auto"/>
                <w:kern w:val="0"/>
                <w:szCs w:val="21"/>
                <w:highlight w:val="none"/>
              </w:rPr>
            </w:pPr>
          </w:p>
        </w:tc>
        <w:tc>
          <w:tcPr>
            <w:tcW w:w="1921" w:type="dxa"/>
            <w:tcBorders>
              <w:top w:val="nil"/>
              <w:left w:val="nil"/>
              <w:bottom w:val="single" w:color="000000" w:sz="8" w:space="0"/>
              <w:right w:val="single" w:color="000000" w:sz="8" w:space="0"/>
            </w:tcBorders>
            <w:vAlign w:val="center"/>
          </w:tcPr>
          <w:p w14:paraId="7EC21053">
            <w:pPr>
              <w:spacing w:beforeAutospacing="1" w:afterAutospacing="1" w:line="240" w:lineRule="atLeast"/>
              <w:jc w:val="center"/>
              <w:rPr>
                <w:rStyle w:val="40"/>
                <w:rFonts w:ascii="宋体" w:hAnsi="宋体"/>
                <w:color w:val="auto"/>
                <w:kern w:val="0"/>
                <w:szCs w:val="21"/>
                <w:highlight w:val="none"/>
              </w:rPr>
            </w:pPr>
          </w:p>
        </w:tc>
        <w:tc>
          <w:tcPr>
            <w:tcW w:w="2902" w:type="dxa"/>
            <w:gridSpan w:val="3"/>
            <w:tcBorders>
              <w:top w:val="nil"/>
              <w:left w:val="nil"/>
              <w:bottom w:val="single" w:color="000000" w:sz="8" w:space="0"/>
              <w:right w:val="single" w:color="000000" w:sz="8" w:space="0"/>
            </w:tcBorders>
            <w:vAlign w:val="center"/>
          </w:tcPr>
          <w:p w14:paraId="05EF853C">
            <w:pPr>
              <w:spacing w:beforeAutospacing="1" w:afterAutospacing="1" w:line="240" w:lineRule="atLeast"/>
              <w:jc w:val="center"/>
              <w:rPr>
                <w:rStyle w:val="40"/>
                <w:rFonts w:ascii="宋体" w:hAnsi="宋体"/>
                <w:color w:val="auto"/>
                <w:kern w:val="0"/>
                <w:szCs w:val="21"/>
                <w:highlight w:val="none"/>
              </w:rPr>
            </w:pPr>
          </w:p>
        </w:tc>
        <w:tc>
          <w:tcPr>
            <w:tcW w:w="863" w:type="dxa"/>
            <w:gridSpan w:val="2"/>
            <w:tcBorders>
              <w:top w:val="nil"/>
              <w:left w:val="nil"/>
              <w:bottom w:val="single" w:color="000000" w:sz="8" w:space="0"/>
              <w:right w:val="single" w:color="000000" w:sz="8" w:space="0"/>
            </w:tcBorders>
            <w:vAlign w:val="center"/>
          </w:tcPr>
          <w:p w14:paraId="21C68B20">
            <w:pPr>
              <w:spacing w:beforeAutospacing="1" w:afterAutospacing="1" w:line="240" w:lineRule="atLeast"/>
              <w:jc w:val="center"/>
              <w:rPr>
                <w:rStyle w:val="40"/>
                <w:rFonts w:ascii="宋体" w:hAnsi="宋体"/>
                <w:color w:val="auto"/>
                <w:kern w:val="0"/>
                <w:szCs w:val="21"/>
                <w:highlight w:val="none"/>
              </w:rPr>
            </w:pPr>
          </w:p>
        </w:tc>
        <w:tc>
          <w:tcPr>
            <w:tcW w:w="1428" w:type="dxa"/>
            <w:tcBorders>
              <w:top w:val="nil"/>
              <w:left w:val="nil"/>
              <w:bottom w:val="single" w:color="000000" w:sz="8" w:space="0"/>
              <w:right w:val="single" w:color="000000" w:sz="8" w:space="0"/>
            </w:tcBorders>
            <w:vAlign w:val="center"/>
          </w:tcPr>
          <w:p w14:paraId="570171B7">
            <w:pPr>
              <w:spacing w:beforeAutospacing="1" w:afterAutospacing="1" w:line="240" w:lineRule="atLeast"/>
              <w:jc w:val="center"/>
              <w:rPr>
                <w:rStyle w:val="40"/>
                <w:rFonts w:ascii="宋体" w:hAnsi="宋体"/>
                <w:color w:val="auto"/>
                <w:kern w:val="0"/>
                <w:szCs w:val="21"/>
                <w:highlight w:val="none"/>
              </w:rPr>
            </w:pPr>
          </w:p>
        </w:tc>
      </w:tr>
      <w:tr w14:paraId="4F6E6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7" w:hRule="atLeast"/>
          <w:jc w:val="center"/>
        </w:trPr>
        <w:tc>
          <w:tcPr>
            <w:tcW w:w="1331" w:type="dxa"/>
            <w:tcBorders>
              <w:top w:val="nil"/>
              <w:left w:val="single" w:color="000000" w:sz="8" w:space="0"/>
              <w:bottom w:val="single" w:color="000000" w:sz="8" w:space="0"/>
              <w:right w:val="single" w:color="000000" w:sz="8" w:space="0"/>
            </w:tcBorders>
            <w:vAlign w:val="center"/>
          </w:tcPr>
          <w:p w14:paraId="16B110FB">
            <w:pPr>
              <w:spacing w:beforeAutospacing="1" w:afterAutospacing="1" w:line="240" w:lineRule="atLeast"/>
              <w:jc w:val="center"/>
              <w:rPr>
                <w:rStyle w:val="40"/>
                <w:rFonts w:ascii="宋体" w:hAnsi="宋体"/>
                <w:color w:val="auto"/>
                <w:kern w:val="0"/>
                <w:szCs w:val="21"/>
                <w:highlight w:val="none"/>
              </w:rPr>
            </w:pPr>
          </w:p>
        </w:tc>
        <w:tc>
          <w:tcPr>
            <w:tcW w:w="1921" w:type="dxa"/>
            <w:tcBorders>
              <w:top w:val="nil"/>
              <w:left w:val="nil"/>
              <w:bottom w:val="single" w:color="000000" w:sz="8" w:space="0"/>
              <w:right w:val="single" w:color="000000" w:sz="8" w:space="0"/>
            </w:tcBorders>
            <w:vAlign w:val="center"/>
          </w:tcPr>
          <w:p w14:paraId="0255BBB4">
            <w:pPr>
              <w:spacing w:beforeAutospacing="1" w:afterAutospacing="1" w:line="240" w:lineRule="atLeast"/>
              <w:jc w:val="center"/>
              <w:rPr>
                <w:rStyle w:val="40"/>
                <w:rFonts w:ascii="宋体" w:hAnsi="宋体"/>
                <w:color w:val="auto"/>
                <w:kern w:val="0"/>
                <w:szCs w:val="21"/>
                <w:highlight w:val="none"/>
              </w:rPr>
            </w:pPr>
          </w:p>
        </w:tc>
        <w:tc>
          <w:tcPr>
            <w:tcW w:w="2902" w:type="dxa"/>
            <w:gridSpan w:val="3"/>
            <w:tcBorders>
              <w:top w:val="nil"/>
              <w:left w:val="nil"/>
              <w:bottom w:val="single" w:color="000000" w:sz="8" w:space="0"/>
              <w:right w:val="single" w:color="000000" w:sz="8" w:space="0"/>
            </w:tcBorders>
            <w:vAlign w:val="center"/>
          </w:tcPr>
          <w:p w14:paraId="68D655C0">
            <w:pPr>
              <w:spacing w:beforeAutospacing="1" w:afterAutospacing="1" w:line="240" w:lineRule="atLeast"/>
              <w:jc w:val="center"/>
              <w:rPr>
                <w:rStyle w:val="40"/>
                <w:rFonts w:ascii="宋体" w:hAnsi="宋体"/>
                <w:color w:val="auto"/>
                <w:kern w:val="0"/>
                <w:szCs w:val="21"/>
                <w:highlight w:val="none"/>
              </w:rPr>
            </w:pPr>
          </w:p>
        </w:tc>
        <w:tc>
          <w:tcPr>
            <w:tcW w:w="863" w:type="dxa"/>
            <w:gridSpan w:val="2"/>
            <w:tcBorders>
              <w:top w:val="nil"/>
              <w:left w:val="nil"/>
              <w:bottom w:val="single" w:color="000000" w:sz="8" w:space="0"/>
              <w:right w:val="single" w:color="000000" w:sz="8" w:space="0"/>
            </w:tcBorders>
            <w:vAlign w:val="center"/>
          </w:tcPr>
          <w:p w14:paraId="753A1616">
            <w:pPr>
              <w:spacing w:beforeAutospacing="1" w:afterAutospacing="1" w:line="240" w:lineRule="atLeast"/>
              <w:jc w:val="center"/>
              <w:rPr>
                <w:rStyle w:val="40"/>
                <w:rFonts w:ascii="宋体" w:hAnsi="宋体"/>
                <w:color w:val="auto"/>
                <w:kern w:val="0"/>
                <w:szCs w:val="21"/>
                <w:highlight w:val="none"/>
              </w:rPr>
            </w:pPr>
          </w:p>
        </w:tc>
        <w:tc>
          <w:tcPr>
            <w:tcW w:w="1428" w:type="dxa"/>
            <w:tcBorders>
              <w:top w:val="nil"/>
              <w:left w:val="nil"/>
              <w:bottom w:val="single" w:color="000000" w:sz="8" w:space="0"/>
              <w:right w:val="single" w:color="000000" w:sz="8" w:space="0"/>
            </w:tcBorders>
            <w:vAlign w:val="center"/>
          </w:tcPr>
          <w:p w14:paraId="61CB9996">
            <w:pPr>
              <w:spacing w:beforeAutospacing="1" w:afterAutospacing="1" w:line="240" w:lineRule="atLeast"/>
              <w:jc w:val="center"/>
              <w:rPr>
                <w:rStyle w:val="40"/>
                <w:rFonts w:ascii="宋体" w:hAnsi="宋体"/>
                <w:color w:val="auto"/>
                <w:kern w:val="0"/>
                <w:szCs w:val="21"/>
                <w:highlight w:val="none"/>
              </w:rPr>
            </w:pPr>
          </w:p>
        </w:tc>
      </w:tr>
      <w:tr w14:paraId="5F770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6154" w:type="dxa"/>
            <w:gridSpan w:val="5"/>
            <w:tcBorders>
              <w:top w:val="nil"/>
              <w:left w:val="single" w:color="000000" w:sz="8" w:space="0"/>
              <w:bottom w:val="single" w:color="000000" w:sz="8" w:space="0"/>
              <w:right w:val="single" w:color="000000" w:sz="8" w:space="0"/>
            </w:tcBorders>
            <w:vAlign w:val="center"/>
          </w:tcPr>
          <w:p w14:paraId="57972F07">
            <w:pPr>
              <w:snapToGrid w:val="0"/>
              <w:spacing w:beforeAutospacing="1" w:afterAutospacing="1" w:line="320" w:lineRule="atLeast"/>
              <w:ind w:firstLine="5"/>
              <w:jc w:val="center"/>
              <w:rPr>
                <w:rStyle w:val="40"/>
                <w:rFonts w:ascii="宋体" w:hAnsi="宋体"/>
                <w:color w:val="auto"/>
                <w:kern w:val="0"/>
                <w:szCs w:val="21"/>
                <w:highlight w:val="none"/>
              </w:rPr>
            </w:pPr>
            <w:r>
              <w:rPr>
                <w:rStyle w:val="40"/>
                <w:rFonts w:ascii="宋体" w:hAnsi="宋体"/>
                <w:color w:val="auto"/>
                <w:kern w:val="0"/>
                <w:szCs w:val="21"/>
                <w:highlight w:val="none"/>
              </w:rPr>
              <w:t>合 计</w:t>
            </w:r>
          </w:p>
        </w:tc>
        <w:tc>
          <w:tcPr>
            <w:tcW w:w="863" w:type="dxa"/>
            <w:gridSpan w:val="2"/>
            <w:tcBorders>
              <w:top w:val="nil"/>
              <w:left w:val="nil"/>
              <w:bottom w:val="single" w:color="000000" w:sz="8" w:space="0"/>
              <w:right w:val="single" w:color="000000" w:sz="8" w:space="0"/>
            </w:tcBorders>
            <w:vAlign w:val="center"/>
          </w:tcPr>
          <w:p w14:paraId="2AA089F8">
            <w:pPr>
              <w:spacing w:beforeAutospacing="1" w:afterAutospacing="1" w:line="240" w:lineRule="atLeast"/>
              <w:jc w:val="center"/>
              <w:rPr>
                <w:rStyle w:val="40"/>
                <w:rFonts w:ascii="宋体" w:hAnsi="宋体"/>
                <w:color w:val="auto"/>
                <w:kern w:val="0"/>
                <w:szCs w:val="21"/>
                <w:highlight w:val="none"/>
              </w:rPr>
            </w:pPr>
          </w:p>
        </w:tc>
        <w:tc>
          <w:tcPr>
            <w:tcW w:w="1428" w:type="dxa"/>
            <w:tcBorders>
              <w:top w:val="nil"/>
              <w:left w:val="nil"/>
              <w:bottom w:val="single" w:color="000000" w:sz="8" w:space="0"/>
              <w:right w:val="single" w:color="000000" w:sz="8" w:space="0"/>
            </w:tcBorders>
            <w:vAlign w:val="center"/>
          </w:tcPr>
          <w:p w14:paraId="09C2CEC0">
            <w:pPr>
              <w:spacing w:beforeAutospacing="1" w:afterAutospacing="1" w:line="240" w:lineRule="atLeast"/>
              <w:jc w:val="center"/>
              <w:rPr>
                <w:rStyle w:val="40"/>
                <w:rFonts w:ascii="宋体" w:hAnsi="宋体"/>
                <w:color w:val="auto"/>
                <w:kern w:val="0"/>
                <w:szCs w:val="21"/>
                <w:highlight w:val="none"/>
              </w:rPr>
            </w:pPr>
          </w:p>
        </w:tc>
      </w:tr>
      <w:tr w14:paraId="79051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1" w:hRule="atLeast"/>
          <w:jc w:val="center"/>
        </w:trPr>
        <w:tc>
          <w:tcPr>
            <w:tcW w:w="8445" w:type="dxa"/>
            <w:gridSpan w:val="8"/>
            <w:tcBorders>
              <w:top w:val="nil"/>
              <w:left w:val="single" w:color="000000" w:sz="8" w:space="0"/>
              <w:bottom w:val="single" w:color="000000" w:sz="8" w:space="0"/>
              <w:right w:val="single" w:color="000000" w:sz="8" w:space="0"/>
            </w:tcBorders>
            <w:vAlign w:val="center"/>
          </w:tcPr>
          <w:p w14:paraId="3100156E">
            <w:pPr>
              <w:snapToGrid w:val="0"/>
              <w:spacing w:beforeAutospacing="1" w:afterAutospacing="1" w:line="320" w:lineRule="atLeast"/>
              <w:ind w:firstLine="2"/>
              <w:jc w:val="left"/>
              <w:rPr>
                <w:rStyle w:val="40"/>
                <w:rFonts w:ascii="宋体" w:hAnsi="宋体"/>
                <w:color w:val="auto"/>
                <w:kern w:val="0"/>
                <w:szCs w:val="21"/>
                <w:highlight w:val="none"/>
              </w:rPr>
            </w:pPr>
            <w:r>
              <w:rPr>
                <w:rStyle w:val="40"/>
                <w:rFonts w:ascii="宋体" w:hAnsi="宋体"/>
                <w:color w:val="auto"/>
                <w:kern w:val="0"/>
                <w:szCs w:val="21"/>
                <w:highlight w:val="none"/>
              </w:rPr>
              <w:t>合计大写金额： 仟 佰 拾 万 仟 佰 拾 元</w:t>
            </w:r>
          </w:p>
        </w:tc>
      </w:tr>
      <w:tr w14:paraId="44D0B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1" w:hRule="atLeast"/>
          <w:jc w:val="center"/>
        </w:trPr>
        <w:tc>
          <w:tcPr>
            <w:tcW w:w="1331" w:type="dxa"/>
            <w:tcBorders>
              <w:top w:val="nil"/>
              <w:left w:val="single" w:color="000000" w:sz="8" w:space="0"/>
              <w:bottom w:val="single" w:color="000000" w:sz="8" w:space="0"/>
              <w:right w:val="single" w:color="000000" w:sz="8" w:space="0"/>
            </w:tcBorders>
            <w:vAlign w:val="center"/>
          </w:tcPr>
          <w:p w14:paraId="2F15C222">
            <w:pPr>
              <w:snapToGrid w:val="0"/>
              <w:spacing w:beforeAutospacing="1" w:afterAutospacing="1" w:line="320" w:lineRule="atLeast"/>
              <w:ind w:firstLine="2"/>
              <w:jc w:val="center"/>
              <w:rPr>
                <w:rStyle w:val="40"/>
                <w:rFonts w:ascii="宋体" w:hAnsi="宋体"/>
                <w:color w:val="auto"/>
                <w:kern w:val="0"/>
                <w:szCs w:val="21"/>
                <w:highlight w:val="none"/>
              </w:rPr>
            </w:pPr>
            <w:r>
              <w:rPr>
                <w:rStyle w:val="40"/>
                <w:rFonts w:ascii="宋体" w:hAnsi="宋体"/>
                <w:color w:val="auto"/>
                <w:kern w:val="0"/>
                <w:szCs w:val="21"/>
                <w:highlight w:val="none"/>
              </w:rPr>
              <w:t>实际供货日期</w:t>
            </w:r>
          </w:p>
        </w:tc>
        <w:tc>
          <w:tcPr>
            <w:tcW w:w="2719" w:type="dxa"/>
            <w:gridSpan w:val="2"/>
            <w:tcBorders>
              <w:top w:val="nil"/>
              <w:left w:val="nil"/>
              <w:bottom w:val="single" w:color="000000" w:sz="8" w:space="0"/>
              <w:right w:val="single" w:color="000000" w:sz="8" w:space="0"/>
            </w:tcBorders>
            <w:vAlign w:val="center"/>
          </w:tcPr>
          <w:p w14:paraId="17A43A1D">
            <w:pPr>
              <w:spacing w:beforeAutospacing="1" w:afterAutospacing="1" w:line="240" w:lineRule="atLeast"/>
              <w:jc w:val="center"/>
              <w:rPr>
                <w:rStyle w:val="40"/>
                <w:rFonts w:ascii="宋体" w:hAnsi="宋体"/>
                <w:color w:val="auto"/>
                <w:kern w:val="0"/>
                <w:szCs w:val="21"/>
                <w:highlight w:val="none"/>
              </w:rPr>
            </w:pPr>
          </w:p>
        </w:tc>
        <w:tc>
          <w:tcPr>
            <w:tcW w:w="2282" w:type="dxa"/>
            <w:gridSpan w:val="3"/>
            <w:tcBorders>
              <w:top w:val="nil"/>
              <w:left w:val="nil"/>
              <w:bottom w:val="single" w:color="000000" w:sz="8" w:space="0"/>
              <w:right w:val="single" w:color="000000" w:sz="8" w:space="0"/>
            </w:tcBorders>
            <w:vAlign w:val="center"/>
          </w:tcPr>
          <w:p w14:paraId="6B6AA19A">
            <w:pPr>
              <w:snapToGrid w:val="0"/>
              <w:spacing w:beforeAutospacing="1" w:afterAutospacing="1" w:line="320" w:lineRule="atLeast"/>
              <w:ind w:firstLine="46"/>
              <w:jc w:val="center"/>
              <w:rPr>
                <w:rStyle w:val="40"/>
                <w:rFonts w:ascii="宋体" w:hAnsi="宋体"/>
                <w:color w:val="auto"/>
                <w:kern w:val="0"/>
                <w:szCs w:val="21"/>
                <w:highlight w:val="none"/>
              </w:rPr>
            </w:pPr>
            <w:r>
              <w:rPr>
                <w:rStyle w:val="40"/>
                <w:rFonts w:ascii="宋体" w:hAnsi="宋体"/>
                <w:color w:val="auto"/>
                <w:kern w:val="0"/>
                <w:szCs w:val="21"/>
                <w:highlight w:val="none"/>
              </w:rPr>
              <w:t>合同交货验收日期</w:t>
            </w:r>
          </w:p>
        </w:tc>
        <w:tc>
          <w:tcPr>
            <w:tcW w:w="2113" w:type="dxa"/>
            <w:gridSpan w:val="2"/>
            <w:tcBorders>
              <w:top w:val="nil"/>
              <w:left w:val="nil"/>
              <w:bottom w:val="single" w:color="000000" w:sz="8" w:space="0"/>
              <w:right w:val="single" w:color="000000" w:sz="8" w:space="0"/>
            </w:tcBorders>
            <w:vAlign w:val="center"/>
          </w:tcPr>
          <w:p w14:paraId="5BF5CD49">
            <w:pPr>
              <w:spacing w:beforeAutospacing="1" w:afterAutospacing="1" w:line="240" w:lineRule="atLeast"/>
              <w:jc w:val="center"/>
              <w:rPr>
                <w:rStyle w:val="40"/>
                <w:rFonts w:ascii="宋体" w:hAnsi="宋体"/>
                <w:color w:val="auto"/>
                <w:kern w:val="0"/>
                <w:szCs w:val="21"/>
                <w:highlight w:val="none"/>
              </w:rPr>
            </w:pPr>
          </w:p>
        </w:tc>
      </w:tr>
      <w:tr w14:paraId="0084B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jc w:val="center"/>
        </w:trPr>
        <w:tc>
          <w:tcPr>
            <w:tcW w:w="1331" w:type="dxa"/>
            <w:tcBorders>
              <w:top w:val="nil"/>
              <w:left w:val="single" w:color="000000" w:sz="8" w:space="0"/>
              <w:bottom w:val="single" w:color="000000" w:sz="8" w:space="0"/>
              <w:right w:val="single" w:color="000000" w:sz="8" w:space="0"/>
            </w:tcBorders>
            <w:vAlign w:val="center"/>
          </w:tcPr>
          <w:p w14:paraId="6F1DA649">
            <w:pPr>
              <w:spacing w:beforeAutospacing="1" w:afterAutospacing="1" w:line="240" w:lineRule="atLeast"/>
              <w:jc w:val="center"/>
              <w:rPr>
                <w:rStyle w:val="40"/>
                <w:rFonts w:ascii="宋体" w:hAnsi="宋体"/>
                <w:color w:val="auto"/>
                <w:kern w:val="0"/>
                <w:szCs w:val="21"/>
                <w:highlight w:val="none"/>
              </w:rPr>
            </w:pPr>
          </w:p>
        </w:tc>
        <w:tc>
          <w:tcPr>
            <w:tcW w:w="2719" w:type="dxa"/>
            <w:gridSpan w:val="2"/>
            <w:tcBorders>
              <w:top w:val="nil"/>
              <w:left w:val="nil"/>
              <w:bottom w:val="single" w:color="000000" w:sz="8" w:space="0"/>
              <w:right w:val="single" w:color="000000" w:sz="8" w:space="0"/>
            </w:tcBorders>
            <w:vAlign w:val="center"/>
          </w:tcPr>
          <w:p w14:paraId="3251FC90">
            <w:pPr>
              <w:spacing w:beforeAutospacing="1" w:afterAutospacing="1" w:line="240" w:lineRule="atLeast"/>
              <w:jc w:val="center"/>
              <w:rPr>
                <w:rStyle w:val="40"/>
                <w:rFonts w:ascii="宋体" w:hAnsi="宋体"/>
                <w:color w:val="auto"/>
                <w:kern w:val="0"/>
                <w:szCs w:val="21"/>
                <w:highlight w:val="none"/>
              </w:rPr>
            </w:pPr>
          </w:p>
        </w:tc>
        <w:tc>
          <w:tcPr>
            <w:tcW w:w="2282" w:type="dxa"/>
            <w:gridSpan w:val="3"/>
            <w:tcBorders>
              <w:top w:val="nil"/>
              <w:left w:val="nil"/>
              <w:bottom w:val="single" w:color="000000" w:sz="8" w:space="0"/>
              <w:right w:val="single" w:color="000000" w:sz="8" w:space="0"/>
            </w:tcBorders>
            <w:vAlign w:val="center"/>
          </w:tcPr>
          <w:p w14:paraId="0BAE6BCC">
            <w:pPr>
              <w:spacing w:beforeAutospacing="1" w:afterAutospacing="1" w:line="240" w:lineRule="atLeast"/>
              <w:jc w:val="center"/>
              <w:rPr>
                <w:rStyle w:val="40"/>
                <w:rFonts w:ascii="宋体" w:hAnsi="宋体"/>
                <w:color w:val="auto"/>
                <w:kern w:val="0"/>
                <w:szCs w:val="21"/>
                <w:highlight w:val="none"/>
              </w:rPr>
            </w:pPr>
          </w:p>
        </w:tc>
        <w:tc>
          <w:tcPr>
            <w:tcW w:w="2113" w:type="dxa"/>
            <w:gridSpan w:val="2"/>
            <w:tcBorders>
              <w:top w:val="nil"/>
              <w:left w:val="nil"/>
              <w:bottom w:val="single" w:color="000000" w:sz="8" w:space="0"/>
              <w:right w:val="single" w:color="000000" w:sz="8" w:space="0"/>
            </w:tcBorders>
            <w:vAlign w:val="center"/>
          </w:tcPr>
          <w:p w14:paraId="6CE72FA0">
            <w:pPr>
              <w:spacing w:beforeAutospacing="1" w:afterAutospacing="1" w:line="240" w:lineRule="atLeast"/>
              <w:jc w:val="center"/>
              <w:rPr>
                <w:rStyle w:val="40"/>
                <w:rFonts w:ascii="宋体" w:hAnsi="宋体"/>
                <w:color w:val="auto"/>
                <w:kern w:val="0"/>
                <w:szCs w:val="21"/>
                <w:highlight w:val="none"/>
              </w:rPr>
            </w:pPr>
          </w:p>
        </w:tc>
      </w:tr>
      <w:tr w14:paraId="0E3A9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3" w:hRule="atLeast"/>
          <w:jc w:val="center"/>
        </w:trPr>
        <w:tc>
          <w:tcPr>
            <w:tcW w:w="1331" w:type="dxa"/>
            <w:tcBorders>
              <w:top w:val="nil"/>
              <w:left w:val="single" w:color="000000" w:sz="8" w:space="0"/>
              <w:bottom w:val="single" w:color="000000" w:sz="8" w:space="0"/>
              <w:right w:val="single" w:color="000000" w:sz="8" w:space="0"/>
            </w:tcBorders>
            <w:vAlign w:val="center"/>
          </w:tcPr>
          <w:p w14:paraId="7CDCBBD7">
            <w:pPr>
              <w:snapToGrid w:val="0"/>
              <w:spacing w:beforeAutospacing="1" w:afterAutospacing="1" w:line="320" w:lineRule="atLeast"/>
              <w:jc w:val="left"/>
              <w:rPr>
                <w:rStyle w:val="40"/>
                <w:rFonts w:ascii="宋体" w:hAnsi="宋体"/>
                <w:color w:val="auto"/>
                <w:kern w:val="0"/>
                <w:szCs w:val="21"/>
                <w:highlight w:val="none"/>
              </w:rPr>
            </w:pPr>
            <w:r>
              <w:rPr>
                <w:rStyle w:val="40"/>
                <w:rFonts w:ascii="宋体" w:hAnsi="宋体"/>
                <w:color w:val="auto"/>
                <w:kern w:val="0"/>
                <w:szCs w:val="21"/>
                <w:highlight w:val="none"/>
              </w:rPr>
              <w:t>验收具体内容</w:t>
            </w:r>
          </w:p>
        </w:tc>
        <w:tc>
          <w:tcPr>
            <w:tcW w:w="7114" w:type="dxa"/>
            <w:gridSpan w:val="7"/>
            <w:tcBorders>
              <w:top w:val="nil"/>
              <w:left w:val="nil"/>
              <w:bottom w:val="single" w:color="000000" w:sz="8" w:space="0"/>
              <w:right w:val="single" w:color="000000" w:sz="8" w:space="0"/>
            </w:tcBorders>
            <w:vAlign w:val="center"/>
          </w:tcPr>
          <w:p w14:paraId="47F746E3">
            <w:pPr>
              <w:snapToGrid w:val="0"/>
              <w:spacing w:beforeAutospacing="1" w:afterAutospacing="1" w:line="320" w:lineRule="atLeast"/>
              <w:jc w:val="left"/>
              <w:rPr>
                <w:rStyle w:val="40"/>
                <w:rFonts w:ascii="宋体" w:hAnsi="宋体"/>
                <w:color w:val="auto"/>
                <w:kern w:val="0"/>
                <w:szCs w:val="21"/>
                <w:highlight w:val="none"/>
              </w:rPr>
            </w:pPr>
            <w:r>
              <w:rPr>
                <w:rStyle w:val="40"/>
                <w:rFonts w:ascii="宋体" w:hAnsi="宋体"/>
                <w:color w:val="auto"/>
                <w:kern w:val="0"/>
                <w:szCs w:val="21"/>
                <w:highlight w:val="none"/>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59F0F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81" w:hRule="atLeast"/>
          <w:jc w:val="center"/>
        </w:trPr>
        <w:tc>
          <w:tcPr>
            <w:tcW w:w="1331" w:type="dxa"/>
            <w:vMerge w:val="restart"/>
            <w:tcBorders>
              <w:top w:val="nil"/>
              <w:left w:val="single" w:color="000000" w:sz="8" w:space="0"/>
              <w:bottom w:val="single" w:color="000000" w:sz="8" w:space="0"/>
              <w:right w:val="single" w:color="000000" w:sz="8" w:space="0"/>
            </w:tcBorders>
            <w:vAlign w:val="center"/>
          </w:tcPr>
          <w:p w14:paraId="73132D7D">
            <w:pPr>
              <w:spacing w:beforeAutospacing="1" w:afterAutospacing="1" w:line="320" w:lineRule="atLeast"/>
              <w:jc w:val="left"/>
              <w:rPr>
                <w:rStyle w:val="40"/>
                <w:rFonts w:ascii="宋体" w:hAnsi="宋体"/>
                <w:color w:val="auto"/>
                <w:kern w:val="0"/>
                <w:szCs w:val="21"/>
                <w:highlight w:val="none"/>
              </w:rPr>
            </w:pPr>
            <w:r>
              <w:rPr>
                <w:rStyle w:val="40"/>
                <w:rFonts w:ascii="宋体" w:hAnsi="宋体"/>
                <w:color w:val="auto"/>
                <w:kern w:val="0"/>
                <w:szCs w:val="21"/>
                <w:highlight w:val="none"/>
              </w:rPr>
              <w:t>验收小组意见</w:t>
            </w:r>
          </w:p>
        </w:tc>
        <w:tc>
          <w:tcPr>
            <w:tcW w:w="7114" w:type="dxa"/>
            <w:gridSpan w:val="7"/>
            <w:tcBorders>
              <w:top w:val="nil"/>
              <w:left w:val="nil"/>
              <w:bottom w:val="single" w:color="000000" w:sz="8" w:space="0"/>
              <w:right w:val="single" w:color="000000" w:sz="8" w:space="0"/>
            </w:tcBorders>
            <w:vAlign w:val="center"/>
          </w:tcPr>
          <w:p w14:paraId="5E7A2316">
            <w:pPr>
              <w:spacing w:beforeAutospacing="1" w:afterAutospacing="1" w:line="320" w:lineRule="atLeast"/>
              <w:jc w:val="left"/>
              <w:rPr>
                <w:rStyle w:val="40"/>
                <w:rFonts w:ascii="宋体" w:hAnsi="宋体"/>
                <w:color w:val="auto"/>
                <w:kern w:val="0"/>
                <w:szCs w:val="21"/>
                <w:highlight w:val="none"/>
              </w:rPr>
            </w:pPr>
            <w:r>
              <w:rPr>
                <w:rStyle w:val="40"/>
                <w:rFonts w:ascii="宋体" w:hAnsi="宋体"/>
                <w:color w:val="auto"/>
                <w:kern w:val="0"/>
                <w:szCs w:val="21"/>
                <w:highlight w:val="none"/>
              </w:rPr>
              <w:t>验收结论性意见：</w:t>
            </w:r>
          </w:p>
        </w:tc>
      </w:tr>
      <w:tr w14:paraId="1617D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07" w:hRule="atLeast"/>
          <w:jc w:val="center"/>
        </w:trPr>
        <w:tc>
          <w:tcPr>
            <w:tcW w:w="1331" w:type="dxa"/>
            <w:vMerge w:val="continue"/>
            <w:tcBorders>
              <w:top w:val="nil"/>
              <w:left w:val="single" w:color="000000" w:sz="8" w:space="0"/>
              <w:bottom w:val="single" w:color="000000" w:sz="8" w:space="0"/>
              <w:right w:val="single" w:color="000000" w:sz="8" w:space="0"/>
            </w:tcBorders>
            <w:vAlign w:val="center"/>
          </w:tcPr>
          <w:p w14:paraId="4B3D38C9">
            <w:pPr>
              <w:jc w:val="left"/>
              <w:rPr>
                <w:rStyle w:val="40"/>
                <w:rFonts w:ascii="宋体" w:hAnsi="宋体"/>
                <w:color w:val="auto"/>
                <w:kern w:val="0"/>
                <w:szCs w:val="21"/>
                <w:highlight w:val="none"/>
              </w:rPr>
            </w:pPr>
          </w:p>
        </w:tc>
        <w:tc>
          <w:tcPr>
            <w:tcW w:w="7114" w:type="dxa"/>
            <w:gridSpan w:val="7"/>
            <w:tcBorders>
              <w:top w:val="nil"/>
              <w:left w:val="nil"/>
              <w:bottom w:val="single" w:color="000000" w:sz="8" w:space="0"/>
              <w:right w:val="single" w:color="000000" w:sz="8" w:space="0"/>
            </w:tcBorders>
            <w:vAlign w:val="center"/>
          </w:tcPr>
          <w:p w14:paraId="4024B4B7">
            <w:pPr>
              <w:spacing w:beforeAutospacing="1" w:after="312" w:afterAutospacing="1" w:line="320" w:lineRule="atLeast"/>
              <w:ind w:firstLine="96"/>
              <w:jc w:val="left"/>
              <w:rPr>
                <w:rStyle w:val="40"/>
                <w:rFonts w:ascii="宋体" w:hAnsi="宋体"/>
                <w:color w:val="auto"/>
                <w:kern w:val="0"/>
                <w:szCs w:val="21"/>
                <w:highlight w:val="none"/>
              </w:rPr>
            </w:pPr>
            <w:r>
              <w:rPr>
                <w:rStyle w:val="40"/>
                <w:rFonts w:ascii="宋体" w:hAnsi="宋体"/>
                <w:color w:val="auto"/>
                <w:kern w:val="0"/>
                <w:szCs w:val="21"/>
                <w:highlight w:val="none"/>
              </w:rPr>
              <w:t>有异议的意见和说明理由：</w:t>
            </w:r>
          </w:p>
          <w:p w14:paraId="08E1B75C">
            <w:pPr>
              <w:spacing w:before="312" w:beforeAutospacing="1" w:afterAutospacing="1" w:line="320" w:lineRule="atLeast"/>
              <w:jc w:val="left"/>
              <w:rPr>
                <w:rStyle w:val="40"/>
                <w:rFonts w:ascii="宋体" w:hAnsi="宋体"/>
                <w:color w:val="auto"/>
                <w:kern w:val="0"/>
                <w:szCs w:val="21"/>
                <w:highlight w:val="none"/>
              </w:rPr>
            </w:pPr>
            <w:r>
              <w:rPr>
                <w:rStyle w:val="40"/>
                <w:rFonts w:ascii="宋体" w:hAnsi="宋体"/>
                <w:color w:val="auto"/>
                <w:kern w:val="0"/>
                <w:szCs w:val="21"/>
                <w:highlight w:val="none"/>
              </w:rPr>
              <w:t>签字：</w:t>
            </w:r>
          </w:p>
        </w:tc>
      </w:tr>
      <w:tr w14:paraId="24F9D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7" w:hRule="atLeast"/>
          <w:jc w:val="center"/>
        </w:trPr>
        <w:tc>
          <w:tcPr>
            <w:tcW w:w="8445" w:type="dxa"/>
            <w:gridSpan w:val="8"/>
            <w:tcBorders>
              <w:top w:val="nil"/>
              <w:left w:val="single" w:color="000000" w:sz="8" w:space="0"/>
              <w:bottom w:val="single" w:color="000000" w:sz="8" w:space="0"/>
              <w:right w:val="single" w:color="000000" w:sz="8" w:space="0"/>
            </w:tcBorders>
            <w:vAlign w:val="center"/>
          </w:tcPr>
          <w:p w14:paraId="0D9DFB72">
            <w:pPr>
              <w:spacing w:beforeAutospacing="1" w:afterAutospacing="1" w:line="320" w:lineRule="atLeast"/>
              <w:jc w:val="left"/>
              <w:rPr>
                <w:rStyle w:val="40"/>
                <w:rFonts w:ascii="宋体" w:hAnsi="宋体"/>
                <w:color w:val="auto"/>
                <w:kern w:val="0"/>
                <w:szCs w:val="21"/>
                <w:highlight w:val="none"/>
              </w:rPr>
            </w:pPr>
            <w:r>
              <w:rPr>
                <w:rStyle w:val="40"/>
                <w:rFonts w:ascii="宋体" w:hAnsi="宋体"/>
                <w:color w:val="auto"/>
                <w:kern w:val="0"/>
                <w:szCs w:val="21"/>
                <w:highlight w:val="none"/>
              </w:rPr>
              <w:t>验收小组成员签字：</w:t>
            </w:r>
          </w:p>
        </w:tc>
      </w:tr>
      <w:tr w14:paraId="6342E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6" w:hRule="atLeast"/>
          <w:jc w:val="center"/>
        </w:trPr>
        <w:tc>
          <w:tcPr>
            <w:tcW w:w="8445" w:type="dxa"/>
            <w:gridSpan w:val="8"/>
            <w:tcBorders>
              <w:top w:val="nil"/>
              <w:left w:val="single" w:color="000000" w:sz="8" w:space="0"/>
              <w:bottom w:val="single" w:color="000000" w:sz="8" w:space="0"/>
              <w:right w:val="single" w:color="000000" w:sz="8" w:space="0"/>
            </w:tcBorders>
            <w:vAlign w:val="center"/>
          </w:tcPr>
          <w:p w14:paraId="1C553362">
            <w:pPr>
              <w:spacing w:beforeAutospacing="1" w:after="312" w:afterAutospacing="1" w:line="320" w:lineRule="atLeast"/>
              <w:jc w:val="left"/>
              <w:rPr>
                <w:rStyle w:val="40"/>
                <w:rFonts w:ascii="宋体" w:hAnsi="宋体"/>
                <w:color w:val="auto"/>
                <w:kern w:val="0"/>
                <w:szCs w:val="21"/>
                <w:highlight w:val="none"/>
              </w:rPr>
            </w:pPr>
            <w:r>
              <w:rPr>
                <w:rStyle w:val="40"/>
                <w:rFonts w:ascii="宋体" w:hAnsi="宋体"/>
                <w:color w:val="auto"/>
                <w:kern w:val="0"/>
                <w:szCs w:val="21"/>
                <w:highlight w:val="none"/>
              </w:rPr>
              <w:t>监督人员或其他相关人员签字：</w:t>
            </w:r>
          </w:p>
          <w:p w14:paraId="5561A26A">
            <w:pPr>
              <w:spacing w:before="312" w:beforeAutospacing="1" w:afterAutospacing="1" w:line="320" w:lineRule="atLeast"/>
              <w:ind w:firstLine="74"/>
              <w:jc w:val="left"/>
              <w:rPr>
                <w:rStyle w:val="40"/>
                <w:rFonts w:ascii="宋体" w:hAnsi="宋体"/>
                <w:color w:val="auto"/>
                <w:kern w:val="0"/>
                <w:szCs w:val="21"/>
                <w:highlight w:val="none"/>
              </w:rPr>
            </w:pPr>
            <w:r>
              <w:rPr>
                <w:rStyle w:val="40"/>
                <w:rFonts w:ascii="宋体" w:hAnsi="宋体"/>
                <w:color w:val="auto"/>
                <w:kern w:val="0"/>
                <w:szCs w:val="21"/>
                <w:highlight w:val="none"/>
              </w:rPr>
              <w:t>或受邀机构的意见（盖章）：</w:t>
            </w:r>
          </w:p>
        </w:tc>
      </w:tr>
      <w:tr w14:paraId="772E5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8" w:hRule="atLeast"/>
          <w:jc w:val="center"/>
        </w:trPr>
        <w:tc>
          <w:tcPr>
            <w:tcW w:w="4152" w:type="dxa"/>
            <w:gridSpan w:val="4"/>
            <w:tcBorders>
              <w:top w:val="nil"/>
              <w:left w:val="single" w:color="000000" w:sz="8" w:space="0"/>
              <w:bottom w:val="single" w:color="000000" w:sz="8" w:space="0"/>
              <w:right w:val="nil"/>
            </w:tcBorders>
            <w:vAlign w:val="center"/>
          </w:tcPr>
          <w:p w14:paraId="70AAFC6E">
            <w:pPr>
              <w:spacing w:beforeAutospacing="1" w:after="312" w:afterAutospacing="1" w:line="320" w:lineRule="atLeast"/>
              <w:ind w:firstLine="74"/>
              <w:jc w:val="left"/>
              <w:rPr>
                <w:rStyle w:val="40"/>
                <w:rFonts w:ascii="宋体" w:hAnsi="宋体"/>
                <w:color w:val="auto"/>
                <w:kern w:val="0"/>
                <w:szCs w:val="21"/>
                <w:highlight w:val="none"/>
              </w:rPr>
            </w:pPr>
            <w:r>
              <w:rPr>
                <w:rStyle w:val="40"/>
                <w:rFonts w:ascii="宋体" w:hAnsi="宋体"/>
                <w:color w:val="auto"/>
                <w:kern w:val="0"/>
                <w:szCs w:val="21"/>
                <w:highlight w:val="none"/>
              </w:rPr>
              <w:t>中标或者成交供应商负责人签字或盖章：</w:t>
            </w:r>
          </w:p>
          <w:p w14:paraId="4A579B57">
            <w:pPr>
              <w:spacing w:before="312" w:beforeAutospacing="1" w:afterAutospacing="1" w:line="320" w:lineRule="atLeast"/>
              <w:jc w:val="left"/>
              <w:rPr>
                <w:rStyle w:val="40"/>
                <w:rFonts w:ascii="宋体" w:hAnsi="宋体"/>
                <w:color w:val="auto"/>
                <w:kern w:val="0"/>
                <w:szCs w:val="21"/>
                <w:highlight w:val="none"/>
              </w:rPr>
            </w:pPr>
            <w:r>
              <w:rPr>
                <w:rStyle w:val="40"/>
                <w:rFonts w:ascii="宋体" w:hAnsi="宋体"/>
                <w:color w:val="auto"/>
                <w:kern w:val="0"/>
                <w:szCs w:val="21"/>
                <w:highlight w:val="none"/>
              </w:rPr>
              <w:t>联系电话： 年 月 日</w:t>
            </w:r>
          </w:p>
        </w:tc>
        <w:tc>
          <w:tcPr>
            <w:tcW w:w="4293" w:type="dxa"/>
            <w:gridSpan w:val="4"/>
            <w:tcBorders>
              <w:top w:val="nil"/>
              <w:left w:val="nil"/>
              <w:bottom w:val="single" w:color="000000" w:sz="8" w:space="0"/>
              <w:right w:val="single" w:color="000000" w:sz="8" w:space="0"/>
            </w:tcBorders>
            <w:vAlign w:val="center"/>
          </w:tcPr>
          <w:p w14:paraId="1CE64C16">
            <w:pPr>
              <w:spacing w:beforeAutospacing="1" w:after="312" w:afterAutospacing="1" w:line="320" w:lineRule="atLeast"/>
              <w:jc w:val="left"/>
              <w:rPr>
                <w:rStyle w:val="40"/>
                <w:rFonts w:ascii="宋体" w:hAnsi="宋体"/>
                <w:color w:val="auto"/>
                <w:kern w:val="0"/>
                <w:szCs w:val="21"/>
                <w:highlight w:val="none"/>
              </w:rPr>
            </w:pPr>
            <w:r>
              <w:rPr>
                <w:rStyle w:val="40"/>
                <w:rFonts w:ascii="宋体" w:hAnsi="宋体"/>
                <w:color w:val="auto"/>
                <w:kern w:val="0"/>
                <w:szCs w:val="21"/>
                <w:highlight w:val="none"/>
              </w:rPr>
              <w:t>采购人或受托机构的意见（盖章）：</w:t>
            </w:r>
          </w:p>
          <w:p w14:paraId="78A9B8E5">
            <w:pPr>
              <w:spacing w:before="312" w:beforeAutospacing="1" w:afterAutospacing="1" w:line="320" w:lineRule="atLeast"/>
              <w:jc w:val="left"/>
              <w:rPr>
                <w:rStyle w:val="40"/>
                <w:rFonts w:ascii="宋体" w:hAnsi="宋体"/>
                <w:color w:val="auto"/>
                <w:kern w:val="0"/>
                <w:szCs w:val="21"/>
                <w:highlight w:val="none"/>
              </w:rPr>
            </w:pPr>
            <w:r>
              <w:rPr>
                <w:rStyle w:val="40"/>
                <w:rFonts w:ascii="宋体" w:hAnsi="宋体"/>
                <w:color w:val="auto"/>
                <w:kern w:val="0"/>
                <w:szCs w:val="21"/>
                <w:highlight w:val="none"/>
              </w:rPr>
              <w:t>联系电话： 年 月 日</w:t>
            </w:r>
          </w:p>
        </w:tc>
      </w:tr>
    </w:tbl>
    <w:p w14:paraId="13248010">
      <w:pPr>
        <w:snapToGrid w:val="0"/>
        <w:rPr>
          <w:rFonts w:hint="eastAsia" w:ascii="宋体" w:hAnsi="宋体"/>
          <w:caps w:val="0"/>
          <w:color w:val="auto"/>
          <w:spacing w:val="0"/>
          <w:szCs w:val="21"/>
          <w:highlight w:val="none"/>
        </w:rPr>
      </w:pPr>
      <w:r>
        <w:rPr>
          <w:rFonts w:hint="eastAsia" w:ascii="宋体" w:hAnsi="宋体"/>
          <w:caps w:val="0"/>
          <w:color w:val="auto"/>
          <w:spacing w:val="0"/>
          <w:szCs w:val="21"/>
          <w:highlight w:val="none"/>
        </w:rPr>
        <w:t>注：售后服务事项填不下时可另加附页</w:t>
      </w:r>
    </w:p>
    <w:p w14:paraId="2A9B2555">
      <w:pPr>
        <w:pStyle w:val="10"/>
        <w:rPr>
          <w:rFonts w:hint="eastAsia" w:ascii="宋体" w:hAnsi="宋体"/>
          <w:caps w:val="0"/>
          <w:color w:val="auto"/>
          <w:spacing w:val="0"/>
          <w:szCs w:val="21"/>
          <w:highlight w:val="none"/>
        </w:rPr>
      </w:pPr>
    </w:p>
    <w:p w14:paraId="4CBB67D5">
      <w:pPr>
        <w:rPr>
          <w:rFonts w:hint="eastAsia" w:ascii="宋体" w:hAnsi="宋体"/>
          <w:caps w:val="0"/>
          <w:color w:val="auto"/>
          <w:spacing w:val="0"/>
          <w:szCs w:val="21"/>
          <w:highlight w:val="none"/>
        </w:rPr>
      </w:pPr>
    </w:p>
    <w:p w14:paraId="33A92172">
      <w:pPr>
        <w:pStyle w:val="10"/>
        <w:rPr>
          <w:rFonts w:hint="eastAsia" w:ascii="宋体" w:hAnsi="宋体"/>
          <w:caps w:val="0"/>
          <w:color w:val="auto"/>
          <w:spacing w:val="0"/>
          <w:szCs w:val="21"/>
          <w:highlight w:val="none"/>
        </w:rPr>
      </w:pPr>
    </w:p>
    <w:p w14:paraId="52C1309F">
      <w:pPr>
        <w:pStyle w:val="17"/>
      </w:pPr>
    </w:p>
    <w:p w14:paraId="6672677A">
      <w:pPr>
        <w:pStyle w:val="22"/>
        <w:numPr>
          <w:ilvl w:val="0"/>
          <w:numId w:val="6"/>
        </w:numPr>
        <w:jc w:val="center"/>
        <w:outlineLvl w:val="0"/>
        <w:rPr>
          <w:rStyle w:val="40"/>
          <w:rFonts w:ascii="宋体" w:hAnsi="宋体" w:cs="宋体"/>
          <w:b/>
          <w:bCs/>
          <w:color w:val="auto"/>
          <w:highlight w:val="none"/>
        </w:rPr>
      </w:pPr>
      <w:r>
        <w:rPr>
          <w:rStyle w:val="40"/>
          <w:rFonts w:ascii="宋体" w:hAnsi="宋体" w:cs="宋体"/>
          <w:b/>
          <w:bCs/>
          <w:color w:val="auto"/>
          <w:highlight w:val="none"/>
        </w:rPr>
        <w:t xml:space="preserve"> 评标办法及评审标准</w:t>
      </w:r>
    </w:p>
    <w:p w14:paraId="78FDC515">
      <w:pPr>
        <w:pStyle w:val="5"/>
        <w:numPr>
          <w:ilvl w:val="0"/>
          <w:numId w:val="0"/>
        </w:numPr>
        <w:ind w:leftChars="0"/>
        <w:jc w:val="center"/>
        <w:rPr>
          <w:rFonts w:hint="eastAsia" w:ascii="宋体" w:hAnsi="宋体" w:eastAsia="宋体" w:cs="Times New Roman"/>
          <w:b/>
          <w:bCs/>
          <w:color w:val="auto"/>
          <w:kern w:val="2"/>
          <w:sz w:val="28"/>
          <w:szCs w:val="28"/>
          <w:lang w:val="en-US" w:eastAsia="zh-CN" w:bidi="ar-SA"/>
        </w:rPr>
      </w:pPr>
      <w:r>
        <w:rPr>
          <w:rFonts w:hint="eastAsia" w:ascii="宋体" w:hAnsi="宋体" w:eastAsia="宋体" w:cs="Times New Roman"/>
          <w:b/>
          <w:bCs/>
          <w:color w:val="auto"/>
          <w:kern w:val="2"/>
          <w:sz w:val="28"/>
          <w:szCs w:val="28"/>
          <w:lang w:val="en-US" w:eastAsia="zh-CN" w:bidi="ar-SA"/>
        </w:rPr>
        <w:t>（选用于1分标、2分标）</w:t>
      </w:r>
    </w:p>
    <w:p w14:paraId="2FA18D72">
      <w:pPr>
        <w:pStyle w:val="14"/>
        <w:spacing w:line="360" w:lineRule="auto"/>
        <w:ind w:firstLine="455" w:firstLineChars="216"/>
        <w:jc w:val="left"/>
        <w:rPr>
          <w:rFonts w:hint="eastAsia" w:hAnsi="宋体" w:cs="宋体"/>
          <w:b/>
          <w:color w:val="auto"/>
          <w:sz w:val="21"/>
          <w:szCs w:val="21"/>
          <w:highlight w:val="none"/>
        </w:rPr>
      </w:pPr>
      <w:r>
        <w:rPr>
          <w:rFonts w:hint="eastAsia" w:hAnsi="宋体" w:cs="宋体"/>
          <w:b/>
          <w:color w:val="auto"/>
          <w:sz w:val="21"/>
          <w:szCs w:val="21"/>
          <w:highlight w:val="none"/>
        </w:rPr>
        <w:t>一、评审原则</w:t>
      </w:r>
    </w:p>
    <w:p w14:paraId="6A188574">
      <w:pPr>
        <w:pStyle w:val="14"/>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（一）磋商小组构成：本项目的磋商小组分别由采购人代表和评审专家共3人以上单数组成，其中评审专家人数不得少于磋商小组成员总数的三分之二。</w:t>
      </w:r>
    </w:p>
    <w:p w14:paraId="10D723DD">
      <w:pPr>
        <w:pStyle w:val="14"/>
        <w:spacing w:line="360" w:lineRule="auto"/>
        <w:ind w:firstLine="420" w:firstLineChars="200"/>
        <w:jc w:val="left"/>
        <w:rPr>
          <w:rFonts w:hint="eastAsia" w:hAnsi="宋体" w:cs="宋体"/>
          <w:bCs/>
          <w:color w:val="auto"/>
          <w:sz w:val="21"/>
          <w:szCs w:val="21"/>
          <w:highlight w:val="none"/>
          <w:lang w:eastAsia="zh-CN"/>
        </w:rPr>
      </w:pPr>
      <w:r>
        <w:rPr>
          <w:rFonts w:hint="eastAsia" w:hAnsi="宋体" w:cs="宋体"/>
          <w:bCs/>
          <w:color w:val="auto"/>
          <w:sz w:val="21"/>
          <w:szCs w:val="21"/>
          <w:highlight w:val="none"/>
        </w:rPr>
        <w:t>（二）评审依据：评委将以磋商文件为评审依据</w:t>
      </w:r>
      <w:r>
        <w:rPr>
          <w:rFonts w:hint="eastAsia" w:hAnsi="宋体" w:cs="宋体"/>
          <w:bCs/>
          <w:color w:val="auto"/>
          <w:sz w:val="21"/>
          <w:szCs w:val="21"/>
          <w:highlight w:val="none"/>
          <w:lang w:eastAsia="zh-CN"/>
        </w:rPr>
        <w:t>。</w:t>
      </w:r>
    </w:p>
    <w:p w14:paraId="11CF0CF5">
      <w:pPr>
        <w:pStyle w:val="14"/>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（三）评审方式：以封闭方式进行。</w:t>
      </w:r>
    </w:p>
    <w:p w14:paraId="4B936DC7">
      <w:pPr>
        <w:pStyle w:val="14"/>
        <w:spacing w:line="360" w:lineRule="auto"/>
        <w:ind w:firstLine="422" w:firstLineChars="200"/>
        <w:jc w:val="left"/>
        <w:rPr>
          <w:rFonts w:hint="eastAsia" w:hAnsi="宋体" w:cs="宋体"/>
          <w:b/>
          <w:bCs/>
          <w:color w:val="auto"/>
          <w:sz w:val="21"/>
          <w:szCs w:val="21"/>
          <w:highlight w:val="none"/>
        </w:rPr>
      </w:pPr>
      <w:r>
        <w:rPr>
          <w:rFonts w:hint="eastAsia" w:hAnsi="宋体" w:cs="宋体"/>
          <w:b/>
          <w:bCs/>
          <w:color w:val="auto"/>
          <w:sz w:val="21"/>
          <w:szCs w:val="21"/>
          <w:highlight w:val="none"/>
        </w:rPr>
        <w:t>二、评</w:t>
      </w:r>
      <w:r>
        <w:rPr>
          <w:rFonts w:hint="eastAsia" w:hAnsi="宋体" w:cs="宋体"/>
          <w:b/>
          <w:bCs/>
          <w:color w:val="auto"/>
          <w:sz w:val="21"/>
          <w:szCs w:val="21"/>
          <w:highlight w:val="none"/>
          <w:lang w:eastAsia="zh-CN"/>
        </w:rPr>
        <w:t>审</w:t>
      </w:r>
      <w:r>
        <w:rPr>
          <w:rFonts w:hint="eastAsia" w:hAnsi="宋体" w:cs="宋体"/>
          <w:b/>
          <w:bCs/>
          <w:color w:val="auto"/>
          <w:sz w:val="21"/>
          <w:szCs w:val="21"/>
          <w:highlight w:val="none"/>
        </w:rPr>
        <w:t>方法</w:t>
      </w:r>
    </w:p>
    <w:p w14:paraId="535A981A">
      <w:pPr>
        <w:pStyle w:val="14"/>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（一）首先由磋商小组依法对供应商的资格性进行评审，再由评委对响应文件进行符合性评审，只有资格性评审、符合性评审合格的响应文件才能进入详评。</w:t>
      </w:r>
    </w:p>
    <w:p w14:paraId="1DE88342">
      <w:pPr>
        <w:pStyle w:val="14"/>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（二）对进入详评的，采用百分制综合评分法。</w:t>
      </w:r>
    </w:p>
    <w:p w14:paraId="4411D447">
      <w:pPr>
        <w:pStyle w:val="14"/>
        <w:spacing w:line="360" w:lineRule="auto"/>
        <w:ind w:firstLine="420" w:firstLineChars="200"/>
        <w:jc w:val="left"/>
        <w:rPr>
          <w:rFonts w:hint="eastAsia" w:ascii="宋体" w:hAnsi="宋体" w:eastAsia="宋体" w:cs="宋体"/>
          <w:bCs/>
          <w:color w:val="auto"/>
          <w:szCs w:val="21"/>
          <w:highlight w:val="none"/>
          <w:lang w:eastAsia="zh-CN"/>
        </w:rPr>
      </w:pPr>
      <w:r>
        <w:rPr>
          <w:rFonts w:hint="eastAsia" w:hAnsi="宋体" w:cs="宋体"/>
          <w:bCs/>
          <w:color w:val="auto"/>
          <w:sz w:val="21"/>
          <w:szCs w:val="21"/>
          <w:highlight w:val="none"/>
        </w:rPr>
        <w:t>（三）计分办法（按四舍五入取至百分位</w:t>
      </w:r>
      <w:r>
        <w:rPr>
          <w:rFonts w:hint="eastAsia" w:hAnsi="宋体" w:cs="宋体"/>
          <w:bCs/>
          <w:color w:val="auto"/>
          <w:sz w:val="21"/>
          <w:szCs w:val="21"/>
          <w:highlight w:val="none"/>
          <w:lang w:eastAsia="zh-CN"/>
        </w:rPr>
        <w:t>）</w:t>
      </w:r>
    </w:p>
    <w:tbl>
      <w:tblPr>
        <w:tblStyle w:val="24"/>
        <w:tblpPr w:leftFromText="180" w:rightFromText="180" w:vertAnchor="text" w:horzAnchor="page" w:tblpX="1117" w:tblpY="41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364"/>
        <w:gridCol w:w="7605"/>
      </w:tblGrid>
      <w:tr w14:paraId="36DFB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436" w:type="pct"/>
            <w:tcBorders>
              <w:top w:val="single" w:color="auto" w:sz="4" w:space="0"/>
              <w:left w:val="single" w:color="auto" w:sz="4" w:space="0"/>
              <w:bottom w:val="single" w:color="auto" w:sz="4" w:space="0"/>
              <w:right w:val="single" w:color="auto" w:sz="4" w:space="0"/>
            </w:tcBorders>
            <w:noWrap w:val="0"/>
            <w:vAlign w:val="center"/>
          </w:tcPr>
          <w:p w14:paraId="19AC2ECE">
            <w:pPr>
              <w:spacing w:line="360" w:lineRule="atLeas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序号</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21D4612F">
            <w:pPr>
              <w:spacing w:line="360" w:lineRule="atLeas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评审因素</w:t>
            </w:r>
          </w:p>
        </w:tc>
        <w:tc>
          <w:tcPr>
            <w:tcW w:w="3868" w:type="pct"/>
            <w:tcBorders>
              <w:top w:val="single" w:color="auto" w:sz="4" w:space="0"/>
              <w:left w:val="single" w:color="auto" w:sz="4" w:space="0"/>
              <w:bottom w:val="single" w:color="auto" w:sz="4" w:space="0"/>
              <w:right w:val="single" w:color="auto" w:sz="4" w:space="0"/>
            </w:tcBorders>
            <w:noWrap w:val="0"/>
            <w:vAlign w:val="center"/>
          </w:tcPr>
          <w:p w14:paraId="1FC18180">
            <w:pPr>
              <w:spacing w:line="360" w:lineRule="atLeas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评标标准</w:t>
            </w:r>
          </w:p>
        </w:tc>
      </w:tr>
      <w:tr w14:paraId="1778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Borders>
              <w:top w:val="single" w:color="auto" w:sz="4" w:space="0"/>
              <w:left w:val="single" w:color="auto" w:sz="4" w:space="0"/>
              <w:bottom w:val="single" w:color="auto" w:sz="4" w:space="0"/>
              <w:right w:val="single" w:color="auto" w:sz="4" w:space="0"/>
            </w:tcBorders>
            <w:noWrap w:val="0"/>
            <w:vAlign w:val="center"/>
          </w:tcPr>
          <w:p w14:paraId="5FB6B0DB">
            <w:pPr>
              <w:spacing w:line="360" w:lineRule="atLeas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1D1B1ABF">
            <w:pPr>
              <w:spacing w:line="360" w:lineRule="atLeas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价格分</w:t>
            </w:r>
          </w:p>
          <w:p w14:paraId="25AAA59D">
            <w:pPr>
              <w:spacing w:line="360" w:lineRule="atLeas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（满分</w:t>
            </w:r>
            <w:r>
              <w:rPr>
                <w:rFonts w:hint="eastAsia" w:ascii="宋体" w:hAnsi="宋体" w:cs="宋体"/>
                <w:b/>
                <w:bCs/>
                <w:color w:val="000000" w:themeColor="text1"/>
                <w:szCs w:val="21"/>
                <w:highlight w:val="none"/>
                <w:u w:val="single"/>
                <w14:textFill>
                  <w14:solidFill>
                    <w14:schemeClr w14:val="tx1"/>
                  </w14:solidFill>
                </w14:textFill>
              </w:rPr>
              <w:t>10</w:t>
            </w:r>
            <w:r>
              <w:rPr>
                <w:rFonts w:hint="eastAsia" w:ascii="宋体" w:hAnsi="宋体" w:cs="宋体"/>
                <w:b/>
                <w:bCs/>
                <w:color w:val="000000" w:themeColor="text1"/>
                <w:szCs w:val="21"/>
                <w:highlight w:val="none"/>
                <w14:textFill>
                  <w14:solidFill>
                    <w14:schemeClr w14:val="tx1"/>
                  </w14:solidFill>
                </w14:textFill>
              </w:rPr>
              <w:t>分）</w:t>
            </w:r>
          </w:p>
        </w:tc>
        <w:tc>
          <w:tcPr>
            <w:tcW w:w="3868" w:type="pct"/>
            <w:tcBorders>
              <w:top w:val="single" w:color="auto" w:sz="4" w:space="0"/>
              <w:left w:val="single" w:color="auto" w:sz="4" w:space="0"/>
              <w:bottom w:val="single" w:color="auto" w:sz="4" w:space="0"/>
              <w:right w:val="single" w:color="auto" w:sz="4" w:space="0"/>
            </w:tcBorders>
            <w:noWrap w:val="0"/>
            <w:vAlign w:val="center"/>
          </w:tcPr>
          <w:p w14:paraId="393A3391">
            <w:pPr>
              <w:pStyle w:val="127"/>
              <w:spacing w:line="360" w:lineRule="auto"/>
              <w:ind w:firstLine="420"/>
              <w:jc w:val="left"/>
              <w:rPr>
                <w:rFonts w:hint="eastAsia" w:hAnsi="宋体" w:cs="Courier New"/>
                <w:bCs/>
                <w:i w:val="0"/>
                <w:iCs w:val="0"/>
                <w:color w:val="000000" w:themeColor="text1"/>
                <w:sz w:val="21"/>
                <w:highlight w:val="none"/>
                <w:lang w:val="en-US" w:eastAsia="zh-CN"/>
                <w14:textFill>
                  <w14:solidFill>
                    <w14:schemeClr w14:val="tx1"/>
                  </w14:solidFill>
                </w14:textFill>
              </w:rPr>
            </w:pPr>
            <w:r>
              <w:rPr>
                <w:rFonts w:hint="eastAsia" w:hAnsi="宋体" w:cs="Courier New"/>
                <w:bCs/>
                <w:i w:val="0"/>
                <w:iCs w:val="0"/>
                <w:color w:val="000000" w:themeColor="text1"/>
                <w:sz w:val="21"/>
                <w:highlight w:val="none"/>
                <w:lang w:val="en-US" w:eastAsia="zh-CN"/>
                <w14:textFill>
                  <w14:solidFill>
                    <w14:schemeClr w14:val="tx1"/>
                  </w14:solidFill>
                </w14:textFill>
              </w:rPr>
              <w:t>（1）本项目为专门面向中小企业采购的项目，小微企业、监狱企业、残疾人福利性单位不再执行价格评审优惠的</w:t>
            </w:r>
            <w:r>
              <w:rPr>
                <w:rFonts w:hint="eastAsia" w:ascii="宋体" w:hAnsi="宋体" w:eastAsia="宋体" w:cs="Courier New"/>
                <w:bCs/>
                <w:i w:val="0"/>
                <w:iCs w:val="0"/>
                <w:color w:val="000000" w:themeColor="text1"/>
                <w:sz w:val="21"/>
                <w:highlight w:val="none"/>
                <w:lang w:val="en-US" w:eastAsia="zh-CN"/>
                <w14:textFill>
                  <w14:solidFill>
                    <w14:schemeClr w14:val="tx1"/>
                  </w14:solidFill>
                </w14:textFill>
              </w:rPr>
              <w:t>扶持政策，本项目不涉及本国产品政策性扣除。评</w:t>
            </w:r>
            <w:r>
              <w:rPr>
                <w:rFonts w:hint="eastAsia" w:hAnsi="宋体" w:cs="Courier New"/>
                <w:bCs/>
                <w:i w:val="0"/>
                <w:iCs w:val="0"/>
                <w:color w:val="000000" w:themeColor="text1"/>
                <w:sz w:val="21"/>
                <w:highlight w:val="none"/>
                <w:lang w:val="en-US" w:eastAsia="zh-CN"/>
                <w14:textFill>
                  <w14:solidFill>
                    <w14:schemeClr w14:val="tx1"/>
                  </w14:solidFill>
                </w14:textFill>
              </w:rPr>
              <w:t>审价=最后报价。</w:t>
            </w:r>
          </w:p>
          <w:p w14:paraId="52E257B7">
            <w:pPr>
              <w:pStyle w:val="127"/>
              <w:spacing w:line="360" w:lineRule="auto"/>
              <w:ind w:firstLine="420"/>
              <w:jc w:val="left"/>
              <w:rPr>
                <w:rFonts w:hint="eastAsia" w:hAnsi="宋体" w:cs="Courier New"/>
                <w:bCs/>
                <w:i w:val="0"/>
                <w:iCs w:val="0"/>
                <w:color w:val="000000" w:themeColor="text1"/>
                <w:sz w:val="21"/>
                <w:highlight w:val="none"/>
                <w:lang w:val="en-US" w:eastAsia="zh-CN"/>
                <w14:textFill>
                  <w14:solidFill>
                    <w14:schemeClr w14:val="tx1"/>
                  </w14:solidFill>
                </w14:textFill>
              </w:rPr>
            </w:pPr>
            <w:r>
              <w:rPr>
                <w:rFonts w:hint="eastAsia" w:hAnsi="宋体" w:cs="Courier New"/>
                <w:bCs/>
                <w:i w:val="0"/>
                <w:iCs w:val="0"/>
                <w:color w:val="000000" w:themeColor="text1"/>
                <w:sz w:val="21"/>
                <w:highlight w:val="none"/>
                <w:lang w:val="en-US" w:eastAsia="zh-CN"/>
                <w14:textFill>
                  <w14:solidFill>
                    <w14:schemeClr w14:val="tx1"/>
                  </w14:solidFill>
                </w14:textFill>
              </w:rPr>
              <w:t>（2）满足竞争性磋商文件要求且评审报价最低的评审报价为评审基准价，其价格分为满分。</w:t>
            </w:r>
          </w:p>
          <w:p w14:paraId="0FFDD7D9">
            <w:pPr>
              <w:pStyle w:val="127"/>
              <w:spacing w:line="360" w:lineRule="auto"/>
              <w:ind w:firstLine="420"/>
              <w:jc w:val="left"/>
              <w:rPr>
                <w:rFonts w:hint="eastAsia" w:hAnsi="宋体" w:cs="Courier New"/>
                <w:bCs/>
                <w:i w:val="0"/>
                <w:iCs w:val="0"/>
                <w:color w:val="000000" w:themeColor="text1"/>
                <w:sz w:val="21"/>
                <w:highlight w:val="none"/>
                <w:lang w:val="en-US" w:eastAsia="zh-CN"/>
                <w14:textFill>
                  <w14:solidFill>
                    <w14:schemeClr w14:val="tx1"/>
                  </w14:solidFill>
                </w14:textFill>
              </w:rPr>
            </w:pPr>
            <w:r>
              <w:rPr>
                <w:rFonts w:hint="eastAsia" w:hAnsi="宋体" w:cs="Courier New"/>
                <w:bCs/>
                <w:i w:val="0"/>
                <w:iCs w:val="0"/>
                <w:color w:val="000000" w:themeColor="text1"/>
                <w:sz w:val="21"/>
                <w:highlight w:val="none"/>
                <w:lang w:val="en-US" w:eastAsia="zh-CN"/>
                <w14:textFill>
                  <w14:solidFill>
                    <w14:schemeClr w14:val="tx1"/>
                  </w14:solidFill>
                </w14:textFill>
              </w:rPr>
              <w:t>（3）价格分计算公式：</w:t>
            </w:r>
          </w:p>
          <w:p w14:paraId="0C3B7576">
            <w:pPr>
              <w:keepNext w:val="0"/>
              <w:keepLines w:val="0"/>
              <w:pageBreakBefore w:val="0"/>
              <w:widowControl w:val="0"/>
              <w:bidi w:val="0"/>
              <w:spacing w:line="360" w:lineRule="exact"/>
              <w:rPr>
                <w:rFonts w:hint="eastAsia" w:ascii="宋体" w:hAnsi="宋体" w:cs="宋体"/>
                <w:bCs/>
                <w:color w:val="000000" w:themeColor="text1"/>
                <w:szCs w:val="21"/>
                <w:highlight w:val="none"/>
                <w14:textFill>
                  <w14:solidFill>
                    <w14:schemeClr w14:val="tx1"/>
                  </w14:solidFill>
                </w14:textFill>
              </w:rPr>
            </w:pPr>
            <w:r>
              <w:rPr>
                <w:rFonts w:hint="eastAsia" w:hAnsi="宋体" w:cs="Courier New"/>
                <w:bCs/>
                <w:i w:val="0"/>
                <w:iCs w:val="0"/>
                <w:color w:val="000000" w:themeColor="text1"/>
                <w:sz w:val="21"/>
                <w:highlight w:val="none"/>
                <w:lang w:val="en-US" w:eastAsia="zh-CN"/>
                <w14:textFill>
                  <w14:solidFill>
                    <w14:schemeClr w14:val="tx1"/>
                  </w14:solidFill>
                </w14:textFill>
              </w:rPr>
              <w:t>价格分=（评审基准价／评审报价）×10分</w:t>
            </w:r>
          </w:p>
        </w:tc>
      </w:tr>
      <w:tr w14:paraId="4DB27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Borders>
              <w:top w:val="single" w:color="auto" w:sz="4" w:space="0"/>
              <w:left w:val="single" w:color="auto" w:sz="4" w:space="0"/>
              <w:bottom w:val="single" w:color="auto" w:sz="4" w:space="0"/>
              <w:right w:val="single" w:color="auto" w:sz="4" w:space="0"/>
            </w:tcBorders>
            <w:noWrap w:val="0"/>
            <w:vAlign w:val="center"/>
          </w:tcPr>
          <w:p w14:paraId="70C12D11">
            <w:pPr>
              <w:spacing w:line="360" w:lineRule="atLeast"/>
              <w:ind w:left="-105" w:right="-105"/>
              <w:jc w:val="center"/>
              <w:rPr>
                <w:rFonts w:hint="eastAsia" w:ascii="宋体" w:hAnsi="宋体" w:cs="宋体"/>
                <w:b/>
                <w:color w:val="000000" w:themeColor="text1"/>
                <w:spacing w:val="-18"/>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61986310">
            <w:pPr>
              <w:spacing w:line="360" w:lineRule="exact"/>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技术方案分（满分</w:t>
            </w:r>
            <w:r>
              <w:rPr>
                <w:rFonts w:hint="eastAsia" w:ascii="宋体" w:hAnsi="宋体" w:cs="宋体"/>
                <w:b/>
                <w:color w:val="000000" w:themeColor="text1"/>
                <w:szCs w:val="21"/>
                <w:highlight w:val="none"/>
                <w:lang w:val="en-US" w:eastAsia="zh-CN"/>
                <w14:textFill>
                  <w14:solidFill>
                    <w14:schemeClr w14:val="tx1"/>
                  </w14:solidFill>
                </w14:textFill>
              </w:rPr>
              <w:t>61</w:t>
            </w:r>
            <w:r>
              <w:rPr>
                <w:rFonts w:hint="eastAsia" w:ascii="宋体" w:hAnsi="宋体" w:cs="宋体"/>
                <w:b/>
                <w:color w:val="000000" w:themeColor="text1"/>
                <w:szCs w:val="21"/>
                <w:highlight w:val="none"/>
                <w14:textFill>
                  <w14:solidFill>
                    <w14:schemeClr w14:val="tx1"/>
                  </w14:solidFill>
                </w14:textFill>
              </w:rPr>
              <w:t>分）</w:t>
            </w:r>
          </w:p>
        </w:tc>
        <w:tc>
          <w:tcPr>
            <w:tcW w:w="3868" w:type="pct"/>
            <w:tcBorders>
              <w:top w:val="single" w:color="auto" w:sz="4" w:space="0"/>
              <w:left w:val="single" w:color="auto" w:sz="4" w:space="0"/>
              <w:bottom w:val="single" w:color="auto" w:sz="4" w:space="0"/>
              <w:right w:val="single" w:color="auto" w:sz="4" w:space="0"/>
            </w:tcBorders>
            <w:noWrap w:val="0"/>
            <w:vAlign w:val="center"/>
          </w:tcPr>
          <w:p w14:paraId="6E418D39">
            <w:pPr>
              <w:pStyle w:val="127"/>
              <w:keepNext w:val="0"/>
              <w:keepLines w:val="0"/>
              <w:pageBreakBefore w:val="0"/>
              <w:widowControl w:val="0"/>
              <w:bidi w:val="0"/>
              <w:spacing w:line="360" w:lineRule="exact"/>
              <w:contextualSpacing/>
              <w:rPr>
                <w:rFonts w:hint="eastAsia" w:hAnsi="宋体" w:cs="宋体"/>
                <w:b/>
                <w:bCs w:val="0"/>
                <w:color w:val="000000" w:themeColor="text1"/>
                <w:sz w:val="21"/>
                <w:highlight w:val="none"/>
                <w14:textFill>
                  <w14:solidFill>
                    <w14:schemeClr w14:val="tx1"/>
                  </w14:solidFill>
                </w14:textFill>
              </w:rPr>
            </w:pPr>
            <w:r>
              <w:rPr>
                <w:rFonts w:hint="eastAsia" w:hAnsi="宋体" w:cs="宋体"/>
                <w:b/>
                <w:bCs w:val="0"/>
                <w:color w:val="000000" w:themeColor="text1"/>
                <w:sz w:val="21"/>
                <w:highlight w:val="none"/>
                <w14:textFill>
                  <w14:solidFill>
                    <w14:schemeClr w14:val="tx1"/>
                  </w14:solidFill>
                </w14:textFill>
              </w:rPr>
              <w:t>（1）</w:t>
            </w:r>
            <w:r>
              <w:rPr>
                <w:rFonts w:hint="eastAsia" w:hAnsi="宋体" w:cs="宋体"/>
                <w:b/>
                <w:bCs w:val="0"/>
                <w:color w:val="000000" w:themeColor="text1"/>
                <w:sz w:val="21"/>
                <w:highlight w:val="none"/>
                <w:lang w:eastAsia="zh-CN"/>
                <w14:textFill>
                  <w14:solidFill>
                    <w14:schemeClr w14:val="tx1"/>
                  </w14:solidFill>
                </w14:textFill>
              </w:rPr>
              <w:t>项目需求分析</w:t>
            </w:r>
            <w:r>
              <w:rPr>
                <w:rFonts w:hint="eastAsia" w:hAnsi="宋体" w:cs="宋体"/>
                <w:b/>
                <w:bCs w:val="0"/>
                <w:color w:val="000000" w:themeColor="text1"/>
                <w:sz w:val="21"/>
                <w:highlight w:val="none"/>
                <w14:textFill>
                  <w14:solidFill>
                    <w14:schemeClr w14:val="tx1"/>
                  </w14:solidFill>
                </w14:textFill>
              </w:rPr>
              <w:t xml:space="preserve"> （满分1</w:t>
            </w:r>
            <w:r>
              <w:rPr>
                <w:rFonts w:hint="eastAsia" w:hAnsi="宋体" w:cs="宋体"/>
                <w:b/>
                <w:bCs w:val="0"/>
                <w:color w:val="000000" w:themeColor="text1"/>
                <w:sz w:val="21"/>
                <w:highlight w:val="none"/>
                <w:lang w:val="en-US" w:eastAsia="zh-CN"/>
                <w14:textFill>
                  <w14:solidFill>
                    <w14:schemeClr w14:val="tx1"/>
                  </w14:solidFill>
                </w14:textFill>
              </w:rPr>
              <w:t>2</w:t>
            </w:r>
            <w:r>
              <w:rPr>
                <w:rFonts w:hint="eastAsia" w:hAnsi="宋体" w:cs="宋体"/>
                <w:b/>
                <w:bCs w:val="0"/>
                <w:color w:val="000000" w:themeColor="text1"/>
                <w:sz w:val="21"/>
                <w:highlight w:val="none"/>
                <w14:textFill>
                  <w14:solidFill>
                    <w14:schemeClr w14:val="tx1"/>
                  </w14:solidFill>
                </w14:textFill>
              </w:rPr>
              <w:t>分）</w:t>
            </w:r>
          </w:p>
          <w:p w14:paraId="5C0971F4">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一档（3分）：</w:t>
            </w:r>
            <w:r>
              <w:rPr>
                <w:rFonts w:hint="eastAsia" w:hAnsi="宋体" w:cs="宋体"/>
                <w:b w:val="0"/>
                <w:bCs/>
                <w:color w:val="000000" w:themeColor="text1"/>
                <w:sz w:val="21"/>
                <w:highlight w:val="none"/>
                <w:lang w:val="en-US" w:eastAsia="zh-CN"/>
                <w14:textFill>
                  <w14:solidFill>
                    <w14:schemeClr w14:val="tx1"/>
                  </w14:solidFill>
                </w14:textFill>
              </w:rPr>
              <w:t>基于对项目的理解不够完整，项目需求总体认识概述未结合本项目实际，各主要施工阶段关键技术方法没有论述，无具体规划论述。</w:t>
            </w:r>
          </w:p>
          <w:p w14:paraId="6D2A55D7">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二档（6分）：</w:t>
            </w:r>
            <w:r>
              <w:rPr>
                <w:rFonts w:hint="eastAsia" w:hAnsi="宋体" w:cs="宋体"/>
                <w:b w:val="0"/>
                <w:bCs/>
                <w:color w:val="000000" w:themeColor="text1"/>
                <w:sz w:val="21"/>
                <w:highlight w:val="none"/>
                <w:lang w:val="en-US" w:eastAsia="zh-CN"/>
                <w14:textFill>
                  <w14:solidFill>
                    <w14:schemeClr w14:val="tx1"/>
                  </w14:solidFill>
                </w14:textFill>
              </w:rPr>
              <w:t>基于对项目的理解完整，项目需求总体认识概述结合本项目实际展开论述，有各主要施工阶段关键技术方法的基本论述，有基本的实现生产障碍耕地治理的规划论述。</w:t>
            </w:r>
          </w:p>
          <w:p w14:paraId="315409EF">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三档（9分）：</w:t>
            </w:r>
            <w:r>
              <w:rPr>
                <w:rFonts w:hint="eastAsia" w:hAnsi="宋体" w:cs="宋体"/>
                <w:b w:val="0"/>
                <w:bCs/>
                <w:color w:val="000000" w:themeColor="text1"/>
                <w:sz w:val="21"/>
                <w:highlight w:val="none"/>
                <w:lang w:val="en-US" w:eastAsia="zh-CN"/>
                <w14:textFill>
                  <w14:solidFill>
                    <w14:schemeClr w14:val="tx1"/>
                  </w14:solidFill>
                </w14:textFill>
              </w:rPr>
              <w:t>基于对项目的理解完整全面，项目需求总体认识概述结合本项目实际具体论述，有各主要施工阶段关键技术方法的具体论述，有实现生产障碍耕地治理的具体规划论述，项目重难点分析准确。</w:t>
            </w:r>
          </w:p>
          <w:p w14:paraId="4B2894D3">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四档（12分）：</w:t>
            </w:r>
            <w:r>
              <w:rPr>
                <w:rFonts w:hint="eastAsia" w:hAnsi="宋体" w:cs="宋体"/>
                <w:b w:val="0"/>
                <w:bCs/>
                <w:color w:val="000000" w:themeColor="text1"/>
                <w:sz w:val="21"/>
                <w:highlight w:val="none"/>
                <w:lang w:val="en-US" w:eastAsia="zh-CN"/>
                <w14:textFill>
                  <w14:solidFill>
                    <w14:schemeClr w14:val="tx1"/>
                  </w14:solidFill>
                </w14:textFill>
              </w:rPr>
              <w:t>基于对项目的理解全面、准确，项目需求总体认识概述充分结合本项目实际详细论述，有各主要施工阶段关键技术方法的详细论述，有实现生产障碍耕地治理的具体规划论述，项目重难点分析准确，能提出合理性、有效性与针对性的意见和应对措施的。</w:t>
            </w:r>
          </w:p>
          <w:p w14:paraId="6B7E1A0D">
            <w:pPr>
              <w:rPr>
                <w:rFonts w:hint="eastAsia" w:hAnsi="宋体" w:cs="宋体"/>
                <w:b w:val="0"/>
                <w:bCs/>
                <w:color w:val="000000" w:themeColor="text1"/>
                <w:sz w:val="21"/>
                <w:highlight w:val="none"/>
                <w:lang w:val="en-US" w:eastAsia="zh-CN"/>
                <w14:textFill>
                  <w14:solidFill>
                    <w14:schemeClr w14:val="tx1"/>
                  </w14:solidFill>
                </w14:textFill>
              </w:rPr>
            </w:pPr>
          </w:p>
          <w:p w14:paraId="150CFF74">
            <w:pPr>
              <w:rPr>
                <w:rFonts w:hint="eastAsia" w:hAnsi="宋体" w:cs="宋体"/>
                <w:b w:val="0"/>
                <w:bCs/>
                <w:color w:val="000000" w:themeColor="text1"/>
                <w:sz w:val="21"/>
                <w:highlight w:val="none"/>
                <w:lang w:val="en-US" w:eastAsia="zh-CN"/>
                <w14:textFill>
                  <w14:solidFill>
                    <w14:schemeClr w14:val="tx1"/>
                  </w14:solidFill>
                </w14:textFill>
              </w:rPr>
            </w:pPr>
          </w:p>
          <w:p w14:paraId="19964FD5">
            <w:pPr>
              <w:pStyle w:val="127"/>
              <w:keepNext w:val="0"/>
              <w:keepLines w:val="0"/>
              <w:pageBreakBefore w:val="0"/>
              <w:widowControl w:val="0"/>
              <w:bidi w:val="0"/>
              <w:spacing w:line="360" w:lineRule="exact"/>
              <w:contextualSpacing/>
              <w:rPr>
                <w:rFonts w:hint="eastAsia" w:hAnsi="宋体" w:cs="宋体"/>
                <w:b/>
                <w:bCs w:val="0"/>
                <w:color w:val="000000" w:themeColor="text1"/>
                <w:sz w:val="21"/>
                <w:highlight w:val="none"/>
                <w14:textFill>
                  <w14:solidFill>
                    <w14:schemeClr w14:val="tx1"/>
                  </w14:solidFill>
                </w14:textFill>
              </w:rPr>
            </w:pPr>
            <w:r>
              <w:rPr>
                <w:rFonts w:hint="eastAsia" w:hAnsi="宋体" w:cs="宋体"/>
                <w:b/>
                <w:bCs w:val="0"/>
                <w:color w:val="000000" w:themeColor="text1"/>
                <w:sz w:val="21"/>
                <w:highlight w:val="none"/>
                <w14:textFill>
                  <w14:solidFill>
                    <w14:schemeClr w14:val="tx1"/>
                  </w14:solidFill>
                </w14:textFill>
              </w:rPr>
              <w:t>（2）质量保障措施分（满分</w:t>
            </w:r>
            <w:r>
              <w:rPr>
                <w:rFonts w:hint="eastAsia" w:hAnsi="宋体" w:cs="宋体"/>
                <w:b/>
                <w:bCs w:val="0"/>
                <w:color w:val="000000" w:themeColor="text1"/>
                <w:sz w:val="21"/>
                <w:highlight w:val="none"/>
                <w:lang w:val="en-US" w:eastAsia="zh-CN"/>
                <w14:textFill>
                  <w14:solidFill>
                    <w14:schemeClr w14:val="tx1"/>
                  </w14:solidFill>
                </w14:textFill>
              </w:rPr>
              <w:t>12</w:t>
            </w:r>
            <w:r>
              <w:rPr>
                <w:rFonts w:hint="eastAsia" w:hAnsi="宋体" w:cs="宋体"/>
                <w:b/>
                <w:bCs w:val="0"/>
                <w:color w:val="000000" w:themeColor="text1"/>
                <w:sz w:val="21"/>
                <w:highlight w:val="none"/>
                <w14:textFill>
                  <w14:solidFill>
                    <w14:schemeClr w14:val="tx1"/>
                  </w14:solidFill>
                </w14:textFill>
              </w:rPr>
              <w:t>分）</w:t>
            </w:r>
          </w:p>
          <w:p w14:paraId="67848AA7">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一档（3分）：</w:t>
            </w:r>
            <w:r>
              <w:rPr>
                <w:rFonts w:hint="eastAsia" w:hAnsi="宋体" w:cs="宋体"/>
                <w:b w:val="0"/>
                <w:bCs/>
                <w:color w:val="000000" w:themeColor="text1"/>
                <w:sz w:val="21"/>
                <w:highlight w:val="none"/>
                <w:lang w:val="en-US" w:eastAsia="zh-CN"/>
                <w14:textFill>
                  <w14:solidFill>
                    <w14:schemeClr w14:val="tx1"/>
                  </w14:solidFill>
                </w14:textFill>
              </w:rPr>
              <w:t>提供的技术质量控制措施基本保证项目成果质量达到验收标准，无具体的保障措施，无项目进度计划安排；</w:t>
            </w:r>
          </w:p>
          <w:p w14:paraId="01104BA0">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二档（6分）：</w:t>
            </w:r>
            <w:r>
              <w:rPr>
                <w:rFonts w:hint="eastAsia" w:hAnsi="宋体" w:cs="宋体"/>
                <w:b w:val="0"/>
                <w:bCs/>
                <w:color w:val="000000" w:themeColor="text1"/>
                <w:sz w:val="21"/>
                <w:highlight w:val="none"/>
                <w:lang w:val="en-US" w:eastAsia="zh-CN"/>
                <w14:textFill>
                  <w14:solidFill>
                    <w14:schemeClr w14:val="tx1"/>
                  </w14:solidFill>
                </w14:textFill>
              </w:rPr>
              <w:t>提供的技术质量控制措施能保证项目成果质量达到验收标准，提供了项目进度计划安排，提供基本的安全防护措施及环境保护措施；</w:t>
            </w:r>
          </w:p>
          <w:p w14:paraId="799B41D4">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三档（9分）：</w:t>
            </w:r>
            <w:r>
              <w:rPr>
                <w:rFonts w:hint="eastAsia" w:hAnsi="宋体" w:cs="宋体"/>
                <w:b w:val="0"/>
                <w:bCs/>
                <w:color w:val="000000" w:themeColor="text1"/>
                <w:sz w:val="21"/>
                <w:highlight w:val="none"/>
                <w:lang w:val="en-US" w:eastAsia="zh-CN"/>
                <w14:textFill>
                  <w14:solidFill>
                    <w14:schemeClr w14:val="tx1"/>
                  </w14:solidFill>
                </w14:textFill>
              </w:rPr>
              <w:t>提供的技术质量控制措施能有效保证项目成果质量达到验收标准，提供了具体的项目进度计划安排，提供具体的安全防护措施、应急救援预案，提供了环境保护措施能有效防止二次污染；</w:t>
            </w:r>
          </w:p>
          <w:p w14:paraId="014C7A3B">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四档（12分）：</w:t>
            </w:r>
            <w:r>
              <w:rPr>
                <w:rFonts w:hint="eastAsia" w:hAnsi="宋体" w:cs="宋体"/>
                <w:b w:val="0"/>
                <w:bCs/>
                <w:color w:val="000000" w:themeColor="text1"/>
                <w:sz w:val="21"/>
                <w:highlight w:val="none"/>
                <w:lang w:val="en-US" w:eastAsia="zh-CN"/>
                <w14:textFill>
                  <w14:solidFill>
                    <w14:schemeClr w14:val="tx1"/>
                  </w14:solidFill>
                </w14:textFill>
              </w:rPr>
              <w:t>提供了详细的技术质量控制措施能有效保证项目成果质量达到验收标准，提供了详细的项目进度计划安排，安排结合实际工作要求，安全防护措施及应急救援预案内容完整全面、关键技术点描述清晰，提供了环境保护措施能有效防止二次污染，保密措施齐全，满足项目的保密要求。</w:t>
            </w:r>
          </w:p>
          <w:p w14:paraId="7E3D22B1">
            <w:pPr>
              <w:keepNext w:val="0"/>
              <w:keepLines w:val="0"/>
              <w:pageBreakBefore w:val="0"/>
              <w:widowControl w:val="0"/>
              <w:numPr>
                <w:ilvl w:val="0"/>
                <w:numId w:val="0"/>
              </w:numPr>
              <w:bidi w:val="0"/>
              <w:spacing w:line="360" w:lineRule="exact"/>
              <w:ind w:firstLine="422"/>
              <w:rPr>
                <w:rFonts w:hint="eastAsia" w:hAnsi="宋体" w:cs="宋体"/>
                <w:b/>
                <w:bCs w:val="0"/>
                <w:color w:val="000000" w:themeColor="text1"/>
                <w:highlight w:val="none"/>
                <w14:textFill>
                  <w14:solidFill>
                    <w14:schemeClr w14:val="tx1"/>
                  </w14:solidFill>
                </w14:textFill>
              </w:rPr>
            </w:pPr>
            <w:r>
              <w:rPr>
                <w:rFonts w:hint="eastAsia" w:hAnsi="宋体" w:cs="宋体"/>
                <w:b/>
                <w:bCs w:val="0"/>
                <w:color w:val="000000" w:themeColor="text1"/>
                <w:sz w:val="21"/>
                <w:szCs w:val="24"/>
                <w:highlight w:val="none"/>
                <w:lang w:val="en-US" w:eastAsia="zh-CN" w:bidi="ar-SA"/>
                <w14:textFill>
                  <w14:solidFill>
                    <w14:schemeClr w14:val="tx1"/>
                  </w14:solidFill>
                </w14:textFill>
              </w:rPr>
              <w:t>（3）</w:t>
            </w:r>
            <w:r>
              <w:rPr>
                <w:rFonts w:hint="eastAsia" w:hAnsi="宋体" w:cs="宋体"/>
                <w:b/>
                <w:bCs w:val="0"/>
                <w:color w:val="000000" w:themeColor="text1"/>
                <w:highlight w:val="none"/>
                <w14:textFill>
                  <w14:solidFill>
                    <w14:schemeClr w14:val="tx1"/>
                  </w14:solidFill>
                </w14:textFill>
              </w:rPr>
              <w:t>项目实施方案（满分16分）</w:t>
            </w:r>
          </w:p>
          <w:p w14:paraId="2951C9BE">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一档（4分）：</w:t>
            </w:r>
            <w:r>
              <w:rPr>
                <w:rFonts w:hint="eastAsia" w:hAnsi="宋体" w:cs="宋体"/>
                <w:b w:val="0"/>
                <w:bCs/>
                <w:color w:val="000000" w:themeColor="text1"/>
                <w:sz w:val="21"/>
                <w:highlight w:val="none"/>
                <w:lang w:val="en-US" w:eastAsia="zh-CN"/>
                <w14:textFill>
                  <w14:solidFill>
                    <w14:schemeClr w14:val="tx1"/>
                  </w14:solidFill>
                </w14:textFill>
              </w:rPr>
              <w:t>实施方案没有展开论述，为结合本项目编制，提出的服务保障方案不够具体；</w:t>
            </w:r>
          </w:p>
          <w:p w14:paraId="4E7DD778">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二档（8分）：</w:t>
            </w:r>
            <w:r>
              <w:rPr>
                <w:rFonts w:hint="eastAsia" w:hAnsi="宋体" w:cs="宋体"/>
                <w:b w:val="0"/>
                <w:bCs/>
                <w:color w:val="000000" w:themeColor="text1"/>
                <w:sz w:val="21"/>
                <w:highlight w:val="none"/>
                <w:lang w:val="en-US" w:eastAsia="zh-CN"/>
                <w14:textFill>
                  <w14:solidFill>
                    <w14:schemeClr w14:val="tx1"/>
                  </w14:solidFill>
                </w14:textFill>
              </w:rPr>
              <w:t>实施方案内容完整，对每个区域的实施技术路线描述完整，重金属高中低风险区域农用地安全利用实施流程、技术方法服务保障方案可行；</w:t>
            </w:r>
          </w:p>
          <w:p w14:paraId="5B0AE809">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三档（12分）：</w:t>
            </w:r>
            <w:r>
              <w:rPr>
                <w:rFonts w:hint="eastAsia" w:hAnsi="宋体" w:cs="宋体"/>
                <w:b w:val="0"/>
                <w:bCs/>
                <w:color w:val="000000" w:themeColor="text1"/>
                <w:sz w:val="21"/>
                <w:highlight w:val="none"/>
                <w:lang w:val="en-US" w:eastAsia="zh-CN"/>
                <w14:textFill>
                  <w14:solidFill>
                    <w14:schemeClr w14:val="tx1"/>
                  </w14:solidFill>
                </w14:textFill>
              </w:rPr>
              <w:t>实施方案内容整体合理、具备操作性，对本项目的顺利实施提出的方案有针对性，能保障项目顺利实施，对每个区域的实施技术路线描述完整，重金属高中低风险区域农用地安全利用实施流程、技术方法完整，有具体材料物资投入计划，提出的服务保障方案合理可行；</w:t>
            </w:r>
          </w:p>
          <w:p w14:paraId="0AC4F575">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四档（16分）：</w:t>
            </w:r>
            <w:r>
              <w:rPr>
                <w:rFonts w:hint="eastAsia" w:hAnsi="宋体" w:cs="宋体"/>
                <w:b w:val="0"/>
                <w:bCs/>
                <w:color w:val="000000" w:themeColor="text1"/>
                <w:sz w:val="21"/>
                <w:highlight w:val="none"/>
                <w:lang w:val="en-US" w:eastAsia="zh-CN"/>
                <w14:textFill>
                  <w14:solidFill>
                    <w14:schemeClr w14:val="tx1"/>
                  </w14:solidFill>
                </w14:textFill>
              </w:rPr>
              <w:t>实施方案内容整体科学、合理、可操作，对本项目的顺利实施提出了科学可行的方案，能有利保障项目顺利实施，每个区域的实施技术路线描述完整，重金属高中低风险区域农用地安全利用实施流程、技术方法完整，有具体材料物资投入计划，具备实施重点、难点分析与对应的解决方法，提出的服务保障方案契合项目需求，具备突出且适应项目地的技术方案。</w:t>
            </w:r>
          </w:p>
          <w:p w14:paraId="73D5A1D9">
            <w:pPr>
              <w:pStyle w:val="127"/>
              <w:keepNext w:val="0"/>
              <w:keepLines w:val="0"/>
              <w:pageBreakBefore w:val="0"/>
              <w:widowControl w:val="0"/>
              <w:bidi w:val="0"/>
              <w:spacing w:line="360" w:lineRule="exact"/>
              <w:ind w:firstLine="422"/>
              <w:contextualSpacing/>
              <w:rPr>
                <w:rFonts w:hint="eastAsia" w:hAnsi="宋体" w:cs="宋体"/>
                <w:b/>
                <w:bCs w:val="0"/>
                <w:color w:val="000000" w:themeColor="text1"/>
                <w:sz w:val="21"/>
                <w:highlight w:val="none"/>
                <w14:textFill>
                  <w14:solidFill>
                    <w14:schemeClr w14:val="tx1"/>
                  </w14:solidFill>
                </w14:textFill>
              </w:rPr>
            </w:pPr>
            <w:r>
              <w:rPr>
                <w:rFonts w:hint="eastAsia" w:hAnsi="宋体" w:cs="宋体"/>
                <w:b/>
                <w:bCs w:val="0"/>
                <w:color w:val="000000" w:themeColor="text1"/>
                <w:sz w:val="21"/>
                <w:highlight w:val="none"/>
                <w:lang w:eastAsia="zh-CN"/>
                <w14:textFill>
                  <w14:solidFill>
                    <w14:schemeClr w14:val="tx1"/>
                  </w14:solidFill>
                </w14:textFill>
              </w:rPr>
              <w:t>（</w:t>
            </w:r>
            <w:r>
              <w:rPr>
                <w:rFonts w:hint="eastAsia" w:hAnsi="宋体" w:cs="宋体"/>
                <w:b/>
                <w:bCs w:val="0"/>
                <w:color w:val="000000" w:themeColor="text1"/>
                <w:sz w:val="21"/>
                <w:highlight w:val="none"/>
                <w:lang w:val="en-US" w:eastAsia="zh-CN"/>
                <w14:textFill>
                  <w14:solidFill>
                    <w14:schemeClr w14:val="tx1"/>
                  </w14:solidFill>
                </w14:textFill>
              </w:rPr>
              <w:t>4</w:t>
            </w:r>
            <w:r>
              <w:rPr>
                <w:rFonts w:hint="eastAsia" w:hAnsi="宋体" w:cs="宋体"/>
                <w:b/>
                <w:bCs w:val="0"/>
                <w:color w:val="000000" w:themeColor="text1"/>
                <w:sz w:val="21"/>
                <w:highlight w:val="none"/>
                <w:lang w:eastAsia="zh-CN"/>
                <w14:textFill>
                  <w14:solidFill>
                    <w14:schemeClr w14:val="tx1"/>
                  </w14:solidFill>
                </w14:textFill>
              </w:rPr>
              <w:t>）</w:t>
            </w:r>
            <w:r>
              <w:rPr>
                <w:rFonts w:hint="eastAsia" w:hAnsi="宋体" w:cs="宋体"/>
                <w:b/>
                <w:bCs w:val="0"/>
                <w:color w:val="000000" w:themeColor="text1"/>
                <w:sz w:val="21"/>
                <w:highlight w:val="none"/>
                <w14:textFill>
                  <w14:solidFill>
                    <w14:schemeClr w14:val="tx1"/>
                  </w14:solidFill>
                </w14:textFill>
              </w:rPr>
              <w:t>对本工作的合理化建议（满分</w:t>
            </w:r>
            <w:r>
              <w:rPr>
                <w:rFonts w:hint="eastAsia" w:hAnsi="宋体" w:cs="宋体"/>
                <w:b/>
                <w:bCs w:val="0"/>
                <w:color w:val="000000" w:themeColor="text1"/>
                <w:sz w:val="21"/>
                <w:highlight w:val="none"/>
                <w:lang w:val="en-US" w:eastAsia="zh-CN"/>
                <w14:textFill>
                  <w14:solidFill>
                    <w14:schemeClr w14:val="tx1"/>
                  </w14:solidFill>
                </w14:textFill>
              </w:rPr>
              <w:t>12</w:t>
            </w:r>
            <w:r>
              <w:rPr>
                <w:rFonts w:hint="eastAsia" w:hAnsi="宋体" w:cs="宋体"/>
                <w:b/>
                <w:bCs w:val="0"/>
                <w:color w:val="000000" w:themeColor="text1"/>
                <w:sz w:val="21"/>
                <w:highlight w:val="none"/>
                <w14:textFill>
                  <w14:solidFill>
                    <w14:schemeClr w14:val="tx1"/>
                  </w14:solidFill>
                </w14:textFill>
              </w:rPr>
              <w:t>分）</w:t>
            </w:r>
          </w:p>
          <w:p w14:paraId="014B06E1">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一档（3分）：</w:t>
            </w:r>
            <w:r>
              <w:rPr>
                <w:rFonts w:hint="eastAsia" w:hAnsi="宋体" w:cs="宋体"/>
                <w:b w:val="0"/>
                <w:bCs/>
                <w:color w:val="000000" w:themeColor="text1"/>
                <w:sz w:val="21"/>
                <w:highlight w:val="none"/>
                <w:lang w:val="en-US" w:eastAsia="zh-CN"/>
                <w14:textFill>
                  <w14:solidFill>
                    <w14:schemeClr w14:val="tx1"/>
                  </w14:solidFill>
                </w14:textFill>
              </w:rPr>
              <w:t>针对本项目未提供建议，或者所提建议不具备可操作性；</w:t>
            </w:r>
          </w:p>
          <w:p w14:paraId="75DD1499">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二档（6分）：</w:t>
            </w:r>
            <w:r>
              <w:rPr>
                <w:rFonts w:hint="eastAsia" w:hAnsi="宋体" w:cs="宋体"/>
                <w:b w:val="0"/>
                <w:bCs/>
                <w:color w:val="000000" w:themeColor="text1"/>
                <w:sz w:val="21"/>
                <w:highlight w:val="none"/>
                <w:lang w:val="en-US" w:eastAsia="zh-CN"/>
                <w14:textFill>
                  <w14:solidFill>
                    <w14:schemeClr w14:val="tx1"/>
                  </w14:solidFill>
                </w14:textFill>
              </w:rPr>
              <w:t>针对本项目提出了至少1条建议，基本符合项目要求，对项目实施有指导意义；</w:t>
            </w:r>
          </w:p>
          <w:p w14:paraId="2267CFAF">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三档（9分）：</w:t>
            </w:r>
            <w:r>
              <w:rPr>
                <w:rFonts w:hint="eastAsia" w:hAnsi="宋体" w:cs="宋体"/>
                <w:b w:val="0"/>
                <w:bCs/>
                <w:color w:val="000000" w:themeColor="text1"/>
                <w:sz w:val="21"/>
                <w:highlight w:val="none"/>
                <w:lang w:val="en-US" w:eastAsia="zh-CN"/>
                <w14:textFill>
                  <w14:solidFill>
                    <w14:schemeClr w14:val="tx1"/>
                  </w14:solidFill>
                </w14:textFill>
              </w:rPr>
              <w:t>针对本项目提出了2条建议，基本符合项目要求，有可操作性，对项目实施有指导意义；</w:t>
            </w:r>
          </w:p>
          <w:p w14:paraId="483BD907">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四档（12分）：</w:t>
            </w:r>
            <w:r>
              <w:rPr>
                <w:rFonts w:hint="eastAsia" w:hAnsi="宋体" w:cs="宋体"/>
                <w:b w:val="0"/>
                <w:bCs/>
                <w:color w:val="000000" w:themeColor="text1"/>
                <w:sz w:val="21"/>
                <w:highlight w:val="none"/>
                <w:lang w:val="en-US" w:eastAsia="zh-CN"/>
                <w14:textFill>
                  <w14:solidFill>
                    <w14:schemeClr w14:val="tx1"/>
                  </w14:solidFill>
                </w14:textFill>
              </w:rPr>
              <w:t>针对本项目提出了至少2建议，并且切合项目实际，具备可操作性，指导项目执行。</w:t>
            </w:r>
          </w:p>
          <w:p w14:paraId="194DC945">
            <w:pPr>
              <w:keepNext w:val="0"/>
              <w:keepLines w:val="0"/>
              <w:pageBreakBefore w:val="0"/>
              <w:widowControl w:val="0"/>
              <w:numPr>
                <w:ilvl w:val="0"/>
                <w:numId w:val="0"/>
              </w:numPr>
              <w:bidi w:val="0"/>
              <w:spacing w:line="360" w:lineRule="exact"/>
              <w:ind w:firstLine="422"/>
              <w:rPr>
                <w:rFonts w:hint="eastAsia"/>
                <w:b/>
                <w:bCs/>
                <w:color w:val="000000" w:themeColor="text1"/>
                <w:highlight w:val="none"/>
                <w14:textFill>
                  <w14:solidFill>
                    <w14:schemeClr w14:val="tx1"/>
                  </w14:solidFill>
                </w14:textFill>
              </w:rPr>
            </w:pPr>
            <w:r>
              <w:rPr>
                <w:rFonts w:hint="eastAsia"/>
                <w:b/>
                <w:bCs/>
                <w:color w:val="000000" w:themeColor="text1"/>
                <w:sz w:val="21"/>
                <w:szCs w:val="24"/>
                <w:highlight w:val="none"/>
                <w:lang w:val="en-US" w:eastAsia="zh-CN" w:bidi="ar-SA"/>
                <w14:textFill>
                  <w14:solidFill>
                    <w14:schemeClr w14:val="tx1"/>
                  </w14:solidFill>
                </w14:textFill>
              </w:rPr>
              <w:t>（5）</w:t>
            </w:r>
            <w:r>
              <w:rPr>
                <w:rFonts w:hint="eastAsia"/>
                <w:b/>
                <w:bCs/>
                <w:color w:val="000000" w:themeColor="text1"/>
                <w:highlight w:val="none"/>
                <w:lang w:eastAsia="zh-CN"/>
                <w14:textFill>
                  <w14:solidFill>
                    <w14:schemeClr w14:val="tx1"/>
                  </w14:solidFill>
                </w14:textFill>
              </w:rPr>
              <w:t>培训方案</w:t>
            </w:r>
            <w:r>
              <w:rPr>
                <w:rFonts w:hint="eastAsia"/>
                <w:b/>
                <w:bCs/>
                <w:color w:val="000000" w:themeColor="text1"/>
                <w:highlight w:val="none"/>
                <w14:textFill>
                  <w14:solidFill>
                    <w14:schemeClr w14:val="tx1"/>
                  </w14:solidFill>
                </w14:textFill>
              </w:rPr>
              <w:t>（满分</w:t>
            </w:r>
            <w:r>
              <w:rPr>
                <w:rFonts w:hint="eastAsia"/>
                <w:b/>
                <w:bCs/>
                <w:color w:val="000000" w:themeColor="text1"/>
                <w:highlight w:val="none"/>
                <w:lang w:val="en-US" w:eastAsia="zh-CN"/>
                <w14:textFill>
                  <w14:solidFill>
                    <w14:schemeClr w14:val="tx1"/>
                  </w14:solidFill>
                </w14:textFill>
              </w:rPr>
              <w:t>9</w:t>
            </w:r>
            <w:r>
              <w:rPr>
                <w:rFonts w:hint="eastAsia"/>
                <w:b/>
                <w:bCs/>
                <w:color w:val="000000" w:themeColor="text1"/>
                <w:highlight w:val="none"/>
                <w14:textFill>
                  <w14:solidFill>
                    <w14:schemeClr w14:val="tx1"/>
                  </w14:solidFill>
                </w14:textFill>
              </w:rPr>
              <w:t>分）</w:t>
            </w:r>
          </w:p>
          <w:p w14:paraId="36C2DF95">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一档（3分）：</w:t>
            </w:r>
            <w:r>
              <w:rPr>
                <w:rFonts w:hint="eastAsia" w:hAnsi="宋体" w:cs="宋体"/>
                <w:b w:val="0"/>
                <w:bCs/>
                <w:color w:val="000000" w:themeColor="text1"/>
                <w:sz w:val="21"/>
                <w:highlight w:val="none"/>
                <w:lang w:val="en-US" w:eastAsia="zh-CN"/>
                <w14:textFill>
                  <w14:solidFill>
                    <w14:schemeClr w14:val="tx1"/>
                  </w14:solidFill>
                </w14:textFill>
              </w:rPr>
              <w:t>提供了具体的</w:t>
            </w:r>
            <w:r>
              <w:rPr>
                <w:rFonts w:hint="eastAsia" w:ascii="宋体" w:hAnsi="宋体" w:eastAsia="宋体" w:cs="宋体"/>
                <w:b w:val="0"/>
                <w:bCs/>
                <w:color w:val="000000" w:themeColor="text1"/>
                <w:sz w:val="21"/>
                <w:highlight w:val="none"/>
                <w:lang w:val="en-US" w:eastAsia="zh-CN"/>
                <w14:textFill>
                  <w14:solidFill>
                    <w14:schemeClr w14:val="tx1"/>
                  </w14:solidFill>
                </w14:textFill>
              </w:rPr>
              <w:t>培训方案</w:t>
            </w:r>
            <w:r>
              <w:rPr>
                <w:rFonts w:hint="eastAsia" w:hAnsi="宋体" w:cs="宋体"/>
                <w:b w:val="0"/>
                <w:bCs/>
                <w:color w:val="000000" w:themeColor="text1"/>
                <w:sz w:val="21"/>
                <w:highlight w:val="none"/>
                <w:lang w:val="en-US" w:eastAsia="zh-CN"/>
                <w14:textFill>
                  <w14:solidFill>
                    <w14:schemeClr w14:val="tx1"/>
                  </w14:solidFill>
                </w14:textFill>
              </w:rPr>
              <w:t>，</w:t>
            </w:r>
            <w:r>
              <w:rPr>
                <w:rFonts w:hint="eastAsia" w:ascii="宋体" w:hAnsi="宋体" w:eastAsia="宋体" w:cs="宋体"/>
                <w:b w:val="0"/>
                <w:bCs/>
                <w:color w:val="000000" w:themeColor="text1"/>
                <w:sz w:val="21"/>
                <w:highlight w:val="none"/>
                <w:lang w:val="en-US" w:eastAsia="zh-CN"/>
                <w14:textFill>
                  <w14:solidFill>
                    <w14:schemeClr w14:val="tx1"/>
                  </w14:solidFill>
                </w14:textFill>
              </w:rPr>
              <w:t>内容未针对项目对培训内容、时间、人员等展开论述</w:t>
            </w:r>
            <w:r>
              <w:rPr>
                <w:rFonts w:hint="eastAsia" w:hAnsi="宋体" w:cs="宋体"/>
                <w:b w:val="0"/>
                <w:bCs/>
                <w:color w:val="000000" w:themeColor="text1"/>
                <w:sz w:val="21"/>
                <w:highlight w:val="none"/>
                <w:lang w:val="en-US" w:eastAsia="zh-CN"/>
                <w14:textFill>
                  <w14:solidFill>
                    <w14:schemeClr w14:val="tx1"/>
                  </w14:solidFill>
                </w14:textFill>
              </w:rPr>
              <w:t>；</w:t>
            </w:r>
          </w:p>
          <w:p w14:paraId="66718052">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二档（6分）：</w:t>
            </w:r>
            <w:r>
              <w:rPr>
                <w:rFonts w:hint="eastAsia" w:ascii="宋体" w:hAnsi="宋体" w:eastAsia="宋体" w:cs="宋体"/>
                <w:b w:val="0"/>
                <w:bCs/>
                <w:color w:val="000000" w:themeColor="text1"/>
                <w:sz w:val="21"/>
                <w:highlight w:val="none"/>
                <w:lang w:val="en-US" w:eastAsia="zh-CN"/>
                <w14:textFill>
                  <w14:solidFill>
                    <w14:schemeClr w14:val="tx1"/>
                  </w14:solidFill>
                </w14:textFill>
              </w:rPr>
              <w:t>方案内容包括农用地安全利用技术落地需要的培训，培训内容具体，有具体的培训时间、人员安排</w:t>
            </w:r>
            <w:r>
              <w:rPr>
                <w:rFonts w:hint="eastAsia" w:hAnsi="宋体" w:cs="宋体"/>
                <w:b w:val="0"/>
                <w:bCs/>
                <w:color w:val="000000" w:themeColor="text1"/>
                <w:sz w:val="21"/>
                <w:highlight w:val="none"/>
                <w:lang w:val="en-US" w:eastAsia="zh-CN"/>
                <w14:textFill>
                  <w14:solidFill>
                    <w14:schemeClr w14:val="tx1"/>
                  </w14:solidFill>
                </w14:textFill>
              </w:rPr>
              <w:t>；</w:t>
            </w:r>
          </w:p>
          <w:p w14:paraId="48E430E7">
            <w:pPr>
              <w:pStyle w:val="127"/>
              <w:keepNext w:val="0"/>
              <w:keepLines w:val="0"/>
              <w:pageBreakBefore w:val="0"/>
              <w:widowControl w:val="0"/>
              <w:bidi w:val="0"/>
              <w:spacing w:line="360" w:lineRule="exact"/>
              <w:ind w:firstLine="420"/>
              <w:contextualSpacing/>
              <w:rPr>
                <w:rFonts w:hint="eastAsia"/>
                <w:color w:val="000000" w:themeColor="text1"/>
                <w:highlight w:val="none"/>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三档（9分）：</w:t>
            </w:r>
            <w:r>
              <w:rPr>
                <w:rFonts w:hint="eastAsia" w:ascii="宋体" w:hAnsi="宋体" w:eastAsia="宋体" w:cs="宋体"/>
                <w:b w:val="0"/>
                <w:bCs/>
                <w:color w:val="000000" w:themeColor="text1"/>
                <w:sz w:val="21"/>
                <w:highlight w:val="none"/>
                <w:lang w:val="en-US" w:eastAsia="zh-CN"/>
                <w14:textFill>
                  <w14:solidFill>
                    <w14:schemeClr w14:val="tx1"/>
                  </w14:solidFill>
                </w14:textFill>
              </w:rPr>
              <w:t>方案内容包括农用地安全利用技术落地需要的培训、宣传等方面的技术培训，培训内容具体，有具体的培训时间、人员、课时安排，培训工作能根据项目实际内容及质量目标进行开展，培训质量有保障</w:t>
            </w:r>
            <w:r>
              <w:rPr>
                <w:rFonts w:hint="eastAsia" w:hAnsi="宋体" w:cs="宋体"/>
                <w:b w:val="0"/>
                <w:bCs/>
                <w:color w:val="000000" w:themeColor="text1"/>
                <w:sz w:val="21"/>
                <w:highlight w:val="none"/>
                <w:lang w:val="en-US" w:eastAsia="zh-CN"/>
                <w14:textFill>
                  <w14:solidFill>
                    <w14:schemeClr w14:val="tx1"/>
                  </w14:solidFill>
                </w14:textFill>
              </w:rPr>
              <w:t>。</w:t>
            </w:r>
          </w:p>
        </w:tc>
      </w:tr>
      <w:tr w14:paraId="586E0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Borders>
              <w:top w:val="single" w:color="auto" w:sz="4" w:space="0"/>
              <w:left w:val="single" w:color="auto" w:sz="4" w:space="0"/>
              <w:bottom w:val="single" w:color="auto" w:sz="4" w:space="0"/>
              <w:right w:val="single" w:color="auto" w:sz="4" w:space="0"/>
            </w:tcBorders>
            <w:noWrap w:val="0"/>
            <w:vAlign w:val="center"/>
          </w:tcPr>
          <w:p w14:paraId="2E985F1F">
            <w:pPr>
              <w:spacing w:line="360" w:lineRule="atLeast"/>
              <w:ind w:left="-105" w:right="-105"/>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5ABCB72C">
            <w:pPr>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服务承诺(满分</w:t>
            </w:r>
            <w:r>
              <w:rPr>
                <w:rFonts w:hint="eastAsia" w:ascii="宋体" w:hAnsi="宋体" w:cs="宋体"/>
                <w:b/>
                <w:color w:val="000000" w:themeColor="text1"/>
                <w:szCs w:val="21"/>
                <w:highlight w:val="none"/>
                <w:lang w:val="en-US" w:eastAsia="zh-CN"/>
                <w14:textFill>
                  <w14:solidFill>
                    <w14:schemeClr w14:val="tx1"/>
                  </w14:solidFill>
                </w14:textFill>
              </w:rPr>
              <w:t>16</w:t>
            </w:r>
            <w:r>
              <w:rPr>
                <w:rFonts w:hint="eastAsia" w:ascii="宋体" w:hAnsi="宋体" w:cs="宋体"/>
                <w:b/>
                <w:color w:val="000000" w:themeColor="text1"/>
                <w:szCs w:val="21"/>
                <w:highlight w:val="none"/>
                <w14:textFill>
                  <w14:solidFill>
                    <w14:schemeClr w14:val="tx1"/>
                  </w14:solidFill>
                </w14:textFill>
              </w:rPr>
              <w:t>分）</w:t>
            </w:r>
          </w:p>
        </w:tc>
        <w:tc>
          <w:tcPr>
            <w:tcW w:w="3868" w:type="pct"/>
            <w:tcBorders>
              <w:top w:val="single" w:color="auto" w:sz="4" w:space="0"/>
              <w:left w:val="single" w:color="auto" w:sz="4" w:space="0"/>
              <w:bottom w:val="single" w:color="auto" w:sz="4" w:space="0"/>
              <w:right w:val="single" w:color="auto" w:sz="4" w:space="0"/>
            </w:tcBorders>
            <w:noWrap w:val="0"/>
            <w:vAlign w:val="center"/>
          </w:tcPr>
          <w:p w14:paraId="7AC8C9DB">
            <w:pPr>
              <w:pStyle w:val="127"/>
              <w:keepNext w:val="0"/>
              <w:keepLines w:val="0"/>
              <w:pageBreakBefore w:val="0"/>
              <w:widowControl w:val="0"/>
              <w:bidi w:val="0"/>
              <w:spacing w:line="360" w:lineRule="exact"/>
              <w:ind w:firstLine="420"/>
              <w:contextualSpacing/>
              <w:rPr>
                <w:rFonts w:hAnsi="宋体" w:cs="宋体"/>
                <w:b w:val="0"/>
                <w:bCs/>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一档（4分）：</w:t>
            </w:r>
            <w:r>
              <w:rPr>
                <w:rFonts w:hint="eastAsia" w:hAnsi="宋体" w:cs="宋体"/>
                <w:b w:val="0"/>
                <w:bCs/>
                <w:color w:val="000000" w:themeColor="text1"/>
                <w:sz w:val="21"/>
                <w:highlight w:val="none"/>
                <w:lang w:val="en-US" w:eastAsia="zh-CN"/>
                <w14:textFill>
                  <w14:solidFill>
                    <w14:schemeClr w14:val="tx1"/>
                  </w14:solidFill>
                </w14:textFill>
              </w:rPr>
              <w:t>服务承诺内容未展开对项目质量进度进行描述；承诺接到采购人处理问题通知后24小时内到达采购人指定现场。</w:t>
            </w:r>
          </w:p>
          <w:p w14:paraId="04A21F20">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二档（8分）：</w:t>
            </w:r>
            <w:r>
              <w:rPr>
                <w:rFonts w:hint="eastAsia" w:hAnsi="宋体" w:cs="宋体"/>
                <w:b w:val="0"/>
                <w:bCs/>
                <w:color w:val="000000" w:themeColor="text1"/>
                <w:sz w:val="21"/>
                <w:highlight w:val="none"/>
                <w:lang w:val="en-US" w:eastAsia="zh-CN"/>
                <w14:textFill>
                  <w14:solidFill>
                    <w14:schemeClr w14:val="tx1"/>
                  </w14:solidFill>
                </w14:textFill>
              </w:rPr>
              <w:t>服务承诺内容完整，服务承诺有实现功能要求的基本解决方案、措施，能保证项目质量进度，承诺接到采购人处理问题通知后20小时内到达采购人指定现场。</w:t>
            </w:r>
          </w:p>
          <w:p w14:paraId="26E26A18">
            <w:pPr>
              <w:pStyle w:val="127"/>
              <w:keepNext w:val="0"/>
              <w:keepLines w:val="0"/>
              <w:pageBreakBefore w:val="0"/>
              <w:widowControl w:val="0"/>
              <w:bidi w:val="0"/>
              <w:spacing w:line="360" w:lineRule="exact"/>
              <w:ind w:firstLine="420"/>
              <w:contextualSpacing/>
              <w:rPr>
                <w:rFonts w:hAnsi="宋体" w:cs="宋体"/>
                <w:b w:val="0"/>
                <w:bCs/>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三档 （12分）：</w:t>
            </w:r>
            <w:r>
              <w:rPr>
                <w:rFonts w:hint="eastAsia" w:hAnsi="宋体" w:cs="宋体"/>
                <w:b w:val="0"/>
                <w:bCs/>
                <w:color w:val="000000" w:themeColor="text1"/>
                <w:sz w:val="21"/>
                <w:highlight w:val="none"/>
                <w:lang w:val="en-US" w:eastAsia="zh-CN"/>
                <w14:textFill>
                  <w14:solidFill>
                    <w14:schemeClr w14:val="tx1"/>
                  </w14:solidFill>
                </w14:textFill>
              </w:rPr>
              <w:t>服务承诺内容具体，服务承诺有实现功能要求的解决方案、措施，能保证项目质量进度，设置有专门的售后服务机构，承诺接到采购人处理问题通知后16小时内到达采购人指定现场。</w:t>
            </w:r>
          </w:p>
          <w:p w14:paraId="72C48FAB">
            <w:pPr>
              <w:pStyle w:val="127"/>
              <w:keepNext w:val="0"/>
              <w:keepLines w:val="0"/>
              <w:pageBreakBefore w:val="0"/>
              <w:widowControl w:val="0"/>
              <w:bidi w:val="0"/>
              <w:spacing w:line="360" w:lineRule="exact"/>
              <w:ind w:firstLine="420"/>
              <w:contextualSpacing/>
              <w:rPr>
                <w:rFonts w:hint="eastAsia"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 w:val="21"/>
                <w:highlight w:val="none"/>
                <w:lang w:val="en-US" w:eastAsia="zh-CN"/>
                <w14:textFill>
                  <w14:solidFill>
                    <w14:schemeClr w14:val="tx1"/>
                  </w14:solidFill>
                </w14:textFill>
              </w:rPr>
              <w:t>四档 （</w:t>
            </w:r>
            <w:r>
              <w:rPr>
                <w:rFonts w:hint="eastAsia" w:hAnsi="宋体" w:cs="宋体"/>
                <w:b/>
                <w:bCs w:val="0"/>
                <w:color w:val="000000" w:themeColor="text1"/>
                <w:sz w:val="21"/>
                <w:highlight w:val="none"/>
                <w:lang w:val="en-US" w:eastAsia="zh-CN"/>
                <w14:textFill>
                  <w14:solidFill>
                    <w14:schemeClr w14:val="tx1"/>
                  </w14:solidFill>
                </w14:textFill>
              </w:rPr>
              <w:t>16</w:t>
            </w:r>
            <w:r>
              <w:rPr>
                <w:rFonts w:hint="eastAsia" w:ascii="宋体" w:hAnsi="宋体" w:eastAsia="宋体" w:cs="宋体"/>
                <w:b/>
                <w:bCs w:val="0"/>
                <w:color w:val="000000" w:themeColor="text1"/>
                <w:sz w:val="21"/>
                <w:highlight w:val="none"/>
                <w:lang w:val="en-US" w:eastAsia="zh-CN"/>
                <w14:textFill>
                  <w14:solidFill>
                    <w14:schemeClr w14:val="tx1"/>
                  </w14:solidFill>
                </w14:textFill>
              </w:rPr>
              <w:t>分）：</w:t>
            </w:r>
            <w:r>
              <w:rPr>
                <w:rFonts w:hint="eastAsia" w:hAnsi="宋体" w:cs="宋体"/>
                <w:b w:val="0"/>
                <w:bCs/>
                <w:color w:val="000000" w:themeColor="text1"/>
                <w:sz w:val="21"/>
                <w:highlight w:val="none"/>
                <w:lang w:val="en-US" w:eastAsia="zh-CN"/>
                <w14:textFill>
                  <w14:solidFill>
                    <w14:schemeClr w14:val="tx1"/>
                  </w14:solidFill>
                </w14:textFill>
              </w:rPr>
              <w:t>服务承诺内容详细，服务承诺有实现功能要求的具体解决方案、具体措施，能保证项目质量进度，设置有专门的售后服务机构，能安排有项目人员常驻项目所在地负责服务工作，承诺接到采购人处理问题通知后12小时内到达采购人指定现场</w:t>
            </w:r>
            <w:r>
              <w:rPr>
                <w:rFonts w:hint="eastAsia" w:ascii="宋体" w:hAnsi="宋体" w:eastAsia="宋体" w:cs="宋体"/>
                <w:b w:val="0"/>
                <w:bCs/>
                <w:color w:val="000000" w:themeColor="text1"/>
                <w:sz w:val="21"/>
                <w:highlight w:val="none"/>
                <w:lang w:val="en-US" w:eastAsia="zh-CN"/>
                <w14:textFill>
                  <w14:solidFill>
                    <w14:schemeClr w14:val="tx1"/>
                  </w14:solidFill>
                </w14:textFill>
              </w:rPr>
              <w:t>。</w:t>
            </w:r>
          </w:p>
        </w:tc>
      </w:tr>
      <w:tr w14:paraId="17FD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6" w:hRule="atLeast"/>
        </w:trPr>
        <w:tc>
          <w:tcPr>
            <w:tcW w:w="436" w:type="pct"/>
            <w:tcBorders>
              <w:top w:val="single" w:color="auto" w:sz="4" w:space="0"/>
              <w:left w:val="single" w:color="auto" w:sz="4" w:space="0"/>
              <w:bottom w:val="single" w:color="auto" w:sz="4" w:space="0"/>
              <w:right w:val="single" w:color="auto" w:sz="4" w:space="0"/>
            </w:tcBorders>
            <w:noWrap w:val="0"/>
            <w:vAlign w:val="center"/>
          </w:tcPr>
          <w:p w14:paraId="2DBDD822">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4</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30BC6028">
            <w:pPr>
              <w:pStyle w:val="127"/>
              <w:keepNext w:val="0"/>
              <w:keepLines w:val="0"/>
              <w:pageBreakBefore w:val="0"/>
              <w:widowControl w:val="0"/>
              <w:bidi w:val="0"/>
              <w:spacing w:line="360" w:lineRule="exact"/>
              <w:ind w:firstLine="420"/>
              <w:contextualSpacing/>
              <w:rPr>
                <w:rFonts w:hint="eastAsia" w:hAnsi="宋体" w:cs="宋体"/>
                <w:b/>
                <w:bCs w:val="0"/>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主要人员配备情况</w:t>
            </w:r>
          </w:p>
          <w:p w14:paraId="1094B088">
            <w:pPr>
              <w:pStyle w:val="127"/>
              <w:keepNext w:val="0"/>
              <w:keepLines w:val="0"/>
              <w:pageBreakBefore w:val="0"/>
              <w:widowControl w:val="0"/>
              <w:bidi w:val="0"/>
              <w:spacing w:line="360" w:lineRule="exact"/>
              <w:contextualSpacing/>
              <w:rPr>
                <w:rFonts w:hint="eastAsia" w:hAnsi="宋体" w:cs="宋体"/>
                <w:b/>
                <w:bCs w:val="0"/>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（满分11分）</w:t>
            </w:r>
          </w:p>
        </w:tc>
        <w:tc>
          <w:tcPr>
            <w:tcW w:w="3868" w:type="pct"/>
            <w:tcBorders>
              <w:top w:val="single" w:color="auto" w:sz="4" w:space="0"/>
              <w:left w:val="single" w:color="auto" w:sz="4" w:space="0"/>
              <w:bottom w:val="single" w:color="auto" w:sz="4" w:space="0"/>
              <w:right w:val="single" w:color="auto" w:sz="4" w:space="0"/>
            </w:tcBorders>
            <w:noWrap w:val="0"/>
            <w:vAlign w:val="center"/>
          </w:tcPr>
          <w:p w14:paraId="1FDCB5F1">
            <w:pPr>
              <w:pStyle w:val="127"/>
              <w:keepNext w:val="0"/>
              <w:keepLines w:val="0"/>
              <w:pageBreakBefore w:val="0"/>
              <w:widowControl w:val="0"/>
              <w:bidi w:val="0"/>
              <w:spacing w:line="360" w:lineRule="exact"/>
              <w:ind w:firstLine="420" w:firstLineChars="200"/>
              <w:contextualSpacing/>
              <w:rPr>
                <w:rFonts w:hint="eastAsia" w:hAnsi="宋体" w:cs="宋体"/>
                <w:b/>
                <w:bCs w:val="0"/>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(1)项目负责人具有土壤学、栽培学、生态学、环境工程、农学、农业资源与环境、土肥、农作、智慧农业、植物保护、测绘与地理信息其中之一相关专业</w:t>
            </w:r>
            <w:r>
              <w:rPr>
                <w:rFonts w:hint="eastAsia" w:hAnsi="宋体" w:cs="宋体"/>
                <w:b/>
                <w:bCs w:val="0"/>
                <w:color w:val="000000" w:themeColor="text1"/>
                <w:sz w:val="21"/>
                <w:highlight w:val="none"/>
                <w:lang w:val="en-US" w:eastAsia="zh-CN"/>
                <w14:textFill>
                  <w14:solidFill>
                    <w14:schemeClr w14:val="tx1"/>
                  </w14:solidFill>
                </w14:textFill>
              </w:rPr>
              <w:t>中级职称</w:t>
            </w:r>
            <w:r>
              <w:rPr>
                <w:rFonts w:hint="eastAsia" w:hAnsi="宋体" w:cs="宋体"/>
                <w:b w:val="0"/>
                <w:bCs/>
                <w:color w:val="000000" w:themeColor="text1"/>
                <w:sz w:val="21"/>
                <w:highlight w:val="none"/>
                <w:lang w:val="en-US" w:eastAsia="zh-CN"/>
                <w14:textFill>
                  <w14:solidFill>
                    <w14:schemeClr w14:val="tx1"/>
                  </w14:solidFill>
                </w14:textFill>
              </w:rPr>
              <w:t>的得2分;具有土壤学、栽培学</w:t>
            </w:r>
            <w:bookmarkStart w:id="47" w:name="_GoBack"/>
            <w:bookmarkEnd w:id="47"/>
            <w:r>
              <w:rPr>
                <w:rFonts w:hint="eastAsia" w:hAnsi="宋体" w:cs="宋体"/>
                <w:b w:val="0"/>
                <w:bCs/>
                <w:color w:val="000000" w:themeColor="text1"/>
                <w:sz w:val="21"/>
                <w:highlight w:val="none"/>
                <w:lang w:val="en-US" w:eastAsia="zh-CN"/>
                <w14:textFill>
                  <w14:solidFill>
                    <w14:schemeClr w14:val="tx1"/>
                  </w14:solidFill>
                </w14:textFill>
              </w:rPr>
              <w:t>、生态学、环境工程、农学、农业资源与环境、土肥、农作、智慧农业、植物保护、测绘与地理信息其中之一相关专业</w:t>
            </w:r>
            <w:r>
              <w:rPr>
                <w:rFonts w:hint="eastAsia" w:hAnsi="宋体" w:cs="宋体"/>
                <w:b/>
                <w:bCs w:val="0"/>
                <w:color w:val="000000" w:themeColor="text1"/>
                <w:sz w:val="21"/>
                <w:highlight w:val="none"/>
                <w:lang w:val="en-US" w:eastAsia="zh-CN"/>
                <w14:textFill>
                  <w14:solidFill>
                    <w14:schemeClr w14:val="tx1"/>
                  </w14:solidFill>
                </w14:textFill>
              </w:rPr>
              <w:t>高级职称</w:t>
            </w:r>
            <w:r>
              <w:rPr>
                <w:rFonts w:hint="eastAsia" w:hAnsi="宋体" w:cs="宋体"/>
                <w:b w:val="0"/>
                <w:bCs/>
                <w:color w:val="000000" w:themeColor="text1"/>
                <w:sz w:val="21"/>
                <w:highlight w:val="none"/>
                <w:lang w:val="en-US" w:eastAsia="zh-CN"/>
                <w14:textFill>
                  <w14:solidFill>
                    <w14:schemeClr w14:val="tx1"/>
                  </w14:solidFill>
                </w14:textFill>
              </w:rPr>
              <w:t>的得4分。</w:t>
            </w:r>
            <w:r>
              <w:rPr>
                <w:rFonts w:hint="eastAsia" w:hAnsi="宋体" w:cs="宋体"/>
                <w:b/>
                <w:bCs w:val="0"/>
                <w:color w:val="000000" w:themeColor="text1"/>
                <w:sz w:val="21"/>
                <w:highlight w:val="none"/>
                <w:lang w:val="en-US" w:eastAsia="zh-CN"/>
                <w14:textFill>
                  <w14:solidFill>
                    <w14:schemeClr w14:val="tx1"/>
                  </w14:solidFill>
                </w14:textFill>
              </w:rPr>
              <w:t>本项满分得4分。</w:t>
            </w:r>
          </w:p>
          <w:p w14:paraId="40B92D83">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(2)项目团队成员情况:具有土壤学、栽培学、生态学、环境工程、农学、农业资源与环境、土肥、农作、智慧农业、植物保护、测绘与地理信息其中之一相关专业</w:t>
            </w:r>
            <w:r>
              <w:rPr>
                <w:rFonts w:hint="eastAsia" w:hAnsi="宋体" w:cs="宋体"/>
                <w:b/>
                <w:bCs w:val="0"/>
                <w:color w:val="000000" w:themeColor="text1"/>
                <w:sz w:val="21"/>
                <w:highlight w:val="none"/>
                <w:lang w:val="en-US" w:eastAsia="zh-CN"/>
                <w14:textFill>
                  <w14:solidFill>
                    <w14:schemeClr w14:val="tx1"/>
                  </w14:solidFill>
                </w14:textFill>
              </w:rPr>
              <w:t>中级职称</w:t>
            </w:r>
            <w:r>
              <w:rPr>
                <w:rFonts w:hint="eastAsia" w:hAnsi="宋体" w:cs="宋体"/>
                <w:b w:val="0"/>
                <w:bCs/>
                <w:color w:val="000000" w:themeColor="text1"/>
                <w:sz w:val="21"/>
                <w:highlight w:val="none"/>
                <w:lang w:val="en-US" w:eastAsia="zh-CN"/>
                <w14:textFill>
                  <w14:solidFill>
                    <w14:schemeClr w14:val="tx1"/>
                  </w14:solidFill>
                </w14:textFill>
              </w:rPr>
              <w:t>的每人得2分，最多加4分;具有土壤学、栽培学、生态学、环境工程、农学、农业资源与环境、土肥、农作、智慧农业、植物保护、测绘与地理信息其中之一相关专业</w:t>
            </w:r>
            <w:r>
              <w:rPr>
                <w:rFonts w:hint="eastAsia" w:hAnsi="宋体" w:cs="宋体"/>
                <w:b/>
                <w:bCs w:val="0"/>
                <w:color w:val="000000" w:themeColor="text1"/>
                <w:sz w:val="21"/>
                <w:highlight w:val="none"/>
                <w:lang w:val="en-US" w:eastAsia="zh-CN"/>
                <w14:textFill>
                  <w14:solidFill>
                    <w14:schemeClr w14:val="tx1"/>
                  </w14:solidFill>
                </w14:textFill>
              </w:rPr>
              <w:t>高级职称</w:t>
            </w:r>
            <w:r>
              <w:rPr>
                <w:rFonts w:hint="eastAsia" w:hAnsi="宋体" w:cs="宋体"/>
                <w:b w:val="0"/>
                <w:bCs/>
                <w:color w:val="000000" w:themeColor="text1"/>
                <w:sz w:val="21"/>
                <w:highlight w:val="none"/>
                <w:lang w:val="en-US" w:eastAsia="zh-CN"/>
                <w14:textFill>
                  <w14:solidFill>
                    <w14:schemeClr w14:val="tx1"/>
                  </w14:solidFill>
                </w14:textFill>
              </w:rPr>
              <w:t>的每人得3分，最多加3分。</w:t>
            </w:r>
          </w:p>
          <w:p w14:paraId="60CF9260">
            <w:pPr>
              <w:pStyle w:val="127"/>
              <w:keepNext w:val="0"/>
              <w:keepLines w:val="0"/>
              <w:pageBreakBefore w:val="0"/>
              <w:widowControl w:val="0"/>
              <w:bidi w:val="0"/>
              <w:spacing w:line="360" w:lineRule="exact"/>
              <w:ind w:firstLine="420"/>
              <w:contextualSpacing/>
              <w:rPr>
                <w:rFonts w:hint="eastAsia" w:hAnsi="宋体" w:cs="宋体"/>
                <w:b/>
                <w:bCs w:val="0"/>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本项满分得11分。</w:t>
            </w:r>
          </w:p>
          <w:p w14:paraId="28EF22CB">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注：注:所有拟投入人员必须是供应商本单位人员(须提供劳动合同或聘书或其他能证明属于供应商单位人员的材料)，必须提供相关身份证复印件、职称证书复印件或学历证书复印件等证明材料复印件并加盖单位公章，否则不得分。</w:t>
            </w:r>
          </w:p>
        </w:tc>
      </w:tr>
      <w:tr w14:paraId="45F6B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Borders>
              <w:top w:val="single" w:color="auto" w:sz="4" w:space="0"/>
              <w:left w:val="single" w:color="auto" w:sz="4" w:space="0"/>
              <w:bottom w:val="single" w:color="auto" w:sz="4" w:space="0"/>
              <w:right w:val="single" w:color="auto" w:sz="4" w:space="0"/>
            </w:tcBorders>
            <w:noWrap w:val="0"/>
            <w:vAlign w:val="center"/>
          </w:tcPr>
          <w:p w14:paraId="5EF75E29">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5</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2C406495">
            <w:pPr>
              <w:pStyle w:val="127"/>
              <w:keepNext w:val="0"/>
              <w:keepLines w:val="0"/>
              <w:pageBreakBefore w:val="0"/>
              <w:widowControl w:val="0"/>
              <w:bidi w:val="0"/>
              <w:spacing w:line="360" w:lineRule="exact"/>
              <w:ind w:firstLine="420"/>
              <w:contextualSpacing/>
              <w:rPr>
                <w:rFonts w:hint="eastAsia" w:hAnsi="宋体" w:cs="宋体"/>
                <w:b/>
                <w:bCs w:val="0"/>
                <w:color w:val="000000" w:themeColor="text1"/>
                <w:sz w:val="21"/>
                <w:highlight w:val="none"/>
                <w:lang w:val="en-US" w:eastAsia="zh-CN"/>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业绩（满分2分）</w:t>
            </w:r>
          </w:p>
        </w:tc>
        <w:tc>
          <w:tcPr>
            <w:tcW w:w="3868" w:type="pct"/>
            <w:tcBorders>
              <w:top w:val="single" w:color="auto" w:sz="4" w:space="0"/>
              <w:left w:val="single" w:color="auto" w:sz="4" w:space="0"/>
              <w:bottom w:val="single" w:color="auto" w:sz="4" w:space="0"/>
              <w:right w:val="single" w:color="auto" w:sz="4" w:space="0"/>
            </w:tcBorders>
            <w:noWrap w:val="0"/>
            <w:vAlign w:val="center"/>
          </w:tcPr>
          <w:p w14:paraId="0F59FA85">
            <w:pPr>
              <w:pStyle w:val="127"/>
              <w:keepNext w:val="0"/>
              <w:keepLines w:val="0"/>
              <w:pageBreakBefore w:val="0"/>
              <w:widowControl w:val="0"/>
              <w:bidi w:val="0"/>
              <w:spacing w:line="360" w:lineRule="exact"/>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2023年1月1日以来至响应文件递交截止日期止，供应商承担过类似项目的，每项得2分，满分2分。[以合同或中标(成交)通知书复印件为准，并加盖供应商公章]。</w:t>
            </w:r>
          </w:p>
        </w:tc>
      </w:tr>
      <w:tr w14:paraId="715D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5000" w:type="pct"/>
            <w:gridSpan w:val="3"/>
            <w:tcBorders>
              <w:top w:val="single" w:color="auto" w:sz="4" w:space="0"/>
              <w:left w:val="single" w:color="auto" w:sz="4" w:space="0"/>
              <w:bottom w:val="single" w:color="auto" w:sz="4" w:space="0"/>
              <w:right w:val="single" w:color="auto" w:sz="4" w:space="0"/>
            </w:tcBorders>
            <w:noWrap w:val="0"/>
            <w:vAlign w:val="center"/>
          </w:tcPr>
          <w:p w14:paraId="1172F855">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总得分=1+2+3+4+5</w:t>
            </w:r>
          </w:p>
          <w:p w14:paraId="297CB695">
            <w:pPr>
              <w:pStyle w:val="127"/>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备注：本项目为服务类项目，不涉及节能环保政策考核。</w:t>
            </w:r>
          </w:p>
        </w:tc>
      </w:tr>
    </w:tbl>
    <w:p w14:paraId="2A7D2B60"/>
    <w:p w14:paraId="2BB9C2D9">
      <w:pPr>
        <w:spacing w:line="63" w:lineRule="exact"/>
      </w:pPr>
    </w:p>
    <w:p w14:paraId="0448FBF3">
      <w:pPr>
        <w:spacing w:line="480" w:lineRule="auto"/>
        <w:ind w:firstLine="420" w:firstLineChars="200"/>
        <w:jc w:val="left"/>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w:t>
      </w:r>
      <w:r>
        <w:rPr>
          <w:rFonts w:hint="eastAsia" w:ascii="宋体" w:hAnsi="宋体" w:cs="宋体"/>
          <w:color w:val="auto"/>
          <w:szCs w:val="21"/>
        </w:rPr>
        <w:t>评标委员会将根据得分由高到低排列次序（得分相同的，按投标报价由低到高顺序排列。得分且投标报价相同的并列。投标文件满足中标文件全部实质性要求，且按照评审因素的量化指标评审得分最高的投标人为排名第一的中标候选人）并推荐前三名为中标候选供应商。招标采购单位应当确定评审委员会推荐排名第一的中标候选人为中标人。排名第一的中标候选人放弃中标、因不可抗力提出不能履行合同，或者招标文件规定应当提交履约保证金而在规定的期限内未能提交的，招标采购单位可以确定排名第二的中标候选人为中标人。排名第二的中标候选人因前款规定的同样原因不能签订合同的，招标采购单位可以确定排名第三的中标候选人为中标人，其余以此类推。</w:t>
      </w:r>
    </w:p>
    <w:p w14:paraId="5B9E8980">
      <w:pPr>
        <w:spacing w:line="480" w:lineRule="auto"/>
        <w:ind w:firstLine="420" w:firstLineChars="200"/>
        <w:jc w:val="left"/>
        <w:rPr>
          <w:color w:val="auto"/>
        </w:rPr>
      </w:pPr>
      <w:r>
        <w:rPr>
          <w:rStyle w:val="116"/>
          <w:rFonts w:hint="eastAsia" w:hAnsi="宋体"/>
          <w:color w:val="auto"/>
        </w:rPr>
        <w:t>2</w:t>
      </w:r>
      <w:r>
        <w:rPr>
          <w:rStyle w:val="116"/>
          <w:rFonts w:hAnsi="宋体"/>
          <w:color w:val="auto"/>
        </w:rPr>
        <w:t>.</w:t>
      </w:r>
      <w:r>
        <w:rPr>
          <w:rStyle w:val="116"/>
          <w:rFonts w:hint="eastAsia" w:hAnsi="宋体"/>
          <w:color w:val="auto"/>
        </w:rPr>
        <w:t>评标委员会认为，某投标人的最低投标价或者某些小项报价明显不合理或者低于成本，有可能影响服务质量和不能诚信履约的，应当要求其在规定的期限内提供书面文件予以解释说明，并提交相关证明材料，否则评标委员会可以取消该投标人的中标候选供应商资格，按顺序由排在后面的中标候选供应商递补，以此类推。</w:t>
      </w:r>
    </w:p>
    <w:p w14:paraId="62E627E2">
      <w:pPr>
        <w:spacing w:line="14" w:lineRule="auto"/>
        <w:rPr>
          <w:sz w:val="2"/>
          <w:szCs w:val="2"/>
        </w:rPr>
        <w:sectPr>
          <w:footerReference r:id="rId6" w:type="default"/>
          <w:pgSz w:w="11912" w:h="16840"/>
          <w:pgMar w:top="1260" w:right="1161" w:bottom="1120" w:left="1139" w:header="0" w:footer="874" w:gutter="0"/>
          <w:pgNumType w:fmt="decimal"/>
          <w:cols w:space="720" w:num="1"/>
        </w:sectPr>
      </w:pPr>
    </w:p>
    <w:p w14:paraId="364059B8">
      <w:pPr>
        <w:pStyle w:val="22"/>
        <w:jc w:val="center"/>
        <w:outlineLvl w:val="0"/>
        <w:rPr>
          <w:rStyle w:val="40"/>
          <w:rFonts w:ascii="宋体" w:hAnsi="宋体" w:cs="宋体"/>
          <w:b/>
          <w:bCs/>
          <w:color w:val="auto"/>
          <w:highlight w:val="none"/>
        </w:rPr>
      </w:pPr>
      <w:r>
        <w:rPr>
          <w:rStyle w:val="40"/>
          <w:rFonts w:ascii="宋体" w:hAnsi="宋体" w:cs="宋体"/>
          <w:b/>
          <w:bCs/>
          <w:color w:val="auto"/>
          <w:highlight w:val="none"/>
        </w:rPr>
        <w:t>第六章  竞争性磋商响应文件（格式）</w:t>
      </w:r>
    </w:p>
    <w:p w14:paraId="312E0960">
      <w:pPr>
        <w:rPr>
          <w:rStyle w:val="40"/>
          <w:rFonts w:ascii="宋体" w:hAnsi="宋体"/>
          <w:color w:val="auto"/>
          <w:highlight w:val="none"/>
        </w:rPr>
      </w:pPr>
      <w:r>
        <w:rPr>
          <w:rStyle w:val="40"/>
          <w:rFonts w:ascii="宋体" w:hAnsi="宋体"/>
          <w:color w:val="auto"/>
          <w:highlight w:val="none"/>
        </w:rPr>
        <w:t xml:space="preserve"> </w:t>
      </w:r>
    </w:p>
    <w:p w14:paraId="1150DBA0">
      <w:pPr>
        <w:rPr>
          <w:rStyle w:val="40"/>
          <w:rFonts w:ascii="宋体" w:hAnsi="宋体"/>
          <w:color w:val="auto"/>
          <w:highlight w:val="none"/>
        </w:rPr>
      </w:pPr>
      <w:r>
        <w:rPr>
          <w:rStyle w:val="40"/>
          <w:rFonts w:ascii="宋体" w:hAnsi="宋体"/>
          <w:color w:val="auto"/>
          <w:highlight w:val="none"/>
        </w:rPr>
        <w:t xml:space="preserve"> </w:t>
      </w:r>
    </w:p>
    <w:p w14:paraId="63528E2D">
      <w:pPr>
        <w:rPr>
          <w:rStyle w:val="40"/>
          <w:rFonts w:ascii="宋体" w:hAnsi="宋体"/>
          <w:color w:val="auto"/>
          <w:highlight w:val="none"/>
        </w:rPr>
      </w:pPr>
      <w:r>
        <w:rPr>
          <w:rStyle w:val="40"/>
          <w:rFonts w:ascii="宋体" w:hAnsi="宋体"/>
          <w:color w:val="auto"/>
          <w:sz w:val="24"/>
          <w:szCs w:val="24"/>
          <w:highlight w:val="none"/>
        </w:rPr>
        <w:t xml:space="preserve">竞争性磋商响应文件的外包装封面格式 ：    </w:t>
      </w:r>
    </w:p>
    <w:p w14:paraId="5CBE60C6">
      <w:pPr>
        <w:jc w:val="center"/>
        <w:rPr>
          <w:rStyle w:val="40"/>
          <w:rFonts w:ascii="宋体" w:hAnsi="宋体"/>
          <w:b/>
          <w:color w:val="auto"/>
          <w:sz w:val="44"/>
          <w:szCs w:val="44"/>
          <w:highlight w:val="none"/>
        </w:rPr>
      </w:pPr>
    </w:p>
    <w:p w14:paraId="1D4CE774">
      <w:pPr>
        <w:jc w:val="center"/>
        <w:rPr>
          <w:rStyle w:val="40"/>
          <w:rFonts w:ascii="宋体" w:hAnsi="宋体"/>
          <w:b/>
          <w:color w:val="auto"/>
          <w:sz w:val="44"/>
          <w:szCs w:val="44"/>
          <w:highlight w:val="none"/>
        </w:rPr>
      </w:pPr>
      <w:r>
        <w:rPr>
          <w:rStyle w:val="40"/>
          <w:rFonts w:ascii="宋体" w:hAnsi="宋体"/>
          <w:b/>
          <w:color w:val="auto"/>
          <w:sz w:val="44"/>
          <w:szCs w:val="44"/>
          <w:highlight w:val="none"/>
        </w:rPr>
        <w:t>竞争性磋商响应文件</w:t>
      </w:r>
    </w:p>
    <w:p w14:paraId="1D512A3B">
      <w:pPr>
        <w:rPr>
          <w:rStyle w:val="40"/>
          <w:rFonts w:ascii="宋体" w:hAnsi="宋体"/>
          <w:color w:val="auto"/>
          <w:sz w:val="24"/>
          <w:szCs w:val="24"/>
          <w:highlight w:val="none"/>
        </w:rPr>
      </w:pPr>
    </w:p>
    <w:p w14:paraId="61797AD9">
      <w:pPr>
        <w:rPr>
          <w:rStyle w:val="40"/>
          <w:rFonts w:ascii="宋体" w:hAnsi="宋体"/>
          <w:color w:val="auto"/>
          <w:sz w:val="24"/>
          <w:szCs w:val="24"/>
          <w:highlight w:val="none"/>
        </w:rPr>
      </w:pPr>
    </w:p>
    <w:p w14:paraId="13947163">
      <w:pPr>
        <w:rPr>
          <w:rStyle w:val="40"/>
          <w:rFonts w:ascii="宋体" w:hAnsi="宋体"/>
          <w:color w:val="auto"/>
          <w:sz w:val="24"/>
          <w:szCs w:val="24"/>
          <w:highlight w:val="none"/>
        </w:rPr>
      </w:pPr>
    </w:p>
    <w:p w14:paraId="3F2BE3C3">
      <w:pPr>
        <w:rPr>
          <w:rStyle w:val="40"/>
          <w:rFonts w:ascii="宋体" w:hAnsi="宋体"/>
          <w:color w:val="auto"/>
          <w:sz w:val="24"/>
          <w:szCs w:val="24"/>
          <w:highlight w:val="none"/>
        </w:rPr>
      </w:pPr>
    </w:p>
    <w:p w14:paraId="428E9AAC">
      <w:pPr>
        <w:rPr>
          <w:rStyle w:val="40"/>
          <w:rFonts w:ascii="宋体" w:hAnsi="宋体"/>
          <w:color w:val="auto"/>
          <w:sz w:val="24"/>
          <w:szCs w:val="24"/>
          <w:highlight w:val="none"/>
        </w:rPr>
      </w:pPr>
    </w:p>
    <w:p w14:paraId="381E4911">
      <w:pPr>
        <w:spacing w:line="480" w:lineRule="auto"/>
        <w:ind w:firstLine="360" w:firstLineChars="150"/>
        <w:rPr>
          <w:rStyle w:val="40"/>
          <w:rFonts w:ascii="宋体" w:hAnsi="宋体"/>
          <w:color w:val="auto"/>
          <w:sz w:val="24"/>
          <w:szCs w:val="24"/>
          <w:highlight w:val="none"/>
        </w:rPr>
      </w:pPr>
      <w:r>
        <w:rPr>
          <w:rStyle w:val="40"/>
          <w:rFonts w:ascii="宋体" w:hAnsi="宋体"/>
          <w:color w:val="auto"/>
          <w:sz w:val="24"/>
          <w:szCs w:val="24"/>
          <w:highlight w:val="none"/>
        </w:rPr>
        <w:t>项目名称 ：</w:t>
      </w:r>
      <w:r>
        <w:rPr>
          <w:rStyle w:val="40"/>
          <w:rFonts w:ascii="宋体" w:hAnsi="宋体"/>
          <w:color w:val="auto"/>
          <w:sz w:val="24"/>
          <w:szCs w:val="24"/>
          <w:highlight w:val="none"/>
          <w:u w:val="single"/>
        </w:rPr>
        <w:t xml:space="preserve">                                             </w:t>
      </w:r>
      <w:r>
        <w:rPr>
          <w:rStyle w:val="40"/>
          <w:rFonts w:ascii="宋体" w:hAnsi="宋体"/>
          <w:color w:val="auto"/>
          <w:sz w:val="24"/>
          <w:szCs w:val="24"/>
          <w:highlight w:val="none"/>
        </w:rPr>
        <w:t xml:space="preserve">  </w:t>
      </w:r>
    </w:p>
    <w:p w14:paraId="5746CEBA">
      <w:pPr>
        <w:spacing w:line="480" w:lineRule="auto"/>
        <w:ind w:firstLine="360" w:firstLineChars="150"/>
        <w:rPr>
          <w:rStyle w:val="40"/>
          <w:rFonts w:ascii="宋体" w:hAnsi="宋体"/>
          <w:color w:val="auto"/>
          <w:sz w:val="24"/>
          <w:szCs w:val="24"/>
          <w:highlight w:val="none"/>
          <w:u w:val="single"/>
        </w:rPr>
      </w:pPr>
      <w:r>
        <w:rPr>
          <w:rStyle w:val="40"/>
          <w:rFonts w:ascii="宋体" w:hAnsi="宋体"/>
          <w:color w:val="auto"/>
          <w:sz w:val="24"/>
          <w:szCs w:val="24"/>
          <w:highlight w:val="none"/>
        </w:rPr>
        <w:t>项目编号 ：</w:t>
      </w:r>
      <w:r>
        <w:rPr>
          <w:rStyle w:val="40"/>
          <w:rFonts w:ascii="宋体" w:hAnsi="宋体"/>
          <w:color w:val="auto"/>
          <w:sz w:val="24"/>
          <w:szCs w:val="24"/>
          <w:highlight w:val="none"/>
          <w:u w:val="single"/>
        </w:rPr>
        <w:t xml:space="preserve"> </w:t>
      </w:r>
    </w:p>
    <w:p w14:paraId="1FDBCC87">
      <w:pPr>
        <w:spacing w:line="480" w:lineRule="auto"/>
        <w:ind w:firstLine="360" w:firstLineChars="150"/>
        <w:rPr>
          <w:rStyle w:val="40"/>
          <w:rFonts w:ascii="宋体" w:hAnsi="宋体"/>
          <w:color w:val="auto"/>
          <w:sz w:val="24"/>
          <w:szCs w:val="24"/>
          <w:highlight w:val="none"/>
        </w:rPr>
      </w:pPr>
      <w:r>
        <w:rPr>
          <w:rStyle w:val="40"/>
          <w:rFonts w:hint="eastAsia" w:ascii="宋体" w:hAnsi="宋体"/>
          <w:color w:val="auto"/>
          <w:sz w:val="24"/>
          <w:szCs w:val="24"/>
          <w:highlight w:val="none"/>
          <w:u w:val="single"/>
          <w:lang w:val="en-US" w:eastAsia="zh-CN"/>
        </w:rPr>
        <w:t>分标项：</w:t>
      </w:r>
      <w:r>
        <w:rPr>
          <w:rStyle w:val="40"/>
          <w:rFonts w:ascii="宋体" w:hAnsi="宋体"/>
          <w:color w:val="auto"/>
          <w:sz w:val="24"/>
          <w:szCs w:val="24"/>
          <w:highlight w:val="none"/>
          <w:u w:val="single"/>
        </w:rPr>
        <w:t xml:space="preserve">                                    </w:t>
      </w:r>
      <w:r>
        <w:rPr>
          <w:rStyle w:val="40"/>
          <w:rFonts w:ascii="宋体" w:hAnsi="宋体"/>
          <w:color w:val="auto"/>
          <w:sz w:val="24"/>
          <w:szCs w:val="24"/>
          <w:highlight w:val="none"/>
        </w:rPr>
        <w:t xml:space="preserve">  </w:t>
      </w:r>
    </w:p>
    <w:p w14:paraId="18EDBE7D">
      <w:pPr>
        <w:spacing w:line="480" w:lineRule="auto"/>
        <w:rPr>
          <w:rStyle w:val="40"/>
          <w:rFonts w:ascii="宋体" w:hAnsi="宋体"/>
          <w:color w:val="auto"/>
          <w:sz w:val="24"/>
          <w:szCs w:val="24"/>
          <w:highlight w:val="none"/>
        </w:rPr>
      </w:pPr>
    </w:p>
    <w:p w14:paraId="07B88933">
      <w:pPr>
        <w:spacing w:line="480" w:lineRule="auto"/>
        <w:ind w:firstLine="360" w:firstLineChars="150"/>
        <w:rPr>
          <w:rStyle w:val="40"/>
          <w:rFonts w:ascii="宋体" w:hAnsi="宋体"/>
          <w:color w:val="auto"/>
          <w:sz w:val="24"/>
          <w:szCs w:val="24"/>
          <w:highlight w:val="none"/>
        </w:rPr>
      </w:pPr>
      <w:r>
        <w:rPr>
          <w:rStyle w:val="40"/>
          <w:rFonts w:ascii="宋体" w:hAnsi="宋体"/>
          <w:color w:val="auto"/>
          <w:sz w:val="24"/>
          <w:szCs w:val="24"/>
          <w:highlight w:val="none"/>
        </w:rPr>
        <w:t>磋商供应商名称 ：</w:t>
      </w:r>
      <w:r>
        <w:rPr>
          <w:rStyle w:val="40"/>
          <w:rFonts w:ascii="宋体" w:hAnsi="宋体"/>
          <w:color w:val="auto"/>
          <w:sz w:val="24"/>
          <w:szCs w:val="24"/>
          <w:highlight w:val="none"/>
          <w:u w:val="single"/>
        </w:rPr>
        <w:t xml:space="preserve">                                       </w:t>
      </w:r>
      <w:r>
        <w:rPr>
          <w:rStyle w:val="40"/>
          <w:rFonts w:ascii="宋体" w:hAnsi="宋体"/>
          <w:color w:val="auto"/>
          <w:sz w:val="24"/>
          <w:szCs w:val="24"/>
          <w:highlight w:val="none"/>
        </w:rPr>
        <w:t xml:space="preserve">  </w:t>
      </w:r>
    </w:p>
    <w:p w14:paraId="1EEB3FEB">
      <w:pPr>
        <w:spacing w:line="480" w:lineRule="auto"/>
        <w:ind w:firstLine="360" w:firstLineChars="150"/>
        <w:rPr>
          <w:rStyle w:val="40"/>
          <w:rFonts w:ascii="宋体" w:hAnsi="宋体"/>
          <w:color w:val="auto"/>
          <w:sz w:val="24"/>
          <w:highlight w:val="none"/>
          <w:u w:val="single"/>
        </w:rPr>
      </w:pPr>
      <w:r>
        <w:rPr>
          <w:rStyle w:val="40"/>
          <w:rFonts w:ascii="宋体" w:hAnsi="宋体"/>
          <w:color w:val="auto"/>
          <w:sz w:val="24"/>
          <w:szCs w:val="24"/>
          <w:highlight w:val="none"/>
        </w:rPr>
        <w:t>地址：</w:t>
      </w:r>
      <w:r>
        <w:rPr>
          <w:rStyle w:val="40"/>
          <w:rFonts w:ascii="宋体" w:hAnsi="宋体"/>
          <w:color w:val="auto"/>
          <w:sz w:val="24"/>
          <w:szCs w:val="24"/>
          <w:highlight w:val="none"/>
          <w:u w:val="single"/>
        </w:rPr>
        <w:t xml:space="preserve">                                                     </w:t>
      </w:r>
      <w:r>
        <w:rPr>
          <w:rStyle w:val="40"/>
          <w:rFonts w:ascii="宋体" w:hAnsi="宋体"/>
          <w:color w:val="auto"/>
          <w:sz w:val="24"/>
          <w:highlight w:val="none"/>
          <w:u w:val="single"/>
        </w:rPr>
        <w:t xml:space="preserve">                         </w:t>
      </w:r>
    </w:p>
    <w:p w14:paraId="4E7A3721">
      <w:pPr>
        <w:spacing w:line="480" w:lineRule="auto"/>
        <w:rPr>
          <w:rStyle w:val="40"/>
          <w:rFonts w:ascii="宋体" w:hAnsi="宋体"/>
          <w:color w:val="auto"/>
          <w:sz w:val="24"/>
          <w:szCs w:val="24"/>
          <w:highlight w:val="none"/>
        </w:rPr>
      </w:pPr>
    </w:p>
    <w:p w14:paraId="3751EB6A">
      <w:pPr>
        <w:spacing w:line="480" w:lineRule="auto"/>
        <w:ind w:firstLine="960" w:firstLineChars="400"/>
        <w:rPr>
          <w:rStyle w:val="40"/>
          <w:rFonts w:ascii="宋体" w:hAnsi="宋体"/>
          <w:color w:val="auto"/>
          <w:sz w:val="24"/>
          <w:szCs w:val="24"/>
          <w:highlight w:val="none"/>
        </w:rPr>
      </w:pPr>
      <w:r>
        <w:rPr>
          <w:rStyle w:val="40"/>
          <w:rFonts w:ascii="宋体" w:hAnsi="宋体"/>
          <w:color w:val="auto"/>
          <w:sz w:val="24"/>
          <w:szCs w:val="24"/>
          <w:highlight w:val="none"/>
        </w:rPr>
        <w:t xml:space="preserve">（ 于北京时间  年   月  日   时   分前不得启封 ）  </w:t>
      </w:r>
    </w:p>
    <w:p w14:paraId="298B6B29">
      <w:pPr>
        <w:rPr>
          <w:rStyle w:val="40"/>
          <w:rFonts w:ascii="宋体" w:hAnsi="宋体"/>
          <w:color w:val="auto"/>
          <w:sz w:val="24"/>
          <w:szCs w:val="24"/>
          <w:highlight w:val="none"/>
        </w:rPr>
      </w:pPr>
      <w:r>
        <w:rPr>
          <w:rStyle w:val="40"/>
          <w:rFonts w:ascii="宋体" w:hAnsi="宋体"/>
          <w:color w:val="auto"/>
          <w:sz w:val="24"/>
          <w:szCs w:val="24"/>
          <w:highlight w:val="none"/>
        </w:rPr>
        <w:t xml:space="preserve"> </w:t>
      </w:r>
    </w:p>
    <w:p w14:paraId="2D2AFD74">
      <w:pPr>
        <w:rPr>
          <w:rStyle w:val="40"/>
          <w:rFonts w:ascii="宋体" w:hAnsi="宋体"/>
          <w:color w:val="auto"/>
          <w:sz w:val="24"/>
          <w:szCs w:val="24"/>
          <w:highlight w:val="none"/>
        </w:rPr>
      </w:pPr>
      <w:r>
        <w:rPr>
          <w:rStyle w:val="40"/>
          <w:rFonts w:ascii="宋体" w:hAnsi="宋体"/>
          <w:color w:val="auto"/>
          <w:sz w:val="24"/>
          <w:szCs w:val="24"/>
          <w:highlight w:val="none"/>
        </w:rPr>
        <w:t xml:space="preserve"> </w:t>
      </w:r>
    </w:p>
    <w:p w14:paraId="62CB17BD">
      <w:pPr>
        <w:rPr>
          <w:rStyle w:val="40"/>
          <w:rFonts w:ascii="宋体" w:hAnsi="宋体"/>
          <w:color w:val="auto"/>
          <w:sz w:val="24"/>
          <w:szCs w:val="24"/>
          <w:highlight w:val="none"/>
        </w:rPr>
      </w:pPr>
      <w:r>
        <w:rPr>
          <w:rStyle w:val="40"/>
          <w:rFonts w:ascii="宋体" w:hAnsi="宋体"/>
          <w:color w:val="auto"/>
          <w:sz w:val="24"/>
          <w:szCs w:val="24"/>
          <w:highlight w:val="none"/>
        </w:rPr>
        <w:t xml:space="preserve"> </w:t>
      </w:r>
    </w:p>
    <w:p w14:paraId="6CEF1CC0">
      <w:pPr>
        <w:rPr>
          <w:rStyle w:val="40"/>
          <w:rFonts w:ascii="宋体" w:hAnsi="宋体"/>
          <w:color w:val="auto"/>
          <w:sz w:val="24"/>
          <w:szCs w:val="24"/>
          <w:highlight w:val="none"/>
        </w:rPr>
      </w:pPr>
    </w:p>
    <w:p w14:paraId="422F784D">
      <w:pPr>
        <w:rPr>
          <w:rStyle w:val="40"/>
          <w:rFonts w:ascii="宋体" w:hAnsi="宋体"/>
          <w:color w:val="auto"/>
          <w:sz w:val="24"/>
          <w:szCs w:val="24"/>
          <w:highlight w:val="none"/>
        </w:rPr>
      </w:pPr>
    </w:p>
    <w:p w14:paraId="6BF49FB7">
      <w:pPr>
        <w:rPr>
          <w:rStyle w:val="40"/>
          <w:rFonts w:ascii="宋体" w:hAnsi="宋体"/>
          <w:color w:val="auto"/>
          <w:sz w:val="24"/>
          <w:szCs w:val="24"/>
          <w:highlight w:val="none"/>
        </w:rPr>
      </w:pPr>
    </w:p>
    <w:p w14:paraId="46EB8941">
      <w:pPr>
        <w:rPr>
          <w:rStyle w:val="40"/>
          <w:rFonts w:ascii="宋体" w:hAnsi="宋体"/>
          <w:color w:val="auto"/>
          <w:sz w:val="24"/>
          <w:szCs w:val="24"/>
          <w:highlight w:val="none"/>
        </w:rPr>
      </w:pPr>
    </w:p>
    <w:p w14:paraId="0A4F399D">
      <w:pPr>
        <w:rPr>
          <w:rStyle w:val="40"/>
          <w:rFonts w:ascii="宋体" w:hAnsi="宋体"/>
          <w:color w:val="auto"/>
          <w:sz w:val="24"/>
          <w:szCs w:val="24"/>
          <w:highlight w:val="none"/>
        </w:rPr>
      </w:pPr>
    </w:p>
    <w:p w14:paraId="206C202D">
      <w:pPr>
        <w:rPr>
          <w:rStyle w:val="40"/>
          <w:rFonts w:ascii="宋体" w:hAnsi="宋体"/>
          <w:color w:val="auto"/>
          <w:sz w:val="24"/>
          <w:szCs w:val="24"/>
          <w:highlight w:val="none"/>
        </w:rPr>
      </w:pPr>
    </w:p>
    <w:p w14:paraId="2E756D02">
      <w:pPr>
        <w:jc w:val="both"/>
        <w:rPr>
          <w:rStyle w:val="40"/>
          <w:rFonts w:ascii="宋体" w:hAnsi="宋体"/>
          <w:b/>
          <w:color w:val="auto"/>
          <w:sz w:val="36"/>
          <w:szCs w:val="36"/>
          <w:highlight w:val="none"/>
        </w:rPr>
      </w:pPr>
    </w:p>
    <w:p w14:paraId="2801E520">
      <w:pPr>
        <w:jc w:val="center"/>
        <w:rPr>
          <w:rStyle w:val="40"/>
          <w:rFonts w:ascii="宋体" w:hAnsi="宋体"/>
          <w:b/>
          <w:color w:val="auto"/>
          <w:sz w:val="36"/>
          <w:szCs w:val="36"/>
          <w:highlight w:val="none"/>
        </w:rPr>
      </w:pPr>
    </w:p>
    <w:p w14:paraId="2A17CAA2">
      <w:pPr>
        <w:jc w:val="center"/>
        <w:rPr>
          <w:rStyle w:val="40"/>
          <w:rFonts w:ascii="宋体" w:hAnsi="宋体"/>
          <w:b/>
          <w:color w:val="auto"/>
          <w:sz w:val="36"/>
          <w:szCs w:val="36"/>
          <w:highlight w:val="none"/>
        </w:rPr>
      </w:pPr>
    </w:p>
    <w:p w14:paraId="4A8216EC">
      <w:pPr>
        <w:jc w:val="center"/>
        <w:rPr>
          <w:rStyle w:val="40"/>
          <w:rFonts w:ascii="宋体" w:hAnsi="宋体"/>
          <w:b/>
          <w:color w:val="auto"/>
          <w:sz w:val="36"/>
          <w:szCs w:val="36"/>
          <w:highlight w:val="none"/>
        </w:rPr>
      </w:pPr>
    </w:p>
    <w:p w14:paraId="31A8937E">
      <w:pPr>
        <w:jc w:val="center"/>
        <w:rPr>
          <w:rStyle w:val="40"/>
          <w:rFonts w:ascii="宋体" w:hAnsi="宋体"/>
          <w:b/>
          <w:color w:val="auto"/>
          <w:sz w:val="36"/>
          <w:szCs w:val="36"/>
          <w:highlight w:val="none"/>
        </w:rPr>
      </w:pPr>
    </w:p>
    <w:p w14:paraId="1A3EE23A">
      <w:pPr>
        <w:jc w:val="center"/>
        <w:rPr>
          <w:rStyle w:val="40"/>
          <w:rFonts w:ascii="宋体" w:hAnsi="宋体"/>
          <w:color w:val="auto"/>
          <w:sz w:val="48"/>
          <w:szCs w:val="48"/>
          <w:highlight w:val="none"/>
        </w:rPr>
      </w:pPr>
      <w:r>
        <w:rPr>
          <w:rStyle w:val="40"/>
          <w:rFonts w:ascii="宋体" w:hAnsi="宋体"/>
          <w:b/>
          <w:color w:val="auto"/>
          <w:sz w:val="36"/>
          <w:szCs w:val="36"/>
          <w:highlight w:val="none"/>
        </w:rPr>
        <w:t>目   录</w:t>
      </w:r>
    </w:p>
    <w:p w14:paraId="4ECBC866">
      <w:pPr>
        <w:spacing w:line="420" w:lineRule="exact"/>
        <w:ind w:firstLine="315" w:firstLineChars="150"/>
        <w:rPr>
          <w:rStyle w:val="40"/>
          <w:rFonts w:ascii="宋体" w:hAnsi="宋体"/>
          <w:color w:val="auto"/>
          <w:szCs w:val="21"/>
          <w:highlight w:val="none"/>
        </w:rPr>
      </w:pPr>
      <w:r>
        <w:rPr>
          <w:rStyle w:val="40"/>
          <w:rFonts w:ascii="宋体" w:hAnsi="宋体"/>
          <w:color w:val="auto"/>
          <w:szCs w:val="21"/>
          <w:highlight w:val="none"/>
        </w:rPr>
        <w:t>一、商务及资格文件</w:t>
      </w:r>
    </w:p>
    <w:p w14:paraId="36C20BBE">
      <w:pPr>
        <w:spacing w:line="420" w:lineRule="exact"/>
        <w:ind w:firstLine="315" w:firstLineChars="150"/>
        <w:rPr>
          <w:rStyle w:val="40"/>
          <w:rFonts w:ascii="宋体" w:hAnsi="宋体"/>
          <w:b/>
          <w:color w:val="auto"/>
          <w:szCs w:val="21"/>
          <w:highlight w:val="none"/>
        </w:rPr>
      </w:pPr>
      <w:r>
        <w:rPr>
          <w:rStyle w:val="40"/>
          <w:rFonts w:ascii="宋体" w:hAnsi="宋体"/>
          <w:color w:val="auto"/>
          <w:szCs w:val="21"/>
          <w:highlight w:val="none"/>
        </w:rPr>
        <w:t>1）磋商书；</w:t>
      </w:r>
      <w:r>
        <w:rPr>
          <w:rStyle w:val="40"/>
          <w:rFonts w:ascii="宋体" w:hAnsi="宋体"/>
          <w:b/>
          <w:color w:val="auto"/>
          <w:szCs w:val="21"/>
          <w:highlight w:val="none"/>
        </w:rPr>
        <w:t xml:space="preserve"> </w:t>
      </w:r>
    </w:p>
    <w:p w14:paraId="342181D1">
      <w:pPr>
        <w:spacing w:line="420" w:lineRule="exact"/>
        <w:ind w:firstLine="315" w:firstLineChars="150"/>
        <w:rPr>
          <w:rStyle w:val="40"/>
          <w:rFonts w:ascii="宋体" w:hAnsi="宋体"/>
          <w:color w:val="auto"/>
          <w:szCs w:val="21"/>
          <w:highlight w:val="none"/>
        </w:rPr>
      </w:pPr>
      <w:r>
        <w:rPr>
          <w:rStyle w:val="40"/>
          <w:rFonts w:ascii="宋体" w:hAnsi="宋体"/>
          <w:color w:val="auto"/>
          <w:szCs w:val="21"/>
          <w:highlight w:val="none"/>
        </w:rPr>
        <w:t xml:space="preserve">2）磋商报价表； </w:t>
      </w:r>
    </w:p>
    <w:p w14:paraId="5DBEFF28">
      <w:pPr>
        <w:spacing w:line="420" w:lineRule="exact"/>
        <w:ind w:firstLine="315" w:firstLineChars="150"/>
        <w:rPr>
          <w:rStyle w:val="40"/>
          <w:rFonts w:ascii="宋体" w:hAnsi="宋体"/>
          <w:color w:val="auto"/>
          <w:szCs w:val="21"/>
          <w:highlight w:val="none"/>
        </w:rPr>
      </w:pPr>
      <w:r>
        <w:rPr>
          <w:rStyle w:val="40"/>
          <w:rFonts w:hint="eastAsia" w:ascii="宋体" w:hAnsi="宋体"/>
          <w:color w:val="auto"/>
          <w:szCs w:val="21"/>
          <w:highlight w:val="none"/>
          <w:lang w:val="en-US" w:eastAsia="zh-CN"/>
        </w:rPr>
        <w:t>3</w:t>
      </w:r>
      <w:r>
        <w:rPr>
          <w:rStyle w:val="40"/>
          <w:rFonts w:ascii="宋体" w:hAnsi="宋体"/>
          <w:color w:val="auto"/>
          <w:szCs w:val="21"/>
          <w:highlight w:val="none"/>
        </w:rPr>
        <w:t>）资格证明文件；</w:t>
      </w:r>
    </w:p>
    <w:p w14:paraId="213CFD21">
      <w:pPr>
        <w:spacing w:line="420" w:lineRule="exact"/>
        <w:ind w:firstLine="105" w:firstLineChars="50"/>
        <w:rPr>
          <w:rStyle w:val="40"/>
          <w:rFonts w:ascii="宋体" w:hAnsi="宋体"/>
          <w:color w:val="auto"/>
          <w:szCs w:val="21"/>
          <w:highlight w:val="none"/>
        </w:rPr>
      </w:pPr>
      <w:r>
        <w:rPr>
          <w:rStyle w:val="40"/>
          <w:rFonts w:ascii="宋体" w:hAnsi="宋体"/>
          <w:color w:val="auto"/>
          <w:szCs w:val="21"/>
          <w:highlight w:val="none"/>
        </w:rPr>
        <w:t>（1）</w:t>
      </w:r>
      <w:r>
        <w:rPr>
          <w:rStyle w:val="40"/>
          <w:rFonts w:hint="eastAsia" w:ascii="宋体" w:hAnsi="宋体"/>
          <w:color w:val="auto"/>
          <w:szCs w:val="21"/>
          <w:highlight w:val="none"/>
          <w:lang w:eastAsia="zh-CN"/>
        </w:rPr>
        <w:t>有效的</w:t>
      </w:r>
      <w:r>
        <w:rPr>
          <w:rStyle w:val="40"/>
          <w:rFonts w:ascii="宋体" w:hAnsi="宋体"/>
          <w:color w:val="auto"/>
          <w:szCs w:val="21"/>
          <w:highlight w:val="none"/>
        </w:rPr>
        <w:t xml:space="preserve">营业执照副本复印件； </w:t>
      </w:r>
    </w:p>
    <w:p w14:paraId="43FDC8F0">
      <w:pPr>
        <w:spacing w:line="420" w:lineRule="exact"/>
        <w:ind w:firstLine="105" w:firstLineChars="50"/>
        <w:rPr>
          <w:rStyle w:val="40"/>
          <w:rFonts w:ascii="宋体" w:hAnsi="宋体"/>
          <w:color w:val="auto"/>
          <w:szCs w:val="21"/>
          <w:highlight w:val="none"/>
        </w:rPr>
      </w:pPr>
      <w:r>
        <w:rPr>
          <w:rStyle w:val="40"/>
          <w:rFonts w:ascii="宋体" w:hAnsi="宋体"/>
          <w:color w:val="auto"/>
          <w:szCs w:val="21"/>
          <w:highlight w:val="none"/>
        </w:rPr>
        <w:t xml:space="preserve">（2）磋商供应商资格声明； </w:t>
      </w:r>
    </w:p>
    <w:p w14:paraId="03397A25">
      <w:pPr>
        <w:spacing w:line="420" w:lineRule="exact"/>
        <w:ind w:firstLine="105" w:firstLineChars="5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rPr>
        <w:t>3</w:t>
      </w:r>
      <w:r>
        <w:rPr>
          <w:rStyle w:val="40"/>
          <w:rFonts w:ascii="宋体" w:hAnsi="宋体"/>
          <w:color w:val="auto"/>
          <w:szCs w:val="21"/>
          <w:highlight w:val="none"/>
        </w:rPr>
        <w:t xml:space="preserve">）法定代表人有效的身份证正反面复印件； </w:t>
      </w:r>
    </w:p>
    <w:p w14:paraId="04365A46">
      <w:pPr>
        <w:spacing w:line="420" w:lineRule="exact"/>
        <w:ind w:firstLine="105" w:firstLineChars="5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rPr>
        <w:t>4</w:t>
      </w:r>
      <w:r>
        <w:rPr>
          <w:rStyle w:val="40"/>
          <w:rFonts w:ascii="宋体" w:hAnsi="宋体"/>
          <w:color w:val="auto"/>
          <w:szCs w:val="21"/>
          <w:highlight w:val="none"/>
        </w:rPr>
        <w:t xml:space="preserve">）法定代表人授权书及委托代理人身份证正反面复印件； </w:t>
      </w:r>
    </w:p>
    <w:p w14:paraId="67B3AB01">
      <w:pPr>
        <w:spacing w:line="420" w:lineRule="exact"/>
        <w:ind w:firstLine="105" w:firstLineChars="50"/>
        <w:rPr>
          <w:rStyle w:val="40"/>
          <w:rFonts w:hint="default" w:ascii="宋体" w:hAnsi="宋体" w:eastAsia="宋体" w:cs="Times New Roman"/>
          <w:bCs w:val="0"/>
          <w:color w:val="auto"/>
          <w:spacing w:val="0"/>
          <w:kern w:val="2"/>
          <w:sz w:val="21"/>
          <w:szCs w:val="21"/>
          <w:highlight w:val="none"/>
          <w:lang w:val="en-US" w:eastAsia="zh-CN" w:bidi="ar-SA"/>
        </w:rPr>
      </w:pPr>
      <w:r>
        <w:rPr>
          <w:rStyle w:val="40"/>
          <w:rFonts w:ascii="宋体" w:hAnsi="宋体" w:eastAsia="宋体" w:cs="Times New Roman"/>
          <w:bCs w:val="0"/>
          <w:color w:val="auto"/>
          <w:spacing w:val="0"/>
          <w:kern w:val="2"/>
          <w:sz w:val="21"/>
          <w:szCs w:val="21"/>
          <w:highlight w:val="none"/>
          <w:lang w:val="en-US" w:eastAsia="zh-CN" w:bidi="ar-SA"/>
        </w:rPr>
        <w:t>（</w:t>
      </w:r>
      <w:r>
        <w:rPr>
          <w:rStyle w:val="40"/>
          <w:rFonts w:hint="eastAsia" w:ascii="宋体" w:hAnsi="宋体" w:eastAsia="宋体" w:cs="Times New Roman"/>
          <w:bCs w:val="0"/>
          <w:color w:val="auto"/>
          <w:spacing w:val="0"/>
          <w:kern w:val="2"/>
          <w:sz w:val="21"/>
          <w:szCs w:val="21"/>
          <w:highlight w:val="none"/>
          <w:lang w:val="en-US" w:eastAsia="zh-CN" w:bidi="ar-SA"/>
        </w:rPr>
        <w:t>5</w:t>
      </w:r>
      <w:r>
        <w:rPr>
          <w:rStyle w:val="40"/>
          <w:rFonts w:ascii="宋体" w:hAnsi="宋体" w:eastAsia="宋体" w:cs="Times New Roman"/>
          <w:bCs w:val="0"/>
          <w:color w:val="auto"/>
          <w:spacing w:val="0"/>
          <w:kern w:val="2"/>
          <w:sz w:val="21"/>
          <w:szCs w:val="21"/>
          <w:highlight w:val="none"/>
          <w:lang w:val="en-US" w:eastAsia="zh-CN" w:bidi="ar-SA"/>
        </w:rPr>
        <w:t>）</w:t>
      </w:r>
      <w:r>
        <w:rPr>
          <w:rStyle w:val="40"/>
          <w:rFonts w:hint="eastAsia" w:ascii="宋体" w:hAnsi="宋体"/>
          <w:color w:val="auto"/>
          <w:szCs w:val="21"/>
          <w:highlight w:val="none"/>
          <w:lang w:val="en-US" w:eastAsia="zh-CN"/>
        </w:rPr>
        <w:t>中小企业声明函；</w:t>
      </w:r>
    </w:p>
    <w:p w14:paraId="7F3B897D">
      <w:pPr>
        <w:spacing w:line="420" w:lineRule="exact"/>
        <w:ind w:firstLine="105" w:firstLineChars="50"/>
        <w:rPr>
          <w:rStyle w:val="40"/>
          <w:rFonts w:ascii="宋体" w:hAnsi="宋体"/>
          <w:color w:val="auto"/>
          <w:kern w:val="0"/>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6</w:t>
      </w:r>
      <w:r>
        <w:rPr>
          <w:rStyle w:val="40"/>
          <w:rFonts w:ascii="宋体" w:hAnsi="宋体"/>
          <w:color w:val="auto"/>
          <w:szCs w:val="21"/>
          <w:highlight w:val="none"/>
        </w:rPr>
        <w:t>）</w:t>
      </w:r>
      <w:r>
        <w:rPr>
          <w:rStyle w:val="40"/>
          <w:rFonts w:ascii="宋体" w:hAnsi="宋体"/>
          <w:color w:val="auto"/>
          <w:kern w:val="0"/>
          <w:highlight w:val="none"/>
        </w:rPr>
        <w:t xml:space="preserve">贵港市政府采购项目投标资格承诺函； </w:t>
      </w:r>
    </w:p>
    <w:p w14:paraId="4CAFE161">
      <w:pPr>
        <w:spacing w:line="360" w:lineRule="auto"/>
        <w:ind w:firstLine="105" w:firstLineChars="50"/>
        <w:rPr>
          <w:rStyle w:val="40"/>
          <w:rFonts w:ascii="宋体" w:hAnsi="宋体"/>
          <w:color w:val="auto"/>
          <w:kern w:val="0"/>
          <w:highlight w:val="none"/>
        </w:rPr>
      </w:pPr>
      <w:r>
        <w:rPr>
          <w:rStyle w:val="40"/>
          <w:rFonts w:ascii="宋体" w:hAnsi="宋体"/>
          <w:color w:val="auto"/>
          <w:kern w:val="0"/>
          <w:highlight w:val="none"/>
        </w:rPr>
        <w:t>（</w:t>
      </w:r>
      <w:r>
        <w:rPr>
          <w:rStyle w:val="40"/>
          <w:rFonts w:hint="eastAsia" w:ascii="宋体" w:hAnsi="宋体"/>
          <w:color w:val="auto"/>
          <w:kern w:val="0"/>
          <w:highlight w:val="none"/>
          <w:lang w:val="en-US" w:eastAsia="zh-CN"/>
        </w:rPr>
        <w:t>7</w:t>
      </w:r>
      <w:r>
        <w:rPr>
          <w:rStyle w:val="40"/>
          <w:rFonts w:ascii="宋体" w:hAnsi="宋体"/>
          <w:color w:val="auto"/>
          <w:kern w:val="0"/>
          <w:highlight w:val="none"/>
        </w:rPr>
        <w:t xml:space="preserve">）无重大违法记录声明书； </w:t>
      </w:r>
    </w:p>
    <w:p w14:paraId="77747828">
      <w:pPr>
        <w:spacing w:line="360" w:lineRule="auto"/>
        <w:ind w:firstLine="105" w:firstLineChars="5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8</w:t>
      </w:r>
      <w:r>
        <w:rPr>
          <w:rStyle w:val="40"/>
          <w:rFonts w:ascii="宋体" w:hAnsi="宋体"/>
          <w:color w:val="auto"/>
          <w:szCs w:val="21"/>
          <w:highlight w:val="none"/>
        </w:rPr>
        <w:t>）类似成功案例的业绩（以签订合同或中标通知书或验收证明材料复印件并加盖投标人单位公章为准）</w:t>
      </w:r>
    </w:p>
    <w:p w14:paraId="411F8247">
      <w:pPr>
        <w:spacing w:line="360" w:lineRule="auto"/>
        <w:ind w:firstLine="105" w:firstLineChars="5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9</w:t>
      </w:r>
      <w:r>
        <w:rPr>
          <w:rStyle w:val="40"/>
          <w:rFonts w:ascii="宋体" w:hAnsi="宋体"/>
          <w:color w:val="auto"/>
          <w:szCs w:val="21"/>
          <w:highlight w:val="none"/>
        </w:rPr>
        <w:t>）磋商供应商质量管理和质量保证体系等方面的认证证书；</w:t>
      </w:r>
    </w:p>
    <w:p w14:paraId="3B51E9A1">
      <w:pPr>
        <w:spacing w:line="360" w:lineRule="auto"/>
        <w:ind w:firstLine="105" w:firstLineChars="5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10</w:t>
      </w:r>
      <w:r>
        <w:rPr>
          <w:rStyle w:val="40"/>
          <w:rFonts w:ascii="宋体" w:hAnsi="宋体"/>
          <w:color w:val="auto"/>
          <w:szCs w:val="21"/>
          <w:highlight w:val="none"/>
        </w:rPr>
        <w:t>）磋商供应商认为可以证明其能力或业绩的其他材料；</w:t>
      </w:r>
    </w:p>
    <w:p w14:paraId="33F52D9F">
      <w:pPr>
        <w:spacing w:line="360" w:lineRule="auto"/>
        <w:ind w:firstLine="105" w:firstLineChars="50"/>
        <w:rPr>
          <w:rStyle w:val="40"/>
          <w:rFonts w:ascii="宋体" w:hAnsi="宋体"/>
          <w:color w:val="auto"/>
          <w:szCs w:val="21"/>
          <w:highlight w:val="none"/>
        </w:rPr>
      </w:pPr>
      <w:r>
        <w:rPr>
          <w:rStyle w:val="40"/>
          <w:rFonts w:ascii="宋体" w:hAnsi="宋体"/>
          <w:color w:val="auto"/>
          <w:szCs w:val="21"/>
          <w:highlight w:val="none"/>
        </w:rPr>
        <w:t>（1</w:t>
      </w:r>
      <w:r>
        <w:rPr>
          <w:rStyle w:val="40"/>
          <w:rFonts w:hint="eastAsia" w:ascii="宋体" w:hAnsi="宋体"/>
          <w:color w:val="auto"/>
          <w:szCs w:val="21"/>
          <w:highlight w:val="none"/>
          <w:lang w:val="en-US" w:eastAsia="zh-CN"/>
        </w:rPr>
        <w:t>1</w:t>
      </w:r>
      <w:r>
        <w:rPr>
          <w:rStyle w:val="40"/>
          <w:rFonts w:ascii="宋体" w:hAnsi="宋体"/>
          <w:color w:val="auto"/>
          <w:szCs w:val="21"/>
          <w:highlight w:val="none"/>
        </w:rPr>
        <w:t>）磋商文件列明的其他证明材料；</w:t>
      </w:r>
    </w:p>
    <w:p w14:paraId="225A10A4">
      <w:pPr>
        <w:spacing w:line="420" w:lineRule="exact"/>
        <w:ind w:firstLine="210" w:firstLineChars="100"/>
        <w:rPr>
          <w:rStyle w:val="40"/>
          <w:rFonts w:ascii="宋体" w:hAnsi="宋体"/>
          <w:color w:val="auto"/>
          <w:szCs w:val="21"/>
          <w:highlight w:val="none"/>
        </w:rPr>
      </w:pPr>
      <w:r>
        <w:rPr>
          <w:rStyle w:val="40"/>
          <w:rFonts w:ascii="宋体" w:hAnsi="宋体"/>
          <w:color w:val="auto"/>
          <w:szCs w:val="21"/>
          <w:highlight w:val="none"/>
        </w:rPr>
        <w:t xml:space="preserve">二、技术文件 </w:t>
      </w:r>
    </w:p>
    <w:p w14:paraId="3A2F26FE">
      <w:pPr>
        <w:spacing w:line="420" w:lineRule="exact"/>
        <w:ind w:firstLine="210" w:firstLineChars="10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1</w:t>
      </w:r>
      <w:r>
        <w:rPr>
          <w:rStyle w:val="40"/>
          <w:rFonts w:ascii="宋体" w:hAnsi="宋体"/>
          <w:color w:val="auto"/>
          <w:szCs w:val="21"/>
          <w:highlight w:val="none"/>
        </w:rPr>
        <w:t>）</w:t>
      </w:r>
      <w:r>
        <w:rPr>
          <w:rFonts w:hint="eastAsia" w:ascii="宋体" w:hAnsi="宋体"/>
          <w:color w:val="auto"/>
          <w:szCs w:val="21"/>
          <w:highlight w:val="none"/>
        </w:rPr>
        <w:t>技术响应、</w:t>
      </w:r>
      <w:r>
        <w:rPr>
          <w:rFonts w:hint="eastAsia" w:ascii="宋体" w:hAnsi="宋体"/>
          <w:color w:val="auto"/>
          <w:szCs w:val="21"/>
          <w:highlight w:val="none"/>
          <w:lang w:val="en-US" w:eastAsia="zh-CN"/>
        </w:rPr>
        <w:t>商务响应</w:t>
      </w:r>
      <w:r>
        <w:rPr>
          <w:rFonts w:hint="eastAsia" w:ascii="宋体" w:hAnsi="宋体"/>
          <w:color w:val="auto"/>
          <w:szCs w:val="21"/>
          <w:highlight w:val="none"/>
        </w:rPr>
        <w:t>偏离情况说明表</w:t>
      </w:r>
      <w:r>
        <w:rPr>
          <w:rStyle w:val="40"/>
          <w:rFonts w:ascii="宋体" w:hAnsi="宋体"/>
          <w:color w:val="auto"/>
          <w:szCs w:val="21"/>
          <w:highlight w:val="none"/>
        </w:rPr>
        <w:t>；</w:t>
      </w:r>
    </w:p>
    <w:p w14:paraId="17B19E1B">
      <w:pPr>
        <w:spacing w:line="420" w:lineRule="exact"/>
        <w:ind w:firstLine="210" w:firstLineChars="10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2</w:t>
      </w:r>
      <w:r>
        <w:rPr>
          <w:rStyle w:val="40"/>
          <w:rFonts w:ascii="宋体" w:hAnsi="宋体"/>
          <w:color w:val="auto"/>
          <w:szCs w:val="21"/>
          <w:highlight w:val="none"/>
        </w:rPr>
        <w:t>）</w:t>
      </w:r>
      <w:r>
        <w:rPr>
          <w:rFonts w:hint="eastAsia" w:ascii="宋体" w:hAnsi="宋体"/>
          <w:color w:val="auto"/>
          <w:szCs w:val="21"/>
          <w:highlight w:val="none"/>
        </w:rPr>
        <w:t>项目实施及承诺方案</w:t>
      </w:r>
      <w:r>
        <w:rPr>
          <w:rStyle w:val="40"/>
          <w:rFonts w:ascii="宋体" w:hAnsi="宋体"/>
          <w:color w:val="auto"/>
          <w:szCs w:val="21"/>
          <w:highlight w:val="none"/>
        </w:rPr>
        <w:t>；</w:t>
      </w:r>
    </w:p>
    <w:p w14:paraId="4A5096C4">
      <w:pPr>
        <w:spacing w:line="420" w:lineRule="exact"/>
        <w:ind w:firstLine="210" w:firstLineChars="10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3</w:t>
      </w:r>
      <w:r>
        <w:rPr>
          <w:rStyle w:val="40"/>
          <w:rFonts w:ascii="宋体" w:hAnsi="宋体"/>
          <w:color w:val="auto"/>
          <w:szCs w:val="21"/>
          <w:highlight w:val="none"/>
        </w:rPr>
        <w:t>）投标人对本项目的合理化建议和改进措施；</w:t>
      </w:r>
    </w:p>
    <w:p w14:paraId="2B0933C9">
      <w:pPr>
        <w:spacing w:line="420" w:lineRule="exact"/>
        <w:ind w:firstLine="210" w:firstLineChars="100"/>
        <w:rPr>
          <w:rStyle w:val="40"/>
          <w:rFonts w:ascii="宋体" w:hAnsi="宋体"/>
          <w:color w:val="auto"/>
          <w:szCs w:val="21"/>
          <w:highlight w:val="none"/>
        </w:rPr>
      </w:pPr>
      <w:r>
        <w:rPr>
          <w:rStyle w:val="40"/>
          <w:rFonts w:ascii="宋体" w:hAnsi="宋体"/>
          <w:color w:val="auto"/>
          <w:szCs w:val="21"/>
          <w:highlight w:val="none"/>
        </w:rPr>
        <w:t>（</w:t>
      </w:r>
      <w:r>
        <w:rPr>
          <w:rStyle w:val="40"/>
          <w:rFonts w:hint="eastAsia" w:ascii="宋体" w:hAnsi="宋体"/>
          <w:color w:val="auto"/>
          <w:szCs w:val="21"/>
          <w:highlight w:val="none"/>
          <w:lang w:val="en-US" w:eastAsia="zh-CN"/>
        </w:rPr>
        <w:t>4</w:t>
      </w:r>
      <w:r>
        <w:rPr>
          <w:rStyle w:val="40"/>
          <w:rFonts w:ascii="宋体" w:hAnsi="宋体"/>
          <w:color w:val="auto"/>
          <w:szCs w:val="21"/>
          <w:highlight w:val="none"/>
        </w:rPr>
        <w:t>）磋商供应商认为有必要提供的其它文件及资料。</w:t>
      </w:r>
    </w:p>
    <w:p w14:paraId="0F35773C">
      <w:pPr>
        <w:spacing w:line="420" w:lineRule="exact"/>
        <w:ind w:firstLine="210" w:firstLineChars="100"/>
        <w:rPr>
          <w:rStyle w:val="40"/>
          <w:rFonts w:ascii="宋体" w:hAnsi="宋体"/>
          <w:color w:val="auto"/>
          <w:szCs w:val="21"/>
          <w:highlight w:val="none"/>
        </w:rPr>
      </w:pPr>
    </w:p>
    <w:p w14:paraId="6C561A5A">
      <w:pPr>
        <w:spacing w:line="420" w:lineRule="exact"/>
        <w:ind w:firstLine="482" w:firstLineChars="100"/>
        <w:rPr>
          <w:rStyle w:val="40"/>
          <w:rFonts w:ascii="宋体" w:hAnsi="宋体"/>
          <w:b/>
          <w:color w:val="auto"/>
          <w:sz w:val="48"/>
          <w:szCs w:val="48"/>
          <w:highlight w:val="none"/>
        </w:rPr>
      </w:pPr>
    </w:p>
    <w:p w14:paraId="68BAB2C5">
      <w:pPr>
        <w:spacing w:line="420" w:lineRule="exact"/>
        <w:ind w:firstLine="482" w:firstLineChars="100"/>
        <w:rPr>
          <w:rStyle w:val="40"/>
          <w:rFonts w:ascii="宋体" w:hAnsi="宋体"/>
          <w:b/>
          <w:color w:val="auto"/>
          <w:sz w:val="48"/>
          <w:szCs w:val="48"/>
          <w:highlight w:val="none"/>
        </w:rPr>
      </w:pPr>
    </w:p>
    <w:p w14:paraId="108CAF15">
      <w:pPr>
        <w:spacing w:line="420" w:lineRule="exact"/>
        <w:ind w:firstLine="482" w:firstLineChars="100"/>
        <w:rPr>
          <w:rStyle w:val="40"/>
          <w:rFonts w:ascii="宋体" w:hAnsi="宋体"/>
          <w:b/>
          <w:color w:val="auto"/>
          <w:sz w:val="48"/>
          <w:szCs w:val="48"/>
          <w:highlight w:val="none"/>
        </w:rPr>
      </w:pPr>
    </w:p>
    <w:p w14:paraId="392555EB">
      <w:pPr>
        <w:spacing w:line="420" w:lineRule="exact"/>
        <w:ind w:firstLine="482" w:firstLineChars="100"/>
        <w:rPr>
          <w:rStyle w:val="40"/>
          <w:rFonts w:ascii="宋体" w:hAnsi="宋体"/>
          <w:b/>
          <w:color w:val="auto"/>
          <w:sz w:val="48"/>
          <w:szCs w:val="48"/>
          <w:highlight w:val="none"/>
        </w:rPr>
      </w:pPr>
    </w:p>
    <w:p w14:paraId="77EC273C">
      <w:pPr>
        <w:spacing w:line="420" w:lineRule="exact"/>
        <w:ind w:firstLine="482" w:firstLineChars="100"/>
        <w:rPr>
          <w:rStyle w:val="40"/>
          <w:rFonts w:ascii="宋体" w:hAnsi="宋体"/>
          <w:b/>
          <w:color w:val="auto"/>
          <w:sz w:val="48"/>
          <w:szCs w:val="48"/>
          <w:highlight w:val="none"/>
        </w:rPr>
      </w:pPr>
    </w:p>
    <w:p w14:paraId="123A7D80">
      <w:pPr>
        <w:spacing w:line="420" w:lineRule="exact"/>
        <w:ind w:firstLine="482" w:firstLineChars="100"/>
        <w:rPr>
          <w:rStyle w:val="40"/>
          <w:rFonts w:ascii="宋体" w:hAnsi="宋体"/>
          <w:b/>
          <w:color w:val="auto"/>
          <w:sz w:val="48"/>
          <w:szCs w:val="48"/>
          <w:highlight w:val="none"/>
        </w:rPr>
      </w:pPr>
    </w:p>
    <w:p w14:paraId="6BE3213F">
      <w:pPr>
        <w:spacing w:line="420" w:lineRule="exact"/>
        <w:ind w:firstLine="482" w:firstLineChars="100"/>
        <w:rPr>
          <w:rStyle w:val="40"/>
          <w:rFonts w:ascii="宋体" w:hAnsi="宋体"/>
          <w:b/>
          <w:color w:val="auto"/>
          <w:sz w:val="48"/>
          <w:szCs w:val="48"/>
          <w:highlight w:val="none"/>
        </w:rPr>
      </w:pPr>
    </w:p>
    <w:p w14:paraId="4E4A5D0B">
      <w:pPr>
        <w:spacing w:line="420" w:lineRule="exact"/>
        <w:ind w:firstLine="482" w:firstLineChars="100"/>
        <w:rPr>
          <w:rStyle w:val="40"/>
          <w:rFonts w:ascii="宋体" w:hAnsi="宋体"/>
          <w:b/>
          <w:color w:val="auto"/>
          <w:sz w:val="48"/>
          <w:szCs w:val="48"/>
          <w:highlight w:val="none"/>
        </w:rPr>
      </w:pPr>
    </w:p>
    <w:p w14:paraId="0FD06199">
      <w:pPr>
        <w:rPr>
          <w:rStyle w:val="40"/>
          <w:rFonts w:ascii="宋体" w:hAnsi="宋体"/>
          <w:b/>
          <w:color w:val="auto"/>
          <w:sz w:val="36"/>
          <w:szCs w:val="36"/>
          <w:highlight w:val="none"/>
        </w:rPr>
      </w:pPr>
    </w:p>
    <w:p w14:paraId="6445A85A">
      <w:pPr>
        <w:rPr>
          <w:rStyle w:val="40"/>
          <w:rFonts w:ascii="宋体" w:hAnsi="宋体"/>
          <w:b/>
          <w:color w:val="auto"/>
          <w:sz w:val="36"/>
          <w:szCs w:val="36"/>
          <w:highlight w:val="none"/>
        </w:rPr>
      </w:pPr>
    </w:p>
    <w:p w14:paraId="4F860E42">
      <w:pPr>
        <w:rPr>
          <w:rStyle w:val="40"/>
          <w:rFonts w:ascii="宋体" w:hAnsi="宋体"/>
          <w:b/>
          <w:color w:val="auto"/>
          <w:sz w:val="36"/>
          <w:szCs w:val="36"/>
          <w:highlight w:val="none"/>
        </w:rPr>
      </w:pPr>
    </w:p>
    <w:p w14:paraId="7F0BCA57">
      <w:pPr>
        <w:rPr>
          <w:rStyle w:val="40"/>
          <w:rFonts w:ascii="宋体" w:hAnsi="宋体"/>
          <w:b/>
          <w:color w:val="auto"/>
          <w:sz w:val="36"/>
          <w:szCs w:val="36"/>
          <w:highlight w:val="none"/>
        </w:rPr>
      </w:pPr>
    </w:p>
    <w:p w14:paraId="7157385F">
      <w:pPr>
        <w:rPr>
          <w:rStyle w:val="40"/>
          <w:rFonts w:ascii="宋体" w:hAnsi="宋体"/>
          <w:b/>
          <w:color w:val="auto"/>
          <w:sz w:val="36"/>
          <w:szCs w:val="36"/>
          <w:highlight w:val="none"/>
        </w:rPr>
      </w:pPr>
    </w:p>
    <w:p w14:paraId="764AB8D0">
      <w:pPr>
        <w:rPr>
          <w:rStyle w:val="40"/>
          <w:rFonts w:ascii="宋体" w:hAnsi="宋体"/>
          <w:b/>
          <w:color w:val="auto"/>
          <w:sz w:val="36"/>
          <w:szCs w:val="36"/>
          <w:highlight w:val="none"/>
        </w:rPr>
      </w:pPr>
    </w:p>
    <w:p w14:paraId="5F3DFDEB">
      <w:pPr>
        <w:rPr>
          <w:rStyle w:val="40"/>
          <w:rFonts w:ascii="宋体" w:hAnsi="宋体"/>
          <w:b/>
          <w:color w:val="auto"/>
          <w:sz w:val="36"/>
          <w:szCs w:val="36"/>
          <w:highlight w:val="none"/>
        </w:rPr>
      </w:pPr>
    </w:p>
    <w:p w14:paraId="05814CCB">
      <w:pPr>
        <w:rPr>
          <w:rStyle w:val="40"/>
          <w:rFonts w:ascii="宋体" w:hAnsi="宋体"/>
          <w:b/>
          <w:color w:val="auto"/>
          <w:sz w:val="36"/>
          <w:szCs w:val="36"/>
          <w:highlight w:val="none"/>
        </w:rPr>
      </w:pPr>
    </w:p>
    <w:p w14:paraId="6D2DD14D">
      <w:pPr>
        <w:rPr>
          <w:rStyle w:val="40"/>
          <w:rFonts w:ascii="宋体" w:hAnsi="宋体"/>
          <w:b/>
          <w:color w:val="auto"/>
          <w:sz w:val="36"/>
          <w:szCs w:val="36"/>
          <w:highlight w:val="none"/>
        </w:rPr>
      </w:pPr>
    </w:p>
    <w:p w14:paraId="1BAC4E48">
      <w:pPr>
        <w:rPr>
          <w:rStyle w:val="40"/>
          <w:rFonts w:ascii="宋体" w:hAnsi="宋体"/>
          <w:b/>
          <w:color w:val="auto"/>
          <w:sz w:val="36"/>
          <w:szCs w:val="36"/>
          <w:highlight w:val="none"/>
        </w:rPr>
      </w:pPr>
    </w:p>
    <w:p w14:paraId="12830CB7">
      <w:pPr>
        <w:rPr>
          <w:rStyle w:val="40"/>
          <w:rFonts w:ascii="宋体" w:hAnsi="宋体"/>
          <w:b/>
          <w:color w:val="auto"/>
          <w:sz w:val="36"/>
          <w:szCs w:val="36"/>
          <w:highlight w:val="none"/>
        </w:rPr>
      </w:pPr>
    </w:p>
    <w:p w14:paraId="46C4A707">
      <w:pPr>
        <w:jc w:val="center"/>
        <w:rPr>
          <w:rStyle w:val="40"/>
          <w:rFonts w:ascii="宋体" w:hAnsi="宋体"/>
          <w:b/>
          <w:color w:val="auto"/>
          <w:sz w:val="36"/>
          <w:szCs w:val="36"/>
          <w:highlight w:val="none"/>
        </w:rPr>
      </w:pPr>
      <w:r>
        <w:rPr>
          <w:rStyle w:val="40"/>
          <w:rFonts w:ascii="宋体" w:hAnsi="宋体"/>
          <w:b/>
          <w:color w:val="auto"/>
          <w:sz w:val="36"/>
          <w:szCs w:val="36"/>
          <w:highlight w:val="none"/>
        </w:rPr>
        <w:t>商务及资格文件</w:t>
      </w:r>
    </w:p>
    <w:p w14:paraId="4BC79FA6">
      <w:pPr>
        <w:jc w:val="center"/>
        <w:rPr>
          <w:rStyle w:val="40"/>
          <w:rFonts w:ascii="宋体" w:hAnsi="宋体"/>
          <w:b/>
          <w:color w:val="auto"/>
          <w:sz w:val="36"/>
          <w:szCs w:val="36"/>
          <w:highlight w:val="none"/>
        </w:rPr>
      </w:pPr>
    </w:p>
    <w:p w14:paraId="5B9A19AF">
      <w:pPr>
        <w:jc w:val="center"/>
        <w:rPr>
          <w:rStyle w:val="40"/>
          <w:rFonts w:ascii="宋体" w:hAnsi="宋体"/>
          <w:b/>
          <w:color w:val="auto"/>
          <w:sz w:val="36"/>
          <w:szCs w:val="36"/>
          <w:highlight w:val="none"/>
        </w:rPr>
      </w:pPr>
    </w:p>
    <w:p w14:paraId="78162697">
      <w:pPr>
        <w:jc w:val="center"/>
        <w:rPr>
          <w:rStyle w:val="40"/>
          <w:rFonts w:ascii="宋体" w:hAnsi="宋体"/>
          <w:b/>
          <w:color w:val="auto"/>
          <w:sz w:val="36"/>
          <w:szCs w:val="36"/>
          <w:highlight w:val="none"/>
        </w:rPr>
      </w:pPr>
    </w:p>
    <w:p w14:paraId="27E88259">
      <w:pPr>
        <w:jc w:val="center"/>
        <w:rPr>
          <w:rStyle w:val="40"/>
          <w:rFonts w:ascii="宋体" w:hAnsi="宋体"/>
          <w:b/>
          <w:color w:val="auto"/>
          <w:sz w:val="36"/>
          <w:szCs w:val="36"/>
          <w:highlight w:val="none"/>
        </w:rPr>
      </w:pPr>
    </w:p>
    <w:p w14:paraId="2D0821A9">
      <w:pPr>
        <w:jc w:val="center"/>
        <w:rPr>
          <w:rStyle w:val="40"/>
          <w:rFonts w:ascii="宋体" w:hAnsi="宋体"/>
          <w:b/>
          <w:color w:val="auto"/>
          <w:sz w:val="36"/>
          <w:szCs w:val="36"/>
          <w:highlight w:val="none"/>
        </w:rPr>
      </w:pPr>
    </w:p>
    <w:p w14:paraId="2AC76BA9">
      <w:pPr>
        <w:jc w:val="center"/>
        <w:rPr>
          <w:rStyle w:val="40"/>
          <w:rFonts w:ascii="宋体" w:hAnsi="宋体"/>
          <w:b/>
          <w:color w:val="auto"/>
          <w:sz w:val="36"/>
          <w:szCs w:val="36"/>
          <w:highlight w:val="none"/>
        </w:rPr>
      </w:pPr>
    </w:p>
    <w:p w14:paraId="7B6039FB">
      <w:pPr>
        <w:jc w:val="center"/>
        <w:rPr>
          <w:rStyle w:val="40"/>
          <w:rFonts w:ascii="宋体" w:hAnsi="宋体"/>
          <w:b/>
          <w:color w:val="auto"/>
          <w:sz w:val="36"/>
          <w:szCs w:val="36"/>
          <w:highlight w:val="none"/>
        </w:rPr>
      </w:pPr>
    </w:p>
    <w:p w14:paraId="7976BB05">
      <w:pPr>
        <w:jc w:val="center"/>
        <w:rPr>
          <w:rStyle w:val="40"/>
          <w:rFonts w:ascii="宋体" w:hAnsi="宋体"/>
          <w:b/>
          <w:color w:val="auto"/>
          <w:sz w:val="36"/>
          <w:szCs w:val="36"/>
          <w:highlight w:val="none"/>
        </w:rPr>
      </w:pPr>
    </w:p>
    <w:p w14:paraId="373DC2E5">
      <w:pPr>
        <w:jc w:val="center"/>
        <w:rPr>
          <w:rStyle w:val="40"/>
          <w:rFonts w:ascii="宋体" w:hAnsi="宋体"/>
          <w:b/>
          <w:color w:val="auto"/>
          <w:sz w:val="36"/>
          <w:szCs w:val="36"/>
          <w:highlight w:val="none"/>
        </w:rPr>
      </w:pPr>
    </w:p>
    <w:p w14:paraId="15161554">
      <w:pPr>
        <w:jc w:val="center"/>
        <w:rPr>
          <w:rStyle w:val="40"/>
          <w:rFonts w:ascii="宋体" w:hAnsi="宋体"/>
          <w:b/>
          <w:color w:val="auto"/>
          <w:sz w:val="36"/>
          <w:szCs w:val="36"/>
          <w:highlight w:val="none"/>
        </w:rPr>
      </w:pPr>
    </w:p>
    <w:p w14:paraId="4C677CF8">
      <w:pPr>
        <w:jc w:val="center"/>
        <w:rPr>
          <w:rStyle w:val="40"/>
          <w:rFonts w:ascii="宋体" w:hAnsi="宋体"/>
          <w:b/>
          <w:color w:val="auto"/>
          <w:sz w:val="36"/>
          <w:szCs w:val="36"/>
          <w:highlight w:val="none"/>
        </w:rPr>
      </w:pPr>
    </w:p>
    <w:p w14:paraId="3C98E0D4">
      <w:pPr>
        <w:jc w:val="center"/>
        <w:rPr>
          <w:rStyle w:val="40"/>
          <w:rFonts w:ascii="宋体" w:hAnsi="宋体"/>
          <w:b/>
          <w:color w:val="auto"/>
          <w:sz w:val="36"/>
          <w:szCs w:val="36"/>
          <w:highlight w:val="none"/>
        </w:rPr>
      </w:pPr>
    </w:p>
    <w:p w14:paraId="3C2FFF10">
      <w:pPr>
        <w:jc w:val="center"/>
        <w:rPr>
          <w:rStyle w:val="40"/>
          <w:rFonts w:ascii="宋体" w:hAnsi="宋体"/>
          <w:b/>
          <w:color w:val="auto"/>
          <w:sz w:val="36"/>
          <w:szCs w:val="36"/>
          <w:highlight w:val="none"/>
        </w:rPr>
      </w:pPr>
    </w:p>
    <w:p w14:paraId="4EE13F3C">
      <w:pPr>
        <w:jc w:val="center"/>
        <w:rPr>
          <w:rStyle w:val="40"/>
          <w:rFonts w:ascii="宋体" w:hAnsi="宋体"/>
          <w:b/>
          <w:color w:val="auto"/>
          <w:sz w:val="36"/>
          <w:szCs w:val="36"/>
          <w:highlight w:val="none"/>
        </w:rPr>
      </w:pPr>
    </w:p>
    <w:p w14:paraId="160C1B6C">
      <w:pPr>
        <w:jc w:val="center"/>
        <w:rPr>
          <w:rStyle w:val="40"/>
          <w:rFonts w:ascii="宋体" w:hAnsi="宋体"/>
          <w:b/>
          <w:color w:val="auto"/>
          <w:sz w:val="36"/>
          <w:szCs w:val="36"/>
          <w:highlight w:val="none"/>
        </w:rPr>
      </w:pPr>
    </w:p>
    <w:p w14:paraId="4BE8FF01">
      <w:pPr>
        <w:jc w:val="center"/>
        <w:rPr>
          <w:rStyle w:val="40"/>
          <w:rFonts w:ascii="宋体" w:hAnsi="宋体"/>
          <w:b/>
          <w:color w:val="auto"/>
          <w:sz w:val="36"/>
          <w:szCs w:val="36"/>
          <w:highlight w:val="none"/>
        </w:rPr>
      </w:pPr>
    </w:p>
    <w:p w14:paraId="5F32E2F1">
      <w:pPr>
        <w:jc w:val="center"/>
        <w:rPr>
          <w:rStyle w:val="40"/>
          <w:rFonts w:ascii="宋体" w:hAnsi="宋体"/>
          <w:b/>
          <w:color w:val="auto"/>
          <w:sz w:val="36"/>
          <w:szCs w:val="36"/>
          <w:highlight w:val="none"/>
        </w:rPr>
      </w:pPr>
    </w:p>
    <w:p w14:paraId="7F85DEA1">
      <w:pPr>
        <w:pStyle w:val="38"/>
        <w:jc w:val="center"/>
        <w:rPr>
          <w:rStyle w:val="40"/>
          <w:rFonts w:ascii="宋体" w:hAnsi="宋体" w:cs="宋体"/>
          <w:b/>
          <w:bCs/>
          <w:color w:val="auto"/>
          <w:highlight w:val="none"/>
        </w:rPr>
      </w:pPr>
      <w:r>
        <w:rPr>
          <w:rStyle w:val="40"/>
          <w:rFonts w:ascii="宋体" w:hAnsi="宋体" w:cs="宋体"/>
          <w:b/>
          <w:bCs/>
          <w:color w:val="auto"/>
          <w:highlight w:val="none"/>
        </w:rPr>
        <w:t>一、磋  商  书</w:t>
      </w:r>
    </w:p>
    <w:p w14:paraId="371AB245">
      <w:pPr>
        <w:rPr>
          <w:rStyle w:val="40"/>
          <w:rFonts w:ascii="宋体" w:hAnsi="宋体"/>
          <w:color w:val="auto"/>
          <w:highlight w:val="none"/>
        </w:rPr>
      </w:pPr>
      <w:r>
        <w:rPr>
          <w:rStyle w:val="40"/>
          <w:rFonts w:ascii="宋体" w:hAnsi="宋体"/>
          <w:color w:val="auto"/>
          <w:highlight w:val="none"/>
        </w:rPr>
        <w:t xml:space="preserve"> </w:t>
      </w:r>
    </w:p>
    <w:p w14:paraId="445B88AE">
      <w:pPr>
        <w:pStyle w:val="14"/>
        <w:spacing w:line="520" w:lineRule="exact"/>
        <w:ind w:firstLine="480"/>
        <w:rPr>
          <w:rStyle w:val="40"/>
          <w:rFonts w:hAnsi="宋体"/>
          <w:color w:val="auto"/>
          <w:sz w:val="24"/>
          <w:highlight w:val="none"/>
        </w:rPr>
      </w:pPr>
      <w:r>
        <w:rPr>
          <w:rStyle w:val="40"/>
          <w:rFonts w:ascii="宋体" w:hAnsi="宋体"/>
          <w:b/>
          <w:bCs/>
          <w:color w:val="auto"/>
          <w:szCs w:val="21"/>
          <w:highlight w:val="none"/>
        </w:rPr>
        <w:t xml:space="preserve">致: </w:t>
      </w:r>
      <w:r>
        <w:rPr>
          <w:rStyle w:val="40"/>
          <w:rFonts w:hint="eastAsia" w:hAnsi="宋体"/>
          <w:b/>
          <w:bCs/>
          <w:color w:val="auto"/>
          <w:szCs w:val="21"/>
          <w:highlight w:val="none"/>
          <w:lang w:eastAsia="zh-CN"/>
        </w:rPr>
        <w:t>贵港市安然项目管理有限公司</w:t>
      </w:r>
      <w:r>
        <w:rPr>
          <w:rStyle w:val="40"/>
          <w:rFonts w:hAnsi="宋体"/>
          <w:color w:val="auto"/>
          <w:sz w:val="24"/>
          <w:highlight w:val="none"/>
        </w:rPr>
        <w:t xml:space="preserve">   </w:t>
      </w:r>
    </w:p>
    <w:p w14:paraId="2C8C0C70">
      <w:pPr>
        <w:pStyle w:val="14"/>
        <w:spacing w:line="520" w:lineRule="exact"/>
        <w:ind w:firstLine="787" w:firstLineChars="328"/>
        <w:rPr>
          <w:rFonts w:hAnsi="宋体"/>
          <w:color w:val="auto"/>
          <w:szCs w:val="21"/>
          <w:highlight w:val="none"/>
        </w:rPr>
      </w:pPr>
      <w:r>
        <w:rPr>
          <w:rStyle w:val="40"/>
          <w:rFonts w:hAnsi="宋体"/>
          <w:color w:val="auto"/>
          <w:sz w:val="24"/>
          <w:highlight w:val="none"/>
        </w:rPr>
        <w:t xml:space="preserve"> </w:t>
      </w:r>
      <w:r>
        <w:rPr>
          <w:rFonts w:hint="eastAsia" w:hAnsi="宋体"/>
          <w:color w:val="auto"/>
          <w:szCs w:val="21"/>
          <w:highlight w:val="none"/>
        </w:rPr>
        <w:t>依据贵方</w:t>
      </w:r>
      <w:r>
        <w:rPr>
          <w:rFonts w:hint="eastAsia" w:hAnsi="宋体"/>
          <w:color w:val="auto"/>
          <w:szCs w:val="21"/>
          <w:highlight w:val="none"/>
          <w:u w:val="single"/>
        </w:rPr>
        <w:t>[项目名</w:t>
      </w:r>
      <w:r>
        <w:rPr>
          <w:rFonts w:hAnsi="宋体"/>
          <w:color w:val="auto"/>
          <w:szCs w:val="21"/>
          <w:highlight w:val="none"/>
          <w:u w:val="single"/>
        </w:rPr>
        <w:t>称</w:t>
      </w:r>
      <w:r>
        <w:rPr>
          <w:rFonts w:hint="eastAsia" w:hAnsi="宋体"/>
          <w:color w:val="auto"/>
          <w:szCs w:val="21"/>
          <w:highlight w:val="none"/>
          <w:u w:val="single"/>
        </w:rPr>
        <w:t>、项目编号]</w:t>
      </w:r>
      <w:r>
        <w:rPr>
          <w:rFonts w:hint="eastAsia" w:hAnsi="宋体"/>
          <w:color w:val="auto"/>
          <w:szCs w:val="21"/>
          <w:highlight w:val="none"/>
        </w:rPr>
        <w:t>项目政府采购的磋商邀请，我方</w:t>
      </w:r>
      <w:r>
        <w:rPr>
          <w:rFonts w:hint="eastAsia" w:hAnsi="宋体"/>
          <w:color w:val="auto"/>
          <w:szCs w:val="21"/>
          <w:highlight w:val="none"/>
          <w:u w:val="single"/>
        </w:rPr>
        <w:t>（姓名和职务）</w:t>
      </w:r>
      <w:r>
        <w:rPr>
          <w:rFonts w:hint="eastAsia" w:hAnsi="宋体"/>
          <w:color w:val="auto"/>
          <w:szCs w:val="21"/>
          <w:highlight w:val="none"/>
        </w:rPr>
        <w:t>经正式授权并代表供应商</w:t>
      </w:r>
      <w:r>
        <w:rPr>
          <w:rFonts w:hint="eastAsia" w:hAnsi="宋体"/>
          <w:color w:val="auto"/>
          <w:szCs w:val="21"/>
          <w:highlight w:val="none"/>
          <w:u w:val="single"/>
        </w:rPr>
        <w:t>（供应商名称、地址）</w:t>
      </w:r>
      <w:r>
        <w:rPr>
          <w:rFonts w:hint="eastAsia" w:hAnsi="宋体"/>
          <w:color w:val="auto"/>
          <w:szCs w:val="21"/>
          <w:highlight w:val="none"/>
        </w:rPr>
        <w:t>提交下述竞争性磋商响应文件电子文件一份。</w:t>
      </w:r>
    </w:p>
    <w:p w14:paraId="3B4CD9A3">
      <w:pPr>
        <w:pStyle w:val="14"/>
        <w:spacing w:line="520" w:lineRule="exact"/>
        <w:ind w:firstLine="480"/>
        <w:rPr>
          <w:rFonts w:hAnsi="宋体"/>
          <w:color w:val="auto"/>
          <w:szCs w:val="21"/>
          <w:highlight w:val="none"/>
        </w:rPr>
      </w:pPr>
      <w:r>
        <w:rPr>
          <w:rFonts w:hint="eastAsia" w:hAnsi="宋体"/>
          <w:color w:val="auto"/>
          <w:szCs w:val="21"/>
          <w:highlight w:val="none"/>
        </w:rPr>
        <w:t>1. 报价文件；</w:t>
      </w:r>
    </w:p>
    <w:p w14:paraId="49F90FE7">
      <w:pPr>
        <w:pStyle w:val="14"/>
        <w:spacing w:line="520" w:lineRule="exact"/>
        <w:ind w:firstLine="480"/>
        <w:rPr>
          <w:rFonts w:hAnsi="宋体"/>
          <w:color w:val="auto"/>
          <w:szCs w:val="21"/>
          <w:highlight w:val="none"/>
        </w:rPr>
      </w:pPr>
      <w:r>
        <w:rPr>
          <w:rFonts w:hint="eastAsia" w:hAnsi="宋体"/>
          <w:color w:val="auto"/>
          <w:szCs w:val="21"/>
          <w:highlight w:val="none"/>
        </w:rPr>
        <w:t>2. 资格文件；</w:t>
      </w:r>
    </w:p>
    <w:p w14:paraId="10EE3B30">
      <w:pPr>
        <w:pStyle w:val="14"/>
        <w:spacing w:line="520" w:lineRule="exact"/>
        <w:ind w:firstLine="480"/>
        <w:rPr>
          <w:rFonts w:hAnsi="宋体"/>
          <w:color w:val="auto"/>
          <w:szCs w:val="21"/>
          <w:highlight w:val="none"/>
        </w:rPr>
      </w:pPr>
      <w:r>
        <w:rPr>
          <w:rFonts w:hint="eastAsia" w:hAnsi="宋体"/>
          <w:color w:val="auto"/>
          <w:szCs w:val="21"/>
          <w:highlight w:val="none"/>
        </w:rPr>
        <w:t xml:space="preserve">3. 技术文件； </w:t>
      </w:r>
    </w:p>
    <w:p w14:paraId="664AB2CB">
      <w:pPr>
        <w:pStyle w:val="14"/>
        <w:spacing w:line="520" w:lineRule="exact"/>
        <w:ind w:firstLine="480"/>
        <w:rPr>
          <w:rFonts w:hAnsi="宋体"/>
          <w:color w:val="auto"/>
          <w:szCs w:val="21"/>
          <w:highlight w:val="none"/>
        </w:rPr>
      </w:pPr>
      <w:r>
        <w:rPr>
          <w:rFonts w:hint="eastAsia" w:hAnsi="宋体"/>
          <w:color w:val="auto"/>
          <w:szCs w:val="21"/>
          <w:highlight w:val="none"/>
        </w:rPr>
        <w:t xml:space="preserve">4. 按竞争性磋商文件磋商须知和技术规格要求提供的有关文件。 </w:t>
      </w:r>
    </w:p>
    <w:p w14:paraId="3291F57E">
      <w:pPr>
        <w:pStyle w:val="14"/>
        <w:spacing w:line="520" w:lineRule="exact"/>
        <w:rPr>
          <w:rFonts w:hAnsi="宋体"/>
          <w:color w:val="auto"/>
          <w:szCs w:val="21"/>
          <w:highlight w:val="none"/>
        </w:rPr>
      </w:pPr>
      <w:r>
        <w:rPr>
          <w:rFonts w:hint="eastAsia" w:hAnsi="宋体"/>
          <w:color w:val="auto"/>
          <w:szCs w:val="21"/>
          <w:highlight w:val="none"/>
        </w:rPr>
        <w:t>在此，授权代表宣布同意如下：</w:t>
      </w:r>
    </w:p>
    <w:p w14:paraId="011D000E">
      <w:pPr>
        <w:pStyle w:val="14"/>
        <w:spacing w:line="520" w:lineRule="exact"/>
        <w:ind w:firstLine="480"/>
        <w:rPr>
          <w:rFonts w:hAnsi="宋体"/>
          <w:color w:val="auto"/>
          <w:szCs w:val="21"/>
          <w:highlight w:val="none"/>
        </w:rPr>
      </w:pPr>
      <w:r>
        <w:rPr>
          <w:rFonts w:hint="eastAsia" w:hAnsi="宋体"/>
          <w:color w:val="auto"/>
          <w:szCs w:val="21"/>
          <w:highlight w:val="none"/>
        </w:rPr>
        <w:t>1. 将按竞争性磋商文件的约定履行合同责任和义务；</w:t>
      </w:r>
    </w:p>
    <w:p w14:paraId="376AB627">
      <w:pPr>
        <w:pStyle w:val="14"/>
        <w:spacing w:line="520" w:lineRule="exact"/>
        <w:ind w:firstLine="480"/>
        <w:rPr>
          <w:rFonts w:hAnsi="宋体"/>
          <w:color w:val="auto"/>
          <w:szCs w:val="21"/>
          <w:highlight w:val="none"/>
        </w:rPr>
      </w:pPr>
      <w:r>
        <w:rPr>
          <w:rFonts w:hint="eastAsia" w:hAnsi="宋体"/>
          <w:color w:val="auto"/>
          <w:szCs w:val="21"/>
          <w:highlight w:val="none"/>
        </w:rPr>
        <w:t>2. 已详细审查全部竞争性磋商文件，包括</w:t>
      </w:r>
      <w:r>
        <w:rPr>
          <w:rFonts w:hint="eastAsia" w:hAnsi="宋体"/>
          <w:color w:val="auto"/>
          <w:szCs w:val="21"/>
          <w:highlight w:val="none"/>
          <w:u w:val="single"/>
        </w:rPr>
        <w:t>（补遗书）（如果有的话）</w:t>
      </w:r>
      <w:r>
        <w:rPr>
          <w:rFonts w:hint="eastAsia" w:hAnsi="宋体"/>
          <w:color w:val="auto"/>
          <w:szCs w:val="21"/>
          <w:highlight w:val="none"/>
        </w:rPr>
        <w:t>；我们完全理解并同意放弃对这方面有不明及误解的权力；</w:t>
      </w:r>
    </w:p>
    <w:p w14:paraId="48F21800">
      <w:pPr>
        <w:pStyle w:val="14"/>
        <w:spacing w:line="520" w:lineRule="exact"/>
        <w:ind w:left="840" w:hanging="360"/>
        <w:rPr>
          <w:rFonts w:hAnsi="宋体"/>
          <w:color w:val="auto"/>
          <w:szCs w:val="21"/>
          <w:highlight w:val="none"/>
        </w:rPr>
      </w:pPr>
      <w:r>
        <w:rPr>
          <w:rFonts w:hint="eastAsia" w:hAnsi="宋体"/>
          <w:color w:val="auto"/>
          <w:szCs w:val="21"/>
          <w:highlight w:val="none"/>
        </w:rPr>
        <w:t>3. 同意提供按照贵方可能要求的与其磋商有关的一切数据或资料；</w:t>
      </w:r>
    </w:p>
    <w:p w14:paraId="28C8E502">
      <w:pPr>
        <w:pStyle w:val="14"/>
        <w:spacing w:line="520" w:lineRule="exact"/>
        <w:ind w:firstLine="480"/>
        <w:rPr>
          <w:rFonts w:hAnsi="宋体"/>
          <w:color w:val="auto"/>
          <w:szCs w:val="21"/>
          <w:highlight w:val="none"/>
          <w:u w:val="single"/>
        </w:rPr>
      </w:pPr>
      <w:r>
        <w:rPr>
          <w:rFonts w:hint="eastAsia" w:hAnsi="宋体"/>
          <w:color w:val="auto"/>
          <w:szCs w:val="21"/>
          <w:highlight w:val="none"/>
        </w:rPr>
        <w:t xml:space="preserve">4. 与本磋商有关的一切正式往来信函请寄：                         </w:t>
      </w:r>
      <w:r>
        <w:rPr>
          <w:rFonts w:hint="eastAsia" w:hAnsi="宋体"/>
          <w:color w:val="auto"/>
          <w:szCs w:val="21"/>
          <w:highlight w:val="none"/>
          <w:u w:val="single"/>
        </w:rPr>
        <w:t xml:space="preserve">                       </w:t>
      </w:r>
    </w:p>
    <w:p w14:paraId="46DDFE3D">
      <w:pPr>
        <w:pStyle w:val="14"/>
        <w:spacing w:line="520" w:lineRule="exact"/>
        <w:ind w:firstLine="840"/>
        <w:rPr>
          <w:rFonts w:hAnsi="宋体"/>
          <w:color w:val="auto"/>
          <w:szCs w:val="21"/>
          <w:highlight w:val="none"/>
        </w:rPr>
      </w:pPr>
      <w:r>
        <w:rPr>
          <w:rFonts w:hint="eastAsia" w:hAnsi="宋体"/>
          <w:color w:val="auto"/>
          <w:szCs w:val="21"/>
          <w:highlight w:val="none"/>
        </w:rPr>
        <w:t>电话：</w:t>
      </w:r>
      <w:r>
        <w:rPr>
          <w:rFonts w:hint="eastAsia" w:hAnsi="宋体"/>
          <w:color w:val="auto"/>
          <w:szCs w:val="21"/>
          <w:highlight w:val="none"/>
          <w:u w:val="single"/>
        </w:rPr>
        <w:t xml:space="preserve">                        </w:t>
      </w:r>
      <w:r>
        <w:rPr>
          <w:rFonts w:hint="eastAsia" w:hAnsi="宋体"/>
          <w:color w:val="auto"/>
          <w:szCs w:val="21"/>
          <w:highlight w:val="none"/>
        </w:rPr>
        <w:t xml:space="preserve"> 电子函件：</w:t>
      </w:r>
      <w:r>
        <w:rPr>
          <w:rFonts w:hint="eastAsia" w:hAnsi="宋体"/>
          <w:color w:val="auto"/>
          <w:szCs w:val="21"/>
          <w:highlight w:val="none"/>
          <w:u w:val="single"/>
        </w:rPr>
        <w:t xml:space="preserve">             </w:t>
      </w:r>
      <w:r>
        <w:rPr>
          <w:rFonts w:hint="eastAsia" w:hAnsi="宋体"/>
          <w:color w:val="auto"/>
          <w:szCs w:val="21"/>
          <w:highlight w:val="none"/>
        </w:rPr>
        <w:t xml:space="preserve">              </w:t>
      </w:r>
    </w:p>
    <w:p w14:paraId="023537A2">
      <w:pPr>
        <w:pStyle w:val="14"/>
        <w:spacing w:line="520" w:lineRule="exact"/>
        <w:ind w:firstLine="840"/>
        <w:rPr>
          <w:rFonts w:hAnsi="宋体"/>
          <w:color w:val="auto"/>
          <w:szCs w:val="21"/>
          <w:highlight w:val="none"/>
          <w:u w:val="single"/>
        </w:rPr>
      </w:pPr>
      <w:r>
        <w:rPr>
          <w:rFonts w:hint="eastAsia" w:hAnsi="宋体"/>
          <w:color w:val="auto"/>
          <w:szCs w:val="21"/>
          <w:highlight w:val="none"/>
        </w:rPr>
        <w:t>日期：</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日</w:t>
      </w:r>
    </w:p>
    <w:p w14:paraId="6D0B2D65">
      <w:pPr>
        <w:pStyle w:val="14"/>
        <w:spacing w:line="520" w:lineRule="exact"/>
        <w:ind w:firstLine="840"/>
        <w:rPr>
          <w:rFonts w:hAnsi="宋体"/>
          <w:color w:val="auto"/>
          <w:szCs w:val="21"/>
          <w:highlight w:val="none"/>
          <w:u w:val="single"/>
        </w:rPr>
      </w:pPr>
      <w:r>
        <w:rPr>
          <w:rFonts w:hint="eastAsia" w:hAnsi="宋体" w:cs="宋体"/>
          <w:color w:val="auto"/>
          <w:highlight w:val="none"/>
        </w:rPr>
        <w:t>法定代表人或授权代表（签字或者盖章或者电子签名）</w:t>
      </w:r>
      <w:r>
        <w:rPr>
          <w:rFonts w:hint="eastAsia" w:hAnsi="宋体"/>
          <w:color w:val="auto"/>
          <w:szCs w:val="21"/>
          <w:highlight w:val="none"/>
        </w:rPr>
        <w:t>：</w:t>
      </w:r>
      <w:r>
        <w:rPr>
          <w:rFonts w:hint="eastAsia" w:hAnsi="宋体"/>
          <w:color w:val="auto"/>
          <w:szCs w:val="21"/>
          <w:highlight w:val="none"/>
          <w:u w:val="single"/>
        </w:rPr>
        <w:t xml:space="preserve">                       </w:t>
      </w:r>
    </w:p>
    <w:p w14:paraId="5A090603">
      <w:pPr>
        <w:pStyle w:val="14"/>
        <w:spacing w:line="520" w:lineRule="exact"/>
        <w:ind w:firstLine="840"/>
        <w:rPr>
          <w:rFonts w:hAnsi="宋体"/>
          <w:color w:val="auto"/>
          <w:szCs w:val="21"/>
          <w:highlight w:val="none"/>
        </w:rPr>
      </w:pPr>
      <w:r>
        <w:rPr>
          <w:rFonts w:hint="eastAsia" w:hAnsi="宋体"/>
          <w:color w:val="auto"/>
          <w:szCs w:val="21"/>
          <w:highlight w:val="none"/>
        </w:rPr>
        <w:t>磋</w:t>
      </w:r>
      <w:r>
        <w:rPr>
          <w:rFonts w:hAnsi="宋体"/>
          <w:color w:val="auto"/>
          <w:szCs w:val="21"/>
          <w:highlight w:val="none"/>
        </w:rPr>
        <w:t>商</w:t>
      </w:r>
      <w:r>
        <w:rPr>
          <w:rFonts w:hint="eastAsia" w:hAnsi="宋体"/>
          <w:color w:val="auto"/>
          <w:szCs w:val="21"/>
          <w:highlight w:val="none"/>
        </w:rPr>
        <w:t>供应商名称（盖章）：</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 xml:space="preserve">                           </w:t>
      </w:r>
    </w:p>
    <w:p w14:paraId="44FCBB76">
      <w:pPr>
        <w:spacing w:line="500" w:lineRule="exact"/>
        <w:ind w:firstLine="840" w:firstLineChars="400"/>
        <w:rPr>
          <w:rFonts w:hint="eastAsia" w:hAnsi="宋体"/>
          <w:color w:val="auto"/>
          <w:szCs w:val="21"/>
          <w:highlight w:val="none"/>
        </w:rPr>
      </w:pPr>
      <w:r>
        <w:rPr>
          <w:rFonts w:hint="eastAsia" w:hAnsi="宋体"/>
          <w:color w:val="auto"/>
          <w:szCs w:val="21"/>
          <w:highlight w:val="none"/>
        </w:rPr>
        <w:t>开户银行：</w:t>
      </w:r>
      <w:r>
        <w:rPr>
          <w:rFonts w:hint="eastAsia" w:hAnsi="宋体"/>
          <w:color w:val="auto"/>
          <w:szCs w:val="21"/>
          <w:highlight w:val="none"/>
          <w:u w:val="single"/>
        </w:rPr>
        <w:t xml:space="preserve">                         </w:t>
      </w:r>
      <w:r>
        <w:rPr>
          <w:rFonts w:hint="eastAsia" w:hAnsi="宋体"/>
          <w:color w:val="auto"/>
          <w:szCs w:val="21"/>
          <w:highlight w:val="none"/>
        </w:rPr>
        <w:t xml:space="preserve"> </w:t>
      </w:r>
    </w:p>
    <w:p w14:paraId="3C419DB1">
      <w:pPr>
        <w:spacing w:line="500" w:lineRule="exact"/>
        <w:ind w:firstLine="840" w:firstLineChars="400"/>
        <w:rPr>
          <w:rStyle w:val="40"/>
          <w:rFonts w:ascii="宋体" w:hAnsi="宋体"/>
          <w:color w:val="auto"/>
          <w:sz w:val="24"/>
          <w:highlight w:val="none"/>
        </w:rPr>
      </w:pPr>
      <w:r>
        <w:rPr>
          <w:rFonts w:hint="eastAsia" w:hAnsi="宋体"/>
          <w:color w:val="auto"/>
          <w:szCs w:val="21"/>
          <w:highlight w:val="none"/>
        </w:rPr>
        <w:t>帐号/行号：</w:t>
      </w:r>
      <w:r>
        <w:rPr>
          <w:rFonts w:hint="eastAsia" w:hAnsi="宋体"/>
          <w:color w:val="auto"/>
          <w:szCs w:val="21"/>
          <w:highlight w:val="none"/>
          <w:u w:val="single"/>
        </w:rPr>
        <w:t xml:space="preserve">           </w:t>
      </w:r>
      <w:r>
        <w:rPr>
          <w:rFonts w:hAnsi="宋体"/>
          <w:color w:val="auto"/>
          <w:szCs w:val="21"/>
          <w:highlight w:val="none"/>
          <w:u w:val="single"/>
        </w:rPr>
        <w:t xml:space="preserve">      </w:t>
      </w:r>
    </w:p>
    <w:p w14:paraId="6F3C966E">
      <w:pPr>
        <w:spacing w:line="480" w:lineRule="auto"/>
        <w:jc w:val="center"/>
        <w:rPr>
          <w:rStyle w:val="40"/>
          <w:rFonts w:ascii="宋体" w:hAnsi="宋体"/>
          <w:color w:val="auto"/>
          <w:sz w:val="24"/>
          <w:highlight w:val="none"/>
        </w:rPr>
      </w:pPr>
    </w:p>
    <w:p w14:paraId="3C6C2E65">
      <w:pPr>
        <w:spacing w:line="480" w:lineRule="auto"/>
        <w:jc w:val="center"/>
        <w:rPr>
          <w:rStyle w:val="40"/>
          <w:rFonts w:ascii="宋体" w:hAnsi="宋体"/>
          <w:color w:val="auto"/>
          <w:sz w:val="24"/>
          <w:highlight w:val="none"/>
        </w:rPr>
      </w:pPr>
    </w:p>
    <w:p w14:paraId="733DA4AF">
      <w:pPr>
        <w:spacing w:line="480" w:lineRule="auto"/>
        <w:jc w:val="center"/>
        <w:rPr>
          <w:rStyle w:val="40"/>
          <w:rFonts w:ascii="宋体" w:hAnsi="宋体"/>
          <w:color w:val="auto"/>
          <w:sz w:val="24"/>
          <w:highlight w:val="none"/>
        </w:rPr>
      </w:pPr>
    </w:p>
    <w:p w14:paraId="58D6BB51">
      <w:pPr>
        <w:spacing w:line="480" w:lineRule="auto"/>
        <w:jc w:val="center"/>
        <w:rPr>
          <w:rStyle w:val="40"/>
          <w:rFonts w:ascii="宋体" w:hAnsi="宋体"/>
          <w:color w:val="auto"/>
          <w:sz w:val="24"/>
          <w:highlight w:val="none"/>
        </w:rPr>
      </w:pPr>
    </w:p>
    <w:p w14:paraId="603EE21D">
      <w:pPr>
        <w:spacing w:line="480" w:lineRule="auto"/>
        <w:jc w:val="both"/>
        <w:rPr>
          <w:rStyle w:val="40"/>
          <w:rFonts w:ascii="宋体" w:hAnsi="宋体"/>
          <w:color w:val="auto"/>
          <w:sz w:val="24"/>
          <w:highlight w:val="none"/>
        </w:rPr>
      </w:pPr>
    </w:p>
    <w:p w14:paraId="586651CD">
      <w:pPr>
        <w:pStyle w:val="38"/>
        <w:jc w:val="center"/>
        <w:rPr>
          <w:rStyle w:val="40"/>
          <w:rFonts w:hint="eastAsia" w:ascii="宋体" w:hAnsi="宋体" w:eastAsia="宋体" w:cs="宋体"/>
          <w:b/>
          <w:bCs/>
          <w:color w:val="auto"/>
          <w:highlight w:val="none"/>
          <w:lang w:eastAsia="zh-CN"/>
        </w:rPr>
      </w:pPr>
      <w:r>
        <w:rPr>
          <w:rStyle w:val="40"/>
          <w:rFonts w:ascii="宋体" w:hAnsi="宋体" w:cs="宋体"/>
          <w:b/>
          <w:bCs/>
          <w:color w:val="auto"/>
          <w:highlight w:val="none"/>
        </w:rPr>
        <w:t>磋商报价表</w:t>
      </w:r>
      <w:r>
        <w:rPr>
          <w:rStyle w:val="40"/>
          <w:rFonts w:hint="eastAsia" w:ascii="宋体" w:hAnsi="宋体" w:cs="宋体"/>
          <w:b/>
          <w:bCs/>
          <w:color w:val="auto"/>
          <w:highlight w:val="none"/>
          <w:lang w:eastAsia="zh-CN"/>
        </w:rPr>
        <w:t>格式</w:t>
      </w:r>
    </w:p>
    <w:p w14:paraId="2CC3608C">
      <w:pPr>
        <w:spacing w:line="420" w:lineRule="exact"/>
        <w:rPr>
          <w:rStyle w:val="40"/>
          <w:rFonts w:ascii="宋体" w:hAnsi="宋体"/>
          <w:color w:val="auto"/>
          <w:szCs w:val="21"/>
          <w:highlight w:val="none"/>
          <w:u w:val="single"/>
        </w:rPr>
      </w:pPr>
      <w:r>
        <w:rPr>
          <w:rStyle w:val="40"/>
          <w:rFonts w:ascii="宋体" w:hAnsi="宋体"/>
          <w:color w:val="auto"/>
          <w:szCs w:val="21"/>
          <w:highlight w:val="none"/>
        </w:rPr>
        <w:t>项目编号:</w:t>
      </w:r>
      <w:r>
        <w:rPr>
          <w:rStyle w:val="40"/>
          <w:rFonts w:ascii="宋体" w:hAnsi="宋体"/>
          <w:color w:val="auto"/>
          <w:szCs w:val="21"/>
          <w:highlight w:val="none"/>
          <w:u w:val="single"/>
        </w:rPr>
        <w:t xml:space="preserve">                 </w:t>
      </w:r>
    </w:p>
    <w:p w14:paraId="10AB0620">
      <w:pPr>
        <w:spacing w:line="420" w:lineRule="exact"/>
        <w:rPr>
          <w:rStyle w:val="40"/>
          <w:rFonts w:ascii="宋体" w:hAnsi="宋体"/>
          <w:color w:val="auto"/>
          <w:szCs w:val="21"/>
          <w:highlight w:val="none"/>
          <w:u w:val="single"/>
        </w:rPr>
      </w:pPr>
      <w:r>
        <w:rPr>
          <w:rStyle w:val="40"/>
          <w:rFonts w:ascii="宋体" w:hAnsi="宋体"/>
          <w:color w:val="auto"/>
          <w:szCs w:val="21"/>
          <w:highlight w:val="none"/>
        </w:rPr>
        <w:t>项目名称:</w:t>
      </w:r>
      <w:r>
        <w:rPr>
          <w:rStyle w:val="40"/>
          <w:rFonts w:ascii="宋体" w:hAnsi="宋体"/>
          <w:color w:val="auto"/>
          <w:szCs w:val="21"/>
          <w:highlight w:val="none"/>
          <w:u w:val="single"/>
        </w:rPr>
        <w:t xml:space="preserve">    </w:t>
      </w:r>
    </w:p>
    <w:p w14:paraId="7F11D756">
      <w:pPr>
        <w:spacing w:line="420" w:lineRule="exact"/>
        <w:rPr>
          <w:rStyle w:val="40"/>
          <w:rFonts w:ascii="宋体" w:hAnsi="宋体"/>
          <w:color w:val="auto"/>
          <w:szCs w:val="21"/>
          <w:highlight w:val="none"/>
          <w:u w:val="single"/>
        </w:rPr>
      </w:pPr>
      <w:r>
        <w:rPr>
          <w:rStyle w:val="40"/>
          <w:rFonts w:hint="eastAsia" w:ascii="宋体" w:hAnsi="宋体"/>
          <w:color w:val="auto"/>
          <w:szCs w:val="21"/>
          <w:highlight w:val="none"/>
          <w:u w:val="single"/>
          <w:lang w:val="en-US" w:eastAsia="zh-CN"/>
        </w:rPr>
        <w:t>分标项：</w:t>
      </w:r>
      <w:r>
        <w:rPr>
          <w:rStyle w:val="40"/>
          <w:rFonts w:ascii="宋体" w:hAnsi="宋体"/>
          <w:color w:val="auto"/>
          <w:szCs w:val="21"/>
          <w:highlight w:val="none"/>
          <w:u w:val="single"/>
        </w:rPr>
        <w:t xml:space="preserve">    </w:t>
      </w:r>
    </w:p>
    <w:tbl>
      <w:tblPr>
        <w:tblStyle w:val="24"/>
        <w:tblpPr w:leftFromText="180" w:rightFromText="180" w:vertAnchor="text" w:horzAnchor="margin" w:tblpXSpec="center" w:tblpY="199"/>
        <w:tblOverlap w:val="never"/>
        <w:tblW w:w="96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624"/>
        <w:gridCol w:w="4782"/>
        <w:gridCol w:w="1594"/>
      </w:tblGrid>
      <w:tr w14:paraId="219B5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trPr>
        <w:tc>
          <w:tcPr>
            <w:tcW w:w="694" w:type="dxa"/>
            <w:tcBorders>
              <w:top w:val="single" w:color="auto" w:sz="4" w:space="0"/>
              <w:left w:val="single" w:color="auto" w:sz="4" w:space="0"/>
              <w:bottom w:val="single" w:color="auto" w:sz="4" w:space="0"/>
              <w:right w:val="single" w:color="auto" w:sz="4" w:space="0"/>
            </w:tcBorders>
            <w:noWrap w:val="0"/>
            <w:vAlign w:val="center"/>
          </w:tcPr>
          <w:p w14:paraId="7A2AB31E">
            <w:pPr>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序号</w:t>
            </w:r>
          </w:p>
        </w:tc>
        <w:tc>
          <w:tcPr>
            <w:tcW w:w="2624" w:type="dxa"/>
            <w:tcBorders>
              <w:top w:val="single" w:color="auto" w:sz="4" w:space="0"/>
              <w:left w:val="single" w:color="auto" w:sz="4" w:space="0"/>
              <w:bottom w:val="single" w:color="auto" w:sz="4" w:space="0"/>
              <w:right w:val="single" w:color="auto" w:sz="4" w:space="0"/>
            </w:tcBorders>
            <w:noWrap w:val="0"/>
            <w:vAlign w:val="center"/>
          </w:tcPr>
          <w:p w14:paraId="611C17DD">
            <w:pPr>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lang w:val="en-US" w:eastAsia="zh-CN"/>
                <w14:textFill>
                  <w14:solidFill>
                    <w14:schemeClr w14:val="tx1"/>
                  </w14:solidFill>
                </w14:textFill>
              </w:rPr>
              <w:t>项标</w:t>
            </w:r>
            <w:r>
              <w:rPr>
                <w:rFonts w:hint="eastAsia" w:ascii="宋体" w:hAnsi="宋体" w:cs="宋体"/>
                <w:b/>
                <w:color w:val="000000" w:themeColor="text1"/>
                <w:sz w:val="24"/>
                <w:highlight w:val="none"/>
                <w14:textFill>
                  <w14:solidFill>
                    <w14:schemeClr w14:val="tx1"/>
                  </w14:solidFill>
                </w14:textFill>
              </w:rPr>
              <w:t>名称</w:t>
            </w:r>
          </w:p>
        </w:tc>
        <w:tc>
          <w:tcPr>
            <w:tcW w:w="4782" w:type="dxa"/>
            <w:tcBorders>
              <w:top w:val="single" w:color="auto" w:sz="4" w:space="0"/>
              <w:left w:val="single" w:color="auto" w:sz="4" w:space="0"/>
              <w:bottom w:val="single" w:color="auto" w:sz="4" w:space="0"/>
              <w:right w:val="single" w:color="auto" w:sz="4" w:space="0"/>
            </w:tcBorders>
            <w:noWrap w:val="0"/>
            <w:vAlign w:val="center"/>
          </w:tcPr>
          <w:p w14:paraId="4E6811B1">
            <w:pPr>
              <w:jc w:val="center"/>
              <w:rPr>
                <w:rFonts w:hint="eastAsia" w:ascii="宋体" w:hAnsi="宋体" w:eastAsia="宋体" w:cs="宋体"/>
                <w:b/>
                <w:color w:val="000000" w:themeColor="text1"/>
                <w:sz w:val="24"/>
                <w:highlight w:val="none"/>
                <w:lang w:eastAsia="zh-CN"/>
                <w14:textFill>
                  <w14:solidFill>
                    <w14:schemeClr w14:val="tx1"/>
                  </w14:solidFill>
                </w14:textFill>
              </w:rPr>
            </w:pPr>
            <w:r>
              <w:rPr>
                <w:rFonts w:hint="eastAsia" w:ascii="宋体" w:hAnsi="宋体" w:eastAsia="宋体" w:cs="宋体"/>
                <w:b/>
                <w:color w:val="000000" w:themeColor="text1"/>
                <w:sz w:val="24"/>
                <w:highlight w:val="none"/>
                <w:lang w:eastAsia="zh-CN"/>
                <w14:textFill>
                  <w14:solidFill>
                    <w14:schemeClr w14:val="tx1"/>
                  </w14:solidFill>
                </w14:textFill>
              </w:rPr>
              <w:t>总价</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496CEA58">
            <w:pPr>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备注</w:t>
            </w:r>
          </w:p>
        </w:tc>
      </w:tr>
      <w:tr w14:paraId="7D52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94" w:type="dxa"/>
            <w:tcBorders>
              <w:top w:val="single" w:color="auto" w:sz="4" w:space="0"/>
              <w:left w:val="single" w:color="auto" w:sz="4" w:space="0"/>
              <w:bottom w:val="single" w:color="auto" w:sz="4" w:space="0"/>
              <w:right w:val="single" w:color="auto" w:sz="4" w:space="0"/>
            </w:tcBorders>
            <w:noWrap w:val="0"/>
            <w:vAlign w:val="center"/>
          </w:tcPr>
          <w:p w14:paraId="2C303523">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624" w:type="dxa"/>
            <w:tcBorders>
              <w:top w:val="single" w:color="auto" w:sz="4" w:space="0"/>
              <w:left w:val="single" w:color="auto" w:sz="4" w:space="0"/>
              <w:bottom w:val="single" w:color="auto" w:sz="4" w:space="0"/>
              <w:right w:val="single" w:color="auto" w:sz="4" w:space="0"/>
            </w:tcBorders>
            <w:noWrap w:val="0"/>
            <w:vAlign w:val="center"/>
          </w:tcPr>
          <w:p w14:paraId="4D7B3444">
            <w:pPr>
              <w:jc w:val="center"/>
              <w:rPr>
                <w:rFonts w:hint="eastAsia" w:ascii="宋体" w:hAnsi="宋体" w:eastAsia="宋体" w:cs="宋体"/>
                <w:bCs/>
                <w:color w:val="000000" w:themeColor="text1"/>
                <w:sz w:val="24"/>
                <w:highlight w:val="none"/>
                <w:lang w:eastAsia="zh-CN"/>
                <w14:textFill>
                  <w14:solidFill>
                    <w14:schemeClr w14:val="tx1"/>
                  </w14:solidFill>
                </w14:textFill>
              </w:rPr>
            </w:pPr>
          </w:p>
        </w:tc>
        <w:tc>
          <w:tcPr>
            <w:tcW w:w="4782" w:type="dxa"/>
            <w:tcBorders>
              <w:top w:val="single" w:color="auto" w:sz="4" w:space="0"/>
              <w:left w:val="single" w:color="auto" w:sz="4" w:space="0"/>
              <w:bottom w:val="single" w:color="auto" w:sz="4" w:space="0"/>
              <w:right w:val="single" w:color="auto" w:sz="4" w:space="0"/>
            </w:tcBorders>
            <w:noWrap w:val="0"/>
            <w:vAlign w:val="center"/>
          </w:tcPr>
          <w:p w14:paraId="036250A5">
            <w:pPr>
              <w:spacing w:line="360" w:lineRule="auto"/>
              <w:contextualSpacing/>
              <w:jc w:val="center"/>
              <w:rPr>
                <w:rFonts w:ascii="宋体" w:hAnsi="宋体" w:cs="宋体"/>
                <w:color w:val="000000" w:themeColor="text1"/>
                <w:sz w:val="24"/>
                <w:highlight w:val="none"/>
                <w:lang w:val="en-US"/>
                <w14:textFill>
                  <w14:solidFill>
                    <w14:schemeClr w14:val="tx1"/>
                  </w14:solidFill>
                </w14:textFill>
              </w:rPr>
            </w:pPr>
          </w:p>
        </w:tc>
        <w:tc>
          <w:tcPr>
            <w:tcW w:w="1594" w:type="dxa"/>
            <w:tcBorders>
              <w:top w:val="single" w:color="auto" w:sz="4" w:space="0"/>
              <w:left w:val="single" w:color="auto" w:sz="4" w:space="0"/>
              <w:bottom w:val="single" w:color="auto" w:sz="4" w:space="0"/>
              <w:right w:val="single" w:color="auto" w:sz="4" w:space="0"/>
            </w:tcBorders>
            <w:noWrap w:val="0"/>
            <w:vAlign w:val="center"/>
          </w:tcPr>
          <w:p w14:paraId="0ACE427E">
            <w:pPr>
              <w:jc w:val="center"/>
              <w:rPr>
                <w:rFonts w:hint="eastAsia" w:ascii="宋体" w:hAnsi="宋体" w:cs="宋体"/>
                <w:b/>
                <w:color w:val="000000" w:themeColor="text1"/>
                <w:sz w:val="24"/>
                <w:highlight w:val="none"/>
                <w14:textFill>
                  <w14:solidFill>
                    <w14:schemeClr w14:val="tx1"/>
                  </w14:solidFill>
                </w14:textFill>
              </w:rPr>
            </w:pPr>
          </w:p>
        </w:tc>
      </w:tr>
      <w:tr w14:paraId="35515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694" w:type="dxa"/>
            <w:gridSpan w:val="4"/>
            <w:tcBorders>
              <w:top w:val="single" w:color="auto" w:sz="4" w:space="0"/>
              <w:left w:val="single" w:color="auto" w:sz="4" w:space="0"/>
              <w:bottom w:val="single" w:color="auto" w:sz="4" w:space="0"/>
              <w:right w:val="single" w:color="auto" w:sz="4" w:space="0"/>
            </w:tcBorders>
            <w:noWrap w:val="0"/>
            <w:vAlign w:val="center"/>
          </w:tcPr>
          <w:p w14:paraId="153EB39A">
            <w:pPr>
              <w:spacing w:line="500" w:lineRule="exact"/>
              <w:rPr>
                <w:rFonts w:hint="eastAsia" w:ascii="宋体" w:hAnsi="宋体" w:cs="宋体"/>
                <w:b/>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总价</w:t>
            </w:r>
            <w:r>
              <w:rPr>
                <w:rFonts w:hint="eastAsia" w:ascii="宋体" w:hAnsi="宋体" w:cs="宋体"/>
                <w:color w:val="000000" w:themeColor="text1"/>
                <w:sz w:val="24"/>
                <w:highlight w:val="none"/>
                <w14:textFill>
                  <w14:solidFill>
                    <w14:schemeClr w14:val="tx1"/>
                  </w14:solidFill>
                </w14:textFill>
              </w:rPr>
              <w:t>报价：</w:t>
            </w:r>
            <w:r>
              <w:rPr>
                <w:rFonts w:hint="eastAsia" w:ascii="宋体" w:hAnsi="宋体" w:cs="宋体"/>
                <w:color w:val="000000" w:themeColor="text1"/>
                <w:sz w:val="24"/>
                <w:highlight w:val="none"/>
                <w:lang w:val="en-US" w:eastAsia="zh-CN"/>
                <w14:textFill>
                  <w14:solidFill>
                    <w14:schemeClr w14:val="tx1"/>
                  </w14:solidFill>
                </w14:textFill>
              </w:rPr>
              <w:t>:（大写）</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小</w:t>
            </w:r>
            <w:r>
              <w:rPr>
                <w:rFonts w:hint="eastAsia" w:ascii="宋体" w:hAnsi="宋体" w:cs="宋体"/>
                <w:color w:val="000000" w:themeColor="text1"/>
                <w:sz w:val="24"/>
                <w:highlight w:val="none"/>
                <w:u w:val="single"/>
                <w14:textFill>
                  <w14:solidFill>
                    <w14:schemeClr w14:val="tx1"/>
                  </w14:solidFill>
                </w14:textFill>
              </w:rPr>
              <w:t>写</w:t>
            </w:r>
            <w:r>
              <w:rPr>
                <w:rFonts w:hint="eastAsia" w:ascii="宋体" w:hAnsi="宋体" w:cs="宋体"/>
                <w:color w:val="000000" w:themeColor="text1"/>
                <w:sz w:val="24"/>
                <w:highlight w:val="none"/>
                <w:u w:val="single"/>
                <w:lang w:eastAsia="zh-CN"/>
                <w14:textFill>
                  <w14:solidFill>
                    <w14:schemeClr w14:val="tx1"/>
                  </w14:solidFill>
                </w14:textFill>
              </w:rPr>
              <w:t>：</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w:t>
            </w:r>
          </w:p>
        </w:tc>
      </w:tr>
      <w:tr w14:paraId="78F6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694" w:type="dxa"/>
            <w:gridSpan w:val="4"/>
            <w:tcBorders>
              <w:top w:val="single" w:color="auto" w:sz="4" w:space="0"/>
              <w:left w:val="single" w:color="auto" w:sz="4" w:space="0"/>
              <w:bottom w:val="single" w:color="auto" w:sz="4" w:space="0"/>
              <w:right w:val="single" w:color="auto" w:sz="4" w:space="0"/>
            </w:tcBorders>
            <w:noWrap w:val="0"/>
            <w:vAlign w:val="center"/>
          </w:tcPr>
          <w:p w14:paraId="06BFD683">
            <w:pPr>
              <w:spacing w:line="50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合同履约期限：</w:t>
            </w:r>
            <w:r>
              <w:rPr>
                <w:rFonts w:hint="eastAsia" w:ascii="宋体" w:hAnsi="宋体" w:cs="宋体"/>
                <w:color w:val="000000" w:themeColor="text1"/>
                <w:sz w:val="24"/>
                <w:highlight w:val="none"/>
                <w:lang w:val="en-US" w:eastAsia="zh-CN"/>
                <w14:textFill>
                  <w14:solidFill>
                    <w14:schemeClr w14:val="tx1"/>
                  </w14:solidFill>
                </w14:textFill>
              </w:rPr>
              <w:t>2026</w:t>
            </w:r>
            <w:r>
              <w:rPr>
                <w:rFonts w:hint="eastAsia" w:ascii="宋体" w:hAnsi="宋体" w:cs="宋体"/>
                <w:color w:val="000000" w:themeColor="text1"/>
                <w:sz w:val="24"/>
                <w:highlight w:val="none"/>
                <w:lang w:eastAsia="zh-CN"/>
                <w14:textFill>
                  <w14:solidFill>
                    <w14:schemeClr w14:val="tx1"/>
                  </w14:solidFill>
                </w14:textFill>
              </w:rPr>
              <w:t>年</w:t>
            </w: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cs="宋体"/>
                <w:color w:val="000000" w:themeColor="text1"/>
                <w:sz w:val="24"/>
                <w:highlight w:val="none"/>
                <w:lang w:eastAsia="zh-CN"/>
                <w14:textFill>
                  <w14:solidFill>
                    <w14:schemeClr w14:val="tx1"/>
                  </w14:solidFill>
                </w14:textFill>
              </w:rPr>
              <w:t>月</w:t>
            </w:r>
            <w:r>
              <w:rPr>
                <w:rFonts w:hint="eastAsia" w:ascii="宋体" w:hAnsi="宋体" w:cs="宋体"/>
                <w:color w:val="000000" w:themeColor="text1"/>
                <w:sz w:val="24"/>
                <w:highlight w:val="none"/>
                <w:lang w:val="en-US" w:eastAsia="zh-CN"/>
                <w14:textFill>
                  <w14:solidFill>
                    <w14:schemeClr w14:val="tx1"/>
                  </w14:solidFill>
                </w14:textFill>
              </w:rPr>
              <w:t>30</w:t>
            </w:r>
            <w:r>
              <w:rPr>
                <w:rFonts w:hint="eastAsia" w:ascii="宋体" w:hAnsi="宋体" w:cs="宋体"/>
                <w:color w:val="000000" w:themeColor="text1"/>
                <w:sz w:val="24"/>
                <w:highlight w:val="none"/>
                <w:lang w:eastAsia="zh-CN"/>
                <w14:textFill>
                  <w14:solidFill>
                    <w14:schemeClr w14:val="tx1"/>
                  </w14:solidFill>
                </w14:textFill>
              </w:rPr>
              <w:t>日前，完成</w:t>
            </w:r>
            <w:r>
              <w:rPr>
                <w:rFonts w:hint="eastAsia" w:ascii="宋体" w:hAnsi="宋体" w:cs="宋体"/>
                <w:color w:val="000000" w:themeColor="text1"/>
                <w:sz w:val="24"/>
                <w:highlight w:val="none"/>
                <w:lang w:val="en-US" w:eastAsia="zh-CN"/>
                <w14:textFill>
                  <w14:solidFill>
                    <w14:schemeClr w14:val="tx1"/>
                  </w14:solidFill>
                </w14:textFill>
              </w:rPr>
              <w:t>港南区2026年生产障碍耕地治理项目。（如因特殊天气、错过农时及实施面积不足等原因无法实施，则项目顺延至2027年实施）。</w:t>
            </w:r>
          </w:p>
        </w:tc>
      </w:tr>
    </w:tbl>
    <w:p w14:paraId="0DC6E7C9">
      <w:pPr>
        <w:spacing w:line="420" w:lineRule="exact"/>
        <w:rPr>
          <w:rStyle w:val="40"/>
          <w:rFonts w:ascii="宋体" w:hAnsi="宋体"/>
          <w:color w:val="auto"/>
          <w:szCs w:val="21"/>
          <w:highlight w:val="none"/>
          <w:u w:val="single"/>
        </w:rPr>
      </w:pPr>
      <w:r>
        <w:rPr>
          <w:rStyle w:val="40"/>
          <w:rFonts w:ascii="宋体" w:hAnsi="宋体"/>
          <w:color w:val="auto"/>
          <w:szCs w:val="21"/>
          <w:highlight w:val="none"/>
          <w:u w:val="single"/>
        </w:rPr>
        <w:t xml:space="preserve">    </w:t>
      </w:r>
    </w:p>
    <w:p w14:paraId="03C9C00F">
      <w:pPr>
        <w:spacing w:line="420" w:lineRule="exact"/>
        <w:rPr>
          <w:rStyle w:val="40"/>
          <w:rFonts w:ascii="宋体" w:hAnsi="宋体"/>
          <w:color w:val="auto"/>
          <w:szCs w:val="21"/>
          <w:highlight w:val="none"/>
          <w:u w:val="single"/>
        </w:rPr>
      </w:pPr>
    </w:p>
    <w:p w14:paraId="270A109D">
      <w:pPr>
        <w:pStyle w:val="10"/>
        <w:rPr>
          <w:rStyle w:val="40"/>
          <w:rFonts w:ascii="宋体" w:hAnsi="宋体"/>
          <w:color w:val="auto"/>
          <w:szCs w:val="21"/>
          <w:highlight w:val="none"/>
          <w:u w:val="single"/>
        </w:rPr>
      </w:pPr>
    </w:p>
    <w:p w14:paraId="7C8615D8">
      <w:pPr>
        <w:rPr>
          <w:color w:val="auto"/>
          <w:highlight w:val="none"/>
        </w:rPr>
      </w:pPr>
    </w:p>
    <w:p w14:paraId="7EFC3358">
      <w:pPr>
        <w:spacing w:line="420" w:lineRule="exact"/>
        <w:rPr>
          <w:rStyle w:val="40"/>
          <w:rFonts w:ascii="宋体" w:hAnsi="宋体"/>
          <w:color w:val="auto"/>
          <w:szCs w:val="21"/>
          <w:highlight w:val="none"/>
          <w:u w:val="single"/>
        </w:rPr>
      </w:pPr>
    </w:p>
    <w:p w14:paraId="70433474">
      <w:pPr>
        <w:pStyle w:val="56"/>
        <w:spacing w:line="500" w:lineRule="exact"/>
        <w:rPr>
          <w:rStyle w:val="40"/>
          <w:rFonts w:hAnsi="宋体"/>
          <w:color w:val="auto"/>
          <w:highlight w:val="none"/>
          <w:u w:val="single"/>
        </w:rPr>
      </w:pPr>
      <w:r>
        <w:rPr>
          <w:rStyle w:val="40"/>
          <w:rFonts w:hAnsi="宋体"/>
          <w:color w:val="auto"/>
          <w:highlight w:val="none"/>
        </w:rPr>
        <w:t>磋商供应商名称（签章）：</w:t>
      </w:r>
      <w:r>
        <w:rPr>
          <w:rStyle w:val="40"/>
          <w:rFonts w:hAnsi="宋体"/>
          <w:color w:val="auto"/>
          <w:highlight w:val="none"/>
          <w:u w:val="single"/>
        </w:rPr>
        <w:t xml:space="preserve">                              </w:t>
      </w:r>
    </w:p>
    <w:p w14:paraId="4CFB6E0B">
      <w:pPr>
        <w:pStyle w:val="56"/>
        <w:spacing w:line="500" w:lineRule="exact"/>
        <w:rPr>
          <w:rStyle w:val="40"/>
          <w:rFonts w:hAnsi="宋体"/>
          <w:color w:val="auto"/>
          <w:highlight w:val="none"/>
          <w:u w:val="single"/>
        </w:rPr>
      </w:pPr>
      <w:r>
        <w:rPr>
          <w:rStyle w:val="40"/>
          <w:rFonts w:hint="eastAsia" w:hAnsi="宋体"/>
          <w:color w:val="auto"/>
          <w:highlight w:val="none"/>
        </w:rPr>
        <w:t>法定代表人或授权代表（签字或者盖章或者电子签名）</w:t>
      </w:r>
      <w:r>
        <w:rPr>
          <w:rStyle w:val="40"/>
          <w:rFonts w:hAnsi="宋体"/>
          <w:color w:val="auto"/>
          <w:highlight w:val="none"/>
        </w:rPr>
        <w:t>:</w:t>
      </w:r>
      <w:r>
        <w:rPr>
          <w:rStyle w:val="40"/>
          <w:rFonts w:hAnsi="宋体"/>
          <w:color w:val="auto"/>
          <w:highlight w:val="none"/>
          <w:u w:val="single"/>
        </w:rPr>
        <w:t xml:space="preserve">              </w:t>
      </w:r>
    </w:p>
    <w:p w14:paraId="4E3EA86F">
      <w:pPr>
        <w:spacing w:line="360" w:lineRule="auto"/>
        <w:rPr>
          <w:rStyle w:val="40"/>
          <w:rFonts w:ascii="宋体" w:hAnsi="宋体"/>
          <w:color w:val="auto"/>
          <w:highlight w:val="none"/>
        </w:rPr>
      </w:pPr>
      <w:r>
        <w:rPr>
          <w:rStyle w:val="40"/>
          <w:rFonts w:ascii="宋体" w:hAnsi="宋体"/>
          <w:color w:val="auto"/>
          <w:szCs w:val="21"/>
          <w:highlight w:val="none"/>
        </w:rPr>
        <w:t>报价时间：</w:t>
      </w:r>
      <w:r>
        <w:rPr>
          <w:rStyle w:val="40"/>
          <w:rFonts w:ascii="宋体" w:hAnsi="宋体"/>
          <w:color w:val="auto"/>
          <w:szCs w:val="21"/>
          <w:highlight w:val="none"/>
          <w:u w:val="single"/>
        </w:rPr>
        <w:t xml:space="preserve">     </w:t>
      </w:r>
      <w:r>
        <w:rPr>
          <w:rStyle w:val="40"/>
          <w:rFonts w:ascii="宋体" w:hAnsi="宋体"/>
          <w:color w:val="auto"/>
          <w:szCs w:val="21"/>
          <w:highlight w:val="none"/>
        </w:rPr>
        <w:t>年</w:t>
      </w:r>
      <w:r>
        <w:rPr>
          <w:rStyle w:val="40"/>
          <w:rFonts w:ascii="宋体" w:hAnsi="宋体"/>
          <w:color w:val="auto"/>
          <w:szCs w:val="21"/>
          <w:highlight w:val="none"/>
          <w:u w:val="single"/>
        </w:rPr>
        <w:t xml:space="preserve">     </w:t>
      </w:r>
      <w:r>
        <w:rPr>
          <w:rStyle w:val="40"/>
          <w:rFonts w:ascii="宋体" w:hAnsi="宋体"/>
          <w:color w:val="auto"/>
          <w:szCs w:val="21"/>
          <w:highlight w:val="none"/>
        </w:rPr>
        <w:t>月</w:t>
      </w:r>
      <w:r>
        <w:rPr>
          <w:rStyle w:val="40"/>
          <w:rFonts w:ascii="宋体" w:hAnsi="宋体"/>
          <w:color w:val="auto"/>
          <w:szCs w:val="21"/>
          <w:highlight w:val="none"/>
          <w:u w:val="single"/>
        </w:rPr>
        <w:t xml:space="preserve">    </w:t>
      </w:r>
      <w:r>
        <w:rPr>
          <w:rStyle w:val="40"/>
          <w:rFonts w:ascii="宋体" w:hAnsi="宋体"/>
          <w:color w:val="auto"/>
          <w:szCs w:val="21"/>
          <w:highlight w:val="none"/>
        </w:rPr>
        <w:t>日</w:t>
      </w:r>
    </w:p>
    <w:p w14:paraId="090FDAFB">
      <w:pPr>
        <w:rPr>
          <w:rStyle w:val="40"/>
          <w:rFonts w:ascii="宋体" w:hAnsi="宋体"/>
          <w:color w:val="auto"/>
          <w:highlight w:val="none"/>
        </w:rPr>
      </w:pPr>
      <w:r>
        <w:rPr>
          <w:rStyle w:val="40"/>
          <w:rFonts w:ascii="宋体" w:hAnsi="宋体"/>
          <w:color w:val="auto"/>
          <w:highlight w:val="none"/>
        </w:rPr>
        <w:t xml:space="preserve"> </w:t>
      </w:r>
    </w:p>
    <w:p w14:paraId="4A4C987B">
      <w:pPr>
        <w:pStyle w:val="10"/>
        <w:rPr>
          <w:rStyle w:val="40"/>
          <w:rFonts w:ascii="宋体" w:hAnsi="宋体" w:cs="宋体"/>
          <w:b/>
          <w:bCs/>
          <w:color w:val="auto"/>
          <w:sz w:val="32"/>
          <w:szCs w:val="32"/>
          <w:highlight w:val="none"/>
        </w:rPr>
      </w:pPr>
    </w:p>
    <w:p w14:paraId="3013DF13">
      <w:pPr>
        <w:pStyle w:val="10"/>
        <w:rPr>
          <w:rStyle w:val="40"/>
          <w:rFonts w:ascii="宋体" w:hAnsi="宋体" w:cs="宋体"/>
          <w:b/>
          <w:bCs/>
          <w:color w:val="auto"/>
          <w:sz w:val="32"/>
          <w:szCs w:val="32"/>
          <w:highlight w:val="none"/>
        </w:rPr>
      </w:pPr>
    </w:p>
    <w:p w14:paraId="74E05B0F">
      <w:pPr>
        <w:pStyle w:val="10"/>
        <w:rPr>
          <w:rStyle w:val="40"/>
          <w:rFonts w:ascii="宋体" w:hAnsi="宋体" w:cs="宋体"/>
          <w:b/>
          <w:bCs/>
          <w:color w:val="auto"/>
          <w:sz w:val="32"/>
          <w:szCs w:val="32"/>
          <w:highlight w:val="none"/>
        </w:rPr>
      </w:pPr>
    </w:p>
    <w:p w14:paraId="64D6D564">
      <w:pPr>
        <w:rPr>
          <w:rStyle w:val="40"/>
          <w:rFonts w:ascii="宋体" w:hAnsi="宋体" w:cs="宋体"/>
          <w:b/>
          <w:bCs/>
          <w:color w:val="auto"/>
          <w:sz w:val="32"/>
          <w:szCs w:val="32"/>
          <w:highlight w:val="none"/>
        </w:rPr>
      </w:pPr>
    </w:p>
    <w:p w14:paraId="32864465">
      <w:pPr>
        <w:pStyle w:val="17"/>
        <w:rPr>
          <w:rStyle w:val="40"/>
          <w:rFonts w:ascii="宋体" w:hAnsi="宋体" w:cs="宋体"/>
          <w:b/>
          <w:bCs/>
          <w:color w:val="auto"/>
          <w:sz w:val="32"/>
          <w:szCs w:val="32"/>
          <w:highlight w:val="none"/>
        </w:rPr>
      </w:pPr>
    </w:p>
    <w:p w14:paraId="0B99215F">
      <w:pPr>
        <w:rPr>
          <w:rStyle w:val="40"/>
          <w:rFonts w:ascii="宋体" w:hAnsi="宋体" w:cs="宋体"/>
          <w:b/>
          <w:bCs/>
          <w:color w:val="auto"/>
          <w:sz w:val="32"/>
          <w:szCs w:val="32"/>
          <w:highlight w:val="none"/>
        </w:rPr>
      </w:pPr>
    </w:p>
    <w:p w14:paraId="54926729">
      <w:pPr>
        <w:pStyle w:val="17"/>
        <w:rPr>
          <w:rStyle w:val="40"/>
          <w:rFonts w:ascii="宋体" w:hAnsi="宋体" w:cs="宋体"/>
          <w:b/>
          <w:bCs/>
          <w:color w:val="auto"/>
          <w:sz w:val="32"/>
          <w:szCs w:val="32"/>
          <w:highlight w:val="none"/>
        </w:rPr>
      </w:pPr>
    </w:p>
    <w:p w14:paraId="25779C1B">
      <w:pPr>
        <w:rPr>
          <w:rStyle w:val="40"/>
          <w:rFonts w:ascii="宋体" w:hAnsi="宋体" w:cs="宋体"/>
          <w:b/>
          <w:bCs/>
          <w:color w:val="auto"/>
          <w:sz w:val="32"/>
          <w:szCs w:val="32"/>
          <w:highlight w:val="none"/>
        </w:rPr>
      </w:pPr>
    </w:p>
    <w:p w14:paraId="4C49294D">
      <w:pPr>
        <w:pStyle w:val="17"/>
        <w:rPr>
          <w:rStyle w:val="40"/>
          <w:rFonts w:ascii="宋体" w:hAnsi="宋体" w:cs="宋体"/>
          <w:b/>
          <w:bCs/>
          <w:color w:val="auto"/>
          <w:sz w:val="32"/>
          <w:szCs w:val="32"/>
          <w:highlight w:val="none"/>
        </w:rPr>
      </w:pPr>
    </w:p>
    <w:p w14:paraId="44D34D64">
      <w:pPr>
        <w:rPr>
          <w:rStyle w:val="40"/>
          <w:rFonts w:ascii="宋体" w:hAnsi="宋体" w:cs="宋体"/>
          <w:b/>
          <w:bCs/>
          <w:color w:val="auto"/>
          <w:sz w:val="32"/>
          <w:szCs w:val="32"/>
          <w:highlight w:val="none"/>
        </w:rPr>
      </w:pPr>
    </w:p>
    <w:p w14:paraId="7F3357EE">
      <w:pPr>
        <w:pStyle w:val="17"/>
      </w:pPr>
    </w:p>
    <w:p w14:paraId="7B39B6D0">
      <w:pPr>
        <w:pStyle w:val="10"/>
        <w:rPr>
          <w:color w:val="auto"/>
        </w:rPr>
      </w:pPr>
    </w:p>
    <w:p w14:paraId="31BAACFE">
      <w:pPr>
        <w:pStyle w:val="38"/>
        <w:jc w:val="both"/>
        <w:rPr>
          <w:rStyle w:val="40"/>
          <w:rFonts w:ascii="宋体" w:hAnsi="宋体" w:cs="宋体"/>
          <w:b/>
          <w:bCs/>
          <w:color w:val="auto"/>
          <w:highlight w:val="none"/>
        </w:rPr>
      </w:pPr>
      <w:r>
        <w:rPr>
          <w:rStyle w:val="40"/>
          <w:rFonts w:ascii="宋体" w:hAnsi="宋体" w:cs="宋体"/>
          <w:b/>
          <w:bCs/>
          <w:color w:val="auto"/>
          <w:sz w:val="32"/>
          <w:szCs w:val="32"/>
          <w:highlight w:val="none"/>
        </w:rPr>
        <w:t>三、</w:t>
      </w:r>
      <w:r>
        <w:rPr>
          <w:rStyle w:val="40"/>
          <w:rFonts w:ascii="宋体" w:hAnsi="宋体" w:cs="宋体"/>
          <w:b/>
          <w:bCs/>
          <w:color w:val="auto"/>
          <w:highlight w:val="none"/>
        </w:rPr>
        <w:t>资格证明文件</w:t>
      </w:r>
    </w:p>
    <w:p w14:paraId="4DB4FDFD">
      <w:pPr>
        <w:spacing w:line="420" w:lineRule="exact"/>
        <w:ind w:firstLine="105" w:firstLineChars="50"/>
        <w:rPr>
          <w:rStyle w:val="40"/>
          <w:rFonts w:ascii="宋体" w:hAnsi="宋体"/>
          <w:b/>
          <w:color w:val="auto"/>
          <w:szCs w:val="21"/>
          <w:highlight w:val="none"/>
        </w:rPr>
      </w:pPr>
      <w:r>
        <w:rPr>
          <w:rStyle w:val="40"/>
          <w:rFonts w:ascii="宋体" w:hAnsi="宋体"/>
          <w:b/>
          <w:color w:val="auto"/>
          <w:szCs w:val="21"/>
          <w:highlight w:val="none"/>
        </w:rPr>
        <w:t>（1）</w:t>
      </w:r>
      <w:r>
        <w:rPr>
          <w:rStyle w:val="40"/>
          <w:rFonts w:hint="eastAsia" w:ascii="宋体" w:hAnsi="宋体"/>
          <w:b/>
          <w:color w:val="auto"/>
          <w:szCs w:val="21"/>
          <w:highlight w:val="none"/>
          <w:lang w:eastAsia="zh-CN"/>
        </w:rPr>
        <w:t>有效的</w:t>
      </w:r>
      <w:r>
        <w:rPr>
          <w:rStyle w:val="40"/>
          <w:rFonts w:ascii="宋体" w:hAnsi="宋体"/>
          <w:b/>
          <w:color w:val="auto"/>
          <w:szCs w:val="21"/>
          <w:highlight w:val="none"/>
        </w:rPr>
        <w:t xml:space="preserve">营业执照副本复印件； </w:t>
      </w:r>
    </w:p>
    <w:p w14:paraId="0341F716">
      <w:pPr>
        <w:spacing w:line="420" w:lineRule="exact"/>
        <w:ind w:firstLine="105" w:firstLineChars="50"/>
        <w:rPr>
          <w:rStyle w:val="40"/>
          <w:rFonts w:ascii="宋体" w:hAnsi="宋体"/>
          <w:b/>
          <w:color w:val="auto"/>
          <w:szCs w:val="21"/>
          <w:highlight w:val="none"/>
        </w:rPr>
      </w:pPr>
    </w:p>
    <w:p w14:paraId="1B26C02C">
      <w:pPr>
        <w:spacing w:line="420" w:lineRule="exact"/>
        <w:ind w:firstLine="105" w:firstLineChars="50"/>
        <w:rPr>
          <w:rStyle w:val="40"/>
          <w:rFonts w:ascii="宋体" w:hAnsi="宋体"/>
          <w:b/>
          <w:color w:val="auto"/>
          <w:szCs w:val="21"/>
          <w:highlight w:val="none"/>
        </w:rPr>
      </w:pPr>
      <w:r>
        <w:rPr>
          <w:rFonts w:ascii="宋体" w:hAnsi="宋体"/>
          <w:b/>
          <w:color w:val="auto"/>
          <w:szCs w:val="21"/>
          <w:highlight w:val="none"/>
        </w:rPr>
        <w:t>（2）</w:t>
      </w:r>
      <w:r>
        <w:rPr>
          <w:rStyle w:val="40"/>
          <w:rFonts w:ascii="宋体" w:hAnsi="宋体"/>
          <w:b/>
          <w:color w:val="auto"/>
          <w:szCs w:val="21"/>
          <w:highlight w:val="none"/>
        </w:rPr>
        <w:t xml:space="preserve">磋商供应商资格声明； </w:t>
      </w:r>
    </w:p>
    <w:p w14:paraId="5748CBAF">
      <w:pPr>
        <w:spacing w:line="500" w:lineRule="exact"/>
        <w:jc w:val="center"/>
        <w:rPr>
          <w:rStyle w:val="40"/>
          <w:rFonts w:ascii="宋体" w:hAnsi="宋体"/>
          <w:b/>
          <w:color w:val="auto"/>
          <w:sz w:val="28"/>
          <w:szCs w:val="28"/>
          <w:highlight w:val="none"/>
        </w:rPr>
      </w:pPr>
      <w:r>
        <w:rPr>
          <w:rStyle w:val="40"/>
          <w:rFonts w:ascii="宋体" w:hAnsi="宋体"/>
          <w:b/>
          <w:color w:val="auto"/>
          <w:sz w:val="28"/>
          <w:szCs w:val="28"/>
          <w:highlight w:val="none"/>
        </w:rPr>
        <w:t>磋商供应商的资格声明</w:t>
      </w:r>
    </w:p>
    <w:p w14:paraId="7BFBF6CC">
      <w:pPr>
        <w:spacing w:line="500" w:lineRule="exact"/>
        <w:ind w:firstLine="750" w:firstLineChars="250"/>
        <w:jc w:val="left"/>
        <w:rPr>
          <w:rStyle w:val="40"/>
          <w:rFonts w:ascii="宋体" w:hAnsi="宋体"/>
          <w:color w:val="auto"/>
          <w:sz w:val="30"/>
          <w:szCs w:val="30"/>
          <w:highlight w:val="none"/>
        </w:rPr>
      </w:pPr>
    </w:p>
    <w:p w14:paraId="0D6541CF">
      <w:pPr>
        <w:spacing w:line="500" w:lineRule="exact"/>
        <w:rPr>
          <w:rStyle w:val="40"/>
          <w:rFonts w:ascii="宋体" w:hAnsi="宋体"/>
          <w:b/>
          <w:bCs/>
          <w:color w:val="auto"/>
          <w:sz w:val="24"/>
          <w:szCs w:val="24"/>
          <w:highlight w:val="none"/>
        </w:rPr>
      </w:pPr>
      <w:r>
        <w:rPr>
          <w:rStyle w:val="40"/>
          <w:rFonts w:hint="eastAsia" w:ascii="宋体" w:hAnsi="宋体"/>
          <w:b/>
          <w:bCs/>
          <w:color w:val="auto"/>
          <w:sz w:val="24"/>
          <w:szCs w:val="24"/>
          <w:highlight w:val="none"/>
          <w:lang w:eastAsia="zh-CN"/>
        </w:rPr>
        <w:t>贵港市安然项目管理有限公司</w:t>
      </w:r>
      <w:r>
        <w:rPr>
          <w:rStyle w:val="40"/>
          <w:rFonts w:ascii="宋体" w:hAnsi="宋体"/>
          <w:b/>
          <w:bCs/>
          <w:color w:val="auto"/>
          <w:sz w:val="24"/>
          <w:szCs w:val="24"/>
          <w:highlight w:val="none"/>
        </w:rPr>
        <w:t>：</w:t>
      </w:r>
    </w:p>
    <w:p w14:paraId="45405760">
      <w:pPr>
        <w:spacing w:line="500" w:lineRule="exact"/>
        <w:ind w:firstLine="480" w:firstLineChars="200"/>
        <w:rPr>
          <w:rStyle w:val="40"/>
          <w:rFonts w:ascii="宋体" w:hAnsi="宋体"/>
          <w:color w:val="auto"/>
          <w:sz w:val="24"/>
          <w:szCs w:val="24"/>
          <w:highlight w:val="none"/>
        </w:rPr>
      </w:pPr>
      <w:r>
        <w:rPr>
          <w:rStyle w:val="40"/>
          <w:rFonts w:ascii="宋体" w:hAnsi="宋体"/>
          <w:color w:val="auto"/>
          <w:sz w:val="24"/>
          <w:szCs w:val="24"/>
          <w:highlight w:val="none"/>
        </w:rPr>
        <w:t>我方愿意参加贵方</w:t>
      </w:r>
      <w:r>
        <w:rPr>
          <w:rStyle w:val="40"/>
          <w:rFonts w:ascii="宋体" w:hAnsi="宋体"/>
          <w:b/>
          <w:bCs/>
          <w:color w:val="auto"/>
          <w:sz w:val="24"/>
          <w:szCs w:val="24"/>
          <w:highlight w:val="none"/>
          <w:u w:val="single"/>
        </w:rPr>
        <w:t>（</w:t>
      </w:r>
      <w:r>
        <w:rPr>
          <w:rStyle w:val="40"/>
          <w:rFonts w:hint="eastAsia" w:ascii="宋体" w:hAnsi="宋体"/>
          <w:b/>
          <w:bCs/>
          <w:color w:val="auto"/>
          <w:sz w:val="24"/>
          <w:szCs w:val="24"/>
          <w:highlight w:val="none"/>
          <w:u w:val="single"/>
          <w:lang w:eastAsia="zh-CN"/>
        </w:rPr>
        <w:t>港南区2026年生产障碍耕地治理项目</w:t>
      </w:r>
      <w:r>
        <w:rPr>
          <w:rStyle w:val="40"/>
          <w:rFonts w:ascii="宋体" w:hAnsi="宋体"/>
          <w:b/>
          <w:bCs/>
          <w:color w:val="auto"/>
          <w:sz w:val="24"/>
          <w:szCs w:val="24"/>
          <w:highlight w:val="none"/>
          <w:u w:val="single"/>
        </w:rPr>
        <w:t>（</w:t>
      </w:r>
      <w:r>
        <w:rPr>
          <w:rStyle w:val="40"/>
          <w:rFonts w:hint="eastAsia" w:ascii="宋体" w:hAnsi="宋体"/>
          <w:b/>
          <w:bCs/>
          <w:color w:val="auto"/>
          <w:sz w:val="24"/>
          <w:szCs w:val="24"/>
          <w:highlight w:val="none"/>
          <w:u w:val="single"/>
          <w:lang w:eastAsia="zh-CN"/>
        </w:rPr>
        <w:t>GGZC2026-C3-030056-ARXM</w:t>
      </w:r>
      <w:r>
        <w:rPr>
          <w:rStyle w:val="40"/>
          <w:rFonts w:ascii="宋体" w:hAnsi="宋体"/>
          <w:b/>
          <w:bCs/>
          <w:color w:val="auto"/>
          <w:sz w:val="24"/>
          <w:szCs w:val="24"/>
          <w:highlight w:val="none"/>
          <w:u w:val="single"/>
        </w:rPr>
        <w:t>）</w:t>
      </w:r>
      <w:r>
        <w:rPr>
          <w:rStyle w:val="40"/>
          <w:rFonts w:ascii="宋体" w:hAnsi="宋体"/>
          <w:color w:val="auto"/>
          <w:sz w:val="24"/>
          <w:szCs w:val="24"/>
          <w:highlight w:val="none"/>
          <w:u w:val="single"/>
        </w:rPr>
        <w:t xml:space="preserve"> </w:t>
      </w:r>
      <w:r>
        <w:rPr>
          <w:rStyle w:val="40"/>
          <w:rFonts w:ascii="宋体" w:hAnsi="宋体"/>
          <w:color w:val="auto"/>
          <w:sz w:val="24"/>
          <w:szCs w:val="24"/>
          <w:highlight w:val="none"/>
        </w:rPr>
        <w:t>的竞争性磋商活动，并证明资格文件中和所要求的说明是真实的和准确无误的。</w:t>
      </w:r>
    </w:p>
    <w:p w14:paraId="142C84AA">
      <w:pPr>
        <w:spacing w:line="500" w:lineRule="exact"/>
        <w:ind w:firstLine="480" w:firstLineChars="200"/>
        <w:rPr>
          <w:rStyle w:val="40"/>
          <w:rFonts w:ascii="宋体" w:hAnsi="宋体"/>
          <w:color w:val="auto"/>
          <w:sz w:val="24"/>
          <w:szCs w:val="24"/>
          <w:highlight w:val="none"/>
        </w:rPr>
      </w:pPr>
      <w:r>
        <w:rPr>
          <w:rStyle w:val="40"/>
          <w:rFonts w:ascii="宋体" w:hAnsi="宋体"/>
          <w:color w:val="auto"/>
          <w:sz w:val="24"/>
          <w:szCs w:val="24"/>
          <w:highlight w:val="none"/>
        </w:rPr>
        <w:t>本磋商供应商对可能要求的进一步的资格资料表示理解和同意，并同意按采购文件的要求提供相关资格证明材料。</w:t>
      </w:r>
    </w:p>
    <w:p w14:paraId="2CF91446">
      <w:pPr>
        <w:spacing w:line="500" w:lineRule="exact"/>
        <w:ind w:left="720" w:leftChars="343" w:firstLine="600"/>
        <w:rPr>
          <w:rStyle w:val="40"/>
          <w:rFonts w:ascii="宋体" w:hAnsi="宋体"/>
          <w:color w:val="auto"/>
          <w:sz w:val="24"/>
          <w:szCs w:val="24"/>
          <w:highlight w:val="none"/>
        </w:rPr>
      </w:pPr>
    </w:p>
    <w:p w14:paraId="12460C78">
      <w:pPr>
        <w:spacing w:line="500" w:lineRule="exact"/>
        <w:ind w:left="720" w:leftChars="343" w:firstLine="600"/>
        <w:rPr>
          <w:rStyle w:val="40"/>
          <w:rFonts w:ascii="宋体" w:hAnsi="宋体"/>
          <w:color w:val="auto"/>
          <w:sz w:val="24"/>
          <w:szCs w:val="24"/>
          <w:highlight w:val="none"/>
        </w:rPr>
      </w:pPr>
    </w:p>
    <w:p w14:paraId="4756CC71">
      <w:pPr>
        <w:spacing w:line="500" w:lineRule="exact"/>
        <w:ind w:left="720" w:leftChars="343" w:firstLine="600"/>
        <w:rPr>
          <w:rStyle w:val="40"/>
          <w:rFonts w:ascii="宋体" w:hAnsi="宋体"/>
          <w:color w:val="auto"/>
          <w:sz w:val="24"/>
          <w:szCs w:val="24"/>
          <w:highlight w:val="none"/>
        </w:rPr>
      </w:pPr>
    </w:p>
    <w:p w14:paraId="2C9C1BCC">
      <w:pPr>
        <w:spacing w:line="500" w:lineRule="exact"/>
        <w:ind w:left="720" w:leftChars="343" w:firstLine="600"/>
        <w:rPr>
          <w:rStyle w:val="40"/>
          <w:rFonts w:ascii="宋体" w:hAnsi="宋体"/>
          <w:color w:val="auto"/>
          <w:sz w:val="24"/>
          <w:szCs w:val="24"/>
          <w:highlight w:val="none"/>
        </w:rPr>
      </w:pPr>
    </w:p>
    <w:p w14:paraId="25BACE13">
      <w:pPr>
        <w:spacing w:line="500" w:lineRule="exact"/>
        <w:ind w:left="720" w:leftChars="343" w:firstLine="600"/>
        <w:rPr>
          <w:rStyle w:val="40"/>
          <w:rFonts w:ascii="宋体" w:hAnsi="宋体"/>
          <w:color w:val="auto"/>
          <w:sz w:val="24"/>
          <w:szCs w:val="24"/>
          <w:highlight w:val="none"/>
        </w:rPr>
      </w:pPr>
    </w:p>
    <w:p w14:paraId="25498C7A">
      <w:pPr>
        <w:spacing w:line="480" w:lineRule="auto"/>
        <w:ind w:firstLine="570"/>
        <w:rPr>
          <w:rStyle w:val="40"/>
          <w:rFonts w:ascii="宋体" w:hAnsi="宋体"/>
          <w:color w:val="auto"/>
          <w:sz w:val="24"/>
          <w:szCs w:val="24"/>
          <w:highlight w:val="none"/>
          <w:u w:val="single"/>
        </w:rPr>
      </w:pPr>
      <w:r>
        <w:rPr>
          <w:rStyle w:val="40"/>
          <w:rFonts w:ascii="宋体" w:hAnsi="宋体"/>
          <w:color w:val="auto"/>
          <w:sz w:val="24"/>
          <w:szCs w:val="24"/>
          <w:highlight w:val="none"/>
        </w:rPr>
        <w:t>磋商供应商名称：</w:t>
      </w:r>
      <w:r>
        <w:rPr>
          <w:rStyle w:val="40"/>
          <w:rFonts w:ascii="宋体" w:hAnsi="宋体"/>
          <w:color w:val="auto"/>
          <w:sz w:val="24"/>
          <w:szCs w:val="24"/>
          <w:highlight w:val="none"/>
          <w:u w:val="single"/>
        </w:rPr>
        <w:t xml:space="preserve">                                    （加盖公章）                             </w:t>
      </w:r>
    </w:p>
    <w:p w14:paraId="0EB30604">
      <w:pPr>
        <w:spacing w:line="420" w:lineRule="exact"/>
        <w:ind w:firstLine="600" w:firstLineChars="250"/>
        <w:rPr>
          <w:rStyle w:val="40"/>
          <w:rFonts w:ascii="宋体" w:hAnsi="宋体"/>
          <w:b/>
          <w:color w:val="auto"/>
          <w:szCs w:val="21"/>
          <w:highlight w:val="none"/>
        </w:rPr>
      </w:pPr>
      <w:r>
        <w:rPr>
          <w:rStyle w:val="40"/>
          <w:rFonts w:ascii="宋体" w:hAnsi="宋体"/>
          <w:color w:val="auto"/>
          <w:sz w:val="24"/>
          <w:szCs w:val="24"/>
          <w:highlight w:val="none"/>
        </w:rPr>
        <w:t>地址：</w:t>
      </w:r>
      <w:r>
        <w:rPr>
          <w:rStyle w:val="40"/>
          <w:rFonts w:ascii="宋体" w:hAnsi="宋体"/>
          <w:color w:val="auto"/>
          <w:sz w:val="24"/>
          <w:szCs w:val="24"/>
          <w:highlight w:val="none"/>
          <w:u w:val="single"/>
        </w:rPr>
        <w:t xml:space="preserve">                             </w:t>
      </w:r>
      <w:r>
        <w:rPr>
          <w:rStyle w:val="40"/>
          <w:rFonts w:ascii="宋体" w:hAnsi="宋体"/>
          <w:color w:val="auto"/>
          <w:sz w:val="24"/>
          <w:szCs w:val="24"/>
          <w:highlight w:val="none"/>
        </w:rPr>
        <w:t xml:space="preserve">    电话/传真：</w:t>
      </w:r>
      <w:r>
        <w:rPr>
          <w:rStyle w:val="40"/>
          <w:rFonts w:ascii="宋体" w:hAnsi="宋体"/>
          <w:color w:val="auto"/>
          <w:sz w:val="24"/>
          <w:szCs w:val="24"/>
          <w:highlight w:val="none"/>
          <w:u w:val="single"/>
        </w:rPr>
        <w:t xml:space="preserve">               </w:t>
      </w:r>
    </w:p>
    <w:p w14:paraId="48E9CA6B">
      <w:pPr>
        <w:spacing w:line="420" w:lineRule="exact"/>
        <w:ind w:firstLine="105" w:firstLineChars="50"/>
        <w:rPr>
          <w:rStyle w:val="40"/>
          <w:rFonts w:ascii="宋体" w:hAnsi="宋体"/>
          <w:b/>
          <w:color w:val="auto"/>
          <w:szCs w:val="21"/>
          <w:highlight w:val="none"/>
        </w:rPr>
      </w:pPr>
    </w:p>
    <w:p w14:paraId="4EA76B94">
      <w:pPr>
        <w:spacing w:line="420" w:lineRule="exact"/>
        <w:ind w:firstLine="105" w:firstLineChars="50"/>
        <w:rPr>
          <w:rStyle w:val="40"/>
          <w:rFonts w:ascii="宋体" w:hAnsi="宋体"/>
          <w:b/>
          <w:color w:val="auto"/>
          <w:szCs w:val="21"/>
          <w:highlight w:val="none"/>
        </w:rPr>
      </w:pPr>
    </w:p>
    <w:p w14:paraId="1639D8C5">
      <w:pPr>
        <w:spacing w:line="420" w:lineRule="exact"/>
        <w:ind w:firstLine="105" w:firstLineChars="50"/>
        <w:rPr>
          <w:rStyle w:val="40"/>
          <w:rFonts w:ascii="宋体" w:hAnsi="宋体"/>
          <w:b/>
          <w:color w:val="auto"/>
          <w:szCs w:val="21"/>
          <w:highlight w:val="none"/>
        </w:rPr>
      </w:pPr>
    </w:p>
    <w:p w14:paraId="4F11948B">
      <w:pPr>
        <w:spacing w:line="420" w:lineRule="exact"/>
        <w:ind w:firstLine="105" w:firstLineChars="50"/>
        <w:rPr>
          <w:rStyle w:val="40"/>
          <w:rFonts w:ascii="宋体" w:hAnsi="宋体"/>
          <w:b/>
          <w:color w:val="auto"/>
          <w:szCs w:val="21"/>
          <w:highlight w:val="none"/>
        </w:rPr>
      </w:pPr>
    </w:p>
    <w:p w14:paraId="0805379B">
      <w:pPr>
        <w:spacing w:line="420" w:lineRule="exact"/>
        <w:ind w:firstLine="105" w:firstLineChars="50"/>
        <w:rPr>
          <w:rStyle w:val="40"/>
          <w:rFonts w:ascii="宋体" w:hAnsi="宋体"/>
          <w:b/>
          <w:color w:val="auto"/>
          <w:szCs w:val="21"/>
          <w:highlight w:val="none"/>
        </w:rPr>
      </w:pPr>
    </w:p>
    <w:p w14:paraId="459C5B97">
      <w:pPr>
        <w:spacing w:line="420" w:lineRule="exact"/>
        <w:ind w:firstLine="105" w:firstLineChars="50"/>
        <w:rPr>
          <w:rStyle w:val="40"/>
          <w:rFonts w:ascii="宋体" w:hAnsi="宋体"/>
          <w:b/>
          <w:color w:val="auto"/>
          <w:szCs w:val="21"/>
          <w:highlight w:val="none"/>
        </w:rPr>
      </w:pPr>
    </w:p>
    <w:p w14:paraId="478AF824">
      <w:pPr>
        <w:spacing w:line="420" w:lineRule="exact"/>
        <w:ind w:firstLine="105" w:firstLineChars="50"/>
        <w:rPr>
          <w:rStyle w:val="40"/>
          <w:rFonts w:ascii="宋体" w:hAnsi="宋体"/>
          <w:b/>
          <w:color w:val="auto"/>
          <w:szCs w:val="21"/>
          <w:highlight w:val="none"/>
        </w:rPr>
      </w:pPr>
    </w:p>
    <w:p w14:paraId="4CD68F43">
      <w:pPr>
        <w:spacing w:line="420" w:lineRule="exact"/>
        <w:ind w:firstLine="105" w:firstLineChars="50"/>
        <w:rPr>
          <w:rStyle w:val="40"/>
          <w:rFonts w:ascii="宋体" w:hAnsi="宋体"/>
          <w:b/>
          <w:color w:val="auto"/>
          <w:szCs w:val="21"/>
          <w:highlight w:val="none"/>
        </w:rPr>
      </w:pPr>
    </w:p>
    <w:p w14:paraId="6C8F6953">
      <w:pPr>
        <w:spacing w:line="420" w:lineRule="exact"/>
        <w:ind w:firstLine="105" w:firstLineChars="50"/>
        <w:rPr>
          <w:rStyle w:val="40"/>
          <w:rFonts w:ascii="宋体" w:hAnsi="宋体"/>
          <w:b/>
          <w:color w:val="auto"/>
          <w:szCs w:val="21"/>
          <w:highlight w:val="none"/>
        </w:rPr>
      </w:pPr>
    </w:p>
    <w:p w14:paraId="3C7BD7E1">
      <w:pPr>
        <w:spacing w:line="420" w:lineRule="exact"/>
        <w:ind w:firstLine="105" w:firstLineChars="50"/>
        <w:rPr>
          <w:rStyle w:val="40"/>
          <w:rFonts w:ascii="宋体" w:hAnsi="宋体"/>
          <w:b/>
          <w:color w:val="auto"/>
          <w:szCs w:val="21"/>
          <w:highlight w:val="none"/>
        </w:rPr>
      </w:pPr>
    </w:p>
    <w:p w14:paraId="71D89642">
      <w:pPr>
        <w:spacing w:line="420" w:lineRule="exact"/>
        <w:ind w:firstLine="105" w:firstLineChars="50"/>
        <w:rPr>
          <w:rStyle w:val="40"/>
          <w:rFonts w:ascii="宋体" w:hAnsi="宋体"/>
          <w:b/>
          <w:color w:val="auto"/>
          <w:szCs w:val="21"/>
          <w:highlight w:val="none"/>
        </w:rPr>
      </w:pPr>
    </w:p>
    <w:p w14:paraId="7E0D1A8B">
      <w:pPr>
        <w:spacing w:line="420" w:lineRule="exact"/>
        <w:ind w:firstLine="105" w:firstLineChars="50"/>
        <w:rPr>
          <w:rStyle w:val="40"/>
          <w:rFonts w:ascii="宋体" w:hAnsi="宋体"/>
          <w:b/>
          <w:color w:val="auto"/>
          <w:szCs w:val="21"/>
          <w:highlight w:val="none"/>
        </w:rPr>
      </w:pPr>
    </w:p>
    <w:p w14:paraId="33D491CB">
      <w:pPr>
        <w:spacing w:line="420" w:lineRule="exact"/>
        <w:ind w:firstLine="105" w:firstLineChars="50"/>
        <w:rPr>
          <w:rStyle w:val="40"/>
          <w:rFonts w:ascii="宋体" w:hAnsi="宋体"/>
          <w:b/>
          <w:color w:val="auto"/>
          <w:szCs w:val="21"/>
          <w:highlight w:val="none"/>
        </w:rPr>
      </w:pPr>
    </w:p>
    <w:p w14:paraId="7FA68061">
      <w:pPr>
        <w:spacing w:line="420" w:lineRule="exact"/>
        <w:rPr>
          <w:rStyle w:val="40"/>
          <w:rFonts w:ascii="宋体" w:hAnsi="宋体"/>
          <w:b/>
          <w:color w:val="auto"/>
          <w:szCs w:val="21"/>
          <w:highlight w:val="none"/>
        </w:rPr>
      </w:pPr>
      <w:r>
        <w:rPr>
          <w:rStyle w:val="40"/>
          <w:rFonts w:ascii="宋体" w:hAnsi="宋体"/>
          <w:b/>
          <w:color w:val="auto"/>
          <w:szCs w:val="21"/>
          <w:highlight w:val="none"/>
        </w:rPr>
        <w:t>（</w:t>
      </w:r>
      <w:r>
        <w:rPr>
          <w:rStyle w:val="40"/>
          <w:rFonts w:hint="eastAsia" w:ascii="宋体" w:hAnsi="宋体"/>
          <w:b/>
          <w:color w:val="auto"/>
          <w:szCs w:val="21"/>
          <w:highlight w:val="none"/>
        </w:rPr>
        <w:t>3</w:t>
      </w:r>
      <w:r>
        <w:rPr>
          <w:rStyle w:val="40"/>
          <w:rFonts w:ascii="宋体" w:hAnsi="宋体"/>
          <w:b/>
          <w:color w:val="auto"/>
          <w:szCs w:val="21"/>
          <w:highlight w:val="none"/>
        </w:rPr>
        <w:t xml:space="preserve">）法定代表人有效的身份证正反面复印件； </w:t>
      </w:r>
    </w:p>
    <w:p w14:paraId="30CD9EA9">
      <w:pPr>
        <w:spacing w:line="420" w:lineRule="exact"/>
        <w:ind w:firstLine="105" w:firstLineChars="50"/>
        <w:rPr>
          <w:rStyle w:val="40"/>
          <w:rFonts w:ascii="宋体" w:hAnsi="宋体"/>
          <w:b/>
          <w:color w:val="auto"/>
          <w:szCs w:val="21"/>
          <w:highlight w:val="none"/>
        </w:rPr>
      </w:pPr>
    </w:p>
    <w:p w14:paraId="6EC02984">
      <w:pPr>
        <w:spacing w:line="420" w:lineRule="exact"/>
        <w:ind w:firstLine="105" w:firstLineChars="50"/>
        <w:rPr>
          <w:rStyle w:val="40"/>
          <w:rFonts w:ascii="宋体" w:hAnsi="宋体"/>
          <w:b/>
          <w:color w:val="auto"/>
          <w:szCs w:val="21"/>
          <w:highlight w:val="none"/>
        </w:rPr>
      </w:pPr>
      <w:r>
        <w:rPr>
          <w:rStyle w:val="40"/>
          <w:rFonts w:ascii="宋体" w:hAnsi="宋体"/>
          <w:b/>
          <w:color w:val="auto"/>
          <w:szCs w:val="21"/>
          <w:highlight w:val="none"/>
        </w:rPr>
        <w:t>（</w:t>
      </w:r>
      <w:r>
        <w:rPr>
          <w:rStyle w:val="40"/>
          <w:rFonts w:hint="eastAsia" w:ascii="宋体" w:hAnsi="宋体"/>
          <w:b/>
          <w:color w:val="auto"/>
          <w:szCs w:val="21"/>
          <w:highlight w:val="none"/>
        </w:rPr>
        <w:t>4</w:t>
      </w:r>
      <w:r>
        <w:rPr>
          <w:rStyle w:val="40"/>
          <w:rFonts w:ascii="宋体" w:hAnsi="宋体"/>
          <w:b/>
          <w:color w:val="auto"/>
          <w:szCs w:val="21"/>
          <w:highlight w:val="none"/>
        </w:rPr>
        <w:t xml:space="preserve">）法定代表人授权书及委托代理人身份证正反面复印件； </w:t>
      </w:r>
    </w:p>
    <w:p w14:paraId="64A7AC5A">
      <w:pPr>
        <w:spacing w:line="420" w:lineRule="exact"/>
        <w:ind w:firstLine="105" w:firstLineChars="50"/>
        <w:rPr>
          <w:rStyle w:val="40"/>
          <w:rFonts w:ascii="宋体" w:hAnsi="宋体"/>
          <w:b/>
          <w:color w:val="auto"/>
          <w:szCs w:val="21"/>
          <w:highlight w:val="none"/>
        </w:rPr>
      </w:pPr>
    </w:p>
    <w:p w14:paraId="61808F91">
      <w:pPr>
        <w:snapToGrid w:val="0"/>
        <w:spacing w:line="300" w:lineRule="auto"/>
        <w:jc w:val="center"/>
        <w:rPr>
          <w:rStyle w:val="40"/>
          <w:rFonts w:ascii="宋体" w:hAnsi="宋体"/>
          <w:b/>
          <w:color w:val="auto"/>
          <w:sz w:val="32"/>
          <w:szCs w:val="32"/>
          <w:highlight w:val="none"/>
        </w:rPr>
      </w:pPr>
      <w:r>
        <w:rPr>
          <w:rStyle w:val="40"/>
          <w:rFonts w:ascii="宋体" w:hAnsi="宋体"/>
          <w:b/>
          <w:color w:val="auto"/>
          <w:sz w:val="32"/>
          <w:szCs w:val="32"/>
          <w:highlight w:val="none"/>
        </w:rPr>
        <w:t>法定代表人授权委托书</w:t>
      </w:r>
    </w:p>
    <w:p w14:paraId="79119EA5">
      <w:pPr>
        <w:snapToGrid w:val="0"/>
        <w:spacing w:line="300" w:lineRule="auto"/>
        <w:rPr>
          <w:rStyle w:val="40"/>
          <w:rFonts w:ascii="宋体" w:hAnsi="宋体"/>
          <w:color w:val="auto"/>
          <w:szCs w:val="21"/>
          <w:highlight w:val="none"/>
        </w:rPr>
      </w:pPr>
    </w:p>
    <w:p w14:paraId="1F21F3BB">
      <w:pPr>
        <w:snapToGrid w:val="0"/>
        <w:spacing w:line="360" w:lineRule="auto"/>
        <w:rPr>
          <w:rStyle w:val="40"/>
          <w:rFonts w:ascii="宋体" w:hAnsi="宋体"/>
          <w:b/>
          <w:bCs/>
          <w:color w:val="auto"/>
          <w:sz w:val="24"/>
          <w:szCs w:val="20"/>
          <w:highlight w:val="none"/>
        </w:rPr>
      </w:pPr>
      <w:r>
        <w:rPr>
          <w:rStyle w:val="40"/>
          <w:rFonts w:ascii="宋体" w:hAnsi="宋体"/>
          <w:bCs/>
          <w:color w:val="auto"/>
          <w:sz w:val="24"/>
          <w:highlight w:val="none"/>
        </w:rPr>
        <w:t>致：</w:t>
      </w:r>
      <w:r>
        <w:rPr>
          <w:rStyle w:val="40"/>
          <w:rFonts w:hint="eastAsia" w:ascii="宋体" w:hAnsi="宋体"/>
          <w:color w:val="auto"/>
          <w:sz w:val="24"/>
          <w:highlight w:val="none"/>
          <w:u w:val="single"/>
          <w:lang w:eastAsia="zh-CN"/>
        </w:rPr>
        <w:t>贵港市安然项目管理有限公司</w:t>
      </w:r>
      <w:r>
        <w:rPr>
          <w:rStyle w:val="40"/>
          <w:rFonts w:ascii="宋体" w:hAnsi="宋体"/>
          <w:b/>
          <w:bCs/>
          <w:color w:val="auto"/>
          <w:sz w:val="24"/>
          <w:highlight w:val="none"/>
        </w:rPr>
        <w:t xml:space="preserve"> </w:t>
      </w:r>
      <w:r>
        <w:rPr>
          <w:rStyle w:val="40"/>
          <w:rFonts w:ascii="宋体" w:hAnsi="宋体"/>
          <w:color w:val="auto"/>
          <w:sz w:val="24"/>
          <w:highlight w:val="none"/>
        </w:rPr>
        <w:t>：</w:t>
      </w:r>
    </w:p>
    <w:p w14:paraId="2CBC279B">
      <w:pPr>
        <w:snapToGrid w:val="0"/>
        <w:spacing w:line="360" w:lineRule="auto"/>
        <w:ind w:firstLine="559" w:firstLineChars="233"/>
        <w:rPr>
          <w:rStyle w:val="40"/>
          <w:rFonts w:ascii="宋体" w:hAnsi="宋体"/>
          <w:color w:val="auto"/>
          <w:sz w:val="24"/>
          <w:szCs w:val="20"/>
          <w:highlight w:val="none"/>
        </w:rPr>
      </w:pPr>
      <w:r>
        <w:rPr>
          <w:rStyle w:val="40"/>
          <w:rFonts w:ascii="宋体" w:hAnsi="宋体"/>
          <w:color w:val="auto"/>
          <w:sz w:val="24"/>
          <w:highlight w:val="none"/>
        </w:rPr>
        <w:t>我</w:t>
      </w:r>
      <w:r>
        <w:rPr>
          <w:rStyle w:val="40"/>
          <w:rFonts w:ascii="宋体" w:hAnsi="宋体"/>
          <w:color w:val="auto"/>
          <w:sz w:val="24"/>
          <w:highlight w:val="none"/>
          <w:u w:val="single"/>
        </w:rPr>
        <w:t xml:space="preserve">          </w:t>
      </w:r>
      <w:r>
        <w:rPr>
          <w:rStyle w:val="40"/>
          <w:rFonts w:ascii="宋体" w:hAnsi="宋体"/>
          <w:color w:val="auto"/>
          <w:sz w:val="24"/>
          <w:highlight w:val="none"/>
        </w:rPr>
        <w:t>（姓名）系</w:t>
      </w:r>
      <w:r>
        <w:rPr>
          <w:rStyle w:val="40"/>
          <w:rFonts w:ascii="宋体" w:hAnsi="宋体"/>
          <w:color w:val="auto"/>
          <w:sz w:val="24"/>
          <w:highlight w:val="none"/>
          <w:u w:val="single"/>
        </w:rPr>
        <w:t xml:space="preserve">           </w:t>
      </w:r>
      <w:r>
        <w:rPr>
          <w:rStyle w:val="40"/>
          <w:rFonts w:ascii="宋体" w:hAnsi="宋体"/>
          <w:color w:val="auto"/>
          <w:sz w:val="24"/>
          <w:highlight w:val="none"/>
        </w:rPr>
        <w:t xml:space="preserve">（供应商名称）的法定代表人，现授权委托本单位在职职工 </w:t>
      </w:r>
      <w:r>
        <w:rPr>
          <w:rStyle w:val="40"/>
          <w:rFonts w:ascii="宋体" w:hAnsi="宋体"/>
          <w:color w:val="auto"/>
          <w:sz w:val="24"/>
          <w:highlight w:val="none"/>
          <w:u w:val="single"/>
        </w:rPr>
        <w:t xml:space="preserve">            </w:t>
      </w:r>
      <w:r>
        <w:rPr>
          <w:rStyle w:val="40"/>
          <w:rFonts w:ascii="宋体" w:hAnsi="宋体"/>
          <w:color w:val="auto"/>
          <w:sz w:val="24"/>
          <w:highlight w:val="none"/>
        </w:rPr>
        <w:t>（姓名）以我方的名义参加</w:t>
      </w:r>
      <w:r>
        <w:rPr>
          <w:rStyle w:val="40"/>
          <w:rFonts w:ascii="宋体" w:hAnsi="宋体"/>
          <w:color w:val="auto"/>
          <w:sz w:val="24"/>
          <w:highlight w:val="none"/>
          <w:u w:val="single"/>
        </w:rPr>
        <w:t xml:space="preserve">  </w:t>
      </w:r>
      <w:r>
        <w:rPr>
          <w:rStyle w:val="40"/>
          <w:rFonts w:hint="eastAsia" w:ascii="宋体" w:hAnsi="宋体"/>
          <w:b/>
          <w:bCs/>
          <w:color w:val="auto"/>
          <w:sz w:val="24"/>
          <w:highlight w:val="none"/>
          <w:u w:val="single"/>
          <w:lang w:eastAsia="zh-CN"/>
        </w:rPr>
        <w:t>（项目名称：（港南区2026年生产障碍耕地治理项目（GGZC2026-C3-030056-ARXM））</w:t>
      </w:r>
      <w:r>
        <w:rPr>
          <w:rStyle w:val="40"/>
          <w:rFonts w:ascii="宋体" w:hAnsi="宋体"/>
          <w:color w:val="auto"/>
          <w:sz w:val="24"/>
          <w:highlight w:val="none"/>
          <w:u w:val="single"/>
        </w:rPr>
        <w:t xml:space="preserve">  </w:t>
      </w:r>
      <w:r>
        <w:rPr>
          <w:rStyle w:val="40"/>
          <w:rFonts w:ascii="宋体" w:hAnsi="宋体"/>
          <w:color w:val="auto"/>
          <w:sz w:val="24"/>
          <w:highlight w:val="none"/>
        </w:rPr>
        <w:t>项目的磋商活动，并代表我方全权办理针对上述项目的递交文件、磋商、澄清、签约等具体事务和签署相关文件。</w:t>
      </w:r>
    </w:p>
    <w:p w14:paraId="47DE3B39">
      <w:pPr>
        <w:snapToGrid w:val="0"/>
        <w:spacing w:line="360" w:lineRule="auto"/>
        <w:rPr>
          <w:rStyle w:val="40"/>
          <w:rFonts w:ascii="宋体" w:hAnsi="宋体"/>
          <w:color w:val="auto"/>
          <w:sz w:val="24"/>
          <w:szCs w:val="20"/>
          <w:highlight w:val="none"/>
        </w:rPr>
      </w:pPr>
      <w:r>
        <w:rPr>
          <w:rStyle w:val="40"/>
          <w:rFonts w:ascii="宋体" w:hAnsi="宋体"/>
          <w:color w:val="auto"/>
          <w:sz w:val="24"/>
          <w:highlight w:val="none"/>
        </w:rPr>
        <w:t xml:space="preserve">    我方对被授权人的签名事项负全部责任。</w:t>
      </w:r>
    </w:p>
    <w:p w14:paraId="04536971">
      <w:pPr>
        <w:snapToGrid w:val="0"/>
        <w:spacing w:line="360" w:lineRule="auto"/>
        <w:ind w:firstLine="480"/>
        <w:rPr>
          <w:rStyle w:val="40"/>
          <w:rFonts w:ascii="宋体" w:hAnsi="宋体"/>
          <w:color w:val="auto"/>
          <w:sz w:val="24"/>
          <w:szCs w:val="20"/>
          <w:highlight w:val="none"/>
        </w:rPr>
      </w:pPr>
      <w:r>
        <w:rPr>
          <w:rStyle w:val="40"/>
          <w:rFonts w:ascii="宋体" w:hAnsi="宋体"/>
          <w:color w:val="auto"/>
          <w:sz w:val="24"/>
          <w:highlight w:val="none"/>
          <w:u w:val="single"/>
        </w:rPr>
        <w:t>在撤销授权的书面通知以前，本授权书一直有效。</w:t>
      </w:r>
      <w:r>
        <w:rPr>
          <w:rStyle w:val="40"/>
          <w:rFonts w:ascii="宋体" w:hAnsi="宋体"/>
          <w:color w:val="auto"/>
          <w:sz w:val="24"/>
          <w:highlight w:val="none"/>
        </w:rPr>
        <w:t>被授权人在授权书有效期内签署的所有文件不因授权的撤销而失效。</w:t>
      </w:r>
    </w:p>
    <w:p w14:paraId="52F24D34">
      <w:pPr>
        <w:snapToGrid w:val="0"/>
        <w:spacing w:line="360" w:lineRule="auto"/>
        <w:ind w:firstLine="480"/>
        <w:rPr>
          <w:rStyle w:val="40"/>
          <w:rFonts w:ascii="宋体" w:hAnsi="宋体"/>
          <w:color w:val="auto"/>
          <w:sz w:val="24"/>
          <w:highlight w:val="none"/>
        </w:rPr>
      </w:pPr>
      <w:r>
        <w:rPr>
          <w:rStyle w:val="40"/>
          <w:rFonts w:ascii="宋体" w:hAnsi="宋体"/>
          <w:color w:val="auto"/>
          <w:sz w:val="24"/>
          <w:highlight w:val="none"/>
        </w:rPr>
        <w:t>被授权人无转委托权，特此委托。</w:t>
      </w:r>
    </w:p>
    <w:p w14:paraId="182144E0">
      <w:pPr>
        <w:snapToGrid w:val="0"/>
        <w:spacing w:before="156" w:after="50"/>
        <w:rPr>
          <w:rStyle w:val="40"/>
          <w:rFonts w:ascii="宋体" w:hAnsi="宋体"/>
          <w:color w:val="auto"/>
          <w:sz w:val="24"/>
          <w:szCs w:val="20"/>
          <w:highlight w:val="none"/>
        </w:rPr>
      </w:pPr>
    </w:p>
    <w:p w14:paraId="2FBEAFCC">
      <w:pPr>
        <w:snapToGrid w:val="0"/>
        <w:spacing w:before="156" w:after="50"/>
        <w:rPr>
          <w:rStyle w:val="40"/>
          <w:rFonts w:ascii="宋体" w:hAnsi="宋体"/>
          <w:color w:val="auto"/>
          <w:sz w:val="24"/>
          <w:highlight w:val="none"/>
          <w:u w:val="single"/>
        </w:rPr>
      </w:pPr>
      <w:r>
        <w:rPr>
          <w:rStyle w:val="40"/>
          <w:rFonts w:ascii="宋体" w:hAnsi="宋体"/>
          <w:color w:val="auto"/>
          <w:sz w:val="24"/>
          <w:highlight w:val="none"/>
        </w:rPr>
        <w:t>被授权人：</w:t>
      </w:r>
      <w:r>
        <w:rPr>
          <w:rStyle w:val="40"/>
          <w:rFonts w:ascii="宋体" w:hAnsi="宋体"/>
          <w:color w:val="auto"/>
          <w:sz w:val="24"/>
          <w:highlight w:val="none"/>
          <w:u w:val="single"/>
        </w:rPr>
        <w:t xml:space="preserve">               </w:t>
      </w:r>
      <w:r>
        <w:rPr>
          <w:rStyle w:val="40"/>
          <w:rFonts w:ascii="宋体" w:hAnsi="宋体"/>
          <w:color w:val="auto"/>
          <w:sz w:val="24"/>
          <w:highlight w:val="none"/>
        </w:rPr>
        <w:t xml:space="preserve">          </w:t>
      </w:r>
      <w:r>
        <w:rPr>
          <w:rStyle w:val="40"/>
          <w:rFonts w:hint="eastAsia" w:ascii="宋体" w:hAnsi="宋体"/>
          <w:color w:val="auto"/>
          <w:sz w:val="24"/>
          <w:highlight w:val="none"/>
          <w:lang w:val="en-US" w:eastAsia="zh-CN"/>
        </w:rPr>
        <w:t xml:space="preserve">       </w:t>
      </w:r>
      <w:r>
        <w:rPr>
          <w:rStyle w:val="40"/>
          <w:rFonts w:ascii="宋体" w:hAnsi="宋体"/>
          <w:color w:val="auto"/>
          <w:sz w:val="24"/>
          <w:highlight w:val="none"/>
        </w:rPr>
        <w:t xml:space="preserve">  法定代表人：</w:t>
      </w:r>
      <w:r>
        <w:rPr>
          <w:rStyle w:val="40"/>
          <w:rFonts w:hint="eastAsia" w:ascii="宋体" w:hAnsi="宋体"/>
          <w:color w:val="auto"/>
          <w:sz w:val="24"/>
          <w:highlight w:val="none"/>
          <w:u w:val="single"/>
        </w:rPr>
        <w:t xml:space="preserve">             1</w:t>
      </w:r>
    </w:p>
    <w:p w14:paraId="2FACF3C2">
      <w:pPr>
        <w:snapToGrid w:val="0"/>
        <w:spacing w:before="156" w:after="50"/>
        <w:rPr>
          <w:rStyle w:val="40"/>
          <w:rFonts w:ascii="宋体" w:hAnsi="宋体"/>
          <w:color w:val="auto"/>
          <w:sz w:val="24"/>
          <w:szCs w:val="20"/>
          <w:highlight w:val="none"/>
        </w:rPr>
      </w:pPr>
      <w:r>
        <w:rPr>
          <w:rStyle w:val="40"/>
          <w:rFonts w:ascii="宋体" w:hAnsi="宋体"/>
          <w:color w:val="auto"/>
          <w:sz w:val="24"/>
          <w:highlight w:val="none"/>
        </w:rPr>
        <w:t>所在部门职务：</w:t>
      </w:r>
      <w:r>
        <w:rPr>
          <w:rStyle w:val="40"/>
          <w:rFonts w:ascii="宋体" w:hAnsi="宋体"/>
          <w:color w:val="auto"/>
          <w:sz w:val="24"/>
          <w:highlight w:val="none"/>
          <w:u w:val="single"/>
        </w:rPr>
        <w:t xml:space="preserve">               </w:t>
      </w:r>
      <w:r>
        <w:rPr>
          <w:rStyle w:val="40"/>
          <w:rFonts w:ascii="宋体" w:hAnsi="宋体"/>
          <w:color w:val="auto"/>
          <w:sz w:val="24"/>
          <w:highlight w:val="none"/>
        </w:rPr>
        <w:t xml:space="preserve">                      职务：</w:t>
      </w:r>
      <w:r>
        <w:rPr>
          <w:rStyle w:val="40"/>
          <w:rFonts w:hint="eastAsia" w:ascii="宋体" w:hAnsi="宋体"/>
          <w:color w:val="auto"/>
          <w:sz w:val="24"/>
          <w:highlight w:val="none"/>
          <w:u w:val="single"/>
        </w:rPr>
        <w:t xml:space="preserve">                   1</w:t>
      </w:r>
    </w:p>
    <w:p w14:paraId="63FBFBF7">
      <w:pPr>
        <w:snapToGrid w:val="0"/>
        <w:spacing w:before="156" w:after="50"/>
        <w:rPr>
          <w:rStyle w:val="40"/>
          <w:rFonts w:ascii="宋体" w:hAnsi="宋体"/>
          <w:color w:val="auto"/>
          <w:sz w:val="24"/>
          <w:highlight w:val="none"/>
        </w:rPr>
      </w:pPr>
      <w:r>
        <w:rPr>
          <w:rStyle w:val="40"/>
          <w:rFonts w:ascii="宋体" w:hAnsi="宋体"/>
          <w:color w:val="auto"/>
          <w:sz w:val="24"/>
          <w:highlight w:val="none"/>
        </w:rPr>
        <w:t>被授权人身份证号码：</w:t>
      </w:r>
      <w:r>
        <w:rPr>
          <w:rStyle w:val="40"/>
          <w:rFonts w:hint="eastAsia" w:ascii="宋体" w:hAnsi="宋体"/>
          <w:color w:val="auto"/>
          <w:sz w:val="24"/>
          <w:highlight w:val="none"/>
          <w:u w:val="single"/>
        </w:rPr>
        <w:t xml:space="preserve">                               1</w:t>
      </w:r>
    </w:p>
    <w:p w14:paraId="0BB9AAF4">
      <w:pPr>
        <w:snapToGrid w:val="0"/>
        <w:spacing w:before="156" w:after="50"/>
        <w:rPr>
          <w:rStyle w:val="40"/>
          <w:rFonts w:ascii="宋体" w:hAnsi="宋体"/>
          <w:color w:val="auto"/>
          <w:sz w:val="24"/>
          <w:highlight w:val="none"/>
        </w:rPr>
      </w:pPr>
    </w:p>
    <w:p w14:paraId="3C528E48">
      <w:pPr>
        <w:snapToGrid w:val="0"/>
        <w:spacing w:before="156" w:after="50"/>
        <w:rPr>
          <w:rStyle w:val="40"/>
          <w:rFonts w:ascii="宋体" w:hAnsi="宋体"/>
          <w:color w:val="auto"/>
          <w:sz w:val="24"/>
          <w:szCs w:val="20"/>
          <w:highlight w:val="none"/>
        </w:rPr>
      </w:pPr>
    </w:p>
    <w:p w14:paraId="25AF4632">
      <w:pPr>
        <w:snapToGrid w:val="0"/>
        <w:spacing w:before="156" w:after="50"/>
        <w:jc w:val="center"/>
        <w:rPr>
          <w:rStyle w:val="40"/>
          <w:rFonts w:ascii="宋体" w:hAnsi="宋体"/>
          <w:color w:val="auto"/>
          <w:sz w:val="24"/>
          <w:szCs w:val="20"/>
          <w:highlight w:val="none"/>
        </w:rPr>
      </w:pPr>
      <w:r>
        <w:rPr>
          <w:rStyle w:val="40"/>
          <w:rFonts w:ascii="宋体" w:hAnsi="宋体"/>
          <w:color w:val="auto"/>
          <w:sz w:val="24"/>
          <w:highlight w:val="none"/>
        </w:rPr>
        <w:t xml:space="preserve">                     </w:t>
      </w:r>
      <w:r>
        <w:rPr>
          <w:rStyle w:val="40"/>
          <w:rFonts w:ascii="宋体" w:hAnsi="宋体"/>
          <w:color w:val="auto"/>
          <w:sz w:val="24"/>
          <w:szCs w:val="24"/>
          <w:highlight w:val="none"/>
        </w:rPr>
        <w:t>磋商供应商名称：</w:t>
      </w:r>
      <w:r>
        <w:rPr>
          <w:rStyle w:val="40"/>
          <w:rFonts w:ascii="宋体" w:hAnsi="宋体"/>
          <w:color w:val="auto"/>
          <w:sz w:val="24"/>
          <w:szCs w:val="24"/>
          <w:highlight w:val="none"/>
          <w:u w:val="single"/>
        </w:rPr>
        <w:t xml:space="preserve">                       （加盖公章）</w:t>
      </w:r>
    </w:p>
    <w:p w14:paraId="7491A6BF">
      <w:pPr>
        <w:spacing w:line="300" w:lineRule="auto"/>
        <w:ind w:left="480" w:hanging="480"/>
        <w:rPr>
          <w:rStyle w:val="40"/>
          <w:rFonts w:ascii="宋体" w:hAnsi="宋体"/>
          <w:color w:val="auto"/>
          <w:szCs w:val="21"/>
          <w:highlight w:val="none"/>
        </w:rPr>
      </w:pPr>
      <w:r>
        <w:rPr>
          <w:rStyle w:val="40"/>
          <w:rFonts w:ascii="宋体" w:hAnsi="宋体"/>
          <w:color w:val="auto"/>
          <w:sz w:val="24"/>
          <w:highlight w:val="none"/>
        </w:rPr>
        <w:t xml:space="preserve">                                              年    月    日</w:t>
      </w:r>
    </w:p>
    <w:p w14:paraId="5749D15A">
      <w:pPr>
        <w:spacing w:line="420" w:lineRule="exact"/>
        <w:ind w:firstLine="105" w:firstLineChars="50"/>
        <w:rPr>
          <w:rStyle w:val="40"/>
          <w:rFonts w:ascii="宋体" w:hAnsi="宋体"/>
          <w:b/>
          <w:color w:val="auto"/>
          <w:szCs w:val="21"/>
          <w:highlight w:val="none"/>
        </w:rPr>
      </w:pPr>
    </w:p>
    <w:p w14:paraId="495A0C42">
      <w:pPr>
        <w:spacing w:line="420" w:lineRule="exact"/>
        <w:ind w:firstLine="105" w:firstLineChars="50"/>
        <w:rPr>
          <w:rStyle w:val="40"/>
          <w:rFonts w:ascii="宋体" w:hAnsi="宋体"/>
          <w:b/>
          <w:color w:val="auto"/>
          <w:szCs w:val="21"/>
          <w:highlight w:val="none"/>
        </w:rPr>
      </w:pPr>
    </w:p>
    <w:p w14:paraId="71F48F38">
      <w:pPr>
        <w:spacing w:line="500" w:lineRule="exact"/>
        <w:rPr>
          <w:rStyle w:val="40"/>
          <w:rFonts w:ascii="宋体" w:hAnsi="宋体"/>
          <w:b/>
          <w:color w:val="auto"/>
          <w:sz w:val="24"/>
          <w:szCs w:val="24"/>
          <w:highlight w:val="none"/>
        </w:rPr>
      </w:pPr>
      <w:r>
        <w:rPr>
          <w:rStyle w:val="40"/>
          <w:rFonts w:ascii="宋体" w:hAnsi="宋体"/>
          <w:b/>
          <w:color w:val="auto"/>
          <w:sz w:val="24"/>
          <w:szCs w:val="24"/>
          <w:highlight w:val="none"/>
        </w:rPr>
        <w:t>附：委托代理人身份证正反面复印件</w:t>
      </w:r>
    </w:p>
    <w:p w14:paraId="7959CD3F">
      <w:pPr>
        <w:spacing w:line="500" w:lineRule="exact"/>
        <w:rPr>
          <w:rStyle w:val="40"/>
          <w:rFonts w:ascii="宋体" w:hAnsi="宋体"/>
          <w:b/>
          <w:color w:val="auto"/>
          <w:sz w:val="24"/>
          <w:szCs w:val="24"/>
          <w:highlight w:val="none"/>
        </w:rPr>
      </w:pPr>
    </w:p>
    <w:p w14:paraId="3DC5E5D9">
      <w:pPr>
        <w:pStyle w:val="14"/>
        <w:spacing w:line="400" w:lineRule="atLeast"/>
        <w:jc w:val="left"/>
        <w:rPr>
          <w:rStyle w:val="40"/>
          <w:rFonts w:ascii="宋体" w:hAnsi="宋体"/>
          <w:b/>
          <w:color w:val="auto"/>
          <w:szCs w:val="21"/>
          <w:highlight w:val="none"/>
        </w:rPr>
      </w:pPr>
    </w:p>
    <w:p w14:paraId="2A35787A">
      <w:pPr>
        <w:rPr>
          <w:rStyle w:val="40"/>
          <w:rFonts w:ascii="宋体" w:hAnsi="宋体"/>
          <w:b/>
          <w:color w:val="auto"/>
          <w:szCs w:val="21"/>
          <w:highlight w:val="none"/>
        </w:rPr>
      </w:pPr>
    </w:p>
    <w:p w14:paraId="5923D96E">
      <w:pPr>
        <w:pStyle w:val="10"/>
        <w:rPr>
          <w:rStyle w:val="40"/>
          <w:rFonts w:ascii="宋体" w:hAnsi="宋体"/>
          <w:b/>
          <w:color w:val="auto"/>
          <w:szCs w:val="21"/>
          <w:highlight w:val="none"/>
        </w:rPr>
      </w:pPr>
    </w:p>
    <w:p w14:paraId="0FDD3CE1">
      <w:pPr>
        <w:pStyle w:val="14"/>
        <w:spacing w:line="400" w:lineRule="atLeast"/>
        <w:jc w:val="left"/>
        <w:rPr>
          <w:rStyle w:val="40"/>
          <w:rFonts w:ascii="宋体" w:hAnsi="宋体"/>
          <w:b/>
          <w:color w:val="auto"/>
          <w:szCs w:val="21"/>
          <w:highlight w:val="none"/>
        </w:rPr>
      </w:pPr>
    </w:p>
    <w:p w14:paraId="52112DA6">
      <w:pPr>
        <w:pStyle w:val="14"/>
        <w:spacing w:line="400" w:lineRule="atLeast"/>
        <w:jc w:val="left"/>
        <w:rPr>
          <w:rFonts w:hint="eastAsia" w:hAnsi="宋体" w:cs="宋体"/>
          <w:b/>
          <w:bCs/>
          <w:color w:val="auto"/>
          <w:kern w:val="0"/>
          <w:sz w:val="28"/>
          <w:szCs w:val="28"/>
          <w:highlight w:val="none"/>
          <w:lang w:val="en-US"/>
        </w:rPr>
      </w:pPr>
      <w:r>
        <w:rPr>
          <w:rStyle w:val="40"/>
          <w:rFonts w:ascii="宋体" w:hAnsi="宋体"/>
          <w:b/>
          <w:color w:val="auto"/>
          <w:szCs w:val="21"/>
          <w:highlight w:val="none"/>
        </w:rPr>
        <w:t>（</w:t>
      </w:r>
      <w:r>
        <w:rPr>
          <w:rStyle w:val="40"/>
          <w:rFonts w:hint="eastAsia" w:ascii="宋体" w:hAnsi="宋体"/>
          <w:b/>
          <w:color w:val="auto"/>
          <w:szCs w:val="21"/>
          <w:highlight w:val="none"/>
        </w:rPr>
        <w:t>5</w:t>
      </w:r>
      <w:r>
        <w:rPr>
          <w:rStyle w:val="40"/>
          <w:rFonts w:ascii="宋体" w:hAnsi="宋体"/>
          <w:b/>
          <w:color w:val="auto"/>
          <w:szCs w:val="21"/>
          <w:highlight w:val="none"/>
        </w:rPr>
        <w:t>）</w:t>
      </w:r>
      <w:r>
        <w:rPr>
          <w:rStyle w:val="40"/>
          <w:rFonts w:hint="eastAsia" w:hAnsi="宋体"/>
          <w:b/>
          <w:color w:val="auto"/>
          <w:szCs w:val="21"/>
          <w:highlight w:val="none"/>
          <w:lang w:val="en-US" w:eastAsia="zh-CN"/>
        </w:rPr>
        <w:t>中小企业声明函（</w:t>
      </w:r>
      <w:r>
        <w:rPr>
          <w:rStyle w:val="40"/>
          <w:rFonts w:hint="eastAsia" w:ascii="宋体" w:hAnsi="宋体" w:eastAsia="宋体"/>
          <w:b/>
          <w:color w:val="auto"/>
          <w:szCs w:val="21"/>
          <w:highlight w:val="none"/>
          <w:lang w:val="en-US" w:eastAsia="zh-CN"/>
        </w:rPr>
        <w:t>必须提供</w:t>
      </w:r>
      <w:r>
        <w:rPr>
          <w:rStyle w:val="40"/>
          <w:rFonts w:hint="eastAsia" w:ascii="宋体" w:hAnsi="宋体" w:eastAsia="宋体"/>
          <w:b/>
          <w:color w:val="auto"/>
          <w:szCs w:val="21"/>
          <w:highlight w:val="none"/>
          <w:lang w:val="en-US"/>
        </w:rPr>
        <w:t>）</w:t>
      </w:r>
    </w:p>
    <w:p w14:paraId="283ABD0C">
      <w:pPr>
        <w:spacing w:after="240" w:line="588" w:lineRule="exact"/>
        <w:jc w:val="both"/>
        <w:rPr>
          <w:rStyle w:val="40"/>
          <w:rFonts w:hint="eastAsia"/>
          <w:b/>
          <w:color w:val="auto"/>
          <w:spacing w:val="6"/>
          <w:sz w:val="32"/>
          <w:szCs w:val="32"/>
          <w:highlight w:val="none"/>
        </w:rPr>
      </w:pPr>
    </w:p>
    <w:p w14:paraId="3B2C93F7">
      <w:pPr>
        <w:spacing w:after="240" w:line="588" w:lineRule="exact"/>
        <w:ind w:firstLine="333" w:firstLineChars="100"/>
        <w:jc w:val="center"/>
        <w:rPr>
          <w:rStyle w:val="40"/>
          <w:b/>
          <w:color w:val="auto"/>
          <w:spacing w:val="6"/>
          <w:sz w:val="32"/>
          <w:szCs w:val="32"/>
          <w:highlight w:val="none"/>
        </w:rPr>
      </w:pPr>
      <w:r>
        <w:rPr>
          <w:rStyle w:val="40"/>
          <w:rFonts w:hint="eastAsia"/>
          <w:b/>
          <w:color w:val="auto"/>
          <w:spacing w:val="6"/>
          <w:sz w:val="32"/>
          <w:szCs w:val="32"/>
          <w:highlight w:val="none"/>
        </w:rPr>
        <w:t>中小企业声明函</w:t>
      </w:r>
    </w:p>
    <w:p w14:paraId="31DB6DEB">
      <w:pPr>
        <w:spacing w:line="360" w:lineRule="auto"/>
        <w:ind w:firstLine="420" w:firstLineChars="200"/>
        <w:rPr>
          <w:rFonts w:ascii="宋体" w:hAnsi="宋体"/>
          <w:color w:val="auto"/>
          <w:highlight w:val="none"/>
        </w:rPr>
      </w:pPr>
      <w:r>
        <w:rPr>
          <w:rFonts w:hint="eastAsia" w:ascii="宋体" w:hAnsi="宋体"/>
          <w:color w:val="auto"/>
          <w:highlight w:val="none"/>
        </w:rPr>
        <w:t>本公司（联合体）郑重声明，根据《政府采购促进中小企业发展管理办法》（财库﹝</w:t>
      </w:r>
      <w:r>
        <w:rPr>
          <w:rFonts w:ascii="宋体" w:hAnsi="宋体"/>
          <w:color w:val="auto"/>
          <w:highlight w:val="none"/>
        </w:rPr>
        <w:t>2020</w:t>
      </w:r>
      <w:r>
        <w:rPr>
          <w:rFonts w:hint="eastAsia" w:ascii="宋体" w:hAnsi="宋体"/>
          <w:color w:val="auto"/>
          <w:highlight w:val="none"/>
        </w:rPr>
        <w:t>﹞</w:t>
      </w:r>
      <w:r>
        <w:rPr>
          <w:rFonts w:ascii="宋体" w:hAnsi="宋体"/>
          <w:color w:val="auto"/>
          <w:highlight w:val="none"/>
        </w:rPr>
        <w:t xml:space="preserve">46 </w:t>
      </w:r>
      <w:r>
        <w:rPr>
          <w:rFonts w:hint="eastAsia" w:ascii="宋体" w:hAnsi="宋体"/>
          <w:color w:val="auto"/>
          <w:highlight w:val="none"/>
        </w:rPr>
        <w:t>号）的规定，本公司（联合体）参加</w:t>
      </w:r>
      <w:r>
        <w:rPr>
          <w:rFonts w:hint="eastAsia" w:ascii="宋体" w:hAnsi="宋体"/>
          <w:i/>
          <w:color w:val="auto"/>
          <w:highlight w:val="none"/>
          <w:u w:val="single"/>
        </w:rPr>
        <w:t>（</w:t>
      </w:r>
      <w:r>
        <w:rPr>
          <w:rFonts w:hint="eastAsia" w:ascii="宋体" w:hAnsi="宋体"/>
          <w:i/>
          <w:color w:val="auto"/>
          <w:highlight w:val="none"/>
          <w:u w:val="single"/>
          <w:lang w:eastAsia="zh-CN"/>
        </w:rPr>
        <w:t>采购</w:t>
      </w:r>
      <w:r>
        <w:rPr>
          <w:rFonts w:hint="eastAsia" w:ascii="宋体" w:hAnsi="宋体"/>
          <w:i/>
          <w:color w:val="auto"/>
          <w:highlight w:val="none"/>
          <w:u w:val="single"/>
        </w:rPr>
        <w:t>单位名称）</w:t>
      </w:r>
      <w:r>
        <w:rPr>
          <w:rFonts w:hint="eastAsia" w:ascii="宋体" w:hAnsi="宋体"/>
          <w:color w:val="auto"/>
          <w:highlight w:val="none"/>
        </w:rPr>
        <w:t>的</w:t>
      </w:r>
      <w:r>
        <w:rPr>
          <w:rFonts w:hint="eastAsia" w:ascii="宋体" w:hAnsi="宋体"/>
          <w:i/>
          <w:color w:val="auto"/>
          <w:highlight w:val="none"/>
          <w:u w:val="single"/>
        </w:rPr>
        <w:t>（项目名称）</w:t>
      </w:r>
      <w:r>
        <w:rPr>
          <w:rFonts w:hint="eastAsia" w:ascii="宋体" w:hAnsi="宋体"/>
          <w:color w:val="auto"/>
          <w:highlight w:val="none"/>
        </w:rPr>
        <w:t>采购活动，服务全部由符合政策要求的中小企业承接。相关企业（含联合体中的中小企业、签订分包意向协议的中小企业）的具体情况如下：</w:t>
      </w:r>
    </w:p>
    <w:p w14:paraId="7D41C2C0">
      <w:pPr>
        <w:spacing w:line="360" w:lineRule="auto"/>
        <w:ind w:left="315" w:leftChars="150" w:firstLine="315" w:firstLineChars="150"/>
        <w:rPr>
          <w:rFonts w:ascii="宋体" w:hAnsi="宋体"/>
          <w:color w:val="auto"/>
          <w:highlight w:val="none"/>
        </w:rPr>
      </w:pPr>
      <w:r>
        <w:rPr>
          <w:rFonts w:hint="eastAsia" w:ascii="宋体" w:hAnsi="宋体"/>
          <w:i/>
          <w:color w:val="auto"/>
          <w:highlight w:val="none"/>
          <w:u w:val="single"/>
        </w:rPr>
        <w:t>（标的名称）</w:t>
      </w:r>
      <w:r>
        <w:rPr>
          <w:rFonts w:ascii="宋体" w:hAnsi="宋体"/>
          <w:i/>
          <w:color w:val="auto"/>
          <w:highlight w:val="none"/>
          <w:u w:val="single"/>
        </w:rPr>
        <w:t xml:space="preserve"> </w:t>
      </w:r>
      <w:r>
        <w:rPr>
          <w:rFonts w:hint="eastAsia" w:ascii="宋体" w:hAnsi="宋体"/>
          <w:color w:val="auto"/>
          <w:highlight w:val="none"/>
        </w:rPr>
        <w:t>，属于</w:t>
      </w:r>
      <w:r>
        <w:rPr>
          <w:rFonts w:hint="eastAsia" w:ascii="宋体" w:hAnsi="宋体"/>
          <w:i/>
          <w:color w:val="auto"/>
          <w:highlight w:val="none"/>
          <w:u w:val="single"/>
        </w:rPr>
        <w:t>（采购文件中明确的所属行业）</w:t>
      </w:r>
      <w:r>
        <w:rPr>
          <w:rFonts w:hint="eastAsia" w:ascii="宋体" w:hAnsi="宋体"/>
          <w:color w:val="auto"/>
          <w:highlight w:val="none"/>
        </w:rPr>
        <w:t>；承建（承接）企业为</w:t>
      </w:r>
      <w:r>
        <w:rPr>
          <w:rFonts w:hint="eastAsia" w:ascii="宋体" w:hAnsi="宋体"/>
          <w:i/>
          <w:color w:val="auto"/>
          <w:highlight w:val="none"/>
          <w:u w:val="single"/>
        </w:rPr>
        <w:t xml:space="preserve">（企业名称） </w:t>
      </w:r>
      <w:r>
        <w:rPr>
          <w:rFonts w:hint="eastAsia" w:ascii="宋体" w:hAnsi="宋体"/>
          <w:color w:val="auto"/>
          <w:highlight w:val="none"/>
        </w:rPr>
        <w:t>，从业人员</w:t>
      </w:r>
      <w:r>
        <w:rPr>
          <w:rFonts w:hint="eastAsia" w:ascii="宋体" w:hAnsi="宋体"/>
          <w:color w:val="auto"/>
          <w:highlight w:val="none"/>
          <w:u w:val="single"/>
        </w:rPr>
        <w:t xml:space="preserve">     </w:t>
      </w:r>
      <w:r>
        <w:rPr>
          <w:rFonts w:hint="eastAsia" w:ascii="宋体" w:hAnsi="宋体"/>
          <w:color w:val="auto"/>
          <w:highlight w:val="none"/>
        </w:rPr>
        <w:t>人，营业收入为</w:t>
      </w:r>
      <w:r>
        <w:rPr>
          <w:rFonts w:hint="eastAsia" w:ascii="宋体" w:hAnsi="宋体"/>
          <w:color w:val="auto"/>
          <w:highlight w:val="none"/>
          <w:u w:val="single"/>
        </w:rPr>
        <w:t xml:space="preserve">       </w:t>
      </w:r>
      <w:r>
        <w:rPr>
          <w:rFonts w:hint="eastAsia" w:ascii="宋体" w:hAnsi="宋体"/>
          <w:color w:val="auto"/>
          <w:highlight w:val="none"/>
        </w:rPr>
        <w:t>万元，资产总额为</w:t>
      </w:r>
      <w:r>
        <w:rPr>
          <w:rFonts w:hint="eastAsia" w:ascii="宋体" w:hAnsi="宋体"/>
          <w:color w:val="auto"/>
          <w:highlight w:val="none"/>
          <w:u w:val="single"/>
        </w:rPr>
        <w:t xml:space="preserve">       </w:t>
      </w:r>
      <w:r>
        <w:rPr>
          <w:rFonts w:hint="eastAsia" w:ascii="宋体" w:hAnsi="宋体"/>
          <w:color w:val="auto"/>
          <w:highlight w:val="none"/>
        </w:rPr>
        <w:t>万元，属于</w:t>
      </w:r>
      <w:r>
        <w:rPr>
          <w:rFonts w:hint="eastAsia" w:ascii="宋体" w:hAnsi="宋体"/>
          <w:i/>
          <w:color w:val="auto"/>
          <w:highlight w:val="none"/>
          <w:u w:val="single"/>
        </w:rPr>
        <w:t xml:space="preserve">（中型企业、小型企业、微型企业）  </w:t>
      </w:r>
      <w:r>
        <w:rPr>
          <w:rFonts w:hint="eastAsia" w:ascii="宋体" w:hAnsi="宋体"/>
          <w:color w:val="auto"/>
          <w:highlight w:val="none"/>
        </w:rPr>
        <w:t>；</w:t>
      </w:r>
    </w:p>
    <w:p w14:paraId="4C59D909">
      <w:pPr>
        <w:spacing w:line="360" w:lineRule="auto"/>
        <w:ind w:firstLine="420" w:firstLineChars="200"/>
        <w:rPr>
          <w:rFonts w:ascii="宋体" w:hAnsi="宋体"/>
          <w:color w:val="auto"/>
          <w:highlight w:val="none"/>
        </w:rPr>
      </w:pPr>
      <w:r>
        <w:rPr>
          <w:rFonts w:hint="eastAsia" w:ascii="宋体" w:hAnsi="宋体"/>
          <w:color w:val="auto"/>
          <w:highlight w:val="none"/>
        </w:rPr>
        <w:t>以上企业，不属于大企业的分支机构，不存在控股股东为大企业的情形，也不存在与大企业的负责人为同一人的情形。</w:t>
      </w:r>
    </w:p>
    <w:p w14:paraId="1B8ED607">
      <w:pPr>
        <w:spacing w:line="360" w:lineRule="auto"/>
        <w:ind w:firstLine="420" w:firstLineChars="200"/>
        <w:rPr>
          <w:rFonts w:ascii="宋体" w:hAnsi="宋体"/>
          <w:color w:val="auto"/>
          <w:highlight w:val="none"/>
        </w:rPr>
      </w:pPr>
      <w:r>
        <w:rPr>
          <w:rFonts w:hint="eastAsia" w:ascii="宋体" w:hAnsi="宋体"/>
          <w:color w:val="auto"/>
          <w:highlight w:val="none"/>
        </w:rPr>
        <w:t>本企业对上述声明内容的真实性负责。如有虚假，将依法承担相应责任。</w:t>
      </w:r>
    </w:p>
    <w:p w14:paraId="7CBE0965">
      <w:pPr>
        <w:spacing w:line="360" w:lineRule="auto"/>
        <w:rPr>
          <w:rFonts w:ascii="宋体" w:hAnsi="宋体"/>
          <w:color w:val="auto"/>
          <w:highlight w:val="none"/>
        </w:rPr>
      </w:pPr>
    </w:p>
    <w:p w14:paraId="69BAE344">
      <w:pPr>
        <w:spacing w:line="360" w:lineRule="auto"/>
        <w:rPr>
          <w:rFonts w:ascii="宋体" w:hAnsi="宋体"/>
          <w:color w:val="auto"/>
          <w:highlight w:val="none"/>
        </w:rPr>
      </w:pPr>
    </w:p>
    <w:p w14:paraId="52E6BE52">
      <w:pPr>
        <w:spacing w:line="360" w:lineRule="auto"/>
        <w:ind w:firstLine="5460" w:firstLineChars="2600"/>
        <w:rPr>
          <w:rFonts w:ascii="宋体" w:hAnsi="宋体"/>
          <w:color w:val="auto"/>
          <w:highlight w:val="none"/>
        </w:rPr>
      </w:pPr>
      <w:r>
        <w:rPr>
          <w:rFonts w:hint="eastAsia" w:ascii="宋体" w:hAnsi="宋体"/>
          <w:color w:val="auto"/>
          <w:highlight w:val="none"/>
        </w:rPr>
        <w:t>企业名称（盖章）：</w:t>
      </w:r>
    </w:p>
    <w:p w14:paraId="0B3E4BA9">
      <w:pPr>
        <w:spacing w:line="360" w:lineRule="auto"/>
        <w:rPr>
          <w:rFonts w:ascii="宋体" w:hAnsi="宋体"/>
          <w:color w:val="auto"/>
          <w:highlight w:val="none"/>
        </w:rPr>
      </w:pPr>
    </w:p>
    <w:p w14:paraId="3E47FBAC">
      <w:pPr>
        <w:spacing w:line="360" w:lineRule="auto"/>
        <w:ind w:firstLine="5460" w:firstLineChars="2600"/>
        <w:rPr>
          <w:rFonts w:ascii="宋体" w:hAnsi="宋体"/>
          <w:color w:val="auto"/>
          <w:highlight w:val="none"/>
        </w:rPr>
      </w:pPr>
      <w:r>
        <w:rPr>
          <w:rFonts w:hint="eastAsia" w:ascii="宋体" w:hAnsi="宋体"/>
          <w:color w:val="auto"/>
          <w:highlight w:val="none"/>
        </w:rPr>
        <w:t>日期：</w:t>
      </w:r>
    </w:p>
    <w:p w14:paraId="5565E409">
      <w:pPr>
        <w:spacing w:line="360" w:lineRule="auto"/>
        <w:ind w:firstLine="5460" w:firstLineChars="2600"/>
        <w:rPr>
          <w:rFonts w:ascii="宋体" w:hAnsi="宋体"/>
          <w:color w:val="auto"/>
          <w:highlight w:val="none"/>
        </w:rPr>
      </w:pPr>
    </w:p>
    <w:p w14:paraId="112AAC10">
      <w:pPr>
        <w:ind w:firstLine="5460" w:firstLineChars="2600"/>
        <w:rPr>
          <w:rFonts w:ascii="宋体" w:hAnsi="宋体"/>
          <w:color w:val="auto"/>
          <w:highlight w:val="none"/>
        </w:rPr>
      </w:pPr>
    </w:p>
    <w:p w14:paraId="2AC95423">
      <w:pPr>
        <w:ind w:firstLine="5460" w:firstLineChars="2600"/>
        <w:rPr>
          <w:rFonts w:ascii="宋体" w:hAnsi="宋体"/>
          <w:color w:val="auto"/>
          <w:highlight w:val="none"/>
        </w:rPr>
      </w:pPr>
    </w:p>
    <w:p w14:paraId="47E7A418">
      <w:pPr>
        <w:ind w:firstLine="5460" w:firstLineChars="2600"/>
        <w:rPr>
          <w:rFonts w:ascii="宋体" w:hAnsi="宋体"/>
          <w:color w:val="auto"/>
          <w:highlight w:val="none"/>
        </w:rPr>
      </w:pPr>
    </w:p>
    <w:p w14:paraId="659BC195">
      <w:pPr>
        <w:spacing w:line="500" w:lineRule="exact"/>
        <w:rPr>
          <w:rStyle w:val="40"/>
          <w:rFonts w:ascii="宋体" w:hAnsi="宋体"/>
          <w:b/>
          <w:color w:val="auto"/>
          <w:sz w:val="28"/>
          <w:szCs w:val="28"/>
          <w:highlight w:val="none"/>
        </w:rPr>
      </w:pPr>
      <w:r>
        <w:rPr>
          <w:rFonts w:hint="eastAsia" w:ascii="宋体" w:hAnsi="宋体"/>
          <w:b/>
          <w:color w:val="auto"/>
          <w:highlight w:val="none"/>
        </w:rPr>
        <w:t>注：从业人员、营业收入、资产总额填报上一年度数据，无上一年度数据的新成立企业可不填报。</w:t>
      </w:r>
    </w:p>
    <w:p w14:paraId="323EABB5">
      <w:pPr>
        <w:spacing w:line="500" w:lineRule="exact"/>
        <w:rPr>
          <w:rStyle w:val="40"/>
          <w:rFonts w:ascii="宋体" w:hAnsi="宋体"/>
          <w:b/>
          <w:color w:val="auto"/>
          <w:sz w:val="28"/>
          <w:szCs w:val="28"/>
          <w:highlight w:val="none"/>
        </w:rPr>
      </w:pPr>
    </w:p>
    <w:p w14:paraId="7EBFD984">
      <w:pPr>
        <w:spacing w:line="420" w:lineRule="exact"/>
        <w:ind w:firstLine="105" w:firstLineChars="50"/>
        <w:rPr>
          <w:rStyle w:val="40"/>
          <w:rFonts w:ascii="宋体" w:hAnsi="宋体"/>
          <w:b/>
          <w:color w:val="auto"/>
          <w:szCs w:val="21"/>
          <w:highlight w:val="none"/>
        </w:rPr>
      </w:pPr>
    </w:p>
    <w:p w14:paraId="3D1DEC6A">
      <w:pPr>
        <w:spacing w:line="420" w:lineRule="exact"/>
        <w:ind w:firstLine="105" w:firstLineChars="50"/>
        <w:rPr>
          <w:rStyle w:val="40"/>
          <w:rFonts w:ascii="宋体" w:hAnsi="宋体"/>
          <w:b/>
          <w:color w:val="auto"/>
          <w:szCs w:val="21"/>
          <w:highlight w:val="none"/>
        </w:rPr>
      </w:pPr>
    </w:p>
    <w:p w14:paraId="6927C64D">
      <w:pPr>
        <w:spacing w:line="420" w:lineRule="exact"/>
        <w:ind w:firstLine="105" w:firstLineChars="50"/>
        <w:rPr>
          <w:rStyle w:val="40"/>
          <w:rFonts w:ascii="宋体" w:hAnsi="宋体"/>
          <w:b/>
          <w:color w:val="auto"/>
          <w:szCs w:val="21"/>
          <w:highlight w:val="none"/>
        </w:rPr>
      </w:pPr>
    </w:p>
    <w:p w14:paraId="6FBEF8AA">
      <w:pPr>
        <w:spacing w:line="420" w:lineRule="exact"/>
        <w:ind w:firstLine="105" w:firstLineChars="50"/>
        <w:rPr>
          <w:rStyle w:val="40"/>
          <w:rFonts w:ascii="宋体" w:hAnsi="宋体"/>
          <w:b/>
          <w:color w:val="auto"/>
          <w:szCs w:val="21"/>
          <w:highlight w:val="none"/>
        </w:rPr>
      </w:pPr>
    </w:p>
    <w:p w14:paraId="02F40F54">
      <w:pPr>
        <w:spacing w:line="420" w:lineRule="exact"/>
        <w:ind w:firstLine="105" w:firstLineChars="50"/>
        <w:rPr>
          <w:rStyle w:val="40"/>
          <w:rFonts w:ascii="宋体" w:hAnsi="宋体"/>
          <w:b/>
          <w:color w:val="auto"/>
          <w:szCs w:val="21"/>
          <w:highlight w:val="none"/>
        </w:rPr>
      </w:pPr>
    </w:p>
    <w:p w14:paraId="2C78FF41">
      <w:pPr>
        <w:pStyle w:val="10"/>
        <w:rPr>
          <w:rStyle w:val="40"/>
          <w:rFonts w:ascii="宋体" w:hAnsi="宋体"/>
          <w:b/>
          <w:color w:val="auto"/>
          <w:szCs w:val="21"/>
          <w:highlight w:val="none"/>
        </w:rPr>
      </w:pPr>
    </w:p>
    <w:p w14:paraId="345DAF5D">
      <w:pPr>
        <w:spacing w:line="420" w:lineRule="exact"/>
        <w:rPr>
          <w:rStyle w:val="40"/>
          <w:rFonts w:ascii="宋体" w:hAnsi="宋体"/>
          <w:b/>
          <w:color w:val="auto"/>
          <w:szCs w:val="21"/>
          <w:highlight w:val="none"/>
        </w:rPr>
      </w:pPr>
    </w:p>
    <w:p w14:paraId="6B6BCA35">
      <w:pPr>
        <w:spacing w:line="420" w:lineRule="exact"/>
        <w:rPr>
          <w:rStyle w:val="40"/>
          <w:rFonts w:ascii="宋体" w:hAnsi="宋体"/>
          <w:b/>
          <w:color w:val="auto"/>
          <w:kern w:val="0"/>
          <w:highlight w:val="none"/>
        </w:rPr>
      </w:pPr>
      <w:r>
        <w:rPr>
          <w:rStyle w:val="40"/>
          <w:rFonts w:ascii="宋体" w:hAnsi="宋体"/>
          <w:b/>
          <w:color w:val="auto"/>
          <w:szCs w:val="21"/>
          <w:highlight w:val="none"/>
        </w:rPr>
        <w:t>（</w:t>
      </w:r>
      <w:r>
        <w:rPr>
          <w:rStyle w:val="40"/>
          <w:rFonts w:hint="eastAsia" w:ascii="宋体" w:hAnsi="宋体"/>
          <w:b/>
          <w:color w:val="auto"/>
          <w:szCs w:val="21"/>
          <w:highlight w:val="none"/>
          <w:lang w:val="en-US" w:eastAsia="zh-CN"/>
        </w:rPr>
        <w:t>6</w:t>
      </w:r>
      <w:r>
        <w:rPr>
          <w:rStyle w:val="40"/>
          <w:rFonts w:ascii="宋体" w:hAnsi="宋体"/>
          <w:b/>
          <w:color w:val="auto"/>
          <w:szCs w:val="21"/>
          <w:highlight w:val="none"/>
        </w:rPr>
        <w:t>）</w:t>
      </w:r>
      <w:r>
        <w:rPr>
          <w:rStyle w:val="40"/>
          <w:rFonts w:ascii="宋体" w:hAnsi="宋体"/>
          <w:b/>
          <w:color w:val="auto"/>
          <w:kern w:val="0"/>
          <w:highlight w:val="none"/>
        </w:rPr>
        <w:t>贵港市政府采购项目投标资格承诺函；</w:t>
      </w:r>
    </w:p>
    <w:p w14:paraId="6BE91F65">
      <w:pPr>
        <w:spacing w:line="420" w:lineRule="exact"/>
        <w:ind w:firstLine="105" w:firstLineChars="50"/>
        <w:rPr>
          <w:rStyle w:val="40"/>
          <w:rFonts w:ascii="宋体" w:hAnsi="宋体"/>
          <w:b/>
          <w:color w:val="auto"/>
          <w:kern w:val="0"/>
          <w:highlight w:val="none"/>
        </w:rPr>
      </w:pPr>
    </w:p>
    <w:p w14:paraId="0168E572">
      <w:pPr>
        <w:spacing w:line="420" w:lineRule="exact"/>
        <w:ind w:firstLine="105" w:firstLineChars="50"/>
        <w:rPr>
          <w:rStyle w:val="40"/>
          <w:rFonts w:ascii="宋体" w:hAnsi="宋体"/>
          <w:b/>
          <w:color w:val="auto"/>
          <w:kern w:val="0"/>
          <w:highlight w:val="none"/>
        </w:rPr>
      </w:pPr>
    </w:p>
    <w:p w14:paraId="5D20F798">
      <w:pPr>
        <w:spacing w:line="420" w:lineRule="exact"/>
        <w:ind w:firstLine="105" w:firstLineChars="50"/>
        <w:rPr>
          <w:rStyle w:val="40"/>
          <w:rFonts w:ascii="宋体" w:hAnsi="宋体"/>
          <w:b/>
          <w:color w:val="auto"/>
          <w:kern w:val="0"/>
          <w:highlight w:val="none"/>
        </w:rPr>
      </w:pPr>
    </w:p>
    <w:p w14:paraId="5B0FEB93">
      <w:pPr>
        <w:spacing w:after="240" w:line="360" w:lineRule="auto"/>
        <w:jc w:val="center"/>
        <w:rPr>
          <w:rStyle w:val="40"/>
          <w:rFonts w:ascii="宋体" w:hAnsi="宋体"/>
          <w:b/>
          <w:color w:val="auto"/>
          <w:sz w:val="32"/>
          <w:szCs w:val="32"/>
          <w:highlight w:val="none"/>
        </w:rPr>
      </w:pPr>
      <w:r>
        <w:rPr>
          <w:rStyle w:val="40"/>
          <w:rFonts w:ascii="宋体" w:hAnsi="宋体"/>
          <w:b/>
          <w:color w:val="auto"/>
          <w:sz w:val="32"/>
          <w:szCs w:val="32"/>
          <w:highlight w:val="none"/>
        </w:rPr>
        <w:t>贵港市政府采购项目投标资格承诺函</w:t>
      </w:r>
    </w:p>
    <w:p w14:paraId="2D0BAB30">
      <w:pPr>
        <w:spacing w:line="360" w:lineRule="auto"/>
        <w:ind w:firstLine="424" w:firstLineChars="202"/>
        <w:rPr>
          <w:rStyle w:val="40"/>
          <w:rFonts w:ascii="宋体" w:hAnsi="宋体"/>
          <w:color w:val="auto"/>
          <w:szCs w:val="21"/>
          <w:highlight w:val="none"/>
        </w:rPr>
      </w:pPr>
      <w:r>
        <w:rPr>
          <w:rStyle w:val="40"/>
          <w:rFonts w:ascii="宋体" w:hAnsi="宋体"/>
          <w:color w:val="auto"/>
          <w:szCs w:val="21"/>
          <w:highlight w:val="none"/>
        </w:rPr>
        <w:t>本公司郑重承诺，根据《中华人民共和国政府采购法》第二十二条的规定，本公司为参加政府采购活动的合格供应商。即本公司同时满足以下条件：</w:t>
      </w:r>
    </w:p>
    <w:p w14:paraId="1E068A7F">
      <w:pPr>
        <w:spacing w:line="360" w:lineRule="auto"/>
        <w:ind w:firstLine="424" w:firstLineChars="202"/>
        <w:rPr>
          <w:rStyle w:val="40"/>
          <w:rFonts w:ascii="宋体" w:hAnsi="宋体"/>
          <w:color w:val="auto"/>
          <w:szCs w:val="21"/>
          <w:highlight w:val="none"/>
        </w:rPr>
      </w:pPr>
      <w:r>
        <w:rPr>
          <w:rStyle w:val="40"/>
          <w:rFonts w:ascii="宋体" w:hAnsi="宋体"/>
          <w:color w:val="auto"/>
          <w:szCs w:val="21"/>
          <w:highlight w:val="none"/>
        </w:rPr>
        <w:t>1.具有独立承担民事责任的能力。</w:t>
      </w:r>
    </w:p>
    <w:p w14:paraId="673E7A2D">
      <w:pPr>
        <w:spacing w:line="360" w:lineRule="auto"/>
        <w:ind w:firstLine="424" w:firstLineChars="202"/>
        <w:rPr>
          <w:rStyle w:val="40"/>
          <w:rFonts w:ascii="宋体" w:hAnsi="宋体"/>
          <w:color w:val="auto"/>
          <w:szCs w:val="21"/>
          <w:highlight w:val="none"/>
        </w:rPr>
      </w:pPr>
      <w:r>
        <w:rPr>
          <w:rStyle w:val="40"/>
          <w:rFonts w:ascii="宋体" w:hAnsi="宋体"/>
          <w:color w:val="auto"/>
          <w:szCs w:val="21"/>
          <w:highlight w:val="none"/>
        </w:rPr>
        <w:t>2.具有良好的商业信誉和健全的财务会计制度。</w:t>
      </w:r>
    </w:p>
    <w:p w14:paraId="599357EE">
      <w:pPr>
        <w:spacing w:line="360" w:lineRule="auto"/>
        <w:ind w:firstLine="424" w:firstLineChars="202"/>
        <w:rPr>
          <w:rStyle w:val="40"/>
          <w:rFonts w:ascii="宋体" w:hAnsi="宋体"/>
          <w:color w:val="auto"/>
          <w:szCs w:val="21"/>
          <w:highlight w:val="none"/>
        </w:rPr>
      </w:pPr>
      <w:r>
        <w:rPr>
          <w:rStyle w:val="40"/>
          <w:rFonts w:ascii="宋体" w:hAnsi="宋体"/>
          <w:color w:val="auto"/>
          <w:szCs w:val="21"/>
          <w:highlight w:val="none"/>
        </w:rPr>
        <w:t>3.具有履行合同所必需的设备和专业技术能力。</w:t>
      </w:r>
    </w:p>
    <w:p w14:paraId="4039778D">
      <w:pPr>
        <w:spacing w:line="360" w:lineRule="auto"/>
        <w:ind w:firstLine="424" w:firstLineChars="202"/>
        <w:rPr>
          <w:rStyle w:val="40"/>
          <w:rFonts w:ascii="宋体" w:hAnsi="宋体"/>
          <w:color w:val="auto"/>
          <w:szCs w:val="21"/>
          <w:highlight w:val="none"/>
        </w:rPr>
      </w:pPr>
      <w:r>
        <w:rPr>
          <w:rStyle w:val="40"/>
          <w:rFonts w:ascii="宋体" w:hAnsi="宋体"/>
          <w:color w:val="auto"/>
          <w:szCs w:val="21"/>
          <w:highlight w:val="none"/>
        </w:rPr>
        <w:t>4.有依法缴纳税收和社会保障资金的良好记录。</w:t>
      </w:r>
    </w:p>
    <w:p w14:paraId="62DACAC6">
      <w:pPr>
        <w:spacing w:line="360" w:lineRule="auto"/>
        <w:ind w:firstLine="424" w:firstLineChars="202"/>
        <w:rPr>
          <w:rStyle w:val="40"/>
          <w:rFonts w:ascii="宋体" w:hAnsi="宋体"/>
          <w:color w:val="auto"/>
          <w:szCs w:val="21"/>
          <w:highlight w:val="none"/>
        </w:rPr>
      </w:pPr>
      <w:r>
        <w:rPr>
          <w:rStyle w:val="40"/>
          <w:rFonts w:ascii="宋体" w:hAnsi="宋体"/>
          <w:color w:val="auto"/>
          <w:szCs w:val="21"/>
          <w:highlight w:val="none"/>
        </w:rPr>
        <w:t>5. 提交投标文件截止日期前三年内，在经营活动中没有重大违法记录。</w:t>
      </w:r>
    </w:p>
    <w:p w14:paraId="66815EB9">
      <w:pPr>
        <w:spacing w:line="360" w:lineRule="auto"/>
        <w:ind w:firstLine="424" w:firstLineChars="202"/>
        <w:rPr>
          <w:rStyle w:val="40"/>
          <w:rFonts w:ascii="宋体" w:hAnsi="宋体"/>
          <w:color w:val="auto"/>
          <w:szCs w:val="21"/>
          <w:highlight w:val="none"/>
        </w:rPr>
      </w:pPr>
      <w:r>
        <w:rPr>
          <w:rStyle w:val="40"/>
          <w:rFonts w:ascii="宋体" w:hAnsi="宋体"/>
          <w:color w:val="auto"/>
          <w:szCs w:val="21"/>
          <w:highlight w:val="none"/>
        </w:rPr>
        <w:t>本公司对上述承诺的真实性负责，并接受政府采购、税务、社会保障等监督管理部门、采购文件规定的资格审查机构、社会公众的监督和检查。如有虚假，将依法承担相应责任。</w:t>
      </w:r>
    </w:p>
    <w:p w14:paraId="151E4DC3">
      <w:pPr>
        <w:spacing w:line="360" w:lineRule="auto"/>
        <w:rPr>
          <w:rStyle w:val="40"/>
          <w:rFonts w:ascii="宋体" w:hAnsi="宋体"/>
          <w:color w:val="auto"/>
          <w:szCs w:val="21"/>
          <w:highlight w:val="none"/>
        </w:rPr>
      </w:pPr>
    </w:p>
    <w:p w14:paraId="157AAC01">
      <w:pPr>
        <w:spacing w:line="360" w:lineRule="auto"/>
        <w:rPr>
          <w:rStyle w:val="40"/>
          <w:rFonts w:ascii="宋体" w:hAnsi="宋体"/>
          <w:color w:val="auto"/>
          <w:szCs w:val="21"/>
          <w:highlight w:val="none"/>
        </w:rPr>
      </w:pPr>
    </w:p>
    <w:p w14:paraId="63848EB4">
      <w:pPr>
        <w:spacing w:line="360" w:lineRule="auto"/>
        <w:ind w:firstLine="3968" w:firstLineChars="1890"/>
        <w:rPr>
          <w:rStyle w:val="40"/>
          <w:rFonts w:ascii="宋体" w:hAnsi="宋体"/>
          <w:color w:val="auto"/>
          <w:szCs w:val="21"/>
          <w:highlight w:val="none"/>
        </w:rPr>
      </w:pPr>
      <w:r>
        <w:rPr>
          <w:rStyle w:val="40"/>
          <w:rFonts w:ascii="宋体" w:hAnsi="宋体"/>
          <w:color w:val="auto"/>
          <w:szCs w:val="21"/>
          <w:highlight w:val="none"/>
        </w:rPr>
        <w:t>企业名称（盖章）：</w:t>
      </w:r>
    </w:p>
    <w:p w14:paraId="6C754699">
      <w:pPr>
        <w:spacing w:line="360" w:lineRule="auto"/>
        <w:ind w:firstLine="3968" w:firstLineChars="1890"/>
        <w:rPr>
          <w:rStyle w:val="40"/>
          <w:rFonts w:ascii="宋体" w:hAnsi="宋体"/>
          <w:color w:val="auto"/>
          <w:szCs w:val="21"/>
          <w:highlight w:val="none"/>
        </w:rPr>
      </w:pPr>
      <w:r>
        <w:rPr>
          <w:rStyle w:val="40"/>
          <w:rFonts w:hint="eastAsia" w:ascii="宋体" w:hAnsi="宋体"/>
          <w:color w:val="auto"/>
          <w:szCs w:val="21"/>
          <w:highlight w:val="none"/>
        </w:rPr>
        <w:t>法定代表人（签字或者盖章或者电子签名）</w:t>
      </w:r>
      <w:r>
        <w:rPr>
          <w:rStyle w:val="40"/>
          <w:rFonts w:ascii="宋体" w:hAnsi="宋体"/>
          <w:color w:val="auto"/>
          <w:szCs w:val="21"/>
          <w:highlight w:val="none"/>
        </w:rPr>
        <w:t>：</w:t>
      </w:r>
    </w:p>
    <w:p w14:paraId="659797B3">
      <w:pPr>
        <w:spacing w:line="420" w:lineRule="exact"/>
        <w:ind w:firstLine="3990" w:firstLineChars="1900"/>
        <w:rPr>
          <w:rStyle w:val="40"/>
          <w:rFonts w:ascii="宋体" w:hAnsi="宋体"/>
          <w:color w:val="auto"/>
          <w:szCs w:val="21"/>
          <w:highlight w:val="none"/>
        </w:rPr>
      </w:pPr>
      <w:r>
        <w:rPr>
          <w:rStyle w:val="40"/>
          <w:rFonts w:ascii="宋体" w:hAnsi="宋体"/>
          <w:color w:val="auto"/>
          <w:szCs w:val="21"/>
          <w:highlight w:val="none"/>
        </w:rPr>
        <w:t>日期：     年     月      日</w:t>
      </w:r>
    </w:p>
    <w:p w14:paraId="1B4774A9">
      <w:pPr>
        <w:pStyle w:val="10"/>
        <w:rPr>
          <w:rStyle w:val="40"/>
          <w:rFonts w:ascii="宋体" w:hAnsi="宋体"/>
          <w:color w:val="auto"/>
          <w:szCs w:val="21"/>
          <w:highlight w:val="none"/>
        </w:rPr>
      </w:pPr>
    </w:p>
    <w:p w14:paraId="026C2320">
      <w:pPr>
        <w:rPr>
          <w:rStyle w:val="40"/>
          <w:rFonts w:ascii="宋体" w:hAnsi="宋体"/>
          <w:color w:val="auto"/>
          <w:szCs w:val="21"/>
          <w:highlight w:val="none"/>
        </w:rPr>
      </w:pPr>
    </w:p>
    <w:p w14:paraId="123BB82D">
      <w:pPr>
        <w:pStyle w:val="10"/>
        <w:rPr>
          <w:rStyle w:val="40"/>
          <w:rFonts w:ascii="宋体" w:hAnsi="宋体"/>
          <w:color w:val="auto"/>
          <w:szCs w:val="21"/>
          <w:highlight w:val="none"/>
        </w:rPr>
      </w:pPr>
    </w:p>
    <w:p w14:paraId="468BC705">
      <w:pPr>
        <w:rPr>
          <w:rStyle w:val="40"/>
          <w:rFonts w:ascii="宋体" w:hAnsi="宋体"/>
          <w:color w:val="auto"/>
          <w:szCs w:val="21"/>
          <w:highlight w:val="none"/>
        </w:rPr>
      </w:pPr>
    </w:p>
    <w:p w14:paraId="11D9DC64">
      <w:pPr>
        <w:pStyle w:val="10"/>
        <w:rPr>
          <w:rStyle w:val="40"/>
          <w:rFonts w:ascii="宋体" w:hAnsi="宋体"/>
          <w:color w:val="auto"/>
          <w:szCs w:val="21"/>
          <w:highlight w:val="none"/>
        </w:rPr>
      </w:pPr>
    </w:p>
    <w:p w14:paraId="5AC79FA3">
      <w:pPr>
        <w:rPr>
          <w:rStyle w:val="40"/>
          <w:rFonts w:ascii="宋体" w:hAnsi="宋体"/>
          <w:color w:val="auto"/>
          <w:szCs w:val="21"/>
          <w:highlight w:val="none"/>
        </w:rPr>
      </w:pPr>
    </w:p>
    <w:p w14:paraId="5E2AE82A">
      <w:pPr>
        <w:pStyle w:val="10"/>
        <w:rPr>
          <w:rStyle w:val="40"/>
          <w:rFonts w:ascii="宋体" w:hAnsi="宋体"/>
          <w:color w:val="auto"/>
          <w:szCs w:val="21"/>
          <w:highlight w:val="none"/>
        </w:rPr>
      </w:pPr>
    </w:p>
    <w:p w14:paraId="2EA26F0E">
      <w:pPr>
        <w:rPr>
          <w:rStyle w:val="40"/>
          <w:rFonts w:ascii="宋体" w:hAnsi="宋体"/>
          <w:color w:val="auto"/>
          <w:szCs w:val="21"/>
          <w:highlight w:val="none"/>
        </w:rPr>
      </w:pPr>
    </w:p>
    <w:p w14:paraId="0A3D744E">
      <w:pPr>
        <w:pStyle w:val="10"/>
        <w:rPr>
          <w:rStyle w:val="40"/>
          <w:rFonts w:ascii="宋体" w:hAnsi="宋体"/>
          <w:color w:val="auto"/>
          <w:szCs w:val="21"/>
          <w:highlight w:val="none"/>
        </w:rPr>
      </w:pPr>
    </w:p>
    <w:p w14:paraId="068474FE">
      <w:pPr>
        <w:rPr>
          <w:rStyle w:val="40"/>
          <w:rFonts w:ascii="宋体" w:hAnsi="宋体"/>
          <w:color w:val="auto"/>
          <w:szCs w:val="21"/>
          <w:highlight w:val="none"/>
        </w:rPr>
      </w:pPr>
    </w:p>
    <w:p w14:paraId="7E70C76A">
      <w:pPr>
        <w:pStyle w:val="10"/>
        <w:rPr>
          <w:rStyle w:val="40"/>
          <w:rFonts w:ascii="宋体" w:hAnsi="宋体"/>
          <w:color w:val="auto"/>
          <w:szCs w:val="21"/>
          <w:highlight w:val="none"/>
        </w:rPr>
      </w:pPr>
    </w:p>
    <w:p w14:paraId="52F5CCD1">
      <w:pPr>
        <w:rPr>
          <w:rStyle w:val="40"/>
          <w:rFonts w:ascii="宋体" w:hAnsi="宋体"/>
          <w:color w:val="auto"/>
          <w:szCs w:val="21"/>
          <w:highlight w:val="none"/>
        </w:rPr>
      </w:pPr>
    </w:p>
    <w:p w14:paraId="72F3020C">
      <w:pPr>
        <w:pStyle w:val="10"/>
        <w:rPr>
          <w:rStyle w:val="40"/>
          <w:rFonts w:ascii="宋体" w:hAnsi="宋体"/>
          <w:color w:val="auto"/>
          <w:szCs w:val="21"/>
          <w:highlight w:val="none"/>
        </w:rPr>
      </w:pPr>
    </w:p>
    <w:p w14:paraId="6F083FD4">
      <w:pPr>
        <w:rPr>
          <w:rStyle w:val="40"/>
          <w:rFonts w:ascii="宋体" w:hAnsi="宋体"/>
          <w:color w:val="auto"/>
          <w:szCs w:val="21"/>
          <w:highlight w:val="none"/>
        </w:rPr>
      </w:pPr>
    </w:p>
    <w:p w14:paraId="10F6332B">
      <w:pPr>
        <w:rPr>
          <w:rStyle w:val="40"/>
          <w:rFonts w:ascii="宋体" w:hAnsi="宋体"/>
          <w:color w:val="auto"/>
          <w:szCs w:val="21"/>
          <w:highlight w:val="none"/>
        </w:rPr>
      </w:pPr>
    </w:p>
    <w:p w14:paraId="1AD964FD">
      <w:pPr>
        <w:rPr>
          <w:rStyle w:val="40"/>
          <w:rFonts w:ascii="宋体" w:hAnsi="宋体"/>
          <w:color w:val="auto"/>
          <w:szCs w:val="21"/>
          <w:highlight w:val="none"/>
        </w:rPr>
      </w:pPr>
    </w:p>
    <w:p w14:paraId="7B8E3023">
      <w:pPr>
        <w:spacing w:line="360" w:lineRule="auto"/>
        <w:rPr>
          <w:rStyle w:val="40"/>
          <w:rFonts w:ascii="宋体" w:hAnsi="宋体"/>
          <w:b/>
          <w:color w:val="auto"/>
          <w:kern w:val="0"/>
          <w:highlight w:val="none"/>
        </w:rPr>
      </w:pPr>
    </w:p>
    <w:p w14:paraId="0D44B82B">
      <w:pPr>
        <w:rPr>
          <w:rStyle w:val="40"/>
          <w:rFonts w:ascii="宋体" w:hAnsi="宋体"/>
          <w:b/>
          <w:color w:val="auto"/>
          <w:kern w:val="0"/>
          <w:highlight w:val="none"/>
        </w:rPr>
      </w:pPr>
    </w:p>
    <w:p w14:paraId="27C603C0">
      <w:pPr>
        <w:pStyle w:val="4"/>
      </w:pPr>
    </w:p>
    <w:p w14:paraId="2E55FAEA">
      <w:pPr>
        <w:spacing w:line="360" w:lineRule="auto"/>
        <w:ind w:firstLine="105" w:firstLineChars="50"/>
        <w:rPr>
          <w:rStyle w:val="40"/>
          <w:rFonts w:ascii="宋体" w:hAnsi="宋体"/>
          <w:b/>
          <w:color w:val="auto"/>
          <w:kern w:val="0"/>
          <w:highlight w:val="none"/>
        </w:rPr>
      </w:pPr>
      <w:r>
        <w:rPr>
          <w:rStyle w:val="40"/>
          <w:rFonts w:ascii="宋体" w:hAnsi="宋体"/>
          <w:b/>
          <w:color w:val="auto"/>
          <w:kern w:val="0"/>
          <w:highlight w:val="none"/>
        </w:rPr>
        <w:t>（</w:t>
      </w:r>
      <w:r>
        <w:rPr>
          <w:rStyle w:val="40"/>
          <w:rFonts w:hint="eastAsia" w:ascii="宋体" w:hAnsi="宋体"/>
          <w:b/>
          <w:color w:val="auto"/>
          <w:kern w:val="0"/>
          <w:highlight w:val="none"/>
          <w:lang w:val="en-US" w:eastAsia="zh-CN"/>
        </w:rPr>
        <w:t>7</w:t>
      </w:r>
      <w:r>
        <w:rPr>
          <w:rStyle w:val="40"/>
          <w:rFonts w:ascii="宋体" w:hAnsi="宋体"/>
          <w:b/>
          <w:color w:val="auto"/>
          <w:kern w:val="0"/>
          <w:highlight w:val="none"/>
        </w:rPr>
        <w:t>）无重大违法记录声明书；</w:t>
      </w:r>
    </w:p>
    <w:p w14:paraId="379BD0A5">
      <w:pPr>
        <w:spacing w:line="360" w:lineRule="auto"/>
        <w:ind w:firstLine="105" w:firstLineChars="50"/>
        <w:rPr>
          <w:rStyle w:val="40"/>
          <w:rFonts w:ascii="宋体" w:hAnsi="宋体"/>
          <w:b/>
          <w:color w:val="auto"/>
          <w:kern w:val="0"/>
          <w:highlight w:val="none"/>
        </w:rPr>
      </w:pPr>
    </w:p>
    <w:p w14:paraId="0659FFF5">
      <w:pPr>
        <w:ind w:firstLine="321" w:firstLineChars="100"/>
        <w:jc w:val="center"/>
        <w:rPr>
          <w:rStyle w:val="66"/>
          <w:rFonts w:ascii="宋体" w:hAnsi="宋体"/>
          <w:b/>
          <w:color w:val="auto"/>
          <w:sz w:val="32"/>
          <w:szCs w:val="32"/>
          <w:highlight w:val="none"/>
        </w:rPr>
      </w:pPr>
      <w:r>
        <w:rPr>
          <w:rStyle w:val="40"/>
          <w:rFonts w:ascii="宋体" w:hAnsi="宋体"/>
          <w:b/>
          <w:color w:val="auto"/>
          <w:sz w:val="32"/>
          <w:szCs w:val="32"/>
          <w:highlight w:val="none"/>
        </w:rPr>
        <w:t>无重大违法记录声明书</w:t>
      </w:r>
    </w:p>
    <w:p w14:paraId="562561DB">
      <w:pPr>
        <w:ind w:firstLine="210" w:firstLineChars="100"/>
        <w:rPr>
          <w:rStyle w:val="66"/>
          <w:rFonts w:ascii="宋体" w:hAnsi="宋体"/>
          <w:color w:val="auto"/>
          <w:szCs w:val="21"/>
          <w:highlight w:val="none"/>
        </w:rPr>
      </w:pPr>
    </w:p>
    <w:p w14:paraId="0F6CBF41">
      <w:pPr>
        <w:spacing w:line="640" w:lineRule="exact"/>
        <w:rPr>
          <w:rStyle w:val="40"/>
          <w:rFonts w:ascii="宋体" w:hAnsi="宋体"/>
          <w:b/>
          <w:bCs/>
          <w:color w:val="auto"/>
          <w:szCs w:val="21"/>
          <w:highlight w:val="none"/>
        </w:rPr>
      </w:pPr>
      <w:r>
        <w:rPr>
          <w:rStyle w:val="66"/>
          <w:rFonts w:hint="eastAsia" w:ascii="宋体" w:hAnsi="宋体"/>
          <w:b/>
          <w:bCs/>
          <w:color w:val="auto"/>
          <w:szCs w:val="21"/>
          <w:highlight w:val="none"/>
          <w:lang w:eastAsia="zh-CN"/>
        </w:rPr>
        <w:t>贵港市安然项目管理有限公司</w:t>
      </w:r>
      <w:r>
        <w:rPr>
          <w:rStyle w:val="66"/>
          <w:rFonts w:ascii="宋体" w:hAnsi="宋体"/>
          <w:b/>
          <w:bCs/>
          <w:color w:val="auto"/>
          <w:szCs w:val="21"/>
          <w:highlight w:val="none"/>
        </w:rPr>
        <w:t>：</w:t>
      </w:r>
    </w:p>
    <w:p w14:paraId="3EB93FF2">
      <w:pPr>
        <w:spacing w:line="640" w:lineRule="exact"/>
        <w:ind w:firstLine="420" w:firstLineChars="200"/>
        <w:rPr>
          <w:rStyle w:val="40"/>
          <w:rFonts w:ascii="宋体" w:hAnsi="宋体"/>
          <w:color w:val="auto"/>
          <w:szCs w:val="21"/>
          <w:highlight w:val="none"/>
        </w:rPr>
      </w:pPr>
      <w:r>
        <w:rPr>
          <w:rStyle w:val="66"/>
          <w:rFonts w:ascii="宋体" w:hAnsi="宋体"/>
          <w:color w:val="auto"/>
          <w:szCs w:val="21"/>
          <w:highlight w:val="none"/>
        </w:rPr>
        <w:t>我公司参加贵公司组织</w:t>
      </w:r>
      <w:r>
        <w:rPr>
          <w:rStyle w:val="40"/>
          <w:rFonts w:ascii="宋体" w:hAnsi="宋体"/>
          <w:b/>
          <w:bCs/>
          <w:color w:val="auto"/>
          <w:sz w:val="24"/>
          <w:szCs w:val="24"/>
          <w:highlight w:val="none"/>
          <w:u w:val="single"/>
        </w:rPr>
        <w:t>（</w:t>
      </w:r>
      <w:r>
        <w:rPr>
          <w:rStyle w:val="40"/>
          <w:rFonts w:hint="eastAsia" w:ascii="宋体" w:hAnsi="宋体"/>
          <w:b/>
          <w:bCs/>
          <w:color w:val="auto"/>
          <w:sz w:val="24"/>
          <w:szCs w:val="24"/>
          <w:highlight w:val="none"/>
          <w:u w:val="single"/>
          <w:lang w:eastAsia="zh-CN"/>
        </w:rPr>
        <w:t>港南区2026年生产障碍耕地治理项目</w:t>
      </w:r>
      <w:r>
        <w:rPr>
          <w:rStyle w:val="40"/>
          <w:rFonts w:ascii="宋体" w:hAnsi="宋体"/>
          <w:b/>
          <w:bCs/>
          <w:color w:val="auto"/>
          <w:sz w:val="24"/>
          <w:szCs w:val="24"/>
          <w:highlight w:val="none"/>
          <w:u w:val="single"/>
        </w:rPr>
        <w:t>（</w:t>
      </w:r>
      <w:r>
        <w:rPr>
          <w:rStyle w:val="40"/>
          <w:rFonts w:hint="eastAsia" w:ascii="宋体" w:hAnsi="宋体"/>
          <w:b/>
          <w:bCs/>
          <w:color w:val="auto"/>
          <w:sz w:val="24"/>
          <w:szCs w:val="24"/>
          <w:highlight w:val="none"/>
          <w:u w:val="single"/>
          <w:lang w:eastAsia="zh-CN"/>
        </w:rPr>
        <w:t>GGZC2026-C3-030056-ARXM</w:t>
      </w:r>
      <w:r>
        <w:rPr>
          <w:rStyle w:val="40"/>
          <w:rFonts w:ascii="宋体" w:hAnsi="宋体"/>
          <w:b/>
          <w:bCs/>
          <w:color w:val="auto"/>
          <w:sz w:val="24"/>
          <w:szCs w:val="24"/>
          <w:highlight w:val="none"/>
          <w:u w:val="single"/>
        </w:rPr>
        <w:t>）</w:t>
      </w:r>
      <w:r>
        <w:rPr>
          <w:rStyle w:val="66"/>
          <w:rFonts w:ascii="宋体" w:hAnsi="宋体"/>
          <w:color w:val="auto"/>
          <w:szCs w:val="21"/>
          <w:highlight w:val="none"/>
        </w:rPr>
        <w:t>项目的政府采购活动。我公司在此郑重声明，我公司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C455457">
      <w:pPr>
        <w:spacing w:line="640" w:lineRule="exact"/>
        <w:ind w:firstLine="420" w:firstLineChars="200"/>
        <w:rPr>
          <w:rStyle w:val="40"/>
          <w:rFonts w:ascii="宋体" w:hAnsi="宋体"/>
          <w:color w:val="auto"/>
          <w:szCs w:val="21"/>
          <w:highlight w:val="none"/>
        </w:rPr>
      </w:pPr>
      <w:r>
        <w:rPr>
          <w:rStyle w:val="66"/>
          <w:rFonts w:ascii="宋体" w:hAnsi="宋体"/>
          <w:color w:val="auto"/>
          <w:szCs w:val="21"/>
          <w:highlight w:val="none"/>
        </w:rPr>
        <w:t>特此承诺。</w:t>
      </w:r>
    </w:p>
    <w:p w14:paraId="1B4636AF">
      <w:pPr>
        <w:spacing w:line="640" w:lineRule="exact"/>
        <w:ind w:firstLine="420" w:firstLineChars="200"/>
        <w:rPr>
          <w:rStyle w:val="40"/>
          <w:rFonts w:ascii="宋体" w:hAnsi="宋体"/>
          <w:color w:val="auto"/>
          <w:szCs w:val="21"/>
          <w:highlight w:val="none"/>
        </w:rPr>
      </w:pPr>
    </w:p>
    <w:p w14:paraId="02470D9E">
      <w:pPr>
        <w:spacing w:line="640" w:lineRule="exact"/>
        <w:ind w:firstLine="420" w:firstLineChars="200"/>
        <w:rPr>
          <w:rStyle w:val="40"/>
          <w:rFonts w:ascii="宋体" w:hAnsi="宋体"/>
          <w:color w:val="auto"/>
          <w:szCs w:val="21"/>
          <w:highlight w:val="none"/>
        </w:rPr>
      </w:pPr>
    </w:p>
    <w:p w14:paraId="680DA2CC">
      <w:pPr>
        <w:spacing w:line="640" w:lineRule="exact"/>
        <w:ind w:firstLine="420" w:firstLineChars="200"/>
        <w:rPr>
          <w:rStyle w:val="66"/>
          <w:rFonts w:ascii="宋体" w:hAnsi="宋体"/>
          <w:color w:val="auto"/>
          <w:szCs w:val="21"/>
          <w:highlight w:val="none"/>
        </w:rPr>
      </w:pPr>
      <w:r>
        <w:rPr>
          <w:rStyle w:val="66"/>
          <w:rFonts w:ascii="宋体" w:hAnsi="宋体"/>
          <w:color w:val="auto"/>
          <w:szCs w:val="21"/>
          <w:highlight w:val="none"/>
        </w:rPr>
        <w:t>供应商公章：   </w:t>
      </w:r>
    </w:p>
    <w:p w14:paraId="75CCF2C7">
      <w:pPr>
        <w:spacing w:line="640" w:lineRule="exact"/>
        <w:ind w:firstLine="420" w:firstLineChars="200"/>
        <w:rPr>
          <w:rStyle w:val="66"/>
          <w:rFonts w:ascii="宋体" w:hAnsi="宋体"/>
          <w:color w:val="auto"/>
          <w:szCs w:val="21"/>
          <w:highlight w:val="none"/>
        </w:rPr>
      </w:pPr>
      <w:r>
        <w:rPr>
          <w:rStyle w:val="66"/>
          <w:rFonts w:ascii="宋体" w:hAnsi="宋体"/>
          <w:color w:val="auto"/>
          <w:szCs w:val="21"/>
          <w:highlight w:val="none"/>
        </w:rPr>
        <w:t>日期：  年  月  日</w:t>
      </w:r>
    </w:p>
    <w:p w14:paraId="379B2EE4">
      <w:pPr>
        <w:pStyle w:val="17"/>
        <w:rPr>
          <w:rStyle w:val="66"/>
          <w:rFonts w:ascii="宋体" w:hAnsi="宋体"/>
          <w:color w:val="auto"/>
          <w:szCs w:val="21"/>
          <w:highlight w:val="none"/>
        </w:rPr>
      </w:pPr>
    </w:p>
    <w:p w14:paraId="7682F35F">
      <w:pPr>
        <w:rPr>
          <w:rStyle w:val="66"/>
          <w:rFonts w:ascii="宋体" w:hAnsi="宋体"/>
          <w:color w:val="auto"/>
          <w:szCs w:val="21"/>
          <w:highlight w:val="none"/>
        </w:rPr>
      </w:pPr>
    </w:p>
    <w:p w14:paraId="054BF718">
      <w:pPr>
        <w:pStyle w:val="17"/>
        <w:rPr>
          <w:rStyle w:val="66"/>
          <w:rFonts w:ascii="宋体" w:hAnsi="宋体"/>
          <w:color w:val="auto"/>
          <w:szCs w:val="21"/>
          <w:highlight w:val="none"/>
        </w:rPr>
      </w:pPr>
    </w:p>
    <w:p w14:paraId="6F0D559B">
      <w:pPr>
        <w:rPr>
          <w:rStyle w:val="66"/>
          <w:rFonts w:ascii="宋体" w:hAnsi="宋体"/>
          <w:color w:val="auto"/>
          <w:szCs w:val="21"/>
          <w:highlight w:val="none"/>
        </w:rPr>
      </w:pPr>
    </w:p>
    <w:p w14:paraId="22CC47BA">
      <w:pPr>
        <w:pStyle w:val="17"/>
        <w:rPr>
          <w:rStyle w:val="66"/>
          <w:rFonts w:ascii="宋体" w:hAnsi="宋体"/>
          <w:color w:val="auto"/>
          <w:szCs w:val="21"/>
          <w:highlight w:val="none"/>
        </w:rPr>
      </w:pPr>
    </w:p>
    <w:p w14:paraId="06E91690">
      <w:pPr>
        <w:rPr>
          <w:rStyle w:val="66"/>
          <w:rFonts w:ascii="宋体" w:hAnsi="宋体"/>
          <w:color w:val="auto"/>
          <w:szCs w:val="21"/>
          <w:highlight w:val="none"/>
        </w:rPr>
      </w:pPr>
    </w:p>
    <w:p w14:paraId="78E42ABF">
      <w:pPr>
        <w:pStyle w:val="17"/>
        <w:rPr>
          <w:rStyle w:val="66"/>
          <w:rFonts w:ascii="宋体" w:hAnsi="宋体"/>
          <w:color w:val="auto"/>
          <w:szCs w:val="21"/>
          <w:highlight w:val="none"/>
        </w:rPr>
      </w:pPr>
    </w:p>
    <w:p w14:paraId="4258A9DF">
      <w:pPr>
        <w:rPr>
          <w:rStyle w:val="66"/>
          <w:rFonts w:ascii="宋体" w:hAnsi="宋体"/>
          <w:color w:val="auto"/>
          <w:szCs w:val="21"/>
          <w:highlight w:val="none"/>
        </w:rPr>
      </w:pPr>
    </w:p>
    <w:p w14:paraId="77003FE1">
      <w:pPr>
        <w:pStyle w:val="17"/>
        <w:rPr>
          <w:rStyle w:val="66"/>
          <w:rFonts w:ascii="宋体" w:hAnsi="宋体"/>
          <w:color w:val="auto"/>
          <w:szCs w:val="21"/>
          <w:highlight w:val="none"/>
        </w:rPr>
      </w:pPr>
    </w:p>
    <w:p w14:paraId="7BDDFCE5">
      <w:pPr>
        <w:rPr>
          <w:rStyle w:val="66"/>
          <w:rFonts w:ascii="宋体" w:hAnsi="宋体"/>
          <w:color w:val="auto"/>
          <w:szCs w:val="21"/>
          <w:highlight w:val="none"/>
        </w:rPr>
      </w:pPr>
    </w:p>
    <w:p w14:paraId="7FD157B0">
      <w:pPr>
        <w:pStyle w:val="17"/>
        <w:rPr>
          <w:rStyle w:val="66"/>
          <w:rFonts w:ascii="宋体" w:hAnsi="宋体"/>
          <w:color w:val="auto"/>
          <w:szCs w:val="21"/>
          <w:highlight w:val="none"/>
        </w:rPr>
      </w:pPr>
    </w:p>
    <w:p w14:paraId="6355E6A6">
      <w:pPr>
        <w:rPr>
          <w:rStyle w:val="66"/>
          <w:rFonts w:ascii="宋体" w:hAnsi="宋体"/>
          <w:color w:val="auto"/>
          <w:szCs w:val="21"/>
          <w:highlight w:val="none"/>
        </w:rPr>
      </w:pPr>
    </w:p>
    <w:p w14:paraId="63B10220">
      <w:pPr>
        <w:pStyle w:val="17"/>
        <w:rPr>
          <w:rStyle w:val="66"/>
          <w:rFonts w:ascii="宋体" w:hAnsi="宋体"/>
          <w:color w:val="auto"/>
          <w:szCs w:val="21"/>
          <w:highlight w:val="none"/>
        </w:rPr>
      </w:pPr>
    </w:p>
    <w:p w14:paraId="023CE29F">
      <w:pPr>
        <w:rPr>
          <w:rStyle w:val="66"/>
          <w:rFonts w:ascii="宋体" w:hAnsi="宋体"/>
          <w:color w:val="auto"/>
          <w:szCs w:val="21"/>
          <w:highlight w:val="none"/>
        </w:rPr>
      </w:pPr>
    </w:p>
    <w:p w14:paraId="587B76F5">
      <w:pPr>
        <w:pStyle w:val="17"/>
      </w:pPr>
    </w:p>
    <w:p w14:paraId="22D58C14">
      <w:pPr>
        <w:pStyle w:val="17"/>
        <w:rPr>
          <w:rStyle w:val="66"/>
          <w:rFonts w:ascii="宋体" w:hAnsi="宋体"/>
          <w:color w:val="auto"/>
          <w:szCs w:val="21"/>
          <w:highlight w:val="none"/>
        </w:rPr>
      </w:pPr>
    </w:p>
    <w:p w14:paraId="1BA5723D">
      <w:pPr>
        <w:pStyle w:val="10"/>
        <w:spacing w:before="325" w:line="225" w:lineRule="auto"/>
        <w:jc w:val="center"/>
        <w:rPr>
          <w:color w:val="auto"/>
          <w:sz w:val="31"/>
          <w:szCs w:val="31"/>
          <w:highlight w:val="none"/>
        </w:rPr>
      </w:pPr>
      <w:r>
        <w:rPr>
          <w:rFonts w:hint="eastAsia"/>
          <w:b/>
          <w:bCs/>
          <w:color w:val="auto"/>
          <w:spacing w:val="7"/>
          <w:sz w:val="31"/>
          <w:szCs w:val="31"/>
          <w:highlight w:val="none"/>
          <w:lang w:val="en-US" w:eastAsia="zh-CN"/>
        </w:rPr>
        <w:t>（1）</w:t>
      </w:r>
      <w:r>
        <w:rPr>
          <w:b/>
          <w:bCs/>
          <w:color w:val="auto"/>
          <w:spacing w:val="7"/>
          <w:sz w:val="31"/>
          <w:szCs w:val="31"/>
          <w:highlight w:val="none"/>
        </w:rPr>
        <w:t>供应商直接控股、管理关系信息表</w:t>
      </w:r>
    </w:p>
    <w:p w14:paraId="6EA881C9">
      <w:pPr>
        <w:spacing w:line="339" w:lineRule="auto"/>
        <w:rPr>
          <w:rFonts w:ascii="Arial"/>
          <w:color w:val="auto"/>
          <w:sz w:val="21"/>
          <w:highlight w:val="none"/>
        </w:rPr>
      </w:pPr>
    </w:p>
    <w:p w14:paraId="72738228">
      <w:pPr>
        <w:spacing w:line="339" w:lineRule="auto"/>
        <w:rPr>
          <w:rFonts w:ascii="Arial"/>
          <w:color w:val="auto"/>
          <w:sz w:val="21"/>
          <w:highlight w:val="none"/>
        </w:rPr>
      </w:pPr>
    </w:p>
    <w:p w14:paraId="7F8BF28F">
      <w:pPr>
        <w:pStyle w:val="10"/>
        <w:spacing w:before="101" w:line="225" w:lineRule="auto"/>
        <w:ind w:left="3163"/>
        <w:rPr>
          <w:color w:val="auto"/>
          <w:sz w:val="31"/>
          <w:szCs w:val="31"/>
          <w:highlight w:val="none"/>
        </w:rPr>
      </w:pPr>
      <w:r>
        <w:rPr>
          <w:b/>
          <w:bCs/>
          <w:color w:val="auto"/>
          <w:spacing w:val="6"/>
          <w:sz w:val="31"/>
          <w:szCs w:val="31"/>
          <w:highlight w:val="none"/>
        </w:rPr>
        <w:t>供应商直接控股股东信息表</w:t>
      </w:r>
    </w:p>
    <w:p w14:paraId="17F58C5A">
      <w:pPr>
        <w:spacing w:before="40"/>
        <w:rPr>
          <w:color w:val="auto"/>
          <w:highlight w:val="none"/>
        </w:rPr>
      </w:pPr>
    </w:p>
    <w:p w14:paraId="18EABF97">
      <w:pPr>
        <w:spacing w:before="39"/>
        <w:rPr>
          <w:color w:val="auto"/>
          <w:highlight w:val="none"/>
        </w:rPr>
      </w:pPr>
    </w:p>
    <w:tbl>
      <w:tblPr>
        <w:tblStyle w:val="125"/>
        <w:tblW w:w="9087" w:type="dxa"/>
        <w:tblInd w:w="45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2"/>
        <w:gridCol w:w="2263"/>
        <w:gridCol w:w="1312"/>
        <w:gridCol w:w="3678"/>
        <w:gridCol w:w="862"/>
      </w:tblGrid>
      <w:tr w14:paraId="222BAE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972" w:type="dxa"/>
            <w:vAlign w:val="top"/>
          </w:tcPr>
          <w:p w14:paraId="379EDEC2">
            <w:pPr>
              <w:pStyle w:val="124"/>
              <w:spacing w:before="238" w:line="222" w:lineRule="auto"/>
              <w:ind w:left="206"/>
              <w:rPr>
                <w:color w:val="auto"/>
                <w:sz w:val="24"/>
                <w:szCs w:val="24"/>
                <w:highlight w:val="none"/>
              </w:rPr>
            </w:pPr>
            <w:r>
              <w:rPr>
                <w:b/>
                <w:bCs/>
                <w:color w:val="auto"/>
                <w:spacing w:val="-7"/>
                <w:sz w:val="24"/>
                <w:szCs w:val="24"/>
                <w:highlight w:val="none"/>
              </w:rPr>
              <w:t>序号</w:t>
            </w:r>
          </w:p>
        </w:tc>
        <w:tc>
          <w:tcPr>
            <w:tcW w:w="2263" w:type="dxa"/>
            <w:vAlign w:val="top"/>
          </w:tcPr>
          <w:p w14:paraId="52D232B8">
            <w:pPr>
              <w:pStyle w:val="124"/>
              <w:spacing w:before="238" w:line="220" w:lineRule="auto"/>
              <w:rPr>
                <w:color w:val="auto"/>
                <w:sz w:val="24"/>
                <w:szCs w:val="24"/>
                <w:highlight w:val="none"/>
              </w:rPr>
            </w:pPr>
            <w:r>
              <w:rPr>
                <w:b/>
                <w:bCs/>
                <w:color w:val="auto"/>
                <w:spacing w:val="-4"/>
                <w:sz w:val="24"/>
                <w:szCs w:val="24"/>
                <w:highlight w:val="none"/>
              </w:rPr>
              <w:t>直接控股股东名称</w:t>
            </w:r>
          </w:p>
        </w:tc>
        <w:tc>
          <w:tcPr>
            <w:tcW w:w="1312" w:type="dxa"/>
            <w:vAlign w:val="top"/>
          </w:tcPr>
          <w:p w14:paraId="71D3CC9F">
            <w:pPr>
              <w:pStyle w:val="124"/>
              <w:spacing w:before="238" w:line="222" w:lineRule="auto"/>
              <w:ind w:left="271"/>
              <w:rPr>
                <w:color w:val="auto"/>
                <w:sz w:val="24"/>
                <w:szCs w:val="24"/>
                <w:highlight w:val="none"/>
              </w:rPr>
            </w:pPr>
            <w:r>
              <w:rPr>
                <w:b/>
                <w:bCs/>
                <w:color w:val="auto"/>
                <w:spacing w:val="-10"/>
                <w:sz w:val="24"/>
                <w:szCs w:val="24"/>
                <w:highlight w:val="none"/>
              </w:rPr>
              <w:t>出资比例</w:t>
            </w:r>
          </w:p>
        </w:tc>
        <w:tc>
          <w:tcPr>
            <w:tcW w:w="3678" w:type="dxa"/>
            <w:vAlign w:val="top"/>
          </w:tcPr>
          <w:p w14:paraId="23CAC078">
            <w:pPr>
              <w:pStyle w:val="124"/>
              <w:spacing w:before="239" w:line="219" w:lineRule="auto"/>
              <w:rPr>
                <w:color w:val="auto"/>
                <w:sz w:val="24"/>
                <w:szCs w:val="24"/>
                <w:highlight w:val="none"/>
              </w:rPr>
            </w:pPr>
            <w:r>
              <w:rPr>
                <w:b/>
                <w:bCs/>
                <w:color w:val="auto"/>
                <w:spacing w:val="-3"/>
                <w:sz w:val="24"/>
                <w:szCs w:val="24"/>
                <w:highlight w:val="none"/>
              </w:rPr>
              <w:t>身份证号码或者统一社会信用代码</w:t>
            </w:r>
          </w:p>
        </w:tc>
        <w:tc>
          <w:tcPr>
            <w:tcW w:w="862" w:type="dxa"/>
            <w:vAlign w:val="top"/>
          </w:tcPr>
          <w:p w14:paraId="2F6F644B">
            <w:pPr>
              <w:pStyle w:val="124"/>
              <w:spacing w:before="238" w:line="222" w:lineRule="auto"/>
              <w:ind w:left="204"/>
              <w:rPr>
                <w:color w:val="auto"/>
                <w:sz w:val="24"/>
                <w:szCs w:val="24"/>
                <w:highlight w:val="none"/>
              </w:rPr>
            </w:pPr>
            <w:r>
              <w:rPr>
                <w:b/>
                <w:bCs/>
                <w:color w:val="auto"/>
                <w:spacing w:val="-9"/>
                <w:sz w:val="24"/>
                <w:szCs w:val="24"/>
                <w:highlight w:val="none"/>
              </w:rPr>
              <w:t>备注</w:t>
            </w:r>
          </w:p>
        </w:tc>
      </w:tr>
      <w:tr w14:paraId="70D9C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72" w:type="dxa"/>
            <w:vAlign w:val="top"/>
          </w:tcPr>
          <w:p w14:paraId="6870DA90">
            <w:pPr>
              <w:pStyle w:val="124"/>
              <w:spacing w:before="272" w:line="184" w:lineRule="auto"/>
              <w:ind w:left="407"/>
              <w:rPr>
                <w:color w:val="auto"/>
                <w:sz w:val="24"/>
                <w:szCs w:val="24"/>
                <w:highlight w:val="none"/>
              </w:rPr>
            </w:pPr>
            <w:r>
              <w:rPr>
                <w:color w:val="auto"/>
                <w:sz w:val="24"/>
                <w:szCs w:val="24"/>
                <w:highlight w:val="none"/>
              </w:rPr>
              <w:t>1</w:t>
            </w:r>
          </w:p>
        </w:tc>
        <w:tc>
          <w:tcPr>
            <w:tcW w:w="2263" w:type="dxa"/>
            <w:vAlign w:val="top"/>
          </w:tcPr>
          <w:p w14:paraId="5AD99182">
            <w:pPr>
              <w:rPr>
                <w:rFonts w:ascii="Arial"/>
                <w:color w:val="auto"/>
                <w:sz w:val="21"/>
                <w:highlight w:val="none"/>
              </w:rPr>
            </w:pPr>
          </w:p>
        </w:tc>
        <w:tc>
          <w:tcPr>
            <w:tcW w:w="1312" w:type="dxa"/>
            <w:vAlign w:val="top"/>
          </w:tcPr>
          <w:p w14:paraId="381F3317">
            <w:pPr>
              <w:rPr>
                <w:rFonts w:ascii="Arial"/>
                <w:color w:val="auto"/>
                <w:sz w:val="21"/>
                <w:highlight w:val="none"/>
              </w:rPr>
            </w:pPr>
          </w:p>
        </w:tc>
        <w:tc>
          <w:tcPr>
            <w:tcW w:w="3678" w:type="dxa"/>
            <w:vAlign w:val="top"/>
          </w:tcPr>
          <w:p w14:paraId="0FCEA2B7">
            <w:pPr>
              <w:rPr>
                <w:rFonts w:ascii="Arial"/>
                <w:color w:val="auto"/>
                <w:sz w:val="21"/>
                <w:highlight w:val="none"/>
              </w:rPr>
            </w:pPr>
          </w:p>
        </w:tc>
        <w:tc>
          <w:tcPr>
            <w:tcW w:w="862" w:type="dxa"/>
            <w:vAlign w:val="top"/>
          </w:tcPr>
          <w:p w14:paraId="1D42741E">
            <w:pPr>
              <w:rPr>
                <w:rFonts w:ascii="Arial"/>
                <w:color w:val="auto"/>
                <w:sz w:val="21"/>
                <w:highlight w:val="none"/>
              </w:rPr>
            </w:pPr>
          </w:p>
        </w:tc>
      </w:tr>
      <w:tr w14:paraId="7EDDC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72" w:type="dxa"/>
            <w:vAlign w:val="top"/>
          </w:tcPr>
          <w:p w14:paraId="21103453">
            <w:pPr>
              <w:pStyle w:val="124"/>
              <w:spacing w:before="273" w:line="183" w:lineRule="auto"/>
              <w:ind w:left="393"/>
              <w:rPr>
                <w:color w:val="auto"/>
                <w:sz w:val="24"/>
                <w:szCs w:val="24"/>
                <w:highlight w:val="none"/>
              </w:rPr>
            </w:pPr>
            <w:r>
              <w:rPr>
                <w:color w:val="auto"/>
                <w:sz w:val="24"/>
                <w:szCs w:val="24"/>
                <w:highlight w:val="none"/>
              </w:rPr>
              <w:t>2</w:t>
            </w:r>
          </w:p>
        </w:tc>
        <w:tc>
          <w:tcPr>
            <w:tcW w:w="2263" w:type="dxa"/>
            <w:vAlign w:val="top"/>
          </w:tcPr>
          <w:p w14:paraId="4BB5C492">
            <w:pPr>
              <w:rPr>
                <w:rFonts w:ascii="Arial"/>
                <w:color w:val="auto"/>
                <w:sz w:val="21"/>
                <w:highlight w:val="none"/>
              </w:rPr>
            </w:pPr>
          </w:p>
        </w:tc>
        <w:tc>
          <w:tcPr>
            <w:tcW w:w="1312" w:type="dxa"/>
            <w:vAlign w:val="top"/>
          </w:tcPr>
          <w:p w14:paraId="109559C5">
            <w:pPr>
              <w:rPr>
                <w:rFonts w:ascii="Arial"/>
                <w:color w:val="auto"/>
                <w:sz w:val="21"/>
                <w:highlight w:val="none"/>
              </w:rPr>
            </w:pPr>
          </w:p>
        </w:tc>
        <w:tc>
          <w:tcPr>
            <w:tcW w:w="3678" w:type="dxa"/>
            <w:vAlign w:val="top"/>
          </w:tcPr>
          <w:p w14:paraId="1831A48B">
            <w:pPr>
              <w:rPr>
                <w:rFonts w:ascii="Arial"/>
                <w:color w:val="auto"/>
                <w:sz w:val="21"/>
                <w:highlight w:val="none"/>
              </w:rPr>
            </w:pPr>
          </w:p>
        </w:tc>
        <w:tc>
          <w:tcPr>
            <w:tcW w:w="862" w:type="dxa"/>
            <w:vAlign w:val="top"/>
          </w:tcPr>
          <w:p w14:paraId="1083EE7D">
            <w:pPr>
              <w:rPr>
                <w:rFonts w:ascii="Arial"/>
                <w:color w:val="auto"/>
                <w:sz w:val="21"/>
                <w:highlight w:val="none"/>
              </w:rPr>
            </w:pPr>
          </w:p>
        </w:tc>
      </w:tr>
      <w:tr w14:paraId="13126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72" w:type="dxa"/>
            <w:vAlign w:val="top"/>
          </w:tcPr>
          <w:p w14:paraId="06D1F0AA">
            <w:pPr>
              <w:pStyle w:val="124"/>
              <w:spacing w:before="274" w:line="183" w:lineRule="auto"/>
              <w:ind w:left="394"/>
              <w:rPr>
                <w:color w:val="auto"/>
                <w:sz w:val="24"/>
                <w:szCs w:val="24"/>
                <w:highlight w:val="none"/>
              </w:rPr>
            </w:pPr>
            <w:r>
              <w:rPr>
                <w:color w:val="auto"/>
                <w:sz w:val="24"/>
                <w:szCs w:val="24"/>
                <w:highlight w:val="none"/>
              </w:rPr>
              <w:t>3</w:t>
            </w:r>
          </w:p>
        </w:tc>
        <w:tc>
          <w:tcPr>
            <w:tcW w:w="2263" w:type="dxa"/>
            <w:vAlign w:val="top"/>
          </w:tcPr>
          <w:p w14:paraId="4F266048">
            <w:pPr>
              <w:rPr>
                <w:rFonts w:ascii="Arial"/>
                <w:color w:val="auto"/>
                <w:sz w:val="21"/>
                <w:highlight w:val="none"/>
              </w:rPr>
            </w:pPr>
          </w:p>
        </w:tc>
        <w:tc>
          <w:tcPr>
            <w:tcW w:w="1312" w:type="dxa"/>
            <w:vAlign w:val="top"/>
          </w:tcPr>
          <w:p w14:paraId="3E957AA8">
            <w:pPr>
              <w:rPr>
                <w:rFonts w:ascii="Arial"/>
                <w:color w:val="auto"/>
                <w:sz w:val="21"/>
                <w:highlight w:val="none"/>
              </w:rPr>
            </w:pPr>
          </w:p>
        </w:tc>
        <w:tc>
          <w:tcPr>
            <w:tcW w:w="3678" w:type="dxa"/>
            <w:vAlign w:val="top"/>
          </w:tcPr>
          <w:p w14:paraId="1313E2ED">
            <w:pPr>
              <w:rPr>
                <w:rFonts w:ascii="Arial"/>
                <w:color w:val="auto"/>
                <w:sz w:val="21"/>
                <w:highlight w:val="none"/>
              </w:rPr>
            </w:pPr>
          </w:p>
        </w:tc>
        <w:tc>
          <w:tcPr>
            <w:tcW w:w="862" w:type="dxa"/>
            <w:vAlign w:val="top"/>
          </w:tcPr>
          <w:p w14:paraId="69069BDB">
            <w:pPr>
              <w:rPr>
                <w:rFonts w:ascii="Arial"/>
                <w:color w:val="auto"/>
                <w:sz w:val="21"/>
                <w:highlight w:val="none"/>
              </w:rPr>
            </w:pPr>
          </w:p>
        </w:tc>
      </w:tr>
      <w:tr w14:paraId="30F17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972" w:type="dxa"/>
            <w:vAlign w:val="top"/>
          </w:tcPr>
          <w:p w14:paraId="7133EBB6">
            <w:pPr>
              <w:pStyle w:val="124"/>
              <w:spacing w:before="239" w:line="379" w:lineRule="exact"/>
              <w:ind w:left="225"/>
              <w:rPr>
                <w:color w:val="auto"/>
                <w:sz w:val="24"/>
                <w:szCs w:val="24"/>
                <w:highlight w:val="none"/>
              </w:rPr>
            </w:pPr>
            <w:r>
              <w:rPr>
                <w:color w:val="auto"/>
                <w:spacing w:val="-13"/>
                <w:position w:val="3"/>
                <w:sz w:val="24"/>
                <w:szCs w:val="24"/>
                <w:highlight w:val="none"/>
              </w:rPr>
              <w:t>……</w:t>
            </w:r>
          </w:p>
        </w:tc>
        <w:tc>
          <w:tcPr>
            <w:tcW w:w="2263" w:type="dxa"/>
            <w:vAlign w:val="top"/>
          </w:tcPr>
          <w:p w14:paraId="7F54FFFB">
            <w:pPr>
              <w:rPr>
                <w:rFonts w:ascii="Arial"/>
                <w:color w:val="auto"/>
                <w:sz w:val="21"/>
                <w:highlight w:val="none"/>
              </w:rPr>
            </w:pPr>
          </w:p>
        </w:tc>
        <w:tc>
          <w:tcPr>
            <w:tcW w:w="1312" w:type="dxa"/>
            <w:vAlign w:val="top"/>
          </w:tcPr>
          <w:p w14:paraId="45FB54D7">
            <w:pPr>
              <w:rPr>
                <w:rFonts w:ascii="Arial"/>
                <w:color w:val="auto"/>
                <w:sz w:val="21"/>
                <w:highlight w:val="none"/>
              </w:rPr>
            </w:pPr>
          </w:p>
        </w:tc>
        <w:tc>
          <w:tcPr>
            <w:tcW w:w="3678" w:type="dxa"/>
            <w:vAlign w:val="top"/>
          </w:tcPr>
          <w:p w14:paraId="165FAD0A">
            <w:pPr>
              <w:rPr>
                <w:rFonts w:ascii="Arial"/>
                <w:color w:val="auto"/>
                <w:sz w:val="21"/>
                <w:highlight w:val="none"/>
              </w:rPr>
            </w:pPr>
          </w:p>
        </w:tc>
        <w:tc>
          <w:tcPr>
            <w:tcW w:w="862" w:type="dxa"/>
            <w:vAlign w:val="top"/>
          </w:tcPr>
          <w:p w14:paraId="29DC41DF">
            <w:pPr>
              <w:rPr>
                <w:rFonts w:ascii="Arial"/>
                <w:color w:val="auto"/>
                <w:sz w:val="21"/>
                <w:highlight w:val="none"/>
              </w:rPr>
            </w:pPr>
          </w:p>
        </w:tc>
      </w:tr>
    </w:tbl>
    <w:p w14:paraId="2B0613F1">
      <w:pPr>
        <w:pStyle w:val="10"/>
        <w:spacing w:before="115" w:line="224" w:lineRule="auto"/>
        <w:ind w:left="267"/>
        <w:rPr>
          <w:color w:val="auto"/>
          <w:sz w:val="24"/>
          <w:szCs w:val="24"/>
          <w:highlight w:val="none"/>
        </w:rPr>
      </w:pPr>
      <w:r>
        <w:rPr>
          <w:color w:val="auto"/>
          <w:spacing w:val="-5"/>
          <w:sz w:val="24"/>
          <w:szCs w:val="24"/>
          <w:highlight w:val="none"/>
        </w:rPr>
        <w:t>注：</w:t>
      </w:r>
    </w:p>
    <w:p w14:paraId="0695EBD7">
      <w:pPr>
        <w:pStyle w:val="10"/>
        <w:spacing w:before="177" w:line="353" w:lineRule="auto"/>
        <w:ind w:left="267" w:right="298" w:firstLine="497"/>
        <w:jc w:val="both"/>
        <w:rPr>
          <w:color w:val="auto"/>
          <w:sz w:val="24"/>
          <w:szCs w:val="24"/>
          <w:highlight w:val="none"/>
        </w:rPr>
      </w:pPr>
      <w:r>
        <w:rPr>
          <w:color w:val="auto"/>
          <w:spacing w:val="-1"/>
          <w:sz w:val="24"/>
          <w:szCs w:val="24"/>
          <w:highlight w:val="none"/>
        </w:rPr>
        <w:t>1.直接控股股东：是指其出资额占有限责任公司资本总额百分之五十以上或者其持有的</w:t>
      </w:r>
      <w:r>
        <w:rPr>
          <w:color w:val="auto"/>
          <w:sz w:val="24"/>
          <w:szCs w:val="24"/>
          <w:highlight w:val="none"/>
        </w:rPr>
        <w:t>股份占股份有限公司股份总额百分之五十以上的股东；出资额或者</w:t>
      </w:r>
      <w:r>
        <w:rPr>
          <w:color w:val="auto"/>
          <w:spacing w:val="-1"/>
          <w:sz w:val="24"/>
          <w:szCs w:val="24"/>
          <w:highlight w:val="none"/>
        </w:rPr>
        <w:t>持有股份的比例虽然不足</w:t>
      </w:r>
      <w:r>
        <w:rPr>
          <w:color w:val="auto"/>
          <w:sz w:val="24"/>
          <w:szCs w:val="24"/>
          <w:highlight w:val="none"/>
        </w:rPr>
        <w:t>百分之五十，但依其出资额或者持有的股份所享有的表决权已足以</w:t>
      </w:r>
      <w:r>
        <w:rPr>
          <w:color w:val="auto"/>
          <w:spacing w:val="-1"/>
          <w:sz w:val="24"/>
          <w:szCs w:val="24"/>
          <w:highlight w:val="none"/>
        </w:rPr>
        <w:t>对股东会、股东大会的决议产生重大影响的股东。</w:t>
      </w:r>
    </w:p>
    <w:p w14:paraId="0812B9FB">
      <w:pPr>
        <w:pStyle w:val="10"/>
        <w:spacing w:before="36" w:line="346" w:lineRule="auto"/>
        <w:ind w:left="272" w:right="298" w:firstLine="478"/>
        <w:rPr>
          <w:color w:val="auto"/>
          <w:sz w:val="24"/>
          <w:szCs w:val="24"/>
          <w:highlight w:val="none"/>
        </w:rPr>
      </w:pPr>
      <w:r>
        <w:rPr>
          <w:color w:val="auto"/>
          <w:sz w:val="24"/>
          <w:szCs w:val="24"/>
          <w:highlight w:val="none"/>
        </w:rPr>
        <w:t>2.本表所指的控股关系仅限于直接控股关系，不包括间</w:t>
      </w:r>
      <w:r>
        <w:rPr>
          <w:color w:val="auto"/>
          <w:spacing w:val="-1"/>
          <w:sz w:val="24"/>
          <w:szCs w:val="24"/>
          <w:highlight w:val="none"/>
        </w:rPr>
        <w:t>接的控股关系。公司实际控制人与公司之间的关系不属于本表所指的直接控股关系。</w:t>
      </w:r>
    </w:p>
    <w:p w14:paraId="3474B14B">
      <w:pPr>
        <w:pStyle w:val="10"/>
        <w:spacing w:before="36" w:line="219" w:lineRule="auto"/>
        <w:ind w:left="752"/>
        <w:rPr>
          <w:color w:val="auto"/>
          <w:sz w:val="24"/>
          <w:szCs w:val="24"/>
          <w:highlight w:val="none"/>
        </w:rPr>
      </w:pPr>
      <w:r>
        <w:rPr>
          <w:color w:val="auto"/>
          <w:spacing w:val="-1"/>
          <w:sz w:val="24"/>
          <w:szCs w:val="24"/>
          <w:highlight w:val="none"/>
        </w:rPr>
        <w:t>3.供应商不存在直接控股股东的，则填“无</w:t>
      </w:r>
      <w:r>
        <w:rPr>
          <w:color w:val="auto"/>
          <w:spacing w:val="-81"/>
          <w:sz w:val="24"/>
          <w:szCs w:val="24"/>
          <w:highlight w:val="none"/>
        </w:rPr>
        <w:t xml:space="preserve"> </w:t>
      </w:r>
      <w:r>
        <w:rPr>
          <w:color w:val="auto"/>
          <w:spacing w:val="-1"/>
          <w:sz w:val="24"/>
          <w:szCs w:val="24"/>
          <w:highlight w:val="none"/>
        </w:rPr>
        <w:t>”。</w:t>
      </w:r>
    </w:p>
    <w:p w14:paraId="3016018B">
      <w:pPr>
        <w:spacing w:line="243" w:lineRule="auto"/>
        <w:rPr>
          <w:rFonts w:ascii="Arial"/>
          <w:color w:val="auto"/>
          <w:sz w:val="21"/>
          <w:highlight w:val="none"/>
        </w:rPr>
      </w:pPr>
    </w:p>
    <w:p w14:paraId="3EFC1BAC">
      <w:pPr>
        <w:spacing w:line="243" w:lineRule="auto"/>
        <w:rPr>
          <w:rFonts w:ascii="Arial"/>
          <w:color w:val="auto"/>
          <w:sz w:val="21"/>
          <w:highlight w:val="none"/>
        </w:rPr>
      </w:pPr>
    </w:p>
    <w:p w14:paraId="658511D1">
      <w:pPr>
        <w:spacing w:line="243" w:lineRule="auto"/>
        <w:rPr>
          <w:rFonts w:ascii="Arial"/>
          <w:color w:val="auto"/>
          <w:sz w:val="21"/>
          <w:highlight w:val="none"/>
        </w:rPr>
      </w:pPr>
    </w:p>
    <w:p w14:paraId="3EE88CF9">
      <w:pPr>
        <w:spacing w:line="244" w:lineRule="auto"/>
        <w:rPr>
          <w:rFonts w:ascii="Arial"/>
          <w:color w:val="auto"/>
          <w:sz w:val="21"/>
          <w:highlight w:val="none"/>
        </w:rPr>
      </w:pPr>
    </w:p>
    <w:p w14:paraId="00397354">
      <w:pPr>
        <w:spacing w:line="244" w:lineRule="auto"/>
        <w:rPr>
          <w:rFonts w:ascii="Arial"/>
          <w:color w:val="auto"/>
          <w:sz w:val="21"/>
          <w:highlight w:val="none"/>
        </w:rPr>
      </w:pPr>
    </w:p>
    <w:p w14:paraId="4EDE1B80">
      <w:pPr>
        <w:pStyle w:val="10"/>
        <w:spacing w:before="79" w:line="467" w:lineRule="auto"/>
        <w:ind w:left="6946" w:leftChars="1784" w:right="898" w:hanging="3200" w:hangingChars="1356"/>
        <w:rPr>
          <w:color w:val="auto"/>
          <w:sz w:val="24"/>
          <w:szCs w:val="24"/>
          <w:highlight w:val="none"/>
        </w:rPr>
      </w:pPr>
      <w:r>
        <w:rPr>
          <w:color w:val="auto"/>
          <w:spacing w:val="-2"/>
          <w:sz w:val="24"/>
          <w:szCs w:val="24"/>
          <w:highlight w:val="none"/>
        </w:rPr>
        <w:t>供应商（</w:t>
      </w:r>
      <w:r>
        <w:rPr>
          <w:rFonts w:hint="eastAsia" w:ascii="Times New Roman" w:hAnsi="Times New Roman"/>
          <w:color w:val="auto"/>
          <w:sz w:val="24"/>
          <w:szCs w:val="24"/>
          <w:highlight w:val="none"/>
          <w:lang w:eastAsia="zh-CN"/>
        </w:rPr>
        <w:t>电子签章</w:t>
      </w:r>
      <w:r>
        <w:rPr>
          <w:color w:val="auto"/>
          <w:spacing w:val="-16"/>
          <w:sz w:val="24"/>
          <w:szCs w:val="24"/>
          <w:highlight w:val="none"/>
        </w:rPr>
        <w:t>）：</w:t>
      </w:r>
      <w:r>
        <w:rPr>
          <w:color w:val="auto"/>
          <w:sz w:val="24"/>
          <w:szCs w:val="24"/>
          <w:highlight w:val="none"/>
          <w:u w:val="single" w:color="auto"/>
        </w:rPr>
        <w:t xml:space="preserve">                           </w:t>
      </w:r>
      <w:r>
        <w:rPr>
          <w:color w:val="auto"/>
          <w:sz w:val="24"/>
          <w:szCs w:val="24"/>
          <w:highlight w:val="none"/>
        </w:rPr>
        <w:t xml:space="preserve"> </w:t>
      </w:r>
      <w:r>
        <w:rPr>
          <w:color w:val="auto"/>
          <w:spacing w:val="-9"/>
          <w:sz w:val="24"/>
          <w:szCs w:val="24"/>
          <w:highlight w:val="none"/>
        </w:rPr>
        <w:t>年</w:t>
      </w:r>
      <w:r>
        <w:rPr>
          <w:color w:val="auto"/>
          <w:spacing w:val="3"/>
          <w:sz w:val="24"/>
          <w:szCs w:val="24"/>
          <w:highlight w:val="none"/>
        </w:rPr>
        <w:t xml:space="preserve">    </w:t>
      </w:r>
      <w:r>
        <w:rPr>
          <w:color w:val="auto"/>
          <w:spacing w:val="-9"/>
          <w:sz w:val="24"/>
          <w:szCs w:val="24"/>
          <w:highlight w:val="none"/>
        </w:rPr>
        <w:t>月</w:t>
      </w:r>
      <w:r>
        <w:rPr>
          <w:color w:val="auto"/>
          <w:spacing w:val="13"/>
          <w:sz w:val="24"/>
          <w:szCs w:val="24"/>
          <w:highlight w:val="none"/>
        </w:rPr>
        <w:t xml:space="preserve">    </w:t>
      </w:r>
      <w:r>
        <w:rPr>
          <w:color w:val="auto"/>
          <w:spacing w:val="-9"/>
          <w:sz w:val="24"/>
          <w:szCs w:val="24"/>
          <w:highlight w:val="none"/>
        </w:rPr>
        <w:t>日</w:t>
      </w:r>
    </w:p>
    <w:p w14:paraId="44C73470">
      <w:pPr>
        <w:spacing w:line="467" w:lineRule="auto"/>
        <w:rPr>
          <w:color w:val="auto"/>
          <w:sz w:val="24"/>
          <w:szCs w:val="24"/>
          <w:highlight w:val="none"/>
        </w:rPr>
        <w:sectPr>
          <w:footerReference r:id="rId7" w:type="default"/>
          <w:pgSz w:w="11906" w:h="16839"/>
          <w:pgMar w:top="1431" w:right="1134" w:bottom="1417" w:left="1134" w:header="0" w:footer="775" w:gutter="0"/>
          <w:pgNumType w:fmt="decimal"/>
          <w:cols w:space="720" w:num="1"/>
        </w:sectPr>
      </w:pPr>
    </w:p>
    <w:p w14:paraId="40A0FF32">
      <w:pPr>
        <w:pStyle w:val="10"/>
        <w:spacing w:before="63" w:line="225" w:lineRule="auto"/>
        <w:ind w:left="2915"/>
        <w:rPr>
          <w:rFonts w:hint="eastAsia"/>
          <w:b/>
          <w:bCs/>
          <w:color w:val="auto"/>
          <w:spacing w:val="6"/>
          <w:sz w:val="31"/>
          <w:szCs w:val="31"/>
          <w:highlight w:val="none"/>
          <w:lang w:eastAsia="zh-CN"/>
        </w:rPr>
      </w:pPr>
    </w:p>
    <w:p w14:paraId="3E690B6D">
      <w:pPr>
        <w:pStyle w:val="10"/>
        <w:spacing w:before="63" w:line="225" w:lineRule="auto"/>
        <w:ind w:left="2915"/>
        <w:rPr>
          <w:color w:val="auto"/>
          <w:sz w:val="31"/>
          <w:szCs w:val="31"/>
          <w:highlight w:val="none"/>
        </w:rPr>
      </w:pPr>
      <w:r>
        <w:rPr>
          <w:rFonts w:hint="eastAsia"/>
          <w:b/>
          <w:bCs/>
          <w:color w:val="auto"/>
          <w:spacing w:val="6"/>
          <w:sz w:val="31"/>
          <w:szCs w:val="31"/>
          <w:highlight w:val="none"/>
          <w:lang w:eastAsia="zh-CN"/>
        </w:rPr>
        <w:t>（</w:t>
      </w:r>
      <w:r>
        <w:rPr>
          <w:rFonts w:hint="eastAsia"/>
          <w:b/>
          <w:bCs/>
          <w:color w:val="auto"/>
          <w:spacing w:val="6"/>
          <w:sz w:val="31"/>
          <w:szCs w:val="31"/>
          <w:highlight w:val="none"/>
          <w:lang w:val="en-US" w:eastAsia="zh-CN"/>
        </w:rPr>
        <w:t>2</w:t>
      </w:r>
      <w:r>
        <w:rPr>
          <w:rFonts w:hint="eastAsia"/>
          <w:b/>
          <w:bCs/>
          <w:color w:val="auto"/>
          <w:spacing w:val="6"/>
          <w:sz w:val="31"/>
          <w:szCs w:val="31"/>
          <w:highlight w:val="none"/>
          <w:lang w:eastAsia="zh-CN"/>
        </w:rPr>
        <w:t>）</w:t>
      </w:r>
      <w:r>
        <w:rPr>
          <w:b/>
          <w:bCs/>
          <w:color w:val="auto"/>
          <w:spacing w:val="6"/>
          <w:sz w:val="31"/>
          <w:szCs w:val="31"/>
          <w:highlight w:val="none"/>
        </w:rPr>
        <w:t>供应商直接管理关系信息表</w:t>
      </w:r>
    </w:p>
    <w:p w14:paraId="018DEEC6">
      <w:pPr>
        <w:spacing w:before="185"/>
        <w:rPr>
          <w:color w:val="auto"/>
          <w:highlight w:val="none"/>
        </w:rPr>
      </w:pPr>
    </w:p>
    <w:tbl>
      <w:tblPr>
        <w:tblStyle w:val="125"/>
        <w:tblW w:w="9087" w:type="dxa"/>
        <w:tblInd w:w="26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5"/>
        <w:gridCol w:w="3274"/>
        <w:gridCol w:w="3553"/>
        <w:gridCol w:w="1385"/>
      </w:tblGrid>
      <w:tr w14:paraId="41ED7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75" w:type="dxa"/>
            <w:vAlign w:val="top"/>
          </w:tcPr>
          <w:p w14:paraId="34A6CDD9">
            <w:pPr>
              <w:pStyle w:val="124"/>
              <w:spacing w:before="237" w:line="222" w:lineRule="auto"/>
              <w:ind w:left="170"/>
              <w:rPr>
                <w:color w:val="auto"/>
                <w:sz w:val="24"/>
                <w:szCs w:val="24"/>
                <w:highlight w:val="none"/>
              </w:rPr>
            </w:pPr>
            <w:r>
              <w:rPr>
                <w:b/>
                <w:bCs/>
                <w:color w:val="auto"/>
                <w:spacing w:val="-7"/>
                <w:sz w:val="24"/>
                <w:szCs w:val="24"/>
                <w:highlight w:val="none"/>
              </w:rPr>
              <w:t>序号</w:t>
            </w:r>
          </w:p>
        </w:tc>
        <w:tc>
          <w:tcPr>
            <w:tcW w:w="3274" w:type="dxa"/>
            <w:vAlign w:val="top"/>
          </w:tcPr>
          <w:p w14:paraId="6A95C282">
            <w:pPr>
              <w:pStyle w:val="124"/>
              <w:spacing w:before="237" w:line="220" w:lineRule="auto"/>
              <w:ind w:left="601"/>
              <w:rPr>
                <w:color w:val="auto"/>
                <w:sz w:val="24"/>
                <w:szCs w:val="24"/>
                <w:highlight w:val="none"/>
              </w:rPr>
            </w:pPr>
            <w:r>
              <w:rPr>
                <w:b/>
                <w:bCs/>
                <w:color w:val="auto"/>
                <w:spacing w:val="-3"/>
                <w:sz w:val="24"/>
                <w:szCs w:val="24"/>
                <w:highlight w:val="none"/>
              </w:rPr>
              <w:t>直接管理关系单位名称</w:t>
            </w:r>
          </w:p>
        </w:tc>
        <w:tc>
          <w:tcPr>
            <w:tcW w:w="3553" w:type="dxa"/>
            <w:vAlign w:val="top"/>
          </w:tcPr>
          <w:p w14:paraId="059AC035">
            <w:pPr>
              <w:pStyle w:val="124"/>
              <w:spacing w:before="238" w:line="219" w:lineRule="auto"/>
              <w:ind w:left="825"/>
              <w:rPr>
                <w:color w:val="auto"/>
                <w:sz w:val="24"/>
                <w:szCs w:val="24"/>
                <w:highlight w:val="none"/>
              </w:rPr>
            </w:pPr>
            <w:r>
              <w:rPr>
                <w:b/>
                <w:bCs/>
                <w:color w:val="auto"/>
                <w:spacing w:val="-4"/>
                <w:sz w:val="24"/>
                <w:szCs w:val="24"/>
                <w:highlight w:val="none"/>
              </w:rPr>
              <w:t>统一社会信用代码</w:t>
            </w:r>
          </w:p>
        </w:tc>
        <w:tc>
          <w:tcPr>
            <w:tcW w:w="1385" w:type="dxa"/>
            <w:vAlign w:val="top"/>
          </w:tcPr>
          <w:p w14:paraId="1C07751E">
            <w:pPr>
              <w:pStyle w:val="124"/>
              <w:spacing w:before="237" w:line="222" w:lineRule="auto"/>
              <w:ind w:left="615"/>
              <w:rPr>
                <w:color w:val="auto"/>
                <w:sz w:val="24"/>
                <w:szCs w:val="24"/>
                <w:highlight w:val="none"/>
              </w:rPr>
            </w:pPr>
            <w:r>
              <w:rPr>
                <w:b/>
                <w:bCs/>
                <w:color w:val="auto"/>
                <w:spacing w:val="-9"/>
                <w:sz w:val="24"/>
                <w:szCs w:val="24"/>
                <w:highlight w:val="none"/>
              </w:rPr>
              <w:t>备注</w:t>
            </w:r>
          </w:p>
        </w:tc>
      </w:tr>
      <w:tr w14:paraId="7D60A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75" w:type="dxa"/>
            <w:vAlign w:val="top"/>
          </w:tcPr>
          <w:p w14:paraId="4FD9BC72">
            <w:pPr>
              <w:pStyle w:val="124"/>
              <w:spacing w:before="273" w:line="184" w:lineRule="auto"/>
              <w:ind w:left="371"/>
              <w:rPr>
                <w:color w:val="auto"/>
                <w:sz w:val="24"/>
                <w:szCs w:val="24"/>
                <w:highlight w:val="none"/>
              </w:rPr>
            </w:pPr>
            <w:r>
              <w:rPr>
                <w:color w:val="auto"/>
                <w:sz w:val="24"/>
                <w:szCs w:val="24"/>
                <w:highlight w:val="none"/>
              </w:rPr>
              <w:t>1</w:t>
            </w:r>
          </w:p>
        </w:tc>
        <w:tc>
          <w:tcPr>
            <w:tcW w:w="3274" w:type="dxa"/>
            <w:vAlign w:val="top"/>
          </w:tcPr>
          <w:p w14:paraId="2F425C91">
            <w:pPr>
              <w:rPr>
                <w:rFonts w:ascii="Arial"/>
                <w:color w:val="auto"/>
                <w:sz w:val="21"/>
                <w:highlight w:val="none"/>
              </w:rPr>
            </w:pPr>
          </w:p>
        </w:tc>
        <w:tc>
          <w:tcPr>
            <w:tcW w:w="3553" w:type="dxa"/>
            <w:vAlign w:val="top"/>
          </w:tcPr>
          <w:p w14:paraId="712100FF">
            <w:pPr>
              <w:rPr>
                <w:rFonts w:ascii="Arial"/>
                <w:color w:val="auto"/>
                <w:sz w:val="21"/>
                <w:highlight w:val="none"/>
              </w:rPr>
            </w:pPr>
          </w:p>
        </w:tc>
        <w:tc>
          <w:tcPr>
            <w:tcW w:w="1385" w:type="dxa"/>
            <w:vAlign w:val="top"/>
          </w:tcPr>
          <w:p w14:paraId="64133916">
            <w:pPr>
              <w:rPr>
                <w:rFonts w:ascii="Arial"/>
                <w:color w:val="auto"/>
                <w:sz w:val="21"/>
                <w:highlight w:val="none"/>
              </w:rPr>
            </w:pPr>
          </w:p>
        </w:tc>
      </w:tr>
      <w:tr w14:paraId="61400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75" w:type="dxa"/>
            <w:vAlign w:val="top"/>
          </w:tcPr>
          <w:p w14:paraId="35FC87E5">
            <w:pPr>
              <w:pStyle w:val="124"/>
              <w:spacing w:before="275" w:line="183" w:lineRule="auto"/>
              <w:ind w:left="356"/>
              <w:rPr>
                <w:color w:val="auto"/>
                <w:sz w:val="24"/>
                <w:szCs w:val="24"/>
                <w:highlight w:val="none"/>
              </w:rPr>
            </w:pPr>
            <w:r>
              <w:rPr>
                <w:color w:val="auto"/>
                <w:sz w:val="24"/>
                <w:szCs w:val="24"/>
                <w:highlight w:val="none"/>
              </w:rPr>
              <w:t>2</w:t>
            </w:r>
          </w:p>
        </w:tc>
        <w:tc>
          <w:tcPr>
            <w:tcW w:w="3274" w:type="dxa"/>
            <w:vAlign w:val="top"/>
          </w:tcPr>
          <w:p w14:paraId="06A7DABF">
            <w:pPr>
              <w:rPr>
                <w:rFonts w:ascii="Arial"/>
                <w:color w:val="auto"/>
                <w:sz w:val="21"/>
                <w:highlight w:val="none"/>
              </w:rPr>
            </w:pPr>
          </w:p>
        </w:tc>
        <w:tc>
          <w:tcPr>
            <w:tcW w:w="3553" w:type="dxa"/>
            <w:vAlign w:val="top"/>
          </w:tcPr>
          <w:p w14:paraId="68B2ABAD">
            <w:pPr>
              <w:rPr>
                <w:rFonts w:ascii="Arial"/>
                <w:color w:val="auto"/>
                <w:sz w:val="21"/>
                <w:highlight w:val="none"/>
              </w:rPr>
            </w:pPr>
          </w:p>
        </w:tc>
        <w:tc>
          <w:tcPr>
            <w:tcW w:w="1385" w:type="dxa"/>
            <w:vAlign w:val="top"/>
          </w:tcPr>
          <w:p w14:paraId="70E8BB19">
            <w:pPr>
              <w:rPr>
                <w:rFonts w:ascii="Arial"/>
                <w:color w:val="auto"/>
                <w:sz w:val="21"/>
                <w:highlight w:val="none"/>
              </w:rPr>
            </w:pPr>
          </w:p>
        </w:tc>
      </w:tr>
      <w:tr w14:paraId="77466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75" w:type="dxa"/>
            <w:vAlign w:val="top"/>
          </w:tcPr>
          <w:p w14:paraId="70F8FFB6">
            <w:pPr>
              <w:pStyle w:val="124"/>
              <w:spacing w:before="275" w:line="183" w:lineRule="auto"/>
              <w:ind w:left="358"/>
              <w:rPr>
                <w:color w:val="auto"/>
                <w:sz w:val="24"/>
                <w:szCs w:val="24"/>
                <w:highlight w:val="none"/>
              </w:rPr>
            </w:pPr>
            <w:r>
              <w:rPr>
                <w:color w:val="auto"/>
                <w:sz w:val="24"/>
                <w:szCs w:val="24"/>
                <w:highlight w:val="none"/>
              </w:rPr>
              <w:t>3</w:t>
            </w:r>
          </w:p>
        </w:tc>
        <w:tc>
          <w:tcPr>
            <w:tcW w:w="3274" w:type="dxa"/>
            <w:vAlign w:val="top"/>
          </w:tcPr>
          <w:p w14:paraId="757053D5">
            <w:pPr>
              <w:rPr>
                <w:rFonts w:ascii="Arial"/>
                <w:color w:val="auto"/>
                <w:sz w:val="21"/>
                <w:highlight w:val="none"/>
              </w:rPr>
            </w:pPr>
          </w:p>
        </w:tc>
        <w:tc>
          <w:tcPr>
            <w:tcW w:w="3553" w:type="dxa"/>
            <w:vAlign w:val="top"/>
          </w:tcPr>
          <w:p w14:paraId="283836F8">
            <w:pPr>
              <w:rPr>
                <w:rFonts w:ascii="Arial"/>
                <w:color w:val="auto"/>
                <w:sz w:val="21"/>
                <w:highlight w:val="none"/>
              </w:rPr>
            </w:pPr>
          </w:p>
        </w:tc>
        <w:tc>
          <w:tcPr>
            <w:tcW w:w="1385" w:type="dxa"/>
            <w:vAlign w:val="top"/>
          </w:tcPr>
          <w:p w14:paraId="06437AB7">
            <w:pPr>
              <w:rPr>
                <w:rFonts w:ascii="Arial"/>
                <w:color w:val="auto"/>
                <w:sz w:val="21"/>
                <w:highlight w:val="none"/>
              </w:rPr>
            </w:pPr>
          </w:p>
        </w:tc>
      </w:tr>
      <w:tr w14:paraId="05A863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875" w:type="dxa"/>
            <w:vAlign w:val="top"/>
          </w:tcPr>
          <w:p w14:paraId="51DE1020">
            <w:pPr>
              <w:pStyle w:val="124"/>
              <w:spacing w:before="238" w:line="379" w:lineRule="exact"/>
              <w:ind w:left="188"/>
              <w:rPr>
                <w:color w:val="auto"/>
                <w:sz w:val="24"/>
                <w:szCs w:val="24"/>
                <w:highlight w:val="none"/>
              </w:rPr>
            </w:pPr>
            <w:r>
              <w:rPr>
                <w:color w:val="auto"/>
                <w:spacing w:val="-13"/>
                <w:position w:val="3"/>
                <w:sz w:val="24"/>
                <w:szCs w:val="24"/>
                <w:highlight w:val="none"/>
              </w:rPr>
              <w:t>……</w:t>
            </w:r>
          </w:p>
        </w:tc>
        <w:tc>
          <w:tcPr>
            <w:tcW w:w="3274" w:type="dxa"/>
            <w:vAlign w:val="top"/>
          </w:tcPr>
          <w:p w14:paraId="3F803A65">
            <w:pPr>
              <w:rPr>
                <w:rFonts w:ascii="Arial"/>
                <w:color w:val="auto"/>
                <w:sz w:val="21"/>
                <w:highlight w:val="none"/>
              </w:rPr>
            </w:pPr>
          </w:p>
        </w:tc>
        <w:tc>
          <w:tcPr>
            <w:tcW w:w="3553" w:type="dxa"/>
            <w:vAlign w:val="top"/>
          </w:tcPr>
          <w:p w14:paraId="0119201C">
            <w:pPr>
              <w:rPr>
                <w:rFonts w:ascii="Arial"/>
                <w:color w:val="auto"/>
                <w:sz w:val="21"/>
                <w:highlight w:val="none"/>
              </w:rPr>
            </w:pPr>
          </w:p>
        </w:tc>
        <w:tc>
          <w:tcPr>
            <w:tcW w:w="1385" w:type="dxa"/>
            <w:vAlign w:val="top"/>
          </w:tcPr>
          <w:p w14:paraId="51F87F5B">
            <w:pPr>
              <w:rPr>
                <w:rFonts w:ascii="Arial"/>
                <w:color w:val="auto"/>
                <w:sz w:val="21"/>
                <w:highlight w:val="none"/>
              </w:rPr>
            </w:pPr>
          </w:p>
        </w:tc>
      </w:tr>
    </w:tbl>
    <w:p w14:paraId="0DBD23F0">
      <w:pPr>
        <w:pStyle w:val="10"/>
        <w:spacing w:before="113" w:line="224" w:lineRule="auto"/>
        <w:ind w:left="19"/>
        <w:rPr>
          <w:color w:val="auto"/>
          <w:sz w:val="24"/>
          <w:szCs w:val="24"/>
          <w:highlight w:val="none"/>
        </w:rPr>
      </w:pPr>
      <w:r>
        <w:rPr>
          <w:color w:val="auto"/>
          <w:spacing w:val="-5"/>
          <w:sz w:val="24"/>
          <w:szCs w:val="24"/>
          <w:highlight w:val="none"/>
        </w:rPr>
        <w:t>注：</w:t>
      </w:r>
    </w:p>
    <w:p w14:paraId="1567FCF6">
      <w:pPr>
        <w:pStyle w:val="10"/>
        <w:spacing w:before="176" w:line="347" w:lineRule="auto"/>
        <w:ind w:left="23" w:right="51" w:firstLine="493"/>
        <w:rPr>
          <w:color w:val="auto"/>
          <w:sz w:val="24"/>
          <w:szCs w:val="24"/>
          <w:highlight w:val="none"/>
        </w:rPr>
      </w:pPr>
      <w:r>
        <w:rPr>
          <w:color w:val="auto"/>
          <w:spacing w:val="-1"/>
          <w:sz w:val="24"/>
          <w:szCs w:val="24"/>
          <w:highlight w:val="none"/>
        </w:rPr>
        <w:t>1.管理关系：是指不具有出资持股关系的其他单位之间存在的管理与被管理关系，如一</w:t>
      </w:r>
      <w:r>
        <w:rPr>
          <w:color w:val="auto"/>
          <w:spacing w:val="10"/>
          <w:sz w:val="24"/>
          <w:szCs w:val="24"/>
          <w:highlight w:val="none"/>
        </w:rPr>
        <w:t xml:space="preserve"> </w:t>
      </w:r>
      <w:r>
        <w:rPr>
          <w:color w:val="auto"/>
          <w:spacing w:val="-1"/>
          <w:sz w:val="24"/>
          <w:szCs w:val="24"/>
          <w:highlight w:val="none"/>
        </w:rPr>
        <w:t>些上下级关系的事业单位和团体组织。</w:t>
      </w:r>
    </w:p>
    <w:p w14:paraId="25656008">
      <w:pPr>
        <w:pStyle w:val="10"/>
        <w:spacing w:before="34" w:line="346" w:lineRule="auto"/>
        <w:ind w:left="503" w:right="2117" w:hanging="1"/>
        <w:rPr>
          <w:color w:val="auto"/>
          <w:spacing w:val="-13"/>
          <w:sz w:val="24"/>
          <w:szCs w:val="24"/>
          <w:highlight w:val="none"/>
        </w:rPr>
      </w:pPr>
      <w:r>
        <w:rPr>
          <w:color w:val="auto"/>
          <w:spacing w:val="-13"/>
          <w:sz w:val="24"/>
          <w:szCs w:val="24"/>
          <w:highlight w:val="none"/>
        </w:rPr>
        <w:t>2.本表所指的管理关系仅限于直接管理关系，不包括间接的管理关系。</w:t>
      </w:r>
    </w:p>
    <w:p w14:paraId="5D8086BE">
      <w:pPr>
        <w:pStyle w:val="10"/>
        <w:spacing w:before="34" w:line="346" w:lineRule="auto"/>
        <w:ind w:right="2117" w:firstLine="270" w:firstLineChars="100"/>
        <w:rPr>
          <w:color w:val="auto"/>
          <w:sz w:val="24"/>
          <w:szCs w:val="24"/>
          <w:highlight w:val="none"/>
        </w:rPr>
      </w:pPr>
      <w:r>
        <w:rPr>
          <w:color w:val="auto"/>
          <w:spacing w:val="15"/>
          <w:sz w:val="24"/>
          <w:szCs w:val="24"/>
          <w:highlight w:val="none"/>
        </w:rPr>
        <w:t xml:space="preserve"> </w:t>
      </w:r>
      <w:r>
        <w:rPr>
          <w:color w:val="auto"/>
          <w:spacing w:val="-1"/>
          <w:sz w:val="24"/>
          <w:szCs w:val="24"/>
          <w:highlight w:val="none"/>
        </w:rPr>
        <w:t>3.供应商不存在直接管理关系的，则填“无</w:t>
      </w:r>
      <w:r>
        <w:rPr>
          <w:color w:val="auto"/>
          <w:spacing w:val="-81"/>
          <w:sz w:val="24"/>
          <w:szCs w:val="24"/>
          <w:highlight w:val="none"/>
        </w:rPr>
        <w:t xml:space="preserve"> </w:t>
      </w:r>
      <w:r>
        <w:rPr>
          <w:color w:val="auto"/>
          <w:spacing w:val="-1"/>
          <w:sz w:val="24"/>
          <w:szCs w:val="24"/>
          <w:highlight w:val="none"/>
        </w:rPr>
        <w:t>”。</w:t>
      </w:r>
    </w:p>
    <w:p w14:paraId="4A2A8BEA">
      <w:pPr>
        <w:spacing w:line="249" w:lineRule="auto"/>
        <w:rPr>
          <w:rFonts w:ascii="Arial"/>
          <w:color w:val="auto"/>
          <w:sz w:val="21"/>
          <w:highlight w:val="none"/>
        </w:rPr>
      </w:pPr>
    </w:p>
    <w:p w14:paraId="5ED87708">
      <w:pPr>
        <w:spacing w:line="250" w:lineRule="auto"/>
        <w:rPr>
          <w:rFonts w:ascii="Arial"/>
          <w:color w:val="auto"/>
          <w:sz w:val="21"/>
          <w:highlight w:val="none"/>
        </w:rPr>
      </w:pPr>
    </w:p>
    <w:p w14:paraId="27BBE92F">
      <w:pPr>
        <w:spacing w:line="250" w:lineRule="auto"/>
        <w:rPr>
          <w:rFonts w:ascii="Arial"/>
          <w:color w:val="auto"/>
          <w:sz w:val="21"/>
          <w:highlight w:val="none"/>
        </w:rPr>
      </w:pPr>
    </w:p>
    <w:p w14:paraId="60B5CD6A">
      <w:pPr>
        <w:spacing w:line="250" w:lineRule="auto"/>
        <w:rPr>
          <w:rFonts w:ascii="Arial"/>
          <w:color w:val="auto"/>
          <w:sz w:val="21"/>
          <w:highlight w:val="none"/>
        </w:rPr>
      </w:pPr>
    </w:p>
    <w:p w14:paraId="3BBA901B">
      <w:pPr>
        <w:spacing w:line="250" w:lineRule="auto"/>
        <w:rPr>
          <w:rFonts w:ascii="Arial"/>
          <w:color w:val="auto"/>
          <w:sz w:val="21"/>
          <w:highlight w:val="none"/>
        </w:rPr>
      </w:pPr>
    </w:p>
    <w:p w14:paraId="32262F18">
      <w:pPr>
        <w:pStyle w:val="10"/>
        <w:spacing w:before="79" w:line="219" w:lineRule="auto"/>
        <w:ind w:left="3379" w:firstLine="2124" w:firstLineChars="900"/>
        <w:rPr>
          <w:color w:val="auto"/>
          <w:sz w:val="24"/>
          <w:szCs w:val="24"/>
          <w:highlight w:val="none"/>
        </w:rPr>
      </w:pPr>
      <w:r>
        <w:rPr>
          <w:color w:val="auto"/>
          <w:spacing w:val="-2"/>
          <w:sz w:val="24"/>
          <w:szCs w:val="24"/>
          <w:highlight w:val="none"/>
        </w:rPr>
        <w:t>供应商（</w:t>
      </w:r>
      <w:r>
        <w:rPr>
          <w:rFonts w:hint="eastAsia"/>
          <w:color w:val="auto"/>
          <w:spacing w:val="-2"/>
          <w:sz w:val="24"/>
          <w:szCs w:val="24"/>
          <w:highlight w:val="none"/>
          <w:lang w:eastAsia="zh-CN"/>
        </w:rPr>
        <w:t>电子签章</w:t>
      </w:r>
      <w:r>
        <w:rPr>
          <w:color w:val="auto"/>
          <w:spacing w:val="1"/>
          <w:sz w:val="24"/>
          <w:szCs w:val="24"/>
          <w:highlight w:val="none"/>
        </w:rPr>
        <w:t>）：</w:t>
      </w:r>
      <w:r>
        <w:rPr>
          <w:color w:val="auto"/>
          <w:sz w:val="24"/>
          <w:szCs w:val="24"/>
          <w:highlight w:val="none"/>
          <w:u w:val="single" w:color="auto"/>
        </w:rPr>
        <w:t xml:space="preserve">                </w:t>
      </w:r>
    </w:p>
    <w:p w14:paraId="18F049C0">
      <w:pPr>
        <w:pStyle w:val="10"/>
        <w:spacing w:before="182" w:line="220" w:lineRule="auto"/>
        <w:ind w:left="6280"/>
        <w:rPr>
          <w:color w:val="auto"/>
          <w:sz w:val="24"/>
          <w:szCs w:val="24"/>
          <w:highlight w:val="none"/>
        </w:rPr>
      </w:pPr>
      <w:r>
        <w:rPr>
          <w:color w:val="auto"/>
          <w:spacing w:val="-9"/>
          <w:sz w:val="24"/>
          <w:szCs w:val="24"/>
          <w:highlight w:val="none"/>
        </w:rPr>
        <w:t>年</w:t>
      </w:r>
      <w:r>
        <w:rPr>
          <w:color w:val="auto"/>
          <w:spacing w:val="3"/>
          <w:sz w:val="24"/>
          <w:szCs w:val="24"/>
          <w:highlight w:val="none"/>
        </w:rPr>
        <w:t xml:space="preserve">    </w:t>
      </w:r>
      <w:r>
        <w:rPr>
          <w:color w:val="auto"/>
          <w:spacing w:val="-9"/>
          <w:sz w:val="24"/>
          <w:szCs w:val="24"/>
          <w:highlight w:val="none"/>
        </w:rPr>
        <w:t>月</w:t>
      </w:r>
      <w:r>
        <w:rPr>
          <w:color w:val="auto"/>
          <w:spacing w:val="13"/>
          <w:sz w:val="24"/>
          <w:szCs w:val="24"/>
          <w:highlight w:val="none"/>
        </w:rPr>
        <w:t xml:space="preserve">    </w:t>
      </w:r>
      <w:r>
        <w:rPr>
          <w:color w:val="auto"/>
          <w:spacing w:val="-9"/>
          <w:sz w:val="24"/>
          <w:szCs w:val="24"/>
          <w:highlight w:val="none"/>
        </w:rPr>
        <w:t>日</w:t>
      </w:r>
    </w:p>
    <w:p w14:paraId="096EDDFF">
      <w:pPr>
        <w:spacing w:line="220" w:lineRule="auto"/>
        <w:rPr>
          <w:color w:val="auto"/>
          <w:sz w:val="24"/>
          <w:szCs w:val="24"/>
          <w:highlight w:val="none"/>
        </w:rPr>
      </w:pPr>
    </w:p>
    <w:p w14:paraId="70CFCF8C">
      <w:pPr>
        <w:spacing w:line="360" w:lineRule="auto"/>
        <w:rPr>
          <w:rStyle w:val="40"/>
          <w:rFonts w:ascii="宋体" w:hAnsi="宋体"/>
          <w:b/>
          <w:color w:val="auto"/>
          <w:kern w:val="0"/>
          <w:highlight w:val="none"/>
        </w:rPr>
      </w:pPr>
    </w:p>
    <w:p w14:paraId="05C17603">
      <w:pPr>
        <w:spacing w:line="360" w:lineRule="auto"/>
        <w:rPr>
          <w:rStyle w:val="40"/>
          <w:rFonts w:ascii="宋体" w:hAnsi="宋体"/>
          <w:b/>
          <w:color w:val="auto"/>
          <w:kern w:val="0"/>
          <w:highlight w:val="none"/>
        </w:rPr>
      </w:pPr>
    </w:p>
    <w:p w14:paraId="0A73E85B"/>
    <w:p w14:paraId="138F9999">
      <w:pPr>
        <w:spacing w:line="360" w:lineRule="auto"/>
        <w:ind w:firstLine="105" w:firstLineChars="50"/>
        <w:rPr>
          <w:rStyle w:val="40"/>
          <w:rFonts w:ascii="宋体" w:hAnsi="宋体"/>
          <w:b/>
          <w:color w:val="auto"/>
          <w:kern w:val="0"/>
          <w:highlight w:val="none"/>
        </w:rPr>
      </w:pPr>
    </w:p>
    <w:p w14:paraId="3CCBF6F1">
      <w:pPr>
        <w:spacing w:line="360" w:lineRule="auto"/>
        <w:ind w:firstLine="105" w:firstLineChars="50"/>
        <w:rPr>
          <w:rStyle w:val="40"/>
          <w:rFonts w:ascii="宋体" w:hAnsi="宋体"/>
          <w:b/>
          <w:color w:val="auto"/>
          <w:kern w:val="0"/>
          <w:highlight w:val="none"/>
        </w:rPr>
      </w:pPr>
    </w:p>
    <w:p w14:paraId="7EAB2B52">
      <w:pPr>
        <w:spacing w:line="500" w:lineRule="exact"/>
        <w:rPr>
          <w:rStyle w:val="40"/>
          <w:rFonts w:ascii="宋体" w:hAnsi="宋体"/>
          <w:b/>
          <w:color w:val="auto"/>
          <w:kern w:val="0"/>
          <w:highlight w:val="none"/>
        </w:rPr>
      </w:pPr>
    </w:p>
    <w:p w14:paraId="27424062">
      <w:pPr>
        <w:spacing w:line="500" w:lineRule="exact"/>
        <w:ind w:left="720" w:leftChars="343"/>
        <w:rPr>
          <w:rStyle w:val="40"/>
          <w:rFonts w:ascii="宋体" w:hAnsi="宋体"/>
          <w:b/>
          <w:color w:val="auto"/>
          <w:kern w:val="0"/>
          <w:highlight w:val="none"/>
        </w:rPr>
      </w:pPr>
    </w:p>
    <w:p w14:paraId="342D0152">
      <w:pPr>
        <w:spacing w:line="500" w:lineRule="exact"/>
        <w:ind w:left="720" w:leftChars="343"/>
        <w:rPr>
          <w:rStyle w:val="40"/>
          <w:rFonts w:ascii="宋体" w:hAnsi="宋体"/>
          <w:b/>
          <w:color w:val="auto"/>
          <w:kern w:val="0"/>
          <w:highlight w:val="none"/>
        </w:rPr>
      </w:pPr>
      <w:r>
        <w:rPr>
          <w:rStyle w:val="40"/>
          <w:rFonts w:ascii="宋体" w:hAnsi="宋体"/>
          <w:b/>
          <w:color w:val="auto"/>
          <w:kern w:val="0"/>
          <w:highlight w:val="none"/>
        </w:rPr>
        <w:t>（</w:t>
      </w:r>
      <w:r>
        <w:rPr>
          <w:rStyle w:val="40"/>
          <w:rFonts w:hint="eastAsia" w:ascii="宋体" w:hAnsi="宋体"/>
          <w:b/>
          <w:color w:val="auto"/>
          <w:kern w:val="0"/>
          <w:highlight w:val="none"/>
          <w:lang w:val="en-US" w:eastAsia="zh-CN"/>
        </w:rPr>
        <w:t>8</w:t>
      </w:r>
      <w:r>
        <w:rPr>
          <w:rStyle w:val="40"/>
          <w:rFonts w:ascii="宋体" w:hAnsi="宋体"/>
          <w:b/>
          <w:color w:val="auto"/>
          <w:kern w:val="0"/>
          <w:highlight w:val="none"/>
        </w:rPr>
        <w:t>）类似成功案例的业绩（以签订合同或中标通知书或验收证明材料复印件并加盖投标人单位公章为准）</w:t>
      </w:r>
    </w:p>
    <w:p w14:paraId="27C9B027">
      <w:pPr>
        <w:spacing w:line="500" w:lineRule="exact"/>
        <w:ind w:left="720" w:leftChars="343"/>
        <w:rPr>
          <w:rStyle w:val="40"/>
          <w:rFonts w:ascii="宋体" w:hAnsi="宋体"/>
          <w:b/>
          <w:color w:val="auto"/>
          <w:kern w:val="0"/>
          <w:highlight w:val="none"/>
        </w:rPr>
      </w:pPr>
    </w:p>
    <w:p w14:paraId="7F5D7E47">
      <w:pPr>
        <w:spacing w:line="500" w:lineRule="exact"/>
        <w:ind w:left="720" w:leftChars="343"/>
        <w:rPr>
          <w:rStyle w:val="40"/>
          <w:rFonts w:ascii="宋体" w:hAnsi="宋体"/>
          <w:b/>
          <w:color w:val="auto"/>
          <w:kern w:val="0"/>
          <w:highlight w:val="none"/>
        </w:rPr>
      </w:pPr>
    </w:p>
    <w:p w14:paraId="44898293">
      <w:pPr>
        <w:spacing w:line="500" w:lineRule="exact"/>
        <w:ind w:left="720" w:leftChars="343"/>
        <w:rPr>
          <w:rStyle w:val="40"/>
          <w:rFonts w:ascii="宋体" w:hAnsi="宋体"/>
          <w:b/>
          <w:color w:val="auto"/>
          <w:kern w:val="0"/>
          <w:highlight w:val="none"/>
        </w:rPr>
      </w:pPr>
      <w:r>
        <w:rPr>
          <w:rStyle w:val="40"/>
          <w:rFonts w:ascii="宋体" w:hAnsi="宋体"/>
          <w:b/>
          <w:color w:val="auto"/>
          <w:kern w:val="0"/>
          <w:highlight w:val="none"/>
        </w:rPr>
        <w:t>（</w:t>
      </w:r>
      <w:r>
        <w:rPr>
          <w:rStyle w:val="40"/>
          <w:rFonts w:hint="eastAsia" w:ascii="宋体" w:hAnsi="宋体"/>
          <w:b/>
          <w:color w:val="auto"/>
          <w:kern w:val="0"/>
          <w:highlight w:val="none"/>
          <w:lang w:val="en-US" w:eastAsia="zh-CN"/>
        </w:rPr>
        <w:t>9</w:t>
      </w:r>
      <w:r>
        <w:rPr>
          <w:rStyle w:val="40"/>
          <w:rFonts w:ascii="宋体" w:hAnsi="宋体"/>
          <w:b/>
          <w:color w:val="auto"/>
          <w:kern w:val="0"/>
          <w:highlight w:val="none"/>
        </w:rPr>
        <w:t>）磋商供应商质量管理和质量保证体系等方面的认证证书；</w:t>
      </w:r>
    </w:p>
    <w:p w14:paraId="481544CF">
      <w:pPr>
        <w:spacing w:line="500" w:lineRule="exact"/>
        <w:ind w:left="720" w:leftChars="343"/>
        <w:rPr>
          <w:rStyle w:val="40"/>
          <w:rFonts w:ascii="宋体" w:hAnsi="宋体"/>
          <w:b/>
          <w:color w:val="auto"/>
          <w:kern w:val="0"/>
          <w:highlight w:val="none"/>
        </w:rPr>
      </w:pPr>
    </w:p>
    <w:p w14:paraId="62B9FC32">
      <w:pPr>
        <w:spacing w:line="500" w:lineRule="exact"/>
        <w:ind w:left="720" w:leftChars="343"/>
        <w:rPr>
          <w:rStyle w:val="40"/>
          <w:rFonts w:ascii="宋体" w:hAnsi="宋体"/>
          <w:b/>
          <w:color w:val="auto"/>
          <w:kern w:val="0"/>
          <w:highlight w:val="none"/>
        </w:rPr>
      </w:pPr>
    </w:p>
    <w:p w14:paraId="1F0383AF">
      <w:pPr>
        <w:spacing w:line="500" w:lineRule="exact"/>
        <w:ind w:left="720" w:leftChars="343"/>
        <w:rPr>
          <w:rStyle w:val="40"/>
          <w:rFonts w:ascii="宋体" w:hAnsi="宋体"/>
          <w:b/>
          <w:color w:val="auto"/>
          <w:kern w:val="0"/>
          <w:highlight w:val="none"/>
        </w:rPr>
      </w:pPr>
    </w:p>
    <w:p w14:paraId="7AB878D0">
      <w:pPr>
        <w:spacing w:line="500" w:lineRule="exact"/>
        <w:ind w:left="720" w:leftChars="343"/>
        <w:rPr>
          <w:rStyle w:val="40"/>
          <w:rFonts w:ascii="宋体" w:hAnsi="宋体"/>
          <w:b/>
          <w:color w:val="auto"/>
          <w:kern w:val="0"/>
          <w:highlight w:val="none"/>
        </w:rPr>
      </w:pPr>
      <w:r>
        <w:rPr>
          <w:rStyle w:val="40"/>
          <w:rFonts w:ascii="宋体" w:hAnsi="宋体"/>
          <w:b/>
          <w:color w:val="auto"/>
          <w:kern w:val="0"/>
          <w:highlight w:val="none"/>
        </w:rPr>
        <w:t>（</w:t>
      </w:r>
      <w:r>
        <w:rPr>
          <w:rStyle w:val="40"/>
          <w:rFonts w:hint="eastAsia" w:ascii="宋体" w:hAnsi="宋体"/>
          <w:b/>
          <w:color w:val="auto"/>
          <w:kern w:val="0"/>
          <w:highlight w:val="none"/>
          <w:lang w:val="en-US" w:eastAsia="zh-CN"/>
        </w:rPr>
        <w:t>10</w:t>
      </w:r>
      <w:r>
        <w:rPr>
          <w:rStyle w:val="40"/>
          <w:rFonts w:ascii="宋体" w:hAnsi="宋体"/>
          <w:b/>
          <w:color w:val="auto"/>
          <w:kern w:val="0"/>
          <w:highlight w:val="none"/>
        </w:rPr>
        <w:t>）磋商供应商认为可以证明其能力或业绩的其他材料；</w:t>
      </w:r>
    </w:p>
    <w:p w14:paraId="3697FB8E">
      <w:pPr>
        <w:spacing w:line="500" w:lineRule="exact"/>
        <w:ind w:left="720" w:leftChars="343"/>
        <w:rPr>
          <w:rStyle w:val="40"/>
          <w:rFonts w:ascii="宋体" w:hAnsi="宋体"/>
          <w:b/>
          <w:color w:val="auto"/>
          <w:kern w:val="0"/>
          <w:highlight w:val="none"/>
        </w:rPr>
      </w:pPr>
    </w:p>
    <w:p w14:paraId="6A2A8C42">
      <w:pPr>
        <w:spacing w:line="500" w:lineRule="exact"/>
        <w:ind w:left="720" w:leftChars="343"/>
        <w:rPr>
          <w:rStyle w:val="40"/>
          <w:rFonts w:ascii="宋体" w:hAnsi="宋体"/>
          <w:b/>
          <w:color w:val="auto"/>
          <w:kern w:val="0"/>
          <w:highlight w:val="none"/>
        </w:rPr>
      </w:pPr>
    </w:p>
    <w:p w14:paraId="4B32F505">
      <w:pPr>
        <w:spacing w:line="500" w:lineRule="exact"/>
        <w:ind w:left="720" w:leftChars="343"/>
        <w:rPr>
          <w:rStyle w:val="40"/>
          <w:rFonts w:ascii="宋体" w:hAnsi="宋体"/>
          <w:b/>
          <w:color w:val="auto"/>
          <w:kern w:val="0"/>
          <w:highlight w:val="none"/>
        </w:rPr>
      </w:pPr>
    </w:p>
    <w:p w14:paraId="47A5981A">
      <w:pPr>
        <w:spacing w:line="500" w:lineRule="exact"/>
        <w:ind w:left="720" w:leftChars="343"/>
        <w:rPr>
          <w:rStyle w:val="40"/>
          <w:rFonts w:ascii="宋体" w:hAnsi="宋体"/>
          <w:b/>
          <w:color w:val="auto"/>
          <w:kern w:val="0"/>
          <w:highlight w:val="none"/>
        </w:rPr>
      </w:pPr>
    </w:p>
    <w:p w14:paraId="2EAF6499">
      <w:pPr>
        <w:spacing w:line="500" w:lineRule="exact"/>
        <w:ind w:left="720" w:leftChars="343"/>
        <w:rPr>
          <w:rStyle w:val="40"/>
          <w:rFonts w:ascii="宋体" w:hAnsi="宋体"/>
          <w:b/>
          <w:color w:val="auto"/>
          <w:kern w:val="0"/>
          <w:highlight w:val="none"/>
        </w:rPr>
      </w:pPr>
    </w:p>
    <w:p w14:paraId="0DB95E58">
      <w:pPr>
        <w:spacing w:line="500" w:lineRule="exact"/>
        <w:ind w:left="720" w:leftChars="343"/>
        <w:rPr>
          <w:rStyle w:val="40"/>
          <w:rFonts w:ascii="宋体" w:hAnsi="宋体"/>
          <w:b/>
          <w:color w:val="auto"/>
          <w:kern w:val="0"/>
          <w:highlight w:val="none"/>
        </w:rPr>
      </w:pPr>
    </w:p>
    <w:p w14:paraId="61B4169C">
      <w:pPr>
        <w:spacing w:line="500" w:lineRule="exact"/>
        <w:ind w:left="720" w:leftChars="343"/>
        <w:rPr>
          <w:rStyle w:val="40"/>
          <w:rFonts w:ascii="宋体" w:hAnsi="宋体"/>
          <w:color w:val="auto"/>
          <w:sz w:val="24"/>
          <w:szCs w:val="24"/>
          <w:highlight w:val="none"/>
        </w:rPr>
      </w:pPr>
      <w:r>
        <w:rPr>
          <w:rStyle w:val="40"/>
          <w:rFonts w:ascii="宋体" w:hAnsi="宋体"/>
          <w:b/>
          <w:color w:val="auto"/>
          <w:kern w:val="0"/>
          <w:highlight w:val="none"/>
        </w:rPr>
        <w:t>（</w:t>
      </w:r>
      <w:r>
        <w:rPr>
          <w:rStyle w:val="40"/>
          <w:rFonts w:hint="eastAsia" w:ascii="宋体" w:hAnsi="宋体"/>
          <w:b/>
          <w:color w:val="auto"/>
          <w:kern w:val="0"/>
          <w:highlight w:val="none"/>
        </w:rPr>
        <w:t>1</w:t>
      </w:r>
      <w:r>
        <w:rPr>
          <w:rStyle w:val="40"/>
          <w:rFonts w:hint="eastAsia" w:ascii="宋体" w:hAnsi="宋体"/>
          <w:b/>
          <w:color w:val="auto"/>
          <w:kern w:val="0"/>
          <w:highlight w:val="none"/>
          <w:lang w:val="en-US" w:eastAsia="zh-CN"/>
        </w:rPr>
        <w:t>1</w:t>
      </w:r>
      <w:r>
        <w:rPr>
          <w:rStyle w:val="40"/>
          <w:rFonts w:ascii="宋体" w:hAnsi="宋体"/>
          <w:b/>
          <w:color w:val="auto"/>
          <w:kern w:val="0"/>
          <w:highlight w:val="none"/>
        </w:rPr>
        <w:t>）磋商文件列明的其他证明材料；</w:t>
      </w:r>
    </w:p>
    <w:p w14:paraId="340B9B2D">
      <w:pPr>
        <w:spacing w:line="500" w:lineRule="exact"/>
        <w:ind w:left="720" w:leftChars="343"/>
        <w:rPr>
          <w:rStyle w:val="40"/>
          <w:rFonts w:ascii="宋体" w:hAnsi="宋体"/>
          <w:color w:val="auto"/>
          <w:sz w:val="24"/>
          <w:szCs w:val="24"/>
          <w:highlight w:val="none"/>
        </w:rPr>
      </w:pPr>
    </w:p>
    <w:p w14:paraId="73CB7C37">
      <w:pPr>
        <w:spacing w:line="500" w:lineRule="exact"/>
        <w:ind w:left="720" w:leftChars="343"/>
        <w:rPr>
          <w:rStyle w:val="40"/>
          <w:rFonts w:ascii="宋体" w:hAnsi="宋体"/>
          <w:color w:val="auto"/>
          <w:sz w:val="24"/>
          <w:szCs w:val="24"/>
          <w:highlight w:val="none"/>
        </w:rPr>
      </w:pPr>
    </w:p>
    <w:p w14:paraId="55A9D98D">
      <w:pPr>
        <w:spacing w:line="500" w:lineRule="exact"/>
        <w:jc w:val="center"/>
        <w:rPr>
          <w:rStyle w:val="40"/>
          <w:rFonts w:ascii="宋体" w:hAnsi="宋体"/>
          <w:color w:val="auto"/>
          <w:sz w:val="24"/>
          <w:highlight w:val="none"/>
        </w:rPr>
      </w:pPr>
    </w:p>
    <w:p w14:paraId="31A88828">
      <w:pPr>
        <w:spacing w:line="500" w:lineRule="exact"/>
        <w:jc w:val="center"/>
        <w:rPr>
          <w:rStyle w:val="40"/>
          <w:rFonts w:ascii="宋体" w:hAnsi="宋体"/>
          <w:color w:val="auto"/>
          <w:sz w:val="24"/>
          <w:highlight w:val="none"/>
        </w:rPr>
      </w:pPr>
    </w:p>
    <w:p w14:paraId="4DC22A70">
      <w:pPr>
        <w:spacing w:line="500" w:lineRule="exact"/>
        <w:jc w:val="center"/>
        <w:rPr>
          <w:rStyle w:val="40"/>
          <w:rFonts w:ascii="宋体" w:hAnsi="宋体"/>
          <w:color w:val="auto"/>
          <w:sz w:val="24"/>
          <w:highlight w:val="none"/>
        </w:rPr>
      </w:pPr>
    </w:p>
    <w:p w14:paraId="292AE43F">
      <w:pPr>
        <w:spacing w:line="500" w:lineRule="exact"/>
        <w:jc w:val="center"/>
        <w:rPr>
          <w:rStyle w:val="40"/>
          <w:rFonts w:ascii="宋体" w:hAnsi="宋体"/>
          <w:color w:val="auto"/>
          <w:sz w:val="24"/>
          <w:highlight w:val="none"/>
        </w:rPr>
      </w:pPr>
    </w:p>
    <w:p w14:paraId="65225A93">
      <w:pPr>
        <w:spacing w:line="500" w:lineRule="exact"/>
        <w:jc w:val="center"/>
        <w:rPr>
          <w:rStyle w:val="40"/>
          <w:rFonts w:ascii="宋体" w:hAnsi="宋体"/>
          <w:color w:val="auto"/>
          <w:sz w:val="24"/>
          <w:highlight w:val="none"/>
        </w:rPr>
      </w:pPr>
    </w:p>
    <w:p w14:paraId="2705E8E6">
      <w:pPr>
        <w:spacing w:line="500" w:lineRule="exact"/>
        <w:jc w:val="center"/>
        <w:rPr>
          <w:rStyle w:val="40"/>
          <w:rFonts w:ascii="宋体" w:hAnsi="宋体"/>
          <w:color w:val="auto"/>
          <w:sz w:val="24"/>
          <w:highlight w:val="none"/>
        </w:rPr>
      </w:pPr>
    </w:p>
    <w:p w14:paraId="3E7FA255">
      <w:pPr>
        <w:spacing w:line="500" w:lineRule="exact"/>
        <w:rPr>
          <w:rStyle w:val="40"/>
          <w:rFonts w:ascii="宋体" w:hAnsi="宋体"/>
          <w:color w:val="auto"/>
          <w:sz w:val="24"/>
          <w:highlight w:val="none"/>
        </w:rPr>
      </w:pPr>
    </w:p>
    <w:p w14:paraId="35FB7D05">
      <w:pPr>
        <w:spacing w:line="500" w:lineRule="exact"/>
        <w:jc w:val="center"/>
        <w:rPr>
          <w:rStyle w:val="40"/>
          <w:rFonts w:ascii="宋体" w:hAnsi="宋体"/>
          <w:color w:val="auto"/>
          <w:sz w:val="24"/>
          <w:highlight w:val="none"/>
        </w:rPr>
      </w:pPr>
    </w:p>
    <w:p w14:paraId="0B31C0A1">
      <w:pPr>
        <w:spacing w:line="500" w:lineRule="exact"/>
        <w:jc w:val="center"/>
        <w:rPr>
          <w:rStyle w:val="40"/>
          <w:rFonts w:ascii="宋体" w:hAnsi="宋体"/>
          <w:color w:val="auto"/>
          <w:sz w:val="24"/>
          <w:highlight w:val="none"/>
        </w:rPr>
      </w:pPr>
    </w:p>
    <w:p w14:paraId="6AA0B802">
      <w:pPr>
        <w:spacing w:line="500" w:lineRule="exact"/>
        <w:jc w:val="center"/>
        <w:rPr>
          <w:rStyle w:val="40"/>
          <w:rFonts w:ascii="宋体" w:hAnsi="宋体"/>
          <w:color w:val="auto"/>
          <w:sz w:val="24"/>
          <w:highlight w:val="none"/>
        </w:rPr>
      </w:pPr>
    </w:p>
    <w:p w14:paraId="4C5375F0">
      <w:pPr>
        <w:spacing w:line="500" w:lineRule="exact"/>
        <w:jc w:val="center"/>
        <w:rPr>
          <w:rStyle w:val="40"/>
          <w:rFonts w:ascii="宋体" w:hAnsi="宋体"/>
          <w:color w:val="auto"/>
          <w:sz w:val="24"/>
          <w:highlight w:val="none"/>
        </w:rPr>
      </w:pPr>
    </w:p>
    <w:p w14:paraId="54B701E4">
      <w:pPr>
        <w:spacing w:line="500" w:lineRule="exact"/>
        <w:rPr>
          <w:rStyle w:val="40"/>
          <w:rFonts w:ascii="宋体" w:hAnsi="宋体"/>
          <w:color w:val="auto"/>
          <w:sz w:val="24"/>
          <w:highlight w:val="none"/>
        </w:rPr>
      </w:pPr>
    </w:p>
    <w:p w14:paraId="5F545228">
      <w:pPr>
        <w:spacing w:line="500" w:lineRule="exact"/>
        <w:jc w:val="center"/>
        <w:rPr>
          <w:rStyle w:val="40"/>
          <w:rFonts w:ascii="宋体" w:hAnsi="宋体"/>
          <w:color w:val="auto"/>
          <w:sz w:val="24"/>
          <w:highlight w:val="none"/>
        </w:rPr>
      </w:pPr>
    </w:p>
    <w:p w14:paraId="65763797">
      <w:pPr>
        <w:spacing w:line="500" w:lineRule="exact"/>
        <w:jc w:val="center"/>
        <w:rPr>
          <w:rStyle w:val="40"/>
          <w:rFonts w:ascii="宋体" w:hAnsi="宋体"/>
          <w:color w:val="auto"/>
          <w:sz w:val="24"/>
          <w:highlight w:val="none"/>
        </w:rPr>
      </w:pPr>
    </w:p>
    <w:p w14:paraId="52765928">
      <w:pPr>
        <w:spacing w:line="500" w:lineRule="exact"/>
        <w:jc w:val="center"/>
        <w:rPr>
          <w:rStyle w:val="40"/>
          <w:rFonts w:ascii="宋体" w:hAnsi="宋体"/>
          <w:color w:val="auto"/>
          <w:sz w:val="24"/>
          <w:highlight w:val="none"/>
        </w:rPr>
      </w:pPr>
    </w:p>
    <w:p w14:paraId="16899B06">
      <w:pPr>
        <w:spacing w:line="500" w:lineRule="exact"/>
        <w:jc w:val="center"/>
        <w:rPr>
          <w:rStyle w:val="40"/>
          <w:rFonts w:ascii="宋体" w:hAnsi="宋体"/>
          <w:color w:val="auto"/>
          <w:sz w:val="24"/>
          <w:highlight w:val="none"/>
        </w:rPr>
      </w:pPr>
    </w:p>
    <w:p w14:paraId="711F62FA">
      <w:pPr>
        <w:spacing w:line="500" w:lineRule="exact"/>
        <w:jc w:val="center"/>
        <w:rPr>
          <w:rStyle w:val="40"/>
          <w:rFonts w:ascii="宋体" w:hAnsi="宋体"/>
          <w:color w:val="auto"/>
          <w:sz w:val="24"/>
          <w:highlight w:val="none"/>
        </w:rPr>
      </w:pPr>
    </w:p>
    <w:p w14:paraId="0172E71F">
      <w:pPr>
        <w:spacing w:line="500" w:lineRule="exact"/>
        <w:jc w:val="center"/>
        <w:rPr>
          <w:rStyle w:val="40"/>
          <w:rFonts w:ascii="宋体" w:hAnsi="宋体"/>
          <w:color w:val="auto"/>
          <w:sz w:val="24"/>
          <w:highlight w:val="none"/>
        </w:rPr>
      </w:pPr>
    </w:p>
    <w:p w14:paraId="1975A7DA">
      <w:pPr>
        <w:spacing w:line="500" w:lineRule="exact"/>
        <w:jc w:val="center"/>
        <w:rPr>
          <w:rStyle w:val="40"/>
          <w:rFonts w:ascii="宋体" w:hAnsi="宋体"/>
          <w:color w:val="auto"/>
          <w:sz w:val="24"/>
          <w:highlight w:val="none"/>
        </w:rPr>
      </w:pPr>
    </w:p>
    <w:p w14:paraId="1CA4350B">
      <w:pPr>
        <w:spacing w:line="500" w:lineRule="exact"/>
        <w:jc w:val="center"/>
        <w:rPr>
          <w:rStyle w:val="40"/>
          <w:rFonts w:ascii="宋体" w:hAnsi="宋体"/>
          <w:color w:val="auto"/>
          <w:sz w:val="24"/>
          <w:highlight w:val="none"/>
        </w:rPr>
      </w:pPr>
    </w:p>
    <w:p w14:paraId="744CAF4C">
      <w:pPr>
        <w:spacing w:line="500" w:lineRule="exact"/>
        <w:jc w:val="center"/>
        <w:rPr>
          <w:rStyle w:val="40"/>
          <w:rFonts w:ascii="宋体" w:hAnsi="宋体"/>
          <w:color w:val="auto"/>
          <w:sz w:val="24"/>
          <w:highlight w:val="none"/>
        </w:rPr>
      </w:pPr>
    </w:p>
    <w:p w14:paraId="7EA3F5B6">
      <w:pPr>
        <w:spacing w:line="500" w:lineRule="exact"/>
        <w:jc w:val="center"/>
        <w:rPr>
          <w:rStyle w:val="40"/>
          <w:rFonts w:ascii="宋体" w:hAnsi="宋体"/>
          <w:color w:val="auto"/>
          <w:sz w:val="24"/>
          <w:highlight w:val="none"/>
        </w:rPr>
      </w:pPr>
    </w:p>
    <w:p w14:paraId="066624C4">
      <w:pPr>
        <w:spacing w:line="500" w:lineRule="exact"/>
        <w:jc w:val="center"/>
        <w:rPr>
          <w:rStyle w:val="40"/>
          <w:rFonts w:ascii="宋体" w:hAnsi="宋体"/>
          <w:color w:val="auto"/>
          <w:sz w:val="24"/>
          <w:highlight w:val="none"/>
        </w:rPr>
      </w:pPr>
    </w:p>
    <w:p w14:paraId="4667F5AA">
      <w:pPr>
        <w:jc w:val="center"/>
        <w:rPr>
          <w:rStyle w:val="40"/>
          <w:rFonts w:ascii="宋体" w:hAnsi="宋体"/>
          <w:b/>
          <w:color w:val="auto"/>
          <w:sz w:val="36"/>
          <w:szCs w:val="36"/>
          <w:highlight w:val="none"/>
        </w:rPr>
      </w:pPr>
      <w:r>
        <w:rPr>
          <w:rStyle w:val="40"/>
          <w:rFonts w:ascii="宋体" w:hAnsi="宋体"/>
          <w:b/>
          <w:color w:val="auto"/>
          <w:sz w:val="36"/>
          <w:szCs w:val="36"/>
          <w:highlight w:val="none"/>
        </w:rPr>
        <w:t>技术文件</w:t>
      </w:r>
    </w:p>
    <w:p w14:paraId="08280E9A">
      <w:pPr>
        <w:spacing w:line="360" w:lineRule="auto"/>
        <w:jc w:val="center"/>
        <w:rPr>
          <w:rStyle w:val="40"/>
          <w:rFonts w:ascii="宋体" w:hAnsi="宋体" w:cs="宋体"/>
          <w:b/>
          <w:bCs/>
          <w:color w:val="auto"/>
          <w:sz w:val="30"/>
          <w:szCs w:val="30"/>
          <w:highlight w:val="none"/>
        </w:rPr>
      </w:pPr>
    </w:p>
    <w:p w14:paraId="559C1B97">
      <w:pPr>
        <w:spacing w:line="360" w:lineRule="auto"/>
        <w:jc w:val="center"/>
        <w:rPr>
          <w:rStyle w:val="40"/>
          <w:rFonts w:ascii="宋体" w:hAnsi="宋体" w:cs="宋体"/>
          <w:b/>
          <w:bCs/>
          <w:color w:val="auto"/>
          <w:sz w:val="30"/>
          <w:szCs w:val="30"/>
          <w:highlight w:val="none"/>
        </w:rPr>
      </w:pPr>
    </w:p>
    <w:p w14:paraId="574C66CF">
      <w:pPr>
        <w:spacing w:line="360" w:lineRule="auto"/>
        <w:jc w:val="center"/>
        <w:rPr>
          <w:rStyle w:val="40"/>
          <w:rFonts w:ascii="宋体" w:hAnsi="宋体" w:cs="宋体"/>
          <w:b/>
          <w:bCs/>
          <w:color w:val="auto"/>
          <w:sz w:val="30"/>
          <w:szCs w:val="30"/>
          <w:highlight w:val="none"/>
        </w:rPr>
      </w:pPr>
    </w:p>
    <w:p w14:paraId="78C8801C">
      <w:pPr>
        <w:spacing w:line="360" w:lineRule="auto"/>
        <w:jc w:val="center"/>
        <w:rPr>
          <w:rStyle w:val="40"/>
          <w:rFonts w:ascii="宋体" w:hAnsi="宋体" w:cs="宋体"/>
          <w:b/>
          <w:bCs/>
          <w:color w:val="auto"/>
          <w:sz w:val="30"/>
          <w:szCs w:val="30"/>
          <w:highlight w:val="none"/>
        </w:rPr>
      </w:pPr>
    </w:p>
    <w:p w14:paraId="776252D2">
      <w:pPr>
        <w:spacing w:line="360" w:lineRule="auto"/>
        <w:jc w:val="center"/>
        <w:rPr>
          <w:rStyle w:val="40"/>
          <w:rFonts w:ascii="宋体" w:hAnsi="宋体" w:cs="宋体"/>
          <w:b/>
          <w:bCs/>
          <w:color w:val="auto"/>
          <w:sz w:val="30"/>
          <w:szCs w:val="30"/>
          <w:highlight w:val="none"/>
        </w:rPr>
      </w:pPr>
    </w:p>
    <w:p w14:paraId="76D87024">
      <w:pPr>
        <w:spacing w:line="360" w:lineRule="auto"/>
        <w:jc w:val="center"/>
        <w:rPr>
          <w:rStyle w:val="40"/>
          <w:rFonts w:ascii="宋体" w:hAnsi="宋体" w:cs="宋体"/>
          <w:b/>
          <w:bCs/>
          <w:color w:val="auto"/>
          <w:sz w:val="30"/>
          <w:szCs w:val="30"/>
          <w:highlight w:val="none"/>
        </w:rPr>
      </w:pPr>
    </w:p>
    <w:p w14:paraId="1FAEF78B">
      <w:pPr>
        <w:spacing w:line="360" w:lineRule="auto"/>
        <w:jc w:val="center"/>
        <w:rPr>
          <w:rStyle w:val="40"/>
          <w:rFonts w:ascii="宋体" w:hAnsi="宋体" w:cs="宋体"/>
          <w:b/>
          <w:bCs/>
          <w:color w:val="auto"/>
          <w:sz w:val="30"/>
          <w:szCs w:val="30"/>
          <w:highlight w:val="none"/>
        </w:rPr>
      </w:pPr>
    </w:p>
    <w:p w14:paraId="44AB8A59">
      <w:pPr>
        <w:spacing w:line="360" w:lineRule="auto"/>
        <w:jc w:val="center"/>
        <w:rPr>
          <w:rStyle w:val="40"/>
          <w:rFonts w:ascii="宋体" w:hAnsi="宋体" w:cs="宋体"/>
          <w:b/>
          <w:bCs/>
          <w:color w:val="auto"/>
          <w:sz w:val="30"/>
          <w:szCs w:val="30"/>
          <w:highlight w:val="none"/>
        </w:rPr>
      </w:pPr>
    </w:p>
    <w:p w14:paraId="5CA5B0B5">
      <w:pPr>
        <w:spacing w:line="360" w:lineRule="auto"/>
        <w:jc w:val="center"/>
        <w:rPr>
          <w:rStyle w:val="40"/>
          <w:rFonts w:ascii="宋体" w:hAnsi="宋体" w:cs="宋体"/>
          <w:b/>
          <w:bCs/>
          <w:color w:val="auto"/>
          <w:sz w:val="30"/>
          <w:szCs w:val="30"/>
          <w:highlight w:val="none"/>
        </w:rPr>
      </w:pPr>
    </w:p>
    <w:p w14:paraId="33FB5A6C">
      <w:pPr>
        <w:spacing w:line="360" w:lineRule="auto"/>
        <w:jc w:val="center"/>
        <w:rPr>
          <w:rStyle w:val="40"/>
          <w:rFonts w:ascii="宋体" w:hAnsi="宋体" w:cs="宋体"/>
          <w:b/>
          <w:bCs/>
          <w:color w:val="auto"/>
          <w:sz w:val="30"/>
          <w:szCs w:val="30"/>
          <w:highlight w:val="none"/>
        </w:rPr>
      </w:pPr>
    </w:p>
    <w:p w14:paraId="0C350BE9">
      <w:pPr>
        <w:spacing w:line="420" w:lineRule="exact"/>
        <w:rPr>
          <w:rStyle w:val="40"/>
          <w:rFonts w:ascii="宋体" w:hAnsi="宋体"/>
          <w:b/>
          <w:color w:val="auto"/>
          <w:szCs w:val="21"/>
          <w:highlight w:val="none"/>
        </w:rPr>
      </w:pPr>
    </w:p>
    <w:p w14:paraId="76D05F75">
      <w:pPr>
        <w:spacing w:line="420" w:lineRule="exact"/>
        <w:rPr>
          <w:rStyle w:val="40"/>
          <w:rFonts w:ascii="宋体" w:hAnsi="宋体"/>
          <w:b/>
          <w:color w:val="auto"/>
          <w:szCs w:val="21"/>
          <w:highlight w:val="none"/>
        </w:rPr>
      </w:pPr>
    </w:p>
    <w:p w14:paraId="0D8AD0E6">
      <w:pPr>
        <w:spacing w:line="420" w:lineRule="exact"/>
        <w:ind w:firstLine="211" w:firstLineChars="100"/>
        <w:rPr>
          <w:rStyle w:val="40"/>
          <w:rFonts w:ascii="宋体" w:hAnsi="宋体"/>
          <w:b/>
          <w:color w:val="auto"/>
          <w:szCs w:val="21"/>
          <w:highlight w:val="none"/>
        </w:rPr>
      </w:pPr>
      <w:r>
        <w:rPr>
          <w:rStyle w:val="40"/>
          <w:rFonts w:ascii="宋体" w:hAnsi="宋体"/>
          <w:b/>
          <w:color w:val="auto"/>
          <w:szCs w:val="21"/>
          <w:highlight w:val="none"/>
        </w:rPr>
        <w:t>（</w:t>
      </w:r>
      <w:r>
        <w:rPr>
          <w:rStyle w:val="40"/>
          <w:rFonts w:hint="eastAsia" w:ascii="宋体" w:hAnsi="宋体"/>
          <w:b/>
          <w:color w:val="auto"/>
          <w:szCs w:val="21"/>
          <w:highlight w:val="none"/>
          <w:lang w:val="en-US" w:eastAsia="zh-CN"/>
        </w:rPr>
        <w:t>1</w:t>
      </w:r>
      <w:r>
        <w:rPr>
          <w:rStyle w:val="40"/>
          <w:rFonts w:ascii="宋体" w:hAnsi="宋体"/>
          <w:b/>
          <w:color w:val="auto"/>
          <w:szCs w:val="21"/>
          <w:highlight w:val="none"/>
        </w:rPr>
        <w:t>）</w:t>
      </w:r>
      <w:r>
        <w:rPr>
          <w:rFonts w:hint="eastAsia" w:ascii="宋体" w:hAnsi="宋体"/>
          <w:b/>
          <w:color w:val="auto"/>
          <w:szCs w:val="21"/>
          <w:highlight w:val="none"/>
        </w:rPr>
        <w:t>技术响应、</w:t>
      </w:r>
      <w:r>
        <w:rPr>
          <w:rFonts w:hint="eastAsia" w:ascii="宋体" w:hAnsi="宋体"/>
          <w:b/>
          <w:color w:val="auto"/>
          <w:szCs w:val="21"/>
          <w:highlight w:val="none"/>
          <w:lang w:val="en-US" w:eastAsia="zh-CN"/>
        </w:rPr>
        <w:t>商务响应</w:t>
      </w:r>
      <w:r>
        <w:rPr>
          <w:rFonts w:hint="eastAsia" w:ascii="宋体" w:hAnsi="宋体"/>
          <w:b/>
          <w:color w:val="auto"/>
          <w:szCs w:val="21"/>
          <w:highlight w:val="none"/>
        </w:rPr>
        <w:t>偏离情况说明表</w:t>
      </w:r>
      <w:r>
        <w:rPr>
          <w:rStyle w:val="40"/>
          <w:rFonts w:ascii="宋体" w:hAnsi="宋体"/>
          <w:b/>
          <w:color w:val="auto"/>
          <w:szCs w:val="21"/>
          <w:highlight w:val="none"/>
        </w:rPr>
        <w:t>；</w:t>
      </w:r>
    </w:p>
    <w:p w14:paraId="6B013902">
      <w:pPr>
        <w:spacing w:line="300" w:lineRule="auto"/>
        <w:jc w:val="center"/>
        <w:rPr>
          <w:rFonts w:ascii="宋体" w:hAnsi="宋体"/>
          <w:b/>
          <w:color w:val="auto"/>
          <w:sz w:val="28"/>
          <w:szCs w:val="28"/>
          <w:highlight w:val="none"/>
        </w:rPr>
      </w:pPr>
      <w:r>
        <w:rPr>
          <w:rFonts w:hint="eastAsia" w:ascii="宋体" w:hAnsi="宋体"/>
          <w:b/>
          <w:color w:val="auto"/>
          <w:sz w:val="28"/>
          <w:szCs w:val="28"/>
          <w:highlight w:val="none"/>
        </w:rPr>
        <w:t>技术响应、</w:t>
      </w:r>
      <w:r>
        <w:rPr>
          <w:rFonts w:hint="eastAsia" w:ascii="宋体" w:hAnsi="宋体"/>
          <w:b/>
          <w:color w:val="auto"/>
          <w:sz w:val="28"/>
          <w:szCs w:val="28"/>
          <w:highlight w:val="none"/>
          <w:lang w:val="en-US" w:eastAsia="zh-CN"/>
        </w:rPr>
        <w:t>商务响应</w:t>
      </w:r>
      <w:r>
        <w:rPr>
          <w:rFonts w:hint="eastAsia" w:ascii="宋体" w:hAnsi="宋体"/>
          <w:b/>
          <w:color w:val="auto"/>
          <w:sz w:val="28"/>
          <w:szCs w:val="28"/>
          <w:highlight w:val="none"/>
        </w:rPr>
        <w:t>偏离情况说明表</w:t>
      </w:r>
    </w:p>
    <w:p w14:paraId="008BB840">
      <w:pPr>
        <w:spacing w:line="300" w:lineRule="auto"/>
        <w:rPr>
          <w:rFonts w:ascii="宋体" w:hAnsi="宋体"/>
          <w:color w:val="auto"/>
          <w:szCs w:val="21"/>
          <w:highlight w:val="none"/>
          <w:u w:val="single"/>
        </w:rPr>
      </w:pPr>
      <w:r>
        <w:rPr>
          <w:rFonts w:hint="eastAsia" w:ascii="宋体" w:hAnsi="宋体"/>
          <w:color w:val="auto"/>
          <w:szCs w:val="21"/>
          <w:highlight w:val="none"/>
        </w:rPr>
        <w:t>采购项目编号:</w:t>
      </w:r>
      <w:r>
        <w:rPr>
          <w:rFonts w:hint="eastAsia" w:ascii="宋体" w:hAnsi="宋体"/>
          <w:color w:val="auto"/>
          <w:szCs w:val="21"/>
          <w:highlight w:val="none"/>
          <w:u w:val="single"/>
        </w:rPr>
        <w:t xml:space="preserve">                 </w:t>
      </w:r>
    </w:p>
    <w:p w14:paraId="7FE41084">
      <w:pPr>
        <w:spacing w:line="500" w:lineRule="exact"/>
        <w:rPr>
          <w:rFonts w:hint="eastAsia" w:ascii="宋体" w:hAnsi="宋体"/>
          <w:color w:val="auto"/>
          <w:szCs w:val="21"/>
          <w:highlight w:val="none"/>
          <w:u w:val="single"/>
        </w:rPr>
      </w:pPr>
      <w:r>
        <w:rPr>
          <w:rFonts w:hint="eastAsia" w:ascii="宋体" w:hAnsi="宋体"/>
          <w:color w:val="auto"/>
          <w:szCs w:val="21"/>
          <w:highlight w:val="none"/>
        </w:rPr>
        <w:t>采购项目名称:</w:t>
      </w:r>
      <w:r>
        <w:rPr>
          <w:rFonts w:hint="eastAsia" w:ascii="宋体" w:hAnsi="宋体"/>
          <w:color w:val="auto"/>
          <w:szCs w:val="21"/>
          <w:highlight w:val="none"/>
          <w:u w:val="single"/>
        </w:rPr>
        <w:t xml:space="preserve">       </w:t>
      </w:r>
    </w:p>
    <w:p w14:paraId="21652BAF">
      <w:pPr>
        <w:spacing w:line="500" w:lineRule="exact"/>
        <w:rPr>
          <w:rFonts w:ascii="宋体" w:hAnsi="宋体"/>
          <w:color w:val="auto"/>
          <w:szCs w:val="21"/>
          <w:highlight w:val="none"/>
          <w:u w:val="single"/>
        </w:rPr>
      </w:pPr>
      <w:r>
        <w:rPr>
          <w:rFonts w:hint="eastAsia" w:ascii="宋体" w:hAnsi="宋体"/>
          <w:color w:val="auto"/>
          <w:szCs w:val="21"/>
          <w:highlight w:val="none"/>
          <w:u w:val="single"/>
          <w:lang w:val="en-US" w:eastAsia="zh-CN"/>
        </w:rPr>
        <w:t>分标项：</w:t>
      </w:r>
      <w:r>
        <w:rPr>
          <w:rFonts w:hint="eastAsia" w:ascii="宋体" w:hAnsi="宋体"/>
          <w:color w:val="auto"/>
          <w:szCs w:val="21"/>
          <w:highlight w:val="none"/>
          <w:u w:val="single"/>
        </w:rPr>
        <w:t xml:space="preserve">   </w:t>
      </w:r>
    </w:p>
    <w:tbl>
      <w:tblPr>
        <w:tblStyle w:val="24"/>
        <w:tblW w:w="91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23"/>
        <w:gridCol w:w="1410"/>
        <w:gridCol w:w="2164"/>
        <w:gridCol w:w="2371"/>
        <w:gridCol w:w="1569"/>
        <w:gridCol w:w="817"/>
      </w:tblGrid>
      <w:tr w14:paraId="5D6F62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7EFDDBCC">
            <w:pPr>
              <w:pStyle w:val="14"/>
              <w:rPr>
                <w:rFonts w:hAnsi="宋体"/>
                <w:color w:val="auto"/>
                <w:highlight w:val="none"/>
              </w:rPr>
            </w:pPr>
            <w:bookmarkStart w:id="3" w:name="_Toc254970588"/>
            <w:bookmarkStart w:id="4" w:name="_Toc531360775"/>
            <w:bookmarkStart w:id="5" w:name="_Toc531360829"/>
            <w:bookmarkStart w:id="6" w:name="_Toc254970729"/>
            <w:bookmarkStart w:id="7" w:name="_Toc173066401"/>
            <w:bookmarkStart w:id="8" w:name="_Toc173211900"/>
            <w:r>
              <w:rPr>
                <w:rFonts w:hint="eastAsia" w:hAnsi="宋体"/>
                <w:color w:val="auto"/>
                <w:highlight w:val="none"/>
              </w:rPr>
              <w:t>序号</w:t>
            </w:r>
            <w:bookmarkEnd w:id="3"/>
            <w:bookmarkEnd w:id="4"/>
            <w:bookmarkEnd w:id="5"/>
            <w:bookmarkEnd w:id="6"/>
            <w:bookmarkEnd w:id="7"/>
            <w:bookmarkEnd w:id="8"/>
          </w:p>
        </w:tc>
        <w:tc>
          <w:tcPr>
            <w:tcW w:w="1410" w:type="dxa"/>
            <w:vAlign w:val="center"/>
          </w:tcPr>
          <w:p w14:paraId="60F0C1F7">
            <w:pPr>
              <w:pStyle w:val="14"/>
              <w:rPr>
                <w:rFonts w:hAnsi="宋体"/>
                <w:color w:val="auto"/>
                <w:szCs w:val="21"/>
                <w:highlight w:val="none"/>
              </w:rPr>
            </w:pPr>
            <w:bookmarkStart w:id="9" w:name="_Toc531360830"/>
            <w:bookmarkStart w:id="10" w:name="_Toc531360776"/>
            <w:r>
              <w:rPr>
                <w:rFonts w:hint="eastAsia" w:hAnsi="宋体"/>
                <w:color w:val="auto"/>
                <w:szCs w:val="21"/>
                <w:highlight w:val="none"/>
              </w:rPr>
              <w:t>服务名称</w:t>
            </w:r>
            <w:bookmarkEnd w:id="9"/>
            <w:bookmarkEnd w:id="10"/>
          </w:p>
        </w:tc>
        <w:tc>
          <w:tcPr>
            <w:tcW w:w="2164" w:type="dxa"/>
            <w:vAlign w:val="center"/>
          </w:tcPr>
          <w:p w14:paraId="6AECC56B">
            <w:pPr>
              <w:pStyle w:val="14"/>
              <w:rPr>
                <w:rFonts w:hAnsi="宋体"/>
                <w:color w:val="auto"/>
                <w:szCs w:val="21"/>
                <w:highlight w:val="none"/>
              </w:rPr>
            </w:pPr>
            <w:bookmarkStart w:id="11" w:name="_Toc173066402"/>
            <w:bookmarkStart w:id="12" w:name="_Toc254970730"/>
            <w:bookmarkStart w:id="13" w:name="_Toc531360831"/>
            <w:bookmarkStart w:id="14" w:name="_Toc254970589"/>
            <w:bookmarkStart w:id="15" w:name="_Toc531360777"/>
            <w:bookmarkStart w:id="16" w:name="_Toc173211901"/>
            <w:r>
              <w:rPr>
                <w:rFonts w:hint="eastAsia" w:hAnsi="宋体"/>
                <w:color w:val="auto"/>
                <w:szCs w:val="21"/>
                <w:highlight w:val="none"/>
              </w:rPr>
              <w:t>竞争性磋商文件要求</w:t>
            </w:r>
            <w:bookmarkEnd w:id="11"/>
            <w:bookmarkEnd w:id="12"/>
            <w:bookmarkEnd w:id="13"/>
            <w:bookmarkEnd w:id="14"/>
            <w:bookmarkEnd w:id="15"/>
            <w:bookmarkEnd w:id="16"/>
          </w:p>
        </w:tc>
        <w:tc>
          <w:tcPr>
            <w:tcW w:w="2371" w:type="dxa"/>
            <w:vAlign w:val="center"/>
          </w:tcPr>
          <w:p w14:paraId="2673E499">
            <w:pPr>
              <w:pStyle w:val="14"/>
              <w:rPr>
                <w:rFonts w:hAnsi="宋体"/>
                <w:color w:val="auto"/>
                <w:szCs w:val="21"/>
                <w:highlight w:val="none"/>
              </w:rPr>
            </w:pPr>
            <w:bookmarkStart w:id="17" w:name="_Toc173211902"/>
            <w:bookmarkStart w:id="18" w:name="_Toc254970590"/>
            <w:bookmarkStart w:id="19" w:name="_Toc173066403"/>
            <w:bookmarkStart w:id="20" w:name="_Toc531360832"/>
            <w:bookmarkStart w:id="21" w:name="_Toc254970731"/>
            <w:bookmarkStart w:id="22" w:name="_Toc531360778"/>
            <w:r>
              <w:rPr>
                <w:rFonts w:hint="eastAsia" w:hAnsi="宋体"/>
                <w:color w:val="auto"/>
                <w:szCs w:val="21"/>
                <w:highlight w:val="none"/>
              </w:rPr>
              <w:t>磋商响应文件具体响应</w:t>
            </w:r>
            <w:bookmarkEnd w:id="17"/>
            <w:bookmarkEnd w:id="18"/>
            <w:bookmarkEnd w:id="19"/>
            <w:bookmarkEnd w:id="20"/>
            <w:bookmarkEnd w:id="21"/>
            <w:bookmarkEnd w:id="22"/>
          </w:p>
        </w:tc>
        <w:tc>
          <w:tcPr>
            <w:tcW w:w="1569" w:type="dxa"/>
            <w:vAlign w:val="center"/>
          </w:tcPr>
          <w:p w14:paraId="7F69DC56">
            <w:pPr>
              <w:pStyle w:val="14"/>
              <w:rPr>
                <w:rFonts w:hAnsi="宋体"/>
                <w:color w:val="auto"/>
                <w:szCs w:val="21"/>
                <w:highlight w:val="none"/>
              </w:rPr>
            </w:pPr>
            <w:bookmarkStart w:id="23" w:name="_Toc173066404"/>
            <w:bookmarkStart w:id="24" w:name="_Toc254970732"/>
            <w:bookmarkStart w:id="25" w:name="_Toc531360779"/>
            <w:bookmarkStart w:id="26" w:name="_Toc254970591"/>
            <w:bookmarkStart w:id="27" w:name="_Toc531360833"/>
            <w:bookmarkStart w:id="28" w:name="_Toc173211903"/>
            <w:r>
              <w:rPr>
                <w:rFonts w:hint="eastAsia" w:hAnsi="宋体"/>
                <w:color w:val="auto"/>
                <w:szCs w:val="21"/>
                <w:highlight w:val="none"/>
              </w:rPr>
              <w:t>响应/偏离</w:t>
            </w:r>
            <w:bookmarkEnd w:id="23"/>
            <w:bookmarkEnd w:id="24"/>
            <w:bookmarkEnd w:id="25"/>
            <w:bookmarkEnd w:id="26"/>
            <w:bookmarkEnd w:id="27"/>
            <w:bookmarkEnd w:id="28"/>
          </w:p>
        </w:tc>
        <w:tc>
          <w:tcPr>
            <w:tcW w:w="817" w:type="dxa"/>
            <w:vAlign w:val="center"/>
          </w:tcPr>
          <w:p w14:paraId="55EE849D">
            <w:pPr>
              <w:pStyle w:val="14"/>
              <w:rPr>
                <w:rFonts w:hAnsi="宋体"/>
                <w:color w:val="auto"/>
                <w:szCs w:val="21"/>
                <w:highlight w:val="none"/>
              </w:rPr>
            </w:pPr>
            <w:bookmarkStart w:id="29" w:name="_Toc531360834"/>
            <w:bookmarkStart w:id="30" w:name="_Toc254970592"/>
            <w:bookmarkStart w:id="31" w:name="_Toc173066405"/>
            <w:bookmarkStart w:id="32" w:name="_Toc173211904"/>
            <w:bookmarkStart w:id="33" w:name="_Toc254970733"/>
            <w:bookmarkStart w:id="34" w:name="_Toc531360780"/>
            <w:r>
              <w:rPr>
                <w:rFonts w:hint="eastAsia" w:hAnsi="宋体"/>
                <w:color w:val="auto"/>
                <w:szCs w:val="21"/>
                <w:highlight w:val="none"/>
              </w:rPr>
              <w:t>说明</w:t>
            </w:r>
            <w:bookmarkEnd w:id="29"/>
            <w:bookmarkEnd w:id="30"/>
            <w:bookmarkEnd w:id="31"/>
            <w:bookmarkEnd w:id="32"/>
            <w:bookmarkEnd w:id="33"/>
            <w:bookmarkEnd w:id="34"/>
          </w:p>
        </w:tc>
      </w:tr>
      <w:tr w14:paraId="577244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0594AECB">
            <w:pPr>
              <w:pStyle w:val="14"/>
              <w:jc w:val="center"/>
              <w:rPr>
                <w:rFonts w:hAnsi="宋体"/>
                <w:color w:val="auto"/>
                <w:highlight w:val="none"/>
              </w:rPr>
            </w:pPr>
            <w:bookmarkStart w:id="35" w:name="_Toc531360781"/>
            <w:bookmarkStart w:id="36" w:name="_Toc531360835"/>
            <w:r>
              <w:rPr>
                <w:rFonts w:hint="eastAsia" w:hAnsi="宋体"/>
                <w:color w:val="auto"/>
                <w:highlight w:val="none"/>
              </w:rPr>
              <w:t>1</w:t>
            </w:r>
            <w:bookmarkEnd w:id="35"/>
            <w:bookmarkEnd w:id="36"/>
          </w:p>
        </w:tc>
        <w:tc>
          <w:tcPr>
            <w:tcW w:w="1410" w:type="dxa"/>
            <w:vAlign w:val="center"/>
          </w:tcPr>
          <w:p w14:paraId="1E7888ED">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1CF29B3B">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597789D4">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78E15C8F">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7461C8FE">
            <w:pPr>
              <w:adjustRightInd w:val="0"/>
              <w:snapToGrid w:val="0"/>
              <w:spacing w:line="300" w:lineRule="auto"/>
              <w:jc w:val="center"/>
              <w:outlineLvl w:val="0"/>
              <w:rPr>
                <w:rFonts w:ascii="宋体" w:hAnsi="宋体"/>
                <w:color w:val="auto"/>
                <w:szCs w:val="21"/>
                <w:highlight w:val="none"/>
              </w:rPr>
            </w:pPr>
          </w:p>
        </w:tc>
      </w:tr>
      <w:tr w14:paraId="45420D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569FEB8B">
            <w:pPr>
              <w:pStyle w:val="14"/>
              <w:jc w:val="center"/>
              <w:rPr>
                <w:rFonts w:hAnsi="宋体"/>
                <w:color w:val="auto"/>
                <w:highlight w:val="none"/>
              </w:rPr>
            </w:pPr>
            <w:bookmarkStart w:id="37" w:name="_Toc531360782"/>
            <w:bookmarkStart w:id="38" w:name="_Toc531360836"/>
            <w:r>
              <w:rPr>
                <w:rFonts w:hint="eastAsia" w:hAnsi="宋体"/>
                <w:color w:val="auto"/>
                <w:highlight w:val="none"/>
              </w:rPr>
              <w:t>2</w:t>
            </w:r>
            <w:bookmarkEnd w:id="37"/>
            <w:bookmarkEnd w:id="38"/>
          </w:p>
        </w:tc>
        <w:tc>
          <w:tcPr>
            <w:tcW w:w="1410" w:type="dxa"/>
            <w:vAlign w:val="center"/>
          </w:tcPr>
          <w:p w14:paraId="1F08D08B">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33585D2B">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229B86F5">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160826C0">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60B83F15">
            <w:pPr>
              <w:adjustRightInd w:val="0"/>
              <w:snapToGrid w:val="0"/>
              <w:spacing w:line="300" w:lineRule="auto"/>
              <w:jc w:val="center"/>
              <w:outlineLvl w:val="0"/>
              <w:rPr>
                <w:rFonts w:ascii="宋体" w:hAnsi="宋体"/>
                <w:color w:val="auto"/>
                <w:szCs w:val="21"/>
                <w:highlight w:val="none"/>
              </w:rPr>
            </w:pPr>
          </w:p>
        </w:tc>
      </w:tr>
      <w:tr w14:paraId="71E8BFA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05873DD9">
            <w:pPr>
              <w:pStyle w:val="14"/>
              <w:jc w:val="center"/>
              <w:rPr>
                <w:rFonts w:hAnsi="宋体"/>
                <w:color w:val="auto"/>
                <w:highlight w:val="none"/>
              </w:rPr>
            </w:pPr>
            <w:bookmarkStart w:id="39" w:name="_Toc531360783"/>
            <w:bookmarkStart w:id="40" w:name="_Toc531360837"/>
            <w:r>
              <w:rPr>
                <w:rFonts w:hint="eastAsia" w:hAnsi="宋体"/>
                <w:color w:val="auto"/>
                <w:highlight w:val="none"/>
              </w:rPr>
              <w:t>3</w:t>
            </w:r>
            <w:bookmarkEnd w:id="39"/>
            <w:bookmarkEnd w:id="40"/>
          </w:p>
        </w:tc>
        <w:tc>
          <w:tcPr>
            <w:tcW w:w="1410" w:type="dxa"/>
            <w:vAlign w:val="center"/>
          </w:tcPr>
          <w:p w14:paraId="794F8A65">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72181B5A">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55613165">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550815A4">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0AA49E3C">
            <w:pPr>
              <w:adjustRightInd w:val="0"/>
              <w:snapToGrid w:val="0"/>
              <w:spacing w:line="300" w:lineRule="auto"/>
              <w:jc w:val="center"/>
              <w:outlineLvl w:val="0"/>
              <w:rPr>
                <w:rFonts w:ascii="宋体" w:hAnsi="宋体"/>
                <w:color w:val="auto"/>
                <w:szCs w:val="21"/>
                <w:highlight w:val="none"/>
              </w:rPr>
            </w:pPr>
          </w:p>
        </w:tc>
      </w:tr>
      <w:tr w14:paraId="40EBAC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541BEF11">
            <w:pPr>
              <w:pStyle w:val="14"/>
              <w:jc w:val="center"/>
              <w:rPr>
                <w:rFonts w:hAnsi="宋体"/>
                <w:color w:val="auto"/>
                <w:highlight w:val="none"/>
              </w:rPr>
            </w:pPr>
            <w:bookmarkStart w:id="41" w:name="_Toc531360784"/>
            <w:bookmarkStart w:id="42" w:name="_Toc531360838"/>
            <w:r>
              <w:rPr>
                <w:rFonts w:hint="eastAsia" w:hAnsi="宋体"/>
                <w:color w:val="auto"/>
                <w:highlight w:val="none"/>
              </w:rPr>
              <w:t>4</w:t>
            </w:r>
            <w:bookmarkEnd w:id="41"/>
            <w:bookmarkEnd w:id="42"/>
          </w:p>
        </w:tc>
        <w:tc>
          <w:tcPr>
            <w:tcW w:w="1410" w:type="dxa"/>
            <w:vAlign w:val="center"/>
          </w:tcPr>
          <w:p w14:paraId="16907FD1">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50A730FB">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30F72074">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2C6EEB68">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61F06E06">
            <w:pPr>
              <w:adjustRightInd w:val="0"/>
              <w:snapToGrid w:val="0"/>
              <w:spacing w:line="300" w:lineRule="auto"/>
              <w:jc w:val="center"/>
              <w:outlineLvl w:val="0"/>
              <w:rPr>
                <w:rFonts w:ascii="宋体" w:hAnsi="宋体"/>
                <w:color w:val="auto"/>
                <w:szCs w:val="21"/>
                <w:highlight w:val="none"/>
              </w:rPr>
            </w:pPr>
          </w:p>
        </w:tc>
      </w:tr>
      <w:tr w14:paraId="26275A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52BFBF31">
            <w:pPr>
              <w:pStyle w:val="14"/>
              <w:jc w:val="center"/>
              <w:rPr>
                <w:rFonts w:hAnsi="宋体"/>
                <w:color w:val="auto"/>
                <w:highlight w:val="none"/>
              </w:rPr>
            </w:pPr>
            <w:bookmarkStart w:id="43" w:name="_Toc531360785"/>
            <w:bookmarkStart w:id="44" w:name="_Toc531360839"/>
            <w:r>
              <w:rPr>
                <w:rFonts w:hint="eastAsia" w:hAnsi="宋体"/>
                <w:color w:val="auto"/>
                <w:highlight w:val="none"/>
              </w:rPr>
              <w:t>5</w:t>
            </w:r>
            <w:bookmarkEnd w:id="43"/>
            <w:bookmarkEnd w:id="44"/>
          </w:p>
        </w:tc>
        <w:tc>
          <w:tcPr>
            <w:tcW w:w="1410" w:type="dxa"/>
            <w:vAlign w:val="center"/>
          </w:tcPr>
          <w:p w14:paraId="2938CA10">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6D4A64B9">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5FD09DB9">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2A91E423">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09FA1243">
            <w:pPr>
              <w:adjustRightInd w:val="0"/>
              <w:snapToGrid w:val="0"/>
              <w:spacing w:line="300" w:lineRule="auto"/>
              <w:jc w:val="center"/>
              <w:outlineLvl w:val="0"/>
              <w:rPr>
                <w:rFonts w:ascii="宋体" w:hAnsi="宋体"/>
                <w:color w:val="auto"/>
                <w:szCs w:val="21"/>
                <w:highlight w:val="none"/>
              </w:rPr>
            </w:pPr>
          </w:p>
        </w:tc>
      </w:tr>
      <w:tr w14:paraId="409B69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741AB400">
            <w:pPr>
              <w:pStyle w:val="14"/>
              <w:jc w:val="center"/>
              <w:rPr>
                <w:rFonts w:hAnsi="宋体"/>
                <w:color w:val="auto"/>
                <w:highlight w:val="none"/>
              </w:rPr>
            </w:pPr>
            <w:bookmarkStart w:id="45" w:name="_Toc531360786"/>
            <w:bookmarkStart w:id="46" w:name="_Toc531360840"/>
            <w:r>
              <w:rPr>
                <w:rFonts w:hint="eastAsia" w:hAnsi="宋体"/>
                <w:color w:val="auto"/>
                <w:highlight w:val="none"/>
              </w:rPr>
              <w:t>…</w:t>
            </w:r>
            <w:bookmarkEnd w:id="45"/>
            <w:bookmarkEnd w:id="46"/>
          </w:p>
        </w:tc>
        <w:tc>
          <w:tcPr>
            <w:tcW w:w="1410" w:type="dxa"/>
            <w:vAlign w:val="center"/>
          </w:tcPr>
          <w:p w14:paraId="5EF5120B">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33A5EBB9">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6163D2C6">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17E778C6">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08DECD84">
            <w:pPr>
              <w:adjustRightInd w:val="0"/>
              <w:snapToGrid w:val="0"/>
              <w:spacing w:line="300" w:lineRule="auto"/>
              <w:jc w:val="center"/>
              <w:outlineLvl w:val="0"/>
              <w:rPr>
                <w:rFonts w:ascii="宋体" w:hAnsi="宋体"/>
                <w:color w:val="auto"/>
                <w:szCs w:val="21"/>
                <w:highlight w:val="none"/>
              </w:rPr>
            </w:pPr>
          </w:p>
        </w:tc>
      </w:tr>
    </w:tbl>
    <w:p w14:paraId="3550E496">
      <w:pPr>
        <w:adjustRightInd w:val="0"/>
        <w:snapToGrid w:val="0"/>
        <w:spacing w:line="300" w:lineRule="auto"/>
        <w:rPr>
          <w:rFonts w:ascii="宋体" w:hAnsi="宋体"/>
          <w:color w:val="auto"/>
          <w:szCs w:val="21"/>
          <w:highlight w:val="none"/>
        </w:rPr>
      </w:pPr>
    </w:p>
    <w:p w14:paraId="7CFC4380">
      <w:pPr>
        <w:pStyle w:val="14"/>
        <w:spacing w:line="520" w:lineRule="exact"/>
        <w:rPr>
          <w:rFonts w:hAnsi="宋体"/>
          <w:color w:val="auto"/>
          <w:szCs w:val="21"/>
          <w:highlight w:val="none"/>
        </w:rPr>
      </w:pPr>
      <w:r>
        <w:rPr>
          <w:rFonts w:hint="eastAsia" w:hAnsi="宋体"/>
          <w:color w:val="auto"/>
          <w:szCs w:val="21"/>
          <w:highlight w:val="none"/>
        </w:rPr>
        <w:t>说明：应对照竞争性磋商文件“第三章 采购项目需求”，逐条说明所提供的服务已对竞争性磋商文件的技术规格做出了实质性的响应，并申明与技术规格条文的响应和偏离。</w:t>
      </w:r>
    </w:p>
    <w:p w14:paraId="78F06615">
      <w:pPr>
        <w:pStyle w:val="14"/>
        <w:spacing w:line="360" w:lineRule="auto"/>
        <w:rPr>
          <w:rFonts w:hAnsi="宋体"/>
          <w:color w:val="auto"/>
          <w:szCs w:val="21"/>
          <w:highlight w:val="none"/>
        </w:rPr>
      </w:pPr>
    </w:p>
    <w:p w14:paraId="11598E94">
      <w:pPr>
        <w:pStyle w:val="14"/>
        <w:spacing w:line="360" w:lineRule="auto"/>
        <w:rPr>
          <w:rFonts w:hAnsi="宋体"/>
          <w:color w:val="auto"/>
          <w:szCs w:val="21"/>
          <w:highlight w:val="none"/>
          <w:u w:val="single"/>
        </w:rPr>
      </w:pPr>
      <w:r>
        <w:rPr>
          <w:rFonts w:hint="eastAsia" w:hAnsi="宋体"/>
          <w:color w:val="auto"/>
          <w:szCs w:val="21"/>
          <w:highlight w:val="none"/>
        </w:rPr>
        <w:t>供应商名称（公章）：</w:t>
      </w:r>
      <w:r>
        <w:rPr>
          <w:rFonts w:hint="eastAsia" w:hAnsi="宋体"/>
          <w:color w:val="auto"/>
          <w:szCs w:val="21"/>
          <w:highlight w:val="none"/>
          <w:u w:val="single"/>
        </w:rPr>
        <w:t xml:space="preserve">                    </w:t>
      </w:r>
      <w:r>
        <w:rPr>
          <w:rFonts w:hAnsi="宋体"/>
          <w:color w:val="auto"/>
          <w:szCs w:val="21"/>
          <w:highlight w:val="none"/>
          <w:u w:val="single"/>
        </w:rPr>
        <w:t xml:space="preserve">      </w:t>
      </w:r>
    </w:p>
    <w:p w14:paraId="3D0DF344">
      <w:pPr>
        <w:pStyle w:val="14"/>
        <w:spacing w:line="300" w:lineRule="auto"/>
        <w:rPr>
          <w:rFonts w:hAnsi="宋体"/>
          <w:color w:val="auto"/>
          <w:szCs w:val="21"/>
          <w:highlight w:val="none"/>
          <w:u w:val="single"/>
        </w:rPr>
      </w:pPr>
      <w:r>
        <w:rPr>
          <w:rFonts w:hint="eastAsia" w:hAnsi="宋体"/>
          <w:color w:val="auto"/>
          <w:szCs w:val="21"/>
          <w:highlight w:val="none"/>
        </w:rPr>
        <w:t>日   期：</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Ansi="宋体"/>
          <w:color w:val="auto"/>
          <w:szCs w:val="21"/>
          <w:highlight w:val="none"/>
        </w:rPr>
        <w:t>日</w:t>
      </w:r>
    </w:p>
    <w:p w14:paraId="44D30389">
      <w:pPr>
        <w:spacing w:line="420" w:lineRule="exact"/>
        <w:ind w:firstLine="280" w:firstLineChars="100"/>
        <w:rPr>
          <w:rFonts w:ascii="宋体" w:hAnsi="宋体"/>
          <w:color w:val="auto"/>
          <w:sz w:val="28"/>
          <w:szCs w:val="28"/>
          <w:highlight w:val="none"/>
        </w:rPr>
      </w:pPr>
      <w:r>
        <w:rPr>
          <w:rFonts w:ascii="宋体" w:hAnsi="宋体"/>
          <w:color w:val="auto"/>
          <w:sz w:val="28"/>
          <w:szCs w:val="28"/>
          <w:highlight w:val="none"/>
        </w:rPr>
        <w:br w:type="page"/>
      </w:r>
    </w:p>
    <w:p w14:paraId="5891365F">
      <w:pPr>
        <w:spacing w:line="420" w:lineRule="exact"/>
        <w:ind w:firstLine="280" w:firstLineChars="100"/>
        <w:rPr>
          <w:rFonts w:ascii="宋体" w:hAnsi="宋体"/>
          <w:color w:val="auto"/>
          <w:sz w:val="28"/>
          <w:szCs w:val="28"/>
          <w:highlight w:val="none"/>
        </w:rPr>
      </w:pPr>
    </w:p>
    <w:p w14:paraId="313CEC50">
      <w:pPr>
        <w:spacing w:line="420" w:lineRule="exact"/>
        <w:ind w:firstLine="211" w:firstLineChars="100"/>
        <w:rPr>
          <w:rStyle w:val="40"/>
          <w:rFonts w:ascii="宋体" w:hAnsi="宋体"/>
          <w:b/>
          <w:color w:val="auto"/>
          <w:szCs w:val="21"/>
          <w:highlight w:val="none"/>
        </w:rPr>
      </w:pPr>
      <w:r>
        <w:rPr>
          <w:rStyle w:val="40"/>
          <w:rFonts w:ascii="宋体" w:hAnsi="宋体"/>
          <w:b/>
          <w:color w:val="auto"/>
          <w:szCs w:val="21"/>
          <w:highlight w:val="none"/>
        </w:rPr>
        <w:t>（</w:t>
      </w:r>
      <w:r>
        <w:rPr>
          <w:rStyle w:val="40"/>
          <w:rFonts w:hint="eastAsia" w:ascii="宋体" w:hAnsi="宋体"/>
          <w:b/>
          <w:color w:val="auto"/>
          <w:szCs w:val="21"/>
          <w:highlight w:val="none"/>
          <w:lang w:val="en-US" w:eastAsia="zh-CN"/>
        </w:rPr>
        <w:t>2</w:t>
      </w:r>
      <w:r>
        <w:rPr>
          <w:rStyle w:val="40"/>
          <w:rFonts w:ascii="宋体" w:hAnsi="宋体"/>
          <w:b/>
          <w:color w:val="auto"/>
          <w:szCs w:val="21"/>
          <w:highlight w:val="none"/>
        </w:rPr>
        <w:t>）</w:t>
      </w:r>
      <w:r>
        <w:rPr>
          <w:rFonts w:hint="eastAsia" w:ascii="宋体" w:hAnsi="宋体"/>
          <w:b/>
          <w:color w:val="auto"/>
          <w:szCs w:val="21"/>
          <w:highlight w:val="none"/>
        </w:rPr>
        <w:t>项目实施及承诺方案</w:t>
      </w:r>
      <w:r>
        <w:rPr>
          <w:rStyle w:val="40"/>
          <w:rFonts w:ascii="宋体" w:hAnsi="宋体" w:cs="宋体"/>
          <w:b/>
          <w:bCs/>
          <w:color w:val="auto"/>
          <w:szCs w:val="21"/>
          <w:highlight w:val="none"/>
        </w:rPr>
        <w:t>（格式自拟）</w:t>
      </w:r>
      <w:r>
        <w:rPr>
          <w:rStyle w:val="40"/>
          <w:rFonts w:ascii="宋体" w:hAnsi="宋体"/>
          <w:b/>
          <w:color w:val="auto"/>
          <w:szCs w:val="21"/>
          <w:highlight w:val="none"/>
        </w:rPr>
        <w:t>；</w:t>
      </w:r>
    </w:p>
    <w:p w14:paraId="4089660B">
      <w:pPr>
        <w:pStyle w:val="56"/>
        <w:spacing w:line="440" w:lineRule="exact"/>
        <w:ind w:firstLine="415" w:firstLineChars="198"/>
        <w:rPr>
          <w:rStyle w:val="40"/>
          <w:rFonts w:hAnsi="宋体"/>
          <w:color w:val="auto"/>
          <w:highlight w:val="none"/>
        </w:rPr>
      </w:pPr>
      <w:r>
        <w:rPr>
          <w:rStyle w:val="40"/>
          <w:rFonts w:hAnsi="宋体"/>
          <w:color w:val="auto"/>
          <w:highlight w:val="none"/>
        </w:rPr>
        <w:t>由供应商按本项目竞争性磋商文件第三章“项目采购需求”及评分办法中的评分要素自行编制。</w:t>
      </w:r>
    </w:p>
    <w:p w14:paraId="10F20943">
      <w:pPr>
        <w:spacing w:line="420" w:lineRule="exact"/>
        <w:ind w:firstLine="211" w:firstLineChars="100"/>
        <w:rPr>
          <w:rStyle w:val="40"/>
          <w:rFonts w:ascii="宋体" w:hAnsi="宋体"/>
          <w:b/>
          <w:color w:val="auto"/>
          <w:szCs w:val="21"/>
          <w:highlight w:val="none"/>
        </w:rPr>
      </w:pPr>
    </w:p>
    <w:p w14:paraId="7A47980B">
      <w:pPr>
        <w:spacing w:line="420" w:lineRule="exact"/>
        <w:ind w:firstLine="211" w:firstLineChars="100"/>
        <w:rPr>
          <w:rStyle w:val="40"/>
          <w:rFonts w:ascii="宋体" w:hAnsi="宋体"/>
          <w:b/>
          <w:color w:val="auto"/>
          <w:szCs w:val="21"/>
          <w:highlight w:val="none"/>
        </w:rPr>
      </w:pPr>
    </w:p>
    <w:p w14:paraId="56459A16">
      <w:pPr>
        <w:spacing w:line="420" w:lineRule="exact"/>
        <w:ind w:firstLine="211" w:firstLineChars="100"/>
        <w:rPr>
          <w:rStyle w:val="40"/>
          <w:rFonts w:ascii="宋体" w:hAnsi="宋体"/>
          <w:b/>
          <w:color w:val="auto"/>
          <w:szCs w:val="21"/>
          <w:highlight w:val="none"/>
        </w:rPr>
      </w:pPr>
    </w:p>
    <w:p w14:paraId="00D6E1BE">
      <w:pPr>
        <w:widowControl/>
        <w:spacing w:line="225" w:lineRule="auto"/>
        <w:jc w:val="center"/>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9"/>
          <w:sz w:val="31"/>
          <w:szCs w:val="31"/>
          <w:highlight w:val="none"/>
          <w14:textFill>
            <w14:solidFill>
              <w14:schemeClr w14:val="tx1"/>
            </w14:solidFill>
          </w14:textFill>
        </w:rPr>
        <w:t>项目实施人员一览表</w:t>
      </w:r>
    </w:p>
    <w:p w14:paraId="1E07B95E">
      <w:pPr>
        <w:widowControl/>
        <w:spacing w:before="78" w:line="219" w:lineRule="auto"/>
        <w:ind w:left="122"/>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采购项目编号：</w:t>
      </w:r>
    </w:p>
    <w:p w14:paraId="2AEFC045">
      <w:pPr>
        <w:widowControl/>
        <w:spacing w:before="183" w:line="219" w:lineRule="auto"/>
        <w:ind w:left="122"/>
        <w:jc w:val="left"/>
        <w:rPr>
          <w:rFonts w:hint="default" w:eastAsia="宋体"/>
          <w:lang w:val="en-US" w:eastAsia="zh-CN"/>
        </w:rPr>
      </w:pPr>
      <w:r>
        <w:rPr>
          <w:rFonts w:ascii="宋体" w:hAnsi="宋体" w:cs="宋体"/>
          <w:color w:val="000000" w:themeColor="text1"/>
          <w:spacing w:val="-2"/>
          <w:sz w:val="24"/>
          <w:highlight w:val="none"/>
          <w14:textFill>
            <w14:solidFill>
              <w14:schemeClr w14:val="tx1"/>
            </w14:solidFill>
          </w14:textFill>
        </w:rPr>
        <w:t>采购项目名称：</w:t>
      </w:r>
    </w:p>
    <w:p w14:paraId="1FA34BD0">
      <w:pPr>
        <w:widowControl/>
        <w:spacing w:line="68" w:lineRule="exact"/>
        <w:jc w:val="left"/>
        <w:rPr>
          <w:rFonts w:ascii="Arial" w:hAnsi="Arial" w:cs="Arial"/>
          <w:color w:val="000000" w:themeColor="text1"/>
          <w:szCs w:val="21"/>
          <w:highlight w:val="none"/>
          <w14:textFill>
            <w14:solidFill>
              <w14:schemeClr w14:val="tx1"/>
            </w14:solidFill>
          </w14:textFill>
        </w:rPr>
      </w:pPr>
    </w:p>
    <w:tbl>
      <w:tblPr>
        <w:tblStyle w:val="24"/>
        <w:tblW w:w="9577"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8"/>
        <w:gridCol w:w="1665"/>
        <w:gridCol w:w="1410"/>
        <w:gridCol w:w="2160"/>
        <w:gridCol w:w="1498"/>
        <w:gridCol w:w="1556"/>
      </w:tblGrid>
      <w:tr w14:paraId="5DB6D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3"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41ECA7CC">
            <w:pPr>
              <w:widowControl/>
              <w:spacing w:line="316" w:lineRule="auto"/>
              <w:jc w:val="left"/>
              <w:rPr>
                <w:rFonts w:ascii="Arial" w:hAnsi="Arial" w:cs="Arial"/>
                <w:color w:val="000000" w:themeColor="text1"/>
                <w:szCs w:val="21"/>
                <w:highlight w:val="none"/>
                <w14:textFill>
                  <w14:solidFill>
                    <w14:schemeClr w14:val="tx1"/>
                  </w14:solidFill>
                </w14:textFill>
              </w:rPr>
            </w:pPr>
          </w:p>
          <w:p w14:paraId="7B410432">
            <w:pPr>
              <w:widowControl/>
              <w:spacing w:line="316" w:lineRule="auto"/>
              <w:jc w:val="left"/>
              <w:rPr>
                <w:rFonts w:ascii="Arial" w:hAnsi="Arial" w:cs="Arial"/>
                <w:color w:val="000000" w:themeColor="text1"/>
                <w:szCs w:val="21"/>
                <w:highlight w:val="none"/>
                <w14:textFill>
                  <w14:solidFill>
                    <w14:schemeClr w14:val="tx1"/>
                  </w14:solidFill>
                </w14:textFill>
              </w:rPr>
            </w:pPr>
          </w:p>
          <w:p w14:paraId="26ACA079">
            <w:pPr>
              <w:widowControl/>
              <w:spacing w:line="317" w:lineRule="auto"/>
              <w:jc w:val="left"/>
              <w:rPr>
                <w:rFonts w:ascii="Arial" w:hAnsi="Arial" w:cs="Arial"/>
                <w:color w:val="000000" w:themeColor="text1"/>
                <w:szCs w:val="21"/>
                <w:highlight w:val="none"/>
                <w14:textFill>
                  <w14:solidFill>
                    <w14:schemeClr w14:val="tx1"/>
                  </w14:solidFill>
                </w14:textFill>
              </w:rPr>
            </w:pPr>
          </w:p>
          <w:p w14:paraId="64BB45A8">
            <w:pPr>
              <w:widowControl/>
              <w:spacing w:before="78" w:line="219" w:lineRule="auto"/>
              <w:jc w:val="center"/>
              <w:rPr>
                <w:rFonts w:hint="eastAsia" w:ascii="宋体" w:hAnsi="宋体" w:eastAsia="宋体" w:cs="宋体"/>
                <w:color w:val="000000" w:themeColor="text1"/>
                <w:spacing w:val="-5"/>
                <w:sz w:val="24"/>
                <w:highlight w:val="none"/>
                <w:lang w:eastAsia="zh-CN"/>
                <w14:textFill>
                  <w14:solidFill>
                    <w14:schemeClr w14:val="tx1"/>
                  </w14:solidFill>
                </w14:textFill>
              </w:rPr>
            </w:pPr>
            <w:r>
              <w:rPr>
                <w:rFonts w:hint="eastAsia" w:ascii="宋体" w:hAnsi="宋体" w:cs="宋体"/>
                <w:color w:val="000000" w:themeColor="text1"/>
                <w:spacing w:val="-5"/>
                <w:sz w:val="24"/>
                <w:highlight w:val="none"/>
                <w:lang w:eastAsia="zh-CN"/>
                <w14:textFill>
                  <w14:solidFill>
                    <w14:schemeClr w14:val="tx1"/>
                  </w14:solidFill>
                </w14:textFill>
              </w:rPr>
              <w:t>序号</w:t>
            </w: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6EB74DA1">
            <w:pPr>
              <w:widowControl/>
              <w:spacing w:line="316" w:lineRule="auto"/>
              <w:jc w:val="left"/>
              <w:rPr>
                <w:rFonts w:ascii="Arial" w:hAnsi="Arial" w:cs="Arial"/>
                <w:color w:val="000000" w:themeColor="text1"/>
                <w:szCs w:val="21"/>
                <w:highlight w:val="none"/>
                <w:lang w:eastAsia="en-US"/>
                <w14:textFill>
                  <w14:solidFill>
                    <w14:schemeClr w14:val="tx1"/>
                  </w14:solidFill>
                </w14:textFill>
              </w:rPr>
            </w:pPr>
          </w:p>
          <w:p w14:paraId="64D1CB99">
            <w:pPr>
              <w:widowControl/>
              <w:spacing w:line="316" w:lineRule="auto"/>
              <w:jc w:val="left"/>
              <w:rPr>
                <w:rFonts w:ascii="Arial" w:hAnsi="Arial" w:cs="Arial"/>
                <w:color w:val="000000" w:themeColor="text1"/>
                <w:szCs w:val="21"/>
                <w:highlight w:val="none"/>
                <w:lang w:eastAsia="en-US"/>
                <w14:textFill>
                  <w14:solidFill>
                    <w14:schemeClr w14:val="tx1"/>
                  </w14:solidFill>
                </w14:textFill>
              </w:rPr>
            </w:pPr>
          </w:p>
          <w:p w14:paraId="3157AAAF">
            <w:pPr>
              <w:widowControl/>
              <w:spacing w:line="317" w:lineRule="auto"/>
              <w:jc w:val="left"/>
              <w:rPr>
                <w:rFonts w:ascii="Arial" w:hAnsi="Arial" w:cs="Arial"/>
                <w:color w:val="000000" w:themeColor="text1"/>
                <w:szCs w:val="21"/>
                <w:highlight w:val="none"/>
                <w:lang w:eastAsia="en-US"/>
                <w14:textFill>
                  <w14:solidFill>
                    <w14:schemeClr w14:val="tx1"/>
                  </w14:solidFill>
                </w14:textFill>
              </w:rPr>
            </w:pPr>
          </w:p>
          <w:p w14:paraId="7041A3F7">
            <w:pPr>
              <w:widowControl/>
              <w:spacing w:before="78" w:line="219" w:lineRule="auto"/>
              <w:jc w:val="center"/>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姓名</w:t>
            </w: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67F73C99">
            <w:pPr>
              <w:widowControl/>
              <w:spacing w:line="316" w:lineRule="auto"/>
              <w:jc w:val="left"/>
              <w:rPr>
                <w:rFonts w:ascii="Arial" w:hAnsi="Arial" w:cs="Arial"/>
                <w:color w:val="000000" w:themeColor="text1"/>
                <w:szCs w:val="21"/>
                <w:highlight w:val="none"/>
                <w:lang w:eastAsia="en-US"/>
                <w14:textFill>
                  <w14:solidFill>
                    <w14:schemeClr w14:val="tx1"/>
                  </w14:solidFill>
                </w14:textFill>
              </w:rPr>
            </w:pPr>
          </w:p>
          <w:p w14:paraId="18B02D56">
            <w:pPr>
              <w:widowControl/>
              <w:spacing w:line="316" w:lineRule="auto"/>
              <w:jc w:val="left"/>
              <w:rPr>
                <w:rFonts w:ascii="Arial" w:hAnsi="Arial" w:cs="Arial"/>
                <w:color w:val="000000" w:themeColor="text1"/>
                <w:szCs w:val="21"/>
                <w:highlight w:val="none"/>
                <w:lang w:eastAsia="en-US"/>
                <w14:textFill>
                  <w14:solidFill>
                    <w14:schemeClr w14:val="tx1"/>
                  </w14:solidFill>
                </w14:textFill>
              </w:rPr>
            </w:pPr>
          </w:p>
          <w:p w14:paraId="79BD13E8">
            <w:pPr>
              <w:widowControl/>
              <w:spacing w:line="317" w:lineRule="auto"/>
              <w:jc w:val="left"/>
              <w:rPr>
                <w:rFonts w:ascii="Arial" w:hAnsi="Arial" w:cs="Arial"/>
                <w:color w:val="000000" w:themeColor="text1"/>
                <w:szCs w:val="21"/>
                <w:highlight w:val="none"/>
                <w:lang w:eastAsia="en-US"/>
                <w14:textFill>
                  <w14:solidFill>
                    <w14:schemeClr w14:val="tx1"/>
                  </w14:solidFill>
                </w14:textFill>
              </w:rPr>
            </w:pPr>
          </w:p>
          <w:p w14:paraId="44B3EB1A">
            <w:pPr>
              <w:widowControl/>
              <w:spacing w:before="78" w:line="219" w:lineRule="auto"/>
              <w:ind w:left="402"/>
              <w:jc w:val="left"/>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pacing w:val="-6"/>
                <w:sz w:val="24"/>
                <w:highlight w:val="none"/>
                <w:lang w:eastAsia="en-US"/>
                <w14:textFill>
                  <w14:solidFill>
                    <w14:schemeClr w14:val="tx1"/>
                  </w14:solidFill>
                </w14:textFill>
              </w:rPr>
              <w:t>职务</w:t>
            </w: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384E4776">
            <w:pPr>
              <w:widowControl/>
              <w:spacing w:before="152" w:line="219" w:lineRule="auto"/>
              <w:ind w:left="279"/>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
                <w:sz w:val="24"/>
                <w:highlight w:val="none"/>
                <w14:textFill>
                  <w14:solidFill>
                    <w14:schemeClr w14:val="tx1"/>
                  </w14:solidFill>
                </w14:textFill>
              </w:rPr>
              <w:t>专业技术资格</w:t>
            </w:r>
          </w:p>
          <w:p w14:paraId="6BC288B3">
            <w:pPr>
              <w:widowControl/>
              <w:spacing w:before="153" w:line="221" w:lineRule="auto"/>
              <w:ind w:left="17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（职称）或者职</w:t>
            </w:r>
          </w:p>
          <w:p w14:paraId="7623B0ED">
            <w:pPr>
              <w:widowControl/>
              <w:spacing w:before="155" w:line="219" w:lineRule="auto"/>
              <w:ind w:left="15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
                <w:sz w:val="24"/>
                <w:highlight w:val="none"/>
                <w14:textFill>
                  <w14:solidFill>
                    <w14:schemeClr w14:val="tx1"/>
                  </w14:solidFill>
                </w14:textFill>
              </w:rPr>
              <w:t>业资格或者执业</w:t>
            </w:r>
          </w:p>
          <w:p w14:paraId="515A94E4">
            <w:pPr>
              <w:widowControl/>
              <w:spacing w:before="154" w:line="219" w:lineRule="auto"/>
              <w:ind w:left="169"/>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资格证或者其他</w:t>
            </w:r>
          </w:p>
          <w:p w14:paraId="21AF1C53">
            <w:pPr>
              <w:widowControl/>
              <w:spacing w:before="153" w:line="219" w:lineRule="auto"/>
              <w:ind w:left="758"/>
              <w:jc w:val="left"/>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pacing w:val="-5"/>
                <w:sz w:val="24"/>
                <w:highlight w:val="none"/>
                <w:lang w:eastAsia="en-US"/>
                <w14:textFill>
                  <w14:solidFill>
                    <w14:schemeClr w14:val="tx1"/>
                  </w14:solidFill>
                </w14:textFill>
              </w:rPr>
              <w:t>证书</w:t>
            </w: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545696E7">
            <w:pPr>
              <w:widowControl/>
              <w:spacing w:line="316" w:lineRule="auto"/>
              <w:jc w:val="left"/>
              <w:rPr>
                <w:rFonts w:ascii="Arial" w:hAnsi="Arial" w:cs="Arial"/>
                <w:color w:val="000000" w:themeColor="text1"/>
                <w:szCs w:val="21"/>
                <w:highlight w:val="none"/>
                <w:lang w:eastAsia="en-US"/>
                <w14:textFill>
                  <w14:solidFill>
                    <w14:schemeClr w14:val="tx1"/>
                  </w14:solidFill>
                </w14:textFill>
              </w:rPr>
            </w:pPr>
          </w:p>
          <w:p w14:paraId="15876B98">
            <w:pPr>
              <w:widowControl/>
              <w:spacing w:line="316" w:lineRule="auto"/>
              <w:jc w:val="left"/>
              <w:rPr>
                <w:rFonts w:ascii="Arial" w:hAnsi="Arial" w:cs="Arial"/>
                <w:color w:val="000000" w:themeColor="text1"/>
                <w:szCs w:val="21"/>
                <w:highlight w:val="none"/>
                <w:lang w:eastAsia="en-US"/>
                <w14:textFill>
                  <w14:solidFill>
                    <w14:schemeClr w14:val="tx1"/>
                  </w14:solidFill>
                </w14:textFill>
              </w:rPr>
            </w:pPr>
          </w:p>
          <w:p w14:paraId="700BBAA2">
            <w:pPr>
              <w:widowControl/>
              <w:spacing w:line="316" w:lineRule="auto"/>
              <w:jc w:val="left"/>
              <w:rPr>
                <w:rFonts w:ascii="Arial" w:hAnsi="Arial" w:cs="Arial"/>
                <w:color w:val="000000" w:themeColor="text1"/>
                <w:szCs w:val="21"/>
                <w:highlight w:val="none"/>
                <w:lang w:eastAsia="en-US"/>
                <w14:textFill>
                  <w14:solidFill>
                    <w14:schemeClr w14:val="tx1"/>
                  </w14:solidFill>
                </w14:textFill>
              </w:rPr>
            </w:pPr>
          </w:p>
          <w:p w14:paraId="1CAD2786">
            <w:pPr>
              <w:widowControl/>
              <w:spacing w:before="78" w:line="219" w:lineRule="auto"/>
              <w:ind w:left="237"/>
              <w:jc w:val="left"/>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pacing w:val="-3"/>
                <w:sz w:val="24"/>
                <w:highlight w:val="none"/>
                <w:lang w:eastAsia="en-US"/>
                <w14:textFill>
                  <w14:solidFill>
                    <w14:schemeClr w14:val="tx1"/>
                  </w14:solidFill>
                </w14:textFill>
              </w:rPr>
              <w:t>证书编号</w:t>
            </w: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15EBEEAF">
            <w:pPr>
              <w:widowControl/>
              <w:spacing w:line="325" w:lineRule="auto"/>
              <w:jc w:val="left"/>
              <w:rPr>
                <w:rFonts w:ascii="Arial" w:hAnsi="Arial" w:cs="Arial"/>
                <w:color w:val="000000" w:themeColor="text1"/>
                <w:szCs w:val="21"/>
                <w:highlight w:val="none"/>
                <w:lang w:eastAsia="en-US"/>
                <w14:textFill>
                  <w14:solidFill>
                    <w14:schemeClr w14:val="tx1"/>
                  </w14:solidFill>
                </w14:textFill>
              </w:rPr>
            </w:pPr>
          </w:p>
          <w:p w14:paraId="322493F8">
            <w:pPr>
              <w:widowControl/>
              <w:spacing w:line="325" w:lineRule="auto"/>
              <w:jc w:val="left"/>
              <w:rPr>
                <w:rFonts w:ascii="Arial" w:hAnsi="Arial" w:cs="Arial"/>
                <w:color w:val="000000" w:themeColor="text1"/>
                <w:szCs w:val="21"/>
                <w:highlight w:val="none"/>
                <w:lang w:eastAsia="en-US"/>
                <w14:textFill>
                  <w14:solidFill>
                    <w14:schemeClr w14:val="tx1"/>
                  </w14:solidFill>
                </w14:textFill>
              </w:rPr>
            </w:pPr>
          </w:p>
          <w:p w14:paraId="66FFF24A">
            <w:pPr>
              <w:widowControl/>
              <w:spacing w:line="220" w:lineRule="auto"/>
              <w:ind w:left="309"/>
              <w:jc w:val="center"/>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pacing w:val="-3"/>
                <w:position w:val="27"/>
                <w:sz w:val="24"/>
                <w:highlight w:val="none"/>
                <w:lang w:val="en-US" w:eastAsia="zh-CN"/>
                <w14:textFill>
                  <w14:solidFill>
                    <w14:schemeClr w14:val="tx1"/>
                  </w14:solidFill>
                </w14:textFill>
              </w:rPr>
              <w:t>备注</w:t>
            </w:r>
          </w:p>
        </w:tc>
      </w:tr>
      <w:tr w14:paraId="2FE3CC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3B2367D3">
            <w:pPr>
              <w:widowControl/>
              <w:jc w:val="left"/>
              <w:rPr>
                <w:rFonts w:ascii="Arial" w:hAnsi="Arial" w:cs="Arial"/>
                <w:color w:val="000000" w:themeColor="text1"/>
                <w:szCs w:val="21"/>
                <w:highlight w:val="none"/>
                <w:lang w:eastAsia="en-US"/>
                <w14:textFill>
                  <w14:solidFill>
                    <w14:schemeClr w14:val="tx1"/>
                  </w14:solidFill>
                </w14:textFill>
              </w:rPr>
            </w:pP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793DEBFF">
            <w:pPr>
              <w:widowControl/>
              <w:jc w:val="left"/>
              <w:rPr>
                <w:rFonts w:ascii="Arial" w:hAnsi="Arial" w:cs="Arial"/>
                <w:color w:val="000000" w:themeColor="text1"/>
                <w:szCs w:val="21"/>
                <w:highlight w:val="none"/>
                <w:lang w:eastAsia="en-US"/>
                <w14:textFill>
                  <w14:solidFill>
                    <w14:schemeClr w14:val="tx1"/>
                  </w14:solidFill>
                </w14:textFill>
              </w:rPr>
            </w:pP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439D7DEA">
            <w:pPr>
              <w:widowControl/>
              <w:jc w:val="left"/>
              <w:rPr>
                <w:rFonts w:ascii="Arial" w:hAnsi="Arial" w:cs="Arial"/>
                <w:color w:val="000000" w:themeColor="text1"/>
                <w:szCs w:val="21"/>
                <w:highlight w:val="none"/>
                <w:lang w:eastAsia="en-US"/>
                <w14:textFill>
                  <w14:solidFill>
                    <w14:schemeClr w14:val="tx1"/>
                  </w14:solidFill>
                </w14:textFill>
              </w:rPr>
            </w:pP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112A1622">
            <w:pPr>
              <w:widowControl/>
              <w:jc w:val="left"/>
              <w:rPr>
                <w:rFonts w:ascii="Arial" w:hAnsi="Arial" w:cs="Arial"/>
                <w:color w:val="000000" w:themeColor="text1"/>
                <w:szCs w:val="21"/>
                <w:highlight w:val="none"/>
                <w:lang w:eastAsia="en-US"/>
                <w14:textFill>
                  <w14:solidFill>
                    <w14:schemeClr w14:val="tx1"/>
                  </w14:solidFill>
                </w14:textFill>
              </w:rPr>
            </w:pP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221FD887">
            <w:pPr>
              <w:widowControl/>
              <w:jc w:val="left"/>
              <w:rPr>
                <w:rFonts w:ascii="Arial" w:hAnsi="Arial" w:cs="Arial"/>
                <w:color w:val="000000" w:themeColor="text1"/>
                <w:szCs w:val="21"/>
                <w:highlight w:val="none"/>
                <w:lang w:eastAsia="en-US"/>
                <w14:textFill>
                  <w14:solidFill>
                    <w14:schemeClr w14:val="tx1"/>
                  </w14:solidFill>
                </w14:textFill>
              </w:rPr>
            </w:pP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31FEFC03">
            <w:pPr>
              <w:widowControl/>
              <w:jc w:val="left"/>
              <w:rPr>
                <w:rFonts w:ascii="Arial" w:hAnsi="Arial" w:cs="Arial"/>
                <w:color w:val="000000" w:themeColor="text1"/>
                <w:szCs w:val="21"/>
                <w:highlight w:val="none"/>
                <w:lang w:eastAsia="en-US"/>
                <w14:textFill>
                  <w14:solidFill>
                    <w14:schemeClr w14:val="tx1"/>
                  </w14:solidFill>
                </w14:textFill>
              </w:rPr>
            </w:pPr>
          </w:p>
        </w:tc>
      </w:tr>
      <w:tr w14:paraId="029166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129D66E3">
            <w:pPr>
              <w:widowControl/>
              <w:jc w:val="left"/>
              <w:rPr>
                <w:rFonts w:ascii="Arial" w:hAnsi="Arial" w:cs="Arial"/>
                <w:color w:val="000000" w:themeColor="text1"/>
                <w:szCs w:val="21"/>
                <w:highlight w:val="none"/>
                <w:lang w:eastAsia="en-US"/>
                <w14:textFill>
                  <w14:solidFill>
                    <w14:schemeClr w14:val="tx1"/>
                  </w14:solidFill>
                </w14:textFill>
              </w:rPr>
            </w:pP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0A9326BA">
            <w:pPr>
              <w:widowControl/>
              <w:jc w:val="left"/>
              <w:rPr>
                <w:rFonts w:ascii="Arial" w:hAnsi="Arial" w:cs="Arial"/>
                <w:color w:val="000000" w:themeColor="text1"/>
                <w:szCs w:val="21"/>
                <w:highlight w:val="none"/>
                <w:lang w:eastAsia="en-US"/>
                <w14:textFill>
                  <w14:solidFill>
                    <w14:schemeClr w14:val="tx1"/>
                  </w14:solidFill>
                </w14:textFill>
              </w:rPr>
            </w:pP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01FC5BA7">
            <w:pPr>
              <w:widowControl/>
              <w:jc w:val="left"/>
              <w:rPr>
                <w:rFonts w:ascii="Arial" w:hAnsi="Arial" w:cs="Arial"/>
                <w:color w:val="000000" w:themeColor="text1"/>
                <w:szCs w:val="21"/>
                <w:highlight w:val="none"/>
                <w:lang w:eastAsia="en-US"/>
                <w14:textFill>
                  <w14:solidFill>
                    <w14:schemeClr w14:val="tx1"/>
                  </w14:solidFill>
                </w14:textFill>
              </w:rPr>
            </w:pP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42031BDC">
            <w:pPr>
              <w:widowControl/>
              <w:jc w:val="left"/>
              <w:rPr>
                <w:rFonts w:ascii="Arial" w:hAnsi="Arial" w:cs="Arial"/>
                <w:color w:val="000000" w:themeColor="text1"/>
                <w:szCs w:val="21"/>
                <w:highlight w:val="none"/>
                <w:lang w:eastAsia="en-US"/>
                <w14:textFill>
                  <w14:solidFill>
                    <w14:schemeClr w14:val="tx1"/>
                  </w14:solidFill>
                </w14:textFill>
              </w:rPr>
            </w:pP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65261CB0">
            <w:pPr>
              <w:widowControl/>
              <w:jc w:val="left"/>
              <w:rPr>
                <w:rFonts w:ascii="Arial" w:hAnsi="Arial" w:cs="Arial"/>
                <w:color w:val="000000" w:themeColor="text1"/>
                <w:szCs w:val="21"/>
                <w:highlight w:val="none"/>
                <w:lang w:eastAsia="en-US"/>
                <w14:textFill>
                  <w14:solidFill>
                    <w14:schemeClr w14:val="tx1"/>
                  </w14:solidFill>
                </w14:textFill>
              </w:rPr>
            </w:pP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69EB9E71">
            <w:pPr>
              <w:widowControl/>
              <w:jc w:val="left"/>
              <w:rPr>
                <w:rFonts w:ascii="Arial" w:hAnsi="Arial" w:cs="Arial"/>
                <w:color w:val="000000" w:themeColor="text1"/>
                <w:szCs w:val="21"/>
                <w:highlight w:val="none"/>
                <w:lang w:eastAsia="en-US"/>
                <w14:textFill>
                  <w14:solidFill>
                    <w14:schemeClr w14:val="tx1"/>
                  </w14:solidFill>
                </w14:textFill>
              </w:rPr>
            </w:pPr>
          </w:p>
        </w:tc>
      </w:tr>
      <w:tr w14:paraId="13DFC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2427F01E">
            <w:pPr>
              <w:widowControl/>
              <w:jc w:val="left"/>
              <w:rPr>
                <w:rFonts w:ascii="Arial" w:hAnsi="Arial" w:cs="Arial"/>
                <w:color w:val="000000" w:themeColor="text1"/>
                <w:szCs w:val="21"/>
                <w:highlight w:val="none"/>
                <w:lang w:eastAsia="en-US"/>
                <w14:textFill>
                  <w14:solidFill>
                    <w14:schemeClr w14:val="tx1"/>
                  </w14:solidFill>
                </w14:textFill>
              </w:rPr>
            </w:pP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61235B12">
            <w:pPr>
              <w:widowControl/>
              <w:jc w:val="left"/>
              <w:rPr>
                <w:rFonts w:ascii="Arial" w:hAnsi="Arial" w:cs="Arial"/>
                <w:color w:val="000000" w:themeColor="text1"/>
                <w:szCs w:val="21"/>
                <w:highlight w:val="none"/>
                <w:lang w:eastAsia="en-US"/>
                <w14:textFill>
                  <w14:solidFill>
                    <w14:schemeClr w14:val="tx1"/>
                  </w14:solidFill>
                </w14:textFill>
              </w:rPr>
            </w:pP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0F32198B">
            <w:pPr>
              <w:widowControl/>
              <w:jc w:val="left"/>
              <w:rPr>
                <w:rFonts w:ascii="Arial" w:hAnsi="Arial" w:cs="Arial"/>
                <w:color w:val="000000" w:themeColor="text1"/>
                <w:szCs w:val="21"/>
                <w:highlight w:val="none"/>
                <w:lang w:eastAsia="en-US"/>
                <w14:textFill>
                  <w14:solidFill>
                    <w14:schemeClr w14:val="tx1"/>
                  </w14:solidFill>
                </w14:textFill>
              </w:rPr>
            </w:pP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0987440B">
            <w:pPr>
              <w:widowControl/>
              <w:jc w:val="left"/>
              <w:rPr>
                <w:rFonts w:ascii="Arial" w:hAnsi="Arial" w:cs="Arial"/>
                <w:color w:val="000000" w:themeColor="text1"/>
                <w:szCs w:val="21"/>
                <w:highlight w:val="none"/>
                <w:lang w:eastAsia="en-US"/>
                <w14:textFill>
                  <w14:solidFill>
                    <w14:schemeClr w14:val="tx1"/>
                  </w14:solidFill>
                </w14:textFill>
              </w:rPr>
            </w:pP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185E8B89">
            <w:pPr>
              <w:widowControl/>
              <w:jc w:val="left"/>
              <w:rPr>
                <w:rFonts w:ascii="Arial" w:hAnsi="Arial" w:cs="Arial"/>
                <w:color w:val="000000" w:themeColor="text1"/>
                <w:szCs w:val="21"/>
                <w:highlight w:val="none"/>
                <w:lang w:eastAsia="en-US"/>
                <w14:textFill>
                  <w14:solidFill>
                    <w14:schemeClr w14:val="tx1"/>
                  </w14:solidFill>
                </w14:textFill>
              </w:rPr>
            </w:pP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4627A934">
            <w:pPr>
              <w:widowControl/>
              <w:jc w:val="left"/>
              <w:rPr>
                <w:rFonts w:ascii="Arial" w:hAnsi="Arial" w:cs="Arial"/>
                <w:color w:val="000000" w:themeColor="text1"/>
                <w:szCs w:val="21"/>
                <w:highlight w:val="none"/>
                <w:lang w:eastAsia="en-US"/>
                <w14:textFill>
                  <w14:solidFill>
                    <w14:schemeClr w14:val="tx1"/>
                  </w14:solidFill>
                </w14:textFill>
              </w:rPr>
            </w:pPr>
          </w:p>
        </w:tc>
      </w:tr>
    </w:tbl>
    <w:p w14:paraId="46E6606C">
      <w:pPr>
        <w:widowControl/>
        <w:spacing w:line="304" w:lineRule="auto"/>
        <w:jc w:val="left"/>
        <w:rPr>
          <w:rFonts w:ascii="Arial" w:hAnsi="Arial" w:cs="Arial"/>
          <w:color w:val="000000" w:themeColor="text1"/>
          <w:szCs w:val="21"/>
          <w:highlight w:val="none"/>
          <w:lang w:eastAsia="en-US"/>
          <w14:textFill>
            <w14:solidFill>
              <w14:schemeClr w14:val="tx1"/>
            </w14:solidFill>
          </w14:textFill>
        </w:rPr>
      </w:pPr>
    </w:p>
    <w:p w14:paraId="3C5075C7">
      <w:pPr>
        <w:widowControl/>
        <w:spacing w:line="305" w:lineRule="auto"/>
        <w:jc w:val="left"/>
        <w:rPr>
          <w:rFonts w:ascii="Arial" w:hAnsi="Arial" w:cs="Arial"/>
          <w:color w:val="000000" w:themeColor="text1"/>
          <w:szCs w:val="21"/>
          <w:highlight w:val="none"/>
          <w:lang w:eastAsia="en-US"/>
          <w14:textFill>
            <w14:solidFill>
              <w14:schemeClr w14:val="tx1"/>
            </w14:solidFill>
          </w14:textFill>
        </w:rPr>
      </w:pPr>
    </w:p>
    <w:p w14:paraId="57129657">
      <w:pPr>
        <w:widowControl/>
        <w:spacing w:before="78" w:line="224" w:lineRule="auto"/>
        <w:ind w:left="122"/>
        <w:jc w:val="left"/>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pacing w:val="-5"/>
          <w:sz w:val="24"/>
          <w:highlight w:val="none"/>
          <w:lang w:eastAsia="en-US"/>
          <w14:textFill>
            <w14:solidFill>
              <w14:schemeClr w14:val="tx1"/>
            </w14:solidFill>
          </w14:textFill>
        </w:rPr>
        <w:t>注：</w:t>
      </w:r>
    </w:p>
    <w:p w14:paraId="09639036">
      <w:pPr>
        <w:widowControl/>
        <w:spacing w:before="230" w:line="518" w:lineRule="exact"/>
        <w:ind w:left="14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position w:val="21"/>
          <w:sz w:val="24"/>
          <w:highlight w:val="none"/>
          <w14:textFill>
            <w14:solidFill>
              <w14:schemeClr w14:val="tx1"/>
            </w14:solidFill>
          </w14:textFill>
        </w:rPr>
        <w:t>1.</w:t>
      </w:r>
      <w:r>
        <w:rPr>
          <w:rFonts w:hint="eastAsia" w:ascii="宋体" w:hAnsi="宋体" w:cs="宋体"/>
          <w:color w:val="000000" w:themeColor="text1"/>
          <w:spacing w:val="-1"/>
          <w:position w:val="21"/>
          <w:sz w:val="24"/>
          <w:highlight w:val="none"/>
          <w14:textFill>
            <w14:solidFill>
              <w14:schemeClr w14:val="tx1"/>
            </w14:solidFill>
          </w14:textFill>
        </w:rPr>
        <w:t>在填写时，如本表格不适合供应商的实际情况，可根据本表格式自行制表填写。</w:t>
      </w:r>
    </w:p>
    <w:p w14:paraId="598EE9AE">
      <w:pPr>
        <w:widowControl/>
        <w:spacing w:before="1" w:line="218" w:lineRule="auto"/>
        <w:ind w:left="125"/>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w:t>
      </w:r>
      <w:r>
        <w:rPr>
          <w:rFonts w:hint="eastAsia" w:ascii="宋体" w:hAnsi="宋体" w:cs="宋体"/>
          <w:color w:val="000000" w:themeColor="text1"/>
          <w:spacing w:val="-1"/>
          <w:sz w:val="24"/>
          <w:highlight w:val="none"/>
          <w14:textFill>
            <w14:solidFill>
              <w14:schemeClr w14:val="tx1"/>
            </w14:solidFill>
          </w14:textFill>
        </w:rPr>
        <w:t>供应商应当附本表所列证书的</w:t>
      </w:r>
      <w:r>
        <w:rPr>
          <w:rFonts w:hint="eastAsia" w:ascii="宋体" w:hAnsi="宋体" w:cs="宋体"/>
          <w:color w:val="000000" w:themeColor="text1"/>
          <w:spacing w:val="-1"/>
          <w:sz w:val="24"/>
          <w:highlight w:val="none"/>
          <w:lang w:eastAsia="zh-CN"/>
          <w14:textFill>
            <w14:solidFill>
              <w14:schemeClr w14:val="tx1"/>
            </w14:solidFill>
          </w14:textFill>
        </w:rPr>
        <w:t>复印件或扫描件</w:t>
      </w:r>
      <w:r>
        <w:rPr>
          <w:rFonts w:hint="eastAsia" w:ascii="宋体" w:hAnsi="宋体" w:cs="宋体"/>
          <w:color w:val="000000" w:themeColor="text1"/>
          <w:spacing w:val="-1"/>
          <w:sz w:val="24"/>
          <w:highlight w:val="none"/>
          <w14:textFill>
            <w14:solidFill>
              <w14:schemeClr w14:val="tx1"/>
            </w14:solidFill>
          </w14:textFill>
        </w:rPr>
        <w:t>并加盖供应商电子签章。</w:t>
      </w:r>
    </w:p>
    <w:p w14:paraId="7FE2B607">
      <w:pPr>
        <w:widowControl/>
        <w:spacing w:line="243" w:lineRule="auto"/>
        <w:jc w:val="left"/>
        <w:rPr>
          <w:rFonts w:ascii="Arial" w:hAnsi="Arial" w:cs="Arial"/>
          <w:color w:val="000000" w:themeColor="text1"/>
          <w:szCs w:val="21"/>
          <w:highlight w:val="none"/>
          <w14:textFill>
            <w14:solidFill>
              <w14:schemeClr w14:val="tx1"/>
            </w14:solidFill>
          </w14:textFill>
        </w:rPr>
      </w:pPr>
    </w:p>
    <w:p w14:paraId="7883DAFA">
      <w:pPr>
        <w:spacing w:line="420" w:lineRule="exact"/>
        <w:rPr>
          <w:rStyle w:val="40"/>
          <w:rFonts w:ascii="宋体" w:hAnsi="宋体"/>
          <w:b/>
          <w:color w:val="auto"/>
          <w:szCs w:val="21"/>
          <w:highlight w:val="none"/>
        </w:rPr>
      </w:pPr>
    </w:p>
    <w:p w14:paraId="36D4841B">
      <w:pPr>
        <w:spacing w:line="420" w:lineRule="exact"/>
        <w:rPr>
          <w:rStyle w:val="40"/>
          <w:rFonts w:ascii="宋体" w:hAnsi="宋体"/>
          <w:b/>
          <w:color w:val="auto"/>
          <w:szCs w:val="21"/>
          <w:highlight w:val="none"/>
        </w:rPr>
      </w:pPr>
    </w:p>
    <w:p w14:paraId="0E8561F1">
      <w:pPr>
        <w:pStyle w:val="56"/>
        <w:spacing w:line="600" w:lineRule="exact"/>
        <w:ind w:firstLine="1470" w:firstLineChars="700"/>
        <w:rPr>
          <w:rStyle w:val="40"/>
          <w:rFonts w:ascii="宋体" w:hAnsi="宋体"/>
          <w:color w:val="auto"/>
          <w:szCs w:val="21"/>
          <w:highlight w:val="none"/>
          <w:u w:val="single"/>
        </w:rPr>
      </w:pPr>
      <w:r>
        <w:rPr>
          <w:rStyle w:val="40"/>
          <w:rFonts w:hAnsi="宋体"/>
          <w:color w:val="auto"/>
          <w:highlight w:val="none"/>
        </w:rPr>
        <w:t>供应商（盖单位公章）：</w:t>
      </w:r>
      <w:r>
        <w:rPr>
          <w:rStyle w:val="40"/>
          <w:rFonts w:hAnsi="宋体"/>
          <w:color w:val="auto"/>
          <w:highlight w:val="none"/>
          <w:u w:val="single"/>
        </w:rPr>
        <w:t xml:space="preserve">                                    </w:t>
      </w:r>
      <w:r>
        <w:rPr>
          <w:rStyle w:val="40"/>
          <w:rFonts w:ascii="宋体" w:hAnsi="宋体"/>
          <w:color w:val="auto"/>
          <w:szCs w:val="21"/>
          <w:highlight w:val="none"/>
          <w:u w:val="single"/>
        </w:rPr>
        <w:t xml:space="preserve">                </w:t>
      </w:r>
    </w:p>
    <w:p w14:paraId="70E79918">
      <w:pPr>
        <w:spacing w:line="300" w:lineRule="auto"/>
        <w:ind w:firstLine="1470" w:firstLineChars="700"/>
        <w:rPr>
          <w:rStyle w:val="40"/>
          <w:rFonts w:ascii="宋体" w:hAnsi="宋体"/>
          <w:color w:val="auto"/>
          <w:szCs w:val="21"/>
          <w:highlight w:val="none"/>
          <w:u w:val="single"/>
        </w:rPr>
      </w:pPr>
      <w:r>
        <w:rPr>
          <w:rStyle w:val="40"/>
          <w:rFonts w:ascii="宋体" w:hAnsi="宋体"/>
          <w:color w:val="auto"/>
          <w:szCs w:val="21"/>
          <w:highlight w:val="none"/>
        </w:rPr>
        <w:t>日期：</w:t>
      </w:r>
      <w:r>
        <w:rPr>
          <w:rStyle w:val="40"/>
          <w:rFonts w:ascii="宋体" w:hAnsi="宋体"/>
          <w:color w:val="auto"/>
          <w:szCs w:val="21"/>
          <w:highlight w:val="none"/>
          <w:u w:val="single"/>
        </w:rPr>
        <w:t xml:space="preserve">                                   </w:t>
      </w:r>
    </w:p>
    <w:p w14:paraId="4903DD3E">
      <w:pPr>
        <w:spacing w:line="420" w:lineRule="exact"/>
        <w:ind w:firstLine="211" w:firstLineChars="100"/>
        <w:rPr>
          <w:rStyle w:val="40"/>
          <w:rFonts w:ascii="宋体" w:hAnsi="宋体"/>
          <w:b/>
          <w:color w:val="auto"/>
          <w:szCs w:val="21"/>
          <w:highlight w:val="none"/>
        </w:rPr>
      </w:pPr>
    </w:p>
    <w:p w14:paraId="28B6972F">
      <w:pPr>
        <w:spacing w:line="420" w:lineRule="exact"/>
        <w:ind w:firstLine="211" w:firstLineChars="100"/>
        <w:rPr>
          <w:rStyle w:val="40"/>
          <w:rFonts w:ascii="宋体" w:hAnsi="宋体"/>
          <w:b/>
          <w:color w:val="auto"/>
          <w:szCs w:val="21"/>
          <w:highlight w:val="none"/>
        </w:rPr>
      </w:pPr>
    </w:p>
    <w:p w14:paraId="33B7F647">
      <w:pPr>
        <w:spacing w:line="420" w:lineRule="exact"/>
        <w:ind w:firstLine="211" w:firstLineChars="100"/>
        <w:rPr>
          <w:rStyle w:val="40"/>
          <w:rFonts w:ascii="宋体" w:hAnsi="宋体"/>
          <w:b/>
          <w:color w:val="auto"/>
          <w:szCs w:val="21"/>
          <w:highlight w:val="none"/>
        </w:rPr>
      </w:pPr>
    </w:p>
    <w:p w14:paraId="7D43CC5E">
      <w:pPr>
        <w:spacing w:line="420" w:lineRule="exact"/>
        <w:ind w:firstLine="211" w:firstLineChars="100"/>
        <w:rPr>
          <w:rStyle w:val="40"/>
          <w:rFonts w:ascii="宋体" w:hAnsi="宋体"/>
          <w:b/>
          <w:color w:val="auto"/>
          <w:szCs w:val="21"/>
          <w:highlight w:val="none"/>
        </w:rPr>
      </w:pPr>
    </w:p>
    <w:p w14:paraId="45D1FAB7">
      <w:pPr>
        <w:spacing w:line="420" w:lineRule="exact"/>
        <w:rPr>
          <w:rStyle w:val="40"/>
          <w:rFonts w:ascii="宋体" w:hAnsi="宋体"/>
          <w:b/>
          <w:color w:val="auto"/>
          <w:szCs w:val="21"/>
          <w:highlight w:val="none"/>
        </w:rPr>
      </w:pPr>
    </w:p>
    <w:p w14:paraId="3B44FA2F">
      <w:pPr>
        <w:spacing w:line="360" w:lineRule="auto"/>
        <w:jc w:val="left"/>
        <w:rPr>
          <w:rStyle w:val="40"/>
          <w:rFonts w:ascii="宋体" w:hAnsi="宋体"/>
          <w:b/>
          <w:color w:val="auto"/>
          <w:szCs w:val="21"/>
          <w:highlight w:val="none"/>
        </w:rPr>
      </w:pPr>
      <w:r>
        <w:rPr>
          <w:rStyle w:val="40"/>
          <w:rFonts w:ascii="宋体" w:hAnsi="宋体"/>
          <w:b/>
          <w:color w:val="auto"/>
          <w:szCs w:val="21"/>
          <w:highlight w:val="none"/>
        </w:rPr>
        <w:t>（</w:t>
      </w:r>
      <w:r>
        <w:rPr>
          <w:rStyle w:val="40"/>
          <w:rFonts w:hint="eastAsia" w:ascii="宋体" w:hAnsi="宋体"/>
          <w:b/>
          <w:color w:val="auto"/>
          <w:szCs w:val="21"/>
          <w:highlight w:val="none"/>
          <w:lang w:val="en-US" w:eastAsia="zh-CN"/>
        </w:rPr>
        <w:t>3</w:t>
      </w:r>
      <w:r>
        <w:rPr>
          <w:rStyle w:val="40"/>
          <w:rFonts w:ascii="宋体" w:hAnsi="宋体"/>
          <w:b/>
          <w:color w:val="auto"/>
          <w:szCs w:val="21"/>
          <w:highlight w:val="none"/>
        </w:rPr>
        <w:t>）投标人对本项目的合理化建议和改进措施；</w:t>
      </w:r>
    </w:p>
    <w:p w14:paraId="7329C0E4">
      <w:pPr>
        <w:spacing w:line="360" w:lineRule="auto"/>
        <w:jc w:val="both"/>
        <w:rPr>
          <w:rStyle w:val="40"/>
          <w:rFonts w:ascii="宋体" w:hAnsi="宋体"/>
          <w:b/>
          <w:color w:val="auto"/>
          <w:szCs w:val="21"/>
          <w:highlight w:val="none"/>
        </w:rPr>
      </w:pPr>
    </w:p>
    <w:p w14:paraId="4643B348">
      <w:pPr>
        <w:spacing w:line="360" w:lineRule="auto"/>
        <w:jc w:val="left"/>
        <w:rPr>
          <w:rStyle w:val="40"/>
          <w:rFonts w:ascii="宋体" w:hAnsi="宋体"/>
          <w:b/>
          <w:color w:val="auto"/>
          <w:sz w:val="28"/>
          <w:szCs w:val="21"/>
          <w:highlight w:val="none"/>
        </w:rPr>
      </w:pPr>
      <w:r>
        <w:rPr>
          <w:rStyle w:val="40"/>
          <w:rFonts w:ascii="宋体" w:hAnsi="宋体"/>
          <w:b/>
          <w:color w:val="auto"/>
          <w:szCs w:val="21"/>
          <w:highlight w:val="none"/>
        </w:rPr>
        <w:t>（</w:t>
      </w:r>
      <w:r>
        <w:rPr>
          <w:rStyle w:val="40"/>
          <w:rFonts w:hint="eastAsia" w:ascii="宋体" w:hAnsi="宋体"/>
          <w:b/>
          <w:color w:val="auto"/>
          <w:szCs w:val="21"/>
          <w:highlight w:val="none"/>
          <w:lang w:val="en-US" w:eastAsia="zh-CN"/>
        </w:rPr>
        <w:t>4</w:t>
      </w:r>
      <w:r>
        <w:rPr>
          <w:rStyle w:val="40"/>
          <w:rFonts w:ascii="宋体" w:hAnsi="宋体"/>
          <w:b/>
          <w:color w:val="auto"/>
          <w:szCs w:val="21"/>
          <w:highlight w:val="none"/>
        </w:rPr>
        <w:t>）磋商供应商认为有必要提供的其它文件及资料。</w:t>
      </w:r>
    </w:p>
    <w:p w14:paraId="54CD2D64">
      <w:pPr>
        <w:snapToGrid w:val="0"/>
        <w:spacing w:before="156" w:after="50"/>
        <w:jc w:val="left"/>
        <w:rPr>
          <w:rStyle w:val="40"/>
          <w:rFonts w:ascii="宋体" w:hAnsi="宋体"/>
          <w:color w:val="auto"/>
          <w:szCs w:val="21"/>
          <w:highlight w:val="none"/>
        </w:rPr>
      </w:pPr>
      <w:r>
        <w:rPr>
          <w:rStyle w:val="40"/>
          <w:rFonts w:ascii="宋体" w:hAnsi="宋体"/>
          <w:b/>
          <w:color w:val="auto"/>
          <w:sz w:val="28"/>
          <w:szCs w:val="21"/>
          <w:highlight w:val="none"/>
        </w:rPr>
        <w:t>其他文件格式:</w:t>
      </w:r>
    </w:p>
    <w:p w14:paraId="6E5C0E85">
      <w:pPr>
        <w:spacing w:line="460" w:lineRule="exact"/>
        <w:rPr>
          <w:rStyle w:val="40"/>
          <w:rFonts w:ascii="宋体" w:hAnsi="宋体"/>
          <w:color w:val="auto"/>
          <w:sz w:val="24"/>
          <w:highlight w:val="none"/>
        </w:rPr>
      </w:pPr>
    </w:p>
    <w:p w14:paraId="45608BE9">
      <w:pPr>
        <w:snapToGrid w:val="0"/>
        <w:spacing w:before="156" w:after="50"/>
        <w:jc w:val="left"/>
        <w:rPr>
          <w:rStyle w:val="40"/>
          <w:rFonts w:ascii="宋体" w:hAnsi="宋体"/>
          <w:b/>
          <w:color w:val="auto"/>
          <w:sz w:val="24"/>
          <w:szCs w:val="24"/>
          <w:highlight w:val="none"/>
        </w:rPr>
      </w:pPr>
      <w:r>
        <w:rPr>
          <w:rStyle w:val="40"/>
          <w:rFonts w:hint="eastAsia" w:ascii="宋体" w:hAnsi="宋体"/>
          <w:b/>
          <w:color w:val="auto"/>
          <w:sz w:val="24"/>
          <w:szCs w:val="24"/>
          <w:highlight w:val="none"/>
          <w:lang w:val="en-US" w:eastAsia="zh-CN"/>
        </w:rPr>
        <w:t>1</w:t>
      </w:r>
      <w:r>
        <w:rPr>
          <w:rStyle w:val="40"/>
          <w:rFonts w:ascii="宋体" w:hAnsi="宋体"/>
          <w:b/>
          <w:color w:val="auto"/>
          <w:sz w:val="24"/>
          <w:szCs w:val="24"/>
          <w:highlight w:val="none"/>
        </w:rPr>
        <w:t>.残疾人福利性单位声明函</w:t>
      </w:r>
    </w:p>
    <w:p w14:paraId="1C37F488">
      <w:pPr>
        <w:spacing w:line="588" w:lineRule="exact"/>
        <w:jc w:val="center"/>
        <w:rPr>
          <w:rStyle w:val="40"/>
          <w:rFonts w:ascii="宋体" w:hAnsi="宋体"/>
          <w:b/>
          <w:color w:val="auto"/>
          <w:spacing w:val="6"/>
          <w:sz w:val="32"/>
          <w:szCs w:val="32"/>
          <w:highlight w:val="none"/>
        </w:rPr>
      </w:pPr>
    </w:p>
    <w:p w14:paraId="30375894">
      <w:pPr>
        <w:spacing w:line="588" w:lineRule="exact"/>
        <w:jc w:val="center"/>
        <w:rPr>
          <w:rStyle w:val="40"/>
          <w:rFonts w:ascii="宋体" w:hAnsi="宋体"/>
          <w:b/>
          <w:color w:val="auto"/>
          <w:spacing w:val="6"/>
          <w:sz w:val="32"/>
          <w:szCs w:val="32"/>
          <w:highlight w:val="none"/>
        </w:rPr>
      </w:pPr>
      <w:r>
        <w:rPr>
          <w:rStyle w:val="40"/>
          <w:rFonts w:ascii="宋体" w:hAnsi="宋体"/>
          <w:b/>
          <w:color w:val="auto"/>
          <w:spacing w:val="6"/>
          <w:sz w:val="32"/>
          <w:szCs w:val="32"/>
          <w:highlight w:val="none"/>
        </w:rPr>
        <w:t>残疾人福利性单位声明函</w:t>
      </w:r>
    </w:p>
    <w:p w14:paraId="47D46C78">
      <w:pPr>
        <w:spacing w:line="588" w:lineRule="exact"/>
        <w:rPr>
          <w:rStyle w:val="40"/>
          <w:rFonts w:ascii="宋体" w:hAnsi="宋体"/>
          <w:b/>
          <w:color w:val="auto"/>
          <w:spacing w:val="6"/>
          <w:sz w:val="30"/>
          <w:szCs w:val="30"/>
          <w:highlight w:val="none"/>
        </w:rPr>
      </w:pPr>
    </w:p>
    <w:p w14:paraId="70D30278">
      <w:pPr>
        <w:spacing w:line="588" w:lineRule="exact"/>
        <w:ind w:firstLine="444" w:firstLineChars="200"/>
        <w:rPr>
          <w:rStyle w:val="40"/>
          <w:rFonts w:ascii="宋体" w:hAnsi="宋体"/>
          <w:color w:val="auto"/>
          <w:spacing w:val="6"/>
          <w:szCs w:val="21"/>
          <w:highlight w:val="none"/>
        </w:rPr>
      </w:pPr>
      <w:r>
        <w:rPr>
          <w:rStyle w:val="40"/>
          <w:rFonts w:ascii="宋体" w:hAnsi="宋体"/>
          <w:color w:val="auto"/>
          <w:spacing w:val="6"/>
          <w:szCs w:val="21"/>
          <w:highlight w:val="none"/>
        </w:rPr>
        <w:t>本单位郑重声明，根据《财政部 民政部 中国残疾人联合会关于促进残疾人就业政府采购政策的通知》（财库</w:t>
      </w:r>
      <w:r>
        <w:rPr>
          <w:rStyle w:val="40"/>
          <w:rFonts w:ascii="宋体" w:hAnsi="宋体"/>
          <w:color w:val="auto"/>
          <w:szCs w:val="21"/>
          <w:highlight w:val="none"/>
        </w:rPr>
        <w:t>〔2017〕 141</w:t>
      </w:r>
      <w:r>
        <w:rPr>
          <w:rStyle w:val="40"/>
          <w:rFonts w:ascii="宋体" w:hAnsi="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3381D23">
      <w:pPr>
        <w:spacing w:line="588" w:lineRule="exact"/>
        <w:ind w:firstLine="444" w:firstLineChars="200"/>
        <w:rPr>
          <w:rStyle w:val="40"/>
          <w:rFonts w:ascii="宋体" w:hAnsi="宋体"/>
          <w:color w:val="auto"/>
          <w:spacing w:val="6"/>
          <w:szCs w:val="21"/>
          <w:highlight w:val="none"/>
        </w:rPr>
      </w:pPr>
      <w:r>
        <w:rPr>
          <w:rStyle w:val="40"/>
          <w:rFonts w:ascii="宋体" w:hAnsi="宋体"/>
          <w:color w:val="auto"/>
          <w:spacing w:val="6"/>
          <w:szCs w:val="21"/>
          <w:highlight w:val="none"/>
        </w:rPr>
        <w:t>本单位对上述声明的真实性负责。如有虚假，将依法承担相应责任。</w:t>
      </w:r>
    </w:p>
    <w:p w14:paraId="7CC9AC15">
      <w:pPr>
        <w:spacing w:line="588" w:lineRule="exact"/>
        <w:ind w:firstLine="444" w:firstLineChars="200"/>
        <w:rPr>
          <w:rStyle w:val="40"/>
          <w:rFonts w:ascii="宋体" w:hAnsi="宋体"/>
          <w:color w:val="auto"/>
          <w:spacing w:val="6"/>
          <w:szCs w:val="21"/>
          <w:highlight w:val="none"/>
        </w:rPr>
      </w:pPr>
    </w:p>
    <w:p w14:paraId="69DAF1F6">
      <w:pPr>
        <w:spacing w:line="588" w:lineRule="exact"/>
        <w:ind w:firstLine="444" w:firstLineChars="200"/>
        <w:rPr>
          <w:rStyle w:val="40"/>
          <w:rFonts w:ascii="宋体" w:hAnsi="宋体"/>
          <w:color w:val="auto"/>
          <w:spacing w:val="6"/>
          <w:szCs w:val="21"/>
          <w:highlight w:val="none"/>
        </w:rPr>
      </w:pPr>
    </w:p>
    <w:p w14:paraId="087D3AE5">
      <w:pPr>
        <w:tabs>
          <w:tab w:val="left" w:pos="4860"/>
        </w:tabs>
        <w:spacing w:line="588" w:lineRule="exact"/>
        <w:ind w:right="1560" w:firstLine="444" w:firstLineChars="200"/>
        <w:jc w:val="center"/>
        <w:rPr>
          <w:rStyle w:val="40"/>
          <w:rFonts w:ascii="宋体" w:hAnsi="宋体"/>
          <w:color w:val="auto"/>
          <w:spacing w:val="6"/>
          <w:szCs w:val="21"/>
          <w:highlight w:val="none"/>
        </w:rPr>
      </w:pPr>
      <w:r>
        <w:rPr>
          <w:rStyle w:val="40"/>
          <w:rFonts w:ascii="宋体" w:hAnsi="宋体"/>
          <w:color w:val="auto"/>
          <w:spacing w:val="6"/>
          <w:szCs w:val="21"/>
          <w:highlight w:val="none"/>
        </w:rPr>
        <w:t>单位名称（盖章）：</w:t>
      </w:r>
    </w:p>
    <w:p w14:paraId="0AD5D6B3">
      <w:pPr>
        <w:tabs>
          <w:tab w:val="left" w:pos="4860"/>
        </w:tabs>
        <w:spacing w:line="588" w:lineRule="exact"/>
        <w:ind w:right="1560" w:firstLine="444" w:firstLineChars="200"/>
        <w:jc w:val="center"/>
        <w:rPr>
          <w:rStyle w:val="40"/>
          <w:rFonts w:ascii="宋体" w:hAnsi="宋体"/>
          <w:color w:val="auto"/>
          <w:spacing w:val="6"/>
          <w:szCs w:val="21"/>
          <w:highlight w:val="none"/>
        </w:rPr>
      </w:pPr>
      <w:r>
        <w:rPr>
          <w:rStyle w:val="40"/>
          <w:rFonts w:ascii="宋体" w:hAnsi="宋体"/>
          <w:color w:val="auto"/>
          <w:spacing w:val="6"/>
          <w:szCs w:val="21"/>
          <w:highlight w:val="none"/>
        </w:rPr>
        <w:t>日  期：</w:t>
      </w:r>
    </w:p>
    <w:p w14:paraId="03D9725C">
      <w:pPr>
        <w:spacing w:line="460" w:lineRule="exact"/>
        <w:rPr>
          <w:rStyle w:val="40"/>
          <w:rFonts w:ascii="宋体" w:hAnsi="宋体"/>
          <w:color w:val="auto"/>
          <w:sz w:val="24"/>
          <w:highlight w:val="none"/>
        </w:rPr>
      </w:pPr>
    </w:p>
    <w:p w14:paraId="0E66784A">
      <w:pPr>
        <w:pStyle w:val="10"/>
        <w:rPr>
          <w:rStyle w:val="40"/>
          <w:rFonts w:ascii="宋体" w:hAnsi="宋体"/>
          <w:color w:val="auto"/>
          <w:sz w:val="24"/>
          <w:highlight w:val="none"/>
        </w:rPr>
      </w:pPr>
    </w:p>
    <w:p w14:paraId="0D3B4BA5">
      <w:pPr>
        <w:rPr>
          <w:rStyle w:val="40"/>
          <w:rFonts w:ascii="宋体" w:hAnsi="宋体"/>
          <w:color w:val="auto"/>
          <w:sz w:val="24"/>
          <w:highlight w:val="none"/>
        </w:rPr>
      </w:pPr>
    </w:p>
    <w:p w14:paraId="4489C862">
      <w:pPr>
        <w:pStyle w:val="10"/>
        <w:rPr>
          <w:rStyle w:val="40"/>
          <w:rFonts w:ascii="宋体" w:hAnsi="宋体"/>
          <w:color w:val="auto"/>
          <w:sz w:val="24"/>
          <w:highlight w:val="none"/>
        </w:rPr>
      </w:pPr>
    </w:p>
    <w:p w14:paraId="19E32225">
      <w:pPr>
        <w:rPr>
          <w:rStyle w:val="40"/>
          <w:rFonts w:ascii="宋体" w:hAnsi="宋体"/>
          <w:color w:val="auto"/>
          <w:sz w:val="24"/>
          <w:highlight w:val="none"/>
        </w:rPr>
      </w:pPr>
    </w:p>
    <w:p w14:paraId="1DE8C5A4">
      <w:pPr>
        <w:pStyle w:val="10"/>
        <w:rPr>
          <w:rStyle w:val="40"/>
          <w:rFonts w:ascii="宋体" w:hAnsi="宋体"/>
          <w:color w:val="auto"/>
          <w:sz w:val="24"/>
          <w:highlight w:val="none"/>
        </w:rPr>
      </w:pPr>
    </w:p>
    <w:p w14:paraId="71B45197">
      <w:pPr>
        <w:rPr>
          <w:rStyle w:val="40"/>
          <w:rFonts w:ascii="宋体" w:hAnsi="宋体"/>
          <w:color w:val="auto"/>
          <w:sz w:val="24"/>
          <w:highlight w:val="none"/>
        </w:rPr>
      </w:pPr>
    </w:p>
    <w:p w14:paraId="000983E3">
      <w:pPr>
        <w:pStyle w:val="10"/>
        <w:rPr>
          <w:rStyle w:val="40"/>
          <w:rFonts w:ascii="宋体" w:hAnsi="宋体"/>
          <w:color w:val="auto"/>
          <w:sz w:val="24"/>
          <w:highlight w:val="none"/>
        </w:rPr>
      </w:pPr>
    </w:p>
    <w:p w14:paraId="49B1F91A">
      <w:pPr>
        <w:rPr>
          <w:rStyle w:val="40"/>
          <w:rFonts w:ascii="宋体" w:hAnsi="宋体"/>
          <w:color w:val="auto"/>
          <w:sz w:val="24"/>
          <w:highlight w:val="none"/>
        </w:rPr>
      </w:pPr>
    </w:p>
    <w:p w14:paraId="5928F7C5">
      <w:pPr>
        <w:pStyle w:val="10"/>
        <w:rPr>
          <w:rStyle w:val="40"/>
          <w:rFonts w:ascii="宋体" w:hAnsi="宋体"/>
          <w:color w:val="auto"/>
          <w:sz w:val="24"/>
          <w:highlight w:val="none"/>
        </w:rPr>
      </w:pPr>
    </w:p>
    <w:p w14:paraId="07CE2E15">
      <w:pPr>
        <w:rPr>
          <w:rStyle w:val="40"/>
          <w:rFonts w:ascii="宋体" w:hAnsi="宋体"/>
          <w:color w:val="auto"/>
          <w:sz w:val="24"/>
          <w:highlight w:val="none"/>
        </w:rPr>
      </w:pPr>
    </w:p>
    <w:p w14:paraId="78C62DB1">
      <w:pPr>
        <w:pStyle w:val="10"/>
        <w:rPr>
          <w:rStyle w:val="40"/>
          <w:rFonts w:ascii="宋体" w:hAnsi="宋体"/>
          <w:color w:val="auto"/>
          <w:sz w:val="24"/>
          <w:highlight w:val="none"/>
        </w:rPr>
      </w:pPr>
    </w:p>
    <w:p w14:paraId="440314D4">
      <w:pPr>
        <w:rPr>
          <w:rStyle w:val="40"/>
          <w:rFonts w:ascii="宋体" w:hAnsi="宋体"/>
          <w:color w:val="auto"/>
          <w:sz w:val="24"/>
          <w:highlight w:val="none"/>
        </w:rPr>
      </w:pPr>
    </w:p>
    <w:p w14:paraId="6009D0CF">
      <w:pPr>
        <w:jc w:val="center"/>
        <w:rPr>
          <w:rFonts w:ascii="宋体" w:hAnsi="宋体" w:cs="Arial Unicode MS"/>
          <w:color w:val="auto"/>
          <w:sz w:val="44"/>
          <w:szCs w:val="44"/>
          <w:highlight w:val="none"/>
        </w:rPr>
      </w:pPr>
      <w:r>
        <w:rPr>
          <w:rFonts w:hint="eastAsia" w:ascii="宋体" w:hAnsi="宋体" w:cs="Arial Unicode MS"/>
          <w:color w:val="auto"/>
          <w:sz w:val="36"/>
          <w:szCs w:val="36"/>
          <w:highlight w:val="none"/>
        </w:rPr>
        <w:t>中小微企业划型标准</w:t>
      </w:r>
    </w:p>
    <w:p w14:paraId="244D48E5">
      <w:pPr>
        <w:ind w:left="1871"/>
        <w:rPr>
          <w:rFonts w:ascii="宋体" w:hAnsi="宋体" w:cs="Arial Unicode MS"/>
          <w:color w:val="auto"/>
          <w:szCs w:val="21"/>
          <w:highlight w:val="none"/>
        </w:rPr>
      </w:pPr>
    </w:p>
    <w:tbl>
      <w:tblPr>
        <w:tblStyle w:val="24"/>
        <w:tblW w:w="0" w:type="auto"/>
        <w:jc w:val="center"/>
        <w:tblLayout w:type="fixed"/>
        <w:tblCellMar>
          <w:top w:w="0" w:type="dxa"/>
          <w:left w:w="108" w:type="dxa"/>
          <w:bottom w:w="0" w:type="dxa"/>
          <w:right w:w="108" w:type="dxa"/>
        </w:tblCellMar>
      </w:tblPr>
      <w:tblGrid>
        <w:gridCol w:w="1701"/>
        <w:gridCol w:w="1384"/>
        <w:gridCol w:w="859"/>
        <w:gridCol w:w="1674"/>
        <w:gridCol w:w="1440"/>
        <w:gridCol w:w="925"/>
      </w:tblGrid>
      <w:tr w14:paraId="2ADC53FB">
        <w:tblPrEx>
          <w:tblCellMar>
            <w:top w:w="0" w:type="dxa"/>
            <w:left w:w="108" w:type="dxa"/>
            <w:bottom w:w="0" w:type="dxa"/>
            <w:right w:w="108" w:type="dxa"/>
          </w:tblCellMar>
        </w:tblPrEx>
        <w:trPr>
          <w:trHeight w:val="285"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694C09B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384" w:type="dxa"/>
            <w:tcBorders>
              <w:top w:val="single" w:color="auto" w:sz="4" w:space="0"/>
              <w:left w:val="nil"/>
              <w:bottom w:val="single" w:color="auto" w:sz="4" w:space="0"/>
              <w:right w:val="single" w:color="auto" w:sz="4" w:space="0"/>
            </w:tcBorders>
            <w:vAlign w:val="center"/>
          </w:tcPr>
          <w:p w14:paraId="39DAD49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859" w:type="dxa"/>
            <w:tcBorders>
              <w:top w:val="single" w:color="auto" w:sz="4" w:space="0"/>
              <w:left w:val="nil"/>
              <w:bottom w:val="single" w:color="auto" w:sz="4" w:space="0"/>
              <w:right w:val="single" w:color="auto" w:sz="4" w:space="0"/>
            </w:tcBorders>
            <w:vAlign w:val="center"/>
          </w:tcPr>
          <w:p w14:paraId="3601A62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674" w:type="dxa"/>
            <w:tcBorders>
              <w:top w:val="single" w:color="auto" w:sz="4" w:space="0"/>
              <w:left w:val="nil"/>
              <w:bottom w:val="single" w:color="auto" w:sz="4" w:space="0"/>
              <w:right w:val="single" w:color="auto" w:sz="4" w:space="0"/>
            </w:tcBorders>
            <w:vAlign w:val="center"/>
          </w:tcPr>
          <w:p w14:paraId="27DE53B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440" w:type="dxa"/>
            <w:tcBorders>
              <w:top w:val="single" w:color="auto" w:sz="4" w:space="0"/>
              <w:left w:val="nil"/>
              <w:bottom w:val="single" w:color="auto" w:sz="4" w:space="0"/>
              <w:right w:val="single" w:color="auto" w:sz="4" w:space="0"/>
            </w:tcBorders>
            <w:vAlign w:val="center"/>
          </w:tcPr>
          <w:p w14:paraId="2EFC2EC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925" w:type="dxa"/>
            <w:tcBorders>
              <w:top w:val="single" w:color="auto" w:sz="4" w:space="0"/>
              <w:left w:val="nil"/>
              <w:bottom w:val="single" w:color="auto" w:sz="4" w:space="0"/>
              <w:right w:val="single" w:color="auto" w:sz="4" w:space="0"/>
            </w:tcBorders>
            <w:vAlign w:val="center"/>
          </w:tcPr>
          <w:p w14:paraId="110D071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28D4E7C9">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vAlign w:val="bottom"/>
          </w:tcPr>
          <w:p w14:paraId="30E3F897">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384" w:type="dxa"/>
            <w:tcBorders>
              <w:top w:val="nil"/>
              <w:left w:val="nil"/>
              <w:bottom w:val="single" w:color="auto" w:sz="4" w:space="0"/>
              <w:right w:val="single" w:color="auto" w:sz="4" w:space="0"/>
            </w:tcBorders>
            <w:vAlign w:val="center"/>
          </w:tcPr>
          <w:p w14:paraId="03080FA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3B8D37B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2E5CB7B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440" w:type="dxa"/>
            <w:tcBorders>
              <w:top w:val="nil"/>
              <w:left w:val="nil"/>
              <w:bottom w:val="single" w:color="auto" w:sz="4" w:space="0"/>
              <w:right w:val="single" w:color="auto" w:sz="4" w:space="0"/>
            </w:tcBorders>
            <w:vAlign w:val="center"/>
          </w:tcPr>
          <w:p w14:paraId="0BB0BCD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925" w:type="dxa"/>
            <w:tcBorders>
              <w:top w:val="nil"/>
              <w:left w:val="nil"/>
              <w:bottom w:val="single" w:color="auto" w:sz="4" w:space="0"/>
              <w:right w:val="single" w:color="auto" w:sz="4" w:space="0"/>
            </w:tcBorders>
            <w:vAlign w:val="center"/>
          </w:tcPr>
          <w:p w14:paraId="776A518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3480C008">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6AA5EF76">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384" w:type="dxa"/>
            <w:tcBorders>
              <w:top w:val="nil"/>
              <w:left w:val="nil"/>
              <w:bottom w:val="single" w:color="auto" w:sz="4" w:space="0"/>
              <w:right w:val="single" w:color="auto" w:sz="4" w:space="0"/>
            </w:tcBorders>
            <w:vAlign w:val="center"/>
          </w:tcPr>
          <w:p w14:paraId="73EBE86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5220AE9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767D58E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1BC5119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4B3ABE9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0C8E434B">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1AF9F94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62DBA05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1266C86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7A98692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440" w:type="dxa"/>
            <w:tcBorders>
              <w:top w:val="nil"/>
              <w:left w:val="nil"/>
              <w:bottom w:val="single" w:color="auto" w:sz="4" w:space="0"/>
              <w:right w:val="single" w:color="auto" w:sz="4" w:space="0"/>
            </w:tcBorders>
            <w:vAlign w:val="center"/>
          </w:tcPr>
          <w:p w14:paraId="44CD2AE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925" w:type="dxa"/>
            <w:tcBorders>
              <w:top w:val="nil"/>
              <w:left w:val="nil"/>
              <w:bottom w:val="single" w:color="auto" w:sz="4" w:space="0"/>
              <w:right w:val="single" w:color="auto" w:sz="4" w:space="0"/>
            </w:tcBorders>
            <w:vAlign w:val="center"/>
          </w:tcPr>
          <w:p w14:paraId="71362DD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375E967E">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415B398">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384" w:type="dxa"/>
            <w:tcBorders>
              <w:top w:val="nil"/>
              <w:left w:val="nil"/>
              <w:bottom w:val="single" w:color="auto" w:sz="4" w:space="0"/>
              <w:right w:val="single" w:color="auto" w:sz="4" w:space="0"/>
            </w:tcBorders>
            <w:vAlign w:val="center"/>
          </w:tcPr>
          <w:p w14:paraId="34EC499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0C62663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07A1E2F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440" w:type="dxa"/>
            <w:tcBorders>
              <w:top w:val="nil"/>
              <w:left w:val="nil"/>
              <w:bottom w:val="single" w:color="auto" w:sz="4" w:space="0"/>
              <w:right w:val="single" w:color="auto" w:sz="4" w:space="0"/>
            </w:tcBorders>
            <w:vAlign w:val="center"/>
          </w:tcPr>
          <w:p w14:paraId="473F92B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925" w:type="dxa"/>
            <w:tcBorders>
              <w:top w:val="nil"/>
              <w:left w:val="nil"/>
              <w:bottom w:val="single" w:color="auto" w:sz="4" w:space="0"/>
              <w:right w:val="single" w:color="auto" w:sz="4" w:space="0"/>
            </w:tcBorders>
            <w:vAlign w:val="center"/>
          </w:tcPr>
          <w:p w14:paraId="75B1E50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6F8F8C4A">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660A017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392D66A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9" w:type="dxa"/>
            <w:tcBorders>
              <w:top w:val="nil"/>
              <w:left w:val="nil"/>
              <w:bottom w:val="single" w:color="auto" w:sz="4" w:space="0"/>
              <w:right w:val="single" w:color="auto" w:sz="4" w:space="0"/>
            </w:tcBorders>
            <w:vAlign w:val="center"/>
          </w:tcPr>
          <w:p w14:paraId="1E7ABF6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2C6BBF5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440" w:type="dxa"/>
            <w:tcBorders>
              <w:top w:val="nil"/>
              <w:left w:val="nil"/>
              <w:bottom w:val="single" w:color="auto" w:sz="4" w:space="0"/>
              <w:right w:val="single" w:color="auto" w:sz="4" w:space="0"/>
            </w:tcBorders>
            <w:vAlign w:val="center"/>
          </w:tcPr>
          <w:p w14:paraId="741890E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925" w:type="dxa"/>
            <w:tcBorders>
              <w:top w:val="nil"/>
              <w:left w:val="nil"/>
              <w:bottom w:val="single" w:color="auto" w:sz="4" w:space="0"/>
              <w:right w:val="single" w:color="auto" w:sz="4" w:space="0"/>
            </w:tcBorders>
            <w:vAlign w:val="center"/>
          </w:tcPr>
          <w:p w14:paraId="152849C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6DC3FC76">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749089FE">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384" w:type="dxa"/>
            <w:tcBorders>
              <w:top w:val="nil"/>
              <w:left w:val="nil"/>
              <w:bottom w:val="single" w:color="auto" w:sz="4" w:space="0"/>
              <w:right w:val="single" w:color="auto" w:sz="4" w:space="0"/>
            </w:tcBorders>
            <w:vAlign w:val="center"/>
          </w:tcPr>
          <w:p w14:paraId="6EEE2BF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246B513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46B88E4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440" w:type="dxa"/>
            <w:tcBorders>
              <w:top w:val="nil"/>
              <w:left w:val="nil"/>
              <w:bottom w:val="single" w:color="auto" w:sz="4" w:space="0"/>
              <w:right w:val="single" w:color="auto" w:sz="4" w:space="0"/>
            </w:tcBorders>
            <w:vAlign w:val="center"/>
          </w:tcPr>
          <w:p w14:paraId="6F47CA9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925" w:type="dxa"/>
            <w:tcBorders>
              <w:top w:val="nil"/>
              <w:left w:val="nil"/>
              <w:bottom w:val="single" w:color="auto" w:sz="4" w:space="0"/>
              <w:right w:val="single" w:color="auto" w:sz="4" w:space="0"/>
            </w:tcBorders>
            <w:vAlign w:val="center"/>
          </w:tcPr>
          <w:p w14:paraId="2711CDA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1A7EF245">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2088E13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25D7A77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39BC439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0883D8F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440" w:type="dxa"/>
            <w:tcBorders>
              <w:top w:val="nil"/>
              <w:left w:val="nil"/>
              <w:bottom w:val="single" w:color="auto" w:sz="4" w:space="0"/>
              <w:right w:val="single" w:color="auto" w:sz="4" w:space="0"/>
            </w:tcBorders>
            <w:vAlign w:val="center"/>
          </w:tcPr>
          <w:p w14:paraId="0C40906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925" w:type="dxa"/>
            <w:tcBorders>
              <w:top w:val="nil"/>
              <w:left w:val="nil"/>
              <w:bottom w:val="single" w:color="auto" w:sz="4" w:space="0"/>
              <w:right w:val="single" w:color="auto" w:sz="4" w:space="0"/>
            </w:tcBorders>
            <w:vAlign w:val="center"/>
          </w:tcPr>
          <w:p w14:paraId="44239A5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7CCF3CF4">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DD1A50B">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384" w:type="dxa"/>
            <w:tcBorders>
              <w:top w:val="nil"/>
              <w:left w:val="nil"/>
              <w:bottom w:val="single" w:color="auto" w:sz="4" w:space="0"/>
              <w:right w:val="single" w:color="auto" w:sz="4" w:space="0"/>
            </w:tcBorders>
            <w:vAlign w:val="center"/>
          </w:tcPr>
          <w:p w14:paraId="72F30F0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63B0EE7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5E3AAAC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440" w:type="dxa"/>
            <w:tcBorders>
              <w:top w:val="nil"/>
              <w:left w:val="nil"/>
              <w:bottom w:val="single" w:color="auto" w:sz="4" w:space="0"/>
              <w:right w:val="single" w:color="auto" w:sz="4" w:space="0"/>
            </w:tcBorders>
            <w:vAlign w:val="center"/>
          </w:tcPr>
          <w:p w14:paraId="708995C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925" w:type="dxa"/>
            <w:tcBorders>
              <w:top w:val="nil"/>
              <w:left w:val="nil"/>
              <w:bottom w:val="single" w:color="auto" w:sz="4" w:space="0"/>
              <w:right w:val="single" w:color="auto" w:sz="4" w:space="0"/>
            </w:tcBorders>
            <w:vAlign w:val="center"/>
          </w:tcPr>
          <w:p w14:paraId="7135169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38DE7EBD">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11134A0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57A985B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42F2DF2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1AE76BA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440" w:type="dxa"/>
            <w:tcBorders>
              <w:top w:val="nil"/>
              <w:left w:val="nil"/>
              <w:bottom w:val="single" w:color="auto" w:sz="4" w:space="0"/>
              <w:right w:val="single" w:color="auto" w:sz="4" w:space="0"/>
            </w:tcBorders>
            <w:vAlign w:val="center"/>
          </w:tcPr>
          <w:p w14:paraId="4441D00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925" w:type="dxa"/>
            <w:tcBorders>
              <w:top w:val="nil"/>
              <w:left w:val="nil"/>
              <w:bottom w:val="single" w:color="auto" w:sz="4" w:space="0"/>
              <w:right w:val="single" w:color="auto" w:sz="4" w:space="0"/>
            </w:tcBorders>
            <w:vAlign w:val="center"/>
          </w:tcPr>
          <w:p w14:paraId="3D675F4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4D33A28E">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0EB72364">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384" w:type="dxa"/>
            <w:tcBorders>
              <w:top w:val="nil"/>
              <w:left w:val="nil"/>
              <w:bottom w:val="single" w:color="auto" w:sz="4" w:space="0"/>
              <w:right w:val="single" w:color="auto" w:sz="4" w:space="0"/>
            </w:tcBorders>
            <w:vAlign w:val="center"/>
          </w:tcPr>
          <w:p w14:paraId="4B7DA47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7FDB19E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28B2C58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41D5E2E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42F5B2B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323EDE6A">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5332090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4F81352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6439E43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2A0EFFD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440" w:type="dxa"/>
            <w:tcBorders>
              <w:top w:val="nil"/>
              <w:left w:val="nil"/>
              <w:bottom w:val="single" w:color="auto" w:sz="4" w:space="0"/>
              <w:right w:val="single" w:color="auto" w:sz="4" w:space="0"/>
            </w:tcBorders>
            <w:vAlign w:val="center"/>
          </w:tcPr>
          <w:p w14:paraId="5EB8031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925" w:type="dxa"/>
            <w:tcBorders>
              <w:top w:val="nil"/>
              <w:left w:val="nil"/>
              <w:bottom w:val="single" w:color="auto" w:sz="4" w:space="0"/>
              <w:right w:val="single" w:color="auto" w:sz="4" w:space="0"/>
            </w:tcBorders>
            <w:vAlign w:val="center"/>
          </w:tcPr>
          <w:p w14:paraId="4DE96C1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4CD77E28">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2283A73">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384" w:type="dxa"/>
            <w:tcBorders>
              <w:top w:val="nil"/>
              <w:left w:val="nil"/>
              <w:bottom w:val="single" w:color="auto" w:sz="4" w:space="0"/>
              <w:right w:val="single" w:color="auto" w:sz="4" w:space="0"/>
            </w:tcBorders>
            <w:vAlign w:val="center"/>
          </w:tcPr>
          <w:p w14:paraId="62A9C60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302C8AD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51AD25D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440" w:type="dxa"/>
            <w:tcBorders>
              <w:top w:val="nil"/>
              <w:left w:val="nil"/>
              <w:bottom w:val="single" w:color="auto" w:sz="4" w:space="0"/>
              <w:right w:val="single" w:color="auto" w:sz="4" w:space="0"/>
            </w:tcBorders>
            <w:vAlign w:val="center"/>
          </w:tcPr>
          <w:p w14:paraId="30B4363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925" w:type="dxa"/>
            <w:tcBorders>
              <w:top w:val="nil"/>
              <w:left w:val="nil"/>
              <w:bottom w:val="single" w:color="auto" w:sz="4" w:space="0"/>
              <w:right w:val="single" w:color="auto" w:sz="4" w:space="0"/>
            </w:tcBorders>
            <w:vAlign w:val="center"/>
          </w:tcPr>
          <w:p w14:paraId="616F797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47857FA7">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0D70893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572E5B3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45F598F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6946251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440" w:type="dxa"/>
            <w:tcBorders>
              <w:top w:val="nil"/>
              <w:left w:val="nil"/>
              <w:bottom w:val="single" w:color="auto" w:sz="4" w:space="0"/>
              <w:right w:val="single" w:color="auto" w:sz="4" w:space="0"/>
            </w:tcBorders>
            <w:vAlign w:val="center"/>
          </w:tcPr>
          <w:p w14:paraId="36EB6FD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925" w:type="dxa"/>
            <w:tcBorders>
              <w:top w:val="nil"/>
              <w:left w:val="nil"/>
              <w:bottom w:val="single" w:color="auto" w:sz="4" w:space="0"/>
              <w:right w:val="single" w:color="auto" w:sz="4" w:space="0"/>
            </w:tcBorders>
            <w:vAlign w:val="center"/>
          </w:tcPr>
          <w:p w14:paraId="0AC29EE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07D72AD2">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524B4E66">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384" w:type="dxa"/>
            <w:tcBorders>
              <w:top w:val="nil"/>
              <w:left w:val="nil"/>
              <w:bottom w:val="single" w:color="auto" w:sz="4" w:space="0"/>
              <w:right w:val="single" w:color="auto" w:sz="4" w:space="0"/>
            </w:tcBorders>
            <w:vAlign w:val="center"/>
          </w:tcPr>
          <w:p w14:paraId="5828FE0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6D87C72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5913436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213606F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265C626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36D00594">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15D1B13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6A18BB7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415FF7E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4B9F908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440" w:type="dxa"/>
            <w:tcBorders>
              <w:top w:val="nil"/>
              <w:left w:val="nil"/>
              <w:bottom w:val="single" w:color="auto" w:sz="4" w:space="0"/>
              <w:right w:val="single" w:color="auto" w:sz="4" w:space="0"/>
            </w:tcBorders>
            <w:vAlign w:val="center"/>
          </w:tcPr>
          <w:p w14:paraId="283FBD7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5DC6585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7C545C3">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40C49CE4">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384" w:type="dxa"/>
            <w:tcBorders>
              <w:top w:val="nil"/>
              <w:left w:val="nil"/>
              <w:bottom w:val="single" w:color="auto" w:sz="4" w:space="0"/>
              <w:right w:val="single" w:color="auto" w:sz="4" w:space="0"/>
            </w:tcBorders>
            <w:vAlign w:val="center"/>
          </w:tcPr>
          <w:p w14:paraId="2315D20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675456A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79683A3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5A04683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1ADD532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7EF3B7C">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4EF1880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3749E4B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46872B5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49A4E70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440" w:type="dxa"/>
            <w:tcBorders>
              <w:top w:val="nil"/>
              <w:left w:val="nil"/>
              <w:bottom w:val="single" w:color="auto" w:sz="4" w:space="0"/>
              <w:right w:val="single" w:color="auto" w:sz="4" w:space="0"/>
            </w:tcBorders>
            <w:vAlign w:val="center"/>
          </w:tcPr>
          <w:p w14:paraId="4A73784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465BE29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3EA4D52C">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A8EF713">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384" w:type="dxa"/>
            <w:tcBorders>
              <w:top w:val="nil"/>
              <w:left w:val="nil"/>
              <w:bottom w:val="single" w:color="auto" w:sz="4" w:space="0"/>
              <w:right w:val="single" w:color="auto" w:sz="4" w:space="0"/>
            </w:tcBorders>
            <w:vAlign w:val="center"/>
          </w:tcPr>
          <w:p w14:paraId="20FF236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6149FA4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671D065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5404121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350460A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2994BF0">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080D95C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0C20C04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6E08924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32564AF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440" w:type="dxa"/>
            <w:tcBorders>
              <w:top w:val="nil"/>
              <w:left w:val="nil"/>
              <w:bottom w:val="single" w:color="auto" w:sz="4" w:space="0"/>
              <w:right w:val="single" w:color="auto" w:sz="4" w:space="0"/>
            </w:tcBorders>
            <w:vAlign w:val="center"/>
          </w:tcPr>
          <w:p w14:paraId="2F750C9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00A5293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6BFD85DC">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4E640388">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384" w:type="dxa"/>
            <w:tcBorders>
              <w:top w:val="nil"/>
              <w:left w:val="nil"/>
              <w:bottom w:val="single" w:color="auto" w:sz="4" w:space="0"/>
              <w:right w:val="single" w:color="auto" w:sz="4" w:space="0"/>
            </w:tcBorders>
            <w:vAlign w:val="center"/>
          </w:tcPr>
          <w:p w14:paraId="4381144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1DB41A1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217F1B8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440" w:type="dxa"/>
            <w:tcBorders>
              <w:top w:val="nil"/>
              <w:left w:val="nil"/>
              <w:bottom w:val="single" w:color="auto" w:sz="4" w:space="0"/>
              <w:right w:val="single" w:color="auto" w:sz="4" w:space="0"/>
            </w:tcBorders>
            <w:vAlign w:val="center"/>
          </w:tcPr>
          <w:p w14:paraId="62090BA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688AB40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1EF912F3">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23D2D2E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1D84B44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6A7AAEB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215388F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440" w:type="dxa"/>
            <w:tcBorders>
              <w:top w:val="nil"/>
              <w:left w:val="nil"/>
              <w:bottom w:val="single" w:color="auto" w:sz="4" w:space="0"/>
              <w:right w:val="single" w:color="auto" w:sz="4" w:space="0"/>
            </w:tcBorders>
            <w:vAlign w:val="center"/>
          </w:tcPr>
          <w:p w14:paraId="223CCD3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925" w:type="dxa"/>
            <w:tcBorders>
              <w:top w:val="nil"/>
              <w:left w:val="nil"/>
              <w:bottom w:val="single" w:color="auto" w:sz="4" w:space="0"/>
              <w:right w:val="single" w:color="auto" w:sz="4" w:space="0"/>
            </w:tcBorders>
            <w:vAlign w:val="center"/>
          </w:tcPr>
          <w:p w14:paraId="6FB6207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572AA26">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57BA1A9D">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384" w:type="dxa"/>
            <w:tcBorders>
              <w:top w:val="nil"/>
              <w:left w:val="nil"/>
              <w:bottom w:val="single" w:color="auto" w:sz="4" w:space="0"/>
              <w:right w:val="single" w:color="auto" w:sz="4" w:space="0"/>
            </w:tcBorders>
            <w:vAlign w:val="center"/>
          </w:tcPr>
          <w:p w14:paraId="215B61E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50F13F3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5C44935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5AF2703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29D49D9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5BA18DB4">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27019E3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3953BD6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3361F50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68D946D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440" w:type="dxa"/>
            <w:tcBorders>
              <w:top w:val="nil"/>
              <w:left w:val="nil"/>
              <w:bottom w:val="single" w:color="auto" w:sz="4" w:space="0"/>
              <w:right w:val="single" w:color="auto" w:sz="4" w:space="0"/>
            </w:tcBorders>
            <w:vAlign w:val="center"/>
          </w:tcPr>
          <w:p w14:paraId="76DB161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925" w:type="dxa"/>
            <w:tcBorders>
              <w:top w:val="nil"/>
              <w:left w:val="nil"/>
              <w:bottom w:val="single" w:color="auto" w:sz="4" w:space="0"/>
              <w:right w:val="single" w:color="auto" w:sz="4" w:space="0"/>
            </w:tcBorders>
            <w:vAlign w:val="center"/>
          </w:tcPr>
          <w:p w14:paraId="494E727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284BE52C">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2CCD1A58">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384" w:type="dxa"/>
            <w:tcBorders>
              <w:top w:val="nil"/>
              <w:left w:val="nil"/>
              <w:bottom w:val="single" w:color="auto" w:sz="4" w:space="0"/>
              <w:right w:val="single" w:color="auto" w:sz="4" w:space="0"/>
            </w:tcBorders>
            <w:vAlign w:val="center"/>
          </w:tcPr>
          <w:p w14:paraId="26C5454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7630FBD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29930E9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440" w:type="dxa"/>
            <w:tcBorders>
              <w:top w:val="nil"/>
              <w:left w:val="nil"/>
              <w:bottom w:val="single" w:color="auto" w:sz="4" w:space="0"/>
              <w:right w:val="single" w:color="auto" w:sz="4" w:space="0"/>
            </w:tcBorders>
            <w:vAlign w:val="center"/>
          </w:tcPr>
          <w:p w14:paraId="0FFB56C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925" w:type="dxa"/>
            <w:tcBorders>
              <w:top w:val="nil"/>
              <w:left w:val="nil"/>
              <w:bottom w:val="single" w:color="auto" w:sz="4" w:space="0"/>
              <w:right w:val="single" w:color="auto" w:sz="4" w:space="0"/>
            </w:tcBorders>
            <w:vAlign w:val="center"/>
          </w:tcPr>
          <w:p w14:paraId="08DE872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675A6B14">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0FB1BC6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5022DAB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9" w:type="dxa"/>
            <w:tcBorders>
              <w:top w:val="nil"/>
              <w:left w:val="nil"/>
              <w:bottom w:val="single" w:color="auto" w:sz="4" w:space="0"/>
              <w:right w:val="single" w:color="auto" w:sz="4" w:space="0"/>
            </w:tcBorders>
            <w:vAlign w:val="center"/>
          </w:tcPr>
          <w:p w14:paraId="02FA8A2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717FA62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440" w:type="dxa"/>
            <w:tcBorders>
              <w:top w:val="nil"/>
              <w:left w:val="nil"/>
              <w:bottom w:val="single" w:color="auto" w:sz="4" w:space="0"/>
              <w:right w:val="single" w:color="auto" w:sz="4" w:space="0"/>
            </w:tcBorders>
            <w:vAlign w:val="center"/>
          </w:tcPr>
          <w:p w14:paraId="1523C10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925" w:type="dxa"/>
            <w:tcBorders>
              <w:top w:val="nil"/>
              <w:left w:val="nil"/>
              <w:bottom w:val="single" w:color="auto" w:sz="4" w:space="0"/>
              <w:right w:val="single" w:color="auto" w:sz="4" w:space="0"/>
            </w:tcBorders>
            <w:vAlign w:val="center"/>
          </w:tcPr>
          <w:p w14:paraId="5681B72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5B5A1016">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784FADEB">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384" w:type="dxa"/>
            <w:tcBorders>
              <w:top w:val="nil"/>
              <w:left w:val="nil"/>
              <w:bottom w:val="single" w:color="auto" w:sz="4" w:space="0"/>
              <w:right w:val="single" w:color="auto" w:sz="4" w:space="0"/>
            </w:tcBorders>
            <w:vAlign w:val="center"/>
          </w:tcPr>
          <w:p w14:paraId="4B52446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5935621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4BCFA9D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338BE75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925" w:type="dxa"/>
            <w:tcBorders>
              <w:top w:val="nil"/>
              <w:left w:val="nil"/>
              <w:bottom w:val="single" w:color="auto" w:sz="4" w:space="0"/>
              <w:right w:val="single" w:color="auto" w:sz="4" w:space="0"/>
            </w:tcBorders>
            <w:vAlign w:val="center"/>
          </w:tcPr>
          <w:p w14:paraId="1100DAE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05E40988">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7FA3137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75C8C36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35D6E03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6CE4C07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440" w:type="dxa"/>
            <w:tcBorders>
              <w:top w:val="nil"/>
              <w:left w:val="nil"/>
              <w:bottom w:val="single" w:color="auto" w:sz="4" w:space="0"/>
              <w:right w:val="single" w:color="auto" w:sz="4" w:space="0"/>
            </w:tcBorders>
            <w:vAlign w:val="center"/>
          </w:tcPr>
          <w:p w14:paraId="6A06538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925" w:type="dxa"/>
            <w:tcBorders>
              <w:top w:val="nil"/>
              <w:left w:val="nil"/>
              <w:bottom w:val="single" w:color="auto" w:sz="4" w:space="0"/>
              <w:right w:val="single" w:color="auto" w:sz="4" w:space="0"/>
            </w:tcBorders>
            <w:vAlign w:val="center"/>
          </w:tcPr>
          <w:p w14:paraId="7AF79F1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29BEE905">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6532EC73">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384" w:type="dxa"/>
            <w:tcBorders>
              <w:top w:val="nil"/>
              <w:left w:val="nil"/>
              <w:bottom w:val="single" w:color="auto" w:sz="4" w:space="0"/>
              <w:right w:val="single" w:color="auto" w:sz="4" w:space="0"/>
            </w:tcBorders>
            <w:vAlign w:val="center"/>
          </w:tcPr>
          <w:p w14:paraId="167F47B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5C91778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3CD0A1E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1CE7BE4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0E9DE78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03254AC3">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01DC225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0F6DE23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9" w:type="dxa"/>
            <w:tcBorders>
              <w:top w:val="nil"/>
              <w:left w:val="nil"/>
              <w:bottom w:val="single" w:color="auto" w:sz="4" w:space="0"/>
              <w:right w:val="single" w:color="auto" w:sz="4" w:space="0"/>
            </w:tcBorders>
            <w:vAlign w:val="center"/>
          </w:tcPr>
          <w:p w14:paraId="754E6AA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147BEDA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440" w:type="dxa"/>
            <w:tcBorders>
              <w:top w:val="nil"/>
              <w:left w:val="nil"/>
              <w:bottom w:val="single" w:color="auto" w:sz="4" w:space="0"/>
              <w:right w:val="single" w:color="auto" w:sz="4" w:space="0"/>
            </w:tcBorders>
            <w:vAlign w:val="center"/>
          </w:tcPr>
          <w:p w14:paraId="2693A8F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925" w:type="dxa"/>
            <w:tcBorders>
              <w:top w:val="nil"/>
              <w:left w:val="nil"/>
              <w:bottom w:val="single" w:color="auto" w:sz="4" w:space="0"/>
              <w:right w:val="single" w:color="auto" w:sz="4" w:space="0"/>
            </w:tcBorders>
            <w:vAlign w:val="center"/>
          </w:tcPr>
          <w:p w14:paraId="1DCB664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1535AED">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vAlign w:val="bottom"/>
          </w:tcPr>
          <w:p w14:paraId="14EAE4A3">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384" w:type="dxa"/>
            <w:tcBorders>
              <w:top w:val="nil"/>
              <w:left w:val="nil"/>
              <w:bottom w:val="single" w:color="auto" w:sz="4" w:space="0"/>
              <w:right w:val="single" w:color="auto" w:sz="4" w:space="0"/>
            </w:tcBorders>
            <w:vAlign w:val="center"/>
          </w:tcPr>
          <w:p w14:paraId="0F6128D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0603F06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0834E04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63B1A39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7C638A4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0E78BF58">
      <w:pPr>
        <w:spacing w:line="360" w:lineRule="auto"/>
        <w:ind w:firstLine="525" w:firstLineChars="250"/>
        <w:rPr>
          <w:rFonts w:ascii="仿宋_GB2312" w:hAnsi="仿宋" w:eastAsia="仿宋_GB2312"/>
          <w:color w:val="auto"/>
          <w:szCs w:val="21"/>
          <w:highlight w:val="none"/>
        </w:rPr>
      </w:pPr>
    </w:p>
    <w:p w14:paraId="12F78ADB">
      <w:pPr>
        <w:rPr>
          <w:rFonts w:ascii="Times New Roman" w:hAnsi="Times New Roman"/>
          <w:color w:val="auto"/>
          <w:sz w:val="20"/>
          <w:highlight w:val="none"/>
        </w:rPr>
      </w:pPr>
      <w:r>
        <w:rPr>
          <w:rFonts w:hint="eastAsia" w:ascii="Times New Roman" w:hAnsi="Times New Roman"/>
          <w:color w:val="auto"/>
          <w:sz w:val="20"/>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FF42212">
      <w:pPr>
        <w:rPr>
          <w:color w:val="auto"/>
          <w:highlight w:val="none"/>
        </w:rPr>
      </w:pPr>
    </w:p>
    <w:sectPr>
      <w:headerReference r:id="rId9" w:type="first"/>
      <w:footerReference r:id="rId11" w:type="first"/>
      <w:headerReference r:id="rId8" w:type="default"/>
      <w:footerReference r:id="rId10" w:type="default"/>
      <w:pgSz w:w="11906" w:h="16838"/>
      <w:pgMar w:top="1134" w:right="1134" w:bottom="1134" w:left="1134"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宋体"/>
    <w:panose1 w:val="02010601030001010101"/>
    <w:charset w:val="86"/>
    <w:family w:val="auto"/>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理德小标宋简">
    <w:altName w:val="宋体"/>
    <w:panose1 w:val="00000000000000000000"/>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0288D">
    <w:pPr>
      <w:pStyle w:val="10"/>
      <w:spacing w:line="235" w:lineRule="exact"/>
      <w:ind w:left="4768"/>
      <w:rPr>
        <w:rFonts w:hint="eastAsia" w:eastAsia="宋体"/>
        <w:sz w:val="18"/>
        <w:szCs w:val="18"/>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EA2C900">
                          <w:pPr>
                            <w:pStyle w:val="1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6pebnPAAAABQEA&#10;AA8AAAAAAAAAAQAgAAAAIgAAAGRycy9kb3ducmV2LnhtbFBLAQIUABQAAAAIAIdO4kAKFEoI6gEA&#10;AMoDAAAOAAAAAAAAAAEAIAAAAB4BAABkcnMvZTJvRG9jLnhtbFBLBQYAAAAABgAGAFkBAAB6BQAA&#10;AAA=&#10;">
              <v:fill on="f" focussize="0,0"/>
              <v:stroke on="f"/>
              <v:imagedata o:title=""/>
              <o:lock v:ext="edit" aspectratio="f"/>
              <v:textbox inset="0mm,0mm,0mm,0mm" style="mso-fit-shape-to-text:t;">
                <w:txbxContent>
                  <w:p w14:paraId="4EA2C900">
                    <w:pPr>
                      <w:pStyle w:val="1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position w:val="1"/>
        <w:sz w:val="18"/>
        <w:szCs w:val="1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B338F">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F43C7F">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0F43C7F">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3C11B">
    <w:pPr>
      <w:pStyle w:val="17"/>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672D44B">
                          <w:pPr>
                            <w:pStyle w:val="17"/>
                          </w:pPr>
                          <w:r>
                            <w:fldChar w:fldCharType="begin"/>
                          </w:r>
                          <w:r>
                            <w:instrText xml:space="preserve"> PAGE  \* MERGEFORMAT </w:instrText>
                          </w:r>
                          <w:r>
                            <w:fldChar w:fldCharType="separate"/>
                          </w:r>
                          <w:r>
                            <w:t>34</w:t>
                          </w:r>
                          <w:r>
                            <w:fldChar w:fldCharType="end"/>
                          </w:r>
                        </w:p>
                      </w:txbxContent>
                    </wps:txbx>
                    <wps:bodyPr vert="horz" wrap="none" lIns="0" tIns="0" rIns="0" bIns="0" anchor="t" anchorCtr="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6pebnPAAAABQEA&#10;AA8AAAAAAAAAAQAgAAAAIgAAAGRycy9kb3ducmV2LnhtbFBLAQIUABQAAAAIAIdO4kByjFhz6gEA&#10;AMoDAAAOAAAAAAAAAAEAIAAAAB4BAABkcnMvZTJvRG9jLnhtbFBLBQYAAAAABgAGAFkBAAB6BQAA&#10;AAA=&#10;">
              <v:fill on="f" focussize="0,0"/>
              <v:stroke on="f"/>
              <v:imagedata o:title=""/>
              <o:lock v:ext="edit" aspectratio="f"/>
              <v:textbox inset="0mm,0mm,0mm,0mm" style="mso-fit-shape-to-text:t;">
                <w:txbxContent>
                  <w:p w14:paraId="6672D44B">
                    <w:pPr>
                      <w:pStyle w:val="17"/>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ED6DD">
    <w:pPr>
      <w:spacing w:line="176" w:lineRule="auto"/>
      <w:ind w:left="499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F51D66">
                          <w:pPr>
                            <w:pStyle w:val="17"/>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21F51D66">
                    <w:pPr>
                      <w:pStyle w:val="17"/>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81CE4">
    <w:pPr>
      <w:pStyle w:val="1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322091825"/>
                            <w:docPartObj>
                              <w:docPartGallery w:val="autotext"/>
                            </w:docPartObj>
                          </w:sdtPr>
                          <w:sdtContent>
                            <w:p w14:paraId="204C97CC">
                              <w:pPr>
                                <w:pStyle w:val="17"/>
                                <w:jc w:val="center"/>
                              </w:pPr>
                              <w:r>
                                <w:fldChar w:fldCharType="begin"/>
                              </w:r>
                              <w:r>
                                <w:instrText xml:space="preserve">PAGE   \* MERGEFORMAT</w:instrText>
                              </w:r>
                              <w:r>
                                <w:fldChar w:fldCharType="separate"/>
                              </w:r>
                              <w:r>
                                <w:rPr>
                                  <w:lang w:val="zh-CN"/>
                                </w:rPr>
                                <w:t>4</w:t>
                              </w:r>
                              <w:r>
                                <w:fldChar w:fldCharType="end"/>
                              </w:r>
                            </w:p>
                          </w:sdtContent>
                        </w:sdt>
                        <w:p w14:paraId="21E50DBA"/>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id w:val="322091825"/>
                      <w:docPartObj>
                        <w:docPartGallery w:val="autotext"/>
                      </w:docPartObj>
                    </w:sdtPr>
                    <w:sdtContent>
                      <w:p w14:paraId="204C97CC">
                        <w:pPr>
                          <w:pStyle w:val="17"/>
                          <w:jc w:val="center"/>
                        </w:pPr>
                        <w:r>
                          <w:fldChar w:fldCharType="begin"/>
                        </w:r>
                        <w:r>
                          <w:instrText xml:space="preserve">PAGE   \* MERGEFORMAT</w:instrText>
                        </w:r>
                        <w:r>
                          <w:fldChar w:fldCharType="separate"/>
                        </w:r>
                        <w:r>
                          <w:rPr>
                            <w:lang w:val="zh-CN"/>
                          </w:rPr>
                          <w:t>4</w:t>
                        </w:r>
                        <w:r>
                          <w:fldChar w:fldCharType="end"/>
                        </w:r>
                      </w:p>
                    </w:sdtContent>
                  </w:sdt>
                  <w:p w14:paraId="21E50DBA"/>
                </w:txbxContent>
              </v:textbox>
            </v:shape>
          </w:pict>
        </mc:Fallback>
      </mc:AlternateContent>
    </w:r>
  </w:p>
  <w:p w14:paraId="71F5350B">
    <w:pPr>
      <w:pStyle w:val="17"/>
      <w:rPr>
        <w:rStyle w:val="4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F4F25">
    <w:pPr>
      <w:pStyle w:val="17"/>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BA65A2">
                          <w:pPr>
                            <w:pStyle w:val="17"/>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BBA65A2">
                    <w:pPr>
                      <w:pStyle w:val="17"/>
                    </w:pPr>
                    <w:r>
                      <w:fldChar w:fldCharType="begin"/>
                    </w:r>
                    <w:r>
                      <w:instrText xml:space="preserve"> PAGE  \* MERGEFORMAT </w:instrText>
                    </w:r>
                    <w:r>
                      <w:fldChar w:fldCharType="separate"/>
                    </w:r>
                    <w:r>
                      <w:t>0</w:t>
                    </w:r>
                    <w:r>
                      <w:fldChar w:fldCharType="end"/>
                    </w:r>
                  </w:p>
                </w:txbxContent>
              </v:textbox>
            </v:shape>
          </w:pict>
        </mc:Fallback>
      </mc:AlternateContent>
    </w:r>
  </w:p>
  <w:p w14:paraId="4612EA33">
    <w:pPr>
      <w:pStyle w:val="17"/>
      <w:rPr>
        <w:rStyle w:val="4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4C62C">
    <w:pPr>
      <w:pStyle w:val="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168CE">
    <w:pPr>
      <w:pStyle w:val="18"/>
      <w:jc w:val="both"/>
      <w:rPr>
        <w:rFonts w:hint="default" w:ascii="宋体" w:hAnsi="宋体" w:cs="Courier New"/>
        <w:bCs/>
        <w:lang w:val="en-US" w:eastAsia="zh-CN"/>
      </w:rPr>
    </w:pPr>
    <w:r>
      <w:rPr>
        <w:rFonts w:hint="eastAsia" w:ascii="宋体" w:hAnsi="宋体" w:cs="Courier New"/>
        <w:bCs/>
        <w:lang w:val="en-US" w:eastAsia="zh-CN"/>
      </w:rPr>
      <w:t xml:space="preserve">港南区2026年生产障碍耕地治理项目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F217D">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0AC6EC"/>
    <w:multiLevelType w:val="singleLevel"/>
    <w:tmpl w:val="200AC6EC"/>
    <w:lvl w:ilvl="0" w:tentative="0">
      <w:start w:val="3"/>
      <w:numFmt w:val="decimal"/>
      <w:lvlText w:val="%1."/>
      <w:lvlJc w:val="left"/>
      <w:pPr>
        <w:tabs>
          <w:tab w:val="left" w:pos="312"/>
        </w:tabs>
      </w:pPr>
    </w:lvl>
  </w:abstractNum>
  <w:abstractNum w:abstractNumId="1">
    <w:nsid w:val="53B838A0"/>
    <w:multiLevelType w:val="singleLevel"/>
    <w:tmpl w:val="53B838A0"/>
    <w:lvl w:ilvl="0" w:tentative="0">
      <w:start w:val="3"/>
      <w:numFmt w:val="decimal"/>
      <w:suff w:val="nothing"/>
      <w:lvlText w:val="（%1）"/>
      <w:lvlJc w:val="left"/>
    </w:lvl>
  </w:abstractNum>
  <w:abstractNum w:abstractNumId="2">
    <w:nsid w:val="53CCF05C"/>
    <w:multiLevelType w:val="singleLevel"/>
    <w:tmpl w:val="53CCF05C"/>
    <w:lvl w:ilvl="0" w:tentative="0">
      <w:start w:val="5"/>
      <w:numFmt w:val="chineseCounting"/>
      <w:suff w:val="space"/>
      <w:lvlText w:val="第%1章"/>
      <w:lvlJc w:val="left"/>
      <w:rPr>
        <w:rFonts w:hint="eastAsia"/>
      </w:rPr>
    </w:lvl>
  </w:abstractNum>
  <w:abstractNum w:abstractNumId="3">
    <w:nsid w:val="5E91BD84"/>
    <w:multiLevelType w:val="singleLevel"/>
    <w:tmpl w:val="5E91BD84"/>
    <w:lvl w:ilvl="0" w:tentative="0">
      <w:start w:val="2"/>
      <w:numFmt w:val="chineseCounting"/>
      <w:suff w:val="nothing"/>
      <w:lvlText w:val="%1、"/>
      <w:lvlJc w:val="left"/>
      <w:rPr>
        <w:rFonts w:hint="eastAsia"/>
      </w:rPr>
    </w:lvl>
  </w:abstractNum>
  <w:abstractNum w:abstractNumId="4">
    <w:nsid w:val="656D6133"/>
    <w:multiLevelType w:val="multilevel"/>
    <w:tmpl w:val="656D6133"/>
    <w:lvl w:ilvl="0" w:tentative="0">
      <w:start w:val="1"/>
      <w:numFmt w:val="chineseCountingThousand"/>
      <w:suff w:val="nothing"/>
      <w:lvlText w:val="第%1部分"/>
      <w:lvlJc w:val="center"/>
      <w:pPr>
        <w:ind w:left="252" w:firstLine="288"/>
      </w:pPr>
      <w:rPr>
        <w:rFonts w:hint="eastAsia"/>
        <w:sz w:val="21"/>
        <w:szCs w:val="21"/>
      </w:rPr>
    </w:lvl>
    <w:lvl w:ilvl="1" w:tentative="0">
      <w:start w:val="1"/>
      <w:numFmt w:val="chineseCountingThousand"/>
      <w:suff w:val="nothing"/>
      <w:lvlText w:val="%2、"/>
      <w:lvlJc w:val="left"/>
      <w:pPr>
        <w:ind w:left="3" w:firstLine="177"/>
      </w:pPr>
      <w:rPr>
        <w:rFonts w:hint="eastAsia" w:ascii="仿宋_GB2312" w:hAnsi="宋体" w:eastAsia="仿宋_GB2312"/>
        <w:sz w:val="21"/>
        <w:szCs w:val="21"/>
        <w:lang w:val="en-US"/>
      </w:rPr>
    </w:lvl>
    <w:lvl w:ilvl="2" w:tentative="0">
      <w:start w:val="1"/>
      <w:numFmt w:val="chineseCountingThousand"/>
      <w:suff w:val="nothing"/>
      <w:lvlText w:val="(%3)"/>
      <w:lvlJc w:val="left"/>
      <w:pPr>
        <w:ind w:left="252"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252" w:firstLine="0"/>
      </w:pPr>
      <w:rPr>
        <w:rFonts w:hint="eastAsia"/>
      </w:rPr>
    </w:lvl>
    <w:lvl w:ilvl="4" w:tentative="0">
      <w:start w:val="1"/>
      <w:numFmt w:val="upperLetter"/>
      <w:suff w:val="nothing"/>
      <w:lvlText w:val="%5、"/>
      <w:lvlJc w:val="left"/>
      <w:pPr>
        <w:ind w:left="252" w:firstLine="0"/>
      </w:pPr>
      <w:rPr>
        <w:rFonts w:hint="eastAsia"/>
      </w:rPr>
    </w:lvl>
    <w:lvl w:ilvl="5" w:tentative="0">
      <w:start w:val="1"/>
      <w:numFmt w:val="none"/>
      <w:pStyle w:val="6"/>
      <w:suff w:val="nothing"/>
      <w:lvlText w:val=""/>
      <w:lvlJc w:val="left"/>
      <w:pPr>
        <w:ind w:left="252" w:firstLine="0"/>
      </w:pPr>
      <w:rPr>
        <w:rFonts w:hint="eastAsia"/>
      </w:rPr>
    </w:lvl>
    <w:lvl w:ilvl="6" w:tentative="0">
      <w:start w:val="1"/>
      <w:numFmt w:val="none"/>
      <w:suff w:val="nothing"/>
      <w:lvlText w:val=""/>
      <w:lvlJc w:val="left"/>
      <w:pPr>
        <w:ind w:left="252" w:firstLine="0"/>
      </w:pPr>
      <w:rPr>
        <w:rFonts w:hint="eastAsia"/>
      </w:rPr>
    </w:lvl>
    <w:lvl w:ilvl="7" w:tentative="0">
      <w:start w:val="1"/>
      <w:numFmt w:val="none"/>
      <w:suff w:val="nothing"/>
      <w:lvlText w:val=""/>
      <w:lvlJc w:val="left"/>
      <w:pPr>
        <w:ind w:left="252" w:firstLine="0"/>
      </w:pPr>
      <w:rPr>
        <w:rFonts w:hint="eastAsia"/>
      </w:rPr>
    </w:lvl>
    <w:lvl w:ilvl="8" w:tentative="0">
      <w:start w:val="1"/>
      <w:numFmt w:val="none"/>
      <w:suff w:val="nothing"/>
      <w:lvlText w:val=""/>
      <w:lvlJc w:val="left"/>
      <w:pPr>
        <w:ind w:left="252" w:firstLine="0"/>
      </w:pPr>
      <w:rPr>
        <w:rFonts w:hint="eastAsia"/>
      </w:rPr>
    </w:lvl>
  </w:abstractNum>
  <w:abstractNum w:abstractNumId="5">
    <w:nsid w:val="77959FA4"/>
    <w:multiLevelType w:val="singleLevel"/>
    <w:tmpl w:val="77959FA4"/>
    <w:lvl w:ilvl="0" w:tentative="0">
      <w:start w:val="3"/>
      <w:numFmt w:val="chineseCounting"/>
      <w:suff w:val="space"/>
      <w:lvlText w:val="第%1章"/>
      <w:lvlJc w:val="left"/>
      <w:rPr>
        <w:rFonts w:hint="eastAsia"/>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hdrShapeDefaults>
    <o:shapelayout v:ext="edit">
      <o:idmap v:ext="edit" data="2"/>
    </o:shapelayout>
  </w:hdrShapeDefaults>
  <w:compat>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1OTMxMmYyNWI3NzFkNjBiODkxZDNlMmM1N2IwMTkifQ=="/>
  </w:docVars>
  <w:rsids>
    <w:rsidRoot w:val="009721B5"/>
    <w:rsid w:val="00007754"/>
    <w:rsid w:val="00016A83"/>
    <w:rsid w:val="0001776B"/>
    <w:rsid w:val="000562C1"/>
    <w:rsid w:val="00063284"/>
    <w:rsid w:val="00067BBB"/>
    <w:rsid w:val="00070790"/>
    <w:rsid w:val="0007170B"/>
    <w:rsid w:val="00075DE4"/>
    <w:rsid w:val="00081102"/>
    <w:rsid w:val="00092085"/>
    <w:rsid w:val="000A3C0D"/>
    <w:rsid w:val="000A42EE"/>
    <w:rsid w:val="000B4F33"/>
    <w:rsid w:val="000B564E"/>
    <w:rsid w:val="000B56C1"/>
    <w:rsid w:val="000C108B"/>
    <w:rsid w:val="000C18E3"/>
    <w:rsid w:val="000C1A67"/>
    <w:rsid w:val="000C3DCC"/>
    <w:rsid w:val="000D1286"/>
    <w:rsid w:val="000D5DFF"/>
    <w:rsid w:val="000E0CEE"/>
    <w:rsid w:val="000E25C6"/>
    <w:rsid w:val="000F0CC4"/>
    <w:rsid w:val="000F29F3"/>
    <w:rsid w:val="000F332E"/>
    <w:rsid w:val="000F5165"/>
    <w:rsid w:val="00102157"/>
    <w:rsid w:val="001022C3"/>
    <w:rsid w:val="00107675"/>
    <w:rsid w:val="001113BD"/>
    <w:rsid w:val="00115E8F"/>
    <w:rsid w:val="001206B2"/>
    <w:rsid w:val="0012435F"/>
    <w:rsid w:val="0012730C"/>
    <w:rsid w:val="00132C81"/>
    <w:rsid w:val="00135191"/>
    <w:rsid w:val="00136C63"/>
    <w:rsid w:val="00142144"/>
    <w:rsid w:val="00146463"/>
    <w:rsid w:val="001517FA"/>
    <w:rsid w:val="00162D0C"/>
    <w:rsid w:val="00167E23"/>
    <w:rsid w:val="00170371"/>
    <w:rsid w:val="00173F8A"/>
    <w:rsid w:val="00175639"/>
    <w:rsid w:val="0017579D"/>
    <w:rsid w:val="001925DE"/>
    <w:rsid w:val="00193ABF"/>
    <w:rsid w:val="00195542"/>
    <w:rsid w:val="001A78B1"/>
    <w:rsid w:val="001B2A87"/>
    <w:rsid w:val="001B4E57"/>
    <w:rsid w:val="001B555A"/>
    <w:rsid w:val="001B6E17"/>
    <w:rsid w:val="001C078F"/>
    <w:rsid w:val="001C6487"/>
    <w:rsid w:val="001C7930"/>
    <w:rsid w:val="001D6AB0"/>
    <w:rsid w:val="001E5778"/>
    <w:rsid w:val="001F008B"/>
    <w:rsid w:val="001F0934"/>
    <w:rsid w:val="001F7E4E"/>
    <w:rsid w:val="002102D3"/>
    <w:rsid w:val="00212A10"/>
    <w:rsid w:val="00222770"/>
    <w:rsid w:val="00225337"/>
    <w:rsid w:val="00225E08"/>
    <w:rsid w:val="0023355E"/>
    <w:rsid w:val="00233AB0"/>
    <w:rsid w:val="00234CF5"/>
    <w:rsid w:val="00235C77"/>
    <w:rsid w:val="00236A5E"/>
    <w:rsid w:val="00243428"/>
    <w:rsid w:val="00244000"/>
    <w:rsid w:val="00245020"/>
    <w:rsid w:val="00247F8F"/>
    <w:rsid w:val="00260CEA"/>
    <w:rsid w:val="002616C9"/>
    <w:rsid w:val="002618EA"/>
    <w:rsid w:val="0026566E"/>
    <w:rsid w:val="002701C1"/>
    <w:rsid w:val="002706FD"/>
    <w:rsid w:val="002852CA"/>
    <w:rsid w:val="002A207D"/>
    <w:rsid w:val="002B751E"/>
    <w:rsid w:val="002C7E16"/>
    <w:rsid w:val="002D7670"/>
    <w:rsid w:val="002E16AE"/>
    <w:rsid w:val="002E17F8"/>
    <w:rsid w:val="002E3910"/>
    <w:rsid w:val="002E4A00"/>
    <w:rsid w:val="002F4732"/>
    <w:rsid w:val="002F7F1A"/>
    <w:rsid w:val="00301BF9"/>
    <w:rsid w:val="00302D96"/>
    <w:rsid w:val="00302F8E"/>
    <w:rsid w:val="00313429"/>
    <w:rsid w:val="00313631"/>
    <w:rsid w:val="00321D17"/>
    <w:rsid w:val="003224C8"/>
    <w:rsid w:val="0032265B"/>
    <w:rsid w:val="0032282C"/>
    <w:rsid w:val="00324648"/>
    <w:rsid w:val="0033025F"/>
    <w:rsid w:val="0033268F"/>
    <w:rsid w:val="00334316"/>
    <w:rsid w:val="00343B6B"/>
    <w:rsid w:val="003451CB"/>
    <w:rsid w:val="003503EC"/>
    <w:rsid w:val="00350748"/>
    <w:rsid w:val="003528A1"/>
    <w:rsid w:val="00367E61"/>
    <w:rsid w:val="00375AFB"/>
    <w:rsid w:val="00383344"/>
    <w:rsid w:val="00385136"/>
    <w:rsid w:val="00395FEC"/>
    <w:rsid w:val="003A1305"/>
    <w:rsid w:val="003A3D9C"/>
    <w:rsid w:val="003A4219"/>
    <w:rsid w:val="003A79B8"/>
    <w:rsid w:val="003B43F4"/>
    <w:rsid w:val="003C001C"/>
    <w:rsid w:val="003C08C8"/>
    <w:rsid w:val="003C5478"/>
    <w:rsid w:val="003C67CC"/>
    <w:rsid w:val="003D2033"/>
    <w:rsid w:val="003E6603"/>
    <w:rsid w:val="003E7738"/>
    <w:rsid w:val="003F6246"/>
    <w:rsid w:val="00417343"/>
    <w:rsid w:val="00421536"/>
    <w:rsid w:val="00423DDF"/>
    <w:rsid w:val="00423EFA"/>
    <w:rsid w:val="004274B9"/>
    <w:rsid w:val="004274E6"/>
    <w:rsid w:val="00435514"/>
    <w:rsid w:val="00436924"/>
    <w:rsid w:val="004403AB"/>
    <w:rsid w:val="00445215"/>
    <w:rsid w:val="004460BB"/>
    <w:rsid w:val="004516EB"/>
    <w:rsid w:val="0045232A"/>
    <w:rsid w:val="0045537E"/>
    <w:rsid w:val="00461120"/>
    <w:rsid w:val="0046112E"/>
    <w:rsid w:val="004733B7"/>
    <w:rsid w:val="0048475A"/>
    <w:rsid w:val="00485A20"/>
    <w:rsid w:val="00493096"/>
    <w:rsid w:val="004934A6"/>
    <w:rsid w:val="004A1AC1"/>
    <w:rsid w:val="004B034F"/>
    <w:rsid w:val="004B607D"/>
    <w:rsid w:val="004B7A01"/>
    <w:rsid w:val="004D222A"/>
    <w:rsid w:val="004D3499"/>
    <w:rsid w:val="004E46E3"/>
    <w:rsid w:val="004F1936"/>
    <w:rsid w:val="004F21AD"/>
    <w:rsid w:val="004F5D42"/>
    <w:rsid w:val="004F7F50"/>
    <w:rsid w:val="005057D0"/>
    <w:rsid w:val="00506D63"/>
    <w:rsid w:val="0050707A"/>
    <w:rsid w:val="00513218"/>
    <w:rsid w:val="005164C3"/>
    <w:rsid w:val="00516B91"/>
    <w:rsid w:val="00521FF3"/>
    <w:rsid w:val="00525879"/>
    <w:rsid w:val="0053731E"/>
    <w:rsid w:val="00540184"/>
    <w:rsid w:val="00540A17"/>
    <w:rsid w:val="00541EC6"/>
    <w:rsid w:val="005440EC"/>
    <w:rsid w:val="005448A2"/>
    <w:rsid w:val="0054528D"/>
    <w:rsid w:val="00547897"/>
    <w:rsid w:val="0056043F"/>
    <w:rsid w:val="00564043"/>
    <w:rsid w:val="00565014"/>
    <w:rsid w:val="00575C06"/>
    <w:rsid w:val="00585EC4"/>
    <w:rsid w:val="00586504"/>
    <w:rsid w:val="00594BCD"/>
    <w:rsid w:val="005958CB"/>
    <w:rsid w:val="005A44AA"/>
    <w:rsid w:val="005A5E5B"/>
    <w:rsid w:val="005B203A"/>
    <w:rsid w:val="005B2687"/>
    <w:rsid w:val="005B5B71"/>
    <w:rsid w:val="005B7220"/>
    <w:rsid w:val="005C00F0"/>
    <w:rsid w:val="005C5212"/>
    <w:rsid w:val="005D0161"/>
    <w:rsid w:val="005D4566"/>
    <w:rsid w:val="005E1AAE"/>
    <w:rsid w:val="005F2C32"/>
    <w:rsid w:val="00603FF6"/>
    <w:rsid w:val="00612DC9"/>
    <w:rsid w:val="0061690C"/>
    <w:rsid w:val="00617247"/>
    <w:rsid w:val="006208D6"/>
    <w:rsid w:val="00625536"/>
    <w:rsid w:val="0062640C"/>
    <w:rsid w:val="006421B0"/>
    <w:rsid w:val="006439D6"/>
    <w:rsid w:val="006479AD"/>
    <w:rsid w:val="00663B97"/>
    <w:rsid w:val="00663FFA"/>
    <w:rsid w:val="00670B25"/>
    <w:rsid w:val="0067272C"/>
    <w:rsid w:val="0067299B"/>
    <w:rsid w:val="00676A0E"/>
    <w:rsid w:val="0068054D"/>
    <w:rsid w:val="00693CAD"/>
    <w:rsid w:val="006954EC"/>
    <w:rsid w:val="006A00B2"/>
    <w:rsid w:val="006B7F7C"/>
    <w:rsid w:val="006C387A"/>
    <w:rsid w:val="006C423D"/>
    <w:rsid w:val="006E2F39"/>
    <w:rsid w:val="006F2F3D"/>
    <w:rsid w:val="006F41BD"/>
    <w:rsid w:val="006F6031"/>
    <w:rsid w:val="006F6395"/>
    <w:rsid w:val="00700B4D"/>
    <w:rsid w:val="00705571"/>
    <w:rsid w:val="0071213C"/>
    <w:rsid w:val="00716B43"/>
    <w:rsid w:val="00717B01"/>
    <w:rsid w:val="00720077"/>
    <w:rsid w:val="007274F1"/>
    <w:rsid w:val="00736A56"/>
    <w:rsid w:val="00737063"/>
    <w:rsid w:val="00740B5A"/>
    <w:rsid w:val="00741E61"/>
    <w:rsid w:val="0074424D"/>
    <w:rsid w:val="00746FA1"/>
    <w:rsid w:val="00747B6B"/>
    <w:rsid w:val="00777FE7"/>
    <w:rsid w:val="00797BD2"/>
    <w:rsid w:val="007C24FA"/>
    <w:rsid w:val="007C2A63"/>
    <w:rsid w:val="007C642B"/>
    <w:rsid w:val="007D00C6"/>
    <w:rsid w:val="007D5F21"/>
    <w:rsid w:val="007D62A0"/>
    <w:rsid w:val="007D669D"/>
    <w:rsid w:val="007E11BA"/>
    <w:rsid w:val="007E53A2"/>
    <w:rsid w:val="007F07F9"/>
    <w:rsid w:val="007F71FC"/>
    <w:rsid w:val="008036A2"/>
    <w:rsid w:val="008036ED"/>
    <w:rsid w:val="00804467"/>
    <w:rsid w:val="00805C43"/>
    <w:rsid w:val="008175A9"/>
    <w:rsid w:val="00847370"/>
    <w:rsid w:val="00853BD3"/>
    <w:rsid w:val="00860ED1"/>
    <w:rsid w:val="00865B76"/>
    <w:rsid w:val="00873ED9"/>
    <w:rsid w:val="00882D4F"/>
    <w:rsid w:val="0089175F"/>
    <w:rsid w:val="008A0BF4"/>
    <w:rsid w:val="008A2579"/>
    <w:rsid w:val="008A6D14"/>
    <w:rsid w:val="008B5DC6"/>
    <w:rsid w:val="008F2BF4"/>
    <w:rsid w:val="008F3BC0"/>
    <w:rsid w:val="008F3F68"/>
    <w:rsid w:val="008F402E"/>
    <w:rsid w:val="00906C2B"/>
    <w:rsid w:val="00910B49"/>
    <w:rsid w:val="00913C91"/>
    <w:rsid w:val="00922EBF"/>
    <w:rsid w:val="009307CA"/>
    <w:rsid w:val="00930EC2"/>
    <w:rsid w:val="00946544"/>
    <w:rsid w:val="00952885"/>
    <w:rsid w:val="00964E20"/>
    <w:rsid w:val="00965EE1"/>
    <w:rsid w:val="009721B5"/>
    <w:rsid w:val="009842BA"/>
    <w:rsid w:val="009854A4"/>
    <w:rsid w:val="009856E3"/>
    <w:rsid w:val="00985A4D"/>
    <w:rsid w:val="009928D1"/>
    <w:rsid w:val="00995FE8"/>
    <w:rsid w:val="009C17BC"/>
    <w:rsid w:val="009C2F26"/>
    <w:rsid w:val="009C3409"/>
    <w:rsid w:val="009D781D"/>
    <w:rsid w:val="009E43DF"/>
    <w:rsid w:val="009F446F"/>
    <w:rsid w:val="009F7682"/>
    <w:rsid w:val="009F76AD"/>
    <w:rsid w:val="00A10F09"/>
    <w:rsid w:val="00A15B38"/>
    <w:rsid w:val="00A163A2"/>
    <w:rsid w:val="00A26A4C"/>
    <w:rsid w:val="00A30587"/>
    <w:rsid w:val="00A33B38"/>
    <w:rsid w:val="00A33E59"/>
    <w:rsid w:val="00A34E18"/>
    <w:rsid w:val="00A3563D"/>
    <w:rsid w:val="00A3679F"/>
    <w:rsid w:val="00A41342"/>
    <w:rsid w:val="00A51EF1"/>
    <w:rsid w:val="00A5300E"/>
    <w:rsid w:val="00A55D84"/>
    <w:rsid w:val="00A5709B"/>
    <w:rsid w:val="00A61A70"/>
    <w:rsid w:val="00A624E5"/>
    <w:rsid w:val="00A70B15"/>
    <w:rsid w:val="00A7646E"/>
    <w:rsid w:val="00A77E76"/>
    <w:rsid w:val="00A81B35"/>
    <w:rsid w:val="00A84810"/>
    <w:rsid w:val="00A950D1"/>
    <w:rsid w:val="00AA17CB"/>
    <w:rsid w:val="00AA3D87"/>
    <w:rsid w:val="00AA4E36"/>
    <w:rsid w:val="00AB272E"/>
    <w:rsid w:val="00AC2396"/>
    <w:rsid w:val="00AC3E60"/>
    <w:rsid w:val="00AC73E4"/>
    <w:rsid w:val="00AE2D71"/>
    <w:rsid w:val="00AE4681"/>
    <w:rsid w:val="00AE7DD6"/>
    <w:rsid w:val="00AF0057"/>
    <w:rsid w:val="00AF3197"/>
    <w:rsid w:val="00B00428"/>
    <w:rsid w:val="00B00B18"/>
    <w:rsid w:val="00B04324"/>
    <w:rsid w:val="00B0501B"/>
    <w:rsid w:val="00B14DE4"/>
    <w:rsid w:val="00B16E84"/>
    <w:rsid w:val="00B27FDE"/>
    <w:rsid w:val="00B32B37"/>
    <w:rsid w:val="00B32B6C"/>
    <w:rsid w:val="00B362FF"/>
    <w:rsid w:val="00B406C6"/>
    <w:rsid w:val="00B463EE"/>
    <w:rsid w:val="00B47B7D"/>
    <w:rsid w:val="00B52B87"/>
    <w:rsid w:val="00B558D9"/>
    <w:rsid w:val="00B6469A"/>
    <w:rsid w:val="00B65699"/>
    <w:rsid w:val="00B66084"/>
    <w:rsid w:val="00B6780C"/>
    <w:rsid w:val="00B71D00"/>
    <w:rsid w:val="00B813FD"/>
    <w:rsid w:val="00B86D19"/>
    <w:rsid w:val="00B93B26"/>
    <w:rsid w:val="00B93DCD"/>
    <w:rsid w:val="00BA19B2"/>
    <w:rsid w:val="00BA52B2"/>
    <w:rsid w:val="00BA76E0"/>
    <w:rsid w:val="00BB6EC2"/>
    <w:rsid w:val="00BC5623"/>
    <w:rsid w:val="00BD5796"/>
    <w:rsid w:val="00BF226B"/>
    <w:rsid w:val="00BF4782"/>
    <w:rsid w:val="00BF7AFE"/>
    <w:rsid w:val="00BF7F8F"/>
    <w:rsid w:val="00C02A57"/>
    <w:rsid w:val="00C02DC1"/>
    <w:rsid w:val="00C2528D"/>
    <w:rsid w:val="00C26E5E"/>
    <w:rsid w:val="00C34107"/>
    <w:rsid w:val="00C37739"/>
    <w:rsid w:val="00C40AE7"/>
    <w:rsid w:val="00C501A4"/>
    <w:rsid w:val="00C54613"/>
    <w:rsid w:val="00C57598"/>
    <w:rsid w:val="00C60B86"/>
    <w:rsid w:val="00C6526C"/>
    <w:rsid w:val="00C737FE"/>
    <w:rsid w:val="00C76C1E"/>
    <w:rsid w:val="00C87150"/>
    <w:rsid w:val="00CA6E68"/>
    <w:rsid w:val="00CB739A"/>
    <w:rsid w:val="00CC1269"/>
    <w:rsid w:val="00CD1516"/>
    <w:rsid w:val="00CE51B5"/>
    <w:rsid w:val="00CF3D32"/>
    <w:rsid w:val="00CF58A7"/>
    <w:rsid w:val="00D01EB6"/>
    <w:rsid w:val="00D170FB"/>
    <w:rsid w:val="00D1799C"/>
    <w:rsid w:val="00D202B3"/>
    <w:rsid w:val="00D23BAF"/>
    <w:rsid w:val="00D33E48"/>
    <w:rsid w:val="00D41FB9"/>
    <w:rsid w:val="00D43F8D"/>
    <w:rsid w:val="00D44DF1"/>
    <w:rsid w:val="00D501EF"/>
    <w:rsid w:val="00D51A14"/>
    <w:rsid w:val="00D636C1"/>
    <w:rsid w:val="00D67626"/>
    <w:rsid w:val="00D81BDB"/>
    <w:rsid w:val="00D86735"/>
    <w:rsid w:val="00D869BB"/>
    <w:rsid w:val="00D86FCB"/>
    <w:rsid w:val="00D8717B"/>
    <w:rsid w:val="00D902B8"/>
    <w:rsid w:val="00D91204"/>
    <w:rsid w:val="00D950BB"/>
    <w:rsid w:val="00DA2A8E"/>
    <w:rsid w:val="00DA450D"/>
    <w:rsid w:val="00DA4590"/>
    <w:rsid w:val="00DA5240"/>
    <w:rsid w:val="00DB3703"/>
    <w:rsid w:val="00DC3C16"/>
    <w:rsid w:val="00DC3D7D"/>
    <w:rsid w:val="00DD30E2"/>
    <w:rsid w:val="00DE3E34"/>
    <w:rsid w:val="00E053E6"/>
    <w:rsid w:val="00E0582D"/>
    <w:rsid w:val="00E06109"/>
    <w:rsid w:val="00E06AF6"/>
    <w:rsid w:val="00E2271E"/>
    <w:rsid w:val="00E23B89"/>
    <w:rsid w:val="00E312E6"/>
    <w:rsid w:val="00E36D59"/>
    <w:rsid w:val="00E41A1D"/>
    <w:rsid w:val="00E47BBA"/>
    <w:rsid w:val="00E47FDE"/>
    <w:rsid w:val="00E50C4F"/>
    <w:rsid w:val="00E636FA"/>
    <w:rsid w:val="00E7094B"/>
    <w:rsid w:val="00E84248"/>
    <w:rsid w:val="00E9221C"/>
    <w:rsid w:val="00E946C1"/>
    <w:rsid w:val="00E96D97"/>
    <w:rsid w:val="00EA5F92"/>
    <w:rsid w:val="00EB2E4B"/>
    <w:rsid w:val="00EB41B7"/>
    <w:rsid w:val="00EC13DB"/>
    <w:rsid w:val="00EC2C8C"/>
    <w:rsid w:val="00EC484D"/>
    <w:rsid w:val="00EC5075"/>
    <w:rsid w:val="00EC6A8E"/>
    <w:rsid w:val="00ED2369"/>
    <w:rsid w:val="00ED74DE"/>
    <w:rsid w:val="00ED7EBD"/>
    <w:rsid w:val="00EE655B"/>
    <w:rsid w:val="00EF3BB4"/>
    <w:rsid w:val="00EF64F5"/>
    <w:rsid w:val="00F012F2"/>
    <w:rsid w:val="00F06A21"/>
    <w:rsid w:val="00F4467A"/>
    <w:rsid w:val="00F459F1"/>
    <w:rsid w:val="00F45C0A"/>
    <w:rsid w:val="00F466A4"/>
    <w:rsid w:val="00F507CE"/>
    <w:rsid w:val="00F55D0A"/>
    <w:rsid w:val="00F64F5D"/>
    <w:rsid w:val="00F72888"/>
    <w:rsid w:val="00F775D6"/>
    <w:rsid w:val="00F835C0"/>
    <w:rsid w:val="00F85A19"/>
    <w:rsid w:val="00F91DF4"/>
    <w:rsid w:val="00F921E6"/>
    <w:rsid w:val="00F95AE9"/>
    <w:rsid w:val="00FB0523"/>
    <w:rsid w:val="00FB2E2B"/>
    <w:rsid w:val="00FB3273"/>
    <w:rsid w:val="00FB3A6E"/>
    <w:rsid w:val="00FC13CA"/>
    <w:rsid w:val="00FC4FCF"/>
    <w:rsid w:val="00FF191E"/>
    <w:rsid w:val="01687703"/>
    <w:rsid w:val="01794130"/>
    <w:rsid w:val="017E5BD6"/>
    <w:rsid w:val="018A58CB"/>
    <w:rsid w:val="01BA61B0"/>
    <w:rsid w:val="01CF5970"/>
    <w:rsid w:val="01E37862"/>
    <w:rsid w:val="01EA7F33"/>
    <w:rsid w:val="01F1129A"/>
    <w:rsid w:val="02052106"/>
    <w:rsid w:val="022B2573"/>
    <w:rsid w:val="02383CE7"/>
    <w:rsid w:val="026223A4"/>
    <w:rsid w:val="0274492C"/>
    <w:rsid w:val="02754368"/>
    <w:rsid w:val="02822D27"/>
    <w:rsid w:val="02892DCD"/>
    <w:rsid w:val="02CB619B"/>
    <w:rsid w:val="02D54924"/>
    <w:rsid w:val="02E96621"/>
    <w:rsid w:val="03050D8B"/>
    <w:rsid w:val="031F0BE5"/>
    <w:rsid w:val="03B86720"/>
    <w:rsid w:val="03BD3118"/>
    <w:rsid w:val="03D45789"/>
    <w:rsid w:val="03E017D2"/>
    <w:rsid w:val="041B280B"/>
    <w:rsid w:val="04253689"/>
    <w:rsid w:val="04356FBE"/>
    <w:rsid w:val="04524420"/>
    <w:rsid w:val="04675A50"/>
    <w:rsid w:val="04845AED"/>
    <w:rsid w:val="048B5BE2"/>
    <w:rsid w:val="04963166"/>
    <w:rsid w:val="04B13319"/>
    <w:rsid w:val="05154177"/>
    <w:rsid w:val="052F5C5F"/>
    <w:rsid w:val="0539563E"/>
    <w:rsid w:val="054062E5"/>
    <w:rsid w:val="054144F3"/>
    <w:rsid w:val="054F6C10"/>
    <w:rsid w:val="05592073"/>
    <w:rsid w:val="05597A8E"/>
    <w:rsid w:val="056C251A"/>
    <w:rsid w:val="056D2D37"/>
    <w:rsid w:val="058A7C48"/>
    <w:rsid w:val="058B34D9"/>
    <w:rsid w:val="05A625A8"/>
    <w:rsid w:val="05AA2098"/>
    <w:rsid w:val="05CC0260"/>
    <w:rsid w:val="05D15C2C"/>
    <w:rsid w:val="05D62709"/>
    <w:rsid w:val="05FD1842"/>
    <w:rsid w:val="06023C82"/>
    <w:rsid w:val="06071298"/>
    <w:rsid w:val="061B2F96"/>
    <w:rsid w:val="06712BB6"/>
    <w:rsid w:val="06B92F1F"/>
    <w:rsid w:val="06BE5503"/>
    <w:rsid w:val="06CC4A19"/>
    <w:rsid w:val="06DA075B"/>
    <w:rsid w:val="06DE708A"/>
    <w:rsid w:val="06E52D3A"/>
    <w:rsid w:val="06E604BC"/>
    <w:rsid w:val="06F02F69"/>
    <w:rsid w:val="06F07F7E"/>
    <w:rsid w:val="0701218C"/>
    <w:rsid w:val="071B7454"/>
    <w:rsid w:val="07224741"/>
    <w:rsid w:val="072F63A4"/>
    <w:rsid w:val="074B78AB"/>
    <w:rsid w:val="075F6EB2"/>
    <w:rsid w:val="07750484"/>
    <w:rsid w:val="079B4852"/>
    <w:rsid w:val="07BB53AE"/>
    <w:rsid w:val="07EC0B4F"/>
    <w:rsid w:val="07EC6998"/>
    <w:rsid w:val="07F50559"/>
    <w:rsid w:val="08023CD3"/>
    <w:rsid w:val="08183C31"/>
    <w:rsid w:val="081E6D6D"/>
    <w:rsid w:val="08246211"/>
    <w:rsid w:val="088A5FAE"/>
    <w:rsid w:val="08A33CE4"/>
    <w:rsid w:val="08A454C4"/>
    <w:rsid w:val="08AC6127"/>
    <w:rsid w:val="08D4742C"/>
    <w:rsid w:val="09050FE1"/>
    <w:rsid w:val="0921629E"/>
    <w:rsid w:val="092E2FE0"/>
    <w:rsid w:val="09765D1E"/>
    <w:rsid w:val="0983157E"/>
    <w:rsid w:val="098A46BA"/>
    <w:rsid w:val="098D3363"/>
    <w:rsid w:val="09B5725D"/>
    <w:rsid w:val="09B63A26"/>
    <w:rsid w:val="09B770E0"/>
    <w:rsid w:val="09C04258"/>
    <w:rsid w:val="09C63218"/>
    <w:rsid w:val="09CF6571"/>
    <w:rsid w:val="09D01A9D"/>
    <w:rsid w:val="09DE547F"/>
    <w:rsid w:val="09EB0670"/>
    <w:rsid w:val="0A1F722F"/>
    <w:rsid w:val="0A3D172D"/>
    <w:rsid w:val="0A3D797F"/>
    <w:rsid w:val="0A434869"/>
    <w:rsid w:val="0A69348C"/>
    <w:rsid w:val="0A887675"/>
    <w:rsid w:val="0AB17A25"/>
    <w:rsid w:val="0ABB4D47"/>
    <w:rsid w:val="0AC4188F"/>
    <w:rsid w:val="0AD4044D"/>
    <w:rsid w:val="0AEB5F5D"/>
    <w:rsid w:val="0AFB3F1F"/>
    <w:rsid w:val="0B3B3792"/>
    <w:rsid w:val="0B462863"/>
    <w:rsid w:val="0B473330"/>
    <w:rsid w:val="0B4F5EBE"/>
    <w:rsid w:val="0B7257D1"/>
    <w:rsid w:val="0B907F82"/>
    <w:rsid w:val="0BAA1044"/>
    <w:rsid w:val="0BAB443A"/>
    <w:rsid w:val="0BB41258"/>
    <w:rsid w:val="0BBA59F6"/>
    <w:rsid w:val="0BBD18A6"/>
    <w:rsid w:val="0BC65752"/>
    <w:rsid w:val="0C012C2E"/>
    <w:rsid w:val="0C0F3B47"/>
    <w:rsid w:val="0C5745FC"/>
    <w:rsid w:val="0C6F7B97"/>
    <w:rsid w:val="0C71390F"/>
    <w:rsid w:val="0C837CCE"/>
    <w:rsid w:val="0C953EE4"/>
    <w:rsid w:val="0CA748A4"/>
    <w:rsid w:val="0CC03D8E"/>
    <w:rsid w:val="0CCF5D50"/>
    <w:rsid w:val="0CE877EB"/>
    <w:rsid w:val="0CF94126"/>
    <w:rsid w:val="0D2027F3"/>
    <w:rsid w:val="0D476E7E"/>
    <w:rsid w:val="0D5374B9"/>
    <w:rsid w:val="0D5D2233"/>
    <w:rsid w:val="0D5F4500"/>
    <w:rsid w:val="0D6A7D07"/>
    <w:rsid w:val="0D763C18"/>
    <w:rsid w:val="0D7A2C98"/>
    <w:rsid w:val="0D95362E"/>
    <w:rsid w:val="0DCC3FC5"/>
    <w:rsid w:val="0DCD7E40"/>
    <w:rsid w:val="0E0D21F8"/>
    <w:rsid w:val="0E4A266A"/>
    <w:rsid w:val="0E5426DB"/>
    <w:rsid w:val="0E5E1C72"/>
    <w:rsid w:val="0E622648"/>
    <w:rsid w:val="0E7B0A75"/>
    <w:rsid w:val="0E961C8C"/>
    <w:rsid w:val="0E9E29D0"/>
    <w:rsid w:val="0EA13D41"/>
    <w:rsid w:val="0EAE4A8B"/>
    <w:rsid w:val="0EB60DAF"/>
    <w:rsid w:val="0EC9743A"/>
    <w:rsid w:val="0EE505E5"/>
    <w:rsid w:val="0EEB2F8F"/>
    <w:rsid w:val="0F0942D3"/>
    <w:rsid w:val="0F2B122E"/>
    <w:rsid w:val="0F4A480D"/>
    <w:rsid w:val="0F5D0B31"/>
    <w:rsid w:val="0F7162B4"/>
    <w:rsid w:val="0F8C280E"/>
    <w:rsid w:val="0F900A8A"/>
    <w:rsid w:val="0FA11639"/>
    <w:rsid w:val="0FA206BC"/>
    <w:rsid w:val="0FA364D6"/>
    <w:rsid w:val="0FBB0EA9"/>
    <w:rsid w:val="0FBC1346"/>
    <w:rsid w:val="0FEF67A2"/>
    <w:rsid w:val="10036F74"/>
    <w:rsid w:val="103A04BC"/>
    <w:rsid w:val="10A9485C"/>
    <w:rsid w:val="10B164DB"/>
    <w:rsid w:val="10C2298C"/>
    <w:rsid w:val="10CC7515"/>
    <w:rsid w:val="10CC7A5B"/>
    <w:rsid w:val="11034D52"/>
    <w:rsid w:val="111351D6"/>
    <w:rsid w:val="112E1DCF"/>
    <w:rsid w:val="113A21DA"/>
    <w:rsid w:val="11427B0D"/>
    <w:rsid w:val="115F3ABE"/>
    <w:rsid w:val="116C3197"/>
    <w:rsid w:val="119B1DEA"/>
    <w:rsid w:val="11AE4D38"/>
    <w:rsid w:val="11B12A00"/>
    <w:rsid w:val="11D708DB"/>
    <w:rsid w:val="11DB4C8C"/>
    <w:rsid w:val="11DD375B"/>
    <w:rsid w:val="11F556A1"/>
    <w:rsid w:val="11FD5A80"/>
    <w:rsid w:val="120A1364"/>
    <w:rsid w:val="123258EF"/>
    <w:rsid w:val="12355FFC"/>
    <w:rsid w:val="12371157"/>
    <w:rsid w:val="1260320D"/>
    <w:rsid w:val="127F0325"/>
    <w:rsid w:val="129405EF"/>
    <w:rsid w:val="12951F0D"/>
    <w:rsid w:val="12B1587D"/>
    <w:rsid w:val="12CE00AD"/>
    <w:rsid w:val="12D3217F"/>
    <w:rsid w:val="13762711"/>
    <w:rsid w:val="137B5074"/>
    <w:rsid w:val="139B5716"/>
    <w:rsid w:val="13AA7707"/>
    <w:rsid w:val="13AC7923"/>
    <w:rsid w:val="13ED5870"/>
    <w:rsid w:val="141352AC"/>
    <w:rsid w:val="142071CE"/>
    <w:rsid w:val="144023B1"/>
    <w:rsid w:val="14731AAE"/>
    <w:rsid w:val="147E306D"/>
    <w:rsid w:val="148E0DD7"/>
    <w:rsid w:val="149208C7"/>
    <w:rsid w:val="14EA0DCC"/>
    <w:rsid w:val="15020A92"/>
    <w:rsid w:val="15454C78"/>
    <w:rsid w:val="154A18A9"/>
    <w:rsid w:val="157A3F7A"/>
    <w:rsid w:val="158B07D8"/>
    <w:rsid w:val="159266A5"/>
    <w:rsid w:val="15C03212"/>
    <w:rsid w:val="16007AB2"/>
    <w:rsid w:val="163458D7"/>
    <w:rsid w:val="163A2F0D"/>
    <w:rsid w:val="16491459"/>
    <w:rsid w:val="167A72EA"/>
    <w:rsid w:val="168A0B8E"/>
    <w:rsid w:val="16922165"/>
    <w:rsid w:val="1698163E"/>
    <w:rsid w:val="16B13DFD"/>
    <w:rsid w:val="16CB7904"/>
    <w:rsid w:val="16CD4EEC"/>
    <w:rsid w:val="16CD5BE6"/>
    <w:rsid w:val="171A4BA4"/>
    <w:rsid w:val="17203168"/>
    <w:rsid w:val="17521DA9"/>
    <w:rsid w:val="17E93F3E"/>
    <w:rsid w:val="1840750C"/>
    <w:rsid w:val="18533AED"/>
    <w:rsid w:val="18946D09"/>
    <w:rsid w:val="18A77847"/>
    <w:rsid w:val="18A92683"/>
    <w:rsid w:val="18D8320A"/>
    <w:rsid w:val="18DE1C02"/>
    <w:rsid w:val="18FF04F5"/>
    <w:rsid w:val="19307AF3"/>
    <w:rsid w:val="19341006"/>
    <w:rsid w:val="194260BD"/>
    <w:rsid w:val="19464A54"/>
    <w:rsid w:val="19772DE4"/>
    <w:rsid w:val="19810F0A"/>
    <w:rsid w:val="198F7ACB"/>
    <w:rsid w:val="199724DC"/>
    <w:rsid w:val="19DB7826"/>
    <w:rsid w:val="19DE635C"/>
    <w:rsid w:val="19E37036"/>
    <w:rsid w:val="1A8B64E4"/>
    <w:rsid w:val="1A9609E5"/>
    <w:rsid w:val="1A99339D"/>
    <w:rsid w:val="1ACC7DC3"/>
    <w:rsid w:val="1AD8273C"/>
    <w:rsid w:val="1AE175EF"/>
    <w:rsid w:val="1B066889"/>
    <w:rsid w:val="1B4067E4"/>
    <w:rsid w:val="1B4D7D3D"/>
    <w:rsid w:val="1B662AAD"/>
    <w:rsid w:val="1B687425"/>
    <w:rsid w:val="1B917B2A"/>
    <w:rsid w:val="1B9B6745"/>
    <w:rsid w:val="1BA97873"/>
    <w:rsid w:val="1BB430A8"/>
    <w:rsid w:val="1BE05CF3"/>
    <w:rsid w:val="1BF41E67"/>
    <w:rsid w:val="1BFE1751"/>
    <w:rsid w:val="1C1222ED"/>
    <w:rsid w:val="1C1F1690"/>
    <w:rsid w:val="1C2D1D0B"/>
    <w:rsid w:val="1C414647"/>
    <w:rsid w:val="1C474AF5"/>
    <w:rsid w:val="1C52431E"/>
    <w:rsid w:val="1C7C6610"/>
    <w:rsid w:val="1C965AA0"/>
    <w:rsid w:val="1C984EE8"/>
    <w:rsid w:val="1CB33AD0"/>
    <w:rsid w:val="1CE912A0"/>
    <w:rsid w:val="1CFA57DE"/>
    <w:rsid w:val="1D04432C"/>
    <w:rsid w:val="1D1D0F4A"/>
    <w:rsid w:val="1D443D4D"/>
    <w:rsid w:val="1D743260"/>
    <w:rsid w:val="1D781C63"/>
    <w:rsid w:val="1D7E40DE"/>
    <w:rsid w:val="1D840FC9"/>
    <w:rsid w:val="1DA04055"/>
    <w:rsid w:val="1DAC076A"/>
    <w:rsid w:val="1DC00253"/>
    <w:rsid w:val="1DF759A3"/>
    <w:rsid w:val="1E034679"/>
    <w:rsid w:val="1E065AFD"/>
    <w:rsid w:val="1E0907A2"/>
    <w:rsid w:val="1E334EB6"/>
    <w:rsid w:val="1E42510C"/>
    <w:rsid w:val="1E650DFA"/>
    <w:rsid w:val="1E661A53"/>
    <w:rsid w:val="1EAF02C7"/>
    <w:rsid w:val="1EB1403F"/>
    <w:rsid w:val="1F0827F2"/>
    <w:rsid w:val="1F09007C"/>
    <w:rsid w:val="1F3A4035"/>
    <w:rsid w:val="1F4F1C73"/>
    <w:rsid w:val="1F735EAA"/>
    <w:rsid w:val="1F8D0609"/>
    <w:rsid w:val="1FA12306"/>
    <w:rsid w:val="1FB86E23"/>
    <w:rsid w:val="1FBE518A"/>
    <w:rsid w:val="1FC3227C"/>
    <w:rsid w:val="1FCD30FB"/>
    <w:rsid w:val="1FF57BD2"/>
    <w:rsid w:val="20104D96"/>
    <w:rsid w:val="20210D51"/>
    <w:rsid w:val="202D6783"/>
    <w:rsid w:val="2053206B"/>
    <w:rsid w:val="20542ED4"/>
    <w:rsid w:val="205F0574"/>
    <w:rsid w:val="206E0C49"/>
    <w:rsid w:val="20953E44"/>
    <w:rsid w:val="20BF1705"/>
    <w:rsid w:val="20EE7BD6"/>
    <w:rsid w:val="216A0679"/>
    <w:rsid w:val="217C02E5"/>
    <w:rsid w:val="21920A05"/>
    <w:rsid w:val="21D2548F"/>
    <w:rsid w:val="21D97958"/>
    <w:rsid w:val="222119FE"/>
    <w:rsid w:val="22327B6B"/>
    <w:rsid w:val="22347461"/>
    <w:rsid w:val="2239018F"/>
    <w:rsid w:val="22447B3B"/>
    <w:rsid w:val="224B5715"/>
    <w:rsid w:val="22570E8C"/>
    <w:rsid w:val="22596EC8"/>
    <w:rsid w:val="226E29A2"/>
    <w:rsid w:val="22723AE6"/>
    <w:rsid w:val="22985805"/>
    <w:rsid w:val="22DD6C7C"/>
    <w:rsid w:val="22E22A19"/>
    <w:rsid w:val="230C190D"/>
    <w:rsid w:val="23206FB6"/>
    <w:rsid w:val="23393028"/>
    <w:rsid w:val="236C6787"/>
    <w:rsid w:val="238125E7"/>
    <w:rsid w:val="2383244E"/>
    <w:rsid w:val="239C52BE"/>
    <w:rsid w:val="239D4B92"/>
    <w:rsid w:val="23A51869"/>
    <w:rsid w:val="23EF1892"/>
    <w:rsid w:val="24015B6C"/>
    <w:rsid w:val="24134E54"/>
    <w:rsid w:val="24953BEB"/>
    <w:rsid w:val="24B360BF"/>
    <w:rsid w:val="24B403E6"/>
    <w:rsid w:val="24BE577F"/>
    <w:rsid w:val="24C607C1"/>
    <w:rsid w:val="24E85B0E"/>
    <w:rsid w:val="24ED38F7"/>
    <w:rsid w:val="25007ACF"/>
    <w:rsid w:val="25026C30"/>
    <w:rsid w:val="251B2213"/>
    <w:rsid w:val="255F460B"/>
    <w:rsid w:val="258F065A"/>
    <w:rsid w:val="26255A43"/>
    <w:rsid w:val="26255F4B"/>
    <w:rsid w:val="262F5BC1"/>
    <w:rsid w:val="2654644C"/>
    <w:rsid w:val="265956E8"/>
    <w:rsid w:val="265C6F87"/>
    <w:rsid w:val="266F0A68"/>
    <w:rsid w:val="266F1DA3"/>
    <w:rsid w:val="2677277A"/>
    <w:rsid w:val="268B35B9"/>
    <w:rsid w:val="26A22969"/>
    <w:rsid w:val="26BD5C77"/>
    <w:rsid w:val="26F86CAF"/>
    <w:rsid w:val="271433BD"/>
    <w:rsid w:val="27164516"/>
    <w:rsid w:val="273C011C"/>
    <w:rsid w:val="27455C6D"/>
    <w:rsid w:val="276A122F"/>
    <w:rsid w:val="276C0565"/>
    <w:rsid w:val="27A2694E"/>
    <w:rsid w:val="27A44741"/>
    <w:rsid w:val="27AA5AD0"/>
    <w:rsid w:val="27B134E6"/>
    <w:rsid w:val="27BC569B"/>
    <w:rsid w:val="27BD555B"/>
    <w:rsid w:val="27C748D4"/>
    <w:rsid w:val="27CA3ADB"/>
    <w:rsid w:val="27DA63B8"/>
    <w:rsid w:val="28094EEC"/>
    <w:rsid w:val="282D19D1"/>
    <w:rsid w:val="28B85CFC"/>
    <w:rsid w:val="28DB7E5D"/>
    <w:rsid w:val="290C36CD"/>
    <w:rsid w:val="290F1951"/>
    <w:rsid w:val="290F28E0"/>
    <w:rsid w:val="29207F2A"/>
    <w:rsid w:val="29332221"/>
    <w:rsid w:val="29604DC6"/>
    <w:rsid w:val="29AE27B6"/>
    <w:rsid w:val="29D3587F"/>
    <w:rsid w:val="29D742E7"/>
    <w:rsid w:val="29DB4666"/>
    <w:rsid w:val="29EC0622"/>
    <w:rsid w:val="29EC29BC"/>
    <w:rsid w:val="2AA804F8"/>
    <w:rsid w:val="2AAF15D1"/>
    <w:rsid w:val="2AAF3B29"/>
    <w:rsid w:val="2AB96756"/>
    <w:rsid w:val="2AFB4FC0"/>
    <w:rsid w:val="2B241FCA"/>
    <w:rsid w:val="2B32127E"/>
    <w:rsid w:val="2B373B1E"/>
    <w:rsid w:val="2B3D4E5B"/>
    <w:rsid w:val="2B7A2D23"/>
    <w:rsid w:val="2B8723B0"/>
    <w:rsid w:val="2B9D6077"/>
    <w:rsid w:val="2BA72A52"/>
    <w:rsid w:val="2BCC070B"/>
    <w:rsid w:val="2BF0264B"/>
    <w:rsid w:val="2C365F9F"/>
    <w:rsid w:val="2C576226"/>
    <w:rsid w:val="2C70553A"/>
    <w:rsid w:val="2C7D7C75"/>
    <w:rsid w:val="2C7F2CFD"/>
    <w:rsid w:val="2CB66977"/>
    <w:rsid w:val="2CCE400E"/>
    <w:rsid w:val="2CD258AD"/>
    <w:rsid w:val="2CF818CD"/>
    <w:rsid w:val="2D0772C2"/>
    <w:rsid w:val="2D6E62C0"/>
    <w:rsid w:val="2DB226E2"/>
    <w:rsid w:val="2DB465AC"/>
    <w:rsid w:val="2DB87198"/>
    <w:rsid w:val="2DCF6290"/>
    <w:rsid w:val="2DD86557"/>
    <w:rsid w:val="2DEA7636"/>
    <w:rsid w:val="2E120D95"/>
    <w:rsid w:val="2E446741"/>
    <w:rsid w:val="2E59637B"/>
    <w:rsid w:val="2E7D3F3E"/>
    <w:rsid w:val="2E9F3D85"/>
    <w:rsid w:val="2EA17C2D"/>
    <w:rsid w:val="2ED62596"/>
    <w:rsid w:val="2EEA6A86"/>
    <w:rsid w:val="2EF5578F"/>
    <w:rsid w:val="2F132DA3"/>
    <w:rsid w:val="2F1E74CF"/>
    <w:rsid w:val="2F3A3BDD"/>
    <w:rsid w:val="2F42159D"/>
    <w:rsid w:val="2F5051AF"/>
    <w:rsid w:val="2F6B3D97"/>
    <w:rsid w:val="2F6F643D"/>
    <w:rsid w:val="2F971030"/>
    <w:rsid w:val="2FAB0637"/>
    <w:rsid w:val="2FE0221C"/>
    <w:rsid w:val="2FEA115F"/>
    <w:rsid w:val="30081583"/>
    <w:rsid w:val="30112D68"/>
    <w:rsid w:val="30297150"/>
    <w:rsid w:val="302C5C1C"/>
    <w:rsid w:val="305263C5"/>
    <w:rsid w:val="306E4F84"/>
    <w:rsid w:val="308A5AC5"/>
    <w:rsid w:val="308D6C04"/>
    <w:rsid w:val="30B55C11"/>
    <w:rsid w:val="30D74FA5"/>
    <w:rsid w:val="30F87F62"/>
    <w:rsid w:val="312F02BE"/>
    <w:rsid w:val="313E7F97"/>
    <w:rsid w:val="31434FCB"/>
    <w:rsid w:val="316867E0"/>
    <w:rsid w:val="3173010C"/>
    <w:rsid w:val="318410C1"/>
    <w:rsid w:val="31F42769"/>
    <w:rsid w:val="31FD461E"/>
    <w:rsid w:val="320306E3"/>
    <w:rsid w:val="321149C8"/>
    <w:rsid w:val="32127889"/>
    <w:rsid w:val="32130E41"/>
    <w:rsid w:val="324A4137"/>
    <w:rsid w:val="32786EF6"/>
    <w:rsid w:val="32901F78"/>
    <w:rsid w:val="32935ADE"/>
    <w:rsid w:val="32E91BA2"/>
    <w:rsid w:val="332F4C1C"/>
    <w:rsid w:val="33657414"/>
    <w:rsid w:val="338947DA"/>
    <w:rsid w:val="33925D96"/>
    <w:rsid w:val="33A04957"/>
    <w:rsid w:val="33A177EF"/>
    <w:rsid w:val="33BE6B8B"/>
    <w:rsid w:val="33E83C08"/>
    <w:rsid w:val="33E90683"/>
    <w:rsid w:val="34065DE8"/>
    <w:rsid w:val="342E1F62"/>
    <w:rsid w:val="343113FC"/>
    <w:rsid w:val="344942CE"/>
    <w:rsid w:val="3453759F"/>
    <w:rsid w:val="34610250"/>
    <w:rsid w:val="34750FEC"/>
    <w:rsid w:val="34914FE8"/>
    <w:rsid w:val="34A43FD3"/>
    <w:rsid w:val="34AE34DD"/>
    <w:rsid w:val="34C93A39"/>
    <w:rsid w:val="34F161C6"/>
    <w:rsid w:val="34FC2127"/>
    <w:rsid w:val="35016ED0"/>
    <w:rsid w:val="35150A2C"/>
    <w:rsid w:val="35494B7A"/>
    <w:rsid w:val="358D2CB9"/>
    <w:rsid w:val="3590706C"/>
    <w:rsid w:val="35A90EA2"/>
    <w:rsid w:val="35D44C13"/>
    <w:rsid w:val="35E65020"/>
    <w:rsid w:val="361A159D"/>
    <w:rsid w:val="368C11C2"/>
    <w:rsid w:val="369E6AAA"/>
    <w:rsid w:val="36D52B69"/>
    <w:rsid w:val="36D87F64"/>
    <w:rsid w:val="36F24841"/>
    <w:rsid w:val="370D6FA8"/>
    <w:rsid w:val="370F76FD"/>
    <w:rsid w:val="37313B18"/>
    <w:rsid w:val="37335AE2"/>
    <w:rsid w:val="373D4114"/>
    <w:rsid w:val="37701425"/>
    <w:rsid w:val="37702837"/>
    <w:rsid w:val="37802D9D"/>
    <w:rsid w:val="37A208F2"/>
    <w:rsid w:val="37B876E9"/>
    <w:rsid w:val="37D00B7F"/>
    <w:rsid w:val="37D44BCF"/>
    <w:rsid w:val="37DF05B3"/>
    <w:rsid w:val="380924AE"/>
    <w:rsid w:val="3834230B"/>
    <w:rsid w:val="3836216E"/>
    <w:rsid w:val="38887767"/>
    <w:rsid w:val="389D1465"/>
    <w:rsid w:val="38BB3D60"/>
    <w:rsid w:val="38E91274"/>
    <w:rsid w:val="38F27BDF"/>
    <w:rsid w:val="38F372D7"/>
    <w:rsid w:val="38F538F7"/>
    <w:rsid w:val="38FC14F3"/>
    <w:rsid w:val="391334D5"/>
    <w:rsid w:val="391D7A4D"/>
    <w:rsid w:val="39271FC8"/>
    <w:rsid w:val="392E47B3"/>
    <w:rsid w:val="39424B74"/>
    <w:rsid w:val="3958538C"/>
    <w:rsid w:val="39686BCD"/>
    <w:rsid w:val="39756E3A"/>
    <w:rsid w:val="39956964"/>
    <w:rsid w:val="39B52A0B"/>
    <w:rsid w:val="39BA7DF4"/>
    <w:rsid w:val="39C26CA9"/>
    <w:rsid w:val="39FA28E7"/>
    <w:rsid w:val="39FB0D9D"/>
    <w:rsid w:val="3A122DC8"/>
    <w:rsid w:val="3A3556CD"/>
    <w:rsid w:val="3A8D5509"/>
    <w:rsid w:val="3A916DA7"/>
    <w:rsid w:val="3AF86E26"/>
    <w:rsid w:val="3B037579"/>
    <w:rsid w:val="3B1B48C3"/>
    <w:rsid w:val="3B224106"/>
    <w:rsid w:val="3B44206B"/>
    <w:rsid w:val="3B606856"/>
    <w:rsid w:val="3B8608CD"/>
    <w:rsid w:val="3BB415AD"/>
    <w:rsid w:val="3BBC42F8"/>
    <w:rsid w:val="3BE0461C"/>
    <w:rsid w:val="3C1B7B8B"/>
    <w:rsid w:val="3C1F0E08"/>
    <w:rsid w:val="3C865FBC"/>
    <w:rsid w:val="3CA014B2"/>
    <w:rsid w:val="3CCC6286"/>
    <w:rsid w:val="3CD15B81"/>
    <w:rsid w:val="3CD25688"/>
    <w:rsid w:val="3CDA7DA7"/>
    <w:rsid w:val="3CDD61A1"/>
    <w:rsid w:val="3CEC6B4A"/>
    <w:rsid w:val="3CFB00AC"/>
    <w:rsid w:val="3D031AB2"/>
    <w:rsid w:val="3D157871"/>
    <w:rsid w:val="3D437E00"/>
    <w:rsid w:val="3D4A1496"/>
    <w:rsid w:val="3D4F6AA6"/>
    <w:rsid w:val="3D5F318D"/>
    <w:rsid w:val="3D6528F4"/>
    <w:rsid w:val="3D783B55"/>
    <w:rsid w:val="3DA02F14"/>
    <w:rsid w:val="3DB259A5"/>
    <w:rsid w:val="3DFF04CC"/>
    <w:rsid w:val="3E077380"/>
    <w:rsid w:val="3E6D7B2B"/>
    <w:rsid w:val="3E743D9E"/>
    <w:rsid w:val="3ECA0ADA"/>
    <w:rsid w:val="3ECF60F0"/>
    <w:rsid w:val="3EDA6843"/>
    <w:rsid w:val="3EE651E8"/>
    <w:rsid w:val="3EEA4CD8"/>
    <w:rsid w:val="3EF35ECA"/>
    <w:rsid w:val="3EF90C02"/>
    <w:rsid w:val="3EFB0C93"/>
    <w:rsid w:val="3F444201"/>
    <w:rsid w:val="3F533BB8"/>
    <w:rsid w:val="3F542181"/>
    <w:rsid w:val="3F8576E4"/>
    <w:rsid w:val="3FBB36B2"/>
    <w:rsid w:val="3FF108B6"/>
    <w:rsid w:val="40026C24"/>
    <w:rsid w:val="40212C53"/>
    <w:rsid w:val="40550188"/>
    <w:rsid w:val="4057639D"/>
    <w:rsid w:val="405A40DF"/>
    <w:rsid w:val="40996ECE"/>
    <w:rsid w:val="40A23390"/>
    <w:rsid w:val="40F7192E"/>
    <w:rsid w:val="41051135"/>
    <w:rsid w:val="410B7187"/>
    <w:rsid w:val="41132024"/>
    <w:rsid w:val="413A242C"/>
    <w:rsid w:val="417411D1"/>
    <w:rsid w:val="41B25A33"/>
    <w:rsid w:val="41C76FBD"/>
    <w:rsid w:val="41DE664A"/>
    <w:rsid w:val="41F33375"/>
    <w:rsid w:val="42251B87"/>
    <w:rsid w:val="42402E61"/>
    <w:rsid w:val="42415908"/>
    <w:rsid w:val="42621029"/>
    <w:rsid w:val="426A7884"/>
    <w:rsid w:val="426E2A27"/>
    <w:rsid w:val="4286740D"/>
    <w:rsid w:val="429C3AC0"/>
    <w:rsid w:val="42F3628E"/>
    <w:rsid w:val="42FC75D2"/>
    <w:rsid w:val="430033F2"/>
    <w:rsid w:val="430A53EC"/>
    <w:rsid w:val="431358E0"/>
    <w:rsid w:val="431E2AD5"/>
    <w:rsid w:val="432B321D"/>
    <w:rsid w:val="434F6EC8"/>
    <w:rsid w:val="435579FA"/>
    <w:rsid w:val="435C0422"/>
    <w:rsid w:val="43765AC8"/>
    <w:rsid w:val="437F72B1"/>
    <w:rsid w:val="43B11639"/>
    <w:rsid w:val="43CF26EE"/>
    <w:rsid w:val="43D46FBE"/>
    <w:rsid w:val="43F71D59"/>
    <w:rsid w:val="4400443A"/>
    <w:rsid w:val="44394676"/>
    <w:rsid w:val="443D1D4E"/>
    <w:rsid w:val="444F125F"/>
    <w:rsid w:val="44586B88"/>
    <w:rsid w:val="44617DBD"/>
    <w:rsid w:val="447D3B3D"/>
    <w:rsid w:val="449C4CC6"/>
    <w:rsid w:val="44AD4278"/>
    <w:rsid w:val="44B540B0"/>
    <w:rsid w:val="44B85878"/>
    <w:rsid w:val="44F45B79"/>
    <w:rsid w:val="44F56185"/>
    <w:rsid w:val="452D591E"/>
    <w:rsid w:val="453414D7"/>
    <w:rsid w:val="453741FF"/>
    <w:rsid w:val="453D722D"/>
    <w:rsid w:val="456F2FC5"/>
    <w:rsid w:val="457B2B2E"/>
    <w:rsid w:val="45806396"/>
    <w:rsid w:val="458E7A8A"/>
    <w:rsid w:val="45A1630C"/>
    <w:rsid w:val="45A73923"/>
    <w:rsid w:val="45A858ED"/>
    <w:rsid w:val="45AB5F75"/>
    <w:rsid w:val="45B11F16"/>
    <w:rsid w:val="45D52CD7"/>
    <w:rsid w:val="45E74C45"/>
    <w:rsid w:val="45F6387B"/>
    <w:rsid w:val="461A6A98"/>
    <w:rsid w:val="46205483"/>
    <w:rsid w:val="463F1CE2"/>
    <w:rsid w:val="464C44CA"/>
    <w:rsid w:val="46535859"/>
    <w:rsid w:val="466277F0"/>
    <w:rsid w:val="466C1B5C"/>
    <w:rsid w:val="46726781"/>
    <w:rsid w:val="46733805"/>
    <w:rsid w:val="46A44250"/>
    <w:rsid w:val="46A71700"/>
    <w:rsid w:val="46CC1167"/>
    <w:rsid w:val="46E26BDC"/>
    <w:rsid w:val="46E4080E"/>
    <w:rsid w:val="46ED1809"/>
    <w:rsid w:val="4723522B"/>
    <w:rsid w:val="474107AF"/>
    <w:rsid w:val="475F1D25"/>
    <w:rsid w:val="47BC3568"/>
    <w:rsid w:val="47D604EF"/>
    <w:rsid w:val="47E81E36"/>
    <w:rsid w:val="480037BE"/>
    <w:rsid w:val="485853A8"/>
    <w:rsid w:val="488C6E00"/>
    <w:rsid w:val="48C52312"/>
    <w:rsid w:val="492359B6"/>
    <w:rsid w:val="49747FC0"/>
    <w:rsid w:val="497A30FC"/>
    <w:rsid w:val="497D499A"/>
    <w:rsid w:val="49884703"/>
    <w:rsid w:val="49950728"/>
    <w:rsid w:val="499C7517"/>
    <w:rsid w:val="49B42B50"/>
    <w:rsid w:val="49B9790E"/>
    <w:rsid w:val="4A167034"/>
    <w:rsid w:val="4A230FA6"/>
    <w:rsid w:val="4A606610"/>
    <w:rsid w:val="4A6E0EB3"/>
    <w:rsid w:val="4AC33682"/>
    <w:rsid w:val="4AD50445"/>
    <w:rsid w:val="4AE44CD1"/>
    <w:rsid w:val="4B1E132F"/>
    <w:rsid w:val="4B1F5D09"/>
    <w:rsid w:val="4B6B4193"/>
    <w:rsid w:val="4BB90EAC"/>
    <w:rsid w:val="4BC468B1"/>
    <w:rsid w:val="4BE374FE"/>
    <w:rsid w:val="4C1A3ADF"/>
    <w:rsid w:val="4C1E06B7"/>
    <w:rsid w:val="4C2F36B4"/>
    <w:rsid w:val="4C34286F"/>
    <w:rsid w:val="4C856747"/>
    <w:rsid w:val="4CF14C6C"/>
    <w:rsid w:val="4CFE5CB2"/>
    <w:rsid w:val="4D565C2E"/>
    <w:rsid w:val="4D5B2DE2"/>
    <w:rsid w:val="4D77007F"/>
    <w:rsid w:val="4D796F0D"/>
    <w:rsid w:val="4DCE1C69"/>
    <w:rsid w:val="4DD82959"/>
    <w:rsid w:val="4DEB7277"/>
    <w:rsid w:val="4DFD22D2"/>
    <w:rsid w:val="4E0903B4"/>
    <w:rsid w:val="4E0F2787"/>
    <w:rsid w:val="4E217FEA"/>
    <w:rsid w:val="4E323FA5"/>
    <w:rsid w:val="4E41400E"/>
    <w:rsid w:val="4E432E0A"/>
    <w:rsid w:val="4E43465A"/>
    <w:rsid w:val="4E6E35C7"/>
    <w:rsid w:val="4E74636C"/>
    <w:rsid w:val="4E781BAF"/>
    <w:rsid w:val="4E820662"/>
    <w:rsid w:val="4E835A62"/>
    <w:rsid w:val="4E8458CA"/>
    <w:rsid w:val="4EA61F62"/>
    <w:rsid w:val="4ED93F2D"/>
    <w:rsid w:val="4EDB288F"/>
    <w:rsid w:val="4EF120B3"/>
    <w:rsid w:val="4EFB4CDF"/>
    <w:rsid w:val="4F0E67C1"/>
    <w:rsid w:val="4F1A33B7"/>
    <w:rsid w:val="4F31425D"/>
    <w:rsid w:val="4F4E12B3"/>
    <w:rsid w:val="4F6247EF"/>
    <w:rsid w:val="4F691C49"/>
    <w:rsid w:val="4FAB400F"/>
    <w:rsid w:val="4FAC342F"/>
    <w:rsid w:val="4FDE7B3C"/>
    <w:rsid w:val="4FF0349D"/>
    <w:rsid w:val="501E4C3F"/>
    <w:rsid w:val="502142D2"/>
    <w:rsid w:val="505774D1"/>
    <w:rsid w:val="509619B8"/>
    <w:rsid w:val="50A13664"/>
    <w:rsid w:val="50B67110"/>
    <w:rsid w:val="50C7131D"/>
    <w:rsid w:val="50D02BC4"/>
    <w:rsid w:val="51307546"/>
    <w:rsid w:val="516842A8"/>
    <w:rsid w:val="517F30D4"/>
    <w:rsid w:val="519A7071"/>
    <w:rsid w:val="51A10C66"/>
    <w:rsid w:val="51DF2696"/>
    <w:rsid w:val="524644C3"/>
    <w:rsid w:val="52481FEA"/>
    <w:rsid w:val="527E1EAF"/>
    <w:rsid w:val="528D5C4E"/>
    <w:rsid w:val="52AD62F0"/>
    <w:rsid w:val="52B23907"/>
    <w:rsid w:val="52CF4C70"/>
    <w:rsid w:val="52E33AC0"/>
    <w:rsid w:val="52F03AA4"/>
    <w:rsid w:val="53024593"/>
    <w:rsid w:val="530323B4"/>
    <w:rsid w:val="5317784F"/>
    <w:rsid w:val="533C1C2F"/>
    <w:rsid w:val="5345477B"/>
    <w:rsid w:val="534D64E5"/>
    <w:rsid w:val="534E1882"/>
    <w:rsid w:val="53654E1D"/>
    <w:rsid w:val="53816F82"/>
    <w:rsid w:val="5385101B"/>
    <w:rsid w:val="53915C12"/>
    <w:rsid w:val="53A331CC"/>
    <w:rsid w:val="53A414A2"/>
    <w:rsid w:val="53B16CEF"/>
    <w:rsid w:val="53C201F6"/>
    <w:rsid w:val="53E12EF2"/>
    <w:rsid w:val="53F02939"/>
    <w:rsid w:val="53F23EF6"/>
    <w:rsid w:val="543C5BDD"/>
    <w:rsid w:val="544F663E"/>
    <w:rsid w:val="547370C6"/>
    <w:rsid w:val="547C6E00"/>
    <w:rsid w:val="54D5124F"/>
    <w:rsid w:val="54E1124E"/>
    <w:rsid w:val="54FE3106"/>
    <w:rsid w:val="55085A60"/>
    <w:rsid w:val="550948F6"/>
    <w:rsid w:val="551B39E5"/>
    <w:rsid w:val="5531145B"/>
    <w:rsid w:val="55342CF9"/>
    <w:rsid w:val="557773FB"/>
    <w:rsid w:val="55860240"/>
    <w:rsid w:val="55B61960"/>
    <w:rsid w:val="55ED1793"/>
    <w:rsid w:val="56082321"/>
    <w:rsid w:val="560E354A"/>
    <w:rsid w:val="56355AAE"/>
    <w:rsid w:val="563A181C"/>
    <w:rsid w:val="563F1955"/>
    <w:rsid w:val="565728E6"/>
    <w:rsid w:val="565D1E21"/>
    <w:rsid w:val="565F400E"/>
    <w:rsid w:val="566B554D"/>
    <w:rsid w:val="56F938FD"/>
    <w:rsid w:val="570536F1"/>
    <w:rsid w:val="57106E4E"/>
    <w:rsid w:val="573E7E5F"/>
    <w:rsid w:val="575B631B"/>
    <w:rsid w:val="57722CF3"/>
    <w:rsid w:val="57AD28EF"/>
    <w:rsid w:val="57B679F5"/>
    <w:rsid w:val="57CA4865"/>
    <w:rsid w:val="57EA769F"/>
    <w:rsid w:val="57F12E7E"/>
    <w:rsid w:val="58061379"/>
    <w:rsid w:val="581D5CC6"/>
    <w:rsid w:val="587D1DB6"/>
    <w:rsid w:val="58AE449D"/>
    <w:rsid w:val="58D66A16"/>
    <w:rsid w:val="58D746F8"/>
    <w:rsid w:val="58E42F8B"/>
    <w:rsid w:val="59554985"/>
    <w:rsid w:val="595C45CC"/>
    <w:rsid w:val="5975743C"/>
    <w:rsid w:val="59AF6DF2"/>
    <w:rsid w:val="5A0A4028"/>
    <w:rsid w:val="5A1403B8"/>
    <w:rsid w:val="5A293A6F"/>
    <w:rsid w:val="5A364E1D"/>
    <w:rsid w:val="5A3D7F5A"/>
    <w:rsid w:val="5A6C6A91"/>
    <w:rsid w:val="5A8D390F"/>
    <w:rsid w:val="5A9C1FD7"/>
    <w:rsid w:val="5A9D2A59"/>
    <w:rsid w:val="5AC27E15"/>
    <w:rsid w:val="5AC979A3"/>
    <w:rsid w:val="5ADB35BD"/>
    <w:rsid w:val="5B0D2022"/>
    <w:rsid w:val="5B1A6497"/>
    <w:rsid w:val="5B210812"/>
    <w:rsid w:val="5B345801"/>
    <w:rsid w:val="5B891889"/>
    <w:rsid w:val="5B982B09"/>
    <w:rsid w:val="5BE03293"/>
    <w:rsid w:val="5C07227B"/>
    <w:rsid w:val="5C0F68EC"/>
    <w:rsid w:val="5C1318BA"/>
    <w:rsid w:val="5C2D0679"/>
    <w:rsid w:val="5C45286D"/>
    <w:rsid w:val="5C676A8F"/>
    <w:rsid w:val="5C6F3714"/>
    <w:rsid w:val="5CB36BF9"/>
    <w:rsid w:val="5CC826A5"/>
    <w:rsid w:val="5CDA23D8"/>
    <w:rsid w:val="5CDD388D"/>
    <w:rsid w:val="5CE96177"/>
    <w:rsid w:val="5D2B338F"/>
    <w:rsid w:val="5D352EBF"/>
    <w:rsid w:val="5D3E346D"/>
    <w:rsid w:val="5D7E7207"/>
    <w:rsid w:val="5D9244AA"/>
    <w:rsid w:val="5D9702C9"/>
    <w:rsid w:val="5DA17986"/>
    <w:rsid w:val="5DD06BE4"/>
    <w:rsid w:val="5DDB0320"/>
    <w:rsid w:val="5DDC5CDC"/>
    <w:rsid w:val="5DF254FF"/>
    <w:rsid w:val="5DF43025"/>
    <w:rsid w:val="5E1A04E8"/>
    <w:rsid w:val="5E323B4E"/>
    <w:rsid w:val="5E3D2C1E"/>
    <w:rsid w:val="5E4C10B3"/>
    <w:rsid w:val="5E6F6B50"/>
    <w:rsid w:val="5E7E27FB"/>
    <w:rsid w:val="5E8A398A"/>
    <w:rsid w:val="5EC30E27"/>
    <w:rsid w:val="5ED93504"/>
    <w:rsid w:val="5EE224D7"/>
    <w:rsid w:val="5EE44E48"/>
    <w:rsid w:val="5EF930E3"/>
    <w:rsid w:val="5F003BE7"/>
    <w:rsid w:val="5F2A32FA"/>
    <w:rsid w:val="5F2D2C93"/>
    <w:rsid w:val="5F4443AB"/>
    <w:rsid w:val="5F4973A1"/>
    <w:rsid w:val="5F6C1488"/>
    <w:rsid w:val="5F6E316F"/>
    <w:rsid w:val="5F815529"/>
    <w:rsid w:val="5FDC7DAB"/>
    <w:rsid w:val="5FDD0750"/>
    <w:rsid w:val="5FEB4543"/>
    <w:rsid w:val="5FF23B9C"/>
    <w:rsid w:val="60172FFB"/>
    <w:rsid w:val="601D6342"/>
    <w:rsid w:val="60462C35"/>
    <w:rsid w:val="605823EC"/>
    <w:rsid w:val="6077073B"/>
    <w:rsid w:val="60B3017E"/>
    <w:rsid w:val="60D71334"/>
    <w:rsid w:val="60F41A1F"/>
    <w:rsid w:val="60F877AC"/>
    <w:rsid w:val="6129799B"/>
    <w:rsid w:val="61351B64"/>
    <w:rsid w:val="61475B62"/>
    <w:rsid w:val="61511552"/>
    <w:rsid w:val="615B15A1"/>
    <w:rsid w:val="618A333F"/>
    <w:rsid w:val="618C08D0"/>
    <w:rsid w:val="619141A5"/>
    <w:rsid w:val="61B34FA6"/>
    <w:rsid w:val="621B3277"/>
    <w:rsid w:val="623B1AAA"/>
    <w:rsid w:val="62571DD5"/>
    <w:rsid w:val="627C183B"/>
    <w:rsid w:val="62970423"/>
    <w:rsid w:val="629B7F14"/>
    <w:rsid w:val="62A5047B"/>
    <w:rsid w:val="62A82630"/>
    <w:rsid w:val="62A9666D"/>
    <w:rsid w:val="62BE0384"/>
    <w:rsid w:val="63001A38"/>
    <w:rsid w:val="63052056"/>
    <w:rsid w:val="630E455D"/>
    <w:rsid w:val="63240761"/>
    <w:rsid w:val="632E0D88"/>
    <w:rsid w:val="635C3B47"/>
    <w:rsid w:val="637A3FCD"/>
    <w:rsid w:val="63860BC4"/>
    <w:rsid w:val="63892462"/>
    <w:rsid w:val="63A43303"/>
    <w:rsid w:val="63B86140"/>
    <w:rsid w:val="63C74D38"/>
    <w:rsid w:val="63C811DC"/>
    <w:rsid w:val="63D5344A"/>
    <w:rsid w:val="63D63372"/>
    <w:rsid w:val="63E1404C"/>
    <w:rsid w:val="64032214"/>
    <w:rsid w:val="640E2967"/>
    <w:rsid w:val="64114DE7"/>
    <w:rsid w:val="64225AA8"/>
    <w:rsid w:val="642555D4"/>
    <w:rsid w:val="6460084F"/>
    <w:rsid w:val="64694E07"/>
    <w:rsid w:val="64726987"/>
    <w:rsid w:val="64784AB2"/>
    <w:rsid w:val="64965BD8"/>
    <w:rsid w:val="64A43262"/>
    <w:rsid w:val="651C3F02"/>
    <w:rsid w:val="65245644"/>
    <w:rsid w:val="652E32C1"/>
    <w:rsid w:val="654C7BEB"/>
    <w:rsid w:val="65610A4C"/>
    <w:rsid w:val="656C203B"/>
    <w:rsid w:val="659932CC"/>
    <w:rsid w:val="65C9634C"/>
    <w:rsid w:val="65D8024A"/>
    <w:rsid w:val="65EB5088"/>
    <w:rsid w:val="65F21201"/>
    <w:rsid w:val="65F53DDF"/>
    <w:rsid w:val="65FE1159"/>
    <w:rsid w:val="664C3C20"/>
    <w:rsid w:val="66985FC7"/>
    <w:rsid w:val="66A51361"/>
    <w:rsid w:val="66B0399E"/>
    <w:rsid w:val="66B774BD"/>
    <w:rsid w:val="66BE5C0F"/>
    <w:rsid w:val="66C979B7"/>
    <w:rsid w:val="66CB7A12"/>
    <w:rsid w:val="66CC23BF"/>
    <w:rsid w:val="66E159EC"/>
    <w:rsid w:val="66F01249"/>
    <w:rsid w:val="66F70FB4"/>
    <w:rsid w:val="67380853"/>
    <w:rsid w:val="676C6C45"/>
    <w:rsid w:val="676D7107"/>
    <w:rsid w:val="67B359E4"/>
    <w:rsid w:val="67BC1058"/>
    <w:rsid w:val="67BF4A1C"/>
    <w:rsid w:val="67C936B4"/>
    <w:rsid w:val="67DA328C"/>
    <w:rsid w:val="683230C8"/>
    <w:rsid w:val="6837248C"/>
    <w:rsid w:val="68680898"/>
    <w:rsid w:val="68A075F3"/>
    <w:rsid w:val="68B97345"/>
    <w:rsid w:val="68CA34BC"/>
    <w:rsid w:val="68E15DCF"/>
    <w:rsid w:val="68F20AA9"/>
    <w:rsid w:val="68F4037D"/>
    <w:rsid w:val="69096D76"/>
    <w:rsid w:val="69136635"/>
    <w:rsid w:val="6924272F"/>
    <w:rsid w:val="693469CC"/>
    <w:rsid w:val="694547C3"/>
    <w:rsid w:val="69506EDD"/>
    <w:rsid w:val="695B1B20"/>
    <w:rsid w:val="696F3ABD"/>
    <w:rsid w:val="69731BEA"/>
    <w:rsid w:val="697F233D"/>
    <w:rsid w:val="69A31723"/>
    <w:rsid w:val="69B83AA1"/>
    <w:rsid w:val="69D16911"/>
    <w:rsid w:val="69F232E1"/>
    <w:rsid w:val="69F7699F"/>
    <w:rsid w:val="6A0B7113"/>
    <w:rsid w:val="6A0C07A3"/>
    <w:rsid w:val="6A2441FC"/>
    <w:rsid w:val="6A4C3777"/>
    <w:rsid w:val="6A8A5D85"/>
    <w:rsid w:val="6A923396"/>
    <w:rsid w:val="6AB04778"/>
    <w:rsid w:val="6AC06F15"/>
    <w:rsid w:val="6AC63AB0"/>
    <w:rsid w:val="6AF94B6B"/>
    <w:rsid w:val="6B047048"/>
    <w:rsid w:val="6B385AC6"/>
    <w:rsid w:val="6B765BB0"/>
    <w:rsid w:val="6B9145AA"/>
    <w:rsid w:val="6BA53BB1"/>
    <w:rsid w:val="6BD67709"/>
    <w:rsid w:val="6C022689"/>
    <w:rsid w:val="6C123EC1"/>
    <w:rsid w:val="6C1B7D59"/>
    <w:rsid w:val="6C1F1BB5"/>
    <w:rsid w:val="6C29232F"/>
    <w:rsid w:val="6C937EAD"/>
    <w:rsid w:val="6C985B57"/>
    <w:rsid w:val="6C9A123C"/>
    <w:rsid w:val="6CAC026E"/>
    <w:rsid w:val="6CD4496A"/>
    <w:rsid w:val="6CE73B2D"/>
    <w:rsid w:val="6CEA7086"/>
    <w:rsid w:val="6CF855CA"/>
    <w:rsid w:val="6D400035"/>
    <w:rsid w:val="6D602485"/>
    <w:rsid w:val="6D67096C"/>
    <w:rsid w:val="6D6D70E7"/>
    <w:rsid w:val="6D725D15"/>
    <w:rsid w:val="6DA02882"/>
    <w:rsid w:val="6DD30154"/>
    <w:rsid w:val="6E11552E"/>
    <w:rsid w:val="6E2D286F"/>
    <w:rsid w:val="6E402FD5"/>
    <w:rsid w:val="6E4B00FB"/>
    <w:rsid w:val="6E545CEB"/>
    <w:rsid w:val="6E7004A6"/>
    <w:rsid w:val="6E7251F6"/>
    <w:rsid w:val="6E7D0E15"/>
    <w:rsid w:val="6E804461"/>
    <w:rsid w:val="6E8F53AD"/>
    <w:rsid w:val="6EC46886"/>
    <w:rsid w:val="6ECE2650"/>
    <w:rsid w:val="6EDD3AFA"/>
    <w:rsid w:val="6EE113A4"/>
    <w:rsid w:val="6EF34EEA"/>
    <w:rsid w:val="6EFD5AB2"/>
    <w:rsid w:val="6EFF63C7"/>
    <w:rsid w:val="6F2B745D"/>
    <w:rsid w:val="6F2D6AA6"/>
    <w:rsid w:val="6F314AFB"/>
    <w:rsid w:val="6F3549F2"/>
    <w:rsid w:val="6F48324A"/>
    <w:rsid w:val="6F644EBD"/>
    <w:rsid w:val="6F7A7BBB"/>
    <w:rsid w:val="6F90407E"/>
    <w:rsid w:val="6FA523D2"/>
    <w:rsid w:val="6FC1068F"/>
    <w:rsid w:val="6FC14176"/>
    <w:rsid w:val="6FC86B21"/>
    <w:rsid w:val="6FD04699"/>
    <w:rsid w:val="700D7F77"/>
    <w:rsid w:val="704240C4"/>
    <w:rsid w:val="70481595"/>
    <w:rsid w:val="704C6CF1"/>
    <w:rsid w:val="70A76C2A"/>
    <w:rsid w:val="70F76266"/>
    <w:rsid w:val="710A268A"/>
    <w:rsid w:val="7113156F"/>
    <w:rsid w:val="711324CB"/>
    <w:rsid w:val="71445C1A"/>
    <w:rsid w:val="71663DE2"/>
    <w:rsid w:val="71A02274"/>
    <w:rsid w:val="71A47AB6"/>
    <w:rsid w:val="71E071A4"/>
    <w:rsid w:val="71E371E1"/>
    <w:rsid w:val="71E74F23"/>
    <w:rsid w:val="721E46BD"/>
    <w:rsid w:val="722768AD"/>
    <w:rsid w:val="722E4900"/>
    <w:rsid w:val="723E7AB6"/>
    <w:rsid w:val="7274556F"/>
    <w:rsid w:val="727A7B45"/>
    <w:rsid w:val="727B3553"/>
    <w:rsid w:val="72915C9F"/>
    <w:rsid w:val="72AB41A3"/>
    <w:rsid w:val="72C87844"/>
    <w:rsid w:val="72DE3FBB"/>
    <w:rsid w:val="72EC1AB4"/>
    <w:rsid w:val="73130F87"/>
    <w:rsid w:val="732C5510"/>
    <w:rsid w:val="733A4D29"/>
    <w:rsid w:val="73436335"/>
    <w:rsid w:val="7362095B"/>
    <w:rsid w:val="7383420D"/>
    <w:rsid w:val="73881B45"/>
    <w:rsid w:val="73A0182E"/>
    <w:rsid w:val="73E10696"/>
    <w:rsid w:val="73E57EF0"/>
    <w:rsid w:val="740B7864"/>
    <w:rsid w:val="74161847"/>
    <w:rsid w:val="74394126"/>
    <w:rsid w:val="745B1AB6"/>
    <w:rsid w:val="747279E8"/>
    <w:rsid w:val="748D54E5"/>
    <w:rsid w:val="749A6048"/>
    <w:rsid w:val="74B83493"/>
    <w:rsid w:val="74C72C55"/>
    <w:rsid w:val="74CD5A22"/>
    <w:rsid w:val="74F31769"/>
    <w:rsid w:val="74FB49B5"/>
    <w:rsid w:val="751F0834"/>
    <w:rsid w:val="75252DF3"/>
    <w:rsid w:val="75A82C1C"/>
    <w:rsid w:val="75B618B0"/>
    <w:rsid w:val="75BF3AC1"/>
    <w:rsid w:val="75C3786D"/>
    <w:rsid w:val="75D53C4A"/>
    <w:rsid w:val="75E35A02"/>
    <w:rsid w:val="75E654F2"/>
    <w:rsid w:val="76050235"/>
    <w:rsid w:val="76166C32"/>
    <w:rsid w:val="761756AB"/>
    <w:rsid w:val="762A53DF"/>
    <w:rsid w:val="763A29E8"/>
    <w:rsid w:val="766F2884"/>
    <w:rsid w:val="769972F2"/>
    <w:rsid w:val="76A35191"/>
    <w:rsid w:val="76B13D52"/>
    <w:rsid w:val="76D01BC9"/>
    <w:rsid w:val="7715608F"/>
    <w:rsid w:val="77313DDA"/>
    <w:rsid w:val="773977A4"/>
    <w:rsid w:val="77680ED0"/>
    <w:rsid w:val="7774670A"/>
    <w:rsid w:val="77747B5B"/>
    <w:rsid w:val="777C1168"/>
    <w:rsid w:val="77F51B30"/>
    <w:rsid w:val="7802153E"/>
    <w:rsid w:val="780659D7"/>
    <w:rsid w:val="780A47CE"/>
    <w:rsid w:val="780B7492"/>
    <w:rsid w:val="78202F3D"/>
    <w:rsid w:val="78226EDA"/>
    <w:rsid w:val="783C3AEF"/>
    <w:rsid w:val="78436B10"/>
    <w:rsid w:val="784600BD"/>
    <w:rsid w:val="788227A3"/>
    <w:rsid w:val="788475A5"/>
    <w:rsid w:val="78BD049C"/>
    <w:rsid w:val="78C57153"/>
    <w:rsid w:val="78C9311B"/>
    <w:rsid w:val="78D606CA"/>
    <w:rsid w:val="78DE7B18"/>
    <w:rsid w:val="78EF29B1"/>
    <w:rsid w:val="794A3EAA"/>
    <w:rsid w:val="79627585"/>
    <w:rsid w:val="798F21FC"/>
    <w:rsid w:val="79B05C3D"/>
    <w:rsid w:val="79B64A84"/>
    <w:rsid w:val="79D90055"/>
    <w:rsid w:val="79DC25E5"/>
    <w:rsid w:val="79EB30D7"/>
    <w:rsid w:val="7A552C46"/>
    <w:rsid w:val="7A6548DF"/>
    <w:rsid w:val="7A772BBC"/>
    <w:rsid w:val="7A8279C3"/>
    <w:rsid w:val="7A881660"/>
    <w:rsid w:val="7A9E0E11"/>
    <w:rsid w:val="7AAD16E9"/>
    <w:rsid w:val="7AB60FB7"/>
    <w:rsid w:val="7AD66513"/>
    <w:rsid w:val="7AF53F82"/>
    <w:rsid w:val="7B0974C6"/>
    <w:rsid w:val="7B220D7A"/>
    <w:rsid w:val="7B4B2C47"/>
    <w:rsid w:val="7B5B24DE"/>
    <w:rsid w:val="7B5B603A"/>
    <w:rsid w:val="7B5D7F9E"/>
    <w:rsid w:val="7B607AF4"/>
    <w:rsid w:val="7B6201A3"/>
    <w:rsid w:val="7B76705B"/>
    <w:rsid w:val="7B98360A"/>
    <w:rsid w:val="7BDF0A19"/>
    <w:rsid w:val="7C3A0345"/>
    <w:rsid w:val="7C420366"/>
    <w:rsid w:val="7C6214AA"/>
    <w:rsid w:val="7C795240"/>
    <w:rsid w:val="7C817783"/>
    <w:rsid w:val="7C8C1494"/>
    <w:rsid w:val="7CB21E7E"/>
    <w:rsid w:val="7CC876B0"/>
    <w:rsid w:val="7CE33567"/>
    <w:rsid w:val="7CEC21E2"/>
    <w:rsid w:val="7D0300CE"/>
    <w:rsid w:val="7D1E7600"/>
    <w:rsid w:val="7D1F035B"/>
    <w:rsid w:val="7D2B238B"/>
    <w:rsid w:val="7D2E2271"/>
    <w:rsid w:val="7D40198C"/>
    <w:rsid w:val="7D5316BF"/>
    <w:rsid w:val="7D7B7E50"/>
    <w:rsid w:val="7D7E4647"/>
    <w:rsid w:val="7D883F06"/>
    <w:rsid w:val="7DA5021A"/>
    <w:rsid w:val="7DC2443F"/>
    <w:rsid w:val="7DD549BF"/>
    <w:rsid w:val="7DD56EC5"/>
    <w:rsid w:val="7DE6224D"/>
    <w:rsid w:val="7DFF1847"/>
    <w:rsid w:val="7E066731"/>
    <w:rsid w:val="7E0A4A80"/>
    <w:rsid w:val="7E800162"/>
    <w:rsid w:val="7EB46400"/>
    <w:rsid w:val="7ED24865"/>
    <w:rsid w:val="7EFB571A"/>
    <w:rsid w:val="7F016EF9"/>
    <w:rsid w:val="7F5867C0"/>
    <w:rsid w:val="7F721BA4"/>
    <w:rsid w:val="7FA2248A"/>
    <w:rsid w:val="7FB70458"/>
    <w:rsid w:val="7FC752A5"/>
    <w:rsid w:val="7FDB3BED"/>
    <w:rsid w:val="7FF40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qFormat="1" w:unhideWhenUsed="0" w:uiPriority="99" w:semiHidden="0"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Times New Roman" w:hAnsi="Times New Roman" w:eastAsia="宋体" w:cs="Times New Roman"/>
      <w:kern w:val="2"/>
      <w:sz w:val="21"/>
      <w:szCs w:val="22"/>
      <w:lang w:val="en-US" w:eastAsia="zh-CN" w:bidi="ar-SA"/>
    </w:rPr>
  </w:style>
  <w:style w:type="paragraph" w:styleId="3">
    <w:name w:val="heading 1"/>
    <w:basedOn w:val="1"/>
    <w:next w:val="1"/>
    <w:link w:val="11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14"/>
    <w:qFormat/>
    <w:uiPriority w:val="0"/>
    <w:pPr>
      <w:keepNext/>
      <w:keepLines/>
      <w:widowControl w:val="0"/>
      <w:spacing w:before="260" w:after="260" w:line="416" w:lineRule="auto"/>
      <w:textAlignment w:val="auto"/>
      <w:outlineLvl w:val="1"/>
    </w:pPr>
    <w:rPr>
      <w:rFonts w:ascii="Arial" w:hAnsi="Arial" w:eastAsia="黑体"/>
      <w:b/>
      <w:bCs/>
      <w:sz w:val="32"/>
      <w:szCs w:val="32"/>
    </w:rPr>
  </w:style>
  <w:style w:type="paragraph" w:styleId="5">
    <w:name w:val="heading 4"/>
    <w:basedOn w:val="1"/>
    <w:next w:val="1"/>
    <w:qFormat/>
    <w:uiPriority w:val="0"/>
    <w:pPr>
      <w:keepNext/>
      <w:keepLines/>
      <w:widowControl/>
      <w:spacing w:line="360" w:lineRule="auto"/>
      <w:outlineLvl w:val="3"/>
    </w:pPr>
    <w:rPr>
      <w:rFonts w:ascii="Arial" w:hAnsi="Arial" w:eastAsia="黑体"/>
      <w:b/>
      <w:kern w:val="0"/>
      <w:sz w:val="24"/>
    </w:rPr>
  </w:style>
  <w:style w:type="paragraph" w:styleId="6">
    <w:name w:val="heading 6"/>
    <w:basedOn w:val="1"/>
    <w:next w:val="1"/>
    <w:qFormat/>
    <w:uiPriority w:val="0"/>
    <w:pPr>
      <w:keepNext/>
      <w:keepLines/>
      <w:numPr>
        <w:ilvl w:val="5"/>
        <w:numId w:val="1"/>
      </w:numPr>
      <w:adjustRightInd w:val="0"/>
      <w:spacing w:before="240" w:after="64" w:line="320" w:lineRule="atLeast"/>
      <w:jc w:val="left"/>
      <w:textAlignment w:val="baseline"/>
      <w:outlineLvl w:val="5"/>
    </w:pPr>
    <w:rPr>
      <w:rFonts w:ascii="Arial" w:hAnsi="Arial" w:eastAsia="黑体"/>
      <w:b/>
      <w:bCs/>
      <w:kern w:val="0"/>
      <w:sz w:val="24"/>
    </w:rPr>
  </w:style>
  <w:style w:type="paragraph" w:styleId="7">
    <w:name w:val="heading 9"/>
    <w:basedOn w:val="1"/>
    <w:next w:val="1"/>
    <w:qFormat/>
    <w:uiPriority w:val="1"/>
    <w:pPr>
      <w:ind w:left="1163" w:hanging="364"/>
      <w:outlineLvl w:val="8"/>
    </w:pPr>
    <w:rPr>
      <w:rFonts w:ascii="黑体" w:hAnsi="黑体" w:eastAsia="黑体" w:cs="黑体"/>
      <w:b/>
      <w:bCs/>
      <w:sz w:val="24"/>
      <w:szCs w:val="24"/>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页脚1"/>
    <w:basedOn w:val="1"/>
    <w:next w:val="1"/>
    <w:unhideWhenUsed/>
    <w:qFormat/>
    <w:uiPriority w:val="99"/>
    <w:pPr>
      <w:tabs>
        <w:tab w:val="center" w:pos="4153"/>
        <w:tab w:val="right" w:pos="8306"/>
      </w:tabs>
      <w:jc w:val="left"/>
    </w:pPr>
    <w:rPr>
      <w:sz w:val="18"/>
      <w:szCs w:val="18"/>
    </w:rPr>
  </w:style>
  <w:style w:type="paragraph" w:styleId="8">
    <w:name w:val="annotation text"/>
    <w:basedOn w:val="1"/>
    <w:semiHidden/>
    <w:unhideWhenUsed/>
    <w:qFormat/>
    <w:uiPriority w:val="99"/>
    <w:pPr>
      <w:jc w:val="left"/>
    </w:pPr>
  </w:style>
  <w:style w:type="paragraph" w:styleId="9">
    <w:name w:val="Salutation"/>
    <w:basedOn w:val="1"/>
    <w:next w:val="1"/>
    <w:link w:val="76"/>
    <w:semiHidden/>
    <w:qFormat/>
    <w:uiPriority w:val="0"/>
    <w:rPr>
      <w:sz w:val="24"/>
      <w:szCs w:val="24"/>
    </w:rPr>
  </w:style>
  <w:style w:type="paragraph" w:styleId="10">
    <w:name w:val="Body Text"/>
    <w:basedOn w:val="1"/>
    <w:next w:val="1"/>
    <w:qFormat/>
    <w:uiPriority w:val="0"/>
    <w:pPr>
      <w:autoSpaceDE w:val="0"/>
      <w:autoSpaceDN w:val="0"/>
      <w:adjustRightInd w:val="0"/>
      <w:spacing w:line="360" w:lineRule="exact"/>
    </w:pPr>
    <w:rPr>
      <w:rFonts w:ascii="方正仿宋简体" w:eastAsia="方正仿宋简体"/>
      <w:color w:val="000000"/>
      <w:kern w:val="0"/>
      <w:sz w:val="28"/>
    </w:rPr>
  </w:style>
  <w:style w:type="paragraph" w:styleId="11">
    <w:name w:val="Body Text Indent"/>
    <w:basedOn w:val="1"/>
    <w:next w:val="12"/>
    <w:unhideWhenUsed/>
    <w:qFormat/>
    <w:uiPriority w:val="99"/>
    <w:pPr>
      <w:spacing w:line="200" w:lineRule="exact"/>
      <w:ind w:firstLine="301"/>
    </w:pPr>
    <w:rPr>
      <w:kern w:val="0"/>
      <w:sz w:val="20"/>
      <w:szCs w:val="20"/>
    </w:rPr>
  </w:style>
  <w:style w:type="paragraph" w:styleId="12">
    <w:name w:val="envelope return"/>
    <w:basedOn w:val="1"/>
    <w:qFormat/>
    <w:uiPriority w:val="0"/>
    <w:pPr>
      <w:snapToGrid w:val="0"/>
    </w:pPr>
    <w:rPr>
      <w:rFonts w:ascii="Arial" w:hAnsi="Arial"/>
    </w:rPr>
  </w:style>
  <w:style w:type="paragraph" w:styleId="13">
    <w:name w:val="Block Text"/>
    <w:basedOn w:val="1"/>
    <w:qFormat/>
    <w:uiPriority w:val="99"/>
    <w:pPr>
      <w:adjustRightInd w:val="0"/>
      <w:ind w:left="420" w:right="33"/>
      <w:jc w:val="left"/>
      <w:textAlignment w:val="baseline"/>
    </w:pPr>
    <w:rPr>
      <w:kern w:val="0"/>
      <w:sz w:val="24"/>
      <w:szCs w:val="20"/>
    </w:rPr>
  </w:style>
  <w:style w:type="paragraph" w:styleId="14">
    <w:name w:val="Plain Text"/>
    <w:basedOn w:val="1"/>
    <w:link w:val="116"/>
    <w:qFormat/>
    <w:uiPriority w:val="0"/>
    <w:pPr>
      <w:widowControl w:val="0"/>
      <w:textAlignment w:val="auto"/>
    </w:pPr>
    <w:rPr>
      <w:rFonts w:ascii="宋体" w:hAnsi="Courier New"/>
      <w:szCs w:val="20"/>
    </w:rPr>
  </w:style>
  <w:style w:type="paragraph" w:styleId="15">
    <w:name w:val="Date"/>
    <w:basedOn w:val="1"/>
    <w:next w:val="1"/>
    <w:qFormat/>
    <w:uiPriority w:val="0"/>
    <w:pPr>
      <w:ind w:left="100" w:leftChars="2500"/>
    </w:pPr>
  </w:style>
  <w:style w:type="paragraph" w:styleId="16">
    <w:name w:val="Balloon Text"/>
    <w:basedOn w:val="1"/>
    <w:link w:val="111"/>
    <w:semiHidden/>
    <w:unhideWhenUsed/>
    <w:qFormat/>
    <w:uiPriority w:val="99"/>
    <w:rPr>
      <w:sz w:val="18"/>
      <w:szCs w:val="18"/>
    </w:rPr>
  </w:style>
  <w:style w:type="paragraph" w:styleId="17">
    <w:name w:val="footer"/>
    <w:basedOn w:val="1"/>
    <w:next w:val="1"/>
    <w:link w:val="43"/>
    <w:qFormat/>
    <w:uiPriority w:val="99"/>
    <w:pPr>
      <w:tabs>
        <w:tab w:val="center" w:pos="4153"/>
        <w:tab w:val="right" w:pos="8306"/>
      </w:tabs>
      <w:snapToGrid w:val="0"/>
      <w:jc w:val="left"/>
    </w:pPr>
    <w:rPr>
      <w:kern w:val="0"/>
      <w:sz w:val="18"/>
      <w:szCs w:val="18"/>
    </w:rPr>
  </w:style>
  <w:style w:type="paragraph" w:styleId="18">
    <w:name w:val="header"/>
    <w:basedOn w:val="1"/>
    <w:link w:val="44"/>
    <w:qFormat/>
    <w:uiPriority w:val="0"/>
    <w:pPr>
      <w:pBdr>
        <w:bottom w:val="single" w:color="000000" w:sz="6" w:space="1"/>
      </w:pBdr>
      <w:tabs>
        <w:tab w:val="center" w:pos="4153"/>
        <w:tab w:val="right" w:pos="8306"/>
      </w:tabs>
      <w:snapToGrid w:val="0"/>
      <w:jc w:val="center"/>
    </w:pPr>
    <w:rPr>
      <w:kern w:val="0"/>
      <w:sz w:val="18"/>
      <w:szCs w:val="18"/>
    </w:rPr>
  </w:style>
  <w:style w:type="paragraph" w:styleId="19">
    <w:name w:val="Subtitle"/>
    <w:basedOn w:val="1"/>
    <w:next w:val="1"/>
    <w:qFormat/>
    <w:uiPriority w:val="11"/>
    <w:pPr>
      <w:spacing w:before="240" w:after="60" w:line="312" w:lineRule="auto"/>
      <w:jc w:val="center"/>
      <w:outlineLvl w:val="1"/>
    </w:pPr>
    <w:rPr>
      <w:rFonts w:ascii="Cambria" w:hAnsi="Cambria"/>
      <w:b/>
      <w:bCs/>
      <w:kern w:val="28"/>
      <w:sz w:val="32"/>
      <w:szCs w:val="32"/>
    </w:rPr>
  </w:style>
  <w:style w:type="paragraph" w:styleId="20">
    <w:name w:val="Body Text 2"/>
    <w:basedOn w:val="1"/>
    <w:unhideWhenUsed/>
    <w:qFormat/>
    <w:uiPriority w:val="99"/>
    <w:pPr>
      <w:jc w:val="left"/>
    </w:pPr>
    <w:rPr>
      <w:rFonts w:ascii="仿宋_GB2312" w:hAnsi="宋体" w:eastAsia="仿宋_GB2312"/>
    </w:rPr>
  </w:style>
  <w:style w:type="paragraph" w:styleId="21">
    <w:name w:val="Normal (Web)"/>
    <w:basedOn w:val="1"/>
    <w:link w:val="126"/>
    <w:qFormat/>
    <w:uiPriority w:val="99"/>
    <w:pPr>
      <w:spacing w:before="100" w:beforeAutospacing="1" w:after="100" w:afterAutospacing="1"/>
      <w:jc w:val="left"/>
      <w:textAlignment w:val="auto"/>
    </w:pPr>
    <w:rPr>
      <w:rFonts w:ascii="宋体" w:hAnsi="宋体"/>
      <w:kern w:val="0"/>
      <w:sz w:val="24"/>
      <w:szCs w:val="24"/>
    </w:rPr>
  </w:style>
  <w:style w:type="paragraph" w:styleId="22">
    <w:name w:val="Title"/>
    <w:basedOn w:val="1"/>
    <w:next w:val="1"/>
    <w:link w:val="51"/>
    <w:qFormat/>
    <w:uiPriority w:val="0"/>
    <w:pPr>
      <w:spacing w:before="240" w:after="60"/>
      <w:jc w:val="center"/>
    </w:pPr>
    <w:rPr>
      <w:rFonts w:ascii="Arial" w:hAnsi="Arial"/>
      <w:sz w:val="44"/>
      <w:szCs w:val="32"/>
    </w:rPr>
  </w:style>
  <w:style w:type="paragraph" w:styleId="23">
    <w:name w:val="Body Text First Indent 2"/>
    <w:basedOn w:val="11"/>
    <w:unhideWhenUsed/>
    <w:qFormat/>
    <w:uiPriority w:val="99"/>
    <w:pPr>
      <w:ind w:firstLine="420" w:firstLineChars="200"/>
    </w:pPr>
  </w:style>
  <w:style w:type="table" w:styleId="25">
    <w:name w:val="Table Grid"/>
    <w:basedOn w:val="24"/>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0"/>
    <w:rPr>
      <w:rFonts w:cs="Times New Roman"/>
      <w:b/>
      <w:bCs/>
    </w:rPr>
  </w:style>
  <w:style w:type="character" w:styleId="28">
    <w:name w:val="page number"/>
    <w:basedOn w:val="26"/>
    <w:qFormat/>
    <w:uiPriority w:val="0"/>
    <w:rPr>
      <w:rFonts w:ascii="Times New Roman" w:hAnsi="Times New Roman" w:eastAsia="宋体" w:cs="Times New Roman"/>
    </w:rPr>
  </w:style>
  <w:style w:type="character" w:styleId="29">
    <w:name w:val="Hyperlink"/>
    <w:qFormat/>
    <w:uiPriority w:val="0"/>
    <w:rPr>
      <w:color w:val="0000FF"/>
      <w:u w:val="single"/>
    </w:rPr>
  </w:style>
  <w:style w:type="paragraph" w:customStyle="1" w:styleId="30">
    <w:name w:val="模板普通正文"/>
    <w:basedOn w:val="11"/>
    <w:qFormat/>
    <w:uiPriority w:val="0"/>
    <w:pPr>
      <w:spacing w:beforeLines="50" w:after="10"/>
      <w:ind w:firstLine="490" w:firstLineChars="175"/>
      <w:jc w:val="left"/>
    </w:pPr>
  </w:style>
  <w:style w:type="paragraph" w:customStyle="1" w:styleId="31">
    <w:name w:val="目录 42"/>
    <w:next w:val="1"/>
    <w:qFormat/>
    <w:uiPriority w:val="99"/>
    <w:pPr>
      <w:wordWrap w:val="0"/>
      <w:ind w:left="850"/>
      <w:jc w:val="both"/>
    </w:pPr>
    <w:rPr>
      <w:rFonts w:ascii="Times New Roman" w:hAnsi="Times New Roman" w:eastAsia="宋体" w:cs="Times New Roman"/>
      <w:sz w:val="21"/>
      <w:lang w:val="en-US" w:eastAsia="zh-CN" w:bidi="ar-SA"/>
    </w:rPr>
  </w:style>
  <w:style w:type="paragraph" w:customStyle="1" w:styleId="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3">
    <w:name w:val="Heading2"/>
    <w:basedOn w:val="1"/>
    <w:next w:val="1"/>
    <w:qFormat/>
    <w:uiPriority w:val="0"/>
    <w:pPr>
      <w:keepNext/>
      <w:keepLines/>
      <w:spacing w:before="260" w:after="260" w:line="416" w:lineRule="auto"/>
    </w:pPr>
    <w:rPr>
      <w:rFonts w:ascii="Cambria" w:hAnsi="Cambria"/>
      <w:sz w:val="32"/>
      <w:szCs w:val="32"/>
    </w:rPr>
  </w:style>
  <w:style w:type="paragraph" w:customStyle="1" w:styleId="34">
    <w:name w:val="表格文字"/>
    <w:basedOn w:val="1"/>
    <w:qFormat/>
    <w:uiPriority w:val="0"/>
    <w:pPr>
      <w:spacing w:before="25" w:after="25"/>
      <w:jc w:val="left"/>
    </w:pPr>
    <w:rPr>
      <w:bCs/>
      <w:spacing w:val="10"/>
      <w:kern w:val="0"/>
      <w:sz w:val="24"/>
      <w:szCs w:val="20"/>
    </w:rPr>
  </w:style>
  <w:style w:type="paragraph" w:customStyle="1" w:styleId="35">
    <w:name w:val="BodyText"/>
    <w:basedOn w:val="1"/>
    <w:link w:val="74"/>
    <w:qFormat/>
    <w:uiPriority w:val="0"/>
    <w:pPr>
      <w:spacing w:line="312" w:lineRule="atLeast"/>
      <w:jc w:val="center"/>
    </w:pPr>
    <w:rPr>
      <w:rFonts w:ascii="楷体_GB2312" w:eastAsia="楷体_GB2312"/>
      <w:kern w:val="0"/>
      <w:sz w:val="48"/>
      <w:szCs w:val="20"/>
    </w:rPr>
  </w:style>
  <w:style w:type="paragraph" w:customStyle="1" w:styleId="36">
    <w:name w:val="Heading1"/>
    <w:basedOn w:val="1"/>
    <w:next w:val="1"/>
    <w:qFormat/>
    <w:uiPriority w:val="0"/>
    <w:pPr>
      <w:tabs>
        <w:tab w:val="left" w:pos="1080"/>
      </w:tabs>
      <w:snapToGrid w:val="0"/>
      <w:spacing w:before="120" w:line="360" w:lineRule="auto"/>
    </w:pPr>
    <w:rPr>
      <w:rFonts w:eastAsia="理德小标宋简"/>
      <w:kern w:val="44"/>
      <w:sz w:val="28"/>
      <w:szCs w:val="44"/>
    </w:rPr>
  </w:style>
  <w:style w:type="paragraph" w:customStyle="1" w:styleId="37">
    <w:name w:val="Heading3"/>
    <w:basedOn w:val="1"/>
    <w:next w:val="1"/>
    <w:qFormat/>
    <w:uiPriority w:val="0"/>
    <w:pPr>
      <w:keepNext/>
      <w:keepLines/>
      <w:spacing w:before="260" w:after="260" w:line="416" w:lineRule="auto"/>
    </w:pPr>
    <w:rPr>
      <w:sz w:val="32"/>
      <w:szCs w:val="32"/>
    </w:rPr>
  </w:style>
  <w:style w:type="paragraph" w:customStyle="1" w:styleId="38">
    <w:name w:val="Heading4"/>
    <w:basedOn w:val="1"/>
    <w:next w:val="1"/>
    <w:qFormat/>
    <w:uiPriority w:val="0"/>
    <w:pPr>
      <w:keepNext/>
      <w:keepLines/>
      <w:spacing w:line="360" w:lineRule="auto"/>
      <w:jc w:val="center"/>
    </w:pPr>
    <w:rPr>
      <w:rFonts w:ascii="Cambria" w:hAnsi="Cambria"/>
      <w:sz w:val="28"/>
      <w:szCs w:val="36"/>
    </w:rPr>
  </w:style>
  <w:style w:type="paragraph" w:customStyle="1" w:styleId="39">
    <w:name w:val="Heading5"/>
    <w:basedOn w:val="1"/>
    <w:next w:val="1"/>
    <w:qFormat/>
    <w:uiPriority w:val="0"/>
    <w:pPr>
      <w:keepNext/>
      <w:keepLines/>
      <w:spacing w:before="280" w:after="290" w:line="376" w:lineRule="auto"/>
    </w:pPr>
    <w:rPr>
      <w:sz w:val="28"/>
      <w:szCs w:val="28"/>
    </w:rPr>
  </w:style>
  <w:style w:type="character" w:customStyle="1" w:styleId="40">
    <w:name w:val="NormalCharacter"/>
    <w:basedOn w:val="26"/>
    <w:link w:val="41"/>
    <w:qFormat/>
    <w:uiPriority w:val="0"/>
  </w:style>
  <w:style w:type="paragraph" w:customStyle="1" w:styleId="41">
    <w:name w:val="样式"/>
    <w:basedOn w:val="1"/>
    <w:link w:val="40"/>
    <w:qFormat/>
    <w:uiPriority w:val="0"/>
    <w:pPr>
      <w:widowControl/>
      <w:spacing w:after="160" w:line="240" w:lineRule="exact"/>
      <w:jc w:val="left"/>
      <w:textAlignment w:val="baseline"/>
    </w:pPr>
  </w:style>
  <w:style w:type="table" w:customStyle="1" w:styleId="42">
    <w:name w:val="TableNormal"/>
    <w:qFormat/>
    <w:uiPriority w:val="0"/>
    <w:tblPr>
      <w:tblCellMar>
        <w:top w:w="0" w:type="dxa"/>
        <w:left w:w="0" w:type="dxa"/>
        <w:bottom w:w="0" w:type="dxa"/>
        <w:right w:w="0" w:type="dxa"/>
      </w:tblCellMar>
    </w:tblPr>
  </w:style>
  <w:style w:type="character" w:customStyle="1" w:styleId="43">
    <w:name w:val="页脚 字符"/>
    <w:link w:val="17"/>
    <w:qFormat/>
    <w:uiPriority w:val="99"/>
    <w:rPr>
      <w:sz w:val="18"/>
      <w:szCs w:val="18"/>
    </w:rPr>
  </w:style>
  <w:style w:type="character" w:customStyle="1" w:styleId="44">
    <w:name w:val="页眉 字符"/>
    <w:link w:val="18"/>
    <w:qFormat/>
    <w:uiPriority w:val="0"/>
    <w:rPr>
      <w:sz w:val="18"/>
      <w:szCs w:val="18"/>
    </w:rPr>
  </w:style>
  <w:style w:type="character" w:customStyle="1" w:styleId="45">
    <w:name w:val="UserStyle_2"/>
    <w:link w:val="46"/>
    <w:qFormat/>
    <w:uiPriority w:val="0"/>
    <w:rPr>
      <w:kern w:val="2"/>
      <w:sz w:val="18"/>
      <w:szCs w:val="18"/>
    </w:rPr>
  </w:style>
  <w:style w:type="paragraph" w:customStyle="1" w:styleId="46">
    <w:name w:val="Acetate"/>
    <w:basedOn w:val="1"/>
    <w:link w:val="45"/>
    <w:qFormat/>
    <w:uiPriority w:val="0"/>
    <w:rPr>
      <w:sz w:val="18"/>
      <w:szCs w:val="18"/>
    </w:rPr>
  </w:style>
  <w:style w:type="character" w:customStyle="1" w:styleId="47">
    <w:name w:val="AnnotationReference"/>
    <w:qFormat/>
    <w:uiPriority w:val="0"/>
    <w:rPr>
      <w:sz w:val="21"/>
      <w:szCs w:val="21"/>
    </w:rPr>
  </w:style>
  <w:style w:type="character" w:customStyle="1" w:styleId="48">
    <w:name w:val="PageNumber"/>
    <w:basedOn w:val="40"/>
    <w:qFormat/>
    <w:uiPriority w:val="0"/>
  </w:style>
  <w:style w:type="character" w:customStyle="1" w:styleId="49">
    <w:name w:val="UserStyle_3"/>
    <w:link w:val="50"/>
    <w:qFormat/>
    <w:uiPriority w:val="0"/>
    <w:rPr>
      <w:rFonts w:ascii="宋体" w:hAnsi="Times New Roman"/>
      <w:sz w:val="18"/>
      <w:szCs w:val="18"/>
    </w:rPr>
  </w:style>
  <w:style w:type="paragraph" w:customStyle="1" w:styleId="50">
    <w:name w:val="NavPane"/>
    <w:basedOn w:val="1"/>
    <w:link w:val="49"/>
    <w:qFormat/>
    <w:uiPriority w:val="0"/>
    <w:pPr>
      <w:spacing w:line="312" w:lineRule="atLeast"/>
    </w:pPr>
    <w:rPr>
      <w:rFonts w:ascii="宋体"/>
      <w:kern w:val="0"/>
      <w:sz w:val="18"/>
      <w:szCs w:val="18"/>
    </w:rPr>
  </w:style>
  <w:style w:type="character" w:customStyle="1" w:styleId="51">
    <w:name w:val="标题 字符"/>
    <w:link w:val="22"/>
    <w:qFormat/>
    <w:uiPriority w:val="0"/>
    <w:rPr>
      <w:rFonts w:ascii="Arial" w:hAnsi="Arial" w:cs="Arial"/>
      <w:b/>
      <w:bCs/>
      <w:kern w:val="2"/>
      <w:sz w:val="44"/>
      <w:szCs w:val="32"/>
    </w:rPr>
  </w:style>
  <w:style w:type="character" w:customStyle="1" w:styleId="52">
    <w:name w:val="UserStyle_5"/>
    <w:qFormat/>
    <w:uiPriority w:val="0"/>
    <w:rPr>
      <w:rFonts w:cs="Times New Roman"/>
      <w:b/>
      <w:bCs/>
      <w:kern w:val="2"/>
      <w:sz w:val="32"/>
      <w:szCs w:val="32"/>
    </w:rPr>
  </w:style>
  <w:style w:type="character" w:customStyle="1" w:styleId="53">
    <w:name w:val="UserStyle_6"/>
    <w:qFormat/>
    <w:uiPriority w:val="0"/>
    <w:rPr>
      <w:rFonts w:ascii="Cambria" w:hAnsi="Cambria" w:eastAsia="宋体" w:cs="Times New Roman"/>
      <w:b/>
      <w:bCs/>
      <w:kern w:val="2"/>
      <w:sz w:val="32"/>
      <w:szCs w:val="32"/>
    </w:rPr>
  </w:style>
  <w:style w:type="character" w:customStyle="1" w:styleId="54">
    <w:name w:val="UserStyle_7"/>
    <w:qFormat/>
    <w:uiPriority w:val="0"/>
    <w:rPr>
      <w:rFonts w:ascii="宋体" w:hAnsi="Courier New" w:eastAsia="宋体"/>
      <w:szCs w:val="20"/>
    </w:rPr>
  </w:style>
  <w:style w:type="character" w:customStyle="1" w:styleId="55">
    <w:name w:val="UserStyle_8"/>
    <w:link w:val="56"/>
    <w:qFormat/>
    <w:uiPriority w:val="0"/>
    <w:rPr>
      <w:rFonts w:ascii="宋体" w:hAnsi="Courier New"/>
      <w:kern w:val="2"/>
      <w:sz w:val="21"/>
      <w:szCs w:val="21"/>
    </w:rPr>
  </w:style>
  <w:style w:type="paragraph" w:customStyle="1" w:styleId="56">
    <w:name w:val="PlainText"/>
    <w:basedOn w:val="1"/>
    <w:link w:val="55"/>
    <w:qFormat/>
    <w:uiPriority w:val="0"/>
    <w:rPr>
      <w:rFonts w:ascii="宋体" w:hAnsi="Courier New"/>
      <w:szCs w:val="21"/>
    </w:rPr>
  </w:style>
  <w:style w:type="character" w:customStyle="1" w:styleId="57">
    <w:name w:val="UserStyle_9"/>
    <w:link w:val="58"/>
    <w:semiHidden/>
    <w:qFormat/>
    <w:uiPriority w:val="0"/>
    <w:rPr>
      <w:kern w:val="2"/>
      <w:sz w:val="21"/>
      <w:szCs w:val="22"/>
    </w:rPr>
  </w:style>
  <w:style w:type="paragraph" w:customStyle="1" w:styleId="58">
    <w:name w:val="BodyText2"/>
    <w:basedOn w:val="1"/>
    <w:link w:val="57"/>
    <w:qFormat/>
    <w:uiPriority w:val="0"/>
    <w:pPr>
      <w:spacing w:after="120" w:line="480" w:lineRule="auto"/>
    </w:pPr>
  </w:style>
  <w:style w:type="character" w:customStyle="1" w:styleId="59">
    <w:name w:val="UserStyle_10"/>
    <w:link w:val="60"/>
    <w:qFormat/>
    <w:uiPriority w:val="0"/>
    <w:rPr>
      <w:rFonts w:ascii="Times New Roman" w:hAnsi="Times New Roman"/>
      <w:sz w:val="21"/>
    </w:rPr>
  </w:style>
  <w:style w:type="paragraph" w:customStyle="1" w:styleId="60">
    <w:name w:val="AnnotationText"/>
    <w:basedOn w:val="1"/>
    <w:link w:val="59"/>
    <w:qFormat/>
    <w:uiPriority w:val="0"/>
    <w:pPr>
      <w:spacing w:line="312" w:lineRule="atLeast"/>
      <w:jc w:val="left"/>
    </w:pPr>
    <w:rPr>
      <w:kern w:val="0"/>
      <w:szCs w:val="20"/>
    </w:rPr>
  </w:style>
  <w:style w:type="character" w:customStyle="1" w:styleId="61">
    <w:name w:val="UserStyle_11"/>
    <w:qFormat/>
    <w:uiPriority w:val="0"/>
    <w:rPr>
      <w:rFonts w:cs="Times New Roman"/>
      <w:b/>
      <w:bCs/>
      <w:kern w:val="2"/>
      <w:sz w:val="28"/>
      <w:szCs w:val="28"/>
    </w:rPr>
  </w:style>
  <w:style w:type="character" w:customStyle="1" w:styleId="62">
    <w:name w:val="UserStyle_12"/>
    <w:qFormat/>
    <w:uiPriority w:val="0"/>
    <w:rPr>
      <w:rFonts w:ascii="Cambria" w:hAnsi="Cambria" w:eastAsia="宋体" w:cs="Times New Roman"/>
      <w:b/>
      <w:bCs/>
      <w:kern w:val="2"/>
      <w:sz w:val="28"/>
      <w:szCs w:val="36"/>
    </w:rPr>
  </w:style>
  <w:style w:type="character" w:customStyle="1" w:styleId="63">
    <w:name w:val="UserStyle_13"/>
    <w:link w:val="64"/>
    <w:qFormat/>
    <w:uiPriority w:val="0"/>
    <w:rPr>
      <w:rFonts w:ascii="Times New Roman" w:hAnsi="Times New Roman"/>
      <w:kern w:val="2"/>
      <w:sz w:val="24"/>
      <w:szCs w:val="24"/>
    </w:rPr>
  </w:style>
  <w:style w:type="paragraph" w:customStyle="1" w:styleId="64">
    <w:name w:val="BodyTextIndent"/>
    <w:basedOn w:val="1"/>
    <w:link w:val="63"/>
    <w:qFormat/>
    <w:uiPriority w:val="0"/>
    <w:pPr>
      <w:ind w:left="420" w:leftChars="200"/>
      <w:jc w:val="left"/>
    </w:pPr>
    <w:rPr>
      <w:sz w:val="24"/>
      <w:szCs w:val="24"/>
    </w:rPr>
  </w:style>
  <w:style w:type="character" w:customStyle="1" w:styleId="65">
    <w:name w:val="UserStyle_14"/>
    <w:qFormat/>
    <w:uiPriority w:val="0"/>
    <w:rPr>
      <w:rFonts w:ascii="宋体" w:hAnsi="Courier New" w:eastAsia="宋体"/>
      <w:kern w:val="2"/>
      <w:sz w:val="21"/>
      <w:lang w:val="en-US" w:eastAsia="zh-CN" w:bidi="ar-SA"/>
    </w:rPr>
  </w:style>
  <w:style w:type="character" w:customStyle="1" w:styleId="66">
    <w:name w:val="UserStyle_15"/>
    <w:basedOn w:val="40"/>
    <w:qFormat/>
    <w:uiPriority w:val="0"/>
  </w:style>
  <w:style w:type="character" w:customStyle="1" w:styleId="67">
    <w:name w:val="UserStyle_16"/>
    <w:qFormat/>
    <w:uiPriority w:val="0"/>
    <w:rPr>
      <w:rFonts w:ascii="宋体" w:hAnsi="Courier New" w:eastAsia="宋体"/>
      <w:szCs w:val="21"/>
    </w:rPr>
  </w:style>
  <w:style w:type="character" w:customStyle="1" w:styleId="68">
    <w:name w:val="UserStyle_17"/>
    <w:link w:val="69"/>
    <w:semiHidden/>
    <w:qFormat/>
    <w:uiPriority w:val="0"/>
    <w:rPr>
      <w:rFonts w:ascii="Times New Roman" w:hAnsi="Times New Roman"/>
      <w:kern w:val="2"/>
      <w:sz w:val="24"/>
      <w:szCs w:val="24"/>
    </w:rPr>
  </w:style>
  <w:style w:type="paragraph" w:customStyle="1" w:styleId="69">
    <w:name w:val="NoteHeading"/>
    <w:basedOn w:val="1"/>
    <w:next w:val="1"/>
    <w:link w:val="68"/>
    <w:semiHidden/>
    <w:qFormat/>
    <w:uiPriority w:val="0"/>
    <w:pPr>
      <w:jc w:val="center"/>
    </w:pPr>
    <w:rPr>
      <w:sz w:val="24"/>
      <w:szCs w:val="24"/>
    </w:rPr>
  </w:style>
  <w:style w:type="character" w:customStyle="1" w:styleId="70">
    <w:name w:val="UserStyle_18"/>
    <w:link w:val="71"/>
    <w:qFormat/>
    <w:uiPriority w:val="0"/>
    <w:rPr>
      <w:rFonts w:ascii="宋体" w:hAnsi="Times New Roman"/>
      <w:sz w:val="28"/>
    </w:rPr>
  </w:style>
  <w:style w:type="paragraph" w:customStyle="1" w:styleId="71">
    <w:name w:val="BodyTextIndent3"/>
    <w:basedOn w:val="1"/>
    <w:link w:val="70"/>
    <w:qFormat/>
    <w:uiPriority w:val="0"/>
    <w:pPr>
      <w:spacing w:line="360" w:lineRule="auto"/>
      <w:ind w:firstLine="480"/>
    </w:pPr>
    <w:rPr>
      <w:rFonts w:ascii="宋体"/>
      <w:kern w:val="0"/>
      <w:sz w:val="28"/>
      <w:szCs w:val="20"/>
    </w:rPr>
  </w:style>
  <w:style w:type="character" w:customStyle="1" w:styleId="72">
    <w:name w:val="UserStyle_19"/>
    <w:link w:val="73"/>
    <w:qFormat/>
    <w:uiPriority w:val="0"/>
    <w:rPr>
      <w:rFonts w:ascii="Times New Roman" w:hAnsi="Times New Roman" w:cs="Times New Roman"/>
      <w:b/>
      <w:bCs/>
      <w:sz w:val="21"/>
    </w:rPr>
  </w:style>
  <w:style w:type="paragraph" w:customStyle="1" w:styleId="73">
    <w:name w:val="AnnotationSubject"/>
    <w:basedOn w:val="60"/>
    <w:next w:val="60"/>
    <w:link w:val="72"/>
    <w:qFormat/>
    <w:uiPriority w:val="0"/>
  </w:style>
  <w:style w:type="character" w:customStyle="1" w:styleId="74">
    <w:name w:val="UserStyle_20"/>
    <w:link w:val="35"/>
    <w:qFormat/>
    <w:uiPriority w:val="0"/>
    <w:rPr>
      <w:rFonts w:ascii="楷体_GB2312" w:hAnsi="Times New Roman" w:eastAsia="楷体_GB2312"/>
      <w:b/>
      <w:sz w:val="48"/>
    </w:rPr>
  </w:style>
  <w:style w:type="character" w:customStyle="1" w:styleId="75">
    <w:name w:val="UserStyle_21"/>
    <w:qFormat/>
    <w:uiPriority w:val="0"/>
    <w:rPr>
      <w:rFonts w:ascii="Times New Roman" w:hAnsi="Times New Roman" w:eastAsia="理德小标宋简" w:cs="Times New Roman"/>
      <w:b/>
      <w:bCs/>
      <w:kern w:val="44"/>
      <w:sz w:val="28"/>
      <w:szCs w:val="44"/>
    </w:rPr>
  </w:style>
  <w:style w:type="character" w:customStyle="1" w:styleId="76">
    <w:name w:val="称呼 字符"/>
    <w:link w:val="9"/>
    <w:semiHidden/>
    <w:qFormat/>
    <w:uiPriority w:val="0"/>
    <w:rPr>
      <w:rFonts w:ascii="Times New Roman" w:hAnsi="Times New Roman"/>
      <w:kern w:val="2"/>
      <w:sz w:val="24"/>
      <w:szCs w:val="24"/>
    </w:rPr>
  </w:style>
  <w:style w:type="paragraph" w:customStyle="1" w:styleId="77">
    <w:name w:val="UserStyle_23"/>
    <w:basedOn w:val="1"/>
    <w:qFormat/>
    <w:uiPriority w:val="0"/>
    <w:pPr>
      <w:tabs>
        <w:tab w:val="left" w:pos="2041"/>
      </w:tabs>
      <w:spacing w:after="120" w:line="336" w:lineRule="auto"/>
      <w:ind w:left="2041" w:hanging="680"/>
    </w:pPr>
    <w:rPr>
      <w:rFonts w:ascii="Arial" w:hAnsi="Arial"/>
      <w:w w:val="105"/>
      <w:kern w:val="20"/>
      <w:sz w:val="24"/>
      <w:szCs w:val="20"/>
      <w:lang w:val="en-GB" w:eastAsia="en-US"/>
    </w:rPr>
  </w:style>
  <w:style w:type="paragraph" w:customStyle="1" w:styleId="78">
    <w:name w:val="TOC7"/>
    <w:basedOn w:val="1"/>
    <w:next w:val="1"/>
    <w:qFormat/>
    <w:uiPriority w:val="0"/>
    <w:pPr>
      <w:spacing w:line="312" w:lineRule="atLeast"/>
      <w:ind w:left="1260"/>
      <w:jc w:val="left"/>
    </w:pPr>
    <w:rPr>
      <w:kern w:val="0"/>
      <w:sz w:val="18"/>
      <w:szCs w:val="18"/>
    </w:rPr>
  </w:style>
  <w:style w:type="paragraph" w:customStyle="1" w:styleId="79">
    <w:name w:val="TOC5"/>
    <w:basedOn w:val="1"/>
    <w:next w:val="1"/>
    <w:qFormat/>
    <w:uiPriority w:val="0"/>
    <w:pPr>
      <w:spacing w:line="312" w:lineRule="atLeast"/>
      <w:ind w:left="840"/>
      <w:jc w:val="left"/>
    </w:pPr>
    <w:rPr>
      <w:kern w:val="0"/>
      <w:sz w:val="18"/>
      <w:szCs w:val="18"/>
    </w:rPr>
  </w:style>
  <w:style w:type="paragraph" w:customStyle="1" w:styleId="80">
    <w:name w:val="TOC8"/>
    <w:basedOn w:val="1"/>
    <w:next w:val="1"/>
    <w:qFormat/>
    <w:uiPriority w:val="0"/>
    <w:pPr>
      <w:spacing w:line="312" w:lineRule="atLeast"/>
      <w:ind w:left="1470"/>
      <w:jc w:val="left"/>
    </w:pPr>
    <w:rPr>
      <w:kern w:val="0"/>
      <w:sz w:val="18"/>
      <w:szCs w:val="18"/>
    </w:rPr>
  </w:style>
  <w:style w:type="paragraph" w:customStyle="1" w:styleId="81">
    <w:name w:val="UserStyle_24"/>
    <w:basedOn w:val="1"/>
    <w:next w:val="1"/>
    <w:qFormat/>
    <w:uiPriority w:val="0"/>
    <w:pPr>
      <w:spacing w:before="120" w:after="120" w:line="290" w:lineRule="auto"/>
      <w:jc w:val="center"/>
    </w:pPr>
    <w:rPr>
      <w:rFonts w:ascii="Arial" w:hAnsi="Arial"/>
      <w:kern w:val="24"/>
      <w:sz w:val="24"/>
      <w:szCs w:val="24"/>
      <w:lang w:val="en-GB" w:eastAsia="en-US"/>
    </w:rPr>
  </w:style>
  <w:style w:type="paragraph" w:customStyle="1" w:styleId="82">
    <w:name w:val="TOC2"/>
    <w:basedOn w:val="1"/>
    <w:next w:val="1"/>
    <w:qFormat/>
    <w:uiPriority w:val="0"/>
    <w:pPr>
      <w:spacing w:line="312" w:lineRule="atLeast"/>
      <w:ind w:left="210"/>
      <w:jc w:val="left"/>
    </w:pPr>
    <w:rPr>
      <w:kern w:val="0"/>
      <w:sz w:val="20"/>
      <w:szCs w:val="20"/>
    </w:rPr>
  </w:style>
  <w:style w:type="paragraph" w:customStyle="1" w:styleId="83">
    <w:name w:val="TOC6"/>
    <w:basedOn w:val="1"/>
    <w:next w:val="1"/>
    <w:qFormat/>
    <w:uiPriority w:val="0"/>
    <w:pPr>
      <w:spacing w:line="312" w:lineRule="atLeast"/>
      <w:ind w:left="1050"/>
      <w:jc w:val="left"/>
    </w:pPr>
    <w:rPr>
      <w:kern w:val="0"/>
      <w:sz w:val="18"/>
      <w:szCs w:val="18"/>
    </w:rPr>
  </w:style>
  <w:style w:type="paragraph" w:customStyle="1" w:styleId="84">
    <w:name w:val="TOC3"/>
    <w:basedOn w:val="1"/>
    <w:next w:val="1"/>
    <w:qFormat/>
    <w:uiPriority w:val="0"/>
    <w:pPr>
      <w:spacing w:line="312" w:lineRule="atLeast"/>
      <w:ind w:left="420"/>
      <w:jc w:val="left"/>
    </w:pPr>
    <w:rPr>
      <w:kern w:val="0"/>
      <w:sz w:val="20"/>
      <w:szCs w:val="20"/>
    </w:rPr>
  </w:style>
  <w:style w:type="paragraph" w:customStyle="1" w:styleId="85">
    <w:name w:val="UserStyle_25"/>
    <w:basedOn w:val="1"/>
    <w:qFormat/>
    <w:uiPriority w:val="0"/>
    <w:pPr>
      <w:tabs>
        <w:tab w:val="left" w:pos="2722"/>
      </w:tabs>
      <w:spacing w:after="120" w:line="336" w:lineRule="auto"/>
      <w:ind w:left="2722" w:hanging="681"/>
    </w:pPr>
    <w:rPr>
      <w:rFonts w:ascii="Arial" w:hAnsi="Arial"/>
      <w:w w:val="105"/>
      <w:kern w:val="20"/>
      <w:sz w:val="24"/>
      <w:szCs w:val="20"/>
      <w:lang w:val="en-GB" w:eastAsia="en-US"/>
    </w:rPr>
  </w:style>
  <w:style w:type="paragraph" w:customStyle="1" w:styleId="86">
    <w:name w:val="UserStyle_26"/>
    <w:basedOn w:val="87"/>
    <w:qFormat/>
    <w:uiPriority w:val="0"/>
    <w:pPr>
      <w:tabs>
        <w:tab w:val="left" w:pos="1361"/>
      </w:tabs>
    </w:pPr>
  </w:style>
  <w:style w:type="paragraph" w:customStyle="1" w:styleId="87">
    <w:name w:val="UserStyle_27"/>
    <w:basedOn w:val="1"/>
    <w:qFormat/>
    <w:uiPriority w:val="0"/>
    <w:pPr>
      <w:tabs>
        <w:tab w:val="left" w:pos="1361"/>
      </w:tabs>
      <w:spacing w:after="120" w:line="336" w:lineRule="auto"/>
      <w:ind w:left="1361" w:hanging="737"/>
    </w:pPr>
    <w:rPr>
      <w:rFonts w:ascii="Arial" w:hAnsi="Arial"/>
      <w:w w:val="105"/>
      <w:kern w:val="20"/>
      <w:sz w:val="24"/>
      <w:szCs w:val="20"/>
      <w:lang w:val="en-GB" w:eastAsia="en-US"/>
    </w:rPr>
  </w:style>
  <w:style w:type="paragraph" w:customStyle="1" w:styleId="88">
    <w:name w:val="TOC9"/>
    <w:basedOn w:val="1"/>
    <w:next w:val="1"/>
    <w:qFormat/>
    <w:uiPriority w:val="0"/>
    <w:pPr>
      <w:spacing w:line="312" w:lineRule="atLeast"/>
      <w:ind w:left="1680"/>
      <w:jc w:val="left"/>
    </w:pPr>
    <w:rPr>
      <w:kern w:val="0"/>
      <w:sz w:val="18"/>
      <w:szCs w:val="18"/>
    </w:rPr>
  </w:style>
  <w:style w:type="paragraph" w:customStyle="1" w:styleId="89">
    <w:name w:val="TOC4"/>
    <w:basedOn w:val="1"/>
    <w:next w:val="1"/>
    <w:qFormat/>
    <w:uiPriority w:val="0"/>
    <w:pPr>
      <w:spacing w:line="312" w:lineRule="atLeast"/>
      <w:ind w:left="630"/>
      <w:jc w:val="left"/>
    </w:pPr>
    <w:rPr>
      <w:kern w:val="0"/>
      <w:sz w:val="18"/>
      <w:szCs w:val="18"/>
    </w:rPr>
  </w:style>
  <w:style w:type="paragraph" w:customStyle="1" w:styleId="90">
    <w:name w:val="TOC1"/>
    <w:basedOn w:val="1"/>
    <w:next w:val="1"/>
    <w:qFormat/>
    <w:uiPriority w:val="0"/>
    <w:pPr>
      <w:spacing w:before="120" w:after="120" w:line="312" w:lineRule="atLeast"/>
      <w:jc w:val="left"/>
    </w:pPr>
    <w:rPr>
      <w:kern w:val="0"/>
      <w:sz w:val="20"/>
      <w:szCs w:val="20"/>
    </w:rPr>
  </w:style>
  <w:style w:type="paragraph" w:customStyle="1" w:styleId="91">
    <w:name w:val="HtmlNormal"/>
    <w:basedOn w:val="1"/>
    <w:qFormat/>
    <w:uiPriority w:val="0"/>
    <w:pPr>
      <w:spacing w:before="100" w:beforeAutospacing="1" w:after="100" w:afterAutospacing="1"/>
      <w:jc w:val="left"/>
    </w:pPr>
    <w:rPr>
      <w:rFonts w:ascii="宋体" w:hAnsi="宋体"/>
      <w:kern w:val="0"/>
      <w:sz w:val="24"/>
      <w:szCs w:val="24"/>
    </w:rPr>
  </w:style>
  <w:style w:type="paragraph" w:customStyle="1" w:styleId="92">
    <w:name w:val="UserStyle_28"/>
    <w:basedOn w:val="1"/>
    <w:qFormat/>
    <w:uiPriority w:val="0"/>
    <w:pPr>
      <w:spacing w:after="140" w:line="290" w:lineRule="auto"/>
    </w:pPr>
    <w:rPr>
      <w:rFonts w:ascii="Arial" w:hAnsi="Arial"/>
      <w:kern w:val="20"/>
      <w:sz w:val="20"/>
      <w:szCs w:val="24"/>
      <w:lang w:val="en-GB" w:eastAsia="en-US"/>
    </w:rPr>
  </w:style>
  <w:style w:type="paragraph" w:customStyle="1" w:styleId="93">
    <w:name w:val="UserStyle_29"/>
    <w:qFormat/>
    <w:uiPriority w:val="0"/>
    <w:pPr>
      <w:textAlignment w:val="baseline"/>
    </w:pPr>
    <w:rPr>
      <w:rFonts w:ascii="宋体" w:hAnsi="Times New Roman" w:eastAsia="宋体" w:cs="Times New Roman"/>
      <w:color w:val="000000"/>
      <w:sz w:val="24"/>
      <w:szCs w:val="24"/>
      <w:lang w:val="en-US" w:eastAsia="zh-CN" w:bidi="ar-SA"/>
    </w:rPr>
  </w:style>
  <w:style w:type="paragraph" w:customStyle="1" w:styleId="94">
    <w:name w:val="UserStyle_30"/>
    <w:basedOn w:val="1"/>
    <w:qFormat/>
    <w:uiPriority w:val="0"/>
    <w:pPr>
      <w:spacing w:before="120" w:after="120" w:line="290" w:lineRule="auto"/>
      <w:jc w:val="center"/>
    </w:pPr>
    <w:rPr>
      <w:rFonts w:ascii="Arial" w:hAnsi="Arial"/>
      <w:kern w:val="20"/>
      <w:sz w:val="20"/>
      <w:szCs w:val="20"/>
      <w:lang w:val="en-GB" w:eastAsia="en-US"/>
    </w:rPr>
  </w:style>
  <w:style w:type="paragraph" w:customStyle="1" w:styleId="95">
    <w:name w:val="UserStyle_31"/>
    <w:basedOn w:val="1"/>
    <w:next w:val="1"/>
    <w:qFormat/>
    <w:uiPriority w:val="0"/>
    <w:pPr>
      <w:tabs>
        <w:tab w:val="left" w:pos="624"/>
      </w:tabs>
      <w:spacing w:line="360" w:lineRule="auto"/>
      <w:ind w:left="624" w:hanging="624"/>
    </w:pPr>
    <w:rPr>
      <w:rFonts w:ascii="Arial" w:hAnsi="Arial"/>
      <w:w w:val="105"/>
      <w:kern w:val="20"/>
      <w:sz w:val="24"/>
      <w:szCs w:val="24"/>
      <w:lang w:val="en-GB" w:eastAsia="en-US"/>
    </w:rPr>
  </w:style>
  <w:style w:type="paragraph" w:customStyle="1" w:styleId="96">
    <w:name w:val="UserStyle_32"/>
    <w:basedOn w:val="1"/>
    <w:qFormat/>
    <w:uiPriority w:val="0"/>
    <w:rPr>
      <w:rFonts w:ascii="仿宋_GB2312" w:eastAsia="仿宋_GB2312"/>
      <w:spacing w:val="-4"/>
      <w:sz w:val="32"/>
      <w:szCs w:val="21"/>
    </w:rPr>
  </w:style>
  <w:style w:type="paragraph" w:customStyle="1" w:styleId="97">
    <w:name w:val="UserStyle_33"/>
    <w:basedOn w:val="1"/>
    <w:qFormat/>
    <w:uiPriority w:val="0"/>
    <w:pPr>
      <w:spacing w:line="290" w:lineRule="auto"/>
    </w:pPr>
    <w:rPr>
      <w:rFonts w:ascii="Arial" w:hAnsi="Arial" w:eastAsia="黑体"/>
      <w:kern w:val="20"/>
      <w:sz w:val="24"/>
      <w:szCs w:val="23"/>
      <w:lang w:val="en-GB" w:eastAsia="en-US"/>
    </w:rPr>
  </w:style>
  <w:style w:type="paragraph" w:customStyle="1" w:styleId="98">
    <w:name w:val="UserStyle_34"/>
    <w:basedOn w:val="1"/>
    <w:qFormat/>
    <w:uiPriority w:val="0"/>
    <w:pPr>
      <w:tabs>
        <w:tab w:val="left" w:pos="624"/>
      </w:tabs>
      <w:spacing w:after="120" w:line="336" w:lineRule="auto"/>
      <w:ind w:left="624" w:hanging="624"/>
    </w:pPr>
    <w:rPr>
      <w:rFonts w:ascii="Arial" w:hAnsi="Arial"/>
      <w:w w:val="105"/>
      <w:kern w:val="20"/>
      <w:sz w:val="24"/>
      <w:szCs w:val="20"/>
      <w:lang w:val="en-GB" w:eastAsia="en-US"/>
    </w:rPr>
  </w:style>
  <w:style w:type="paragraph" w:customStyle="1" w:styleId="99">
    <w:name w:val="UserStyle_35"/>
    <w:basedOn w:val="1"/>
    <w:qFormat/>
    <w:uiPriority w:val="0"/>
    <w:pPr>
      <w:spacing w:line="290" w:lineRule="auto"/>
    </w:pPr>
    <w:rPr>
      <w:rFonts w:ascii="Arial" w:hAnsi="Arial"/>
      <w:kern w:val="20"/>
      <w:sz w:val="24"/>
      <w:szCs w:val="23"/>
      <w:lang w:val="en-GB" w:eastAsia="en-US"/>
    </w:rPr>
  </w:style>
  <w:style w:type="paragraph" w:customStyle="1" w:styleId="100">
    <w:name w:val="UserStyle_36"/>
    <w:basedOn w:val="33"/>
    <w:next w:val="1"/>
    <w:qFormat/>
    <w:uiPriority w:val="0"/>
    <w:pPr>
      <w:spacing w:before="100" w:after="0" w:line="400" w:lineRule="exact"/>
    </w:pPr>
    <w:rPr>
      <w:rFonts w:ascii="Times New Roman" w:hAnsi="Times New Roman" w:eastAsia="黑体"/>
      <w:sz w:val="28"/>
      <w:szCs w:val="20"/>
    </w:rPr>
  </w:style>
  <w:style w:type="paragraph" w:customStyle="1" w:styleId="101">
    <w:name w:val="UserStyle_37"/>
    <w:basedOn w:val="1"/>
    <w:qFormat/>
    <w:uiPriority w:val="0"/>
    <w:pPr>
      <w:tabs>
        <w:tab w:val="left" w:pos="680"/>
      </w:tabs>
      <w:spacing w:after="140" w:line="290" w:lineRule="auto"/>
      <w:ind w:left="680" w:hanging="680"/>
    </w:pPr>
    <w:rPr>
      <w:rFonts w:ascii="Arial" w:hAnsi="Arial"/>
      <w:kern w:val="20"/>
      <w:sz w:val="20"/>
      <w:szCs w:val="24"/>
      <w:lang w:val="en-GB" w:eastAsia="en-US"/>
    </w:rPr>
  </w:style>
  <w:style w:type="paragraph" w:customStyle="1" w:styleId="102">
    <w:name w:val="UserStyle_38"/>
    <w:basedOn w:val="1"/>
    <w:next w:val="1"/>
    <w:qFormat/>
    <w:uiPriority w:val="0"/>
    <w:pPr>
      <w:keepNext/>
      <w:tabs>
        <w:tab w:val="left" w:pos="624"/>
      </w:tabs>
      <w:spacing w:line="360" w:lineRule="auto"/>
      <w:ind w:left="624" w:hanging="624"/>
    </w:pPr>
    <w:rPr>
      <w:rFonts w:ascii="Arial" w:hAnsi="Arial" w:eastAsia="黑体"/>
      <w:w w:val="105"/>
      <w:kern w:val="20"/>
      <w:sz w:val="24"/>
      <w:szCs w:val="24"/>
      <w:lang w:val="en-GB" w:eastAsia="en-US"/>
    </w:rPr>
  </w:style>
  <w:style w:type="paragraph" w:customStyle="1" w:styleId="103">
    <w:name w:val="UserStyle_39"/>
    <w:qFormat/>
    <w:uiPriority w:val="0"/>
    <w:pPr>
      <w:textAlignment w:val="baseline"/>
    </w:pPr>
    <w:rPr>
      <w:rFonts w:ascii="Times New Roman" w:hAnsi="Times New Roman" w:eastAsia="宋体" w:cs="Times New Roman"/>
      <w:lang w:val="en-US" w:eastAsia="zh-CN" w:bidi="ar-SA"/>
    </w:rPr>
  </w:style>
  <w:style w:type="paragraph" w:customStyle="1" w:styleId="104">
    <w:name w:val="UserStyle_40"/>
    <w:basedOn w:val="1"/>
    <w:qFormat/>
    <w:uiPriority w:val="0"/>
    <w:pPr>
      <w:tabs>
        <w:tab w:val="left" w:pos="567"/>
      </w:tabs>
      <w:spacing w:line="290" w:lineRule="auto"/>
      <w:ind w:left="567" w:hanging="567"/>
    </w:pPr>
    <w:rPr>
      <w:rFonts w:ascii="Arial" w:hAnsi="Arial"/>
      <w:kern w:val="20"/>
      <w:sz w:val="24"/>
      <w:szCs w:val="20"/>
      <w:lang w:val="en-GB" w:eastAsia="en-US"/>
    </w:rPr>
  </w:style>
  <w:style w:type="paragraph" w:customStyle="1" w:styleId="105">
    <w:name w:val="UserStyle_41"/>
    <w:basedOn w:val="1"/>
    <w:qFormat/>
    <w:uiPriority w:val="0"/>
    <w:pPr>
      <w:snapToGrid w:val="0"/>
      <w:spacing w:line="440" w:lineRule="atLeast"/>
    </w:pPr>
    <w:rPr>
      <w:rFonts w:ascii="宋体"/>
      <w:sz w:val="24"/>
      <w:szCs w:val="20"/>
    </w:rPr>
  </w:style>
  <w:style w:type="paragraph" w:customStyle="1" w:styleId="106">
    <w:name w:val="179"/>
    <w:basedOn w:val="1"/>
    <w:qFormat/>
    <w:uiPriority w:val="0"/>
    <w:pPr>
      <w:ind w:firstLine="420" w:firstLineChars="200"/>
    </w:pPr>
  </w:style>
  <w:style w:type="paragraph" w:customStyle="1" w:styleId="107">
    <w:name w:val="UserStyle_42"/>
    <w:basedOn w:val="86"/>
    <w:qFormat/>
    <w:uiPriority w:val="0"/>
    <w:pPr>
      <w:tabs>
        <w:tab w:val="left" w:pos="2041"/>
      </w:tabs>
      <w:ind w:left="2041" w:hanging="680"/>
    </w:pPr>
  </w:style>
  <w:style w:type="paragraph" w:customStyle="1" w:styleId="108">
    <w:name w:val="UserStyle_43"/>
    <w:basedOn w:val="99"/>
    <w:qFormat/>
    <w:uiPriority w:val="0"/>
    <w:pPr>
      <w:tabs>
        <w:tab w:val="left" w:pos="480"/>
      </w:tabs>
      <w:ind w:left="480" w:hanging="480"/>
    </w:pPr>
  </w:style>
  <w:style w:type="table" w:customStyle="1" w:styleId="109">
    <w:name w:val="TableGrid"/>
    <w:basedOn w:val="42"/>
    <w:qFormat/>
    <w:uiPriority w:val="0"/>
  </w:style>
  <w:style w:type="paragraph" w:customStyle="1" w:styleId="110">
    <w:name w:val="UserStyle_44"/>
    <w:basedOn w:val="1"/>
    <w:qFormat/>
    <w:uiPriority w:val="0"/>
    <w:pPr>
      <w:jc w:val="left"/>
    </w:pPr>
    <w:rPr>
      <w:rFonts w:ascii="宋体" w:hAnsi="宋体" w:eastAsia="Times New Roman"/>
      <w:color w:val="000000"/>
      <w:kern w:val="0"/>
      <w:sz w:val="22"/>
      <w:lang w:val="zh-CN" w:eastAsia="en-US" w:bidi="zh-CN"/>
    </w:rPr>
  </w:style>
  <w:style w:type="character" w:customStyle="1" w:styleId="111">
    <w:name w:val="批注框文本 字符"/>
    <w:basedOn w:val="26"/>
    <w:link w:val="16"/>
    <w:semiHidden/>
    <w:qFormat/>
    <w:uiPriority w:val="99"/>
    <w:rPr>
      <w:kern w:val="2"/>
      <w:sz w:val="18"/>
      <w:szCs w:val="18"/>
    </w:rPr>
  </w:style>
  <w:style w:type="paragraph" w:customStyle="1" w:styleId="112">
    <w:name w:val="Char Char Char Char Char Char Char"/>
    <w:basedOn w:val="1"/>
    <w:qFormat/>
    <w:uiPriority w:val="0"/>
    <w:pPr>
      <w:widowControl w:val="0"/>
      <w:textAlignment w:val="auto"/>
    </w:pPr>
    <w:rPr>
      <w:szCs w:val="24"/>
    </w:rPr>
  </w:style>
  <w:style w:type="character" w:customStyle="1" w:styleId="113">
    <w:name w:val="标题 1 字符"/>
    <w:basedOn w:val="26"/>
    <w:link w:val="3"/>
    <w:qFormat/>
    <w:uiPriority w:val="9"/>
    <w:rPr>
      <w:b/>
      <w:bCs/>
      <w:kern w:val="44"/>
      <w:sz w:val="44"/>
      <w:szCs w:val="44"/>
    </w:rPr>
  </w:style>
  <w:style w:type="character" w:customStyle="1" w:styleId="114">
    <w:name w:val="标题 2 字符"/>
    <w:basedOn w:val="26"/>
    <w:link w:val="4"/>
    <w:qFormat/>
    <w:uiPriority w:val="0"/>
    <w:rPr>
      <w:rFonts w:ascii="Arial" w:hAnsi="Arial" w:eastAsia="黑体"/>
      <w:b/>
      <w:bCs/>
      <w:kern w:val="2"/>
      <w:sz w:val="32"/>
      <w:szCs w:val="32"/>
    </w:rPr>
  </w:style>
  <w:style w:type="character" w:customStyle="1" w:styleId="115">
    <w:name w:val="纯文本 字符"/>
    <w:link w:val="14"/>
    <w:qFormat/>
    <w:uiPriority w:val="0"/>
    <w:rPr>
      <w:rFonts w:ascii="宋体" w:hAnsi="Courier New"/>
      <w:kern w:val="2"/>
      <w:sz w:val="21"/>
    </w:rPr>
  </w:style>
  <w:style w:type="character" w:customStyle="1" w:styleId="116">
    <w:name w:val="纯文本 Char"/>
    <w:basedOn w:val="26"/>
    <w:link w:val="14"/>
    <w:semiHidden/>
    <w:qFormat/>
    <w:uiPriority w:val="99"/>
    <w:rPr>
      <w:rFonts w:ascii="宋体" w:hAnsi="Courier New" w:cs="Courier New"/>
      <w:kern w:val="2"/>
      <w:sz w:val="21"/>
      <w:szCs w:val="21"/>
    </w:rPr>
  </w:style>
  <w:style w:type="character" w:customStyle="1" w:styleId="117">
    <w:name w:val="列出段落 字符"/>
    <w:link w:val="118"/>
    <w:qFormat/>
    <w:uiPriority w:val="0"/>
    <w:rPr>
      <w:kern w:val="2"/>
      <w:sz w:val="21"/>
      <w:szCs w:val="24"/>
    </w:rPr>
  </w:style>
  <w:style w:type="paragraph" w:styleId="118">
    <w:name w:val="List Paragraph"/>
    <w:basedOn w:val="1"/>
    <w:link w:val="117"/>
    <w:qFormat/>
    <w:uiPriority w:val="0"/>
    <w:pPr>
      <w:widowControl w:val="0"/>
      <w:ind w:firstLine="420" w:firstLineChars="200"/>
      <w:textAlignment w:val="auto"/>
    </w:pPr>
    <w:rPr>
      <w:szCs w:val="24"/>
    </w:rPr>
  </w:style>
  <w:style w:type="paragraph" w:customStyle="1" w:styleId="119">
    <w:name w:val="Table Paragraph"/>
    <w:basedOn w:val="1"/>
    <w:qFormat/>
    <w:uiPriority w:val="99"/>
    <w:rPr>
      <w:rFonts w:ascii="宋体" w:hAnsi="宋体" w:cs="宋体"/>
      <w:szCs w:val="22"/>
      <w:lang w:val="zh-CN"/>
    </w:rPr>
  </w:style>
  <w:style w:type="paragraph" w:customStyle="1" w:styleId="120">
    <w:name w:val="正文1"/>
    <w:next w:val="121"/>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121">
    <w:name w:val="正文文本1"/>
    <w:basedOn w:val="120"/>
    <w:next w:val="122"/>
    <w:qFormat/>
    <w:uiPriority w:val="0"/>
    <w:pPr>
      <w:spacing w:after="120"/>
      <w:jc w:val="left"/>
    </w:pPr>
    <w:rPr>
      <w:rFonts w:ascii="宋体"/>
      <w:sz w:val="34"/>
      <w:szCs w:val="20"/>
    </w:rPr>
  </w:style>
  <w:style w:type="paragraph" w:customStyle="1" w:styleId="122">
    <w:name w:val="正文首行缩进1"/>
    <w:basedOn w:val="121"/>
    <w:next w:val="123"/>
    <w:qFormat/>
    <w:uiPriority w:val="0"/>
    <w:pPr>
      <w:ind w:left="30" w:right="30" w:firstLine="420"/>
      <w:jc w:val="center"/>
    </w:pPr>
    <w:rPr>
      <w:sz w:val="21"/>
    </w:rPr>
  </w:style>
  <w:style w:type="paragraph" w:customStyle="1" w:styleId="123">
    <w:name w:val="样式 正文首行缩进 + 首行缩进:  1 字符1"/>
    <w:basedOn w:val="120"/>
    <w:next w:val="120"/>
    <w:qFormat/>
    <w:uiPriority w:val="0"/>
    <w:pPr>
      <w:spacing w:line="360" w:lineRule="auto"/>
      <w:ind w:firstLine="480"/>
      <w:jc w:val="left"/>
    </w:pPr>
    <w:rPr>
      <w:rFonts w:ascii="宋体" w:hAnsi="宋体"/>
      <w:sz w:val="24"/>
      <w:szCs w:val="20"/>
    </w:rPr>
  </w:style>
  <w:style w:type="paragraph" w:customStyle="1" w:styleId="124">
    <w:name w:val="Table Text"/>
    <w:basedOn w:val="1"/>
    <w:semiHidden/>
    <w:qFormat/>
    <w:uiPriority w:val="0"/>
    <w:rPr>
      <w:rFonts w:ascii="宋体" w:hAnsi="宋体" w:eastAsia="宋体" w:cs="宋体"/>
      <w:sz w:val="20"/>
      <w:szCs w:val="20"/>
      <w:lang w:val="en-US" w:eastAsia="en-US" w:bidi="ar-SA"/>
    </w:rPr>
  </w:style>
  <w:style w:type="table" w:customStyle="1" w:styleId="125">
    <w:name w:val="Table Normal"/>
    <w:semiHidden/>
    <w:unhideWhenUsed/>
    <w:qFormat/>
    <w:uiPriority w:val="0"/>
    <w:tblPr>
      <w:tblCellMar>
        <w:top w:w="0" w:type="dxa"/>
        <w:left w:w="0" w:type="dxa"/>
        <w:bottom w:w="0" w:type="dxa"/>
        <w:right w:w="0" w:type="dxa"/>
      </w:tblCellMar>
    </w:tblPr>
  </w:style>
  <w:style w:type="character" w:customStyle="1" w:styleId="126">
    <w:name w:val="Normal (Web) Char"/>
    <w:link w:val="21"/>
    <w:qFormat/>
    <w:locked/>
    <w:uiPriority w:val="99"/>
    <w:rPr>
      <w:rFonts w:ascii="宋体" w:hAnsi="宋体"/>
      <w:kern w:val="0"/>
      <w:sz w:val="24"/>
      <w:szCs w:val="24"/>
    </w:rPr>
  </w:style>
  <w:style w:type="paragraph" w:customStyle="1" w:styleId="127">
    <w:name w:val="纯文本11"/>
    <w:basedOn w:val="1"/>
    <w:next w:val="1"/>
    <w:qFormat/>
    <w:uiPriority w:val="0"/>
    <w:rPr>
      <w:rFonts w:ascii="宋体" w:hAnsi="Courier New"/>
      <w:sz w:val="20"/>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32767</Words>
  <Characters>35173</Characters>
  <Lines>797</Lines>
  <Paragraphs>459</Paragraphs>
  <TotalTime>38</TotalTime>
  <ScaleCrop>false</ScaleCrop>
  <LinksUpToDate>false</LinksUpToDate>
  <CharactersWithSpaces>37639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2021-01-04T07:19:00Z</dcterms:created>
  <dc:creator>WPS_1663467191</dc:creator>
  <cp:lastModifiedBy>小贾</cp:lastModifiedBy>
  <cp:lastPrinted>2024-08-27T08:34:00Z</cp:lastPrinted>
  <dcterms:modified xsi:type="dcterms:W3CDTF">2026-07-20T02:59:45Z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1D81F35646B14308806DF097B5CBB3E1</vt:lpwstr>
  </property>
  <property fmtid="{D5CDD505-2E9C-101B-9397-08002B2CF9AE}" pid="4" name="KSOTemplateDocerSaveRecord">
    <vt:lpwstr>eyJoZGlkIjoiZWI0ZDM5NzRiNDUzMmFhMDk0Yzc3MjNlNGYyMmY0ZWQiLCJ1c2VySWQiOiI0ODA1NjE1MTUifQ==</vt:lpwstr>
  </property>
</Properties>
</file>