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2BC15">
      <w:pPr>
        <w:spacing w:line="290" w:lineRule="auto"/>
        <w:rPr>
          <w:rFonts w:ascii="Arial"/>
          <w:color w:val="auto"/>
          <w:sz w:val="21"/>
          <w:highlight w:val="none"/>
        </w:rPr>
      </w:pPr>
      <w:bookmarkStart w:id="22" w:name="_GoBack"/>
      <w:bookmarkEnd w:id="22"/>
      <w:r>
        <w:drawing>
          <wp:inline distT="0" distB="0" distL="114300" distR="114300">
            <wp:extent cx="5899150" cy="8456295"/>
            <wp:effectExtent l="0" t="0" r="635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4"/>
                    <a:stretch>
                      <a:fillRect/>
                    </a:stretch>
                  </pic:blipFill>
                  <pic:spPr>
                    <a:xfrm>
                      <a:off x="0" y="0"/>
                      <a:ext cx="5899150" cy="8456295"/>
                    </a:xfrm>
                    <a:prstGeom prst="rect">
                      <a:avLst/>
                    </a:prstGeom>
                    <a:noFill/>
                    <a:ln>
                      <a:noFill/>
                    </a:ln>
                  </pic:spPr>
                </pic:pic>
              </a:graphicData>
            </a:graphic>
          </wp:inline>
        </w:drawing>
      </w:r>
    </w:p>
    <w:sdt>
      <w:sdtPr>
        <w:rPr>
          <w:rFonts w:ascii="宋体" w:hAnsi="宋体" w:eastAsia="宋体" w:cs="Arial"/>
          <w:snapToGrid w:val="0"/>
          <w:color w:val="auto"/>
          <w:kern w:val="0"/>
          <w:sz w:val="21"/>
          <w:szCs w:val="21"/>
          <w:highlight w:val="none"/>
          <w:lang w:val="en-US" w:eastAsia="en-US" w:bidi="ar-SA"/>
        </w:rPr>
        <w:id w:val="147454141"/>
        <w15:color w:val="DBDBDB"/>
        <w:docPartObj>
          <w:docPartGallery w:val="Table of Contents"/>
          <w:docPartUnique/>
        </w:docPartObj>
      </w:sdtPr>
      <w:sdtEndPr>
        <w:rPr>
          <w:rFonts w:ascii="仿宋" w:hAnsi="仿宋" w:eastAsia="仿宋" w:cs="仿宋"/>
          <w:snapToGrid w:val="0"/>
          <w:color w:val="auto"/>
          <w:kern w:val="0"/>
          <w:sz w:val="30"/>
          <w:szCs w:val="30"/>
          <w:highlight w:val="none"/>
          <w:lang w:val="en-US" w:eastAsia="en-US" w:bidi="ar-SA"/>
        </w:rPr>
      </w:sdtEndPr>
      <w:sdtContent>
        <w:p w14:paraId="38F752B8">
          <w:pPr>
            <w:spacing w:before="0" w:beforeLines="0" w:after="0" w:afterLines="0" w:line="240" w:lineRule="auto"/>
            <w:ind w:left="0" w:leftChars="0" w:right="0" w:rightChars="0" w:firstLine="0" w:firstLineChars="0"/>
            <w:jc w:val="center"/>
            <w:rPr>
              <w:color w:val="auto"/>
              <w:sz w:val="72"/>
              <w:szCs w:val="72"/>
              <w:highlight w:val="none"/>
            </w:rPr>
          </w:pPr>
          <w:r>
            <w:rPr>
              <w:rFonts w:ascii="宋体" w:hAnsi="宋体" w:eastAsia="宋体"/>
              <w:color w:val="auto"/>
              <w:sz w:val="72"/>
              <w:szCs w:val="72"/>
              <w:highlight w:val="none"/>
            </w:rPr>
            <w:t>目录</w:t>
          </w:r>
        </w:p>
        <w:p w14:paraId="20E71A77">
          <w:pPr>
            <w:pStyle w:val="10"/>
            <w:tabs>
              <w:tab w:val="right" w:leader="dot" w:pos="8859"/>
            </w:tabs>
            <w:spacing w:line="360" w:lineRule="auto"/>
            <w:rPr>
              <w:color w:val="auto"/>
              <w:sz w:val="30"/>
              <w:szCs w:val="30"/>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sz w:val="30"/>
              <w:szCs w:val="30"/>
              <w:highlight w:val="none"/>
            </w:rPr>
            <w:fldChar w:fldCharType="begin"/>
          </w:r>
          <w:r>
            <w:rPr>
              <w:color w:val="auto"/>
              <w:sz w:val="30"/>
              <w:szCs w:val="30"/>
              <w:highlight w:val="none"/>
            </w:rPr>
            <w:instrText xml:space="preserve"> HYPERLINK \l _Toc3240 </w:instrText>
          </w:r>
          <w:r>
            <w:rPr>
              <w:color w:val="auto"/>
              <w:sz w:val="30"/>
              <w:szCs w:val="30"/>
              <w:highlight w:val="none"/>
            </w:rPr>
            <w:fldChar w:fldCharType="separate"/>
          </w:r>
          <w:r>
            <w:rPr>
              <w:rFonts w:ascii="宋体" w:hAnsi="宋体" w:eastAsia="宋体" w:cs="宋体"/>
              <w:bCs/>
              <w:color w:val="auto"/>
              <w:spacing w:val="5"/>
              <w:sz w:val="30"/>
              <w:szCs w:val="30"/>
              <w:highlight w:val="none"/>
            </w:rPr>
            <w:t>第一章</w:t>
          </w:r>
          <w:r>
            <w:rPr>
              <w:rFonts w:ascii="宋体" w:hAnsi="宋体" w:eastAsia="宋体" w:cs="宋体"/>
              <w:color w:val="auto"/>
              <w:spacing w:val="5"/>
              <w:sz w:val="30"/>
              <w:szCs w:val="30"/>
              <w:highlight w:val="none"/>
            </w:rPr>
            <w:t xml:space="preserve"> </w:t>
          </w:r>
          <w:r>
            <w:rPr>
              <w:rFonts w:ascii="宋体" w:hAnsi="宋体" w:eastAsia="宋体" w:cs="宋体"/>
              <w:bCs/>
              <w:color w:val="auto"/>
              <w:spacing w:val="5"/>
              <w:sz w:val="30"/>
              <w:szCs w:val="30"/>
              <w:highlight w:val="none"/>
            </w:rPr>
            <w:t>竞争性磋商公告</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_Toc3240 \h </w:instrText>
          </w:r>
          <w:r>
            <w:rPr>
              <w:color w:val="auto"/>
              <w:sz w:val="30"/>
              <w:szCs w:val="30"/>
              <w:highlight w:val="none"/>
            </w:rPr>
            <w:fldChar w:fldCharType="separate"/>
          </w:r>
          <w:r>
            <w:rPr>
              <w:color w:val="auto"/>
              <w:sz w:val="30"/>
              <w:szCs w:val="30"/>
              <w:highlight w:val="none"/>
            </w:rPr>
            <w:t>3</w:t>
          </w:r>
          <w:r>
            <w:rPr>
              <w:color w:val="auto"/>
              <w:sz w:val="30"/>
              <w:szCs w:val="30"/>
              <w:highlight w:val="none"/>
            </w:rPr>
            <w:fldChar w:fldCharType="end"/>
          </w:r>
          <w:r>
            <w:rPr>
              <w:color w:val="auto"/>
              <w:sz w:val="30"/>
              <w:szCs w:val="30"/>
              <w:highlight w:val="none"/>
            </w:rPr>
            <w:fldChar w:fldCharType="end"/>
          </w:r>
        </w:p>
        <w:p w14:paraId="50FBB2DF">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_Toc23311 </w:instrText>
          </w:r>
          <w:r>
            <w:rPr>
              <w:color w:val="auto"/>
              <w:sz w:val="30"/>
              <w:szCs w:val="30"/>
              <w:highlight w:val="none"/>
            </w:rPr>
            <w:fldChar w:fldCharType="separate"/>
          </w:r>
          <w:r>
            <w:rPr>
              <w:rFonts w:ascii="宋体" w:hAnsi="宋体" w:eastAsia="宋体" w:cs="宋体"/>
              <w:bCs/>
              <w:color w:val="auto"/>
              <w:spacing w:val="4"/>
              <w:sz w:val="30"/>
              <w:szCs w:val="30"/>
              <w:highlight w:val="none"/>
            </w:rPr>
            <w:t>第二章</w:t>
          </w:r>
          <w:r>
            <w:rPr>
              <w:rFonts w:ascii="宋体" w:hAnsi="宋体" w:eastAsia="宋体" w:cs="宋体"/>
              <w:color w:val="auto"/>
              <w:spacing w:val="4"/>
              <w:sz w:val="30"/>
              <w:szCs w:val="30"/>
              <w:highlight w:val="none"/>
            </w:rPr>
            <w:t xml:space="preserve"> </w:t>
          </w:r>
          <w:r>
            <w:rPr>
              <w:rFonts w:ascii="宋体" w:hAnsi="宋体" w:eastAsia="宋体" w:cs="宋体"/>
              <w:bCs/>
              <w:color w:val="auto"/>
              <w:spacing w:val="4"/>
              <w:sz w:val="30"/>
              <w:szCs w:val="30"/>
              <w:highlight w:val="none"/>
            </w:rPr>
            <w:t>供应商须知</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_Toc23311 \h </w:instrText>
          </w:r>
          <w:r>
            <w:rPr>
              <w:color w:val="auto"/>
              <w:sz w:val="30"/>
              <w:szCs w:val="30"/>
              <w:highlight w:val="none"/>
            </w:rPr>
            <w:fldChar w:fldCharType="separate"/>
          </w:r>
          <w:r>
            <w:rPr>
              <w:color w:val="auto"/>
              <w:sz w:val="30"/>
              <w:szCs w:val="30"/>
              <w:highlight w:val="none"/>
            </w:rPr>
            <w:t>6</w:t>
          </w:r>
          <w:r>
            <w:rPr>
              <w:color w:val="auto"/>
              <w:sz w:val="30"/>
              <w:szCs w:val="30"/>
              <w:highlight w:val="none"/>
            </w:rPr>
            <w:fldChar w:fldCharType="end"/>
          </w:r>
          <w:r>
            <w:rPr>
              <w:color w:val="auto"/>
              <w:sz w:val="30"/>
              <w:szCs w:val="30"/>
              <w:highlight w:val="none"/>
            </w:rPr>
            <w:fldChar w:fldCharType="end"/>
          </w:r>
        </w:p>
        <w:p w14:paraId="67835AEF">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_Toc14853 </w:instrText>
          </w:r>
          <w:r>
            <w:rPr>
              <w:color w:val="auto"/>
              <w:sz w:val="30"/>
              <w:szCs w:val="30"/>
              <w:highlight w:val="none"/>
            </w:rPr>
            <w:fldChar w:fldCharType="separate"/>
          </w:r>
          <w:r>
            <w:rPr>
              <w:rFonts w:ascii="宋体" w:hAnsi="宋体" w:eastAsia="宋体" w:cs="宋体"/>
              <w:bCs/>
              <w:color w:val="auto"/>
              <w:spacing w:val="4"/>
              <w:sz w:val="30"/>
              <w:szCs w:val="30"/>
              <w:highlight w:val="none"/>
            </w:rPr>
            <w:t>第三章</w:t>
          </w:r>
          <w:r>
            <w:rPr>
              <w:rFonts w:ascii="宋体" w:hAnsi="宋体" w:eastAsia="宋体" w:cs="宋体"/>
              <w:color w:val="auto"/>
              <w:spacing w:val="4"/>
              <w:sz w:val="30"/>
              <w:szCs w:val="30"/>
              <w:highlight w:val="none"/>
            </w:rPr>
            <w:t xml:space="preserve"> </w:t>
          </w:r>
          <w:r>
            <w:rPr>
              <w:rFonts w:ascii="宋体" w:hAnsi="宋体" w:eastAsia="宋体" w:cs="宋体"/>
              <w:bCs/>
              <w:color w:val="auto"/>
              <w:spacing w:val="4"/>
              <w:sz w:val="30"/>
              <w:szCs w:val="30"/>
              <w:highlight w:val="none"/>
            </w:rPr>
            <w:t>采购需求</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_Toc14853 \h </w:instrText>
          </w:r>
          <w:r>
            <w:rPr>
              <w:color w:val="auto"/>
              <w:sz w:val="30"/>
              <w:szCs w:val="30"/>
              <w:highlight w:val="none"/>
            </w:rPr>
            <w:fldChar w:fldCharType="separate"/>
          </w:r>
          <w:r>
            <w:rPr>
              <w:color w:val="auto"/>
              <w:sz w:val="30"/>
              <w:szCs w:val="30"/>
              <w:highlight w:val="none"/>
            </w:rPr>
            <w:t>25</w:t>
          </w:r>
          <w:r>
            <w:rPr>
              <w:color w:val="auto"/>
              <w:sz w:val="30"/>
              <w:szCs w:val="30"/>
              <w:highlight w:val="none"/>
            </w:rPr>
            <w:fldChar w:fldCharType="end"/>
          </w:r>
          <w:r>
            <w:rPr>
              <w:color w:val="auto"/>
              <w:sz w:val="30"/>
              <w:szCs w:val="30"/>
              <w:highlight w:val="none"/>
            </w:rPr>
            <w:fldChar w:fldCharType="end"/>
          </w:r>
        </w:p>
        <w:p w14:paraId="1B554A45">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_Toc27606 </w:instrText>
          </w:r>
          <w:r>
            <w:rPr>
              <w:color w:val="auto"/>
              <w:sz w:val="30"/>
              <w:szCs w:val="30"/>
              <w:highlight w:val="none"/>
            </w:rPr>
            <w:fldChar w:fldCharType="separate"/>
          </w:r>
          <w:r>
            <w:rPr>
              <w:rFonts w:ascii="宋体" w:hAnsi="宋体" w:eastAsia="宋体" w:cs="宋体"/>
              <w:bCs/>
              <w:color w:val="auto"/>
              <w:spacing w:val="5"/>
              <w:sz w:val="30"/>
              <w:szCs w:val="30"/>
              <w:highlight w:val="none"/>
            </w:rPr>
            <w:t>第四章</w:t>
          </w:r>
          <w:r>
            <w:rPr>
              <w:rFonts w:ascii="宋体" w:hAnsi="宋体" w:eastAsia="宋体" w:cs="宋体"/>
              <w:color w:val="auto"/>
              <w:spacing w:val="5"/>
              <w:sz w:val="30"/>
              <w:szCs w:val="30"/>
              <w:highlight w:val="none"/>
            </w:rPr>
            <w:t xml:space="preserve">  </w:t>
          </w:r>
          <w:r>
            <w:rPr>
              <w:rFonts w:ascii="宋体" w:hAnsi="宋体" w:eastAsia="宋体" w:cs="宋体"/>
              <w:bCs/>
              <w:color w:val="auto"/>
              <w:spacing w:val="5"/>
              <w:sz w:val="30"/>
              <w:szCs w:val="30"/>
              <w:highlight w:val="none"/>
            </w:rPr>
            <w:t>评审程序、评审方法和评审标准</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_Toc27606 \h </w:instrText>
          </w:r>
          <w:r>
            <w:rPr>
              <w:color w:val="auto"/>
              <w:sz w:val="30"/>
              <w:szCs w:val="30"/>
              <w:highlight w:val="none"/>
            </w:rPr>
            <w:fldChar w:fldCharType="separate"/>
          </w:r>
          <w:r>
            <w:rPr>
              <w:color w:val="auto"/>
              <w:sz w:val="30"/>
              <w:szCs w:val="30"/>
              <w:highlight w:val="none"/>
            </w:rPr>
            <w:t>26</w:t>
          </w:r>
          <w:r>
            <w:rPr>
              <w:color w:val="auto"/>
              <w:sz w:val="30"/>
              <w:szCs w:val="30"/>
              <w:highlight w:val="none"/>
            </w:rPr>
            <w:fldChar w:fldCharType="end"/>
          </w:r>
          <w:r>
            <w:rPr>
              <w:color w:val="auto"/>
              <w:sz w:val="30"/>
              <w:szCs w:val="30"/>
              <w:highlight w:val="none"/>
            </w:rPr>
            <w:fldChar w:fldCharType="end"/>
          </w:r>
        </w:p>
        <w:p w14:paraId="07B1BBC6">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_Toc8888 </w:instrText>
          </w:r>
          <w:r>
            <w:rPr>
              <w:color w:val="auto"/>
              <w:sz w:val="30"/>
              <w:szCs w:val="30"/>
              <w:highlight w:val="none"/>
            </w:rPr>
            <w:fldChar w:fldCharType="separate"/>
          </w:r>
          <w:r>
            <w:rPr>
              <w:rFonts w:ascii="宋体" w:hAnsi="宋体" w:eastAsia="宋体" w:cs="宋体"/>
              <w:bCs/>
              <w:color w:val="auto"/>
              <w:spacing w:val="5"/>
              <w:sz w:val="30"/>
              <w:szCs w:val="30"/>
              <w:highlight w:val="none"/>
            </w:rPr>
            <w:t>第五章</w:t>
          </w:r>
          <w:r>
            <w:rPr>
              <w:rFonts w:ascii="宋体" w:hAnsi="宋体" w:eastAsia="宋体" w:cs="宋体"/>
              <w:color w:val="auto"/>
              <w:spacing w:val="5"/>
              <w:sz w:val="30"/>
              <w:szCs w:val="30"/>
              <w:highlight w:val="none"/>
            </w:rPr>
            <w:t xml:space="preserve"> </w:t>
          </w:r>
          <w:r>
            <w:rPr>
              <w:rFonts w:ascii="宋体" w:hAnsi="宋体" w:eastAsia="宋体" w:cs="宋体"/>
              <w:bCs/>
              <w:color w:val="auto"/>
              <w:spacing w:val="5"/>
              <w:sz w:val="30"/>
              <w:szCs w:val="30"/>
              <w:highlight w:val="none"/>
            </w:rPr>
            <w:t>工程量清单及图纸</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_Toc8888 \h </w:instrText>
          </w:r>
          <w:r>
            <w:rPr>
              <w:color w:val="auto"/>
              <w:sz w:val="30"/>
              <w:szCs w:val="30"/>
              <w:highlight w:val="none"/>
            </w:rPr>
            <w:fldChar w:fldCharType="separate"/>
          </w:r>
          <w:r>
            <w:rPr>
              <w:color w:val="auto"/>
              <w:sz w:val="30"/>
              <w:szCs w:val="30"/>
              <w:highlight w:val="none"/>
            </w:rPr>
            <w:t>36</w:t>
          </w:r>
          <w:r>
            <w:rPr>
              <w:color w:val="auto"/>
              <w:sz w:val="30"/>
              <w:szCs w:val="30"/>
              <w:highlight w:val="none"/>
            </w:rPr>
            <w:fldChar w:fldCharType="end"/>
          </w:r>
          <w:r>
            <w:rPr>
              <w:color w:val="auto"/>
              <w:sz w:val="30"/>
              <w:szCs w:val="30"/>
              <w:highlight w:val="none"/>
            </w:rPr>
            <w:fldChar w:fldCharType="end"/>
          </w:r>
        </w:p>
        <w:p w14:paraId="108CD343">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_Toc12225 </w:instrText>
          </w:r>
          <w:r>
            <w:rPr>
              <w:color w:val="auto"/>
              <w:sz w:val="30"/>
              <w:szCs w:val="30"/>
              <w:highlight w:val="none"/>
            </w:rPr>
            <w:fldChar w:fldCharType="separate"/>
          </w:r>
          <w:r>
            <w:rPr>
              <w:rFonts w:ascii="宋体" w:hAnsi="宋体" w:eastAsia="宋体" w:cs="宋体"/>
              <w:bCs/>
              <w:color w:val="auto"/>
              <w:sz w:val="30"/>
              <w:szCs w:val="30"/>
              <w:highlight w:val="none"/>
            </w:rPr>
            <w:t>第六章</w:t>
          </w:r>
          <w:r>
            <w:rPr>
              <w:rFonts w:ascii="宋体" w:hAnsi="宋体" w:eastAsia="宋体" w:cs="宋体"/>
              <w:color w:val="auto"/>
              <w:spacing w:val="49"/>
              <w:sz w:val="30"/>
              <w:szCs w:val="30"/>
              <w:highlight w:val="none"/>
            </w:rPr>
            <w:t xml:space="preserve"> </w:t>
          </w:r>
          <w:r>
            <w:rPr>
              <w:rFonts w:ascii="宋体" w:hAnsi="宋体" w:eastAsia="宋体" w:cs="宋体"/>
              <w:bCs/>
              <w:color w:val="auto"/>
              <w:sz w:val="30"/>
              <w:szCs w:val="30"/>
              <w:highlight w:val="none"/>
            </w:rPr>
            <w:t>响应文件格式</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_Toc12225 \h </w:instrText>
          </w:r>
          <w:r>
            <w:rPr>
              <w:color w:val="auto"/>
              <w:sz w:val="30"/>
              <w:szCs w:val="30"/>
              <w:highlight w:val="none"/>
            </w:rPr>
            <w:fldChar w:fldCharType="separate"/>
          </w:r>
          <w:r>
            <w:rPr>
              <w:color w:val="auto"/>
              <w:sz w:val="30"/>
              <w:szCs w:val="30"/>
              <w:highlight w:val="none"/>
            </w:rPr>
            <w:t>37</w:t>
          </w:r>
          <w:r>
            <w:rPr>
              <w:color w:val="auto"/>
              <w:sz w:val="30"/>
              <w:szCs w:val="30"/>
              <w:highlight w:val="none"/>
            </w:rPr>
            <w:fldChar w:fldCharType="end"/>
          </w:r>
          <w:r>
            <w:rPr>
              <w:color w:val="auto"/>
              <w:sz w:val="30"/>
              <w:szCs w:val="30"/>
              <w:highlight w:val="none"/>
            </w:rPr>
            <w:fldChar w:fldCharType="end"/>
          </w:r>
        </w:p>
        <w:p w14:paraId="0DCA32C8">
          <w:pPr>
            <w:pStyle w:val="10"/>
            <w:tabs>
              <w:tab w:val="right" w:leader="dot" w:pos="8859"/>
            </w:tabs>
            <w:spacing w:line="360" w:lineRule="auto"/>
            <w:rPr>
              <w:color w:val="auto"/>
              <w:highlight w:val="none"/>
            </w:rPr>
          </w:pPr>
          <w:r>
            <w:rPr>
              <w:color w:val="auto"/>
              <w:sz w:val="30"/>
              <w:szCs w:val="30"/>
              <w:highlight w:val="none"/>
            </w:rPr>
            <w:fldChar w:fldCharType="begin"/>
          </w:r>
          <w:r>
            <w:rPr>
              <w:color w:val="auto"/>
              <w:sz w:val="30"/>
              <w:szCs w:val="30"/>
              <w:highlight w:val="none"/>
            </w:rPr>
            <w:instrText xml:space="preserve"> HYPERLINK \l _Toc28555 </w:instrText>
          </w:r>
          <w:r>
            <w:rPr>
              <w:color w:val="auto"/>
              <w:sz w:val="30"/>
              <w:szCs w:val="30"/>
              <w:highlight w:val="none"/>
            </w:rPr>
            <w:fldChar w:fldCharType="separate"/>
          </w:r>
          <w:r>
            <w:rPr>
              <w:rFonts w:ascii="宋体" w:hAnsi="宋体" w:eastAsia="宋体" w:cs="宋体"/>
              <w:bCs/>
              <w:color w:val="auto"/>
              <w:spacing w:val="4"/>
              <w:sz w:val="30"/>
              <w:szCs w:val="30"/>
              <w:highlight w:val="none"/>
            </w:rPr>
            <w:t>第七章</w:t>
          </w:r>
          <w:r>
            <w:rPr>
              <w:rFonts w:ascii="宋体" w:hAnsi="宋体" w:eastAsia="宋体" w:cs="宋体"/>
              <w:color w:val="auto"/>
              <w:spacing w:val="4"/>
              <w:sz w:val="30"/>
              <w:szCs w:val="30"/>
              <w:highlight w:val="none"/>
            </w:rPr>
            <w:t xml:space="preserve"> </w:t>
          </w:r>
          <w:r>
            <w:rPr>
              <w:rFonts w:ascii="宋体" w:hAnsi="宋体" w:eastAsia="宋体" w:cs="宋体"/>
              <w:bCs/>
              <w:color w:val="auto"/>
              <w:spacing w:val="4"/>
              <w:sz w:val="30"/>
              <w:szCs w:val="30"/>
              <w:highlight w:val="none"/>
            </w:rPr>
            <w:t>合同文本</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_Toc28555 \h </w:instrText>
          </w:r>
          <w:r>
            <w:rPr>
              <w:color w:val="auto"/>
              <w:sz w:val="30"/>
              <w:szCs w:val="30"/>
              <w:highlight w:val="none"/>
            </w:rPr>
            <w:fldChar w:fldCharType="separate"/>
          </w:r>
          <w:r>
            <w:rPr>
              <w:color w:val="auto"/>
              <w:sz w:val="30"/>
              <w:szCs w:val="30"/>
              <w:highlight w:val="none"/>
            </w:rPr>
            <w:t>73</w:t>
          </w:r>
          <w:r>
            <w:rPr>
              <w:color w:val="auto"/>
              <w:sz w:val="30"/>
              <w:szCs w:val="30"/>
              <w:highlight w:val="none"/>
            </w:rPr>
            <w:fldChar w:fldCharType="end"/>
          </w:r>
          <w:r>
            <w:rPr>
              <w:color w:val="auto"/>
              <w:sz w:val="30"/>
              <w:szCs w:val="30"/>
              <w:highlight w:val="none"/>
            </w:rPr>
            <w:fldChar w:fldCharType="end"/>
          </w:r>
        </w:p>
        <w:p w14:paraId="72EEB117">
          <w:pPr>
            <w:pStyle w:val="5"/>
            <w:rPr>
              <w:rFonts w:ascii="仿宋" w:hAnsi="仿宋" w:eastAsia="仿宋" w:cs="仿宋"/>
              <w:snapToGrid w:val="0"/>
              <w:color w:val="auto"/>
              <w:kern w:val="0"/>
              <w:sz w:val="30"/>
              <w:szCs w:val="30"/>
              <w:highlight w:val="none"/>
              <w:lang w:val="en-US" w:eastAsia="en-US" w:bidi="ar-SA"/>
            </w:rPr>
          </w:pPr>
          <w:r>
            <w:rPr>
              <w:color w:val="auto"/>
              <w:highlight w:val="none"/>
            </w:rPr>
            <w:fldChar w:fldCharType="end"/>
          </w:r>
        </w:p>
      </w:sdtContent>
    </w:sdt>
    <w:p w14:paraId="3DDE9E77">
      <w:pPr>
        <w:pStyle w:val="11"/>
        <w:rPr>
          <w:color w:val="auto"/>
          <w:highlight w:val="none"/>
        </w:rPr>
        <w:sectPr>
          <w:footerReference r:id="rId5" w:type="default"/>
          <w:pgSz w:w="11907" w:h="16839"/>
          <w:pgMar w:top="1431" w:right="1451" w:bottom="1362" w:left="1597" w:header="0" w:footer="1201" w:gutter="0"/>
          <w:pgNumType w:fmt="decimal" w:start="1"/>
          <w:cols w:space="720" w:num="1"/>
        </w:sectPr>
      </w:pPr>
    </w:p>
    <w:p w14:paraId="130A25EA">
      <w:pPr>
        <w:spacing w:line="271" w:lineRule="auto"/>
        <w:rPr>
          <w:rFonts w:ascii="Arial"/>
          <w:color w:val="auto"/>
          <w:sz w:val="21"/>
          <w:highlight w:val="none"/>
        </w:rPr>
      </w:pPr>
    </w:p>
    <w:p w14:paraId="787B2C76">
      <w:pPr>
        <w:spacing w:before="139" w:line="222" w:lineRule="auto"/>
        <w:ind w:left="1964"/>
        <w:outlineLvl w:val="0"/>
        <w:rPr>
          <w:rFonts w:ascii="宋体" w:hAnsi="宋体" w:eastAsia="宋体" w:cs="宋体"/>
          <w:color w:val="auto"/>
          <w:sz w:val="43"/>
          <w:szCs w:val="43"/>
          <w:highlight w:val="none"/>
        </w:rPr>
      </w:pPr>
      <w:bookmarkStart w:id="0" w:name="bookmark1"/>
      <w:bookmarkEnd w:id="0"/>
      <w:bookmarkStart w:id="1" w:name="_Toc7996"/>
      <w:bookmarkStart w:id="2" w:name="_Toc3240"/>
      <w:r>
        <w:rPr>
          <w:rFonts w:ascii="宋体" w:hAnsi="宋体" w:eastAsia="宋体" w:cs="宋体"/>
          <w:b/>
          <w:bCs/>
          <w:color w:val="auto"/>
          <w:spacing w:val="5"/>
          <w:sz w:val="43"/>
          <w:szCs w:val="43"/>
          <w:highlight w:val="none"/>
        </w:rPr>
        <w:t>第一章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竞争性磋商公告</w:t>
      </w:r>
      <w:bookmarkEnd w:id="1"/>
      <w:bookmarkEnd w:id="2"/>
    </w:p>
    <w:p w14:paraId="5DD44D09">
      <w:pPr>
        <w:spacing w:line="278" w:lineRule="auto"/>
        <w:rPr>
          <w:rFonts w:ascii="Arial"/>
          <w:color w:val="auto"/>
          <w:sz w:val="21"/>
          <w:highlight w:val="none"/>
        </w:rPr>
      </w:pPr>
    </w:p>
    <w:p w14:paraId="5C83DE64">
      <w:pPr>
        <w:spacing w:line="278" w:lineRule="auto"/>
        <w:rPr>
          <w:rFonts w:ascii="Arial"/>
          <w:color w:val="auto"/>
          <w:sz w:val="21"/>
          <w:highlight w:val="none"/>
        </w:rPr>
      </w:pPr>
    </w:p>
    <w:p w14:paraId="72BD3647">
      <w:pPr>
        <w:spacing w:before="101" w:line="212" w:lineRule="auto"/>
        <w:ind w:left="3155"/>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竞争性磋商公告</w:t>
      </w:r>
    </w:p>
    <w:tbl>
      <w:tblPr>
        <w:tblStyle w:val="16"/>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0D30B46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685" w:hRule="atLeast"/>
        </w:trPr>
        <w:tc>
          <w:tcPr>
            <w:tcW w:w="8526" w:type="dxa"/>
            <w:vAlign w:val="top"/>
          </w:tcPr>
          <w:p w14:paraId="60FDF749">
            <w:pPr>
              <w:pStyle w:val="17"/>
              <w:spacing w:before="53" w:line="221" w:lineRule="auto"/>
              <w:ind w:left="544"/>
              <w:rPr>
                <w:color w:val="auto"/>
                <w:highlight w:val="none"/>
              </w:rPr>
            </w:pPr>
            <w:r>
              <w:rPr>
                <w:color w:val="auto"/>
                <w:spacing w:val="-3"/>
                <w:highlight w:val="none"/>
              </w:rPr>
              <w:t>项目概况</w:t>
            </w:r>
          </w:p>
          <w:p w14:paraId="6AF9F918">
            <w:pPr>
              <w:pStyle w:val="17"/>
              <w:spacing w:before="157" w:line="351" w:lineRule="auto"/>
              <w:ind w:left="121" w:right="107" w:firstLine="418"/>
              <w:rPr>
                <w:color w:val="auto"/>
                <w:highlight w:val="none"/>
              </w:rPr>
            </w:pPr>
            <w:r>
              <w:rPr>
                <w:rFonts w:hint="eastAsia"/>
                <w:color w:val="auto"/>
                <w:spacing w:val="-1"/>
                <w:highlight w:val="none"/>
                <w:u w:val="single" w:color="auto"/>
                <w:lang w:eastAsia="zh-CN"/>
              </w:rPr>
              <w:t>玉州区鸦桥江灌区末级渠系茂岑分渠维修加固工程</w:t>
            </w:r>
            <w:r>
              <w:rPr>
                <w:rFonts w:hint="eastAsia"/>
                <w:color w:val="auto"/>
                <w:spacing w:val="-1"/>
                <w:highlight w:val="none"/>
                <w:u w:val="none" w:color="auto"/>
                <w:lang w:eastAsia="zh-CN"/>
              </w:rPr>
              <w:t>项</w:t>
            </w:r>
            <w:r>
              <w:rPr>
                <w:color w:val="auto"/>
                <w:spacing w:val="-1"/>
                <w:highlight w:val="none"/>
                <w:u w:val="none" w:color="auto"/>
              </w:rPr>
              <w:t>目</w:t>
            </w:r>
            <w:r>
              <w:rPr>
                <w:color w:val="auto"/>
                <w:spacing w:val="-1"/>
                <w:highlight w:val="none"/>
              </w:rPr>
              <w:t>的潜在供应商应在广</w:t>
            </w:r>
            <w:r>
              <w:rPr>
                <w:color w:val="auto"/>
                <w:spacing w:val="-5"/>
                <w:highlight w:val="none"/>
              </w:rPr>
              <w:t>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color w:val="auto"/>
                <w:spacing w:val="-5"/>
                <w:highlight w:val="none"/>
              </w:rPr>
              <w:t>https://www.gcy.zfcg.gxzf.gov.cn/</w:t>
            </w:r>
            <w:r>
              <w:rPr>
                <w:color w:val="auto"/>
                <w:spacing w:val="-5"/>
                <w:highlight w:val="none"/>
              </w:rPr>
              <w:fldChar w:fldCharType="end"/>
            </w:r>
            <w:r>
              <w:rPr>
                <w:color w:val="auto"/>
                <w:spacing w:val="-5"/>
                <w:highlight w:val="none"/>
              </w:rPr>
              <w:t>）获取竞争性磋商文件，并于</w:t>
            </w:r>
            <w:r>
              <w:rPr>
                <w:color w:val="auto"/>
                <w:spacing w:val="-30"/>
                <w:highlight w:val="none"/>
              </w:rPr>
              <w:t xml:space="preserve"> </w:t>
            </w:r>
            <w:r>
              <w:rPr>
                <w:color w:val="auto"/>
                <w:spacing w:val="-5"/>
                <w:highlight w:val="none"/>
                <w:u w:val="single" w:color="auto"/>
              </w:rPr>
              <w:t>202</w:t>
            </w:r>
            <w:r>
              <w:rPr>
                <w:rFonts w:hint="eastAsia"/>
                <w:color w:val="auto"/>
                <w:spacing w:val="-5"/>
                <w:highlight w:val="none"/>
                <w:u w:val="single" w:color="auto"/>
                <w:lang w:val="en-US" w:eastAsia="zh-CN"/>
              </w:rPr>
              <w:t>6</w:t>
            </w:r>
            <w:r>
              <w:rPr>
                <w:color w:val="auto"/>
                <w:highlight w:val="none"/>
              </w:rPr>
              <w:t xml:space="preserve"> </w:t>
            </w:r>
            <w:r>
              <w:rPr>
                <w:color w:val="auto"/>
                <w:spacing w:val="-6"/>
                <w:highlight w:val="none"/>
              </w:rPr>
              <w:t>年</w:t>
            </w:r>
            <w:r>
              <w:rPr>
                <w:color w:val="auto"/>
                <w:spacing w:val="-31"/>
                <w:highlight w:val="none"/>
              </w:rPr>
              <w:t xml:space="preserve"> </w:t>
            </w:r>
            <w:r>
              <w:rPr>
                <w:rFonts w:hint="eastAsia"/>
                <w:color w:val="auto"/>
                <w:spacing w:val="-6"/>
                <w:highlight w:val="none"/>
                <w:u w:val="single" w:color="auto"/>
                <w:lang w:val="en-US" w:eastAsia="zh-CN"/>
              </w:rPr>
              <w:t>06</w:t>
            </w:r>
            <w:r>
              <w:rPr>
                <w:color w:val="auto"/>
                <w:spacing w:val="-6"/>
                <w:highlight w:val="none"/>
              </w:rPr>
              <w:t>月</w:t>
            </w:r>
            <w:r>
              <w:rPr>
                <w:color w:val="auto"/>
                <w:spacing w:val="-52"/>
                <w:highlight w:val="none"/>
              </w:rPr>
              <w:t xml:space="preserve"> </w:t>
            </w:r>
            <w:r>
              <w:rPr>
                <w:color w:val="auto"/>
                <w:spacing w:val="-81"/>
                <w:highlight w:val="none"/>
                <w:u w:val="single" w:color="auto"/>
              </w:rPr>
              <w:t xml:space="preserve"> </w:t>
            </w:r>
            <w:r>
              <w:rPr>
                <w:rFonts w:hint="eastAsia"/>
                <w:color w:val="auto"/>
                <w:spacing w:val="-6"/>
                <w:highlight w:val="none"/>
                <w:u w:val="single" w:color="auto"/>
                <w:lang w:val="en-US" w:eastAsia="zh-CN"/>
              </w:rPr>
              <w:t xml:space="preserve">     15</w:t>
            </w:r>
            <w:r>
              <w:rPr>
                <w:color w:val="auto"/>
                <w:spacing w:val="-6"/>
                <w:highlight w:val="none"/>
              </w:rPr>
              <w:t>日</w:t>
            </w:r>
            <w:r>
              <w:rPr>
                <w:color w:val="auto"/>
                <w:spacing w:val="-43"/>
                <w:highlight w:val="none"/>
              </w:rPr>
              <w:t xml:space="preserve"> </w:t>
            </w:r>
            <w:r>
              <w:rPr>
                <w:color w:val="auto"/>
                <w:spacing w:val="-6"/>
                <w:highlight w:val="none"/>
                <w:u w:val="single" w:color="auto"/>
              </w:rPr>
              <w:t>9</w:t>
            </w:r>
            <w:r>
              <w:rPr>
                <w:color w:val="auto"/>
                <w:spacing w:val="-37"/>
                <w:highlight w:val="none"/>
                <w:u w:val="single" w:color="auto"/>
              </w:rPr>
              <w:t xml:space="preserve"> </w:t>
            </w:r>
            <w:r>
              <w:rPr>
                <w:color w:val="auto"/>
                <w:spacing w:val="-6"/>
                <w:highlight w:val="none"/>
              </w:rPr>
              <w:t>时</w:t>
            </w:r>
            <w:r>
              <w:rPr>
                <w:color w:val="auto"/>
                <w:spacing w:val="-41"/>
                <w:highlight w:val="none"/>
              </w:rPr>
              <w:t xml:space="preserve"> </w:t>
            </w:r>
            <w:r>
              <w:rPr>
                <w:color w:val="auto"/>
                <w:spacing w:val="-6"/>
                <w:highlight w:val="none"/>
                <w:u w:val="single" w:color="auto"/>
              </w:rPr>
              <w:t>00</w:t>
            </w:r>
            <w:r>
              <w:rPr>
                <w:color w:val="auto"/>
                <w:spacing w:val="-44"/>
                <w:highlight w:val="none"/>
                <w:u w:val="single" w:color="auto"/>
              </w:rPr>
              <w:t xml:space="preserve"> </w:t>
            </w:r>
            <w:r>
              <w:rPr>
                <w:color w:val="auto"/>
                <w:spacing w:val="-6"/>
                <w:highlight w:val="none"/>
              </w:rPr>
              <w:t>分</w:t>
            </w:r>
            <w:r>
              <w:rPr>
                <w:color w:val="auto"/>
                <w:spacing w:val="-6"/>
                <w:highlight w:val="none"/>
              </w:rPr>
              <w:t>（北京时间）前提交响应文件。</w:t>
            </w:r>
          </w:p>
        </w:tc>
      </w:tr>
    </w:tbl>
    <w:p w14:paraId="4B20FA00">
      <w:pPr>
        <w:spacing w:before="33" w:line="219" w:lineRule="auto"/>
        <w:ind w:left="487"/>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一、项目基本情况</w:t>
      </w:r>
    </w:p>
    <w:p w14:paraId="150EB9ED">
      <w:pPr>
        <w:spacing w:before="176" w:line="221" w:lineRule="auto"/>
        <w:ind w:left="549"/>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rPr>
        <w:t>项目编号：YLZC2026-C2-020063-GXSY</w:t>
      </w:r>
    </w:p>
    <w:p w14:paraId="39A36834">
      <w:pPr>
        <w:spacing w:before="157" w:line="220" w:lineRule="auto"/>
        <w:ind w:left="54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项目名称：</w:t>
      </w:r>
      <w:r>
        <w:rPr>
          <w:rFonts w:hint="eastAsia" w:ascii="宋体" w:hAnsi="宋体" w:eastAsia="宋体" w:cs="宋体"/>
          <w:color w:val="auto"/>
          <w:spacing w:val="-1"/>
          <w:sz w:val="21"/>
          <w:szCs w:val="21"/>
          <w:highlight w:val="none"/>
          <w:lang w:eastAsia="zh-CN"/>
        </w:rPr>
        <w:t>玉州区鸦桥江灌区末级渠系茂岑分渠维修加固工程</w:t>
      </w:r>
    </w:p>
    <w:p w14:paraId="4197D171">
      <w:pPr>
        <w:spacing w:before="158" w:line="220" w:lineRule="auto"/>
        <w:ind w:left="544"/>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采购方式：竞争性磋商</w:t>
      </w:r>
    </w:p>
    <w:p w14:paraId="79716359">
      <w:pPr>
        <w:spacing w:before="158" w:line="220" w:lineRule="auto"/>
        <w:ind w:left="5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预算金额</w:t>
      </w:r>
      <w:r>
        <w:rPr>
          <w:rFonts w:hint="eastAsia" w:ascii="宋体" w:hAnsi="宋体" w:eastAsia="宋体" w:cs="宋体"/>
          <w:color w:val="auto"/>
          <w:spacing w:val="-2"/>
          <w:sz w:val="21"/>
          <w:szCs w:val="21"/>
          <w:highlight w:val="none"/>
          <w:lang w:eastAsia="zh-CN"/>
        </w:rPr>
        <w:t>：</w:t>
      </w:r>
      <w:r>
        <w:rPr>
          <w:rFonts w:hint="eastAsia" w:ascii="宋体" w:hAnsi="宋体" w:eastAsia="宋体" w:cs="宋体"/>
          <w:color w:val="auto"/>
          <w:spacing w:val="-2"/>
          <w:sz w:val="21"/>
          <w:szCs w:val="21"/>
          <w:highlight w:val="none"/>
          <w:lang w:val="en-US" w:eastAsia="zh-CN"/>
        </w:rPr>
        <w:t>714582.29</w:t>
      </w:r>
      <w:r>
        <w:rPr>
          <w:rFonts w:ascii="宋体" w:hAnsi="宋体" w:eastAsia="宋体" w:cs="宋体"/>
          <w:color w:val="auto"/>
          <w:spacing w:val="-2"/>
          <w:sz w:val="21"/>
          <w:szCs w:val="21"/>
          <w:highlight w:val="none"/>
        </w:rPr>
        <w:t>元</w:t>
      </w:r>
      <w:r>
        <w:rPr>
          <w:rFonts w:ascii="宋体" w:hAnsi="宋体" w:eastAsia="宋体" w:cs="宋体"/>
          <w:color w:val="auto"/>
          <w:sz w:val="21"/>
          <w:szCs w:val="21"/>
          <w:highlight w:val="none"/>
        </w:rPr>
        <w:t xml:space="preserve"> </w:t>
      </w:r>
    </w:p>
    <w:p w14:paraId="2D2428DC">
      <w:pPr>
        <w:spacing w:before="157" w:line="220" w:lineRule="auto"/>
        <w:ind w:left="549"/>
        <w:rPr>
          <w:rFonts w:hint="eastAsia" w:ascii="宋体" w:hAnsi="宋体" w:eastAsia="宋体" w:cs="宋体"/>
          <w:color w:val="auto"/>
          <w:spacing w:val="-1"/>
          <w:sz w:val="21"/>
          <w:szCs w:val="21"/>
          <w:highlight w:val="none"/>
          <w:lang w:eastAsia="zh-CN"/>
        </w:rPr>
      </w:pPr>
      <w:r>
        <w:rPr>
          <w:rFonts w:hint="eastAsia" w:ascii="宋体" w:hAnsi="宋体" w:eastAsia="宋体" w:cs="宋体"/>
          <w:color w:val="auto"/>
          <w:spacing w:val="-1"/>
          <w:sz w:val="21"/>
          <w:szCs w:val="21"/>
          <w:highlight w:val="none"/>
          <w:lang w:eastAsia="zh-CN"/>
        </w:rPr>
        <w:t>最高限价（如有）：</w:t>
      </w:r>
      <w:r>
        <w:rPr>
          <w:rFonts w:hint="eastAsia" w:ascii="宋体" w:hAnsi="宋体" w:eastAsia="宋体" w:cs="宋体"/>
          <w:color w:val="auto"/>
          <w:spacing w:val="-1"/>
          <w:sz w:val="21"/>
          <w:szCs w:val="21"/>
          <w:highlight w:val="none"/>
          <w:lang w:val="en-US" w:eastAsia="zh-CN"/>
        </w:rPr>
        <w:t>714582.29</w:t>
      </w:r>
      <w:r>
        <w:rPr>
          <w:rFonts w:hint="eastAsia" w:ascii="宋体" w:hAnsi="宋体" w:eastAsia="宋体" w:cs="宋体"/>
          <w:color w:val="auto"/>
          <w:spacing w:val="-1"/>
          <w:sz w:val="21"/>
          <w:szCs w:val="21"/>
          <w:highlight w:val="none"/>
          <w:lang w:eastAsia="zh-CN"/>
        </w:rPr>
        <w:t xml:space="preserve">元   </w:t>
      </w:r>
    </w:p>
    <w:p w14:paraId="57AFA0FC">
      <w:pPr>
        <w:spacing w:before="157" w:line="360" w:lineRule="auto"/>
        <w:ind w:left="549"/>
        <w:rPr>
          <w:rFonts w:hint="eastAsia" w:ascii="宋体" w:hAnsi="宋体" w:eastAsia="宋体" w:cs="宋体"/>
          <w:color w:val="auto"/>
          <w:spacing w:val="-1"/>
          <w:sz w:val="21"/>
          <w:szCs w:val="21"/>
          <w:highlight w:val="none"/>
          <w:lang w:eastAsia="zh-CN"/>
        </w:rPr>
      </w:pPr>
      <w:r>
        <w:rPr>
          <w:rFonts w:hint="eastAsia" w:ascii="宋体" w:hAnsi="宋体" w:eastAsia="宋体" w:cs="宋体"/>
          <w:color w:val="auto"/>
          <w:spacing w:val="-1"/>
          <w:sz w:val="21"/>
          <w:szCs w:val="21"/>
          <w:highlight w:val="none"/>
          <w:lang w:eastAsia="zh-CN"/>
        </w:rPr>
        <w:t>简要规格描述或项目基本概况介绍、用途：玉州区鸦桥江灌区末级渠系茂岑分渠维修加固工程</w:t>
      </w:r>
      <w:r>
        <w:rPr>
          <w:rFonts w:hint="eastAsia" w:ascii="宋体" w:hAnsi="宋体" w:eastAsia="宋体" w:cs="宋体"/>
          <w:color w:val="auto"/>
          <w:spacing w:val="-1"/>
          <w:sz w:val="21"/>
          <w:szCs w:val="21"/>
          <w:highlight w:val="none"/>
          <w:lang w:val="en-US" w:eastAsia="zh-CN"/>
        </w:rPr>
        <w:t>1</w:t>
      </w:r>
      <w:r>
        <w:rPr>
          <w:rFonts w:hint="eastAsia" w:ascii="宋体" w:hAnsi="宋体" w:eastAsia="宋体" w:cs="宋体"/>
          <w:color w:val="auto"/>
          <w:spacing w:val="-1"/>
          <w:sz w:val="21"/>
          <w:szCs w:val="21"/>
          <w:highlight w:val="none"/>
          <w:lang w:eastAsia="zh-CN"/>
        </w:rPr>
        <w:t>项，如需进一步了解详细内容，详见竞争性磋商采购文件。</w:t>
      </w:r>
    </w:p>
    <w:p w14:paraId="1ACAD43B">
      <w:pPr>
        <w:spacing w:before="157" w:line="360" w:lineRule="auto"/>
        <w:ind w:left="549"/>
        <w:rPr>
          <w:rFonts w:ascii="宋体" w:hAnsi="宋体" w:eastAsia="宋体" w:cs="宋体"/>
          <w:color w:val="auto"/>
          <w:spacing w:val="-4"/>
          <w:sz w:val="21"/>
          <w:szCs w:val="21"/>
          <w:highlight w:val="none"/>
        </w:rPr>
      </w:pPr>
      <w:r>
        <w:rPr>
          <w:rFonts w:ascii="宋体" w:hAnsi="宋体" w:eastAsia="宋体" w:cs="宋体"/>
          <w:color w:val="auto"/>
          <w:spacing w:val="-4"/>
          <w:sz w:val="21"/>
          <w:szCs w:val="21"/>
          <w:highlight w:val="none"/>
        </w:rPr>
        <w:t>合同履行：</w:t>
      </w:r>
      <w:r>
        <w:rPr>
          <w:rFonts w:hint="eastAsia" w:ascii="宋体" w:hAnsi="宋体" w:eastAsia="宋体" w:cs="宋体"/>
          <w:color w:val="auto"/>
          <w:spacing w:val="-4"/>
          <w:sz w:val="21"/>
          <w:szCs w:val="21"/>
          <w:highlight w:val="none"/>
          <w:lang w:val="en-US" w:eastAsia="zh-CN"/>
        </w:rPr>
        <w:t>150</w:t>
      </w:r>
      <w:r>
        <w:rPr>
          <w:rFonts w:ascii="宋体" w:hAnsi="宋体" w:eastAsia="宋体" w:cs="宋体"/>
          <w:color w:val="auto"/>
          <w:spacing w:val="-4"/>
          <w:sz w:val="21"/>
          <w:szCs w:val="21"/>
          <w:highlight w:val="none"/>
        </w:rPr>
        <w:t>天（日历</w:t>
      </w:r>
      <w:r>
        <w:rPr>
          <w:rFonts w:hint="eastAsia" w:ascii="宋体" w:hAnsi="宋体" w:eastAsia="宋体" w:cs="宋体"/>
          <w:color w:val="auto"/>
          <w:spacing w:val="-4"/>
          <w:sz w:val="21"/>
          <w:szCs w:val="21"/>
          <w:highlight w:val="none"/>
          <w:lang w:val="en-US" w:eastAsia="zh-CN"/>
        </w:rPr>
        <w:t>天</w:t>
      </w:r>
      <w:r>
        <w:rPr>
          <w:rFonts w:ascii="宋体" w:hAnsi="宋体" w:eastAsia="宋体" w:cs="宋体"/>
          <w:color w:val="auto"/>
          <w:spacing w:val="-4"/>
          <w:sz w:val="21"/>
          <w:szCs w:val="21"/>
          <w:highlight w:val="none"/>
        </w:rPr>
        <w:t>）</w:t>
      </w:r>
    </w:p>
    <w:p w14:paraId="4692D9CD">
      <w:pPr>
        <w:spacing w:before="29" w:line="347" w:lineRule="auto"/>
        <w:ind w:left="541" w:right="5485"/>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本项目不接受联合体。</w:t>
      </w:r>
    </w:p>
    <w:p w14:paraId="65087F87">
      <w:pPr>
        <w:numPr>
          <w:ilvl w:val="0"/>
          <w:numId w:val="1"/>
        </w:numPr>
        <w:spacing w:before="32" w:line="219" w:lineRule="auto"/>
        <w:ind w:left="481"/>
        <w:rPr>
          <w:rFonts w:ascii="黑体" w:hAnsi="黑体" w:eastAsia="黑体" w:cs="黑体"/>
          <w:b/>
          <w:bCs/>
          <w:color w:val="auto"/>
          <w:spacing w:val="-7"/>
          <w:sz w:val="24"/>
          <w:szCs w:val="24"/>
          <w:highlight w:val="none"/>
        </w:rPr>
      </w:pPr>
      <w:r>
        <w:rPr>
          <w:rFonts w:ascii="黑体" w:hAnsi="黑体" w:eastAsia="黑体" w:cs="黑体"/>
          <w:b/>
          <w:bCs/>
          <w:color w:val="auto"/>
          <w:spacing w:val="-7"/>
          <w:sz w:val="24"/>
          <w:szCs w:val="24"/>
          <w:highlight w:val="none"/>
        </w:rPr>
        <w:t>申请人的资格条件：</w:t>
      </w:r>
    </w:p>
    <w:p w14:paraId="434495B6">
      <w:pPr>
        <w:numPr>
          <w:ilvl w:val="0"/>
          <w:numId w:val="0"/>
        </w:numPr>
        <w:spacing w:before="32" w:line="360" w:lineRule="auto"/>
        <w:ind w:firstLine="612" w:firstLineChars="300"/>
        <w:rPr>
          <w:rFonts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lang w:val="en-US" w:eastAsia="zh-CN"/>
        </w:rPr>
        <w:t>1.</w:t>
      </w:r>
      <w:r>
        <w:rPr>
          <w:rFonts w:ascii="宋体" w:hAnsi="宋体" w:eastAsia="宋体" w:cs="宋体"/>
          <w:color w:val="auto"/>
          <w:spacing w:val="-3"/>
          <w:sz w:val="21"/>
          <w:szCs w:val="21"/>
          <w:highlight w:val="none"/>
        </w:rPr>
        <w:t>满足《中华人民共和国政府采购法》第二十二条规定；</w:t>
      </w:r>
    </w:p>
    <w:p w14:paraId="029CC604">
      <w:pPr>
        <w:numPr>
          <w:ilvl w:val="0"/>
          <w:numId w:val="0"/>
        </w:numPr>
        <w:spacing w:before="32" w:line="360" w:lineRule="auto"/>
        <w:ind w:firstLine="228" w:firstLineChars="10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 xml:space="preserve"> </w:t>
      </w:r>
      <w:r>
        <w:rPr>
          <w:rFonts w:hint="eastAsia" w:ascii="宋体" w:hAnsi="宋体" w:eastAsia="宋体" w:cs="宋体"/>
          <w:color w:val="auto"/>
          <w:spacing w:val="9"/>
          <w:sz w:val="21"/>
          <w:szCs w:val="21"/>
          <w:highlight w:val="none"/>
          <w:lang w:val="en-US" w:eastAsia="zh-CN"/>
        </w:rPr>
        <w:t xml:space="preserve">  </w:t>
      </w:r>
      <w:r>
        <w:rPr>
          <w:rFonts w:ascii="宋体" w:hAnsi="宋体" w:eastAsia="宋体" w:cs="宋体"/>
          <w:color w:val="auto"/>
          <w:spacing w:val="1"/>
          <w:sz w:val="21"/>
          <w:szCs w:val="21"/>
          <w:highlight w:val="none"/>
        </w:rPr>
        <w:t>2.落实政府采购政策需满足的资格要求：</w:t>
      </w:r>
      <w:r>
        <w:rPr>
          <w:rFonts w:hint="eastAsia" w:ascii="宋体" w:hAnsi="宋体" w:eastAsia="宋体" w:cs="宋体"/>
          <w:color w:val="auto"/>
          <w:spacing w:val="1"/>
          <w:sz w:val="21"/>
          <w:szCs w:val="21"/>
          <w:highlight w:val="none"/>
        </w:rPr>
        <w:t>本项目属于专门面向中小企业采购的项目,供应商应为中小微企业、监狱企业、残疾人福利性单位；</w:t>
      </w:r>
    </w:p>
    <w:p w14:paraId="7BBE0DDC">
      <w:pPr>
        <w:spacing w:before="29" w:line="360" w:lineRule="auto"/>
        <w:ind w:left="5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3.本项目的特定资格要求：</w:t>
      </w:r>
    </w:p>
    <w:p w14:paraId="6A136014">
      <w:pPr>
        <w:pStyle w:val="12"/>
        <w:spacing w:before="0" w:after="0" w:line="400" w:lineRule="exact"/>
        <w:ind w:firstLine="630"/>
        <w:rPr>
          <w:rFonts w:hint="eastAsia" w:hAnsi="宋体" w:eastAsia="宋体" w:cs="宋体"/>
          <w:color w:val="auto"/>
          <w:sz w:val="21"/>
          <w:szCs w:val="21"/>
          <w:highlight w:val="none"/>
          <w:lang w:eastAsia="zh-CN"/>
        </w:rPr>
      </w:pPr>
      <w:r>
        <w:rPr>
          <w:rFonts w:hint="eastAsia" w:hAnsi="宋体" w:cs="宋体"/>
          <w:color w:val="auto"/>
          <w:sz w:val="21"/>
          <w:szCs w:val="21"/>
          <w:highlight w:val="none"/>
          <w:lang w:val="en-US" w:eastAsia="zh-CN"/>
        </w:rPr>
        <w:t>(1)</w:t>
      </w:r>
      <w:r>
        <w:rPr>
          <w:rFonts w:hint="eastAsia" w:hAnsi="宋体" w:cs="宋体"/>
          <w:color w:val="auto"/>
          <w:sz w:val="21"/>
          <w:szCs w:val="21"/>
          <w:highlight w:val="none"/>
        </w:rPr>
        <w:t>本次招标要求投标人须符合《中华人民共和国政府采购法》第二十二条规定的条件，国内注册（指按国家有关规定要求注册的），具有法人资格，</w:t>
      </w:r>
      <w:r>
        <w:rPr>
          <w:rFonts w:hint="eastAsia" w:hAnsi="宋体" w:cs="宋体"/>
          <w:color w:val="auto"/>
          <w:sz w:val="21"/>
          <w:szCs w:val="21"/>
          <w:highlight w:val="none"/>
        </w:rPr>
        <w:t>具备水利水电工程施工总承包叁级（或以上）资质的施工企业，</w:t>
      </w:r>
      <w:r>
        <w:rPr>
          <w:rFonts w:hint="eastAsia" w:hAnsi="宋体" w:cs="宋体"/>
          <w:color w:val="auto"/>
          <w:sz w:val="21"/>
          <w:szCs w:val="21"/>
          <w:highlight w:val="none"/>
        </w:rPr>
        <w:t>并在人员、设备、资金、业绩等方面具有相应的施工能力</w:t>
      </w:r>
      <w:r>
        <w:rPr>
          <w:rFonts w:hint="eastAsia" w:hAnsi="宋体" w:cs="宋体"/>
          <w:color w:val="auto"/>
          <w:sz w:val="21"/>
          <w:szCs w:val="21"/>
          <w:highlight w:val="none"/>
          <w:lang w:eastAsia="zh-CN"/>
        </w:rPr>
        <w:t>。</w:t>
      </w:r>
    </w:p>
    <w:p w14:paraId="5DF83378">
      <w:pPr>
        <w:pStyle w:val="12"/>
        <w:spacing w:before="0" w:after="0" w:line="400" w:lineRule="exact"/>
        <w:ind w:firstLine="630"/>
        <w:rPr>
          <w:rFonts w:hint="eastAsia" w:hAnsi="宋体" w:eastAsia="宋体" w:cs="宋体"/>
          <w:color w:val="auto"/>
          <w:sz w:val="21"/>
          <w:szCs w:val="21"/>
          <w:highlight w:val="none"/>
          <w:lang w:eastAsia="zh-CN"/>
        </w:rPr>
      </w:pPr>
      <w:r>
        <w:rPr>
          <w:rFonts w:hint="eastAsia" w:hAnsi="宋体" w:cs="宋体"/>
          <w:color w:val="auto"/>
          <w:sz w:val="21"/>
          <w:szCs w:val="21"/>
          <w:highlight w:val="none"/>
          <w:lang w:val="en-US" w:eastAsia="zh-CN"/>
        </w:rPr>
        <w:t>(2)</w:t>
      </w:r>
      <w:r>
        <w:rPr>
          <w:rFonts w:hint="eastAsia" w:hAnsi="宋体" w:cs="宋体"/>
          <w:color w:val="auto"/>
          <w:sz w:val="21"/>
          <w:szCs w:val="21"/>
          <w:highlight w:val="none"/>
        </w:rPr>
        <w:t>拟投入本项目的项目经理必须具备水利水电工程专业二级(或以上)注册建造师执业资格，具备有效的安全生产考核合格证书（B类）</w:t>
      </w:r>
      <w:r>
        <w:rPr>
          <w:rFonts w:hint="eastAsia" w:hAnsi="宋体" w:cs="宋体"/>
          <w:color w:val="auto"/>
          <w:sz w:val="21"/>
          <w:szCs w:val="21"/>
          <w:highlight w:val="none"/>
          <w:lang w:eastAsia="zh-CN"/>
        </w:rPr>
        <w:t>。</w:t>
      </w:r>
    </w:p>
    <w:p w14:paraId="57A0C86B">
      <w:pPr>
        <w:spacing w:before="162" w:line="218" w:lineRule="auto"/>
        <w:ind w:left="48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三、获取竞争性磋商文件</w:t>
      </w:r>
    </w:p>
    <w:p w14:paraId="1E785677">
      <w:pPr>
        <w:spacing w:before="178" w:line="347" w:lineRule="auto"/>
        <w:ind w:left="125" w:right="792" w:firstLine="425"/>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时间：</w:t>
      </w:r>
      <w:r>
        <w:rPr>
          <w:rFonts w:hint="eastAsia" w:ascii="宋体" w:hAnsi="宋体" w:eastAsia="宋体" w:cs="宋体"/>
          <w:color w:val="auto"/>
          <w:spacing w:val="-8"/>
          <w:sz w:val="21"/>
          <w:szCs w:val="21"/>
          <w:highlight w:val="none"/>
          <w:u w:val="single" w:color="auto"/>
          <w:lang w:eastAsia="zh-CN"/>
        </w:rPr>
        <w:t>20</w:t>
      </w:r>
      <w:r>
        <w:rPr>
          <w:rFonts w:hint="eastAsia" w:ascii="宋体" w:hAnsi="宋体" w:eastAsia="宋体" w:cs="宋体"/>
          <w:snapToGrid w:val="0"/>
          <w:color w:val="auto"/>
          <w:kern w:val="0"/>
          <w:sz w:val="21"/>
          <w:szCs w:val="21"/>
          <w:highlight w:val="none"/>
          <w:u w:val="single" w:color="auto"/>
          <w:lang w:val="en-US" w:eastAsia="zh-CN" w:bidi="ar-SA"/>
        </w:rPr>
        <w:t xml:space="preserve">26 年 06 月  04 </w:t>
      </w:r>
      <w:r>
        <w:rPr>
          <w:rFonts w:hint="eastAsia" w:ascii="宋体" w:hAnsi="宋体" w:eastAsia="宋体" w:cs="宋体"/>
          <w:snapToGrid w:val="0"/>
          <w:color w:val="auto"/>
          <w:kern w:val="0"/>
          <w:sz w:val="21"/>
          <w:szCs w:val="21"/>
          <w:highlight w:val="none"/>
          <w:u w:val="single" w:color="auto"/>
          <w:lang w:val="en-US" w:eastAsia="en-US" w:bidi="ar-SA"/>
        </w:rPr>
        <w:t xml:space="preserve"> </w:t>
      </w:r>
      <w:r>
        <w:rPr>
          <w:rFonts w:ascii="宋体" w:hAnsi="宋体" w:eastAsia="宋体" w:cs="宋体"/>
          <w:color w:val="auto"/>
          <w:spacing w:val="-8"/>
          <w:sz w:val="21"/>
          <w:szCs w:val="21"/>
          <w:highlight w:val="none"/>
        </w:rPr>
        <w:t>日至</w:t>
      </w:r>
      <w:r>
        <w:rPr>
          <w:rFonts w:ascii="宋体" w:hAnsi="宋体" w:eastAsia="宋体" w:cs="宋体"/>
          <w:color w:val="auto"/>
          <w:spacing w:val="-41"/>
          <w:sz w:val="21"/>
          <w:szCs w:val="21"/>
          <w:highlight w:val="none"/>
          <w:u w:val="single" w:color="auto"/>
        </w:rPr>
        <w:t xml:space="preserve"> </w:t>
      </w:r>
      <w:r>
        <w:rPr>
          <w:rFonts w:ascii="宋体" w:hAnsi="宋体" w:eastAsia="宋体" w:cs="宋体"/>
          <w:color w:val="auto"/>
          <w:spacing w:val="-8"/>
          <w:sz w:val="21"/>
          <w:szCs w:val="21"/>
          <w:highlight w:val="none"/>
          <w:u w:val="single" w:color="auto"/>
        </w:rPr>
        <w:t>20</w:t>
      </w:r>
      <w:r>
        <w:rPr>
          <w:rFonts w:hint="eastAsia" w:ascii="宋体" w:hAnsi="宋体" w:eastAsia="宋体" w:cs="宋体"/>
          <w:snapToGrid w:val="0"/>
          <w:color w:val="auto"/>
          <w:kern w:val="0"/>
          <w:sz w:val="21"/>
          <w:szCs w:val="21"/>
          <w:highlight w:val="none"/>
          <w:u w:val="single" w:color="auto"/>
          <w:lang w:val="en-US" w:eastAsia="en-US" w:bidi="ar-SA"/>
        </w:rPr>
        <w:t>2</w:t>
      </w:r>
      <w:r>
        <w:rPr>
          <w:rFonts w:hint="eastAsia" w:ascii="宋体" w:hAnsi="宋体" w:eastAsia="宋体" w:cs="宋体"/>
          <w:snapToGrid w:val="0"/>
          <w:color w:val="auto"/>
          <w:kern w:val="0"/>
          <w:sz w:val="21"/>
          <w:szCs w:val="21"/>
          <w:highlight w:val="none"/>
          <w:u w:val="single" w:color="auto"/>
          <w:lang w:val="en-US" w:eastAsia="zh-CN" w:bidi="ar-SA"/>
        </w:rPr>
        <w:t>6</w:t>
      </w:r>
      <w:r>
        <w:rPr>
          <w:rFonts w:hint="eastAsia" w:ascii="宋体" w:hAnsi="宋体" w:eastAsia="宋体" w:cs="宋体"/>
          <w:snapToGrid w:val="0"/>
          <w:color w:val="auto"/>
          <w:kern w:val="0"/>
          <w:sz w:val="21"/>
          <w:szCs w:val="21"/>
          <w:highlight w:val="none"/>
          <w:u w:val="single" w:color="auto"/>
          <w:lang w:val="en-US" w:eastAsia="en-US" w:bidi="ar-SA"/>
        </w:rPr>
        <w:t>年</w:t>
      </w:r>
      <w:r>
        <w:rPr>
          <w:rFonts w:hint="eastAsia" w:ascii="宋体" w:hAnsi="宋体" w:eastAsia="宋体" w:cs="宋体"/>
          <w:snapToGrid w:val="0"/>
          <w:color w:val="auto"/>
          <w:kern w:val="0"/>
          <w:sz w:val="21"/>
          <w:szCs w:val="21"/>
          <w:highlight w:val="none"/>
          <w:u w:val="single" w:color="auto"/>
          <w:lang w:val="en-US" w:eastAsia="zh-CN" w:bidi="ar-SA"/>
        </w:rPr>
        <w:t xml:space="preserve">  06 月</w:t>
      </w:r>
      <w:r>
        <w:rPr>
          <w:rFonts w:hint="eastAsia" w:ascii="宋体" w:hAnsi="宋体" w:eastAsia="宋体" w:cs="宋体"/>
          <w:color w:val="auto"/>
          <w:spacing w:val="-8"/>
          <w:sz w:val="21"/>
          <w:szCs w:val="21"/>
          <w:highlight w:val="none"/>
          <w:u w:val="single" w:color="auto"/>
          <w:lang w:val="en-US" w:eastAsia="zh-CN"/>
        </w:rPr>
        <w:t xml:space="preserve"> 11 </w:t>
      </w:r>
      <w:r>
        <w:rPr>
          <w:rFonts w:hint="eastAsia" w:ascii="宋体" w:hAnsi="宋体" w:eastAsia="宋体" w:cs="宋体"/>
          <w:color w:val="auto"/>
          <w:spacing w:val="-8"/>
          <w:sz w:val="21"/>
          <w:szCs w:val="21"/>
          <w:highlight w:val="none"/>
          <w:u w:val="single" w:color="auto"/>
          <w:lang w:eastAsia="zh-CN"/>
        </w:rPr>
        <w:t>日，</w:t>
      </w:r>
      <w:r>
        <w:rPr>
          <w:rFonts w:hint="eastAsia" w:ascii="宋体" w:hAnsi="宋体" w:eastAsia="宋体" w:cs="宋体"/>
          <w:color w:val="auto"/>
          <w:spacing w:val="-8"/>
          <w:sz w:val="21"/>
          <w:szCs w:val="21"/>
          <w:highlight w:val="none"/>
          <w:u w:val="none" w:color="auto"/>
          <w:lang w:eastAsia="zh-CN"/>
        </w:rPr>
        <w:t>每天</w:t>
      </w:r>
      <w:r>
        <w:rPr>
          <w:rFonts w:ascii="宋体" w:hAnsi="宋体" w:eastAsia="宋体" w:cs="宋体"/>
          <w:color w:val="auto"/>
          <w:spacing w:val="-43"/>
          <w:sz w:val="21"/>
          <w:szCs w:val="21"/>
          <w:highlight w:val="none"/>
        </w:rPr>
        <w:t xml:space="preserve"> </w:t>
      </w:r>
      <w:r>
        <w:rPr>
          <w:rFonts w:ascii="宋体" w:hAnsi="宋体" w:eastAsia="宋体" w:cs="宋体"/>
          <w:color w:val="auto"/>
          <w:spacing w:val="-9"/>
          <w:sz w:val="21"/>
          <w:szCs w:val="21"/>
          <w:highlight w:val="none"/>
          <w:u w:val="single" w:color="auto"/>
        </w:rPr>
        <w:t>8</w:t>
      </w:r>
      <w:r>
        <w:rPr>
          <w:rFonts w:ascii="宋体" w:hAnsi="宋体" w:eastAsia="宋体" w:cs="宋体"/>
          <w:color w:val="auto"/>
          <w:spacing w:val="-37"/>
          <w:sz w:val="21"/>
          <w:szCs w:val="21"/>
          <w:highlight w:val="none"/>
          <w:u w:val="single" w:color="auto"/>
        </w:rPr>
        <w:t xml:space="preserve"> </w:t>
      </w:r>
      <w:r>
        <w:rPr>
          <w:rFonts w:ascii="宋体" w:hAnsi="宋体" w:eastAsia="宋体" w:cs="宋体"/>
          <w:color w:val="auto"/>
          <w:spacing w:val="-9"/>
          <w:sz w:val="21"/>
          <w:szCs w:val="21"/>
          <w:highlight w:val="none"/>
          <w:u w:val="single" w:color="auto"/>
        </w:rPr>
        <w:t>时</w:t>
      </w:r>
      <w:r>
        <w:rPr>
          <w:rFonts w:ascii="宋体" w:hAnsi="宋体" w:eastAsia="宋体" w:cs="宋体"/>
          <w:color w:val="auto"/>
          <w:spacing w:val="-42"/>
          <w:sz w:val="21"/>
          <w:szCs w:val="21"/>
          <w:highlight w:val="none"/>
          <w:u w:val="single" w:color="auto"/>
        </w:rPr>
        <w:t xml:space="preserve"> </w:t>
      </w:r>
      <w:r>
        <w:rPr>
          <w:rFonts w:ascii="宋体" w:hAnsi="宋体" w:eastAsia="宋体" w:cs="宋体"/>
          <w:color w:val="auto"/>
          <w:spacing w:val="-9"/>
          <w:sz w:val="21"/>
          <w:szCs w:val="21"/>
          <w:highlight w:val="none"/>
          <w:u w:val="single" w:color="auto"/>
        </w:rPr>
        <w:t>00</w:t>
      </w:r>
      <w:r>
        <w:rPr>
          <w:rFonts w:ascii="宋体" w:hAnsi="宋体" w:eastAsia="宋体" w:cs="宋体"/>
          <w:color w:val="auto"/>
          <w:spacing w:val="-41"/>
          <w:sz w:val="21"/>
          <w:szCs w:val="21"/>
          <w:highlight w:val="none"/>
          <w:u w:val="single" w:color="auto"/>
        </w:rPr>
        <w:t xml:space="preserve"> </w:t>
      </w:r>
      <w:r>
        <w:rPr>
          <w:rFonts w:ascii="宋体" w:hAnsi="宋体" w:eastAsia="宋体" w:cs="宋体"/>
          <w:color w:val="auto"/>
          <w:spacing w:val="-9"/>
          <w:sz w:val="21"/>
          <w:szCs w:val="21"/>
          <w:highlight w:val="none"/>
          <w:u w:val="single" w:color="auto"/>
        </w:rPr>
        <w:t>分至</w:t>
      </w:r>
      <w:r>
        <w:rPr>
          <w:rFonts w:ascii="宋体" w:hAnsi="宋体" w:eastAsia="宋体" w:cs="宋体"/>
          <w:color w:val="auto"/>
          <w:spacing w:val="-28"/>
          <w:sz w:val="21"/>
          <w:szCs w:val="21"/>
          <w:highlight w:val="none"/>
          <w:u w:val="single" w:color="auto"/>
        </w:rPr>
        <w:t xml:space="preserve"> </w:t>
      </w:r>
      <w:r>
        <w:rPr>
          <w:rFonts w:ascii="宋体" w:hAnsi="宋体" w:eastAsia="宋体" w:cs="宋体"/>
          <w:color w:val="auto"/>
          <w:spacing w:val="-9"/>
          <w:sz w:val="21"/>
          <w:szCs w:val="21"/>
          <w:highlight w:val="none"/>
          <w:u w:val="single" w:color="auto"/>
        </w:rPr>
        <w:t>12</w:t>
      </w:r>
      <w:r>
        <w:rPr>
          <w:rFonts w:ascii="宋体" w:hAnsi="宋体" w:eastAsia="宋体" w:cs="宋体"/>
          <w:color w:val="auto"/>
          <w:spacing w:val="-37"/>
          <w:sz w:val="21"/>
          <w:szCs w:val="21"/>
          <w:highlight w:val="none"/>
          <w:u w:val="single" w:color="auto"/>
        </w:rPr>
        <w:t xml:space="preserve"> </w:t>
      </w:r>
      <w:r>
        <w:rPr>
          <w:rFonts w:ascii="宋体" w:hAnsi="宋体" w:eastAsia="宋体" w:cs="宋体"/>
          <w:color w:val="auto"/>
          <w:spacing w:val="-9"/>
          <w:sz w:val="21"/>
          <w:szCs w:val="21"/>
          <w:highlight w:val="none"/>
          <w:u w:val="single" w:color="auto"/>
        </w:rPr>
        <w:t>时</w:t>
      </w:r>
      <w:r>
        <w:rPr>
          <w:rFonts w:ascii="宋体" w:hAnsi="宋体" w:eastAsia="宋体" w:cs="宋体"/>
          <w:color w:val="auto"/>
          <w:spacing w:val="-42"/>
          <w:sz w:val="21"/>
          <w:szCs w:val="21"/>
          <w:highlight w:val="none"/>
          <w:u w:val="single" w:color="auto"/>
        </w:rPr>
        <w:t xml:space="preserve"> </w:t>
      </w:r>
      <w:r>
        <w:rPr>
          <w:rFonts w:ascii="宋体" w:hAnsi="宋体" w:eastAsia="宋体" w:cs="宋体"/>
          <w:color w:val="auto"/>
          <w:spacing w:val="-9"/>
          <w:sz w:val="21"/>
          <w:szCs w:val="21"/>
          <w:highlight w:val="none"/>
          <w:u w:val="single" w:color="auto"/>
        </w:rPr>
        <w:t>00</w:t>
      </w:r>
      <w:r>
        <w:rPr>
          <w:rFonts w:ascii="宋体" w:hAnsi="宋体" w:eastAsia="宋体" w:cs="宋体"/>
          <w:color w:val="auto"/>
          <w:spacing w:val="-44"/>
          <w:sz w:val="21"/>
          <w:szCs w:val="21"/>
          <w:highlight w:val="none"/>
          <w:u w:val="single" w:color="auto"/>
        </w:rPr>
        <w:t xml:space="preserve"> </w:t>
      </w:r>
      <w:r>
        <w:rPr>
          <w:rFonts w:ascii="宋体" w:hAnsi="宋体" w:eastAsia="宋体" w:cs="宋体"/>
          <w:color w:val="auto"/>
          <w:spacing w:val="-9"/>
          <w:sz w:val="21"/>
          <w:szCs w:val="21"/>
          <w:highlight w:val="none"/>
          <w:u w:val="single" w:color="auto"/>
        </w:rPr>
        <w:t>分</w:t>
      </w:r>
      <w:r>
        <w:rPr>
          <w:rFonts w:ascii="宋体" w:hAnsi="宋体" w:eastAsia="宋体" w:cs="宋体"/>
          <w:color w:val="auto"/>
          <w:spacing w:val="-9"/>
          <w:sz w:val="21"/>
          <w:szCs w:val="21"/>
          <w:highlight w:val="none"/>
        </w:rPr>
        <w:t>，</w:t>
      </w:r>
      <w:r>
        <w:rPr>
          <w:rFonts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u w:val="single" w:color="auto"/>
          <w:lang w:val="en-US" w:eastAsia="zh-CN"/>
        </w:rPr>
        <w:t>15</w:t>
      </w:r>
      <w:r>
        <w:rPr>
          <w:rFonts w:ascii="宋体" w:hAnsi="宋体" w:eastAsia="宋体" w:cs="宋体"/>
          <w:color w:val="auto"/>
          <w:spacing w:val="-35"/>
          <w:sz w:val="21"/>
          <w:szCs w:val="21"/>
          <w:highlight w:val="none"/>
          <w:u w:val="single" w:color="auto"/>
        </w:rPr>
        <w:t xml:space="preserve"> </w:t>
      </w:r>
      <w:r>
        <w:rPr>
          <w:rFonts w:ascii="宋体" w:hAnsi="宋体" w:eastAsia="宋体" w:cs="宋体"/>
          <w:color w:val="auto"/>
          <w:spacing w:val="-4"/>
          <w:sz w:val="21"/>
          <w:szCs w:val="21"/>
          <w:highlight w:val="none"/>
          <w:u w:val="single" w:color="auto"/>
        </w:rPr>
        <w:t>时</w:t>
      </w:r>
      <w:r>
        <w:rPr>
          <w:rFonts w:ascii="宋体" w:hAnsi="宋体" w:eastAsia="宋体" w:cs="宋体"/>
          <w:color w:val="auto"/>
          <w:spacing w:val="-43"/>
          <w:sz w:val="21"/>
          <w:szCs w:val="21"/>
          <w:highlight w:val="none"/>
          <w:u w:val="single" w:color="auto"/>
        </w:rPr>
        <w:t xml:space="preserve"> </w:t>
      </w:r>
      <w:r>
        <w:rPr>
          <w:rFonts w:ascii="宋体" w:hAnsi="宋体" w:eastAsia="宋体" w:cs="宋体"/>
          <w:color w:val="auto"/>
          <w:spacing w:val="-4"/>
          <w:sz w:val="21"/>
          <w:szCs w:val="21"/>
          <w:highlight w:val="none"/>
          <w:u w:val="single" w:color="auto"/>
        </w:rPr>
        <w:t>00</w:t>
      </w:r>
      <w:r>
        <w:rPr>
          <w:rFonts w:ascii="宋体" w:hAnsi="宋体" w:eastAsia="宋体" w:cs="宋体"/>
          <w:color w:val="auto"/>
          <w:spacing w:val="-41"/>
          <w:sz w:val="21"/>
          <w:szCs w:val="21"/>
          <w:highlight w:val="none"/>
          <w:u w:val="single" w:color="auto"/>
        </w:rPr>
        <w:t xml:space="preserve"> </w:t>
      </w:r>
      <w:r>
        <w:rPr>
          <w:rFonts w:ascii="宋体" w:hAnsi="宋体" w:eastAsia="宋体" w:cs="宋体"/>
          <w:color w:val="auto"/>
          <w:spacing w:val="-4"/>
          <w:sz w:val="21"/>
          <w:szCs w:val="21"/>
          <w:highlight w:val="none"/>
          <w:u w:val="single" w:color="auto"/>
        </w:rPr>
        <w:t>分</w:t>
      </w:r>
      <w:r>
        <w:rPr>
          <w:rFonts w:ascii="宋体" w:hAnsi="宋体" w:eastAsia="宋体" w:cs="宋体"/>
          <w:color w:val="auto"/>
          <w:sz w:val="21"/>
          <w:szCs w:val="21"/>
          <w:highlight w:val="none"/>
          <w:u w:val="single" w:color="auto"/>
        </w:rPr>
        <w:t>至</w:t>
      </w:r>
      <w:r>
        <w:rPr>
          <w:rFonts w:hint="eastAsia" w:ascii="宋体" w:hAnsi="宋体" w:eastAsia="宋体" w:cs="宋体"/>
          <w:color w:val="auto"/>
          <w:sz w:val="21"/>
          <w:szCs w:val="21"/>
          <w:highlight w:val="none"/>
          <w:u w:val="single" w:color="auto"/>
          <w:lang w:val="en-US" w:eastAsia="zh-CN"/>
        </w:rPr>
        <w:t xml:space="preserve">18 </w:t>
      </w:r>
      <w:r>
        <w:rPr>
          <w:rFonts w:ascii="宋体" w:hAnsi="宋体" w:eastAsia="宋体" w:cs="宋体"/>
          <w:color w:val="auto"/>
          <w:sz w:val="21"/>
          <w:szCs w:val="21"/>
          <w:highlight w:val="none"/>
          <w:u w:val="single" w:color="auto"/>
        </w:rPr>
        <w:t>时 00 分</w:t>
      </w:r>
      <w:r>
        <w:rPr>
          <w:rFonts w:ascii="宋体" w:hAnsi="宋体" w:eastAsia="宋体" w:cs="宋体"/>
          <w:color w:val="auto"/>
          <w:sz w:val="21"/>
          <w:szCs w:val="21"/>
          <w:highlight w:val="none"/>
        </w:rPr>
        <w:t>（</w:t>
      </w:r>
      <w:r>
        <w:rPr>
          <w:rFonts w:ascii="宋体" w:hAnsi="宋体" w:eastAsia="宋体" w:cs="宋体"/>
          <w:color w:val="auto"/>
          <w:spacing w:val="-4"/>
          <w:sz w:val="21"/>
          <w:szCs w:val="21"/>
          <w:highlight w:val="none"/>
        </w:rPr>
        <w:t>北京时间，法定节假日除外）</w:t>
      </w:r>
    </w:p>
    <w:p w14:paraId="7724D0FD">
      <w:pPr>
        <w:spacing w:before="29" w:line="360" w:lineRule="auto"/>
        <w:ind w:left="540"/>
        <w:rPr>
          <w:rFonts w:ascii="宋体" w:hAnsi="宋体" w:eastAsia="宋体" w:cs="宋体"/>
          <w:color w:val="auto"/>
          <w:sz w:val="21"/>
          <w:szCs w:val="21"/>
          <w:highlight w:val="none"/>
        </w:rPr>
      </w:pPr>
      <w:r>
        <w:rPr>
          <w:rFonts w:ascii="宋体" w:hAnsi="宋体" w:eastAsia="宋体" w:cs="宋体"/>
          <w:color w:val="auto"/>
          <w:sz w:val="21"/>
          <w:szCs w:val="21"/>
          <w:highlight w:val="none"/>
        </w:rPr>
        <w:t>地点：广西政府采购云平台（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rFonts w:ascii="宋体" w:hAnsi="宋体" w:eastAsia="宋体" w:cs="宋体"/>
          <w:color w:val="auto"/>
          <w:sz w:val="21"/>
          <w:szCs w:val="21"/>
          <w:highlight w:val="none"/>
        </w:rPr>
        <w:t>https://www.gcy.zfcg.gxzf.gov.</w:t>
      </w:r>
      <w:r>
        <w:rPr>
          <w:rFonts w:ascii="宋体" w:hAnsi="宋体" w:eastAsia="宋体" w:cs="宋体"/>
          <w:color w:val="auto"/>
          <w:spacing w:val="-1"/>
          <w:sz w:val="21"/>
          <w:szCs w:val="21"/>
          <w:highlight w:val="none"/>
        </w:rPr>
        <w:t>cn/</w:t>
      </w:r>
      <w:r>
        <w:rPr>
          <w:rFonts w:ascii="宋体" w:hAnsi="宋体" w:eastAsia="宋体" w:cs="宋体"/>
          <w:color w:val="auto"/>
          <w:spacing w:val="-1"/>
          <w:sz w:val="21"/>
          <w:szCs w:val="21"/>
          <w:highlight w:val="none"/>
        </w:rPr>
        <w:fldChar w:fldCharType="end"/>
      </w:r>
      <w:r>
        <w:rPr>
          <w:rFonts w:ascii="宋体" w:hAnsi="宋体" w:eastAsia="宋体" w:cs="宋体"/>
          <w:color w:val="auto"/>
          <w:spacing w:val="-1"/>
          <w:sz w:val="21"/>
          <w:szCs w:val="21"/>
          <w:highlight w:val="none"/>
        </w:rPr>
        <w:t>）</w:t>
      </w:r>
    </w:p>
    <w:p w14:paraId="469D0059">
      <w:pPr>
        <w:spacing w:before="29" w:line="360" w:lineRule="auto"/>
        <w:ind w:left="540"/>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方式：</w:t>
      </w:r>
      <w:r>
        <w:rPr>
          <w:rFonts w:hint="eastAsia" w:ascii="宋体" w:hAnsi="宋体" w:eastAsia="宋体" w:cs="宋体"/>
          <w:color w:val="auto"/>
          <w:sz w:val="21"/>
          <w:szCs w:val="21"/>
          <w:highlight w:val="none"/>
        </w:rPr>
        <w:t>供应商登录广西政府采购云平台https://www.gcy.zfcg.gxzf.gov.cn/在线申请获取采购文件（进入“项目采购”应用，在获取采购文件菜单中选择项目，申请获取采购文件）</w:t>
      </w:r>
    </w:p>
    <w:p w14:paraId="7CF3A9C9">
      <w:pPr>
        <w:spacing w:before="30" w:line="219"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售价：</w:t>
      </w:r>
      <w:r>
        <w:rPr>
          <w:rFonts w:ascii="宋体" w:hAnsi="宋体" w:eastAsia="宋体" w:cs="宋体"/>
          <w:color w:val="auto"/>
          <w:spacing w:val="-2"/>
          <w:sz w:val="21"/>
          <w:szCs w:val="21"/>
          <w:highlight w:val="none"/>
          <w:u w:val="single" w:color="auto"/>
        </w:rPr>
        <w:t>0</w:t>
      </w:r>
      <w:r>
        <w:rPr>
          <w:rFonts w:ascii="宋体" w:hAnsi="宋体" w:eastAsia="宋体" w:cs="宋体"/>
          <w:color w:val="auto"/>
          <w:spacing w:val="-40"/>
          <w:sz w:val="21"/>
          <w:szCs w:val="21"/>
          <w:highlight w:val="none"/>
          <w:u w:val="single" w:color="auto"/>
        </w:rPr>
        <w:t xml:space="preserve"> </w:t>
      </w:r>
      <w:r>
        <w:rPr>
          <w:rFonts w:ascii="宋体" w:hAnsi="宋体" w:eastAsia="宋体" w:cs="宋体"/>
          <w:color w:val="auto"/>
          <w:spacing w:val="-2"/>
          <w:sz w:val="21"/>
          <w:szCs w:val="21"/>
          <w:highlight w:val="none"/>
        </w:rPr>
        <w:t>元</w:t>
      </w:r>
    </w:p>
    <w:p w14:paraId="4B178ECD">
      <w:pPr>
        <w:spacing w:before="162" w:line="219" w:lineRule="auto"/>
        <w:ind w:left="397"/>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四、响应文件提交</w:t>
      </w:r>
    </w:p>
    <w:p w14:paraId="7B860FE3">
      <w:pPr>
        <w:spacing w:before="179" w:line="221" w:lineRule="auto"/>
        <w:ind w:left="44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截止时间：</w:t>
      </w:r>
      <w:r>
        <w:rPr>
          <w:rFonts w:ascii="宋体" w:hAnsi="宋体" w:eastAsia="宋体" w:cs="宋体"/>
          <w:color w:val="auto"/>
          <w:spacing w:val="-6"/>
          <w:sz w:val="21"/>
          <w:szCs w:val="21"/>
          <w:highlight w:val="none"/>
          <w:u w:val="single" w:color="auto"/>
        </w:rPr>
        <w:t>202</w:t>
      </w:r>
      <w:r>
        <w:rPr>
          <w:rFonts w:hint="eastAsia" w:ascii="宋体" w:hAnsi="宋体" w:eastAsia="宋体" w:cs="宋体"/>
          <w:color w:val="auto"/>
          <w:spacing w:val="-6"/>
          <w:sz w:val="21"/>
          <w:szCs w:val="21"/>
          <w:highlight w:val="none"/>
          <w:u w:val="single" w:color="auto"/>
          <w:lang w:val="en-US" w:eastAsia="zh-CN"/>
        </w:rPr>
        <w:t>6</w:t>
      </w:r>
      <w:r>
        <w:rPr>
          <w:rFonts w:ascii="宋体" w:hAnsi="宋体" w:eastAsia="宋体" w:cs="宋体"/>
          <w:color w:val="auto"/>
          <w:spacing w:val="-6"/>
          <w:sz w:val="21"/>
          <w:szCs w:val="21"/>
          <w:highlight w:val="none"/>
          <w:u w:val="single" w:color="auto"/>
        </w:rPr>
        <w:t>年</w:t>
      </w:r>
      <w:r>
        <w:rPr>
          <w:rFonts w:ascii="宋体" w:hAnsi="宋体" w:eastAsia="宋体" w:cs="宋体"/>
          <w:color w:val="auto"/>
          <w:spacing w:val="-45"/>
          <w:sz w:val="21"/>
          <w:szCs w:val="21"/>
          <w:highlight w:val="none"/>
          <w:u w:val="single" w:color="auto"/>
        </w:rPr>
        <w:t xml:space="preserve"> </w:t>
      </w:r>
      <w:r>
        <w:rPr>
          <w:rFonts w:hint="eastAsia" w:ascii="宋体" w:hAnsi="宋体" w:eastAsia="宋体" w:cs="宋体"/>
          <w:color w:val="auto"/>
          <w:spacing w:val="-6"/>
          <w:sz w:val="21"/>
          <w:szCs w:val="21"/>
          <w:highlight w:val="none"/>
          <w:u w:val="single" w:color="auto"/>
          <w:lang w:val="en-US" w:eastAsia="zh-CN"/>
        </w:rPr>
        <w:t xml:space="preserve"> 06 </w:t>
      </w:r>
      <w:r>
        <w:rPr>
          <w:rFonts w:ascii="宋体" w:hAnsi="宋体" w:eastAsia="宋体" w:cs="宋体"/>
          <w:color w:val="auto"/>
          <w:spacing w:val="-6"/>
          <w:sz w:val="21"/>
          <w:szCs w:val="21"/>
          <w:highlight w:val="none"/>
          <w:u w:val="single" w:color="auto"/>
        </w:rPr>
        <w:t>月</w:t>
      </w:r>
      <w:r>
        <w:rPr>
          <w:rFonts w:hint="eastAsia" w:ascii="宋体" w:hAnsi="宋体" w:eastAsia="宋体" w:cs="宋体"/>
          <w:color w:val="auto"/>
          <w:spacing w:val="-6"/>
          <w:sz w:val="21"/>
          <w:szCs w:val="21"/>
          <w:highlight w:val="none"/>
          <w:u w:val="single" w:color="auto"/>
          <w:lang w:val="en-US" w:eastAsia="zh-CN"/>
        </w:rPr>
        <w:t xml:space="preserve"> 15 </w:t>
      </w:r>
      <w:r>
        <w:rPr>
          <w:rFonts w:ascii="宋体" w:hAnsi="宋体" w:eastAsia="宋体" w:cs="宋体"/>
          <w:color w:val="auto"/>
          <w:spacing w:val="-6"/>
          <w:sz w:val="21"/>
          <w:szCs w:val="21"/>
          <w:highlight w:val="none"/>
          <w:u w:val="single" w:color="auto"/>
        </w:rPr>
        <w:t>日</w:t>
      </w:r>
      <w:r>
        <w:rPr>
          <w:rFonts w:ascii="宋体" w:hAnsi="宋体" w:eastAsia="宋体" w:cs="宋体"/>
          <w:color w:val="auto"/>
          <w:spacing w:val="-43"/>
          <w:sz w:val="21"/>
          <w:szCs w:val="21"/>
          <w:highlight w:val="none"/>
          <w:u w:val="single" w:color="auto"/>
        </w:rPr>
        <w:t xml:space="preserve"> </w:t>
      </w:r>
      <w:r>
        <w:rPr>
          <w:rFonts w:hint="eastAsia" w:ascii="宋体" w:hAnsi="宋体" w:eastAsia="宋体" w:cs="宋体"/>
          <w:color w:val="auto"/>
          <w:spacing w:val="-6"/>
          <w:sz w:val="21"/>
          <w:szCs w:val="21"/>
          <w:highlight w:val="none"/>
          <w:u w:val="single" w:color="auto"/>
          <w:lang w:val="en-US" w:eastAsia="zh-CN"/>
        </w:rPr>
        <w:t>09</w:t>
      </w:r>
      <w:r>
        <w:rPr>
          <w:rFonts w:ascii="宋体" w:hAnsi="宋体" w:eastAsia="宋体" w:cs="宋体"/>
          <w:color w:val="auto"/>
          <w:spacing w:val="-36"/>
          <w:sz w:val="21"/>
          <w:szCs w:val="21"/>
          <w:highlight w:val="none"/>
          <w:u w:val="single" w:color="auto"/>
        </w:rPr>
        <w:t xml:space="preserve"> </w:t>
      </w:r>
      <w:r>
        <w:rPr>
          <w:rFonts w:ascii="宋体" w:hAnsi="宋体" w:eastAsia="宋体" w:cs="宋体"/>
          <w:color w:val="auto"/>
          <w:spacing w:val="-6"/>
          <w:sz w:val="21"/>
          <w:szCs w:val="21"/>
          <w:highlight w:val="none"/>
          <w:u w:val="single" w:color="auto"/>
        </w:rPr>
        <w:t>时</w:t>
      </w:r>
      <w:r>
        <w:rPr>
          <w:rFonts w:ascii="宋体" w:hAnsi="宋体" w:eastAsia="宋体" w:cs="宋体"/>
          <w:color w:val="auto"/>
          <w:spacing w:val="-43"/>
          <w:sz w:val="21"/>
          <w:szCs w:val="21"/>
          <w:highlight w:val="none"/>
          <w:u w:val="single" w:color="auto"/>
        </w:rPr>
        <w:t xml:space="preserve"> </w:t>
      </w:r>
      <w:r>
        <w:rPr>
          <w:rFonts w:ascii="宋体" w:hAnsi="宋体" w:eastAsia="宋体" w:cs="宋体"/>
          <w:color w:val="auto"/>
          <w:spacing w:val="-6"/>
          <w:sz w:val="21"/>
          <w:szCs w:val="21"/>
          <w:highlight w:val="none"/>
          <w:u w:val="single" w:color="auto"/>
        </w:rPr>
        <w:t>00</w:t>
      </w:r>
      <w:r>
        <w:rPr>
          <w:rFonts w:ascii="宋体" w:hAnsi="宋体" w:eastAsia="宋体" w:cs="宋体"/>
          <w:color w:val="auto"/>
          <w:spacing w:val="-41"/>
          <w:sz w:val="21"/>
          <w:szCs w:val="21"/>
          <w:highlight w:val="none"/>
          <w:u w:val="single" w:color="auto"/>
        </w:rPr>
        <w:t xml:space="preserve"> </w:t>
      </w:r>
      <w:r>
        <w:rPr>
          <w:rFonts w:ascii="宋体" w:hAnsi="宋体" w:eastAsia="宋体" w:cs="宋体"/>
          <w:color w:val="auto"/>
          <w:spacing w:val="-6"/>
          <w:sz w:val="21"/>
          <w:szCs w:val="21"/>
          <w:highlight w:val="none"/>
          <w:u w:val="single" w:color="auto"/>
        </w:rPr>
        <w:t>分</w:t>
      </w:r>
      <w:r>
        <w:rPr>
          <w:rFonts w:ascii="宋体" w:hAnsi="宋体" w:eastAsia="宋体" w:cs="宋体"/>
          <w:color w:val="auto"/>
          <w:spacing w:val="-6"/>
          <w:sz w:val="21"/>
          <w:szCs w:val="21"/>
          <w:highlight w:val="none"/>
        </w:rPr>
        <w:t>（北京时间）</w:t>
      </w:r>
    </w:p>
    <w:p w14:paraId="42346428">
      <w:pPr>
        <w:spacing w:before="169" w:line="220" w:lineRule="auto"/>
        <w:ind w:left="387"/>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地点：</w:t>
      </w:r>
      <w:r>
        <w:rPr>
          <w:rFonts w:hint="eastAsia" w:ascii="宋体" w:hAnsi="宋体" w:eastAsia="宋体" w:cs="宋体"/>
          <w:color w:val="auto"/>
          <w:sz w:val="21"/>
          <w:szCs w:val="21"/>
          <w:highlight w:val="none"/>
        </w:rPr>
        <w:t>请登录广西政府采购云平台投标客户端投标</w:t>
      </w:r>
    </w:p>
    <w:p w14:paraId="2B0092DB">
      <w:pPr>
        <w:spacing w:before="169" w:line="220" w:lineRule="auto"/>
        <w:ind w:left="387"/>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五、开启</w:t>
      </w:r>
    </w:p>
    <w:p w14:paraId="1F9570DF">
      <w:pPr>
        <w:spacing w:before="177" w:line="221" w:lineRule="auto"/>
        <w:ind w:left="46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1.时间：</w:t>
      </w:r>
      <w:r>
        <w:rPr>
          <w:rFonts w:hint="eastAsia" w:ascii="宋体" w:hAnsi="宋体" w:eastAsia="宋体" w:cs="宋体"/>
          <w:color w:val="auto"/>
          <w:sz w:val="21"/>
          <w:szCs w:val="21"/>
          <w:highlight w:val="none"/>
          <w:u w:val="single"/>
        </w:rPr>
        <w:t>202</w:t>
      </w:r>
      <w:r>
        <w:rPr>
          <w:rFonts w:hint="eastAsia" w:ascii="宋体" w:hAnsi="宋体" w:eastAsia="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rPr>
        <w:t>年</w:t>
      </w:r>
      <w:r>
        <w:rPr>
          <w:rFonts w:hint="eastAsia" w:ascii="宋体" w:hAnsi="宋体" w:eastAsia="宋体" w:cs="宋体"/>
          <w:color w:val="auto"/>
          <w:sz w:val="21"/>
          <w:szCs w:val="21"/>
          <w:highlight w:val="none"/>
          <w:u w:val="single"/>
          <w:lang w:val="en-US" w:eastAsia="zh-CN"/>
        </w:rPr>
        <w:t xml:space="preserve"> 06 </w:t>
      </w:r>
      <w:r>
        <w:rPr>
          <w:rFonts w:hint="eastAsia" w:ascii="宋体" w:hAnsi="宋体" w:eastAsia="宋体" w:cs="宋体"/>
          <w:color w:val="auto"/>
          <w:sz w:val="21"/>
          <w:szCs w:val="21"/>
          <w:highlight w:val="none"/>
          <w:u w:val="single"/>
        </w:rPr>
        <w:t>月</w:t>
      </w:r>
      <w:r>
        <w:rPr>
          <w:rFonts w:hint="eastAsia" w:ascii="宋体" w:hAnsi="宋体" w:eastAsia="宋体" w:cs="宋体"/>
          <w:color w:val="auto"/>
          <w:sz w:val="21"/>
          <w:szCs w:val="21"/>
          <w:highlight w:val="none"/>
          <w:u w:val="single"/>
          <w:lang w:val="en-US" w:eastAsia="zh-CN"/>
        </w:rPr>
        <w:t xml:space="preserve"> 15 </w:t>
      </w:r>
      <w:r>
        <w:rPr>
          <w:rFonts w:hint="eastAsia" w:ascii="宋体" w:hAnsi="宋体" w:eastAsia="宋体" w:cs="宋体"/>
          <w:color w:val="auto"/>
          <w:sz w:val="21"/>
          <w:szCs w:val="21"/>
          <w:highlight w:val="none"/>
          <w:u w:val="single"/>
        </w:rPr>
        <w:t xml:space="preserve">日 </w:t>
      </w:r>
      <w:r>
        <w:rPr>
          <w:rFonts w:hint="eastAsia" w:ascii="宋体" w:hAnsi="宋体" w:eastAsia="宋体" w:cs="宋体"/>
          <w:color w:val="auto"/>
          <w:sz w:val="21"/>
          <w:szCs w:val="21"/>
          <w:highlight w:val="none"/>
          <w:u w:val="single"/>
          <w:lang w:val="en-US" w:eastAsia="zh-CN"/>
        </w:rPr>
        <w:t>09</w:t>
      </w:r>
      <w:r>
        <w:rPr>
          <w:rFonts w:hint="eastAsia" w:ascii="宋体" w:hAnsi="宋体" w:eastAsia="宋体" w:cs="宋体"/>
          <w:color w:val="auto"/>
          <w:sz w:val="21"/>
          <w:szCs w:val="21"/>
          <w:highlight w:val="none"/>
          <w:u w:val="single"/>
        </w:rPr>
        <w:t xml:space="preserve"> 时 00 分</w:t>
      </w:r>
      <w:r>
        <w:rPr>
          <w:rFonts w:ascii="宋体" w:hAnsi="宋体" w:eastAsia="宋体" w:cs="宋体"/>
          <w:color w:val="auto"/>
          <w:spacing w:val="-7"/>
          <w:sz w:val="21"/>
          <w:szCs w:val="21"/>
          <w:highlight w:val="none"/>
        </w:rPr>
        <w:t>（北京时间）</w:t>
      </w:r>
    </w:p>
    <w:p w14:paraId="2E58DA2A">
      <w:pPr>
        <w:spacing w:before="157" w:line="215" w:lineRule="auto"/>
        <w:ind w:left="448"/>
        <w:rPr>
          <w:rFonts w:ascii="宋体" w:hAnsi="宋体" w:eastAsia="宋体" w:cs="宋体"/>
          <w:color w:val="auto"/>
          <w:sz w:val="21"/>
          <w:szCs w:val="21"/>
          <w:highlight w:val="none"/>
        </w:rPr>
      </w:pPr>
      <w:r>
        <w:rPr>
          <w:rFonts w:ascii="宋体" w:hAnsi="宋体" w:eastAsia="宋体" w:cs="宋体"/>
          <w:color w:val="auto"/>
          <w:sz w:val="21"/>
          <w:szCs w:val="21"/>
          <w:highlight w:val="none"/>
        </w:rPr>
        <w:t>2.地点：广西政府采购云平台（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rFonts w:ascii="宋体" w:hAnsi="宋体" w:eastAsia="宋体" w:cs="宋体"/>
          <w:color w:val="auto"/>
          <w:sz w:val="21"/>
          <w:szCs w:val="21"/>
          <w:highlight w:val="none"/>
        </w:rPr>
        <w:t>https://www.gcy.zfcg.gxzf.</w:t>
      </w:r>
      <w:r>
        <w:rPr>
          <w:rFonts w:ascii="宋体" w:hAnsi="宋体" w:eastAsia="宋体" w:cs="宋体"/>
          <w:color w:val="auto"/>
          <w:spacing w:val="-1"/>
          <w:sz w:val="21"/>
          <w:szCs w:val="21"/>
          <w:highlight w:val="none"/>
        </w:rPr>
        <w:t>gov.cn/</w:t>
      </w:r>
      <w:r>
        <w:rPr>
          <w:rFonts w:ascii="宋体" w:hAnsi="宋体" w:eastAsia="宋体" w:cs="宋体"/>
          <w:color w:val="auto"/>
          <w:spacing w:val="-1"/>
          <w:sz w:val="21"/>
          <w:szCs w:val="21"/>
          <w:highlight w:val="none"/>
        </w:rPr>
        <w:fldChar w:fldCharType="end"/>
      </w:r>
      <w:r>
        <w:rPr>
          <w:rFonts w:ascii="宋体" w:hAnsi="宋体" w:eastAsia="宋体" w:cs="宋体"/>
          <w:color w:val="auto"/>
          <w:spacing w:val="-1"/>
          <w:sz w:val="21"/>
          <w:szCs w:val="21"/>
          <w:highlight w:val="none"/>
        </w:rPr>
        <w:t>）</w:t>
      </w:r>
    </w:p>
    <w:p w14:paraId="51678825">
      <w:pPr>
        <w:spacing w:before="167" w:line="221" w:lineRule="auto"/>
        <w:ind w:left="385"/>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六、公告期限</w:t>
      </w:r>
    </w:p>
    <w:p w14:paraId="4D43A969">
      <w:pPr>
        <w:spacing w:before="177" w:line="219" w:lineRule="auto"/>
        <w:ind w:left="48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自本公告发布之日起</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5</w:t>
      </w:r>
      <w:r>
        <w:rPr>
          <w:rFonts w:ascii="宋体" w:hAnsi="宋体" w:eastAsia="宋体" w:cs="宋体"/>
          <w:color w:val="auto"/>
          <w:spacing w:val="-44"/>
          <w:sz w:val="21"/>
          <w:szCs w:val="21"/>
          <w:highlight w:val="none"/>
        </w:rPr>
        <w:t xml:space="preserve"> </w:t>
      </w:r>
      <w:r>
        <w:rPr>
          <w:rFonts w:ascii="宋体" w:hAnsi="宋体" w:eastAsia="宋体" w:cs="宋体"/>
          <w:color w:val="auto"/>
          <w:spacing w:val="-4"/>
          <w:sz w:val="21"/>
          <w:szCs w:val="21"/>
          <w:highlight w:val="none"/>
        </w:rPr>
        <w:t>个工作日。</w:t>
      </w:r>
    </w:p>
    <w:p w14:paraId="1153B088">
      <w:pPr>
        <w:spacing w:before="162" w:line="220" w:lineRule="auto"/>
        <w:ind w:left="387"/>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七、其他补充事宜</w:t>
      </w:r>
    </w:p>
    <w:p w14:paraId="39548426">
      <w:pPr>
        <w:spacing w:before="177" w:line="222"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1.网上查询地址</w:t>
      </w:r>
    </w:p>
    <w:p w14:paraId="3750F238">
      <w:pPr>
        <w:spacing w:before="157" w:line="350" w:lineRule="auto"/>
        <w:ind w:left="32" w:right="115" w:firstLine="433"/>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中国政府采购网（www.ccgp.gov.cn）、广西壮族自治区政府采购网（zfcg.gxzf.gov.cn）、广西玉林市玉州区政府门户网站（www.ylyz.gov.cn）。</w:t>
      </w:r>
    </w:p>
    <w:p w14:paraId="6AF4E25D">
      <w:pPr>
        <w:spacing w:before="30" w:line="345" w:lineRule="auto"/>
        <w:ind w:left="452" w:right="4759" w:firstLine="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2.本项目需要落实的政府采购政策</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（1）政府采购促进中小企业发展。</w:t>
      </w:r>
    </w:p>
    <w:p w14:paraId="30BD64F1">
      <w:pPr>
        <w:spacing w:before="34" w:line="345" w:lineRule="auto"/>
        <w:ind w:left="452" w:right="454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（2）政府采购促进残疾人就业政策。</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（3）政府采购支持监狱企业发展。</w:t>
      </w:r>
    </w:p>
    <w:p w14:paraId="52FB21EF">
      <w:pPr>
        <w:spacing w:before="31"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3.供应商竞标注意事项</w:t>
      </w:r>
    </w:p>
    <w:p w14:paraId="30ABD5D2">
      <w:pPr>
        <w:spacing w:before="157" w:line="356" w:lineRule="auto"/>
        <w:ind w:left="26" w:firstLine="42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（1）本项目为全流程电子化采购项目，通过广西政府采购云平台（h</w:t>
      </w:r>
      <w:r>
        <w:rPr>
          <w:rFonts w:ascii="宋体" w:hAnsi="宋体" w:eastAsia="宋体" w:cs="宋体"/>
          <w:color w:val="auto"/>
          <w:spacing w:val="-1"/>
          <w:sz w:val="21"/>
          <w:szCs w:val="21"/>
          <w:highlight w:val="none"/>
        </w:rPr>
        <w:t>ttps://www.gcy.</w:t>
      </w:r>
      <w:r>
        <w:rPr>
          <w:rFonts w:ascii="宋体" w:hAnsi="宋体" w:eastAsia="宋体" w:cs="宋体"/>
          <w:color w:val="auto"/>
          <w:sz w:val="21"/>
          <w:szCs w:val="21"/>
          <w:highlight w:val="none"/>
        </w:rPr>
        <w:t xml:space="preserve">  zfcg</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rPr>
        <w:t>gxzf</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rPr>
        <w:t>gov</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rPr>
        <w:t>cn</w:t>
      </w:r>
      <w:r>
        <w:rPr>
          <w:rFonts w:ascii="宋体" w:hAnsi="宋体" w:eastAsia="宋体" w:cs="宋体"/>
          <w:color w:val="auto"/>
          <w:spacing w:val="3"/>
          <w:sz w:val="21"/>
          <w:szCs w:val="21"/>
          <w:highlight w:val="none"/>
        </w:rPr>
        <w:t>/）实行在线电子竞标，供应商应先安装“广西政府采购云平台</w:t>
      </w:r>
      <w:r>
        <w:rPr>
          <w:rFonts w:ascii="宋体" w:hAnsi="宋体" w:eastAsia="宋体" w:cs="宋体"/>
          <w:color w:val="auto"/>
          <w:spacing w:val="2"/>
          <w:sz w:val="21"/>
          <w:szCs w:val="21"/>
          <w:highlight w:val="none"/>
        </w:rPr>
        <w:t>客户端”</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（请自行前往“广西政府采购网—办事服务—下载专</w:t>
      </w:r>
      <w:r>
        <w:rPr>
          <w:rFonts w:ascii="宋体" w:hAnsi="宋体" w:eastAsia="宋体" w:cs="宋体"/>
          <w:color w:val="auto"/>
          <w:spacing w:val="2"/>
          <w:sz w:val="21"/>
          <w:szCs w:val="21"/>
          <w:highlight w:val="none"/>
        </w:rPr>
        <w:t>区”进行下载</w:t>
      </w: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rPr>
        <w:t>并按照本项目竞争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性磋商文件和广西政府采购云平台的要求编制、加密后在提交响应文件截止时间前通过网</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络上传至广西政府采购云平台（加密的电子响应文件是指后缀名为“</w:t>
      </w:r>
      <w:r>
        <w:rPr>
          <w:rFonts w:ascii="宋体" w:hAnsi="宋体" w:eastAsia="宋体" w:cs="宋体"/>
          <w:color w:val="auto"/>
          <w:sz w:val="21"/>
          <w:szCs w:val="21"/>
          <w:highlight w:val="none"/>
        </w:rPr>
        <w:t>jmbs</w:t>
      </w:r>
      <w:r>
        <w:rPr>
          <w:rFonts w:ascii="宋体" w:hAnsi="宋体" w:eastAsia="宋体" w:cs="宋体"/>
          <w:color w:val="auto"/>
          <w:spacing w:val="2"/>
          <w:sz w:val="21"/>
          <w:szCs w:val="21"/>
          <w:highlight w:val="none"/>
        </w:rPr>
        <w:t>”的文件</w:t>
      </w:r>
      <w:r>
        <w:rPr>
          <w:rFonts w:ascii="宋体" w:hAnsi="宋体" w:eastAsia="宋体" w:cs="宋体"/>
          <w:color w:val="auto"/>
          <w:spacing w:val="10"/>
          <w:sz w:val="21"/>
          <w:szCs w:val="21"/>
          <w:highlight w:val="none"/>
        </w:rPr>
        <w:t>），</w:t>
      </w:r>
      <w:r>
        <w:rPr>
          <w:rFonts w:ascii="宋体" w:hAnsi="宋体" w:eastAsia="宋体" w:cs="宋体"/>
          <w:color w:val="auto"/>
          <w:spacing w:val="2"/>
          <w:sz w:val="21"/>
          <w:szCs w:val="21"/>
          <w:highlight w:val="none"/>
        </w:rPr>
        <w:t>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应商在广西政府采购云平台提交电子响应文件时，请填写参加远程采购活动经办人联系方</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式。供应商登录广西政府采购云平台，依次进入“服务中心-项目采购-操作流</w:t>
      </w:r>
      <w:r>
        <w:rPr>
          <w:rFonts w:ascii="宋体" w:hAnsi="宋体" w:eastAsia="宋体" w:cs="宋体"/>
          <w:color w:val="auto"/>
          <w:spacing w:val="-1"/>
          <w:sz w:val="21"/>
          <w:szCs w:val="21"/>
          <w:highlight w:val="none"/>
        </w:rPr>
        <w:t>程-电子招投</w:t>
      </w:r>
      <w:r>
        <w:rPr>
          <w:rFonts w:ascii="宋体" w:hAnsi="宋体" w:eastAsia="宋体" w:cs="宋体"/>
          <w:color w:val="auto"/>
          <w:sz w:val="21"/>
          <w:szCs w:val="21"/>
          <w:highlight w:val="none"/>
        </w:rPr>
        <w:t xml:space="preserve">  标-政府采购项目电子交易管理操作指南-供应商”查看电子竞标具</w:t>
      </w:r>
      <w:r>
        <w:rPr>
          <w:rFonts w:ascii="宋体" w:hAnsi="宋体" w:eastAsia="宋体" w:cs="宋体"/>
          <w:color w:val="auto"/>
          <w:spacing w:val="-1"/>
          <w:sz w:val="21"/>
          <w:szCs w:val="21"/>
          <w:highlight w:val="none"/>
        </w:rPr>
        <w:t>体操作流程。</w:t>
      </w:r>
    </w:p>
    <w:p w14:paraId="3A2B0E8F">
      <w:pPr>
        <w:spacing w:before="31" w:line="345" w:lineRule="auto"/>
        <w:ind w:left="29" w:right="105"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（2）未进行网上注册并办理数字证书（CA</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认证）的供应商将无法参与本项目政府采购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活动，供应商应当在提交响应文件截止时间前，完成电子交易平台上的</w:t>
      </w:r>
      <w:r>
        <w:rPr>
          <w:rFonts w:ascii="宋体" w:hAnsi="宋体" w:eastAsia="宋体" w:cs="宋体"/>
          <w:color w:val="auto"/>
          <w:spacing w:val="-31"/>
          <w:sz w:val="21"/>
          <w:szCs w:val="21"/>
          <w:highlight w:val="none"/>
        </w:rPr>
        <w:t xml:space="preserve"> </w:t>
      </w:r>
      <w:r>
        <w:rPr>
          <w:rFonts w:ascii="宋体" w:hAnsi="宋体" w:eastAsia="宋体" w:cs="宋体"/>
          <w:color w:val="auto"/>
          <w:spacing w:val="-1"/>
          <w:sz w:val="21"/>
          <w:szCs w:val="21"/>
          <w:highlight w:val="none"/>
        </w:rPr>
        <w:t>CA</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数字证书办理及</w:t>
      </w:r>
    </w:p>
    <w:p w14:paraId="6E3BBCD0">
      <w:pPr>
        <w:spacing w:line="345" w:lineRule="auto"/>
        <w:rPr>
          <w:rFonts w:ascii="宋体" w:hAnsi="宋体" w:eastAsia="宋体" w:cs="宋体"/>
          <w:color w:val="auto"/>
          <w:sz w:val="21"/>
          <w:szCs w:val="21"/>
          <w:highlight w:val="none"/>
        </w:rPr>
        <w:sectPr>
          <w:footerReference r:id="rId6" w:type="default"/>
          <w:pgSz w:w="11900" w:h="16832"/>
          <w:pgMar w:top="1427" w:right="1690" w:bottom="1220" w:left="1784" w:header="0" w:footer="1060" w:gutter="0"/>
          <w:pgNumType w:fmt="decimal"/>
          <w:cols w:space="720" w:num="1"/>
        </w:sectPr>
      </w:pPr>
    </w:p>
    <w:p w14:paraId="25A502AA">
      <w:pPr>
        <w:spacing w:before="41" w:line="350" w:lineRule="auto"/>
        <w:ind w:left="25" w:right="88" w:firstLine="1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响应文件的提交（供应商可登录“广西政府采购网”，依</w:t>
      </w:r>
      <w:r>
        <w:rPr>
          <w:rFonts w:ascii="宋体" w:hAnsi="宋体" w:eastAsia="宋体" w:cs="宋体"/>
          <w:color w:val="auto"/>
          <w:spacing w:val="-1"/>
          <w:sz w:val="21"/>
          <w:szCs w:val="21"/>
          <w:highlight w:val="none"/>
        </w:rPr>
        <w:t>次进入“办事服务-下载专区”或</w:t>
      </w:r>
      <w:r>
        <w:rPr>
          <w:rFonts w:ascii="宋体" w:hAnsi="宋体" w:eastAsia="宋体" w:cs="宋体"/>
          <w:color w:val="auto"/>
          <w:sz w:val="21"/>
          <w:szCs w:val="21"/>
          <w:highlight w:val="none"/>
        </w:rPr>
        <w:t xml:space="preserve"> 者登录广西政府采购云平台，依次进入“服务中心-入驻与配置”中查看 CA 数</w:t>
      </w:r>
      <w:r>
        <w:rPr>
          <w:rFonts w:ascii="宋体" w:hAnsi="宋体" w:eastAsia="宋体" w:cs="宋体"/>
          <w:color w:val="auto"/>
          <w:spacing w:val="-1"/>
          <w:sz w:val="21"/>
          <w:szCs w:val="21"/>
          <w:highlight w:val="none"/>
        </w:rPr>
        <w:t>字证书办理</w:t>
      </w:r>
      <w:r>
        <w:rPr>
          <w:rFonts w:ascii="宋体" w:hAnsi="宋体" w:eastAsia="宋体" w:cs="宋体"/>
          <w:color w:val="auto"/>
          <w:sz w:val="21"/>
          <w:szCs w:val="21"/>
          <w:highlight w:val="none"/>
        </w:rPr>
        <w:t xml:space="preserve"> 操作流程。如在操作过程中遇到问题或者需要技</w:t>
      </w:r>
      <w:r>
        <w:rPr>
          <w:rFonts w:ascii="宋体" w:hAnsi="宋体" w:eastAsia="宋体" w:cs="宋体"/>
          <w:color w:val="auto"/>
          <w:spacing w:val="-1"/>
          <w:sz w:val="21"/>
          <w:szCs w:val="21"/>
          <w:highlight w:val="none"/>
        </w:rPr>
        <w:t>术支持，请致电客服热线：95763）。</w:t>
      </w:r>
    </w:p>
    <w:p w14:paraId="2893D0EF">
      <w:pPr>
        <w:spacing w:before="32" w:line="350" w:lineRule="auto"/>
        <w:ind w:left="27" w:right="89" w:firstLine="424"/>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（3）CA</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证书在线解密：首次响应文件开启时，需携带制作响应文件时用来加密的有效</w:t>
      </w:r>
      <w:r>
        <w:rPr>
          <w:rFonts w:ascii="宋体" w:hAnsi="宋体" w:eastAsia="宋体" w:cs="宋体"/>
          <w:color w:val="auto"/>
          <w:sz w:val="21"/>
          <w:szCs w:val="21"/>
          <w:highlight w:val="none"/>
        </w:rPr>
        <w:t xml:space="preserve"> 数字证书（CA 认证）登录广西政府采购云平台电子开标大厅现场按规定时间</w:t>
      </w:r>
      <w:r>
        <w:rPr>
          <w:rFonts w:ascii="宋体" w:hAnsi="宋体" w:eastAsia="宋体" w:cs="宋体"/>
          <w:color w:val="auto"/>
          <w:spacing w:val="-1"/>
          <w:sz w:val="21"/>
          <w:szCs w:val="21"/>
          <w:highlight w:val="none"/>
        </w:rPr>
        <w:t>对加密的响应</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文件进行解密，否则后果自负。</w:t>
      </w:r>
    </w:p>
    <w:p w14:paraId="3D28150E">
      <w:pPr>
        <w:spacing w:before="26" w:line="356" w:lineRule="auto"/>
        <w:ind w:left="24"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注：1）为确保网上操作合法、有效和安全，请供应商确保在电子竞标过</w:t>
      </w:r>
      <w:r>
        <w:rPr>
          <w:rFonts w:ascii="宋体" w:hAnsi="宋体" w:eastAsia="宋体" w:cs="宋体"/>
          <w:color w:val="auto"/>
          <w:spacing w:val="-1"/>
          <w:sz w:val="21"/>
          <w:szCs w:val="21"/>
          <w:highlight w:val="none"/>
        </w:rPr>
        <w:t>程中能够对相</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关数据电文进行加密和使用电子签章，妥善保管 CA 数字证书并使用有效的</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CA 数字证书参</w:t>
      </w:r>
      <w:r>
        <w:rPr>
          <w:rFonts w:ascii="宋体" w:hAnsi="宋体" w:eastAsia="宋体" w:cs="宋体"/>
          <w:color w:val="auto"/>
          <w:sz w:val="21"/>
          <w:szCs w:val="21"/>
          <w:highlight w:val="none"/>
        </w:rPr>
        <w:t xml:space="preserve">  与整个采购活动。2）供应商应当在提交响应文件截止时间前完成</w:t>
      </w:r>
      <w:r>
        <w:rPr>
          <w:rFonts w:ascii="宋体" w:hAnsi="宋体" w:eastAsia="宋体" w:cs="宋体"/>
          <w:color w:val="auto"/>
          <w:spacing w:val="-1"/>
          <w:sz w:val="21"/>
          <w:szCs w:val="21"/>
          <w:highlight w:val="none"/>
        </w:rPr>
        <w:t>电子响应文件的提交（上</w:t>
      </w:r>
      <w:r>
        <w:rPr>
          <w:rFonts w:ascii="宋体" w:hAnsi="宋体" w:eastAsia="宋体" w:cs="宋体"/>
          <w:color w:val="auto"/>
          <w:spacing w:val="2"/>
          <w:sz w:val="21"/>
          <w:szCs w:val="21"/>
          <w:highlight w:val="none"/>
        </w:rPr>
        <w:t>传</w:t>
      </w:r>
      <w:r>
        <w:rPr>
          <w:rFonts w:ascii="宋体" w:hAnsi="宋体" w:eastAsia="宋体" w:cs="宋体"/>
          <w:color w:val="auto"/>
          <w:spacing w:val="9"/>
          <w:sz w:val="21"/>
          <w:szCs w:val="21"/>
          <w:highlight w:val="none"/>
        </w:rPr>
        <w:t>），</w:t>
      </w:r>
      <w:r>
        <w:rPr>
          <w:rFonts w:ascii="宋体" w:hAnsi="宋体" w:eastAsia="宋体" w:cs="宋体"/>
          <w:color w:val="auto"/>
          <w:spacing w:val="2"/>
          <w:sz w:val="21"/>
          <w:szCs w:val="21"/>
          <w:highlight w:val="none"/>
        </w:rPr>
        <w:t>提交响应文件截止时间前可以补充、修改或者撤回响应文件。补充或者修改响应文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件的，应当先行撤回原响应文件，补充、修改后重新提交（上传</w:t>
      </w:r>
      <w:r>
        <w:rPr>
          <w:rFonts w:ascii="宋体" w:hAnsi="宋体" w:eastAsia="宋体" w:cs="宋体"/>
          <w:color w:val="auto"/>
          <w:spacing w:val="9"/>
          <w:sz w:val="21"/>
          <w:szCs w:val="21"/>
          <w:highlight w:val="none"/>
        </w:rPr>
        <w:t>），</w:t>
      </w:r>
      <w:r>
        <w:rPr>
          <w:rFonts w:ascii="宋体" w:hAnsi="宋体" w:eastAsia="宋体" w:cs="宋体"/>
          <w:color w:val="auto"/>
          <w:spacing w:val="2"/>
          <w:sz w:val="21"/>
          <w:szCs w:val="21"/>
          <w:highlight w:val="none"/>
        </w:rPr>
        <w:t>提交响应文件截止时</w:t>
      </w:r>
      <w:r>
        <w:rPr>
          <w:rFonts w:ascii="宋体" w:hAnsi="宋体" w:eastAsia="宋体" w:cs="宋体"/>
          <w:color w:val="auto"/>
          <w:sz w:val="21"/>
          <w:szCs w:val="21"/>
          <w:highlight w:val="none"/>
        </w:rPr>
        <w:t xml:space="preserve">  间前未完成提交（上传）的，视为撤回响应文件</w:t>
      </w:r>
      <w:r>
        <w:rPr>
          <w:rFonts w:ascii="宋体" w:hAnsi="宋体" w:eastAsia="宋体" w:cs="宋体"/>
          <w:color w:val="auto"/>
          <w:spacing w:val="-1"/>
          <w:sz w:val="21"/>
          <w:szCs w:val="21"/>
          <w:highlight w:val="none"/>
        </w:rPr>
        <w:t>。提交响应文件截止时间以后提交（上传）</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的响应文件，广西政府采购云平台将予以拒收。</w:t>
      </w:r>
    </w:p>
    <w:p w14:paraId="6D62880E">
      <w:pPr>
        <w:spacing w:before="30" w:line="345" w:lineRule="auto"/>
        <w:ind w:left="25" w:right="88"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（4）供应商需要在具备有摄像头及语音功能且互联网网络状况</w:t>
      </w:r>
      <w:r>
        <w:rPr>
          <w:rFonts w:ascii="宋体" w:hAnsi="宋体" w:eastAsia="宋体" w:cs="宋体"/>
          <w:color w:val="auto"/>
          <w:spacing w:val="-1"/>
          <w:sz w:val="21"/>
          <w:szCs w:val="21"/>
          <w:highlight w:val="none"/>
        </w:rPr>
        <w:t>良好的电脑登录广西政</w:t>
      </w:r>
      <w:r>
        <w:rPr>
          <w:rFonts w:ascii="宋体" w:hAnsi="宋体" w:eastAsia="宋体" w:cs="宋体"/>
          <w:color w:val="auto"/>
          <w:sz w:val="21"/>
          <w:szCs w:val="21"/>
          <w:highlight w:val="none"/>
        </w:rPr>
        <w:t>府采购云平台远程开标大厅参与本次磋商，否则后果自</w:t>
      </w:r>
      <w:r>
        <w:rPr>
          <w:rFonts w:ascii="宋体" w:hAnsi="宋体" w:eastAsia="宋体" w:cs="宋体"/>
          <w:color w:val="auto"/>
          <w:spacing w:val="-1"/>
          <w:sz w:val="21"/>
          <w:szCs w:val="21"/>
          <w:highlight w:val="none"/>
        </w:rPr>
        <w:t>负。</w:t>
      </w:r>
    </w:p>
    <w:p w14:paraId="3347C164">
      <w:pPr>
        <w:spacing w:before="31" w:line="351" w:lineRule="auto"/>
        <w:ind w:right="90" w:firstLine="206" w:firstLineChars="100"/>
        <w:rPr>
          <w:rFonts w:hint="eastAsia"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rPr>
        <w:t>4.本项目采用远程异地评标，评审主会场地址：评标主场设在</w:t>
      </w:r>
      <w:r>
        <w:rPr>
          <w:rFonts w:hint="eastAsia" w:ascii="宋体" w:hAnsi="宋体" w:eastAsia="宋体" w:cs="宋体"/>
          <w:snapToGrid w:val="0"/>
          <w:color w:val="auto"/>
          <w:kern w:val="0"/>
          <w:sz w:val="21"/>
          <w:szCs w:val="21"/>
          <w:highlight w:val="none"/>
          <w:lang w:val="en-US" w:eastAsia="zh-CN" w:bidi="ar-SA"/>
        </w:rPr>
        <w:t>玉林市玉州区公共资源交易中心（玉林市金港路388号26幢）</w:t>
      </w:r>
      <w:r>
        <w:rPr>
          <w:rFonts w:ascii="宋体" w:hAnsi="宋体" w:eastAsia="宋体" w:cs="宋体"/>
          <w:color w:val="auto"/>
          <w:spacing w:val="-2"/>
          <w:sz w:val="21"/>
          <w:szCs w:val="21"/>
          <w:highlight w:val="none"/>
        </w:rPr>
        <w:t>；评审副会场地址：</w:t>
      </w:r>
      <w:r>
        <w:rPr>
          <w:rFonts w:hint="eastAsia" w:ascii="宋体" w:hAnsi="宋体" w:eastAsia="宋体" w:cs="宋体"/>
          <w:color w:val="auto"/>
          <w:spacing w:val="-2"/>
          <w:sz w:val="21"/>
          <w:szCs w:val="21"/>
          <w:highlight w:val="none"/>
          <w:lang w:eastAsia="zh-CN"/>
        </w:rPr>
        <w:t>贺州</w:t>
      </w:r>
      <w:r>
        <w:rPr>
          <w:rFonts w:ascii="宋体" w:hAnsi="宋体" w:eastAsia="宋体" w:cs="宋体"/>
          <w:color w:val="auto"/>
          <w:spacing w:val="-2"/>
          <w:sz w:val="21"/>
          <w:szCs w:val="21"/>
          <w:highlight w:val="none"/>
        </w:rPr>
        <w:t>市</w:t>
      </w:r>
      <w:r>
        <w:rPr>
          <w:rFonts w:hint="eastAsia" w:ascii="宋体" w:hAnsi="宋体" w:eastAsia="宋体" w:cs="宋体"/>
          <w:color w:val="auto"/>
          <w:spacing w:val="-2"/>
          <w:sz w:val="21"/>
          <w:szCs w:val="21"/>
          <w:highlight w:val="none"/>
          <w:lang w:val="en-US" w:eastAsia="zh-CN"/>
        </w:rPr>
        <w:t>公共资源交易中心（贺州市政务中心）。</w:t>
      </w:r>
    </w:p>
    <w:p w14:paraId="6812081C">
      <w:pPr>
        <w:spacing w:before="33" w:line="210" w:lineRule="auto"/>
        <w:ind w:left="381"/>
        <w:rPr>
          <w:rFonts w:ascii="黑体" w:hAnsi="黑体" w:eastAsia="黑体" w:cs="黑体"/>
          <w:color w:val="auto"/>
          <w:sz w:val="24"/>
          <w:szCs w:val="24"/>
          <w:highlight w:val="none"/>
        </w:rPr>
      </w:pPr>
      <w:r>
        <w:rPr>
          <w:rFonts w:ascii="黑体" w:hAnsi="黑体" w:eastAsia="黑体" w:cs="黑体"/>
          <w:b/>
          <w:bCs/>
          <w:color w:val="auto"/>
          <w:spacing w:val="-2"/>
          <w:sz w:val="24"/>
          <w:szCs w:val="24"/>
          <w:highlight w:val="none"/>
        </w:rPr>
        <w:t>八、凡对本次采购提出询问，请按以下方式</w:t>
      </w:r>
      <w:r>
        <w:rPr>
          <w:rFonts w:ascii="黑体" w:hAnsi="黑体" w:eastAsia="黑体" w:cs="黑体"/>
          <w:b/>
          <w:bCs/>
          <w:color w:val="auto"/>
          <w:spacing w:val="-3"/>
          <w:sz w:val="24"/>
          <w:szCs w:val="24"/>
          <w:highlight w:val="none"/>
        </w:rPr>
        <w:t>联系。</w:t>
      </w:r>
    </w:p>
    <w:p w14:paraId="76CC974F">
      <w:pPr>
        <w:spacing w:before="188" w:line="220"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1.采购人信息</w:t>
      </w:r>
    </w:p>
    <w:p w14:paraId="0DE5EF9A">
      <w:pPr>
        <w:spacing w:before="160" w:line="360" w:lineRule="auto"/>
        <w:ind w:left="446" w:right="4184" w:firstLine="208" w:firstLineChars="100"/>
        <w:rPr>
          <w:rFonts w:ascii="宋体" w:hAnsi="宋体" w:eastAsia="宋体" w:cs="宋体"/>
          <w:color w:val="auto"/>
          <w:spacing w:val="13"/>
          <w:sz w:val="21"/>
          <w:szCs w:val="21"/>
          <w:highlight w:val="none"/>
        </w:rPr>
      </w:pPr>
      <w:r>
        <w:rPr>
          <w:rFonts w:ascii="宋体" w:hAnsi="宋体" w:eastAsia="宋体" w:cs="宋体"/>
          <w:color w:val="auto"/>
          <w:spacing w:val="-1"/>
          <w:sz w:val="21"/>
          <w:szCs w:val="21"/>
          <w:highlight w:val="none"/>
        </w:rPr>
        <w:t>名    称：</w:t>
      </w:r>
      <w:r>
        <w:rPr>
          <w:rFonts w:hint="eastAsia" w:ascii="宋体" w:hAnsi="宋体" w:eastAsia="宋体" w:cs="宋体"/>
          <w:color w:val="auto"/>
          <w:spacing w:val="-1"/>
          <w:sz w:val="21"/>
          <w:szCs w:val="21"/>
          <w:highlight w:val="none"/>
          <w:lang w:eastAsia="zh-CN"/>
        </w:rPr>
        <w:t>玉林市玉州区农村水利工作站</w:t>
      </w:r>
      <w:r>
        <w:rPr>
          <w:rFonts w:ascii="宋体" w:hAnsi="宋体" w:eastAsia="宋体" w:cs="宋体"/>
          <w:color w:val="auto"/>
          <w:spacing w:val="13"/>
          <w:sz w:val="21"/>
          <w:szCs w:val="21"/>
          <w:highlight w:val="none"/>
        </w:rPr>
        <w:t xml:space="preserve"> </w:t>
      </w:r>
    </w:p>
    <w:p w14:paraId="650F9DCB">
      <w:pPr>
        <w:spacing w:before="31" w:line="360" w:lineRule="auto"/>
        <w:ind w:left="449" w:firstLine="208" w:firstLineChars="100"/>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地    址：玉林市玉州区民主南路68号</w:t>
      </w:r>
      <w:r>
        <w:rPr>
          <w:rFonts w:hint="eastAsia" w:ascii="宋体" w:hAnsi="宋体" w:eastAsia="宋体" w:cs="宋体"/>
          <w:color w:val="auto"/>
          <w:spacing w:val="-1"/>
          <w:sz w:val="21"/>
          <w:szCs w:val="21"/>
          <w:highlight w:val="none"/>
        </w:rPr>
        <w:t> </w:t>
      </w:r>
    </w:p>
    <w:p w14:paraId="79E3B3AC">
      <w:pPr>
        <w:spacing w:before="31" w:line="360" w:lineRule="auto"/>
        <w:ind w:left="449" w:firstLine="208" w:firstLineChars="100"/>
        <w:rPr>
          <w:rFonts w:hint="eastAsia"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项目联系人：钟工</w:t>
      </w:r>
      <w:r>
        <w:rPr>
          <w:rFonts w:hint="eastAsia" w:ascii="宋体" w:hAnsi="宋体" w:eastAsia="宋体" w:cs="宋体"/>
          <w:color w:val="auto"/>
          <w:spacing w:val="-1"/>
          <w:sz w:val="21"/>
          <w:szCs w:val="21"/>
          <w:highlight w:val="none"/>
        </w:rPr>
        <w:t> </w:t>
      </w:r>
    </w:p>
    <w:p w14:paraId="112590CA">
      <w:pPr>
        <w:spacing w:before="31" w:line="360" w:lineRule="auto"/>
        <w:ind w:left="449" w:firstLine="208" w:firstLineChars="100"/>
        <w:rPr>
          <w:rFonts w:ascii="宋体" w:hAnsi="宋体" w:eastAsia="宋体" w:cs="宋体"/>
          <w:color w:val="auto"/>
          <w:spacing w:val="8"/>
          <w:sz w:val="21"/>
          <w:szCs w:val="21"/>
          <w:highlight w:val="none"/>
        </w:rPr>
      </w:pPr>
      <w:r>
        <w:rPr>
          <w:rFonts w:ascii="宋体" w:hAnsi="宋体" w:eastAsia="宋体" w:cs="宋体"/>
          <w:color w:val="auto"/>
          <w:spacing w:val="-1"/>
          <w:sz w:val="21"/>
          <w:szCs w:val="21"/>
          <w:highlight w:val="none"/>
        </w:rPr>
        <w:t>项目联系方式：0775-2303953</w:t>
      </w:r>
      <w:r>
        <w:rPr>
          <w:rFonts w:hint="eastAsia" w:ascii="宋体" w:hAnsi="宋体" w:eastAsia="宋体" w:cs="宋体"/>
          <w:color w:val="auto"/>
          <w:spacing w:val="-1"/>
          <w:sz w:val="21"/>
          <w:szCs w:val="21"/>
          <w:highlight w:val="none"/>
        </w:rPr>
        <w:t>  </w:t>
      </w:r>
      <w:r>
        <w:rPr>
          <w:rFonts w:ascii="宋体" w:hAnsi="宋体" w:eastAsia="宋体" w:cs="宋体"/>
          <w:color w:val="auto"/>
          <w:spacing w:val="8"/>
          <w:sz w:val="21"/>
          <w:szCs w:val="21"/>
          <w:highlight w:val="none"/>
        </w:rPr>
        <w:t xml:space="preserve"> </w:t>
      </w:r>
    </w:p>
    <w:p w14:paraId="20D949A4">
      <w:pPr>
        <w:spacing w:before="31" w:line="360" w:lineRule="auto"/>
        <w:ind w:left="44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2.采购代理机构信息</w:t>
      </w:r>
    </w:p>
    <w:p w14:paraId="37CF2269">
      <w:pPr>
        <w:spacing w:line="360" w:lineRule="auto"/>
        <w:ind w:firstLine="630" w:firstLineChars="300"/>
        <w:rPr>
          <w:rFonts w:hint="eastAsia" w:ascii="Arial"/>
          <w:color w:val="auto"/>
          <w:sz w:val="21"/>
          <w:highlight w:val="none"/>
        </w:rPr>
      </w:pPr>
      <w:r>
        <w:rPr>
          <w:rFonts w:hint="eastAsia" w:ascii="Arial"/>
          <w:color w:val="auto"/>
          <w:sz w:val="21"/>
          <w:highlight w:val="none"/>
        </w:rPr>
        <w:t>名    称：</w:t>
      </w:r>
      <w:r>
        <w:rPr>
          <w:rFonts w:hint="eastAsia" w:eastAsia="宋体"/>
          <w:color w:val="auto"/>
          <w:sz w:val="21"/>
          <w:highlight w:val="none"/>
          <w:lang w:eastAsia="zh-CN"/>
        </w:rPr>
        <w:t>广西硕友建设工程咨询有限公司</w:t>
      </w:r>
      <w:r>
        <w:rPr>
          <w:rFonts w:hint="eastAsia" w:ascii="Arial"/>
          <w:color w:val="auto"/>
          <w:sz w:val="21"/>
          <w:highlight w:val="none"/>
        </w:rPr>
        <w:t> </w:t>
      </w:r>
    </w:p>
    <w:p w14:paraId="5FB03BC6">
      <w:pPr>
        <w:spacing w:line="360" w:lineRule="auto"/>
        <w:rPr>
          <w:rFonts w:hint="eastAsia" w:ascii="Arial"/>
          <w:color w:val="auto"/>
          <w:sz w:val="21"/>
          <w:highlight w:val="none"/>
        </w:rPr>
      </w:pPr>
      <w:r>
        <w:rPr>
          <w:rFonts w:hint="eastAsia" w:ascii="Arial"/>
          <w:color w:val="auto"/>
          <w:sz w:val="21"/>
          <w:highlight w:val="none"/>
        </w:rPr>
        <w:t xml:space="preserve">  </w:t>
      </w:r>
      <w:r>
        <w:rPr>
          <w:rFonts w:hint="eastAsia" w:eastAsia="宋体"/>
          <w:color w:val="auto"/>
          <w:sz w:val="21"/>
          <w:highlight w:val="none"/>
          <w:lang w:val="en-US" w:eastAsia="zh-CN"/>
        </w:rPr>
        <w:t xml:space="preserve">        </w:t>
      </w:r>
      <w:r>
        <w:rPr>
          <w:rFonts w:hint="eastAsia" w:ascii="Arial"/>
          <w:color w:val="auto"/>
          <w:sz w:val="21"/>
          <w:highlight w:val="none"/>
        </w:rPr>
        <w:t>  地    址：</w:t>
      </w:r>
      <w:r>
        <w:rPr>
          <w:rFonts w:hint="eastAsia" w:eastAsia="宋体"/>
          <w:color w:val="auto"/>
          <w:sz w:val="21"/>
          <w:highlight w:val="none"/>
          <w:lang w:eastAsia="zh-CN"/>
        </w:rPr>
        <w:t>玉</w:t>
      </w:r>
      <w:r>
        <w:rPr>
          <w:rFonts w:hint="eastAsia" w:ascii="宋体" w:hAnsi="宋体" w:eastAsia="宋体" w:cs="宋体"/>
          <w:color w:val="auto"/>
          <w:spacing w:val="-1"/>
          <w:sz w:val="21"/>
          <w:szCs w:val="21"/>
          <w:highlight w:val="none"/>
          <w:lang w:eastAsia="zh-CN"/>
        </w:rPr>
        <w:t>林市金旺里47号</w:t>
      </w:r>
      <w:r>
        <w:rPr>
          <w:rFonts w:hint="eastAsia" w:ascii="宋体" w:hAnsi="宋体" w:eastAsia="宋体" w:cs="宋体"/>
          <w:color w:val="auto"/>
          <w:spacing w:val="-1"/>
          <w:sz w:val="21"/>
          <w:szCs w:val="21"/>
          <w:highlight w:val="none"/>
        </w:rPr>
        <w:t xml:space="preserve">  　</w:t>
      </w:r>
      <w:r>
        <w:rPr>
          <w:rFonts w:hint="eastAsia" w:ascii="Arial"/>
          <w:color w:val="auto"/>
          <w:sz w:val="21"/>
          <w:highlight w:val="none"/>
        </w:rPr>
        <w:t>　 </w:t>
      </w:r>
    </w:p>
    <w:p w14:paraId="7A512480">
      <w:pPr>
        <w:spacing w:line="360" w:lineRule="auto"/>
        <w:rPr>
          <w:rFonts w:hint="eastAsia" w:ascii="Arial"/>
          <w:color w:val="auto"/>
          <w:sz w:val="21"/>
          <w:highlight w:val="none"/>
          <w:lang w:eastAsia="zh-CN"/>
        </w:rPr>
      </w:pPr>
      <w:r>
        <w:rPr>
          <w:rFonts w:hint="eastAsia" w:ascii="Arial"/>
          <w:color w:val="auto"/>
          <w:sz w:val="21"/>
          <w:highlight w:val="none"/>
        </w:rPr>
        <w:t>   </w:t>
      </w:r>
      <w:r>
        <w:rPr>
          <w:rFonts w:hint="eastAsia" w:eastAsia="宋体"/>
          <w:color w:val="auto"/>
          <w:sz w:val="21"/>
          <w:highlight w:val="none"/>
          <w:lang w:val="en-US" w:eastAsia="zh-CN"/>
        </w:rPr>
        <w:t xml:space="preserve">       </w:t>
      </w:r>
      <w:r>
        <w:rPr>
          <w:rFonts w:hint="eastAsia" w:ascii="Arial"/>
          <w:color w:val="auto"/>
          <w:sz w:val="21"/>
          <w:highlight w:val="none"/>
        </w:rPr>
        <w:t xml:space="preserve"> 项目联系人：</w:t>
      </w:r>
      <w:r>
        <w:rPr>
          <w:rFonts w:hint="eastAsia"/>
          <w:color w:val="auto"/>
          <w:sz w:val="21"/>
          <w:highlight w:val="none"/>
          <w:lang w:eastAsia="zh-CN"/>
        </w:rPr>
        <w:t>禤群</w:t>
      </w:r>
    </w:p>
    <w:p w14:paraId="36329D50">
      <w:pPr>
        <w:spacing w:line="360" w:lineRule="auto"/>
        <w:ind w:firstLine="630" w:firstLineChars="300"/>
        <w:rPr>
          <w:rFonts w:hint="eastAsia" w:ascii="宋体" w:hAnsi="宋体" w:eastAsia="宋体" w:cs="宋体"/>
          <w:color w:val="auto"/>
          <w:sz w:val="21"/>
          <w:szCs w:val="21"/>
          <w:highlight w:val="none"/>
        </w:rPr>
      </w:pPr>
      <w:r>
        <w:rPr>
          <w:rFonts w:hint="eastAsia" w:ascii="Arial"/>
          <w:color w:val="auto"/>
          <w:sz w:val="21"/>
          <w:highlight w:val="none"/>
        </w:rPr>
        <w:t>项</w:t>
      </w:r>
      <w:r>
        <w:rPr>
          <w:rFonts w:hint="eastAsia" w:ascii="宋体" w:hAnsi="宋体" w:eastAsia="宋体" w:cs="宋体"/>
          <w:color w:val="auto"/>
          <w:sz w:val="21"/>
          <w:szCs w:val="21"/>
          <w:highlight w:val="none"/>
        </w:rPr>
        <w:t>目联系方式：</w:t>
      </w:r>
      <w:r>
        <w:rPr>
          <w:rFonts w:hint="eastAsia" w:ascii="宋体" w:hAnsi="宋体" w:eastAsia="宋体" w:cs="宋体"/>
          <w:color w:val="auto"/>
          <w:sz w:val="21"/>
          <w:szCs w:val="21"/>
          <w:highlight w:val="none"/>
          <w:lang w:eastAsia="zh-CN"/>
        </w:rPr>
        <w:t>0775-2666319</w:t>
      </w:r>
      <w:r>
        <w:rPr>
          <w:rFonts w:hint="eastAsia" w:ascii="宋体" w:hAnsi="宋体" w:eastAsia="宋体" w:cs="宋体"/>
          <w:color w:val="auto"/>
          <w:sz w:val="21"/>
          <w:szCs w:val="21"/>
          <w:highlight w:val="none"/>
        </w:rPr>
        <w:t xml:space="preserve">  </w:t>
      </w:r>
    </w:p>
    <w:p w14:paraId="6F37C431">
      <w:pPr>
        <w:spacing w:line="315" w:lineRule="auto"/>
        <w:rPr>
          <w:rFonts w:ascii="Arial"/>
          <w:color w:val="auto"/>
          <w:sz w:val="21"/>
          <w:highlight w:val="none"/>
        </w:rPr>
      </w:pPr>
    </w:p>
    <w:p w14:paraId="1A463595">
      <w:pPr>
        <w:spacing w:line="315" w:lineRule="auto"/>
        <w:rPr>
          <w:rFonts w:ascii="Arial"/>
          <w:color w:val="auto"/>
          <w:sz w:val="21"/>
          <w:highlight w:val="none"/>
        </w:rPr>
      </w:pPr>
    </w:p>
    <w:p w14:paraId="7CFCB149">
      <w:pPr>
        <w:rPr>
          <w:rFonts w:ascii="宋体" w:hAnsi="宋体" w:eastAsia="宋体" w:cs="宋体"/>
          <w:b/>
          <w:bCs/>
          <w:color w:val="auto"/>
          <w:spacing w:val="4"/>
          <w:sz w:val="43"/>
          <w:szCs w:val="43"/>
          <w:highlight w:val="none"/>
        </w:rPr>
      </w:pPr>
      <w:bookmarkStart w:id="3" w:name="bookmark3"/>
      <w:bookmarkEnd w:id="3"/>
      <w:r>
        <w:rPr>
          <w:rFonts w:ascii="宋体" w:hAnsi="宋体" w:eastAsia="宋体" w:cs="宋体"/>
          <w:b/>
          <w:bCs/>
          <w:color w:val="auto"/>
          <w:spacing w:val="4"/>
          <w:sz w:val="43"/>
          <w:szCs w:val="43"/>
          <w:highlight w:val="none"/>
        </w:rPr>
        <w:br w:type="page"/>
      </w:r>
    </w:p>
    <w:p w14:paraId="6F4978C1">
      <w:pPr>
        <w:spacing w:before="140" w:line="223" w:lineRule="auto"/>
        <w:ind w:left="2597"/>
        <w:outlineLvl w:val="0"/>
        <w:rPr>
          <w:rFonts w:ascii="宋体" w:hAnsi="宋体" w:eastAsia="宋体" w:cs="宋体"/>
          <w:color w:val="auto"/>
          <w:sz w:val="43"/>
          <w:szCs w:val="43"/>
          <w:highlight w:val="none"/>
        </w:rPr>
      </w:pPr>
      <w:bookmarkStart w:id="4" w:name="_Toc23311"/>
      <w:bookmarkStart w:id="5" w:name="_Toc15401"/>
      <w:r>
        <w:rPr>
          <w:rFonts w:ascii="宋体" w:hAnsi="宋体" w:eastAsia="宋体" w:cs="宋体"/>
          <w:b/>
          <w:bCs/>
          <w:color w:val="auto"/>
          <w:spacing w:val="4"/>
          <w:sz w:val="43"/>
          <w:szCs w:val="43"/>
          <w:highlight w:val="none"/>
        </w:rPr>
        <w:t>第二章</w:t>
      </w:r>
      <w:r>
        <w:rPr>
          <w:rFonts w:ascii="宋体" w:hAnsi="宋体" w:eastAsia="宋体" w:cs="宋体"/>
          <w:color w:val="auto"/>
          <w:spacing w:val="4"/>
          <w:sz w:val="43"/>
          <w:szCs w:val="43"/>
          <w:highlight w:val="none"/>
        </w:rPr>
        <w:t xml:space="preserve"> </w:t>
      </w:r>
      <w:r>
        <w:rPr>
          <w:rFonts w:ascii="宋体" w:hAnsi="宋体" w:eastAsia="宋体" w:cs="宋体"/>
          <w:b/>
          <w:bCs/>
          <w:color w:val="auto"/>
          <w:spacing w:val="4"/>
          <w:sz w:val="43"/>
          <w:szCs w:val="43"/>
          <w:highlight w:val="none"/>
        </w:rPr>
        <w:t>供应商须知</w:t>
      </w:r>
      <w:bookmarkEnd w:id="4"/>
      <w:bookmarkEnd w:id="5"/>
    </w:p>
    <w:p w14:paraId="488F93FF">
      <w:pPr>
        <w:spacing w:line="256" w:lineRule="auto"/>
        <w:rPr>
          <w:rFonts w:ascii="Arial"/>
          <w:color w:val="auto"/>
          <w:sz w:val="21"/>
          <w:highlight w:val="none"/>
        </w:rPr>
      </w:pPr>
    </w:p>
    <w:p w14:paraId="5B07BBDA">
      <w:pPr>
        <w:spacing w:line="256" w:lineRule="auto"/>
        <w:rPr>
          <w:rFonts w:ascii="Arial"/>
          <w:color w:val="auto"/>
          <w:sz w:val="21"/>
          <w:highlight w:val="none"/>
        </w:rPr>
      </w:pPr>
    </w:p>
    <w:p w14:paraId="0969D9D1">
      <w:pPr>
        <w:spacing w:before="101" w:line="224" w:lineRule="auto"/>
        <w:ind w:left="3183"/>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供应商须知前附表</w:t>
      </w:r>
    </w:p>
    <w:p w14:paraId="11A2C8F3">
      <w:pPr>
        <w:spacing w:before="138"/>
        <w:rPr>
          <w:color w:val="auto"/>
          <w:highlight w:val="none"/>
        </w:rPr>
      </w:pPr>
    </w:p>
    <w:tbl>
      <w:tblPr>
        <w:tblStyle w:val="16"/>
        <w:tblW w:w="8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7915"/>
      </w:tblGrid>
      <w:tr w14:paraId="2F6E0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95" w:type="dxa"/>
            <w:vAlign w:val="top"/>
          </w:tcPr>
          <w:p w14:paraId="5A504016">
            <w:pPr>
              <w:pStyle w:val="17"/>
              <w:spacing w:before="33" w:line="221" w:lineRule="auto"/>
              <w:ind w:left="187"/>
              <w:rPr>
                <w:color w:val="auto"/>
                <w:highlight w:val="none"/>
              </w:rPr>
            </w:pPr>
            <w:r>
              <w:rPr>
                <w:b/>
                <w:bCs/>
                <w:color w:val="auto"/>
                <w:spacing w:val="-4"/>
                <w:highlight w:val="none"/>
              </w:rPr>
              <w:t>条款号</w:t>
            </w:r>
          </w:p>
        </w:tc>
        <w:tc>
          <w:tcPr>
            <w:tcW w:w="7915" w:type="dxa"/>
            <w:vAlign w:val="top"/>
          </w:tcPr>
          <w:p w14:paraId="0D29FD31">
            <w:pPr>
              <w:pStyle w:val="17"/>
              <w:spacing w:before="33" w:line="221" w:lineRule="auto"/>
              <w:ind w:left="3565"/>
              <w:rPr>
                <w:color w:val="auto"/>
                <w:highlight w:val="none"/>
              </w:rPr>
            </w:pPr>
            <w:r>
              <w:rPr>
                <w:b/>
                <w:bCs/>
                <w:color w:val="auto"/>
                <w:spacing w:val="-19"/>
                <w:highlight w:val="none"/>
              </w:rPr>
              <w:t>内</w:t>
            </w:r>
            <w:r>
              <w:rPr>
                <w:color w:val="auto"/>
                <w:spacing w:val="3"/>
                <w:highlight w:val="none"/>
              </w:rPr>
              <w:t xml:space="preserve">    </w:t>
            </w:r>
            <w:r>
              <w:rPr>
                <w:b/>
                <w:bCs/>
                <w:color w:val="auto"/>
                <w:spacing w:val="-19"/>
                <w:highlight w:val="none"/>
              </w:rPr>
              <w:t>容</w:t>
            </w:r>
          </w:p>
        </w:tc>
      </w:tr>
      <w:tr w14:paraId="555DC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95" w:type="dxa"/>
            <w:vAlign w:val="top"/>
          </w:tcPr>
          <w:p w14:paraId="74AFABD3">
            <w:pPr>
              <w:pStyle w:val="17"/>
              <w:spacing w:before="64" w:line="183" w:lineRule="auto"/>
              <w:ind w:left="350"/>
              <w:rPr>
                <w:color w:val="auto"/>
                <w:highlight w:val="none"/>
              </w:rPr>
            </w:pPr>
            <w:r>
              <w:rPr>
                <w:color w:val="auto"/>
                <w:spacing w:val="-4"/>
                <w:highlight w:val="none"/>
              </w:rPr>
              <w:t>3.1</w:t>
            </w:r>
          </w:p>
        </w:tc>
        <w:tc>
          <w:tcPr>
            <w:tcW w:w="7915" w:type="dxa"/>
            <w:vAlign w:val="top"/>
          </w:tcPr>
          <w:p w14:paraId="5EEF6B61">
            <w:pPr>
              <w:pStyle w:val="17"/>
              <w:spacing w:before="30" w:line="219" w:lineRule="auto"/>
              <w:ind w:left="112"/>
              <w:rPr>
                <w:color w:val="auto"/>
                <w:highlight w:val="none"/>
              </w:rPr>
            </w:pPr>
            <w:r>
              <w:rPr>
                <w:color w:val="auto"/>
                <w:spacing w:val="-1"/>
                <w:highlight w:val="none"/>
              </w:rPr>
              <w:t>供应商的资格条件：</w:t>
            </w:r>
            <w:r>
              <w:rPr>
                <w:color w:val="auto"/>
                <w:spacing w:val="-1"/>
                <w:highlight w:val="none"/>
                <w:u w:val="single" w:color="auto"/>
              </w:rPr>
              <w:t>详见竞争性磋商公告</w:t>
            </w:r>
          </w:p>
        </w:tc>
      </w:tr>
      <w:tr w14:paraId="5CDA1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995" w:type="dxa"/>
            <w:vAlign w:val="top"/>
          </w:tcPr>
          <w:p w14:paraId="3066259D">
            <w:pPr>
              <w:pStyle w:val="17"/>
              <w:spacing w:before="66" w:line="183" w:lineRule="auto"/>
              <w:ind w:left="350"/>
              <w:rPr>
                <w:color w:val="auto"/>
                <w:highlight w:val="none"/>
              </w:rPr>
            </w:pPr>
            <w:r>
              <w:rPr>
                <w:color w:val="auto"/>
                <w:spacing w:val="-3"/>
                <w:highlight w:val="none"/>
              </w:rPr>
              <w:t>5.1</w:t>
            </w:r>
          </w:p>
        </w:tc>
        <w:tc>
          <w:tcPr>
            <w:tcW w:w="7915" w:type="dxa"/>
            <w:vAlign w:val="top"/>
          </w:tcPr>
          <w:p w14:paraId="1D29DEA5">
            <w:pPr>
              <w:pStyle w:val="17"/>
              <w:spacing w:before="32" w:line="219" w:lineRule="auto"/>
              <w:ind w:left="115"/>
              <w:rPr>
                <w:color w:val="auto"/>
                <w:highlight w:val="none"/>
              </w:rPr>
            </w:pPr>
            <w:r>
              <w:rPr>
                <w:color w:val="auto"/>
                <w:spacing w:val="-1"/>
                <w:highlight w:val="none"/>
              </w:rPr>
              <w:t>是否接受联合体竞标：详见竞争性磋商公告</w:t>
            </w:r>
          </w:p>
        </w:tc>
      </w:tr>
      <w:tr w14:paraId="50AF7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95" w:type="dxa"/>
            <w:vAlign w:val="top"/>
          </w:tcPr>
          <w:p w14:paraId="5CB07906">
            <w:pPr>
              <w:pStyle w:val="17"/>
              <w:spacing w:before="65" w:line="182" w:lineRule="auto"/>
              <w:ind w:left="350"/>
              <w:rPr>
                <w:color w:val="auto"/>
                <w:highlight w:val="none"/>
              </w:rPr>
            </w:pPr>
            <w:r>
              <w:rPr>
                <w:color w:val="auto"/>
                <w:spacing w:val="-4"/>
                <w:highlight w:val="none"/>
              </w:rPr>
              <w:t>5.2</w:t>
            </w:r>
          </w:p>
        </w:tc>
        <w:tc>
          <w:tcPr>
            <w:tcW w:w="7915" w:type="dxa"/>
            <w:vAlign w:val="top"/>
          </w:tcPr>
          <w:p w14:paraId="3E1C2669">
            <w:pPr>
              <w:pStyle w:val="17"/>
              <w:spacing w:before="30" w:line="221" w:lineRule="auto"/>
              <w:ind w:left="113"/>
              <w:rPr>
                <w:color w:val="auto"/>
                <w:highlight w:val="none"/>
              </w:rPr>
            </w:pPr>
            <w:r>
              <w:rPr>
                <w:color w:val="auto"/>
                <w:highlight w:val="none"/>
              </w:rPr>
              <w:t>联合体竞标要求如下：无</w:t>
            </w:r>
          </w:p>
        </w:tc>
      </w:tr>
      <w:tr w14:paraId="0BB76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6" w:hRule="atLeast"/>
        </w:trPr>
        <w:tc>
          <w:tcPr>
            <w:tcW w:w="995" w:type="dxa"/>
            <w:vAlign w:val="top"/>
          </w:tcPr>
          <w:p w14:paraId="38B911C9">
            <w:pPr>
              <w:spacing w:line="270" w:lineRule="auto"/>
              <w:rPr>
                <w:rFonts w:ascii="Arial"/>
                <w:color w:val="auto"/>
                <w:sz w:val="21"/>
                <w:highlight w:val="none"/>
              </w:rPr>
            </w:pPr>
          </w:p>
          <w:p w14:paraId="00EFB5ED">
            <w:pPr>
              <w:spacing w:line="270" w:lineRule="auto"/>
              <w:rPr>
                <w:rFonts w:ascii="Arial"/>
                <w:color w:val="auto"/>
                <w:sz w:val="21"/>
                <w:highlight w:val="none"/>
              </w:rPr>
            </w:pPr>
          </w:p>
          <w:p w14:paraId="7AEAEAAB">
            <w:pPr>
              <w:spacing w:line="271" w:lineRule="auto"/>
              <w:rPr>
                <w:rFonts w:ascii="Arial"/>
                <w:color w:val="auto"/>
                <w:sz w:val="21"/>
                <w:highlight w:val="none"/>
              </w:rPr>
            </w:pPr>
          </w:p>
          <w:p w14:paraId="6C112471">
            <w:pPr>
              <w:pStyle w:val="17"/>
              <w:spacing w:before="68" w:line="182" w:lineRule="auto"/>
              <w:ind w:left="348"/>
              <w:rPr>
                <w:color w:val="auto"/>
                <w:highlight w:val="none"/>
              </w:rPr>
            </w:pPr>
            <w:r>
              <w:rPr>
                <w:color w:val="auto"/>
                <w:spacing w:val="-2"/>
                <w:highlight w:val="none"/>
              </w:rPr>
              <w:t>6.2</w:t>
            </w:r>
          </w:p>
        </w:tc>
        <w:tc>
          <w:tcPr>
            <w:tcW w:w="7915" w:type="dxa"/>
            <w:vAlign w:val="top"/>
          </w:tcPr>
          <w:p w14:paraId="163C5626">
            <w:pPr>
              <w:pStyle w:val="17"/>
              <w:spacing w:before="30" w:line="317" w:lineRule="auto"/>
              <w:ind w:left="114" w:right="6468" w:firstLine="6"/>
              <w:rPr>
                <w:color w:val="auto"/>
                <w:highlight w:val="none"/>
              </w:rPr>
            </w:pPr>
            <w:r>
              <w:rPr>
                <w:rFonts w:hint="eastAsia"/>
                <w:color w:val="auto"/>
                <w:spacing w:val="-2"/>
                <w:highlight w:val="none"/>
                <w:lang w:eastAsia="zh-CN"/>
              </w:rPr>
              <w:t>☑</w:t>
            </w:r>
            <w:r>
              <w:rPr>
                <w:color w:val="auto"/>
                <w:spacing w:val="-7"/>
                <w:highlight w:val="none"/>
              </w:rPr>
              <w:t>不允许分包</w:t>
            </w:r>
            <w:r>
              <w:rPr>
                <w:color w:val="auto"/>
                <w:spacing w:val="2"/>
                <w:highlight w:val="none"/>
              </w:rPr>
              <w:t xml:space="preserve">  </w:t>
            </w:r>
            <w:r>
              <w:rPr>
                <w:rFonts w:hint="eastAsia"/>
                <w:color w:val="auto"/>
                <w:spacing w:val="-2"/>
                <w:highlight w:val="none"/>
                <w:lang w:eastAsia="zh-CN"/>
              </w:rPr>
              <w:t>□</w:t>
            </w:r>
            <w:r>
              <w:rPr>
                <w:color w:val="auto"/>
                <w:spacing w:val="-2"/>
                <w:highlight w:val="none"/>
              </w:rPr>
              <w:t>允许分包</w:t>
            </w:r>
            <w:r>
              <w:rPr>
                <w:color w:val="auto"/>
                <w:highlight w:val="none"/>
              </w:rPr>
              <w:t xml:space="preserve">   </w:t>
            </w:r>
            <w:r>
              <w:rPr>
                <w:color w:val="auto"/>
                <w:spacing w:val="-6"/>
                <w:highlight w:val="none"/>
              </w:rPr>
              <w:t>分包内容：</w:t>
            </w:r>
            <w:r>
              <w:rPr>
                <w:color w:val="auto"/>
                <w:spacing w:val="-6"/>
                <w:highlight w:val="none"/>
                <w:u w:val="single" w:color="auto"/>
              </w:rPr>
              <w:t>/</w:t>
            </w:r>
            <w:r>
              <w:rPr>
                <w:color w:val="auto"/>
                <w:spacing w:val="-6"/>
                <w:highlight w:val="none"/>
              </w:rPr>
              <w:t>。</w:t>
            </w:r>
          </w:p>
          <w:p w14:paraId="4DF38E1F">
            <w:pPr>
              <w:pStyle w:val="17"/>
              <w:spacing w:before="29" w:line="221" w:lineRule="auto"/>
              <w:ind w:left="114"/>
              <w:rPr>
                <w:color w:val="auto"/>
                <w:highlight w:val="none"/>
              </w:rPr>
            </w:pPr>
            <w:r>
              <w:rPr>
                <w:color w:val="auto"/>
                <w:spacing w:val="-1"/>
                <w:highlight w:val="none"/>
              </w:rPr>
              <w:t>分包金额或者比例：</w:t>
            </w:r>
            <w:r>
              <w:rPr>
                <w:color w:val="auto"/>
                <w:spacing w:val="-1"/>
                <w:highlight w:val="none"/>
                <w:u w:val="single" w:color="auto"/>
              </w:rPr>
              <w:t>/</w:t>
            </w:r>
            <w:r>
              <w:rPr>
                <w:color w:val="auto"/>
                <w:spacing w:val="-1"/>
                <w:highlight w:val="none"/>
              </w:rPr>
              <w:t>。</w:t>
            </w:r>
          </w:p>
          <w:p w14:paraId="0DA5FB0F">
            <w:pPr>
              <w:pStyle w:val="17"/>
              <w:spacing w:before="156" w:line="220" w:lineRule="auto"/>
              <w:ind w:left="114"/>
              <w:rPr>
                <w:color w:val="auto"/>
                <w:highlight w:val="none"/>
              </w:rPr>
            </w:pPr>
            <w:r>
              <w:rPr>
                <w:color w:val="auto"/>
                <w:spacing w:val="-1"/>
                <w:highlight w:val="none"/>
              </w:rPr>
              <w:t>分包供应商必须具备的资质：</w:t>
            </w:r>
            <w:r>
              <w:rPr>
                <w:color w:val="auto"/>
                <w:spacing w:val="-1"/>
                <w:highlight w:val="none"/>
                <w:u w:val="single" w:color="auto"/>
              </w:rPr>
              <w:t>/</w:t>
            </w:r>
            <w:r>
              <w:rPr>
                <w:color w:val="auto"/>
                <w:spacing w:val="-1"/>
                <w:highlight w:val="none"/>
              </w:rPr>
              <w:t>。</w:t>
            </w:r>
          </w:p>
        </w:tc>
      </w:tr>
      <w:tr w14:paraId="1EF78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4" w:hRule="atLeast"/>
        </w:trPr>
        <w:tc>
          <w:tcPr>
            <w:tcW w:w="995" w:type="dxa"/>
            <w:vAlign w:val="top"/>
          </w:tcPr>
          <w:p w14:paraId="6957B6DD">
            <w:pPr>
              <w:spacing w:line="246" w:lineRule="auto"/>
              <w:rPr>
                <w:rFonts w:ascii="Arial"/>
                <w:color w:val="auto"/>
                <w:sz w:val="21"/>
                <w:highlight w:val="none"/>
              </w:rPr>
            </w:pPr>
          </w:p>
          <w:p w14:paraId="16B5186B">
            <w:pPr>
              <w:spacing w:line="246" w:lineRule="auto"/>
              <w:rPr>
                <w:rFonts w:ascii="Arial"/>
                <w:color w:val="auto"/>
                <w:sz w:val="21"/>
                <w:highlight w:val="none"/>
              </w:rPr>
            </w:pPr>
          </w:p>
          <w:p w14:paraId="26D57659">
            <w:pPr>
              <w:spacing w:line="246" w:lineRule="auto"/>
              <w:rPr>
                <w:rFonts w:ascii="Arial"/>
                <w:color w:val="auto"/>
                <w:sz w:val="21"/>
                <w:highlight w:val="none"/>
              </w:rPr>
            </w:pPr>
          </w:p>
          <w:p w14:paraId="3BE0B906">
            <w:pPr>
              <w:spacing w:line="246" w:lineRule="auto"/>
              <w:rPr>
                <w:rFonts w:ascii="Arial"/>
                <w:color w:val="auto"/>
                <w:sz w:val="21"/>
                <w:highlight w:val="none"/>
              </w:rPr>
            </w:pPr>
          </w:p>
          <w:p w14:paraId="7E1EF88F">
            <w:pPr>
              <w:spacing w:line="246" w:lineRule="auto"/>
              <w:rPr>
                <w:rFonts w:ascii="Arial"/>
                <w:color w:val="auto"/>
                <w:sz w:val="21"/>
                <w:highlight w:val="none"/>
              </w:rPr>
            </w:pPr>
          </w:p>
          <w:p w14:paraId="0002C4C3">
            <w:pPr>
              <w:spacing w:line="246" w:lineRule="auto"/>
              <w:rPr>
                <w:rFonts w:ascii="Arial"/>
                <w:color w:val="auto"/>
                <w:sz w:val="21"/>
                <w:highlight w:val="none"/>
              </w:rPr>
            </w:pPr>
          </w:p>
          <w:p w14:paraId="109B69B7">
            <w:pPr>
              <w:spacing w:line="246" w:lineRule="auto"/>
              <w:rPr>
                <w:rFonts w:ascii="Arial"/>
                <w:color w:val="auto"/>
                <w:sz w:val="21"/>
                <w:highlight w:val="none"/>
              </w:rPr>
            </w:pPr>
          </w:p>
          <w:p w14:paraId="04902EA3">
            <w:pPr>
              <w:spacing w:line="246" w:lineRule="auto"/>
              <w:rPr>
                <w:rFonts w:ascii="Arial"/>
                <w:color w:val="auto"/>
                <w:sz w:val="21"/>
                <w:highlight w:val="none"/>
              </w:rPr>
            </w:pPr>
          </w:p>
          <w:p w14:paraId="79D8C57C">
            <w:pPr>
              <w:spacing w:line="247" w:lineRule="auto"/>
              <w:rPr>
                <w:rFonts w:ascii="Arial"/>
                <w:color w:val="auto"/>
                <w:sz w:val="21"/>
                <w:highlight w:val="none"/>
              </w:rPr>
            </w:pPr>
          </w:p>
          <w:p w14:paraId="7EB6890A">
            <w:pPr>
              <w:spacing w:line="247" w:lineRule="auto"/>
              <w:rPr>
                <w:rFonts w:ascii="Arial"/>
                <w:color w:val="auto"/>
                <w:sz w:val="21"/>
                <w:highlight w:val="none"/>
              </w:rPr>
            </w:pPr>
          </w:p>
          <w:p w14:paraId="4358CDB2">
            <w:pPr>
              <w:spacing w:line="247" w:lineRule="auto"/>
              <w:rPr>
                <w:rFonts w:ascii="Arial"/>
                <w:color w:val="auto"/>
                <w:sz w:val="21"/>
                <w:highlight w:val="none"/>
              </w:rPr>
            </w:pPr>
          </w:p>
          <w:p w14:paraId="0CF01714">
            <w:pPr>
              <w:spacing w:line="247" w:lineRule="auto"/>
              <w:rPr>
                <w:rFonts w:ascii="Arial"/>
                <w:color w:val="auto"/>
                <w:sz w:val="21"/>
                <w:highlight w:val="none"/>
              </w:rPr>
            </w:pPr>
          </w:p>
          <w:p w14:paraId="2C716017">
            <w:pPr>
              <w:spacing w:line="247" w:lineRule="auto"/>
              <w:rPr>
                <w:rFonts w:ascii="Arial"/>
                <w:color w:val="auto"/>
                <w:sz w:val="21"/>
                <w:highlight w:val="none"/>
              </w:rPr>
            </w:pPr>
          </w:p>
          <w:p w14:paraId="212A6D9C">
            <w:pPr>
              <w:spacing w:line="247" w:lineRule="auto"/>
              <w:rPr>
                <w:rFonts w:ascii="Arial"/>
                <w:color w:val="auto"/>
                <w:sz w:val="21"/>
                <w:highlight w:val="none"/>
              </w:rPr>
            </w:pPr>
          </w:p>
          <w:p w14:paraId="51FE2476">
            <w:pPr>
              <w:pStyle w:val="17"/>
              <w:spacing w:before="68" w:line="183" w:lineRule="auto"/>
              <w:ind w:left="203"/>
              <w:rPr>
                <w:color w:val="auto"/>
                <w:highlight w:val="none"/>
              </w:rPr>
            </w:pPr>
            <w:r>
              <w:rPr>
                <w:color w:val="auto"/>
                <w:spacing w:val="-4"/>
                <w:highlight w:val="none"/>
              </w:rPr>
              <w:t>12.1.1</w:t>
            </w:r>
          </w:p>
        </w:tc>
        <w:tc>
          <w:tcPr>
            <w:tcW w:w="7915" w:type="dxa"/>
            <w:vAlign w:val="top"/>
          </w:tcPr>
          <w:p w14:paraId="2717EDF3">
            <w:pPr>
              <w:pStyle w:val="17"/>
              <w:spacing w:before="33" w:line="221" w:lineRule="auto"/>
              <w:ind w:left="121"/>
              <w:rPr>
                <w:color w:val="auto"/>
                <w:highlight w:val="none"/>
              </w:rPr>
            </w:pPr>
            <w:r>
              <w:rPr>
                <w:b/>
                <w:bCs/>
                <w:color w:val="auto"/>
                <w:spacing w:val="-4"/>
                <w:highlight w:val="none"/>
              </w:rPr>
              <w:t>资格证明文件</w:t>
            </w:r>
          </w:p>
          <w:p w14:paraId="08B4AF5F">
            <w:pPr>
              <w:pStyle w:val="17"/>
              <w:spacing w:before="157" w:line="345" w:lineRule="auto"/>
              <w:ind w:left="116" w:right="105" w:firstLine="11"/>
              <w:rPr>
                <w:color w:val="auto"/>
                <w:highlight w:val="none"/>
              </w:rPr>
            </w:pPr>
            <w:r>
              <w:rPr>
                <w:color w:val="auto"/>
                <w:spacing w:val="-1"/>
                <w:highlight w:val="none"/>
              </w:rPr>
              <w:t>1.供应商为法人或者其他组织的提供其营业执照等证明文件复印件</w:t>
            </w:r>
            <w:r>
              <w:rPr>
                <w:color w:val="auto"/>
                <w:spacing w:val="-36"/>
                <w:highlight w:val="none"/>
              </w:rPr>
              <w:t>；（</w:t>
            </w:r>
            <w:r>
              <w:rPr>
                <w:b/>
                <w:bCs/>
                <w:color w:val="auto"/>
                <w:spacing w:val="-1"/>
                <w:highlight w:val="none"/>
              </w:rPr>
              <w:t>必须提供，否</w:t>
            </w:r>
            <w:r>
              <w:rPr>
                <w:color w:val="auto"/>
                <w:highlight w:val="none"/>
              </w:rPr>
              <w:t xml:space="preserve"> </w:t>
            </w:r>
            <w:r>
              <w:rPr>
                <w:b/>
                <w:bCs/>
                <w:color w:val="auto"/>
                <w:spacing w:val="-3"/>
                <w:highlight w:val="none"/>
              </w:rPr>
              <w:t>则响应文件按无效处理</w:t>
            </w:r>
            <w:r>
              <w:rPr>
                <w:color w:val="auto"/>
                <w:spacing w:val="-3"/>
                <w:highlight w:val="none"/>
              </w:rPr>
              <w:t>）</w:t>
            </w:r>
          </w:p>
          <w:p w14:paraId="6D59CF4B">
            <w:pPr>
              <w:pStyle w:val="17"/>
              <w:spacing w:before="32" w:line="352" w:lineRule="auto"/>
              <w:ind w:left="113" w:right="59"/>
              <w:jc w:val="both"/>
              <w:rPr>
                <w:color w:val="auto"/>
                <w:highlight w:val="none"/>
              </w:rPr>
            </w:pPr>
            <w:r>
              <w:rPr>
                <w:color w:val="auto"/>
                <w:spacing w:val="-1"/>
                <w:highlight w:val="none"/>
              </w:rPr>
              <w:t>2.供应商依法缴纳税收的相关材料（</w:t>
            </w:r>
            <w:r>
              <w:rPr>
                <w:color w:val="auto"/>
                <w:spacing w:val="-1"/>
                <w:highlight w:val="none"/>
                <w:u w:val="single" w:color="auto"/>
              </w:rPr>
              <w:t>202</w:t>
            </w:r>
            <w:r>
              <w:rPr>
                <w:rFonts w:hint="eastAsia"/>
                <w:color w:val="auto"/>
                <w:spacing w:val="-1"/>
                <w:highlight w:val="none"/>
                <w:u w:val="single" w:color="auto"/>
                <w:lang w:val="en-US" w:eastAsia="zh-CN"/>
              </w:rPr>
              <w:t>5</w:t>
            </w:r>
            <w:r>
              <w:rPr>
                <w:color w:val="auto"/>
                <w:spacing w:val="-2"/>
                <w:highlight w:val="none"/>
              </w:rPr>
              <w:t>年</w:t>
            </w:r>
            <w:r>
              <w:rPr>
                <w:rFonts w:hint="eastAsia"/>
                <w:color w:val="auto"/>
                <w:spacing w:val="-43"/>
                <w:highlight w:val="none"/>
                <w:u w:val="single" w:color="auto"/>
                <w:lang w:val="en-US" w:eastAsia="zh-CN"/>
              </w:rPr>
              <w:t xml:space="preserve">12 </w:t>
            </w:r>
            <w:r>
              <w:rPr>
                <w:color w:val="auto"/>
                <w:spacing w:val="-2"/>
                <w:highlight w:val="none"/>
              </w:rPr>
              <w:t>月至</w:t>
            </w:r>
            <w:r>
              <w:rPr>
                <w:color w:val="auto"/>
                <w:spacing w:val="-2"/>
                <w:highlight w:val="none"/>
                <w:u w:val="single" w:color="auto"/>
              </w:rPr>
              <w:t>响应文件提交截止时间</w:t>
            </w:r>
            <w:r>
              <w:rPr>
                <w:rFonts w:hint="eastAsia"/>
                <w:color w:val="auto"/>
                <w:spacing w:val="-2"/>
                <w:highlight w:val="none"/>
                <w:u w:val="single" w:color="auto"/>
                <w:lang w:eastAsia="zh-CN"/>
              </w:rPr>
              <w:t>前</w:t>
            </w:r>
            <w:r>
              <w:rPr>
                <w:rFonts w:hint="eastAsia"/>
                <w:color w:val="auto"/>
                <w:spacing w:val="-1"/>
                <w:highlight w:val="none"/>
                <w:u w:val="single" w:color="auto"/>
                <w:lang w:eastAsia="zh-CN"/>
              </w:rPr>
              <w:t>任意</w:t>
            </w:r>
            <w:r>
              <w:rPr>
                <w:rFonts w:hint="eastAsia"/>
                <w:color w:val="auto"/>
                <w:spacing w:val="-40"/>
                <w:highlight w:val="none"/>
                <w:lang w:val="en-US" w:eastAsia="zh-CN"/>
              </w:rPr>
              <w:t>1</w:t>
            </w:r>
            <w:r>
              <w:rPr>
                <w:color w:val="auto"/>
                <w:spacing w:val="-44"/>
                <w:highlight w:val="none"/>
                <w:u w:val="single" w:color="auto"/>
              </w:rPr>
              <w:t xml:space="preserve"> </w:t>
            </w:r>
            <w:r>
              <w:rPr>
                <w:color w:val="auto"/>
                <w:spacing w:val="-2"/>
                <w:highlight w:val="none"/>
              </w:rPr>
              <w:t>个</w:t>
            </w:r>
            <w:r>
              <w:rPr>
                <w:color w:val="auto"/>
                <w:highlight w:val="none"/>
              </w:rPr>
              <w:t xml:space="preserve">  </w:t>
            </w:r>
            <w:r>
              <w:rPr>
                <w:color w:val="auto"/>
                <w:spacing w:val="-1"/>
                <w:highlight w:val="none"/>
              </w:rPr>
              <w:t>月的依法缴纳税收的凭据复印件；依法免税的，必须提供相应文件证明其依法免税。</w:t>
            </w:r>
            <w:r>
              <w:rPr>
                <w:color w:val="auto"/>
                <w:spacing w:val="2"/>
                <w:highlight w:val="none"/>
              </w:rPr>
              <w:t xml:space="preserve"> </w:t>
            </w:r>
            <w:r>
              <w:rPr>
                <w:color w:val="auto"/>
                <w:spacing w:val="-2"/>
                <w:highlight w:val="none"/>
              </w:rPr>
              <w:t>从成立之日起到响应文件提交截止时间止不足要求月数的，只需提供从成立</w:t>
            </w:r>
            <w:r>
              <w:rPr>
                <w:color w:val="auto"/>
                <w:spacing w:val="-3"/>
                <w:highlight w:val="none"/>
              </w:rPr>
              <w:t>之日起的</w:t>
            </w:r>
            <w:r>
              <w:rPr>
                <w:color w:val="auto"/>
                <w:highlight w:val="none"/>
              </w:rPr>
              <w:t xml:space="preserve"> 依法缴纳税收相应证明文件</w:t>
            </w:r>
            <w:r>
              <w:rPr>
                <w:color w:val="auto"/>
                <w:spacing w:val="-9"/>
                <w:highlight w:val="none"/>
              </w:rPr>
              <w:t>）；（</w:t>
            </w:r>
            <w:r>
              <w:rPr>
                <w:b/>
                <w:bCs/>
                <w:color w:val="auto"/>
                <w:highlight w:val="none"/>
              </w:rPr>
              <w:t>必须提供，否则响应文件按无效处理</w:t>
            </w:r>
            <w:r>
              <w:rPr>
                <w:color w:val="auto"/>
                <w:highlight w:val="none"/>
              </w:rPr>
              <w:t>）</w:t>
            </w:r>
          </w:p>
          <w:p w14:paraId="79733451">
            <w:pPr>
              <w:pStyle w:val="17"/>
              <w:spacing w:before="33" w:line="356" w:lineRule="auto"/>
              <w:ind w:left="113" w:right="102" w:firstLine="3"/>
              <w:jc w:val="both"/>
              <w:rPr>
                <w:color w:val="auto"/>
                <w:highlight w:val="none"/>
              </w:rPr>
            </w:pPr>
            <w:r>
              <w:rPr>
                <w:color w:val="auto"/>
                <w:spacing w:val="-1"/>
                <w:highlight w:val="none"/>
              </w:rPr>
              <w:t>3.供应商依法缴纳社会保障资金的相关材料[202</w:t>
            </w:r>
            <w:r>
              <w:rPr>
                <w:rFonts w:hint="eastAsia"/>
                <w:color w:val="auto"/>
                <w:spacing w:val="-1"/>
                <w:highlight w:val="none"/>
                <w:lang w:val="en-US" w:eastAsia="zh-CN"/>
              </w:rPr>
              <w:t>5</w:t>
            </w:r>
            <w:r>
              <w:rPr>
                <w:color w:val="auto"/>
                <w:spacing w:val="-1"/>
                <w:highlight w:val="none"/>
              </w:rPr>
              <w:t>年</w:t>
            </w:r>
            <w:r>
              <w:rPr>
                <w:rFonts w:hint="eastAsia"/>
                <w:color w:val="auto"/>
                <w:spacing w:val="-1"/>
                <w:highlight w:val="none"/>
                <w:lang w:val="en-US" w:eastAsia="zh-CN"/>
              </w:rPr>
              <w:t xml:space="preserve">12 </w:t>
            </w:r>
            <w:r>
              <w:rPr>
                <w:color w:val="auto"/>
                <w:spacing w:val="-1"/>
                <w:highlight w:val="none"/>
              </w:rPr>
              <w:t>月至响应文件提交截止时间</w:t>
            </w:r>
            <w:r>
              <w:rPr>
                <w:rFonts w:hint="eastAsia"/>
                <w:color w:val="auto"/>
                <w:spacing w:val="-1"/>
                <w:highlight w:val="none"/>
                <w:lang w:eastAsia="zh-CN"/>
              </w:rPr>
              <w:t>前任意</w:t>
            </w:r>
            <w:r>
              <w:rPr>
                <w:rFonts w:hint="eastAsia"/>
                <w:color w:val="auto"/>
                <w:spacing w:val="-1"/>
                <w:highlight w:val="none"/>
                <w:lang w:val="en-US" w:eastAsia="zh-CN"/>
              </w:rPr>
              <w:t>1</w:t>
            </w:r>
            <w:r>
              <w:rPr>
                <w:color w:val="auto"/>
                <w:spacing w:val="-1"/>
                <w:highlight w:val="none"/>
              </w:rPr>
              <w:t xml:space="preserve"> 个</w:t>
            </w:r>
            <w:r>
              <w:rPr>
                <w:color w:val="auto"/>
                <w:spacing w:val="-3"/>
                <w:highlight w:val="none"/>
              </w:rPr>
              <w:t>的依法缴纳社会保障资金的缴费凭证（专用收据或者社会保险缴纳清单）复</w:t>
            </w:r>
            <w:r>
              <w:rPr>
                <w:color w:val="auto"/>
                <w:spacing w:val="-2"/>
                <w:highlight w:val="none"/>
              </w:rPr>
              <w:t>印件；依法不需要缴纳社会保障资金的，必须提供相应文件证明不需要</w:t>
            </w:r>
            <w:r>
              <w:rPr>
                <w:color w:val="auto"/>
                <w:spacing w:val="-3"/>
                <w:highlight w:val="none"/>
              </w:rPr>
              <w:t>缴纳社会保障</w:t>
            </w:r>
            <w:r>
              <w:rPr>
                <w:color w:val="auto"/>
                <w:spacing w:val="-2"/>
                <w:highlight w:val="none"/>
              </w:rPr>
              <w:t>资金。从成立之日起到响应文件提交截止时间止不足要求月数的只需提供从成</w:t>
            </w:r>
            <w:r>
              <w:rPr>
                <w:color w:val="auto"/>
                <w:spacing w:val="-3"/>
                <w:highlight w:val="none"/>
              </w:rPr>
              <w:t>立之日</w:t>
            </w:r>
            <w:r>
              <w:rPr>
                <w:color w:val="auto"/>
                <w:highlight w:val="none"/>
              </w:rPr>
              <w:t xml:space="preserve"> 起的依法缴纳社会保障资金的相应证明文件]</w:t>
            </w:r>
            <w:r>
              <w:rPr>
                <w:color w:val="auto"/>
                <w:spacing w:val="-14"/>
                <w:highlight w:val="none"/>
              </w:rPr>
              <w:t>；（</w:t>
            </w:r>
            <w:r>
              <w:rPr>
                <w:b/>
                <w:bCs/>
                <w:color w:val="auto"/>
                <w:highlight w:val="none"/>
              </w:rPr>
              <w:t>必须提供，否则响应文件按无效处</w:t>
            </w:r>
            <w:r>
              <w:rPr>
                <w:b/>
                <w:bCs/>
                <w:color w:val="auto"/>
                <w:spacing w:val="-6"/>
                <w:highlight w:val="none"/>
              </w:rPr>
              <w:t>理</w:t>
            </w:r>
            <w:r>
              <w:rPr>
                <w:color w:val="auto"/>
                <w:spacing w:val="-6"/>
                <w:highlight w:val="none"/>
              </w:rPr>
              <w:t>）</w:t>
            </w:r>
          </w:p>
          <w:p w14:paraId="55D1FA9B">
            <w:pPr>
              <w:pStyle w:val="17"/>
              <w:spacing w:before="21" w:line="353" w:lineRule="auto"/>
              <w:ind w:left="113" w:right="75" w:hanging="2"/>
              <w:jc w:val="both"/>
              <w:rPr>
                <w:rFonts w:hint="eastAsia"/>
                <w:color w:val="auto"/>
                <w:highlight w:val="none"/>
              </w:rPr>
            </w:pPr>
            <w:r>
              <w:rPr>
                <w:color w:val="auto"/>
                <w:highlight w:val="none"/>
              </w:rPr>
              <w:t>4.</w:t>
            </w:r>
            <w:r>
              <w:rPr>
                <w:rFonts w:hint="eastAsia"/>
                <w:color w:val="auto"/>
                <w:highlight w:val="none"/>
              </w:rPr>
              <w:t>供应商</w:t>
            </w:r>
            <w:r>
              <w:rPr>
                <w:rFonts w:hint="eastAsia"/>
                <w:color w:val="auto"/>
                <w:highlight w:val="none"/>
                <w:lang w:val="en-US" w:eastAsia="zh-CN"/>
              </w:rPr>
              <w:t>2025年财务报表或2024年审计报告</w:t>
            </w:r>
            <w:r>
              <w:rPr>
                <w:rFonts w:hint="eastAsia"/>
                <w:color w:val="auto"/>
                <w:highlight w:val="none"/>
              </w:rPr>
              <w:t>（对于从取得营业执照时间起到提交响应文件截止时间为止不足要求年数的，只需提交取得营业执照年份至所要求最近年份的财务报表或审计报告。供应商是其他组织和自然人的，提供财务报告或者银行出具的资信证明）；（必须提供，否则作无效响应处理）</w:t>
            </w:r>
          </w:p>
          <w:p w14:paraId="4B4B9A6A">
            <w:pPr>
              <w:pStyle w:val="17"/>
              <w:spacing w:before="21" w:line="353" w:lineRule="auto"/>
              <w:ind w:left="113" w:right="75" w:hanging="2"/>
              <w:jc w:val="both"/>
              <w:rPr>
                <w:color w:val="auto"/>
                <w:highlight w:val="none"/>
              </w:rPr>
            </w:pPr>
          </w:p>
        </w:tc>
      </w:tr>
    </w:tbl>
    <w:p w14:paraId="18B03BF0">
      <w:pPr>
        <w:rPr>
          <w:rFonts w:ascii="Arial"/>
          <w:color w:val="auto"/>
          <w:sz w:val="21"/>
          <w:highlight w:val="none"/>
        </w:rPr>
      </w:pPr>
    </w:p>
    <w:p w14:paraId="4B533F15">
      <w:pPr>
        <w:rPr>
          <w:rFonts w:ascii="Arial" w:hAnsi="Arial" w:eastAsia="Arial" w:cs="Arial"/>
          <w:color w:val="auto"/>
          <w:sz w:val="21"/>
          <w:szCs w:val="21"/>
          <w:highlight w:val="none"/>
        </w:rPr>
        <w:sectPr>
          <w:footerReference r:id="rId7" w:type="default"/>
          <w:pgSz w:w="11900" w:h="16832"/>
          <w:pgMar w:top="1430" w:right="1490" w:bottom="1220" w:left="1493" w:header="0" w:footer="1060" w:gutter="0"/>
          <w:pgNumType w:fmt="decimal"/>
          <w:cols w:space="720" w:num="1"/>
        </w:sectPr>
      </w:pPr>
    </w:p>
    <w:p w14:paraId="23323320">
      <w:pPr>
        <w:spacing w:line="97" w:lineRule="auto"/>
        <w:rPr>
          <w:rFonts w:ascii="Arial"/>
          <w:color w:val="auto"/>
          <w:sz w:val="2"/>
          <w:highlight w:val="none"/>
        </w:rPr>
      </w:pPr>
    </w:p>
    <w:tbl>
      <w:tblPr>
        <w:tblStyle w:val="16"/>
        <w:tblW w:w="8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7915"/>
      </w:tblGrid>
      <w:tr w14:paraId="66C63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2" w:hRule="atLeast"/>
        </w:trPr>
        <w:tc>
          <w:tcPr>
            <w:tcW w:w="995" w:type="dxa"/>
            <w:vAlign w:val="top"/>
          </w:tcPr>
          <w:p w14:paraId="417A9A85">
            <w:pPr>
              <w:rPr>
                <w:rFonts w:ascii="Arial"/>
                <w:color w:val="auto"/>
                <w:sz w:val="21"/>
                <w:highlight w:val="none"/>
              </w:rPr>
            </w:pPr>
          </w:p>
        </w:tc>
        <w:tc>
          <w:tcPr>
            <w:tcW w:w="7915" w:type="dxa"/>
            <w:vAlign w:val="top"/>
          </w:tcPr>
          <w:p w14:paraId="1A27ADA5">
            <w:pPr>
              <w:pStyle w:val="17"/>
              <w:spacing w:before="157" w:line="348" w:lineRule="auto"/>
              <w:ind w:left="116" w:right="104"/>
              <w:rPr>
                <w:color w:val="auto"/>
                <w:highlight w:val="none"/>
              </w:rPr>
            </w:pPr>
            <w:r>
              <w:rPr>
                <w:color w:val="auto"/>
                <w:spacing w:val="-1"/>
                <w:highlight w:val="none"/>
              </w:rPr>
              <w:t>5.供应商直接控股、管理关系信息表（格式后附</w:t>
            </w:r>
            <w:r>
              <w:rPr>
                <w:color w:val="auto"/>
                <w:spacing w:val="-26"/>
                <w:highlight w:val="none"/>
              </w:rPr>
              <w:t>）；（</w:t>
            </w:r>
            <w:r>
              <w:rPr>
                <w:b/>
                <w:bCs/>
                <w:color w:val="auto"/>
                <w:spacing w:val="-1"/>
                <w:highlight w:val="none"/>
              </w:rPr>
              <w:t>必须提供，否则响应文件按无</w:t>
            </w:r>
            <w:r>
              <w:rPr>
                <w:color w:val="auto"/>
                <w:spacing w:val="2"/>
                <w:highlight w:val="none"/>
              </w:rPr>
              <w:t xml:space="preserve"> </w:t>
            </w:r>
            <w:r>
              <w:rPr>
                <w:b/>
                <w:bCs/>
                <w:color w:val="auto"/>
                <w:spacing w:val="-5"/>
                <w:highlight w:val="none"/>
              </w:rPr>
              <w:t>效处理</w:t>
            </w:r>
            <w:r>
              <w:rPr>
                <w:color w:val="auto"/>
                <w:spacing w:val="-5"/>
                <w:highlight w:val="none"/>
              </w:rPr>
              <w:t>）</w:t>
            </w:r>
          </w:p>
          <w:p w14:paraId="4AC77B75">
            <w:pPr>
              <w:pStyle w:val="17"/>
              <w:spacing w:before="27" w:line="220" w:lineRule="auto"/>
              <w:ind w:left="113"/>
              <w:rPr>
                <w:color w:val="auto"/>
                <w:highlight w:val="none"/>
              </w:rPr>
            </w:pPr>
            <w:r>
              <w:rPr>
                <w:color w:val="auto"/>
                <w:highlight w:val="none"/>
              </w:rPr>
              <w:t>6.竞标声明（格式后附</w:t>
            </w:r>
            <w:r>
              <w:rPr>
                <w:color w:val="auto"/>
                <w:spacing w:val="-9"/>
                <w:highlight w:val="none"/>
              </w:rPr>
              <w:t>）；（</w:t>
            </w:r>
            <w:r>
              <w:rPr>
                <w:b/>
                <w:bCs/>
                <w:color w:val="auto"/>
                <w:highlight w:val="none"/>
              </w:rPr>
              <w:t>必须提供，否则响应文件按无效处理</w:t>
            </w:r>
            <w:r>
              <w:rPr>
                <w:color w:val="auto"/>
                <w:highlight w:val="none"/>
              </w:rPr>
              <w:t>）</w:t>
            </w:r>
          </w:p>
          <w:p w14:paraId="776D2620">
            <w:pPr>
              <w:pStyle w:val="17"/>
              <w:spacing w:before="25" w:line="220" w:lineRule="auto"/>
              <w:ind w:left="113"/>
              <w:rPr>
                <w:color w:val="auto"/>
                <w:highlight w:val="none"/>
              </w:rPr>
            </w:pPr>
            <w:r>
              <w:rPr>
                <w:rFonts w:hint="eastAsia"/>
                <w:color w:val="auto"/>
                <w:spacing w:val="1"/>
                <w:highlight w:val="none"/>
                <w:lang w:val="en-US" w:eastAsia="zh-CN"/>
              </w:rPr>
              <w:t>7</w:t>
            </w:r>
            <w:r>
              <w:rPr>
                <w:color w:val="auto"/>
                <w:spacing w:val="1"/>
                <w:highlight w:val="none"/>
              </w:rPr>
              <w:t>.供应商有效的企业资质证书</w:t>
            </w:r>
            <w:r>
              <w:rPr>
                <w:color w:val="auto"/>
                <w:spacing w:val="-29"/>
                <w:highlight w:val="none"/>
              </w:rPr>
              <w:t>；（</w:t>
            </w:r>
            <w:r>
              <w:rPr>
                <w:b/>
                <w:bCs/>
                <w:color w:val="auto"/>
                <w:spacing w:val="1"/>
                <w:highlight w:val="none"/>
              </w:rPr>
              <w:t>必须提供，否则响应文件按无效处理</w:t>
            </w:r>
            <w:r>
              <w:rPr>
                <w:color w:val="auto"/>
                <w:spacing w:val="1"/>
                <w:highlight w:val="none"/>
              </w:rPr>
              <w:t>）</w:t>
            </w:r>
          </w:p>
          <w:p w14:paraId="0A03748C">
            <w:pPr>
              <w:pStyle w:val="17"/>
              <w:spacing w:before="160" w:line="220" w:lineRule="auto"/>
              <w:ind w:left="113"/>
              <w:rPr>
                <w:color w:val="auto"/>
                <w:highlight w:val="none"/>
              </w:rPr>
            </w:pPr>
            <w:r>
              <w:rPr>
                <w:rFonts w:hint="eastAsia"/>
                <w:color w:val="auto"/>
                <w:highlight w:val="none"/>
                <w:lang w:val="en-US" w:eastAsia="zh-CN"/>
              </w:rPr>
              <w:t>8</w:t>
            </w:r>
            <w:r>
              <w:rPr>
                <w:color w:val="auto"/>
                <w:highlight w:val="none"/>
              </w:rPr>
              <w:t>.供应商有效的安全生产许可证</w:t>
            </w:r>
            <w:r>
              <w:rPr>
                <w:color w:val="auto"/>
                <w:spacing w:val="-14"/>
                <w:highlight w:val="none"/>
              </w:rPr>
              <w:t>；（</w:t>
            </w:r>
            <w:r>
              <w:rPr>
                <w:b/>
                <w:bCs/>
                <w:color w:val="auto"/>
                <w:highlight w:val="none"/>
              </w:rPr>
              <w:t>必须提供，否则响应文件按无效处理</w:t>
            </w:r>
            <w:r>
              <w:rPr>
                <w:color w:val="auto"/>
                <w:highlight w:val="none"/>
              </w:rPr>
              <w:t>）</w:t>
            </w:r>
          </w:p>
          <w:p w14:paraId="6C803A9C">
            <w:pPr>
              <w:pStyle w:val="17"/>
              <w:spacing w:before="160" w:line="220" w:lineRule="auto"/>
              <w:ind w:left="113"/>
              <w:rPr>
                <w:rFonts w:hint="eastAsia"/>
                <w:color w:val="auto"/>
                <w:highlight w:val="none"/>
              </w:rPr>
            </w:pPr>
            <w:r>
              <w:rPr>
                <w:rFonts w:hint="eastAsia"/>
                <w:color w:val="auto"/>
                <w:highlight w:val="none"/>
                <w:lang w:val="en-US" w:eastAsia="zh-CN"/>
              </w:rPr>
              <w:t>9</w:t>
            </w:r>
            <w:r>
              <w:rPr>
                <w:rFonts w:hint="eastAsia"/>
                <w:color w:val="auto"/>
                <w:highlight w:val="none"/>
              </w:rPr>
              <w:t>.拟投入本项目项目经理有效的注册建造师证书复印件</w:t>
            </w:r>
            <w:r>
              <w:rPr>
                <w:color w:val="auto"/>
                <w:spacing w:val="-14"/>
                <w:highlight w:val="none"/>
              </w:rPr>
              <w:t>（</w:t>
            </w:r>
            <w:r>
              <w:rPr>
                <w:b/>
                <w:bCs/>
                <w:color w:val="auto"/>
                <w:highlight w:val="none"/>
              </w:rPr>
              <w:t>必须提供，否则响应文件按无效处理</w:t>
            </w:r>
            <w:r>
              <w:rPr>
                <w:color w:val="auto"/>
                <w:highlight w:val="none"/>
              </w:rPr>
              <w:t>）</w:t>
            </w:r>
            <w:r>
              <w:rPr>
                <w:rFonts w:hint="eastAsia"/>
                <w:color w:val="auto"/>
                <w:highlight w:val="none"/>
              </w:rPr>
              <w:t>；</w:t>
            </w:r>
          </w:p>
          <w:p w14:paraId="096691D7">
            <w:pPr>
              <w:pStyle w:val="17"/>
              <w:spacing w:before="161" w:line="220" w:lineRule="auto"/>
              <w:ind w:left="127"/>
              <w:rPr>
                <w:color w:val="auto"/>
                <w:highlight w:val="none"/>
              </w:rPr>
            </w:pPr>
            <w:r>
              <w:rPr>
                <w:color w:val="auto"/>
                <w:spacing w:val="-1"/>
                <w:highlight w:val="none"/>
              </w:rPr>
              <w:t>1</w:t>
            </w:r>
            <w:r>
              <w:rPr>
                <w:rFonts w:hint="eastAsia"/>
                <w:color w:val="auto"/>
                <w:spacing w:val="-1"/>
                <w:highlight w:val="none"/>
                <w:lang w:val="en-US" w:eastAsia="zh-CN"/>
              </w:rPr>
              <w:t>0</w:t>
            </w:r>
            <w:r>
              <w:rPr>
                <w:color w:val="auto"/>
                <w:spacing w:val="-1"/>
                <w:highlight w:val="none"/>
              </w:rPr>
              <w:t>.除磋商文件规定必须提供以外，供应商认为需要提供的其他证明材料。</w:t>
            </w:r>
          </w:p>
          <w:p w14:paraId="211AC6AF">
            <w:pPr>
              <w:pStyle w:val="17"/>
              <w:spacing w:before="157" w:line="225" w:lineRule="auto"/>
              <w:ind w:left="112"/>
              <w:rPr>
                <w:color w:val="auto"/>
                <w:highlight w:val="none"/>
              </w:rPr>
            </w:pPr>
            <w:r>
              <w:rPr>
                <w:b/>
                <w:bCs/>
                <w:color w:val="auto"/>
                <w:spacing w:val="-16"/>
                <w:highlight w:val="none"/>
              </w:rPr>
              <w:t>注：</w:t>
            </w:r>
          </w:p>
          <w:p w14:paraId="4E5ECF03">
            <w:pPr>
              <w:pStyle w:val="17"/>
              <w:spacing w:before="153" w:line="345" w:lineRule="auto"/>
              <w:ind w:left="122" w:right="126" w:firstLine="417"/>
              <w:rPr>
                <w:color w:val="auto"/>
                <w:highlight w:val="none"/>
              </w:rPr>
            </w:pPr>
            <w:r>
              <w:rPr>
                <w:b/>
                <w:bCs/>
                <w:color w:val="auto"/>
                <w:spacing w:val="-5"/>
                <w:highlight w:val="none"/>
              </w:rPr>
              <w:t>1.以上标明“必须提供”的材料属于复印件的，必须加盖供应</w:t>
            </w:r>
            <w:r>
              <w:rPr>
                <w:b/>
                <w:bCs/>
                <w:color w:val="auto"/>
                <w:spacing w:val="-6"/>
                <w:highlight w:val="none"/>
              </w:rPr>
              <w:t>商电子签章，否则</w:t>
            </w:r>
            <w:r>
              <w:rPr>
                <w:color w:val="auto"/>
                <w:highlight w:val="none"/>
              </w:rPr>
              <w:t xml:space="preserve"> </w:t>
            </w:r>
            <w:r>
              <w:rPr>
                <w:b/>
                <w:bCs/>
                <w:color w:val="auto"/>
                <w:spacing w:val="-4"/>
                <w:highlight w:val="none"/>
              </w:rPr>
              <w:t>响应文件按无效处理。</w:t>
            </w:r>
          </w:p>
          <w:p w14:paraId="2596657F">
            <w:pPr>
              <w:pStyle w:val="17"/>
              <w:spacing w:before="30" w:line="348" w:lineRule="auto"/>
              <w:ind w:left="113" w:right="114" w:firstLine="424"/>
              <w:jc w:val="both"/>
              <w:rPr>
                <w:color w:val="auto"/>
                <w:highlight w:val="none"/>
              </w:rPr>
            </w:pPr>
            <w:r>
              <w:rPr>
                <w:b/>
                <w:bCs/>
                <w:color w:val="auto"/>
                <w:spacing w:val="-3"/>
                <w:highlight w:val="none"/>
              </w:rPr>
              <w:t>2.联合体竞标时，第</w:t>
            </w:r>
            <w:r>
              <w:rPr>
                <w:color w:val="auto"/>
                <w:spacing w:val="-15"/>
                <w:highlight w:val="none"/>
              </w:rPr>
              <w:t xml:space="preserve"> </w:t>
            </w:r>
            <w:r>
              <w:rPr>
                <w:b/>
                <w:bCs/>
                <w:color w:val="auto"/>
                <w:spacing w:val="-3"/>
                <w:highlight w:val="none"/>
              </w:rPr>
              <w:t>1-</w:t>
            </w:r>
            <w:r>
              <w:rPr>
                <w:rFonts w:hint="eastAsia"/>
                <w:b/>
                <w:bCs/>
                <w:color w:val="auto"/>
                <w:spacing w:val="-3"/>
                <w:highlight w:val="none"/>
                <w:lang w:val="en-US" w:eastAsia="zh-CN"/>
              </w:rPr>
              <w:t>9</w:t>
            </w:r>
            <w:r>
              <w:rPr>
                <w:color w:val="auto"/>
                <w:spacing w:val="-43"/>
                <w:highlight w:val="none"/>
              </w:rPr>
              <w:t xml:space="preserve"> </w:t>
            </w:r>
            <w:r>
              <w:rPr>
                <w:b/>
                <w:bCs/>
                <w:color w:val="auto"/>
                <w:spacing w:val="-3"/>
                <w:highlight w:val="none"/>
              </w:rPr>
              <w:t>项资格证明文件联合体各方均必须分别提供，并由联</w:t>
            </w:r>
            <w:r>
              <w:rPr>
                <w:color w:val="auto"/>
                <w:highlight w:val="none"/>
              </w:rPr>
              <w:t xml:space="preserve">  </w:t>
            </w:r>
            <w:r>
              <w:rPr>
                <w:b/>
                <w:bCs/>
                <w:color w:val="auto"/>
                <w:spacing w:val="-5"/>
                <w:highlight w:val="none"/>
              </w:rPr>
              <w:t>合体牵头人加盖电子签章，规定签字处签字（或者电子签名</w:t>
            </w:r>
            <w:r>
              <w:rPr>
                <w:b/>
                <w:bCs/>
                <w:color w:val="auto"/>
                <w:spacing w:val="2"/>
                <w:highlight w:val="none"/>
              </w:rPr>
              <w:t>），</w:t>
            </w:r>
            <w:r>
              <w:rPr>
                <w:b/>
                <w:bCs/>
                <w:color w:val="auto"/>
                <w:spacing w:val="-5"/>
                <w:highlight w:val="none"/>
              </w:rPr>
              <w:t>否则响应文件按无效</w:t>
            </w:r>
            <w:r>
              <w:rPr>
                <w:color w:val="auto"/>
                <w:spacing w:val="1"/>
                <w:highlight w:val="none"/>
              </w:rPr>
              <w:t xml:space="preserve"> </w:t>
            </w:r>
            <w:r>
              <w:rPr>
                <w:b/>
                <w:bCs/>
                <w:color w:val="auto"/>
                <w:spacing w:val="-11"/>
                <w:highlight w:val="none"/>
              </w:rPr>
              <w:t>处理。</w:t>
            </w:r>
          </w:p>
        </w:tc>
      </w:tr>
      <w:tr w14:paraId="37733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995" w:type="dxa"/>
            <w:vAlign w:val="top"/>
          </w:tcPr>
          <w:p w14:paraId="3A91BDBD">
            <w:pPr>
              <w:pStyle w:val="17"/>
              <w:spacing w:before="272" w:line="183" w:lineRule="auto"/>
              <w:ind w:left="203"/>
              <w:rPr>
                <w:color w:val="auto"/>
                <w:highlight w:val="none"/>
              </w:rPr>
            </w:pPr>
            <w:r>
              <w:rPr>
                <w:color w:val="auto"/>
                <w:spacing w:val="-3"/>
                <w:highlight w:val="none"/>
              </w:rPr>
              <w:t>12.1.2</w:t>
            </w:r>
          </w:p>
        </w:tc>
        <w:tc>
          <w:tcPr>
            <w:tcW w:w="7915" w:type="dxa"/>
            <w:vAlign w:val="top"/>
          </w:tcPr>
          <w:p w14:paraId="1EC8C935">
            <w:pPr>
              <w:pStyle w:val="17"/>
              <w:spacing w:before="34" w:line="219" w:lineRule="auto"/>
              <w:ind w:left="110"/>
              <w:rPr>
                <w:color w:val="auto"/>
                <w:highlight w:val="none"/>
              </w:rPr>
            </w:pPr>
            <w:r>
              <w:rPr>
                <w:b/>
                <w:bCs/>
                <w:color w:val="auto"/>
                <w:spacing w:val="-3"/>
                <w:highlight w:val="none"/>
              </w:rPr>
              <w:t>报价文件</w:t>
            </w:r>
          </w:p>
          <w:p w14:paraId="0EA35186">
            <w:pPr>
              <w:pStyle w:val="17"/>
              <w:numPr>
                <w:ilvl w:val="0"/>
                <w:numId w:val="2"/>
              </w:numPr>
              <w:spacing w:before="158" w:line="220" w:lineRule="auto"/>
              <w:ind w:left="127"/>
              <w:rPr>
                <w:color w:val="auto"/>
                <w:spacing w:val="-1"/>
                <w:highlight w:val="none"/>
              </w:rPr>
            </w:pPr>
            <w:r>
              <w:rPr>
                <w:color w:val="auto"/>
                <w:spacing w:val="-1"/>
                <w:highlight w:val="none"/>
              </w:rPr>
              <w:t>竞标函及竞标函附录（格式后附</w:t>
            </w:r>
            <w:r>
              <w:rPr>
                <w:color w:val="auto"/>
                <w:spacing w:val="-4"/>
                <w:highlight w:val="none"/>
              </w:rPr>
              <w:t>）；（</w:t>
            </w:r>
            <w:r>
              <w:rPr>
                <w:b/>
                <w:bCs/>
                <w:color w:val="auto"/>
                <w:spacing w:val="-1"/>
                <w:highlight w:val="none"/>
              </w:rPr>
              <w:t>必须提供，否则响应文件按无效处理</w:t>
            </w:r>
            <w:r>
              <w:rPr>
                <w:color w:val="auto"/>
                <w:spacing w:val="-1"/>
                <w:highlight w:val="none"/>
              </w:rPr>
              <w:t>）</w:t>
            </w:r>
          </w:p>
          <w:p w14:paraId="04AA9C52">
            <w:pPr>
              <w:pStyle w:val="17"/>
              <w:spacing w:before="35" w:line="344" w:lineRule="auto"/>
              <w:ind w:left="115" w:right="1291" w:hanging="1"/>
              <w:rPr>
                <w:color w:val="auto"/>
                <w:highlight w:val="none"/>
              </w:rPr>
            </w:pPr>
            <w:r>
              <w:rPr>
                <w:color w:val="auto"/>
                <w:spacing w:val="-1"/>
                <w:highlight w:val="none"/>
              </w:rPr>
              <w:t>2.竞标报价表（格式后附</w:t>
            </w:r>
            <w:r>
              <w:rPr>
                <w:color w:val="auto"/>
                <w:spacing w:val="-5"/>
                <w:highlight w:val="none"/>
              </w:rPr>
              <w:t>）；（</w:t>
            </w:r>
            <w:r>
              <w:rPr>
                <w:b/>
                <w:bCs/>
                <w:color w:val="auto"/>
                <w:spacing w:val="-1"/>
                <w:highlight w:val="none"/>
              </w:rPr>
              <w:t>必须提供，否则响应文件按无效处理</w:t>
            </w:r>
            <w:r>
              <w:rPr>
                <w:color w:val="auto"/>
                <w:spacing w:val="-1"/>
                <w:highlight w:val="none"/>
              </w:rPr>
              <w:t>）</w:t>
            </w:r>
            <w:r>
              <w:rPr>
                <w:color w:val="auto"/>
                <w:spacing w:val="2"/>
                <w:highlight w:val="none"/>
              </w:rPr>
              <w:t xml:space="preserve"> </w:t>
            </w:r>
            <w:r>
              <w:rPr>
                <w:color w:val="auto"/>
                <w:highlight w:val="none"/>
              </w:rPr>
              <w:t>3.已标价工程量清单</w:t>
            </w:r>
            <w:r>
              <w:rPr>
                <w:color w:val="auto"/>
                <w:spacing w:val="-15"/>
                <w:highlight w:val="none"/>
              </w:rPr>
              <w:t>；（</w:t>
            </w:r>
            <w:r>
              <w:rPr>
                <w:b/>
                <w:bCs/>
                <w:color w:val="auto"/>
                <w:highlight w:val="none"/>
              </w:rPr>
              <w:t>必须提供，否则响应文件按无效</w:t>
            </w:r>
            <w:r>
              <w:rPr>
                <w:b/>
                <w:bCs/>
                <w:color w:val="auto"/>
                <w:spacing w:val="-1"/>
                <w:highlight w:val="none"/>
              </w:rPr>
              <w:t>处理</w:t>
            </w:r>
            <w:r>
              <w:rPr>
                <w:color w:val="auto"/>
                <w:spacing w:val="-1"/>
                <w:highlight w:val="none"/>
              </w:rPr>
              <w:t>）</w:t>
            </w:r>
          </w:p>
          <w:p w14:paraId="462A84BF">
            <w:pPr>
              <w:pStyle w:val="17"/>
              <w:spacing w:before="35" w:line="353" w:lineRule="auto"/>
              <w:ind w:left="111" w:right="103"/>
              <w:jc w:val="both"/>
              <w:rPr>
                <w:color w:val="auto"/>
                <w:highlight w:val="none"/>
              </w:rPr>
            </w:pPr>
            <w:r>
              <w:rPr>
                <w:color w:val="auto"/>
                <w:spacing w:val="-2"/>
                <w:highlight w:val="none"/>
              </w:rPr>
              <w:t>4.供应商为中小微企业或者监狱企业或者残疾人福利性单位的资格证明材料【供应商</w:t>
            </w:r>
            <w:r>
              <w:rPr>
                <w:color w:val="auto"/>
                <w:highlight w:val="none"/>
              </w:rPr>
              <w:t xml:space="preserve"> </w:t>
            </w:r>
            <w:r>
              <w:rPr>
                <w:color w:val="auto"/>
                <w:spacing w:val="-4"/>
                <w:highlight w:val="none"/>
              </w:rPr>
              <w:t>为中小微企业的应当提供《中小企业声明函》；</w:t>
            </w:r>
            <w:r>
              <w:rPr>
                <w:color w:val="auto"/>
                <w:spacing w:val="-32"/>
                <w:highlight w:val="none"/>
              </w:rPr>
              <w:t xml:space="preserve"> </w:t>
            </w:r>
            <w:r>
              <w:rPr>
                <w:color w:val="auto"/>
                <w:spacing w:val="-4"/>
                <w:highlight w:val="none"/>
              </w:rPr>
              <w:t>供应商为残疾人福利性单位的应</w:t>
            </w:r>
            <w:r>
              <w:rPr>
                <w:color w:val="auto"/>
                <w:spacing w:val="-5"/>
                <w:highlight w:val="none"/>
              </w:rPr>
              <w:t>当提</w:t>
            </w:r>
            <w:r>
              <w:rPr>
                <w:color w:val="auto"/>
                <w:highlight w:val="none"/>
              </w:rPr>
              <w:t xml:space="preserve"> </w:t>
            </w:r>
            <w:r>
              <w:rPr>
                <w:color w:val="auto"/>
                <w:spacing w:val="-4"/>
                <w:highlight w:val="none"/>
              </w:rPr>
              <w:t>供《残疾人福利性单位声明函》；</w:t>
            </w:r>
            <w:r>
              <w:rPr>
                <w:color w:val="auto"/>
                <w:spacing w:val="-32"/>
                <w:highlight w:val="none"/>
              </w:rPr>
              <w:t xml:space="preserve"> </w:t>
            </w:r>
            <w:r>
              <w:rPr>
                <w:color w:val="auto"/>
                <w:spacing w:val="-4"/>
                <w:highlight w:val="none"/>
              </w:rPr>
              <w:t>供应商为监狱企业的应当提供由省级以上</w:t>
            </w:r>
            <w:r>
              <w:rPr>
                <w:color w:val="auto"/>
                <w:spacing w:val="-5"/>
                <w:highlight w:val="none"/>
              </w:rPr>
              <w:t>监狱管理</w:t>
            </w:r>
            <w:r>
              <w:rPr>
                <w:color w:val="auto"/>
                <w:highlight w:val="none"/>
              </w:rPr>
              <w:t xml:space="preserve"> </w:t>
            </w:r>
            <w:r>
              <w:rPr>
                <w:color w:val="auto"/>
                <w:spacing w:val="-2"/>
                <w:highlight w:val="none"/>
              </w:rPr>
              <w:t>局、戒毒管理局（含新疆生产建设兵团）出具的属于监狱企业的证</w:t>
            </w:r>
            <w:r>
              <w:rPr>
                <w:color w:val="auto"/>
                <w:spacing w:val="-3"/>
                <w:highlight w:val="none"/>
              </w:rPr>
              <w:t>明文件】（声明函</w:t>
            </w:r>
            <w:r>
              <w:rPr>
                <w:color w:val="auto"/>
                <w:highlight w:val="none"/>
              </w:rPr>
              <w:t xml:space="preserve"> </w:t>
            </w:r>
            <w:r>
              <w:rPr>
                <w:color w:val="auto"/>
                <w:spacing w:val="-2"/>
                <w:highlight w:val="none"/>
              </w:rPr>
              <w:t>格式后附</w:t>
            </w:r>
            <w:r>
              <w:rPr>
                <w:color w:val="auto"/>
                <w:highlight w:val="none"/>
              </w:rPr>
              <w:t>）；</w:t>
            </w:r>
          </w:p>
          <w:p w14:paraId="76860B0F">
            <w:pPr>
              <w:pStyle w:val="17"/>
              <w:numPr>
                <w:ilvl w:val="0"/>
                <w:numId w:val="0"/>
              </w:numPr>
              <w:spacing w:before="158" w:line="220" w:lineRule="auto"/>
              <w:rPr>
                <w:color w:val="auto"/>
                <w:spacing w:val="-1"/>
                <w:highlight w:val="none"/>
              </w:rPr>
            </w:pPr>
            <w:r>
              <w:rPr>
                <w:color w:val="auto"/>
                <w:spacing w:val="-2"/>
                <w:highlight w:val="none"/>
              </w:rPr>
              <w:t>5.供应商认为需要提供的其他有关资料</w:t>
            </w:r>
            <w:r>
              <w:rPr>
                <w:color w:val="auto"/>
                <w:spacing w:val="-2"/>
                <w:highlight w:val="none"/>
              </w:rPr>
              <w:t>。</w:t>
            </w:r>
          </w:p>
        </w:tc>
      </w:tr>
    </w:tbl>
    <w:p w14:paraId="15FDC0A8">
      <w:pPr>
        <w:spacing w:line="240" w:lineRule="exact"/>
        <w:rPr>
          <w:rFonts w:ascii="Arial"/>
          <w:color w:val="auto"/>
          <w:sz w:val="20"/>
          <w:highlight w:val="none"/>
        </w:rPr>
      </w:pPr>
    </w:p>
    <w:p w14:paraId="45917F5B">
      <w:pPr>
        <w:spacing w:line="240" w:lineRule="exact"/>
        <w:rPr>
          <w:rFonts w:ascii="Arial" w:hAnsi="Arial" w:eastAsia="Arial" w:cs="Arial"/>
          <w:color w:val="auto"/>
          <w:sz w:val="20"/>
          <w:szCs w:val="20"/>
          <w:highlight w:val="none"/>
        </w:rPr>
        <w:sectPr>
          <w:footerReference r:id="rId8" w:type="default"/>
          <w:pgSz w:w="11900" w:h="16832"/>
          <w:pgMar w:top="1430" w:right="1490" w:bottom="1218" w:left="1493" w:header="0" w:footer="1060" w:gutter="0"/>
          <w:pgNumType w:fmt="decimal"/>
          <w:cols w:space="720" w:num="1"/>
        </w:sectPr>
      </w:pPr>
    </w:p>
    <w:p w14:paraId="182E21BC">
      <w:pPr>
        <w:spacing w:line="97" w:lineRule="auto"/>
        <w:rPr>
          <w:rFonts w:ascii="Arial"/>
          <w:color w:val="auto"/>
          <w:sz w:val="2"/>
          <w:highlight w:val="none"/>
        </w:rPr>
      </w:pPr>
    </w:p>
    <w:tbl>
      <w:tblPr>
        <w:tblStyle w:val="16"/>
        <w:tblW w:w="8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7915"/>
      </w:tblGrid>
      <w:tr w14:paraId="76159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5" w:hRule="atLeast"/>
        </w:trPr>
        <w:tc>
          <w:tcPr>
            <w:tcW w:w="995" w:type="dxa"/>
            <w:vAlign w:val="top"/>
          </w:tcPr>
          <w:p w14:paraId="5CDE726F">
            <w:pPr>
              <w:spacing w:line="243" w:lineRule="auto"/>
              <w:rPr>
                <w:rFonts w:ascii="Arial"/>
                <w:color w:val="auto"/>
                <w:sz w:val="21"/>
                <w:highlight w:val="none"/>
              </w:rPr>
            </w:pPr>
          </w:p>
          <w:p w14:paraId="1D2C284E">
            <w:pPr>
              <w:spacing w:line="243" w:lineRule="auto"/>
              <w:rPr>
                <w:rFonts w:ascii="Arial"/>
                <w:color w:val="auto"/>
                <w:sz w:val="21"/>
                <w:highlight w:val="none"/>
              </w:rPr>
            </w:pPr>
          </w:p>
          <w:p w14:paraId="503B966F">
            <w:pPr>
              <w:spacing w:line="243" w:lineRule="auto"/>
              <w:rPr>
                <w:rFonts w:ascii="Arial"/>
                <w:color w:val="auto"/>
                <w:sz w:val="21"/>
                <w:highlight w:val="none"/>
              </w:rPr>
            </w:pPr>
          </w:p>
          <w:p w14:paraId="3024C4CB">
            <w:pPr>
              <w:spacing w:line="243" w:lineRule="auto"/>
              <w:rPr>
                <w:rFonts w:ascii="Arial"/>
                <w:color w:val="auto"/>
                <w:sz w:val="21"/>
                <w:highlight w:val="none"/>
              </w:rPr>
            </w:pPr>
          </w:p>
          <w:p w14:paraId="760BFD24">
            <w:pPr>
              <w:spacing w:line="243" w:lineRule="auto"/>
              <w:rPr>
                <w:rFonts w:ascii="Arial"/>
                <w:color w:val="auto"/>
                <w:sz w:val="21"/>
                <w:highlight w:val="none"/>
              </w:rPr>
            </w:pPr>
          </w:p>
          <w:p w14:paraId="7E366B4C">
            <w:pPr>
              <w:spacing w:line="243" w:lineRule="auto"/>
              <w:rPr>
                <w:rFonts w:ascii="Arial"/>
                <w:color w:val="auto"/>
                <w:sz w:val="21"/>
                <w:highlight w:val="none"/>
              </w:rPr>
            </w:pPr>
          </w:p>
          <w:p w14:paraId="117D9CE2">
            <w:pPr>
              <w:spacing w:line="243" w:lineRule="auto"/>
              <w:rPr>
                <w:rFonts w:ascii="Arial"/>
                <w:color w:val="auto"/>
                <w:sz w:val="21"/>
                <w:highlight w:val="none"/>
              </w:rPr>
            </w:pPr>
          </w:p>
          <w:p w14:paraId="2453C242">
            <w:pPr>
              <w:spacing w:line="244" w:lineRule="auto"/>
              <w:rPr>
                <w:rFonts w:ascii="Arial"/>
                <w:color w:val="auto"/>
                <w:sz w:val="21"/>
                <w:highlight w:val="none"/>
              </w:rPr>
            </w:pPr>
          </w:p>
          <w:p w14:paraId="741962B8">
            <w:pPr>
              <w:spacing w:line="244" w:lineRule="auto"/>
              <w:rPr>
                <w:rFonts w:ascii="Arial"/>
                <w:color w:val="auto"/>
                <w:sz w:val="21"/>
                <w:highlight w:val="none"/>
              </w:rPr>
            </w:pPr>
          </w:p>
          <w:p w14:paraId="2FA42C71">
            <w:pPr>
              <w:spacing w:line="244" w:lineRule="auto"/>
              <w:rPr>
                <w:rFonts w:ascii="Arial"/>
                <w:color w:val="auto"/>
                <w:sz w:val="21"/>
                <w:highlight w:val="none"/>
              </w:rPr>
            </w:pPr>
          </w:p>
          <w:p w14:paraId="42242B7C">
            <w:pPr>
              <w:pStyle w:val="17"/>
              <w:spacing w:before="68" w:line="183" w:lineRule="auto"/>
              <w:ind w:left="203"/>
              <w:rPr>
                <w:color w:val="auto"/>
                <w:highlight w:val="none"/>
              </w:rPr>
            </w:pPr>
            <w:r>
              <w:rPr>
                <w:color w:val="auto"/>
                <w:spacing w:val="-4"/>
                <w:highlight w:val="none"/>
              </w:rPr>
              <w:t>12.1.3</w:t>
            </w:r>
          </w:p>
        </w:tc>
        <w:tc>
          <w:tcPr>
            <w:tcW w:w="7915" w:type="dxa"/>
            <w:vAlign w:val="top"/>
          </w:tcPr>
          <w:p w14:paraId="1CFB9ADF">
            <w:pPr>
              <w:pStyle w:val="17"/>
              <w:spacing w:before="31" w:line="221" w:lineRule="auto"/>
              <w:ind w:left="116"/>
              <w:rPr>
                <w:color w:val="auto"/>
                <w:highlight w:val="none"/>
              </w:rPr>
            </w:pPr>
            <w:r>
              <w:rPr>
                <w:b/>
                <w:bCs/>
                <w:color w:val="auto"/>
                <w:spacing w:val="-3"/>
                <w:highlight w:val="none"/>
              </w:rPr>
              <w:t>商务技术文件</w:t>
            </w:r>
          </w:p>
          <w:p w14:paraId="49C851B7">
            <w:pPr>
              <w:pStyle w:val="17"/>
              <w:spacing w:before="158" w:line="350" w:lineRule="auto"/>
              <w:ind w:left="114" w:right="33" w:firstLine="13"/>
              <w:jc w:val="both"/>
              <w:rPr>
                <w:color w:val="auto"/>
                <w:highlight w:val="none"/>
              </w:rPr>
            </w:pPr>
            <w:r>
              <w:rPr>
                <w:color w:val="auto"/>
                <w:spacing w:val="-1"/>
                <w:highlight w:val="none"/>
              </w:rPr>
              <w:t>1.</w:t>
            </w:r>
            <w:r>
              <w:rPr>
                <w:color w:val="auto"/>
                <w:spacing w:val="-1"/>
                <w:highlight w:val="none"/>
              </w:rPr>
              <w:t>无串通竞标行为的承诺函（格式后附</w:t>
            </w:r>
            <w:r>
              <w:rPr>
                <w:color w:val="auto"/>
                <w:spacing w:val="-8"/>
                <w:highlight w:val="none"/>
              </w:rPr>
              <w:t>）；（</w:t>
            </w:r>
            <w:r>
              <w:rPr>
                <w:b/>
                <w:bCs/>
                <w:color w:val="auto"/>
                <w:spacing w:val="-1"/>
                <w:highlight w:val="none"/>
              </w:rPr>
              <w:t>必须提供，否则响应文件按无效处理</w:t>
            </w:r>
            <w:r>
              <w:rPr>
                <w:color w:val="auto"/>
                <w:spacing w:val="-1"/>
                <w:highlight w:val="none"/>
              </w:rPr>
              <w:t>）</w:t>
            </w:r>
            <w:r>
              <w:rPr>
                <w:color w:val="auto"/>
                <w:spacing w:val="1"/>
                <w:highlight w:val="none"/>
              </w:rPr>
              <w:t xml:space="preserve"> </w:t>
            </w:r>
            <w:r>
              <w:rPr>
                <w:color w:val="auto"/>
                <w:highlight w:val="none"/>
              </w:rPr>
              <w:t>2.法定代表人身份证明书及法定代表人有效身份证正反面复印件（格式后附</w:t>
            </w:r>
            <w:r>
              <w:rPr>
                <w:color w:val="auto"/>
                <w:spacing w:val="-28"/>
                <w:highlight w:val="none"/>
              </w:rPr>
              <w:t>）；（</w:t>
            </w:r>
            <w:r>
              <w:rPr>
                <w:b/>
                <w:bCs/>
                <w:color w:val="auto"/>
                <w:highlight w:val="none"/>
              </w:rPr>
              <w:t>必</w:t>
            </w:r>
            <w:r>
              <w:rPr>
                <w:color w:val="auto"/>
                <w:spacing w:val="1"/>
                <w:highlight w:val="none"/>
              </w:rPr>
              <w:t xml:space="preserve"> </w:t>
            </w:r>
            <w:r>
              <w:rPr>
                <w:b/>
                <w:bCs/>
                <w:color w:val="auto"/>
                <w:spacing w:val="-2"/>
                <w:highlight w:val="none"/>
              </w:rPr>
              <w:t>须提供，否则响应文件按无效处理</w:t>
            </w:r>
            <w:r>
              <w:rPr>
                <w:color w:val="auto"/>
                <w:spacing w:val="-2"/>
                <w:highlight w:val="none"/>
              </w:rPr>
              <w:t>）</w:t>
            </w:r>
          </w:p>
          <w:p w14:paraId="2F79C5BA">
            <w:pPr>
              <w:pStyle w:val="17"/>
              <w:spacing w:before="29" w:line="345" w:lineRule="auto"/>
              <w:ind w:left="112" w:right="105" w:firstLine="4"/>
              <w:rPr>
                <w:color w:val="auto"/>
                <w:highlight w:val="none"/>
              </w:rPr>
            </w:pPr>
            <w:r>
              <w:rPr>
                <w:color w:val="auto"/>
                <w:highlight w:val="none"/>
              </w:rPr>
              <w:t>3.授权委托书及委托代理人有效身份证正反面复印件（格式后</w:t>
            </w:r>
            <w:r>
              <w:rPr>
                <w:color w:val="auto"/>
                <w:spacing w:val="-1"/>
                <w:highlight w:val="none"/>
              </w:rPr>
              <w:t>附</w:t>
            </w:r>
            <w:r>
              <w:rPr>
                <w:color w:val="auto"/>
                <w:spacing w:val="-30"/>
                <w:highlight w:val="none"/>
              </w:rPr>
              <w:t>）；（</w:t>
            </w:r>
            <w:r>
              <w:rPr>
                <w:b/>
                <w:bCs/>
                <w:color w:val="auto"/>
                <w:spacing w:val="-1"/>
                <w:highlight w:val="none"/>
              </w:rPr>
              <w:t>委托时必须提</w:t>
            </w:r>
            <w:r>
              <w:rPr>
                <w:color w:val="auto"/>
                <w:spacing w:val="1"/>
                <w:highlight w:val="none"/>
              </w:rPr>
              <w:t xml:space="preserve"> </w:t>
            </w:r>
            <w:r>
              <w:rPr>
                <w:b/>
                <w:bCs/>
                <w:color w:val="auto"/>
                <w:spacing w:val="-2"/>
                <w:highlight w:val="none"/>
              </w:rPr>
              <w:t>供，否则响应文件按无效处理</w:t>
            </w:r>
            <w:r>
              <w:rPr>
                <w:color w:val="auto"/>
                <w:spacing w:val="-2"/>
                <w:highlight w:val="none"/>
              </w:rPr>
              <w:t>）</w:t>
            </w:r>
          </w:p>
          <w:p w14:paraId="4306F38C">
            <w:pPr>
              <w:pStyle w:val="17"/>
              <w:spacing w:before="30" w:line="348" w:lineRule="auto"/>
              <w:ind w:left="113" w:right="105" w:hanging="2"/>
              <w:rPr>
                <w:color w:val="auto"/>
                <w:highlight w:val="none"/>
              </w:rPr>
            </w:pPr>
            <w:r>
              <w:rPr>
                <w:color w:val="auto"/>
                <w:spacing w:val="-1"/>
                <w:highlight w:val="none"/>
              </w:rPr>
              <w:t>4.建筑材料和设备节能环保要求承诺书（格式后附</w:t>
            </w:r>
            <w:r>
              <w:rPr>
                <w:color w:val="auto"/>
                <w:spacing w:val="-24"/>
                <w:highlight w:val="none"/>
              </w:rPr>
              <w:t>）；（</w:t>
            </w:r>
            <w:r>
              <w:rPr>
                <w:b/>
                <w:bCs/>
                <w:color w:val="auto"/>
                <w:spacing w:val="-1"/>
                <w:highlight w:val="none"/>
              </w:rPr>
              <w:t>必须提供，否则响应文件按</w:t>
            </w:r>
            <w:r>
              <w:rPr>
                <w:color w:val="auto"/>
                <w:spacing w:val="2"/>
                <w:highlight w:val="none"/>
              </w:rPr>
              <w:t xml:space="preserve"> </w:t>
            </w:r>
            <w:r>
              <w:rPr>
                <w:b/>
                <w:bCs/>
                <w:color w:val="auto"/>
                <w:spacing w:val="-3"/>
                <w:highlight w:val="none"/>
              </w:rPr>
              <w:t>无效处理</w:t>
            </w:r>
            <w:r>
              <w:rPr>
                <w:color w:val="auto"/>
                <w:spacing w:val="-3"/>
                <w:highlight w:val="none"/>
              </w:rPr>
              <w:t>）</w:t>
            </w:r>
          </w:p>
          <w:p w14:paraId="025D8472">
            <w:pPr>
              <w:pStyle w:val="17"/>
              <w:spacing w:before="28" w:line="345" w:lineRule="auto"/>
              <w:ind w:left="113" w:right="1079" w:firstLine="2"/>
              <w:rPr>
                <w:color w:val="auto"/>
                <w:spacing w:val="2"/>
                <w:highlight w:val="none"/>
              </w:rPr>
            </w:pPr>
            <w:r>
              <w:rPr>
                <w:color w:val="auto"/>
                <w:spacing w:val="-1"/>
                <w:highlight w:val="none"/>
              </w:rPr>
              <w:t>5.施工组织设计（格式自拟</w:t>
            </w:r>
            <w:r>
              <w:rPr>
                <w:color w:val="auto"/>
                <w:spacing w:val="-5"/>
                <w:highlight w:val="none"/>
              </w:rPr>
              <w:t>）；（</w:t>
            </w:r>
            <w:r>
              <w:rPr>
                <w:b/>
                <w:bCs/>
                <w:color w:val="auto"/>
                <w:spacing w:val="-1"/>
                <w:highlight w:val="none"/>
              </w:rPr>
              <w:t>必须提供，否则响应文件按无效处理</w:t>
            </w:r>
            <w:r>
              <w:rPr>
                <w:color w:val="auto"/>
                <w:spacing w:val="-1"/>
                <w:highlight w:val="none"/>
              </w:rPr>
              <w:t>）</w:t>
            </w:r>
            <w:r>
              <w:rPr>
                <w:color w:val="auto"/>
                <w:spacing w:val="2"/>
                <w:highlight w:val="none"/>
              </w:rPr>
              <w:t xml:space="preserve"> </w:t>
            </w:r>
          </w:p>
          <w:p w14:paraId="60CD4F05">
            <w:pPr>
              <w:pStyle w:val="17"/>
              <w:spacing w:before="28" w:line="345" w:lineRule="auto"/>
              <w:ind w:left="113" w:right="1079" w:firstLine="2"/>
              <w:rPr>
                <w:rFonts w:hint="eastAsia" w:ascii="宋体" w:hAnsi="宋体" w:cs="宋体"/>
                <w:color w:val="auto"/>
                <w:szCs w:val="21"/>
                <w:highlight w:val="none"/>
              </w:rPr>
            </w:pPr>
            <w:r>
              <w:rPr>
                <w:rFonts w:hint="eastAsia" w:cs="宋体"/>
                <w:color w:val="auto"/>
                <w:szCs w:val="21"/>
                <w:highlight w:val="none"/>
                <w:lang w:val="en-US" w:eastAsia="zh-CN"/>
              </w:rPr>
              <w:t>6.</w:t>
            </w:r>
            <w:r>
              <w:rPr>
                <w:rFonts w:hint="eastAsia" w:ascii="宋体" w:hAnsi="宋体" w:cs="宋体"/>
                <w:color w:val="auto"/>
                <w:szCs w:val="21"/>
                <w:highlight w:val="none"/>
              </w:rPr>
              <w:t>主要施工管理人员表（格式后附）；（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F8CAD0D">
            <w:pPr>
              <w:pStyle w:val="17"/>
              <w:spacing w:before="31" w:line="220" w:lineRule="auto"/>
              <w:ind w:left="117"/>
              <w:rPr>
                <w:color w:val="auto"/>
                <w:highlight w:val="none"/>
              </w:rPr>
            </w:pPr>
            <w:r>
              <w:rPr>
                <w:rFonts w:hint="eastAsia"/>
                <w:color w:val="auto"/>
                <w:spacing w:val="-2"/>
                <w:highlight w:val="none"/>
                <w:lang w:val="en-US" w:eastAsia="zh-CN"/>
              </w:rPr>
              <w:t>7</w:t>
            </w:r>
            <w:r>
              <w:rPr>
                <w:color w:val="auto"/>
                <w:spacing w:val="-2"/>
                <w:highlight w:val="none"/>
              </w:rPr>
              <w:t>.供应商认为需要提供的其他有关资料。</w:t>
            </w:r>
          </w:p>
          <w:p w14:paraId="5A24E00F">
            <w:pPr>
              <w:pStyle w:val="17"/>
              <w:spacing w:before="158" w:line="343" w:lineRule="auto"/>
              <w:ind w:left="112" w:right="124"/>
              <w:rPr>
                <w:color w:val="auto"/>
                <w:highlight w:val="none"/>
              </w:rPr>
            </w:pPr>
            <w:r>
              <w:rPr>
                <w:b/>
                <w:bCs/>
                <w:color w:val="auto"/>
                <w:spacing w:val="-5"/>
                <w:highlight w:val="none"/>
              </w:rPr>
              <w:t>注：以上标明“必须提供”的材料属于复印件的，必须加盖供应商电子签章，否则响</w:t>
            </w:r>
            <w:r>
              <w:rPr>
                <w:color w:val="auto"/>
                <w:spacing w:val="5"/>
                <w:highlight w:val="none"/>
              </w:rPr>
              <w:t xml:space="preserve"> </w:t>
            </w:r>
            <w:r>
              <w:rPr>
                <w:b/>
                <w:bCs/>
                <w:color w:val="auto"/>
                <w:spacing w:val="-2"/>
                <w:highlight w:val="none"/>
              </w:rPr>
              <w:t>应文件按无效处理。</w:t>
            </w:r>
          </w:p>
        </w:tc>
      </w:tr>
      <w:tr w14:paraId="0D09D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995" w:type="dxa"/>
            <w:vAlign w:val="top"/>
          </w:tcPr>
          <w:p w14:paraId="54BDDC8E">
            <w:pPr>
              <w:spacing w:line="404" w:lineRule="auto"/>
              <w:rPr>
                <w:rFonts w:ascii="Arial"/>
                <w:color w:val="auto"/>
                <w:sz w:val="21"/>
                <w:highlight w:val="none"/>
              </w:rPr>
            </w:pPr>
          </w:p>
          <w:p w14:paraId="4D7FE7A3">
            <w:pPr>
              <w:pStyle w:val="17"/>
              <w:spacing w:before="68" w:line="183" w:lineRule="auto"/>
              <w:ind w:left="309"/>
              <w:rPr>
                <w:color w:val="auto"/>
                <w:highlight w:val="none"/>
              </w:rPr>
            </w:pPr>
            <w:r>
              <w:rPr>
                <w:color w:val="auto"/>
                <w:spacing w:val="-5"/>
                <w:highlight w:val="none"/>
              </w:rPr>
              <w:t>15.2</w:t>
            </w:r>
          </w:p>
        </w:tc>
        <w:tc>
          <w:tcPr>
            <w:tcW w:w="7915" w:type="dxa"/>
            <w:vAlign w:val="top"/>
          </w:tcPr>
          <w:p w14:paraId="74C9292E">
            <w:pPr>
              <w:pStyle w:val="17"/>
              <w:spacing w:before="33" w:line="348" w:lineRule="auto"/>
              <w:ind w:left="112" w:right="107" w:firstLine="15"/>
              <w:jc w:val="both"/>
              <w:rPr>
                <w:color w:val="auto"/>
                <w:highlight w:val="none"/>
              </w:rPr>
            </w:pPr>
            <w:r>
              <w:rPr>
                <w:color w:val="auto"/>
                <w:highlight w:val="none"/>
              </w:rPr>
              <w:t>1、竞标报价是履行合同的最终价格，包括</w:t>
            </w:r>
            <w:r>
              <w:rPr>
                <w:color w:val="auto"/>
                <w:spacing w:val="-1"/>
                <w:highlight w:val="none"/>
              </w:rPr>
              <w:t>了为实施和完成合同工程所需的劳务、材</w:t>
            </w:r>
            <w:r>
              <w:rPr>
                <w:color w:val="auto"/>
                <w:highlight w:val="none"/>
              </w:rPr>
              <w:t xml:space="preserve"> </w:t>
            </w:r>
            <w:r>
              <w:rPr>
                <w:color w:val="auto"/>
                <w:spacing w:val="-2"/>
                <w:highlight w:val="none"/>
              </w:rPr>
              <w:t>料、机械、质检（自检）、安装、缺陷修复、管理、保险、税费、利</w:t>
            </w:r>
            <w:r>
              <w:rPr>
                <w:color w:val="auto"/>
                <w:spacing w:val="-3"/>
                <w:highlight w:val="none"/>
              </w:rPr>
              <w:t>润等费用，以及</w:t>
            </w:r>
            <w:r>
              <w:rPr>
                <w:color w:val="auto"/>
                <w:highlight w:val="none"/>
              </w:rPr>
              <w:t xml:space="preserve"> </w:t>
            </w:r>
            <w:r>
              <w:rPr>
                <w:color w:val="auto"/>
                <w:spacing w:val="-1"/>
                <w:highlight w:val="none"/>
              </w:rPr>
              <w:t>合同明示或暗示的所有责任、义务和一般风险。</w:t>
            </w:r>
          </w:p>
        </w:tc>
      </w:tr>
      <w:tr w14:paraId="60E9B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95" w:type="dxa"/>
            <w:vAlign w:val="top"/>
          </w:tcPr>
          <w:p w14:paraId="3FA64362">
            <w:pPr>
              <w:pStyle w:val="17"/>
              <w:spacing w:before="67" w:line="183" w:lineRule="auto"/>
              <w:ind w:left="309"/>
              <w:rPr>
                <w:color w:val="auto"/>
                <w:highlight w:val="none"/>
              </w:rPr>
            </w:pPr>
            <w:r>
              <w:rPr>
                <w:color w:val="auto"/>
                <w:spacing w:val="-5"/>
                <w:highlight w:val="none"/>
              </w:rPr>
              <w:t>15.3</w:t>
            </w:r>
          </w:p>
        </w:tc>
        <w:tc>
          <w:tcPr>
            <w:tcW w:w="7915" w:type="dxa"/>
            <w:vAlign w:val="top"/>
          </w:tcPr>
          <w:p w14:paraId="5B2C864F">
            <w:pPr>
              <w:pStyle w:val="17"/>
              <w:spacing w:before="33" w:line="190" w:lineRule="auto"/>
              <w:ind w:left="113"/>
              <w:rPr>
                <w:color w:val="auto"/>
                <w:highlight w:val="none"/>
              </w:rPr>
            </w:pPr>
            <w:r>
              <w:rPr>
                <w:color w:val="auto"/>
                <w:spacing w:val="-3"/>
                <w:highlight w:val="none"/>
              </w:rPr>
              <w:t>本工程增值税计税方法：</w:t>
            </w:r>
            <w:r>
              <w:rPr>
                <w:rFonts w:hint="eastAsia"/>
                <w:color w:val="auto"/>
                <w:spacing w:val="-2"/>
                <w:highlight w:val="none"/>
                <w:lang w:eastAsia="zh-CN"/>
              </w:rPr>
              <w:t>☑</w:t>
            </w:r>
            <w:r>
              <w:rPr>
                <w:color w:val="auto"/>
                <w:spacing w:val="-3"/>
                <w:highlight w:val="none"/>
              </w:rPr>
              <w:t>一般计税法；</w:t>
            </w:r>
            <w:r>
              <w:rPr>
                <w:color w:val="auto"/>
                <w:spacing w:val="44"/>
                <w:highlight w:val="none"/>
              </w:rPr>
              <w:t xml:space="preserve"> </w:t>
            </w:r>
            <w:r>
              <w:rPr>
                <w:color w:val="auto"/>
                <w:spacing w:val="-3"/>
                <w:highlight w:val="none"/>
              </w:rPr>
              <w:t>□简易计税法</w:t>
            </w:r>
          </w:p>
        </w:tc>
      </w:tr>
      <w:tr w14:paraId="12D0A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95" w:type="dxa"/>
            <w:vAlign w:val="top"/>
          </w:tcPr>
          <w:p w14:paraId="5603F246">
            <w:pPr>
              <w:pStyle w:val="17"/>
              <w:spacing w:before="94" w:line="183" w:lineRule="auto"/>
              <w:ind w:left="309"/>
              <w:rPr>
                <w:color w:val="auto"/>
                <w:highlight w:val="none"/>
              </w:rPr>
            </w:pPr>
            <w:r>
              <w:rPr>
                <w:color w:val="auto"/>
                <w:spacing w:val="-6"/>
                <w:highlight w:val="none"/>
              </w:rPr>
              <w:t>16.2</w:t>
            </w:r>
          </w:p>
        </w:tc>
        <w:tc>
          <w:tcPr>
            <w:tcW w:w="7915" w:type="dxa"/>
            <w:vAlign w:val="top"/>
          </w:tcPr>
          <w:p w14:paraId="007243A5">
            <w:pPr>
              <w:pStyle w:val="17"/>
              <w:spacing w:before="33" w:line="221" w:lineRule="auto"/>
              <w:ind w:left="114"/>
              <w:rPr>
                <w:color w:val="auto"/>
                <w:highlight w:val="none"/>
              </w:rPr>
            </w:pPr>
            <w:r>
              <w:rPr>
                <w:color w:val="auto"/>
                <w:spacing w:val="-3"/>
                <w:highlight w:val="none"/>
              </w:rPr>
              <w:t>竞标有效期：自首次响应文件提交截止之日起</w:t>
            </w:r>
            <w:r>
              <w:rPr>
                <w:color w:val="auto"/>
                <w:spacing w:val="-26"/>
                <w:highlight w:val="none"/>
              </w:rPr>
              <w:t xml:space="preserve"> </w:t>
            </w:r>
            <w:r>
              <w:rPr>
                <w:color w:val="auto"/>
                <w:spacing w:val="-3"/>
                <w:highlight w:val="none"/>
                <w:u w:val="single" w:color="auto"/>
              </w:rPr>
              <w:t>90</w:t>
            </w:r>
            <w:r>
              <w:rPr>
                <w:color w:val="auto"/>
                <w:spacing w:val="-54"/>
                <w:highlight w:val="none"/>
                <w:u w:val="single" w:color="auto"/>
              </w:rPr>
              <w:t xml:space="preserve"> </w:t>
            </w:r>
            <w:r>
              <w:rPr>
                <w:color w:val="auto"/>
                <w:spacing w:val="-61"/>
                <w:highlight w:val="none"/>
              </w:rPr>
              <w:t xml:space="preserve"> </w:t>
            </w:r>
            <w:r>
              <w:rPr>
                <w:color w:val="auto"/>
                <w:spacing w:val="-3"/>
                <w:highlight w:val="none"/>
              </w:rPr>
              <w:t>日。</w:t>
            </w:r>
          </w:p>
        </w:tc>
      </w:tr>
      <w:tr w14:paraId="494AF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95" w:type="dxa"/>
            <w:vAlign w:val="top"/>
          </w:tcPr>
          <w:p w14:paraId="43DD61E4">
            <w:pPr>
              <w:pStyle w:val="17"/>
              <w:spacing w:before="274" w:line="183" w:lineRule="auto"/>
              <w:ind w:left="309"/>
              <w:rPr>
                <w:color w:val="auto"/>
                <w:highlight w:val="none"/>
              </w:rPr>
            </w:pPr>
            <w:r>
              <w:rPr>
                <w:color w:val="auto"/>
                <w:spacing w:val="-5"/>
                <w:highlight w:val="none"/>
              </w:rPr>
              <w:t>17.1</w:t>
            </w:r>
          </w:p>
        </w:tc>
        <w:tc>
          <w:tcPr>
            <w:tcW w:w="7915" w:type="dxa"/>
            <w:vAlign w:val="top"/>
          </w:tcPr>
          <w:p w14:paraId="25D3130C">
            <w:pPr>
              <w:pStyle w:val="17"/>
              <w:spacing w:before="32" w:line="190" w:lineRule="auto"/>
              <w:ind w:left="121"/>
              <w:rPr>
                <w:color w:val="auto"/>
                <w:highlight w:val="none"/>
              </w:rPr>
            </w:pPr>
            <w:r>
              <w:rPr>
                <w:rFonts w:hint="eastAsia"/>
                <w:color w:val="auto"/>
                <w:spacing w:val="-2"/>
                <w:highlight w:val="none"/>
                <w:lang w:eastAsia="zh-CN"/>
              </w:rPr>
              <w:t>☑</w:t>
            </w:r>
            <w:r>
              <w:rPr>
                <w:color w:val="auto"/>
                <w:spacing w:val="-5"/>
                <w:highlight w:val="none"/>
              </w:rPr>
              <w:t>本项目不收取磋商保证金。</w:t>
            </w:r>
          </w:p>
          <w:p w14:paraId="6470AD3B">
            <w:pPr>
              <w:pStyle w:val="17"/>
              <w:spacing w:before="127" w:line="220" w:lineRule="auto"/>
              <w:ind w:left="133"/>
              <w:rPr>
                <w:color w:val="auto"/>
                <w:highlight w:val="none"/>
              </w:rPr>
            </w:pPr>
            <w:r>
              <w:rPr>
                <w:color w:val="auto"/>
                <w:spacing w:val="-2"/>
                <w:highlight w:val="none"/>
              </w:rPr>
              <w:t>□本项目收取磋商保证金，具体规定如下：无。</w:t>
            </w:r>
          </w:p>
        </w:tc>
      </w:tr>
      <w:tr w14:paraId="6497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95" w:type="dxa"/>
            <w:vAlign w:val="top"/>
          </w:tcPr>
          <w:p w14:paraId="7374247B">
            <w:pPr>
              <w:pStyle w:val="17"/>
              <w:spacing w:before="68" w:line="183" w:lineRule="auto"/>
              <w:ind w:left="412"/>
              <w:rPr>
                <w:color w:val="auto"/>
                <w:highlight w:val="none"/>
              </w:rPr>
            </w:pPr>
            <w:r>
              <w:rPr>
                <w:color w:val="auto"/>
                <w:spacing w:val="-6"/>
                <w:highlight w:val="none"/>
              </w:rPr>
              <w:t>19</w:t>
            </w:r>
          </w:p>
        </w:tc>
        <w:tc>
          <w:tcPr>
            <w:tcW w:w="7915" w:type="dxa"/>
            <w:vAlign w:val="top"/>
          </w:tcPr>
          <w:p w14:paraId="44E7ADF5">
            <w:pPr>
              <w:pStyle w:val="17"/>
              <w:spacing w:before="34" w:line="220" w:lineRule="auto"/>
              <w:ind w:left="113"/>
              <w:rPr>
                <w:color w:val="auto"/>
                <w:highlight w:val="none"/>
              </w:rPr>
            </w:pPr>
            <w:r>
              <w:rPr>
                <w:color w:val="auto"/>
                <w:spacing w:val="-1"/>
                <w:highlight w:val="none"/>
              </w:rPr>
              <w:t>本项目不接受电子备份响应文件</w:t>
            </w:r>
          </w:p>
        </w:tc>
      </w:tr>
      <w:tr w14:paraId="47249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95" w:type="dxa"/>
            <w:vAlign w:val="top"/>
          </w:tcPr>
          <w:p w14:paraId="5A166557">
            <w:pPr>
              <w:pStyle w:val="17"/>
              <w:spacing w:before="275" w:line="183" w:lineRule="auto"/>
              <w:ind w:left="296"/>
              <w:rPr>
                <w:color w:val="auto"/>
                <w:highlight w:val="none"/>
              </w:rPr>
            </w:pPr>
            <w:r>
              <w:rPr>
                <w:color w:val="auto"/>
                <w:spacing w:val="-2"/>
                <w:highlight w:val="none"/>
              </w:rPr>
              <w:t>20.1</w:t>
            </w:r>
          </w:p>
        </w:tc>
        <w:tc>
          <w:tcPr>
            <w:tcW w:w="7915" w:type="dxa"/>
            <w:vAlign w:val="top"/>
          </w:tcPr>
          <w:p w14:paraId="4013D9FC">
            <w:pPr>
              <w:pStyle w:val="17"/>
              <w:spacing w:before="34" w:line="219" w:lineRule="auto"/>
              <w:ind w:left="122"/>
              <w:rPr>
                <w:color w:val="auto"/>
                <w:highlight w:val="none"/>
              </w:rPr>
            </w:pPr>
            <w:r>
              <w:rPr>
                <w:color w:val="auto"/>
                <w:spacing w:val="-1"/>
                <w:highlight w:val="none"/>
              </w:rPr>
              <w:t>响应文件提交截止时间：详见竞争性磋商公告。</w:t>
            </w:r>
          </w:p>
          <w:p w14:paraId="6F0B49D6">
            <w:pPr>
              <w:pStyle w:val="17"/>
              <w:spacing w:before="161" w:line="219" w:lineRule="auto"/>
              <w:ind w:left="122"/>
              <w:rPr>
                <w:color w:val="auto"/>
                <w:highlight w:val="none"/>
              </w:rPr>
            </w:pPr>
            <w:r>
              <w:rPr>
                <w:color w:val="auto"/>
                <w:spacing w:val="-1"/>
                <w:highlight w:val="none"/>
              </w:rPr>
              <w:t>响应文件提交地点：详见竞争性磋商公告。</w:t>
            </w:r>
          </w:p>
        </w:tc>
      </w:tr>
      <w:tr w14:paraId="7A4A7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95" w:type="dxa"/>
            <w:vAlign w:val="top"/>
          </w:tcPr>
          <w:p w14:paraId="1DBBB278">
            <w:pPr>
              <w:pStyle w:val="17"/>
              <w:spacing w:before="69" w:line="183" w:lineRule="auto"/>
              <w:ind w:left="296"/>
              <w:rPr>
                <w:color w:val="auto"/>
                <w:highlight w:val="none"/>
              </w:rPr>
            </w:pPr>
            <w:r>
              <w:rPr>
                <w:color w:val="auto"/>
                <w:spacing w:val="-2"/>
                <w:highlight w:val="none"/>
              </w:rPr>
              <w:t>24.1</w:t>
            </w:r>
          </w:p>
        </w:tc>
        <w:tc>
          <w:tcPr>
            <w:tcW w:w="7915" w:type="dxa"/>
            <w:vAlign w:val="top"/>
          </w:tcPr>
          <w:p w14:paraId="196D2050">
            <w:pPr>
              <w:pStyle w:val="17"/>
              <w:spacing w:before="34" w:line="221" w:lineRule="auto"/>
              <w:ind w:left="111"/>
              <w:rPr>
                <w:color w:val="auto"/>
                <w:highlight w:val="none"/>
              </w:rPr>
            </w:pPr>
            <w:r>
              <w:rPr>
                <w:color w:val="auto"/>
                <w:spacing w:val="-1"/>
                <w:highlight w:val="none"/>
              </w:rPr>
              <w:t>磋商小组的人数：</w:t>
            </w:r>
            <w:r>
              <w:rPr>
                <w:color w:val="auto"/>
                <w:spacing w:val="-1"/>
                <w:highlight w:val="none"/>
                <w:u w:val="single" w:color="auto"/>
              </w:rPr>
              <w:t>3</w:t>
            </w:r>
            <w:r>
              <w:rPr>
                <w:color w:val="auto"/>
                <w:spacing w:val="-43"/>
                <w:highlight w:val="none"/>
                <w:u w:val="single" w:color="auto"/>
              </w:rPr>
              <w:t xml:space="preserve"> </w:t>
            </w:r>
            <w:r>
              <w:rPr>
                <w:color w:val="auto"/>
                <w:spacing w:val="-1"/>
                <w:highlight w:val="none"/>
              </w:rPr>
              <w:t>人或以上。</w:t>
            </w:r>
          </w:p>
        </w:tc>
      </w:tr>
      <w:tr w14:paraId="07524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95" w:type="dxa"/>
            <w:vAlign w:val="top"/>
          </w:tcPr>
          <w:p w14:paraId="23CA5BA4">
            <w:pPr>
              <w:pStyle w:val="17"/>
              <w:spacing w:before="70" w:line="182" w:lineRule="auto"/>
              <w:ind w:left="399"/>
              <w:rPr>
                <w:color w:val="auto"/>
                <w:highlight w:val="none"/>
              </w:rPr>
            </w:pPr>
            <w:r>
              <w:rPr>
                <w:color w:val="auto"/>
                <w:spacing w:val="-5"/>
                <w:highlight w:val="none"/>
              </w:rPr>
              <w:t>25</w:t>
            </w:r>
          </w:p>
        </w:tc>
        <w:tc>
          <w:tcPr>
            <w:tcW w:w="7915" w:type="dxa"/>
            <w:vAlign w:val="top"/>
          </w:tcPr>
          <w:p w14:paraId="66B9EE26">
            <w:pPr>
              <w:pStyle w:val="17"/>
              <w:spacing w:before="34" w:line="219" w:lineRule="auto"/>
              <w:ind w:left="115"/>
              <w:rPr>
                <w:color w:val="auto"/>
                <w:highlight w:val="none"/>
              </w:rPr>
            </w:pPr>
            <w:r>
              <w:rPr>
                <w:color w:val="auto"/>
                <w:spacing w:val="4"/>
                <w:highlight w:val="none"/>
              </w:rPr>
              <w:t>首次响应文件开启时间详见“竞争性磋商公告”</w:t>
            </w:r>
          </w:p>
        </w:tc>
      </w:tr>
    </w:tbl>
    <w:p w14:paraId="17927544">
      <w:pPr>
        <w:rPr>
          <w:rFonts w:ascii="Arial"/>
          <w:color w:val="auto"/>
          <w:sz w:val="21"/>
          <w:highlight w:val="none"/>
        </w:rPr>
      </w:pPr>
    </w:p>
    <w:p w14:paraId="546F553D">
      <w:pPr>
        <w:rPr>
          <w:rFonts w:ascii="Arial" w:hAnsi="Arial" w:eastAsia="Arial" w:cs="Arial"/>
          <w:color w:val="auto"/>
          <w:sz w:val="21"/>
          <w:szCs w:val="21"/>
          <w:highlight w:val="none"/>
        </w:rPr>
        <w:sectPr>
          <w:footerReference r:id="rId9" w:type="default"/>
          <w:pgSz w:w="11900" w:h="16832"/>
          <w:pgMar w:top="1430" w:right="1490" w:bottom="1220" w:left="1493" w:header="0" w:footer="1060" w:gutter="0"/>
          <w:pgNumType w:fmt="decimal"/>
          <w:cols w:space="720" w:num="1"/>
        </w:sectPr>
      </w:pPr>
    </w:p>
    <w:p w14:paraId="41FF37C7">
      <w:pPr>
        <w:spacing w:line="97" w:lineRule="auto"/>
        <w:rPr>
          <w:rFonts w:ascii="Arial"/>
          <w:color w:val="auto"/>
          <w:sz w:val="2"/>
          <w:highlight w:val="none"/>
        </w:rPr>
      </w:pPr>
    </w:p>
    <w:tbl>
      <w:tblPr>
        <w:tblStyle w:val="16"/>
        <w:tblW w:w="8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7915"/>
      </w:tblGrid>
      <w:tr w14:paraId="4125A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995" w:type="dxa"/>
            <w:vAlign w:val="top"/>
          </w:tcPr>
          <w:p w14:paraId="24357BE7">
            <w:pPr>
              <w:rPr>
                <w:rFonts w:ascii="Arial"/>
                <w:color w:val="auto"/>
                <w:sz w:val="21"/>
                <w:highlight w:val="none"/>
              </w:rPr>
            </w:pPr>
          </w:p>
        </w:tc>
        <w:tc>
          <w:tcPr>
            <w:tcW w:w="7915" w:type="dxa"/>
            <w:vAlign w:val="top"/>
          </w:tcPr>
          <w:p w14:paraId="3960A9FB">
            <w:pPr>
              <w:pStyle w:val="17"/>
              <w:spacing w:before="34" w:line="221" w:lineRule="auto"/>
              <w:ind w:left="115"/>
              <w:rPr>
                <w:color w:val="auto"/>
                <w:highlight w:val="none"/>
              </w:rPr>
            </w:pPr>
            <w:r>
              <w:rPr>
                <w:color w:val="auto"/>
                <w:spacing w:val="-2"/>
                <w:highlight w:val="none"/>
              </w:rPr>
              <w:t>首次响应文件解密时间：</w:t>
            </w:r>
            <w:r>
              <w:rPr>
                <w:color w:val="auto"/>
                <w:spacing w:val="-2"/>
                <w:highlight w:val="none"/>
                <w:u w:val="single" w:color="auto"/>
              </w:rPr>
              <w:t>30</w:t>
            </w:r>
            <w:r>
              <w:rPr>
                <w:color w:val="auto"/>
                <w:spacing w:val="-28"/>
                <w:highlight w:val="none"/>
                <w:u w:val="single" w:color="auto"/>
              </w:rPr>
              <w:t xml:space="preserve"> </w:t>
            </w:r>
            <w:r>
              <w:rPr>
                <w:color w:val="auto"/>
                <w:spacing w:val="-2"/>
                <w:highlight w:val="none"/>
              </w:rPr>
              <w:t>分钟</w:t>
            </w:r>
          </w:p>
        </w:tc>
      </w:tr>
      <w:tr w14:paraId="3481B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95" w:type="dxa"/>
            <w:vAlign w:val="top"/>
          </w:tcPr>
          <w:p w14:paraId="4E314E0B">
            <w:pPr>
              <w:pStyle w:val="17"/>
              <w:spacing w:before="270" w:line="183" w:lineRule="auto"/>
              <w:ind w:left="296"/>
              <w:rPr>
                <w:color w:val="auto"/>
                <w:highlight w:val="none"/>
              </w:rPr>
            </w:pPr>
            <w:r>
              <w:rPr>
                <w:color w:val="auto"/>
                <w:spacing w:val="-2"/>
                <w:highlight w:val="none"/>
              </w:rPr>
              <w:t>28.1</w:t>
            </w:r>
          </w:p>
        </w:tc>
        <w:tc>
          <w:tcPr>
            <w:tcW w:w="7915" w:type="dxa"/>
            <w:vAlign w:val="top"/>
          </w:tcPr>
          <w:p w14:paraId="7BCC153D">
            <w:pPr>
              <w:pStyle w:val="17"/>
              <w:spacing w:before="29" w:line="190" w:lineRule="auto"/>
              <w:ind w:left="121"/>
              <w:rPr>
                <w:color w:val="auto"/>
                <w:highlight w:val="none"/>
              </w:rPr>
            </w:pPr>
            <w:r>
              <w:rPr>
                <w:rFonts w:hint="eastAsia"/>
                <w:color w:val="auto"/>
                <w:spacing w:val="-2"/>
                <w:highlight w:val="none"/>
                <w:lang w:eastAsia="zh-CN"/>
              </w:rPr>
              <w:t>☑</w:t>
            </w:r>
            <w:r>
              <w:rPr>
                <w:color w:val="auto"/>
                <w:spacing w:val="-5"/>
                <w:highlight w:val="none"/>
              </w:rPr>
              <w:t>本项目不收取履约保证金。</w:t>
            </w:r>
          </w:p>
          <w:p w14:paraId="1E16510A">
            <w:pPr>
              <w:pStyle w:val="17"/>
              <w:spacing w:before="122" w:line="220" w:lineRule="auto"/>
              <w:ind w:left="133"/>
              <w:rPr>
                <w:color w:val="auto"/>
                <w:spacing w:val="-2"/>
                <w:highlight w:val="none"/>
              </w:rPr>
            </w:pPr>
            <w:r>
              <w:rPr>
                <w:rFonts w:hint="eastAsia"/>
                <w:color w:val="auto"/>
                <w:spacing w:val="-2"/>
                <w:highlight w:val="none"/>
                <w:lang w:eastAsia="zh-CN"/>
              </w:rPr>
              <w:t>□</w:t>
            </w:r>
            <w:r>
              <w:rPr>
                <w:color w:val="auto"/>
                <w:spacing w:val="-2"/>
                <w:highlight w:val="none"/>
              </w:rPr>
              <w:t>本项目收取履约保证金，具体规定如下：</w:t>
            </w:r>
          </w:p>
          <w:p w14:paraId="0C5F153C">
            <w:pPr>
              <w:pStyle w:val="17"/>
              <w:spacing w:before="155" w:line="226" w:lineRule="auto"/>
              <w:ind w:left="11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履约担保金额：</w:t>
            </w:r>
            <w:r>
              <w:rPr>
                <w:rFonts w:hint="eastAsia" w:cs="宋体"/>
                <w:color w:val="auto"/>
                <w:spacing w:val="8"/>
                <w:sz w:val="21"/>
                <w:szCs w:val="21"/>
                <w:highlight w:val="none"/>
                <w:u w:val="single"/>
                <w:lang w:val="en-US" w:eastAsia="zh-CN"/>
              </w:rPr>
              <w:t>/</w:t>
            </w:r>
            <w:r>
              <w:rPr>
                <w:rFonts w:hint="eastAsia" w:ascii="宋体" w:hAnsi="宋体" w:eastAsia="宋体" w:cs="宋体"/>
                <w:color w:val="auto"/>
                <w:spacing w:val="8"/>
                <w:sz w:val="21"/>
                <w:szCs w:val="21"/>
                <w:highlight w:val="none"/>
                <w:u w:val="single"/>
              </w:rPr>
              <w:t xml:space="preserve"> %</w:t>
            </w:r>
            <w:r>
              <w:rPr>
                <w:rFonts w:hint="eastAsia" w:ascii="宋体" w:hAnsi="宋体" w:eastAsia="宋体" w:cs="宋体"/>
                <w:color w:val="auto"/>
                <w:spacing w:val="8"/>
                <w:sz w:val="21"/>
                <w:szCs w:val="21"/>
                <w:highlight w:val="none"/>
              </w:rPr>
              <w:t>签约合同价</w:t>
            </w:r>
          </w:p>
          <w:p w14:paraId="2ABA489A">
            <w:pPr>
              <w:pStyle w:val="17"/>
              <w:spacing w:before="154" w:line="369" w:lineRule="auto"/>
              <w:ind w:left="113" w:right="55" w:firstLine="2"/>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履约担保形式：转帐、电汇或银行保函（注明项目名</w:t>
            </w:r>
            <w:r>
              <w:rPr>
                <w:rFonts w:hint="eastAsia" w:ascii="宋体" w:hAnsi="宋体" w:eastAsia="宋体" w:cs="宋体"/>
                <w:color w:val="auto"/>
                <w:spacing w:val="6"/>
                <w:sz w:val="21"/>
                <w:szCs w:val="21"/>
                <w:highlight w:val="none"/>
              </w:rPr>
              <w:t>称及项目编号</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6"/>
                <w:sz w:val="21"/>
                <w:szCs w:val="21"/>
                <w:highlight w:val="none"/>
              </w:rPr>
              <w:t>采用银行保函时，</w:t>
            </w:r>
            <w:r>
              <w:rPr>
                <w:rFonts w:hint="eastAsia" w:ascii="宋体" w:hAnsi="宋体" w:eastAsia="宋体" w:cs="宋体"/>
                <w:color w:val="auto"/>
                <w:spacing w:val="9"/>
                <w:sz w:val="21"/>
                <w:szCs w:val="21"/>
                <w:highlight w:val="none"/>
              </w:rPr>
              <w:t>出具保函的银行级别：</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9"/>
                <w:sz w:val="21"/>
                <w:szCs w:val="21"/>
                <w:highlight w:val="none"/>
              </w:rPr>
              <w:t>中国银行、中国农业银行、中国工商银行、中国建设银行、交通</w:t>
            </w:r>
            <w:r>
              <w:rPr>
                <w:rFonts w:hint="eastAsia" w:ascii="宋体" w:hAnsi="宋体" w:eastAsia="宋体" w:cs="宋体"/>
                <w:color w:val="auto"/>
                <w:spacing w:val="10"/>
                <w:sz w:val="21"/>
                <w:szCs w:val="21"/>
                <w:highlight w:val="none"/>
              </w:rPr>
              <w:t>银行五大银行的全国性的地市级分行（支行）及以上级别银行，银行保函格式自拟，相</w:t>
            </w:r>
            <w:r>
              <w:rPr>
                <w:rFonts w:hint="eastAsia" w:ascii="宋体" w:hAnsi="宋体" w:eastAsia="宋体" w:cs="宋体"/>
                <w:color w:val="auto"/>
                <w:spacing w:val="9"/>
                <w:sz w:val="21"/>
                <w:szCs w:val="21"/>
                <w:highlight w:val="none"/>
              </w:rPr>
              <w:t>关内容不得背离竞争性磋商文件约定的实质性内容，且开具前须报发包人核准。</w:t>
            </w:r>
          </w:p>
          <w:p w14:paraId="288B1606">
            <w:pPr>
              <w:pStyle w:val="17"/>
              <w:spacing w:before="154" w:line="369" w:lineRule="auto"/>
              <w:ind w:left="117" w:right="107" w:hanging="4"/>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保函的正本由发包人保存，保函中不论有否明示，有效期均应至工程通过交工验收并按</w:t>
            </w:r>
            <w:r>
              <w:rPr>
                <w:rFonts w:hint="eastAsia" w:ascii="宋体" w:hAnsi="宋体" w:eastAsia="宋体" w:cs="宋体"/>
                <w:color w:val="auto"/>
                <w:spacing w:val="11"/>
                <w:sz w:val="21"/>
                <w:szCs w:val="21"/>
                <w:highlight w:val="none"/>
              </w:rPr>
              <w:t xml:space="preserve"> </w:t>
            </w:r>
            <w:r>
              <w:rPr>
                <w:rFonts w:hint="eastAsia" w:ascii="宋体" w:hAnsi="宋体" w:eastAsia="宋体" w:cs="宋体"/>
                <w:color w:val="auto"/>
                <w:spacing w:val="10"/>
                <w:sz w:val="21"/>
                <w:szCs w:val="21"/>
                <w:highlight w:val="none"/>
              </w:rPr>
              <w:t>约定交纳质量保证金后止，供应商应按此规定办理。如保函有效期未能满足工期要求的</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8"/>
                <w:sz w:val="21"/>
                <w:szCs w:val="21"/>
                <w:highlight w:val="none"/>
              </w:rPr>
              <w:t>（或工期延长的</w:t>
            </w:r>
            <w:r>
              <w:rPr>
                <w:rFonts w:hint="eastAsia" w:ascii="宋体" w:hAnsi="宋体" w:eastAsia="宋体" w:cs="宋体"/>
                <w:color w:val="auto"/>
                <w:spacing w:val="19"/>
                <w:sz w:val="21"/>
                <w:szCs w:val="21"/>
                <w:highlight w:val="none"/>
              </w:rPr>
              <w:t>），</w:t>
            </w:r>
            <w:r>
              <w:rPr>
                <w:rFonts w:hint="eastAsia" w:ascii="宋体" w:hAnsi="宋体" w:eastAsia="宋体" w:cs="宋体"/>
                <w:color w:val="auto"/>
                <w:spacing w:val="8"/>
                <w:sz w:val="21"/>
                <w:szCs w:val="21"/>
                <w:highlight w:val="none"/>
              </w:rPr>
              <w:t>保函失效前</w:t>
            </w:r>
            <w:r>
              <w:rPr>
                <w:rFonts w:hint="eastAsia" w:ascii="宋体" w:hAnsi="宋体" w:eastAsia="宋体" w:cs="宋体"/>
                <w:color w:val="auto"/>
                <w:spacing w:val="-38"/>
                <w:sz w:val="21"/>
                <w:szCs w:val="21"/>
                <w:highlight w:val="none"/>
              </w:rPr>
              <w:t xml:space="preserve"> </w:t>
            </w:r>
            <w:r>
              <w:rPr>
                <w:rFonts w:hint="eastAsia" w:ascii="宋体" w:hAnsi="宋体" w:eastAsia="宋体" w:cs="宋体"/>
                <w:color w:val="auto"/>
                <w:spacing w:val="8"/>
                <w:sz w:val="21"/>
                <w:szCs w:val="21"/>
                <w:highlight w:val="none"/>
              </w:rPr>
              <w:t>3 个月承包人应按上述要求重新出具履约保函，</w:t>
            </w:r>
            <w:r>
              <w:rPr>
                <w:rFonts w:hint="eastAsia" w:ascii="宋体" w:hAnsi="宋体" w:eastAsia="宋体" w:cs="宋体"/>
                <w:color w:val="auto"/>
                <w:spacing w:val="-59"/>
                <w:sz w:val="21"/>
                <w:szCs w:val="21"/>
                <w:highlight w:val="none"/>
              </w:rPr>
              <w:t xml:space="preserve"> </w:t>
            </w:r>
            <w:r>
              <w:rPr>
                <w:rFonts w:hint="eastAsia" w:ascii="宋体" w:hAnsi="宋体" w:eastAsia="宋体" w:cs="宋体"/>
                <w:color w:val="auto"/>
                <w:spacing w:val="8"/>
                <w:sz w:val="21"/>
                <w:szCs w:val="21"/>
                <w:highlight w:val="none"/>
              </w:rPr>
              <w:t>以保障</w:t>
            </w:r>
            <w:r>
              <w:rPr>
                <w:rFonts w:hint="eastAsia" w:ascii="宋体" w:hAnsi="宋体" w:eastAsia="宋体" w:cs="宋体"/>
                <w:color w:val="auto"/>
                <w:spacing w:val="6"/>
                <w:sz w:val="21"/>
                <w:szCs w:val="21"/>
                <w:highlight w:val="none"/>
              </w:rPr>
              <w:t>项目正常履约。</w:t>
            </w:r>
          </w:p>
          <w:p w14:paraId="37EC8A44">
            <w:pPr>
              <w:pStyle w:val="17"/>
              <w:spacing w:before="122" w:line="220" w:lineRule="auto"/>
              <w:ind w:left="133"/>
              <w:rPr>
                <w:color w:val="auto"/>
                <w:spacing w:val="-2"/>
                <w:highlight w:val="none"/>
              </w:rPr>
            </w:pPr>
            <w:r>
              <w:rPr>
                <w:rFonts w:hint="eastAsia" w:ascii="宋体" w:hAnsi="宋体" w:eastAsia="宋体" w:cs="宋体"/>
                <w:color w:val="auto"/>
                <w:spacing w:val="8"/>
                <w:sz w:val="21"/>
                <w:szCs w:val="21"/>
                <w:highlight w:val="none"/>
              </w:rPr>
              <w:t>履约担保提交时间：收到成交通知书后</w:t>
            </w:r>
            <w:r>
              <w:rPr>
                <w:rFonts w:hint="eastAsia" w:ascii="宋体" w:hAnsi="宋体" w:eastAsia="宋体" w:cs="宋体"/>
                <w:color w:val="auto"/>
                <w:spacing w:val="-27"/>
                <w:sz w:val="21"/>
                <w:szCs w:val="21"/>
                <w:highlight w:val="none"/>
              </w:rPr>
              <w:t xml:space="preserve"> </w:t>
            </w:r>
            <w:r>
              <w:rPr>
                <w:rFonts w:hint="eastAsia" w:cs="宋体"/>
                <w:color w:val="auto"/>
                <w:spacing w:val="8"/>
                <w:sz w:val="21"/>
                <w:szCs w:val="21"/>
                <w:highlight w:val="none"/>
                <w:lang w:val="en-US" w:eastAsia="zh-CN"/>
              </w:rPr>
              <w:t>/</w:t>
            </w:r>
            <w:r>
              <w:rPr>
                <w:rFonts w:hint="eastAsia" w:ascii="宋体" w:hAnsi="宋体" w:eastAsia="宋体" w:cs="宋体"/>
                <w:color w:val="auto"/>
                <w:spacing w:val="8"/>
                <w:sz w:val="21"/>
                <w:szCs w:val="21"/>
                <w:highlight w:val="none"/>
              </w:rPr>
              <w:t xml:space="preserve"> 天内，签订合同协议书前。</w:t>
            </w:r>
          </w:p>
        </w:tc>
      </w:tr>
      <w:tr w14:paraId="1CC7D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6" w:hRule="atLeast"/>
        </w:trPr>
        <w:tc>
          <w:tcPr>
            <w:tcW w:w="995" w:type="dxa"/>
            <w:vAlign w:val="top"/>
          </w:tcPr>
          <w:p w14:paraId="6EB27E5B">
            <w:pPr>
              <w:spacing w:line="269" w:lineRule="auto"/>
              <w:rPr>
                <w:rFonts w:ascii="Arial"/>
                <w:color w:val="auto"/>
                <w:sz w:val="21"/>
                <w:highlight w:val="none"/>
              </w:rPr>
            </w:pPr>
          </w:p>
          <w:p w14:paraId="7212D7DA">
            <w:pPr>
              <w:spacing w:line="269" w:lineRule="auto"/>
              <w:rPr>
                <w:rFonts w:ascii="Arial"/>
                <w:color w:val="auto"/>
                <w:sz w:val="21"/>
                <w:highlight w:val="none"/>
              </w:rPr>
            </w:pPr>
          </w:p>
          <w:p w14:paraId="4E513BCF">
            <w:pPr>
              <w:spacing w:line="270" w:lineRule="auto"/>
              <w:rPr>
                <w:rFonts w:ascii="Arial"/>
                <w:color w:val="auto"/>
                <w:sz w:val="21"/>
                <w:highlight w:val="none"/>
              </w:rPr>
            </w:pPr>
          </w:p>
          <w:p w14:paraId="34527E2D">
            <w:pPr>
              <w:pStyle w:val="17"/>
              <w:spacing w:before="69" w:line="183" w:lineRule="auto"/>
              <w:ind w:left="296"/>
              <w:rPr>
                <w:color w:val="auto"/>
                <w:highlight w:val="none"/>
              </w:rPr>
            </w:pPr>
            <w:r>
              <w:rPr>
                <w:color w:val="auto"/>
                <w:spacing w:val="-2"/>
                <w:highlight w:val="none"/>
              </w:rPr>
              <w:t>29.1</w:t>
            </w:r>
          </w:p>
        </w:tc>
        <w:tc>
          <w:tcPr>
            <w:tcW w:w="7915" w:type="dxa"/>
            <w:vAlign w:val="top"/>
          </w:tcPr>
          <w:p w14:paraId="6E282C80">
            <w:pPr>
              <w:pStyle w:val="17"/>
              <w:spacing w:before="26" w:line="220" w:lineRule="auto"/>
              <w:ind w:left="112"/>
              <w:rPr>
                <w:color w:val="auto"/>
                <w:highlight w:val="none"/>
              </w:rPr>
            </w:pPr>
            <w:r>
              <w:rPr>
                <w:color w:val="auto"/>
                <w:spacing w:val="-1"/>
                <w:highlight w:val="none"/>
              </w:rPr>
              <w:t>签订合同携带的证明材料：</w:t>
            </w:r>
          </w:p>
          <w:p w14:paraId="489F9A41">
            <w:pPr>
              <w:pStyle w:val="17"/>
              <w:spacing w:before="158" w:line="347" w:lineRule="auto"/>
              <w:ind w:left="111" w:right="103"/>
              <w:rPr>
                <w:color w:val="auto"/>
                <w:highlight w:val="none"/>
              </w:rPr>
            </w:pPr>
            <w:r>
              <w:rPr>
                <w:color w:val="auto"/>
                <w:spacing w:val="-2"/>
                <w:highlight w:val="none"/>
              </w:rPr>
              <w:t>委托代理人负责签订合同的，须携带授权委托书及委托代理人身份证原件等其他</w:t>
            </w:r>
            <w:r>
              <w:rPr>
                <w:color w:val="auto"/>
                <w:spacing w:val="-3"/>
                <w:highlight w:val="none"/>
              </w:rPr>
              <w:t>资格</w:t>
            </w:r>
            <w:r>
              <w:rPr>
                <w:color w:val="auto"/>
                <w:highlight w:val="none"/>
              </w:rPr>
              <w:t xml:space="preserve"> </w:t>
            </w:r>
            <w:r>
              <w:rPr>
                <w:color w:val="auto"/>
                <w:spacing w:val="-8"/>
                <w:highlight w:val="none"/>
              </w:rPr>
              <w:t>证件。</w:t>
            </w:r>
          </w:p>
          <w:p w14:paraId="756DE539">
            <w:pPr>
              <w:pStyle w:val="17"/>
              <w:spacing w:before="30" w:line="343" w:lineRule="auto"/>
              <w:ind w:left="132" w:right="102" w:hanging="19"/>
              <w:rPr>
                <w:color w:val="auto"/>
                <w:highlight w:val="none"/>
              </w:rPr>
            </w:pPr>
            <w:r>
              <w:rPr>
                <w:color w:val="auto"/>
                <w:spacing w:val="-2"/>
                <w:highlight w:val="none"/>
              </w:rPr>
              <w:t>法定代表人负责签订合同的，须携带法定代表人身份证明原件及身份证原件等</w:t>
            </w:r>
            <w:r>
              <w:rPr>
                <w:color w:val="auto"/>
                <w:spacing w:val="-3"/>
                <w:highlight w:val="none"/>
              </w:rPr>
              <w:t>其他证</w:t>
            </w:r>
            <w:r>
              <w:rPr>
                <w:color w:val="auto"/>
                <w:highlight w:val="none"/>
              </w:rPr>
              <w:t xml:space="preserve"> </w:t>
            </w:r>
            <w:r>
              <w:rPr>
                <w:color w:val="auto"/>
                <w:spacing w:val="-7"/>
                <w:highlight w:val="none"/>
              </w:rPr>
              <w:t>明材料。</w:t>
            </w:r>
          </w:p>
        </w:tc>
      </w:tr>
      <w:tr w14:paraId="58B6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995" w:type="dxa"/>
            <w:vAlign w:val="top"/>
          </w:tcPr>
          <w:p w14:paraId="212D3627">
            <w:pPr>
              <w:spacing w:line="303" w:lineRule="auto"/>
              <w:rPr>
                <w:rFonts w:ascii="Arial"/>
                <w:color w:val="auto"/>
                <w:sz w:val="21"/>
                <w:highlight w:val="none"/>
              </w:rPr>
            </w:pPr>
          </w:p>
          <w:p w14:paraId="02EBBC5C">
            <w:pPr>
              <w:spacing w:line="304" w:lineRule="auto"/>
              <w:rPr>
                <w:rFonts w:ascii="Arial"/>
                <w:color w:val="auto"/>
                <w:sz w:val="21"/>
                <w:highlight w:val="none"/>
              </w:rPr>
            </w:pPr>
          </w:p>
          <w:p w14:paraId="148D61D9">
            <w:pPr>
              <w:pStyle w:val="17"/>
              <w:spacing w:before="68" w:line="183" w:lineRule="auto"/>
              <w:ind w:left="297"/>
              <w:rPr>
                <w:color w:val="auto"/>
                <w:highlight w:val="none"/>
              </w:rPr>
            </w:pPr>
            <w:r>
              <w:rPr>
                <w:color w:val="auto"/>
                <w:spacing w:val="-3"/>
                <w:highlight w:val="none"/>
              </w:rPr>
              <w:t>31.2</w:t>
            </w:r>
          </w:p>
        </w:tc>
        <w:tc>
          <w:tcPr>
            <w:tcW w:w="7915" w:type="dxa"/>
            <w:vAlign w:val="top"/>
          </w:tcPr>
          <w:p w14:paraId="0BD8616A">
            <w:pPr>
              <w:pStyle w:val="17"/>
              <w:spacing w:before="30" w:line="220" w:lineRule="auto"/>
              <w:ind w:left="111"/>
              <w:rPr>
                <w:color w:val="auto"/>
                <w:highlight w:val="none"/>
              </w:rPr>
            </w:pPr>
            <w:r>
              <w:rPr>
                <w:color w:val="auto"/>
                <w:spacing w:val="-1"/>
                <w:highlight w:val="none"/>
              </w:rPr>
              <w:t>接收质疑函方式：书面形式</w:t>
            </w:r>
          </w:p>
          <w:p w14:paraId="1E63B084">
            <w:pPr>
              <w:pStyle w:val="17"/>
              <w:spacing w:before="160" w:line="345" w:lineRule="auto"/>
              <w:ind w:left="113" w:right="77"/>
              <w:rPr>
                <w:rFonts w:hint="eastAsia" w:eastAsia="宋体"/>
                <w:color w:val="auto"/>
                <w:highlight w:val="none"/>
                <w:lang w:eastAsia="zh-CN"/>
              </w:rPr>
            </w:pPr>
            <w:r>
              <w:rPr>
                <w:color w:val="auto"/>
                <w:spacing w:val="-1"/>
                <w:highlight w:val="none"/>
              </w:rPr>
              <w:t>质疑联系部门及联系方式：</w:t>
            </w:r>
            <w:r>
              <w:rPr>
                <w:rFonts w:hint="eastAsia"/>
                <w:color w:val="auto"/>
                <w:spacing w:val="-1"/>
                <w:highlight w:val="none"/>
                <w:lang w:eastAsia="zh-CN"/>
              </w:rPr>
              <w:t>广西硕友建设工程咨询有限公司</w:t>
            </w:r>
            <w:r>
              <w:rPr>
                <w:color w:val="auto"/>
                <w:spacing w:val="-2"/>
                <w:highlight w:val="none"/>
              </w:rPr>
              <w:t>，联系电话：</w:t>
            </w:r>
            <w:r>
              <w:rPr>
                <w:rFonts w:hint="eastAsia"/>
                <w:color w:val="auto"/>
                <w:spacing w:val="-2"/>
                <w:highlight w:val="none"/>
                <w:lang w:eastAsia="zh-CN"/>
              </w:rPr>
              <w:t>0775-</w:t>
            </w:r>
            <w:r>
              <w:rPr>
                <w:rFonts w:hint="eastAsia"/>
                <w:color w:val="auto"/>
                <w:spacing w:val="-2"/>
                <w:highlight w:val="none"/>
                <w:lang w:val="en-US" w:eastAsia="zh-CN"/>
              </w:rPr>
              <w:t>2666319</w:t>
            </w:r>
            <w:r>
              <w:rPr>
                <w:color w:val="auto"/>
                <w:spacing w:val="-1"/>
                <w:highlight w:val="none"/>
              </w:rPr>
              <w:t>，通讯地址：</w:t>
            </w:r>
            <w:r>
              <w:rPr>
                <w:rFonts w:hint="eastAsia"/>
                <w:color w:val="auto"/>
                <w:spacing w:val="-1"/>
                <w:highlight w:val="none"/>
                <w:lang w:eastAsia="zh-CN"/>
              </w:rPr>
              <w:t>玉林市金旺里47号</w:t>
            </w:r>
          </w:p>
          <w:p w14:paraId="2A14604C">
            <w:pPr>
              <w:pStyle w:val="17"/>
              <w:spacing w:before="27" w:line="221" w:lineRule="auto"/>
              <w:ind w:left="111"/>
              <w:rPr>
                <w:color w:val="auto"/>
                <w:highlight w:val="none"/>
              </w:rPr>
            </w:pPr>
            <w:r>
              <w:rPr>
                <w:color w:val="auto"/>
                <w:highlight w:val="none"/>
              </w:rPr>
              <w:t>业务时间：工作日每天上午8时0</w:t>
            </w:r>
            <w:r>
              <w:rPr>
                <w:rFonts w:hint="eastAsia"/>
                <w:color w:val="auto"/>
                <w:spacing w:val="-1"/>
                <w:highlight w:val="none"/>
                <w:lang w:eastAsia="zh-CN"/>
              </w:rPr>
              <w:t>0分到12时00分，下</w:t>
            </w:r>
            <w:r>
              <w:rPr>
                <w:color w:val="auto"/>
                <w:spacing w:val="-1"/>
                <w:highlight w:val="none"/>
              </w:rPr>
              <w:t>午3时00分到6时00分。</w:t>
            </w:r>
          </w:p>
        </w:tc>
      </w:tr>
      <w:tr w14:paraId="4CE2A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995" w:type="dxa"/>
            <w:vAlign w:val="top"/>
          </w:tcPr>
          <w:p w14:paraId="6E68D66C">
            <w:pPr>
              <w:spacing w:line="270" w:lineRule="auto"/>
              <w:rPr>
                <w:rFonts w:ascii="Arial"/>
                <w:color w:val="auto"/>
                <w:sz w:val="21"/>
                <w:highlight w:val="none"/>
              </w:rPr>
            </w:pPr>
          </w:p>
          <w:p w14:paraId="42BE6926">
            <w:pPr>
              <w:spacing w:line="270" w:lineRule="auto"/>
              <w:rPr>
                <w:rFonts w:ascii="Arial"/>
                <w:color w:val="auto"/>
                <w:sz w:val="21"/>
                <w:highlight w:val="none"/>
              </w:rPr>
            </w:pPr>
          </w:p>
          <w:p w14:paraId="3F6BB46C">
            <w:pPr>
              <w:spacing w:line="270" w:lineRule="auto"/>
              <w:rPr>
                <w:rFonts w:ascii="Arial"/>
                <w:color w:val="auto"/>
                <w:sz w:val="21"/>
                <w:highlight w:val="none"/>
              </w:rPr>
            </w:pPr>
          </w:p>
          <w:p w14:paraId="07A0D2B1">
            <w:pPr>
              <w:spacing w:line="270" w:lineRule="auto"/>
              <w:rPr>
                <w:rFonts w:ascii="Arial"/>
                <w:color w:val="auto"/>
                <w:sz w:val="21"/>
                <w:highlight w:val="none"/>
              </w:rPr>
            </w:pPr>
          </w:p>
          <w:p w14:paraId="27277C9C">
            <w:pPr>
              <w:spacing w:line="270" w:lineRule="auto"/>
              <w:rPr>
                <w:rFonts w:ascii="Arial"/>
                <w:color w:val="auto"/>
                <w:sz w:val="21"/>
                <w:highlight w:val="none"/>
              </w:rPr>
            </w:pPr>
          </w:p>
          <w:p w14:paraId="2AC99FD1">
            <w:pPr>
              <w:spacing w:line="271" w:lineRule="auto"/>
              <w:rPr>
                <w:rFonts w:ascii="Arial"/>
                <w:color w:val="auto"/>
                <w:sz w:val="21"/>
                <w:highlight w:val="none"/>
              </w:rPr>
            </w:pPr>
          </w:p>
          <w:p w14:paraId="3CB5220E">
            <w:pPr>
              <w:pStyle w:val="17"/>
              <w:spacing w:before="69" w:line="183" w:lineRule="auto"/>
              <w:ind w:left="297"/>
              <w:rPr>
                <w:color w:val="auto"/>
                <w:highlight w:val="none"/>
              </w:rPr>
            </w:pPr>
            <w:r>
              <w:rPr>
                <w:color w:val="auto"/>
                <w:spacing w:val="-2"/>
                <w:highlight w:val="none"/>
              </w:rPr>
              <w:t>32.1</w:t>
            </w:r>
          </w:p>
        </w:tc>
        <w:tc>
          <w:tcPr>
            <w:tcW w:w="7915" w:type="dxa"/>
            <w:vAlign w:val="top"/>
          </w:tcPr>
          <w:p w14:paraId="0EE5C717">
            <w:pPr>
              <w:pStyle w:val="17"/>
              <w:spacing w:before="30" w:line="220" w:lineRule="auto"/>
              <w:ind w:left="127"/>
              <w:rPr>
                <w:color w:val="auto"/>
                <w:highlight w:val="none"/>
              </w:rPr>
            </w:pPr>
            <w:r>
              <w:rPr>
                <w:color w:val="auto"/>
                <w:spacing w:val="-4"/>
                <w:highlight w:val="none"/>
              </w:rPr>
              <w:t>1.采购代理费支付方式：</w:t>
            </w:r>
          </w:p>
          <w:p w14:paraId="0E6F3D46">
            <w:pPr>
              <w:pStyle w:val="17"/>
              <w:spacing w:before="159" w:line="345" w:lineRule="auto"/>
              <w:ind w:left="114" w:right="268" w:hanging="1"/>
              <w:rPr>
                <w:color w:val="auto"/>
                <w:highlight w:val="none"/>
              </w:rPr>
            </w:pPr>
            <w:r>
              <w:rPr>
                <w:color w:val="auto"/>
                <w:spacing w:val="-1"/>
                <w:highlight w:val="none"/>
              </w:rPr>
              <w:t>本项目代理服务费由成交供应商领取成交通知书前，一次性向采购代理机构支付。</w:t>
            </w:r>
            <w:r>
              <w:rPr>
                <w:color w:val="auto"/>
                <w:spacing w:val="3"/>
                <w:highlight w:val="none"/>
              </w:rPr>
              <w:t xml:space="preserve"> </w:t>
            </w:r>
            <w:r>
              <w:rPr>
                <w:color w:val="auto"/>
                <w:spacing w:val="-3"/>
                <w:highlight w:val="none"/>
              </w:rPr>
              <w:t>2.采购代理费收取标准：</w:t>
            </w:r>
          </w:p>
          <w:p w14:paraId="24BC07F2">
            <w:pPr>
              <w:pStyle w:val="17"/>
              <w:spacing w:before="31" w:line="345" w:lineRule="auto"/>
              <w:ind w:left="114" w:right="128" w:firstLine="21"/>
              <w:rPr>
                <w:color w:val="auto"/>
                <w:highlight w:val="none"/>
              </w:rPr>
            </w:pPr>
            <w:r>
              <w:rPr>
                <w:color w:val="auto"/>
                <w:spacing w:val="-2"/>
                <w:highlight w:val="none"/>
              </w:rPr>
              <w:t>以成交金额为计费额，按本须知正文第</w:t>
            </w:r>
            <w:r>
              <w:rPr>
                <w:color w:val="auto"/>
                <w:spacing w:val="-20"/>
                <w:highlight w:val="none"/>
              </w:rPr>
              <w:t xml:space="preserve"> </w:t>
            </w:r>
            <w:r>
              <w:rPr>
                <w:color w:val="auto"/>
                <w:spacing w:val="-2"/>
                <w:highlight w:val="none"/>
              </w:rPr>
              <w:t>32.2</w:t>
            </w:r>
            <w:r>
              <w:rPr>
                <w:color w:val="auto"/>
                <w:spacing w:val="-30"/>
                <w:highlight w:val="none"/>
              </w:rPr>
              <w:t xml:space="preserve"> </w:t>
            </w:r>
            <w:r>
              <w:rPr>
                <w:color w:val="auto"/>
                <w:spacing w:val="-2"/>
                <w:highlight w:val="none"/>
              </w:rPr>
              <w:t>条规定的收费计算标准（工程类）采用</w:t>
            </w:r>
            <w:r>
              <w:rPr>
                <w:color w:val="auto"/>
                <w:highlight w:val="none"/>
              </w:rPr>
              <w:t xml:space="preserve"> </w:t>
            </w:r>
            <w:r>
              <w:rPr>
                <w:color w:val="auto"/>
                <w:spacing w:val="-1"/>
                <w:highlight w:val="none"/>
              </w:rPr>
              <w:t>差额定率累进法计算出收费基准价格，采购代理收费以收费基准价格收取。</w:t>
            </w:r>
          </w:p>
          <w:p w14:paraId="66EEFC3F">
            <w:pPr>
              <w:pStyle w:val="17"/>
              <w:spacing w:before="31" w:line="360" w:lineRule="auto"/>
              <w:ind w:left="116"/>
              <w:rPr>
                <w:color w:val="auto"/>
                <w:highlight w:val="none"/>
              </w:rPr>
            </w:pPr>
            <w:r>
              <w:rPr>
                <w:color w:val="auto"/>
                <w:spacing w:val="-1"/>
                <w:highlight w:val="none"/>
              </w:rPr>
              <w:t>3. 采购代理费收取银行账户</w:t>
            </w:r>
          </w:p>
          <w:p w14:paraId="4DF064D6">
            <w:pPr>
              <w:pStyle w:val="17"/>
              <w:spacing w:before="32" w:line="360" w:lineRule="auto"/>
              <w:ind w:left="113" w:firstLine="210" w:firstLineChars="100"/>
              <w:rPr>
                <w:rFonts w:hint="eastAsia"/>
                <w:color w:val="auto"/>
                <w:highlight w:val="none"/>
                <w:lang w:eastAsia="zh-CN"/>
              </w:rPr>
            </w:pPr>
            <w:r>
              <w:rPr>
                <w:rFonts w:hint="eastAsia"/>
                <w:color w:val="auto"/>
                <w:highlight w:val="none"/>
              </w:rPr>
              <w:t>开户名称：</w:t>
            </w:r>
            <w:r>
              <w:rPr>
                <w:rFonts w:hint="eastAsia"/>
                <w:color w:val="auto"/>
                <w:highlight w:val="none"/>
                <w:lang w:eastAsia="zh-CN"/>
              </w:rPr>
              <w:t>广西硕友建设工程咨询有限公司</w:t>
            </w:r>
          </w:p>
          <w:p w14:paraId="1D3B10D0">
            <w:pPr>
              <w:pStyle w:val="17"/>
              <w:spacing w:before="32" w:line="360" w:lineRule="auto"/>
              <w:ind w:left="113" w:firstLine="210" w:firstLineChars="100"/>
              <w:rPr>
                <w:rFonts w:hint="eastAsia"/>
                <w:color w:val="auto"/>
                <w:highlight w:val="none"/>
              </w:rPr>
            </w:pPr>
            <w:r>
              <w:rPr>
                <w:rFonts w:hint="eastAsia"/>
                <w:color w:val="auto"/>
                <w:highlight w:val="none"/>
              </w:rPr>
              <w:t>银行账号：20405101040009125</w:t>
            </w:r>
          </w:p>
          <w:p w14:paraId="559A4167">
            <w:pPr>
              <w:pStyle w:val="17"/>
              <w:spacing w:before="32" w:line="360" w:lineRule="auto"/>
              <w:ind w:left="113" w:firstLine="210" w:firstLineChars="100"/>
              <w:rPr>
                <w:color w:val="auto"/>
                <w:highlight w:val="none"/>
              </w:rPr>
            </w:pPr>
            <w:r>
              <w:rPr>
                <w:rFonts w:hint="eastAsia"/>
                <w:color w:val="auto"/>
                <w:highlight w:val="none"/>
              </w:rPr>
              <w:t>开户银行：中国农业银行股份有限公司玉林玉东支行</w:t>
            </w:r>
          </w:p>
        </w:tc>
      </w:tr>
      <w:tr w14:paraId="28D24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5" w:hRule="atLeast"/>
        </w:trPr>
        <w:tc>
          <w:tcPr>
            <w:tcW w:w="995" w:type="dxa"/>
            <w:vAlign w:val="top"/>
          </w:tcPr>
          <w:p w14:paraId="51A73AE2">
            <w:pPr>
              <w:spacing w:line="243" w:lineRule="auto"/>
              <w:rPr>
                <w:rFonts w:ascii="Arial"/>
                <w:color w:val="auto"/>
                <w:sz w:val="21"/>
                <w:highlight w:val="none"/>
              </w:rPr>
            </w:pPr>
          </w:p>
          <w:p w14:paraId="0548AF57">
            <w:pPr>
              <w:spacing w:line="243" w:lineRule="auto"/>
              <w:rPr>
                <w:rFonts w:ascii="Arial"/>
                <w:color w:val="auto"/>
                <w:sz w:val="21"/>
                <w:highlight w:val="none"/>
              </w:rPr>
            </w:pPr>
          </w:p>
          <w:p w14:paraId="58B88FD2">
            <w:pPr>
              <w:spacing w:line="244" w:lineRule="auto"/>
              <w:rPr>
                <w:rFonts w:ascii="Arial"/>
                <w:color w:val="auto"/>
                <w:sz w:val="21"/>
                <w:highlight w:val="none"/>
              </w:rPr>
            </w:pPr>
          </w:p>
          <w:p w14:paraId="79F4A03A">
            <w:pPr>
              <w:spacing w:line="244" w:lineRule="auto"/>
              <w:rPr>
                <w:rFonts w:ascii="Arial"/>
                <w:color w:val="auto"/>
                <w:sz w:val="21"/>
                <w:highlight w:val="none"/>
              </w:rPr>
            </w:pPr>
          </w:p>
          <w:p w14:paraId="0AFB3DD1">
            <w:pPr>
              <w:spacing w:line="244" w:lineRule="auto"/>
              <w:rPr>
                <w:rFonts w:ascii="Arial"/>
                <w:color w:val="auto"/>
                <w:sz w:val="21"/>
                <w:highlight w:val="none"/>
              </w:rPr>
            </w:pPr>
          </w:p>
          <w:p w14:paraId="50B886F5">
            <w:pPr>
              <w:pStyle w:val="17"/>
              <w:spacing w:before="68" w:line="183" w:lineRule="auto"/>
              <w:ind w:left="297"/>
              <w:rPr>
                <w:color w:val="auto"/>
                <w:highlight w:val="none"/>
              </w:rPr>
            </w:pPr>
            <w:r>
              <w:rPr>
                <w:color w:val="auto"/>
                <w:spacing w:val="-3"/>
                <w:highlight w:val="none"/>
              </w:rPr>
              <w:t>33.1</w:t>
            </w:r>
          </w:p>
        </w:tc>
        <w:tc>
          <w:tcPr>
            <w:tcW w:w="7915" w:type="dxa"/>
            <w:vAlign w:val="top"/>
          </w:tcPr>
          <w:p w14:paraId="3BF94AB9">
            <w:pPr>
              <w:pStyle w:val="17"/>
              <w:spacing w:before="36" w:line="354" w:lineRule="auto"/>
              <w:ind w:left="111" w:right="105"/>
              <w:jc w:val="both"/>
              <w:rPr>
                <w:color w:val="auto"/>
                <w:highlight w:val="none"/>
              </w:rPr>
            </w:pPr>
            <w:r>
              <w:rPr>
                <w:color w:val="auto"/>
                <w:spacing w:val="-2"/>
                <w:highlight w:val="none"/>
              </w:rPr>
              <w:t>解释：构成本磋商文件的各个组成文件应互为解释，互为说明；除磋商文件</w:t>
            </w:r>
            <w:r>
              <w:rPr>
                <w:color w:val="auto"/>
                <w:spacing w:val="-3"/>
                <w:highlight w:val="none"/>
              </w:rPr>
              <w:t>中有特别</w:t>
            </w:r>
            <w:r>
              <w:rPr>
                <w:color w:val="auto"/>
                <w:highlight w:val="none"/>
              </w:rPr>
              <w:t xml:space="preserve"> </w:t>
            </w:r>
            <w:r>
              <w:rPr>
                <w:color w:val="auto"/>
                <w:spacing w:val="-2"/>
                <w:highlight w:val="none"/>
              </w:rPr>
              <w:t>规定外，仅适用于竞标阶段的规定，按更正公告（澄清公告）、竞争</w:t>
            </w:r>
            <w:r>
              <w:rPr>
                <w:color w:val="auto"/>
                <w:spacing w:val="-3"/>
                <w:highlight w:val="none"/>
              </w:rPr>
              <w:t>性磋商公告、供</w:t>
            </w:r>
            <w:r>
              <w:rPr>
                <w:color w:val="auto"/>
                <w:highlight w:val="none"/>
              </w:rPr>
              <w:t xml:space="preserve"> </w:t>
            </w:r>
            <w:r>
              <w:rPr>
                <w:color w:val="auto"/>
                <w:spacing w:val="-2"/>
                <w:highlight w:val="none"/>
              </w:rPr>
              <w:t>应商须知、采购需求、评审程序、评审方法和评审标准、响应文件格</w:t>
            </w:r>
            <w:r>
              <w:rPr>
                <w:color w:val="auto"/>
                <w:spacing w:val="-3"/>
                <w:highlight w:val="none"/>
              </w:rPr>
              <w:t>式、合同文本的</w:t>
            </w:r>
            <w:r>
              <w:rPr>
                <w:color w:val="auto"/>
                <w:highlight w:val="none"/>
              </w:rPr>
              <w:t xml:space="preserve"> </w:t>
            </w:r>
            <w:r>
              <w:rPr>
                <w:color w:val="auto"/>
                <w:spacing w:val="-2"/>
                <w:highlight w:val="none"/>
              </w:rPr>
              <w:t>先后顺序解释；同一组成文件中就同一事项的规定或者约定不一致的，以</w:t>
            </w:r>
            <w:r>
              <w:rPr>
                <w:color w:val="auto"/>
                <w:spacing w:val="-3"/>
                <w:highlight w:val="none"/>
              </w:rPr>
              <w:t>编排顺序在</w:t>
            </w:r>
            <w:r>
              <w:rPr>
                <w:color w:val="auto"/>
                <w:highlight w:val="none"/>
              </w:rPr>
              <w:t xml:space="preserve"> </w:t>
            </w:r>
            <w:r>
              <w:rPr>
                <w:color w:val="auto"/>
                <w:spacing w:val="-2"/>
                <w:highlight w:val="none"/>
              </w:rPr>
              <w:t>后者为准；同一组成文件不同版本之间有不一致的，以形成时间在后者为</w:t>
            </w:r>
            <w:r>
              <w:rPr>
                <w:color w:val="auto"/>
                <w:spacing w:val="-3"/>
                <w:highlight w:val="none"/>
              </w:rPr>
              <w:t>准；更正公</w:t>
            </w:r>
            <w:r>
              <w:rPr>
                <w:color w:val="auto"/>
                <w:highlight w:val="none"/>
              </w:rPr>
              <w:t xml:space="preserve"> </w:t>
            </w:r>
            <w:r>
              <w:rPr>
                <w:color w:val="auto"/>
                <w:spacing w:val="-2"/>
                <w:highlight w:val="none"/>
              </w:rPr>
              <w:t>告（澄清公告）与同步更新的磋商文件不一致时以更正公告（澄清公告）</w:t>
            </w:r>
            <w:r>
              <w:rPr>
                <w:color w:val="auto"/>
                <w:spacing w:val="-3"/>
                <w:highlight w:val="none"/>
              </w:rPr>
              <w:t>为准。按本</w:t>
            </w:r>
            <w:r>
              <w:rPr>
                <w:color w:val="auto"/>
                <w:highlight w:val="none"/>
              </w:rPr>
              <w:t xml:space="preserve"> </w:t>
            </w:r>
            <w:r>
              <w:rPr>
                <w:color w:val="auto"/>
                <w:spacing w:val="-1"/>
                <w:highlight w:val="none"/>
              </w:rPr>
              <w:t>款前述规定仍不能形成结论的，由采购人或者采购代理机构负责解释。</w:t>
            </w:r>
          </w:p>
        </w:tc>
      </w:tr>
      <w:tr w14:paraId="32FFC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1" w:hRule="atLeast"/>
        </w:trPr>
        <w:tc>
          <w:tcPr>
            <w:tcW w:w="995" w:type="dxa"/>
            <w:vAlign w:val="top"/>
          </w:tcPr>
          <w:p w14:paraId="241C0D5F">
            <w:pPr>
              <w:spacing w:line="271" w:lineRule="auto"/>
              <w:rPr>
                <w:rFonts w:ascii="Arial"/>
                <w:color w:val="auto"/>
                <w:sz w:val="21"/>
                <w:highlight w:val="none"/>
              </w:rPr>
            </w:pPr>
          </w:p>
          <w:p w14:paraId="166AE2A0">
            <w:pPr>
              <w:spacing w:line="271" w:lineRule="auto"/>
              <w:rPr>
                <w:rFonts w:ascii="Arial"/>
                <w:color w:val="auto"/>
                <w:sz w:val="21"/>
                <w:highlight w:val="none"/>
              </w:rPr>
            </w:pPr>
          </w:p>
          <w:p w14:paraId="4CFC39A7">
            <w:pPr>
              <w:spacing w:line="272" w:lineRule="auto"/>
              <w:rPr>
                <w:rFonts w:ascii="Arial"/>
                <w:color w:val="auto"/>
                <w:sz w:val="21"/>
                <w:highlight w:val="none"/>
              </w:rPr>
            </w:pPr>
          </w:p>
          <w:p w14:paraId="624BB92B">
            <w:pPr>
              <w:pStyle w:val="17"/>
              <w:spacing w:before="68" w:line="182" w:lineRule="auto"/>
              <w:ind w:left="297"/>
              <w:rPr>
                <w:color w:val="auto"/>
                <w:highlight w:val="none"/>
              </w:rPr>
            </w:pPr>
            <w:r>
              <w:rPr>
                <w:color w:val="auto"/>
                <w:spacing w:val="-2"/>
                <w:highlight w:val="none"/>
              </w:rPr>
              <w:t>33.2</w:t>
            </w:r>
          </w:p>
        </w:tc>
        <w:tc>
          <w:tcPr>
            <w:tcW w:w="7915" w:type="dxa"/>
            <w:vAlign w:val="top"/>
          </w:tcPr>
          <w:p w14:paraId="166E62A6">
            <w:pPr>
              <w:pStyle w:val="17"/>
              <w:spacing w:before="33" w:line="353" w:lineRule="auto"/>
              <w:ind w:left="112" w:right="104"/>
              <w:jc w:val="both"/>
              <w:rPr>
                <w:color w:val="auto"/>
                <w:highlight w:val="none"/>
              </w:rPr>
            </w:pPr>
            <w:r>
              <w:rPr>
                <w:color w:val="auto"/>
                <w:spacing w:val="-2"/>
                <w:highlight w:val="none"/>
              </w:rPr>
              <w:t>农民工工资保证金：按照《保障农民工工资支付条例》及《广西壮族自治</w:t>
            </w:r>
            <w:r>
              <w:rPr>
                <w:color w:val="auto"/>
                <w:spacing w:val="-3"/>
                <w:highlight w:val="none"/>
              </w:rPr>
              <w:t>区人力资源</w:t>
            </w:r>
            <w:r>
              <w:rPr>
                <w:color w:val="auto"/>
                <w:highlight w:val="none"/>
              </w:rPr>
              <w:t xml:space="preserve"> </w:t>
            </w:r>
            <w:r>
              <w:rPr>
                <w:color w:val="auto"/>
                <w:spacing w:val="1"/>
                <w:highlight w:val="none"/>
              </w:rPr>
              <w:t>和社会保障厅等 8 部门关于印发广西壮族自治区工程</w:t>
            </w:r>
            <w:r>
              <w:rPr>
                <w:color w:val="auto"/>
                <w:highlight w:val="none"/>
              </w:rPr>
              <w:t xml:space="preserve">建设领域农民工工资专用账户 </w:t>
            </w:r>
            <w:r>
              <w:rPr>
                <w:color w:val="auto"/>
                <w:spacing w:val="-1"/>
                <w:highlight w:val="none"/>
              </w:rPr>
              <w:t>管理暂行办法实施细则的通知》（桂人社规〔2022〕5</w:t>
            </w:r>
            <w:r>
              <w:rPr>
                <w:color w:val="auto"/>
                <w:spacing w:val="-40"/>
                <w:highlight w:val="none"/>
              </w:rPr>
              <w:t xml:space="preserve"> </w:t>
            </w:r>
            <w:r>
              <w:rPr>
                <w:color w:val="auto"/>
                <w:spacing w:val="-1"/>
                <w:highlight w:val="none"/>
              </w:rPr>
              <w:t>号）有关规定执行。如开设了</w:t>
            </w:r>
            <w:r>
              <w:rPr>
                <w:color w:val="auto"/>
                <w:highlight w:val="none"/>
              </w:rPr>
              <w:t xml:space="preserve"> </w:t>
            </w:r>
            <w:r>
              <w:rPr>
                <w:color w:val="auto"/>
                <w:spacing w:val="-2"/>
                <w:highlight w:val="none"/>
              </w:rPr>
              <w:t>农民工工资专用账户的，应按规定比例足额将农民工工资保证金存入帐户</w:t>
            </w:r>
            <w:r>
              <w:rPr>
                <w:color w:val="auto"/>
                <w:spacing w:val="-3"/>
                <w:highlight w:val="none"/>
              </w:rPr>
              <w:t>，也可以使</w:t>
            </w:r>
            <w:r>
              <w:rPr>
                <w:color w:val="auto"/>
                <w:highlight w:val="none"/>
              </w:rPr>
              <w:t xml:space="preserve"> </w:t>
            </w:r>
            <w:r>
              <w:rPr>
                <w:color w:val="auto"/>
                <w:spacing w:val="-2"/>
                <w:highlight w:val="none"/>
              </w:rPr>
              <w:t>用银行保函。工程竣工验收结算经审定后，按照规定程序，将农民工工</w:t>
            </w:r>
            <w:r>
              <w:rPr>
                <w:color w:val="auto"/>
                <w:spacing w:val="-3"/>
                <w:highlight w:val="none"/>
              </w:rPr>
              <w:t>资保证金没有</w:t>
            </w:r>
            <w:r>
              <w:rPr>
                <w:color w:val="auto"/>
                <w:spacing w:val="-1"/>
                <w:highlight w:val="none"/>
              </w:rPr>
              <w:t>使用或剩余的金额退还给承包人。</w:t>
            </w:r>
          </w:p>
        </w:tc>
      </w:tr>
      <w:tr w14:paraId="5EF35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1" w:hRule="atLeast"/>
        </w:trPr>
        <w:tc>
          <w:tcPr>
            <w:tcW w:w="995" w:type="dxa"/>
            <w:vAlign w:val="top"/>
          </w:tcPr>
          <w:p w14:paraId="78FC06DE">
            <w:pPr>
              <w:spacing w:line="263" w:lineRule="auto"/>
              <w:rPr>
                <w:rFonts w:ascii="Arial"/>
                <w:color w:val="auto"/>
                <w:sz w:val="21"/>
                <w:highlight w:val="none"/>
              </w:rPr>
            </w:pPr>
          </w:p>
          <w:p w14:paraId="79FB216D">
            <w:pPr>
              <w:spacing w:line="263" w:lineRule="auto"/>
              <w:rPr>
                <w:rFonts w:ascii="Arial"/>
                <w:color w:val="auto"/>
                <w:sz w:val="21"/>
                <w:highlight w:val="none"/>
              </w:rPr>
            </w:pPr>
          </w:p>
          <w:p w14:paraId="52D2863B">
            <w:pPr>
              <w:spacing w:line="264" w:lineRule="auto"/>
              <w:rPr>
                <w:rFonts w:ascii="Arial"/>
                <w:color w:val="auto"/>
                <w:sz w:val="21"/>
                <w:highlight w:val="none"/>
              </w:rPr>
            </w:pPr>
          </w:p>
          <w:p w14:paraId="288FA009">
            <w:pPr>
              <w:spacing w:line="264" w:lineRule="auto"/>
              <w:rPr>
                <w:rFonts w:ascii="Arial"/>
                <w:color w:val="auto"/>
                <w:sz w:val="21"/>
                <w:highlight w:val="none"/>
              </w:rPr>
            </w:pPr>
          </w:p>
          <w:p w14:paraId="07EEFA23">
            <w:pPr>
              <w:spacing w:line="264" w:lineRule="auto"/>
              <w:rPr>
                <w:rFonts w:ascii="Arial"/>
                <w:color w:val="auto"/>
                <w:sz w:val="21"/>
                <w:highlight w:val="none"/>
              </w:rPr>
            </w:pPr>
          </w:p>
          <w:p w14:paraId="274D0785">
            <w:pPr>
              <w:spacing w:line="264" w:lineRule="auto"/>
              <w:rPr>
                <w:rFonts w:ascii="Arial"/>
                <w:color w:val="auto"/>
                <w:sz w:val="21"/>
                <w:highlight w:val="none"/>
              </w:rPr>
            </w:pPr>
          </w:p>
          <w:p w14:paraId="1FA532EE">
            <w:pPr>
              <w:spacing w:line="264" w:lineRule="auto"/>
              <w:rPr>
                <w:rFonts w:ascii="Arial"/>
                <w:color w:val="auto"/>
                <w:sz w:val="21"/>
                <w:highlight w:val="none"/>
              </w:rPr>
            </w:pPr>
          </w:p>
          <w:p w14:paraId="27E23CBF">
            <w:pPr>
              <w:spacing w:line="264" w:lineRule="auto"/>
              <w:rPr>
                <w:rFonts w:ascii="Arial"/>
                <w:color w:val="auto"/>
                <w:sz w:val="21"/>
                <w:highlight w:val="none"/>
              </w:rPr>
            </w:pPr>
          </w:p>
          <w:p w14:paraId="0448F0FC">
            <w:pPr>
              <w:spacing w:line="264" w:lineRule="auto"/>
              <w:rPr>
                <w:rFonts w:ascii="Arial"/>
                <w:color w:val="auto"/>
                <w:sz w:val="21"/>
                <w:highlight w:val="none"/>
              </w:rPr>
            </w:pPr>
          </w:p>
          <w:p w14:paraId="0A5B0291">
            <w:pPr>
              <w:spacing w:line="264" w:lineRule="auto"/>
              <w:rPr>
                <w:rFonts w:ascii="Arial"/>
                <w:color w:val="auto"/>
                <w:sz w:val="21"/>
                <w:highlight w:val="none"/>
              </w:rPr>
            </w:pPr>
          </w:p>
          <w:p w14:paraId="78D00EEE">
            <w:pPr>
              <w:pStyle w:val="17"/>
              <w:spacing w:before="68" w:line="182" w:lineRule="auto"/>
              <w:ind w:left="297" w:leftChars="0"/>
              <w:rPr>
                <w:color w:val="auto"/>
                <w:spacing w:val="-2"/>
                <w:highlight w:val="none"/>
              </w:rPr>
            </w:pPr>
            <w:r>
              <w:rPr>
                <w:color w:val="auto"/>
                <w:spacing w:val="-3"/>
                <w:highlight w:val="none"/>
              </w:rPr>
              <w:t>33.3</w:t>
            </w:r>
          </w:p>
        </w:tc>
        <w:tc>
          <w:tcPr>
            <w:tcW w:w="7915" w:type="dxa"/>
            <w:vAlign w:val="top"/>
          </w:tcPr>
          <w:p w14:paraId="59BE6B35">
            <w:pPr>
              <w:pStyle w:val="17"/>
              <w:spacing w:before="31" w:line="352" w:lineRule="auto"/>
              <w:ind w:left="114" w:right="31" w:firstLine="13"/>
              <w:jc w:val="both"/>
              <w:rPr>
                <w:color w:val="auto"/>
                <w:highlight w:val="none"/>
              </w:rPr>
            </w:pPr>
            <w:r>
              <w:rPr>
                <w:color w:val="auto"/>
                <w:spacing w:val="-2"/>
                <w:highlight w:val="none"/>
              </w:rPr>
              <w:t>1.本磋商文件中描述供应商的“公章”是</w:t>
            </w:r>
            <w:r>
              <w:rPr>
                <w:color w:val="auto"/>
                <w:spacing w:val="-3"/>
                <w:highlight w:val="none"/>
              </w:rPr>
              <w:t>指根据我国对公章的管理规定，用供应商法</w:t>
            </w:r>
            <w:r>
              <w:rPr>
                <w:color w:val="auto"/>
                <w:highlight w:val="none"/>
              </w:rPr>
              <w:t xml:space="preserve"> </w:t>
            </w:r>
            <w:r>
              <w:rPr>
                <w:color w:val="auto"/>
                <w:spacing w:val="-6"/>
                <w:highlight w:val="none"/>
              </w:rPr>
              <w:t>定主体行为名称制作的印章，除本磋商文件有特殊规定外，供应商的财务章、部门章、</w:t>
            </w:r>
            <w:r>
              <w:rPr>
                <w:color w:val="auto"/>
                <w:spacing w:val="11"/>
                <w:highlight w:val="none"/>
              </w:rPr>
              <w:t xml:space="preserve"> </w:t>
            </w:r>
            <w:r>
              <w:rPr>
                <w:color w:val="auto"/>
                <w:highlight w:val="none"/>
              </w:rPr>
              <w:t>分公司章、工会章、合同章、竞标/投标专用章、业务专用章及银行的转账章、现金</w:t>
            </w:r>
            <w:r>
              <w:rPr>
                <w:color w:val="auto"/>
                <w:spacing w:val="16"/>
                <w:highlight w:val="none"/>
              </w:rPr>
              <w:t xml:space="preserve"> </w:t>
            </w:r>
            <w:r>
              <w:rPr>
                <w:color w:val="auto"/>
                <w:spacing w:val="-1"/>
                <w:highlight w:val="none"/>
              </w:rPr>
              <w:t>收讫章、现金付讫章等其他形式印章均不能代替公章。</w:t>
            </w:r>
          </w:p>
          <w:p w14:paraId="6A7280A8">
            <w:pPr>
              <w:pStyle w:val="17"/>
              <w:spacing w:before="29" w:line="351" w:lineRule="auto"/>
              <w:ind w:left="115" w:right="103" w:hanging="1"/>
              <w:jc w:val="both"/>
              <w:rPr>
                <w:color w:val="auto"/>
                <w:highlight w:val="none"/>
              </w:rPr>
            </w:pPr>
            <w:r>
              <w:rPr>
                <w:color w:val="auto"/>
                <w:spacing w:val="-2"/>
                <w:highlight w:val="none"/>
              </w:rPr>
              <w:t>2.本磋商文件所称的“电子签章”、“电子签名”，是指经广西政</w:t>
            </w:r>
            <w:r>
              <w:rPr>
                <w:color w:val="auto"/>
                <w:spacing w:val="-3"/>
                <w:highlight w:val="none"/>
              </w:rPr>
              <w:t>府采购云平台认可</w:t>
            </w:r>
            <w:r>
              <w:rPr>
                <w:color w:val="auto"/>
                <w:highlight w:val="none"/>
              </w:rPr>
              <w:t xml:space="preserve"> </w:t>
            </w:r>
            <w:r>
              <w:rPr>
                <w:color w:val="auto"/>
                <w:spacing w:val="-1"/>
                <w:highlight w:val="none"/>
              </w:rPr>
              <w:t>的</w:t>
            </w:r>
            <w:r>
              <w:rPr>
                <w:color w:val="auto"/>
                <w:spacing w:val="-14"/>
                <w:highlight w:val="none"/>
              </w:rPr>
              <w:t xml:space="preserve"> </w:t>
            </w:r>
            <w:r>
              <w:rPr>
                <w:color w:val="auto"/>
                <w:spacing w:val="-1"/>
                <w:highlight w:val="none"/>
              </w:rPr>
              <w:t>CA</w:t>
            </w:r>
            <w:r>
              <w:rPr>
                <w:color w:val="auto"/>
                <w:spacing w:val="-30"/>
                <w:highlight w:val="none"/>
              </w:rPr>
              <w:t xml:space="preserve"> </w:t>
            </w:r>
            <w:r>
              <w:rPr>
                <w:color w:val="auto"/>
                <w:spacing w:val="-1"/>
                <w:highlight w:val="none"/>
              </w:rPr>
              <w:t>认证的电子签名数据为表现形式的印章，可用于签署电子响应文件，电子印章</w:t>
            </w:r>
            <w:r>
              <w:rPr>
                <w:color w:val="auto"/>
                <w:highlight w:val="none"/>
              </w:rPr>
              <w:t xml:space="preserve"> </w:t>
            </w:r>
            <w:r>
              <w:rPr>
                <w:color w:val="auto"/>
                <w:spacing w:val="-1"/>
                <w:highlight w:val="none"/>
              </w:rPr>
              <w:t>与实物印章具有同等法律效力，不因其采用电子化表现形式而否定其法律效力。</w:t>
            </w:r>
          </w:p>
          <w:p w14:paraId="2CAF5A1E">
            <w:pPr>
              <w:pStyle w:val="17"/>
              <w:spacing w:before="31" w:line="345" w:lineRule="auto"/>
              <w:ind w:left="119" w:right="105" w:hanging="3"/>
              <w:rPr>
                <w:color w:val="auto"/>
                <w:highlight w:val="none"/>
              </w:rPr>
            </w:pPr>
            <w:r>
              <w:rPr>
                <w:color w:val="auto"/>
                <w:spacing w:val="-2"/>
                <w:highlight w:val="none"/>
              </w:rPr>
              <w:t>3.供应商为其他组织时，本磋商文件规定的法定代表人指负责人。本</w:t>
            </w:r>
            <w:r>
              <w:rPr>
                <w:color w:val="auto"/>
                <w:spacing w:val="-3"/>
                <w:highlight w:val="none"/>
              </w:rPr>
              <w:t>磋商文件所称负</w:t>
            </w:r>
            <w:r>
              <w:rPr>
                <w:color w:val="auto"/>
                <w:highlight w:val="none"/>
              </w:rPr>
              <w:t xml:space="preserve"> 责人是指参加竞标的其他组织营业执照或者执业许</w:t>
            </w:r>
            <w:r>
              <w:rPr>
                <w:color w:val="auto"/>
                <w:spacing w:val="-1"/>
                <w:highlight w:val="none"/>
              </w:rPr>
              <w:t>可证等证照上的负责人。</w:t>
            </w:r>
          </w:p>
          <w:p w14:paraId="6691B685">
            <w:pPr>
              <w:pStyle w:val="17"/>
              <w:spacing w:before="29" w:line="351" w:lineRule="auto"/>
              <w:ind w:left="111" w:right="103"/>
              <w:jc w:val="both"/>
              <w:rPr>
                <w:color w:val="auto"/>
                <w:highlight w:val="none"/>
              </w:rPr>
            </w:pPr>
            <w:r>
              <w:rPr>
                <w:color w:val="auto"/>
                <w:spacing w:val="-2"/>
                <w:highlight w:val="none"/>
              </w:rPr>
              <w:t>4.本磋商文件中描述供应商的“签字”是指供应商的法定代表人或者委托代理人亲自</w:t>
            </w:r>
            <w:r>
              <w:rPr>
                <w:color w:val="auto"/>
                <w:highlight w:val="none"/>
              </w:rPr>
              <w:t xml:space="preserve"> </w:t>
            </w:r>
            <w:r>
              <w:rPr>
                <w:color w:val="auto"/>
                <w:spacing w:val="-2"/>
                <w:highlight w:val="none"/>
              </w:rPr>
              <w:t>在文件规定签署处亲笔写上个人的名字的行为，私章、签字章、印鉴、影</w:t>
            </w:r>
            <w:r>
              <w:rPr>
                <w:color w:val="auto"/>
                <w:spacing w:val="-3"/>
                <w:highlight w:val="none"/>
              </w:rPr>
              <w:t>印等其他形</w:t>
            </w:r>
            <w:r>
              <w:rPr>
                <w:color w:val="auto"/>
                <w:highlight w:val="none"/>
              </w:rPr>
              <w:t xml:space="preserve"> </w:t>
            </w:r>
            <w:r>
              <w:rPr>
                <w:color w:val="auto"/>
                <w:spacing w:val="-2"/>
                <w:highlight w:val="none"/>
              </w:rPr>
              <w:t>式均不能代替亲笔签字。</w:t>
            </w:r>
          </w:p>
          <w:p w14:paraId="7DD41FED">
            <w:pPr>
              <w:pStyle w:val="17"/>
              <w:spacing w:before="30" w:line="344" w:lineRule="auto"/>
              <w:ind w:left="97" w:leftChars="0" w:firstLine="18" w:firstLineChars="0"/>
              <w:rPr>
                <w:color w:val="auto"/>
                <w:spacing w:val="-2"/>
                <w:highlight w:val="none"/>
              </w:rPr>
            </w:pPr>
            <w:r>
              <w:rPr>
                <w:color w:val="auto"/>
                <w:spacing w:val="-5"/>
                <w:highlight w:val="none"/>
              </w:rPr>
              <w:t>5.本磋商文件所称的“以上”“以下”“以内”“届满”，包括本数；所称的“不满”</w:t>
            </w:r>
            <w:r>
              <w:rPr>
                <w:color w:val="auto"/>
                <w:spacing w:val="7"/>
                <w:highlight w:val="none"/>
              </w:rPr>
              <w:t xml:space="preserve"> </w:t>
            </w:r>
            <w:r>
              <w:rPr>
                <w:color w:val="auto"/>
                <w:spacing w:val="-2"/>
                <w:highlight w:val="none"/>
              </w:rPr>
              <w:t>“超过”“以外”，不包括本数。</w:t>
            </w:r>
          </w:p>
        </w:tc>
      </w:tr>
    </w:tbl>
    <w:p w14:paraId="7356795D">
      <w:pPr>
        <w:rPr>
          <w:rFonts w:ascii="Arial"/>
          <w:color w:val="auto"/>
          <w:sz w:val="21"/>
          <w:highlight w:val="none"/>
        </w:rPr>
      </w:pPr>
    </w:p>
    <w:p w14:paraId="3D9DCEBC">
      <w:pPr>
        <w:rPr>
          <w:rFonts w:ascii="Arial" w:hAnsi="Arial" w:eastAsia="Arial" w:cs="Arial"/>
          <w:color w:val="auto"/>
          <w:sz w:val="21"/>
          <w:szCs w:val="21"/>
          <w:highlight w:val="none"/>
        </w:rPr>
        <w:sectPr>
          <w:footerReference r:id="rId10" w:type="default"/>
          <w:pgSz w:w="11900" w:h="16832"/>
          <w:pgMar w:top="1430" w:right="1490" w:bottom="1220" w:left="1493" w:header="0" w:footer="1060" w:gutter="0"/>
          <w:pgNumType w:fmt="decimal"/>
          <w:cols w:space="720" w:num="1"/>
        </w:sectPr>
      </w:pPr>
    </w:p>
    <w:p w14:paraId="6B02F871">
      <w:pPr>
        <w:spacing w:line="97" w:lineRule="auto"/>
        <w:rPr>
          <w:rFonts w:ascii="Arial"/>
          <w:color w:val="auto"/>
          <w:sz w:val="2"/>
          <w:highlight w:val="none"/>
        </w:rPr>
      </w:pPr>
    </w:p>
    <w:p w14:paraId="78EDC254">
      <w:pPr>
        <w:rPr>
          <w:rFonts w:ascii="Arial"/>
          <w:color w:val="auto"/>
          <w:sz w:val="21"/>
          <w:highlight w:val="none"/>
        </w:rPr>
      </w:pPr>
    </w:p>
    <w:p w14:paraId="5D23EC69">
      <w:pPr>
        <w:spacing w:before="55" w:line="221" w:lineRule="auto"/>
        <w:ind w:left="2796"/>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中小企业划型标准规定</w:t>
      </w:r>
    </w:p>
    <w:p w14:paraId="4F52B0DD">
      <w:pPr>
        <w:spacing w:before="137" w:line="221" w:lineRule="auto"/>
        <w:ind w:left="29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工信部联企业[2011]300</w:t>
      </w:r>
      <w:r>
        <w:rPr>
          <w:rFonts w:ascii="宋体" w:hAnsi="宋体" w:eastAsia="宋体" w:cs="宋体"/>
          <w:color w:val="auto"/>
          <w:spacing w:val="-34"/>
          <w:sz w:val="21"/>
          <w:szCs w:val="21"/>
          <w:highlight w:val="none"/>
        </w:rPr>
        <w:t xml:space="preserve"> </w:t>
      </w:r>
      <w:r>
        <w:rPr>
          <w:rFonts w:ascii="宋体" w:hAnsi="宋体" w:eastAsia="宋体" w:cs="宋体"/>
          <w:color w:val="auto"/>
          <w:spacing w:val="-1"/>
          <w:sz w:val="21"/>
          <w:szCs w:val="21"/>
          <w:highlight w:val="none"/>
        </w:rPr>
        <w:t>号</w:t>
      </w:r>
    </w:p>
    <w:p w14:paraId="49B4F062">
      <w:pPr>
        <w:spacing w:line="463" w:lineRule="auto"/>
        <w:rPr>
          <w:rFonts w:ascii="Arial"/>
          <w:color w:val="auto"/>
          <w:sz w:val="21"/>
          <w:highlight w:val="none"/>
        </w:rPr>
      </w:pPr>
    </w:p>
    <w:p w14:paraId="19FC1D7C">
      <w:pPr>
        <w:spacing w:before="68" w:line="230" w:lineRule="auto"/>
        <w:ind w:left="27" w:right="21" w:firstLine="42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一、根据《中华人民共和国中小企业促进法》和《国务院关于进一步促进中小企业发</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展的若干意见》</w:t>
      </w:r>
      <w:r>
        <w:rPr>
          <w:rFonts w:ascii="宋体" w:hAnsi="宋体" w:eastAsia="宋体" w:cs="宋体"/>
          <w:color w:val="auto"/>
          <w:spacing w:val="-59"/>
          <w:sz w:val="21"/>
          <w:szCs w:val="21"/>
          <w:highlight w:val="none"/>
        </w:rPr>
        <w:t xml:space="preserve"> </w:t>
      </w:r>
      <w:r>
        <w:rPr>
          <w:rFonts w:ascii="宋体" w:hAnsi="宋体" w:eastAsia="宋体" w:cs="宋体"/>
          <w:color w:val="auto"/>
          <w:spacing w:val="-3"/>
          <w:sz w:val="21"/>
          <w:szCs w:val="21"/>
          <w:highlight w:val="none"/>
        </w:rPr>
        <w:t>(国发[2009]36</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号)，制定本规定。</w:t>
      </w:r>
    </w:p>
    <w:p w14:paraId="756C28C2">
      <w:pPr>
        <w:spacing w:before="140" w:line="231" w:lineRule="auto"/>
        <w:ind w:left="33" w:right="21" w:firstLine="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二、中小企业划分为中型、小型、微型三种类型，具体标准根据企业从业人员、营业</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收入、资产总额等指标，结合行业特点制定。</w:t>
      </w:r>
    </w:p>
    <w:p w14:paraId="01C0636A">
      <w:pPr>
        <w:spacing w:before="143" w:line="236" w:lineRule="auto"/>
        <w:ind w:left="26" w:right="17"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三、本规定适用的行业包括：农、林、牧、渔业</w:t>
      </w:r>
      <w:r>
        <w:rPr>
          <w:rFonts w:ascii="宋体" w:hAnsi="宋体" w:eastAsia="宋体" w:cs="宋体"/>
          <w:color w:val="auto"/>
          <w:spacing w:val="2"/>
          <w:sz w:val="21"/>
          <w:szCs w:val="21"/>
          <w:highlight w:val="none"/>
        </w:rPr>
        <w:t>，工业（包括采矿业，制造业，</w:t>
      </w:r>
      <w:r>
        <w:rPr>
          <w:rFonts w:ascii="宋体" w:hAnsi="宋体" w:eastAsia="宋体" w:cs="宋体"/>
          <w:color w:val="auto"/>
          <w:spacing w:val="90"/>
          <w:sz w:val="21"/>
          <w:szCs w:val="21"/>
          <w:highlight w:val="none"/>
        </w:rPr>
        <w:t xml:space="preserve"> </w:t>
      </w:r>
      <w:r>
        <w:rPr>
          <w:rFonts w:ascii="宋体" w:hAnsi="宋体" w:eastAsia="宋体" w:cs="宋体"/>
          <w:color w:val="auto"/>
          <w:spacing w:val="2"/>
          <w:sz w:val="21"/>
          <w:szCs w:val="21"/>
          <w:highlight w:val="none"/>
        </w:rPr>
        <w:t>电</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力、热力、燃气及水生产和供应业</w:t>
      </w:r>
      <w:r>
        <w:rPr>
          <w:rFonts w:ascii="宋体" w:hAnsi="宋体" w:eastAsia="宋体" w:cs="宋体"/>
          <w:color w:val="auto"/>
          <w:spacing w:val="10"/>
          <w:sz w:val="21"/>
          <w:szCs w:val="21"/>
          <w:highlight w:val="none"/>
        </w:rPr>
        <w:t>），</w:t>
      </w:r>
      <w:r>
        <w:rPr>
          <w:rFonts w:ascii="宋体" w:hAnsi="宋体" w:eastAsia="宋体" w:cs="宋体"/>
          <w:color w:val="auto"/>
          <w:spacing w:val="2"/>
          <w:sz w:val="21"/>
          <w:szCs w:val="21"/>
          <w:highlight w:val="none"/>
        </w:rPr>
        <w:t>建筑业，批发业，零售业，交通运输业</w:t>
      </w:r>
      <w:r>
        <w:rPr>
          <w:rFonts w:ascii="宋体" w:hAnsi="宋体" w:eastAsia="宋体" w:cs="宋体"/>
          <w:color w:val="auto"/>
          <w:spacing w:val="1"/>
          <w:sz w:val="21"/>
          <w:szCs w:val="21"/>
          <w:highlight w:val="none"/>
        </w:rPr>
        <w:t xml:space="preserve">（不含铁路 </w:t>
      </w:r>
      <w:r>
        <w:rPr>
          <w:rFonts w:ascii="宋体" w:hAnsi="宋体" w:eastAsia="宋体" w:cs="宋体"/>
          <w:color w:val="auto"/>
          <w:spacing w:val="2"/>
          <w:sz w:val="21"/>
          <w:szCs w:val="21"/>
          <w:highlight w:val="none"/>
        </w:rPr>
        <w:t>运输业</w:t>
      </w:r>
      <w:r>
        <w:rPr>
          <w:rFonts w:ascii="宋体" w:hAnsi="宋体" w:eastAsia="宋体" w:cs="宋体"/>
          <w:color w:val="auto"/>
          <w:spacing w:val="9"/>
          <w:sz w:val="21"/>
          <w:szCs w:val="21"/>
          <w:highlight w:val="none"/>
        </w:rPr>
        <w:t>），</w:t>
      </w:r>
      <w:r>
        <w:rPr>
          <w:rFonts w:ascii="宋体" w:hAnsi="宋体" w:eastAsia="宋体" w:cs="宋体"/>
          <w:color w:val="auto"/>
          <w:spacing w:val="2"/>
          <w:sz w:val="21"/>
          <w:szCs w:val="21"/>
          <w:highlight w:val="none"/>
        </w:rPr>
        <w:t>仓储业，邮政业，住宿业，餐饮业，信息传输业（包括电信、互联网和相关服</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务</w:t>
      </w:r>
      <w:r>
        <w:rPr>
          <w:rFonts w:ascii="宋体" w:hAnsi="宋体" w:eastAsia="宋体" w:cs="宋体"/>
          <w:color w:val="auto"/>
          <w:spacing w:val="10"/>
          <w:sz w:val="21"/>
          <w:szCs w:val="21"/>
          <w:highlight w:val="none"/>
        </w:rPr>
        <w:t>），</w:t>
      </w:r>
      <w:r>
        <w:rPr>
          <w:rFonts w:ascii="宋体" w:hAnsi="宋体" w:eastAsia="宋体" w:cs="宋体"/>
          <w:color w:val="auto"/>
          <w:spacing w:val="2"/>
          <w:sz w:val="21"/>
          <w:szCs w:val="21"/>
          <w:highlight w:val="none"/>
        </w:rPr>
        <w:t>软件和信息技术服务业，房地产开发经营，物业管理，租赁和商务服务业</w:t>
      </w:r>
      <w:r>
        <w:rPr>
          <w:rFonts w:ascii="宋体" w:hAnsi="宋体" w:eastAsia="宋体" w:cs="宋体"/>
          <w:color w:val="auto"/>
          <w:spacing w:val="1"/>
          <w:sz w:val="21"/>
          <w:szCs w:val="21"/>
          <w:highlight w:val="none"/>
        </w:rPr>
        <w:t>，其他未</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列明行业（包括科学研究和技术服务业，水利、环境和公共设施管理业，居民服务、修理</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和其他服务业，社会工作，文化、体育和娱乐业等）。</w:t>
      </w:r>
    </w:p>
    <w:p w14:paraId="2F2EC34D">
      <w:pPr>
        <w:spacing w:before="141" w:line="221" w:lineRule="auto"/>
        <w:ind w:left="46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四、各行业划型标准为：</w:t>
      </w:r>
    </w:p>
    <w:p w14:paraId="47A83725">
      <w:pPr>
        <w:spacing w:before="140" w:line="233" w:lineRule="auto"/>
        <w:ind w:left="31" w:right="10"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（一）农、林、牧、渔业。营业收入 20000 万元以下的</w:t>
      </w:r>
      <w:r>
        <w:rPr>
          <w:rFonts w:ascii="宋体" w:hAnsi="宋体" w:eastAsia="宋体" w:cs="宋体"/>
          <w:color w:val="auto"/>
          <w:spacing w:val="-1"/>
          <w:sz w:val="21"/>
          <w:szCs w:val="21"/>
          <w:highlight w:val="none"/>
        </w:rPr>
        <w:t>为中小微型企业。其中，营业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收入 500 万元及以上的为中型企业，营业收入 </w:t>
      </w:r>
      <w:r>
        <w:rPr>
          <w:rFonts w:ascii="宋体" w:hAnsi="宋体" w:eastAsia="宋体" w:cs="宋体"/>
          <w:color w:val="auto"/>
          <w:spacing w:val="-3"/>
          <w:sz w:val="21"/>
          <w:szCs w:val="21"/>
          <w:highlight w:val="none"/>
        </w:rPr>
        <w:t>50 万元及以上的为小型企业，营业收入 50</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万元以下的为微型企业。</w:t>
      </w:r>
    </w:p>
    <w:p w14:paraId="6E75FAB7">
      <w:pPr>
        <w:spacing w:before="141" w:line="235" w:lineRule="auto"/>
        <w:ind w:left="25" w:right="10" w:firstLine="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（二）工业。从业人员</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人以下或营业收入</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40000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万元以下的为中小微型企业。其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中，从业人员</w:t>
      </w:r>
      <w:r>
        <w:rPr>
          <w:rFonts w:ascii="宋体" w:hAnsi="宋体" w:eastAsia="宋体" w:cs="宋体"/>
          <w:color w:val="auto"/>
          <w:spacing w:val="-23"/>
          <w:sz w:val="21"/>
          <w:szCs w:val="21"/>
          <w:highlight w:val="none"/>
        </w:rPr>
        <w:t xml:space="preserve"> </w:t>
      </w:r>
      <w:r>
        <w:rPr>
          <w:rFonts w:ascii="宋体" w:hAnsi="宋体" w:eastAsia="宋体" w:cs="宋体"/>
          <w:color w:val="auto"/>
          <w:spacing w:val="-1"/>
          <w:sz w:val="21"/>
          <w:szCs w:val="21"/>
          <w:highlight w:val="none"/>
        </w:rPr>
        <w:t>300</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人及以上，且营业收入</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2000</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万元及以上的为中型企业；从业人员</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20</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及以上，且营业收入</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万元及以上的为小型企业；从业人员</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20</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人以下或营业收入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元以下的为微型企业。</w:t>
      </w:r>
    </w:p>
    <w:p w14:paraId="05B66893">
      <w:pPr>
        <w:spacing w:before="145" w:line="234" w:lineRule="auto"/>
        <w:ind w:left="25" w:right="10" w:firstLine="4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（三）建筑业。营业收入</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80000 万元以下或资产总额 8000</w:t>
      </w:r>
      <w:r>
        <w:rPr>
          <w:rFonts w:ascii="宋体" w:hAnsi="宋体" w:eastAsia="宋体" w:cs="宋体"/>
          <w:color w:val="auto"/>
          <w:spacing w:val="-3"/>
          <w:sz w:val="21"/>
          <w:szCs w:val="21"/>
          <w:highlight w:val="none"/>
        </w:rPr>
        <w:t>0 万元以下的为中小微型企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业。其中，营业收入 6000 万元及以上，且资产总额 500</w:t>
      </w:r>
      <w:r>
        <w:rPr>
          <w:rFonts w:ascii="宋体" w:hAnsi="宋体" w:eastAsia="宋体" w:cs="宋体"/>
          <w:color w:val="auto"/>
          <w:spacing w:val="-3"/>
          <w:sz w:val="21"/>
          <w:szCs w:val="21"/>
          <w:highlight w:val="none"/>
        </w:rPr>
        <w:t>0 万元及以上的为中型企业；营业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收入</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万元及以上，且资产总额</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万元及以上的为小型企业；营业收入</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万元以下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或资产总额</w:t>
      </w:r>
      <w:r>
        <w:rPr>
          <w:rFonts w:ascii="宋体" w:hAnsi="宋体" w:eastAsia="宋体" w:cs="宋体"/>
          <w:color w:val="auto"/>
          <w:spacing w:val="-26"/>
          <w:sz w:val="21"/>
          <w:szCs w:val="21"/>
          <w:highlight w:val="none"/>
        </w:rPr>
        <w:t xml:space="preserve"> </w:t>
      </w:r>
      <w:r>
        <w:rPr>
          <w:rFonts w:ascii="宋体" w:hAnsi="宋体" w:eastAsia="宋体" w:cs="宋体"/>
          <w:color w:val="auto"/>
          <w:spacing w:val="-3"/>
          <w:sz w:val="21"/>
          <w:szCs w:val="21"/>
          <w:highlight w:val="none"/>
        </w:rPr>
        <w:t>300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万元以下的为微型企业。</w:t>
      </w:r>
    </w:p>
    <w:p w14:paraId="4E9F7927">
      <w:pPr>
        <w:spacing w:before="145" w:line="234" w:lineRule="auto"/>
        <w:ind w:left="25" w:right="10"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（四）批发业。从业人员 200 人以下或营业收入 40000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其中，从业人员</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20</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人及以上，且营业收入</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50</w:t>
      </w:r>
      <w:r>
        <w:rPr>
          <w:rFonts w:ascii="宋体" w:hAnsi="宋体" w:eastAsia="宋体" w:cs="宋体"/>
          <w:color w:val="auto"/>
          <w:spacing w:val="-2"/>
          <w:sz w:val="21"/>
          <w:szCs w:val="21"/>
          <w:highlight w:val="none"/>
        </w:rPr>
        <w:t>00</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万元及以上的为中型企业；从业人员</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5</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及以上，且营业收入 1000 万元及以上的为小型企业；从业人员 5</w:t>
      </w:r>
      <w:r>
        <w:rPr>
          <w:rFonts w:ascii="宋体" w:hAnsi="宋体" w:eastAsia="宋体" w:cs="宋体"/>
          <w:color w:val="auto"/>
          <w:spacing w:val="-3"/>
          <w:sz w:val="21"/>
          <w:szCs w:val="21"/>
          <w:highlight w:val="none"/>
        </w:rPr>
        <w:t xml:space="preserve"> 人以下或营业收入 1000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万元以下的为微型企业。</w:t>
      </w:r>
    </w:p>
    <w:p w14:paraId="26B39202">
      <w:pPr>
        <w:spacing w:before="141" w:line="235" w:lineRule="auto"/>
        <w:ind w:left="25" w:right="10"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（五）零售业。从业人员 300 人以下或营业收入 20000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其中，从业人员</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50</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500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万元及以上的为中型企业；从业</w:t>
      </w:r>
      <w:r>
        <w:rPr>
          <w:rFonts w:ascii="宋体" w:hAnsi="宋体" w:eastAsia="宋体" w:cs="宋体"/>
          <w:color w:val="auto"/>
          <w:spacing w:val="-3"/>
          <w:sz w:val="21"/>
          <w:szCs w:val="21"/>
          <w:highlight w:val="none"/>
        </w:rPr>
        <w:t>人员 10</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及以上，且营业收入</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rPr>
        <w:t>万元及以上的为小型企业；从业人员</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10</w:t>
      </w:r>
      <w:r>
        <w:rPr>
          <w:rFonts w:ascii="宋体" w:hAnsi="宋体" w:eastAsia="宋体" w:cs="宋体"/>
          <w:color w:val="auto"/>
          <w:spacing w:val="-45"/>
          <w:sz w:val="21"/>
          <w:szCs w:val="21"/>
          <w:highlight w:val="none"/>
        </w:rPr>
        <w:t xml:space="preserve"> </w:t>
      </w:r>
      <w:r>
        <w:rPr>
          <w:rFonts w:ascii="宋体" w:hAnsi="宋体" w:eastAsia="宋体" w:cs="宋体"/>
          <w:color w:val="auto"/>
          <w:spacing w:val="-3"/>
          <w:sz w:val="21"/>
          <w:szCs w:val="21"/>
          <w:highlight w:val="none"/>
        </w:rPr>
        <w:t>人以下或营业收入</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元以下的为微型企业。</w:t>
      </w:r>
    </w:p>
    <w:p w14:paraId="5FD881C6">
      <w:pPr>
        <w:spacing w:before="143" w:line="229" w:lineRule="auto"/>
        <w:ind w:left="25" w:right="13" w:firstLine="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（六）交通运输业。从业人员</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人以下或营业收入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30000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万元以下的为中小微型企</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业。其中，从业人员</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300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人及以上，且营业收入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3000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万元及以</w:t>
      </w:r>
      <w:r>
        <w:rPr>
          <w:rFonts w:ascii="宋体" w:hAnsi="宋体" w:eastAsia="宋体" w:cs="宋体"/>
          <w:color w:val="auto"/>
          <w:spacing w:val="-2"/>
          <w:sz w:val="21"/>
          <w:szCs w:val="21"/>
          <w:highlight w:val="none"/>
        </w:rPr>
        <w:t>上的为中型企业；从业人员</w:t>
      </w:r>
    </w:p>
    <w:p w14:paraId="0F7B3F62">
      <w:pPr>
        <w:spacing w:before="23" w:line="221" w:lineRule="auto"/>
        <w:ind w:left="2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20 人及以上，且营业收入 200 万元及以上的为小型</w:t>
      </w:r>
      <w:r>
        <w:rPr>
          <w:rFonts w:ascii="宋体" w:hAnsi="宋体" w:eastAsia="宋体" w:cs="宋体"/>
          <w:color w:val="auto"/>
          <w:spacing w:val="-3"/>
          <w:sz w:val="21"/>
          <w:szCs w:val="21"/>
          <w:highlight w:val="none"/>
        </w:rPr>
        <w:t>企业；从业人员 20 人以下或营业收入</w:t>
      </w:r>
    </w:p>
    <w:p w14:paraId="5E790ACB">
      <w:pPr>
        <w:spacing w:before="19" w:line="221" w:lineRule="auto"/>
        <w:ind w:left="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200</w:t>
      </w:r>
      <w:r>
        <w:rPr>
          <w:rFonts w:ascii="宋体" w:hAnsi="宋体" w:eastAsia="宋体" w:cs="宋体"/>
          <w:color w:val="auto"/>
          <w:spacing w:val="-35"/>
          <w:sz w:val="21"/>
          <w:szCs w:val="21"/>
          <w:highlight w:val="none"/>
        </w:rPr>
        <w:t xml:space="preserve"> </w:t>
      </w:r>
      <w:r>
        <w:rPr>
          <w:rFonts w:ascii="宋体" w:hAnsi="宋体" w:eastAsia="宋体" w:cs="宋体"/>
          <w:color w:val="auto"/>
          <w:spacing w:val="-3"/>
          <w:sz w:val="21"/>
          <w:szCs w:val="21"/>
          <w:highlight w:val="none"/>
        </w:rPr>
        <w:t>万元以下的为微型企业。</w:t>
      </w:r>
    </w:p>
    <w:p w14:paraId="1AA021CD">
      <w:pPr>
        <w:spacing w:before="141" w:line="235" w:lineRule="auto"/>
        <w:ind w:left="27" w:right="10"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（七）仓储业。从业人员 200 人以下或营业收入 30000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其中，从业人员 100 人及以上，且营业收入 1000 万元及</w:t>
      </w:r>
      <w:r>
        <w:rPr>
          <w:rFonts w:ascii="宋体" w:hAnsi="宋体" w:eastAsia="宋体" w:cs="宋体"/>
          <w:color w:val="auto"/>
          <w:spacing w:val="-3"/>
          <w:sz w:val="21"/>
          <w:szCs w:val="21"/>
          <w:highlight w:val="none"/>
        </w:rPr>
        <w:t>以上的为中型企业；从业人员 20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人及以上，且营业收入 100</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万元及以上的为小型企业；从</w:t>
      </w:r>
      <w:r>
        <w:rPr>
          <w:rFonts w:ascii="宋体" w:hAnsi="宋体" w:eastAsia="宋体" w:cs="宋体"/>
          <w:color w:val="auto"/>
          <w:spacing w:val="-3"/>
          <w:sz w:val="21"/>
          <w:szCs w:val="21"/>
          <w:highlight w:val="none"/>
        </w:rPr>
        <w:t>业人员</w:t>
      </w:r>
      <w:r>
        <w:rPr>
          <w:rFonts w:ascii="宋体" w:hAnsi="宋体" w:eastAsia="宋体" w:cs="宋体"/>
          <w:color w:val="auto"/>
          <w:spacing w:val="-32"/>
          <w:sz w:val="21"/>
          <w:szCs w:val="21"/>
          <w:highlight w:val="none"/>
        </w:rPr>
        <w:t xml:space="preserve"> </w:t>
      </w:r>
      <w:r>
        <w:rPr>
          <w:rFonts w:ascii="宋体" w:hAnsi="宋体" w:eastAsia="宋体" w:cs="宋体"/>
          <w:color w:val="auto"/>
          <w:spacing w:val="-3"/>
          <w:sz w:val="21"/>
          <w:szCs w:val="21"/>
          <w:highlight w:val="none"/>
        </w:rPr>
        <w:t>20</w:t>
      </w:r>
      <w:r>
        <w:rPr>
          <w:rFonts w:ascii="宋体" w:hAnsi="宋体" w:eastAsia="宋体" w:cs="宋体"/>
          <w:color w:val="auto"/>
          <w:spacing w:val="-34"/>
          <w:sz w:val="21"/>
          <w:szCs w:val="21"/>
          <w:highlight w:val="none"/>
        </w:rPr>
        <w:t xml:space="preserve"> </w:t>
      </w:r>
      <w:r>
        <w:rPr>
          <w:rFonts w:ascii="宋体" w:hAnsi="宋体" w:eastAsia="宋体" w:cs="宋体"/>
          <w:color w:val="auto"/>
          <w:spacing w:val="-3"/>
          <w:sz w:val="21"/>
          <w:szCs w:val="21"/>
          <w:highlight w:val="none"/>
        </w:rPr>
        <w:t>人以下或营业收入</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万元以下的为微型企业。</w:t>
      </w:r>
    </w:p>
    <w:p w14:paraId="07352302">
      <w:pPr>
        <w:spacing w:before="141" w:line="233" w:lineRule="auto"/>
        <w:ind w:left="27" w:right="10" w:firstLine="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（八）邮政业。从业人员</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人以下或营业收入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30000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万元以下的为中小微型企业。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其中，从业人员 300 人及以上，且营业收入 2000 万元及</w:t>
      </w:r>
      <w:r>
        <w:rPr>
          <w:rFonts w:ascii="宋体" w:hAnsi="宋体" w:eastAsia="宋体" w:cs="宋体"/>
          <w:color w:val="auto"/>
          <w:spacing w:val="-3"/>
          <w:sz w:val="21"/>
          <w:szCs w:val="21"/>
          <w:highlight w:val="none"/>
        </w:rPr>
        <w:t>以上的为中型企业；从业人员 20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人及以上，且营业收入 100</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万元及以上的为小型企业；从业</w:t>
      </w:r>
      <w:r>
        <w:rPr>
          <w:rFonts w:ascii="宋体" w:hAnsi="宋体" w:eastAsia="宋体" w:cs="宋体"/>
          <w:color w:val="auto"/>
          <w:spacing w:val="-3"/>
          <w:sz w:val="21"/>
          <w:szCs w:val="21"/>
          <w:highlight w:val="none"/>
        </w:rPr>
        <w:t>人员</w:t>
      </w:r>
      <w:r>
        <w:rPr>
          <w:rFonts w:ascii="宋体" w:hAnsi="宋体" w:eastAsia="宋体" w:cs="宋体"/>
          <w:color w:val="auto"/>
          <w:spacing w:val="-32"/>
          <w:sz w:val="21"/>
          <w:szCs w:val="21"/>
          <w:highlight w:val="none"/>
        </w:rPr>
        <w:t xml:space="preserve"> </w:t>
      </w:r>
      <w:r>
        <w:rPr>
          <w:rFonts w:ascii="宋体" w:hAnsi="宋体" w:eastAsia="宋体" w:cs="宋体"/>
          <w:color w:val="auto"/>
          <w:spacing w:val="-3"/>
          <w:sz w:val="21"/>
          <w:szCs w:val="21"/>
          <w:highlight w:val="none"/>
        </w:rPr>
        <w:t>20</w:t>
      </w:r>
      <w:r>
        <w:rPr>
          <w:rFonts w:ascii="宋体" w:hAnsi="宋体" w:eastAsia="宋体" w:cs="宋体"/>
          <w:color w:val="auto"/>
          <w:spacing w:val="-34"/>
          <w:sz w:val="21"/>
          <w:szCs w:val="21"/>
          <w:highlight w:val="none"/>
        </w:rPr>
        <w:t xml:space="preserve"> </w:t>
      </w:r>
      <w:r>
        <w:rPr>
          <w:rFonts w:ascii="宋体" w:hAnsi="宋体" w:eastAsia="宋体" w:cs="宋体"/>
          <w:color w:val="auto"/>
          <w:spacing w:val="-3"/>
          <w:sz w:val="21"/>
          <w:szCs w:val="21"/>
          <w:highlight w:val="none"/>
        </w:rPr>
        <w:t>人以下或营业收入</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100</w:t>
      </w:r>
    </w:p>
    <w:p w14:paraId="715C9D9C">
      <w:pPr>
        <w:spacing w:line="233" w:lineRule="auto"/>
        <w:rPr>
          <w:rFonts w:ascii="宋体" w:hAnsi="宋体" w:eastAsia="宋体" w:cs="宋体"/>
          <w:color w:val="auto"/>
          <w:sz w:val="21"/>
          <w:szCs w:val="21"/>
          <w:highlight w:val="none"/>
        </w:rPr>
        <w:sectPr>
          <w:footerReference r:id="rId11" w:type="default"/>
          <w:pgSz w:w="11900" w:h="16832"/>
          <w:pgMar w:top="1423" w:right="1784" w:bottom="1220" w:left="1784" w:header="0" w:footer="1060" w:gutter="0"/>
          <w:pgNumType w:fmt="decimal"/>
          <w:cols w:space="720" w:num="1"/>
        </w:sectPr>
      </w:pPr>
    </w:p>
    <w:p w14:paraId="04FE3946">
      <w:pPr>
        <w:spacing w:before="41" w:line="221" w:lineRule="auto"/>
        <w:ind w:left="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万元以下的为微型企业。</w:t>
      </w:r>
    </w:p>
    <w:p w14:paraId="3A9A351A">
      <w:pPr>
        <w:spacing w:before="140" w:line="235" w:lineRule="auto"/>
        <w:ind w:left="27" w:right="10"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（九）住宿业。从业人员 300 人以下或营业收入 10000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其中，从业人员 100 人及以上，且营业收入 2000 万元及</w:t>
      </w:r>
      <w:r>
        <w:rPr>
          <w:rFonts w:ascii="宋体" w:hAnsi="宋体" w:eastAsia="宋体" w:cs="宋体"/>
          <w:color w:val="auto"/>
          <w:spacing w:val="-3"/>
          <w:sz w:val="21"/>
          <w:szCs w:val="21"/>
          <w:highlight w:val="none"/>
        </w:rPr>
        <w:t>以上的为中型企业；从业人员 10</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人及以上，且营业收入 100</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rPr>
        <w:t>万元及以上的为小型企业；从</w:t>
      </w:r>
      <w:r>
        <w:rPr>
          <w:rFonts w:ascii="宋体" w:hAnsi="宋体" w:eastAsia="宋体" w:cs="宋体"/>
          <w:color w:val="auto"/>
          <w:spacing w:val="-4"/>
          <w:sz w:val="21"/>
          <w:szCs w:val="21"/>
          <w:highlight w:val="none"/>
        </w:rPr>
        <w:t>业人员 10</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rPr>
        <w:t>人以下或营业收入 100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万元以下的为微型企业。</w:t>
      </w:r>
    </w:p>
    <w:p w14:paraId="1836F222">
      <w:pPr>
        <w:spacing w:before="140" w:line="235" w:lineRule="auto"/>
        <w:ind w:left="27" w:right="10"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（十）餐饮业。从业人员 300 人以下或营业收入 10000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其中，从业人员 100 人及以上，且营业收入 2000 万元及</w:t>
      </w:r>
      <w:r>
        <w:rPr>
          <w:rFonts w:ascii="宋体" w:hAnsi="宋体" w:eastAsia="宋体" w:cs="宋体"/>
          <w:color w:val="auto"/>
          <w:spacing w:val="-3"/>
          <w:sz w:val="21"/>
          <w:szCs w:val="21"/>
          <w:highlight w:val="none"/>
        </w:rPr>
        <w:t>以上的为中型企业；从业人员 10</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人及以上，且营业收入 100</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rPr>
        <w:t>万元及以上的为小型企业；从</w:t>
      </w:r>
      <w:r>
        <w:rPr>
          <w:rFonts w:ascii="宋体" w:hAnsi="宋体" w:eastAsia="宋体" w:cs="宋体"/>
          <w:color w:val="auto"/>
          <w:spacing w:val="-4"/>
          <w:sz w:val="21"/>
          <w:szCs w:val="21"/>
          <w:highlight w:val="none"/>
        </w:rPr>
        <w:t>业人员 10</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rPr>
        <w:t>人以下或营业收入 100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万元以下的为微型企业。</w:t>
      </w:r>
    </w:p>
    <w:p w14:paraId="58149D11">
      <w:pPr>
        <w:spacing w:before="140" w:line="235" w:lineRule="auto"/>
        <w:ind w:left="27" w:right="10"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（十一）信息传输业。从业人员 2000 人以下或营业收入 100000 万元以下的为中小微</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型企业。其中，从业人员</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100</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万元及以上的为中型企业；从业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人员 10</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人及以上，且营业收入 100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 xml:space="preserve">万元及以上的为小型企业；从业人员 </w:t>
      </w:r>
      <w:r>
        <w:rPr>
          <w:rFonts w:ascii="宋体" w:hAnsi="宋体" w:eastAsia="宋体" w:cs="宋体"/>
          <w:color w:val="auto"/>
          <w:spacing w:val="-4"/>
          <w:sz w:val="21"/>
          <w:szCs w:val="21"/>
          <w:highlight w:val="none"/>
        </w:rPr>
        <w:t>10</w:t>
      </w:r>
      <w:r>
        <w:rPr>
          <w:rFonts w:ascii="宋体" w:hAnsi="宋体" w:eastAsia="宋体" w:cs="宋体"/>
          <w:color w:val="auto"/>
          <w:spacing w:val="-26"/>
          <w:sz w:val="21"/>
          <w:szCs w:val="21"/>
          <w:highlight w:val="none"/>
        </w:rPr>
        <w:t xml:space="preserve"> </w:t>
      </w:r>
      <w:r>
        <w:rPr>
          <w:rFonts w:ascii="宋体" w:hAnsi="宋体" w:eastAsia="宋体" w:cs="宋体"/>
          <w:color w:val="auto"/>
          <w:spacing w:val="-4"/>
          <w:sz w:val="21"/>
          <w:szCs w:val="21"/>
          <w:highlight w:val="none"/>
        </w:rPr>
        <w:t>人以下或营业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收入</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万元以下的为微型企业。</w:t>
      </w:r>
    </w:p>
    <w:p w14:paraId="1F3B312E">
      <w:pPr>
        <w:spacing w:before="140" w:line="235" w:lineRule="auto"/>
        <w:ind w:left="25" w:right="12" w:firstLine="42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（十二）软件和信息技术服务业。从业人员 300 人以下或营业收入 10000 万元以下的</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为中小微型企业。其中，从业人员</w:t>
      </w:r>
      <w:r>
        <w:rPr>
          <w:rFonts w:ascii="宋体" w:hAnsi="宋体" w:eastAsia="宋体" w:cs="宋体"/>
          <w:color w:val="auto"/>
          <w:spacing w:val="-20"/>
          <w:sz w:val="21"/>
          <w:szCs w:val="21"/>
          <w:highlight w:val="none"/>
        </w:rPr>
        <w:t xml:space="preserve"> </w:t>
      </w:r>
      <w:r>
        <w:rPr>
          <w:rFonts w:ascii="宋体" w:hAnsi="宋体" w:eastAsia="宋体" w:cs="宋体"/>
          <w:color w:val="auto"/>
          <w:spacing w:val="-2"/>
          <w:sz w:val="21"/>
          <w:szCs w:val="21"/>
          <w:highlight w:val="none"/>
        </w:rPr>
        <w:t>100</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万元及以上的为中型企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业；从业人员</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10</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50</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万元及以</w:t>
      </w:r>
      <w:r>
        <w:rPr>
          <w:rFonts w:ascii="宋体" w:hAnsi="宋体" w:eastAsia="宋体" w:cs="宋体"/>
          <w:color w:val="auto"/>
          <w:spacing w:val="-3"/>
          <w:sz w:val="21"/>
          <w:szCs w:val="21"/>
          <w:highlight w:val="none"/>
        </w:rPr>
        <w:t>上的为小型企业；从业人员</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10</w:t>
      </w:r>
      <w:r>
        <w:rPr>
          <w:rFonts w:ascii="宋体" w:hAnsi="宋体" w:eastAsia="宋体" w:cs="宋体"/>
          <w:color w:val="auto"/>
          <w:spacing w:val="-44"/>
          <w:sz w:val="21"/>
          <w:szCs w:val="21"/>
          <w:highlight w:val="none"/>
        </w:rPr>
        <w:t xml:space="preserve"> </w:t>
      </w:r>
      <w:r>
        <w:rPr>
          <w:rFonts w:ascii="宋体" w:hAnsi="宋体" w:eastAsia="宋体" w:cs="宋体"/>
          <w:color w:val="auto"/>
          <w:spacing w:val="-3"/>
          <w:sz w:val="21"/>
          <w:szCs w:val="21"/>
          <w:highlight w:val="none"/>
        </w:rPr>
        <w:t>人以下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或营业收入</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50</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万元以下的为微型企业。</w:t>
      </w:r>
    </w:p>
    <w:p w14:paraId="3AE282E8">
      <w:pPr>
        <w:spacing w:before="141" w:line="235" w:lineRule="auto"/>
        <w:ind w:left="29" w:right="12" w:firstLine="42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（十三）房地产开发经营。营业收入</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200000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万元以下或资产总额</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10000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万元以下的为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中小微型企业。其中，营业收入 1000 万元及以</w:t>
      </w:r>
      <w:r>
        <w:rPr>
          <w:rFonts w:ascii="宋体" w:hAnsi="宋体" w:eastAsia="宋体" w:cs="宋体"/>
          <w:color w:val="auto"/>
          <w:spacing w:val="-3"/>
          <w:sz w:val="21"/>
          <w:szCs w:val="21"/>
          <w:highlight w:val="none"/>
        </w:rPr>
        <w:t>上，且资产总额 5000 万元及以上的为中型</w:t>
      </w:r>
      <w:r>
        <w:rPr>
          <w:rFonts w:ascii="宋体" w:hAnsi="宋体" w:eastAsia="宋体" w:cs="宋体"/>
          <w:color w:val="auto"/>
          <w:sz w:val="21"/>
          <w:szCs w:val="21"/>
          <w:highlight w:val="none"/>
        </w:rPr>
        <w:t xml:space="preserve"> 企业；营业收入 100 万元及以上，且资产总额 2000 万元及以</w:t>
      </w:r>
      <w:r>
        <w:rPr>
          <w:rFonts w:ascii="宋体" w:hAnsi="宋体" w:eastAsia="宋体" w:cs="宋体"/>
          <w:color w:val="auto"/>
          <w:spacing w:val="-1"/>
          <w:sz w:val="21"/>
          <w:szCs w:val="21"/>
          <w:highlight w:val="none"/>
        </w:rPr>
        <w:t>上的为小型企业；营业收入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100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万元以下或资产总额</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2000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w:t>
      </w:r>
      <w:r>
        <w:rPr>
          <w:rFonts w:ascii="宋体" w:hAnsi="宋体" w:eastAsia="宋体" w:cs="宋体"/>
          <w:color w:val="auto"/>
          <w:spacing w:val="-3"/>
          <w:sz w:val="21"/>
          <w:szCs w:val="21"/>
          <w:highlight w:val="none"/>
        </w:rPr>
        <w:t>的为微型企业。</w:t>
      </w:r>
    </w:p>
    <w:p w14:paraId="2CAF7905">
      <w:pPr>
        <w:spacing w:before="141" w:line="233" w:lineRule="auto"/>
        <w:ind w:left="25" w:right="10" w:firstLine="42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（十四）物业管理。从业人员 1000 人以下或营业收入 5000 万元以下的为中小微型企</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业。其中，从业人员</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万元及以上的为中型企业；从业人员</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100</w:t>
      </w:r>
      <w:r>
        <w:rPr>
          <w:rFonts w:ascii="宋体" w:hAnsi="宋体" w:eastAsia="宋体" w:cs="宋体"/>
          <w:color w:val="auto"/>
          <w:spacing w:val="-54"/>
          <w:sz w:val="21"/>
          <w:szCs w:val="21"/>
          <w:highlight w:val="none"/>
        </w:rPr>
        <w:t xml:space="preserve"> </w:t>
      </w:r>
      <w:r>
        <w:rPr>
          <w:rFonts w:ascii="宋体" w:hAnsi="宋体" w:eastAsia="宋体" w:cs="宋体"/>
          <w:color w:val="auto"/>
          <w:spacing w:val="-1"/>
          <w:sz w:val="21"/>
          <w:szCs w:val="21"/>
          <w:highlight w:val="none"/>
        </w:rPr>
        <w:t>人及以上，且营业收入</w:t>
      </w:r>
      <w:r>
        <w:rPr>
          <w:rFonts w:ascii="宋体" w:hAnsi="宋体" w:eastAsia="宋体" w:cs="宋体"/>
          <w:color w:val="auto"/>
          <w:spacing w:val="-52"/>
          <w:sz w:val="21"/>
          <w:szCs w:val="21"/>
          <w:highlight w:val="none"/>
        </w:rPr>
        <w:t xml:space="preserve"> </w:t>
      </w:r>
      <w:r>
        <w:rPr>
          <w:rFonts w:ascii="宋体" w:hAnsi="宋体" w:eastAsia="宋体" w:cs="宋体"/>
          <w:color w:val="auto"/>
          <w:spacing w:val="-1"/>
          <w:sz w:val="21"/>
          <w:szCs w:val="21"/>
          <w:highlight w:val="none"/>
        </w:rPr>
        <w:t>500</w:t>
      </w:r>
      <w:r>
        <w:rPr>
          <w:rFonts w:ascii="宋体" w:hAnsi="宋体" w:eastAsia="宋体" w:cs="宋体"/>
          <w:color w:val="auto"/>
          <w:spacing w:val="-51"/>
          <w:sz w:val="21"/>
          <w:szCs w:val="21"/>
          <w:highlight w:val="none"/>
        </w:rPr>
        <w:t xml:space="preserve"> </w:t>
      </w:r>
      <w:r>
        <w:rPr>
          <w:rFonts w:ascii="宋体" w:hAnsi="宋体" w:eastAsia="宋体" w:cs="宋体"/>
          <w:color w:val="auto"/>
          <w:spacing w:val="-1"/>
          <w:sz w:val="21"/>
          <w:szCs w:val="21"/>
          <w:highlight w:val="none"/>
        </w:rPr>
        <w:t>万元及</w:t>
      </w:r>
      <w:r>
        <w:rPr>
          <w:rFonts w:ascii="宋体" w:hAnsi="宋体" w:eastAsia="宋体" w:cs="宋体"/>
          <w:color w:val="auto"/>
          <w:spacing w:val="-2"/>
          <w:sz w:val="21"/>
          <w:szCs w:val="21"/>
          <w:highlight w:val="none"/>
        </w:rPr>
        <w:t>以上的为小型企业；从业人员</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100</w:t>
      </w:r>
      <w:r>
        <w:rPr>
          <w:rFonts w:ascii="宋体" w:hAnsi="宋体" w:eastAsia="宋体" w:cs="宋体"/>
          <w:color w:val="auto"/>
          <w:spacing w:val="-54"/>
          <w:sz w:val="21"/>
          <w:szCs w:val="21"/>
          <w:highlight w:val="none"/>
        </w:rPr>
        <w:t xml:space="preserve"> </w:t>
      </w:r>
      <w:r>
        <w:rPr>
          <w:rFonts w:ascii="宋体" w:hAnsi="宋体" w:eastAsia="宋体" w:cs="宋体"/>
          <w:color w:val="auto"/>
          <w:spacing w:val="-2"/>
          <w:sz w:val="21"/>
          <w:szCs w:val="21"/>
          <w:highlight w:val="none"/>
        </w:rPr>
        <w:t>人以下或营业收入</w:t>
      </w:r>
    </w:p>
    <w:p w14:paraId="395338D5">
      <w:pPr>
        <w:spacing w:before="20" w:line="221" w:lineRule="auto"/>
        <w:ind w:left="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500</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万元以下的为微型企业。</w:t>
      </w:r>
    </w:p>
    <w:p w14:paraId="27379980">
      <w:pPr>
        <w:spacing w:before="145" w:line="234" w:lineRule="auto"/>
        <w:ind w:left="28" w:right="10" w:firstLine="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（十五）租赁和商务服务业。从业人员</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人以下或资产总额</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120000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万元以下的为中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小微型企业。其中，从业人员</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100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人及以上，</w:t>
      </w:r>
      <w:r>
        <w:rPr>
          <w:rFonts w:ascii="宋体" w:hAnsi="宋体" w:eastAsia="宋体" w:cs="宋体"/>
          <w:color w:val="auto"/>
          <w:spacing w:val="-2"/>
          <w:sz w:val="21"/>
          <w:szCs w:val="21"/>
          <w:highlight w:val="none"/>
        </w:rPr>
        <w:t>且资产总额</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8000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万元及以上的为中型企业；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从业人员 10</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人及以上，且资产总额 100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万元及以上的为小型企业；从业</w:t>
      </w:r>
      <w:r>
        <w:rPr>
          <w:rFonts w:ascii="宋体" w:hAnsi="宋体" w:eastAsia="宋体" w:cs="宋体"/>
          <w:color w:val="auto"/>
          <w:spacing w:val="-4"/>
          <w:sz w:val="21"/>
          <w:szCs w:val="21"/>
          <w:highlight w:val="none"/>
        </w:rPr>
        <w:t>人员 10</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人以下或</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资产总额</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万元以下的为微型企业。</w:t>
      </w:r>
    </w:p>
    <w:p w14:paraId="7D8164C0">
      <w:pPr>
        <w:spacing w:before="143" w:line="233" w:lineRule="auto"/>
        <w:ind w:left="26" w:right="10" w:firstLine="428"/>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（十六）其他未列明行业。从业人员 300 人以下的为中</w:t>
      </w:r>
      <w:r>
        <w:rPr>
          <w:rFonts w:ascii="宋体" w:hAnsi="宋体" w:eastAsia="宋体" w:cs="宋体"/>
          <w:color w:val="auto"/>
          <w:spacing w:val="-1"/>
          <w:sz w:val="21"/>
          <w:szCs w:val="21"/>
          <w:highlight w:val="none"/>
        </w:rPr>
        <w:t>小微型企业。其中，从业人员</w:t>
      </w:r>
      <w:r>
        <w:rPr>
          <w:rFonts w:ascii="宋体" w:hAnsi="宋体" w:eastAsia="宋体" w:cs="宋体"/>
          <w:color w:val="auto"/>
          <w:sz w:val="21"/>
          <w:szCs w:val="21"/>
          <w:highlight w:val="none"/>
        </w:rPr>
        <w:t xml:space="preserve"> 100</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rPr>
        <w:t>人及以上的为中型企业；从业人员</w:t>
      </w:r>
      <w:r>
        <w:rPr>
          <w:rFonts w:ascii="宋体" w:hAnsi="宋体" w:eastAsia="宋体" w:cs="宋体"/>
          <w:color w:val="auto"/>
          <w:spacing w:val="-41"/>
          <w:sz w:val="21"/>
          <w:szCs w:val="21"/>
          <w:highlight w:val="none"/>
        </w:rPr>
        <w:t xml:space="preserve"> </w:t>
      </w:r>
      <w:r>
        <w:rPr>
          <w:rFonts w:ascii="宋体" w:hAnsi="宋体" w:eastAsia="宋体" w:cs="宋体"/>
          <w:color w:val="auto"/>
          <w:sz w:val="21"/>
          <w:szCs w:val="21"/>
          <w:highlight w:val="none"/>
        </w:rPr>
        <w:t>10</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rPr>
        <w:t>人及以上的为</w:t>
      </w:r>
      <w:r>
        <w:rPr>
          <w:rFonts w:ascii="宋体" w:hAnsi="宋体" w:eastAsia="宋体" w:cs="宋体"/>
          <w:color w:val="auto"/>
          <w:spacing w:val="-1"/>
          <w:sz w:val="21"/>
          <w:szCs w:val="21"/>
          <w:highlight w:val="none"/>
        </w:rPr>
        <w:t>小型企业；从业人员10</w:t>
      </w:r>
      <w:r>
        <w:rPr>
          <w:rFonts w:ascii="宋体" w:hAnsi="宋体" w:eastAsia="宋体" w:cs="宋体"/>
          <w:color w:val="auto"/>
          <w:spacing w:val="-55"/>
          <w:sz w:val="21"/>
          <w:szCs w:val="21"/>
          <w:highlight w:val="none"/>
        </w:rPr>
        <w:t xml:space="preserve"> </w:t>
      </w:r>
      <w:r>
        <w:rPr>
          <w:rFonts w:ascii="宋体" w:hAnsi="宋体" w:eastAsia="宋体" w:cs="宋体"/>
          <w:color w:val="auto"/>
          <w:spacing w:val="-1"/>
          <w:sz w:val="21"/>
          <w:szCs w:val="21"/>
          <w:highlight w:val="none"/>
        </w:rPr>
        <w:t>人以下的为</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微型企业。</w:t>
      </w:r>
    </w:p>
    <w:p w14:paraId="11B7F62B">
      <w:pPr>
        <w:spacing w:before="141" w:line="220" w:lineRule="auto"/>
        <w:ind w:left="45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五、企业类型的划分以统计部门的统计数据为依据。</w:t>
      </w:r>
    </w:p>
    <w:p w14:paraId="23C9E76F">
      <w:pPr>
        <w:spacing w:before="143" w:line="229" w:lineRule="auto"/>
        <w:ind w:left="25" w:right="21" w:firstLine="4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六、本规定适用于在中华人民共和国境内依法设立的各类所有制和各种组织形式的企</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业。个体工商户和本规定以外的行业，参照本规定进行划型。</w:t>
      </w:r>
    </w:p>
    <w:p w14:paraId="549574C4">
      <w:pPr>
        <w:spacing w:before="145" w:line="233" w:lineRule="auto"/>
        <w:ind w:left="29" w:right="21"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七、本规定的中型企业标准上限即为大型企业标准的下限，国家统计部门据此制定大</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中小微型企业的统计分类。国务院有关部门据此进行相关数据分析，不得制定与本规定不</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一致的企业划型标准。</w:t>
      </w:r>
    </w:p>
    <w:p w14:paraId="218C92BC">
      <w:pPr>
        <w:spacing w:before="139" w:line="231" w:lineRule="auto"/>
        <w:ind w:left="26" w:right="30" w:firstLine="43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八、本规定由工业和信息化部、国家统计局会同有关部门根据《国民经济行业</w:t>
      </w:r>
      <w:r>
        <w:rPr>
          <w:rFonts w:ascii="宋体" w:hAnsi="宋体" w:eastAsia="宋体" w:cs="宋体"/>
          <w:color w:val="auto"/>
          <w:spacing w:val="1"/>
          <w:sz w:val="21"/>
          <w:szCs w:val="21"/>
          <w:highlight w:val="none"/>
        </w:rPr>
        <w:t>分类》</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修订情况和企业发展变化情况适时修订。</w:t>
      </w:r>
    </w:p>
    <w:p w14:paraId="68D3A5FF">
      <w:pPr>
        <w:spacing w:before="140"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九、本规定由工业和信息化部、国家统计局会</w:t>
      </w:r>
      <w:r>
        <w:rPr>
          <w:rFonts w:ascii="宋体" w:hAnsi="宋体" w:eastAsia="宋体" w:cs="宋体"/>
          <w:color w:val="auto"/>
          <w:spacing w:val="-1"/>
          <w:sz w:val="21"/>
          <w:szCs w:val="21"/>
          <w:highlight w:val="none"/>
        </w:rPr>
        <w:t>同有关部门负责解释。</w:t>
      </w:r>
    </w:p>
    <w:p w14:paraId="5E8C82FE">
      <w:pPr>
        <w:spacing w:before="144" w:line="229" w:lineRule="auto"/>
        <w:ind w:left="28" w:right="21" w:firstLine="4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十、本规定自发布之日起执行，原国家经贸委、原国家计委、财政部和国家统计局</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2003</w:t>
      </w:r>
      <w:r>
        <w:rPr>
          <w:rFonts w:ascii="宋体" w:hAnsi="宋体" w:eastAsia="宋体" w:cs="宋体"/>
          <w:color w:val="auto"/>
          <w:spacing w:val="-36"/>
          <w:sz w:val="21"/>
          <w:szCs w:val="21"/>
          <w:highlight w:val="none"/>
        </w:rPr>
        <w:t xml:space="preserve"> </w:t>
      </w:r>
      <w:r>
        <w:rPr>
          <w:rFonts w:ascii="宋体" w:hAnsi="宋体" w:eastAsia="宋体" w:cs="宋体"/>
          <w:color w:val="auto"/>
          <w:spacing w:val="-1"/>
          <w:sz w:val="21"/>
          <w:szCs w:val="21"/>
          <w:highlight w:val="none"/>
        </w:rPr>
        <w:t>年颁布的《中小企业标准暂行规定》同时废止。</w:t>
      </w:r>
    </w:p>
    <w:p w14:paraId="5C2BFF97">
      <w:pPr>
        <w:spacing w:line="229" w:lineRule="auto"/>
        <w:rPr>
          <w:rFonts w:ascii="宋体" w:hAnsi="宋体" w:eastAsia="宋体" w:cs="宋体"/>
          <w:color w:val="auto"/>
          <w:sz w:val="21"/>
          <w:szCs w:val="21"/>
          <w:highlight w:val="none"/>
        </w:rPr>
        <w:sectPr>
          <w:footerReference r:id="rId12" w:type="default"/>
          <w:pgSz w:w="11900" w:h="16832"/>
          <w:pgMar w:top="1427" w:right="1784" w:bottom="1220" w:left="1784" w:header="0" w:footer="1060" w:gutter="0"/>
          <w:pgNumType w:fmt="decimal"/>
          <w:cols w:space="720" w:num="1"/>
        </w:sectPr>
      </w:pPr>
    </w:p>
    <w:p w14:paraId="253CDBB2">
      <w:pPr>
        <w:spacing w:before="64" w:line="224" w:lineRule="auto"/>
        <w:ind w:left="3052"/>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供应商须知正文</w:t>
      </w:r>
    </w:p>
    <w:p w14:paraId="5371C87A">
      <w:pPr>
        <w:spacing w:line="455" w:lineRule="auto"/>
        <w:rPr>
          <w:rFonts w:ascii="Arial"/>
          <w:color w:val="auto"/>
          <w:sz w:val="21"/>
          <w:highlight w:val="none"/>
        </w:rPr>
      </w:pPr>
    </w:p>
    <w:p w14:paraId="45184579">
      <w:pPr>
        <w:spacing w:before="101" w:line="226" w:lineRule="auto"/>
        <w:ind w:left="3540"/>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一、总则</w:t>
      </w:r>
    </w:p>
    <w:p w14:paraId="43F05F95">
      <w:pPr>
        <w:spacing w:line="329" w:lineRule="auto"/>
        <w:rPr>
          <w:rFonts w:ascii="Arial"/>
          <w:color w:val="auto"/>
          <w:sz w:val="21"/>
          <w:highlight w:val="none"/>
        </w:rPr>
      </w:pPr>
    </w:p>
    <w:p w14:paraId="19B9C9D9">
      <w:pPr>
        <w:spacing w:before="78" w:line="220" w:lineRule="auto"/>
        <w:ind w:left="523"/>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1.适用范围</w:t>
      </w:r>
    </w:p>
    <w:p w14:paraId="72529A47">
      <w:pPr>
        <w:spacing w:before="173" w:line="325" w:lineRule="auto"/>
        <w:ind w:left="26" w:right="74" w:firstLine="4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本项目采购人、采购代理机构、供应商、磋商小组的相关行为均受《</w:t>
      </w:r>
      <w:r>
        <w:rPr>
          <w:rFonts w:ascii="宋体" w:hAnsi="宋体" w:eastAsia="宋体" w:cs="宋体"/>
          <w:color w:val="auto"/>
          <w:spacing w:val="-3"/>
          <w:sz w:val="21"/>
          <w:szCs w:val="21"/>
          <w:highlight w:val="none"/>
        </w:rPr>
        <w:t>中华人民共和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国政府采购法》《中华人民共和国政府采购法实施条例》《政府采购竞争性磋商采购方式</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管理暂行办法》《财政部关于政府采购竞争性磋商采购方式管理暂行办法有关问题的补充</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通知》及本项目本级和上级财政部门政府采购有关规定的约束和保护。</w:t>
      </w:r>
    </w:p>
    <w:p w14:paraId="560AA111">
      <w:pPr>
        <w:spacing w:before="157" w:line="291" w:lineRule="auto"/>
        <w:ind w:left="26" w:right="79" w:firstLine="4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本竞争性磋商文件（以下简称磋商文件）适用于本项目的</w:t>
      </w:r>
      <w:r>
        <w:rPr>
          <w:rFonts w:ascii="宋体" w:hAnsi="宋体" w:eastAsia="宋体" w:cs="宋体"/>
          <w:color w:val="auto"/>
          <w:spacing w:val="-3"/>
          <w:sz w:val="21"/>
          <w:szCs w:val="21"/>
          <w:highlight w:val="none"/>
        </w:rPr>
        <w:t>所有采购程序和环节（法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律、法规另有规定的，从其规定）。</w:t>
      </w:r>
    </w:p>
    <w:p w14:paraId="53E19357">
      <w:pPr>
        <w:spacing w:before="161" w:line="220" w:lineRule="auto"/>
        <w:ind w:left="511"/>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2.定义</w:t>
      </w:r>
    </w:p>
    <w:p w14:paraId="342433F8">
      <w:pPr>
        <w:spacing w:before="175" w:line="220" w:lineRule="auto"/>
        <w:ind w:left="448"/>
        <w:rPr>
          <w:rFonts w:ascii="宋体" w:hAnsi="宋体" w:eastAsia="宋体" w:cs="宋体"/>
          <w:color w:val="auto"/>
          <w:sz w:val="21"/>
          <w:szCs w:val="21"/>
          <w:highlight w:val="none"/>
        </w:rPr>
      </w:pPr>
      <w:r>
        <w:rPr>
          <w:rFonts w:ascii="宋体" w:hAnsi="宋体" w:eastAsia="宋体" w:cs="宋体"/>
          <w:color w:val="auto"/>
          <w:sz w:val="21"/>
          <w:szCs w:val="21"/>
          <w:highlight w:val="none"/>
        </w:rPr>
        <w:t>2.1“采购人”是指依法进行政府采购的国家机关、事业单</w:t>
      </w:r>
      <w:r>
        <w:rPr>
          <w:rFonts w:ascii="宋体" w:hAnsi="宋体" w:eastAsia="宋体" w:cs="宋体"/>
          <w:color w:val="auto"/>
          <w:spacing w:val="-1"/>
          <w:sz w:val="21"/>
          <w:szCs w:val="21"/>
          <w:highlight w:val="none"/>
        </w:rPr>
        <w:t>位、团体组织。</w:t>
      </w:r>
    </w:p>
    <w:p w14:paraId="42874398">
      <w:pPr>
        <w:spacing w:before="157" w:line="347" w:lineRule="auto"/>
        <w:ind w:left="44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2.2“采购代理机构”是指政府采购集中采购机构和集中采购机构以外的采购代理机构。</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rPr>
        <w:t>2.3“供应商”是指向采购人提供货物、工程或者服务的法人、其他</w:t>
      </w:r>
      <w:r>
        <w:rPr>
          <w:rFonts w:ascii="宋体" w:hAnsi="宋体" w:eastAsia="宋体" w:cs="宋体"/>
          <w:color w:val="auto"/>
          <w:spacing w:val="-1"/>
          <w:sz w:val="21"/>
          <w:szCs w:val="21"/>
          <w:highlight w:val="none"/>
        </w:rPr>
        <w:t>组织或者自然人。</w:t>
      </w:r>
    </w:p>
    <w:p w14:paraId="79CEDC29">
      <w:pPr>
        <w:spacing w:before="28" w:line="346" w:lineRule="auto"/>
        <w:ind w:left="26" w:right="103"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2.4“工程”是指建设工程，包括建筑物和构筑物的新建、改建、扩建、装修、拆除、</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修缮等。</w:t>
      </w:r>
    </w:p>
    <w:p w14:paraId="5ADF9163">
      <w:pPr>
        <w:spacing w:before="31" w:line="347" w:lineRule="auto"/>
        <w:ind w:left="26" w:right="72"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2.5“竞标”是指供应商按照本项目竞争性磋商公告规定的方式获取磋</w:t>
      </w:r>
      <w:r>
        <w:rPr>
          <w:rFonts w:ascii="宋体" w:hAnsi="宋体" w:eastAsia="宋体" w:cs="宋体"/>
          <w:color w:val="auto"/>
          <w:spacing w:val="-1"/>
          <w:sz w:val="21"/>
          <w:szCs w:val="21"/>
          <w:highlight w:val="none"/>
        </w:rPr>
        <w:t>商文件、提交响</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应文件并希望获得标的的行为。</w:t>
      </w:r>
    </w:p>
    <w:p w14:paraId="66DF6731">
      <w:pPr>
        <w:spacing w:before="29" w:line="345" w:lineRule="auto"/>
        <w:ind w:left="27" w:right="76"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2.6“书面形式”是指合同书、信件和数据电文（包括电报、</w:t>
      </w:r>
      <w:r>
        <w:rPr>
          <w:rFonts w:ascii="宋体" w:hAnsi="宋体" w:eastAsia="宋体" w:cs="宋体"/>
          <w:color w:val="auto"/>
          <w:spacing w:val="-1"/>
          <w:sz w:val="21"/>
          <w:szCs w:val="21"/>
          <w:highlight w:val="none"/>
        </w:rPr>
        <w:t>电传、传真、电子数据交</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换和电子邮件）等可以有形地表现所载内容的形式。</w:t>
      </w:r>
    </w:p>
    <w:p w14:paraId="338D4194">
      <w:pPr>
        <w:spacing w:before="31" w:line="345" w:lineRule="auto"/>
        <w:ind w:left="27" w:right="74"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2.7“响应文件”是指：供应商根据本磋商文件要求，编制包含资</w:t>
      </w:r>
      <w:r>
        <w:rPr>
          <w:rFonts w:ascii="宋体" w:hAnsi="宋体" w:eastAsia="宋体" w:cs="宋体"/>
          <w:color w:val="auto"/>
          <w:spacing w:val="-1"/>
          <w:sz w:val="21"/>
          <w:szCs w:val="21"/>
          <w:highlight w:val="none"/>
        </w:rPr>
        <w:t>格证明、报价、商务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技术等所有内容的文件。</w:t>
      </w:r>
    </w:p>
    <w:p w14:paraId="662FABCE">
      <w:pPr>
        <w:spacing w:before="34" w:line="345" w:lineRule="auto"/>
        <w:ind w:left="27" w:right="81"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2.8“实质性要求”是指磋商文件中已经指明不</w:t>
      </w:r>
      <w:r>
        <w:rPr>
          <w:rFonts w:ascii="宋体" w:hAnsi="宋体" w:eastAsia="宋体" w:cs="宋体"/>
          <w:color w:val="auto"/>
          <w:spacing w:val="-1"/>
          <w:sz w:val="21"/>
          <w:szCs w:val="21"/>
          <w:highlight w:val="none"/>
        </w:rPr>
        <w:t>满足则响应文件按无效处理的条款，或</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者不能负偏离的条款，或者采购需求中带“▲”的条款。</w:t>
      </w:r>
    </w:p>
    <w:p w14:paraId="666B2371">
      <w:pPr>
        <w:spacing w:before="31" w:line="345" w:lineRule="auto"/>
        <w:ind w:left="27" w:right="76"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2.9“正偏离”，是指响应文件对磋商文件“采购需求”中有</w:t>
      </w:r>
      <w:r>
        <w:rPr>
          <w:rFonts w:ascii="宋体" w:hAnsi="宋体" w:eastAsia="宋体" w:cs="宋体"/>
          <w:color w:val="auto"/>
          <w:spacing w:val="-1"/>
          <w:sz w:val="21"/>
          <w:szCs w:val="21"/>
          <w:highlight w:val="none"/>
        </w:rPr>
        <w:t>关条款作出的响应优于条</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款要求并有利于采购人的情形。</w:t>
      </w:r>
    </w:p>
    <w:p w14:paraId="1832C9A5">
      <w:pPr>
        <w:spacing w:before="31" w:line="347" w:lineRule="auto"/>
        <w:ind w:left="29" w:right="81"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2.10“负偏离”，是指响应文件对磋商文件“采购需求”中有关条款作出的响应不满</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足条款要求，导致采购人要求不能得到满足的情形。</w:t>
      </w:r>
    </w:p>
    <w:p w14:paraId="7E46FB15">
      <w:pPr>
        <w:spacing w:before="30" w:line="344" w:lineRule="auto"/>
        <w:ind w:left="448" w:right="83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2.11“允许负偏离的条款”是指采购需求中的不属于“实质性要求”的条</w:t>
      </w:r>
      <w:r>
        <w:rPr>
          <w:rFonts w:ascii="宋体" w:hAnsi="宋体" w:eastAsia="宋体" w:cs="宋体"/>
          <w:color w:val="auto"/>
          <w:spacing w:val="-2"/>
          <w:sz w:val="21"/>
          <w:szCs w:val="21"/>
          <w:highlight w:val="none"/>
        </w:rPr>
        <w:t>款。</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2.12“首次报价”是指供应商提交的首次响应文件中的报价。</w:t>
      </w:r>
    </w:p>
    <w:p w14:paraId="36F2E244">
      <w:pPr>
        <w:spacing w:before="37" w:line="219"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3.供应商的资格条件</w:t>
      </w:r>
    </w:p>
    <w:p w14:paraId="429A3F0B">
      <w:pPr>
        <w:spacing w:before="179"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3.1</w:t>
      </w:r>
      <w:r>
        <w:rPr>
          <w:rFonts w:ascii="宋体" w:hAnsi="宋体" w:eastAsia="宋体" w:cs="宋体"/>
          <w:color w:val="auto"/>
          <w:spacing w:val="-37"/>
          <w:sz w:val="21"/>
          <w:szCs w:val="21"/>
          <w:highlight w:val="none"/>
        </w:rPr>
        <w:t xml:space="preserve"> </w:t>
      </w:r>
      <w:r>
        <w:rPr>
          <w:rFonts w:ascii="宋体" w:hAnsi="宋体" w:eastAsia="宋体" w:cs="宋体"/>
          <w:color w:val="auto"/>
          <w:spacing w:val="-1"/>
          <w:sz w:val="21"/>
          <w:szCs w:val="21"/>
          <w:highlight w:val="none"/>
        </w:rPr>
        <w:t>供应商的资格条件详见“供应商须知前附表”。</w:t>
      </w:r>
    </w:p>
    <w:p w14:paraId="04D56E55">
      <w:pPr>
        <w:spacing w:line="220" w:lineRule="auto"/>
        <w:rPr>
          <w:rFonts w:ascii="宋体" w:hAnsi="宋体" w:eastAsia="宋体" w:cs="宋体"/>
          <w:color w:val="auto"/>
          <w:sz w:val="21"/>
          <w:szCs w:val="21"/>
          <w:highlight w:val="none"/>
        </w:rPr>
        <w:sectPr>
          <w:footerReference r:id="rId13" w:type="default"/>
          <w:pgSz w:w="11900" w:h="16832"/>
          <w:pgMar w:top="1421" w:right="1723" w:bottom="1220" w:left="1784" w:header="0" w:footer="1060" w:gutter="0"/>
          <w:pgNumType w:fmt="decimal"/>
          <w:cols w:space="720" w:num="1"/>
        </w:sectPr>
      </w:pPr>
    </w:p>
    <w:p w14:paraId="63D9E4FE">
      <w:pPr>
        <w:spacing w:before="42" w:line="220" w:lineRule="auto"/>
        <w:ind w:left="45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3.2</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供应商不得存在下列情形之一：</w:t>
      </w:r>
    </w:p>
    <w:p w14:paraId="5147EBCE">
      <w:pPr>
        <w:spacing w:before="158" w:line="289" w:lineRule="auto"/>
        <w:ind w:left="27" w:right="75"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（1）单位负责人为同一人或者存在直接控股、管理</w:t>
      </w:r>
      <w:r>
        <w:rPr>
          <w:rFonts w:ascii="宋体" w:hAnsi="宋体" w:eastAsia="宋体" w:cs="宋体"/>
          <w:color w:val="auto"/>
          <w:spacing w:val="-1"/>
          <w:sz w:val="21"/>
          <w:szCs w:val="21"/>
          <w:highlight w:val="none"/>
        </w:rPr>
        <w:t>关系的不同供应商，不得参加同一</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合同项下的政府采购活动；</w:t>
      </w:r>
    </w:p>
    <w:p w14:paraId="04439741">
      <w:pPr>
        <w:spacing w:before="160" w:line="289" w:lineRule="auto"/>
        <w:ind w:left="29" w:right="14" w:firstLine="4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（2）为本项目提供过整体设计、规范编制或者项目管理、监理、检测</w:t>
      </w:r>
      <w:r>
        <w:rPr>
          <w:rFonts w:ascii="宋体" w:hAnsi="宋体" w:eastAsia="宋体" w:cs="宋体"/>
          <w:color w:val="auto"/>
          <w:spacing w:val="-5"/>
          <w:sz w:val="21"/>
          <w:szCs w:val="21"/>
          <w:highlight w:val="none"/>
        </w:rPr>
        <w:t>等服务的供应商，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不得再参加本项目上述服务以外的其他采购活动；</w:t>
      </w:r>
    </w:p>
    <w:p w14:paraId="79E43A26">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（3）为本分标的代建人；</w:t>
      </w:r>
    </w:p>
    <w:p w14:paraId="64BA79FE">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（4）为本分标提供采购代理服务的；</w:t>
      </w:r>
    </w:p>
    <w:p w14:paraId="7917BF1D">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（5）与本分标的监理人或代建人或采购代理机构同</w:t>
      </w:r>
      <w:r>
        <w:rPr>
          <w:rFonts w:ascii="宋体" w:hAnsi="宋体" w:eastAsia="宋体" w:cs="宋体"/>
          <w:color w:val="auto"/>
          <w:spacing w:val="-1"/>
          <w:sz w:val="21"/>
          <w:szCs w:val="21"/>
          <w:highlight w:val="none"/>
        </w:rPr>
        <w:t>为一个法定代表人的；</w:t>
      </w:r>
    </w:p>
    <w:p w14:paraId="17DA30F7">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（6）与本分标的监理人或代建人或采购代理机</w:t>
      </w:r>
      <w:r>
        <w:rPr>
          <w:rFonts w:ascii="宋体" w:hAnsi="宋体" w:eastAsia="宋体" w:cs="宋体"/>
          <w:color w:val="auto"/>
          <w:spacing w:val="-1"/>
          <w:sz w:val="21"/>
          <w:szCs w:val="21"/>
          <w:highlight w:val="none"/>
        </w:rPr>
        <w:t>构相互控股或参股的；</w:t>
      </w:r>
    </w:p>
    <w:p w14:paraId="58AB7E9F">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（7）与本分标的监理人或代建人或采购代理机</w:t>
      </w:r>
      <w:r>
        <w:rPr>
          <w:rFonts w:ascii="宋体" w:hAnsi="宋体" w:eastAsia="宋体" w:cs="宋体"/>
          <w:color w:val="auto"/>
          <w:spacing w:val="-1"/>
          <w:sz w:val="21"/>
          <w:szCs w:val="21"/>
          <w:highlight w:val="none"/>
        </w:rPr>
        <w:t>构相互任职或工作的；</w:t>
      </w:r>
    </w:p>
    <w:p w14:paraId="148BC87F">
      <w:pPr>
        <w:spacing w:before="156" w:line="351" w:lineRule="auto"/>
        <w:ind w:left="26" w:right="85" w:firstLine="426"/>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宋体" w:hAnsi="宋体" w:eastAsia="宋体" w:cs="宋体"/>
          <w:color w:val="auto"/>
          <w:spacing w:val="-47"/>
          <w:sz w:val="21"/>
          <w:szCs w:val="21"/>
          <w:highlight w:val="none"/>
        </w:rPr>
        <w:t xml:space="preserve"> </w:t>
      </w:r>
      <w:r>
        <w:rPr>
          <w:rFonts w:ascii="宋体" w:hAnsi="宋体" w:eastAsia="宋体" w:cs="宋体"/>
          <w:color w:val="auto"/>
          <w:spacing w:val="-7"/>
          <w:sz w:val="21"/>
          <w:szCs w:val="21"/>
          <w:highlight w:val="none"/>
        </w:rPr>
        <w:t>8</w:t>
      </w:r>
      <w:r>
        <w:rPr>
          <w:rFonts w:ascii="宋体" w:hAnsi="宋体" w:eastAsia="宋体" w:cs="宋体"/>
          <w:color w:val="auto"/>
          <w:spacing w:val="-34"/>
          <w:sz w:val="21"/>
          <w:szCs w:val="21"/>
          <w:highlight w:val="none"/>
        </w:rPr>
        <w:t xml:space="preserve"> </w:t>
      </w:r>
      <w:r>
        <w:rPr>
          <w:rFonts w:ascii="宋体" w:hAnsi="宋体" w:eastAsia="宋体" w:cs="宋体"/>
          <w:color w:val="auto"/>
          <w:spacing w:val="-7"/>
          <w:sz w:val="21"/>
          <w:szCs w:val="21"/>
          <w:highlight w:val="none"/>
        </w:rPr>
        <w:t>）</w:t>
      </w:r>
      <w:r>
        <w:rPr>
          <w:rFonts w:ascii="宋体" w:hAnsi="宋体" w:eastAsia="宋体" w:cs="宋体"/>
          <w:color w:val="auto"/>
          <w:spacing w:val="-56"/>
          <w:sz w:val="21"/>
          <w:szCs w:val="21"/>
          <w:highlight w:val="none"/>
        </w:rPr>
        <w:t xml:space="preserve"> </w:t>
      </w:r>
      <w:r>
        <w:rPr>
          <w:rFonts w:ascii="宋体" w:hAnsi="宋体" w:eastAsia="宋体" w:cs="宋体"/>
          <w:color w:val="auto"/>
          <w:spacing w:val="-7"/>
          <w:sz w:val="21"/>
          <w:szCs w:val="21"/>
          <w:highlight w:val="none"/>
        </w:rPr>
        <w:t>在</w:t>
      </w:r>
      <w:r>
        <w:rPr>
          <w:rFonts w:ascii="宋体" w:hAnsi="宋体" w:eastAsia="宋体" w:cs="宋体"/>
          <w:color w:val="auto"/>
          <w:spacing w:val="-66"/>
          <w:sz w:val="21"/>
          <w:szCs w:val="21"/>
          <w:highlight w:val="none"/>
        </w:rPr>
        <w:t xml:space="preserve"> </w:t>
      </w:r>
      <w:r>
        <w:rPr>
          <w:rFonts w:ascii="宋体" w:hAnsi="宋体" w:eastAsia="宋体" w:cs="宋体"/>
          <w:color w:val="auto"/>
          <w:spacing w:val="-7"/>
          <w:sz w:val="21"/>
          <w:szCs w:val="21"/>
          <w:highlight w:val="none"/>
        </w:rPr>
        <w:t>“</w:t>
      </w:r>
      <w:r>
        <w:rPr>
          <w:rFonts w:ascii="宋体" w:hAnsi="宋体" w:eastAsia="宋体" w:cs="宋体"/>
          <w:color w:val="auto"/>
          <w:spacing w:val="-56"/>
          <w:sz w:val="21"/>
          <w:szCs w:val="21"/>
          <w:highlight w:val="none"/>
        </w:rPr>
        <w:t xml:space="preserve"> </w:t>
      </w:r>
      <w:r>
        <w:rPr>
          <w:rFonts w:ascii="宋体" w:hAnsi="宋体" w:eastAsia="宋体" w:cs="宋体"/>
          <w:color w:val="auto"/>
          <w:spacing w:val="-7"/>
          <w:sz w:val="21"/>
          <w:szCs w:val="21"/>
          <w:highlight w:val="none"/>
        </w:rPr>
        <w:t>信</w:t>
      </w:r>
      <w:r>
        <w:rPr>
          <w:rFonts w:ascii="宋体" w:hAnsi="宋体" w:eastAsia="宋体" w:cs="宋体"/>
          <w:color w:val="auto"/>
          <w:spacing w:val="-54"/>
          <w:sz w:val="21"/>
          <w:szCs w:val="21"/>
          <w:highlight w:val="none"/>
        </w:rPr>
        <w:t xml:space="preserve"> </w:t>
      </w:r>
      <w:r>
        <w:rPr>
          <w:rFonts w:ascii="宋体" w:hAnsi="宋体" w:eastAsia="宋体" w:cs="宋体"/>
          <w:color w:val="auto"/>
          <w:spacing w:val="-7"/>
          <w:sz w:val="21"/>
          <w:szCs w:val="21"/>
          <w:highlight w:val="none"/>
        </w:rPr>
        <w:t>用</w:t>
      </w:r>
      <w:r>
        <w:rPr>
          <w:rFonts w:ascii="宋体" w:hAnsi="宋体" w:eastAsia="宋体" w:cs="宋体"/>
          <w:color w:val="auto"/>
          <w:spacing w:val="-39"/>
          <w:sz w:val="21"/>
          <w:szCs w:val="21"/>
          <w:highlight w:val="none"/>
        </w:rPr>
        <w:t xml:space="preserve"> </w:t>
      </w:r>
      <w:r>
        <w:rPr>
          <w:rFonts w:ascii="宋体" w:hAnsi="宋体" w:eastAsia="宋体" w:cs="宋体"/>
          <w:color w:val="auto"/>
          <w:spacing w:val="-7"/>
          <w:sz w:val="21"/>
          <w:szCs w:val="21"/>
          <w:highlight w:val="none"/>
        </w:rPr>
        <w:t>中</w:t>
      </w:r>
      <w:r>
        <w:rPr>
          <w:rFonts w:ascii="宋体" w:hAnsi="宋体" w:eastAsia="宋体" w:cs="宋体"/>
          <w:color w:val="auto"/>
          <w:spacing w:val="-36"/>
          <w:sz w:val="21"/>
          <w:szCs w:val="21"/>
          <w:highlight w:val="none"/>
        </w:rPr>
        <w:t xml:space="preserve"> </w:t>
      </w:r>
      <w:r>
        <w:rPr>
          <w:rFonts w:ascii="宋体" w:hAnsi="宋体" w:eastAsia="宋体" w:cs="宋体"/>
          <w:color w:val="auto"/>
          <w:spacing w:val="-7"/>
          <w:sz w:val="21"/>
          <w:szCs w:val="21"/>
          <w:highlight w:val="none"/>
        </w:rPr>
        <w:t>国</w:t>
      </w:r>
      <w:r>
        <w:rPr>
          <w:rFonts w:ascii="宋体" w:hAnsi="宋体" w:eastAsia="宋体" w:cs="宋体"/>
          <w:color w:val="auto"/>
          <w:spacing w:val="-38"/>
          <w:sz w:val="21"/>
          <w:szCs w:val="21"/>
          <w:highlight w:val="none"/>
        </w:rPr>
        <w:t xml:space="preserve"> </w:t>
      </w:r>
      <w:r>
        <w:rPr>
          <w:rFonts w:ascii="宋体" w:hAnsi="宋体" w:eastAsia="宋体" w:cs="宋体"/>
          <w:color w:val="auto"/>
          <w:spacing w:val="-7"/>
          <w:sz w:val="21"/>
          <w:szCs w:val="21"/>
          <w:highlight w:val="none"/>
        </w:rPr>
        <w:t>”</w:t>
      </w:r>
      <w:r>
        <w:rPr>
          <w:rFonts w:ascii="宋体" w:hAnsi="宋体" w:eastAsia="宋体" w:cs="宋体"/>
          <w:color w:val="auto"/>
          <w:spacing w:val="-69"/>
          <w:sz w:val="21"/>
          <w:szCs w:val="21"/>
          <w:highlight w:val="none"/>
        </w:rPr>
        <w:t xml:space="preserve"> </w:t>
      </w:r>
      <w:r>
        <w:rPr>
          <w:rFonts w:ascii="宋体" w:hAnsi="宋体" w:eastAsia="宋体" w:cs="宋体"/>
          <w:color w:val="auto"/>
          <w:spacing w:val="-7"/>
          <w:sz w:val="21"/>
          <w:szCs w:val="21"/>
          <w:highlight w:val="none"/>
        </w:rPr>
        <w:t>网</w:t>
      </w:r>
      <w:r>
        <w:rPr>
          <w:rFonts w:ascii="宋体" w:hAnsi="宋体" w:eastAsia="宋体" w:cs="宋体"/>
          <w:color w:val="auto"/>
          <w:spacing w:val="-56"/>
          <w:sz w:val="21"/>
          <w:szCs w:val="21"/>
          <w:highlight w:val="none"/>
        </w:rPr>
        <w:t xml:space="preserve"> </w:t>
      </w:r>
      <w:r>
        <w:rPr>
          <w:rFonts w:ascii="宋体" w:hAnsi="宋体" w:eastAsia="宋体" w:cs="宋体"/>
          <w:color w:val="auto"/>
          <w:spacing w:val="-7"/>
          <w:sz w:val="21"/>
          <w:szCs w:val="21"/>
          <w:highlight w:val="none"/>
        </w:rPr>
        <w:t>站（</w:t>
      </w:r>
      <w:r>
        <w:rPr>
          <w:rFonts w:ascii="宋体" w:hAnsi="宋体" w:eastAsia="宋体" w:cs="宋体"/>
          <w:color w:val="auto"/>
          <w:spacing w:val="-30"/>
          <w:sz w:val="21"/>
          <w:szCs w:val="21"/>
          <w:highlight w:val="none"/>
        </w:rPr>
        <w:t xml:space="preserve"> </w:t>
      </w:r>
      <w:r>
        <w:rPr>
          <w:rFonts w:ascii="宋体" w:hAnsi="宋体" w:eastAsia="宋体" w:cs="宋体"/>
          <w:color w:val="auto"/>
          <w:spacing w:val="-7"/>
          <w:sz w:val="21"/>
          <w:szCs w:val="21"/>
          <w:highlight w:val="none"/>
        </w:rPr>
        <w:t>www.creditchina.gov.cn</w:t>
      </w:r>
      <w:r>
        <w:rPr>
          <w:rFonts w:ascii="宋体" w:hAnsi="宋体" w:eastAsia="宋体" w:cs="宋体"/>
          <w:color w:val="auto"/>
          <w:spacing w:val="-36"/>
          <w:sz w:val="21"/>
          <w:szCs w:val="21"/>
          <w:highlight w:val="none"/>
        </w:rPr>
        <w:t xml:space="preserve"> </w:t>
      </w:r>
      <w:r>
        <w:rPr>
          <w:rFonts w:ascii="宋体" w:hAnsi="宋体" w:eastAsia="宋体" w:cs="宋体"/>
          <w:color w:val="auto"/>
          <w:spacing w:val="-7"/>
          <w:sz w:val="21"/>
          <w:szCs w:val="21"/>
          <w:highlight w:val="none"/>
        </w:rPr>
        <w:t>）  、</w:t>
      </w:r>
      <w:r>
        <w:rPr>
          <w:rFonts w:ascii="宋体" w:hAnsi="宋体" w:eastAsia="宋体" w:cs="宋体"/>
          <w:color w:val="auto"/>
          <w:spacing w:val="-38"/>
          <w:sz w:val="21"/>
          <w:szCs w:val="21"/>
          <w:highlight w:val="none"/>
        </w:rPr>
        <w:t xml:space="preserve"> </w:t>
      </w:r>
      <w:r>
        <w:rPr>
          <w:rFonts w:ascii="宋体" w:hAnsi="宋体" w:eastAsia="宋体" w:cs="宋体"/>
          <w:color w:val="auto"/>
          <w:spacing w:val="-7"/>
          <w:sz w:val="21"/>
          <w:szCs w:val="21"/>
          <w:highlight w:val="none"/>
        </w:rPr>
        <w:t>中</w:t>
      </w:r>
      <w:r>
        <w:rPr>
          <w:rFonts w:ascii="宋体" w:hAnsi="宋体" w:eastAsia="宋体" w:cs="宋体"/>
          <w:color w:val="auto"/>
          <w:spacing w:val="-35"/>
          <w:sz w:val="21"/>
          <w:szCs w:val="21"/>
          <w:highlight w:val="none"/>
        </w:rPr>
        <w:t xml:space="preserve"> </w:t>
      </w:r>
      <w:r>
        <w:rPr>
          <w:rFonts w:ascii="宋体" w:hAnsi="宋体" w:eastAsia="宋体" w:cs="宋体"/>
          <w:color w:val="auto"/>
          <w:spacing w:val="-7"/>
          <w:sz w:val="21"/>
          <w:szCs w:val="21"/>
          <w:highlight w:val="none"/>
        </w:rPr>
        <w:t>国</w:t>
      </w:r>
      <w:r>
        <w:rPr>
          <w:rFonts w:ascii="宋体" w:hAnsi="宋体" w:eastAsia="宋体" w:cs="宋体"/>
          <w:color w:val="auto"/>
          <w:spacing w:val="-57"/>
          <w:sz w:val="21"/>
          <w:szCs w:val="21"/>
          <w:highlight w:val="none"/>
        </w:rPr>
        <w:t xml:space="preserve"> </w:t>
      </w:r>
      <w:r>
        <w:rPr>
          <w:rFonts w:ascii="宋体" w:hAnsi="宋体" w:eastAsia="宋体" w:cs="宋体"/>
          <w:color w:val="auto"/>
          <w:spacing w:val="-7"/>
          <w:sz w:val="21"/>
          <w:szCs w:val="21"/>
          <w:highlight w:val="none"/>
        </w:rPr>
        <w:t>政</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府</w:t>
      </w:r>
      <w:r>
        <w:rPr>
          <w:rFonts w:ascii="宋体" w:hAnsi="宋体" w:eastAsia="宋体" w:cs="宋体"/>
          <w:color w:val="auto"/>
          <w:spacing w:val="-59"/>
          <w:sz w:val="21"/>
          <w:szCs w:val="21"/>
          <w:highlight w:val="none"/>
        </w:rPr>
        <w:t xml:space="preserve"> </w:t>
      </w:r>
      <w:r>
        <w:rPr>
          <w:rFonts w:ascii="宋体" w:hAnsi="宋体" w:eastAsia="宋体" w:cs="宋体"/>
          <w:color w:val="auto"/>
          <w:spacing w:val="-7"/>
          <w:sz w:val="21"/>
          <w:szCs w:val="21"/>
          <w:highlight w:val="none"/>
        </w:rPr>
        <w:t>采</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购</w:t>
      </w:r>
      <w:r>
        <w:rPr>
          <w:rFonts w:ascii="宋体" w:hAnsi="宋体" w:eastAsia="宋体" w:cs="宋体"/>
          <w:color w:val="auto"/>
          <w:spacing w:val="-40"/>
          <w:sz w:val="21"/>
          <w:szCs w:val="21"/>
          <w:highlight w:val="none"/>
        </w:rPr>
        <w:t xml:space="preserve"> </w:t>
      </w:r>
      <w:r>
        <w:rPr>
          <w:rFonts w:ascii="宋体" w:hAnsi="宋体" w:eastAsia="宋体" w:cs="宋体"/>
          <w:color w:val="auto"/>
          <w:spacing w:val="-7"/>
          <w:sz w:val="21"/>
          <w:szCs w:val="21"/>
          <w:highlight w:val="none"/>
        </w:rPr>
        <w:t>网</w:t>
      </w:r>
      <w:r>
        <w:rPr>
          <w:rFonts w:ascii="宋体" w:hAnsi="宋体" w:eastAsia="宋体" w:cs="宋体"/>
          <w:color w:val="auto"/>
          <w:sz w:val="21"/>
          <w:szCs w:val="21"/>
          <w:highlight w:val="none"/>
        </w:rPr>
        <w:t xml:space="preserve"> （www.ccgp.gov.cn）被列入失信被执行人、重</w:t>
      </w:r>
      <w:r>
        <w:rPr>
          <w:rFonts w:ascii="宋体" w:hAnsi="宋体" w:eastAsia="宋体" w:cs="宋体"/>
          <w:color w:val="auto"/>
          <w:spacing w:val="-1"/>
          <w:sz w:val="21"/>
          <w:szCs w:val="21"/>
          <w:highlight w:val="none"/>
        </w:rPr>
        <w:t>大税收违法失信主体、政府采购严重违法失</w:t>
      </w:r>
      <w:r>
        <w:rPr>
          <w:rFonts w:ascii="宋体" w:hAnsi="宋体" w:eastAsia="宋体" w:cs="宋体"/>
          <w:color w:val="auto"/>
          <w:sz w:val="21"/>
          <w:szCs w:val="21"/>
          <w:highlight w:val="none"/>
        </w:rPr>
        <w:t xml:space="preserve"> 信行为记录名单及其他不符合《中华人民共和国</w:t>
      </w:r>
      <w:r>
        <w:rPr>
          <w:rFonts w:ascii="宋体" w:hAnsi="宋体" w:eastAsia="宋体" w:cs="宋体"/>
          <w:color w:val="auto"/>
          <w:spacing w:val="-1"/>
          <w:sz w:val="21"/>
          <w:szCs w:val="21"/>
          <w:highlight w:val="none"/>
        </w:rPr>
        <w:t>政府采购法》第二十二条规定条件的。</w:t>
      </w:r>
    </w:p>
    <w:p w14:paraId="3862E27F">
      <w:pPr>
        <w:spacing w:before="34" w:line="219" w:lineRule="auto"/>
        <w:ind w:left="507"/>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4.竞标费用</w:t>
      </w:r>
    </w:p>
    <w:p w14:paraId="79C61256">
      <w:pPr>
        <w:spacing w:before="177" w:line="351" w:lineRule="auto"/>
        <w:ind w:left="27" w:right="79" w:firstLine="418"/>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供应商应承担参与本次采购活动有关的所有费用，包括但不限于获取磋商文件、勘查</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现场、编制和提交响应文件、参加磋商与应答、签订合同等，不论竞标结果如何，均应自</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行承担。</w:t>
      </w:r>
    </w:p>
    <w:p w14:paraId="4B724E2B">
      <w:pPr>
        <w:spacing w:before="33" w:line="219" w:lineRule="auto"/>
        <w:ind w:left="510"/>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5.联合体竞标</w:t>
      </w:r>
    </w:p>
    <w:p w14:paraId="102902EE">
      <w:pPr>
        <w:spacing w:before="179"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5.1</w:t>
      </w:r>
      <w:r>
        <w:rPr>
          <w:rFonts w:ascii="宋体" w:hAnsi="宋体" w:eastAsia="宋体" w:cs="宋体"/>
          <w:color w:val="auto"/>
          <w:spacing w:val="-31"/>
          <w:sz w:val="21"/>
          <w:szCs w:val="21"/>
          <w:highlight w:val="none"/>
        </w:rPr>
        <w:t xml:space="preserve"> </w:t>
      </w:r>
      <w:r>
        <w:rPr>
          <w:rFonts w:ascii="宋体" w:hAnsi="宋体" w:eastAsia="宋体" w:cs="宋体"/>
          <w:color w:val="auto"/>
          <w:spacing w:val="-1"/>
          <w:sz w:val="21"/>
          <w:szCs w:val="21"/>
          <w:highlight w:val="none"/>
        </w:rPr>
        <w:t>本项目是否接受联合体竞标，详见“供应商须知前附表”。</w:t>
      </w:r>
    </w:p>
    <w:p w14:paraId="2B9BD315">
      <w:pPr>
        <w:spacing w:before="158"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5.2</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如接受联合体竞标，联合体竞标要求详见“供应商须知前附</w:t>
      </w:r>
      <w:r>
        <w:rPr>
          <w:rFonts w:ascii="宋体" w:hAnsi="宋体" w:eastAsia="宋体" w:cs="宋体"/>
          <w:color w:val="auto"/>
          <w:spacing w:val="-2"/>
          <w:sz w:val="21"/>
          <w:szCs w:val="21"/>
          <w:highlight w:val="none"/>
        </w:rPr>
        <w:t>表”。</w:t>
      </w:r>
    </w:p>
    <w:p w14:paraId="0F11DACE">
      <w:pPr>
        <w:spacing w:before="159" w:line="289" w:lineRule="auto"/>
        <w:ind w:left="25"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5.3 根据《政府采购促进中小企业发展管理办法》（财库〔2020〕</w:t>
      </w:r>
      <w:r>
        <w:rPr>
          <w:rFonts w:ascii="宋体" w:hAnsi="宋体" w:eastAsia="宋体" w:cs="宋体"/>
          <w:color w:val="auto"/>
          <w:spacing w:val="-1"/>
          <w:sz w:val="21"/>
          <w:szCs w:val="21"/>
          <w:highlight w:val="none"/>
        </w:rPr>
        <w:t>46 号）及《广西壮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族自治区财政厅关于持续优化政府采购营商环境推动高质量发展的通知》（桂财采〔2024〕</w:t>
      </w:r>
    </w:p>
    <w:p w14:paraId="4551B6A7">
      <w:pPr>
        <w:spacing w:before="160" w:line="324" w:lineRule="auto"/>
        <w:ind w:left="27" w:right="70" w:firstLine="2"/>
        <w:rPr>
          <w:rFonts w:ascii="宋体" w:hAnsi="宋体" w:eastAsia="宋体" w:cs="宋体"/>
          <w:color w:val="auto"/>
          <w:sz w:val="21"/>
          <w:szCs w:val="21"/>
          <w:highlight w:val="none"/>
        </w:rPr>
      </w:pPr>
      <w:r>
        <w:rPr>
          <w:rFonts w:ascii="宋体" w:hAnsi="宋体" w:eastAsia="宋体" w:cs="宋体"/>
          <w:color w:val="auto"/>
          <w:sz w:val="21"/>
          <w:szCs w:val="21"/>
          <w:highlight w:val="none"/>
        </w:rPr>
        <w:t>55 号）的规定，接受大中型企业与小微企业组成联合体或者允许大中</w:t>
      </w:r>
      <w:r>
        <w:rPr>
          <w:rFonts w:ascii="宋体" w:hAnsi="宋体" w:eastAsia="宋体" w:cs="宋体"/>
          <w:color w:val="auto"/>
          <w:spacing w:val="-1"/>
          <w:sz w:val="21"/>
          <w:szCs w:val="21"/>
          <w:highlight w:val="none"/>
        </w:rPr>
        <w:t>型企业向一家或者多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家小微企业分包的采购项目，对于联合协议或者分包意向协议约定小微企业的合同份额占</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到合同总金额</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30%以上的，采购人、采购代理机构应当对联合体或者大中型企业的报价给予</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1%-2%的扣除，用扣除后的价格参加评审。</w:t>
      </w:r>
    </w:p>
    <w:p w14:paraId="66332D6F">
      <w:pPr>
        <w:spacing w:before="162" w:line="219" w:lineRule="auto"/>
        <w:ind w:left="51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6.转包与分包</w:t>
      </w:r>
    </w:p>
    <w:p w14:paraId="2C902410">
      <w:pPr>
        <w:spacing w:before="179"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6.1</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本项目不允许转包。</w:t>
      </w:r>
    </w:p>
    <w:p w14:paraId="74140643">
      <w:pPr>
        <w:spacing w:before="160" w:line="332" w:lineRule="auto"/>
        <w:ind w:left="26" w:right="75" w:firstLine="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6.2 本项目是否允许分包详见“供应商须知前附表”，本项目不允许违法分包。允许</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分包的非主体、非关键性工作，根据法律法规规定承担该工作需要资质或者行政许可的，</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如该工作由供应商自行承担，供应商应具备相应的资质或者行政许可，如供应商不具备相</w:t>
      </w:r>
      <w:r>
        <w:rPr>
          <w:rFonts w:ascii="宋体" w:hAnsi="宋体" w:eastAsia="宋体" w:cs="宋体"/>
          <w:color w:val="auto"/>
          <w:spacing w:val="18"/>
          <w:sz w:val="21"/>
          <w:szCs w:val="21"/>
          <w:highlight w:val="none"/>
        </w:rPr>
        <w:t xml:space="preserve"> </w:t>
      </w:r>
      <w:r>
        <w:rPr>
          <w:rFonts w:ascii="宋体" w:hAnsi="宋体" w:eastAsia="宋体" w:cs="宋体"/>
          <w:color w:val="auto"/>
          <w:spacing w:val="8"/>
          <w:sz w:val="21"/>
          <w:szCs w:val="21"/>
          <w:highlight w:val="none"/>
        </w:rPr>
        <w:t>应的资质或者行政许可必须采用分包的方式，但分包供应商应具备相应资质或者行政许</w:t>
      </w:r>
      <w:r>
        <w:rPr>
          <w:rFonts w:ascii="宋体" w:hAnsi="宋体" w:eastAsia="宋体" w:cs="宋体"/>
          <w:color w:val="auto"/>
          <w:spacing w:val="2"/>
          <w:sz w:val="21"/>
          <w:szCs w:val="21"/>
          <w:highlight w:val="none"/>
        </w:rPr>
        <w:t xml:space="preserve"> </w:t>
      </w:r>
      <w:r>
        <w:rPr>
          <w:rFonts w:ascii="宋体" w:hAnsi="宋体" w:eastAsia="宋体" w:cs="宋体"/>
          <w:color w:val="auto"/>
          <w:spacing w:val="-10"/>
          <w:sz w:val="21"/>
          <w:szCs w:val="21"/>
          <w:highlight w:val="none"/>
        </w:rPr>
        <w:t>可。</w:t>
      </w:r>
    </w:p>
    <w:p w14:paraId="0FE5FBB0">
      <w:pPr>
        <w:spacing w:before="153"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6.3 供应商根据磋商文件的规定和采购项目的实际情况，拟在成交后将成交项目的非</w:t>
      </w:r>
    </w:p>
    <w:p w14:paraId="3CD3D2BA">
      <w:pPr>
        <w:spacing w:line="220" w:lineRule="auto"/>
        <w:rPr>
          <w:rFonts w:ascii="宋体" w:hAnsi="宋体" w:eastAsia="宋体" w:cs="宋体"/>
          <w:color w:val="auto"/>
          <w:sz w:val="21"/>
          <w:szCs w:val="21"/>
          <w:highlight w:val="none"/>
        </w:rPr>
        <w:sectPr>
          <w:footerReference r:id="rId14" w:type="default"/>
          <w:pgSz w:w="11900" w:h="16832"/>
          <w:pgMar w:top="1427" w:right="1725" w:bottom="1220" w:left="1784" w:header="0" w:footer="1060" w:gutter="0"/>
          <w:pgNumType w:fmt="decimal"/>
          <w:cols w:space="720" w:num="1"/>
        </w:sectPr>
      </w:pPr>
    </w:p>
    <w:p w14:paraId="1A96C22F">
      <w:pPr>
        <w:spacing w:before="42" w:line="345" w:lineRule="auto"/>
        <w:ind w:left="27" w:righ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主体、非关键性工作分包的，应当在响应文件中载明分包承担主体，分包承担主体应当具</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备相应资质条件且不得再次分包。</w:t>
      </w:r>
    </w:p>
    <w:p w14:paraId="2C862D78">
      <w:pPr>
        <w:spacing w:before="34" w:line="218" w:lineRule="auto"/>
        <w:ind w:left="515"/>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7.特别说明</w:t>
      </w:r>
    </w:p>
    <w:p w14:paraId="14F6E0B7">
      <w:pPr>
        <w:spacing w:before="179" w:line="313" w:lineRule="auto"/>
        <w:ind w:left="26" w:right="11"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7.1</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如果本磋商文件要求提供供应商或制造商的资格、信誉、荣誉、业绩与企业认证等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材料的，资格、信誉、荣誉、业绩与企业认证等必须为供应商或者制造商所拥有或自身获</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得 。</w:t>
      </w:r>
    </w:p>
    <w:p w14:paraId="0F1EBF98">
      <w:pPr>
        <w:spacing w:before="160" w:line="289" w:lineRule="auto"/>
        <w:ind w:left="26" w:right="13"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7.2</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供应商应仔细阅读磋商文件的所有内容，按照磋商文件的要求提交响应文件，并对</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所提供的全部资料的真实性承担法律责任。</w:t>
      </w:r>
    </w:p>
    <w:p w14:paraId="0D644670">
      <w:pPr>
        <w:spacing w:before="159" w:line="312" w:lineRule="auto"/>
        <w:ind w:left="27" w:right="12" w:firstLine="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7.3</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供应商在竞标活动中提供任何虚假材料谋取成交的，将报财政部门查处；签订合同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后发现的，成交供应商须依照《中华人民共和国消费者权益保护法》规定赔偿采购人，且</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民事赔偿并不免除违法供应商的行政与刑事责任。</w:t>
      </w:r>
    </w:p>
    <w:p w14:paraId="335C77DE">
      <w:pPr>
        <w:spacing w:before="160" w:line="293" w:lineRule="auto"/>
        <w:ind w:left="24" w:right="1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7.4</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在政府采购活动中，采购人员及相关人员与供应商有下列利害关系之一的，应当回</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避：</w:t>
      </w:r>
    </w:p>
    <w:p w14:paraId="25B7282A">
      <w:pPr>
        <w:spacing w:before="150"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（1）参加采购活动前</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年内与供应商存在劳动关系；</w:t>
      </w:r>
    </w:p>
    <w:p w14:paraId="79048C15">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（2）参加采购活动前</w:t>
      </w:r>
      <w:r>
        <w:rPr>
          <w:rFonts w:ascii="宋体" w:hAnsi="宋体" w:eastAsia="宋体" w:cs="宋体"/>
          <w:color w:val="auto"/>
          <w:spacing w:val="-26"/>
          <w:sz w:val="21"/>
          <w:szCs w:val="21"/>
          <w:highlight w:val="none"/>
        </w:rPr>
        <w:t xml:space="preserve"> </w:t>
      </w:r>
      <w:r>
        <w:rPr>
          <w:rFonts w:ascii="宋体" w:hAnsi="宋体" w:eastAsia="宋体" w:cs="宋体"/>
          <w:color w:val="auto"/>
          <w:spacing w:val="-3"/>
          <w:sz w:val="21"/>
          <w:szCs w:val="21"/>
          <w:highlight w:val="none"/>
        </w:rPr>
        <w:t>3</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年内担任供应商的董事、监事；</w:t>
      </w:r>
    </w:p>
    <w:p w14:paraId="055E58EE">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（3）参加采购活动前</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46"/>
          <w:sz w:val="21"/>
          <w:szCs w:val="21"/>
          <w:highlight w:val="none"/>
        </w:rPr>
        <w:t xml:space="preserve"> </w:t>
      </w:r>
      <w:r>
        <w:rPr>
          <w:rFonts w:ascii="宋体" w:hAnsi="宋体" w:eastAsia="宋体" w:cs="宋体"/>
          <w:color w:val="auto"/>
          <w:spacing w:val="-2"/>
          <w:sz w:val="21"/>
          <w:szCs w:val="21"/>
          <w:highlight w:val="none"/>
        </w:rPr>
        <w:t>年内是供应商的控股股东或者实际控制人；</w:t>
      </w:r>
    </w:p>
    <w:p w14:paraId="075D0B34">
      <w:pPr>
        <w:spacing w:before="157" w:line="290" w:lineRule="auto"/>
        <w:ind w:left="25" w:right="23"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（4）与供应商的法定代表人或者负责人有夫妻、直系血亲、三代以内旁系血亲或者近</w:t>
      </w:r>
      <w:r>
        <w:rPr>
          <w:rFonts w:ascii="宋体" w:hAnsi="宋体" w:eastAsia="宋体" w:cs="宋体"/>
          <w:color w:val="auto"/>
          <w:spacing w:val="15"/>
          <w:sz w:val="21"/>
          <w:szCs w:val="21"/>
          <w:highlight w:val="none"/>
        </w:rPr>
        <w:t xml:space="preserve"> </w:t>
      </w:r>
      <w:r>
        <w:rPr>
          <w:rFonts w:ascii="宋体" w:hAnsi="宋体" w:eastAsia="宋体" w:cs="宋体"/>
          <w:color w:val="auto"/>
          <w:spacing w:val="-6"/>
          <w:sz w:val="21"/>
          <w:szCs w:val="21"/>
          <w:highlight w:val="none"/>
        </w:rPr>
        <w:t>姻亲关系；</w:t>
      </w:r>
    </w:p>
    <w:p w14:paraId="4BB48DCB">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（5）与供应商有其他可能影响政府采购活动</w:t>
      </w:r>
      <w:r>
        <w:rPr>
          <w:rFonts w:ascii="宋体" w:hAnsi="宋体" w:eastAsia="宋体" w:cs="宋体"/>
          <w:color w:val="auto"/>
          <w:spacing w:val="-1"/>
          <w:sz w:val="21"/>
          <w:szCs w:val="21"/>
          <w:highlight w:val="none"/>
        </w:rPr>
        <w:t>公平、公正进行的关系。</w:t>
      </w:r>
    </w:p>
    <w:p w14:paraId="0FBB825A">
      <w:pPr>
        <w:spacing w:before="157" w:line="351" w:lineRule="auto"/>
        <w:ind w:left="25" w:right="20" w:firstLine="42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供应商认为采购人员及相关人员与其他供应商有利害关系的，可以向采购人或者采购</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代理机构书面提出回避申请，并说明理由。采购人或者采购代理机构应当及时询问被申请</w:t>
      </w:r>
      <w:r>
        <w:rPr>
          <w:rFonts w:ascii="宋体" w:hAnsi="宋体" w:eastAsia="宋体" w:cs="宋体"/>
          <w:color w:val="auto"/>
          <w:spacing w:val="13"/>
          <w:sz w:val="21"/>
          <w:szCs w:val="21"/>
          <w:highlight w:val="none"/>
        </w:rPr>
        <w:t xml:space="preserve"> </w:t>
      </w:r>
      <w:r>
        <w:rPr>
          <w:rFonts w:ascii="宋体" w:hAnsi="宋体" w:eastAsia="宋体" w:cs="宋体"/>
          <w:color w:val="auto"/>
          <w:sz w:val="21"/>
          <w:szCs w:val="21"/>
          <w:highlight w:val="none"/>
        </w:rPr>
        <w:t>回避人员，有利害关系的被申请回避人员应当</w:t>
      </w:r>
      <w:r>
        <w:rPr>
          <w:rFonts w:ascii="宋体" w:hAnsi="宋体" w:eastAsia="宋体" w:cs="宋体"/>
          <w:color w:val="auto"/>
          <w:spacing w:val="-1"/>
          <w:sz w:val="21"/>
          <w:szCs w:val="21"/>
          <w:highlight w:val="none"/>
        </w:rPr>
        <w:t>回避。</w:t>
      </w:r>
    </w:p>
    <w:p w14:paraId="538380EE">
      <w:pPr>
        <w:spacing w:before="29" w:line="220" w:lineRule="auto"/>
        <w:ind w:left="45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7.5</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有下列情形之一的视为供应商相互串通竞标，响应文</w:t>
      </w:r>
      <w:r>
        <w:rPr>
          <w:rFonts w:ascii="宋体" w:hAnsi="宋体" w:eastAsia="宋体" w:cs="宋体"/>
          <w:color w:val="auto"/>
          <w:spacing w:val="-2"/>
          <w:sz w:val="21"/>
          <w:szCs w:val="21"/>
          <w:highlight w:val="none"/>
        </w:rPr>
        <w:t>件将被视为无效：</w:t>
      </w:r>
    </w:p>
    <w:p w14:paraId="6A1BBA2C">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（1）不同供应商的响应文件由同一单位或者个人编制；</w:t>
      </w:r>
    </w:p>
    <w:p w14:paraId="2370BE0C">
      <w:pPr>
        <w:spacing w:before="159"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（2）不同供应商委托同一单位或者个人办理竞标事宜；</w:t>
      </w:r>
    </w:p>
    <w:p w14:paraId="1B764827">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（3）不同的供应商的响应文件载明的项目管</w:t>
      </w:r>
      <w:r>
        <w:rPr>
          <w:rFonts w:ascii="宋体" w:hAnsi="宋体" w:eastAsia="宋体" w:cs="宋体"/>
          <w:color w:val="auto"/>
          <w:spacing w:val="-2"/>
          <w:sz w:val="21"/>
          <w:szCs w:val="21"/>
          <w:highlight w:val="none"/>
        </w:rPr>
        <w:t>理员为同一个人；</w:t>
      </w:r>
    </w:p>
    <w:p w14:paraId="3AD8D6FC">
      <w:pPr>
        <w:spacing w:before="158"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（4）不同供应商的响应文件异常一致或者报</w:t>
      </w:r>
      <w:r>
        <w:rPr>
          <w:rFonts w:ascii="宋体" w:hAnsi="宋体" w:eastAsia="宋体" w:cs="宋体"/>
          <w:color w:val="auto"/>
          <w:spacing w:val="-2"/>
          <w:sz w:val="21"/>
          <w:szCs w:val="21"/>
          <w:highlight w:val="none"/>
        </w:rPr>
        <w:t>价呈规律性差异；</w:t>
      </w:r>
    </w:p>
    <w:p w14:paraId="75BC364A">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（5）不同供应商的响应文件相互混装；</w:t>
      </w:r>
    </w:p>
    <w:p w14:paraId="3CFC3311">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（6）不同供应商的磋商保证金从同一单位或者个人账户转出。</w:t>
      </w:r>
    </w:p>
    <w:p w14:paraId="73CA4E8C">
      <w:pPr>
        <w:spacing w:before="160" w:line="220" w:lineRule="auto"/>
        <w:ind w:left="45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7.6</w:t>
      </w:r>
      <w:r>
        <w:rPr>
          <w:rFonts w:ascii="宋体" w:hAnsi="宋体" w:eastAsia="宋体" w:cs="宋体"/>
          <w:color w:val="auto"/>
          <w:spacing w:val="-26"/>
          <w:sz w:val="21"/>
          <w:szCs w:val="21"/>
          <w:highlight w:val="none"/>
        </w:rPr>
        <w:t xml:space="preserve"> </w:t>
      </w:r>
      <w:r>
        <w:rPr>
          <w:rFonts w:ascii="宋体" w:hAnsi="宋体" w:eastAsia="宋体" w:cs="宋体"/>
          <w:color w:val="auto"/>
          <w:spacing w:val="-1"/>
          <w:sz w:val="21"/>
          <w:szCs w:val="21"/>
          <w:highlight w:val="none"/>
        </w:rPr>
        <w:t>供应商有下列情形之一的，属于恶意串通行为，将报同级监督管理部门：</w:t>
      </w:r>
    </w:p>
    <w:p w14:paraId="09617983">
      <w:pPr>
        <w:spacing w:before="157" w:line="290" w:lineRule="auto"/>
        <w:ind w:left="26" w:right="20" w:firstLine="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（1）供应商直接或者间接从采购人或者采购代理机构处获得其他供应商的相关信息并</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修改其响应文件；</w:t>
      </w:r>
    </w:p>
    <w:p w14:paraId="0A20BAD3">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（2）供应商按照采购人或者采购代理机构的授意撤换、修改响</w:t>
      </w:r>
      <w:r>
        <w:rPr>
          <w:rFonts w:ascii="宋体" w:hAnsi="宋体" w:eastAsia="宋体" w:cs="宋体"/>
          <w:color w:val="auto"/>
          <w:spacing w:val="-2"/>
          <w:sz w:val="21"/>
          <w:szCs w:val="21"/>
          <w:highlight w:val="none"/>
        </w:rPr>
        <w:t>应文件；</w:t>
      </w:r>
    </w:p>
    <w:p w14:paraId="517BAD2D">
      <w:pPr>
        <w:spacing w:before="158" w:line="219"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（3）供应商之间协商报价、技术方案等响应文件或者</w:t>
      </w:r>
      <w:r>
        <w:rPr>
          <w:rFonts w:ascii="宋体" w:hAnsi="宋体" w:eastAsia="宋体" w:cs="宋体"/>
          <w:color w:val="auto"/>
          <w:spacing w:val="-1"/>
          <w:sz w:val="21"/>
          <w:szCs w:val="21"/>
          <w:highlight w:val="none"/>
        </w:rPr>
        <w:t>响应文件的实质性内容；</w:t>
      </w:r>
    </w:p>
    <w:p w14:paraId="75EF0C39">
      <w:pPr>
        <w:spacing w:line="219" w:lineRule="auto"/>
        <w:rPr>
          <w:rFonts w:ascii="宋体" w:hAnsi="宋体" w:eastAsia="宋体" w:cs="宋体"/>
          <w:color w:val="auto"/>
          <w:sz w:val="21"/>
          <w:szCs w:val="21"/>
          <w:highlight w:val="none"/>
        </w:rPr>
        <w:sectPr>
          <w:footerReference r:id="rId15" w:type="default"/>
          <w:pgSz w:w="11900" w:h="16832"/>
          <w:pgMar w:top="1427" w:right="1784" w:bottom="1220" w:left="1784" w:header="0" w:footer="1060" w:gutter="0"/>
          <w:pgNumType w:fmt="decimal"/>
          <w:cols w:space="720" w:num="1"/>
        </w:sectPr>
      </w:pPr>
    </w:p>
    <w:p w14:paraId="006493C2">
      <w:pPr>
        <w:spacing w:before="42" w:line="290" w:lineRule="auto"/>
        <w:ind w:left="24" w:right="13"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（4）属于同一集团、协会、商会等组织成员的供应商按</w:t>
      </w:r>
      <w:r>
        <w:rPr>
          <w:rFonts w:ascii="宋体" w:hAnsi="宋体" w:eastAsia="宋体" w:cs="宋体"/>
          <w:color w:val="auto"/>
          <w:spacing w:val="-1"/>
          <w:sz w:val="21"/>
          <w:szCs w:val="21"/>
          <w:highlight w:val="none"/>
        </w:rPr>
        <w:t>照该组织要求协同参加政府采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购活动；</w:t>
      </w:r>
    </w:p>
    <w:p w14:paraId="30BE6453">
      <w:pPr>
        <w:spacing w:before="156" w:line="290" w:lineRule="auto"/>
        <w:ind w:left="27" w:right="13"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（5）供应商之间事先约定一致抬高或者压低报价，或者</w:t>
      </w:r>
      <w:r>
        <w:rPr>
          <w:rFonts w:ascii="宋体" w:hAnsi="宋体" w:eastAsia="宋体" w:cs="宋体"/>
          <w:color w:val="auto"/>
          <w:spacing w:val="-1"/>
          <w:sz w:val="21"/>
          <w:szCs w:val="21"/>
          <w:highlight w:val="none"/>
        </w:rPr>
        <w:t>在政府采购活动中事先约定轮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流以高价位或者低价位成交，或者事先约定由某一特定供应商成交，然后再参加竞标；</w:t>
      </w:r>
    </w:p>
    <w:p w14:paraId="3FA68F2D">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（6）供应商之间商定部分供应商放弃参加政府采购活动或者放</w:t>
      </w:r>
      <w:r>
        <w:rPr>
          <w:rFonts w:ascii="宋体" w:hAnsi="宋体" w:eastAsia="宋体" w:cs="宋体"/>
          <w:color w:val="auto"/>
          <w:spacing w:val="-2"/>
          <w:sz w:val="21"/>
          <w:szCs w:val="21"/>
          <w:highlight w:val="none"/>
        </w:rPr>
        <w:t>弃成交；</w:t>
      </w:r>
    </w:p>
    <w:p w14:paraId="6289C7F1">
      <w:pPr>
        <w:spacing w:before="158" w:line="289" w:lineRule="auto"/>
        <w:ind w:left="30" w:right="15"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（7）供应商与采购人或者采购代理机构之间、供应</w:t>
      </w:r>
      <w:r>
        <w:rPr>
          <w:rFonts w:ascii="宋体" w:hAnsi="宋体" w:eastAsia="宋体" w:cs="宋体"/>
          <w:color w:val="auto"/>
          <w:spacing w:val="-1"/>
          <w:sz w:val="21"/>
          <w:szCs w:val="21"/>
          <w:highlight w:val="none"/>
        </w:rPr>
        <w:t>商相互之间，为谋求特定供应商成</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交或者排斥其他供应商的其他串通行为。</w:t>
      </w:r>
    </w:p>
    <w:p w14:paraId="06F88D28">
      <w:pPr>
        <w:spacing w:line="296" w:lineRule="auto"/>
        <w:rPr>
          <w:rFonts w:ascii="Arial"/>
          <w:color w:val="auto"/>
          <w:sz w:val="21"/>
          <w:highlight w:val="none"/>
        </w:rPr>
      </w:pPr>
    </w:p>
    <w:p w14:paraId="662CD71C">
      <w:pPr>
        <w:spacing w:line="296" w:lineRule="auto"/>
        <w:rPr>
          <w:rFonts w:ascii="Arial"/>
          <w:color w:val="auto"/>
          <w:sz w:val="21"/>
          <w:highlight w:val="none"/>
        </w:rPr>
      </w:pPr>
    </w:p>
    <w:p w14:paraId="7263B962">
      <w:pPr>
        <w:spacing w:line="296" w:lineRule="auto"/>
        <w:rPr>
          <w:rFonts w:ascii="Arial"/>
          <w:color w:val="auto"/>
          <w:sz w:val="21"/>
          <w:highlight w:val="none"/>
        </w:rPr>
      </w:pPr>
    </w:p>
    <w:p w14:paraId="5DDA6B5E">
      <w:pPr>
        <w:spacing w:before="101" w:line="225" w:lineRule="auto"/>
        <w:ind w:left="3218"/>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二、磋商文件</w:t>
      </w:r>
    </w:p>
    <w:p w14:paraId="51FD3C23">
      <w:pPr>
        <w:spacing w:line="279" w:lineRule="auto"/>
        <w:rPr>
          <w:rFonts w:ascii="Arial"/>
          <w:color w:val="auto"/>
          <w:sz w:val="21"/>
          <w:highlight w:val="none"/>
        </w:rPr>
      </w:pPr>
    </w:p>
    <w:p w14:paraId="172A5C88">
      <w:pPr>
        <w:spacing w:line="279" w:lineRule="auto"/>
        <w:rPr>
          <w:rFonts w:ascii="Arial"/>
          <w:color w:val="auto"/>
          <w:sz w:val="21"/>
          <w:highlight w:val="none"/>
        </w:rPr>
      </w:pPr>
    </w:p>
    <w:p w14:paraId="41F55ADE">
      <w:pPr>
        <w:spacing w:before="78" w:line="219"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8.磋商文件的构成</w:t>
      </w:r>
    </w:p>
    <w:p w14:paraId="0EAA8175">
      <w:pPr>
        <w:spacing w:before="177" w:line="219"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第一章  竞争性磋商公告；</w:t>
      </w:r>
    </w:p>
    <w:p w14:paraId="7BEBB94B">
      <w:pPr>
        <w:spacing w:before="159"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第二章  供应商须知；</w:t>
      </w:r>
    </w:p>
    <w:p w14:paraId="04361BCE">
      <w:pPr>
        <w:spacing w:before="158" w:line="220" w:lineRule="auto"/>
        <w:ind w:left="44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第三章  采购需求；</w:t>
      </w:r>
    </w:p>
    <w:p w14:paraId="5B7BE344">
      <w:pPr>
        <w:spacing w:before="160"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第四章  评审程序、评审方法和评审标准；</w:t>
      </w:r>
    </w:p>
    <w:p w14:paraId="7CFE9B46">
      <w:pPr>
        <w:spacing w:before="158"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第五章  工程量清单及图纸；</w:t>
      </w:r>
    </w:p>
    <w:p w14:paraId="7074CE77">
      <w:pPr>
        <w:spacing w:before="158" w:line="220" w:lineRule="auto"/>
        <w:ind w:left="44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第六章</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rPr>
        <w:t>响应文件格式；</w:t>
      </w:r>
    </w:p>
    <w:p w14:paraId="42CC8AC3">
      <w:pPr>
        <w:spacing w:before="157" w:line="220" w:lineRule="auto"/>
        <w:ind w:left="44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第七章  合同文本。</w:t>
      </w:r>
    </w:p>
    <w:p w14:paraId="584DDBD9">
      <w:pPr>
        <w:spacing w:before="164" w:line="219" w:lineRule="auto"/>
        <w:ind w:left="512"/>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9.供应商的询问</w:t>
      </w:r>
    </w:p>
    <w:p w14:paraId="05AAE6FE">
      <w:pPr>
        <w:spacing w:before="176" w:line="351" w:lineRule="auto"/>
        <w:ind w:left="24" w:right="13" w:firstLine="421"/>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供应商应认真阅读磋商文件的采购需求，如供应商对磋商文件有疑问的，如要求采购</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人作出澄清或者修改的，供应商尽可能在提交首次</w:t>
      </w:r>
      <w:r>
        <w:rPr>
          <w:rFonts w:ascii="宋体" w:hAnsi="宋体" w:eastAsia="宋体" w:cs="宋体"/>
          <w:color w:val="auto"/>
          <w:spacing w:val="2"/>
          <w:sz w:val="21"/>
          <w:szCs w:val="21"/>
          <w:highlight w:val="none"/>
        </w:rPr>
        <w:t>响应文件截止之日前，以书面形式向采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购人、采购代理机构提出。</w:t>
      </w:r>
    </w:p>
    <w:p w14:paraId="1165F69C">
      <w:pPr>
        <w:spacing w:before="35" w:line="219"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10.磋商文件的澄清和修改</w:t>
      </w:r>
    </w:p>
    <w:p w14:paraId="7025713D">
      <w:pPr>
        <w:spacing w:before="176" w:line="354" w:lineRule="auto"/>
        <w:ind w:left="27" w:right="12" w:firstLine="41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提交首次响应文件截止之日前，采购人或者采购代</w:t>
      </w:r>
      <w:r>
        <w:rPr>
          <w:rFonts w:ascii="宋体" w:hAnsi="宋体" w:eastAsia="宋体" w:cs="宋体"/>
          <w:color w:val="auto"/>
          <w:spacing w:val="2"/>
          <w:sz w:val="21"/>
          <w:szCs w:val="21"/>
          <w:highlight w:val="none"/>
        </w:rPr>
        <w:t>理机构可以对已发出的磋商文件进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行必要的澄清或者修改，澄清或者修改的内容作为磋商文件的组成部分。澄清或者修改的</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内容可能影响响应文件编制的，采购人或者采购代理机构应当在提交首次响应文件截止之</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日 3</w:t>
      </w:r>
      <w:r>
        <w:rPr>
          <w:rFonts w:ascii="宋体" w:hAnsi="宋体" w:eastAsia="宋体" w:cs="宋体"/>
          <w:color w:val="auto"/>
          <w:spacing w:val="-20"/>
          <w:sz w:val="21"/>
          <w:szCs w:val="21"/>
          <w:highlight w:val="none"/>
        </w:rPr>
        <w:t xml:space="preserve"> </w:t>
      </w:r>
      <w:r>
        <w:rPr>
          <w:rFonts w:ascii="宋体" w:hAnsi="宋体" w:eastAsia="宋体" w:cs="宋体"/>
          <w:color w:val="auto"/>
          <w:spacing w:val="-2"/>
          <w:sz w:val="21"/>
          <w:szCs w:val="21"/>
          <w:highlight w:val="none"/>
        </w:rPr>
        <w:t xml:space="preserve">个工作日前，以书面形式通知所有获取磋商文件的供应商，不足 3 </w:t>
      </w:r>
      <w:r>
        <w:rPr>
          <w:rFonts w:ascii="宋体" w:hAnsi="宋体" w:eastAsia="宋体" w:cs="宋体"/>
          <w:color w:val="auto"/>
          <w:spacing w:val="-3"/>
          <w:sz w:val="21"/>
          <w:szCs w:val="21"/>
          <w:highlight w:val="none"/>
        </w:rPr>
        <w:t>个工作日的，应当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顺延提交首次响应文件截止之日。</w:t>
      </w:r>
    </w:p>
    <w:p w14:paraId="6F818DF1">
      <w:pPr>
        <w:spacing w:line="355" w:lineRule="auto"/>
        <w:rPr>
          <w:rFonts w:ascii="Arial"/>
          <w:color w:val="auto"/>
          <w:sz w:val="21"/>
          <w:highlight w:val="none"/>
        </w:rPr>
      </w:pPr>
    </w:p>
    <w:p w14:paraId="2993051C">
      <w:pPr>
        <w:spacing w:before="101" w:line="225" w:lineRule="auto"/>
        <w:ind w:left="2730"/>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三、响应文件的编制</w:t>
      </w:r>
    </w:p>
    <w:p w14:paraId="364BF682">
      <w:pPr>
        <w:spacing w:line="225" w:lineRule="auto"/>
        <w:rPr>
          <w:rFonts w:ascii="宋体" w:hAnsi="宋体" w:eastAsia="宋体" w:cs="宋体"/>
          <w:color w:val="auto"/>
          <w:sz w:val="31"/>
          <w:szCs w:val="31"/>
          <w:highlight w:val="none"/>
        </w:rPr>
        <w:sectPr>
          <w:footerReference r:id="rId16" w:type="default"/>
          <w:pgSz w:w="11900" w:h="16832"/>
          <w:pgMar w:top="1427" w:right="1784" w:bottom="1220" w:left="1784" w:header="0" w:footer="1060" w:gutter="0"/>
          <w:pgNumType w:fmt="decimal"/>
          <w:cols w:space="720" w:num="1"/>
        </w:sectPr>
      </w:pPr>
    </w:p>
    <w:p w14:paraId="0E02DDE7">
      <w:pPr>
        <w:spacing w:before="48" w:line="218"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11.响应文件的编制原则</w:t>
      </w:r>
    </w:p>
    <w:p w14:paraId="52080400">
      <w:pPr>
        <w:spacing w:before="180" w:line="345" w:lineRule="auto"/>
        <w:ind w:left="27" w:right="20"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供应商必须按照磋商文件的要求编制响应文件，并对其提交的响应文件的真实性、合</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rPr>
        <w:t>法性承担法律责任。响应文件必须对磋商文件作出实质</w:t>
      </w:r>
      <w:r>
        <w:rPr>
          <w:rFonts w:ascii="宋体" w:hAnsi="宋体" w:eastAsia="宋体" w:cs="宋体"/>
          <w:color w:val="auto"/>
          <w:spacing w:val="-1"/>
          <w:sz w:val="21"/>
          <w:szCs w:val="21"/>
          <w:highlight w:val="none"/>
        </w:rPr>
        <w:t>性响应。</w:t>
      </w:r>
    </w:p>
    <w:p w14:paraId="5DDEA22B">
      <w:pPr>
        <w:spacing w:before="34" w:line="219"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12.响应文件的组成</w:t>
      </w:r>
    </w:p>
    <w:p w14:paraId="6909A81F">
      <w:pPr>
        <w:spacing w:before="176" w:line="347" w:lineRule="auto"/>
        <w:ind w:left="461" w:right="135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12.1</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响应文件由资格证明文件、报价文件、商务技术文件三部分</w:t>
      </w:r>
      <w:r>
        <w:rPr>
          <w:rFonts w:ascii="宋体" w:hAnsi="宋体" w:eastAsia="宋体" w:cs="宋体"/>
          <w:color w:val="auto"/>
          <w:spacing w:val="-3"/>
          <w:sz w:val="21"/>
          <w:szCs w:val="21"/>
          <w:highlight w:val="none"/>
        </w:rPr>
        <w:t>组成。</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12.1.1</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资格证明文件：详见“供应商须知前附表”</w:t>
      </w:r>
    </w:p>
    <w:p w14:paraId="028AE958">
      <w:pPr>
        <w:spacing w:before="29" w:line="219"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12.1.2</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报价文件：详见“供应商须知前附表”</w:t>
      </w:r>
    </w:p>
    <w:p w14:paraId="1B7B5D5F">
      <w:pPr>
        <w:spacing w:before="159" w:line="220"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12.1.3</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商务技术文件：详见“供应商须</w:t>
      </w:r>
      <w:r>
        <w:rPr>
          <w:rFonts w:ascii="宋体" w:hAnsi="宋体" w:eastAsia="宋体" w:cs="宋体"/>
          <w:color w:val="auto"/>
          <w:spacing w:val="2"/>
          <w:sz w:val="21"/>
          <w:szCs w:val="21"/>
          <w:highlight w:val="none"/>
        </w:rPr>
        <w:t>知前附表”</w:t>
      </w:r>
    </w:p>
    <w:p w14:paraId="57F1E1AF">
      <w:pPr>
        <w:spacing w:before="162" w:line="220"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13.计量单位</w:t>
      </w:r>
    </w:p>
    <w:p w14:paraId="14C268BC">
      <w:pPr>
        <w:spacing w:before="178" w:line="345" w:lineRule="auto"/>
        <w:ind w:left="25" w:right="20" w:firstLine="4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磋商文件已有明确规定的，使用磋商文件规</w:t>
      </w:r>
      <w:r>
        <w:rPr>
          <w:rFonts w:ascii="宋体" w:hAnsi="宋体" w:eastAsia="宋体" w:cs="宋体"/>
          <w:color w:val="auto"/>
          <w:spacing w:val="2"/>
          <w:sz w:val="21"/>
          <w:szCs w:val="21"/>
          <w:highlight w:val="none"/>
        </w:rPr>
        <w:t>定的计量单位；磋商文件没有规定的，应</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采用中华人民共和国法定计量单位，货币种类为人民币，否则视同未响应。</w:t>
      </w:r>
    </w:p>
    <w:p w14:paraId="6A5D5815">
      <w:pPr>
        <w:spacing w:before="35" w:line="219"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14.竞标的风险</w:t>
      </w:r>
    </w:p>
    <w:p w14:paraId="20B6E8A9">
      <w:pPr>
        <w:spacing w:before="179" w:line="345" w:lineRule="auto"/>
        <w:ind w:left="44" w:right="20" w:firstLine="40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供应商没有按照磋商文件要求提供全部资料，或者供应商没有对磋商文件在各方面作</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出实质性响应可能导致其响应无效，是供应商应当考虑的风险。</w:t>
      </w:r>
    </w:p>
    <w:p w14:paraId="21528D4D">
      <w:pPr>
        <w:spacing w:before="36" w:line="219"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15.竞标报价</w:t>
      </w:r>
    </w:p>
    <w:p w14:paraId="16EB8AF8">
      <w:pPr>
        <w:spacing w:before="179" w:line="290" w:lineRule="auto"/>
        <w:ind w:left="26" w:right="10" w:firstLine="435"/>
        <w:rPr>
          <w:rFonts w:ascii="宋体" w:hAnsi="宋体" w:eastAsia="宋体" w:cs="宋体"/>
          <w:color w:val="auto"/>
          <w:sz w:val="21"/>
          <w:szCs w:val="21"/>
          <w:highlight w:val="none"/>
        </w:rPr>
      </w:pPr>
      <w:r>
        <w:rPr>
          <w:rFonts w:ascii="宋体" w:hAnsi="宋体" w:eastAsia="宋体" w:cs="宋体"/>
          <w:color w:val="auto"/>
          <w:sz w:val="21"/>
          <w:szCs w:val="21"/>
          <w:highlight w:val="none"/>
        </w:rPr>
        <w:t>15.1 竞标报价应按磋商文件第五章“工程</w:t>
      </w:r>
      <w:r>
        <w:rPr>
          <w:rFonts w:ascii="宋体" w:hAnsi="宋体" w:eastAsia="宋体" w:cs="宋体"/>
          <w:color w:val="auto"/>
          <w:spacing w:val="-1"/>
          <w:sz w:val="21"/>
          <w:szCs w:val="21"/>
          <w:highlight w:val="none"/>
        </w:rPr>
        <w:t>量清单及图纸”的要求及第六章“响应文件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格式”填写相应表格。</w:t>
      </w:r>
    </w:p>
    <w:p w14:paraId="27E7B7AB">
      <w:pPr>
        <w:spacing w:before="157" w:line="219"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15.2</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竞标报价的内容见“供应商须知前附表”。</w:t>
      </w:r>
    </w:p>
    <w:p w14:paraId="4DDD176C">
      <w:pPr>
        <w:spacing w:before="158" w:line="220"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15.3</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本项目的增值税计税方法见“供应商须知前附表”。</w:t>
      </w:r>
    </w:p>
    <w:p w14:paraId="4C4FCB3E">
      <w:pPr>
        <w:spacing w:before="161" w:line="219" w:lineRule="auto"/>
        <w:ind w:left="46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15.4</w:t>
      </w:r>
      <w:r>
        <w:rPr>
          <w:rFonts w:ascii="宋体" w:hAnsi="宋体" w:eastAsia="宋体" w:cs="宋体"/>
          <w:color w:val="auto"/>
          <w:spacing w:val="-44"/>
          <w:sz w:val="21"/>
          <w:szCs w:val="21"/>
          <w:highlight w:val="none"/>
        </w:rPr>
        <w:t xml:space="preserve"> </w:t>
      </w:r>
      <w:r>
        <w:rPr>
          <w:rFonts w:ascii="宋体" w:hAnsi="宋体" w:eastAsia="宋体" w:cs="宋体"/>
          <w:color w:val="auto"/>
          <w:spacing w:val="-3"/>
          <w:sz w:val="21"/>
          <w:szCs w:val="21"/>
          <w:highlight w:val="none"/>
        </w:rPr>
        <w:t>竞标报价要求</w:t>
      </w:r>
    </w:p>
    <w:p w14:paraId="4C8C394E">
      <w:pPr>
        <w:spacing w:before="159" w:line="219"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15.4.1</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供应商的竞标报价应符合以下要求，否则响应文件按无效处理：</w:t>
      </w:r>
    </w:p>
    <w:p w14:paraId="458DA347">
      <w:pPr>
        <w:spacing w:before="158" w:line="289" w:lineRule="auto"/>
        <w:ind w:left="24" w:right="13"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（1）供应商必须就“采购需求”中所竞标的每个分标的</w:t>
      </w:r>
      <w:r>
        <w:rPr>
          <w:rFonts w:ascii="宋体" w:hAnsi="宋体" w:eastAsia="宋体" w:cs="宋体"/>
          <w:color w:val="auto"/>
          <w:spacing w:val="-1"/>
          <w:sz w:val="21"/>
          <w:szCs w:val="21"/>
          <w:highlight w:val="none"/>
        </w:rPr>
        <w:t>全部内容分别作完整唯一总价</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报价，不得存在漏项报价；</w:t>
      </w:r>
    </w:p>
    <w:p w14:paraId="7149A113">
      <w:pPr>
        <w:spacing w:before="162"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（2）供应商必须就所竞标的分标的单项内容</w:t>
      </w:r>
      <w:r>
        <w:rPr>
          <w:rFonts w:ascii="宋体" w:hAnsi="宋体" w:eastAsia="宋体" w:cs="宋体"/>
          <w:color w:val="auto"/>
          <w:spacing w:val="-2"/>
          <w:sz w:val="21"/>
          <w:szCs w:val="21"/>
          <w:highlight w:val="none"/>
        </w:rPr>
        <w:t>作唯一报价。</w:t>
      </w:r>
    </w:p>
    <w:p w14:paraId="3D1EC802">
      <w:pPr>
        <w:spacing w:before="159" w:line="289" w:lineRule="auto"/>
        <w:ind w:left="27" w:right="11"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15.4.2 竞标报价（包含首次报价、最后</w:t>
      </w:r>
      <w:r>
        <w:rPr>
          <w:rFonts w:ascii="宋体" w:hAnsi="宋体" w:eastAsia="宋体" w:cs="宋体"/>
          <w:color w:val="auto"/>
          <w:spacing w:val="-1"/>
          <w:sz w:val="21"/>
          <w:szCs w:val="21"/>
          <w:highlight w:val="none"/>
        </w:rPr>
        <w:t>报价）超过所竞标分标规定的采购预算金额或</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者最高限价的，其响应文件将按无效处理。</w:t>
      </w:r>
    </w:p>
    <w:p w14:paraId="300F23B7">
      <w:pPr>
        <w:spacing w:before="158" w:line="289" w:lineRule="auto"/>
        <w:ind w:left="27" w:right="10"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15.4.3 竞标报价（包含首次报价、最后报</w:t>
      </w:r>
      <w:r>
        <w:rPr>
          <w:rFonts w:ascii="宋体" w:hAnsi="宋体" w:eastAsia="宋体" w:cs="宋体"/>
          <w:color w:val="auto"/>
          <w:spacing w:val="-1"/>
          <w:sz w:val="21"/>
          <w:szCs w:val="21"/>
          <w:highlight w:val="none"/>
        </w:rPr>
        <w:t>价）超过分项采购预算金额或者单价最高限</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价的（如有要求</w:t>
      </w:r>
      <w:r>
        <w:rPr>
          <w:rFonts w:ascii="宋体" w:hAnsi="宋体" w:eastAsia="宋体" w:cs="宋体"/>
          <w:color w:val="auto"/>
          <w:spacing w:val="7"/>
          <w:sz w:val="21"/>
          <w:szCs w:val="21"/>
          <w:highlight w:val="none"/>
        </w:rPr>
        <w:t>），</w:t>
      </w:r>
      <w:r>
        <w:rPr>
          <w:rFonts w:ascii="宋体" w:hAnsi="宋体" w:eastAsia="宋体" w:cs="宋体"/>
          <w:color w:val="auto"/>
          <w:spacing w:val="-1"/>
          <w:sz w:val="21"/>
          <w:szCs w:val="21"/>
          <w:highlight w:val="none"/>
        </w:rPr>
        <w:t>其响应文件将按无效处理。</w:t>
      </w:r>
    </w:p>
    <w:p w14:paraId="28C5075D">
      <w:pPr>
        <w:spacing w:before="161" w:line="313" w:lineRule="auto"/>
        <w:ind w:left="26" w:right="10" w:firstLine="435"/>
        <w:rPr>
          <w:rFonts w:ascii="宋体" w:hAnsi="宋体" w:eastAsia="宋体" w:cs="宋体"/>
          <w:color w:val="auto"/>
          <w:sz w:val="21"/>
          <w:szCs w:val="21"/>
          <w:highlight w:val="none"/>
        </w:rPr>
      </w:pPr>
      <w:r>
        <w:rPr>
          <w:rFonts w:ascii="宋体" w:hAnsi="宋体" w:eastAsia="宋体" w:cs="宋体"/>
          <w:color w:val="auto"/>
          <w:sz w:val="21"/>
          <w:szCs w:val="21"/>
          <w:highlight w:val="none"/>
        </w:rPr>
        <w:t>15.4.4 供应商在提交响应文件截止时间</w:t>
      </w:r>
      <w:r>
        <w:rPr>
          <w:rFonts w:ascii="宋体" w:hAnsi="宋体" w:eastAsia="宋体" w:cs="宋体"/>
          <w:color w:val="auto"/>
          <w:spacing w:val="-1"/>
          <w:sz w:val="21"/>
          <w:szCs w:val="21"/>
          <w:highlight w:val="none"/>
        </w:rPr>
        <w:t>前修改竞标函中的竞标总报价，应同时修改响</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应文件“</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已标价工程量清单</w:t>
      </w:r>
      <w:r>
        <w:rPr>
          <w:rFonts w:ascii="宋体" w:hAnsi="宋体" w:eastAsia="宋体" w:cs="宋体"/>
          <w:color w:val="auto"/>
          <w:spacing w:val="-77"/>
          <w:sz w:val="21"/>
          <w:szCs w:val="21"/>
          <w:highlight w:val="none"/>
        </w:rPr>
        <w:t xml:space="preserve"> </w:t>
      </w:r>
      <w:r>
        <w:rPr>
          <w:rFonts w:ascii="宋体" w:hAnsi="宋体" w:eastAsia="宋体" w:cs="宋体"/>
          <w:color w:val="auto"/>
          <w:spacing w:val="-4"/>
          <w:sz w:val="21"/>
          <w:szCs w:val="21"/>
          <w:highlight w:val="none"/>
        </w:rPr>
        <w:t>”中的相应报价。此修改须符合本须知正文第 20 条、第 21 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的有关要求。</w:t>
      </w:r>
    </w:p>
    <w:p w14:paraId="4C2DC5BB">
      <w:pPr>
        <w:spacing w:before="161" w:line="218"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16.竞标有效期</w:t>
      </w:r>
    </w:p>
    <w:p w14:paraId="4D806C69">
      <w:pPr>
        <w:spacing w:before="180" w:line="220" w:lineRule="auto"/>
        <w:ind w:right="11"/>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16.1 竞标有效期是指为保证采购人有足</w:t>
      </w:r>
      <w:r>
        <w:rPr>
          <w:rFonts w:ascii="宋体" w:hAnsi="宋体" w:eastAsia="宋体" w:cs="宋体"/>
          <w:color w:val="auto"/>
          <w:spacing w:val="-1"/>
          <w:sz w:val="21"/>
          <w:szCs w:val="21"/>
          <w:highlight w:val="none"/>
        </w:rPr>
        <w:t>够的时间在提交响应文件后完成评审、确定成</w:t>
      </w:r>
    </w:p>
    <w:p w14:paraId="7564D735">
      <w:pPr>
        <w:spacing w:line="220" w:lineRule="auto"/>
        <w:rPr>
          <w:rFonts w:ascii="宋体" w:hAnsi="宋体" w:eastAsia="宋体" w:cs="宋体"/>
          <w:color w:val="auto"/>
          <w:sz w:val="21"/>
          <w:szCs w:val="21"/>
          <w:highlight w:val="none"/>
        </w:rPr>
        <w:sectPr>
          <w:footerReference r:id="rId17" w:type="default"/>
          <w:pgSz w:w="11900" w:h="16832"/>
          <w:pgMar w:top="1426" w:right="1784" w:bottom="1220" w:left="1784" w:header="0" w:footer="1060" w:gutter="0"/>
          <w:pgNumType w:fmt="decimal"/>
          <w:cols w:space="720" w:num="1"/>
        </w:sectPr>
      </w:pPr>
    </w:p>
    <w:p w14:paraId="21F5D19D">
      <w:pPr>
        <w:spacing w:before="42" w:line="220" w:lineRule="auto"/>
        <w:ind w:left="30"/>
        <w:rPr>
          <w:rFonts w:ascii="宋体" w:hAnsi="宋体" w:eastAsia="宋体" w:cs="宋体"/>
          <w:color w:val="auto"/>
          <w:sz w:val="21"/>
          <w:szCs w:val="21"/>
          <w:highlight w:val="none"/>
        </w:rPr>
      </w:pPr>
      <w:r>
        <w:rPr>
          <w:rFonts w:ascii="宋体" w:hAnsi="宋体" w:eastAsia="宋体" w:cs="宋体"/>
          <w:color w:val="auto"/>
          <w:sz w:val="21"/>
          <w:szCs w:val="21"/>
          <w:highlight w:val="none"/>
        </w:rPr>
        <w:t>交供应商、合同签订等工作而要求供应商提交的响应文件在一定时间内保持</w:t>
      </w:r>
      <w:r>
        <w:rPr>
          <w:rFonts w:ascii="宋体" w:hAnsi="宋体" w:eastAsia="宋体" w:cs="宋体"/>
          <w:color w:val="auto"/>
          <w:spacing w:val="-1"/>
          <w:sz w:val="21"/>
          <w:szCs w:val="21"/>
          <w:highlight w:val="none"/>
        </w:rPr>
        <w:t>有效的期限。</w:t>
      </w:r>
    </w:p>
    <w:p w14:paraId="6CCAA810">
      <w:pPr>
        <w:spacing w:before="157" w:line="220" w:lineRule="auto"/>
        <w:ind w:left="4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16.2 竞标有效期应由供应商按“供应商须知前附表”规定的期限作出响应。</w:t>
      </w:r>
    </w:p>
    <w:p w14:paraId="342E4D4F">
      <w:pPr>
        <w:spacing w:before="157" w:line="220" w:lineRule="auto"/>
        <w:ind w:left="4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16.3</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供应商的响应文件在竞标有效期内均保持</w:t>
      </w:r>
      <w:r>
        <w:rPr>
          <w:rFonts w:ascii="宋体" w:hAnsi="宋体" w:eastAsia="宋体" w:cs="宋体"/>
          <w:color w:val="auto"/>
          <w:spacing w:val="-2"/>
          <w:sz w:val="21"/>
          <w:szCs w:val="21"/>
          <w:highlight w:val="none"/>
        </w:rPr>
        <w:t>有效。</w:t>
      </w:r>
    </w:p>
    <w:p w14:paraId="2778283A">
      <w:pPr>
        <w:spacing w:before="164" w:line="219"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17.磋商保证金</w:t>
      </w:r>
    </w:p>
    <w:p w14:paraId="0A5572CF">
      <w:pPr>
        <w:spacing w:before="176" w:line="220" w:lineRule="auto"/>
        <w:ind w:left="4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17.1</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供应商须按“供应商须知前附表”的规定提交磋商保证金。</w:t>
      </w:r>
    </w:p>
    <w:p w14:paraId="7402F2C6">
      <w:pPr>
        <w:spacing w:before="158" w:line="221"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17.2</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磋商保证金的退还</w:t>
      </w:r>
    </w:p>
    <w:p w14:paraId="65B97CE3">
      <w:pPr>
        <w:spacing w:before="159" w:line="345" w:lineRule="auto"/>
        <w:ind w:left="43" w:right="53" w:firstLine="405"/>
        <w:rPr>
          <w:rFonts w:ascii="宋体" w:hAnsi="宋体" w:eastAsia="宋体" w:cs="宋体"/>
          <w:color w:val="auto"/>
          <w:sz w:val="21"/>
          <w:szCs w:val="21"/>
          <w:highlight w:val="none"/>
        </w:rPr>
      </w:pPr>
      <w:r>
        <w:rPr>
          <w:rFonts w:ascii="宋体" w:hAnsi="宋体" w:eastAsia="宋体" w:cs="宋体"/>
          <w:color w:val="auto"/>
          <w:sz w:val="21"/>
          <w:szCs w:val="21"/>
          <w:highlight w:val="none"/>
        </w:rPr>
        <w:t>未成交供应商的磋商保证金自成交通知书发出之日起 5 个工作日内退</w:t>
      </w:r>
      <w:r>
        <w:rPr>
          <w:rFonts w:ascii="宋体" w:hAnsi="宋体" w:eastAsia="宋体" w:cs="宋体"/>
          <w:color w:val="auto"/>
          <w:spacing w:val="-1"/>
          <w:sz w:val="21"/>
          <w:szCs w:val="21"/>
          <w:highlight w:val="none"/>
        </w:rPr>
        <w:t>还；成交供应商</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的磋商保证金自签订合同之日起</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5</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个工作日内退还或者转为成交供应商的履约保</w:t>
      </w:r>
      <w:r>
        <w:rPr>
          <w:rFonts w:ascii="宋体" w:hAnsi="宋体" w:eastAsia="宋体" w:cs="宋体"/>
          <w:color w:val="auto"/>
          <w:spacing w:val="-2"/>
          <w:sz w:val="21"/>
          <w:szCs w:val="21"/>
          <w:highlight w:val="none"/>
        </w:rPr>
        <w:t>证金。</w:t>
      </w:r>
    </w:p>
    <w:p w14:paraId="399A4B43">
      <w:pPr>
        <w:spacing w:before="32" w:line="221"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17.3</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磋商保证金不计息。</w:t>
      </w:r>
    </w:p>
    <w:p w14:paraId="22CA21DB">
      <w:pPr>
        <w:spacing w:before="156" w:line="220"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17.4</w:t>
      </w:r>
      <w:r>
        <w:rPr>
          <w:rFonts w:ascii="宋体" w:hAnsi="宋体" w:eastAsia="宋体" w:cs="宋体"/>
          <w:color w:val="auto"/>
          <w:spacing w:val="-46"/>
          <w:sz w:val="21"/>
          <w:szCs w:val="21"/>
          <w:highlight w:val="none"/>
        </w:rPr>
        <w:t xml:space="preserve"> </w:t>
      </w:r>
      <w:r>
        <w:rPr>
          <w:rFonts w:ascii="宋体" w:hAnsi="宋体" w:eastAsia="宋体" w:cs="宋体"/>
          <w:color w:val="auto"/>
          <w:spacing w:val="-2"/>
          <w:sz w:val="21"/>
          <w:szCs w:val="21"/>
          <w:highlight w:val="none"/>
        </w:rPr>
        <w:t>供应商有下列情形之一的，磋商保证金</w:t>
      </w:r>
      <w:r>
        <w:rPr>
          <w:rFonts w:ascii="宋体" w:hAnsi="宋体" w:eastAsia="宋体" w:cs="宋体"/>
          <w:color w:val="auto"/>
          <w:spacing w:val="-3"/>
          <w:sz w:val="21"/>
          <w:szCs w:val="21"/>
          <w:highlight w:val="none"/>
        </w:rPr>
        <w:t>将不予退还：</w:t>
      </w:r>
    </w:p>
    <w:p w14:paraId="02F24BA0">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（1）供应商在提交响应文件截止时间后撤回响应文件的；</w:t>
      </w:r>
    </w:p>
    <w:p w14:paraId="59EC8206">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（2）未按规定提交履约保证金的；</w:t>
      </w:r>
    </w:p>
    <w:p w14:paraId="31B141F4">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（3）供应商在响应文件中提供虚假材料的；</w:t>
      </w:r>
    </w:p>
    <w:p w14:paraId="43BA95A1">
      <w:pPr>
        <w:spacing w:before="157" w:line="220"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（4）除因不可抗力或者磋商文件认可的情形以外，成交供应商</w:t>
      </w:r>
      <w:r>
        <w:rPr>
          <w:rFonts w:ascii="宋体" w:hAnsi="宋体" w:eastAsia="宋体" w:cs="宋体"/>
          <w:color w:val="auto"/>
          <w:spacing w:val="-5"/>
          <w:sz w:val="21"/>
          <w:szCs w:val="21"/>
          <w:highlight w:val="none"/>
        </w:rPr>
        <w:t>不与采购人签订合同的；</w:t>
      </w:r>
    </w:p>
    <w:p w14:paraId="771AD8F8">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（5）供应商与采购人、其他供应商或者采购代理机构</w:t>
      </w:r>
      <w:r>
        <w:rPr>
          <w:rFonts w:ascii="宋体" w:hAnsi="宋体" w:eastAsia="宋体" w:cs="宋体"/>
          <w:color w:val="auto"/>
          <w:spacing w:val="-2"/>
          <w:sz w:val="21"/>
          <w:szCs w:val="21"/>
          <w:highlight w:val="none"/>
        </w:rPr>
        <w:t>恶意串通的；</w:t>
      </w:r>
    </w:p>
    <w:p w14:paraId="7D7A8EA1">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（6）法律法规规定的其他情形。</w:t>
      </w:r>
    </w:p>
    <w:p w14:paraId="5D505A97">
      <w:pPr>
        <w:spacing w:before="162" w:line="218"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18.响应文件编制的要求</w:t>
      </w:r>
    </w:p>
    <w:p w14:paraId="3679D1BE">
      <w:pPr>
        <w:spacing w:before="175" w:line="325" w:lineRule="auto"/>
        <w:ind w:left="24" w:right="53" w:firstLine="437"/>
        <w:rPr>
          <w:rFonts w:ascii="宋体" w:hAnsi="宋体" w:eastAsia="宋体" w:cs="宋体"/>
          <w:color w:val="auto"/>
          <w:sz w:val="21"/>
          <w:szCs w:val="21"/>
          <w:highlight w:val="none"/>
        </w:rPr>
      </w:pPr>
      <w:r>
        <w:rPr>
          <w:rFonts w:ascii="宋体" w:hAnsi="宋体" w:eastAsia="宋体" w:cs="宋体"/>
          <w:color w:val="auto"/>
          <w:sz w:val="21"/>
          <w:szCs w:val="21"/>
          <w:highlight w:val="none"/>
        </w:rPr>
        <w:t>18.1 供应商应先安装“广西政府采购云</w:t>
      </w:r>
      <w:r>
        <w:rPr>
          <w:rFonts w:ascii="宋体" w:hAnsi="宋体" w:eastAsia="宋体" w:cs="宋体"/>
          <w:color w:val="auto"/>
          <w:spacing w:val="-1"/>
          <w:sz w:val="21"/>
          <w:szCs w:val="21"/>
          <w:highlight w:val="none"/>
        </w:rPr>
        <w:t>平台客户端”（请自行前往“广西政府采购网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—办事服务—下载专区”进行下载</w:t>
      </w:r>
      <w:r>
        <w:rPr>
          <w:rFonts w:ascii="宋体" w:hAnsi="宋体" w:eastAsia="宋体" w:cs="宋体"/>
          <w:color w:val="auto"/>
          <w:spacing w:val="13"/>
          <w:sz w:val="21"/>
          <w:szCs w:val="21"/>
          <w:highlight w:val="none"/>
        </w:rPr>
        <w:t>），</w:t>
      </w:r>
      <w:r>
        <w:rPr>
          <w:rFonts w:ascii="宋体" w:hAnsi="宋体" w:eastAsia="宋体" w:cs="宋体"/>
          <w:color w:val="auto"/>
          <w:spacing w:val="2"/>
          <w:sz w:val="21"/>
          <w:szCs w:val="21"/>
          <w:highlight w:val="none"/>
        </w:rPr>
        <w:t>并按照本项目磋商文件规定的格式和顺序和广西政</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府采购云平台的要求编制并加密。响应文件内容不完</w:t>
      </w:r>
      <w:r>
        <w:rPr>
          <w:rFonts w:ascii="宋体" w:hAnsi="宋体" w:eastAsia="宋体" w:cs="宋体"/>
          <w:color w:val="auto"/>
          <w:spacing w:val="1"/>
          <w:sz w:val="21"/>
          <w:szCs w:val="21"/>
          <w:highlight w:val="none"/>
        </w:rPr>
        <w:t>整、编排混乱导致响应文件被误读、</w:t>
      </w:r>
      <w:r>
        <w:rPr>
          <w:rFonts w:ascii="宋体" w:hAnsi="宋体" w:eastAsia="宋体" w:cs="宋体"/>
          <w:color w:val="auto"/>
          <w:sz w:val="21"/>
          <w:szCs w:val="21"/>
          <w:highlight w:val="none"/>
        </w:rPr>
        <w:t xml:space="preserve"> 漏读或者查找不到相关内容的，由此引发的后果由供应商承担。</w:t>
      </w:r>
    </w:p>
    <w:p w14:paraId="0EBE714F">
      <w:pPr>
        <w:spacing w:before="159" w:line="313" w:lineRule="auto"/>
        <w:ind w:left="25" w:right="53"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18.2 为确保网上操作合法、有效和安全</w:t>
      </w:r>
      <w:r>
        <w:rPr>
          <w:rFonts w:ascii="宋体" w:hAnsi="宋体" w:eastAsia="宋体" w:cs="宋体"/>
          <w:color w:val="auto"/>
          <w:spacing w:val="-1"/>
          <w:sz w:val="21"/>
          <w:szCs w:val="21"/>
          <w:highlight w:val="none"/>
        </w:rPr>
        <w:t>，供应商应当在提交响应文件截止时间前完成</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在广西政府采购云平台的身份认证，确保在电子竞标过程中能够对相关数据电文进行加密</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和使用电子签章。</w:t>
      </w:r>
    </w:p>
    <w:p w14:paraId="5E3F4C28">
      <w:pPr>
        <w:spacing w:before="157" w:line="290" w:lineRule="auto"/>
        <w:ind w:left="25" w:right="53"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18.3 响应文件须由供应商在规定位置签</w:t>
      </w:r>
      <w:r>
        <w:rPr>
          <w:rFonts w:ascii="宋体" w:hAnsi="宋体" w:eastAsia="宋体" w:cs="宋体"/>
          <w:color w:val="auto"/>
          <w:spacing w:val="-1"/>
          <w:sz w:val="21"/>
          <w:szCs w:val="21"/>
          <w:highlight w:val="none"/>
        </w:rPr>
        <w:t>字、盖章（具体以供应商须知前附表或响应文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件格式规定为准</w:t>
      </w:r>
      <w:r>
        <w:rPr>
          <w:rFonts w:ascii="宋体" w:hAnsi="宋体" w:eastAsia="宋体" w:cs="宋体"/>
          <w:color w:val="auto"/>
          <w:spacing w:val="6"/>
          <w:sz w:val="21"/>
          <w:szCs w:val="21"/>
          <w:highlight w:val="none"/>
        </w:rPr>
        <w:t>），</w:t>
      </w:r>
      <w:r>
        <w:rPr>
          <w:rFonts w:ascii="宋体" w:hAnsi="宋体" w:eastAsia="宋体" w:cs="宋体"/>
          <w:color w:val="auto"/>
          <w:spacing w:val="-1"/>
          <w:sz w:val="21"/>
          <w:szCs w:val="21"/>
          <w:highlight w:val="none"/>
        </w:rPr>
        <w:t>否则按无效响应处理。</w:t>
      </w:r>
    </w:p>
    <w:p w14:paraId="3626EF47">
      <w:pPr>
        <w:spacing w:before="158" w:line="289" w:lineRule="auto"/>
        <w:ind w:left="26" w:right="52" w:firstLine="435"/>
        <w:rPr>
          <w:rFonts w:ascii="宋体" w:hAnsi="宋体" w:eastAsia="宋体" w:cs="宋体"/>
          <w:color w:val="auto"/>
          <w:sz w:val="21"/>
          <w:szCs w:val="21"/>
          <w:highlight w:val="none"/>
        </w:rPr>
      </w:pPr>
      <w:r>
        <w:rPr>
          <w:rFonts w:ascii="宋体" w:hAnsi="宋体" w:eastAsia="宋体" w:cs="宋体"/>
          <w:color w:val="auto"/>
          <w:sz w:val="21"/>
          <w:szCs w:val="21"/>
          <w:highlight w:val="none"/>
        </w:rPr>
        <w:t>18.4 响应文件中标注的供应商名称应与</w:t>
      </w:r>
      <w:r>
        <w:rPr>
          <w:rFonts w:ascii="宋体" w:hAnsi="宋体" w:eastAsia="宋体" w:cs="宋体"/>
          <w:color w:val="auto"/>
          <w:spacing w:val="-1"/>
          <w:sz w:val="21"/>
          <w:szCs w:val="21"/>
          <w:highlight w:val="none"/>
        </w:rPr>
        <w:t>主体资格证明（如营业执照或者事业单位法人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证书或者执业许可证或者登记证书等）及公章一致，</w:t>
      </w:r>
      <w:r>
        <w:rPr>
          <w:rFonts w:ascii="宋体" w:hAnsi="宋体" w:eastAsia="宋体" w:cs="宋体"/>
          <w:b/>
          <w:bCs/>
          <w:color w:val="auto"/>
          <w:spacing w:val="-1"/>
          <w:sz w:val="21"/>
          <w:szCs w:val="21"/>
          <w:highlight w:val="none"/>
        </w:rPr>
        <w:t>否则其响应文件按无效处理</w:t>
      </w:r>
      <w:r>
        <w:rPr>
          <w:rFonts w:ascii="宋体" w:hAnsi="宋体" w:eastAsia="宋体" w:cs="宋体"/>
          <w:color w:val="auto"/>
          <w:spacing w:val="-1"/>
          <w:sz w:val="21"/>
          <w:szCs w:val="21"/>
          <w:highlight w:val="none"/>
        </w:rPr>
        <w:t>。</w:t>
      </w:r>
    </w:p>
    <w:p w14:paraId="6E945DF3">
      <w:pPr>
        <w:spacing w:before="160" w:line="324" w:lineRule="auto"/>
        <w:ind w:left="26" w:right="53" w:firstLine="435"/>
        <w:rPr>
          <w:rFonts w:ascii="宋体" w:hAnsi="宋体" w:eastAsia="宋体" w:cs="宋体"/>
          <w:color w:val="auto"/>
          <w:sz w:val="21"/>
          <w:szCs w:val="21"/>
          <w:highlight w:val="none"/>
        </w:rPr>
      </w:pPr>
      <w:r>
        <w:rPr>
          <w:rFonts w:ascii="宋体" w:hAnsi="宋体" w:eastAsia="宋体" w:cs="宋体"/>
          <w:color w:val="auto"/>
          <w:sz w:val="21"/>
          <w:szCs w:val="21"/>
          <w:highlight w:val="none"/>
        </w:rPr>
        <w:t>18.5 响应文件应尽量避免涂改、行间插</w:t>
      </w:r>
      <w:r>
        <w:rPr>
          <w:rFonts w:ascii="宋体" w:hAnsi="宋体" w:eastAsia="宋体" w:cs="宋体"/>
          <w:color w:val="auto"/>
          <w:spacing w:val="-1"/>
          <w:sz w:val="21"/>
          <w:szCs w:val="21"/>
          <w:highlight w:val="none"/>
        </w:rPr>
        <w:t>字或者删除。如果出现上述情况，改动之处应</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由供应商的法定代表人或者其委托代理人签字（或者电子签名）或者加盖公章或者加盖电</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子签章。响应文件因涂改、行间插字或者删除导致字迹潦草或者表达不清所引起的后果由</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供应商承担。</w:t>
      </w:r>
    </w:p>
    <w:p w14:paraId="510388A5">
      <w:pPr>
        <w:spacing w:before="165" w:line="219"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19.电子备份响应文件</w:t>
      </w:r>
    </w:p>
    <w:p w14:paraId="07DE791B">
      <w:pPr>
        <w:spacing w:before="177" w:line="220" w:lineRule="auto"/>
        <w:ind w:left="47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电子备份响应文件是指通过“广西政府采购云平台客户端”在线编制生成且后缀名为</w:t>
      </w:r>
    </w:p>
    <w:p w14:paraId="1B40245E">
      <w:pPr>
        <w:spacing w:line="220" w:lineRule="auto"/>
        <w:rPr>
          <w:rFonts w:ascii="宋体" w:hAnsi="宋体" w:eastAsia="宋体" w:cs="宋体"/>
          <w:color w:val="auto"/>
          <w:sz w:val="21"/>
          <w:szCs w:val="21"/>
          <w:highlight w:val="none"/>
        </w:rPr>
        <w:sectPr>
          <w:footerReference r:id="rId18" w:type="default"/>
          <w:pgSz w:w="11900" w:h="16832"/>
          <w:pgMar w:top="1427" w:right="1742" w:bottom="1220" w:left="1784" w:header="0" w:footer="1060" w:gutter="0"/>
          <w:pgNumType w:fmt="decimal"/>
          <w:cols w:space="720" w:num="1"/>
        </w:sectPr>
      </w:pPr>
    </w:p>
    <w:p w14:paraId="21C19ED2">
      <w:pPr>
        <w:spacing w:before="42" w:line="220" w:lineRule="auto"/>
        <w:ind w:left="12"/>
        <w:rPr>
          <w:rFonts w:ascii="宋体" w:hAnsi="宋体" w:eastAsia="宋体" w:cs="宋体"/>
          <w:color w:val="auto"/>
          <w:sz w:val="21"/>
          <w:szCs w:val="21"/>
          <w:highlight w:val="none"/>
        </w:rPr>
      </w:pPr>
      <w:r>
        <w:rPr>
          <w:rFonts w:ascii="宋体" w:hAnsi="宋体" w:eastAsia="宋体" w:cs="宋体"/>
          <w:color w:val="auto"/>
          <w:sz w:val="21"/>
          <w:szCs w:val="21"/>
          <w:highlight w:val="none"/>
        </w:rPr>
        <w:t>“bfbs”的文件，是否接受电子备份响应文件详见在“供应商须知前附表”。</w:t>
      </w:r>
    </w:p>
    <w:p w14:paraId="63CF50A1">
      <w:pPr>
        <w:spacing w:before="161"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20.响应文件的提交</w:t>
      </w:r>
    </w:p>
    <w:p w14:paraId="2C935929">
      <w:pPr>
        <w:spacing w:before="180" w:line="312" w:lineRule="auto"/>
        <w:ind w:left="27" w:right="59" w:firstLine="41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20.1  </w:t>
      </w:r>
      <w:r>
        <w:rPr>
          <w:rFonts w:ascii="宋体" w:hAnsi="宋体" w:eastAsia="宋体" w:cs="宋体"/>
          <w:color w:val="auto"/>
          <w:spacing w:val="1"/>
          <w:sz w:val="21"/>
          <w:szCs w:val="21"/>
          <w:highlight w:val="none"/>
        </w:rPr>
        <w:t>供应商必须按“供应商须知前附表”规定的时间及地点提交响应文件。电子响应</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文件应在制作完成后，在提交响应文件截止时间前通过有效数字证书（</w:t>
      </w:r>
      <w:r>
        <w:rPr>
          <w:rFonts w:ascii="Times New Roman" w:hAnsi="Times New Roman" w:eastAsia="Times New Roman" w:cs="Times New Roman"/>
          <w:color w:val="auto"/>
          <w:spacing w:val="-1"/>
          <w:sz w:val="21"/>
          <w:szCs w:val="21"/>
          <w:highlight w:val="none"/>
        </w:rPr>
        <w:t xml:space="preserve">CA </w:t>
      </w:r>
      <w:r>
        <w:rPr>
          <w:rFonts w:ascii="宋体" w:hAnsi="宋体" w:eastAsia="宋体" w:cs="宋体"/>
          <w:color w:val="auto"/>
          <w:spacing w:val="-1"/>
          <w:sz w:val="21"/>
          <w:szCs w:val="21"/>
          <w:highlight w:val="none"/>
        </w:rPr>
        <w:t>认证锁）进行电</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子签章、加密，然后通过网络将加密的电子响应文件提交至广西政府采购云</w:t>
      </w:r>
      <w:r>
        <w:rPr>
          <w:rFonts w:ascii="宋体" w:hAnsi="宋体" w:eastAsia="宋体" w:cs="宋体"/>
          <w:color w:val="auto"/>
          <w:spacing w:val="-1"/>
          <w:sz w:val="21"/>
          <w:szCs w:val="21"/>
          <w:highlight w:val="none"/>
        </w:rPr>
        <w:t>平台。</w:t>
      </w:r>
    </w:p>
    <w:p w14:paraId="30E8F62E">
      <w:pPr>
        <w:spacing w:before="157" w:line="291" w:lineRule="auto"/>
        <w:ind w:left="24" w:right="57"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20.2 未在规定时间内提交或者未按照磋商文件要求加密的电子响应文件</w:t>
      </w:r>
      <w:r>
        <w:rPr>
          <w:rFonts w:ascii="宋体" w:hAnsi="宋体" w:eastAsia="宋体" w:cs="宋体"/>
          <w:color w:val="auto"/>
          <w:spacing w:val="-1"/>
          <w:sz w:val="21"/>
          <w:szCs w:val="21"/>
          <w:highlight w:val="none"/>
        </w:rPr>
        <w:t>，广西政府采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购云平台将拒收。</w:t>
      </w:r>
    </w:p>
    <w:p w14:paraId="459C3846">
      <w:pPr>
        <w:spacing w:before="160"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21.首次响应文件的补充、修改与撤回</w:t>
      </w:r>
    </w:p>
    <w:p w14:paraId="7E458E29">
      <w:pPr>
        <w:spacing w:before="178" w:line="336" w:lineRule="auto"/>
        <w:ind w:left="24" w:right="60"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21.1  </w:t>
      </w:r>
      <w:r>
        <w:rPr>
          <w:rFonts w:ascii="宋体" w:hAnsi="宋体" w:eastAsia="宋体" w:cs="宋体"/>
          <w:color w:val="auto"/>
          <w:spacing w:val="1"/>
          <w:sz w:val="21"/>
          <w:szCs w:val="21"/>
          <w:highlight w:val="none"/>
        </w:rPr>
        <w:t>供应商应当在提交响应文件截止时间前完成电子响应文件的提交（上传</w:t>
      </w:r>
      <w:r>
        <w:rPr>
          <w:rFonts w:ascii="宋体" w:hAnsi="宋体" w:eastAsia="宋体" w:cs="宋体"/>
          <w:color w:val="auto"/>
          <w:spacing w:val="5"/>
          <w:sz w:val="21"/>
          <w:szCs w:val="21"/>
          <w:highlight w:val="none"/>
        </w:rPr>
        <w:t>），</w:t>
      </w:r>
      <w:r>
        <w:rPr>
          <w:rFonts w:ascii="宋体" w:hAnsi="宋体" w:eastAsia="宋体" w:cs="宋体"/>
          <w:color w:val="auto"/>
          <w:spacing w:val="1"/>
          <w:sz w:val="21"/>
          <w:szCs w:val="21"/>
          <w:highlight w:val="none"/>
        </w:rPr>
        <w:t>提交</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响应文件截止时间前可以补充、修改或者撤回</w:t>
      </w:r>
      <w:r>
        <w:rPr>
          <w:rFonts w:ascii="宋体" w:hAnsi="宋体" w:eastAsia="宋体" w:cs="宋体"/>
          <w:color w:val="auto"/>
          <w:spacing w:val="2"/>
          <w:sz w:val="21"/>
          <w:szCs w:val="21"/>
          <w:highlight w:val="none"/>
        </w:rPr>
        <w:t>响应文件。补充或者修改响应文件的，应当</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先行撤回原响应文件，补充、修改后重新提交（上传</w:t>
      </w:r>
      <w:r>
        <w:rPr>
          <w:rFonts w:ascii="宋体" w:hAnsi="宋体" w:eastAsia="宋体" w:cs="宋体"/>
          <w:color w:val="auto"/>
          <w:spacing w:val="13"/>
          <w:sz w:val="21"/>
          <w:szCs w:val="21"/>
          <w:highlight w:val="none"/>
        </w:rPr>
        <w:t>），</w:t>
      </w:r>
      <w:r>
        <w:rPr>
          <w:rFonts w:ascii="宋体" w:hAnsi="宋体" w:eastAsia="宋体" w:cs="宋体"/>
          <w:color w:val="auto"/>
          <w:spacing w:val="2"/>
          <w:sz w:val="21"/>
          <w:szCs w:val="21"/>
          <w:highlight w:val="none"/>
        </w:rPr>
        <w:t>提交响应文件截止时间前未完成</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提交（上传）的，视为撤回响应文件。提交响</w:t>
      </w:r>
      <w:r>
        <w:rPr>
          <w:rFonts w:ascii="宋体" w:hAnsi="宋体" w:eastAsia="宋体" w:cs="宋体"/>
          <w:color w:val="auto"/>
          <w:spacing w:val="2"/>
          <w:sz w:val="21"/>
          <w:szCs w:val="21"/>
          <w:highlight w:val="none"/>
        </w:rPr>
        <w:t>应文件截止时间以后提交（上传）的响应文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件，广西政府采购云平台将予以拒收。（注：</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补充、修改或者撤回方式可登录广西政府采</w:t>
      </w:r>
      <w:r>
        <w:rPr>
          <w:rFonts w:ascii="宋体" w:hAnsi="宋体" w:eastAsia="宋体" w:cs="宋体"/>
          <w:color w:val="auto"/>
          <w:sz w:val="21"/>
          <w:szCs w:val="21"/>
          <w:highlight w:val="none"/>
        </w:rPr>
        <w:t xml:space="preserve"> 购云平台，进入“服务中心”中查看 “电子投标文件制作与投送教</w:t>
      </w:r>
      <w:r>
        <w:rPr>
          <w:rFonts w:ascii="宋体" w:hAnsi="宋体" w:eastAsia="宋体" w:cs="宋体"/>
          <w:color w:val="auto"/>
          <w:spacing w:val="-1"/>
          <w:sz w:val="21"/>
          <w:szCs w:val="21"/>
          <w:highlight w:val="none"/>
        </w:rPr>
        <w:t>程”）</w:t>
      </w:r>
    </w:p>
    <w:p w14:paraId="5B2644C1">
      <w:pPr>
        <w:spacing w:before="159" w:line="290" w:lineRule="auto"/>
        <w:ind w:left="26" w:right="57"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21.2 在提交响应文件截止时间前，除供应商补充、修改或者撤回响应</w:t>
      </w:r>
      <w:r>
        <w:rPr>
          <w:rFonts w:ascii="宋体" w:hAnsi="宋体" w:eastAsia="宋体" w:cs="宋体"/>
          <w:color w:val="auto"/>
          <w:spacing w:val="-1"/>
          <w:sz w:val="21"/>
          <w:szCs w:val="21"/>
          <w:highlight w:val="none"/>
        </w:rPr>
        <w:t>文件外，任何单</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位和个人不得解密或提取响应文件。</w:t>
      </w:r>
    </w:p>
    <w:p w14:paraId="774DD4F0">
      <w:pPr>
        <w:spacing w:before="161"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22.响应文件的退回</w:t>
      </w:r>
    </w:p>
    <w:p w14:paraId="3DF2E439">
      <w:pPr>
        <w:spacing w:before="179" w:line="220"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采购人和采购代理机构对已提交的响应文件概不退回。</w:t>
      </w:r>
    </w:p>
    <w:p w14:paraId="60C5D042">
      <w:pPr>
        <w:spacing w:before="163" w:line="217"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23.截止时间后的撤回</w:t>
      </w:r>
    </w:p>
    <w:p w14:paraId="60F40607">
      <w:pPr>
        <w:spacing w:before="179" w:line="347" w:lineRule="auto"/>
        <w:ind w:left="24"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供应商在响应文件提交截止时间后向采购人、采购代理机</w:t>
      </w:r>
      <w:r>
        <w:rPr>
          <w:rFonts w:ascii="宋体" w:hAnsi="宋体" w:eastAsia="宋体" w:cs="宋体"/>
          <w:color w:val="auto"/>
          <w:spacing w:val="-2"/>
          <w:sz w:val="21"/>
          <w:szCs w:val="21"/>
          <w:highlight w:val="none"/>
        </w:rPr>
        <w:t>构书面申请撤回响应文件的，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将根据本须知正文第</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17.4</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条的规定不予退还</w:t>
      </w:r>
      <w:r>
        <w:rPr>
          <w:rFonts w:ascii="宋体" w:hAnsi="宋体" w:eastAsia="宋体" w:cs="宋体"/>
          <w:color w:val="auto"/>
          <w:spacing w:val="-2"/>
          <w:sz w:val="21"/>
          <w:szCs w:val="21"/>
          <w:highlight w:val="none"/>
        </w:rPr>
        <w:t>其磋商保证金。</w:t>
      </w:r>
    </w:p>
    <w:p w14:paraId="1F3F53C5">
      <w:pPr>
        <w:spacing w:line="351" w:lineRule="auto"/>
        <w:rPr>
          <w:rFonts w:ascii="Arial"/>
          <w:color w:val="auto"/>
          <w:sz w:val="21"/>
          <w:highlight w:val="none"/>
        </w:rPr>
      </w:pPr>
    </w:p>
    <w:p w14:paraId="1E414FAE">
      <w:pPr>
        <w:spacing w:before="101" w:line="226" w:lineRule="auto"/>
        <w:ind w:left="3502"/>
        <w:rPr>
          <w:rFonts w:ascii="宋体" w:hAnsi="宋体" w:eastAsia="宋体" w:cs="宋体"/>
          <w:color w:val="auto"/>
          <w:sz w:val="31"/>
          <w:szCs w:val="31"/>
          <w:highlight w:val="none"/>
        </w:rPr>
      </w:pPr>
      <w:r>
        <w:rPr>
          <w:rFonts w:ascii="宋体" w:hAnsi="宋体" w:eastAsia="宋体" w:cs="宋体"/>
          <w:b/>
          <w:bCs/>
          <w:color w:val="auto"/>
          <w:spacing w:val="1"/>
          <w:sz w:val="31"/>
          <w:szCs w:val="31"/>
          <w:highlight w:val="none"/>
        </w:rPr>
        <w:t>四、评审及磋商</w:t>
      </w:r>
    </w:p>
    <w:p w14:paraId="76B78678">
      <w:pPr>
        <w:spacing w:line="279" w:lineRule="auto"/>
        <w:rPr>
          <w:rFonts w:ascii="Arial"/>
          <w:color w:val="auto"/>
          <w:sz w:val="21"/>
          <w:highlight w:val="none"/>
        </w:rPr>
      </w:pPr>
    </w:p>
    <w:p w14:paraId="65A24568">
      <w:pPr>
        <w:spacing w:line="279" w:lineRule="auto"/>
        <w:rPr>
          <w:rFonts w:ascii="Arial"/>
          <w:color w:val="auto"/>
          <w:sz w:val="21"/>
          <w:highlight w:val="none"/>
        </w:rPr>
      </w:pPr>
    </w:p>
    <w:p w14:paraId="3B36F096">
      <w:pPr>
        <w:spacing w:before="78"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24.磋商小组成立</w:t>
      </w:r>
    </w:p>
    <w:p w14:paraId="6A0FAA73">
      <w:pPr>
        <w:spacing w:before="175" w:line="325" w:lineRule="auto"/>
        <w:ind w:left="27" w:right="68"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24.1</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磋商小组由采购人代表和评审专家共</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人以上单数组成，具体人数见</w:t>
      </w:r>
      <w:r>
        <w:rPr>
          <w:rFonts w:ascii="宋体" w:hAnsi="宋体" w:eastAsia="宋体" w:cs="宋体"/>
          <w:color w:val="auto"/>
          <w:spacing w:val="-2"/>
          <w:sz w:val="21"/>
          <w:szCs w:val="21"/>
          <w:highlight w:val="none"/>
        </w:rPr>
        <w:t>“供应商须</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知前附表”，其中评审专家人数不得少于磋商小组成员总数的</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2/3。采购人代表不得以评审</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专家身份参加本部门或者本单位采购项目的评审。采购代理机构人员不得参加本机构代理</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的采购项目的评审。</w:t>
      </w:r>
    </w:p>
    <w:p w14:paraId="6107F058">
      <w:pPr>
        <w:spacing w:before="156" w:line="325" w:lineRule="auto"/>
        <w:ind w:left="25" w:right="57"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24.2 评审专家应当从政府采购评审专家库内相关专业的专家名单中随机</w:t>
      </w:r>
      <w:r>
        <w:rPr>
          <w:rFonts w:ascii="宋体" w:hAnsi="宋体" w:eastAsia="宋体" w:cs="宋体"/>
          <w:color w:val="auto"/>
          <w:spacing w:val="-1"/>
          <w:sz w:val="21"/>
          <w:szCs w:val="21"/>
          <w:highlight w:val="none"/>
        </w:rPr>
        <w:t>抽取。市场竞</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争不充分的科研项目，以及需要扶持的科技成果转化项目，以及情况特殊、通过随机方式</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难以确定合适的评审专家的项目，经主管预算单位同意，可以自行选定评审专家。技术复</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杂、专业性强的采购项目，评审专家中应当包含</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名法律专家。</w:t>
      </w:r>
    </w:p>
    <w:p w14:paraId="605185D0">
      <w:pPr>
        <w:spacing w:line="325" w:lineRule="auto"/>
        <w:rPr>
          <w:rFonts w:ascii="宋体" w:hAnsi="宋体" w:eastAsia="宋体" w:cs="宋体"/>
          <w:color w:val="auto"/>
          <w:sz w:val="21"/>
          <w:szCs w:val="21"/>
          <w:highlight w:val="none"/>
        </w:rPr>
        <w:sectPr>
          <w:footerReference r:id="rId19" w:type="default"/>
          <w:pgSz w:w="11900" w:h="16832"/>
          <w:pgMar w:top="1427" w:right="1737" w:bottom="1220" w:left="1784" w:header="0" w:footer="1060" w:gutter="0"/>
          <w:pgNumType w:fmt="decimal"/>
          <w:cols w:space="720" w:num="1"/>
        </w:sectPr>
      </w:pPr>
    </w:p>
    <w:p w14:paraId="2CA58F47">
      <w:pPr>
        <w:spacing w:before="42" w:line="220" w:lineRule="auto"/>
        <w:ind w:left="44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24.3</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采购代理机构应当基于广西政府采购云平台抽（选）取评审专家。</w:t>
      </w:r>
    </w:p>
    <w:p w14:paraId="3E947F54">
      <w:pPr>
        <w:spacing w:before="162" w:line="218"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25.首次响应文件的开启和解密</w:t>
      </w:r>
    </w:p>
    <w:p w14:paraId="662EE805">
      <w:pPr>
        <w:spacing w:before="183" w:line="354" w:lineRule="auto"/>
        <w:ind w:left="24" w:right="74" w:firstLine="420"/>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采购代理机构将在“供应商须知前附表”规定的时间通</w:t>
      </w:r>
      <w:r>
        <w:rPr>
          <w:rFonts w:ascii="宋体" w:hAnsi="宋体" w:eastAsia="宋体" w:cs="宋体"/>
          <w:color w:val="auto"/>
          <w:spacing w:val="2"/>
          <w:sz w:val="21"/>
          <w:szCs w:val="21"/>
          <w:highlight w:val="none"/>
        </w:rPr>
        <w:t>过电子交易平台组织响应文件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开启，供应商的法定代表人或其委托代理人须携带加密时所用的</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CA </w:t>
      </w:r>
      <w:r>
        <w:rPr>
          <w:rFonts w:ascii="宋体" w:hAnsi="宋体" w:eastAsia="宋体" w:cs="宋体"/>
          <w:color w:val="auto"/>
          <w:spacing w:val="-2"/>
          <w:sz w:val="21"/>
          <w:szCs w:val="21"/>
          <w:highlight w:val="none"/>
        </w:rPr>
        <w:t>锁</w:t>
      </w:r>
      <w:r>
        <w:rPr>
          <w:rFonts w:ascii="宋体" w:hAnsi="宋体" w:eastAsia="宋体" w:cs="宋体"/>
          <w:color w:val="auto"/>
          <w:spacing w:val="-3"/>
          <w:sz w:val="21"/>
          <w:szCs w:val="21"/>
          <w:highlight w:val="none"/>
        </w:rPr>
        <w:t>，按平台提示和磋商</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文件的规定登录到广西政府采购云平台电子开标</w:t>
      </w:r>
      <w:r>
        <w:rPr>
          <w:rFonts w:ascii="宋体" w:hAnsi="宋体" w:eastAsia="宋体" w:cs="宋体"/>
          <w:color w:val="auto"/>
          <w:spacing w:val="2"/>
          <w:sz w:val="21"/>
          <w:szCs w:val="21"/>
          <w:highlight w:val="none"/>
        </w:rPr>
        <w:t>大厅签到，采购代理机构依托广西政府采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购云平台向各供应商发出电子加密响应文件【开</w:t>
      </w:r>
      <w:r>
        <w:rPr>
          <w:rFonts w:ascii="宋体" w:hAnsi="宋体" w:eastAsia="宋体" w:cs="宋体"/>
          <w:color w:val="auto"/>
          <w:spacing w:val="2"/>
          <w:sz w:val="21"/>
          <w:szCs w:val="21"/>
          <w:highlight w:val="none"/>
        </w:rPr>
        <w:t>始解密】通知，由供应商按“供应商须知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前附表”规定的时间内自行进行响应文件解密。</w:t>
      </w:r>
      <w:r>
        <w:rPr>
          <w:rFonts w:ascii="宋体" w:hAnsi="宋体" w:eastAsia="宋体" w:cs="宋体"/>
          <w:b/>
          <w:bCs/>
          <w:color w:val="auto"/>
          <w:spacing w:val="2"/>
          <w:sz w:val="21"/>
          <w:szCs w:val="21"/>
          <w:highlight w:val="none"/>
        </w:rPr>
        <w:t>供</w:t>
      </w:r>
      <w:r>
        <w:rPr>
          <w:rFonts w:ascii="宋体" w:hAnsi="宋体" w:eastAsia="宋体" w:cs="宋体"/>
          <w:b/>
          <w:bCs/>
          <w:color w:val="auto"/>
          <w:spacing w:val="1"/>
          <w:sz w:val="21"/>
          <w:szCs w:val="21"/>
          <w:highlight w:val="none"/>
        </w:rPr>
        <w:t>应商未在规定的时间内解密响应文件或</w:t>
      </w:r>
      <w:r>
        <w:rPr>
          <w:rFonts w:ascii="宋体" w:hAnsi="宋体" w:eastAsia="宋体" w:cs="宋体"/>
          <w:color w:val="auto"/>
          <w:sz w:val="21"/>
          <w:szCs w:val="21"/>
          <w:highlight w:val="none"/>
        </w:rPr>
        <w:t xml:space="preserve"> </w:t>
      </w:r>
      <w:r>
        <w:rPr>
          <w:rFonts w:ascii="宋体" w:hAnsi="宋体" w:eastAsia="宋体" w:cs="宋体"/>
          <w:b/>
          <w:bCs/>
          <w:color w:val="auto"/>
          <w:spacing w:val="-2"/>
          <w:sz w:val="21"/>
          <w:szCs w:val="21"/>
          <w:highlight w:val="none"/>
        </w:rPr>
        <w:t>者解密失败的，供应商的响应文件按无效处理。</w:t>
      </w:r>
    </w:p>
    <w:p w14:paraId="18A03D21">
      <w:pPr>
        <w:spacing w:before="35" w:line="218"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26.评审程序、评审方法和评审标准</w:t>
      </w:r>
    </w:p>
    <w:p w14:paraId="04F5D945">
      <w:pPr>
        <w:spacing w:before="180" w:line="220" w:lineRule="auto"/>
        <w:ind w:left="44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26.1</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本项目的评审方法为综合评分法。</w:t>
      </w:r>
    </w:p>
    <w:p w14:paraId="105B1783">
      <w:pPr>
        <w:spacing w:before="158" w:line="289" w:lineRule="auto"/>
        <w:ind w:left="27" w:firstLine="4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26.2</w:t>
      </w:r>
      <w:r>
        <w:rPr>
          <w:rFonts w:ascii="宋体" w:hAnsi="宋体" w:eastAsia="宋体" w:cs="宋体"/>
          <w:color w:val="auto"/>
          <w:spacing w:val="-44"/>
          <w:sz w:val="21"/>
          <w:szCs w:val="21"/>
          <w:highlight w:val="none"/>
        </w:rPr>
        <w:t xml:space="preserve"> </w:t>
      </w:r>
      <w:r>
        <w:rPr>
          <w:rFonts w:ascii="宋体" w:hAnsi="宋体" w:eastAsia="宋体" w:cs="宋体"/>
          <w:color w:val="auto"/>
          <w:spacing w:val="-5"/>
          <w:sz w:val="21"/>
          <w:szCs w:val="21"/>
          <w:highlight w:val="none"/>
        </w:rPr>
        <w:t>磋商小组按照“第四章 评审程序、评审方法和评审标准”规定的方法、评审因素、</w:t>
      </w:r>
      <w:r>
        <w:rPr>
          <w:rFonts w:ascii="宋体" w:hAnsi="宋体" w:eastAsia="宋体" w:cs="宋体"/>
          <w:color w:val="auto"/>
          <w:sz w:val="21"/>
          <w:szCs w:val="21"/>
          <w:highlight w:val="none"/>
        </w:rPr>
        <w:t xml:space="preserve"> 标准和程序对响应文件进行评审并推荐成交候</w:t>
      </w:r>
      <w:r>
        <w:rPr>
          <w:rFonts w:ascii="宋体" w:hAnsi="宋体" w:eastAsia="宋体" w:cs="宋体"/>
          <w:color w:val="auto"/>
          <w:spacing w:val="-1"/>
          <w:sz w:val="21"/>
          <w:szCs w:val="21"/>
          <w:highlight w:val="none"/>
        </w:rPr>
        <w:t>选供应商。</w:t>
      </w:r>
    </w:p>
    <w:p w14:paraId="71BFDE9A">
      <w:pPr>
        <w:spacing w:before="157" w:line="313" w:lineRule="auto"/>
        <w:ind w:left="27" w:right="72"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26.3 磋商小组成员要依法独立评审，并对评审意见承担个人责任。磋</w:t>
      </w:r>
      <w:r>
        <w:rPr>
          <w:rFonts w:ascii="宋体" w:hAnsi="宋体" w:eastAsia="宋体" w:cs="宋体"/>
          <w:color w:val="auto"/>
          <w:spacing w:val="-1"/>
          <w:sz w:val="21"/>
          <w:szCs w:val="21"/>
          <w:highlight w:val="none"/>
        </w:rPr>
        <w:t>商小组成员对需</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要共同认定的事项存在争议的，按照少数服从多数的原则做出结论。持不同意见的磋商小</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rPr>
        <w:t>组成员应当在评审报告上签署不同意见并说明理由，否则视</w:t>
      </w:r>
      <w:r>
        <w:rPr>
          <w:rFonts w:ascii="宋体" w:hAnsi="宋体" w:eastAsia="宋体" w:cs="宋体"/>
          <w:color w:val="auto"/>
          <w:spacing w:val="-1"/>
          <w:sz w:val="21"/>
          <w:szCs w:val="21"/>
          <w:highlight w:val="none"/>
        </w:rPr>
        <w:t>为同意。</w:t>
      </w:r>
    </w:p>
    <w:p w14:paraId="074987F6">
      <w:pPr>
        <w:spacing w:before="160" w:line="289" w:lineRule="auto"/>
        <w:ind w:left="29" w:right="72" w:firstLine="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26.4</w:t>
      </w:r>
      <w:r>
        <w:rPr>
          <w:rFonts w:ascii="宋体" w:hAnsi="宋体" w:eastAsia="宋体" w:cs="宋体"/>
          <w:color w:val="auto"/>
          <w:spacing w:val="32"/>
          <w:sz w:val="21"/>
          <w:szCs w:val="21"/>
          <w:highlight w:val="none"/>
        </w:rPr>
        <w:t xml:space="preserve"> </w:t>
      </w:r>
      <w:r>
        <w:rPr>
          <w:rFonts w:ascii="宋体" w:hAnsi="宋体" w:eastAsia="宋体" w:cs="宋体"/>
          <w:color w:val="auto"/>
          <w:spacing w:val="-1"/>
          <w:sz w:val="21"/>
          <w:szCs w:val="21"/>
          <w:highlight w:val="none"/>
        </w:rPr>
        <w:t>电子交易活动的中止。采购过程中出现以下情形，导致电子交易平台无法正常运</w:t>
      </w:r>
      <w:r>
        <w:rPr>
          <w:rFonts w:ascii="宋体" w:hAnsi="宋体" w:eastAsia="宋体" w:cs="宋体"/>
          <w:color w:val="auto"/>
          <w:sz w:val="21"/>
          <w:szCs w:val="21"/>
          <w:highlight w:val="none"/>
        </w:rPr>
        <w:t xml:space="preserve"> 行，或者无法保证电子交易的公平、公正和安全时，采购机构可中止电子</w:t>
      </w:r>
      <w:r>
        <w:rPr>
          <w:rFonts w:ascii="宋体" w:hAnsi="宋体" w:eastAsia="宋体" w:cs="宋体"/>
          <w:color w:val="auto"/>
          <w:spacing w:val="-1"/>
          <w:sz w:val="21"/>
          <w:szCs w:val="21"/>
          <w:highlight w:val="none"/>
        </w:rPr>
        <w:t>交易活动：</w:t>
      </w:r>
    </w:p>
    <w:p w14:paraId="7529EBE9">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（1）电子交易平台发生故障而无法登录访问的；</w:t>
      </w:r>
    </w:p>
    <w:p w14:paraId="5702D26C">
      <w:pPr>
        <w:spacing w:before="159"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（2）电子交易平台应用或数据库出现错误，不能进行</w:t>
      </w:r>
      <w:r>
        <w:rPr>
          <w:rFonts w:ascii="宋体" w:hAnsi="宋体" w:eastAsia="宋体" w:cs="宋体"/>
          <w:color w:val="auto"/>
          <w:spacing w:val="-2"/>
          <w:sz w:val="21"/>
          <w:szCs w:val="21"/>
          <w:highlight w:val="none"/>
        </w:rPr>
        <w:t>正常操作的；</w:t>
      </w:r>
    </w:p>
    <w:p w14:paraId="52C701D8">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（3）电子交易平台发现严重安全漏洞，有潜在泄密危险的；</w:t>
      </w:r>
    </w:p>
    <w:p w14:paraId="196A036C">
      <w:pPr>
        <w:spacing w:before="156" w:line="221"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（4）病毒发作导致不能进行正常操作的；</w:t>
      </w:r>
    </w:p>
    <w:p w14:paraId="5001AD78">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（5）其他无法保证电子交易的公平、公正和</w:t>
      </w:r>
      <w:r>
        <w:rPr>
          <w:rFonts w:ascii="宋体" w:hAnsi="宋体" w:eastAsia="宋体" w:cs="宋体"/>
          <w:color w:val="auto"/>
          <w:spacing w:val="-2"/>
          <w:sz w:val="21"/>
          <w:szCs w:val="21"/>
          <w:highlight w:val="none"/>
        </w:rPr>
        <w:t>安全的情况。</w:t>
      </w:r>
    </w:p>
    <w:p w14:paraId="1990F3D9">
      <w:pPr>
        <w:spacing w:before="156" w:line="325" w:lineRule="auto"/>
        <w:ind w:left="24" w:right="72"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26.5 出现以上情形，不影响采购公平、公正性的，采购组织机构可以</w:t>
      </w:r>
      <w:r>
        <w:rPr>
          <w:rFonts w:ascii="宋体" w:hAnsi="宋体" w:eastAsia="宋体" w:cs="宋体"/>
          <w:color w:val="auto"/>
          <w:spacing w:val="-1"/>
          <w:sz w:val="21"/>
          <w:szCs w:val="21"/>
          <w:highlight w:val="none"/>
        </w:rPr>
        <w:t>待上述情形消除</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后继续组织电子交易活动；影响或可能影响采购公平、公正性的，经采购代理机构确认，</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报采购人同意后，应当重新采购。采购代理机构必须对原有的资料及信息作出妥善保密处</w:t>
      </w:r>
      <w:r>
        <w:rPr>
          <w:rFonts w:ascii="宋体" w:hAnsi="宋体" w:eastAsia="宋体" w:cs="宋体"/>
          <w:color w:val="auto"/>
          <w:spacing w:val="14"/>
          <w:sz w:val="21"/>
          <w:szCs w:val="21"/>
          <w:highlight w:val="none"/>
        </w:rPr>
        <w:t xml:space="preserve"> </w:t>
      </w:r>
      <w:r>
        <w:rPr>
          <w:rFonts w:ascii="宋体" w:hAnsi="宋体" w:eastAsia="宋体" w:cs="宋体"/>
          <w:color w:val="auto"/>
          <w:spacing w:val="-2"/>
          <w:sz w:val="21"/>
          <w:szCs w:val="21"/>
          <w:highlight w:val="none"/>
        </w:rPr>
        <w:t>理，并报财政部门备案。</w:t>
      </w:r>
    </w:p>
    <w:p w14:paraId="4CDA47A7">
      <w:pPr>
        <w:spacing w:before="161"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27.确定成交供应商及结果公告</w:t>
      </w:r>
    </w:p>
    <w:p w14:paraId="7A375488">
      <w:pPr>
        <w:spacing w:before="181" w:line="331" w:lineRule="auto"/>
        <w:ind w:left="26" w:right="72"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27.1 采购代理机构应当在评审结束后</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2</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个工作日内将评审报告送采购人确认。采购人</w:t>
      </w:r>
      <w:r>
        <w:rPr>
          <w:rFonts w:ascii="宋体" w:hAnsi="宋体" w:eastAsia="宋体" w:cs="宋体"/>
          <w:color w:val="auto"/>
          <w:sz w:val="21"/>
          <w:szCs w:val="21"/>
          <w:highlight w:val="none"/>
        </w:rPr>
        <w:t xml:space="preserve"> 应当在收到评审报告后 5 个工作日内，从评审报告提出的成交候选供应商中，按</w:t>
      </w:r>
      <w:r>
        <w:rPr>
          <w:rFonts w:ascii="宋体" w:hAnsi="宋体" w:eastAsia="宋体" w:cs="宋体"/>
          <w:color w:val="auto"/>
          <w:spacing w:val="-1"/>
          <w:sz w:val="21"/>
          <w:szCs w:val="21"/>
          <w:highlight w:val="none"/>
        </w:rPr>
        <w:t>照排序由</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高到低的原则确定成交供应商，也可以书面授权磋商小组直接确定成交供应商。采购人逾</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期未确定成交供应商且不提出异议的，视为确定评审报告提出的排序第一的供应商为成交</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供应商。</w:t>
      </w:r>
    </w:p>
    <w:p w14:paraId="093769D9">
      <w:pPr>
        <w:spacing w:before="158" w:line="289" w:lineRule="auto"/>
        <w:ind w:left="43" w:right="72" w:firstLine="40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27.2</w:t>
      </w:r>
      <w:r>
        <w:rPr>
          <w:rFonts w:ascii="宋体" w:hAnsi="宋体" w:eastAsia="宋体" w:cs="宋体"/>
          <w:color w:val="auto"/>
          <w:spacing w:val="-19"/>
          <w:sz w:val="21"/>
          <w:szCs w:val="21"/>
          <w:highlight w:val="none"/>
        </w:rPr>
        <w:t xml:space="preserve"> </w:t>
      </w:r>
      <w:r>
        <w:rPr>
          <w:rFonts w:ascii="宋体" w:hAnsi="宋体" w:eastAsia="宋体" w:cs="宋体"/>
          <w:color w:val="auto"/>
          <w:spacing w:val="-1"/>
          <w:sz w:val="21"/>
          <w:szCs w:val="21"/>
          <w:highlight w:val="none"/>
        </w:rPr>
        <w:t>采购代理机构应当在成交供应商确定后</w:t>
      </w:r>
      <w:r>
        <w:rPr>
          <w:rFonts w:ascii="宋体" w:hAnsi="宋体" w:eastAsia="宋体" w:cs="宋体"/>
          <w:color w:val="auto"/>
          <w:spacing w:val="-24"/>
          <w:sz w:val="21"/>
          <w:szCs w:val="21"/>
          <w:highlight w:val="none"/>
        </w:rPr>
        <w:t xml:space="preserve"> </w:t>
      </w:r>
      <w:r>
        <w:rPr>
          <w:rFonts w:ascii="宋体" w:hAnsi="宋体" w:eastAsia="宋体" w:cs="宋体"/>
          <w:color w:val="auto"/>
          <w:spacing w:val="-1"/>
          <w:sz w:val="21"/>
          <w:szCs w:val="21"/>
          <w:highlight w:val="none"/>
        </w:rPr>
        <w:t>2</w:t>
      </w:r>
      <w:r>
        <w:rPr>
          <w:rFonts w:ascii="宋体" w:hAnsi="宋体" w:eastAsia="宋体" w:cs="宋体"/>
          <w:color w:val="auto"/>
          <w:spacing w:val="-30"/>
          <w:sz w:val="21"/>
          <w:szCs w:val="21"/>
          <w:highlight w:val="none"/>
        </w:rPr>
        <w:t xml:space="preserve"> </w:t>
      </w:r>
      <w:r>
        <w:rPr>
          <w:rFonts w:ascii="宋体" w:hAnsi="宋体" w:eastAsia="宋体" w:cs="宋体"/>
          <w:color w:val="auto"/>
          <w:spacing w:val="-1"/>
          <w:sz w:val="21"/>
          <w:szCs w:val="21"/>
          <w:highlight w:val="none"/>
        </w:rPr>
        <w:t>个工作日内，在省级以上财政部门指定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的媒体上公告成交结果，同时向成交供应商发出成交通知书。采购人或者采购</w:t>
      </w:r>
      <w:r>
        <w:rPr>
          <w:rFonts w:ascii="宋体" w:hAnsi="宋体" w:eastAsia="宋体" w:cs="宋体"/>
          <w:color w:val="auto"/>
          <w:spacing w:val="1"/>
          <w:sz w:val="21"/>
          <w:szCs w:val="21"/>
          <w:highlight w:val="none"/>
        </w:rPr>
        <w:t>代理机构发</w:t>
      </w:r>
    </w:p>
    <w:p w14:paraId="0DEFA981">
      <w:pPr>
        <w:spacing w:line="289" w:lineRule="auto"/>
        <w:rPr>
          <w:rFonts w:ascii="宋体" w:hAnsi="宋体" w:eastAsia="宋体" w:cs="宋体"/>
          <w:color w:val="auto"/>
          <w:sz w:val="21"/>
          <w:szCs w:val="21"/>
          <w:highlight w:val="none"/>
        </w:rPr>
        <w:sectPr>
          <w:footerReference r:id="rId20" w:type="default"/>
          <w:pgSz w:w="11900" w:h="16832"/>
          <w:pgMar w:top="1427" w:right="1723" w:bottom="1220" w:left="1784" w:header="0" w:footer="1060" w:gutter="0"/>
          <w:pgNumType w:fmt="decimal"/>
          <w:cols w:space="720" w:num="1"/>
        </w:sectPr>
      </w:pPr>
    </w:p>
    <w:p w14:paraId="5E45E31E">
      <w:pPr>
        <w:spacing w:before="45" w:line="354" w:lineRule="auto"/>
        <w:ind w:left="26" w:right="9" w:firstLine="18"/>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出成交通知书前，应当对成交供应商信用进行查询，对列入失信被执行人、重大税收违法</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失信主体、政府采购严重违法失信行为记录名单及其他不符合《中华人民共和国政府采购</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法》第二十二条规定条件的供应商，取消其成交资格，并确定排名第二的成交候选人为成</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交供应商。排名第二的成交候选人因上述规定的同样原因被取消成交资格的，采购人可以</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确定排名第三的成交候选人为成交供应商，以此类推。以上信息查询记录及相关证据与磋</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商文件一并保存。成交供应商享受《政府采购促进中小企业发展管理办法》（财库〔2020〕</w:t>
      </w:r>
    </w:p>
    <w:p w14:paraId="3FBA46AC">
      <w:pPr>
        <w:spacing w:before="30" w:line="291" w:lineRule="auto"/>
        <w:ind w:left="30" w:right="74" w:hanging="5"/>
        <w:rPr>
          <w:rFonts w:ascii="宋体" w:hAnsi="宋体" w:eastAsia="宋体" w:cs="宋体"/>
          <w:color w:val="auto"/>
          <w:sz w:val="21"/>
          <w:szCs w:val="21"/>
          <w:highlight w:val="none"/>
        </w:rPr>
      </w:pPr>
      <w:r>
        <w:rPr>
          <w:rFonts w:ascii="宋体" w:hAnsi="宋体" w:eastAsia="宋体" w:cs="宋体"/>
          <w:color w:val="auto"/>
          <w:sz w:val="21"/>
          <w:szCs w:val="21"/>
          <w:highlight w:val="none"/>
        </w:rPr>
        <w:t>46 号）规定的中小企业扶持政策的，采购人、采购代理机构应当随成交结果公开成</w:t>
      </w:r>
      <w:r>
        <w:rPr>
          <w:rFonts w:ascii="宋体" w:hAnsi="宋体" w:eastAsia="宋体" w:cs="宋体"/>
          <w:color w:val="auto"/>
          <w:spacing w:val="-1"/>
          <w:sz w:val="21"/>
          <w:szCs w:val="21"/>
          <w:highlight w:val="none"/>
        </w:rPr>
        <w:t>交供应</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商的《中小企业声明函》。</w:t>
      </w:r>
    </w:p>
    <w:p w14:paraId="25680F4B">
      <w:pPr>
        <w:spacing w:before="157" w:line="289" w:lineRule="auto"/>
        <w:ind w:left="29" w:right="122" w:firstLine="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27.3 出现下列情形之一的，采购人或者采购代理机</w:t>
      </w:r>
      <w:r>
        <w:rPr>
          <w:rFonts w:ascii="宋体" w:hAnsi="宋体" w:eastAsia="宋体" w:cs="宋体"/>
          <w:color w:val="auto"/>
          <w:spacing w:val="-2"/>
          <w:sz w:val="21"/>
          <w:szCs w:val="21"/>
          <w:highlight w:val="none"/>
        </w:rPr>
        <w:t>构应当终止竞争性磋商采购活动，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发布项目终止公告并说明原因，重新开展采购活动：</w:t>
      </w:r>
    </w:p>
    <w:p w14:paraId="44EEC5A7">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（1）因情况变化，不再符合规定的竞争性磋</w:t>
      </w:r>
      <w:r>
        <w:rPr>
          <w:rFonts w:ascii="宋体" w:hAnsi="宋体" w:eastAsia="宋体" w:cs="宋体"/>
          <w:color w:val="auto"/>
          <w:spacing w:val="-1"/>
          <w:sz w:val="21"/>
          <w:szCs w:val="21"/>
          <w:highlight w:val="none"/>
        </w:rPr>
        <w:t>商采购方式适用情形的；</w:t>
      </w:r>
    </w:p>
    <w:p w14:paraId="4C664069">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（2）出现影响采购公正的违法、违规行为的；</w:t>
      </w:r>
    </w:p>
    <w:p w14:paraId="000316DC">
      <w:pPr>
        <w:spacing w:before="160" w:line="289" w:lineRule="auto"/>
        <w:ind w:left="27" w:right="74"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（3）除“第四章 评审程序、评审方法和评审标准”第 4.3 条</w:t>
      </w:r>
      <w:r>
        <w:rPr>
          <w:rFonts w:ascii="宋体" w:hAnsi="宋体" w:eastAsia="宋体" w:cs="宋体"/>
          <w:color w:val="auto"/>
          <w:spacing w:val="-1"/>
          <w:sz w:val="21"/>
          <w:szCs w:val="21"/>
          <w:highlight w:val="none"/>
        </w:rPr>
        <w:t>规定的情形外，在采购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过程中符合要求的供应商或者报价未超过采购预算的供应商不足</w:t>
      </w:r>
      <w:r>
        <w:rPr>
          <w:rFonts w:ascii="宋体" w:hAnsi="宋体" w:eastAsia="宋体" w:cs="宋体"/>
          <w:color w:val="auto"/>
          <w:spacing w:val="-32"/>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家的。</w:t>
      </w:r>
    </w:p>
    <w:p w14:paraId="69662945">
      <w:pPr>
        <w:spacing w:before="157" w:line="313" w:lineRule="auto"/>
        <w:ind w:left="25" w:right="77"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27.4 在采购活动中因重大变故，采购任务取消的，采购人或者采</w:t>
      </w:r>
      <w:r>
        <w:rPr>
          <w:rFonts w:ascii="宋体" w:hAnsi="宋体" w:eastAsia="宋体" w:cs="宋体"/>
          <w:color w:val="auto"/>
          <w:spacing w:val="-1"/>
          <w:sz w:val="21"/>
          <w:szCs w:val="21"/>
          <w:highlight w:val="none"/>
        </w:rPr>
        <w:t>购代理机构应当终止</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采购活动，通知所有参加采购活动的供应商，并将项目实施情况和采购任务取消原因报送</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本级财政部门。</w:t>
      </w:r>
    </w:p>
    <w:p w14:paraId="2012064F">
      <w:pPr>
        <w:spacing w:before="164" w:line="219" w:lineRule="auto"/>
        <w:ind w:left="511"/>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28.履约保证金</w:t>
      </w:r>
    </w:p>
    <w:p w14:paraId="532F8327">
      <w:pPr>
        <w:spacing w:before="178" w:line="289" w:lineRule="auto"/>
        <w:ind w:left="27"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28.1 履约保证金的金额、提交方式、退付的时间和条件详见 “供应商须知前附表”。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成交供应商未按规定提交履约保证金的，视为拒绝与采购人签订合同。</w:t>
      </w:r>
    </w:p>
    <w:p w14:paraId="60E10AED">
      <w:pPr>
        <w:spacing w:before="161" w:line="289" w:lineRule="auto"/>
        <w:ind w:left="24" w:right="17" w:firstLine="4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28.2</w:t>
      </w:r>
      <w:r>
        <w:rPr>
          <w:rFonts w:ascii="宋体" w:hAnsi="宋体" w:eastAsia="宋体" w:cs="宋体"/>
          <w:color w:val="auto"/>
          <w:spacing w:val="-44"/>
          <w:sz w:val="21"/>
          <w:szCs w:val="21"/>
          <w:highlight w:val="none"/>
        </w:rPr>
        <w:t xml:space="preserve"> </w:t>
      </w:r>
      <w:r>
        <w:rPr>
          <w:rFonts w:ascii="宋体" w:hAnsi="宋体" w:eastAsia="宋体" w:cs="宋体"/>
          <w:color w:val="auto"/>
          <w:spacing w:val="-3"/>
          <w:sz w:val="21"/>
          <w:szCs w:val="21"/>
          <w:highlight w:val="none"/>
        </w:rPr>
        <w:t>在履约保证金退还日期前，若成交供应商的开户名称、开户银行、帐号有变动的，</w:t>
      </w:r>
      <w:r>
        <w:rPr>
          <w:rFonts w:ascii="宋体" w:hAnsi="宋体" w:eastAsia="宋体" w:cs="宋体"/>
          <w:color w:val="auto"/>
          <w:sz w:val="21"/>
          <w:szCs w:val="21"/>
          <w:highlight w:val="none"/>
        </w:rPr>
        <w:t xml:space="preserve"> 请以书面形式通知履约保证金收取单位，否则由此产</w:t>
      </w:r>
      <w:r>
        <w:rPr>
          <w:rFonts w:ascii="宋体" w:hAnsi="宋体" w:eastAsia="宋体" w:cs="宋体"/>
          <w:color w:val="auto"/>
          <w:spacing w:val="-1"/>
          <w:sz w:val="21"/>
          <w:szCs w:val="21"/>
          <w:highlight w:val="none"/>
        </w:rPr>
        <w:t>生的后果由成交供应商自行承担。</w:t>
      </w:r>
    </w:p>
    <w:p w14:paraId="46FE1639">
      <w:pPr>
        <w:spacing w:before="162" w:line="220" w:lineRule="auto"/>
        <w:ind w:left="511"/>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29.签订合同</w:t>
      </w:r>
    </w:p>
    <w:p w14:paraId="06A09273">
      <w:pPr>
        <w:spacing w:before="177" w:line="350" w:lineRule="auto"/>
        <w:ind w:left="26" w:right="85"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29.1 签订电子采购合同：成交供应商领取电子成交通知书后，在规定的日期、时</w:t>
      </w:r>
      <w:r>
        <w:rPr>
          <w:rFonts w:ascii="宋体" w:hAnsi="宋体" w:eastAsia="宋体" w:cs="宋体"/>
          <w:color w:val="auto"/>
          <w:spacing w:val="-2"/>
          <w:sz w:val="21"/>
          <w:szCs w:val="21"/>
          <w:highlight w:val="none"/>
        </w:rPr>
        <w:t>间、</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地点，由法定代表人或其授权代表与采购人代表签订电子采购合同。如成交供应商为联合</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体的，由联合体成员各方法定代表人或其授权代表与采购人代表签订合同。</w:t>
      </w:r>
    </w:p>
    <w:p w14:paraId="53527B27">
      <w:pPr>
        <w:spacing w:before="31" w:line="345" w:lineRule="auto"/>
        <w:ind w:left="27" w:right="84" w:firstLine="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线下签订纸质合同：供应商领取成交通知书后，按“供应商须知前附表”规定向采购</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rPr>
        <w:t>人出示相关证明材料，经采购人核验合格后方可</w:t>
      </w:r>
      <w:r>
        <w:rPr>
          <w:rFonts w:ascii="宋体" w:hAnsi="宋体" w:eastAsia="宋体" w:cs="宋体"/>
          <w:color w:val="auto"/>
          <w:spacing w:val="-1"/>
          <w:sz w:val="21"/>
          <w:szCs w:val="21"/>
          <w:highlight w:val="none"/>
        </w:rPr>
        <w:t>签订合同。</w:t>
      </w:r>
    </w:p>
    <w:p w14:paraId="4D2C9ECB">
      <w:pPr>
        <w:spacing w:before="34" w:line="220" w:lineRule="auto"/>
        <w:ind w:left="45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29.2</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签订合同时间：按成交通知书规定的时间与采购人签订合同。</w:t>
      </w:r>
    </w:p>
    <w:p w14:paraId="19267A57">
      <w:pPr>
        <w:spacing w:before="156" w:line="325" w:lineRule="auto"/>
        <w:ind w:left="27" w:right="19"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29.3 成交供应商拒绝签订政府采购合同（包括但不限于放</w:t>
      </w:r>
      <w:r>
        <w:rPr>
          <w:rFonts w:ascii="宋体" w:hAnsi="宋体" w:eastAsia="宋体" w:cs="宋体"/>
          <w:color w:val="auto"/>
          <w:spacing w:val="-1"/>
          <w:sz w:val="21"/>
          <w:szCs w:val="21"/>
          <w:highlight w:val="none"/>
        </w:rPr>
        <w:t>弃成交、因不可抗力不能履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行合同而放弃签订合同</w:t>
      </w:r>
      <w:r>
        <w:rPr>
          <w:rFonts w:ascii="宋体" w:hAnsi="宋体" w:eastAsia="宋体" w:cs="宋体"/>
          <w:color w:val="auto"/>
          <w:spacing w:val="7"/>
          <w:sz w:val="21"/>
          <w:szCs w:val="21"/>
          <w:highlight w:val="none"/>
        </w:rPr>
        <w:t>），</w:t>
      </w:r>
      <w:r>
        <w:rPr>
          <w:rFonts w:ascii="宋体" w:hAnsi="宋体" w:eastAsia="宋体" w:cs="宋体"/>
          <w:color w:val="auto"/>
          <w:spacing w:val="2"/>
          <w:sz w:val="21"/>
          <w:szCs w:val="21"/>
          <w:highlight w:val="none"/>
        </w:rPr>
        <w:t>采购人可以按照评审报告推荐的成交候选人名单排序，确定下</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一候选人为成交供应商，也可以重新开展政府采购活动。如</w:t>
      </w:r>
      <w:r>
        <w:rPr>
          <w:rFonts w:ascii="宋体" w:hAnsi="宋体" w:eastAsia="宋体" w:cs="宋体"/>
          <w:color w:val="auto"/>
          <w:spacing w:val="-2"/>
          <w:sz w:val="21"/>
          <w:szCs w:val="21"/>
          <w:highlight w:val="none"/>
        </w:rPr>
        <w:t>采购人无正当理由拒签合同的，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给成交供应商造成损失的，成交供应商可追究采购人承担相应的法律责任。</w:t>
      </w:r>
    </w:p>
    <w:p w14:paraId="5F9EDA4A">
      <w:pPr>
        <w:spacing w:before="157"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29.4 政府采购合同是政府采购项目验收的依据，成交供应商和</w:t>
      </w:r>
      <w:r>
        <w:rPr>
          <w:rFonts w:ascii="宋体" w:hAnsi="宋体" w:eastAsia="宋体" w:cs="宋体"/>
          <w:color w:val="auto"/>
          <w:spacing w:val="-1"/>
          <w:sz w:val="21"/>
          <w:szCs w:val="21"/>
          <w:highlight w:val="none"/>
        </w:rPr>
        <w:t>采购人应当按照采购合</w:t>
      </w:r>
    </w:p>
    <w:p w14:paraId="37C50702">
      <w:pPr>
        <w:spacing w:line="220" w:lineRule="auto"/>
        <w:rPr>
          <w:rFonts w:ascii="宋体" w:hAnsi="宋体" w:eastAsia="宋体" w:cs="宋体"/>
          <w:color w:val="auto"/>
          <w:sz w:val="21"/>
          <w:szCs w:val="21"/>
          <w:highlight w:val="none"/>
        </w:rPr>
        <w:sectPr>
          <w:footerReference r:id="rId21" w:type="default"/>
          <w:pgSz w:w="11900" w:h="16832"/>
          <w:pgMar w:top="1427" w:right="1720" w:bottom="1220" w:left="1784" w:header="0" w:footer="1060" w:gutter="0"/>
          <w:pgNumType w:fmt="decimal"/>
          <w:cols w:space="720" w:num="1"/>
        </w:sectPr>
      </w:pPr>
    </w:p>
    <w:p w14:paraId="6D7FBBFB">
      <w:pPr>
        <w:spacing w:before="40" w:line="353" w:lineRule="auto"/>
        <w:ind w:left="26" w:right="21" w:firstLine="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同约定的各自的权利和义务全面履行合同。任何一方当事人在履行合</w:t>
      </w:r>
      <w:r>
        <w:rPr>
          <w:rFonts w:ascii="宋体" w:hAnsi="宋体" w:eastAsia="宋体" w:cs="宋体"/>
          <w:color w:val="auto"/>
          <w:spacing w:val="1"/>
          <w:sz w:val="21"/>
          <w:szCs w:val="21"/>
          <w:highlight w:val="none"/>
        </w:rPr>
        <w:t>同过程中均不得擅自</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变更、中止或终止合同。政府采购合同继续履行将损害国家利益和社会公共利益的，双方</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当事人应当变更、中止或终止合同。有过错的一方应当承担赔偿责任，双方都有过错的，</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各自承担相应的责任。</w:t>
      </w:r>
    </w:p>
    <w:p w14:paraId="210A8FA0">
      <w:pPr>
        <w:spacing w:before="28" w:line="313" w:lineRule="auto"/>
        <w:ind w:left="28" w:right="11"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29.5 采购人或成交供应商不得单方面向合同另一方提出任</w:t>
      </w:r>
      <w:r>
        <w:rPr>
          <w:rFonts w:ascii="宋体" w:hAnsi="宋体" w:eastAsia="宋体" w:cs="宋体"/>
          <w:color w:val="auto"/>
          <w:spacing w:val="-1"/>
          <w:sz w:val="21"/>
          <w:szCs w:val="21"/>
          <w:highlight w:val="none"/>
        </w:rPr>
        <w:t>何磋商文件没有约定的条件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或不合理的要求，作为签订合同的条件；也不得协商另行订立背离磋商文件和合同实质性</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内容的协议。</w:t>
      </w:r>
    </w:p>
    <w:p w14:paraId="47A435AF">
      <w:pPr>
        <w:spacing w:before="159" w:line="290" w:lineRule="auto"/>
        <w:ind w:left="26" w:right="20"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29.6 如签订合同并生效后，供应商无</w:t>
      </w:r>
      <w:r>
        <w:rPr>
          <w:rFonts w:ascii="宋体" w:hAnsi="宋体" w:eastAsia="宋体" w:cs="宋体"/>
          <w:color w:val="auto"/>
          <w:spacing w:val="-1"/>
          <w:sz w:val="21"/>
          <w:szCs w:val="21"/>
          <w:highlight w:val="none"/>
        </w:rPr>
        <w:t>故拒绝或延期，除按照合同条款处理外，将承担</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相应的法律责任。</w:t>
      </w:r>
    </w:p>
    <w:p w14:paraId="0337C900">
      <w:pPr>
        <w:spacing w:before="158" w:line="312" w:lineRule="auto"/>
        <w:ind w:left="24" w:right="21" w:firstLine="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29.7 政府采购合同履行中，采购人需追加与合同标的相同的货物、工程或者服务的，</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在不改变合同其他条款的前提下，可以与供应商协商签订补充合同，但所有补充合同的采</w:t>
      </w:r>
      <w:r>
        <w:rPr>
          <w:rFonts w:ascii="宋体" w:hAnsi="宋体" w:eastAsia="宋体" w:cs="宋体"/>
          <w:color w:val="auto"/>
          <w:spacing w:val="14"/>
          <w:sz w:val="21"/>
          <w:szCs w:val="21"/>
          <w:highlight w:val="none"/>
        </w:rPr>
        <w:t xml:space="preserve"> </w:t>
      </w:r>
      <w:r>
        <w:rPr>
          <w:rFonts w:ascii="宋体" w:hAnsi="宋体" w:eastAsia="宋体" w:cs="宋体"/>
          <w:color w:val="auto"/>
          <w:spacing w:val="-2"/>
          <w:sz w:val="21"/>
          <w:szCs w:val="21"/>
          <w:highlight w:val="none"/>
        </w:rPr>
        <w:t>购金额不得超过原合同采购金额的</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10%。</w:t>
      </w:r>
    </w:p>
    <w:p w14:paraId="36D7C642">
      <w:pPr>
        <w:spacing w:before="164" w:line="220"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30.政府采购合同公告</w:t>
      </w:r>
    </w:p>
    <w:p w14:paraId="4F1E50B9">
      <w:pPr>
        <w:spacing w:before="176" w:line="350" w:lineRule="auto"/>
        <w:ind w:left="27" w:right="10" w:firstLine="419"/>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根据《中华人民共和国政府采购法实施条例》第五十条规定，采购人应当自政府采购</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rPr>
        <w:t>合同签订之日起 2 个工作日内，将政府采购合同在省级以上人民政府财政部门</w:t>
      </w:r>
      <w:r>
        <w:rPr>
          <w:rFonts w:ascii="宋体" w:hAnsi="宋体" w:eastAsia="宋体" w:cs="宋体"/>
          <w:color w:val="auto"/>
          <w:spacing w:val="-1"/>
          <w:sz w:val="21"/>
          <w:szCs w:val="21"/>
          <w:highlight w:val="none"/>
        </w:rPr>
        <w:t>指定的媒体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上公告，但政府采购合同中涉及国家秘密、商业秘密的内容除外。</w:t>
      </w:r>
    </w:p>
    <w:p w14:paraId="51E5E9EC">
      <w:pPr>
        <w:spacing w:before="36" w:line="217"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31.</w:t>
      </w:r>
      <w:r>
        <w:rPr>
          <w:rFonts w:ascii="黑体" w:hAnsi="黑体" w:eastAsia="黑体" w:cs="黑体"/>
          <w:color w:val="auto"/>
          <w:spacing w:val="-3"/>
          <w:sz w:val="24"/>
          <w:szCs w:val="24"/>
          <w:highlight w:val="none"/>
        </w:rPr>
        <w:t xml:space="preserve"> </w:t>
      </w:r>
      <w:r>
        <w:rPr>
          <w:rFonts w:ascii="黑体" w:hAnsi="黑体" w:eastAsia="黑体" w:cs="黑体"/>
          <w:b/>
          <w:bCs/>
          <w:color w:val="auto"/>
          <w:spacing w:val="-3"/>
          <w:sz w:val="24"/>
          <w:szCs w:val="24"/>
          <w:highlight w:val="none"/>
        </w:rPr>
        <w:t>询问、质疑和投诉</w:t>
      </w:r>
    </w:p>
    <w:p w14:paraId="7AB95481">
      <w:pPr>
        <w:spacing w:before="181" w:line="313" w:lineRule="auto"/>
        <w:ind w:left="25" w:right="10"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31.1 供应商对政府采购活动事项有疑问的，可以向采购人、采购代</w:t>
      </w:r>
      <w:r>
        <w:rPr>
          <w:rFonts w:ascii="宋体" w:hAnsi="宋体" w:eastAsia="宋体" w:cs="宋体"/>
          <w:color w:val="auto"/>
          <w:spacing w:val="-1"/>
          <w:sz w:val="21"/>
          <w:szCs w:val="21"/>
          <w:highlight w:val="none"/>
        </w:rPr>
        <w:t>理机构提出询问，</w:t>
      </w:r>
      <w:r>
        <w:rPr>
          <w:rFonts w:ascii="宋体" w:hAnsi="宋体" w:eastAsia="宋体" w:cs="宋体"/>
          <w:color w:val="auto"/>
          <w:sz w:val="21"/>
          <w:szCs w:val="21"/>
          <w:highlight w:val="none"/>
        </w:rPr>
        <w:t xml:space="preserve"> 采购人或者采购代理机构应当在 3 个工作日内对供应商依法提出的询问作出答复，</w:t>
      </w:r>
      <w:r>
        <w:rPr>
          <w:rFonts w:ascii="宋体" w:hAnsi="宋体" w:eastAsia="宋体" w:cs="宋体"/>
          <w:color w:val="auto"/>
          <w:spacing w:val="-1"/>
          <w:sz w:val="21"/>
          <w:szCs w:val="21"/>
          <w:highlight w:val="none"/>
        </w:rPr>
        <w:t>但答复</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的内容不得涉及商业秘密。</w:t>
      </w:r>
    </w:p>
    <w:p w14:paraId="4077B512">
      <w:pPr>
        <w:spacing w:before="154" w:line="325" w:lineRule="auto"/>
        <w:ind w:left="25" w:right="10"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31.2 供应商认为磋商文件、采购过程或者成交结果使自己的合法</w:t>
      </w:r>
      <w:r>
        <w:rPr>
          <w:rFonts w:ascii="宋体" w:hAnsi="宋体" w:eastAsia="宋体" w:cs="宋体"/>
          <w:color w:val="auto"/>
          <w:spacing w:val="-1"/>
          <w:sz w:val="21"/>
          <w:szCs w:val="21"/>
          <w:highlight w:val="none"/>
        </w:rPr>
        <w:t>权益受到损害的，应</w:t>
      </w:r>
      <w:r>
        <w:rPr>
          <w:rFonts w:ascii="宋体" w:hAnsi="宋体" w:eastAsia="宋体" w:cs="宋体"/>
          <w:color w:val="auto"/>
          <w:sz w:val="21"/>
          <w:szCs w:val="21"/>
          <w:highlight w:val="none"/>
        </w:rPr>
        <w:t xml:space="preserve"> 当在知道或者应知其权益受到损害之日起 7 个工作日内，以书面形式向采购人、采</w:t>
      </w:r>
      <w:r>
        <w:rPr>
          <w:rFonts w:ascii="宋体" w:hAnsi="宋体" w:eastAsia="宋体" w:cs="宋体"/>
          <w:color w:val="auto"/>
          <w:spacing w:val="-1"/>
          <w:sz w:val="21"/>
          <w:szCs w:val="21"/>
          <w:highlight w:val="none"/>
        </w:rPr>
        <w:t>购代理</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机构提出质疑，接收质疑函的方式、联系部门、</w:t>
      </w:r>
      <w:r>
        <w:rPr>
          <w:rFonts w:ascii="宋体" w:hAnsi="宋体" w:eastAsia="宋体" w:cs="宋体"/>
          <w:color w:val="auto"/>
          <w:spacing w:val="2"/>
          <w:sz w:val="21"/>
          <w:szCs w:val="21"/>
          <w:highlight w:val="none"/>
        </w:rPr>
        <w:t>联系电话和通讯地址等信息详见“供应商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须知前附表”。具体质疑起算时间如下：</w:t>
      </w:r>
    </w:p>
    <w:p w14:paraId="5FAD4761">
      <w:pPr>
        <w:spacing w:before="158" w:line="290" w:lineRule="auto"/>
        <w:ind w:left="41" w:right="12" w:firstLine="411"/>
        <w:rPr>
          <w:rFonts w:ascii="宋体" w:hAnsi="宋体" w:eastAsia="宋体" w:cs="宋体"/>
          <w:color w:val="auto"/>
          <w:sz w:val="21"/>
          <w:szCs w:val="21"/>
          <w:highlight w:val="none"/>
        </w:rPr>
      </w:pPr>
      <w:r>
        <w:rPr>
          <w:rFonts w:ascii="宋体" w:hAnsi="宋体" w:eastAsia="宋体" w:cs="宋体"/>
          <w:color w:val="auto"/>
          <w:sz w:val="21"/>
          <w:szCs w:val="21"/>
          <w:highlight w:val="none"/>
        </w:rPr>
        <w:t>（1）对可以质疑的磋商文件提出质疑的，为获取磋商文件</w:t>
      </w:r>
      <w:r>
        <w:rPr>
          <w:rFonts w:ascii="宋体" w:hAnsi="宋体" w:eastAsia="宋体" w:cs="宋体"/>
          <w:color w:val="auto"/>
          <w:spacing w:val="-1"/>
          <w:sz w:val="21"/>
          <w:szCs w:val="21"/>
          <w:highlight w:val="none"/>
        </w:rPr>
        <w:t>之日或者竞争性磋商公告期</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限届满之日；</w:t>
      </w:r>
    </w:p>
    <w:p w14:paraId="4A5CECAA">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（2）对采购过程提出质疑的，为各采购程序环节结束之日；</w:t>
      </w:r>
    </w:p>
    <w:p w14:paraId="7C5789F8">
      <w:pPr>
        <w:spacing w:before="158"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（3）对成交结果提出质疑的，为成交结果公告期限届满之日。</w:t>
      </w:r>
    </w:p>
    <w:p w14:paraId="68BD2FF9">
      <w:pPr>
        <w:spacing w:before="163" w:line="312" w:lineRule="auto"/>
        <w:ind w:left="28" w:right="11"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31.3 供应商提出的询问或者质疑超出采购人对采购代理机构委托</w:t>
      </w:r>
      <w:r>
        <w:rPr>
          <w:rFonts w:ascii="宋体" w:hAnsi="宋体" w:eastAsia="宋体" w:cs="宋体"/>
          <w:color w:val="auto"/>
          <w:spacing w:val="-1"/>
          <w:sz w:val="21"/>
          <w:szCs w:val="21"/>
          <w:highlight w:val="none"/>
        </w:rPr>
        <w:t>授权范围的，采购代</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理机构应当告知供应商向采购人提出。政府采购评审专家应当配合采购人或者采购代理机</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构答复供应商的询问和质疑。</w:t>
      </w:r>
    </w:p>
    <w:p w14:paraId="591A2FB6">
      <w:pPr>
        <w:spacing w:before="159" w:line="290" w:lineRule="auto"/>
        <w:ind w:left="28" w:right="13"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31.4 供应商提出质疑应当提交质疑函和必要的证明材料，针</w:t>
      </w:r>
      <w:r>
        <w:rPr>
          <w:rFonts w:ascii="宋体" w:hAnsi="宋体" w:eastAsia="宋体" w:cs="宋体"/>
          <w:color w:val="auto"/>
          <w:spacing w:val="-1"/>
          <w:sz w:val="21"/>
          <w:szCs w:val="21"/>
          <w:highlight w:val="none"/>
        </w:rPr>
        <w:t>对同一采购程序环节的质</w:t>
      </w:r>
      <w:r>
        <w:rPr>
          <w:rFonts w:ascii="宋体" w:hAnsi="宋体" w:eastAsia="宋体" w:cs="宋体"/>
          <w:color w:val="auto"/>
          <w:sz w:val="21"/>
          <w:szCs w:val="21"/>
          <w:highlight w:val="none"/>
        </w:rPr>
        <w:t xml:space="preserve"> 疑必须在法定质疑期内一次性提出。质疑函应当包括下列内容（质疑</w:t>
      </w:r>
      <w:r>
        <w:rPr>
          <w:rFonts w:ascii="宋体" w:hAnsi="宋体" w:eastAsia="宋体" w:cs="宋体"/>
          <w:color w:val="auto"/>
          <w:spacing w:val="-1"/>
          <w:sz w:val="21"/>
          <w:szCs w:val="21"/>
          <w:highlight w:val="none"/>
        </w:rPr>
        <w:t>函格式后附</w:t>
      </w:r>
      <w:r>
        <w:rPr>
          <w:rFonts w:ascii="宋体" w:hAnsi="宋体" w:eastAsia="宋体" w:cs="宋体"/>
          <w:color w:val="auto"/>
          <w:sz w:val="21"/>
          <w:szCs w:val="21"/>
          <w:highlight w:val="none"/>
        </w:rPr>
        <w:t>）：</w:t>
      </w:r>
    </w:p>
    <w:p w14:paraId="5551EEE9">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（1）供应商的姓名或者名称、地址、邮编、联系人及联系电话；</w:t>
      </w:r>
    </w:p>
    <w:p w14:paraId="27E830A2">
      <w:pPr>
        <w:spacing w:line="220" w:lineRule="auto"/>
        <w:rPr>
          <w:rFonts w:ascii="宋体" w:hAnsi="宋体" w:eastAsia="宋体" w:cs="宋体"/>
          <w:color w:val="auto"/>
          <w:sz w:val="21"/>
          <w:szCs w:val="21"/>
          <w:highlight w:val="none"/>
        </w:rPr>
        <w:sectPr>
          <w:footerReference r:id="rId22" w:type="default"/>
          <w:pgSz w:w="11900" w:h="16832"/>
          <w:pgMar w:top="1427" w:right="1784" w:bottom="1220" w:left="1784" w:header="0" w:footer="1060" w:gutter="0"/>
          <w:pgNumType w:fmt="decimal"/>
          <w:cols w:space="720" w:num="1"/>
        </w:sectPr>
      </w:pPr>
    </w:p>
    <w:p w14:paraId="3C837433">
      <w:pPr>
        <w:spacing w:before="41" w:line="221"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（2）质疑项目的名称、编号；</w:t>
      </w:r>
    </w:p>
    <w:p w14:paraId="2EE1D139">
      <w:pPr>
        <w:spacing w:before="156" w:line="221"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（3）具体、明确的质疑事项和与质疑事项相关的请求；</w:t>
      </w:r>
    </w:p>
    <w:p w14:paraId="0A632679">
      <w:pPr>
        <w:spacing w:before="156"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（4）事实依据；</w:t>
      </w:r>
    </w:p>
    <w:p w14:paraId="6BF8FFC0">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（5）必要的法律依据；</w:t>
      </w:r>
    </w:p>
    <w:p w14:paraId="6DD4C684">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（6）提出质疑的日期。</w:t>
      </w:r>
    </w:p>
    <w:p w14:paraId="0EF111AD">
      <w:pPr>
        <w:spacing w:before="156" w:line="345" w:lineRule="auto"/>
        <w:ind w:left="25" w:right="619" w:firstLine="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供应商为自然人的，应当由本人签字；供应商为法人或者其他组织的，应当由法定代</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rPr>
        <w:t>表人、主要负责人，或者其委托代理人签字或者盖章，并加盖公</w:t>
      </w:r>
      <w:r>
        <w:rPr>
          <w:rFonts w:ascii="宋体" w:hAnsi="宋体" w:eastAsia="宋体" w:cs="宋体"/>
          <w:color w:val="auto"/>
          <w:spacing w:val="-1"/>
          <w:sz w:val="21"/>
          <w:szCs w:val="21"/>
          <w:highlight w:val="none"/>
        </w:rPr>
        <w:t>章。</w:t>
      </w:r>
    </w:p>
    <w:p w14:paraId="11E8F8DC">
      <w:pPr>
        <w:spacing w:before="35" w:line="350" w:lineRule="auto"/>
        <w:ind w:left="30" w:right="61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31.5 采购人、采购代理机构认为供应商质疑不成立，或者成立但</w:t>
      </w:r>
      <w:r>
        <w:rPr>
          <w:rFonts w:ascii="宋体" w:hAnsi="宋体" w:eastAsia="宋体" w:cs="宋体"/>
          <w:color w:val="auto"/>
          <w:spacing w:val="-1"/>
          <w:sz w:val="21"/>
          <w:szCs w:val="21"/>
          <w:highlight w:val="none"/>
        </w:rPr>
        <w:t>未对成交结果构成影</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响的，继续开展采购活动；认为供应商质疑成立且影响或者可能影响成交结果的，按照下</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列情况处理：</w:t>
      </w:r>
    </w:p>
    <w:p w14:paraId="3EE19AFD">
      <w:pPr>
        <w:spacing w:before="30" w:line="289" w:lineRule="auto"/>
        <w:ind w:left="26" w:right="615"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（一）对采购文件提出的质疑，依法通过澄清或者修改可以继续开展采购活动的，澄</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rPr>
        <w:t>清或者修改采购文件后继续开展采购活动；否则应当修改采购文件后重新开展采购活动。</w:t>
      </w:r>
    </w:p>
    <w:p w14:paraId="76586AA6">
      <w:pPr>
        <w:spacing w:before="162" w:line="312" w:lineRule="auto"/>
        <w:ind w:left="26" w:right="62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（二）对采购过程或者成交结果提出的质疑，合格供应商符合法定数量时，可以从合</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格的成交候选人中另行确定成交供应商的，应当依法另行确定成交供应商；否则应当重新</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开展采购活动。</w:t>
      </w:r>
    </w:p>
    <w:p w14:paraId="6D2EE96C">
      <w:pPr>
        <w:spacing w:before="156" w:line="346" w:lineRule="auto"/>
        <w:ind w:left="29" w:right="619" w:firstLine="4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质疑答复导致成交结果改变的，采购人或者采购代理机构应当将有关情况书面报告本</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级财政部门。</w:t>
      </w:r>
    </w:p>
    <w:p w14:paraId="58CC20E6">
      <w:pPr>
        <w:spacing w:before="35" w:line="349" w:lineRule="auto"/>
        <w:ind w:left="27" w:right="610" w:firstLine="423"/>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31.6 质疑供应商对采购人、采购代理机构的答复不满意，或者采</w:t>
      </w:r>
      <w:r>
        <w:rPr>
          <w:rFonts w:ascii="宋体" w:hAnsi="宋体" w:eastAsia="宋体" w:cs="宋体"/>
          <w:color w:val="auto"/>
          <w:spacing w:val="-1"/>
          <w:sz w:val="21"/>
          <w:szCs w:val="21"/>
          <w:highlight w:val="none"/>
        </w:rPr>
        <w:t>购人、采购代理机构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未在规定时间内作出答复的，可以在答复期满后</w:t>
      </w:r>
      <w:r>
        <w:rPr>
          <w:rFonts w:ascii="宋体" w:hAnsi="宋体" w:eastAsia="宋体" w:cs="宋体"/>
          <w:color w:val="auto"/>
          <w:spacing w:val="-26"/>
          <w:sz w:val="21"/>
          <w:szCs w:val="21"/>
          <w:highlight w:val="none"/>
        </w:rPr>
        <w:t xml:space="preserve"> </w:t>
      </w:r>
      <w:r>
        <w:rPr>
          <w:rFonts w:ascii="宋体" w:hAnsi="宋体" w:eastAsia="宋体" w:cs="宋体"/>
          <w:color w:val="auto"/>
          <w:spacing w:val="-1"/>
          <w:sz w:val="21"/>
          <w:szCs w:val="21"/>
          <w:highlight w:val="none"/>
        </w:rPr>
        <w:t>15</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个工作日内向《政府采购质疑和投诉办</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法》（财政部令第</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94</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号）第六条规定的财政部门提起投诉（投</w:t>
      </w:r>
      <w:r>
        <w:rPr>
          <w:rFonts w:ascii="宋体" w:hAnsi="宋体" w:eastAsia="宋体" w:cs="宋体"/>
          <w:color w:val="auto"/>
          <w:spacing w:val="-2"/>
          <w:sz w:val="21"/>
          <w:szCs w:val="21"/>
          <w:highlight w:val="none"/>
        </w:rPr>
        <w:t>诉书格式后附）。</w:t>
      </w:r>
    </w:p>
    <w:p w14:paraId="591A8A9C">
      <w:pPr>
        <w:spacing w:before="35" w:line="220"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32.其他内容</w:t>
      </w:r>
    </w:p>
    <w:p w14:paraId="0EEF9FE0">
      <w:pPr>
        <w:spacing w:before="177" w:line="290" w:lineRule="auto"/>
        <w:ind w:left="27" w:right="658"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32.1 代理服务收取标准及缴费账户详见“供应商</w:t>
      </w:r>
      <w:r>
        <w:rPr>
          <w:rFonts w:ascii="宋体" w:hAnsi="宋体" w:eastAsia="宋体" w:cs="宋体"/>
          <w:color w:val="auto"/>
          <w:spacing w:val="-2"/>
          <w:sz w:val="21"/>
          <w:szCs w:val="21"/>
          <w:highlight w:val="none"/>
        </w:rPr>
        <w:t>须知前附表”，供应商为联合体的，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可以由联合体中的一方或者多方共同交纳代理服务费。</w:t>
      </w:r>
    </w:p>
    <w:p w14:paraId="167A2C5C">
      <w:pPr>
        <w:spacing w:before="157" w:line="221" w:lineRule="auto"/>
        <w:ind w:left="4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32.2</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代理服务费收费计算标准：</w:t>
      </w:r>
    </w:p>
    <w:p w14:paraId="07A52D71">
      <w:pPr>
        <w:spacing w:line="128" w:lineRule="exact"/>
        <w:rPr>
          <w:color w:val="auto"/>
          <w:highlight w:val="none"/>
        </w:rPr>
      </w:pPr>
    </w:p>
    <w:tbl>
      <w:tblPr>
        <w:tblStyle w:val="16"/>
        <w:tblW w:w="8483" w:type="dxa"/>
        <w:tblInd w:w="4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4"/>
        <w:gridCol w:w="1657"/>
        <w:gridCol w:w="1687"/>
        <w:gridCol w:w="1665"/>
      </w:tblGrid>
      <w:tr w14:paraId="09DE1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3474" w:type="dxa"/>
            <w:tcBorders>
              <w:tl2br w:val="single" w:color="000000" w:sz="2" w:space="0"/>
            </w:tcBorders>
            <w:vAlign w:val="top"/>
          </w:tcPr>
          <w:p w14:paraId="2C8160EC">
            <w:pPr>
              <w:pStyle w:val="17"/>
              <w:spacing w:before="36" w:line="221" w:lineRule="auto"/>
              <w:ind w:left="1705"/>
              <w:rPr>
                <w:color w:val="auto"/>
                <w:highlight w:val="none"/>
              </w:rPr>
            </w:pPr>
            <w:r>
              <w:rPr>
                <w:color w:val="auto"/>
                <w:spacing w:val="-5"/>
                <w:highlight w:val="none"/>
              </w:rPr>
              <w:t>费率</w:t>
            </w:r>
          </w:p>
          <w:p w14:paraId="2FFE7332">
            <w:pPr>
              <w:pStyle w:val="17"/>
              <w:spacing w:before="156" w:line="221" w:lineRule="auto"/>
              <w:ind w:left="135"/>
              <w:rPr>
                <w:color w:val="auto"/>
                <w:highlight w:val="none"/>
              </w:rPr>
            </w:pPr>
            <w:r>
              <w:rPr>
                <w:color w:val="auto"/>
                <w:spacing w:val="-7"/>
                <w:highlight w:val="none"/>
              </w:rPr>
              <w:t>中标金额</w:t>
            </w:r>
          </w:p>
        </w:tc>
        <w:tc>
          <w:tcPr>
            <w:tcW w:w="1657" w:type="dxa"/>
            <w:vAlign w:val="top"/>
          </w:tcPr>
          <w:p w14:paraId="02A48707">
            <w:pPr>
              <w:pStyle w:val="17"/>
              <w:spacing w:before="240" w:line="220" w:lineRule="auto"/>
              <w:ind w:left="471"/>
              <w:rPr>
                <w:color w:val="auto"/>
                <w:highlight w:val="none"/>
              </w:rPr>
            </w:pPr>
            <w:r>
              <w:rPr>
                <w:color w:val="auto"/>
                <w:spacing w:val="-3"/>
                <w:highlight w:val="none"/>
              </w:rPr>
              <w:t>货物招标</w:t>
            </w:r>
          </w:p>
        </w:tc>
        <w:tc>
          <w:tcPr>
            <w:tcW w:w="1687" w:type="dxa"/>
            <w:vAlign w:val="top"/>
          </w:tcPr>
          <w:p w14:paraId="01BC1186">
            <w:pPr>
              <w:pStyle w:val="17"/>
              <w:spacing w:before="240" w:line="221" w:lineRule="auto"/>
              <w:ind w:left="431"/>
              <w:rPr>
                <w:color w:val="auto"/>
                <w:highlight w:val="none"/>
              </w:rPr>
            </w:pPr>
            <w:r>
              <w:rPr>
                <w:color w:val="auto"/>
                <w:spacing w:val="-2"/>
                <w:highlight w:val="none"/>
              </w:rPr>
              <w:t>服务招标</w:t>
            </w:r>
          </w:p>
        </w:tc>
        <w:tc>
          <w:tcPr>
            <w:tcW w:w="1665" w:type="dxa"/>
            <w:vAlign w:val="top"/>
          </w:tcPr>
          <w:p w14:paraId="78ABE428">
            <w:pPr>
              <w:pStyle w:val="17"/>
              <w:spacing w:before="241" w:line="221" w:lineRule="auto"/>
              <w:ind w:left="420"/>
              <w:rPr>
                <w:color w:val="auto"/>
                <w:highlight w:val="none"/>
              </w:rPr>
            </w:pPr>
            <w:r>
              <w:rPr>
                <w:color w:val="auto"/>
                <w:spacing w:val="-2"/>
                <w:highlight w:val="none"/>
              </w:rPr>
              <w:t>工程招标</w:t>
            </w:r>
          </w:p>
        </w:tc>
      </w:tr>
      <w:tr w14:paraId="7D078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474" w:type="dxa"/>
            <w:vAlign w:val="top"/>
          </w:tcPr>
          <w:p w14:paraId="19F3E2E6">
            <w:pPr>
              <w:pStyle w:val="17"/>
              <w:spacing w:before="30" w:line="221" w:lineRule="auto"/>
              <w:ind w:left="131"/>
              <w:rPr>
                <w:color w:val="auto"/>
                <w:highlight w:val="none"/>
              </w:rPr>
            </w:pPr>
            <w:r>
              <w:rPr>
                <w:color w:val="auto"/>
                <w:spacing w:val="-5"/>
                <w:highlight w:val="none"/>
              </w:rPr>
              <w:t>100</w:t>
            </w:r>
            <w:r>
              <w:rPr>
                <w:color w:val="auto"/>
                <w:spacing w:val="-39"/>
                <w:highlight w:val="none"/>
              </w:rPr>
              <w:t xml:space="preserve"> </w:t>
            </w:r>
            <w:r>
              <w:rPr>
                <w:color w:val="auto"/>
                <w:spacing w:val="-5"/>
                <w:highlight w:val="none"/>
              </w:rPr>
              <w:t>万元以下</w:t>
            </w:r>
          </w:p>
        </w:tc>
        <w:tc>
          <w:tcPr>
            <w:tcW w:w="1657" w:type="dxa"/>
            <w:vAlign w:val="top"/>
          </w:tcPr>
          <w:p w14:paraId="36C453E2">
            <w:pPr>
              <w:pStyle w:val="17"/>
              <w:spacing w:before="64" w:line="183" w:lineRule="auto"/>
              <w:ind w:left="340"/>
              <w:rPr>
                <w:color w:val="auto"/>
                <w:highlight w:val="none"/>
              </w:rPr>
            </w:pPr>
            <w:r>
              <w:rPr>
                <w:color w:val="auto"/>
                <w:spacing w:val="-4"/>
                <w:highlight w:val="none"/>
              </w:rPr>
              <w:t>1.5%</w:t>
            </w:r>
          </w:p>
        </w:tc>
        <w:tc>
          <w:tcPr>
            <w:tcW w:w="1687" w:type="dxa"/>
            <w:vAlign w:val="top"/>
          </w:tcPr>
          <w:p w14:paraId="16DBD437">
            <w:pPr>
              <w:pStyle w:val="17"/>
              <w:spacing w:before="64" w:line="183" w:lineRule="auto"/>
              <w:ind w:left="344"/>
              <w:rPr>
                <w:color w:val="auto"/>
                <w:highlight w:val="none"/>
              </w:rPr>
            </w:pPr>
            <w:r>
              <w:rPr>
                <w:color w:val="auto"/>
                <w:spacing w:val="-4"/>
                <w:highlight w:val="none"/>
              </w:rPr>
              <w:t>1.5%</w:t>
            </w:r>
          </w:p>
        </w:tc>
        <w:tc>
          <w:tcPr>
            <w:tcW w:w="1665" w:type="dxa"/>
            <w:vAlign w:val="top"/>
          </w:tcPr>
          <w:p w14:paraId="770B5C89">
            <w:pPr>
              <w:pStyle w:val="17"/>
              <w:spacing w:before="64" w:line="183" w:lineRule="auto"/>
              <w:ind w:left="344"/>
              <w:rPr>
                <w:color w:val="auto"/>
                <w:highlight w:val="none"/>
              </w:rPr>
            </w:pPr>
            <w:r>
              <w:rPr>
                <w:color w:val="auto"/>
                <w:spacing w:val="-5"/>
                <w:highlight w:val="none"/>
              </w:rPr>
              <w:t>1.0%</w:t>
            </w:r>
          </w:p>
        </w:tc>
      </w:tr>
      <w:tr w14:paraId="6C7CE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474" w:type="dxa"/>
            <w:vAlign w:val="top"/>
          </w:tcPr>
          <w:p w14:paraId="3E951687">
            <w:pPr>
              <w:pStyle w:val="17"/>
              <w:spacing w:before="33" w:line="221" w:lineRule="auto"/>
              <w:ind w:left="131"/>
              <w:rPr>
                <w:color w:val="auto"/>
                <w:highlight w:val="none"/>
              </w:rPr>
            </w:pPr>
            <w:r>
              <w:rPr>
                <w:color w:val="auto"/>
                <w:spacing w:val="-3"/>
                <w:highlight w:val="none"/>
              </w:rPr>
              <w:t>100～500</w:t>
            </w:r>
            <w:r>
              <w:rPr>
                <w:color w:val="auto"/>
                <w:spacing w:val="-42"/>
                <w:highlight w:val="none"/>
              </w:rPr>
              <w:t xml:space="preserve"> </w:t>
            </w:r>
            <w:r>
              <w:rPr>
                <w:color w:val="auto"/>
                <w:spacing w:val="-3"/>
                <w:highlight w:val="none"/>
              </w:rPr>
              <w:t>万元</w:t>
            </w:r>
          </w:p>
        </w:tc>
        <w:tc>
          <w:tcPr>
            <w:tcW w:w="1657" w:type="dxa"/>
            <w:vAlign w:val="top"/>
          </w:tcPr>
          <w:p w14:paraId="4000FB9B">
            <w:pPr>
              <w:pStyle w:val="17"/>
              <w:spacing w:before="67" w:line="183" w:lineRule="auto"/>
              <w:ind w:left="340"/>
              <w:rPr>
                <w:color w:val="auto"/>
                <w:highlight w:val="none"/>
              </w:rPr>
            </w:pPr>
            <w:r>
              <w:rPr>
                <w:color w:val="auto"/>
                <w:spacing w:val="-3"/>
                <w:highlight w:val="none"/>
              </w:rPr>
              <w:t>1.1%</w:t>
            </w:r>
          </w:p>
        </w:tc>
        <w:tc>
          <w:tcPr>
            <w:tcW w:w="1687" w:type="dxa"/>
            <w:vAlign w:val="top"/>
          </w:tcPr>
          <w:p w14:paraId="7511A25C">
            <w:pPr>
              <w:pStyle w:val="17"/>
              <w:spacing w:before="33"/>
              <w:ind w:left="330"/>
              <w:rPr>
                <w:color w:val="auto"/>
                <w:highlight w:val="none"/>
              </w:rPr>
            </w:pPr>
            <w:r>
              <w:rPr>
                <w:color w:val="auto"/>
                <w:spacing w:val="-2"/>
                <w:highlight w:val="none"/>
              </w:rPr>
              <w:t>0.8%</w:t>
            </w:r>
          </w:p>
        </w:tc>
        <w:tc>
          <w:tcPr>
            <w:tcW w:w="1665" w:type="dxa"/>
            <w:vAlign w:val="top"/>
          </w:tcPr>
          <w:p w14:paraId="32A74A71">
            <w:pPr>
              <w:pStyle w:val="17"/>
              <w:spacing w:before="68" w:line="182" w:lineRule="auto"/>
              <w:ind w:left="330"/>
              <w:rPr>
                <w:color w:val="auto"/>
                <w:highlight w:val="none"/>
              </w:rPr>
            </w:pPr>
            <w:r>
              <w:rPr>
                <w:color w:val="auto"/>
                <w:spacing w:val="-1"/>
                <w:highlight w:val="none"/>
              </w:rPr>
              <w:t>0.7%</w:t>
            </w:r>
          </w:p>
        </w:tc>
      </w:tr>
      <w:tr w14:paraId="3E65C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474" w:type="dxa"/>
            <w:vAlign w:val="top"/>
          </w:tcPr>
          <w:p w14:paraId="20EF97DB">
            <w:pPr>
              <w:pStyle w:val="17"/>
              <w:spacing w:before="32" w:line="221" w:lineRule="auto"/>
              <w:ind w:left="120"/>
              <w:rPr>
                <w:color w:val="auto"/>
                <w:highlight w:val="none"/>
              </w:rPr>
            </w:pPr>
            <w:r>
              <w:rPr>
                <w:color w:val="auto"/>
                <w:spacing w:val="-2"/>
                <w:highlight w:val="none"/>
              </w:rPr>
              <w:t>500～1000</w:t>
            </w:r>
            <w:r>
              <w:rPr>
                <w:color w:val="auto"/>
                <w:spacing w:val="-38"/>
                <w:highlight w:val="none"/>
              </w:rPr>
              <w:t xml:space="preserve"> </w:t>
            </w:r>
            <w:r>
              <w:rPr>
                <w:color w:val="auto"/>
                <w:spacing w:val="-2"/>
                <w:highlight w:val="none"/>
              </w:rPr>
              <w:t>万元</w:t>
            </w:r>
          </w:p>
        </w:tc>
        <w:tc>
          <w:tcPr>
            <w:tcW w:w="1657" w:type="dxa"/>
            <w:vAlign w:val="top"/>
          </w:tcPr>
          <w:p w14:paraId="453717A9">
            <w:pPr>
              <w:pStyle w:val="17"/>
              <w:spacing w:before="67" w:line="182" w:lineRule="auto"/>
              <w:ind w:left="326"/>
              <w:rPr>
                <w:color w:val="auto"/>
                <w:highlight w:val="none"/>
              </w:rPr>
            </w:pPr>
            <w:r>
              <w:rPr>
                <w:color w:val="auto"/>
                <w:spacing w:val="-1"/>
                <w:highlight w:val="none"/>
              </w:rPr>
              <w:t>0.8%</w:t>
            </w:r>
          </w:p>
        </w:tc>
        <w:tc>
          <w:tcPr>
            <w:tcW w:w="1687" w:type="dxa"/>
            <w:vAlign w:val="top"/>
          </w:tcPr>
          <w:p w14:paraId="79C8D0CC">
            <w:pPr>
              <w:pStyle w:val="17"/>
              <w:spacing w:before="67" w:line="182" w:lineRule="auto"/>
              <w:ind w:left="330"/>
              <w:rPr>
                <w:color w:val="auto"/>
                <w:highlight w:val="none"/>
              </w:rPr>
            </w:pPr>
            <w:r>
              <w:rPr>
                <w:color w:val="auto"/>
                <w:spacing w:val="-2"/>
                <w:highlight w:val="none"/>
              </w:rPr>
              <w:t>0.45%</w:t>
            </w:r>
          </w:p>
        </w:tc>
        <w:tc>
          <w:tcPr>
            <w:tcW w:w="1665" w:type="dxa"/>
            <w:vAlign w:val="top"/>
          </w:tcPr>
          <w:p w14:paraId="66A990BD">
            <w:pPr>
              <w:pStyle w:val="17"/>
              <w:spacing w:before="67" w:line="182" w:lineRule="auto"/>
              <w:ind w:left="330"/>
              <w:rPr>
                <w:color w:val="auto"/>
                <w:highlight w:val="none"/>
              </w:rPr>
            </w:pPr>
            <w:r>
              <w:rPr>
                <w:color w:val="auto"/>
                <w:spacing w:val="-1"/>
                <w:highlight w:val="none"/>
              </w:rPr>
              <w:t>0.55%</w:t>
            </w:r>
          </w:p>
        </w:tc>
      </w:tr>
      <w:tr w14:paraId="28826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474" w:type="dxa"/>
            <w:vAlign w:val="top"/>
          </w:tcPr>
          <w:p w14:paraId="6DA1A228">
            <w:pPr>
              <w:pStyle w:val="17"/>
              <w:spacing w:before="32" w:line="221" w:lineRule="auto"/>
              <w:ind w:left="131"/>
              <w:rPr>
                <w:color w:val="auto"/>
                <w:highlight w:val="none"/>
              </w:rPr>
            </w:pPr>
            <w:r>
              <w:rPr>
                <w:color w:val="auto"/>
                <w:spacing w:val="-3"/>
                <w:highlight w:val="none"/>
              </w:rPr>
              <w:t>1000～5000</w:t>
            </w:r>
            <w:r>
              <w:rPr>
                <w:color w:val="auto"/>
                <w:spacing w:val="-36"/>
                <w:highlight w:val="none"/>
              </w:rPr>
              <w:t xml:space="preserve"> </w:t>
            </w:r>
            <w:r>
              <w:rPr>
                <w:color w:val="auto"/>
                <w:spacing w:val="-3"/>
                <w:highlight w:val="none"/>
              </w:rPr>
              <w:t>万元</w:t>
            </w:r>
          </w:p>
        </w:tc>
        <w:tc>
          <w:tcPr>
            <w:tcW w:w="1657" w:type="dxa"/>
            <w:vAlign w:val="top"/>
          </w:tcPr>
          <w:p w14:paraId="116FCC65">
            <w:pPr>
              <w:pStyle w:val="17"/>
              <w:spacing w:before="67" w:line="182" w:lineRule="auto"/>
              <w:ind w:left="326"/>
              <w:rPr>
                <w:color w:val="auto"/>
                <w:highlight w:val="none"/>
              </w:rPr>
            </w:pPr>
            <w:r>
              <w:rPr>
                <w:color w:val="auto"/>
                <w:spacing w:val="-1"/>
                <w:highlight w:val="none"/>
              </w:rPr>
              <w:t>0.5%</w:t>
            </w:r>
          </w:p>
        </w:tc>
        <w:tc>
          <w:tcPr>
            <w:tcW w:w="1687" w:type="dxa"/>
            <w:vAlign w:val="top"/>
          </w:tcPr>
          <w:p w14:paraId="3E6B1251">
            <w:pPr>
              <w:pStyle w:val="17"/>
              <w:spacing w:before="67" w:line="182" w:lineRule="auto"/>
              <w:ind w:left="330"/>
              <w:rPr>
                <w:color w:val="auto"/>
                <w:highlight w:val="none"/>
              </w:rPr>
            </w:pPr>
            <w:r>
              <w:rPr>
                <w:color w:val="auto"/>
                <w:spacing w:val="-1"/>
                <w:highlight w:val="none"/>
              </w:rPr>
              <w:t>0.25%</w:t>
            </w:r>
          </w:p>
        </w:tc>
        <w:tc>
          <w:tcPr>
            <w:tcW w:w="1665" w:type="dxa"/>
            <w:vAlign w:val="top"/>
          </w:tcPr>
          <w:p w14:paraId="1DB743AE">
            <w:pPr>
              <w:pStyle w:val="17"/>
              <w:spacing w:before="67" w:line="182" w:lineRule="auto"/>
              <w:ind w:left="330"/>
              <w:rPr>
                <w:color w:val="auto"/>
                <w:highlight w:val="none"/>
              </w:rPr>
            </w:pPr>
            <w:r>
              <w:rPr>
                <w:color w:val="auto"/>
                <w:spacing w:val="-1"/>
                <w:highlight w:val="none"/>
              </w:rPr>
              <w:t>0.35%</w:t>
            </w:r>
          </w:p>
        </w:tc>
      </w:tr>
      <w:tr w14:paraId="529D5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474" w:type="dxa"/>
            <w:vAlign w:val="top"/>
          </w:tcPr>
          <w:p w14:paraId="65BBDFC1">
            <w:pPr>
              <w:pStyle w:val="17"/>
              <w:spacing w:before="33" w:line="221" w:lineRule="auto"/>
              <w:ind w:left="120"/>
              <w:rPr>
                <w:color w:val="auto"/>
                <w:highlight w:val="none"/>
              </w:rPr>
            </w:pPr>
            <w:r>
              <w:rPr>
                <w:color w:val="auto"/>
                <w:spacing w:val="-3"/>
                <w:highlight w:val="none"/>
              </w:rPr>
              <w:t>5000</w:t>
            </w:r>
            <w:r>
              <w:rPr>
                <w:color w:val="auto"/>
                <w:spacing w:val="-38"/>
                <w:highlight w:val="none"/>
              </w:rPr>
              <w:t xml:space="preserve"> </w:t>
            </w:r>
            <w:r>
              <w:rPr>
                <w:color w:val="auto"/>
                <w:spacing w:val="-3"/>
                <w:highlight w:val="none"/>
              </w:rPr>
              <w:t>万元～1</w:t>
            </w:r>
            <w:r>
              <w:rPr>
                <w:color w:val="auto"/>
                <w:spacing w:val="-43"/>
                <w:highlight w:val="none"/>
              </w:rPr>
              <w:t xml:space="preserve"> </w:t>
            </w:r>
            <w:r>
              <w:rPr>
                <w:color w:val="auto"/>
                <w:spacing w:val="-3"/>
                <w:highlight w:val="none"/>
              </w:rPr>
              <w:t>亿元</w:t>
            </w:r>
          </w:p>
        </w:tc>
        <w:tc>
          <w:tcPr>
            <w:tcW w:w="1657" w:type="dxa"/>
            <w:vAlign w:val="top"/>
          </w:tcPr>
          <w:p w14:paraId="50DD5C6B">
            <w:pPr>
              <w:pStyle w:val="17"/>
              <w:spacing w:before="68" w:line="182" w:lineRule="auto"/>
              <w:ind w:left="326"/>
              <w:rPr>
                <w:color w:val="auto"/>
                <w:highlight w:val="none"/>
              </w:rPr>
            </w:pPr>
            <w:r>
              <w:rPr>
                <w:color w:val="auto"/>
                <w:spacing w:val="-1"/>
                <w:highlight w:val="none"/>
              </w:rPr>
              <w:t>0.25%</w:t>
            </w:r>
          </w:p>
        </w:tc>
        <w:tc>
          <w:tcPr>
            <w:tcW w:w="1687" w:type="dxa"/>
            <w:vAlign w:val="top"/>
          </w:tcPr>
          <w:p w14:paraId="4F888450">
            <w:pPr>
              <w:pStyle w:val="17"/>
              <w:spacing w:before="67" w:line="183" w:lineRule="auto"/>
              <w:ind w:left="330"/>
              <w:rPr>
                <w:color w:val="auto"/>
                <w:highlight w:val="none"/>
              </w:rPr>
            </w:pPr>
            <w:r>
              <w:rPr>
                <w:color w:val="auto"/>
                <w:highlight w:val="none"/>
              </w:rPr>
              <w:t>0.1%</w:t>
            </w:r>
          </w:p>
        </w:tc>
        <w:tc>
          <w:tcPr>
            <w:tcW w:w="1665" w:type="dxa"/>
            <w:vAlign w:val="top"/>
          </w:tcPr>
          <w:p w14:paraId="2CDABC58">
            <w:pPr>
              <w:pStyle w:val="17"/>
              <w:spacing w:before="68" w:line="182" w:lineRule="auto"/>
              <w:ind w:left="330"/>
              <w:rPr>
                <w:color w:val="auto"/>
                <w:highlight w:val="none"/>
              </w:rPr>
            </w:pPr>
            <w:r>
              <w:rPr>
                <w:color w:val="auto"/>
                <w:spacing w:val="-1"/>
                <w:highlight w:val="none"/>
              </w:rPr>
              <w:t>0.2%</w:t>
            </w:r>
          </w:p>
        </w:tc>
      </w:tr>
      <w:tr w14:paraId="36089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474" w:type="dxa"/>
            <w:vAlign w:val="top"/>
          </w:tcPr>
          <w:p w14:paraId="31168043">
            <w:pPr>
              <w:pStyle w:val="17"/>
              <w:spacing w:before="34" w:line="221" w:lineRule="auto"/>
              <w:ind w:left="131"/>
              <w:rPr>
                <w:color w:val="auto"/>
                <w:highlight w:val="none"/>
              </w:rPr>
            </w:pPr>
            <w:r>
              <w:rPr>
                <w:color w:val="auto"/>
                <w:spacing w:val="-5"/>
                <w:highlight w:val="none"/>
              </w:rPr>
              <w:t>1～5</w:t>
            </w:r>
            <w:r>
              <w:rPr>
                <w:color w:val="auto"/>
                <w:spacing w:val="-46"/>
                <w:highlight w:val="none"/>
              </w:rPr>
              <w:t xml:space="preserve"> </w:t>
            </w:r>
            <w:r>
              <w:rPr>
                <w:color w:val="auto"/>
                <w:spacing w:val="-5"/>
                <w:highlight w:val="none"/>
              </w:rPr>
              <w:t>亿元</w:t>
            </w:r>
          </w:p>
        </w:tc>
        <w:tc>
          <w:tcPr>
            <w:tcW w:w="1657" w:type="dxa"/>
            <w:vAlign w:val="top"/>
          </w:tcPr>
          <w:p w14:paraId="021351CA">
            <w:pPr>
              <w:pStyle w:val="17"/>
              <w:spacing w:before="69" w:line="182" w:lineRule="auto"/>
              <w:ind w:left="326"/>
              <w:rPr>
                <w:color w:val="auto"/>
                <w:highlight w:val="none"/>
              </w:rPr>
            </w:pPr>
            <w:r>
              <w:rPr>
                <w:color w:val="auto"/>
                <w:spacing w:val="-1"/>
                <w:highlight w:val="none"/>
              </w:rPr>
              <w:t>0.05%</w:t>
            </w:r>
          </w:p>
        </w:tc>
        <w:tc>
          <w:tcPr>
            <w:tcW w:w="1687" w:type="dxa"/>
            <w:vAlign w:val="top"/>
          </w:tcPr>
          <w:p w14:paraId="198B2826">
            <w:pPr>
              <w:pStyle w:val="17"/>
              <w:spacing w:before="69" w:line="182" w:lineRule="auto"/>
              <w:ind w:left="330"/>
              <w:rPr>
                <w:color w:val="auto"/>
                <w:highlight w:val="none"/>
              </w:rPr>
            </w:pPr>
            <w:r>
              <w:rPr>
                <w:color w:val="auto"/>
                <w:spacing w:val="-2"/>
                <w:highlight w:val="none"/>
              </w:rPr>
              <w:t>0.05%</w:t>
            </w:r>
          </w:p>
        </w:tc>
        <w:tc>
          <w:tcPr>
            <w:tcW w:w="1665" w:type="dxa"/>
            <w:vAlign w:val="top"/>
          </w:tcPr>
          <w:p w14:paraId="5EAD8C74">
            <w:pPr>
              <w:pStyle w:val="17"/>
              <w:spacing w:before="69" w:line="182" w:lineRule="auto"/>
              <w:ind w:left="330"/>
              <w:rPr>
                <w:color w:val="auto"/>
                <w:highlight w:val="none"/>
              </w:rPr>
            </w:pPr>
            <w:r>
              <w:rPr>
                <w:color w:val="auto"/>
                <w:spacing w:val="-2"/>
                <w:highlight w:val="none"/>
              </w:rPr>
              <w:t>0.05%</w:t>
            </w:r>
          </w:p>
        </w:tc>
      </w:tr>
      <w:tr w14:paraId="0BD02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3474" w:type="dxa"/>
            <w:vAlign w:val="top"/>
          </w:tcPr>
          <w:p w14:paraId="4DE02EFD">
            <w:pPr>
              <w:pStyle w:val="17"/>
              <w:spacing w:before="36" w:line="221" w:lineRule="auto"/>
              <w:ind w:left="120"/>
              <w:rPr>
                <w:color w:val="auto"/>
                <w:highlight w:val="none"/>
              </w:rPr>
            </w:pPr>
            <w:r>
              <w:rPr>
                <w:color w:val="auto"/>
                <w:spacing w:val="-3"/>
                <w:highlight w:val="none"/>
              </w:rPr>
              <w:t>5～10</w:t>
            </w:r>
            <w:r>
              <w:rPr>
                <w:color w:val="auto"/>
                <w:spacing w:val="-42"/>
                <w:highlight w:val="none"/>
              </w:rPr>
              <w:t xml:space="preserve"> </w:t>
            </w:r>
            <w:r>
              <w:rPr>
                <w:color w:val="auto"/>
                <w:spacing w:val="-3"/>
                <w:highlight w:val="none"/>
              </w:rPr>
              <w:t>亿元</w:t>
            </w:r>
          </w:p>
        </w:tc>
        <w:tc>
          <w:tcPr>
            <w:tcW w:w="1657" w:type="dxa"/>
            <w:vAlign w:val="top"/>
          </w:tcPr>
          <w:p w14:paraId="2850BEBE">
            <w:pPr>
              <w:pStyle w:val="17"/>
              <w:spacing w:before="71" w:line="182" w:lineRule="auto"/>
              <w:ind w:left="220"/>
              <w:rPr>
                <w:color w:val="auto"/>
                <w:highlight w:val="none"/>
              </w:rPr>
            </w:pPr>
            <w:r>
              <w:rPr>
                <w:color w:val="auto"/>
                <w:spacing w:val="-1"/>
                <w:highlight w:val="none"/>
              </w:rPr>
              <w:t>0.035%</w:t>
            </w:r>
          </w:p>
        </w:tc>
        <w:tc>
          <w:tcPr>
            <w:tcW w:w="1687" w:type="dxa"/>
            <w:vAlign w:val="top"/>
          </w:tcPr>
          <w:p w14:paraId="5A2ADDEE">
            <w:pPr>
              <w:pStyle w:val="17"/>
              <w:spacing w:before="71" w:line="182" w:lineRule="auto"/>
              <w:ind w:left="330"/>
              <w:rPr>
                <w:color w:val="auto"/>
                <w:highlight w:val="none"/>
              </w:rPr>
            </w:pPr>
            <w:r>
              <w:rPr>
                <w:color w:val="auto"/>
                <w:spacing w:val="-2"/>
                <w:highlight w:val="none"/>
              </w:rPr>
              <w:t>0.035%</w:t>
            </w:r>
          </w:p>
        </w:tc>
        <w:tc>
          <w:tcPr>
            <w:tcW w:w="1665" w:type="dxa"/>
            <w:vAlign w:val="top"/>
          </w:tcPr>
          <w:p w14:paraId="7C6E7C47">
            <w:pPr>
              <w:pStyle w:val="17"/>
              <w:spacing w:before="71" w:line="182" w:lineRule="auto"/>
              <w:ind w:left="225"/>
              <w:rPr>
                <w:color w:val="auto"/>
                <w:highlight w:val="none"/>
              </w:rPr>
            </w:pPr>
            <w:r>
              <w:rPr>
                <w:color w:val="auto"/>
                <w:spacing w:val="-1"/>
                <w:highlight w:val="none"/>
              </w:rPr>
              <w:t>0.035%</w:t>
            </w:r>
          </w:p>
        </w:tc>
      </w:tr>
    </w:tbl>
    <w:p w14:paraId="0D7979E2">
      <w:pPr>
        <w:rPr>
          <w:rFonts w:ascii="Arial"/>
          <w:color w:val="auto"/>
          <w:sz w:val="21"/>
          <w:highlight w:val="none"/>
        </w:rPr>
      </w:pPr>
    </w:p>
    <w:p w14:paraId="2A77040D">
      <w:pPr>
        <w:rPr>
          <w:rFonts w:ascii="Arial" w:hAnsi="Arial" w:eastAsia="Arial" w:cs="Arial"/>
          <w:color w:val="auto"/>
          <w:sz w:val="21"/>
          <w:szCs w:val="21"/>
          <w:highlight w:val="none"/>
        </w:rPr>
        <w:sectPr>
          <w:footerReference r:id="rId23" w:type="default"/>
          <w:pgSz w:w="11900" w:h="16832"/>
          <w:pgMar w:top="1427" w:right="1185" w:bottom="1220" w:left="1784" w:header="0" w:footer="1060" w:gutter="0"/>
          <w:pgNumType w:fmt="decimal"/>
          <w:cols w:space="720" w:num="1"/>
        </w:sectPr>
      </w:pPr>
    </w:p>
    <w:p w14:paraId="0F5E6993">
      <w:pPr>
        <w:spacing w:line="97" w:lineRule="auto"/>
        <w:rPr>
          <w:rFonts w:ascii="Arial"/>
          <w:color w:val="auto"/>
          <w:sz w:val="2"/>
          <w:highlight w:val="none"/>
        </w:rPr>
      </w:pPr>
    </w:p>
    <w:tbl>
      <w:tblPr>
        <w:tblStyle w:val="16"/>
        <w:tblW w:w="8483" w:type="dxa"/>
        <w:tblInd w:w="4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4"/>
        <w:gridCol w:w="1657"/>
        <w:gridCol w:w="1687"/>
        <w:gridCol w:w="1665"/>
      </w:tblGrid>
      <w:tr w14:paraId="7585D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474" w:type="dxa"/>
            <w:vAlign w:val="top"/>
          </w:tcPr>
          <w:p w14:paraId="30F40495">
            <w:pPr>
              <w:pStyle w:val="17"/>
              <w:spacing w:before="35" w:line="221" w:lineRule="auto"/>
              <w:ind w:left="131"/>
              <w:rPr>
                <w:color w:val="auto"/>
                <w:highlight w:val="none"/>
              </w:rPr>
            </w:pPr>
            <w:r>
              <w:rPr>
                <w:color w:val="auto"/>
                <w:spacing w:val="-4"/>
                <w:highlight w:val="none"/>
              </w:rPr>
              <w:t>10～50</w:t>
            </w:r>
            <w:r>
              <w:rPr>
                <w:color w:val="auto"/>
                <w:spacing w:val="-44"/>
                <w:highlight w:val="none"/>
              </w:rPr>
              <w:t xml:space="preserve"> </w:t>
            </w:r>
            <w:r>
              <w:rPr>
                <w:color w:val="auto"/>
                <w:spacing w:val="-4"/>
                <w:highlight w:val="none"/>
              </w:rPr>
              <w:t>亿元</w:t>
            </w:r>
          </w:p>
        </w:tc>
        <w:tc>
          <w:tcPr>
            <w:tcW w:w="1657" w:type="dxa"/>
            <w:vAlign w:val="top"/>
          </w:tcPr>
          <w:p w14:paraId="46DC5B65">
            <w:pPr>
              <w:pStyle w:val="17"/>
              <w:spacing w:before="70" w:line="182" w:lineRule="auto"/>
              <w:ind w:left="220"/>
              <w:rPr>
                <w:color w:val="auto"/>
                <w:highlight w:val="none"/>
              </w:rPr>
            </w:pPr>
            <w:r>
              <w:rPr>
                <w:color w:val="auto"/>
                <w:spacing w:val="-1"/>
                <w:highlight w:val="none"/>
              </w:rPr>
              <w:t>0.008%</w:t>
            </w:r>
          </w:p>
        </w:tc>
        <w:tc>
          <w:tcPr>
            <w:tcW w:w="1687" w:type="dxa"/>
            <w:vAlign w:val="top"/>
          </w:tcPr>
          <w:p w14:paraId="3F1A8197">
            <w:pPr>
              <w:pStyle w:val="17"/>
              <w:spacing w:before="70" w:line="182" w:lineRule="auto"/>
              <w:ind w:left="330"/>
              <w:rPr>
                <w:color w:val="auto"/>
                <w:highlight w:val="none"/>
              </w:rPr>
            </w:pPr>
            <w:r>
              <w:rPr>
                <w:color w:val="auto"/>
                <w:spacing w:val="-1"/>
                <w:highlight w:val="none"/>
              </w:rPr>
              <w:t>0.008%</w:t>
            </w:r>
          </w:p>
        </w:tc>
        <w:tc>
          <w:tcPr>
            <w:tcW w:w="1665" w:type="dxa"/>
            <w:vAlign w:val="top"/>
          </w:tcPr>
          <w:p w14:paraId="2D074E2A">
            <w:pPr>
              <w:pStyle w:val="17"/>
              <w:spacing w:before="70" w:line="182" w:lineRule="auto"/>
              <w:ind w:left="225"/>
              <w:rPr>
                <w:color w:val="auto"/>
                <w:highlight w:val="none"/>
              </w:rPr>
            </w:pPr>
            <w:r>
              <w:rPr>
                <w:color w:val="auto"/>
                <w:spacing w:val="-1"/>
                <w:highlight w:val="none"/>
              </w:rPr>
              <w:t>0.008%</w:t>
            </w:r>
          </w:p>
        </w:tc>
      </w:tr>
      <w:tr w14:paraId="6CA2A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474" w:type="dxa"/>
            <w:vAlign w:val="top"/>
          </w:tcPr>
          <w:p w14:paraId="194CC7B7">
            <w:pPr>
              <w:pStyle w:val="17"/>
              <w:spacing w:before="34" w:line="221" w:lineRule="auto"/>
              <w:ind w:left="120"/>
              <w:rPr>
                <w:color w:val="auto"/>
                <w:highlight w:val="none"/>
              </w:rPr>
            </w:pPr>
            <w:r>
              <w:rPr>
                <w:color w:val="auto"/>
                <w:spacing w:val="-2"/>
                <w:highlight w:val="none"/>
              </w:rPr>
              <w:t>50～100</w:t>
            </w:r>
            <w:r>
              <w:rPr>
                <w:color w:val="auto"/>
                <w:spacing w:val="-44"/>
                <w:highlight w:val="none"/>
              </w:rPr>
              <w:t xml:space="preserve"> </w:t>
            </w:r>
            <w:r>
              <w:rPr>
                <w:color w:val="auto"/>
                <w:spacing w:val="-2"/>
                <w:highlight w:val="none"/>
              </w:rPr>
              <w:t>亿元</w:t>
            </w:r>
          </w:p>
        </w:tc>
        <w:tc>
          <w:tcPr>
            <w:tcW w:w="1657" w:type="dxa"/>
            <w:vAlign w:val="top"/>
          </w:tcPr>
          <w:p w14:paraId="5147AB13">
            <w:pPr>
              <w:pStyle w:val="17"/>
              <w:spacing w:before="69" w:line="182" w:lineRule="auto"/>
              <w:ind w:left="220"/>
              <w:rPr>
                <w:color w:val="auto"/>
                <w:highlight w:val="none"/>
              </w:rPr>
            </w:pPr>
            <w:r>
              <w:rPr>
                <w:color w:val="auto"/>
                <w:spacing w:val="-2"/>
                <w:highlight w:val="none"/>
              </w:rPr>
              <w:t>0.006%</w:t>
            </w:r>
          </w:p>
        </w:tc>
        <w:tc>
          <w:tcPr>
            <w:tcW w:w="1687" w:type="dxa"/>
            <w:vAlign w:val="top"/>
          </w:tcPr>
          <w:p w14:paraId="035249BD">
            <w:pPr>
              <w:pStyle w:val="17"/>
              <w:spacing w:before="69" w:line="182" w:lineRule="auto"/>
              <w:ind w:left="330"/>
              <w:rPr>
                <w:color w:val="auto"/>
                <w:highlight w:val="none"/>
              </w:rPr>
            </w:pPr>
            <w:r>
              <w:rPr>
                <w:color w:val="auto"/>
                <w:spacing w:val="-1"/>
                <w:highlight w:val="none"/>
              </w:rPr>
              <w:t>0.006%</w:t>
            </w:r>
          </w:p>
        </w:tc>
        <w:tc>
          <w:tcPr>
            <w:tcW w:w="1665" w:type="dxa"/>
            <w:vAlign w:val="top"/>
          </w:tcPr>
          <w:p w14:paraId="69E3DC52">
            <w:pPr>
              <w:pStyle w:val="17"/>
              <w:spacing w:before="69" w:line="182" w:lineRule="auto"/>
              <w:ind w:left="225"/>
              <w:rPr>
                <w:color w:val="auto"/>
                <w:highlight w:val="none"/>
              </w:rPr>
            </w:pPr>
            <w:r>
              <w:rPr>
                <w:color w:val="auto"/>
                <w:spacing w:val="-1"/>
                <w:highlight w:val="none"/>
              </w:rPr>
              <w:t>0.006%</w:t>
            </w:r>
          </w:p>
        </w:tc>
      </w:tr>
      <w:tr w14:paraId="417D8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474" w:type="dxa"/>
            <w:vAlign w:val="top"/>
          </w:tcPr>
          <w:p w14:paraId="6D4775B4">
            <w:pPr>
              <w:pStyle w:val="17"/>
              <w:spacing w:before="33" w:line="222" w:lineRule="auto"/>
              <w:ind w:left="131"/>
              <w:rPr>
                <w:color w:val="auto"/>
                <w:highlight w:val="none"/>
              </w:rPr>
            </w:pPr>
            <w:r>
              <w:rPr>
                <w:color w:val="auto"/>
                <w:spacing w:val="-5"/>
                <w:highlight w:val="none"/>
              </w:rPr>
              <w:t>100</w:t>
            </w:r>
            <w:r>
              <w:rPr>
                <w:color w:val="auto"/>
                <w:spacing w:val="-44"/>
                <w:highlight w:val="none"/>
              </w:rPr>
              <w:t xml:space="preserve"> </w:t>
            </w:r>
            <w:r>
              <w:rPr>
                <w:color w:val="auto"/>
                <w:spacing w:val="-5"/>
                <w:highlight w:val="none"/>
              </w:rPr>
              <w:t>亿以上</w:t>
            </w:r>
          </w:p>
        </w:tc>
        <w:tc>
          <w:tcPr>
            <w:tcW w:w="1657" w:type="dxa"/>
            <w:vAlign w:val="top"/>
          </w:tcPr>
          <w:p w14:paraId="711256B4">
            <w:pPr>
              <w:pStyle w:val="17"/>
              <w:spacing w:before="68" w:line="182" w:lineRule="auto"/>
              <w:ind w:left="220"/>
              <w:rPr>
                <w:color w:val="auto"/>
                <w:highlight w:val="none"/>
              </w:rPr>
            </w:pPr>
            <w:r>
              <w:rPr>
                <w:color w:val="auto"/>
                <w:spacing w:val="-2"/>
                <w:highlight w:val="none"/>
              </w:rPr>
              <w:t>0.004%</w:t>
            </w:r>
          </w:p>
        </w:tc>
        <w:tc>
          <w:tcPr>
            <w:tcW w:w="1687" w:type="dxa"/>
            <w:vAlign w:val="top"/>
          </w:tcPr>
          <w:p w14:paraId="5BA4CF1F">
            <w:pPr>
              <w:pStyle w:val="17"/>
              <w:spacing w:before="68" w:line="182" w:lineRule="auto"/>
              <w:ind w:left="330"/>
              <w:rPr>
                <w:color w:val="auto"/>
                <w:highlight w:val="none"/>
              </w:rPr>
            </w:pPr>
            <w:r>
              <w:rPr>
                <w:color w:val="auto"/>
                <w:spacing w:val="-1"/>
                <w:highlight w:val="none"/>
              </w:rPr>
              <w:t>0.004%</w:t>
            </w:r>
          </w:p>
        </w:tc>
        <w:tc>
          <w:tcPr>
            <w:tcW w:w="1665" w:type="dxa"/>
            <w:vAlign w:val="top"/>
          </w:tcPr>
          <w:p w14:paraId="4471AD1A">
            <w:pPr>
              <w:pStyle w:val="17"/>
              <w:spacing w:before="68" w:line="182" w:lineRule="auto"/>
              <w:ind w:left="225"/>
              <w:rPr>
                <w:color w:val="auto"/>
                <w:highlight w:val="none"/>
              </w:rPr>
            </w:pPr>
            <w:r>
              <w:rPr>
                <w:color w:val="auto"/>
                <w:spacing w:val="-1"/>
                <w:highlight w:val="none"/>
              </w:rPr>
              <w:t>0.004%</w:t>
            </w:r>
          </w:p>
        </w:tc>
      </w:tr>
    </w:tbl>
    <w:p w14:paraId="7C13F125">
      <w:pPr>
        <w:spacing w:before="29" w:line="225" w:lineRule="auto"/>
        <w:ind w:left="446"/>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注：</w:t>
      </w:r>
    </w:p>
    <w:p w14:paraId="471A1094">
      <w:pPr>
        <w:spacing w:before="154"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（1）按本表费率计算的收费为采购代理的收费基准价格；</w:t>
      </w:r>
    </w:p>
    <w:p w14:paraId="77CDEE12">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（2）采购代理收费按差额定率累进法计算。</w:t>
      </w:r>
    </w:p>
    <w:p w14:paraId="2B927555">
      <w:pPr>
        <w:spacing w:before="157" w:line="346" w:lineRule="auto"/>
        <w:ind w:left="32" w:right="612" w:firstLine="413"/>
        <w:rPr>
          <w:rFonts w:ascii="宋体" w:hAnsi="宋体" w:eastAsia="宋体" w:cs="宋体"/>
          <w:color w:val="auto"/>
          <w:sz w:val="21"/>
          <w:szCs w:val="21"/>
          <w:highlight w:val="none"/>
        </w:rPr>
      </w:pPr>
      <w:r>
        <w:rPr>
          <w:rFonts w:ascii="宋体" w:hAnsi="宋体" w:eastAsia="宋体" w:cs="宋体"/>
          <w:color w:val="auto"/>
          <w:sz w:val="21"/>
          <w:szCs w:val="21"/>
          <w:highlight w:val="none"/>
        </w:rPr>
        <w:t>例如：某工程采购代理业务成交金额或者暂定价为 150 万元，计算采购</w:t>
      </w:r>
      <w:r>
        <w:rPr>
          <w:rFonts w:ascii="宋体" w:hAnsi="宋体" w:eastAsia="宋体" w:cs="宋体"/>
          <w:color w:val="auto"/>
          <w:spacing w:val="-1"/>
          <w:sz w:val="21"/>
          <w:szCs w:val="21"/>
          <w:highlight w:val="none"/>
        </w:rPr>
        <w:t>代理收费额如</w:t>
      </w:r>
      <w:r>
        <w:rPr>
          <w:rFonts w:ascii="宋体" w:hAnsi="宋体" w:eastAsia="宋体" w:cs="宋体"/>
          <w:color w:val="auto"/>
          <w:sz w:val="21"/>
          <w:szCs w:val="21"/>
          <w:highlight w:val="none"/>
        </w:rPr>
        <w:t xml:space="preserve"> </w:t>
      </w:r>
      <w:r>
        <w:rPr>
          <w:rFonts w:ascii="宋体" w:hAnsi="宋体" w:eastAsia="宋体" w:cs="宋体"/>
          <w:color w:val="auto"/>
          <w:spacing w:val="-16"/>
          <w:sz w:val="21"/>
          <w:szCs w:val="21"/>
          <w:highlight w:val="none"/>
        </w:rPr>
        <w:t>下：</w:t>
      </w:r>
    </w:p>
    <w:p w14:paraId="14470BF4">
      <w:pPr>
        <w:spacing w:before="30" w:line="221" w:lineRule="auto"/>
        <w:ind w:left="461"/>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100</w:t>
      </w:r>
      <w:r>
        <w:rPr>
          <w:rFonts w:ascii="宋体" w:hAnsi="宋体" w:eastAsia="宋体" w:cs="宋体"/>
          <w:color w:val="auto"/>
          <w:spacing w:val="13"/>
          <w:sz w:val="21"/>
          <w:szCs w:val="21"/>
          <w:highlight w:val="none"/>
        </w:rPr>
        <w:t xml:space="preserve"> </w:t>
      </w:r>
      <w:r>
        <w:rPr>
          <w:rFonts w:ascii="宋体" w:hAnsi="宋体" w:eastAsia="宋体" w:cs="宋体"/>
          <w:color w:val="auto"/>
          <w:spacing w:val="-9"/>
          <w:sz w:val="21"/>
          <w:szCs w:val="21"/>
          <w:highlight w:val="none"/>
        </w:rPr>
        <w:t>万元</w:t>
      </w:r>
      <w:r>
        <w:rPr>
          <w:rFonts w:ascii="宋体" w:hAnsi="宋体" w:eastAsia="宋体" w:cs="宋体"/>
          <w:color w:val="auto"/>
          <w:spacing w:val="37"/>
          <w:sz w:val="21"/>
          <w:szCs w:val="21"/>
          <w:highlight w:val="none"/>
        </w:rPr>
        <w:t xml:space="preserve"> </w:t>
      </w:r>
      <w:r>
        <w:rPr>
          <w:rFonts w:ascii="宋体" w:hAnsi="宋体" w:eastAsia="宋体" w:cs="宋体"/>
          <w:color w:val="auto"/>
          <w:spacing w:val="-9"/>
          <w:sz w:val="21"/>
          <w:szCs w:val="21"/>
          <w:highlight w:val="none"/>
        </w:rPr>
        <w:t>×</w:t>
      </w:r>
      <w:r>
        <w:rPr>
          <w:rFonts w:ascii="宋体" w:hAnsi="宋体" w:eastAsia="宋体" w:cs="宋体"/>
          <w:color w:val="auto"/>
          <w:spacing w:val="-81"/>
          <w:sz w:val="21"/>
          <w:szCs w:val="21"/>
          <w:highlight w:val="none"/>
        </w:rPr>
        <w:t xml:space="preserve"> </w:t>
      </w:r>
      <w:r>
        <w:rPr>
          <w:rFonts w:ascii="宋体" w:hAnsi="宋体" w:eastAsia="宋体" w:cs="宋体"/>
          <w:color w:val="auto"/>
          <w:spacing w:val="-9"/>
          <w:sz w:val="21"/>
          <w:szCs w:val="21"/>
          <w:highlight w:val="none"/>
        </w:rPr>
        <w:t>1.0%＝</w:t>
      </w:r>
      <w:r>
        <w:rPr>
          <w:rFonts w:ascii="宋体" w:hAnsi="宋体" w:eastAsia="宋体" w:cs="宋体"/>
          <w:color w:val="auto"/>
          <w:spacing w:val="22"/>
          <w:sz w:val="21"/>
          <w:szCs w:val="21"/>
          <w:highlight w:val="none"/>
        </w:rPr>
        <w:t xml:space="preserve"> </w:t>
      </w:r>
      <w:r>
        <w:rPr>
          <w:rFonts w:ascii="宋体" w:hAnsi="宋体" w:eastAsia="宋体" w:cs="宋体"/>
          <w:color w:val="auto"/>
          <w:spacing w:val="-9"/>
          <w:sz w:val="21"/>
          <w:szCs w:val="21"/>
          <w:highlight w:val="none"/>
        </w:rPr>
        <w:t>1</w:t>
      </w:r>
      <w:r>
        <w:rPr>
          <w:rFonts w:ascii="宋体" w:hAnsi="宋体" w:eastAsia="宋体" w:cs="宋体"/>
          <w:color w:val="auto"/>
          <w:spacing w:val="-39"/>
          <w:sz w:val="21"/>
          <w:szCs w:val="21"/>
          <w:highlight w:val="none"/>
        </w:rPr>
        <w:t xml:space="preserve"> </w:t>
      </w:r>
      <w:r>
        <w:rPr>
          <w:rFonts w:ascii="宋体" w:hAnsi="宋体" w:eastAsia="宋体" w:cs="宋体"/>
          <w:color w:val="auto"/>
          <w:spacing w:val="-9"/>
          <w:sz w:val="21"/>
          <w:szCs w:val="21"/>
          <w:highlight w:val="none"/>
        </w:rPr>
        <w:t>万元</w:t>
      </w:r>
    </w:p>
    <w:p w14:paraId="0A3E469B">
      <w:pPr>
        <w:spacing w:before="159" w:line="345" w:lineRule="auto"/>
        <w:ind w:left="447" w:right="4445" w:firstLine="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宋体" w:hAnsi="宋体" w:eastAsia="宋体" w:cs="宋体"/>
          <w:color w:val="auto"/>
          <w:spacing w:val="39"/>
          <w:sz w:val="21"/>
          <w:szCs w:val="21"/>
          <w:highlight w:val="none"/>
        </w:rPr>
        <w:t xml:space="preserve"> </w:t>
      </w:r>
      <w:r>
        <w:rPr>
          <w:rFonts w:ascii="宋体" w:hAnsi="宋体" w:eastAsia="宋体" w:cs="宋体"/>
          <w:color w:val="auto"/>
          <w:spacing w:val="-6"/>
          <w:sz w:val="21"/>
          <w:szCs w:val="21"/>
          <w:highlight w:val="none"/>
        </w:rPr>
        <w:t>150</w:t>
      </w:r>
      <w:r>
        <w:rPr>
          <w:rFonts w:ascii="宋体" w:hAnsi="宋体" w:eastAsia="宋体" w:cs="宋体"/>
          <w:color w:val="auto"/>
          <w:spacing w:val="25"/>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22"/>
          <w:sz w:val="21"/>
          <w:szCs w:val="21"/>
          <w:highlight w:val="none"/>
        </w:rPr>
        <w:t xml:space="preserve"> </w:t>
      </w:r>
      <w:r>
        <w:rPr>
          <w:rFonts w:ascii="宋体" w:hAnsi="宋体" w:eastAsia="宋体" w:cs="宋体"/>
          <w:color w:val="auto"/>
          <w:spacing w:val="-6"/>
          <w:sz w:val="21"/>
          <w:szCs w:val="21"/>
          <w:highlight w:val="none"/>
        </w:rPr>
        <w:t>100 ）万元</w:t>
      </w:r>
      <w:r>
        <w:rPr>
          <w:rFonts w:ascii="宋体" w:hAnsi="宋体" w:eastAsia="宋体" w:cs="宋体"/>
          <w:color w:val="auto"/>
          <w:spacing w:val="37"/>
          <w:sz w:val="21"/>
          <w:szCs w:val="21"/>
          <w:highlight w:val="none"/>
        </w:rPr>
        <w:t xml:space="preserve"> </w:t>
      </w:r>
      <w:r>
        <w:rPr>
          <w:rFonts w:ascii="宋体" w:hAnsi="宋体" w:eastAsia="宋体" w:cs="宋体"/>
          <w:color w:val="auto"/>
          <w:spacing w:val="-6"/>
          <w:sz w:val="21"/>
          <w:szCs w:val="21"/>
          <w:highlight w:val="none"/>
        </w:rPr>
        <w:t>×0.7%＝ 0.35</w:t>
      </w:r>
      <w:r>
        <w:rPr>
          <w:rFonts w:ascii="宋体" w:hAnsi="宋体" w:eastAsia="宋体" w:cs="宋体"/>
          <w:color w:val="auto"/>
          <w:spacing w:val="-39"/>
          <w:sz w:val="21"/>
          <w:szCs w:val="21"/>
          <w:highlight w:val="none"/>
        </w:rPr>
        <w:t xml:space="preserve"> </w:t>
      </w:r>
      <w:r>
        <w:rPr>
          <w:rFonts w:ascii="宋体" w:hAnsi="宋体" w:eastAsia="宋体" w:cs="宋体"/>
          <w:color w:val="auto"/>
          <w:spacing w:val="-6"/>
          <w:sz w:val="21"/>
          <w:szCs w:val="21"/>
          <w:highlight w:val="none"/>
        </w:rPr>
        <w:t>万元</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合计收费＝</w:t>
      </w:r>
      <w:r>
        <w:rPr>
          <w:rFonts w:ascii="宋体" w:hAnsi="宋体" w:eastAsia="宋体" w:cs="宋体"/>
          <w:color w:val="auto"/>
          <w:spacing w:val="56"/>
          <w:sz w:val="21"/>
          <w:szCs w:val="21"/>
          <w:highlight w:val="none"/>
        </w:rPr>
        <w:t xml:space="preserve"> </w:t>
      </w:r>
      <w:r>
        <w:rPr>
          <w:rFonts w:ascii="宋体" w:hAnsi="宋体" w:eastAsia="宋体" w:cs="宋体"/>
          <w:color w:val="auto"/>
          <w:spacing w:val="-6"/>
          <w:sz w:val="21"/>
          <w:szCs w:val="21"/>
          <w:highlight w:val="none"/>
        </w:rPr>
        <w:t>1</w:t>
      </w:r>
      <w:r>
        <w:rPr>
          <w:rFonts w:ascii="宋体" w:hAnsi="宋体" w:eastAsia="宋体" w:cs="宋体"/>
          <w:color w:val="auto"/>
          <w:spacing w:val="24"/>
          <w:sz w:val="21"/>
          <w:szCs w:val="21"/>
          <w:highlight w:val="none"/>
        </w:rPr>
        <w:t xml:space="preserve"> </w:t>
      </w:r>
      <w:r>
        <w:rPr>
          <w:rFonts w:ascii="宋体" w:hAnsi="宋体" w:eastAsia="宋体" w:cs="宋体"/>
          <w:color w:val="auto"/>
          <w:spacing w:val="-6"/>
          <w:sz w:val="21"/>
          <w:szCs w:val="21"/>
          <w:highlight w:val="none"/>
        </w:rPr>
        <w:t>＋ 0.35＝</w:t>
      </w:r>
      <w:r>
        <w:rPr>
          <w:rFonts w:ascii="宋体" w:hAnsi="宋体" w:eastAsia="宋体" w:cs="宋体"/>
          <w:color w:val="auto"/>
          <w:spacing w:val="20"/>
          <w:sz w:val="21"/>
          <w:szCs w:val="21"/>
          <w:highlight w:val="none"/>
        </w:rPr>
        <w:t xml:space="preserve"> </w:t>
      </w:r>
      <w:r>
        <w:rPr>
          <w:rFonts w:ascii="宋体" w:hAnsi="宋体" w:eastAsia="宋体" w:cs="宋体"/>
          <w:color w:val="auto"/>
          <w:spacing w:val="-6"/>
          <w:sz w:val="21"/>
          <w:szCs w:val="21"/>
          <w:highlight w:val="none"/>
        </w:rPr>
        <w:t>1.35</w:t>
      </w:r>
      <w:r>
        <w:rPr>
          <w:rFonts w:ascii="宋体" w:hAnsi="宋体" w:eastAsia="宋体" w:cs="宋体"/>
          <w:color w:val="auto"/>
          <w:spacing w:val="12"/>
          <w:sz w:val="21"/>
          <w:szCs w:val="21"/>
          <w:highlight w:val="none"/>
        </w:rPr>
        <w:t xml:space="preserve"> </w:t>
      </w:r>
      <w:r>
        <w:rPr>
          <w:rFonts w:ascii="宋体" w:hAnsi="宋体" w:eastAsia="宋体" w:cs="宋体"/>
          <w:color w:val="auto"/>
          <w:spacing w:val="-6"/>
          <w:sz w:val="21"/>
          <w:szCs w:val="21"/>
          <w:highlight w:val="none"/>
        </w:rPr>
        <w:t>万元</w:t>
      </w:r>
    </w:p>
    <w:p w14:paraId="6497DF1B">
      <w:pPr>
        <w:spacing w:before="34" w:line="220"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33.需要补充的其他内容</w:t>
      </w:r>
    </w:p>
    <w:p w14:paraId="10595FD3">
      <w:pPr>
        <w:spacing w:before="179"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33.1</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本磋商文件解释规则详见“供应商</w:t>
      </w:r>
      <w:r>
        <w:rPr>
          <w:rFonts w:ascii="宋体" w:hAnsi="宋体" w:eastAsia="宋体" w:cs="宋体"/>
          <w:color w:val="auto"/>
          <w:spacing w:val="-2"/>
          <w:sz w:val="21"/>
          <w:szCs w:val="21"/>
          <w:highlight w:val="none"/>
        </w:rPr>
        <w:t>须知前附表”。</w:t>
      </w:r>
    </w:p>
    <w:p w14:paraId="0F9CC86C">
      <w:pPr>
        <w:spacing w:before="158" w:line="220" w:lineRule="auto"/>
        <w:ind w:left="45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33.2</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农民工工资保证金见“供应商须知前附表”。</w:t>
      </w:r>
    </w:p>
    <w:p w14:paraId="3549AE59">
      <w:pPr>
        <w:spacing w:before="157"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33.3 其他事项详见“供应商须知前附表”。</w:t>
      </w:r>
    </w:p>
    <w:p w14:paraId="5BD8E30E">
      <w:pPr>
        <w:spacing w:before="161" w:line="331" w:lineRule="auto"/>
        <w:ind w:left="26" w:right="610"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33.4 本磋商文件所称中小企业，是指在中华人民共和国境内依法</w:t>
      </w:r>
      <w:r>
        <w:rPr>
          <w:rFonts w:ascii="宋体" w:hAnsi="宋体" w:eastAsia="宋体" w:cs="宋体"/>
          <w:color w:val="auto"/>
          <w:spacing w:val="-1"/>
          <w:sz w:val="21"/>
          <w:szCs w:val="21"/>
          <w:highlight w:val="none"/>
        </w:rPr>
        <w:t>设立，依据国务院批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准的中小企业划分标准确定的中型企业、小型企业和微型企业，但与大企业的负责人为同</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一人，或者与大企业存在直接控股、管理关系的除外。符合中小企业划分标准的个体工商</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户，在政府采购活动中视同中小企业。在政府采购活动中，供应商提供的货物、工程或者</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服务符合下列情形的，享受本磋商文件规定的中小企业扶持政策：</w:t>
      </w:r>
    </w:p>
    <w:p w14:paraId="697F6FFE">
      <w:pPr>
        <w:spacing w:before="157" w:line="290" w:lineRule="auto"/>
        <w:ind w:left="29" w:right="609"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（1）在货物采购项目中，货物由中小企业制造，即货物由中小</w:t>
      </w:r>
      <w:r>
        <w:rPr>
          <w:rFonts w:ascii="宋体" w:hAnsi="宋体" w:eastAsia="宋体" w:cs="宋体"/>
          <w:color w:val="auto"/>
          <w:spacing w:val="-1"/>
          <w:sz w:val="21"/>
          <w:szCs w:val="21"/>
          <w:highlight w:val="none"/>
        </w:rPr>
        <w:t>企业生产且使用该中小</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企业商号或者注册商标，不对其中涉及的工程承建商和服务的承接商作出要求；</w:t>
      </w:r>
    </w:p>
    <w:p w14:paraId="2A3BCB9E">
      <w:pPr>
        <w:spacing w:before="160" w:line="289" w:lineRule="auto"/>
        <w:ind w:left="46" w:right="619" w:firstLine="40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（2）在工程采购项目中，工程由中小企业承建，即工程施工单位为中小企业，不对其</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中涉及的货物的制造商和服务的承接商作出要求；</w:t>
      </w:r>
    </w:p>
    <w:p w14:paraId="0DE703D8">
      <w:pPr>
        <w:spacing w:before="159" w:line="313" w:lineRule="auto"/>
        <w:ind w:left="27" w:right="633" w:firstLine="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（3）在服务采购项目中，服务由中小企业承接， 即提供服务的人员为中</w:t>
      </w:r>
      <w:r>
        <w:rPr>
          <w:rFonts w:ascii="宋体" w:hAnsi="宋体" w:eastAsia="宋体" w:cs="宋体"/>
          <w:color w:val="auto"/>
          <w:spacing w:val="1"/>
          <w:sz w:val="21"/>
          <w:szCs w:val="21"/>
          <w:highlight w:val="none"/>
        </w:rPr>
        <w:t>小企业依照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《中华人民共和国劳动合同法》订立劳动合同的从业人员，不对其中涉及的货物的制造商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和工程承建商作出要求。</w:t>
      </w:r>
    </w:p>
    <w:p w14:paraId="49D96A4F">
      <w:pPr>
        <w:spacing w:before="157" w:line="352" w:lineRule="auto"/>
        <w:ind w:left="26" w:right="615" w:firstLine="41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在货物采购项目中，供应商提供的货物既有</w:t>
      </w:r>
      <w:r>
        <w:rPr>
          <w:rFonts w:ascii="宋体" w:hAnsi="宋体" w:eastAsia="宋体" w:cs="宋体"/>
          <w:color w:val="auto"/>
          <w:spacing w:val="2"/>
          <w:sz w:val="21"/>
          <w:szCs w:val="21"/>
          <w:highlight w:val="none"/>
        </w:rPr>
        <w:t>中小企业制造货物，也有大型企业制造货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物的，不享受本磋商文件规定的中小企业扶持政策。以联合体形式参加政府采购活动，联</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合体各方均为中小企业的，联合体视同中小企业。其中，联合体各方均为小微企业的，联</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合体视同小微企业。</w:t>
      </w:r>
    </w:p>
    <w:p w14:paraId="27A66131">
      <w:pPr>
        <w:spacing w:before="32" w:line="346" w:lineRule="auto"/>
        <w:ind w:left="28" w:right="619"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依据本磋商文件规定享受扶持政策获得政府采购合同的，小微企业不得将合同分包给</w:t>
      </w:r>
      <w:r>
        <w:rPr>
          <w:rFonts w:ascii="宋体" w:hAnsi="宋体" w:eastAsia="宋体" w:cs="宋体"/>
          <w:color w:val="auto"/>
          <w:spacing w:val="16"/>
          <w:sz w:val="21"/>
          <w:szCs w:val="21"/>
          <w:highlight w:val="none"/>
        </w:rPr>
        <w:t xml:space="preserve"> </w:t>
      </w:r>
      <w:r>
        <w:rPr>
          <w:rFonts w:ascii="宋体" w:hAnsi="宋体" w:eastAsia="宋体" w:cs="宋体"/>
          <w:color w:val="auto"/>
          <w:spacing w:val="-1"/>
          <w:sz w:val="21"/>
          <w:szCs w:val="21"/>
          <w:highlight w:val="none"/>
        </w:rPr>
        <w:t>大中型企业，中型企业不得将合同分包给大型企业。</w:t>
      </w:r>
    </w:p>
    <w:p w14:paraId="387D0A88">
      <w:pPr>
        <w:spacing w:line="346" w:lineRule="auto"/>
        <w:rPr>
          <w:rFonts w:ascii="宋体" w:hAnsi="宋体" w:eastAsia="宋体" w:cs="宋体"/>
          <w:color w:val="auto"/>
          <w:sz w:val="21"/>
          <w:szCs w:val="21"/>
          <w:highlight w:val="none"/>
        </w:rPr>
        <w:sectPr>
          <w:footerReference r:id="rId24" w:type="default"/>
          <w:pgSz w:w="11900" w:h="16832"/>
          <w:pgMar w:top="1430" w:right="1185" w:bottom="1220" w:left="1784" w:header="0" w:footer="1060" w:gutter="0"/>
          <w:pgNumType w:fmt="decimal"/>
          <w:cols w:space="720" w:num="1"/>
        </w:sectPr>
      </w:pPr>
    </w:p>
    <w:p w14:paraId="4D024CD0">
      <w:pPr>
        <w:spacing w:before="87" w:line="223" w:lineRule="auto"/>
        <w:ind w:left="2818"/>
        <w:outlineLvl w:val="0"/>
        <w:rPr>
          <w:rFonts w:ascii="宋体" w:hAnsi="宋体" w:eastAsia="宋体" w:cs="宋体"/>
          <w:color w:val="auto"/>
          <w:sz w:val="43"/>
          <w:szCs w:val="43"/>
          <w:highlight w:val="none"/>
        </w:rPr>
      </w:pPr>
      <w:bookmarkStart w:id="6" w:name="bookmark5"/>
      <w:bookmarkEnd w:id="6"/>
      <w:bookmarkStart w:id="7" w:name="_Toc14853"/>
      <w:bookmarkStart w:id="8" w:name="_Toc23972"/>
      <w:r>
        <w:rPr>
          <w:rFonts w:ascii="宋体" w:hAnsi="宋体" w:eastAsia="宋体" w:cs="宋体"/>
          <w:b/>
          <w:bCs/>
          <w:color w:val="auto"/>
          <w:spacing w:val="4"/>
          <w:sz w:val="43"/>
          <w:szCs w:val="43"/>
          <w:highlight w:val="none"/>
        </w:rPr>
        <w:t>第三章</w:t>
      </w:r>
      <w:r>
        <w:rPr>
          <w:rFonts w:ascii="宋体" w:hAnsi="宋体" w:eastAsia="宋体" w:cs="宋体"/>
          <w:color w:val="auto"/>
          <w:spacing w:val="4"/>
          <w:sz w:val="43"/>
          <w:szCs w:val="43"/>
          <w:highlight w:val="none"/>
        </w:rPr>
        <w:t xml:space="preserve"> </w:t>
      </w:r>
      <w:r>
        <w:rPr>
          <w:rFonts w:ascii="宋体" w:hAnsi="宋体" w:eastAsia="宋体" w:cs="宋体"/>
          <w:b/>
          <w:bCs/>
          <w:color w:val="auto"/>
          <w:spacing w:val="4"/>
          <w:sz w:val="43"/>
          <w:szCs w:val="43"/>
          <w:highlight w:val="none"/>
        </w:rPr>
        <w:t>采购需求</w:t>
      </w:r>
      <w:bookmarkEnd w:id="7"/>
      <w:bookmarkEnd w:id="8"/>
    </w:p>
    <w:p w14:paraId="20A890E2">
      <w:pPr>
        <w:spacing w:before="302" w:line="221" w:lineRule="auto"/>
        <w:ind w:left="32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说明：</w:t>
      </w:r>
    </w:p>
    <w:p w14:paraId="5F2E4EBD">
      <w:pPr>
        <w:spacing w:before="156" w:line="345" w:lineRule="auto"/>
        <w:ind w:left="318" w:right="357"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z w:val="21"/>
          <w:szCs w:val="21"/>
          <w:highlight w:val="none"/>
        </w:rPr>
        <w:t>为落实政府采购政策需满足的要求：</w:t>
      </w:r>
      <w:r>
        <w:rPr>
          <w:rFonts w:ascii="宋体" w:hAnsi="宋体" w:eastAsia="宋体" w:cs="宋体"/>
          <w:color w:val="auto"/>
          <w:spacing w:val="-1"/>
          <w:sz w:val="21"/>
          <w:szCs w:val="21"/>
          <w:highlight w:val="none"/>
        </w:rPr>
        <w:t>本磋商文件所称中小企业必须符合《政府采购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促进中小企业发展管理办法》（财库〔2020〕4</w:t>
      </w:r>
      <w:r>
        <w:rPr>
          <w:rFonts w:ascii="宋体" w:hAnsi="宋体" w:eastAsia="宋体" w:cs="宋体"/>
          <w:color w:val="auto"/>
          <w:spacing w:val="-2"/>
          <w:sz w:val="21"/>
          <w:szCs w:val="21"/>
          <w:highlight w:val="none"/>
        </w:rPr>
        <w:t>6</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号）的规定。</w:t>
      </w:r>
    </w:p>
    <w:p w14:paraId="1738C422">
      <w:pPr>
        <w:spacing w:before="32" w:line="347" w:lineRule="auto"/>
        <w:ind w:left="337" w:right="403" w:firstLine="407"/>
        <w:rPr>
          <w:rFonts w:ascii="宋体" w:hAnsi="宋体" w:eastAsia="宋体" w:cs="宋体"/>
          <w:color w:val="auto"/>
          <w:sz w:val="21"/>
          <w:szCs w:val="21"/>
          <w:highlight w:val="none"/>
        </w:rPr>
      </w:pPr>
      <w:r>
        <w:rPr>
          <w:rFonts w:ascii="宋体" w:hAnsi="宋体" w:eastAsia="宋体" w:cs="宋体"/>
          <w:color w:val="auto"/>
          <w:sz w:val="21"/>
          <w:szCs w:val="21"/>
          <w:highlight w:val="none"/>
        </w:rPr>
        <w:t>2.“实质性要求”是指采购需求中带“▲”的条款或者不能负偏离的条款</w:t>
      </w:r>
      <w:r>
        <w:rPr>
          <w:rFonts w:ascii="宋体" w:hAnsi="宋体" w:eastAsia="宋体" w:cs="宋体"/>
          <w:color w:val="auto"/>
          <w:spacing w:val="-1"/>
          <w:sz w:val="21"/>
          <w:szCs w:val="21"/>
          <w:highlight w:val="none"/>
        </w:rPr>
        <w:t>或者已经指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明不满足按响应文件按无效处理的条款。</w:t>
      </w:r>
    </w:p>
    <w:p w14:paraId="7955D933">
      <w:pPr>
        <w:spacing w:before="27" w:line="346" w:lineRule="auto"/>
        <w:ind w:left="317" w:right="403"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3.供应商必须自行为其竞标产品侵犯他人的知识产权或者专利成果的</w:t>
      </w:r>
      <w:r>
        <w:rPr>
          <w:rFonts w:ascii="宋体" w:hAnsi="宋体" w:eastAsia="宋体" w:cs="宋体"/>
          <w:color w:val="auto"/>
          <w:spacing w:val="-1"/>
          <w:sz w:val="21"/>
          <w:szCs w:val="21"/>
          <w:highlight w:val="none"/>
        </w:rPr>
        <w:t>行为承担相应法</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律责任。</w:t>
      </w:r>
    </w:p>
    <w:p w14:paraId="38232050">
      <w:pPr>
        <w:spacing w:line="367" w:lineRule="auto"/>
        <w:rPr>
          <w:rFonts w:ascii="Arial"/>
          <w:color w:val="auto"/>
          <w:sz w:val="21"/>
          <w:highlight w:val="none"/>
        </w:rPr>
      </w:pPr>
    </w:p>
    <w:p w14:paraId="10B8080C">
      <w:pPr>
        <w:spacing w:before="69" w:line="220" w:lineRule="auto"/>
        <w:ind w:left="626"/>
        <w:rPr>
          <w:rFonts w:ascii="宋体" w:hAnsi="宋体" w:eastAsia="宋体" w:cs="宋体"/>
          <w:b/>
          <w:bCs/>
          <w:color w:val="auto"/>
          <w:sz w:val="21"/>
          <w:szCs w:val="21"/>
          <w:highlight w:val="none"/>
        </w:rPr>
      </w:pPr>
      <w:r>
        <w:rPr>
          <w:rFonts w:ascii="宋体" w:hAnsi="宋体" w:eastAsia="宋体" w:cs="宋体"/>
          <w:b/>
          <w:bCs/>
          <w:color w:val="auto"/>
          <w:spacing w:val="-1"/>
          <w:sz w:val="21"/>
          <w:szCs w:val="21"/>
          <w:highlight w:val="none"/>
        </w:rPr>
        <w:t>采购预算：</w:t>
      </w:r>
      <w:r>
        <w:rPr>
          <w:rFonts w:hint="eastAsia" w:ascii="宋体" w:hAnsi="宋体" w:eastAsia="宋体" w:cs="宋体"/>
          <w:b/>
          <w:bCs/>
          <w:color w:val="auto"/>
          <w:spacing w:val="-2"/>
          <w:sz w:val="21"/>
          <w:szCs w:val="21"/>
          <w:highlight w:val="none"/>
          <w:lang w:val="en-US" w:eastAsia="zh-CN"/>
        </w:rPr>
        <w:t>714582.29</w:t>
      </w:r>
      <w:r>
        <w:rPr>
          <w:rFonts w:ascii="宋体" w:hAnsi="宋体" w:eastAsia="宋体" w:cs="宋体"/>
          <w:b/>
          <w:bCs/>
          <w:color w:val="auto"/>
          <w:spacing w:val="-2"/>
          <w:sz w:val="21"/>
          <w:szCs w:val="21"/>
          <w:highlight w:val="none"/>
        </w:rPr>
        <w:t>元</w:t>
      </w:r>
    </w:p>
    <w:p w14:paraId="5906A639">
      <w:pPr>
        <w:spacing w:line="130" w:lineRule="exact"/>
        <w:rPr>
          <w:color w:val="auto"/>
          <w:highlight w:val="none"/>
        </w:rPr>
      </w:pPr>
    </w:p>
    <w:tbl>
      <w:tblPr>
        <w:tblStyle w:val="16"/>
        <w:tblW w:w="94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1445"/>
        <w:gridCol w:w="141"/>
        <w:gridCol w:w="991"/>
        <w:gridCol w:w="991"/>
        <w:gridCol w:w="5172"/>
        <w:gridCol w:w="11"/>
      </w:tblGrid>
      <w:tr w14:paraId="04159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659" w:type="dxa"/>
            <w:vAlign w:val="top"/>
          </w:tcPr>
          <w:p w14:paraId="1D97B5A5">
            <w:pPr>
              <w:pStyle w:val="17"/>
              <w:spacing w:before="240" w:line="222" w:lineRule="auto"/>
              <w:ind w:left="124"/>
              <w:rPr>
                <w:color w:val="auto"/>
                <w:highlight w:val="none"/>
              </w:rPr>
            </w:pPr>
            <w:r>
              <w:rPr>
                <w:color w:val="auto"/>
                <w:spacing w:val="-2"/>
                <w:highlight w:val="none"/>
              </w:rPr>
              <w:t>序号</w:t>
            </w:r>
          </w:p>
        </w:tc>
        <w:tc>
          <w:tcPr>
            <w:tcW w:w="1586" w:type="dxa"/>
            <w:gridSpan w:val="2"/>
            <w:vAlign w:val="top"/>
          </w:tcPr>
          <w:p w14:paraId="22E8680C">
            <w:pPr>
              <w:pStyle w:val="17"/>
              <w:spacing w:before="241" w:line="221" w:lineRule="auto"/>
              <w:ind w:left="377"/>
              <w:rPr>
                <w:color w:val="auto"/>
                <w:highlight w:val="none"/>
              </w:rPr>
            </w:pPr>
            <w:r>
              <w:rPr>
                <w:color w:val="auto"/>
                <w:spacing w:val="-2"/>
                <w:highlight w:val="none"/>
              </w:rPr>
              <w:t>标项名称</w:t>
            </w:r>
          </w:p>
        </w:tc>
        <w:tc>
          <w:tcPr>
            <w:tcW w:w="991" w:type="dxa"/>
            <w:vAlign w:val="top"/>
          </w:tcPr>
          <w:p w14:paraId="0D0666DA">
            <w:pPr>
              <w:pStyle w:val="17"/>
              <w:spacing w:before="37" w:line="345" w:lineRule="auto"/>
              <w:ind w:left="291" w:right="175" w:hanging="105"/>
              <w:rPr>
                <w:color w:val="auto"/>
                <w:highlight w:val="none"/>
              </w:rPr>
            </w:pPr>
            <w:r>
              <w:rPr>
                <w:color w:val="auto"/>
                <w:spacing w:val="-3"/>
                <w:highlight w:val="none"/>
              </w:rPr>
              <w:t>数量及</w:t>
            </w:r>
            <w:r>
              <w:rPr>
                <w:color w:val="auto"/>
                <w:spacing w:val="1"/>
                <w:highlight w:val="none"/>
              </w:rPr>
              <w:t xml:space="preserve"> </w:t>
            </w:r>
            <w:r>
              <w:rPr>
                <w:color w:val="auto"/>
                <w:spacing w:val="-2"/>
                <w:highlight w:val="none"/>
              </w:rPr>
              <w:t>单位</w:t>
            </w:r>
          </w:p>
        </w:tc>
        <w:tc>
          <w:tcPr>
            <w:tcW w:w="991" w:type="dxa"/>
            <w:vAlign w:val="top"/>
          </w:tcPr>
          <w:p w14:paraId="47DE8A8F">
            <w:pPr>
              <w:pStyle w:val="17"/>
              <w:spacing w:before="37" w:line="345" w:lineRule="auto"/>
              <w:ind w:left="293" w:right="280" w:hanging="3"/>
              <w:rPr>
                <w:color w:val="auto"/>
                <w:highlight w:val="none"/>
              </w:rPr>
            </w:pPr>
            <w:r>
              <w:rPr>
                <w:color w:val="auto"/>
                <w:spacing w:val="-3"/>
                <w:highlight w:val="none"/>
              </w:rPr>
              <w:t>所属</w:t>
            </w:r>
            <w:r>
              <w:rPr>
                <w:color w:val="auto"/>
                <w:highlight w:val="none"/>
              </w:rPr>
              <w:t xml:space="preserve"> </w:t>
            </w:r>
            <w:r>
              <w:rPr>
                <w:color w:val="auto"/>
                <w:spacing w:val="-5"/>
                <w:highlight w:val="none"/>
              </w:rPr>
              <w:t>行业</w:t>
            </w:r>
          </w:p>
        </w:tc>
        <w:tc>
          <w:tcPr>
            <w:tcW w:w="5183" w:type="dxa"/>
            <w:gridSpan w:val="2"/>
            <w:vAlign w:val="top"/>
          </w:tcPr>
          <w:p w14:paraId="06B85A5B">
            <w:pPr>
              <w:pStyle w:val="17"/>
              <w:spacing w:before="240" w:line="221" w:lineRule="auto"/>
              <w:ind w:left="1926"/>
              <w:rPr>
                <w:color w:val="auto"/>
                <w:highlight w:val="none"/>
              </w:rPr>
            </w:pPr>
            <w:r>
              <w:rPr>
                <w:color w:val="auto"/>
                <w:spacing w:val="-2"/>
                <w:highlight w:val="none"/>
              </w:rPr>
              <w:t>技术要求</w:t>
            </w:r>
          </w:p>
        </w:tc>
      </w:tr>
      <w:tr w14:paraId="4D05F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3" w:hRule="atLeast"/>
        </w:trPr>
        <w:tc>
          <w:tcPr>
            <w:tcW w:w="659" w:type="dxa"/>
            <w:vAlign w:val="top"/>
          </w:tcPr>
          <w:p w14:paraId="7544823D">
            <w:pPr>
              <w:rPr>
                <w:rFonts w:ascii="Arial"/>
                <w:color w:val="auto"/>
                <w:sz w:val="21"/>
                <w:highlight w:val="none"/>
              </w:rPr>
            </w:pPr>
          </w:p>
          <w:p w14:paraId="774BBF00">
            <w:pPr>
              <w:rPr>
                <w:rFonts w:ascii="Arial"/>
                <w:color w:val="auto"/>
                <w:sz w:val="21"/>
                <w:highlight w:val="none"/>
              </w:rPr>
            </w:pPr>
          </w:p>
          <w:p w14:paraId="43F6F8A7">
            <w:pPr>
              <w:rPr>
                <w:rFonts w:ascii="Arial"/>
                <w:color w:val="auto"/>
                <w:sz w:val="21"/>
                <w:highlight w:val="none"/>
              </w:rPr>
            </w:pPr>
          </w:p>
          <w:p w14:paraId="5EC3F9A2">
            <w:pPr>
              <w:spacing w:line="241" w:lineRule="auto"/>
              <w:rPr>
                <w:rFonts w:ascii="Arial"/>
                <w:color w:val="auto"/>
                <w:sz w:val="21"/>
                <w:highlight w:val="none"/>
              </w:rPr>
            </w:pPr>
          </w:p>
          <w:p w14:paraId="5DEA5D96">
            <w:pPr>
              <w:spacing w:line="241" w:lineRule="auto"/>
              <w:rPr>
                <w:rFonts w:ascii="Arial"/>
                <w:color w:val="auto"/>
                <w:sz w:val="21"/>
                <w:highlight w:val="none"/>
              </w:rPr>
            </w:pPr>
          </w:p>
          <w:p w14:paraId="50554125">
            <w:pPr>
              <w:spacing w:line="241" w:lineRule="auto"/>
              <w:rPr>
                <w:rFonts w:ascii="Arial"/>
                <w:color w:val="auto"/>
                <w:sz w:val="21"/>
                <w:highlight w:val="none"/>
              </w:rPr>
            </w:pPr>
          </w:p>
          <w:p w14:paraId="544670BA">
            <w:pPr>
              <w:spacing w:line="241" w:lineRule="auto"/>
              <w:rPr>
                <w:rFonts w:ascii="Arial"/>
                <w:color w:val="auto"/>
                <w:sz w:val="21"/>
                <w:highlight w:val="none"/>
              </w:rPr>
            </w:pPr>
          </w:p>
          <w:p w14:paraId="04EBEC18">
            <w:pPr>
              <w:pStyle w:val="17"/>
              <w:spacing w:before="68" w:line="183" w:lineRule="auto"/>
              <w:ind w:firstLine="210" w:firstLineChars="100"/>
              <w:rPr>
                <w:color w:val="auto"/>
                <w:highlight w:val="none"/>
              </w:rPr>
            </w:pPr>
            <w:r>
              <w:rPr>
                <w:color w:val="auto"/>
                <w:highlight w:val="none"/>
              </w:rPr>
              <w:t>1</w:t>
            </w:r>
          </w:p>
        </w:tc>
        <w:tc>
          <w:tcPr>
            <w:tcW w:w="1586" w:type="dxa"/>
            <w:gridSpan w:val="2"/>
            <w:vAlign w:val="top"/>
          </w:tcPr>
          <w:p w14:paraId="347CD47C">
            <w:pPr>
              <w:spacing w:line="250" w:lineRule="auto"/>
              <w:rPr>
                <w:rFonts w:ascii="Arial"/>
                <w:color w:val="auto"/>
                <w:sz w:val="21"/>
                <w:highlight w:val="none"/>
              </w:rPr>
            </w:pPr>
          </w:p>
          <w:p w14:paraId="7697CA53">
            <w:pPr>
              <w:spacing w:line="250" w:lineRule="auto"/>
              <w:rPr>
                <w:rFonts w:ascii="Arial"/>
                <w:color w:val="auto"/>
                <w:sz w:val="21"/>
                <w:highlight w:val="none"/>
              </w:rPr>
            </w:pPr>
          </w:p>
          <w:p w14:paraId="6E0283F7">
            <w:pPr>
              <w:spacing w:line="250" w:lineRule="auto"/>
              <w:rPr>
                <w:rFonts w:ascii="Arial"/>
                <w:color w:val="auto"/>
                <w:sz w:val="21"/>
                <w:highlight w:val="none"/>
              </w:rPr>
            </w:pPr>
          </w:p>
          <w:p w14:paraId="4F3A236C">
            <w:pPr>
              <w:spacing w:line="250" w:lineRule="auto"/>
              <w:rPr>
                <w:rFonts w:ascii="Arial"/>
                <w:color w:val="auto"/>
                <w:sz w:val="21"/>
                <w:highlight w:val="none"/>
              </w:rPr>
            </w:pPr>
          </w:p>
          <w:p w14:paraId="50351E17">
            <w:pPr>
              <w:spacing w:line="251" w:lineRule="auto"/>
              <w:rPr>
                <w:rFonts w:ascii="Arial"/>
                <w:color w:val="auto"/>
                <w:sz w:val="21"/>
                <w:highlight w:val="none"/>
              </w:rPr>
            </w:pPr>
          </w:p>
          <w:p w14:paraId="274688CD">
            <w:pPr>
              <w:pStyle w:val="17"/>
              <w:numPr>
                <w:ilvl w:val="0"/>
                <w:numId w:val="0"/>
              </w:numPr>
              <w:spacing w:before="23" w:line="358" w:lineRule="auto"/>
              <w:ind w:left="131" w:leftChars="0" w:right="103" w:rightChars="0"/>
              <w:jc w:val="both"/>
              <w:rPr>
                <w:rFonts w:hint="eastAsia" w:ascii="宋体" w:hAnsi="宋体" w:eastAsia="宋体" w:cs="宋体"/>
                <w:color w:val="auto"/>
                <w:spacing w:val="-3"/>
                <w:highlight w:val="none"/>
                <w:lang w:val="en-US" w:eastAsia="zh-CN"/>
              </w:rPr>
            </w:pPr>
            <w:r>
              <w:rPr>
                <w:rFonts w:hint="eastAsia" w:cs="宋体"/>
                <w:color w:val="auto"/>
                <w:spacing w:val="-3"/>
                <w:highlight w:val="none"/>
                <w:lang w:val="en-US" w:eastAsia="zh-CN"/>
              </w:rPr>
              <w:t>玉州区鸦桥江灌区末级渠系茂岑分渠维修加固工程</w:t>
            </w:r>
          </w:p>
          <w:p w14:paraId="3664E723">
            <w:pPr>
              <w:pStyle w:val="17"/>
              <w:spacing w:before="159" w:line="221" w:lineRule="auto"/>
              <w:ind w:left="377"/>
              <w:rPr>
                <w:color w:val="auto"/>
                <w:highlight w:val="none"/>
              </w:rPr>
            </w:pPr>
          </w:p>
        </w:tc>
        <w:tc>
          <w:tcPr>
            <w:tcW w:w="991" w:type="dxa"/>
            <w:vAlign w:val="top"/>
          </w:tcPr>
          <w:p w14:paraId="361AD78F">
            <w:pPr>
              <w:spacing w:line="254" w:lineRule="auto"/>
              <w:rPr>
                <w:rFonts w:ascii="Arial"/>
                <w:color w:val="auto"/>
                <w:sz w:val="21"/>
                <w:highlight w:val="none"/>
              </w:rPr>
            </w:pPr>
          </w:p>
          <w:p w14:paraId="2C1859F0">
            <w:pPr>
              <w:spacing w:line="254" w:lineRule="auto"/>
              <w:rPr>
                <w:rFonts w:ascii="Arial"/>
                <w:color w:val="auto"/>
                <w:sz w:val="21"/>
                <w:highlight w:val="none"/>
              </w:rPr>
            </w:pPr>
          </w:p>
          <w:p w14:paraId="0C85D1BE">
            <w:pPr>
              <w:spacing w:line="254" w:lineRule="auto"/>
              <w:rPr>
                <w:rFonts w:ascii="Arial"/>
                <w:color w:val="auto"/>
                <w:sz w:val="21"/>
                <w:highlight w:val="none"/>
              </w:rPr>
            </w:pPr>
          </w:p>
          <w:p w14:paraId="2CDA547E">
            <w:pPr>
              <w:spacing w:line="254" w:lineRule="auto"/>
              <w:rPr>
                <w:rFonts w:ascii="Arial"/>
                <w:color w:val="auto"/>
                <w:sz w:val="21"/>
                <w:highlight w:val="none"/>
              </w:rPr>
            </w:pPr>
          </w:p>
          <w:p w14:paraId="5A5F5278">
            <w:pPr>
              <w:spacing w:line="254" w:lineRule="auto"/>
              <w:rPr>
                <w:rFonts w:ascii="Arial"/>
                <w:color w:val="auto"/>
                <w:sz w:val="21"/>
                <w:highlight w:val="none"/>
              </w:rPr>
            </w:pPr>
          </w:p>
          <w:p w14:paraId="327FDE0C">
            <w:pPr>
              <w:spacing w:line="254" w:lineRule="auto"/>
              <w:rPr>
                <w:rFonts w:ascii="Arial"/>
                <w:color w:val="auto"/>
                <w:sz w:val="21"/>
                <w:highlight w:val="none"/>
              </w:rPr>
            </w:pPr>
          </w:p>
          <w:p w14:paraId="481EAB4A">
            <w:pPr>
              <w:pStyle w:val="17"/>
              <w:spacing w:before="69" w:line="221" w:lineRule="auto"/>
              <w:ind w:firstLine="186" w:firstLineChars="100"/>
              <w:rPr>
                <w:color w:val="auto"/>
                <w:highlight w:val="none"/>
              </w:rPr>
            </w:pPr>
            <w:r>
              <w:rPr>
                <w:color w:val="auto"/>
                <w:spacing w:val="-12"/>
                <w:highlight w:val="none"/>
              </w:rPr>
              <w:t>1</w:t>
            </w:r>
            <w:r>
              <w:rPr>
                <w:color w:val="auto"/>
                <w:spacing w:val="-41"/>
                <w:highlight w:val="none"/>
              </w:rPr>
              <w:t xml:space="preserve"> </w:t>
            </w:r>
            <w:r>
              <w:rPr>
                <w:color w:val="auto"/>
                <w:spacing w:val="-12"/>
                <w:highlight w:val="none"/>
              </w:rPr>
              <w:t>项</w:t>
            </w:r>
          </w:p>
        </w:tc>
        <w:tc>
          <w:tcPr>
            <w:tcW w:w="991" w:type="dxa"/>
            <w:vAlign w:val="top"/>
          </w:tcPr>
          <w:p w14:paraId="0FA96A86">
            <w:pPr>
              <w:spacing w:line="254" w:lineRule="auto"/>
              <w:rPr>
                <w:rFonts w:ascii="Arial"/>
                <w:color w:val="auto"/>
                <w:sz w:val="21"/>
                <w:highlight w:val="none"/>
              </w:rPr>
            </w:pPr>
          </w:p>
          <w:p w14:paraId="58B60812">
            <w:pPr>
              <w:spacing w:line="254" w:lineRule="auto"/>
              <w:rPr>
                <w:rFonts w:ascii="Arial"/>
                <w:color w:val="auto"/>
                <w:sz w:val="21"/>
                <w:highlight w:val="none"/>
              </w:rPr>
            </w:pPr>
          </w:p>
          <w:p w14:paraId="165CB2B8">
            <w:pPr>
              <w:spacing w:line="254" w:lineRule="auto"/>
              <w:rPr>
                <w:rFonts w:ascii="Arial"/>
                <w:color w:val="auto"/>
                <w:sz w:val="21"/>
                <w:highlight w:val="none"/>
              </w:rPr>
            </w:pPr>
          </w:p>
          <w:p w14:paraId="36A3C04A">
            <w:pPr>
              <w:spacing w:line="254" w:lineRule="auto"/>
              <w:rPr>
                <w:rFonts w:ascii="Arial"/>
                <w:color w:val="auto"/>
                <w:sz w:val="21"/>
                <w:highlight w:val="none"/>
              </w:rPr>
            </w:pPr>
          </w:p>
          <w:p w14:paraId="529C77C0">
            <w:pPr>
              <w:spacing w:line="254" w:lineRule="auto"/>
              <w:rPr>
                <w:rFonts w:ascii="Arial"/>
                <w:color w:val="auto"/>
                <w:sz w:val="21"/>
                <w:highlight w:val="none"/>
              </w:rPr>
            </w:pPr>
          </w:p>
          <w:p w14:paraId="3B73E494">
            <w:pPr>
              <w:spacing w:line="254" w:lineRule="auto"/>
              <w:rPr>
                <w:rFonts w:ascii="Arial"/>
                <w:color w:val="auto"/>
                <w:sz w:val="21"/>
                <w:highlight w:val="none"/>
              </w:rPr>
            </w:pPr>
          </w:p>
          <w:p w14:paraId="590870F9">
            <w:pPr>
              <w:spacing w:line="255" w:lineRule="auto"/>
              <w:rPr>
                <w:rFonts w:ascii="Arial"/>
                <w:color w:val="auto"/>
                <w:sz w:val="21"/>
                <w:highlight w:val="none"/>
              </w:rPr>
            </w:pPr>
          </w:p>
          <w:p w14:paraId="594D98B3">
            <w:pPr>
              <w:pStyle w:val="17"/>
              <w:spacing w:before="69" w:line="221" w:lineRule="auto"/>
              <w:ind w:firstLine="206" w:firstLineChars="100"/>
              <w:rPr>
                <w:color w:val="auto"/>
                <w:highlight w:val="none"/>
              </w:rPr>
            </w:pPr>
            <w:r>
              <w:rPr>
                <w:color w:val="auto"/>
                <w:spacing w:val="-2"/>
                <w:highlight w:val="none"/>
              </w:rPr>
              <w:t>建筑业</w:t>
            </w:r>
          </w:p>
        </w:tc>
        <w:tc>
          <w:tcPr>
            <w:tcW w:w="5183" w:type="dxa"/>
            <w:gridSpan w:val="2"/>
            <w:vAlign w:val="top"/>
          </w:tcPr>
          <w:p w14:paraId="3ADC95E0">
            <w:pPr>
              <w:pStyle w:val="17"/>
              <w:numPr>
                <w:ilvl w:val="0"/>
                <w:numId w:val="0"/>
              </w:numPr>
              <w:spacing w:before="23" w:line="358" w:lineRule="auto"/>
              <w:ind w:left="131" w:leftChars="0" w:right="103" w:rightChars="0"/>
              <w:jc w:val="both"/>
              <w:rPr>
                <w:color w:val="auto"/>
                <w:highlight w:val="none"/>
              </w:rPr>
            </w:pPr>
            <w:r>
              <w:rPr>
                <w:rFonts w:hint="eastAsia"/>
                <w:color w:val="auto"/>
                <w:spacing w:val="1"/>
                <w:highlight w:val="none"/>
                <w:lang w:val="en-US" w:eastAsia="zh-CN"/>
              </w:rPr>
              <w:t>1、工程概况</w:t>
            </w:r>
            <w:r>
              <w:rPr>
                <w:color w:val="auto"/>
                <w:spacing w:val="2"/>
                <w:highlight w:val="none"/>
              </w:rPr>
              <w:t>：</w:t>
            </w:r>
            <w:r>
              <w:rPr>
                <w:rFonts w:hint="eastAsia"/>
                <w:color w:val="auto"/>
                <w:spacing w:val="2"/>
                <w:highlight w:val="none"/>
                <w:lang w:val="en-US" w:eastAsia="zh-CN"/>
              </w:rPr>
              <w:t>总干渠防渗工程左右岸总长约550m；支渠防渗工程总长145m、机耕桥工程1座、拆除旧闸坝、新建堰坝、分水闸。</w:t>
            </w:r>
          </w:p>
          <w:p w14:paraId="64CA91DA">
            <w:pPr>
              <w:pStyle w:val="17"/>
              <w:spacing w:before="159" w:line="221" w:lineRule="auto"/>
              <w:ind w:left="120"/>
              <w:rPr>
                <w:color w:val="auto"/>
                <w:highlight w:val="none"/>
              </w:rPr>
            </w:pPr>
            <w:r>
              <w:rPr>
                <w:rFonts w:hint="eastAsia"/>
                <w:color w:val="auto"/>
                <w:spacing w:val="-1"/>
                <w:highlight w:val="none"/>
                <w:lang w:val="en-US" w:eastAsia="zh-CN"/>
              </w:rPr>
              <w:t>2</w:t>
            </w:r>
            <w:r>
              <w:rPr>
                <w:color w:val="auto"/>
                <w:spacing w:val="-1"/>
                <w:highlight w:val="none"/>
              </w:rPr>
              <w:t>、资金来源及出资比例：财政资金，100%</w:t>
            </w:r>
          </w:p>
          <w:p w14:paraId="51D024E4">
            <w:pPr>
              <w:pStyle w:val="17"/>
              <w:spacing w:before="157" w:line="219" w:lineRule="auto"/>
              <w:ind w:left="115"/>
              <w:rPr>
                <w:color w:val="auto"/>
                <w:highlight w:val="none"/>
              </w:rPr>
            </w:pPr>
            <w:r>
              <w:rPr>
                <w:rFonts w:hint="eastAsia"/>
                <w:color w:val="auto"/>
                <w:spacing w:val="-2"/>
                <w:highlight w:val="none"/>
                <w:lang w:val="en-US" w:eastAsia="zh-CN"/>
              </w:rPr>
              <w:t>3</w:t>
            </w:r>
            <w:r>
              <w:rPr>
                <w:color w:val="auto"/>
                <w:spacing w:val="-2"/>
                <w:highlight w:val="none"/>
              </w:rPr>
              <w:t>、发包方式：综合单价，包工包料。</w:t>
            </w:r>
          </w:p>
          <w:p w14:paraId="5822150E">
            <w:pPr>
              <w:pStyle w:val="17"/>
              <w:numPr>
                <w:ilvl w:val="0"/>
                <w:numId w:val="0"/>
              </w:numPr>
              <w:spacing w:before="23" w:line="358" w:lineRule="auto"/>
              <w:ind w:left="131" w:leftChars="0" w:right="103" w:rightChars="0"/>
              <w:jc w:val="both"/>
              <w:rPr>
                <w:color w:val="auto"/>
                <w:highlight w:val="none"/>
              </w:rPr>
            </w:pPr>
            <w:r>
              <w:rPr>
                <w:rFonts w:hint="eastAsia"/>
                <w:color w:val="auto"/>
                <w:spacing w:val="-1"/>
                <w:highlight w:val="none"/>
                <w:lang w:val="en-US" w:eastAsia="zh-CN"/>
              </w:rPr>
              <w:t>4</w:t>
            </w:r>
            <w:r>
              <w:rPr>
                <w:color w:val="auto"/>
                <w:spacing w:val="-1"/>
                <w:highlight w:val="none"/>
              </w:rPr>
              <w:t>、质量要求：达到国家施工验收规范合格标准。</w:t>
            </w:r>
          </w:p>
        </w:tc>
      </w:tr>
      <w:tr w14:paraId="673F7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1" w:type="dxa"/>
          <w:trHeight w:val="415" w:hRule="atLeast"/>
        </w:trPr>
        <w:tc>
          <w:tcPr>
            <w:tcW w:w="9399" w:type="dxa"/>
            <w:gridSpan w:val="6"/>
            <w:vAlign w:val="top"/>
          </w:tcPr>
          <w:p w14:paraId="6A648943">
            <w:pPr>
              <w:pStyle w:val="17"/>
              <w:spacing w:before="31" w:line="221" w:lineRule="auto"/>
              <w:ind w:left="119"/>
              <w:rPr>
                <w:color w:val="auto"/>
                <w:highlight w:val="none"/>
              </w:rPr>
            </w:pPr>
            <w:r>
              <w:rPr>
                <w:b/>
                <w:bCs/>
                <w:color w:val="auto"/>
                <w:spacing w:val="-5"/>
                <w:highlight w:val="none"/>
              </w:rPr>
              <w:t>一、商务要求</w:t>
            </w:r>
          </w:p>
        </w:tc>
      </w:tr>
      <w:tr w14:paraId="6487C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1" w:type="dxa"/>
          <w:trHeight w:val="412" w:hRule="atLeast"/>
        </w:trPr>
        <w:tc>
          <w:tcPr>
            <w:tcW w:w="2104" w:type="dxa"/>
            <w:gridSpan w:val="2"/>
            <w:vAlign w:val="top"/>
          </w:tcPr>
          <w:p w14:paraId="78EBEA7F">
            <w:pPr>
              <w:pStyle w:val="17"/>
              <w:spacing w:before="32" w:line="221" w:lineRule="auto"/>
              <w:ind w:left="636"/>
              <w:rPr>
                <w:color w:val="auto"/>
                <w:highlight w:val="none"/>
              </w:rPr>
            </w:pPr>
            <w:r>
              <w:rPr>
                <w:color w:val="auto"/>
                <w:spacing w:val="-2"/>
                <w:highlight w:val="none"/>
              </w:rPr>
              <w:t>计划工期</w:t>
            </w:r>
          </w:p>
        </w:tc>
        <w:tc>
          <w:tcPr>
            <w:tcW w:w="7295" w:type="dxa"/>
            <w:gridSpan w:val="4"/>
            <w:vAlign w:val="top"/>
          </w:tcPr>
          <w:p w14:paraId="60F6C1AC">
            <w:pPr>
              <w:pStyle w:val="17"/>
              <w:spacing w:before="99" w:line="221" w:lineRule="auto"/>
              <w:ind w:left="112"/>
              <w:rPr>
                <w:color w:val="auto"/>
                <w:highlight w:val="none"/>
              </w:rPr>
            </w:pPr>
            <w:r>
              <w:rPr>
                <w:color w:val="auto"/>
                <w:spacing w:val="-2"/>
                <w:highlight w:val="none"/>
              </w:rPr>
              <w:t>计划工期</w:t>
            </w:r>
            <w:r>
              <w:rPr>
                <w:color w:val="auto"/>
                <w:spacing w:val="-2"/>
                <w:highlight w:val="none"/>
              </w:rPr>
              <w:t>：</w:t>
            </w:r>
            <w:r>
              <w:rPr>
                <w:rFonts w:hint="eastAsia"/>
                <w:color w:val="auto"/>
                <w:spacing w:val="-2"/>
                <w:highlight w:val="none"/>
                <w:lang w:val="en-US" w:eastAsia="zh-CN"/>
              </w:rPr>
              <w:t>150</w:t>
            </w:r>
            <w:r>
              <w:rPr>
                <w:color w:val="auto"/>
                <w:spacing w:val="-2"/>
                <w:highlight w:val="none"/>
              </w:rPr>
              <w:t>天（日历</w:t>
            </w:r>
            <w:r>
              <w:rPr>
                <w:rFonts w:hint="eastAsia"/>
                <w:color w:val="auto"/>
                <w:spacing w:val="-2"/>
                <w:highlight w:val="none"/>
                <w:lang w:val="en-US" w:eastAsia="zh-CN"/>
              </w:rPr>
              <w:t>天</w:t>
            </w:r>
            <w:r>
              <w:rPr>
                <w:color w:val="auto"/>
                <w:spacing w:val="-2"/>
                <w:highlight w:val="none"/>
              </w:rPr>
              <w:t>）</w:t>
            </w:r>
          </w:p>
        </w:tc>
      </w:tr>
      <w:tr w14:paraId="6A18B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1" w:type="dxa"/>
          <w:trHeight w:val="412" w:hRule="atLeast"/>
        </w:trPr>
        <w:tc>
          <w:tcPr>
            <w:tcW w:w="2104" w:type="dxa"/>
            <w:gridSpan w:val="2"/>
            <w:vAlign w:val="top"/>
          </w:tcPr>
          <w:p w14:paraId="5BD633E5">
            <w:pPr>
              <w:pStyle w:val="17"/>
              <w:spacing w:before="32" w:line="223" w:lineRule="auto"/>
              <w:ind w:left="428"/>
              <w:rPr>
                <w:color w:val="auto"/>
                <w:highlight w:val="none"/>
              </w:rPr>
            </w:pPr>
            <w:r>
              <w:rPr>
                <w:color w:val="auto"/>
                <w:spacing w:val="-1"/>
                <w:highlight w:val="none"/>
              </w:rPr>
              <w:t>合同签订时间</w:t>
            </w:r>
          </w:p>
        </w:tc>
        <w:tc>
          <w:tcPr>
            <w:tcW w:w="7295" w:type="dxa"/>
            <w:gridSpan w:val="4"/>
            <w:vAlign w:val="top"/>
          </w:tcPr>
          <w:p w14:paraId="3536DCEB">
            <w:pPr>
              <w:pStyle w:val="17"/>
              <w:spacing w:before="32" w:line="220" w:lineRule="auto"/>
              <w:ind w:left="147"/>
              <w:rPr>
                <w:color w:val="auto"/>
                <w:highlight w:val="none"/>
              </w:rPr>
            </w:pPr>
            <w:r>
              <w:rPr>
                <w:color w:val="auto"/>
                <w:spacing w:val="-5"/>
                <w:highlight w:val="none"/>
              </w:rPr>
              <w:t>自成交通知书发出之日起</w:t>
            </w:r>
            <w:r>
              <w:rPr>
                <w:color w:val="auto"/>
                <w:spacing w:val="-43"/>
                <w:highlight w:val="none"/>
              </w:rPr>
              <w:t xml:space="preserve"> </w:t>
            </w:r>
            <w:r>
              <w:rPr>
                <w:color w:val="auto"/>
                <w:spacing w:val="-5"/>
                <w:highlight w:val="none"/>
                <w:u w:val="single" w:color="auto"/>
              </w:rPr>
              <w:t>25</w:t>
            </w:r>
            <w:r>
              <w:rPr>
                <w:color w:val="auto"/>
                <w:spacing w:val="-53"/>
                <w:highlight w:val="none"/>
                <w:u w:val="single" w:color="auto"/>
              </w:rPr>
              <w:t xml:space="preserve"> </w:t>
            </w:r>
            <w:r>
              <w:rPr>
                <w:color w:val="auto"/>
                <w:spacing w:val="-60"/>
                <w:highlight w:val="none"/>
              </w:rPr>
              <w:t xml:space="preserve"> </w:t>
            </w:r>
            <w:r>
              <w:rPr>
                <w:color w:val="auto"/>
                <w:spacing w:val="-5"/>
                <w:highlight w:val="none"/>
              </w:rPr>
              <w:t>日内</w:t>
            </w:r>
          </w:p>
        </w:tc>
      </w:tr>
      <w:tr w14:paraId="42CC1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1" w:type="dxa"/>
          <w:trHeight w:val="417" w:hRule="atLeast"/>
        </w:trPr>
        <w:tc>
          <w:tcPr>
            <w:tcW w:w="2104" w:type="dxa"/>
            <w:gridSpan w:val="2"/>
            <w:vAlign w:val="top"/>
          </w:tcPr>
          <w:p w14:paraId="122A6067">
            <w:pPr>
              <w:pStyle w:val="17"/>
              <w:spacing w:before="34" w:line="221" w:lineRule="auto"/>
              <w:ind w:left="637"/>
              <w:rPr>
                <w:color w:val="auto"/>
                <w:highlight w:val="none"/>
              </w:rPr>
            </w:pPr>
            <w:r>
              <w:rPr>
                <w:color w:val="auto"/>
                <w:spacing w:val="-2"/>
                <w:highlight w:val="none"/>
              </w:rPr>
              <w:t>其他要求</w:t>
            </w:r>
          </w:p>
        </w:tc>
        <w:tc>
          <w:tcPr>
            <w:tcW w:w="7295" w:type="dxa"/>
            <w:gridSpan w:val="4"/>
            <w:vAlign w:val="top"/>
          </w:tcPr>
          <w:p w14:paraId="3A2B017D">
            <w:pPr>
              <w:pStyle w:val="17"/>
              <w:spacing w:before="34" w:line="351" w:lineRule="auto"/>
              <w:ind w:left="112" w:right="108" w:firstLine="2"/>
              <w:jc w:val="both"/>
              <w:rPr>
                <w:color w:val="auto"/>
                <w:highlight w:val="none"/>
              </w:rPr>
            </w:pPr>
            <w:r>
              <w:rPr>
                <w:color w:val="auto"/>
                <w:spacing w:val="2"/>
                <w:highlight w:val="none"/>
              </w:rPr>
              <w:t>供应商根据项目要求和自身情况，在响应文件中提供施工组织设计（内容包含内容完整性和编制水平；施工方案与技术措施；质量管理体系与</w:t>
            </w:r>
            <w:r>
              <w:rPr>
                <w:color w:val="auto"/>
                <w:spacing w:val="4"/>
                <w:highlight w:val="none"/>
              </w:rPr>
              <w:t xml:space="preserve"> </w:t>
            </w:r>
            <w:r>
              <w:rPr>
                <w:color w:val="auto"/>
                <w:spacing w:val="2"/>
                <w:highlight w:val="none"/>
              </w:rPr>
              <w:t>措施；安全管理体系与措施；环境保护管理体系与措施；工程进度计划</w:t>
            </w:r>
            <w:r>
              <w:rPr>
                <w:color w:val="auto"/>
                <w:spacing w:val="6"/>
                <w:highlight w:val="none"/>
              </w:rPr>
              <w:t xml:space="preserve"> </w:t>
            </w:r>
            <w:r>
              <w:rPr>
                <w:color w:val="auto"/>
                <w:spacing w:val="-2"/>
                <w:highlight w:val="none"/>
              </w:rPr>
              <w:t>与措施；资源配置计划）。</w:t>
            </w:r>
          </w:p>
          <w:p w14:paraId="0633D2C2">
            <w:pPr>
              <w:pStyle w:val="17"/>
              <w:spacing w:before="34" w:line="220" w:lineRule="auto"/>
              <w:ind w:left="112"/>
              <w:rPr>
                <w:color w:val="auto"/>
                <w:highlight w:val="none"/>
              </w:rPr>
            </w:pPr>
            <w:r>
              <w:rPr>
                <w:color w:val="auto"/>
                <w:spacing w:val="-1"/>
                <w:highlight w:val="none"/>
              </w:rPr>
              <w:t>注：上述方案评分详见“第四章 评审程序、评审方法和评审标准”。</w:t>
            </w:r>
          </w:p>
        </w:tc>
      </w:tr>
    </w:tbl>
    <w:p w14:paraId="5527502C">
      <w:pPr>
        <w:rPr>
          <w:rFonts w:ascii="Arial" w:hAnsi="Arial" w:eastAsia="Arial" w:cs="Arial"/>
          <w:color w:val="auto"/>
          <w:sz w:val="21"/>
          <w:szCs w:val="21"/>
          <w:highlight w:val="none"/>
        </w:rPr>
        <w:sectPr>
          <w:footerReference r:id="rId25" w:type="default"/>
          <w:pgSz w:w="11900" w:h="16832"/>
          <w:pgMar w:top="1416" w:right="1490" w:bottom="1220" w:left="1493" w:header="0" w:footer="1060" w:gutter="0"/>
          <w:pgNumType w:fmt="decimal"/>
          <w:cols w:space="720" w:num="1"/>
        </w:sectPr>
      </w:pPr>
    </w:p>
    <w:p w14:paraId="4A697B70">
      <w:pPr>
        <w:spacing w:line="97" w:lineRule="auto"/>
        <w:rPr>
          <w:rFonts w:ascii="Arial"/>
          <w:color w:val="auto"/>
          <w:sz w:val="2"/>
          <w:highlight w:val="none"/>
        </w:rPr>
      </w:pPr>
    </w:p>
    <w:p w14:paraId="1E34EA79">
      <w:pPr>
        <w:rPr>
          <w:rFonts w:ascii="Arial"/>
          <w:color w:val="auto"/>
          <w:sz w:val="21"/>
          <w:highlight w:val="none"/>
        </w:rPr>
      </w:pPr>
    </w:p>
    <w:p w14:paraId="5C4A2259">
      <w:pPr>
        <w:spacing w:before="87" w:line="223" w:lineRule="auto"/>
        <w:ind w:left="207"/>
        <w:outlineLvl w:val="0"/>
        <w:rPr>
          <w:rFonts w:ascii="宋体" w:hAnsi="宋体" w:eastAsia="宋体" w:cs="宋体"/>
          <w:color w:val="auto"/>
          <w:sz w:val="43"/>
          <w:szCs w:val="43"/>
          <w:highlight w:val="none"/>
        </w:rPr>
      </w:pPr>
      <w:bookmarkStart w:id="9" w:name="bookmark7"/>
      <w:bookmarkEnd w:id="9"/>
      <w:bookmarkStart w:id="10" w:name="_Toc14300"/>
      <w:bookmarkStart w:id="11" w:name="_Toc27606"/>
      <w:r>
        <w:rPr>
          <w:rFonts w:ascii="宋体" w:hAnsi="宋体" w:eastAsia="宋体" w:cs="宋体"/>
          <w:b/>
          <w:bCs/>
          <w:color w:val="auto"/>
          <w:spacing w:val="5"/>
          <w:sz w:val="43"/>
          <w:szCs w:val="43"/>
          <w:highlight w:val="none"/>
        </w:rPr>
        <w:t>第四章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评审程序、评审方法和评审标准</w:t>
      </w:r>
      <w:bookmarkEnd w:id="10"/>
      <w:bookmarkEnd w:id="11"/>
    </w:p>
    <w:p w14:paraId="1B6A53FE">
      <w:pPr>
        <w:spacing w:before="320" w:line="226" w:lineRule="auto"/>
        <w:ind w:left="2416"/>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一、评审程序和评审方法</w:t>
      </w:r>
    </w:p>
    <w:p w14:paraId="7367A361">
      <w:pPr>
        <w:spacing w:before="228" w:line="219" w:lineRule="auto"/>
        <w:ind w:left="523"/>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1.资格审查</w:t>
      </w:r>
    </w:p>
    <w:p w14:paraId="42B6F5D0">
      <w:pPr>
        <w:spacing w:before="180" w:line="289" w:lineRule="auto"/>
        <w:ind w:left="446" w:right="1313" w:firstLine="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w:t>
      </w:r>
      <w:r>
        <w:rPr>
          <w:rFonts w:ascii="宋体" w:hAnsi="宋体" w:eastAsia="宋体" w:cs="宋体"/>
          <w:color w:val="auto"/>
          <w:spacing w:val="-34"/>
          <w:sz w:val="21"/>
          <w:szCs w:val="21"/>
          <w:highlight w:val="none"/>
        </w:rPr>
        <w:t xml:space="preserve"> </w:t>
      </w:r>
      <w:r>
        <w:rPr>
          <w:rFonts w:ascii="宋体" w:hAnsi="宋体" w:eastAsia="宋体" w:cs="宋体"/>
          <w:color w:val="auto"/>
          <w:spacing w:val="-2"/>
          <w:sz w:val="21"/>
          <w:szCs w:val="21"/>
          <w:highlight w:val="none"/>
        </w:rPr>
        <w:t>响应文件开启后，磋商小组依法对供应商的资格证明文件进</w:t>
      </w:r>
      <w:r>
        <w:rPr>
          <w:rFonts w:ascii="宋体" w:hAnsi="宋体" w:eastAsia="宋体" w:cs="宋体"/>
          <w:color w:val="auto"/>
          <w:spacing w:val="-3"/>
          <w:sz w:val="21"/>
          <w:szCs w:val="21"/>
          <w:highlight w:val="none"/>
        </w:rPr>
        <w:t>行审查。</w:t>
      </w:r>
      <w:r>
        <w:rPr>
          <w:rFonts w:ascii="宋体" w:hAnsi="宋体" w:eastAsia="宋体" w:cs="宋体"/>
          <w:color w:val="auto"/>
          <w:sz w:val="21"/>
          <w:szCs w:val="21"/>
          <w:highlight w:val="none"/>
        </w:rPr>
        <w:t xml:space="preserve"> 注：磋商小组在资格审查结束前，对供应商进行信用</w:t>
      </w:r>
      <w:r>
        <w:rPr>
          <w:rFonts w:ascii="宋体" w:hAnsi="宋体" w:eastAsia="宋体" w:cs="宋体"/>
          <w:color w:val="auto"/>
          <w:spacing w:val="-1"/>
          <w:sz w:val="21"/>
          <w:szCs w:val="21"/>
          <w:highlight w:val="none"/>
        </w:rPr>
        <w:t>查询。</w:t>
      </w:r>
    </w:p>
    <w:p w14:paraId="0A180FC0">
      <w:pPr>
        <w:spacing w:before="157" w:line="287" w:lineRule="auto"/>
        <w:ind w:left="46" w:firstLine="40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（1）查询渠道：广西政府采购云平台“信用中国”网站（www.creditchina.gov.cn）、</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中国政府采购网（www.ccgp.gov.cn）链接入口。</w:t>
      </w:r>
    </w:p>
    <w:p w14:paraId="55D67C1C">
      <w:pPr>
        <w:spacing w:before="163"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（2）信用查询截止时点：资格审查结束前。</w:t>
      </w:r>
    </w:p>
    <w:p w14:paraId="3FCC8906">
      <w:pPr>
        <w:spacing w:before="159" w:line="290" w:lineRule="auto"/>
        <w:ind w:left="37" w:right="87" w:firstLine="41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（3）查询记录和证据留存方式：在查询网站中直接查询，截图另存为电子文档作为评</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审资料保存。</w:t>
      </w:r>
    </w:p>
    <w:p w14:paraId="6331C777">
      <w:pPr>
        <w:spacing w:before="156" w:line="342" w:lineRule="auto"/>
        <w:ind w:left="24" w:right="76" w:firstLine="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（4）信用信息使用规则：对在“信用中国”网站（</w:t>
      </w:r>
      <w:r>
        <w:rPr>
          <w:rFonts w:ascii="宋体" w:hAnsi="宋体" w:eastAsia="宋体" w:cs="宋体"/>
          <w:color w:val="auto"/>
          <w:sz w:val="21"/>
          <w:szCs w:val="21"/>
          <w:highlight w:val="none"/>
        </w:rPr>
        <w:t>www</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creditchina</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gov</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cn</w:t>
      </w:r>
      <w:r>
        <w:rPr>
          <w:rFonts w:ascii="宋体" w:hAnsi="宋体" w:eastAsia="宋体" w:cs="宋体"/>
          <w:color w:val="auto"/>
          <w:spacing w:val="2"/>
          <w:sz w:val="21"/>
          <w:szCs w:val="21"/>
          <w:highlight w:val="none"/>
        </w:rPr>
        <w:t>） 、中</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国政府采购网（www.ccgp.gov.cn）被列入失信被执行人、重大税收违法失</w:t>
      </w:r>
      <w:r>
        <w:rPr>
          <w:rFonts w:ascii="宋体" w:hAnsi="宋体" w:eastAsia="宋体" w:cs="宋体"/>
          <w:color w:val="auto"/>
          <w:spacing w:val="-1"/>
          <w:sz w:val="21"/>
          <w:szCs w:val="21"/>
          <w:highlight w:val="none"/>
        </w:rPr>
        <w:t>信主体、政府采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购严重违法失信行为记录名单及其他不符合《中华人民共和国政府采购法》第二十二条规</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定条件的供应商，资格审查不通过，不得参与</w:t>
      </w:r>
      <w:r>
        <w:rPr>
          <w:rFonts w:ascii="宋体" w:hAnsi="宋体" w:eastAsia="宋体" w:cs="宋体"/>
          <w:color w:val="auto"/>
          <w:spacing w:val="2"/>
          <w:sz w:val="21"/>
          <w:szCs w:val="21"/>
          <w:highlight w:val="none"/>
        </w:rPr>
        <w:t>政府采购活动。两个以上的自然人、法人或</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者其他组织组成一个联合体，以一个供应商的身份共同参加政府采购活动的，应当对所有</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联合体成员进行信用记录查询，联合体成员存在不</w:t>
      </w:r>
      <w:r>
        <w:rPr>
          <w:rFonts w:ascii="宋体" w:hAnsi="宋体" w:eastAsia="宋体" w:cs="宋体"/>
          <w:color w:val="auto"/>
          <w:spacing w:val="2"/>
          <w:sz w:val="21"/>
          <w:szCs w:val="21"/>
          <w:highlight w:val="none"/>
        </w:rPr>
        <w:t>良信用记录（被列入失信被执行人、重</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大税收违法失信主体、政府采购严重违法失信行为记录名单及其他不符合《中华人民共和</w:t>
      </w:r>
      <w:r>
        <w:rPr>
          <w:rFonts w:ascii="宋体" w:hAnsi="宋体" w:eastAsia="宋体" w:cs="宋体"/>
          <w:color w:val="auto"/>
          <w:spacing w:val="16"/>
          <w:sz w:val="21"/>
          <w:szCs w:val="21"/>
          <w:highlight w:val="none"/>
        </w:rPr>
        <w:t xml:space="preserve"> </w:t>
      </w:r>
      <w:r>
        <w:rPr>
          <w:rFonts w:ascii="宋体" w:hAnsi="宋体" w:eastAsia="宋体" w:cs="宋体"/>
          <w:color w:val="auto"/>
          <w:sz w:val="21"/>
          <w:szCs w:val="21"/>
          <w:highlight w:val="none"/>
        </w:rPr>
        <w:t>国政府采购法》第二十二条规定条件的供应商）的，视同联合体存在不良信用记录。</w:t>
      </w:r>
    </w:p>
    <w:p w14:paraId="1BB62743">
      <w:pPr>
        <w:spacing w:before="159" w:line="289" w:lineRule="auto"/>
        <w:ind w:left="27" w:right="78" w:firstLine="43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 资格审查标准为本磋商文件中载明对供应商资格要求的条件。资格审查采用合格</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rPr>
        <w:t>制，凡符合磋商文件规定的供应商资格要求的响应文件均通过资</w:t>
      </w:r>
      <w:r>
        <w:rPr>
          <w:rFonts w:ascii="宋体" w:hAnsi="宋体" w:eastAsia="宋体" w:cs="宋体"/>
          <w:color w:val="auto"/>
          <w:spacing w:val="-1"/>
          <w:sz w:val="21"/>
          <w:szCs w:val="21"/>
          <w:highlight w:val="none"/>
        </w:rPr>
        <w:t>格审查。</w:t>
      </w:r>
    </w:p>
    <w:p w14:paraId="11AC6B79">
      <w:pPr>
        <w:spacing w:before="157" w:line="220" w:lineRule="auto"/>
        <w:ind w:left="4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1.3</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供应商有下列情形之一的，资格审查不通过，</w:t>
      </w:r>
      <w:r>
        <w:rPr>
          <w:rFonts w:ascii="宋体" w:hAnsi="宋体" w:eastAsia="宋体" w:cs="宋体"/>
          <w:b/>
          <w:bCs/>
          <w:color w:val="auto"/>
          <w:spacing w:val="-1"/>
          <w:sz w:val="21"/>
          <w:szCs w:val="21"/>
          <w:highlight w:val="none"/>
        </w:rPr>
        <w:t>其响</w:t>
      </w:r>
      <w:r>
        <w:rPr>
          <w:rFonts w:ascii="宋体" w:hAnsi="宋体" w:eastAsia="宋体" w:cs="宋体"/>
          <w:b/>
          <w:bCs/>
          <w:color w:val="auto"/>
          <w:spacing w:val="-2"/>
          <w:sz w:val="21"/>
          <w:szCs w:val="21"/>
          <w:highlight w:val="none"/>
        </w:rPr>
        <w:t>应文件按无效处理</w:t>
      </w:r>
      <w:r>
        <w:rPr>
          <w:rFonts w:ascii="宋体" w:hAnsi="宋体" w:eastAsia="宋体" w:cs="宋体"/>
          <w:color w:val="auto"/>
          <w:spacing w:val="-2"/>
          <w:sz w:val="21"/>
          <w:szCs w:val="21"/>
          <w:highlight w:val="none"/>
        </w:rPr>
        <w:t>：</w:t>
      </w:r>
    </w:p>
    <w:p w14:paraId="11822701">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（1）不具备磋商文件中规定的资格要求的；</w:t>
      </w:r>
    </w:p>
    <w:p w14:paraId="05413D62">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（2）未按磋商文件规定的方式获取本磋商文件的供应商；</w:t>
      </w:r>
    </w:p>
    <w:p w14:paraId="39A1B167">
      <w:pPr>
        <w:spacing w:before="158" w:line="289" w:lineRule="auto"/>
        <w:ind w:left="12" w:right="79" w:firstLine="440"/>
        <w:rPr>
          <w:rFonts w:ascii="宋体" w:hAnsi="宋体" w:eastAsia="宋体" w:cs="宋体"/>
          <w:color w:val="auto"/>
          <w:sz w:val="21"/>
          <w:szCs w:val="21"/>
          <w:highlight w:val="none"/>
        </w:rPr>
      </w:pPr>
      <w:r>
        <w:rPr>
          <w:rFonts w:ascii="宋体" w:hAnsi="宋体" w:eastAsia="宋体" w:cs="宋体"/>
          <w:color w:val="auto"/>
          <w:sz w:val="21"/>
          <w:szCs w:val="21"/>
          <w:highlight w:val="none"/>
        </w:rPr>
        <w:t>（3）响应文件的资格证明文件缺少任一项“供应商</w:t>
      </w:r>
      <w:r>
        <w:rPr>
          <w:rFonts w:ascii="宋体" w:hAnsi="宋体" w:eastAsia="宋体" w:cs="宋体"/>
          <w:color w:val="auto"/>
          <w:spacing w:val="-1"/>
          <w:sz w:val="21"/>
          <w:szCs w:val="21"/>
          <w:highlight w:val="none"/>
        </w:rPr>
        <w:t>须知前附表”资格证明文件规定的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“必须提供”的文件资料的；</w:t>
      </w:r>
    </w:p>
    <w:p w14:paraId="2C3966ED">
      <w:pPr>
        <w:spacing w:before="159" w:line="289" w:lineRule="auto"/>
        <w:ind w:left="25" w:right="76"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（4）响应文件中的资格证明文件出现任一项不符合“供</w:t>
      </w:r>
      <w:r>
        <w:rPr>
          <w:rFonts w:ascii="宋体" w:hAnsi="宋体" w:eastAsia="宋体" w:cs="宋体"/>
          <w:color w:val="auto"/>
          <w:spacing w:val="-1"/>
          <w:sz w:val="21"/>
          <w:szCs w:val="21"/>
          <w:highlight w:val="none"/>
        </w:rPr>
        <w:t>应商须知前附表”资格证明文</w:t>
      </w:r>
      <w:r>
        <w:rPr>
          <w:rFonts w:ascii="宋体" w:hAnsi="宋体" w:eastAsia="宋体" w:cs="宋体"/>
          <w:color w:val="auto"/>
          <w:sz w:val="21"/>
          <w:szCs w:val="21"/>
          <w:highlight w:val="none"/>
        </w:rPr>
        <w:t xml:space="preserve"> 件规定的“必须提供”的文件资料要求或者无</w:t>
      </w:r>
      <w:r>
        <w:rPr>
          <w:rFonts w:ascii="宋体" w:hAnsi="宋体" w:eastAsia="宋体" w:cs="宋体"/>
          <w:color w:val="auto"/>
          <w:spacing w:val="-1"/>
          <w:sz w:val="21"/>
          <w:szCs w:val="21"/>
          <w:highlight w:val="none"/>
        </w:rPr>
        <w:t>效的；</w:t>
      </w:r>
    </w:p>
    <w:p w14:paraId="0B5A0291">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（5）有第二章“供应商须知”第</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3.2</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项规定的任何一种情</w:t>
      </w:r>
      <w:r>
        <w:rPr>
          <w:rFonts w:ascii="宋体" w:hAnsi="宋体" w:eastAsia="宋体" w:cs="宋体"/>
          <w:color w:val="auto"/>
          <w:spacing w:val="-2"/>
          <w:sz w:val="21"/>
          <w:szCs w:val="21"/>
          <w:highlight w:val="none"/>
        </w:rPr>
        <w:t>形的。</w:t>
      </w:r>
    </w:p>
    <w:p w14:paraId="6CBAB042">
      <w:pPr>
        <w:spacing w:before="159" w:line="289" w:lineRule="auto"/>
        <w:ind w:left="25" w:right="76"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1.4</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通过资格审查的合格供应商不足</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3</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rPr>
        <w:t>家的，不得进入符合性审查环节，应当重新开展</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采购活动。</w:t>
      </w:r>
    </w:p>
    <w:p w14:paraId="0AEE30DD">
      <w:pPr>
        <w:spacing w:before="162" w:line="219" w:lineRule="auto"/>
        <w:ind w:left="511"/>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2.符合性审查</w:t>
      </w:r>
    </w:p>
    <w:p w14:paraId="72F970E9">
      <w:pPr>
        <w:spacing w:before="179" w:line="219" w:lineRule="auto"/>
        <w:ind w:left="44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2.1</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磋商小组对通过资格审查的合格供应商的响应文件的竞标报价、商务、技术等实质</w:t>
      </w:r>
    </w:p>
    <w:p w14:paraId="729F4236">
      <w:pPr>
        <w:spacing w:line="219" w:lineRule="auto"/>
        <w:rPr>
          <w:rFonts w:ascii="宋体" w:hAnsi="宋体" w:eastAsia="宋体" w:cs="宋体"/>
          <w:color w:val="auto"/>
          <w:sz w:val="21"/>
          <w:szCs w:val="21"/>
          <w:highlight w:val="none"/>
        </w:rPr>
        <w:sectPr>
          <w:footerReference r:id="rId26" w:type="default"/>
          <w:pgSz w:w="11900" w:h="16832"/>
          <w:pgMar w:top="1416" w:right="1721" w:bottom="1220" w:left="1784" w:header="0" w:footer="1060" w:gutter="0"/>
          <w:pgNumType w:fmt="decimal"/>
          <w:cols w:space="720" w:num="1"/>
        </w:sectPr>
      </w:pPr>
    </w:p>
    <w:p w14:paraId="0FECE38A">
      <w:pPr>
        <w:spacing w:before="41" w:line="221" w:lineRule="auto"/>
        <w:ind w:left="28"/>
        <w:rPr>
          <w:rFonts w:ascii="宋体" w:hAnsi="宋体" w:eastAsia="宋体" w:cs="宋体"/>
          <w:color w:val="auto"/>
          <w:sz w:val="21"/>
          <w:szCs w:val="21"/>
          <w:highlight w:val="none"/>
        </w:rPr>
      </w:pPr>
      <w:r>
        <w:rPr>
          <w:rFonts w:ascii="宋体" w:hAnsi="宋体" w:eastAsia="宋体" w:cs="宋体"/>
          <w:color w:val="auto"/>
          <w:sz w:val="21"/>
          <w:szCs w:val="21"/>
          <w:highlight w:val="none"/>
        </w:rPr>
        <w:t>性要求进行符合性审查，以确定其是否满足磋商文件的实</w:t>
      </w:r>
      <w:r>
        <w:rPr>
          <w:rFonts w:ascii="宋体" w:hAnsi="宋体" w:eastAsia="宋体" w:cs="宋体"/>
          <w:color w:val="auto"/>
          <w:spacing w:val="-1"/>
          <w:sz w:val="21"/>
          <w:szCs w:val="21"/>
          <w:highlight w:val="none"/>
        </w:rPr>
        <w:t>质性要求。</w:t>
      </w:r>
    </w:p>
    <w:p w14:paraId="7EDCB167">
      <w:pPr>
        <w:spacing w:before="155" w:line="325" w:lineRule="auto"/>
        <w:ind w:left="26" w:right="74"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2.2</w:t>
      </w:r>
      <w:r>
        <w:rPr>
          <w:rFonts w:ascii="宋体" w:hAnsi="宋体" w:eastAsia="宋体" w:cs="宋体"/>
          <w:color w:val="auto"/>
          <w:spacing w:val="-34"/>
          <w:sz w:val="21"/>
          <w:szCs w:val="21"/>
          <w:highlight w:val="none"/>
        </w:rPr>
        <w:t xml:space="preserve"> </w:t>
      </w:r>
      <w:r>
        <w:rPr>
          <w:rFonts w:ascii="宋体" w:hAnsi="宋体" w:eastAsia="宋体" w:cs="宋体"/>
          <w:color w:val="auto"/>
          <w:spacing w:val="-2"/>
          <w:sz w:val="21"/>
          <w:szCs w:val="21"/>
          <w:highlight w:val="none"/>
        </w:rPr>
        <w:t>磋商小组在对响应文件进行符合性审查时，可以要求供应商对响应文件中含义不明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确、同类问题表述不一致或者有明显文字和计算错误的内容等作出必要的澄清、说明或者</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更正。供应商的澄清、说明或者更正不得超出响应文件的范围或者改变响应文件的实质性</w:t>
      </w:r>
      <w:r>
        <w:rPr>
          <w:rFonts w:ascii="宋体" w:hAnsi="宋体" w:eastAsia="宋体" w:cs="宋体"/>
          <w:color w:val="auto"/>
          <w:spacing w:val="12"/>
          <w:sz w:val="21"/>
          <w:szCs w:val="21"/>
          <w:highlight w:val="none"/>
        </w:rPr>
        <w:t xml:space="preserve"> </w:t>
      </w:r>
      <w:r>
        <w:rPr>
          <w:rFonts w:ascii="宋体" w:hAnsi="宋体" w:eastAsia="宋体" w:cs="宋体"/>
          <w:color w:val="auto"/>
          <w:spacing w:val="-8"/>
          <w:sz w:val="21"/>
          <w:szCs w:val="21"/>
          <w:highlight w:val="none"/>
        </w:rPr>
        <w:t>内容。</w:t>
      </w:r>
    </w:p>
    <w:p w14:paraId="662CFF87">
      <w:pPr>
        <w:spacing w:before="159" w:line="331" w:lineRule="auto"/>
        <w:ind w:left="26" w:right="76"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2.3</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磋商小组要求供应商澄清、说明或者更正响应文件应当以电子澄清函形式作出。供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应商的澄清、说明或者更正应当已电子回函形式按照磋商小组的要求作出明确的澄清、说</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明或者更正，未按磋商小组的要求作出明确澄清、说明或者更正的供应商的响应文件将按</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照有利于采购人的原则由磋商小组进行判定。供应商的澄清、说明或者更正必须加盖电子</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签章。</w:t>
      </w:r>
    </w:p>
    <w:p w14:paraId="3D8A31CF">
      <w:pPr>
        <w:spacing w:before="156" w:line="353" w:lineRule="auto"/>
        <w:ind w:left="27" w:firstLine="421"/>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异常情况处理：如遇无法正常使用线上发送澄清函的情况，将启动书面形式办理。启</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动书面形式办理的情况下，磋商小组以书面形式要求供应商在规定时间内作出必要的澄清、</w:t>
      </w:r>
      <w:r>
        <w:rPr>
          <w:rFonts w:ascii="宋体" w:hAnsi="宋体" w:eastAsia="宋体" w:cs="宋体"/>
          <w:color w:val="auto"/>
          <w:spacing w:val="4"/>
          <w:sz w:val="21"/>
          <w:szCs w:val="21"/>
          <w:highlight w:val="none"/>
        </w:rPr>
        <w:t xml:space="preserve"> </w:t>
      </w:r>
      <w:r>
        <w:rPr>
          <w:rFonts w:ascii="宋体" w:hAnsi="宋体" w:eastAsia="宋体" w:cs="宋体"/>
          <w:color w:val="auto"/>
          <w:spacing w:val="2"/>
          <w:sz w:val="21"/>
          <w:szCs w:val="21"/>
          <w:highlight w:val="none"/>
        </w:rPr>
        <w:t>说明或者补正。供应商的澄清、说明或者补正必须采用书面形式，并加盖公章，或者由法</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定代表人或者其授权的代表签字。</w:t>
      </w:r>
    </w:p>
    <w:p w14:paraId="7D8971C9">
      <w:pPr>
        <w:spacing w:before="30" w:line="219" w:lineRule="auto"/>
        <w:ind w:left="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2.4</w:t>
      </w:r>
      <w:r>
        <w:rPr>
          <w:rFonts w:ascii="宋体" w:hAnsi="宋体" w:eastAsia="宋体" w:cs="宋体"/>
          <w:color w:val="auto"/>
          <w:spacing w:val="-48"/>
          <w:sz w:val="21"/>
          <w:szCs w:val="21"/>
          <w:highlight w:val="none"/>
        </w:rPr>
        <w:t xml:space="preserve"> </w:t>
      </w:r>
      <w:r>
        <w:rPr>
          <w:rFonts w:ascii="宋体" w:hAnsi="宋体" w:eastAsia="宋体" w:cs="宋体"/>
          <w:color w:val="auto"/>
          <w:spacing w:val="-2"/>
          <w:sz w:val="21"/>
          <w:szCs w:val="21"/>
          <w:highlight w:val="none"/>
        </w:rPr>
        <w:t>首次响应文件报价出现前后不一致的，按照下列规定修正：</w:t>
      </w:r>
    </w:p>
    <w:p w14:paraId="20BDA0CB">
      <w:pPr>
        <w:spacing w:before="159" w:line="219"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（1）响应文件中报价表内容与响应文件中相应内容不</w:t>
      </w:r>
      <w:r>
        <w:rPr>
          <w:rFonts w:ascii="宋体" w:hAnsi="宋体" w:eastAsia="宋体" w:cs="宋体"/>
          <w:color w:val="auto"/>
          <w:spacing w:val="-1"/>
          <w:sz w:val="21"/>
          <w:szCs w:val="21"/>
          <w:highlight w:val="none"/>
        </w:rPr>
        <w:t>一致的，以报价表为准；</w:t>
      </w:r>
    </w:p>
    <w:p w14:paraId="48AB199B">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（2）大写金额和小写金额不一致的，以大写金额为准；</w:t>
      </w:r>
    </w:p>
    <w:p w14:paraId="3D9142E6">
      <w:pPr>
        <w:spacing w:before="160" w:line="219"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（3）单价金额小数点或者百分比有明显错位的，以报价表</w:t>
      </w:r>
      <w:r>
        <w:rPr>
          <w:rFonts w:ascii="宋体" w:hAnsi="宋体" w:eastAsia="宋体" w:cs="宋体"/>
          <w:color w:val="auto"/>
          <w:spacing w:val="-1"/>
          <w:sz w:val="21"/>
          <w:szCs w:val="21"/>
          <w:highlight w:val="none"/>
        </w:rPr>
        <w:t>的总价为准，并修改单价；</w:t>
      </w:r>
    </w:p>
    <w:p w14:paraId="7181F1EB">
      <w:pPr>
        <w:spacing w:before="159"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（4）总价金额与按单价汇总金额不一致的，以单价金额计算结果为准。</w:t>
      </w:r>
    </w:p>
    <w:p w14:paraId="6EC847C9">
      <w:pPr>
        <w:spacing w:before="160" w:line="344" w:lineRule="auto"/>
        <w:ind w:left="43" w:right="89" w:firstLine="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同时出现两种以上不一致的，按照以上（1）-（4）规定的顺序逐条进行修正。修正后</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的报价经供应商确认后产生约束力，供应商不确认的，</w:t>
      </w:r>
      <w:r>
        <w:rPr>
          <w:rFonts w:ascii="宋体" w:hAnsi="宋体" w:eastAsia="宋体" w:cs="宋体"/>
          <w:b/>
          <w:bCs/>
          <w:color w:val="auto"/>
          <w:spacing w:val="-1"/>
          <w:sz w:val="21"/>
          <w:szCs w:val="21"/>
          <w:highlight w:val="none"/>
        </w:rPr>
        <w:t>其响应文件按无效处理</w:t>
      </w:r>
      <w:r>
        <w:rPr>
          <w:rFonts w:ascii="宋体" w:hAnsi="宋体" w:eastAsia="宋体" w:cs="宋体"/>
          <w:color w:val="auto"/>
          <w:spacing w:val="-1"/>
          <w:sz w:val="21"/>
          <w:szCs w:val="21"/>
          <w:highlight w:val="none"/>
        </w:rPr>
        <w:t>。</w:t>
      </w:r>
    </w:p>
    <w:p w14:paraId="14D75F7D">
      <w:pPr>
        <w:spacing w:before="35" w:line="219" w:lineRule="auto"/>
        <w:ind w:left="44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2.5</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商务技术报价评审</w:t>
      </w:r>
    </w:p>
    <w:p w14:paraId="21B4A114">
      <w:pPr>
        <w:spacing w:before="158" w:line="221" w:lineRule="auto"/>
        <w:ind w:left="447"/>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在评审时，如发现下列情形之一的，将被视为响应文件无效</w:t>
      </w:r>
      <w:r>
        <w:rPr>
          <w:rFonts w:ascii="宋体" w:hAnsi="宋体" w:eastAsia="宋体" w:cs="宋体"/>
          <w:b/>
          <w:bCs/>
          <w:color w:val="auto"/>
          <w:spacing w:val="-4"/>
          <w:sz w:val="21"/>
          <w:szCs w:val="21"/>
          <w:highlight w:val="none"/>
        </w:rPr>
        <w:t>处理：</w:t>
      </w:r>
    </w:p>
    <w:p w14:paraId="378E44B2">
      <w:pPr>
        <w:spacing w:before="156" w:line="221" w:lineRule="auto"/>
        <w:ind w:left="454"/>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（1）商务技术评审</w:t>
      </w:r>
    </w:p>
    <w:p w14:paraId="6FFC9908">
      <w:pPr>
        <w:spacing w:before="158" w:line="220" w:lineRule="auto"/>
        <w:ind w:left="464"/>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1）响应文件未按磋商文件要求签署、盖章的；</w:t>
      </w:r>
    </w:p>
    <w:p w14:paraId="793A374E">
      <w:pPr>
        <w:spacing w:before="158" w:line="220" w:lineRule="auto"/>
        <w:ind w:left="451"/>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2）委托代理人未能出具有效身份证或者出具的身份证与授权委托书中的信息不符的；</w:t>
      </w:r>
    </w:p>
    <w:p w14:paraId="72ABEA93">
      <w:pPr>
        <w:spacing w:before="160" w:line="221" w:lineRule="auto"/>
        <w:ind w:left="452"/>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3）提交的磋商保证金无效的或者未按照磋商文件的规定提交磋商保证金的；</w:t>
      </w:r>
    </w:p>
    <w:p w14:paraId="354A5B39">
      <w:pPr>
        <w:spacing w:before="157" w:line="324" w:lineRule="auto"/>
        <w:ind w:left="12" w:right="75" w:firstLine="435"/>
        <w:rPr>
          <w:rFonts w:ascii="宋体" w:hAnsi="宋体" w:eastAsia="宋体" w:cs="宋体"/>
          <w:color w:val="auto"/>
          <w:sz w:val="21"/>
          <w:szCs w:val="21"/>
          <w:highlight w:val="none"/>
        </w:rPr>
      </w:pPr>
      <w:r>
        <w:rPr>
          <w:rFonts w:ascii="宋体" w:hAnsi="宋体" w:eastAsia="宋体" w:cs="宋体"/>
          <w:b/>
          <w:bCs/>
          <w:color w:val="auto"/>
          <w:sz w:val="21"/>
          <w:szCs w:val="21"/>
          <w:highlight w:val="none"/>
        </w:rPr>
        <w:t>4）响应文件未提供任一项“供应商须知前附表”商务技术文件中</w:t>
      </w:r>
      <w:r>
        <w:rPr>
          <w:rFonts w:ascii="宋体" w:hAnsi="宋体" w:eastAsia="宋体" w:cs="宋体"/>
          <w:color w:val="auto"/>
          <w:sz w:val="21"/>
          <w:szCs w:val="21"/>
          <w:highlight w:val="none"/>
        </w:rPr>
        <w:t xml:space="preserve"> </w:t>
      </w:r>
      <w:r>
        <w:rPr>
          <w:rFonts w:ascii="宋体" w:hAnsi="宋体" w:eastAsia="宋体" w:cs="宋体"/>
          <w:b/>
          <w:bCs/>
          <w:color w:val="auto"/>
          <w:sz w:val="21"/>
          <w:szCs w:val="21"/>
          <w:highlight w:val="none"/>
        </w:rPr>
        <w:t>“必须提供”或者</w:t>
      </w:r>
      <w:r>
        <w:rPr>
          <w:rFonts w:ascii="宋体" w:hAnsi="宋体" w:eastAsia="宋体" w:cs="宋体"/>
          <w:color w:val="auto"/>
          <w:spacing w:val="14"/>
          <w:sz w:val="21"/>
          <w:szCs w:val="21"/>
          <w:highlight w:val="none"/>
        </w:rPr>
        <w:t xml:space="preserve"> </w:t>
      </w:r>
      <w:r>
        <w:rPr>
          <w:rFonts w:ascii="宋体" w:hAnsi="宋体" w:eastAsia="宋体" w:cs="宋体"/>
          <w:b/>
          <w:bCs/>
          <w:color w:val="auto"/>
          <w:sz w:val="21"/>
          <w:szCs w:val="21"/>
          <w:highlight w:val="none"/>
        </w:rPr>
        <w:t>“委托时必须提供”的文件资料；响应文件提供的商务技术文件出现任一项不符合“供应</w:t>
      </w:r>
      <w:r>
        <w:rPr>
          <w:rFonts w:ascii="宋体" w:hAnsi="宋体" w:eastAsia="宋体" w:cs="宋体"/>
          <w:color w:val="auto"/>
          <w:spacing w:val="18"/>
          <w:sz w:val="21"/>
          <w:szCs w:val="21"/>
          <w:highlight w:val="none"/>
        </w:rPr>
        <w:t xml:space="preserve"> </w:t>
      </w:r>
      <w:r>
        <w:rPr>
          <w:rFonts w:ascii="宋体" w:hAnsi="宋体" w:eastAsia="宋体" w:cs="宋体"/>
          <w:b/>
          <w:bCs/>
          <w:color w:val="auto"/>
          <w:spacing w:val="-2"/>
          <w:sz w:val="21"/>
          <w:szCs w:val="21"/>
          <w:highlight w:val="none"/>
        </w:rPr>
        <w:t>商须知前附表”商务技术文件中</w:t>
      </w:r>
      <w:r>
        <w:rPr>
          <w:rFonts w:ascii="宋体" w:hAnsi="宋体" w:eastAsia="宋体" w:cs="宋体"/>
          <w:color w:val="auto"/>
          <w:spacing w:val="-2"/>
          <w:sz w:val="21"/>
          <w:szCs w:val="21"/>
          <w:highlight w:val="none"/>
        </w:rPr>
        <w:t xml:space="preserve"> </w:t>
      </w:r>
      <w:r>
        <w:rPr>
          <w:rFonts w:ascii="宋体" w:hAnsi="宋体" w:eastAsia="宋体" w:cs="宋体"/>
          <w:b/>
          <w:bCs/>
          <w:color w:val="auto"/>
          <w:spacing w:val="-2"/>
          <w:sz w:val="21"/>
          <w:szCs w:val="21"/>
          <w:highlight w:val="none"/>
        </w:rPr>
        <w:t>“必须提供”或者“委托时必须提供”文件资料要求的规</w:t>
      </w:r>
      <w:r>
        <w:rPr>
          <w:rFonts w:ascii="宋体" w:hAnsi="宋体" w:eastAsia="宋体" w:cs="宋体"/>
          <w:color w:val="auto"/>
          <w:spacing w:val="3"/>
          <w:sz w:val="21"/>
          <w:szCs w:val="21"/>
          <w:highlight w:val="none"/>
        </w:rPr>
        <w:t xml:space="preserve"> </w:t>
      </w:r>
      <w:r>
        <w:rPr>
          <w:rFonts w:ascii="宋体" w:hAnsi="宋体" w:eastAsia="宋体" w:cs="宋体"/>
          <w:b/>
          <w:bCs/>
          <w:color w:val="auto"/>
          <w:spacing w:val="-1"/>
          <w:sz w:val="21"/>
          <w:szCs w:val="21"/>
          <w:highlight w:val="none"/>
        </w:rPr>
        <w:t>定或者提供的商务技术文件无效的。</w:t>
      </w:r>
    </w:p>
    <w:p w14:paraId="576F088B">
      <w:pPr>
        <w:spacing w:before="159" w:line="221" w:lineRule="auto"/>
        <w:ind w:left="452"/>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5）未对竞标有效期作出响应或者响应文件承诺的竞标有效期不满足磋商文件要求的；</w:t>
      </w:r>
    </w:p>
    <w:p w14:paraId="3C760D69">
      <w:pPr>
        <w:spacing w:before="157" w:line="221" w:lineRule="auto"/>
        <w:ind w:left="450"/>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6）响应文件的实质性内容未使用中文表述、使用计量单位不符合磋商文件要求的；</w:t>
      </w:r>
    </w:p>
    <w:p w14:paraId="3574D570">
      <w:pPr>
        <w:spacing w:before="157" w:line="220" w:lineRule="auto"/>
        <w:ind w:left="453"/>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7）响应文件中的文件资料因填写不齐全或者内容虚假或者出现其他情形而导致被磋商</w:t>
      </w:r>
    </w:p>
    <w:p w14:paraId="39DA5657">
      <w:pPr>
        <w:spacing w:line="220" w:lineRule="auto"/>
        <w:rPr>
          <w:rFonts w:ascii="宋体" w:hAnsi="宋体" w:eastAsia="宋体" w:cs="宋体"/>
          <w:color w:val="auto"/>
          <w:sz w:val="21"/>
          <w:szCs w:val="21"/>
          <w:highlight w:val="none"/>
        </w:rPr>
        <w:sectPr>
          <w:footerReference r:id="rId27" w:type="default"/>
          <w:pgSz w:w="11900" w:h="16832"/>
          <w:pgMar w:top="1427" w:right="1721" w:bottom="1220" w:left="1784" w:header="0" w:footer="1060" w:gutter="0"/>
          <w:pgNumType w:fmt="decimal"/>
          <w:cols w:space="720" w:num="1"/>
        </w:sectPr>
      </w:pPr>
    </w:p>
    <w:p w14:paraId="3B025002">
      <w:pPr>
        <w:spacing w:before="42" w:line="221" w:lineRule="auto"/>
        <w:ind w:left="31"/>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小组认定无效的；</w:t>
      </w:r>
    </w:p>
    <w:p w14:paraId="322E56E3">
      <w:pPr>
        <w:spacing w:before="156" w:line="220" w:lineRule="auto"/>
        <w:ind w:left="449"/>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8）响应文件含有采购人不能接受的附加条件的；</w:t>
      </w:r>
    </w:p>
    <w:p w14:paraId="3650D5BF">
      <w:pPr>
        <w:spacing w:before="157" w:line="220" w:lineRule="auto"/>
        <w:ind w:left="449"/>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9）属于“供应商须知正文”第</w:t>
      </w:r>
      <w:r>
        <w:rPr>
          <w:rFonts w:ascii="宋体" w:hAnsi="宋体" w:eastAsia="宋体" w:cs="宋体"/>
          <w:color w:val="auto"/>
          <w:spacing w:val="-20"/>
          <w:sz w:val="21"/>
          <w:szCs w:val="21"/>
          <w:highlight w:val="none"/>
        </w:rPr>
        <w:t xml:space="preserve"> </w:t>
      </w:r>
      <w:r>
        <w:rPr>
          <w:rFonts w:ascii="宋体" w:hAnsi="宋体" w:eastAsia="宋体" w:cs="宋体"/>
          <w:b/>
          <w:bCs/>
          <w:color w:val="auto"/>
          <w:spacing w:val="-3"/>
          <w:sz w:val="21"/>
          <w:szCs w:val="21"/>
          <w:highlight w:val="none"/>
        </w:rPr>
        <w:t>7.5</w:t>
      </w:r>
      <w:r>
        <w:rPr>
          <w:rFonts w:ascii="宋体" w:hAnsi="宋体" w:eastAsia="宋体" w:cs="宋体"/>
          <w:color w:val="auto"/>
          <w:spacing w:val="-42"/>
          <w:sz w:val="21"/>
          <w:szCs w:val="21"/>
          <w:highlight w:val="none"/>
        </w:rPr>
        <w:t xml:space="preserve"> </w:t>
      </w:r>
      <w:r>
        <w:rPr>
          <w:rFonts w:ascii="宋体" w:hAnsi="宋体" w:eastAsia="宋体" w:cs="宋体"/>
          <w:b/>
          <w:bCs/>
          <w:color w:val="auto"/>
          <w:spacing w:val="-3"/>
          <w:sz w:val="21"/>
          <w:szCs w:val="21"/>
          <w:highlight w:val="none"/>
        </w:rPr>
        <w:t>条供应商相互串通竞标情形的；</w:t>
      </w:r>
    </w:p>
    <w:p w14:paraId="1E988477">
      <w:pPr>
        <w:spacing w:before="160" w:line="220" w:lineRule="auto"/>
        <w:ind w:left="464"/>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10）虚假竞标，或者出现其他情形而导致被磋商小组认定</w:t>
      </w:r>
      <w:r>
        <w:rPr>
          <w:rFonts w:ascii="宋体" w:hAnsi="宋体" w:eastAsia="宋体" w:cs="宋体"/>
          <w:b/>
          <w:bCs/>
          <w:color w:val="auto"/>
          <w:spacing w:val="-3"/>
          <w:sz w:val="21"/>
          <w:szCs w:val="21"/>
          <w:highlight w:val="none"/>
        </w:rPr>
        <w:t>无效的；</w:t>
      </w:r>
    </w:p>
    <w:p w14:paraId="31D2FC8F">
      <w:pPr>
        <w:spacing w:before="158" w:line="289" w:lineRule="auto"/>
        <w:ind w:left="28" w:right="36" w:firstLine="435"/>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11）磋商文件未载明允许提供备选（替代）竞标方案或明确不允许提供备选（替代）</w:t>
      </w:r>
      <w:r>
        <w:rPr>
          <w:rFonts w:ascii="宋体" w:hAnsi="宋体" w:eastAsia="宋体" w:cs="宋体"/>
          <w:color w:val="auto"/>
          <w:spacing w:val="12"/>
          <w:sz w:val="21"/>
          <w:szCs w:val="21"/>
          <w:highlight w:val="none"/>
        </w:rPr>
        <w:t xml:space="preserve"> </w:t>
      </w:r>
      <w:r>
        <w:rPr>
          <w:rFonts w:ascii="宋体" w:hAnsi="宋体" w:eastAsia="宋体" w:cs="宋体"/>
          <w:b/>
          <w:bCs/>
          <w:color w:val="auto"/>
          <w:spacing w:val="-3"/>
          <w:sz w:val="21"/>
          <w:szCs w:val="21"/>
          <w:highlight w:val="none"/>
        </w:rPr>
        <w:t>竞标方案时，供应商提供了备选（替代）竞标方案的；</w:t>
      </w:r>
    </w:p>
    <w:p w14:paraId="618994BE">
      <w:pPr>
        <w:spacing w:before="158" w:line="291" w:lineRule="auto"/>
        <w:ind w:left="29" w:right="34" w:firstLine="434"/>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12）响应文件标注的项目名称或者项目编号与磋商文件标注的项目名称或者项目编号</w:t>
      </w:r>
      <w:r>
        <w:rPr>
          <w:rFonts w:ascii="宋体" w:hAnsi="宋体" w:eastAsia="宋体" w:cs="宋体"/>
          <w:color w:val="auto"/>
          <w:spacing w:val="13"/>
          <w:sz w:val="21"/>
          <w:szCs w:val="21"/>
          <w:highlight w:val="none"/>
        </w:rPr>
        <w:t xml:space="preserve"> </w:t>
      </w:r>
      <w:r>
        <w:rPr>
          <w:rFonts w:ascii="宋体" w:hAnsi="宋体" w:eastAsia="宋体" w:cs="宋体"/>
          <w:b/>
          <w:bCs/>
          <w:color w:val="auto"/>
          <w:spacing w:val="-11"/>
          <w:sz w:val="21"/>
          <w:szCs w:val="21"/>
          <w:highlight w:val="none"/>
        </w:rPr>
        <w:t>不一致的；</w:t>
      </w:r>
    </w:p>
    <w:p w14:paraId="618C07D2">
      <w:pPr>
        <w:spacing w:before="156" w:line="220" w:lineRule="auto"/>
        <w:ind w:left="464"/>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13）竞争性磋商文件明确不允许分包，响应文件拟分包的；</w:t>
      </w:r>
    </w:p>
    <w:p w14:paraId="61BE1D96">
      <w:pPr>
        <w:spacing w:before="158" w:line="221" w:lineRule="auto"/>
        <w:ind w:left="464"/>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14）未响应磋商文件实质性要求的；</w:t>
      </w:r>
    </w:p>
    <w:p w14:paraId="68E8011F">
      <w:pPr>
        <w:spacing w:before="156" w:line="221" w:lineRule="auto"/>
        <w:ind w:left="464"/>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15）法律、法规和磋商文件规定的其他无效情形。</w:t>
      </w:r>
    </w:p>
    <w:p w14:paraId="3FEBF4DC">
      <w:pPr>
        <w:spacing w:before="158" w:line="219" w:lineRule="auto"/>
        <w:ind w:left="454"/>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（2）报价评审</w:t>
      </w:r>
    </w:p>
    <w:p w14:paraId="36006952">
      <w:pPr>
        <w:spacing w:before="161" w:line="219" w:lineRule="auto"/>
        <w:ind w:left="464"/>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1）</w:t>
      </w:r>
      <w:r>
        <w:rPr>
          <w:rFonts w:ascii="宋体" w:hAnsi="宋体" w:eastAsia="宋体" w:cs="宋体"/>
          <w:color w:val="auto"/>
          <w:spacing w:val="-3"/>
          <w:sz w:val="21"/>
          <w:szCs w:val="21"/>
          <w:highlight w:val="none"/>
        </w:rPr>
        <w:t xml:space="preserve"> </w:t>
      </w:r>
      <w:r>
        <w:rPr>
          <w:rFonts w:ascii="宋体" w:hAnsi="宋体" w:eastAsia="宋体" w:cs="宋体"/>
          <w:b/>
          <w:bCs/>
          <w:color w:val="auto"/>
          <w:spacing w:val="-3"/>
          <w:sz w:val="21"/>
          <w:szCs w:val="21"/>
          <w:highlight w:val="none"/>
        </w:rPr>
        <w:t>响应文件未提供“供应商须知前附表”</w:t>
      </w:r>
      <w:r>
        <w:rPr>
          <w:rFonts w:ascii="宋体" w:hAnsi="宋体" w:eastAsia="宋体" w:cs="宋体"/>
          <w:color w:val="auto"/>
          <w:spacing w:val="-3"/>
          <w:sz w:val="21"/>
          <w:szCs w:val="21"/>
          <w:highlight w:val="none"/>
        </w:rPr>
        <w:t xml:space="preserve"> </w:t>
      </w:r>
      <w:r>
        <w:rPr>
          <w:rFonts w:ascii="宋体" w:hAnsi="宋体" w:eastAsia="宋体" w:cs="宋体"/>
          <w:b/>
          <w:bCs/>
          <w:color w:val="auto"/>
          <w:spacing w:val="-3"/>
          <w:sz w:val="21"/>
          <w:szCs w:val="21"/>
          <w:highlight w:val="none"/>
        </w:rPr>
        <w:t>报价文件中规定的“竞标报价表”</w:t>
      </w:r>
      <w:r>
        <w:rPr>
          <w:rFonts w:ascii="宋体" w:hAnsi="宋体" w:eastAsia="宋体" w:cs="宋体"/>
          <w:color w:val="auto"/>
          <w:spacing w:val="-64"/>
          <w:sz w:val="21"/>
          <w:szCs w:val="21"/>
          <w:highlight w:val="none"/>
        </w:rPr>
        <w:t xml:space="preserve"> </w:t>
      </w:r>
      <w:r>
        <w:rPr>
          <w:rFonts w:ascii="宋体" w:hAnsi="宋体" w:eastAsia="宋体" w:cs="宋体"/>
          <w:b/>
          <w:bCs/>
          <w:color w:val="auto"/>
          <w:spacing w:val="-3"/>
          <w:sz w:val="21"/>
          <w:szCs w:val="21"/>
          <w:highlight w:val="none"/>
        </w:rPr>
        <w:t>的；</w:t>
      </w:r>
    </w:p>
    <w:p w14:paraId="617191AB">
      <w:pPr>
        <w:spacing w:before="159" w:line="219" w:lineRule="auto"/>
        <w:ind w:left="451"/>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2）未采用人民币报价或者未按照磋商文件标明的币种报价的；</w:t>
      </w:r>
    </w:p>
    <w:p w14:paraId="261DE027">
      <w:pPr>
        <w:spacing w:before="160" w:line="312" w:lineRule="auto"/>
        <w:ind w:left="25" w:right="21" w:firstLine="427"/>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3）供应商未就所竞标分标进行报价或者存在漏项报价；供应商未就所竞标分标的单项</w:t>
      </w:r>
      <w:r>
        <w:rPr>
          <w:rFonts w:ascii="宋体" w:hAnsi="宋体" w:eastAsia="宋体" w:cs="宋体"/>
          <w:color w:val="auto"/>
          <w:spacing w:val="9"/>
          <w:sz w:val="21"/>
          <w:szCs w:val="21"/>
          <w:highlight w:val="none"/>
        </w:rPr>
        <w:t xml:space="preserve"> </w:t>
      </w:r>
      <w:r>
        <w:rPr>
          <w:rFonts w:ascii="宋体" w:hAnsi="宋体" w:eastAsia="宋体" w:cs="宋体"/>
          <w:b/>
          <w:bCs/>
          <w:color w:val="auto"/>
          <w:sz w:val="21"/>
          <w:szCs w:val="21"/>
          <w:highlight w:val="none"/>
        </w:rPr>
        <w:t>内容作唯一报价；供应商未就所竞标分标的全部内容作完整唯一总价报价；供应商响应文</w:t>
      </w:r>
      <w:r>
        <w:rPr>
          <w:rFonts w:ascii="宋体" w:hAnsi="宋体" w:eastAsia="宋体" w:cs="宋体"/>
          <w:color w:val="auto"/>
          <w:spacing w:val="5"/>
          <w:sz w:val="21"/>
          <w:szCs w:val="21"/>
          <w:highlight w:val="none"/>
        </w:rPr>
        <w:t xml:space="preserve"> </w:t>
      </w:r>
      <w:r>
        <w:rPr>
          <w:rFonts w:ascii="宋体" w:hAnsi="宋体" w:eastAsia="宋体" w:cs="宋体"/>
          <w:b/>
          <w:bCs/>
          <w:color w:val="auto"/>
          <w:spacing w:val="-2"/>
          <w:sz w:val="21"/>
          <w:szCs w:val="21"/>
          <w:highlight w:val="none"/>
        </w:rPr>
        <w:t>件中存在有选择、有条件报价的（磋商文件允许有备</w:t>
      </w:r>
      <w:r>
        <w:rPr>
          <w:rFonts w:ascii="宋体" w:hAnsi="宋体" w:eastAsia="宋体" w:cs="宋体"/>
          <w:b/>
          <w:bCs/>
          <w:color w:val="auto"/>
          <w:spacing w:val="-3"/>
          <w:sz w:val="21"/>
          <w:szCs w:val="21"/>
          <w:highlight w:val="none"/>
        </w:rPr>
        <w:t>选方案或者其他约定的除外</w:t>
      </w:r>
      <w:r>
        <w:rPr>
          <w:rFonts w:ascii="宋体" w:hAnsi="宋体" w:eastAsia="宋体" w:cs="宋体"/>
          <w:b/>
          <w:bCs/>
          <w:color w:val="auto"/>
          <w:spacing w:val="-8"/>
          <w:sz w:val="21"/>
          <w:szCs w:val="21"/>
          <w:highlight w:val="none"/>
        </w:rPr>
        <w:t>）；</w:t>
      </w:r>
    </w:p>
    <w:p w14:paraId="7C2804C0">
      <w:pPr>
        <w:spacing w:before="160" w:line="324" w:lineRule="auto"/>
        <w:ind w:left="27" w:right="14" w:firstLine="419"/>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4）竞标报价（包含首次报价、最后报价）</w:t>
      </w:r>
      <w:r>
        <w:rPr>
          <w:rFonts w:ascii="宋体" w:hAnsi="宋体" w:eastAsia="宋体" w:cs="宋体"/>
          <w:color w:val="auto"/>
          <w:spacing w:val="-5"/>
          <w:sz w:val="21"/>
          <w:szCs w:val="21"/>
          <w:highlight w:val="none"/>
        </w:rPr>
        <w:t xml:space="preserve"> </w:t>
      </w:r>
      <w:r>
        <w:rPr>
          <w:rFonts w:ascii="宋体" w:hAnsi="宋体" w:eastAsia="宋体" w:cs="宋体"/>
          <w:b/>
          <w:bCs/>
          <w:color w:val="auto"/>
          <w:spacing w:val="-5"/>
          <w:sz w:val="21"/>
          <w:szCs w:val="21"/>
          <w:highlight w:val="none"/>
        </w:rPr>
        <w:t>超过所竞标分标规定的采购预算</w:t>
      </w:r>
      <w:r>
        <w:rPr>
          <w:rFonts w:ascii="宋体" w:hAnsi="宋体" w:eastAsia="宋体" w:cs="宋体"/>
          <w:b/>
          <w:bCs/>
          <w:color w:val="auto"/>
          <w:spacing w:val="-6"/>
          <w:sz w:val="21"/>
          <w:szCs w:val="21"/>
          <w:highlight w:val="none"/>
        </w:rPr>
        <w:t>金额或者最</w:t>
      </w:r>
      <w:r>
        <w:rPr>
          <w:rFonts w:ascii="宋体" w:hAnsi="宋体" w:eastAsia="宋体" w:cs="宋体"/>
          <w:color w:val="auto"/>
          <w:sz w:val="21"/>
          <w:szCs w:val="21"/>
          <w:highlight w:val="none"/>
        </w:rPr>
        <w:t xml:space="preserve"> </w:t>
      </w:r>
      <w:r>
        <w:rPr>
          <w:rFonts w:ascii="宋体" w:hAnsi="宋体" w:eastAsia="宋体" w:cs="宋体"/>
          <w:b/>
          <w:bCs/>
          <w:color w:val="auto"/>
          <w:sz w:val="21"/>
          <w:szCs w:val="21"/>
          <w:highlight w:val="none"/>
        </w:rPr>
        <w:t>高限价的（如本项目公布了最高限价</w:t>
      </w:r>
      <w:r>
        <w:rPr>
          <w:rFonts w:ascii="宋体" w:hAnsi="宋体" w:eastAsia="宋体" w:cs="宋体"/>
          <w:b/>
          <w:bCs/>
          <w:color w:val="auto"/>
          <w:spacing w:val="6"/>
          <w:sz w:val="21"/>
          <w:szCs w:val="21"/>
          <w:highlight w:val="none"/>
        </w:rPr>
        <w:t>）；</w:t>
      </w:r>
      <w:r>
        <w:rPr>
          <w:rFonts w:ascii="宋体" w:hAnsi="宋体" w:eastAsia="宋体" w:cs="宋体"/>
          <w:b/>
          <w:bCs/>
          <w:color w:val="auto"/>
          <w:sz w:val="21"/>
          <w:szCs w:val="21"/>
          <w:highlight w:val="none"/>
        </w:rPr>
        <w:t>竞标报价（包含首次报</w:t>
      </w:r>
      <w:r>
        <w:rPr>
          <w:rFonts w:ascii="宋体" w:hAnsi="宋体" w:eastAsia="宋体" w:cs="宋体"/>
          <w:b/>
          <w:bCs/>
          <w:color w:val="auto"/>
          <w:spacing w:val="-1"/>
          <w:sz w:val="21"/>
          <w:szCs w:val="21"/>
          <w:highlight w:val="none"/>
        </w:rPr>
        <w:t>价、最后报价）超过磋商</w:t>
      </w:r>
      <w:r>
        <w:rPr>
          <w:rFonts w:ascii="宋体" w:hAnsi="宋体" w:eastAsia="宋体" w:cs="宋体"/>
          <w:color w:val="auto"/>
          <w:spacing w:val="1"/>
          <w:sz w:val="21"/>
          <w:szCs w:val="21"/>
          <w:highlight w:val="none"/>
        </w:rPr>
        <w:t xml:space="preserve"> </w:t>
      </w:r>
      <w:r>
        <w:rPr>
          <w:rFonts w:ascii="宋体" w:hAnsi="宋体" w:eastAsia="宋体" w:cs="宋体"/>
          <w:b/>
          <w:bCs/>
          <w:color w:val="auto"/>
          <w:sz w:val="21"/>
          <w:szCs w:val="21"/>
          <w:highlight w:val="none"/>
        </w:rPr>
        <w:t>文件分项采购预算金额或者单价最高限价的（如项目有要求并公布了分项采购预算金额或</w:t>
      </w:r>
      <w:r>
        <w:rPr>
          <w:rFonts w:ascii="宋体" w:hAnsi="宋体" w:eastAsia="宋体" w:cs="宋体"/>
          <w:color w:val="auto"/>
          <w:spacing w:val="10"/>
          <w:sz w:val="21"/>
          <w:szCs w:val="21"/>
          <w:highlight w:val="none"/>
        </w:rPr>
        <w:t xml:space="preserve"> </w:t>
      </w:r>
      <w:r>
        <w:rPr>
          <w:rFonts w:ascii="宋体" w:hAnsi="宋体" w:eastAsia="宋体" w:cs="宋体"/>
          <w:b/>
          <w:bCs/>
          <w:color w:val="auto"/>
          <w:spacing w:val="-8"/>
          <w:sz w:val="21"/>
          <w:szCs w:val="21"/>
          <w:highlight w:val="none"/>
        </w:rPr>
        <w:t>者单价最高限价</w:t>
      </w:r>
      <w:r>
        <w:rPr>
          <w:rFonts w:ascii="宋体" w:hAnsi="宋体" w:eastAsia="宋体" w:cs="宋体"/>
          <w:b/>
          <w:bCs/>
          <w:color w:val="auto"/>
          <w:spacing w:val="-4"/>
          <w:sz w:val="21"/>
          <w:szCs w:val="21"/>
          <w:highlight w:val="none"/>
        </w:rPr>
        <w:t>）；</w:t>
      </w:r>
    </w:p>
    <w:p w14:paraId="2D5322AA">
      <w:pPr>
        <w:spacing w:before="160" w:line="331" w:lineRule="auto"/>
        <w:ind w:left="24" w:right="21" w:firstLine="428"/>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5）修正后的报价，供应商不确认的；或者经供应商确认修正后的竞标报价（包含首次</w:t>
      </w:r>
      <w:r>
        <w:rPr>
          <w:rFonts w:ascii="宋体" w:hAnsi="宋体" w:eastAsia="宋体" w:cs="宋体"/>
          <w:color w:val="auto"/>
          <w:spacing w:val="8"/>
          <w:sz w:val="21"/>
          <w:szCs w:val="21"/>
          <w:highlight w:val="none"/>
        </w:rPr>
        <w:t xml:space="preserve"> </w:t>
      </w:r>
      <w:r>
        <w:rPr>
          <w:rFonts w:ascii="宋体" w:hAnsi="宋体" w:eastAsia="宋体" w:cs="宋体"/>
          <w:b/>
          <w:bCs/>
          <w:color w:val="auto"/>
          <w:sz w:val="21"/>
          <w:szCs w:val="21"/>
          <w:highlight w:val="none"/>
        </w:rPr>
        <w:t>报价、最后报价）超过所竞标分标规定的采购预算金额或者最高限价（如本项目公布了最</w:t>
      </w:r>
      <w:r>
        <w:rPr>
          <w:rFonts w:ascii="宋体" w:hAnsi="宋体" w:eastAsia="宋体" w:cs="宋体"/>
          <w:color w:val="auto"/>
          <w:spacing w:val="6"/>
          <w:sz w:val="21"/>
          <w:szCs w:val="21"/>
          <w:highlight w:val="none"/>
        </w:rPr>
        <w:t xml:space="preserve"> </w:t>
      </w:r>
      <w:r>
        <w:rPr>
          <w:rFonts w:ascii="宋体" w:hAnsi="宋体" w:eastAsia="宋体" w:cs="宋体"/>
          <w:b/>
          <w:bCs/>
          <w:color w:val="auto"/>
          <w:sz w:val="21"/>
          <w:szCs w:val="21"/>
          <w:highlight w:val="none"/>
        </w:rPr>
        <w:t>高限价</w:t>
      </w:r>
      <w:r>
        <w:rPr>
          <w:rFonts w:ascii="宋体" w:hAnsi="宋体" w:eastAsia="宋体" w:cs="宋体"/>
          <w:b/>
          <w:bCs/>
          <w:color w:val="auto"/>
          <w:spacing w:val="6"/>
          <w:sz w:val="21"/>
          <w:szCs w:val="21"/>
          <w:highlight w:val="none"/>
        </w:rPr>
        <w:t>）；</w:t>
      </w:r>
      <w:r>
        <w:rPr>
          <w:rFonts w:ascii="宋体" w:hAnsi="宋体" w:eastAsia="宋体" w:cs="宋体"/>
          <w:b/>
          <w:bCs/>
          <w:color w:val="auto"/>
          <w:sz w:val="21"/>
          <w:szCs w:val="21"/>
          <w:highlight w:val="none"/>
        </w:rPr>
        <w:t>或者经供应商确认修正后竞标报价（包含首次报价、最后报价</w:t>
      </w:r>
      <w:r>
        <w:rPr>
          <w:rFonts w:ascii="宋体" w:hAnsi="宋体" w:eastAsia="宋体" w:cs="宋体"/>
          <w:b/>
          <w:bCs/>
          <w:color w:val="auto"/>
          <w:spacing w:val="-1"/>
          <w:sz w:val="21"/>
          <w:szCs w:val="21"/>
          <w:highlight w:val="none"/>
        </w:rPr>
        <w:t>）超过磋商文件</w:t>
      </w:r>
      <w:r>
        <w:rPr>
          <w:rFonts w:ascii="宋体" w:hAnsi="宋体" w:eastAsia="宋体" w:cs="宋体"/>
          <w:color w:val="auto"/>
          <w:spacing w:val="1"/>
          <w:sz w:val="21"/>
          <w:szCs w:val="21"/>
          <w:highlight w:val="none"/>
        </w:rPr>
        <w:t xml:space="preserve"> </w:t>
      </w:r>
      <w:r>
        <w:rPr>
          <w:rFonts w:ascii="宋体" w:hAnsi="宋体" w:eastAsia="宋体" w:cs="宋体"/>
          <w:b/>
          <w:bCs/>
          <w:color w:val="auto"/>
          <w:sz w:val="21"/>
          <w:szCs w:val="21"/>
          <w:highlight w:val="none"/>
        </w:rPr>
        <w:t>分项分项采购预算金额或者最高限价的（如本项目有要求并公布了分项采购预算金额或者</w:t>
      </w:r>
      <w:r>
        <w:rPr>
          <w:rFonts w:ascii="宋体" w:hAnsi="宋体" w:eastAsia="宋体" w:cs="宋体"/>
          <w:color w:val="auto"/>
          <w:spacing w:val="6"/>
          <w:sz w:val="21"/>
          <w:szCs w:val="21"/>
          <w:highlight w:val="none"/>
        </w:rPr>
        <w:t xml:space="preserve"> </w:t>
      </w:r>
      <w:r>
        <w:rPr>
          <w:rFonts w:ascii="宋体" w:hAnsi="宋体" w:eastAsia="宋体" w:cs="宋体"/>
          <w:b/>
          <w:bCs/>
          <w:color w:val="auto"/>
          <w:spacing w:val="-3"/>
          <w:sz w:val="21"/>
          <w:szCs w:val="21"/>
          <w:highlight w:val="none"/>
        </w:rPr>
        <w:t>最高限价）。</w:t>
      </w:r>
    </w:p>
    <w:p w14:paraId="6F38D15A">
      <w:pPr>
        <w:spacing w:before="161" w:line="291" w:lineRule="auto"/>
        <w:ind w:left="43" w:right="13" w:firstLine="406"/>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6）在单价合同工程中供应商采用总价优惠或以总价百分比优惠的方式进行竞标报价</w:t>
      </w:r>
      <w:r>
        <w:rPr>
          <w:rFonts w:ascii="宋体" w:hAnsi="宋体" w:eastAsia="宋体" w:cs="宋体"/>
          <w:color w:val="auto"/>
          <w:spacing w:val="7"/>
          <w:sz w:val="21"/>
          <w:szCs w:val="21"/>
          <w:highlight w:val="none"/>
        </w:rPr>
        <w:t xml:space="preserve"> </w:t>
      </w:r>
      <w:r>
        <w:rPr>
          <w:rFonts w:ascii="宋体" w:hAnsi="宋体" w:eastAsia="宋体" w:cs="宋体"/>
          <w:b/>
          <w:bCs/>
          <w:color w:val="auto"/>
          <w:spacing w:val="-21"/>
          <w:sz w:val="21"/>
          <w:szCs w:val="21"/>
          <w:highlight w:val="none"/>
        </w:rPr>
        <w:t>的；</w:t>
      </w:r>
    </w:p>
    <w:p w14:paraId="7B3CD830">
      <w:pPr>
        <w:spacing w:before="154" w:line="219" w:lineRule="auto"/>
        <w:ind w:left="453"/>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7）竞标总报价与已标价工程量清单汇总表不一致的；</w:t>
      </w:r>
    </w:p>
    <w:p w14:paraId="31F71AED">
      <w:pPr>
        <w:spacing w:before="158" w:line="290" w:lineRule="auto"/>
        <w:ind w:left="27" w:right="14" w:firstLine="422"/>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8）供应商已标价工程量清单的项目编码、</w:t>
      </w:r>
      <w:r>
        <w:rPr>
          <w:rFonts w:ascii="宋体" w:hAnsi="宋体" w:eastAsia="宋体" w:cs="宋体"/>
          <w:b/>
          <w:bCs/>
          <w:color w:val="auto"/>
          <w:spacing w:val="-3"/>
          <w:sz w:val="21"/>
          <w:szCs w:val="21"/>
          <w:highlight w:val="none"/>
        </w:rPr>
        <w:t>项目名称、计量单位、工程量、主要技术条</w:t>
      </w:r>
      <w:r>
        <w:rPr>
          <w:rFonts w:ascii="宋体" w:hAnsi="宋体" w:eastAsia="宋体" w:cs="宋体"/>
          <w:color w:val="auto"/>
          <w:sz w:val="21"/>
          <w:szCs w:val="21"/>
          <w:highlight w:val="none"/>
        </w:rPr>
        <w:t xml:space="preserve"> </w:t>
      </w:r>
      <w:r>
        <w:rPr>
          <w:rFonts w:ascii="宋体" w:hAnsi="宋体" w:eastAsia="宋体" w:cs="宋体"/>
          <w:b/>
          <w:bCs/>
          <w:color w:val="auto"/>
          <w:spacing w:val="-2"/>
          <w:sz w:val="21"/>
          <w:szCs w:val="21"/>
          <w:highlight w:val="none"/>
        </w:rPr>
        <w:t>款码、备注任何一处与工程量清单不一致的；</w:t>
      </w:r>
    </w:p>
    <w:p w14:paraId="7C1CD322">
      <w:pPr>
        <w:spacing w:before="159" w:line="345" w:lineRule="auto"/>
        <w:ind w:left="27" w:right="13" w:firstLine="422"/>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9）设有暂估价、暂列金额的，竞标时未按工</w:t>
      </w:r>
      <w:r>
        <w:rPr>
          <w:rFonts w:ascii="宋体" w:hAnsi="宋体" w:eastAsia="宋体" w:cs="宋体"/>
          <w:b/>
          <w:bCs/>
          <w:color w:val="auto"/>
          <w:spacing w:val="-3"/>
          <w:sz w:val="21"/>
          <w:szCs w:val="21"/>
          <w:highlight w:val="none"/>
        </w:rPr>
        <w:t>程量清单给出的暂估价总价、暂列金额总</w:t>
      </w:r>
      <w:r>
        <w:rPr>
          <w:rFonts w:ascii="宋体" w:hAnsi="宋体" w:eastAsia="宋体" w:cs="宋体"/>
          <w:color w:val="auto"/>
          <w:sz w:val="21"/>
          <w:szCs w:val="21"/>
          <w:highlight w:val="none"/>
        </w:rPr>
        <w:t xml:space="preserve"> </w:t>
      </w:r>
      <w:r>
        <w:rPr>
          <w:rFonts w:ascii="宋体" w:hAnsi="宋体" w:eastAsia="宋体" w:cs="宋体"/>
          <w:b/>
          <w:bCs/>
          <w:color w:val="auto"/>
          <w:spacing w:val="-5"/>
          <w:sz w:val="21"/>
          <w:szCs w:val="21"/>
          <w:highlight w:val="none"/>
        </w:rPr>
        <w:t>价计入竞标总报价中的；</w:t>
      </w:r>
    </w:p>
    <w:p w14:paraId="64AAD8CB">
      <w:pPr>
        <w:spacing w:before="32" w:line="220" w:lineRule="auto"/>
        <w:ind w:left="464"/>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10）供应商对工程量清单内容进行增减或对竞标范围进行调整的；</w:t>
      </w:r>
    </w:p>
    <w:p w14:paraId="391205F8">
      <w:pPr>
        <w:spacing w:line="220" w:lineRule="auto"/>
        <w:rPr>
          <w:rFonts w:ascii="宋体" w:hAnsi="宋体" w:eastAsia="宋体" w:cs="宋体"/>
          <w:color w:val="auto"/>
          <w:sz w:val="21"/>
          <w:szCs w:val="21"/>
          <w:highlight w:val="none"/>
        </w:rPr>
        <w:sectPr>
          <w:footerReference r:id="rId28" w:type="default"/>
          <w:pgSz w:w="11900" w:h="16832"/>
          <w:pgMar w:top="1427" w:right="1784" w:bottom="1220" w:left="1784" w:header="0" w:footer="1060" w:gutter="0"/>
          <w:pgNumType w:fmt="decimal"/>
          <w:cols w:space="720" w:num="1"/>
        </w:sectPr>
      </w:pPr>
    </w:p>
    <w:p w14:paraId="26AEB46D">
      <w:pPr>
        <w:spacing w:before="42" w:line="220" w:lineRule="auto"/>
        <w:ind w:left="464"/>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11）响应文件响应的标的数量及单位与竞争性磋商采购文件要求实质性不一</w:t>
      </w:r>
      <w:r>
        <w:rPr>
          <w:rFonts w:ascii="宋体" w:hAnsi="宋体" w:eastAsia="宋体" w:cs="宋体"/>
          <w:b/>
          <w:bCs/>
          <w:color w:val="auto"/>
          <w:spacing w:val="-3"/>
          <w:sz w:val="21"/>
          <w:szCs w:val="21"/>
          <w:highlight w:val="none"/>
        </w:rPr>
        <w:t>致的；</w:t>
      </w:r>
    </w:p>
    <w:p w14:paraId="72DC37C7">
      <w:pPr>
        <w:spacing w:before="157" w:line="221" w:lineRule="auto"/>
        <w:ind w:left="464"/>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12）未响应磋商文件实质性要求的。</w:t>
      </w:r>
    </w:p>
    <w:p w14:paraId="0BB7B36D">
      <w:pPr>
        <w:spacing w:before="157" w:line="290" w:lineRule="auto"/>
        <w:ind w:left="30" w:right="55"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2.6</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磋商小组对响应文件进行评审，未实质性响应磋商文件的响应文件按无效处理，磋</w:t>
      </w:r>
      <w:r>
        <w:rPr>
          <w:rFonts w:ascii="宋体" w:hAnsi="宋体" w:eastAsia="宋体" w:cs="宋体"/>
          <w:color w:val="auto"/>
          <w:sz w:val="21"/>
          <w:szCs w:val="21"/>
          <w:highlight w:val="none"/>
        </w:rPr>
        <w:t xml:space="preserve"> 商小组应当将资格和符合性不通过的情况告</w:t>
      </w:r>
      <w:r>
        <w:rPr>
          <w:rFonts w:ascii="宋体" w:hAnsi="宋体" w:eastAsia="宋体" w:cs="宋体"/>
          <w:color w:val="auto"/>
          <w:spacing w:val="-1"/>
          <w:sz w:val="21"/>
          <w:szCs w:val="21"/>
          <w:highlight w:val="none"/>
        </w:rPr>
        <w:t>知有关供应商。</w:t>
      </w:r>
    </w:p>
    <w:p w14:paraId="20470B34">
      <w:pPr>
        <w:spacing w:before="158" w:line="290" w:lineRule="auto"/>
        <w:ind w:left="29" w:right="55"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2.7</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通过符合性审查的合格供应商不足</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家的，不得进入</w:t>
      </w:r>
      <w:r>
        <w:rPr>
          <w:rFonts w:ascii="宋体" w:hAnsi="宋体" w:eastAsia="宋体" w:cs="宋体"/>
          <w:color w:val="auto"/>
          <w:spacing w:val="-3"/>
          <w:sz w:val="21"/>
          <w:szCs w:val="21"/>
          <w:highlight w:val="none"/>
        </w:rPr>
        <w:t>磋商环节，应当重新开展采购</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活动。</w:t>
      </w:r>
    </w:p>
    <w:p w14:paraId="339DC3D6">
      <w:pPr>
        <w:spacing w:before="160" w:line="219" w:lineRule="auto"/>
        <w:ind w:left="510"/>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3.磋商程序</w:t>
      </w:r>
    </w:p>
    <w:p w14:paraId="63BB0A58">
      <w:pPr>
        <w:spacing w:before="178" w:line="313" w:lineRule="auto"/>
        <w:ind w:left="30" w:right="53"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3.1</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磋商小组集中与单一供应商分别进行磋商，并给予所有参加磋商的供应商平等的磋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商机会。符合磋商资格的供应商必须在接到磋商通知后规定时间内参加磋商，未在规定时</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间内参加磋商的视同放弃参加磋商权利，</w:t>
      </w:r>
      <w:r>
        <w:rPr>
          <w:rFonts w:ascii="宋体" w:hAnsi="宋体" w:eastAsia="宋体" w:cs="宋体"/>
          <w:b/>
          <w:bCs/>
          <w:color w:val="auto"/>
          <w:spacing w:val="-1"/>
          <w:sz w:val="21"/>
          <w:szCs w:val="21"/>
          <w:highlight w:val="none"/>
        </w:rPr>
        <w:t>其响应文件按无效处理</w:t>
      </w:r>
      <w:r>
        <w:rPr>
          <w:rFonts w:ascii="宋体" w:hAnsi="宋体" w:eastAsia="宋体" w:cs="宋体"/>
          <w:color w:val="auto"/>
          <w:spacing w:val="-1"/>
          <w:sz w:val="21"/>
          <w:szCs w:val="21"/>
          <w:highlight w:val="none"/>
        </w:rPr>
        <w:t>。</w:t>
      </w:r>
    </w:p>
    <w:p w14:paraId="6DA6887A">
      <w:pPr>
        <w:spacing w:before="155" w:line="325" w:lineRule="auto"/>
        <w:ind w:left="27"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3.2</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在磋商过程中，磋商小组可以根据磋商文件和磋商情况实质性变动采购需求中的技</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术、服务要求以及合同草案条款，但不得变动磋商</w:t>
      </w:r>
      <w:r>
        <w:rPr>
          <w:rFonts w:ascii="宋体" w:hAnsi="宋体" w:eastAsia="宋体" w:cs="宋体"/>
          <w:color w:val="auto"/>
          <w:spacing w:val="-2"/>
          <w:sz w:val="21"/>
          <w:szCs w:val="21"/>
          <w:highlight w:val="none"/>
        </w:rPr>
        <w:t>文件中的其他内容。实质性变动的内容，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须经采购人代表确认。可能实质性变动的内容为采购需求中的技术、服务要求以及合同草</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案条款。</w:t>
      </w:r>
    </w:p>
    <w:p w14:paraId="2D4EB6B8">
      <w:pPr>
        <w:spacing w:before="158" w:line="290" w:lineRule="auto"/>
        <w:ind w:left="26" w:right="53"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3.3</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对磋商文件作出的实质性变动是磋商文件的有效组成部分，由磋商小组及时以电子</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澄清函形式同时通知所有参加磋商的供应商。</w:t>
      </w:r>
    </w:p>
    <w:p w14:paraId="6C4C9F09">
      <w:pPr>
        <w:spacing w:before="157" w:line="313" w:lineRule="auto"/>
        <w:ind w:left="26" w:right="64"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3.4 供应商必须按照磋商文件的变动情况和磋商小组的要求以回函的形式重新提交响</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应文件，并加盖电子签章。参加磋商的供应商未在规定时间内重新提交响应文件的，视同</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退出磋商，其响应文件按无效处理。</w:t>
      </w:r>
    </w:p>
    <w:p w14:paraId="75FDF941">
      <w:pPr>
        <w:spacing w:before="157" w:line="291" w:lineRule="auto"/>
        <w:ind w:left="26" w:right="55"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3.5</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磋商中，磋商的任何一方不得透露与磋商有关的其他供应商的技术资料、价格和其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他信息。</w:t>
      </w:r>
    </w:p>
    <w:p w14:paraId="1DE7F7F7">
      <w:pPr>
        <w:spacing w:before="157"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3.6</w:t>
      </w:r>
      <w:r>
        <w:rPr>
          <w:rFonts w:ascii="宋体" w:hAnsi="宋体" w:eastAsia="宋体" w:cs="宋体"/>
          <w:color w:val="auto"/>
          <w:spacing w:val="-37"/>
          <w:sz w:val="21"/>
          <w:szCs w:val="21"/>
          <w:highlight w:val="none"/>
        </w:rPr>
        <w:t xml:space="preserve"> </w:t>
      </w:r>
      <w:r>
        <w:rPr>
          <w:rFonts w:ascii="宋体" w:hAnsi="宋体" w:eastAsia="宋体" w:cs="宋体"/>
          <w:color w:val="auto"/>
          <w:spacing w:val="-1"/>
          <w:sz w:val="21"/>
          <w:szCs w:val="21"/>
          <w:highlight w:val="none"/>
        </w:rPr>
        <w:t>采购代理机构对磋商过程和磋商内容进行记录。</w:t>
      </w:r>
    </w:p>
    <w:p w14:paraId="6970864B">
      <w:pPr>
        <w:spacing w:before="156" w:line="313" w:lineRule="auto"/>
        <w:ind w:left="25" w:right="55"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3.7</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rPr>
        <w:t>根据《财政部关于政府采购竞争性磋商采购</w:t>
      </w:r>
      <w:r>
        <w:rPr>
          <w:rFonts w:ascii="宋体" w:hAnsi="宋体" w:eastAsia="宋体" w:cs="宋体"/>
          <w:color w:val="auto"/>
          <w:spacing w:val="-1"/>
          <w:sz w:val="21"/>
          <w:szCs w:val="21"/>
          <w:highlight w:val="none"/>
        </w:rPr>
        <w:t>方式管理暂行办法有关问题的补充通</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知》（财库〔2015〕124</w:t>
      </w:r>
      <w:r>
        <w:rPr>
          <w:rFonts w:ascii="宋体" w:hAnsi="宋体" w:eastAsia="宋体" w:cs="宋体"/>
          <w:color w:val="auto"/>
          <w:spacing w:val="-42"/>
          <w:sz w:val="21"/>
          <w:szCs w:val="21"/>
          <w:highlight w:val="none"/>
        </w:rPr>
        <w:t xml:space="preserve"> </w:t>
      </w:r>
      <w:r>
        <w:rPr>
          <w:rFonts w:ascii="宋体" w:hAnsi="宋体" w:eastAsia="宋体" w:cs="宋体"/>
          <w:color w:val="auto"/>
          <w:spacing w:val="-6"/>
          <w:sz w:val="21"/>
          <w:szCs w:val="21"/>
          <w:highlight w:val="none"/>
        </w:rPr>
        <w:t>号）的规定，采用竞争性磋商采购</w:t>
      </w:r>
      <w:r>
        <w:rPr>
          <w:rFonts w:ascii="宋体" w:hAnsi="宋体" w:eastAsia="宋体" w:cs="宋体"/>
          <w:color w:val="auto"/>
          <w:spacing w:val="-7"/>
          <w:sz w:val="21"/>
          <w:szCs w:val="21"/>
          <w:highlight w:val="none"/>
        </w:rPr>
        <w:t>方式采购的政府购买服务项目（含</w:t>
      </w:r>
      <w:r>
        <w:rPr>
          <w:rFonts w:ascii="宋体" w:hAnsi="宋体" w:eastAsia="宋体" w:cs="宋体"/>
          <w:color w:val="auto"/>
          <w:sz w:val="21"/>
          <w:szCs w:val="21"/>
          <w:highlight w:val="none"/>
        </w:rPr>
        <w:t xml:space="preserve"> 政府和社会资本合作项目</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rPr>
        <w:t>在采购过程中符合要求的供应</w:t>
      </w:r>
      <w:r>
        <w:rPr>
          <w:rFonts w:ascii="宋体" w:hAnsi="宋体" w:eastAsia="宋体" w:cs="宋体"/>
          <w:color w:val="auto"/>
          <w:spacing w:val="-1"/>
          <w:sz w:val="21"/>
          <w:szCs w:val="21"/>
          <w:highlight w:val="none"/>
        </w:rPr>
        <w:t>商（社会资本）只有</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2</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家的，</w:t>
      </w:r>
    </w:p>
    <w:p w14:paraId="334A6646">
      <w:pPr>
        <w:spacing w:before="161" w:line="349" w:lineRule="auto"/>
        <w:ind w:left="28" w:right="156"/>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竞争性磋商采购活动可以继续进行。采购过程中符合要求的供应商（社会资本）只有</w:t>
      </w:r>
      <w:r>
        <w:rPr>
          <w:rFonts w:ascii="宋体" w:hAnsi="宋体" w:eastAsia="宋体" w:cs="宋体"/>
          <w:color w:val="auto"/>
          <w:spacing w:val="-26"/>
          <w:sz w:val="21"/>
          <w:szCs w:val="21"/>
          <w:highlight w:val="none"/>
        </w:rPr>
        <w:t xml:space="preserve"> </w:t>
      </w:r>
      <w:r>
        <w:rPr>
          <w:rFonts w:ascii="宋体" w:hAnsi="宋体" w:eastAsia="宋体" w:cs="宋体"/>
          <w:color w:val="auto"/>
          <w:spacing w:val="-1"/>
          <w:sz w:val="21"/>
          <w:szCs w:val="21"/>
          <w:highlight w:val="none"/>
        </w:rPr>
        <w:t>1</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家</w:t>
      </w:r>
      <w:r>
        <w:rPr>
          <w:rFonts w:ascii="宋体" w:hAnsi="宋体" w:eastAsia="宋体" w:cs="宋体"/>
          <w:color w:val="auto"/>
          <w:sz w:val="21"/>
          <w:szCs w:val="21"/>
          <w:highlight w:val="none"/>
        </w:rPr>
        <w:t xml:space="preserve"> 的，采购人（项目实施机构）或者采购代理机构应当终止竞争性磋商采购活</w:t>
      </w:r>
      <w:r>
        <w:rPr>
          <w:rFonts w:ascii="宋体" w:hAnsi="宋体" w:eastAsia="宋体" w:cs="宋体"/>
          <w:color w:val="auto"/>
          <w:spacing w:val="-1"/>
          <w:sz w:val="21"/>
          <w:szCs w:val="21"/>
          <w:highlight w:val="none"/>
        </w:rPr>
        <w:t>动，发布项目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终止公告并说明原因，重新开展采购活动。</w:t>
      </w:r>
    </w:p>
    <w:p w14:paraId="116B7568">
      <w:pPr>
        <w:spacing w:before="32" w:line="347" w:lineRule="auto"/>
        <w:ind w:left="37" w:right="55" w:firstLine="41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3.8</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除本章第</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3.7</w:t>
      </w:r>
      <w:r>
        <w:rPr>
          <w:rFonts w:ascii="宋体" w:hAnsi="宋体" w:eastAsia="宋体" w:cs="宋体"/>
          <w:color w:val="auto"/>
          <w:spacing w:val="-43"/>
          <w:sz w:val="21"/>
          <w:szCs w:val="21"/>
          <w:highlight w:val="none"/>
        </w:rPr>
        <w:t xml:space="preserve"> </w:t>
      </w:r>
      <w:r>
        <w:rPr>
          <w:rFonts w:ascii="宋体" w:hAnsi="宋体" w:eastAsia="宋体" w:cs="宋体"/>
          <w:color w:val="auto"/>
          <w:spacing w:val="-3"/>
          <w:sz w:val="21"/>
          <w:szCs w:val="21"/>
          <w:highlight w:val="none"/>
        </w:rPr>
        <w:t>条规定的情形外，对磋商过程提交的响应文件进行有效性、完整性和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响应程度审查，通过审查的合格供应商不足</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家的，应当重新开展采购活动。</w:t>
      </w:r>
    </w:p>
    <w:p w14:paraId="0ECAD5DB">
      <w:pPr>
        <w:spacing w:before="33" w:line="219" w:lineRule="auto"/>
        <w:ind w:left="507"/>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4.</w:t>
      </w:r>
      <w:r>
        <w:rPr>
          <w:rFonts w:ascii="黑体" w:hAnsi="黑体" w:eastAsia="黑体" w:cs="黑体"/>
          <w:color w:val="auto"/>
          <w:spacing w:val="19"/>
          <w:sz w:val="24"/>
          <w:szCs w:val="24"/>
          <w:highlight w:val="none"/>
        </w:rPr>
        <w:t xml:space="preserve"> </w:t>
      </w:r>
      <w:r>
        <w:rPr>
          <w:rFonts w:ascii="黑体" w:hAnsi="黑体" w:eastAsia="黑体" w:cs="黑体"/>
          <w:b/>
          <w:bCs/>
          <w:color w:val="auto"/>
          <w:spacing w:val="-6"/>
          <w:sz w:val="24"/>
          <w:szCs w:val="24"/>
          <w:highlight w:val="none"/>
        </w:rPr>
        <w:t>最后报价</w:t>
      </w:r>
    </w:p>
    <w:p w14:paraId="4057F853">
      <w:pPr>
        <w:spacing w:before="179" w:line="350" w:lineRule="auto"/>
        <w:ind w:left="26" w:right="52" w:firstLine="419"/>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磋商文件能够详细列明采购标的的技术、服务要求的，磋商结束后，磋商小组应当</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要求所有继续参加磋商的供应商在规定时间内</w:t>
      </w:r>
      <w:r>
        <w:rPr>
          <w:rFonts w:ascii="宋体" w:hAnsi="宋体" w:eastAsia="宋体" w:cs="宋体"/>
          <w:color w:val="auto"/>
          <w:spacing w:val="2"/>
          <w:sz w:val="21"/>
          <w:szCs w:val="21"/>
          <w:highlight w:val="none"/>
        </w:rPr>
        <w:t>在广西政府采购云平台开标大厅提交加盖供</w:t>
      </w:r>
      <w:r>
        <w:rPr>
          <w:rFonts w:ascii="宋体" w:hAnsi="宋体" w:eastAsia="宋体" w:cs="宋体"/>
          <w:color w:val="auto"/>
          <w:sz w:val="21"/>
          <w:szCs w:val="21"/>
          <w:highlight w:val="none"/>
        </w:rPr>
        <w:t xml:space="preserve"> 应商电子签章的最后报价，除本章第 4.3 条规定的情形外，提交最后报价的供应</w:t>
      </w:r>
      <w:r>
        <w:rPr>
          <w:rFonts w:ascii="宋体" w:hAnsi="宋体" w:eastAsia="宋体" w:cs="宋体"/>
          <w:color w:val="auto"/>
          <w:spacing w:val="-1"/>
          <w:sz w:val="21"/>
          <w:szCs w:val="21"/>
          <w:highlight w:val="none"/>
        </w:rPr>
        <w:t>商不得少</w:t>
      </w:r>
    </w:p>
    <w:p w14:paraId="5BA8F752">
      <w:pPr>
        <w:spacing w:line="350" w:lineRule="auto"/>
        <w:rPr>
          <w:rFonts w:ascii="宋体" w:hAnsi="宋体" w:eastAsia="宋体" w:cs="宋体"/>
          <w:color w:val="auto"/>
          <w:sz w:val="21"/>
          <w:szCs w:val="21"/>
          <w:highlight w:val="none"/>
        </w:rPr>
        <w:sectPr>
          <w:footerReference r:id="rId29" w:type="default"/>
          <w:pgSz w:w="11900" w:h="16832"/>
          <w:pgMar w:top="1427" w:right="1742" w:bottom="1220" w:left="1784" w:header="0" w:footer="1060" w:gutter="0"/>
          <w:pgNumType w:fmt="decimal"/>
          <w:cols w:space="720" w:num="1"/>
        </w:sectPr>
      </w:pPr>
    </w:p>
    <w:p w14:paraId="336FA160">
      <w:pPr>
        <w:spacing w:before="42" w:line="220" w:lineRule="auto"/>
        <w:ind w:left="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于</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家，否则应当重新开展采购活动。</w:t>
      </w:r>
    </w:p>
    <w:p w14:paraId="1BE417F4">
      <w:pPr>
        <w:spacing w:before="159" w:line="331" w:lineRule="auto"/>
        <w:ind w:left="26" w:right="71"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4.2</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磋商文件不能详细列明采购标的的技术、服务要求，需经磋商由供应商提供最后设</w:t>
      </w:r>
      <w:r>
        <w:rPr>
          <w:rFonts w:ascii="宋体" w:hAnsi="宋体" w:eastAsia="宋体" w:cs="宋体"/>
          <w:color w:val="auto"/>
          <w:sz w:val="21"/>
          <w:szCs w:val="21"/>
          <w:highlight w:val="none"/>
        </w:rPr>
        <w:t xml:space="preserve"> 计方案或者解决方案的，磋商结束后，由磋商小组按照少数服从多数的原则投票推荐</w:t>
      </w:r>
      <w:r>
        <w:rPr>
          <w:rFonts w:ascii="宋体" w:hAnsi="宋体" w:eastAsia="宋体" w:cs="宋体"/>
          <w:color w:val="auto"/>
          <w:spacing w:val="-1"/>
          <w:sz w:val="21"/>
          <w:szCs w:val="21"/>
          <w:highlight w:val="none"/>
        </w:rPr>
        <w:t xml:space="preserve"> 3 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以上供应商的设计方案或者解决方案，并要求其</w:t>
      </w:r>
      <w:r>
        <w:rPr>
          <w:rFonts w:ascii="宋体" w:hAnsi="宋体" w:eastAsia="宋体" w:cs="宋体"/>
          <w:color w:val="auto"/>
          <w:spacing w:val="2"/>
          <w:sz w:val="21"/>
          <w:szCs w:val="21"/>
          <w:highlight w:val="none"/>
        </w:rPr>
        <w:t>在规定时间内在广西政府采购云平台开标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大厅提交最后报价。</w:t>
      </w:r>
      <w:r>
        <w:rPr>
          <w:rFonts w:ascii="宋体" w:hAnsi="宋体" w:eastAsia="宋体" w:cs="宋体"/>
          <w:b/>
          <w:bCs/>
          <w:color w:val="auto"/>
          <w:spacing w:val="1"/>
          <w:sz w:val="21"/>
          <w:szCs w:val="21"/>
          <w:highlight w:val="none"/>
        </w:rPr>
        <w:t>如果供应商的最后报价与首次报价不一</w:t>
      </w:r>
      <w:r>
        <w:rPr>
          <w:rFonts w:ascii="宋体" w:hAnsi="宋体" w:eastAsia="宋体" w:cs="宋体"/>
          <w:b/>
          <w:bCs/>
          <w:color w:val="auto"/>
          <w:sz w:val="21"/>
          <w:szCs w:val="21"/>
          <w:highlight w:val="none"/>
        </w:rPr>
        <w:t>致的，不能只报竞标总报价，</w:t>
      </w:r>
      <w:r>
        <w:rPr>
          <w:rFonts w:ascii="宋体" w:hAnsi="宋体" w:eastAsia="宋体" w:cs="宋体"/>
          <w:color w:val="auto"/>
          <w:sz w:val="21"/>
          <w:szCs w:val="21"/>
          <w:highlight w:val="none"/>
        </w:rPr>
        <w:t xml:space="preserve"> </w:t>
      </w:r>
      <w:r>
        <w:rPr>
          <w:rFonts w:ascii="宋体" w:hAnsi="宋体" w:eastAsia="宋体" w:cs="宋体"/>
          <w:b/>
          <w:bCs/>
          <w:color w:val="auto"/>
          <w:spacing w:val="-5"/>
          <w:sz w:val="21"/>
          <w:szCs w:val="21"/>
          <w:highlight w:val="none"/>
        </w:rPr>
        <w:t>必须同时提供“</w:t>
      </w:r>
      <w:r>
        <w:rPr>
          <w:rFonts w:ascii="宋体" w:hAnsi="宋体" w:eastAsia="宋体" w:cs="宋体"/>
          <w:color w:val="auto"/>
          <w:spacing w:val="-70"/>
          <w:sz w:val="21"/>
          <w:szCs w:val="21"/>
          <w:highlight w:val="none"/>
        </w:rPr>
        <w:t xml:space="preserve"> </w:t>
      </w:r>
      <w:r>
        <w:rPr>
          <w:rFonts w:ascii="宋体" w:hAnsi="宋体" w:eastAsia="宋体" w:cs="宋体"/>
          <w:b/>
          <w:bCs/>
          <w:color w:val="auto"/>
          <w:spacing w:val="-5"/>
          <w:sz w:val="21"/>
          <w:szCs w:val="21"/>
          <w:highlight w:val="none"/>
        </w:rPr>
        <w:t>已标价工程量清单</w:t>
      </w:r>
      <w:r>
        <w:rPr>
          <w:rFonts w:ascii="宋体" w:hAnsi="宋体" w:eastAsia="宋体" w:cs="宋体"/>
          <w:color w:val="auto"/>
          <w:spacing w:val="-77"/>
          <w:sz w:val="21"/>
          <w:szCs w:val="21"/>
          <w:highlight w:val="none"/>
        </w:rPr>
        <w:t xml:space="preserve"> </w:t>
      </w:r>
      <w:r>
        <w:rPr>
          <w:rFonts w:ascii="宋体" w:hAnsi="宋体" w:eastAsia="宋体" w:cs="宋体"/>
          <w:b/>
          <w:bCs/>
          <w:color w:val="auto"/>
          <w:spacing w:val="-5"/>
          <w:sz w:val="21"/>
          <w:szCs w:val="21"/>
          <w:highlight w:val="none"/>
        </w:rPr>
        <w:t>”，否则做无效响应处理。</w:t>
      </w:r>
    </w:p>
    <w:p w14:paraId="014C3F19">
      <w:pPr>
        <w:spacing w:before="158" w:line="219"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4.3 最后报价是供应商响应文件的有效组成部分。</w:t>
      </w:r>
    </w:p>
    <w:p w14:paraId="4FA03F28">
      <w:pPr>
        <w:spacing w:before="162" w:line="349" w:lineRule="auto"/>
        <w:ind w:left="27" w:right="71" w:firstLine="42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符合《政府采购竞争性磋商采购方式管理暂行办法》（财库〔2014〕214</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号）第三条第</w:t>
      </w:r>
      <w:r>
        <w:rPr>
          <w:rFonts w:ascii="宋体" w:hAnsi="宋体" w:eastAsia="宋体" w:cs="宋体"/>
          <w:color w:val="auto"/>
          <w:sz w:val="21"/>
          <w:szCs w:val="21"/>
          <w:highlight w:val="none"/>
        </w:rPr>
        <w:t xml:space="preserve"> 四项“市场竞争不充分的科研项目，以及需要扶持的科技成果转化项目”和本章第 </w:t>
      </w:r>
      <w:r>
        <w:rPr>
          <w:rFonts w:ascii="宋体" w:hAnsi="宋体" w:eastAsia="宋体" w:cs="宋体"/>
          <w:color w:val="auto"/>
          <w:spacing w:val="-1"/>
          <w:sz w:val="21"/>
          <w:szCs w:val="21"/>
          <w:highlight w:val="none"/>
        </w:rPr>
        <w:t>3.7 条</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规定情形的，提交最后报价的供应商可以为</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2</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家。</w:t>
      </w:r>
    </w:p>
    <w:p w14:paraId="78F2446D">
      <w:pPr>
        <w:spacing w:before="30" w:line="314" w:lineRule="auto"/>
        <w:ind w:left="27" w:right="67"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4.4</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已经提交响应文件的供应商，在提交最后报价之前，可以根据磋商情况退</w:t>
      </w:r>
      <w:r>
        <w:rPr>
          <w:rFonts w:ascii="宋体" w:hAnsi="宋体" w:eastAsia="宋体" w:cs="宋体"/>
          <w:color w:val="auto"/>
          <w:spacing w:val="-3"/>
          <w:sz w:val="21"/>
          <w:szCs w:val="21"/>
          <w:highlight w:val="none"/>
        </w:rPr>
        <w:t>出磋商，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退出磋商的供应商的响应文件按无效处理。采购人、采购代理机构将退还退出磋商的供应</w:t>
      </w:r>
      <w:r>
        <w:rPr>
          <w:rFonts w:ascii="宋体" w:hAnsi="宋体" w:eastAsia="宋体" w:cs="宋体"/>
          <w:color w:val="auto"/>
          <w:spacing w:val="17"/>
          <w:sz w:val="21"/>
          <w:szCs w:val="21"/>
          <w:highlight w:val="none"/>
        </w:rPr>
        <w:t xml:space="preserve"> </w:t>
      </w:r>
      <w:r>
        <w:rPr>
          <w:rFonts w:ascii="宋体" w:hAnsi="宋体" w:eastAsia="宋体" w:cs="宋体"/>
          <w:color w:val="auto"/>
          <w:spacing w:val="-1"/>
          <w:sz w:val="21"/>
          <w:szCs w:val="21"/>
          <w:highlight w:val="none"/>
        </w:rPr>
        <w:t>商的保证金。</w:t>
      </w:r>
    </w:p>
    <w:p w14:paraId="77A73FB2">
      <w:pPr>
        <w:spacing w:before="156" w:line="219" w:lineRule="auto"/>
        <w:ind w:right="20"/>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4.5</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rPr>
        <w:t>供应商未在规定时间内提交最后报价的，视同退出磋</w:t>
      </w:r>
      <w:r>
        <w:rPr>
          <w:rFonts w:ascii="宋体" w:hAnsi="宋体" w:eastAsia="宋体" w:cs="宋体"/>
          <w:color w:val="auto"/>
          <w:spacing w:val="-1"/>
          <w:sz w:val="21"/>
          <w:szCs w:val="21"/>
          <w:highlight w:val="none"/>
        </w:rPr>
        <w:t>商，其响应文件按无效处理。</w:t>
      </w:r>
    </w:p>
    <w:p w14:paraId="57CF7607">
      <w:pPr>
        <w:spacing w:before="159" w:line="219"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4.6</w:t>
      </w:r>
      <w:r>
        <w:rPr>
          <w:rFonts w:ascii="宋体" w:hAnsi="宋体" w:eastAsia="宋体" w:cs="宋体"/>
          <w:color w:val="auto"/>
          <w:spacing w:val="-41"/>
          <w:sz w:val="21"/>
          <w:szCs w:val="21"/>
          <w:highlight w:val="none"/>
        </w:rPr>
        <w:t xml:space="preserve"> </w:t>
      </w:r>
      <w:r>
        <w:rPr>
          <w:rFonts w:ascii="宋体" w:hAnsi="宋体" w:eastAsia="宋体" w:cs="宋体"/>
          <w:color w:val="auto"/>
          <w:spacing w:val="-5"/>
          <w:sz w:val="21"/>
          <w:szCs w:val="21"/>
          <w:highlight w:val="none"/>
        </w:rPr>
        <w:t>最后报价统一开启后，磋商小组对最后报价进行有效性、完整性和响应程</w:t>
      </w:r>
      <w:r>
        <w:rPr>
          <w:rFonts w:ascii="宋体" w:hAnsi="宋体" w:eastAsia="宋体" w:cs="宋体"/>
          <w:color w:val="auto"/>
          <w:spacing w:val="-6"/>
          <w:sz w:val="21"/>
          <w:szCs w:val="21"/>
          <w:highlight w:val="none"/>
        </w:rPr>
        <w:t>度的审查。</w:t>
      </w:r>
    </w:p>
    <w:p w14:paraId="7397CB5C">
      <w:pPr>
        <w:spacing w:before="159" w:line="219"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4.7</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最后报价出现前后不一致的，按照本章第</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2.4</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条的规定修正。</w:t>
      </w:r>
    </w:p>
    <w:p w14:paraId="2423B02F">
      <w:pPr>
        <w:spacing w:before="159" w:line="219"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4.8</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修正后的报价出现下列情形的，按无效响应处理：</w:t>
      </w:r>
    </w:p>
    <w:p w14:paraId="1E359037">
      <w:pPr>
        <w:spacing w:before="161"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（1）供应商不确认的（全流程电子化评标采取在线确认</w:t>
      </w:r>
      <w:r>
        <w:rPr>
          <w:rFonts w:ascii="宋体" w:hAnsi="宋体" w:eastAsia="宋体" w:cs="宋体"/>
          <w:color w:val="auto"/>
          <w:spacing w:val="6"/>
          <w:sz w:val="21"/>
          <w:szCs w:val="21"/>
          <w:highlight w:val="none"/>
        </w:rPr>
        <w:t>）；</w:t>
      </w:r>
    </w:p>
    <w:p w14:paraId="16C1C87F">
      <w:pPr>
        <w:spacing w:before="158" w:line="289" w:lineRule="auto"/>
        <w:ind w:left="31" w:right="85"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（2）经供应商确认修正后的竞标报价（包含首次报价、最后报价）超过所竞标分标规</w:t>
      </w:r>
      <w:r>
        <w:rPr>
          <w:rFonts w:ascii="宋体" w:hAnsi="宋体" w:eastAsia="宋体" w:cs="宋体"/>
          <w:color w:val="auto"/>
          <w:spacing w:val="14"/>
          <w:sz w:val="21"/>
          <w:szCs w:val="21"/>
          <w:highlight w:val="none"/>
        </w:rPr>
        <w:t xml:space="preserve"> </w:t>
      </w:r>
      <w:r>
        <w:rPr>
          <w:rFonts w:ascii="宋体" w:hAnsi="宋体" w:eastAsia="宋体" w:cs="宋体"/>
          <w:color w:val="auto"/>
          <w:sz w:val="21"/>
          <w:szCs w:val="21"/>
          <w:highlight w:val="none"/>
        </w:rPr>
        <w:t>定的采购预算金额或者最高限价的（如本项</w:t>
      </w:r>
      <w:r>
        <w:rPr>
          <w:rFonts w:ascii="宋体" w:hAnsi="宋体" w:eastAsia="宋体" w:cs="宋体"/>
          <w:color w:val="auto"/>
          <w:spacing w:val="-1"/>
          <w:sz w:val="21"/>
          <w:szCs w:val="21"/>
          <w:highlight w:val="none"/>
        </w:rPr>
        <w:t>目公布了最高限价）；</w:t>
      </w:r>
    </w:p>
    <w:p w14:paraId="7C303FC9">
      <w:pPr>
        <w:spacing w:before="159" w:line="290" w:lineRule="auto"/>
        <w:ind w:left="27"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（3）经供应商确认修正后的竞标报价（包含首次报</w:t>
      </w:r>
      <w:r>
        <w:rPr>
          <w:rFonts w:ascii="宋体" w:hAnsi="宋体" w:eastAsia="宋体" w:cs="宋体"/>
          <w:color w:val="auto"/>
          <w:spacing w:val="-1"/>
          <w:sz w:val="21"/>
          <w:szCs w:val="21"/>
          <w:highlight w:val="none"/>
        </w:rPr>
        <w:t>价、最后报价）超过分项采购预算</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金额或者单价最高限价的（如项目有要求并公布了分项采购预算金额或者单价最高限价）。</w:t>
      </w:r>
    </w:p>
    <w:p w14:paraId="69D9BE7B">
      <w:pPr>
        <w:spacing w:before="159" w:line="219"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4.9</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经供应商确认修正后的最后报价作为评审及签订合同的依据。</w:t>
      </w:r>
    </w:p>
    <w:p w14:paraId="1F3E454A">
      <w:pPr>
        <w:spacing w:before="159" w:line="289" w:lineRule="auto"/>
        <w:ind w:left="31" w:right="95" w:firstLine="41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4.10</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供应商出现最后报价按无效响应处理或者响应文件按无</w:t>
      </w:r>
      <w:r>
        <w:rPr>
          <w:rFonts w:ascii="宋体" w:hAnsi="宋体" w:eastAsia="宋体" w:cs="宋体"/>
          <w:color w:val="auto"/>
          <w:spacing w:val="-2"/>
          <w:sz w:val="21"/>
          <w:szCs w:val="21"/>
          <w:highlight w:val="none"/>
        </w:rPr>
        <w:t>效处理时</w:t>
      </w:r>
      <w:r>
        <w:rPr>
          <w:rFonts w:ascii="宋体" w:hAnsi="宋体" w:eastAsia="宋体" w:cs="宋体"/>
          <w:color w:val="auto"/>
          <w:spacing w:val="-2"/>
          <w:sz w:val="22"/>
          <w:szCs w:val="22"/>
          <w:highlight w:val="none"/>
        </w:rPr>
        <w:t>，磋商小组应当</w:t>
      </w:r>
      <w:r>
        <w:rPr>
          <w:rFonts w:ascii="宋体" w:hAnsi="宋体" w:eastAsia="宋体" w:cs="宋体"/>
          <w:color w:val="auto"/>
          <w:sz w:val="22"/>
          <w:szCs w:val="22"/>
          <w:highlight w:val="none"/>
        </w:rPr>
        <w:t xml:space="preserve"> </w:t>
      </w:r>
      <w:r>
        <w:rPr>
          <w:rFonts w:ascii="宋体" w:hAnsi="宋体" w:eastAsia="宋体" w:cs="宋体"/>
          <w:color w:val="auto"/>
          <w:spacing w:val="-2"/>
          <w:sz w:val="22"/>
          <w:szCs w:val="22"/>
          <w:highlight w:val="none"/>
        </w:rPr>
        <w:t>告知有关供应商</w:t>
      </w:r>
      <w:r>
        <w:rPr>
          <w:rFonts w:ascii="宋体" w:hAnsi="宋体" w:eastAsia="宋体" w:cs="宋体"/>
          <w:color w:val="auto"/>
          <w:spacing w:val="-2"/>
          <w:sz w:val="21"/>
          <w:szCs w:val="21"/>
          <w:highlight w:val="none"/>
        </w:rPr>
        <w:t>。</w:t>
      </w:r>
    </w:p>
    <w:p w14:paraId="3B6CA2CD">
      <w:pPr>
        <w:spacing w:before="168" w:line="219"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4.11</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最后报价结束后，磋商小组不得再与供应商进行任何形式的商谈。</w:t>
      </w:r>
    </w:p>
    <w:p w14:paraId="76A498A3">
      <w:pPr>
        <w:spacing w:before="163" w:line="219" w:lineRule="auto"/>
        <w:ind w:left="510"/>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5.比较与评价</w:t>
      </w:r>
    </w:p>
    <w:p w14:paraId="6331C936">
      <w:pPr>
        <w:spacing w:before="177" w:line="221" w:lineRule="auto"/>
        <w:ind w:left="4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5.1</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评审方法：综合评分法。</w:t>
      </w:r>
    </w:p>
    <w:p w14:paraId="64DF87B2">
      <w:pPr>
        <w:spacing w:before="158" w:line="289" w:lineRule="auto"/>
        <w:ind w:left="25" w:right="72"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5.2</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经磋商确定最终采购需求和提交最后报价的供应商后，由磋商小组采用综合评分法</w:t>
      </w:r>
      <w:r>
        <w:rPr>
          <w:rFonts w:ascii="宋体" w:hAnsi="宋体" w:eastAsia="宋体" w:cs="宋体"/>
          <w:color w:val="auto"/>
          <w:sz w:val="21"/>
          <w:szCs w:val="21"/>
          <w:highlight w:val="none"/>
        </w:rPr>
        <w:t xml:space="preserve"> 对提交最后报价的供应商的响应文件和最后报价进行综合评</w:t>
      </w:r>
      <w:r>
        <w:rPr>
          <w:rFonts w:ascii="宋体" w:hAnsi="宋体" w:eastAsia="宋体" w:cs="宋体"/>
          <w:color w:val="auto"/>
          <w:spacing w:val="-1"/>
          <w:sz w:val="21"/>
          <w:szCs w:val="21"/>
          <w:highlight w:val="none"/>
        </w:rPr>
        <w:t>分。</w:t>
      </w:r>
    </w:p>
    <w:p w14:paraId="3F3A1FA4">
      <w:pPr>
        <w:spacing w:before="160" w:line="289" w:lineRule="auto"/>
        <w:ind w:left="31" w:right="72"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5.3</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评审时，磋商小组各成员应当独立对每个有效响应的文件进行评价、打分，然后汇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总每个供应商每项评分因素的得分。</w:t>
      </w:r>
    </w:p>
    <w:p w14:paraId="0EEA2870">
      <w:pPr>
        <w:spacing w:before="158" w:line="290" w:lineRule="auto"/>
        <w:ind w:left="25" w:right="82"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（1）磋商小组按照磋商文件中规定的评审标准计算各供应商的报价得分。项目评审过</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rPr>
        <w:t>程中，不得去掉最后报价中的最高报价和最低</w:t>
      </w:r>
      <w:r>
        <w:rPr>
          <w:rFonts w:ascii="宋体" w:hAnsi="宋体" w:eastAsia="宋体" w:cs="宋体"/>
          <w:color w:val="auto"/>
          <w:spacing w:val="-1"/>
          <w:sz w:val="21"/>
          <w:szCs w:val="21"/>
          <w:highlight w:val="none"/>
        </w:rPr>
        <w:t>报价。</w:t>
      </w:r>
    </w:p>
    <w:p w14:paraId="195A7037">
      <w:pPr>
        <w:spacing w:line="290" w:lineRule="auto"/>
        <w:rPr>
          <w:rFonts w:ascii="宋体" w:hAnsi="宋体" w:eastAsia="宋体" w:cs="宋体"/>
          <w:color w:val="auto"/>
          <w:sz w:val="21"/>
          <w:szCs w:val="21"/>
          <w:highlight w:val="none"/>
        </w:rPr>
        <w:sectPr>
          <w:footerReference r:id="rId30" w:type="default"/>
          <w:pgSz w:w="11900" w:h="16832"/>
          <w:pgMar w:top="1427" w:right="1723" w:bottom="1220" w:left="1784" w:header="0" w:footer="1060" w:gutter="0"/>
          <w:pgNumType w:fmt="decimal"/>
          <w:cols w:space="720" w:num="1"/>
        </w:sectPr>
      </w:pPr>
    </w:p>
    <w:p w14:paraId="4F8F284E">
      <w:pPr>
        <w:spacing w:before="42" w:line="220" w:lineRule="auto"/>
        <w:ind w:left="837"/>
        <w:rPr>
          <w:rFonts w:ascii="宋体" w:hAnsi="宋体" w:eastAsia="宋体" w:cs="宋体"/>
          <w:color w:val="auto"/>
          <w:sz w:val="21"/>
          <w:szCs w:val="21"/>
          <w:highlight w:val="none"/>
        </w:rPr>
      </w:pPr>
      <w:r>
        <w:rPr>
          <w:rFonts w:ascii="宋体" w:hAnsi="宋体" w:eastAsia="宋体" w:cs="宋体"/>
          <w:color w:val="auto"/>
          <w:sz w:val="21"/>
          <w:szCs w:val="21"/>
          <w:highlight w:val="none"/>
        </w:rPr>
        <w:t>（2）各供应商的得分为磋商小组所有成员的</w:t>
      </w:r>
      <w:r>
        <w:rPr>
          <w:rFonts w:ascii="宋体" w:hAnsi="宋体" w:eastAsia="宋体" w:cs="宋体"/>
          <w:color w:val="auto"/>
          <w:spacing w:val="-1"/>
          <w:sz w:val="21"/>
          <w:szCs w:val="21"/>
          <w:highlight w:val="none"/>
        </w:rPr>
        <w:t>有效评分的算术平均数。</w:t>
      </w:r>
    </w:p>
    <w:p w14:paraId="1CE3A782">
      <w:pPr>
        <w:spacing w:before="157" w:line="289" w:lineRule="auto"/>
        <w:ind w:left="413" w:right="326"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 评审价为供应商的最后报价进行政策性扣除后的价格，评审价只是作为评审时使</w:t>
      </w:r>
      <w:r>
        <w:rPr>
          <w:rFonts w:ascii="宋体" w:hAnsi="宋体" w:eastAsia="宋体" w:cs="宋体"/>
          <w:color w:val="auto"/>
          <w:spacing w:val="8"/>
          <w:sz w:val="21"/>
          <w:szCs w:val="21"/>
          <w:highlight w:val="none"/>
        </w:rPr>
        <w:t xml:space="preserve"> </w:t>
      </w:r>
      <w:r>
        <w:rPr>
          <w:rFonts w:ascii="宋体" w:hAnsi="宋体" w:eastAsia="宋体" w:cs="宋体"/>
          <w:color w:val="auto"/>
          <w:spacing w:val="-6"/>
          <w:sz w:val="21"/>
          <w:szCs w:val="21"/>
          <w:highlight w:val="none"/>
        </w:rPr>
        <w:t>用。最终成交供应商的成交金额等于最后报价（如有修正，以确认修正后的最后报价为</w:t>
      </w:r>
      <w:r>
        <w:rPr>
          <w:rFonts w:ascii="宋体" w:hAnsi="宋体" w:eastAsia="宋体" w:cs="宋体"/>
          <w:color w:val="auto"/>
          <w:spacing w:val="-7"/>
          <w:sz w:val="21"/>
          <w:szCs w:val="21"/>
          <w:highlight w:val="none"/>
        </w:rPr>
        <w:t>准）。</w:t>
      </w:r>
    </w:p>
    <w:p w14:paraId="1773DC38">
      <w:pPr>
        <w:spacing w:before="164" w:line="219" w:lineRule="auto"/>
        <w:ind w:left="898"/>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6.</w:t>
      </w:r>
      <w:r>
        <w:rPr>
          <w:rFonts w:ascii="黑体" w:hAnsi="黑体" w:eastAsia="黑体" w:cs="黑体"/>
          <w:color w:val="auto"/>
          <w:spacing w:val="-3"/>
          <w:sz w:val="24"/>
          <w:szCs w:val="24"/>
          <w:highlight w:val="none"/>
        </w:rPr>
        <w:t xml:space="preserve"> </w:t>
      </w:r>
      <w:r>
        <w:rPr>
          <w:rFonts w:ascii="黑体" w:hAnsi="黑体" w:eastAsia="黑体" w:cs="黑体"/>
          <w:b/>
          <w:bCs/>
          <w:color w:val="auto"/>
          <w:spacing w:val="-3"/>
          <w:sz w:val="24"/>
          <w:szCs w:val="24"/>
          <w:highlight w:val="none"/>
        </w:rPr>
        <w:t>成交供应商荐原则</w:t>
      </w:r>
    </w:p>
    <w:p w14:paraId="28ED357F">
      <w:pPr>
        <w:spacing w:before="178" w:line="355" w:lineRule="auto"/>
        <w:ind w:left="411" w:right="398"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6.1 由磋商小组根据综合评分情况，按照评审得分由高到低</w:t>
      </w:r>
      <w:r>
        <w:rPr>
          <w:rFonts w:ascii="宋体" w:hAnsi="宋体" w:eastAsia="宋体" w:cs="宋体"/>
          <w:color w:val="auto"/>
          <w:spacing w:val="-4"/>
          <w:sz w:val="21"/>
          <w:szCs w:val="21"/>
          <w:highlight w:val="none"/>
        </w:rPr>
        <w:t>顺序推荐</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3</w:t>
      </w:r>
      <w:r>
        <w:rPr>
          <w:rFonts w:ascii="宋体" w:hAnsi="宋体" w:eastAsia="宋体" w:cs="宋体"/>
          <w:color w:val="auto"/>
          <w:spacing w:val="-43"/>
          <w:sz w:val="21"/>
          <w:szCs w:val="21"/>
          <w:highlight w:val="none"/>
        </w:rPr>
        <w:t xml:space="preserve"> </w:t>
      </w:r>
      <w:r>
        <w:rPr>
          <w:rFonts w:ascii="宋体" w:hAnsi="宋体" w:eastAsia="宋体" w:cs="宋体"/>
          <w:color w:val="auto"/>
          <w:spacing w:val="-4"/>
          <w:sz w:val="21"/>
          <w:szCs w:val="21"/>
          <w:highlight w:val="none"/>
        </w:rPr>
        <w:t>名以上成交候选</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供应商，并编写评审报告，评审报告通过电子交</w:t>
      </w:r>
      <w:r>
        <w:rPr>
          <w:rFonts w:ascii="宋体" w:hAnsi="宋体" w:eastAsia="宋体" w:cs="宋体"/>
          <w:color w:val="auto"/>
          <w:spacing w:val="2"/>
          <w:sz w:val="21"/>
          <w:szCs w:val="21"/>
          <w:highlight w:val="none"/>
        </w:rPr>
        <w:t>易平台向采购人、采购代理机构提交。符</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合本章第</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4.3</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条情形的，可以推荐 2 家成交候选供应商。评审得分相同的，按照最后报价</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（不计算价格折扣）由低到高的顺序推荐。评审得分且最后报价（不计算价格折扣）相同</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的，按照技术指标优劣顺序推荐（按技术得分由高到低排序，技术得分相同的按照技术要</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求偏离分由高到低排序）。评审得分、最后报价（不计算价格折扣）、技术得分、技术要</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求偏离分均相同的，由磋商小组随机抽取推荐。</w:t>
      </w:r>
    </w:p>
    <w:p w14:paraId="1DA074D3">
      <w:pPr>
        <w:spacing w:before="30" w:line="354" w:lineRule="auto"/>
        <w:ind w:left="410" w:right="393" w:firstLine="42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6.2</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评审报告应当由磋商小组全体人员签字认可。磋商小组成员对评审报告有异议的，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磋商小组按照少数服从多数的原则推荐成交候选供应商，采购程序继续进行。对评审报告</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有异议的磋商小组成员，应当在报告上签署不同意见并说明理由，由磋商小组书面记录相</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关情况。磋商小组成员拒绝在报告上签字又不书面说明其不同意见和理由的，视为同意评</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审报告。</w:t>
      </w:r>
    </w:p>
    <w:p w14:paraId="5DDB5A3A">
      <w:pPr>
        <w:spacing w:before="50" w:line="226" w:lineRule="auto"/>
        <w:ind w:left="3603"/>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二、评审标准</w:t>
      </w:r>
    </w:p>
    <w:p w14:paraId="268939E4">
      <w:pPr>
        <w:spacing w:before="225" w:line="345" w:lineRule="auto"/>
        <w:ind w:left="436" w:right="399" w:firstLine="39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7.评审依据：磋商小组以磋商文件为评审</w:t>
      </w:r>
      <w:r>
        <w:rPr>
          <w:rFonts w:ascii="宋体" w:hAnsi="宋体" w:eastAsia="宋体" w:cs="宋体"/>
          <w:color w:val="auto"/>
          <w:spacing w:val="2"/>
          <w:sz w:val="21"/>
          <w:szCs w:val="21"/>
          <w:highlight w:val="none"/>
        </w:rPr>
        <w:t>依据，对供应商的报价、商务、技术等方面</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内容按百分制打分。（计分方法按四舍五入取至百分位）</w:t>
      </w:r>
    </w:p>
    <w:p w14:paraId="718579B9">
      <w:pPr>
        <w:spacing w:line="39" w:lineRule="auto"/>
        <w:rPr>
          <w:rFonts w:ascii="Arial"/>
          <w:color w:val="auto"/>
          <w:sz w:val="2"/>
          <w:highlight w:val="none"/>
        </w:rPr>
      </w:pPr>
    </w:p>
    <w:tbl>
      <w:tblPr>
        <w:tblStyle w:val="16"/>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418"/>
        <w:gridCol w:w="6285"/>
        <w:gridCol w:w="857"/>
      </w:tblGrid>
      <w:tr w14:paraId="0CA79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537" w:type="dxa"/>
            <w:textDirection w:val="tbRlV"/>
            <w:vAlign w:val="top"/>
          </w:tcPr>
          <w:p w14:paraId="09B7E6E1">
            <w:pPr>
              <w:pStyle w:val="17"/>
              <w:spacing w:before="160" w:line="211" w:lineRule="auto"/>
              <w:ind w:left="142"/>
              <w:rPr>
                <w:color w:val="auto"/>
                <w:highlight w:val="none"/>
              </w:rPr>
            </w:pPr>
            <w:r>
              <w:rPr>
                <w:b/>
                <w:bCs/>
                <w:color w:val="auto"/>
                <w:spacing w:val="-2"/>
                <w:highlight w:val="none"/>
              </w:rPr>
              <w:t>序</w:t>
            </w:r>
            <w:r>
              <w:rPr>
                <w:color w:val="auto"/>
                <w:spacing w:val="83"/>
                <w:highlight w:val="none"/>
              </w:rPr>
              <w:t xml:space="preserve"> </w:t>
            </w:r>
            <w:r>
              <w:rPr>
                <w:b/>
                <w:bCs/>
                <w:color w:val="auto"/>
                <w:spacing w:val="-2"/>
                <w:highlight w:val="none"/>
              </w:rPr>
              <w:t>号</w:t>
            </w:r>
          </w:p>
        </w:tc>
        <w:tc>
          <w:tcPr>
            <w:tcW w:w="1418" w:type="dxa"/>
            <w:vAlign w:val="top"/>
          </w:tcPr>
          <w:p w14:paraId="032B5E96">
            <w:pPr>
              <w:spacing w:line="271" w:lineRule="auto"/>
              <w:rPr>
                <w:rFonts w:ascii="Arial"/>
                <w:color w:val="auto"/>
                <w:sz w:val="21"/>
                <w:highlight w:val="none"/>
              </w:rPr>
            </w:pPr>
          </w:p>
          <w:p w14:paraId="102FBF65">
            <w:pPr>
              <w:pStyle w:val="17"/>
              <w:spacing w:before="68" w:line="221" w:lineRule="auto"/>
              <w:ind w:left="290"/>
              <w:rPr>
                <w:color w:val="auto"/>
                <w:highlight w:val="none"/>
              </w:rPr>
            </w:pPr>
            <w:r>
              <w:rPr>
                <w:b/>
                <w:bCs/>
                <w:color w:val="auto"/>
                <w:spacing w:val="-3"/>
                <w:highlight w:val="none"/>
              </w:rPr>
              <w:t>评审因素</w:t>
            </w:r>
          </w:p>
        </w:tc>
        <w:tc>
          <w:tcPr>
            <w:tcW w:w="6285" w:type="dxa"/>
            <w:vAlign w:val="top"/>
          </w:tcPr>
          <w:p w14:paraId="2D9F9578">
            <w:pPr>
              <w:spacing w:line="271" w:lineRule="auto"/>
              <w:rPr>
                <w:rFonts w:ascii="Arial"/>
                <w:color w:val="auto"/>
                <w:sz w:val="21"/>
                <w:highlight w:val="none"/>
              </w:rPr>
            </w:pPr>
          </w:p>
          <w:p w14:paraId="1AC4482B">
            <w:pPr>
              <w:pStyle w:val="17"/>
              <w:spacing w:before="68" w:line="221" w:lineRule="auto"/>
              <w:ind w:left="2303"/>
              <w:rPr>
                <w:color w:val="auto"/>
                <w:highlight w:val="none"/>
              </w:rPr>
            </w:pPr>
            <w:r>
              <w:rPr>
                <w:b/>
                <w:bCs/>
                <w:color w:val="auto"/>
                <w:spacing w:val="-2"/>
                <w:highlight w:val="none"/>
              </w:rPr>
              <w:t>评审因素具体内容</w:t>
            </w:r>
          </w:p>
        </w:tc>
        <w:tc>
          <w:tcPr>
            <w:tcW w:w="857" w:type="dxa"/>
            <w:vAlign w:val="top"/>
          </w:tcPr>
          <w:p w14:paraId="5BF75689">
            <w:pPr>
              <w:spacing w:line="271" w:lineRule="auto"/>
              <w:rPr>
                <w:rFonts w:ascii="Arial"/>
                <w:color w:val="auto"/>
                <w:sz w:val="21"/>
                <w:highlight w:val="none"/>
              </w:rPr>
            </w:pPr>
          </w:p>
          <w:p w14:paraId="3E56B68C">
            <w:pPr>
              <w:pStyle w:val="17"/>
              <w:spacing w:before="68" w:line="221" w:lineRule="auto"/>
              <w:ind w:left="224"/>
              <w:rPr>
                <w:color w:val="auto"/>
                <w:highlight w:val="none"/>
              </w:rPr>
            </w:pPr>
            <w:r>
              <w:rPr>
                <w:b/>
                <w:bCs/>
                <w:color w:val="auto"/>
                <w:spacing w:val="-5"/>
                <w:highlight w:val="none"/>
              </w:rPr>
              <w:t>分值</w:t>
            </w:r>
          </w:p>
        </w:tc>
      </w:tr>
      <w:tr w14:paraId="0ED1C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6" w:hRule="atLeast"/>
        </w:trPr>
        <w:tc>
          <w:tcPr>
            <w:tcW w:w="537" w:type="dxa"/>
            <w:vAlign w:val="top"/>
          </w:tcPr>
          <w:p w14:paraId="44161428">
            <w:pPr>
              <w:spacing w:line="254" w:lineRule="auto"/>
              <w:rPr>
                <w:rFonts w:ascii="Arial"/>
                <w:color w:val="auto"/>
                <w:sz w:val="21"/>
                <w:highlight w:val="none"/>
              </w:rPr>
            </w:pPr>
          </w:p>
          <w:p w14:paraId="7871B6F8">
            <w:pPr>
              <w:spacing w:line="254" w:lineRule="auto"/>
              <w:rPr>
                <w:rFonts w:ascii="Arial"/>
                <w:color w:val="auto"/>
                <w:sz w:val="21"/>
                <w:highlight w:val="none"/>
              </w:rPr>
            </w:pPr>
          </w:p>
          <w:p w14:paraId="199E04EC">
            <w:pPr>
              <w:spacing w:line="254" w:lineRule="auto"/>
              <w:rPr>
                <w:rFonts w:ascii="Arial"/>
                <w:color w:val="auto"/>
                <w:sz w:val="21"/>
                <w:highlight w:val="none"/>
              </w:rPr>
            </w:pPr>
          </w:p>
          <w:p w14:paraId="5E1E2121">
            <w:pPr>
              <w:spacing w:line="254" w:lineRule="auto"/>
              <w:rPr>
                <w:rFonts w:ascii="Arial"/>
                <w:color w:val="auto"/>
                <w:sz w:val="21"/>
                <w:highlight w:val="none"/>
              </w:rPr>
            </w:pPr>
          </w:p>
          <w:p w14:paraId="2446FD2F">
            <w:pPr>
              <w:spacing w:line="255" w:lineRule="auto"/>
              <w:rPr>
                <w:rFonts w:ascii="Arial"/>
                <w:color w:val="auto"/>
                <w:sz w:val="21"/>
                <w:highlight w:val="none"/>
              </w:rPr>
            </w:pPr>
          </w:p>
          <w:p w14:paraId="3FB96205">
            <w:pPr>
              <w:spacing w:line="255" w:lineRule="auto"/>
              <w:rPr>
                <w:rFonts w:ascii="Arial"/>
                <w:color w:val="auto"/>
                <w:sz w:val="21"/>
                <w:highlight w:val="none"/>
              </w:rPr>
            </w:pPr>
          </w:p>
          <w:p w14:paraId="546FE5E8">
            <w:pPr>
              <w:spacing w:line="255" w:lineRule="auto"/>
              <w:rPr>
                <w:rFonts w:ascii="Arial"/>
                <w:color w:val="auto"/>
                <w:sz w:val="21"/>
                <w:highlight w:val="none"/>
              </w:rPr>
            </w:pPr>
          </w:p>
          <w:p w14:paraId="019A7C07">
            <w:pPr>
              <w:spacing w:line="255" w:lineRule="auto"/>
              <w:rPr>
                <w:rFonts w:ascii="Arial"/>
                <w:color w:val="auto"/>
                <w:sz w:val="21"/>
                <w:highlight w:val="none"/>
              </w:rPr>
            </w:pPr>
          </w:p>
          <w:p w14:paraId="4D08BC92">
            <w:pPr>
              <w:spacing w:line="255" w:lineRule="auto"/>
              <w:rPr>
                <w:rFonts w:ascii="Arial"/>
                <w:color w:val="auto"/>
                <w:sz w:val="21"/>
                <w:highlight w:val="none"/>
              </w:rPr>
            </w:pPr>
          </w:p>
          <w:p w14:paraId="1B607E13">
            <w:pPr>
              <w:pStyle w:val="17"/>
              <w:spacing w:before="68" w:line="183" w:lineRule="auto"/>
              <w:ind w:left="237"/>
              <w:rPr>
                <w:color w:val="auto"/>
                <w:highlight w:val="none"/>
              </w:rPr>
            </w:pPr>
            <w:r>
              <w:rPr>
                <w:color w:val="auto"/>
                <w:highlight w:val="none"/>
              </w:rPr>
              <w:t>1</w:t>
            </w:r>
          </w:p>
        </w:tc>
        <w:tc>
          <w:tcPr>
            <w:tcW w:w="1418" w:type="dxa"/>
            <w:vAlign w:val="top"/>
          </w:tcPr>
          <w:p w14:paraId="36CA6C1E">
            <w:pPr>
              <w:spacing w:line="250" w:lineRule="auto"/>
              <w:rPr>
                <w:rFonts w:ascii="Arial"/>
                <w:color w:val="auto"/>
                <w:sz w:val="21"/>
                <w:highlight w:val="none"/>
              </w:rPr>
            </w:pPr>
          </w:p>
          <w:p w14:paraId="13CB7637">
            <w:pPr>
              <w:spacing w:line="250" w:lineRule="auto"/>
              <w:rPr>
                <w:rFonts w:ascii="Arial"/>
                <w:color w:val="auto"/>
                <w:sz w:val="21"/>
                <w:highlight w:val="none"/>
              </w:rPr>
            </w:pPr>
          </w:p>
          <w:p w14:paraId="30378D8D">
            <w:pPr>
              <w:spacing w:line="251" w:lineRule="auto"/>
              <w:rPr>
                <w:rFonts w:ascii="Arial"/>
                <w:color w:val="auto"/>
                <w:sz w:val="21"/>
                <w:highlight w:val="none"/>
              </w:rPr>
            </w:pPr>
          </w:p>
          <w:p w14:paraId="1404CC93">
            <w:pPr>
              <w:spacing w:line="251" w:lineRule="auto"/>
              <w:rPr>
                <w:rFonts w:ascii="Arial"/>
                <w:color w:val="auto"/>
                <w:sz w:val="21"/>
                <w:highlight w:val="none"/>
              </w:rPr>
            </w:pPr>
          </w:p>
          <w:p w14:paraId="3292927E">
            <w:pPr>
              <w:spacing w:line="251" w:lineRule="auto"/>
              <w:rPr>
                <w:rFonts w:ascii="Arial"/>
                <w:color w:val="auto"/>
                <w:sz w:val="21"/>
                <w:highlight w:val="none"/>
              </w:rPr>
            </w:pPr>
          </w:p>
          <w:p w14:paraId="01C09908">
            <w:pPr>
              <w:spacing w:line="251" w:lineRule="auto"/>
              <w:rPr>
                <w:rFonts w:ascii="Arial"/>
                <w:color w:val="auto"/>
                <w:sz w:val="21"/>
                <w:highlight w:val="none"/>
              </w:rPr>
            </w:pPr>
          </w:p>
          <w:p w14:paraId="4D347FDA">
            <w:pPr>
              <w:spacing w:line="251" w:lineRule="auto"/>
              <w:rPr>
                <w:rFonts w:ascii="Arial"/>
                <w:color w:val="auto"/>
                <w:sz w:val="21"/>
                <w:highlight w:val="none"/>
              </w:rPr>
            </w:pPr>
          </w:p>
          <w:p w14:paraId="27AFB41D">
            <w:pPr>
              <w:spacing w:line="251" w:lineRule="auto"/>
              <w:rPr>
                <w:rFonts w:ascii="Arial"/>
                <w:color w:val="auto"/>
                <w:sz w:val="21"/>
                <w:highlight w:val="none"/>
              </w:rPr>
            </w:pPr>
          </w:p>
          <w:p w14:paraId="5761AE15">
            <w:pPr>
              <w:spacing w:line="251" w:lineRule="auto"/>
              <w:rPr>
                <w:rFonts w:ascii="Arial"/>
                <w:color w:val="auto"/>
                <w:sz w:val="21"/>
                <w:highlight w:val="none"/>
              </w:rPr>
            </w:pPr>
          </w:p>
          <w:p w14:paraId="42934CD6">
            <w:pPr>
              <w:pStyle w:val="17"/>
              <w:spacing w:before="68" w:line="219" w:lineRule="auto"/>
              <w:ind w:left="398"/>
              <w:rPr>
                <w:color w:val="auto"/>
                <w:highlight w:val="none"/>
              </w:rPr>
            </w:pPr>
            <w:r>
              <w:rPr>
                <w:color w:val="auto"/>
                <w:spacing w:val="-2"/>
                <w:highlight w:val="none"/>
              </w:rPr>
              <w:t>价格分</w:t>
            </w:r>
          </w:p>
        </w:tc>
        <w:tc>
          <w:tcPr>
            <w:tcW w:w="6285" w:type="dxa"/>
            <w:vAlign w:val="top"/>
          </w:tcPr>
          <w:p w14:paraId="06AB76C2">
            <w:pPr>
              <w:pStyle w:val="17"/>
              <w:spacing w:before="173" w:line="360" w:lineRule="auto"/>
              <w:ind w:left="122"/>
              <w:rPr>
                <w:rFonts w:hint="eastAsia" w:ascii="宋体" w:hAnsi="宋体" w:eastAsia="宋体" w:cs="宋体"/>
                <w:color w:val="auto"/>
                <w:spacing w:val="10"/>
                <w:position w:val="18"/>
                <w:highlight w:val="none"/>
                <w:lang w:val="en-US" w:eastAsia="zh-CN"/>
              </w:rPr>
            </w:pPr>
            <w:r>
              <w:rPr>
                <w:rFonts w:hint="eastAsia" w:ascii="宋体" w:hAnsi="宋体" w:eastAsia="宋体" w:cs="宋体"/>
                <w:color w:val="auto"/>
                <w:spacing w:val="10"/>
                <w:position w:val="18"/>
                <w:highlight w:val="none"/>
              </w:rPr>
              <w:t>1）</w:t>
            </w:r>
            <w:r>
              <w:rPr>
                <w:rFonts w:hint="eastAsia" w:ascii="宋体" w:hAnsi="宋体" w:eastAsia="宋体" w:cs="宋体"/>
                <w:color w:val="auto"/>
                <w:spacing w:val="10"/>
                <w:position w:val="18"/>
                <w:highlight w:val="none"/>
                <w:lang w:val="en-US" w:eastAsia="zh-CN"/>
              </w:rPr>
              <w:t>根据财政部发布《政府采购促进中小企业发展政策问答》，专门面向中小企业采购的项目或者采购包，不再执行价格评审优惠的扶持政策。</w:t>
            </w:r>
          </w:p>
          <w:p w14:paraId="1149CED9">
            <w:pPr>
              <w:pStyle w:val="17"/>
              <w:spacing w:before="173" w:line="439" w:lineRule="exact"/>
              <w:ind w:left="122"/>
              <w:rPr>
                <w:rFonts w:hint="eastAsia" w:ascii="宋体" w:hAnsi="宋体" w:eastAsia="宋体" w:cs="宋体"/>
                <w:color w:val="auto"/>
                <w:highlight w:val="none"/>
              </w:rPr>
            </w:pPr>
            <w:r>
              <w:rPr>
                <w:rFonts w:hint="eastAsia" w:cs="宋体"/>
                <w:color w:val="auto"/>
                <w:spacing w:val="10"/>
                <w:position w:val="18"/>
                <w:highlight w:val="none"/>
                <w:lang w:eastAsia="zh-CN"/>
              </w:rPr>
              <w:t>（</w:t>
            </w:r>
            <w:r>
              <w:rPr>
                <w:rFonts w:hint="eastAsia" w:cs="宋体"/>
                <w:color w:val="auto"/>
                <w:spacing w:val="10"/>
                <w:position w:val="18"/>
                <w:highlight w:val="none"/>
                <w:lang w:val="en-US" w:eastAsia="zh-CN"/>
              </w:rPr>
              <w:t>2</w:t>
            </w:r>
            <w:r>
              <w:rPr>
                <w:rFonts w:hint="eastAsia" w:cs="宋体"/>
                <w:color w:val="auto"/>
                <w:spacing w:val="10"/>
                <w:position w:val="18"/>
                <w:highlight w:val="none"/>
                <w:lang w:eastAsia="zh-CN"/>
              </w:rPr>
              <w:t>）</w:t>
            </w:r>
            <w:r>
              <w:rPr>
                <w:rFonts w:hint="eastAsia" w:ascii="宋体" w:hAnsi="宋体" w:eastAsia="宋体" w:cs="宋体"/>
                <w:color w:val="auto"/>
                <w:spacing w:val="10"/>
                <w:position w:val="18"/>
                <w:highlight w:val="none"/>
              </w:rPr>
              <w:t>以进入比较与评价环节的最低的最后报价为基准价，基准价报价得分为</w:t>
            </w:r>
            <w:r>
              <w:rPr>
                <w:rFonts w:hint="eastAsia" w:cs="宋体"/>
                <w:color w:val="auto"/>
                <w:spacing w:val="10"/>
                <w:position w:val="18"/>
                <w:highlight w:val="none"/>
                <w:lang w:val="en-US" w:eastAsia="zh-CN"/>
              </w:rPr>
              <w:t>3</w:t>
            </w:r>
            <w:r>
              <w:rPr>
                <w:rFonts w:hint="eastAsia" w:ascii="宋体" w:hAnsi="宋体" w:eastAsia="宋体" w:cs="宋体"/>
                <w:color w:val="auto"/>
                <w:spacing w:val="10"/>
                <w:position w:val="18"/>
                <w:highlight w:val="none"/>
                <w:lang w:val="en-US" w:eastAsia="zh-CN"/>
              </w:rPr>
              <w:t>0</w:t>
            </w:r>
            <w:r>
              <w:rPr>
                <w:rFonts w:hint="eastAsia" w:ascii="宋体" w:hAnsi="宋体" w:eastAsia="宋体" w:cs="宋体"/>
                <w:color w:val="auto"/>
                <w:spacing w:val="10"/>
                <w:position w:val="18"/>
                <w:highlight w:val="none"/>
              </w:rPr>
              <w:t xml:space="preserve"> 分。</w:t>
            </w:r>
          </w:p>
          <w:p w14:paraId="0AFA917B">
            <w:pPr>
              <w:pStyle w:val="17"/>
              <w:spacing w:before="195" w:line="226" w:lineRule="auto"/>
              <w:ind w:left="122"/>
              <w:rPr>
                <w:rFonts w:hint="eastAsia" w:ascii="宋体" w:hAnsi="宋体" w:eastAsia="宋体" w:cs="宋体"/>
                <w:color w:val="auto"/>
                <w:highlight w:val="none"/>
              </w:rPr>
            </w:pPr>
            <w:r>
              <w:rPr>
                <w:rFonts w:hint="eastAsia" w:ascii="宋体" w:hAnsi="宋体" w:eastAsia="宋体" w:cs="宋体"/>
                <w:color w:val="auto"/>
                <w:spacing w:val="6"/>
                <w:highlight w:val="none"/>
              </w:rPr>
              <w:t>（</w:t>
            </w:r>
            <w:r>
              <w:rPr>
                <w:rFonts w:hint="eastAsia" w:cs="宋体"/>
                <w:color w:val="auto"/>
                <w:spacing w:val="6"/>
                <w:highlight w:val="none"/>
                <w:lang w:val="en-US" w:eastAsia="zh-CN"/>
              </w:rPr>
              <w:t>3</w:t>
            </w:r>
            <w:r>
              <w:rPr>
                <w:rFonts w:hint="eastAsia" w:ascii="宋体" w:hAnsi="宋体" w:eastAsia="宋体" w:cs="宋体"/>
                <w:color w:val="auto"/>
                <w:spacing w:val="6"/>
                <w:highlight w:val="none"/>
              </w:rPr>
              <w:t>）价格分计算公式：</w:t>
            </w:r>
          </w:p>
          <w:p w14:paraId="66D0F5C7">
            <w:pPr>
              <w:pStyle w:val="17"/>
              <w:spacing w:before="148" w:line="336" w:lineRule="auto"/>
              <w:ind w:left="111" w:right="97" w:firstLine="420"/>
              <w:rPr>
                <w:color w:val="auto"/>
                <w:highlight w:val="none"/>
              </w:rPr>
            </w:pPr>
            <w:r>
              <w:rPr>
                <w:rFonts w:hint="eastAsia" w:ascii="宋体" w:hAnsi="宋体" w:eastAsia="宋体" w:cs="宋体"/>
                <w:color w:val="auto"/>
                <w:spacing w:val="7"/>
                <w:highlight w:val="none"/>
              </w:rPr>
              <w:t>报价得分=基准价/最后报价×</w:t>
            </w:r>
            <w:r>
              <w:rPr>
                <w:rFonts w:hint="eastAsia" w:cs="宋体"/>
                <w:color w:val="auto"/>
                <w:spacing w:val="7"/>
                <w:highlight w:val="none"/>
                <w:lang w:val="en-US" w:eastAsia="zh-CN"/>
              </w:rPr>
              <w:t>3</w:t>
            </w:r>
            <w:r>
              <w:rPr>
                <w:rFonts w:hint="eastAsia" w:ascii="宋体" w:hAnsi="宋体" w:eastAsia="宋体" w:cs="宋体"/>
                <w:color w:val="auto"/>
                <w:spacing w:val="7"/>
                <w:highlight w:val="none"/>
                <w:lang w:val="en-US" w:eastAsia="zh-CN"/>
              </w:rPr>
              <w:t>0</w:t>
            </w:r>
            <w:r>
              <w:rPr>
                <w:rFonts w:hint="eastAsia" w:ascii="宋体" w:hAnsi="宋体" w:eastAsia="宋体" w:cs="宋体"/>
                <w:color w:val="auto"/>
                <w:spacing w:val="7"/>
                <w:highlight w:val="none"/>
              </w:rPr>
              <w:t>分</w:t>
            </w:r>
          </w:p>
        </w:tc>
        <w:tc>
          <w:tcPr>
            <w:tcW w:w="857" w:type="dxa"/>
            <w:vAlign w:val="top"/>
          </w:tcPr>
          <w:p w14:paraId="68566D86">
            <w:pPr>
              <w:spacing w:line="250" w:lineRule="auto"/>
              <w:rPr>
                <w:rFonts w:ascii="Arial"/>
                <w:color w:val="auto"/>
                <w:sz w:val="21"/>
                <w:highlight w:val="none"/>
              </w:rPr>
            </w:pPr>
          </w:p>
          <w:p w14:paraId="397A7886">
            <w:pPr>
              <w:spacing w:line="250" w:lineRule="auto"/>
              <w:rPr>
                <w:rFonts w:ascii="Arial"/>
                <w:color w:val="auto"/>
                <w:sz w:val="21"/>
                <w:highlight w:val="none"/>
              </w:rPr>
            </w:pPr>
          </w:p>
          <w:p w14:paraId="2A8E3ADC">
            <w:pPr>
              <w:spacing w:line="251" w:lineRule="auto"/>
              <w:rPr>
                <w:rFonts w:ascii="Arial"/>
                <w:color w:val="auto"/>
                <w:sz w:val="21"/>
                <w:highlight w:val="none"/>
              </w:rPr>
            </w:pPr>
          </w:p>
          <w:p w14:paraId="4CC6BB76">
            <w:pPr>
              <w:spacing w:line="251" w:lineRule="auto"/>
              <w:rPr>
                <w:rFonts w:ascii="Arial"/>
                <w:color w:val="auto"/>
                <w:sz w:val="21"/>
                <w:highlight w:val="none"/>
              </w:rPr>
            </w:pPr>
          </w:p>
          <w:p w14:paraId="4A5E42A8">
            <w:pPr>
              <w:spacing w:line="251" w:lineRule="auto"/>
              <w:rPr>
                <w:rFonts w:ascii="Arial"/>
                <w:color w:val="auto"/>
                <w:sz w:val="21"/>
                <w:highlight w:val="none"/>
              </w:rPr>
            </w:pPr>
          </w:p>
          <w:p w14:paraId="79B34166">
            <w:pPr>
              <w:spacing w:line="251" w:lineRule="auto"/>
              <w:rPr>
                <w:rFonts w:ascii="Arial"/>
                <w:color w:val="auto"/>
                <w:sz w:val="21"/>
                <w:highlight w:val="none"/>
              </w:rPr>
            </w:pPr>
          </w:p>
          <w:p w14:paraId="374D53D8">
            <w:pPr>
              <w:spacing w:line="251" w:lineRule="auto"/>
              <w:rPr>
                <w:rFonts w:ascii="Arial"/>
                <w:color w:val="auto"/>
                <w:sz w:val="21"/>
                <w:highlight w:val="none"/>
              </w:rPr>
            </w:pPr>
          </w:p>
          <w:p w14:paraId="39E571EF">
            <w:pPr>
              <w:spacing w:line="251" w:lineRule="auto"/>
              <w:rPr>
                <w:rFonts w:ascii="Arial"/>
                <w:color w:val="auto"/>
                <w:sz w:val="21"/>
                <w:highlight w:val="none"/>
              </w:rPr>
            </w:pPr>
          </w:p>
          <w:p w14:paraId="66921E81">
            <w:pPr>
              <w:spacing w:line="251" w:lineRule="auto"/>
              <w:rPr>
                <w:rFonts w:ascii="Arial"/>
                <w:color w:val="auto"/>
                <w:sz w:val="21"/>
                <w:highlight w:val="none"/>
              </w:rPr>
            </w:pPr>
          </w:p>
          <w:p w14:paraId="3FBC1BC4">
            <w:pPr>
              <w:pStyle w:val="17"/>
              <w:spacing w:before="69" w:line="221" w:lineRule="auto"/>
              <w:ind w:left="200"/>
              <w:rPr>
                <w:color w:val="auto"/>
                <w:highlight w:val="none"/>
              </w:rPr>
            </w:pPr>
            <w:r>
              <w:rPr>
                <w:rFonts w:hint="eastAsia"/>
                <w:color w:val="auto"/>
                <w:spacing w:val="-4"/>
                <w:highlight w:val="none"/>
                <w:lang w:val="en-US" w:eastAsia="zh-CN"/>
              </w:rPr>
              <w:t>30</w:t>
            </w:r>
            <w:r>
              <w:rPr>
                <w:color w:val="auto"/>
                <w:spacing w:val="-4"/>
                <w:highlight w:val="none"/>
              </w:rPr>
              <w:t>分</w:t>
            </w:r>
          </w:p>
        </w:tc>
      </w:tr>
    </w:tbl>
    <w:p w14:paraId="62FC9D60">
      <w:pPr>
        <w:rPr>
          <w:rFonts w:ascii="Arial"/>
          <w:color w:val="auto"/>
          <w:sz w:val="21"/>
          <w:highlight w:val="none"/>
        </w:rPr>
      </w:pPr>
    </w:p>
    <w:p w14:paraId="49C9B38B">
      <w:pPr>
        <w:rPr>
          <w:rFonts w:ascii="Arial" w:hAnsi="Arial" w:eastAsia="Arial" w:cs="Arial"/>
          <w:color w:val="auto"/>
          <w:sz w:val="21"/>
          <w:szCs w:val="21"/>
          <w:highlight w:val="none"/>
        </w:rPr>
        <w:sectPr>
          <w:footerReference r:id="rId31" w:type="default"/>
          <w:pgSz w:w="11900" w:h="16832"/>
          <w:pgMar w:top="1427" w:right="1396" w:bottom="1220" w:left="1399" w:header="0" w:footer="1060" w:gutter="0"/>
          <w:pgNumType w:fmt="decimal"/>
          <w:cols w:space="720" w:num="1"/>
        </w:sectPr>
      </w:pPr>
    </w:p>
    <w:p w14:paraId="4AA11648">
      <w:pPr>
        <w:spacing w:line="97" w:lineRule="auto"/>
        <w:rPr>
          <w:rFonts w:ascii="Arial"/>
          <w:color w:val="auto"/>
          <w:sz w:val="2"/>
          <w:highlight w:val="none"/>
        </w:rPr>
      </w:pPr>
    </w:p>
    <w:tbl>
      <w:tblPr>
        <w:tblStyle w:val="16"/>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418"/>
        <w:gridCol w:w="6285"/>
        <w:gridCol w:w="857"/>
      </w:tblGrid>
      <w:tr w14:paraId="5D40A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37" w:type="dxa"/>
            <w:vAlign w:val="top"/>
          </w:tcPr>
          <w:p w14:paraId="588E98D7">
            <w:pPr>
              <w:pStyle w:val="17"/>
              <w:spacing w:before="175" w:line="182" w:lineRule="auto"/>
              <w:ind w:left="224"/>
              <w:rPr>
                <w:color w:val="auto"/>
                <w:highlight w:val="none"/>
              </w:rPr>
            </w:pPr>
            <w:r>
              <w:rPr>
                <w:color w:val="auto"/>
                <w:highlight w:val="none"/>
              </w:rPr>
              <w:t>2</w:t>
            </w:r>
          </w:p>
        </w:tc>
        <w:tc>
          <w:tcPr>
            <w:tcW w:w="1418" w:type="dxa"/>
            <w:vAlign w:val="top"/>
          </w:tcPr>
          <w:p w14:paraId="6309D10B">
            <w:pPr>
              <w:pStyle w:val="17"/>
              <w:spacing w:before="139" w:line="221" w:lineRule="auto"/>
              <w:ind w:left="398"/>
              <w:rPr>
                <w:color w:val="auto"/>
                <w:highlight w:val="none"/>
              </w:rPr>
            </w:pPr>
            <w:r>
              <w:rPr>
                <w:color w:val="auto"/>
                <w:spacing w:val="-2"/>
                <w:highlight w:val="none"/>
              </w:rPr>
              <w:t>技术分</w:t>
            </w:r>
          </w:p>
        </w:tc>
        <w:tc>
          <w:tcPr>
            <w:tcW w:w="7142" w:type="dxa"/>
            <w:gridSpan w:val="2"/>
            <w:vAlign w:val="top"/>
          </w:tcPr>
          <w:p w14:paraId="7E536E0F">
            <w:pPr>
              <w:pStyle w:val="17"/>
              <w:spacing w:before="139" w:line="221" w:lineRule="auto"/>
              <w:ind w:left="3153"/>
              <w:rPr>
                <w:color w:val="auto"/>
                <w:highlight w:val="none"/>
              </w:rPr>
            </w:pPr>
            <w:r>
              <w:rPr>
                <w:color w:val="auto"/>
                <w:spacing w:val="-1"/>
                <w:highlight w:val="none"/>
              </w:rPr>
              <w:t>评审因素</w:t>
            </w:r>
          </w:p>
        </w:tc>
      </w:tr>
      <w:tr w14:paraId="68EB2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8" w:hRule="atLeast"/>
        </w:trPr>
        <w:tc>
          <w:tcPr>
            <w:tcW w:w="537" w:type="dxa"/>
            <w:vAlign w:val="top"/>
          </w:tcPr>
          <w:p w14:paraId="1917012C">
            <w:pPr>
              <w:spacing w:line="254" w:lineRule="auto"/>
              <w:rPr>
                <w:rFonts w:ascii="Arial"/>
                <w:color w:val="auto"/>
                <w:sz w:val="21"/>
                <w:highlight w:val="none"/>
              </w:rPr>
            </w:pPr>
          </w:p>
          <w:p w14:paraId="65B5F4B7">
            <w:pPr>
              <w:spacing w:line="255" w:lineRule="auto"/>
              <w:rPr>
                <w:rFonts w:ascii="Arial"/>
                <w:color w:val="auto"/>
                <w:sz w:val="21"/>
                <w:highlight w:val="none"/>
              </w:rPr>
            </w:pPr>
          </w:p>
          <w:p w14:paraId="6C5F02E9">
            <w:pPr>
              <w:spacing w:line="255" w:lineRule="auto"/>
              <w:rPr>
                <w:rFonts w:ascii="Arial"/>
                <w:color w:val="auto"/>
                <w:sz w:val="21"/>
                <w:highlight w:val="none"/>
              </w:rPr>
            </w:pPr>
          </w:p>
          <w:p w14:paraId="00FFF75E">
            <w:pPr>
              <w:spacing w:line="255" w:lineRule="auto"/>
              <w:rPr>
                <w:rFonts w:ascii="Arial"/>
                <w:color w:val="auto"/>
                <w:sz w:val="21"/>
                <w:highlight w:val="none"/>
              </w:rPr>
            </w:pPr>
          </w:p>
          <w:p w14:paraId="0BC5898D">
            <w:pPr>
              <w:spacing w:line="255" w:lineRule="auto"/>
              <w:rPr>
                <w:rFonts w:ascii="Arial"/>
                <w:color w:val="auto"/>
                <w:sz w:val="21"/>
                <w:highlight w:val="none"/>
              </w:rPr>
            </w:pPr>
          </w:p>
          <w:p w14:paraId="221B7B6F">
            <w:pPr>
              <w:spacing w:line="255" w:lineRule="auto"/>
              <w:rPr>
                <w:rFonts w:ascii="Arial"/>
                <w:color w:val="auto"/>
                <w:sz w:val="21"/>
                <w:highlight w:val="none"/>
              </w:rPr>
            </w:pPr>
          </w:p>
          <w:p w14:paraId="547C7A5F">
            <w:pPr>
              <w:spacing w:line="255" w:lineRule="auto"/>
              <w:rPr>
                <w:rFonts w:ascii="Arial"/>
                <w:color w:val="auto"/>
                <w:sz w:val="21"/>
                <w:highlight w:val="none"/>
              </w:rPr>
            </w:pPr>
          </w:p>
          <w:p w14:paraId="01822CE4">
            <w:pPr>
              <w:spacing w:line="255" w:lineRule="auto"/>
              <w:rPr>
                <w:rFonts w:ascii="Arial"/>
                <w:color w:val="auto"/>
                <w:sz w:val="21"/>
                <w:highlight w:val="none"/>
              </w:rPr>
            </w:pPr>
          </w:p>
          <w:p w14:paraId="7C72EF9B">
            <w:pPr>
              <w:spacing w:line="255" w:lineRule="auto"/>
              <w:rPr>
                <w:rFonts w:ascii="Arial"/>
                <w:color w:val="auto"/>
                <w:sz w:val="21"/>
                <w:highlight w:val="none"/>
              </w:rPr>
            </w:pPr>
          </w:p>
          <w:p w14:paraId="260A7023">
            <w:pPr>
              <w:pStyle w:val="17"/>
              <w:spacing w:before="68" w:line="183" w:lineRule="auto"/>
              <w:ind w:left="118"/>
              <w:rPr>
                <w:color w:val="auto"/>
                <w:highlight w:val="none"/>
              </w:rPr>
            </w:pPr>
            <w:r>
              <w:rPr>
                <w:color w:val="auto"/>
                <w:spacing w:val="-3"/>
                <w:highlight w:val="none"/>
              </w:rPr>
              <w:t>2.1</w:t>
            </w:r>
          </w:p>
        </w:tc>
        <w:tc>
          <w:tcPr>
            <w:tcW w:w="1418" w:type="dxa"/>
            <w:vAlign w:val="top"/>
          </w:tcPr>
          <w:p w14:paraId="003B9CD5">
            <w:pPr>
              <w:spacing w:line="257" w:lineRule="auto"/>
              <w:rPr>
                <w:rFonts w:ascii="Arial"/>
                <w:color w:val="auto"/>
                <w:sz w:val="21"/>
                <w:highlight w:val="none"/>
              </w:rPr>
            </w:pPr>
          </w:p>
          <w:p w14:paraId="765DEFFE">
            <w:pPr>
              <w:spacing w:line="258" w:lineRule="auto"/>
              <w:rPr>
                <w:rFonts w:ascii="Arial"/>
                <w:color w:val="auto"/>
                <w:sz w:val="21"/>
                <w:highlight w:val="none"/>
              </w:rPr>
            </w:pPr>
          </w:p>
          <w:p w14:paraId="5240A3BA">
            <w:pPr>
              <w:spacing w:line="258" w:lineRule="auto"/>
              <w:rPr>
                <w:rFonts w:ascii="Arial"/>
                <w:color w:val="auto"/>
                <w:sz w:val="21"/>
                <w:highlight w:val="none"/>
              </w:rPr>
            </w:pPr>
          </w:p>
          <w:p w14:paraId="1651F687">
            <w:pPr>
              <w:spacing w:line="258" w:lineRule="auto"/>
              <w:rPr>
                <w:rFonts w:ascii="Arial"/>
                <w:color w:val="auto"/>
                <w:sz w:val="21"/>
                <w:highlight w:val="none"/>
              </w:rPr>
            </w:pPr>
          </w:p>
          <w:p w14:paraId="75D72F8C">
            <w:pPr>
              <w:spacing w:line="258" w:lineRule="auto"/>
              <w:rPr>
                <w:rFonts w:ascii="Arial"/>
                <w:color w:val="auto"/>
                <w:sz w:val="21"/>
                <w:highlight w:val="none"/>
              </w:rPr>
            </w:pPr>
          </w:p>
          <w:p w14:paraId="25FCE62E">
            <w:pPr>
              <w:spacing w:line="258" w:lineRule="auto"/>
              <w:rPr>
                <w:rFonts w:ascii="Arial"/>
                <w:color w:val="auto"/>
                <w:sz w:val="21"/>
                <w:highlight w:val="none"/>
              </w:rPr>
            </w:pPr>
          </w:p>
          <w:p w14:paraId="7136E0BD">
            <w:pPr>
              <w:spacing w:line="258" w:lineRule="auto"/>
              <w:rPr>
                <w:rFonts w:ascii="Arial"/>
                <w:color w:val="auto"/>
                <w:sz w:val="21"/>
                <w:highlight w:val="none"/>
              </w:rPr>
            </w:pPr>
          </w:p>
          <w:p w14:paraId="2A9E2BF2">
            <w:pPr>
              <w:spacing w:line="258" w:lineRule="auto"/>
              <w:rPr>
                <w:rFonts w:ascii="Arial"/>
                <w:color w:val="auto"/>
                <w:sz w:val="21"/>
                <w:highlight w:val="none"/>
              </w:rPr>
            </w:pPr>
          </w:p>
          <w:p w14:paraId="5B068DC9">
            <w:pPr>
              <w:pStyle w:val="17"/>
              <w:spacing w:before="68" w:line="337" w:lineRule="auto"/>
              <w:ind w:left="605" w:right="181" w:hanging="420"/>
              <w:rPr>
                <w:color w:val="auto"/>
                <w:highlight w:val="none"/>
              </w:rPr>
            </w:pPr>
            <w:r>
              <w:rPr>
                <w:color w:val="auto"/>
                <w:spacing w:val="-1"/>
                <w:highlight w:val="none"/>
              </w:rPr>
              <w:t>施工组织设</w:t>
            </w:r>
            <w:r>
              <w:rPr>
                <w:color w:val="auto"/>
                <w:highlight w:val="none"/>
              </w:rPr>
              <w:t xml:space="preserve"> 计</w:t>
            </w:r>
          </w:p>
        </w:tc>
        <w:tc>
          <w:tcPr>
            <w:tcW w:w="6285" w:type="dxa"/>
            <w:vAlign w:val="top"/>
          </w:tcPr>
          <w:p w14:paraId="5B558432">
            <w:pPr>
              <w:pStyle w:val="17"/>
              <w:spacing w:before="140" w:line="221" w:lineRule="auto"/>
              <w:ind w:left="119"/>
              <w:rPr>
                <w:color w:val="auto"/>
                <w:highlight w:val="none"/>
              </w:rPr>
            </w:pPr>
            <w:r>
              <w:rPr>
                <w:b/>
                <w:bCs/>
                <w:color w:val="auto"/>
                <w:spacing w:val="-4"/>
                <w:highlight w:val="none"/>
              </w:rPr>
              <w:t>（1）内容完整性和编制水平（满分</w:t>
            </w:r>
            <w:r>
              <w:rPr>
                <w:rFonts w:hint="eastAsia"/>
                <w:b/>
                <w:bCs/>
                <w:color w:val="auto"/>
                <w:spacing w:val="-4"/>
                <w:highlight w:val="none"/>
                <w:lang w:val="en-US" w:eastAsia="zh-CN"/>
              </w:rPr>
              <w:t>8</w:t>
            </w:r>
            <w:r>
              <w:rPr>
                <w:b/>
                <w:bCs/>
                <w:color w:val="auto"/>
                <w:spacing w:val="-4"/>
                <w:highlight w:val="none"/>
              </w:rPr>
              <w:t>分）</w:t>
            </w:r>
          </w:p>
          <w:p w14:paraId="3BAAF702">
            <w:pPr>
              <w:pStyle w:val="17"/>
              <w:spacing w:before="149" w:line="339" w:lineRule="auto"/>
              <w:ind w:left="118" w:right="97" w:hanging="6"/>
              <w:rPr>
                <w:color w:val="auto"/>
                <w:highlight w:val="none"/>
              </w:rPr>
            </w:pPr>
            <w:r>
              <w:rPr>
                <w:color w:val="auto"/>
                <w:spacing w:val="-1"/>
                <w:highlight w:val="none"/>
              </w:rPr>
              <w:t>根据供应商对项目内容的了解，总体布置，施工要求，编制内容是</w:t>
            </w:r>
            <w:r>
              <w:rPr>
                <w:color w:val="auto"/>
                <w:spacing w:val="7"/>
                <w:highlight w:val="none"/>
              </w:rPr>
              <w:t xml:space="preserve"> </w:t>
            </w:r>
            <w:r>
              <w:rPr>
                <w:color w:val="auto"/>
                <w:spacing w:val="-1"/>
                <w:highlight w:val="none"/>
              </w:rPr>
              <w:t>否满足本项目的需要，编制水平进行评分。</w:t>
            </w:r>
          </w:p>
          <w:p w14:paraId="0AA3501F">
            <w:pPr>
              <w:pStyle w:val="17"/>
              <w:spacing w:before="27" w:line="345" w:lineRule="auto"/>
              <w:ind w:left="113" w:right="97" w:firstLine="2"/>
              <w:rPr>
                <w:color w:val="auto"/>
                <w:highlight w:val="none"/>
              </w:rPr>
            </w:pPr>
            <w:r>
              <w:rPr>
                <w:color w:val="auto"/>
                <w:spacing w:val="-1"/>
                <w:highlight w:val="none"/>
              </w:rPr>
              <w:t>一档（</w:t>
            </w:r>
            <w:r>
              <w:rPr>
                <w:rFonts w:hint="eastAsia"/>
                <w:color w:val="auto"/>
                <w:spacing w:val="-1"/>
                <w:highlight w:val="none"/>
                <w:lang w:val="en-US" w:eastAsia="zh-CN"/>
              </w:rPr>
              <w:t>1</w:t>
            </w:r>
            <w:r>
              <w:rPr>
                <w:color w:val="auto"/>
                <w:spacing w:val="-1"/>
                <w:highlight w:val="none"/>
              </w:rPr>
              <w:t>分</w:t>
            </w:r>
            <w:r>
              <w:rPr>
                <w:color w:val="auto"/>
                <w:spacing w:val="1"/>
                <w:highlight w:val="none"/>
              </w:rPr>
              <w:t>）：</w:t>
            </w:r>
            <w:r>
              <w:rPr>
                <w:color w:val="auto"/>
                <w:spacing w:val="-1"/>
                <w:highlight w:val="none"/>
              </w:rPr>
              <w:t>对项目内容的了解不足，总体布置不够全面，施工</w:t>
            </w:r>
            <w:r>
              <w:rPr>
                <w:color w:val="auto"/>
                <w:spacing w:val="1"/>
                <w:highlight w:val="none"/>
              </w:rPr>
              <w:t xml:space="preserve"> </w:t>
            </w:r>
            <w:r>
              <w:rPr>
                <w:color w:val="auto"/>
                <w:spacing w:val="-1"/>
                <w:highlight w:val="none"/>
              </w:rPr>
              <w:t>要求仅满足要求，编制内容仅满足本项目的需要，编制水平一般。</w:t>
            </w:r>
            <w:r>
              <w:rPr>
                <w:color w:val="auto"/>
                <w:spacing w:val="6"/>
                <w:highlight w:val="none"/>
              </w:rPr>
              <w:t xml:space="preserve"> </w:t>
            </w:r>
            <w:r>
              <w:rPr>
                <w:color w:val="auto"/>
                <w:spacing w:val="-1"/>
                <w:highlight w:val="none"/>
              </w:rPr>
              <w:t>二档（</w:t>
            </w:r>
            <w:r>
              <w:rPr>
                <w:rFonts w:hint="eastAsia"/>
                <w:color w:val="auto"/>
                <w:spacing w:val="-1"/>
                <w:highlight w:val="none"/>
                <w:lang w:val="en-US" w:eastAsia="zh-CN"/>
              </w:rPr>
              <w:t>4</w:t>
            </w:r>
            <w:r>
              <w:rPr>
                <w:color w:val="auto"/>
                <w:spacing w:val="-1"/>
                <w:highlight w:val="none"/>
              </w:rPr>
              <w:t xml:space="preserve"> 分</w:t>
            </w:r>
            <w:r>
              <w:rPr>
                <w:color w:val="auto"/>
                <w:spacing w:val="2"/>
                <w:highlight w:val="none"/>
              </w:rPr>
              <w:t>）：</w:t>
            </w:r>
            <w:r>
              <w:rPr>
                <w:color w:val="auto"/>
                <w:spacing w:val="-1"/>
                <w:highlight w:val="none"/>
              </w:rPr>
              <w:t>对项目内容基本了解，总体布置完整，施工要求满</w:t>
            </w:r>
            <w:r>
              <w:rPr>
                <w:color w:val="auto"/>
                <w:spacing w:val="1"/>
                <w:highlight w:val="none"/>
              </w:rPr>
              <w:t xml:space="preserve"> </w:t>
            </w:r>
            <w:r>
              <w:rPr>
                <w:color w:val="auto"/>
                <w:spacing w:val="-1"/>
                <w:highlight w:val="none"/>
              </w:rPr>
              <w:t>足要求，编制内容满足本项目的需要，编制水平较高。</w:t>
            </w:r>
          </w:p>
          <w:p w14:paraId="4523FC10">
            <w:pPr>
              <w:pStyle w:val="17"/>
              <w:spacing w:before="33" w:line="338" w:lineRule="auto"/>
              <w:ind w:left="113" w:right="97" w:hanging="1"/>
              <w:rPr>
                <w:color w:val="auto"/>
                <w:highlight w:val="none"/>
              </w:rPr>
            </w:pPr>
            <w:r>
              <w:rPr>
                <w:color w:val="auto"/>
                <w:spacing w:val="-1"/>
                <w:highlight w:val="none"/>
              </w:rPr>
              <w:t>三档（</w:t>
            </w:r>
            <w:r>
              <w:rPr>
                <w:rFonts w:hint="eastAsia"/>
                <w:color w:val="auto"/>
                <w:spacing w:val="-1"/>
                <w:highlight w:val="none"/>
                <w:lang w:val="en-US" w:eastAsia="zh-CN"/>
              </w:rPr>
              <w:t>8</w:t>
            </w:r>
            <w:r>
              <w:rPr>
                <w:color w:val="auto"/>
                <w:spacing w:val="-1"/>
                <w:highlight w:val="none"/>
              </w:rPr>
              <w:t xml:space="preserve"> 分</w:t>
            </w:r>
            <w:r>
              <w:rPr>
                <w:color w:val="auto"/>
                <w:spacing w:val="3"/>
                <w:highlight w:val="none"/>
              </w:rPr>
              <w:t>）：</w:t>
            </w:r>
            <w:r>
              <w:rPr>
                <w:color w:val="auto"/>
                <w:spacing w:val="-1"/>
                <w:highlight w:val="none"/>
              </w:rPr>
              <w:t>对项目内容非常了解，总体布置非常完整，施工要</w:t>
            </w:r>
            <w:r>
              <w:rPr>
                <w:color w:val="auto"/>
                <w:highlight w:val="none"/>
              </w:rPr>
              <w:t xml:space="preserve"> </w:t>
            </w:r>
            <w:r>
              <w:rPr>
                <w:color w:val="auto"/>
                <w:spacing w:val="-2"/>
                <w:highlight w:val="none"/>
              </w:rPr>
              <w:t>求高于施工标准，编制内容满足本项目的需要，编制水平非常高。</w:t>
            </w:r>
          </w:p>
          <w:p w14:paraId="75E91295">
            <w:pPr>
              <w:pStyle w:val="17"/>
              <w:spacing w:before="28" w:line="221" w:lineRule="auto"/>
              <w:ind w:left="119"/>
              <w:rPr>
                <w:color w:val="auto"/>
                <w:highlight w:val="none"/>
              </w:rPr>
            </w:pPr>
            <w:r>
              <w:rPr>
                <w:b/>
                <w:bCs/>
                <w:color w:val="auto"/>
                <w:spacing w:val="-4"/>
                <w:highlight w:val="none"/>
              </w:rPr>
              <w:t>（2）施工方案与技术措施（满分</w:t>
            </w:r>
            <w:r>
              <w:rPr>
                <w:rFonts w:hint="eastAsia"/>
                <w:b/>
                <w:bCs/>
                <w:color w:val="auto"/>
                <w:spacing w:val="-4"/>
                <w:highlight w:val="none"/>
                <w:lang w:val="en-US" w:eastAsia="zh-CN"/>
              </w:rPr>
              <w:t>8</w:t>
            </w:r>
            <w:r>
              <w:rPr>
                <w:b/>
                <w:bCs/>
                <w:color w:val="auto"/>
                <w:spacing w:val="-4"/>
                <w:highlight w:val="none"/>
              </w:rPr>
              <w:t>分）</w:t>
            </w:r>
          </w:p>
          <w:p w14:paraId="5149A0D3">
            <w:pPr>
              <w:pStyle w:val="17"/>
              <w:spacing w:before="151" w:line="288" w:lineRule="auto"/>
              <w:ind w:left="112" w:right="97"/>
              <w:rPr>
                <w:color w:val="auto"/>
                <w:spacing w:val="-1"/>
                <w:highlight w:val="none"/>
              </w:rPr>
            </w:pPr>
            <w:r>
              <w:rPr>
                <w:color w:val="auto"/>
                <w:spacing w:val="-1"/>
                <w:highlight w:val="none"/>
              </w:rPr>
              <w:t>根据供应商对项目的施工总体条件，施工段划分总体表述、是否切</w:t>
            </w:r>
            <w:r>
              <w:rPr>
                <w:color w:val="auto"/>
                <w:spacing w:val="7"/>
                <w:highlight w:val="none"/>
              </w:rPr>
              <w:t xml:space="preserve"> </w:t>
            </w:r>
            <w:r>
              <w:rPr>
                <w:color w:val="auto"/>
                <w:spacing w:val="-1"/>
                <w:highlight w:val="none"/>
              </w:rPr>
              <w:t>合本工程实际情况，施工方法，技术措施进行评分。</w:t>
            </w:r>
          </w:p>
          <w:p w14:paraId="6AC874D4">
            <w:pPr>
              <w:pStyle w:val="17"/>
              <w:spacing w:before="141" w:line="344" w:lineRule="auto"/>
              <w:ind w:left="111" w:right="97" w:firstLine="4"/>
              <w:jc w:val="both"/>
              <w:rPr>
                <w:color w:val="auto"/>
                <w:highlight w:val="none"/>
              </w:rPr>
            </w:pPr>
            <w:r>
              <w:rPr>
                <w:color w:val="auto"/>
                <w:spacing w:val="-1"/>
                <w:highlight w:val="none"/>
              </w:rPr>
              <w:t>一档（</w:t>
            </w:r>
            <w:r>
              <w:rPr>
                <w:rFonts w:hint="eastAsia"/>
                <w:color w:val="auto"/>
                <w:spacing w:val="-1"/>
                <w:highlight w:val="none"/>
                <w:lang w:val="en-US" w:eastAsia="zh-CN"/>
              </w:rPr>
              <w:t>1</w:t>
            </w:r>
            <w:r>
              <w:rPr>
                <w:color w:val="auto"/>
                <w:spacing w:val="-1"/>
                <w:highlight w:val="none"/>
              </w:rPr>
              <w:t>分</w:t>
            </w:r>
            <w:r>
              <w:rPr>
                <w:color w:val="auto"/>
                <w:spacing w:val="1"/>
                <w:highlight w:val="none"/>
              </w:rPr>
              <w:t>）：</w:t>
            </w:r>
            <w:r>
              <w:rPr>
                <w:color w:val="auto"/>
                <w:spacing w:val="-1"/>
                <w:highlight w:val="none"/>
              </w:rPr>
              <w:t>对项目的施工总体条件了解不足，施工段划分总体</w:t>
            </w:r>
            <w:r>
              <w:rPr>
                <w:color w:val="auto"/>
                <w:spacing w:val="1"/>
                <w:highlight w:val="none"/>
              </w:rPr>
              <w:t xml:space="preserve"> </w:t>
            </w:r>
            <w:r>
              <w:rPr>
                <w:color w:val="auto"/>
                <w:spacing w:val="-1"/>
                <w:highlight w:val="none"/>
              </w:rPr>
              <w:t>表述不清楚、不切合本工程实际情况，施工方法简单，技术措施简</w:t>
            </w:r>
            <w:r>
              <w:rPr>
                <w:color w:val="auto"/>
                <w:spacing w:val="6"/>
                <w:highlight w:val="none"/>
              </w:rPr>
              <w:t xml:space="preserve"> </w:t>
            </w:r>
            <w:r>
              <w:rPr>
                <w:color w:val="auto"/>
                <w:spacing w:val="-10"/>
                <w:highlight w:val="none"/>
              </w:rPr>
              <w:t>单。</w:t>
            </w:r>
          </w:p>
          <w:p w14:paraId="701D9D80">
            <w:pPr>
              <w:pStyle w:val="17"/>
              <w:spacing w:before="28" w:line="338" w:lineRule="auto"/>
              <w:ind w:left="111" w:right="97" w:firstLine="4"/>
              <w:rPr>
                <w:color w:val="auto"/>
                <w:highlight w:val="none"/>
              </w:rPr>
            </w:pPr>
            <w:r>
              <w:rPr>
                <w:color w:val="auto"/>
                <w:spacing w:val="-1"/>
                <w:highlight w:val="none"/>
              </w:rPr>
              <w:t>二档（</w:t>
            </w:r>
            <w:r>
              <w:rPr>
                <w:rFonts w:hint="eastAsia"/>
                <w:color w:val="auto"/>
                <w:spacing w:val="-1"/>
                <w:highlight w:val="none"/>
                <w:lang w:val="en-US" w:eastAsia="zh-CN"/>
              </w:rPr>
              <w:t>4</w:t>
            </w:r>
            <w:r>
              <w:rPr>
                <w:color w:val="auto"/>
                <w:spacing w:val="-1"/>
                <w:highlight w:val="none"/>
              </w:rPr>
              <w:t>分</w:t>
            </w:r>
            <w:r>
              <w:rPr>
                <w:color w:val="auto"/>
                <w:spacing w:val="1"/>
                <w:highlight w:val="none"/>
              </w:rPr>
              <w:t>）：</w:t>
            </w:r>
            <w:r>
              <w:rPr>
                <w:color w:val="auto"/>
                <w:spacing w:val="-1"/>
                <w:highlight w:val="none"/>
              </w:rPr>
              <w:t>对项目的施工总体条件基本了解，施工段划分总体</w:t>
            </w:r>
            <w:r>
              <w:rPr>
                <w:color w:val="auto"/>
                <w:spacing w:val="1"/>
                <w:highlight w:val="none"/>
              </w:rPr>
              <w:t xml:space="preserve"> </w:t>
            </w:r>
            <w:r>
              <w:rPr>
                <w:color w:val="auto"/>
                <w:spacing w:val="-1"/>
                <w:highlight w:val="none"/>
              </w:rPr>
              <w:t>表述清楚、切合本工程实际情况，施工方法好，技术措施好。</w:t>
            </w:r>
          </w:p>
          <w:p w14:paraId="12A23478">
            <w:pPr>
              <w:pStyle w:val="17"/>
              <w:spacing w:before="32" w:line="342" w:lineRule="auto"/>
              <w:ind w:left="111" w:right="42"/>
              <w:jc w:val="both"/>
              <w:rPr>
                <w:color w:val="auto"/>
                <w:highlight w:val="none"/>
              </w:rPr>
            </w:pPr>
            <w:r>
              <w:rPr>
                <w:color w:val="auto"/>
                <w:spacing w:val="-1"/>
                <w:highlight w:val="none"/>
              </w:rPr>
              <w:t>三档（</w:t>
            </w:r>
            <w:r>
              <w:rPr>
                <w:rFonts w:hint="eastAsia"/>
                <w:color w:val="auto"/>
                <w:spacing w:val="-1"/>
                <w:highlight w:val="none"/>
                <w:lang w:val="en-US" w:eastAsia="zh-CN"/>
              </w:rPr>
              <w:t>8</w:t>
            </w:r>
            <w:r>
              <w:rPr>
                <w:color w:val="auto"/>
                <w:spacing w:val="-1"/>
                <w:highlight w:val="none"/>
              </w:rPr>
              <w:t>分</w:t>
            </w:r>
            <w:r>
              <w:rPr>
                <w:color w:val="auto"/>
                <w:spacing w:val="3"/>
                <w:highlight w:val="none"/>
              </w:rPr>
              <w:t>）：</w:t>
            </w:r>
            <w:r>
              <w:rPr>
                <w:color w:val="auto"/>
                <w:spacing w:val="-1"/>
                <w:highlight w:val="none"/>
              </w:rPr>
              <w:t>对项目的施工总体条件非常了解，施工段划分总体</w:t>
            </w:r>
            <w:r>
              <w:rPr>
                <w:color w:val="auto"/>
                <w:highlight w:val="none"/>
              </w:rPr>
              <w:t xml:space="preserve"> </w:t>
            </w:r>
            <w:r>
              <w:rPr>
                <w:color w:val="auto"/>
                <w:spacing w:val="-6"/>
                <w:highlight w:val="none"/>
              </w:rPr>
              <w:t>表述非常清楚、非常符合本工程实际情况，施工方法非常科学有效，</w:t>
            </w:r>
            <w:r>
              <w:rPr>
                <w:color w:val="auto"/>
                <w:spacing w:val="4"/>
                <w:highlight w:val="none"/>
              </w:rPr>
              <w:t xml:space="preserve"> </w:t>
            </w:r>
            <w:r>
              <w:rPr>
                <w:color w:val="auto"/>
                <w:spacing w:val="-3"/>
                <w:highlight w:val="none"/>
              </w:rPr>
              <w:t>技术措施可行。</w:t>
            </w:r>
          </w:p>
          <w:p w14:paraId="494A7040">
            <w:pPr>
              <w:pStyle w:val="17"/>
              <w:spacing w:before="32" w:line="221" w:lineRule="auto"/>
              <w:ind w:left="119"/>
              <w:rPr>
                <w:b/>
                <w:bCs/>
                <w:color w:val="auto"/>
                <w:spacing w:val="-4"/>
                <w:highlight w:val="none"/>
              </w:rPr>
            </w:pPr>
            <w:r>
              <w:rPr>
                <w:b/>
                <w:bCs/>
                <w:color w:val="auto"/>
                <w:spacing w:val="-4"/>
                <w:highlight w:val="none"/>
              </w:rPr>
              <w:t>（3）质量管理体系与措施（满分</w:t>
            </w:r>
            <w:r>
              <w:rPr>
                <w:rFonts w:hint="eastAsia"/>
                <w:b/>
                <w:bCs/>
                <w:color w:val="auto"/>
                <w:spacing w:val="-4"/>
                <w:highlight w:val="none"/>
                <w:lang w:val="en-US" w:eastAsia="zh-CN"/>
              </w:rPr>
              <w:t>8</w:t>
            </w:r>
            <w:r>
              <w:rPr>
                <w:b/>
                <w:bCs/>
                <w:color w:val="auto"/>
                <w:spacing w:val="-4"/>
                <w:highlight w:val="none"/>
              </w:rPr>
              <w:t>分）</w:t>
            </w:r>
          </w:p>
          <w:p w14:paraId="637A208A">
            <w:pPr>
              <w:pStyle w:val="17"/>
              <w:spacing w:before="148" w:line="343" w:lineRule="auto"/>
              <w:ind w:left="112" w:right="97"/>
              <w:rPr>
                <w:color w:val="auto"/>
                <w:highlight w:val="none"/>
              </w:rPr>
            </w:pPr>
            <w:r>
              <w:rPr>
                <w:color w:val="auto"/>
                <w:spacing w:val="-1"/>
                <w:highlight w:val="none"/>
              </w:rPr>
              <w:t>根据供应商对工程质量保证措施和施工技术措施；项目关键技术、</w:t>
            </w:r>
            <w:r>
              <w:rPr>
                <w:color w:val="auto"/>
                <w:spacing w:val="7"/>
                <w:highlight w:val="none"/>
              </w:rPr>
              <w:t xml:space="preserve"> </w:t>
            </w:r>
            <w:r>
              <w:rPr>
                <w:color w:val="auto"/>
                <w:spacing w:val="-1"/>
                <w:highlight w:val="none"/>
              </w:rPr>
              <w:t>工艺，对施工重点、难点是否具有合理的施工技术措施和可靠的安</w:t>
            </w:r>
            <w:r>
              <w:rPr>
                <w:color w:val="auto"/>
                <w:spacing w:val="7"/>
                <w:highlight w:val="none"/>
              </w:rPr>
              <w:t xml:space="preserve"> </w:t>
            </w:r>
            <w:r>
              <w:rPr>
                <w:color w:val="auto"/>
                <w:spacing w:val="-2"/>
                <w:highlight w:val="none"/>
              </w:rPr>
              <w:t>全措施，解决方案进行评分。</w:t>
            </w:r>
          </w:p>
          <w:p w14:paraId="20539868">
            <w:pPr>
              <w:pStyle w:val="17"/>
              <w:spacing w:before="29" w:line="343" w:lineRule="auto"/>
              <w:ind w:left="114" w:right="97" w:firstLine="1"/>
              <w:jc w:val="both"/>
              <w:rPr>
                <w:color w:val="auto"/>
                <w:highlight w:val="none"/>
              </w:rPr>
            </w:pPr>
            <w:r>
              <w:rPr>
                <w:color w:val="auto"/>
                <w:spacing w:val="-1"/>
                <w:highlight w:val="none"/>
              </w:rPr>
              <w:t>一档（1 分</w:t>
            </w:r>
            <w:r>
              <w:rPr>
                <w:color w:val="auto"/>
                <w:spacing w:val="-5"/>
                <w:highlight w:val="none"/>
              </w:rPr>
              <w:t>）：</w:t>
            </w:r>
            <w:r>
              <w:rPr>
                <w:color w:val="auto"/>
                <w:spacing w:val="-1"/>
                <w:highlight w:val="none"/>
              </w:rPr>
              <w:t>对工程质量保证措施和施工技术措施不够明确</w:t>
            </w:r>
            <w:r>
              <w:rPr>
                <w:color w:val="auto"/>
                <w:spacing w:val="-2"/>
                <w:highlight w:val="none"/>
              </w:rPr>
              <w:t>；项</w:t>
            </w:r>
            <w:r>
              <w:rPr>
                <w:color w:val="auto"/>
                <w:spacing w:val="1"/>
                <w:highlight w:val="none"/>
              </w:rPr>
              <w:t xml:space="preserve"> </w:t>
            </w:r>
            <w:r>
              <w:rPr>
                <w:color w:val="auto"/>
                <w:spacing w:val="-1"/>
                <w:highlight w:val="none"/>
              </w:rPr>
              <w:t>目关键技术、工艺不够明确，对施工重点、难点的施工技术措施和</w:t>
            </w:r>
            <w:r>
              <w:rPr>
                <w:color w:val="auto"/>
                <w:spacing w:val="5"/>
                <w:highlight w:val="none"/>
              </w:rPr>
              <w:t xml:space="preserve"> </w:t>
            </w:r>
            <w:r>
              <w:rPr>
                <w:color w:val="auto"/>
                <w:spacing w:val="-1"/>
                <w:highlight w:val="none"/>
              </w:rPr>
              <w:t>可靠的安全措施不够合理，解决方案不够清晰。</w:t>
            </w:r>
          </w:p>
          <w:p w14:paraId="50E94330">
            <w:pPr>
              <w:pStyle w:val="17"/>
              <w:spacing w:before="27" w:line="344" w:lineRule="auto"/>
              <w:ind w:left="111" w:right="97" w:firstLine="4"/>
              <w:jc w:val="both"/>
              <w:rPr>
                <w:rFonts w:hint="eastAsia" w:eastAsia="宋体"/>
                <w:color w:val="auto"/>
                <w:highlight w:val="none"/>
                <w:lang w:eastAsia="zh-CN"/>
              </w:rPr>
            </w:pPr>
            <w:r>
              <w:rPr>
                <w:color w:val="auto"/>
                <w:spacing w:val="-1"/>
                <w:highlight w:val="none"/>
              </w:rPr>
              <w:t>二档（</w:t>
            </w:r>
            <w:r>
              <w:rPr>
                <w:rFonts w:hint="eastAsia"/>
                <w:color w:val="auto"/>
                <w:spacing w:val="-1"/>
                <w:highlight w:val="none"/>
                <w:lang w:val="en-US" w:eastAsia="zh-CN"/>
              </w:rPr>
              <w:t>4</w:t>
            </w:r>
            <w:r>
              <w:rPr>
                <w:color w:val="auto"/>
                <w:spacing w:val="-1"/>
                <w:highlight w:val="none"/>
              </w:rPr>
              <w:t xml:space="preserve"> 分</w:t>
            </w:r>
            <w:r>
              <w:rPr>
                <w:color w:val="auto"/>
                <w:spacing w:val="1"/>
                <w:highlight w:val="none"/>
              </w:rPr>
              <w:t>）：</w:t>
            </w:r>
            <w:r>
              <w:rPr>
                <w:color w:val="auto"/>
                <w:spacing w:val="-1"/>
                <w:highlight w:val="none"/>
              </w:rPr>
              <w:t>对工程质量保证措施和施工技术措施明确；项目关</w:t>
            </w:r>
            <w:r>
              <w:rPr>
                <w:color w:val="auto"/>
                <w:spacing w:val="1"/>
                <w:highlight w:val="none"/>
              </w:rPr>
              <w:t xml:space="preserve"> </w:t>
            </w:r>
            <w:r>
              <w:rPr>
                <w:color w:val="auto"/>
                <w:spacing w:val="-1"/>
                <w:highlight w:val="none"/>
              </w:rPr>
              <w:t>键技术、工艺明确，对施工重点、难点的施工技术措施和可靠的安</w:t>
            </w:r>
            <w:r>
              <w:rPr>
                <w:color w:val="auto"/>
                <w:spacing w:val="8"/>
                <w:highlight w:val="none"/>
              </w:rPr>
              <w:t xml:space="preserve"> </w:t>
            </w:r>
            <w:r>
              <w:rPr>
                <w:color w:val="auto"/>
                <w:spacing w:val="-1"/>
                <w:highlight w:val="none"/>
              </w:rPr>
              <w:t>全措施合理，解决方案清晰</w:t>
            </w:r>
            <w:r>
              <w:rPr>
                <w:rFonts w:hint="eastAsia"/>
                <w:color w:val="auto"/>
                <w:spacing w:val="-1"/>
                <w:highlight w:val="none"/>
                <w:lang w:eastAsia="zh-CN"/>
              </w:rPr>
              <w:t>。</w:t>
            </w:r>
          </w:p>
          <w:p w14:paraId="770070E0">
            <w:pPr>
              <w:pStyle w:val="17"/>
              <w:spacing w:before="29" w:line="343" w:lineRule="auto"/>
              <w:ind w:left="113" w:right="97" w:hanging="1"/>
              <w:jc w:val="both"/>
              <w:rPr>
                <w:rFonts w:hint="eastAsia" w:eastAsia="宋体"/>
                <w:color w:val="auto"/>
                <w:highlight w:val="none"/>
                <w:lang w:eastAsia="zh-CN"/>
              </w:rPr>
            </w:pPr>
            <w:r>
              <w:rPr>
                <w:color w:val="auto"/>
                <w:spacing w:val="-1"/>
                <w:highlight w:val="none"/>
              </w:rPr>
              <w:t>三档（</w:t>
            </w:r>
            <w:r>
              <w:rPr>
                <w:rFonts w:hint="eastAsia"/>
                <w:color w:val="auto"/>
                <w:spacing w:val="-1"/>
                <w:highlight w:val="none"/>
                <w:lang w:val="en-US" w:eastAsia="zh-CN"/>
              </w:rPr>
              <w:t>8</w:t>
            </w:r>
            <w:r>
              <w:rPr>
                <w:color w:val="auto"/>
                <w:spacing w:val="-1"/>
                <w:highlight w:val="none"/>
              </w:rPr>
              <w:t xml:space="preserve"> 分</w:t>
            </w:r>
            <w:r>
              <w:rPr>
                <w:color w:val="auto"/>
                <w:spacing w:val="-4"/>
                <w:highlight w:val="none"/>
              </w:rPr>
              <w:t>）：</w:t>
            </w:r>
            <w:r>
              <w:rPr>
                <w:color w:val="auto"/>
                <w:spacing w:val="-1"/>
                <w:highlight w:val="none"/>
              </w:rPr>
              <w:t>对工程质量保证措施和施工技术措施非常明确；项</w:t>
            </w:r>
            <w:r>
              <w:rPr>
                <w:color w:val="auto"/>
                <w:spacing w:val="1"/>
                <w:highlight w:val="none"/>
              </w:rPr>
              <w:t xml:space="preserve"> </w:t>
            </w:r>
            <w:r>
              <w:rPr>
                <w:color w:val="auto"/>
                <w:spacing w:val="-1"/>
                <w:highlight w:val="none"/>
              </w:rPr>
              <w:t>目关键技术、工艺非常明确，对施工重点、难点的施工技术措施和</w:t>
            </w:r>
            <w:r>
              <w:rPr>
                <w:color w:val="auto"/>
                <w:spacing w:val="5"/>
                <w:highlight w:val="none"/>
              </w:rPr>
              <w:t xml:space="preserve"> </w:t>
            </w:r>
            <w:r>
              <w:rPr>
                <w:color w:val="auto"/>
                <w:spacing w:val="-1"/>
                <w:highlight w:val="none"/>
              </w:rPr>
              <w:t>可靠的安全措施非常合理，解决方案非常清晰</w:t>
            </w:r>
            <w:r>
              <w:rPr>
                <w:rFonts w:hint="eastAsia"/>
                <w:color w:val="auto"/>
                <w:spacing w:val="-1"/>
                <w:highlight w:val="none"/>
                <w:lang w:eastAsia="zh-CN"/>
              </w:rPr>
              <w:t>。</w:t>
            </w:r>
          </w:p>
          <w:p w14:paraId="0BF84508">
            <w:pPr>
              <w:pStyle w:val="17"/>
              <w:spacing w:before="28" w:line="221" w:lineRule="auto"/>
              <w:ind w:left="119"/>
              <w:rPr>
                <w:color w:val="auto"/>
                <w:highlight w:val="none"/>
              </w:rPr>
            </w:pPr>
            <w:r>
              <w:rPr>
                <w:b/>
                <w:bCs/>
                <w:color w:val="auto"/>
                <w:spacing w:val="-4"/>
                <w:highlight w:val="none"/>
              </w:rPr>
              <w:t>（4）安全管理体系与措施（满分</w:t>
            </w:r>
            <w:r>
              <w:rPr>
                <w:color w:val="auto"/>
                <w:spacing w:val="-34"/>
                <w:highlight w:val="none"/>
              </w:rPr>
              <w:t xml:space="preserve"> </w:t>
            </w:r>
            <w:r>
              <w:rPr>
                <w:rFonts w:hint="eastAsia"/>
                <w:b/>
                <w:bCs/>
                <w:color w:val="auto"/>
                <w:spacing w:val="-4"/>
                <w:highlight w:val="none"/>
                <w:lang w:val="en-US" w:eastAsia="zh-CN"/>
              </w:rPr>
              <w:t>8</w:t>
            </w:r>
            <w:r>
              <w:rPr>
                <w:b/>
                <w:bCs/>
                <w:color w:val="auto"/>
                <w:spacing w:val="-4"/>
                <w:highlight w:val="none"/>
              </w:rPr>
              <w:t>分）</w:t>
            </w:r>
          </w:p>
          <w:p w14:paraId="3679BAD0">
            <w:pPr>
              <w:pStyle w:val="17"/>
              <w:spacing w:before="150" w:line="339" w:lineRule="auto"/>
              <w:ind w:left="111" w:right="97"/>
              <w:rPr>
                <w:color w:val="auto"/>
                <w:highlight w:val="none"/>
              </w:rPr>
            </w:pPr>
            <w:r>
              <w:rPr>
                <w:color w:val="auto"/>
                <w:spacing w:val="-1"/>
                <w:highlight w:val="none"/>
              </w:rPr>
              <w:t>根据供应商编制的工程安全管理措施、现场安全措施、消防安全措</w:t>
            </w:r>
            <w:r>
              <w:rPr>
                <w:color w:val="auto"/>
                <w:spacing w:val="7"/>
                <w:highlight w:val="none"/>
              </w:rPr>
              <w:t xml:space="preserve"> </w:t>
            </w:r>
            <w:r>
              <w:rPr>
                <w:color w:val="auto"/>
                <w:spacing w:val="-1"/>
                <w:highlight w:val="none"/>
              </w:rPr>
              <w:t>施、安全生产措施保障制度进行评分。</w:t>
            </w:r>
          </w:p>
          <w:p w14:paraId="038420A8">
            <w:pPr>
              <w:pStyle w:val="17"/>
              <w:spacing w:before="28" w:line="339" w:lineRule="auto"/>
              <w:ind w:left="112" w:right="97" w:firstLine="3"/>
              <w:rPr>
                <w:color w:val="auto"/>
                <w:highlight w:val="none"/>
              </w:rPr>
            </w:pPr>
            <w:r>
              <w:rPr>
                <w:color w:val="auto"/>
                <w:spacing w:val="-1"/>
                <w:highlight w:val="none"/>
              </w:rPr>
              <w:t>一档（1 分</w:t>
            </w:r>
            <w:r>
              <w:rPr>
                <w:color w:val="auto"/>
                <w:spacing w:val="1"/>
                <w:highlight w:val="none"/>
              </w:rPr>
              <w:t>）：</w:t>
            </w:r>
            <w:r>
              <w:rPr>
                <w:color w:val="auto"/>
                <w:spacing w:val="-1"/>
                <w:highlight w:val="none"/>
              </w:rPr>
              <w:t>工程安全管理措施不够明确、现场安全措施不够明</w:t>
            </w:r>
            <w:r>
              <w:rPr>
                <w:color w:val="auto"/>
                <w:spacing w:val="1"/>
                <w:highlight w:val="none"/>
              </w:rPr>
              <w:t xml:space="preserve"> </w:t>
            </w:r>
            <w:r>
              <w:rPr>
                <w:color w:val="auto"/>
                <w:highlight w:val="none"/>
              </w:rPr>
              <w:t>确、消防安全措施不够明确、安全生产措施保障制度不够</w:t>
            </w:r>
            <w:r>
              <w:rPr>
                <w:color w:val="auto"/>
                <w:spacing w:val="-1"/>
                <w:highlight w:val="none"/>
              </w:rPr>
              <w:t>清晰。</w:t>
            </w:r>
          </w:p>
          <w:p w14:paraId="78E90DA9">
            <w:pPr>
              <w:pStyle w:val="17"/>
              <w:spacing w:before="30" w:line="337" w:lineRule="auto"/>
              <w:ind w:left="116" w:right="97"/>
              <w:rPr>
                <w:color w:val="auto"/>
                <w:highlight w:val="none"/>
              </w:rPr>
            </w:pPr>
            <w:r>
              <w:rPr>
                <w:color w:val="auto"/>
                <w:spacing w:val="-1"/>
                <w:highlight w:val="none"/>
              </w:rPr>
              <w:t>二档（</w:t>
            </w:r>
            <w:r>
              <w:rPr>
                <w:rFonts w:hint="eastAsia"/>
                <w:color w:val="auto"/>
                <w:spacing w:val="-1"/>
                <w:highlight w:val="none"/>
                <w:lang w:val="en-US" w:eastAsia="zh-CN"/>
              </w:rPr>
              <w:t>4</w:t>
            </w:r>
            <w:r>
              <w:rPr>
                <w:color w:val="auto"/>
                <w:spacing w:val="-1"/>
                <w:highlight w:val="none"/>
              </w:rPr>
              <w:t xml:space="preserve"> 分</w:t>
            </w:r>
            <w:r>
              <w:rPr>
                <w:color w:val="auto"/>
                <w:spacing w:val="1"/>
                <w:highlight w:val="none"/>
              </w:rPr>
              <w:t>）：</w:t>
            </w:r>
            <w:r>
              <w:rPr>
                <w:color w:val="auto"/>
                <w:spacing w:val="-1"/>
                <w:highlight w:val="none"/>
              </w:rPr>
              <w:t>工程安全管理措施明确、现场安全措施明确、消防</w:t>
            </w:r>
            <w:r>
              <w:rPr>
                <w:color w:val="auto"/>
                <w:spacing w:val="1"/>
                <w:highlight w:val="none"/>
              </w:rPr>
              <w:t xml:space="preserve"> </w:t>
            </w:r>
            <w:r>
              <w:rPr>
                <w:color w:val="auto"/>
                <w:spacing w:val="-2"/>
                <w:highlight w:val="none"/>
              </w:rPr>
              <w:t>安全措施明确、安全生产措施保障制度清晰。</w:t>
            </w:r>
          </w:p>
          <w:p w14:paraId="3A93CAC0">
            <w:pPr>
              <w:pStyle w:val="17"/>
              <w:spacing w:before="33" w:line="339" w:lineRule="auto"/>
              <w:ind w:left="112" w:right="97"/>
              <w:rPr>
                <w:color w:val="auto"/>
                <w:highlight w:val="none"/>
              </w:rPr>
            </w:pPr>
            <w:r>
              <w:rPr>
                <w:color w:val="auto"/>
                <w:spacing w:val="-1"/>
                <w:highlight w:val="none"/>
              </w:rPr>
              <w:t>三档（</w:t>
            </w:r>
            <w:r>
              <w:rPr>
                <w:rFonts w:hint="eastAsia"/>
                <w:color w:val="auto"/>
                <w:spacing w:val="-1"/>
                <w:highlight w:val="none"/>
                <w:lang w:val="en-US" w:eastAsia="zh-CN"/>
              </w:rPr>
              <w:t>8</w:t>
            </w:r>
            <w:r>
              <w:rPr>
                <w:color w:val="auto"/>
                <w:spacing w:val="-1"/>
                <w:highlight w:val="none"/>
              </w:rPr>
              <w:t xml:space="preserve"> 分</w:t>
            </w:r>
            <w:r>
              <w:rPr>
                <w:color w:val="auto"/>
                <w:spacing w:val="3"/>
                <w:highlight w:val="none"/>
              </w:rPr>
              <w:t>）：</w:t>
            </w:r>
            <w:r>
              <w:rPr>
                <w:color w:val="auto"/>
                <w:spacing w:val="-1"/>
                <w:highlight w:val="none"/>
              </w:rPr>
              <w:t>工程安全管理措施非常明确、现场安全措施非常明</w:t>
            </w:r>
            <w:r>
              <w:rPr>
                <w:color w:val="auto"/>
                <w:highlight w:val="none"/>
              </w:rPr>
              <w:t xml:space="preserve"> 确、消防安全措施非常明确、安全生产措施保障制度非常</w:t>
            </w:r>
            <w:r>
              <w:rPr>
                <w:color w:val="auto"/>
                <w:spacing w:val="-1"/>
                <w:highlight w:val="none"/>
              </w:rPr>
              <w:t>清晰。</w:t>
            </w:r>
          </w:p>
          <w:p w14:paraId="349103F3">
            <w:pPr>
              <w:pStyle w:val="17"/>
              <w:spacing w:before="28" w:line="221" w:lineRule="auto"/>
              <w:ind w:left="119"/>
              <w:rPr>
                <w:color w:val="auto"/>
                <w:highlight w:val="none"/>
              </w:rPr>
            </w:pPr>
            <w:r>
              <w:rPr>
                <w:b/>
                <w:bCs/>
                <w:color w:val="auto"/>
                <w:spacing w:val="-4"/>
                <w:highlight w:val="none"/>
              </w:rPr>
              <w:t>（5）环境保护管理体系与措施（满分</w:t>
            </w:r>
            <w:r>
              <w:rPr>
                <w:rFonts w:hint="eastAsia"/>
                <w:b/>
                <w:bCs/>
                <w:color w:val="auto"/>
                <w:spacing w:val="-4"/>
                <w:highlight w:val="none"/>
                <w:lang w:val="en-US" w:eastAsia="zh-CN"/>
              </w:rPr>
              <w:t>8</w:t>
            </w:r>
            <w:r>
              <w:rPr>
                <w:b/>
                <w:bCs/>
                <w:color w:val="auto"/>
                <w:spacing w:val="-4"/>
                <w:highlight w:val="none"/>
              </w:rPr>
              <w:t>分）</w:t>
            </w:r>
          </w:p>
          <w:p w14:paraId="7E4E9E6F">
            <w:pPr>
              <w:pStyle w:val="17"/>
              <w:spacing w:before="142" w:line="360" w:lineRule="auto"/>
              <w:ind w:left="133"/>
              <w:rPr>
                <w:color w:val="auto"/>
                <w:highlight w:val="none"/>
              </w:rPr>
            </w:pPr>
            <w:r>
              <w:rPr>
                <w:color w:val="auto"/>
                <w:spacing w:val="-5"/>
                <w:highlight w:val="none"/>
              </w:rPr>
              <w:t>根据供应商对噪声排放措施、临时工程建</w:t>
            </w:r>
            <w:r>
              <w:rPr>
                <w:color w:val="auto"/>
                <w:spacing w:val="-5"/>
                <w:highlight w:val="none"/>
                <w:u w:val="none"/>
              </w:rPr>
              <w:t>筑</w:t>
            </w:r>
            <w:r>
              <w:rPr>
                <w:rFonts w:hint="eastAsia"/>
                <w:color w:val="auto"/>
                <w:spacing w:val="-5"/>
                <w:highlight w:val="none"/>
                <w:u w:val="none"/>
                <w:lang w:eastAsia="zh-CN"/>
              </w:rPr>
              <w:t>垃圾</w:t>
            </w:r>
            <w:r>
              <w:rPr>
                <w:color w:val="auto"/>
                <w:spacing w:val="-5"/>
                <w:highlight w:val="none"/>
                <w:u w:val="none"/>
              </w:rPr>
              <w:t>、</w:t>
            </w:r>
            <w:r>
              <w:rPr>
                <w:color w:val="auto"/>
                <w:spacing w:val="-6"/>
                <w:highlight w:val="none"/>
              </w:rPr>
              <w:t>生活垃圾、生产、</w:t>
            </w:r>
            <w:r>
              <w:rPr>
                <w:color w:val="auto"/>
                <w:highlight w:val="none"/>
              </w:rPr>
              <w:t xml:space="preserve"> </w:t>
            </w:r>
            <w:r>
              <w:rPr>
                <w:color w:val="auto"/>
                <w:spacing w:val="-1"/>
                <w:highlight w:val="none"/>
              </w:rPr>
              <w:t>生活污水按规定排放、施工扬尘符合地方有关标准处理，运输的材</w:t>
            </w:r>
            <w:r>
              <w:rPr>
                <w:color w:val="auto"/>
                <w:spacing w:val="7"/>
                <w:highlight w:val="none"/>
              </w:rPr>
              <w:t xml:space="preserve"> </w:t>
            </w:r>
            <w:r>
              <w:rPr>
                <w:color w:val="auto"/>
                <w:highlight w:val="none"/>
              </w:rPr>
              <w:t>料、渣土、垃圾等遗漏措施，水电、钢材、水泥、木材节</w:t>
            </w:r>
            <w:r>
              <w:rPr>
                <w:color w:val="auto"/>
                <w:spacing w:val="-1"/>
                <w:highlight w:val="none"/>
              </w:rPr>
              <w:t>约能力，</w:t>
            </w:r>
            <w:r>
              <w:rPr>
                <w:color w:val="auto"/>
                <w:spacing w:val="-2"/>
                <w:highlight w:val="none"/>
              </w:rPr>
              <w:t>回收利用上一工序的废弃料进行评分。</w:t>
            </w:r>
          </w:p>
          <w:p w14:paraId="2ECC0382">
            <w:pPr>
              <w:pStyle w:val="17"/>
              <w:spacing w:before="152" w:line="348" w:lineRule="auto"/>
              <w:ind w:left="114" w:right="25" w:firstLine="1"/>
              <w:rPr>
                <w:color w:val="auto"/>
                <w:highlight w:val="none"/>
              </w:rPr>
            </w:pPr>
            <w:r>
              <w:rPr>
                <w:color w:val="auto"/>
                <w:spacing w:val="-2"/>
                <w:highlight w:val="none"/>
              </w:rPr>
              <w:t>一档（1 分</w:t>
            </w:r>
            <w:r>
              <w:rPr>
                <w:color w:val="auto"/>
                <w:spacing w:val="-1"/>
                <w:highlight w:val="none"/>
              </w:rPr>
              <w:t>）：</w:t>
            </w:r>
            <w:r>
              <w:rPr>
                <w:color w:val="auto"/>
                <w:spacing w:val="-2"/>
                <w:highlight w:val="none"/>
              </w:rPr>
              <w:t>对噪声排放措施、临时工程建筑</w:t>
            </w:r>
            <w:r>
              <w:rPr>
                <w:rFonts w:hint="eastAsia"/>
                <w:color w:val="auto"/>
                <w:spacing w:val="-2"/>
                <w:highlight w:val="none"/>
                <w:lang w:eastAsia="zh-CN"/>
              </w:rPr>
              <w:t>垃圾</w:t>
            </w:r>
            <w:r>
              <w:rPr>
                <w:color w:val="auto"/>
                <w:spacing w:val="-2"/>
                <w:highlight w:val="none"/>
              </w:rPr>
              <w:t>、生活垃圾、</w:t>
            </w:r>
            <w:r>
              <w:rPr>
                <w:color w:val="auto"/>
                <w:highlight w:val="none"/>
              </w:rPr>
              <w:t xml:space="preserve">  </w:t>
            </w:r>
            <w:r>
              <w:rPr>
                <w:color w:val="auto"/>
                <w:spacing w:val="-1"/>
                <w:highlight w:val="none"/>
              </w:rPr>
              <w:t>生产、生活污水按规定排放、施工扬尘符合地方有关标准处理不够</w:t>
            </w:r>
            <w:r>
              <w:rPr>
                <w:color w:val="auto"/>
                <w:spacing w:val="5"/>
                <w:highlight w:val="none"/>
              </w:rPr>
              <w:t xml:space="preserve"> </w:t>
            </w:r>
            <w:r>
              <w:rPr>
                <w:color w:val="auto"/>
                <w:spacing w:val="-6"/>
                <w:highlight w:val="none"/>
              </w:rPr>
              <w:t>明确，运输的材料、渣土、垃圾等遗漏措施不够明确，水电、钢材、</w:t>
            </w:r>
            <w:r>
              <w:rPr>
                <w:color w:val="auto"/>
                <w:spacing w:val="18"/>
                <w:highlight w:val="none"/>
              </w:rPr>
              <w:t xml:space="preserve"> </w:t>
            </w:r>
            <w:r>
              <w:rPr>
                <w:color w:val="auto"/>
                <w:spacing w:val="-1"/>
                <w:highlight w:val="none"/>
              </w:rPr>
              <w:t>水泥、木材节约能力不足，回收利用上一工序的废弃料程序不够合</w:t>
            </w:r>
            <w:r>
              <w:rPr>
                <w:color w:val="auto"/>
                <w:spacing w:val="5"/>
                <w:highlight w:val="none"/>
              </w:rPr>
              <w:t xml:space="preserve"> </w:t>
            </w:r>
            <w:r>
              <w:rPr>
                <w:color w:val="auto"/>
                <w:spacing w:val="-10"/>
                <w:highlight w:val="none"/>
              </w:rPr>
              <w:t>理。</w:t>
            </w:r>
          </w:p>
          <w:p w14:paraId="1C730D6B">
            <w:pPr>
              <w:pStyle w:val="17"/>
              <w:spacing w:before="16" w:line="345" w:lineRule="auto"/>
              <w:ind w:left="112" w:right="42" w:firstLine="3"/>
              <w:rPr>
                <w:color w:val="auto"/>
                <w:highlight w:val="none"/>
              </w:rPr>
            </w:pPr>
            <w:r>
              <w:rPr>
                <w:color w:val="auto"/>
                <w:spacing w:val="-2"/>
                <w:highlight w:val="none"/>
              </w:rPr>
              <w:t>二档（</w:t>
            </w:r>
            <w:r>
              <w:rPr>
                <w:rFonts w:hint="eastAsia"/>
                <w:color w:val="auto"/>
                <w:spacing w:val="-2"/>
                <w:highlight w:val="none"/>
                <w:lang w:val="en-US" w:eastAsia="zh-CN"/>
              </w:rPr>
              <w:t>4</w:t>
            </w:r>
            <w:r>
              <w:rPr>
                <w:color w:val="auto"/>
                <w:spacing w:val="-2"/>
                <w:highlight w:val="none"/>
              </w:rPr>
              <w:t xml:space="preserve"> 分</w:t>
            </w:r>
            <w:r>
              <w:rPr>
                <w:color w:val="auto"/>
                <w:spacing w:val="-1"/>
                <w:highlight w:val="none"/>
              </w:rPr>
              <w:t>）：</w:t>
            </w:r>
            <w:r>
              <w:rPr>
                <w:color w:val="auto"/>
                <w:spacing w:val="-2"/>
                <w:highlight w:val="none"/>
              </w:rPr>
              <w:t>对噪声排放措施、临时工程建筑</w:t>
            </w:r>
            <w:r>
              <w:rPr>
                <w:rFonts w:hint="eastAsia"/>
                <w:color w:val="auto"/>
                <w:spacing w:val="-2"/>
                <w:highlight w:val="none"/>
                <w:lang w:eastAsia="zh-CN"/>
              </w:rPr>
              <w:t>垃圾</w:t>
            </w:r>
            <w:r>
              <w:rPr>
                <w:color w:val="auto"/>
                <w:spacing w:val="-2"/>
                <w:highlight w:val="none"/>
              </w:rPr>
              <w:t>、生活垃圾、</w:t>
            </w:r>
            <w:r>
              <w:rPr>
                <w:color w:val="auto"/>
                <w:highlight w:val="none"/>
              </w:rPr>
              <w:t xml:space="preserve">  </w:t>
            </w:r>
            <w:r>
              <w:rPr>
                <w:color w:val="auto"/>
                <w:spacing w:val="-6"/>
                <w:highlight w:val="none"/>
              </w:rPr>
              <w:t>生产、生活污水按规定排放、施工扬尘符合地方有关标准处理明确，</w:t>
            </w:r>
            <w:r>
              <w:rPr>
                <w:color w:val="auto"/>
                <w:spacing w:val="4"/>
                <w:highlight w:val="none"/>
              </w:rPr>
              <w:t xml:space="preserve"> </w:t>
            </w:r>
            <w:r>
              <w:rPr>
                <w:color w:val="auto"/>
                <w:spacing w:val="-1"/>
                <w:highlight w:val="none"/>
              </w:rPr>
              <w:t>运输的材料、渣土、垃圾等遗漏措施明确，水电、钢材、水泥、木</w:t>
            </w:r>
            <w:r>
              <w:rPr>
                <w:color w:val="auto"/>
                <w:spacing w:val="4"/>
                <w:highlight w:val="none"/>
              </w:rPr>
              <w:t xml:space="preserve"> </w:t>
            </w:r>
            <w:r>
              <w:rPr>
                <w:color w:val="auto"/>
                <w:spacing w:val="-1"/>
                <w:highlight w:val="none"/>
              </w:rPr>
              <w:t>材节约能力一般，回收利用上一工序的废弃料程序合理。</w:t>
            </w:r>
          </w:p>
          <w:p w14:paraId="7F4350AB">
            <w:pPr>
              <w:pStyle w:val="17"/>
              <w:spacing w:before="29" w:line="347" w:lineRule="auto"/>
              <w:ind w:left="113" w:right="25" w:hanging="1"/>
              <w:rPr>
                <w:color w:val="auto"/>
                <w:highlight w:val="none"/>
              </w:rPr>
            </w:pPr>
            <w:r>
              <w:rPr>
                <w:color w:val="auto"/>
                <w:spacing w:val="-2"/>
                <w:highlight w:val="none"/>
              </w:rPr>
              <w:t>三档（</w:t>
            </w:r>
            <w:r>
              <w:rPr>
                <w:rFonts w:hint="eastAsia"/>
                <w:color w:val="auto"/>
                <w:spacing w:val="-2"/>
                <w:highlight w:val="none"/>
                <w:lang w:val="en-US" w:eastAsia="zh-CN"/>
              </w:rPr>
              <w:t>8</w:t>
            </w:r>
            <w:r>
              <w:rPr>
                <w:color w:val="auto"/>
                <w:spacing w:val="-2"/>
                <w:highlight w:val="none"/>
              </w:rPr>
              <w:t xml:space="preserve"> 分</w:t>
            </w:r>
            <w:r>
              <w:rPr>
                <w:color w:val="auto"/>
                <w:spacing w:val="1"/>
                <w:highlight w:val="none"/>
              </w:rPr>
              <w:t>）：</w:t>
            </w:r>
            <w:r>
              <w:rPr>
                <w:color w:val="auto"/>
                <w:spacing w:val="-2"/>
                <w:highlight w:val="none"/>
              </w:rPr>
              <w:t>对噪声排放措施、临时工程建筑</w:t>
            </w:r>
            <w:r>
              <w:rPr>
                <w:rFonts w:hint="eastAsia"/>
                <w:color w:val="auto"/>
                <w:spacing w:val="-2"/>
                <w:highlight w:val="none"/>
                <w:lang w:eastAsia="zh-CN"/>
              </w:rPr>
              <w:t>垃圾</w:t>
            </w:r>
            <w:r>
              <w:rPr>
                <w:color w:val="auto"/>
                <w:spacing w:val="-2"/>
                <w:highlight w:val="none"/>
              </w:rPr>
              <w:t>、生活垃圾、</w:t>
            </w:r>
            <w:r>
              <w:rPr>
                <w:color w:val="auto"/>
                <w:highlight w:val="none"/>
              </w:rPr>
              <w:t xml:space="preserve">  </w:t>
            </w:r>
            <w:r>
              <w:rPr>
                <w:color w:val="auto"/>
                <w:spacing w:val="-1"/>
                <w:highlight w:val="none"/>
              </w:rPr>
              <w:t>生产、生活污水按规定排放、施工扬尘符合地方有关标准处理非常</w:t>
            </w:r>
            <w:r>
              <w:rPr>
                <w:color w:val="auto"/>
                <w:spacing w:val="5"/>
                <w:highlight w:val="none"/>
              </w:rPr>
              <w:t xml:space="preserve"> </w:t>
            </w:r>
            <w:r>
              <w:rPr>
                <w:color w:val="auto"/>
                <w:spacing w:val="-6"/>
                <w:highlight w:val="none"/>
              </w:rPr>
              <w:t>明确，运输的材料、渣土、垃圾等遗漏措施非常明确，水电、钢材、</w:t>
            </w:r>
            <w:r>
              <w:rPr>
                <w:color w:val="auto"/>
                <w:spacing w:val="18"/>
                <w:highlight w:val="none"/>
              </w:rPr>
              <w:t xml:space="preserve"> </w:t>
            </w:r>
            <w:r>
              <w:rPr>
                <w:color w:val="auto"/>
                <w:spacing w:val="-1"/>
                <w:highlight w:val="none"/>
              </w:rPr>
              <w:t>水泥、木材节约能力非常符合，回收利用上一工序的废弃料程序非</w:t>
            </w:r>
            <w:r>
              <w:rPr>
                <w:color w:val="auto"/>
                <w:spacing w:val="5"/>
                <w:highlight w:val="none"/>
              </w:rPr>
              <w:t xml:space="preserve"> </w:t>
            </w:r>
            <w:r>
              <w:rPr>
                <w:color w:val="auto"/>
                <w:spacing w:val="-2"/>
                <w:highlight w:val="none"/>
              </w:rPr>
              <w:t>常合理。</w:t>
            </w:r>
          </w:p>
          <w:p w14:paraId="0A303A7F">
            <w:pPr>
              <w:pStyle w:val="17"/>
              <w:spacing w:before="27" w:line="221" w:lineRule="auto"/>
              <w:ind w:left="119"/>
              <w:rPr>
                <w:color w:val="auto"/>
                <w:highlight w:val="none"/>
              </w:rPr>
            </w:pPr>
            <w:r>
              <w:rPr>
                <w:b/>
                <w:bCs/>
                <w:color w:val="auto"/>
                <w:spacing w:val="-5"/>
                <w:highlight w:val="none"/>
              </w:rPr>
              <w:t>（6）工程进度计划与措施（满分</w:t>
            </w:r>
            <w:r>
              <w:rPr>
                <w:rFonts w:hint="eastAsia"/>
                <w:b/>
                <w:bCs/>
                <w:color w:val="auto"/>
                <w:spacing w:val="-5"/>
                <w:highlight w:val="none"/>
                <w:lang w:val="en-US" w:eastAsia="zh-CN"/>
              </w:rPr>
              <w:t>8</w:t>
            </w:r>
            <w:r>
              <w:rPr>
                <w:b/>
                <w:bCs/>
                <w:color w:val="auto"/>
                <w:spacing w:val="-5"/>
                <w:highlight w:val="none"/>
              </w:rPr>
              <w:t>分）</w:t>
            </w:r>
          </w:p>
          <w:p w14:paraId="7E2D3A92">
            <w:pPr>
              <w:pStyle w:val="17"/>
              <w:spacing w:before="151" w:line="342" w:lineRule="auto"/>
              <w:ind w:left="112" w:right="97" w:firstLine="416" w:firstLineChars="200"/>
              <w:jc w:val="both"/>
              <w:rPr>
                <w:color w:val="auto"/>
                <w:highlight w:val="none"/>
              </w:rPr>
            </w:pPr>
            <w:r>
              <w:rPr>
                <w:color w:val="auto"/>
                <w:spacing w:val="-1"/>
                <w:highlight w:val="none"/>
              </w:rPr>
              <w:t>根据供应商对施工进度安排是否满足竞争性磋商文件要求，关键线</w:t>
            </w:r>
            <w:r>
              <w:rPr>
                <w:color w:val="auto"/>
                <w:spacing w:val="7"/>
                <w:highlight w:val="none"/>
              </w:rPr>
              <w:t xml:space="preserve"> </w:t>
            </w:r>
            <w:r>
              <w:rPr>
                <w:color w:val="auto"/>
                <w:spacing w:val="-1"/>
                <w:highlight w:val="none"/>
              </w:rPr>
              <w:t>路编制合理性、可行性，主体工程完工等关键节点的工期保证措施</w:t>
            </w:r>
            <w:r>
              <w:rPr>
                <w:color w:val="auto"/>
                <w:spacing w:val="6"/>
                <w:highlight w:val="none"/>
              </w:rPr>
              <w:t xml:space="preserve"> </w:t>
            </w:r>
            <w:r>
              <w:rPr>
                <w:color w:val="auto"/>
                <w:spacing w:val="-1"/>
                <w:highlight w:val="none"/>
              </w:rPr>
              <w:t>合理性、可行性。</w:t>
            </w:r>
          </w:p>
          <w:p w14:paraId="426BDED0">
            <w:pPr>
              <w:pStyle w:val="17"/>
              <w:spacing w:before="33" w:line="342" w:lineRule="auto"/>
              <w:ind w:left="113" w:right="97" w:firstLine="2"/>
              <w:jc w:val="both"/>
              <w:rPr>
                <w:color w:val="auto"/>
                <w:highlight w:val="none"/>
              </w:rPr>
            </w:pPr>
            <w:r>
              <w:rPr>
                <w:color w:val="auto"/>
                <w:spacing w:val="-1"/>
                <w:highlight w:val="none"/>
              </w:rPr>
              <w:t>一档（1 分</w:t>
            </w:r>
            <w:r>
              <w:rPr>
                <w:color w:val="auto"/>
                <w:spacing w:val="1"/>
                <w:highlight w:val="none"/>
              </w:rPr>
              <w:t>）：</w:t>
            </w:r>
            <w:r>
              <w:rPr>
                <w:color w:val="auto"/>
                <w:spacing w:val="-1"/>
                <w:highlight w:val="none"/>
              </w:rPr>
              <w:t>对施工进度安排仅满足竞争性磋商文件要求，关键</w:t>
            </w:r>
            <w:r>
              <w:rPr>
                <w:color w:val="auto"/>
                <w:spacing w:val="1"/>
                <w:highlight w:val="none"/>
              </w:rPr>
              <w:t xml:space="preserve"> </w:t>
            </w:r>
            <w:r>
              <w:rPr>
                <w:color w:val="auto"/>
                <w:spacing w:val="-1"/>
                <w:highlight w:val="none"/>
              </w:rPr>
              <w:t>线路编制不够合理，主体工程完工等关键节点的工期保证措施不够</w:t>
            </w:r>
            <w:r>
              <w:rPr>
                <w:color w:val="auto"/>
                <w:spacing w:val="6"/>
                <w:highlight w:val="none"/>
              </w:rPr>
              <w:t xml:space="preserve"> </w:t>
            </w:r>
            <w:r>
              <w:rPr>
                <w:color w:val="auto"/>
                <w:spacing w:val="-1"/>
                <w:highlight w:val="none"/>
              </w:rPr>
              <w:t>合理，措施不够明确。</w:t>
            </w:r>
          </w:p>
          <w:p w14:paraId="68383CA6">
            <w:pPr>
              <w:pStyle w:val="17"/>
              <w:spacing w:before="34" w:line="342" w:lineRule="auto"/>
              <w:ind w:left="114" w:right="23" w:firstLine="1"/>
              <w:jc w:val="both"/>
              <w:rPr>
                <w:color w:val="auto"/>
                <w:highlight w:val="none"/>
              </w:rPr>
            </w:pPr>
            <w:r>
              <w:rPr>
                <w:color w:val="auto"/>
                <w:spacing w:val="-1"/>
                <w:highlight w:val="none"/>
              </w:rPr>
              <w:t>二档（</w:t>
            </w:r>
            <w:r>
              <w:rPr>
                <w:rFonts w:hint="eastAsia"/>
                <w:color w:val="auto"/>
                <w:spacing w:val="-1"/>
                <w:highlight w:val="none"/>
                <w:lang w:val="en-US" w:eastAsia="zh-CN"/>
              </w:rPr>
              <w:t>4</w:t>
            </w:r>
            <w:r>
              <w:rPr>
                <w:color w:val="auto"/>
                <w:spacing w:val="-1"/>
                <w:highlight w:val="none"/>
              </w:rPr>
              <w:t xml:space="preserve"> 分</w:t>
            </w:r>
            <w:r>
              <w:rPr>
                <w:color w:val="auto"/>
                <w:spacing w:val="1"/>
                <w:highlight w:val="none"/>
              </w:rPr>
              <w:t>）：</w:t>
            </w:r>
            <w:r>
              <w:rPr>
                <w:color w:val="auto"/>
                <w:spacing w:val="-1"/>
                <w:highlight w:val="none"/>
              </w:rPr>
              <w:t>对施工进度安排满足竞争性磋商文件要求，关键线</w:t>
            </w:r>
            <w:r>
              <w:rPr>
                <w:color w:val="auto"/>
                <w:spacing w:val="1"/>
                <w:highlight w:val="none"/>
              </w:rPr>
              <w:t xml:space="preserve"> </w:t>
            </w:r>
            <w:r>
              <w:rPr>
                <w:color w:val="auto"/>
                <w:spacing w:val="-5"/>
                <w:highlight w:val="none"/>
              </w:rPr>
              <w:t>路编制合理、可行，主体工程完工等关键节点的</w:t>
            </w:r>
            <w:r>
              <w:rPr>
                <w:color w:val="auto"/>
                <w:spacing w:val="-6"/>
                <w:highlight w:val="none"/>
              </w:rPr>
              <w:t>工期保证措施合理、</w:t>
            </w:r>
            <w:r>
              <w:rPr>
                <w:color w:val="auto"/>
                <w:highlight w:val="none"/>
              </w:rPr>
              <w:t xml:space="preserve"> </w:t>
            </w:r>
            <w:r>
              <w:rPr>
                <w:color w:val="auto"/>
                <w:spacing w:val="-2"/>
                <w:highlight w:val="none"/>
              </w:rPr>
              <w:t>可行，措施明确。</w:t>
            </w:r>
          </w:p>
          <w:p w14:paraId="36CCC6CF">
            <w:pPr>
              <w:pStyle w:val="17"/>
              <w:spacing w:before="32" w:line="342" w:lineRule="auto"/>
              <w:ind w:left="113" w:right="97" w:hanging="1"/>
              <w:jc w:val="both"/>
              <w:rPr>
                <w:color w:val="auto"/>
                <w:highlight w:val="none"/>
              </w:rPr>
            </w:pPr>
            <w:r>
              <w:rPr>
                <w:color w:val="auto"/>
                <w:spacing w:val="-2"/>
                <w:highlight w:val="none"/>
              </w:rPr>
              <w:t>三档（</w:t>
            </w:r>
            <w:r>
              <w:rPr>
                <w:rFonts w:hint="eastAsia"/>
                <w:color w:val="auto"/>
                <w:spacing w:val="-2"/>
                <w:highlight w:val="none"/>
                <w:lang w:val="en-US" w:eastAsia="zh-CN"/>
              </w:rPr>
              <w:t>8</w:t>
            </w:r>
            <w:r>
              <w:rPr>
                <w:color w:val="auto"/>
                <w:spacing w:val="-44"/>
                <w:highlight w:val="none"/>
              </w:rPr>
              <w:t xml:space="preserve"> </w:t>
            </w:r>
            <w:r>
              <w:rPr>
                <w:color w:val="auto"/>
                <w:spacing w:val="-2"/>
                <w:highlight w:val="none"/>
              </w:rPr>
              <w:t>分</w:t>
            </w:r>
            <w:r>
              <w:rPr>
                <w:color w:val="auto"/>
                <w:spacing w:val="-15"/>
                <w:highlight w:val="none"/>
              </w:rPr>
              <w:t>）：</w:t>
            </w:r>
            <w:r>
              <w:rPr>
                <w:color w:val="auto"/>
                <w:spacing w:val="-2"/>
                <w:highlight w:val="none"/>
              </w:rPr>
              <w:t>对施工进度安排优于竞争性磋商文件要求，关键线</w:t>
            </w:r>
            <w:r>
              <w:rPr>
                <w:color w:val="auto"/>
                <w:highlight w:val="none"/>
              </w:rPr>
              <w:t xml:space="preserve"> </w:t>
            </w:r>
            <w:r>
              <w:rPr>
                <w:color w:val="auto"/>
                <w:spacing w:val="-1"/>
                <w:highlight w:val="none"/>
              </w:rPr>
              <w:t>路编制非常合理、可行，主体工程完工等关键节点的工期保证措施</w:t>
            </w:r>
            <w:r>
              <w:rPr>
                <w:color w:val="auto"/>
                <w:spacing w:val="5"/>
                <w:highlight w:val="none"/>
              </w:rPr>
              <w:t xml:space="preserve"> </w:t>
            </w:r>
            <w:r>
              <w:rPr>
                <w:color w:val="auto"/>
                <w:spacing w:val="-1"/>
                <w:highlight w:val="none"/>
              </w:rPr>
              <w:t>非常合理、可行，措施非常明确。</w:t>
            </w:r>
          </w:p>
          <w:p w14:paraId="7441C015">
            <w:pPr>
              <w:pStyle w:val="17"/>
              <w:spacing w:before="33" w:line="221" w:lineRule="auto"/>
              <w:ind w:left="119"/>
              <w:rPr>
                <w:color w:val="auto"/>
                <w:highlight w:val="none"/>
              </w:rPr>
            </w:pPr>
            <w:r>
              <w:rPr>
                <w:b/>
                <w:bCs/>
                <w:color w:val="auto"/>
                <w:spacing w:val="-4"/>
                <w:highlight w:val="none"/>
              </w:rPr>
              <w:t>（7）资源配置计划（满分</w:t>
            </w:r>
            <w:r>
              <w:rPr>
                <w:rFonts w:hint="eastAsia"/>
                <w:b/>
                <w:bCs/>
                <w:color w:val="auto"/>
                <w:spacing w:val="-4"/>
                <w:highlight w:val="none"/>
                <w:lang w:val="en-US" w:eastAsia="zh-CN"/>
              </w:rPr>
              <w:t>7</w:t>
            </w:r>
            <w:r>
              <w:rPr>
                <w:b/>
                <w:bCs/>
                <w:color w:val="auto"/>
                <w:spacing w:val="-4"/>
                <w:highlight w:val="none"/>
              </w:rPr>
              <w:t>分）</w:t>
            </w:r>
          </w:p>
          <w:p w14:paraId="5E8EFBE7">
            <w:pPr>
              <w:pStyle w:val="17"/>
              <w:spacing w:before="150" w:line="345" w:lineRule="auto"/>
              <w:ind w:left="111" w:right="97"/>
              <w:jc w:val="both"/>
              <w:rPr>
                <w:color w:val="auto"/>
                <w:highlight w:val="none"/>
              </w:rPr>
            </w:pPr>
            <w:r>
              <w:rPr>
                <w:color w:val="auto"/>
                <w:spacing w:val="-1"/>
                <w:highlight w:val="none"/>
              </w:rPr>
              <w:t>根据供应商编制机械设备供成计划，在时间、数量、性能方面满足</w:t>
            </w:r>
            <w:r>
              <w:rPr>
                <w:color w:val="auto"/>
                <w:spacing w:val="7"/>
                <w:highlight w:val="none"/>
              </w:rPr>
              <w:t xml:space="preserve"> </w:t>
            </w:r>
            <w:r>
              <w:rPr>
                <w:color w:val="auto"/>
                <w:spacing w:val="3"/>
                <w:highlight w:val="none"/>
              </w:rPr>
              <w:t>施工生产的需求；安排各种机械设备在各施工队（组)间和</w:t>
            </w:r>
            <w:r>
              <w:rPr>
                <w:color w:val="auto"/>
                <w:spacing w:val="2"/>
                <w:highlight w:val="none"/>
              </w:rPr>
              <w:t>各施工</w:t>
            </w:r>
            <w:r>
              <w:rPr>
                <w:color w:val="auto"/>
                <w:highlight w:val="none"/>
              </w:rPr>
              <w:t xml:space="preserve"> </w:t>
            </w:r>
            <w:r>
              <w:rPr>
                <w:color w:val="auto"/>
                <w:spacing w:val="-1"/>
                <w:highlight w:val="none"/>
              </w:rPr>
              <w:t>阶段在时间和空间上指配，机械设备的使用及工作效率，机械设备</w:t>
            </w:r>
            <w:r>
              <w:rPr>
                <w:color w:val="auto"/>
                <w:spacing w:val="8"/>
                <w:highlight w:val="none"/>
              </w:rPr>
              <w:t xml:space="preserve"> </w:t>
            </w:r>
            <w:r>
              <w:rPr>
                <w:color w:val="auto"/>
                <w:spacing w:val="-1"/>
                <w:highlight w:val="none"/>
              </w:rPr>
              <w:t>的利用率等内容进行评分。</w:t>
            </w:r>
          </w:p>
          <w:p w14:paraId="4452883D">
            <w:pPr>
              <w:pStyle w:val="17"/>
              <w:spacing w:before="143" w:line="343" w:lineRule="auto"/>
              <w:ind w:left="115" w:right="97"/>
              <w:jc w:val="both"/>
              <w:rPr>
                <w:color w:val="auto"/>
                <w:highlight w:val="none"/>
              </w:rPr>
            </w:pPr>
            <w:r>
              <w:rPr>
                <w:color w:val="auto"/>
                <w:spacing w:val="-1"/>
                <w:highlight w:val="none"/>
              </w:rPr>
              <w:t>一档（1 分</w:t>
            </w:r>
            <w:r>
              <w:rPr>
                <w:color w:val="auto"/>
                <w:spacing w:val="1"/>
                <w:highlight w:val="none"/>
              </w:rPr>
              <w:t>）：</w:t>
            </w:r>
            <w:r>
              <w:rPr>
                <w:color w:val="auto"/>
                <w:spacing w:val="-1"/>
                <w:highlight w:val="none"/>
              </w:rPr>
              <w:t>机械设备供成计划，在时间、数量、性能方面仅满</w:t>
            </w:r>
            <w:r>
              <w:rPr>
                <w:color w:val="auto"/>
                <w:spacing w:val="3"/>
                <w:highlight w:val="none"/>
              </w:rPr>
              <w:t>足施工生产的需求；安排各种机械设备在各施工队</w:t>
            </w:r>
            <w:r>
              <w:rPr>
                <w:color w:val="auto"/>
                <w:spacing w:val="2"/>
                <w:highlight w:val="none"/>
              </w:rPr>
              <w:t>（组)间和各施</w:t>
            </w:r>
            <w:r>
              <w:rPr>
                <w:color w:val="auto"/>
                <w:highlight w:val="none"/>
              </w:rPr>
              <w:t xml:space="preserve"> </w:t>
            </w:r>
            <w:r>
              <w:rPr>
                <w:color w:val="auto"/>
                <w:spacing w:val="-1"/>
                <w:highlight w:val="none"/>
              </w:rPr>
              <w:t>工阶段在时间和空间上指配，机械设备的使用及工作效率，机械设</w:t>
            </w:r>
            <w:r>
              <w:rPr>
                <w:color w:val="auto"/>
                <w:spacing w:val="5"/>
                <w:highlight w:val="none"/>
              </w:rPr>
              <w:t xml:space="preserve"> </w:t>
            </w:r>
            <w:r>
              <w:rPr>
                <w:color w:val="auto"/>
                <w:spacing w:val="-3"/>
                <w:highlight w:val="none"/>
              </w:rPr>
              <w:t>备的利用率比较低。</w:t>
            </w:r>
          </w:p>
          <w:p w14:paraId="3973C20C">
            <w:pPr>
              <w:pStyle w:val="17"/>
              <w:spacing w:before="27" w:line="345" w:lineRule="auto"/>
              <w:ind w:left="111" w:right="97" w:firstLine="4"/>
              <w:jc w:val="both"/>
              <w:rPr>
                <w:color w:val="auto"/>
                <w:highlight w:val="none"/>
              </w:rPr>
            </w:pPr>
            <w:r>
              <w:rPr>
                <w:color w:val="auto"/>
                <w:spacing w:val="-1"/>
                <w:highlight w:val="none"/>
              </w:rPr>
              <w:t>二档（</w:t>
            </w:r>
            <w:r>
              <w:rPr>
                <w:rFonts w:hint="eastAsia"/>
                <w:color w:val="auto"/>
                <w:spacing w:val="-1"/>
                <w:highlight w:val="none"/>
                <w:lang w:val="en-US" w:eastAsia="zh-CN"/>
              </w:rPr>
              <w:t>3</w:t>
            </w:r>
            <w:r>
              <w:rPr>
                <w:color w:val="auto"/>
                <w:spacing w:val="-1"/>
                <w:highlight w:val="none"/>
              </w:rPr>
              <w:t xml:space="preserve"> 分</w:t>
            </w:r>
            <w:r>
              <w:rPr>
                <w:color w:val="auto"/>
                <w:spacing w:val="1"/>
                <w:highlight w:val="none"/>
              </w:rPr>
              <w:t>）：</w:t>
            </w:r>
            <w:r>
              <w:rPr>
                <w:color w:val="auto"/>
                <w:spacing w:val="-1"/>
                <w:highlight w:val="none"/>
              </w:rPr>
              <w:t>机械设备供成计划，在时间、数量、性能方面满足</w:t>
            </w:r>
            <w:r>
              <w:rPr>
                <w:color w:val="auto"/>
                <w:spacing w:val="1"/>
                <w:highlight w:val="none"/>
              </w:rPr>
              <w:t xml:space="preserve"> </w:t>
            </w:r>
            <w:r>
              <w:rPr>
                <w:color w:val="auto"/>
                <w:spacing w:val="3"/>
                <w:highlight w:val="none"/>
              </w:rPr>
              <w:t>施工生产的需求；安排各种机械设备在各施工队（组)间和</w:t>
            </w:r>
            <w:r>
              <w:rPr>
                <w:color w:val="auto"/>
                <w:spacing w:val="2"/>
                <w:highlight w:val="none"/>
              </w:rPr>
              <w:t>各施工</w:t>
            </w:r>
            <w:r>
              <w:rPr>
                <w:color w:val="auto"/>
                <w:highlight w:val="none"/>
              </w:rPr>
              <w:t xml:space="preserve"> </w:t>
            </w:r>
            <w:r>
              <w:rPr>
                <w:color w:val="auto"/>
                <w:spacing w:val="-1"/>
                <w:highlight w:val="none"/>
              </w:rPr>
              <w:t>阶段在时间和空间上指配，机械设备的使用及工作效率，机械设备</w:t>
            </w:r>
            <w:r>
              <w:rPr>
                <w:color w:val="auto"/>
                <w:spacing w:val="8"/>
                <w:highlight w:val="none"/>
              </w:rPr>
              <w:t xml:space="preserve"> </w:t>
            </w:r>
            <w:r>
              <w:rPr>
                <w:color w:val="auto"/>
                <w:spacing w:val="-1"/>
                <w:highlight w:val="none"/>
              </w:rPr>
              <w:t>的利用率高。</w:t>
            </w:r>
          </w:p>
          <w:p w14:paraId="74E43CE9">
            <w:pPr>
              <w:pStyle w:val="17"/>
              <w:spacing w:before="151" w:line="288" w:lineRule="auto"/>
              <w:ind w:left="112" w:right="97"/>
              <w:rPr>
                <w:color w:val="auto"/>
                <w:spacing w:val="-1"/>
                <w:highlight w:val="none"/>
              </w:rPr>
            </w:pPr>
            <w:r>
              <w:rPr>
                <w:color w:val="auto"/>
                <w:spacing w:val="-1"/>
                <w:highlight w:val="none"/>
              </w:rPr>
              <w:t>三档（</w:t>
            </w:r>
            <w:r>
              <w:rPr>
                <w:rFonts w:hint="eastAsia"/>
                <w:color w:val="auto"/>
                <w:spacing w:val="-1"/>
                <w:highlight w:val="none"/>
                <w:lang w:val="en-US" w:eastAsia="zh-CN"/>
              </w:rPr>
              <w:t>7</w:t>
            </w:r>
            <w:r>
              <w:rPr>
                <w:color w:val="auto"/>
                <w:spacing w:val="-1"/>
                <w:highlight w:val="none"/>
              </w:rPr>
              <w:t>分</w:t>
            </w:r>
            <w:r>
              <w:rPr>
                <w:color w:val="auto"/>
                <w:spacing w:val="3"/>
                <w:highlight w:val="none"/>
              </w:rPr>
              <w:t>）：</w:t>
            </w:r>
            <w:r>
              <w:rPr>
                <w:color w:val="auto"/>
                <w:spacing w:val="-1"/>
                <w:highlight w:val="none"/>
              </w:rPr>
              <w:t>机械设备供成计划，在时间、数量、性能方面非常</w:t>
            </w:r>
            <w:r>
              <w:rPr>
                <w:color w:val="auto"/>
                <w:highlight w:val="none"/>
              </w:rPr>
              <w:t xml:space="preserve"> </w:t>
            </w:r>
            <w:r>
              <w:rPr>
                <w:color w:val="auto"/>
                <w:spacing w:val="3"/>
                <w:highlight w:val="none"/>
              </w:rPr>
              <w:t>符合施工生产的需求；安排各种机械设备在各施工队（组)</w:t>
            </w:r>
            <w:r>
              <w:rPr>
                <w:color w:val="auto"/>
                <w:spacing w:val="2"/>
                <w:highlight w:val="none"/>
              </w:rPr>
              <w:t>间和各</w:t>
            </w:r>
            <w:r>
              <w:rPr>
                <w:color w:val="auto"/>
                <w:highlight w:val="none"/>
              </w:rPr>
              <w:t xml:space="preserve"> </w:t>
            </w:r>
            <w:r>
              <w:rPr>
                <w:color w:val="auto"/>
                <w:spacing w:val="-1"/>
                <w:highlight w:val="none"/>
              </w:rPr>
              <w:t>施工阶段在时间和空间上指配，机械设备的使用及工作效率，机械</w:t>
            </w:r>
            <w:r>
              <w:rPr>
                <w:color w:val="auto"/>
                <w:spacing w:val="8"/>
                <w:highlight w:val="none"/>
              </w:rPr>
              <w:t xml:space="preserve"> </w:t>
            </w:r>
            <w:r>
              <w:rPr>
                <w:color w:val="auto"/>
                <w:spacing w:val="-1"/>
                <w:highlight w:val="none"/>
              </w:rPr>
              <w:t>设备的利用率非常高。</w:t>
            </w:r>
          </w:p>
        </w:tc>
        <w:tc>
          <w:tcPr>
            <w:tcW w:w="857" w:type="dxa"/>
            <w:vAlign w:val="top"/>
          </w:tcPr>
          <w:p w14:paraId="51C68B73">
            <w:pPr>
              <w:spacing w:line="251" w:lineRule="auto"/>
              <w:rPr>
                <w:rFonts w:ascii="Arial"/>
                <w:color w:val="auto"/>
                <w:sz w:val="21"/>
                <w:highlight w:val="none"/>
              </w:rPr>
            </w:pPr>
          </w:p>
          <w:p w14:paraId="1B33E599">
            <w:pPr>
              <w:spacing w:line="251" w:lineRule="auto"/>
              <w:rPr>
                <w:rFonts w:ascii="Arial"/>
                <w:color w:val="auto"/>
                <w:sz w:val="21"/>
                <w:highlight w:val="none"/>
              </w:rPr>
            </w:pPr>
          </w:p>
          <w:p w14:paraId="2E26F2AB">
            <w:pPr>
              <w:spacing w:line="251" w:lineRule="auto"/>
              <w:rPr>
                <w:rFonts w:ascii="Arial"/>
                <w:color w:val="auto"/>
                <w:sz w:val="21"/>
                <w:highlight w:val="none"/>
              </w:rPr>
            </w:pPr>
          </w:p>
          <w:p w14:paraId="4A744520">
            <w:pPr>
              <w:spacing w:line="251" w:lineRule="auto"/>
              <w:rPr>
                <w:rFonts w:ascii="Arial"/>
                <w:color w:val="auto"/>
                <w:sz w:val="21"/>
                <w:highlight w:val="none"/>
              </w:rPr>
            </w:pPr>
          </w:p>
          <w:p w14:paraId="290E5A3C">
            <w:pPr>
              <w:spacing w:line="251" w:lineRule="auto"/>
              <w:rPr>
                <w:rFonts w:ascii="Arial"/>
                <w:color w:val="auto"/>
                <w:sz w:val="21"/>
                <w:highlight w:val="none"/>
              </w:rPr>
            </w:pPr>
          </w:p>
          <w:p w14:paraId="17497DE0">
            <w:pPr>
              <w:spacing w:line="251" w:lineRule="auto"/>
              <w:rPr>
                <w:rFonts w:ascii="Arial"/>
                <w:color w:val="auto"/>
                <w:sz w:val="21"/>
                <w:highlight w:val="none"/>
              </w:rPr>
            </w:pPr>
          </w:p>
          <w:p w14:paraId="734F8913">
            <w:pPr>
              <w:spacing w:line="251" w:lineRule="auto"/>
              <w:rPr>
                <w:rFonts w:ascii="Arial"/>
                <w:color w:val="auto"/>
                <w:sz w:val="21"/>
                <w:highlight w:val="none"/>
              </w:rPr>
            </w:pPr>
          </w:p>
          <w:p w14:paraId="37EFFCB4">
            <w:pPr>
              <w:spacing w:line="251" w:lineRule="auto"/>
              <w:rPr>
                <w:rFonts w:ascii="Arial"/>
                <w:color w:val="auto"/>
                <w:sz w:val="21"/>
                <w:highlight w:val="none"/>
              </w:rPr>
            </w:pPr>
          </w:p>
          <w:p w14:paraId="56968474">
            <w:pPr>
              <w:spacing w:line="252" w:lineRule="auto"/>
              <w:rPr>
                <w:rFonts w:ascii="Arial"/>
                <w:color w:val="auto"/>
                <w:sz w:val="21"/>
                <w:highlight w:val="none"/>
              </w:rPr>
            </w:pPr>
          </w:p>
          <w:p w14:paraId="25C05987">
            <w:pPr>
              <w:pStyle w:val="17"/>
              <w:spacing w:before="68" w:line="221" w:lineRule="auto"/>
              <w:ind w:left="200"/>
              <w:rPr>
                <w:color w:val="auto"/>
                <w:highlight w:val="none"/>
              </w:rPr>
            </w:pPr>
            <w:r>
              <w:rPr>
                <w:rFonts w:hint="eastAsia"/>
                <w:color w:val="auto"/>
                <w:spacing w:val="-3"/>
                <w:highlight w:val="none"/>
                <w:lang w:val="en-US" w:eastAsia="zh-CN"/>
              </w:rPr>
              <w:t>55</w:t>
            </w:r>
            <w:r>
              <w:rPr>
                <w:color w:val="auto"/>
                <w:spacing w:val="-42"/>
                <w:highlight w:val="none"/>
              </w:rPr>
              <w:t xml:space="preserve"> </w:t>
            </w:r>
            <w:r>
              <w:rPr>
                <w:color w:val="auto"/>
                <w:spacing w:val="-3"/>
                <w:highlight w:val="none"/>
              </w:rPr>
              <w:t>分</w:t>
            </w:r>
          </w:p>
        </w:tc>
      </w:tr>
      <w:tr w14:paraId="56FB8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37" w:type="dxa"/>
            <w:vAlign w:val="top"/>
          </w:tcPr>
          <w:p w14:paraId="60E91574">
            <w:pPr>
              <w:spacing w:line="304" w:lineRule="auto"/>
              <w:rPr>
                <w:rFonts w:ascii="Arial"/>
                <w:color w:val="auto"/>
                <w:sz w:val="21"/>
                <w:highlight w:val="none"/>
              </w:rPr>
            </w:pPr>
          </w:p>
          <w:p w14:paraId="2C68C799">
            <w:pPr>
              <w:pStyle w:val="17"/>
              <w:spacing w:before="68" w:line="182" w:lineRule="auto"/>
              <w:ind w:left="118" w:leftChars="0"/>
              <w:rPr>
                <w:color w:val="auto"/>
                <w:spacing w:val="-3"/>
                <w:highlight w:val="none"/>
              </w:rPr>
            </w:pPr>
            <w:r>
              <w:rPr>
                <w:color w:val="auto"/>
                <w:spacing w:val="-2"/>
                <w:highlight w:val="none"/>
              </w:rPr>
              <w:t>2.2</w:t>
            </w:r>
          </w:p>
        </w:tc>
        <w:tc>
          <w:tcPr>
            <w:tcW w:w="1418" w:type="dxa"/>
            <w:vAlign w:val="top"/>
          </w:tcPr>
          <w:p w14:paraId="346F12BB">
            <w:pPr>
              <w:pStyle w:val="17"/>
              <w:spacing w:before="140" w:line="287" w:lineRule="auto"/>
              <w:ind w:left="608" w:leftChars="0" w:right="181" w:rightChars="0" w:hanging="422" w:firstLineChars="0"/>
              <w:rPr>
                <w:color w:val="auto"/>
                <w:spacing w:val="-1"/>
                <w:highlight w:val="none"/>
              </w:rPr>
            </w:pPr>
            <w:r>
              <w:rPr>
                <w:color w:val="auto"/>
                <w:spacing w:val="-1"/>
                <w:highlight w:val="none"/>
              </w:rPr>
              <w:t>拟投入人员</w:t>
            </w:r>
            <w:r>
              <w:rPr>
                <w:color w:val="auto"/>
                <w:highlight w:val="none"/>
              </w:rPr>
              <w:t xml:space="preserve"> 分</w:t>
            </w:r>
          </w:p>
        </w:tc>
        <w:tc>
          <w:tcPr>
            <w:tcW w:w="6285" w:type="dxa"/>
            <w:vAlign w:val="top"/>
          </w:tcPr>
          <w:p w14:paraId="64F3071E">
            <w:pPr>
              <w:pStyle w:val="18"/>
              <w:spacing w:line="360" w:lineRule="auto"/>
              <w:jc w:val="left"/>
              <w:rPr>
                <w:rStyle w:val="14"/>
                <w:rFonts w:hint="eastAsia" w:ascii="宋体" w:hAnsi="宋体" w:eastAsia="宋体" w:cs="宋体"/>
                <w:b w:val="0"/>
                <w:color w:val="auto"/>
                <w:sz w:val="21"/>
                <w:szCs w:val="24"/>
                <w:highlight w:val="none"/>
                <w:lang w:val="en-US" w:eastAsia="zh-CN"/>
              </w:rPr>
            </w:pPr>
            <w:r>
              <w:rPr>
                <w:rStyle w:val="14"/>
                <w:rFonts w:ascii="宋体" w:hAnsi="宋体" w:eastAsia="宋体" w:cs="宋体"/>
                <w:b w:val="0"/>
                <w:color w:val="auto"/>
                <w:sz w:val="21"/>
                <w:szCs w:val="24"/>
                <w:highlight w:val="none"/>
              </w:rPr>
              <w:t>（1）项目经理具有水利水电工程类专业中级及以上技术职称证</w:t>
            </w:r>
            <w:r>
              <w:rPr>
                <w:rStyle w:val="14"/>
                <w:rFonts w:hint="eastAsia" w:ascii="宋体" w:hAnsi="宋体" w:eastAsia="宋体" w:cs="宋体"/>
                <w:b w:val="0"/>
                <w:color w:val="auto"/>
                <w:sz w:val="21"/>
                <w:szCs w:val="24"/>
                <w:highlight w:val="none"/>
                <w:lang w:val="en-US" w:eastAsia="zh-CN"/>
              </w:rPr>
              <w:t>并具</w:t>
            </w:r>
            <w:r>
              <w:rPr>
                <w:rStyle w:val="14"/>
                <w:rFonts w:ascii="宋体" w:hAnsi="宋体" w:eastAsia="宋体" w:cs="宋体"/>
                <w:b w:val="0"/>
                <w:color w:val="auto"/>
                <w:sz w:val="21"/>
                <w:szCs w:val="24"/>
                <w:highlight w:val="none"/>
              </w:rPr>
              <w:t>有水利水电工程类专业贰级或贰级以上注册建造师</w:t>
            </w:r>
            <w:r>
              <w:rPr>
                <w:rStyle w:val="14"/>
                <w:rFonts w:hint="eastAsia" w:ascii="宋体" w:hAnsi="宋体" w:eastAsia="宋体" w:cs="宋体"/>
                <w:b w:val="0"/>
                <w:color w:val="auto"/>
                <w:sz w:val="21"/>
                <w:szCs w:val="24"/>
                <w:highlight w:val="none"/>
                <w:lang w:val="en-US" w:eastAsia="zh-CN"/>
              </w:rPr>
              <w:t>并</w:t>
            </w:r>
            <w:r>
              <w:rPr>
                <w:rStyle w:val="14"/>
                <w:rFonts w:ascii="宋体" w:hAnsi="宋体" w:eastAsia="宋体" w:cs="宋体"/>
                <w:b w:val="0"/>
                <w:color w:val="auto"/>
                <w:sz w:val="21"/>
                <w:szCs w:val="24"/>
                <w:highlight w:val="none"/>
              </w:rPr>
              <w:t>持有省级或省级以上水行政主管部门或其授权部门（机构）颁发的B类安全生产考核合格证书得</w:t>
            </w:r>
            <w:r>
              <w:rPr>
                <w:rStyle w:val="14"/>
                <w:rFonts w:hint="eastAsia" w:ascii="宋体" w:hAnsi="宋体" w:eastAsia="宋体" w:cs="宋体"/>
                <w:b w:val="0"/>
                <w:color w:val="auto"/>
                <w:sz w:val="21"/>
                <w:szCs w:val="24"/>
                <w:highlight w:val="none"/>
                <w:lang w:val="en-US" w:eastAsia="zh-CN"/>
              </w:rPr>
              <w:t>1</w:t>
            </w:r>
            <w:r>
              <w:rPr>
                <w:rStyle w:val="14"/>
                <w:rFonts w:ascii="宋体" w:hAnsi="宋体" w:eastAsia="宋体" w:cs="宋体"/>
                <w:b w:val="0"/>
                <w:color w:val="auto"/>
                <w:sz w:val="21"/>
                <w:szCs w:val="24"/>
                <w:highlight w:val="none"/>
              </w:rPr>
              <w:t>分</w:t>
            </w:r>
            <w:r>
              <w:rPr>
                <w:rStyle w:val="14"/>
                <w:rFonts w:hint="eastAsia" w:ascii="宋体" w:hAnsi="宋体" w:eastAsia="宋体" w:cs="宋体"/>
                <w:b w:val="0"/>
                <w:color w:val="auto"/>
                <w:sz w:val="21"/>
                <w:szCs w:val="24"/>
                <w:highlight w:val="none"/>
                <w:lang w:eastAsia="zh-CN"/>
              </w:rPr>
              <w:t>，本项满分</w:t>
            </w:r>
            <w:r>
              <w:rPr>
                <w:rStyle w:val="14"/>
                <w:rFonts w:hint="eastAsia" w:ascii="宋体" w:hAnsi="宋体" w:eastAsia="宋体" w:cs="宋体"/>
                <w:b w:val="0"/>
                <w:color w:val="auto"/>
                <w:sz w:val="21"/>
                <w:szCs w:val="24"/>
                <w:highlight w:val="none"/>
                <w:lang w:val="en-US" w:eastAsia="zh-CN"/>
              </w:rPr>
              <w:t>1</w:t>
            </w:r>
            <w:r>
              <w:rPr>
                <w:rStyle w:val="14"/>
                <w:rFonts w:hint="eastAsia" w:ascii="宋体" w:hAnsi="宋体" w:eastAsia="宋体" w:cs="宋体"/>
                <w:b w:val="0"/>
                <w:color w:val="auto"/>
                <w:sz w:val="21"/>
                <w:szCs w:val="24"/>
                <w:highlight w:val="none"/>
                <w:lang w:eastAsia="zh-CN"/>
              </w:rPr>
              <w:t>分。</w:t>
            </w:r>
          </w:p>
          <w:p w14:paraId="013D0A67">
            <w:pPr>
              <w:pStyle w:val="18"/>
              <w:spacing w:line="360" w:lineRule="auto"/>
              <w:jc w:val="left"/>
              <w:rPr>
                <w:rStyle w:val="14"/>
                <w:rFonts w:hint="eastAsia" w:ascii="宋体" w:hAnsi="宋体" w:eastAsia="宋体" w:cs="宋体"/>
                <w:b w:val="0"/>
                <w:color w:val="auto"/>
                <w:sz w:val="21"/>
                <w:szCs w:val="24"/>
                <w:highlight w:val="none"/>
                <w:lang w:eastAsia="zh-CN"/>
              </w:rPr>
            </w:pPr>
            <w:r>
              <w:rPr>
                <w:rStyle w:val="14"/>
                <w:rFonts w:ascii="宋体" w:hAnsi="宋体" w:eastAsia="宋体" w:cs="宋体"/>
                <w:b w:val="0"/>
                <w:color w:val="auto"/>
                <w:sz w:val="21"/>
                <w:szCs w:val="24"/>
                <w:highlight w:val="none"/>
              </w:rPr>
              <w:t>（</w:t>
            </w:r>
            <w:r>
              <w:rPr>
                <w:rStyle w:val="14"/>
                <w:rFonts w:hint="eastAsia" w:ascii="宋体" w:hAnsi="宋体" w:eastAsia="宋体" w:cs="宋体"/>
                <w:b w:val="0"/>
                <w:color w:val="auto"/>
                <w:sz w:val="21"/>
                <w:szCs w:val="24"/>
                <w:highlight w:val="none"/>
                <w:lang w:val="en-US" w:eastAsia="zh-CN"/>
              </w:rPr>
              <w:t>2</w:t>
            </w:r>
            <w:r>
              <w:rPr>
                <w:rStyle w:val="14"/>
                <w:rFonts w:ascii="宋体" w:hAnsi="宋体" w:eastAsia="宋体" w:cs="宋体"/>
                <w:b w:val="0"/>
                <w:color w:val="auto"/>
                <w:sz w:val="21"/>
                <w:szCs w:val="24"/>
                <w:highlight w:val="none"/>
              </w:rPr>
              <w:t>）技术负责人技术职称为中级或中级以上的，得</w:t>
            </w:r>
            <w:r>
              <w:rPr>
                <w:rStyle w:val="14"/>
                <w:rFonts w:hint="eastAsia" w:ascii="宋体" w:hAnsi="宋体" w:eastAsia="宋体" w:cs="宋体"/>
                <w:b w:val="0"/>
                <w:color w:val="auto"/>
                <w:sz w:val="21"/>
                <w:szCs w:val="24"/>
                <w:highlight w:val="none"/>
                <w:lang w:val="en-US" w:eastAsia="zh-CN"/>
              </w:rPr>
              <w:t>1</w:t>
            </w:r>
            <w:r>
              <w:rPr>
                <w:rStyle w:val="14"/>
                <w:rFonts w:ascii="宋体" w:hAnsi="宋体" w:eastAsia="宋体" w:cs="宋体"/>
                <w:b w:val="0"/>
                <w:color w:val="auto"/>
                <w:sz w:val="21"/>
                <w:szCs w:val="24"/>
                <w:highlight w:val="none"/>
              </w:rPr>
              <w:t>分</w:t>
            </w:r>
            <w:r>
              <w:rPr>
                <w:rStyle w:val="14"/>
                <w:rFonts w:hint="eastAsia" w:ascii="宋体" w:hAnsi="宋体" w:eastAsia="宋体" w:cs="宋体"/>
                <w:b w:val="0"/>
                <w:color w:val="auto"/>
                <w:sz w:val="21"/>
                <w:szCs w:val="24"/>
                <w:highlight w:val="none"/>
                <w:lang w:eastAsia="zh-CN"/>
              </w:rPr>
              <w:t>，本项满分</w:t>
            </w:r>
            <w:r>
              <w:rPr>
                <w:rStyle w:val="14"/>
                <w:rFonts w:hint="eastAsia" w:ascii="宋体" w:hAnsi="宋体" w:eastAsia="宋体" w:cs="宋体"/>
                <w:b w:val="0"/>
                <w:color w:val="auto"/>
                <w:sz w:val="21"/>
                <w:szCs w:val="24"/>
                <w:highlight w:val="none"/>
                <w:lang w:val="en-US" w:eastAsia="zh-CN"/>
              </w:rPr>
              <w:t>1</w:t>
            </w:r>
            <w:r>
              <w:rPr>
                <w:rStyle w:val="14"/>
                <w:rFonts w:hint="eastAsia" w:ascii="宋体" w:hAnsi="宋体" w:eastAsia="宋体" w:cs="宋体"/>
                <w:b w:val="0"/>
                <w:color w:val="auto"/>
                <w:sz w:val="21"/>
                <w:szCs w:val="24"/>
                <w:highlight w:val="none"/>
                <w:lang w:eastAsia="zh-CN"/>
              </w:rPr>
              <w:t>分。</w:t>
            </w:r>
          </w:p>
          <w:p w14:paraId="4B1F614A">
            <w:pPr>
              <w:pStyle w:val="18"/>
              <w:spacing w:line="360" w:lineRule="auto"/>
              <w:jc w:val="left"/>
              <w:rPr>
                <w:rStyle w:val="14"/>
                <w:rFonts w:ascii="宋体" w:hAnsi="宋体" w:eastAsia="宋体" w:cs="宋体"/>
                <w:b w:val="0"/>
                <w:color w:val="auto"/>
                <w:sz w:val="21"/>
                <w:szCs w:val="24"/>
                <w:highlight w:val="none"/>
              </w:rPr>
            </w:pPr>
            <w:r>
              <w:rPr>
                <w:rStyle w:val="14"/>
                <w:rFonts w:ascii="宋体" w:hAnsi="宋体" w:eastAsia="宋体" w:cs="宋体"/>
                <w:b w:val="0"/>
                <w:color w:val="auto"/>
                <w:sz w:val="21"/>
                <w:szCs w:val="24"/>
                <w:highlight w:val="none"/>
              </w:rPr>
              <w:t>（</w:t>
            </w:r>
            <w:r>
              <w:rPr>
                <w:rStyle w:val="14"/>
                <w:rFonts w:hint="eastAsia" w:ascii="宋体" w:hAnsi="宋体" w:eastAsia="宋体" w:cs="宋体"/>
                <w:b w:val="0"/>
                <w:color w:val="auto"/>
                <w:sz w:val="21"/>
                <w:szCs w:val="24"/>
                <w:highlight w:val="none"/>
                <w:lang w:val="en-US" w:eastAsia="zh-CN"/>
              </w:rPr>
              <w:t>3</w:t>
            </w:r>
            <w:r>
              <w:rPr>
                <w:rStyle w:val="14"/>
                <w:rFonts w:ascii="宋体" w:hAnsi="宋体" w:eastAsia="宋体" w:cs="宋体"/>
                <w:b w:val="0"/>
                <w:color w:val="auto"/>
                <w:sz w:val="21"/>
                <w:szCs w:val="24"/>
                <w:highlight w:val="none"/>
              </w:rPr>
              <w:t>）质量管理员：持有省级或省级以上水</w:t>
            </w:r>
            <w:r>
              <w:rPr>
                <w:rStyle w:val="14"/>
                <w:rFonts w:hint="eastAsia" w:ascii="宋体" w:hAnsi="宋体" w:eastAsia="宋体" w:cs="宋体"/>
                <w:b w:val="0"/>
                <w:color w:val="auto"/>
                <w:sz w:val="21"/>
                <w:szCs w:val="24"/>
                <w:highlight w:val="none"/>
                <w:lang w:eastAsia="zh-CN"/>
              </w:rPr>
              <w:t>利</w:t>
            </w:r>
            <w:r>
              <w:rPr>
                <w:rStyle w:val="14"/>
                <w:rFonts w:ascii="宋体" w:hAnsi="宋体" w:eastAsia="宋体" w:cs="宋体"/>
                <w:b w:val="0"/>
                <w:color w:val="auto"/>
                <w:sz w:val="21"/>
                <w:szCs w:val="24"/>
                <w:highlight w:val="none"/>
              </w:rPr>
              <w:t>行政主管部门或其授权的部门（机构）颁发的质量检查员证，得</w:t>
            </w:r>
            <w:r>
              <w:rPr>
                <w:rStyle w:val="14"/>
                <w:rFonts w:hint="eastAsia" w:ascii="宋体" w:hAnsi="宋体" w:eastAsia="宋体" w:cs="宋体"/>
                <w:b w:val="0"/>
                <w:color w:val="auto"/>
                <w:sz w:val="21"/>
                <w:szCs w:val="24"/>
                <w:highlight w:val="none"/>
                <w:lang w:val="en-US" w:eastAsia="zh-CN"/>
              </w:rPr>
              <w:t>1</w:t>
            </w:r>
            <w:r>
              <w:rPr>
                <w:rStyle w:val="14"/>
                <w:rFonts w:ascii="宋体" w:hAnsi="宋体" w:eastAsia="宋体" w:cs="宋体"/>
                <w:b w:val="0"/>
                <w:color w:val="auto"/>
                <w:sz w:val="21"/>
                <w:szCs w:val="24"/>
                <w:highlight w:val="none"/>
              </w:rPr>
              <w:t>分；持有初级或初级以上技术职称，专业是水利水电工程类专业（专业以技术职称证书所填写专业为准），得</w:t>
            </w:r>
            <w:r>
              <w:rPr>
                <w:rStyle w:val="14"/>
                <w:rFonts w:hint="eastAsia" w:ascii="宋体" w:hAnsi="宋体" w:eastAsia="宋体" w:cs="宋体"/>
                <w:b w:val="0"/>
                <w:color w:val="auto"/>
                <w:sz w:val="21"/>
                <w:szCs w:val="24"/>
                <w:highlight w:val="none"/>
                <w:lang w:val="en-US" w:eastAsia="zh-CN"/>
              </w:rPr>
              <w:t>1</w:t>
            </w:r>
            <w:r>
              <w:rPr>
                <w:rStyle w:val="14"/>
                <w:rFonts w:ascii="宋体" w:hAnsi="宋体" w:eastAsia="宋体" w:cs="宋体"/>
                <w:b w:val="0"/>
                <w:color w:val="auto"/>
                <w:sz w:val="21"/>
                <w:szCs w:val="24"/>
                <w:highlight w:val="none"/>
              </w:rPr>
              <w:t>分。本项满分</w:t>
            </w:r>
            <w:r>
              <w:rPr>
                <w:rStyle w:val="14"/>
                <w:rFonts w:hint="eastAsia" w:ascii="宋体" w:hAnsi="宋体" w:eastAsia="宋体" w:cs="宋体"/>
                <w:b w:val="0"/>
                <w:color w:val="auto"/>
                <w:sz w:val="21"/>
                <w:szCs w:val="24"/>
                <w:highlight w:val="none"/>
                <w:lang w:val="en-US" w:eastAsia="zh-CN"/>
              </w:rPr>
              <w:t>2</w:t>
            </w:r>
            <w:r>
              <w:rPr>
                <w:rStyle w:val="14"/>
                <w:rFonts w:ascii="宋体" w:hAnsi="宋体" w:eastAsia="宋体" w:cs="宋体"/>
                <w:b w:val="0"/>
                <w:color w:val="auto"/>
                <w:sz w:val="21"/>
                <w:szCs w:val="24"/>
                <w:highlight w:val="none"/>
              </w:rPr>
              <w:t>分。</w:t>
            </w:r>
          </w:p>
          <w:p w14:paraId="15C0FEF0">
            <w:pPr>
              <w:pStyle w:val="18"/>
              <w:spacing w:line="360" w:lineRule="auto"/>
              <w:jc w:val="left"/>
              <w:rPr>
                <w:rStyle w:val="14"/>
                <w:rFonts w:ascii="宋体" w:hAnsi="宋体" w:eastAsia="宋体" w:cs="宋体"/>
                <w:b w:val="0"/>
                <w:color w:val="auto"/>
                <w:sz w:val="21"/>
                <w:szCs w:val="24"/>
                <w:highlight w:val="none"/>
              </w:rPr>
            </w:pPr>
            <w:r>
              <w:rPr>
                <w:rStyle w:val="14"/>
                <w:rFonts w:ascii="宋体" w:hAnsi="宋体" w:eastAsia="宋体" w:cs="宋体"/>
                <w:b w:val="0"/>
                <w:color w:val="auto"/>
                <w:sz w:val="21"/>
                <w:szCs w:val="24"/>
                <w:highlight w:val="none"/>
              </w:rPr>
              <w:t>（</w:t>
            </w:r>
            <w:r>
              <w:rPr>
                <w:rStyle w:val="14"/>
                <w:rFonts w:hint="eastAsia" w:ascii="宋体" w:hAnsi="宋体" w:eastAsia="宋体" w:cs="宋体"/>
                <w:b w:val="0"/>
                <w:color w:val="auto"/>
                <w:sz w:val="21"/>
                <w:szCs w:val="24"/>
                <w:highlight w:val="none"/>
                <w:lang w:val="en-US" w:eastAsia="zh-CN"/>
              </w:rPr>
              <w:t>4</w:t>
            </w:r>
            <w:r>
              <w:rPr>
                <w:rStyle w:val="14"/>
                <w:rFonts w:ascii="宋体" w:hAnsi="宋体" w:eastAsia="宋体" w:cs="宋体"/>
                <w:b w:val="0"/>
                <w:color w:val="auto"/>
                <w:sz w:val="21"/>
                <w:szCs w:val="24"/>
                <w:highlight w:val="none"/>
              </w:rPr>
              <w:t>）专职安全管理员持有省级或省级以上水</w:t>
            </w:r>
            <w:r>
              <w:rPr>
                <w:rStyle w:val="14"/>
                <w:rFonts w:hint="eastAsia" w:ascii="宋体" w:hAnsi="宋体" w:eastAsia="宋体" w:cs="宋体"/>
                <w:b w:val="0"/>
                <w:color w:val="auto"/>
                <w:sz w:val="21"/>
                <w:szCs w:val="24"/>
                <w:highlight w:val="none"/>
                <w:lang w:eastAsia="zh-CN"/>
              </w:rPr>
              <w:t>利</w:t>
            </w:r>
            <w:r>
              <w:rPr>
                <w:rStyle w:val="14"/>
                <w:rFonts w:ascii="宋体" w:hAnsi="宋体" w:eastAsia="宋体" w:cs="宋体"/>
                <w:b w:val="0"/>
                <w:color w:val="auto"/>
                <w:sz w:val="21"/>
                <w:szCs w:val="24"/>
                <w:highlight w:val="none"/>
              </w:rPr>
              <w:t>行政主管部门或其授权的部门（机构）颁发的C类安全生产考核合格证书，得</w:t>
            </w:r>
            <w:r>
              <w:rPr>
                <w:rStyle w:val="14"/>
                <w:rFonts w:hint="eastAsia" w:ascii="宋体" w:hAnsi="宋体" w:eastAsia="宋体" w:cs="宋体"/>
                <w:b w:val="0"/>
                <w:color w:val="auto"/>
                <w:sz w:val="21"/>
                <w:szCs w:val="24"/>
                <w:highlight w:val="none"/>
                <w:lang w:val="en-US" w:eastAsia="zh-CN"/>
              </w:rPr>
              <w:t>1</w:t>
            </w:r>
            <w:r>
              <w:rPr>
                <w:rStyle w:val="14"/>
                <w:rFonts w:ascii="宋体" w:hAnsi="宋体" w:eastAsia="宋体" w:cs="宋体"/>
                <w:b w:val="0"/>
                <w:color w:val="auto"/>
                <w:sz w:val="21"/>
                <w:szCs w:val="24"/>
                <w:highlight w:val="none"/>
              </w:rPr>
              <w:t>分；本项满分</w:t>
            </w:r>
            <w:r>
              <w:rPr>
                <w:rStyle w:val="14"/>
                <w:rFonts w:hint="eastAsia" w:ascii="宋体" w:hAnsi="宋体" w:eastAsia="宋体" w:cs="宋体"/>
                <w:b w:val="0"/>
                <w:color w:val="auto"/>
                <w:sz w:val="21"/>
                <w:szCs w:val="24"/>
                <w:highlight w:val="none"/>
                <w:lang w:val="en-US" w:eastAsia="zh-CN"/>
              </w:rPr>
              <w:t>1</w:t>
            </w:r>
            <w:r>
              <w:rPr>
                <w:rStyle w:val="14"/>
                <w:rFonts w:ascii="宋体" w:hAnsi="宋体" w:eastAsia="宋体" w:cs="宋体"/>
                <w:b w:val="0"/>
                <w:color w:val="auto"/>
                <w:sz w:val="21"/>
                <w:szCs w:val="24"/>
                <w:highlight w:val="none"/>
              </w:rPr>
              <w:t>分。</w:t>
            </w:r>
          </w:p>
          <w:p w14:paraId="74616C56">
            <w:pPr>
              <w:pStyle w:val="17"/>
              <w:spacing w:before="147" w:line="360" w:lineRule="auto"/>
              <w:ind w:left="112" w:leftChars="0"/>
              <w:rPr>
                <w:color w:val="auto"/>
                <w:spacing w:val="-1"/>
                <w:highlight w:val="none"/>
              </w:rPr>
            </w:pPr>
            <w:r>
              <w:rPr>
                <w:b/>
                <w:bCs/>
                <w:color w:val="auto"/>
                <w:spacing w:val="-2"/>
                <w:highlight w:val="none"/>
              </w:rPr>
              <w:t>注：须提供技术职称证复印件，并加盖供应商电子签章</w:t>
            </w:r>
          </w:p>
        </w:tc>
        <w:tc>
          <w:tcPr>
            <w:tcW w:w="857" w:type="dxa"/>
            <w:vAlign w:val="top"/>
          </w:tcPr>
          <w:p w14:paraId="11C6294F">
            <w:pPr>
              <w:spacing w:line="269" w:lineRule="auto"/>
              <w:rPr>
                <w:rFonts w:ascii="Arial"/>
                <w:color w:val="auto"/>
                <w:sz w:val="21"/>
                <w:highlight w:val="none"/>
              </w:rPr>
            </w:pPr>
          </w:p>
          <w:p w14:paraId="364C69A7">
            <w:pPr>
              <w:pStyle w:val="17"/>
              <w:spacing w:before="68" w:line="221" w:lineRule="auto"/>
              <w:ind w:left="255" w:leftChars="0"/>
              <w:rPr>
                <w:color w:val="auto"/>
                <w:spacing w:val="-3"/>
                <w:highlight w:val="none"/>
              </w:rPr>
            </w:pPr>
            <w:r>
              <w:rPr>
                <w:rFonts w:hint="eastAsia"/>
                <w:color w:val="auto"/>
                <w:spacing w:val="-6"/>
                <w:highlight w:val="none"/>
                <w:lang w:val="en-US" w:eastAsia="zh-CN"/>
              </w:rPr>
              <w:t>5</w:t>
            </w:r>
            <w:r>
              <w:rPr>
                <w:color w:val="auto"/>
                <w:spacing w:val="-6"/>
                <w:highlight w:val="none"/>
              </w:rPr>
              <w:t>分</w:t>
            </w:r>
          </w:p>
        </w:tc>
      </w:tr>
    </w:tbl>
    <w:p w14:paraId="4506FD51">
      <w:pPr>
        <w:spacing w:line="97" w:lineRule="auto"/>
        <w:rPr>
          <w:rFonts w:ascii="Arial"/>
          <w:color w:val="auto"/>
          <w:sz w:val="2"/>
          <w:highlight w:val="none"/>
        </w:rPr>
      </w:pPr>
    </w:p>
    <w:tbl>
      <w:tblPr>
        <w:tblStyle w:val="16"/>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510"/>
        <w:gridCol w:w="6193"/>
        <w:gridCol w:w="857"/>
      </w:tblGrid>
      <w:tr w14:paraId="5957E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537" w:type="dxa"/>
            <w:vAlign w:val="top"/>
          </w:tcPr>
          <w:p w14:paraId="2195CFD9">
            <w:pPr>
              <w:spacing w:line="275" w:lineRule="auto"/>
              <w:rPr>
                <w:rFonts w:ascii="Arial"/>
                <w:color w:val="auto"/>
                <w:sz w:val="21"/>
                <w:highlight w:val="none"/>
              </w:rPr>
            </w:pPr>
          </w:p>
          <w:p w14:paraId="0CBBEE6B">
            <w:pPr>
              <w:spacing w:line="275" w:lineRule="auto"/>
              <w:rPr>
                <w:rFonts w:ascii="Arial"/>
                <w:color w:val="auto"/>
                <w:sz w:val="21"/>
                <w:highlight w:val="none"/>
              </w:rPr>
            </w:pPr>
          </w:p>
          <w:p w14:paraId="3ACD8B2F">
            <w:pPr>
              <w:spacing w:line="275" w:lineRule="auto"/>
              <w:rPr>
                <w:rFonts w:ascii="Arial"/>
                <w:color w:val="auto"/>
                <w:sz w:val="21"/>
                <w:highlight w:val="none"/>
              </w:rPr>
            </w:pPr>
          </w:p>
          <w:p w14:paraId="1F4A6913">
            <w:pPr>
              <w:spacing w:line="276" w:lineRule="auto"/>
              <w:rPr>
                <w:rFonts w:ascii="Arial"/>
                <w:color w:val="auto"/>
                <w:sz w:val="21"/>
                <w:highlight w:val="none"/>
              </w:rPr>
            </w:pPr>
          </w:p>
          <w:p w14:paraId="7A506DA7">
            <w:pPr>
              <w:pStyle w:val="17"/>
              <w:spacing w:before="68" w:line="183" w:lineRule="auto"/>
              <w:ind w:left="120"/>
              <w:rPr>
                <w:color w:val="auto"/>
                <w:highlight w:val="none"/>
              </w:rPr>
            </w:pPr>
            <w:r>
              <w:rPr>
                <w:color w:val="auto"/>
                <w:spacing w:val="-3"/>
                <w:highlight w:val="none"/>
              </w:rPr>
              <w:t>3.1</w:t>
            </w:r>
          </w:p>
        </w:tc>
        <w:tc>
          <w:tcPr>
            <w:tcW w:w="1510" w:type="dxa"/>
            <w:vAlign w:val="top"/>
          </w:tcPr>
          <w:p w14:paraId="2D640418">
            <w:pPr>
              <w:spacing w:line="266" w:lineRule="auto"/>
              <w:rPr>
                <w:rFonts w:ascii="Arial"/>
                <w:color w:val="auto"/>
                <w:sz w:val="21"/>
                <w:highlight w:val="none"/>
              </w:rPr>
            </w:pPr>
          </w:p>
          <w:p w14:paraId="6AEB76AC">
            <w:pPr>
              <w:pStyle w:val="17"/>
              <w:spacing w:before="68" w:line="220" w:lineRule="auto"/>
              <w:rPr>
                <w:rFonts w:hint="eastAsia" w:cs="宋体"/>
                <w:b w:val="0"/>
                <w:bCs w:val="0"/>
                <w:color w:val="auto"/>
                <w:highlight w:val="none"/>
                <w:lang w:val="en-US" w:eastAsia="zh-CN"/>
              </w:rPr>
            </w:pPr>
          </w:p>
          <w:p w14:paraId="4C1E9C14">
            <w:pPr>
              <w:pStyle w:val="17"/>
              <w:spacing w:before="68" w:line="220" w:lineRule="auto"/>
              <w:rPr>
                <w:rFonts w:hint="eastAsia" w:cs="宋体"/>
                <w:b w:val="0"/>
                <w:bCs w:val="0"/>
                <w:color w:val="auto"/>
                <w:highlight w:val="none"/>
                <w:lang w:val="en-US" w:eastAsia="zh-CN"/>
              </w:rPr>
            </w:pPr>
          </w:p>
          <w:p w14:paraId="6CC06837">
            <w:pPr>
              <w:pStyle w:val="17"/>
              <w:spacing w:before="68" w:line="220" w:lineRule="auto"/>
              <w:rPr>
                <w:rFonts w:hint="eastAsia" w:cs="宋体"/>
                <w:b w:val="0"/>
                <w:bCs w:val="0"/>
                <w:color w:val="auto"/>
                <w:highlight w:val="none"/>
                <w:lang w:val="en-US" w:eastAsia="zh-CN"/>
              </w:rPr>
            </w:pPr>
          </w:p>
          <w:p w14:paraId="6B6F2FAC">
            <w:pPr>
              <w:pStyle w:val="17"/>
              <w:spacing w:before="68" w:line="220" w:lineRule="auto"/>
              <w:rPr>
                <w:rFonts w:hint="eastAsia" w:cs="宋体"/>
                <w:b w:val="0"/>
                <w:bCs w:val="0"/>
                <w:color w:val="auto"/>
                <w:highlight w:val="none"/>
                <w:lang w:val="en-US" w:eastAsia="zh-CN"/>
              </w:rPr>
            </w:pPr>
          </w:p>
          <w:p w14:paraId="1C49CF07">
            <w:pPr>
              <w:pStyle w:val="17"/>
              <w:spacing w:before="68" w:line="220" w:lineRule="auto"/>
              <w:rPr>
                <w:rFonts w:hint="default" w:eastAsia="宋体"/>
                <w:color w:val="auto"/>
                <w:highlight w:val="none"/>
                <w:lang w:val="en-US" w:eastAsia="zh-CN"/>
              </w:rPr>
            </w:pPr>
            <w:r>
              <w:rPr>
                <w:rFonts w:hint="eastAsia" w:cs="宋体"/>
                <w:b w:val="0"/>
                <w:bCs w:val="0"/>
                <w:color w:val="auto"/>
                <w:highlight w:val="none"/>
                <w:lang w:val="en-US" w:eastAsia="zh-CN"/>
              </w:rPr>
              <w:t>企业信誉实力分</w:t>
            </w:r>
          </w:p>
        </w:tc>
        <w:tc>
          <w:tcPr>
            <w:tcW w:w="6193" w:type="dxa"/>
            <w:vAlign w:val="top"/>
          </w:tcPr>
          <w:p w14:paraId="75A998E9">
            <w:pPr>
              <w:spacing w:line="440" w:lineRule="exact"/>
              <w:ind w:firstLine="420" w:firstLineChars="200"/>
              <w:rPr>
                <w:rFonts w:hint="eastAsia"/>
                <w:color w:val="auto"/>
                <w:highlight w:val="none"/>
              </w:rPr>
            </w:pPr>
            <w:r>
              <w:rPr>
                <w:color w:val="auto"/>
                <w:highlight w:val="none"/>
              </w:rPr>
              <w:t xml:space="preserve"> </w:t>
            </w:r>
            <w:r>
              <w:rPr>
                <w:rFonts w:hint="eastAsia"/>
                <w:color w:val="auto"/>
                <w:highlight w:val="none"/>
              </w:rPr>
              <w:t>（1）202</w:t>
            </w:r>
            <w:r>
              <w:rPr>
                <w:rFonts w:hint="eastAsia" w:eastAsia="宋体"/>
                <w:color w:val="auto"/>
                <w:highlight w:val="none"/>
                <w:lang w:val="en-US" w:eastAsia="zh-CN"/>
              </w:rPr>
              <w:t>3</w:t>
            </w:r>
            <w:r>
              <w:rPr>
                <w:rFonts w:hint="eastAsia"/>
                <w:color w:val="auto"/>
                <w:highlight w:val="none"/>
              </w:rPr>
              <w:t>年以来，供应商</w:t>
            </w:r>
            <w:r>
              <w:rPr>
                <w:rFonts w:hint="eastAsia" w:eastAsia="宋体"/>
                <w:color w:val="auto"/>
                <w:highlight w:val="none"/>
                <w:lang w:val="en-US" w:eastAsia="zh-CN"/>
              </w:rPr>
              <w:t>承接过水利</w:t>
            </w:r>
            <w:r>
              <w:rPr>
                <w:rFonts w:hint="eastAsia"/>
                <w:color w:val="auto"/>
                <w:highlight w:val="none"/>
              </w:rPr>
              <w:t>项目业绩，每有一项得</w:t>
            </w:r>
            <w:r>
              <w:rPr>
                <w:rFonts w:hint="eastAsia" w:eastAsia="宋体"/>
                <w:color w:val="auto"/>
                <w:highlight w:val="none"/>
                <w:lang w:val="en-US" w:eastAsia="zh-CN"/>
              </w:rPr>
              <w:t>2</w:t>
            </w:r>
            <w:r>
              <w:rPr>
                <w:rFonts w:hint="eastAsia"/>
                <w:color w:val="auto"/>
                <w:highlight w:val="none"/>
              </w:rPr>
              <w:t>分，满分</w:t>
            </w:r>
            <w:r>
              <w:rPr>
                <w:rFonts w:hint="eastAsia" w:eastAsia="宋体"/>
                <w:color w:val="auto"/>
                <w:highlight w:val="none"/>
                <w:lang w:val="en-US" w:eastAsia="zh-CN"/>
              </w:rPr>
              <w:t>6</w:t>
            </w:r>
            <w:r>
              <w:rPr>
                <w:rFonts w:hint="eastAsia"/>
                <w:color w:val="auto"/>
                <w:highlight w:val="none"/>
              </w:rPr>
              <w:t>分。（</w:t>
            </w:r>
            <w:r>
              <w:rPr>
                <w:rFonts w:hint="eastAsia" w:hAnsi="Courier New"/>
                <w:color w:val="auto"/>
                <w:highlight w:val="none"/>
              </w:rPr>
              <w:t>提供以</w:t>
            </w:r>
            <w:r>
              <w:rPr>
                <w:rFonts w:hint="eastAsia"/>
                <w:color w:val="auto"/>
                <w:highlight w:val="none"/>
              </w:rPr>
              <w:t>中标通知书和合同书复印件为准）。</w:t>
            </w:r>
          </w:p>
          <w:p w14:paraId="7D5F3388">
            <w:pPr>
              <w:pStyle w:val="17"/>
              <w:adjustRightInd w:val="0"/>
              <w:snapToGrid w:val="0"/>
              <w:spacing w:before="25" w:line="360" w:lineRule="auto"/>
              <w:ind w:left="117" w:right="99" w:firstLine="420" w:firstLineChars="200"/>
              <w:rPr>
                <w:rFonts w:ascii="Times New Roman" w:hAnsi="Courier New" w:cs="Times New Roman"/>
                <w:color w:val="auto"/>
                <w:sz w:val="21"/>
                <w:szCs w:val="20"/>
                <w:highlight w:val="none"/>
                <w:lang w:eastAsia="zh-CN"/>
              </w:rPr>
            </w:pPr>
            <w:r>
              <w:rPr>
                <w:rFonts w:hint="eastAsia" w:ascii="Times New Roman" w:hAnsi="Courier New" w:cs="Times New Roman"/>
                <w:color w:val="auto"/>
                <w:sz w:val="21"/>
                <w:szCs w:val="20"/>
                <w:highlight w:val="none"/>
                <w:lang w:eastAsia="zh-CN"/>
              </w:rPr>
              <w:t>（2）投标人自2020 年以来任意三年获得国家税务机关提供</w:t>
            </w:r>
            <w:r>
              <w:rPr>
                <w:rFonts w:hint="eastAsia" w:cs="Times New Roman"/>
                <w:color w:val="auto"/>
                <w:sz w:val="21"/>
                <w:szCs w:val="20"/>
                <w:highlight w:val="none"/>
                <w:lang w:eastAsia="zh-CN"/>
              </w:rPr>
              <w:t>的纳税信用评价信息A级企业，得</w:t>
            </w:r>
            <w:r>
              <w:rPr>
                <w:rFonts w:hint="eastAsia" w:cs="Times New Roman"/>
                <w:color w:val="auto"/>
                <w:sz w:val="21"/>
                <w:szCs w:val="20"/>
                <w:highlight w:val="none"/>
                <w:lang w:val="en-US" w:eastAsia="zh-CN"/>
              </w:rPr>
              <w:t>3</w:t>
            </w:r>
            <w:r>
              <w:rPr>
                <w:rFonts w:hint="eastAsia" w:cs="Times New Roman"/>
                <w:color w:val="auto"/>
                <w:sz w:val="21"/>
                <w:szCs w:val="20"/>
                <w:highlight w:val="none"/>
                <w:lang w:eastAsia="zh-CN"/>
              </w:rPr>
              <w:t>分，任意两年得</w:t>
            </w:r>
            <w:r>
              <w:rPr>
                <w:rFonts w:hint="eastAsia" w:cs="Times New Roman"/>
                <w:color w:val="auto"/>
                <w:sz w:val="21"/>
                <w:szCs w:val="20"/>
                <w:highlight w:val="none"/>
                <w:lang w:val="en-US" w:eastAsia="zh-CN"/>
              </w:rPr>
              <w:t>2</w:t>
            </w:r>
            <w:r>
              <w:rPr>
                <w:rFonts w:hint="eastAsia" w:cs="Times New Roman"/>
                <w:color w:val="auto"/>
                <w:sz w:val="21"/>
                <w:szCs w:val="20"/>
                <w:highlight w:val="none"/>
                <w:lang w:eastAsia="zh-CN"/>
              </w:rPr>
              <w:t>分，只提供一年得</w:t>
            </w:r>
            <w:r>
              <w:rPr>
                <w:rFonts w:hint="eastAsia" w:cs="Times New Roman"/>
                <w:color w:val="auto"/>
                <w:sz w:val="21"/>
                <w:szCs w:val="20"/>
                <w:highlight w:val="none"/>
                <w:lang w:val="en-US" w:eastAsia="zh-CN"/>
              </w:rPr>
              <w:t>1</w:t>
            </w:r>
            <w:r>
              <w:rPr>
                <w:rFonts w:hint="eastAsia" w:cs="Times New Roman"/>
                <w:color w:val="auto"/>
                <w:sz w:val="21"/>
                <w:szCs w:val="20"/>
                <w:highlight w:val="none"/>
                <w:lang w:eastAsia="zh-CN"/>
              </w:rPr>
              <w:t>分，</w:t>
            </w:r>
            <w:r>
              <w:rPr>
                <w:rFonts w:hint="eastAsia" w:cs="Times New Roman"/>
                <w:color w:val="auto"/>
                <w:sz w:val="21"/>
                <w:szCs w:val="20"/>
                <w:highlight w:val="none"/>
                <w:lang w:val="en-US" w:eastAsia="zh-CN"/>
              </w:rPr>
              <w:t>满分3</w:t>
            </w:r>
            <w:r>
              <w:rPr>
                <w:rFonts w:hint="eastAsia" w:cs="Times New Roman"/>
                <w:color w:val="auto"/>
                <w:sz w:val="21"/>
                <w:szCs w:val="20"/>
                <w:highlight w:val="none"/>
                <w:lang w:eastAsia="zh-CN"/>
              </w:rPr>
              <w:t>分。（需附“信用中国”（http://www.creditchina.gov.cn/）网站查询记录截图。）</w:t>
            </w:r>
          </w:p>
          <w:p w14:paraId="5B7A4767">
            <w:pPr>
              <w:pStyle w:val="17"/>
              <w:adjustRightInd w:val="0"/>
              <w:snapToGrid w:val="0"/>
              <w:spacing w:before="25" w:line="360" w:lineRule="auto"/>
              <w:ind w:left="117" w:right="99" w:firstLine="420" w:firstLineChars="200"/>
              <w:rPr>
                <w:color w:val="auto"/>
                <w:highlight w:val="none"/>
              </w:rPr>
            </w:pPr>
            <w:r>
              <w:rPr>
                <w:rFonts w:hint="eastAsia" w:ascii="Times New Roman" w:hAnsi="Times New Roman" w:cs="Times New Roman"/>
                <w:color w:val="auto"/>
                <w:sz w:val="21"/>
                <w:szCs w:val="20"/>
                <w:highlight w:val="none"/>
                <w:lang w:eastAsia="zh-CN"/>
              </w:rPr>
              <w:t>（3）投标人近三年获得由国务院征信监督管理部门批准备案（或是中国人民银行）征信机构出具的“重合同守信用企业”证书的得</w:t>
            </w:r>
            <w:r>
              <w:rPr>
                <w:rFonts w:hint="eastAsia" w:ascii="Times New Roman" w:hAnsi="Times New Roman" w:cs="Times New Roman"/>
                <w:color w:val="auto"/>
                <w:sz w:val="21"/>
                <w:szCs w:val="20"/>
                <w:highlight w:val="none"/>
                <w:lang w:val="en-US" w:eastAsia="zh-CN"/>
              </w:rPr>
              <w:t>1</w:t>
            </w:r>
            <w:r>
              <w:rPr>
                <w:rFonts w:hint="eastAsia" w:ascii="Times New Roman" w:hAnsi="Times New Roman" w:cs="Times New Roman"/>
                <w:color w:val="auto"/>
                <w:sz w:val="21"/>
                <w:szCs w:val="20"/>
                <w:highlight w:val="none"/>
                <w:lang w:eastAsia="zh-CN"/>
              </w:rPr>
              <w:t>分，满分</w:t>
            </w:r>
            <w:r>
              <w:rPr>
                <w:rFonts w:hint="eastAsia" w:ascii="Times New Roman" w:hAnsi="Times New Roman" w:cs="Times New Roman"/>
                <w:color w:val="auto"/>
                <w:sz w:val="21"/>
                <w:szCs w:val="20"/>
                <w:highlight w:val="none"/>
                <w:lang w:val="en-US" w:eastAsia="zh-CN"/>
              </w:rPr>
              <w:t>1</w:t>
            </w:r>
            <w:r>
              <w:rPr>
                <w:rFonts w:hint="eastAsia" w:ascii="Times New Roman" w:hAnsi="Times New Roman" w:cs="Times New Roman"/>
                <w:color w:val="auto"/>
                <w:sz w:val="21"/>
                <w:szCs w:val="20"/>
                <w:highlight w:val="none"/>
                <w:lang w:eastAsia="zh-CN"/>
              </w:rPr>
              <w:t>分。①附有效的等级证书复印件；②征信机构备案证明复印件；（不按要求提供的不得分）</w:t>
            </w:r>
          </w:p>
        </w:tc>
        <w:tc>
          <w:tcPr>
            <w:tcW w:w="857" w:type="dxa"/>
            <w:vAlign w:val="top"/>
          </w:tcPr>
          <w:p w14:paraId="38362DA6">
            <w:pPr>
              <w:spacing w:line="266" w:lineRule="auto"/>
              <w:rPr>
                <w:rFonts w:ascii="Arial"/>
                <w:color w:val="auto"/>
                <w:sz w:val="21"/>
                <w:highlight w:val="none"/>
              </w:rPr>
            </w:pPr>
          </w:p>
          <w:p w14:paraId="62FDA593">
            <w:pPr>
              <w:spacing w:line="267" w:lineRule="auto"/>
              <w:rPr>
                <w:rFonts w:ascii="Arial"/>
                <w:color w:val="auto"/>
                <w:sz w:val="21"/>
                <w:highlight w:val="none"/>
              </w:rPr>
            </w:pPr>
          </w:p>
          <w:p w14:paraId="3D20737A">
            <w:pPr>
              <w:spacing w:line="267" w:lineRule="auto"/>
              <w:rPr>
                <w:rFonts w:ascii="Arial"/>
                <w:color w:val="auto"/>
                <w:sz w:val="21"/>
                <w:highlight w:val="none"/>
              </w:rPr>
            </w:pPr>
          </w:p>
          <w:p w14:paraId="64D1EED1">
            <w:pPr>
              <w:spacing w:line="267" w:lineRule="auto"/>
              <w:rPr>
                <w:rFonts w:ascii="Arial"/>
                <w:color w:val="auto"/>
                <w:sz w:val="21"/>
                <w:highlight w:val="none"/>
              </w:rPr>
            </w:pPr>
          </w:p>
          <w:p w14:paraId="7CAF347D">
            <w:pPr>
              <w:pStyle w:val="17"/>
              <w:spacing w:before="68" w:line="221" w:lineRule="auto"/>
              <w:ind w:left="252"/>
              <w:rPr>
                <w:color w:val="auto"/>
                <w:highlight w:val="none"/>
              </w:rPr>
            </w:pPr>
            <w:r>
              <w:rPr>
                <w:rFonts w:hint="eastAsia"/>
                <w:color w:val="auto"/>
                <w:spacing w:val="-5"/>
                <w:highlight w:val="none"/>
                <w:lang w:val="en-US" w:eastAsia="zh-CN"/>
              </w:rPr>
              <w:t>10</w:t>
            </w:r>
            <w:r>
              <w:rPr>
                <w:color w:val="auto"/>
                <w:spacing w:val="-5"/>
                <w:highlight w:val="none"/>
              </w:rPr>
              <w:t>分</w:t>
            </w:r>
          </w:p>
        </w:tc>
      </w:tr>
      <w:tr w14:paraId="3B1CB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240" w:type="dxa"/>
            <w:gridSpan w:val="3"/>
            <w:vAlign w:val="top"/>
          </w:tcPr>
          <w:p w14:paraId="6CAA7895">
            <w:pPr>
              <w:pStyle w:val="17"/>
              <w:spacing w:before="145" w:line="221" w:lineRule="auto"/>
              <w:rPr>
                <w:color w:val="auto"/>
                <w:highlight w:val="none"/>
              </w:rPr>
            </w:pPr>
            <w:r>
              <w:rPr>
                <w:color w:val="auto"/>
                <w:spacing w:val="-2"/>
                <w:highlight w:val="none"/>
              </w:rPr>
              <w:t>总得分＝1＋2＋3</w:t>
            </w:r>
          </w:p>
        </w:tc>
        <w:tc>
          <w:tcPr>
            <w:tcW w:w="857" w:type="dxa"/>
            <w:vAlign w:val="top"/>
          </w:tcPr>
          <w:p w14:paraId="21BEE30A">
            <w:pPr>
              <w:rPr>
                <w:rFonts w:ascii="Arial"/>
                <w:color w:val="auto"/>
                <w:sz w:val="21"/>
                <w:highlight w:val="none"/>
              </w:rPr>
            </w:pPr>
          </w:p>
        </w:tc>
      </w:tr>
    </w:tbl>
    <w:p w14:paraId="68DDF3EA">
      <w:pPr>
        <w:rPr>
          <w:rFonts w:ascii="Arial"/>
          <w:color w:val="auto"/>
          <w:sz w:val="21"/>
          <w:highlight w:val="none"/>
        </w:rPr>
      </w:pPr>
    </w:p>
    <w:p w14:paraId="32FB7A1C">
      <w:pPr>
        <w:rPr>
          <w:rFonts w:ascii="Arial" w:hAnsi="Arial" w:eastAsia="Arial" w:cs="Arial"/>
          <w:color w:val="auto"/>
          <w:sz w:val="21"/>
          <w:szCs w:val="21"/>
          <w:highlight w:val="none"/>
        </w:rPr>
        <w:sectPr>
          <w:footerReference r:id="rId32" w:type="default"/>
          <w:pgSz w:w="11900" w:h="16832"/>
          <w:pgMar w:top="1430" w:right="1396" w:bottom="1220" w:left="1399" w:header="0" w:footer="1060" w:gutter="0"/>
          <w:pgNumType w:fmt="decimal"/>
          <w:cols w:space="720" w:num="1"/>
        </w:sectPr>
      </w:pPr>
    </w:p>
    <w:p w14:paraId="63FAACAD">
      <w:pPr>
        <w:spacing w:line="245" w:lineRule="auto"/>
        <w:rPr>
          <w:rFonts w:ascii="Arial"/>
          <w:color w:val="auto"/>
          <w:sz w:val="21"/>
          <w:highlight w:val="none"/>
        </w:rPr>
      </w:pPr>
    </w:p>
    <w:p w14:paraId="21BD64D7">
      <w:pPr>
        <w:spacing w:line="245" w:lineRule="auto"/>
        <w:rPr>
          <w:rFonts w:ascii="Arial"/>
          <w:color w:val="auto"/>
          <w:sz w:val="21"/>
          <w:highlight w:val="none"/>
        </w:rPr>
      </w:pPr>
    </w:p>
    <w:p w14:paraId="3F009368">
      <w:pPr>
        <w:spacing w:line="245" w:lineRule="auto"/>
        <w:rPr>
          <w:rFonts w:ascii="Arial"/>
          <w:color w:val="auto"/>
          <w:sz w:val="21"/>
          <w:highlight w:val="none"/>
        </w:rPr>
      </w:pPr>
    </w:p>
    <w:p w14:paraId="6D886940">
      <w:pPr>
        <w:spacing w:line="245" w:lineRule="auto"/>
        <w:rPr>
          <w:rFonts w:ascii="Arial"/>
          <w:color w:val="auto"/>
          <w:sz w:val="21"/>
          <w:highlight w:val="none"/>
        </w:rPr>
      </w:pPr>
    </w:p>
    <w:p w14:paraId="721AFCB8">
      <w:pPr>
        <w:spacing w:line="245" w:lineRule="auto"/>
        <w:rPr>
          <w:rFonts w:ascii="Arial"/>
          <w:color w:val="auto"/>
          <w:sz w:val="21"/>
          <w:highlight w:val="none"/>
        </w:rPr>
      </w:pPr>
    </w:p>
    <w:p w14:paraId="226AA2A9">
      <w:pPr>
        <w:spacing w:line="245" w:lineRule="auto"/>
        <w:rPr>
          <w:rFonts w:ascii="Arial"/>
          <w:color w:val="auto"/>
          <w:sz w:val="21"/>
          <w:highlight w:val="none"/>
        </w:rPr>
      </w:pPr>
    </w:p>
    <w:p w14:paraId="071F851E">
      <w:pPr>
        <w:spacing w:line="245" w:lineRule="auto"/>
        <w:rPr>
          <w:rFonts w:ascii="Arial"/>
          <w:color w:val="auto"/>
          <w:sz w:val="21"/>
          <w:highlight w:val="none"/>
        </w:rPr>
      </w:pPr>
    </w:p>
    <w:p w14:paraId="34DD41C3">
      <w:pPr>
        <w:spacing w:line="245" w:lineRule="auto"/>
        <w:rPr>
          <w:rFonts w:ascii="Arial"/>
          <w:color w:val="auto"/>
          <w:sz w:val="21"/>
          <w:highlight w:val="none"/>
        </w:rPr>
      </w:pPr>
    </w:p>
    <w:p w14:paraId="4F5A36C1">
      <w:pPr>
        <w:spacing w:line="245" w:lineRule="auto"/>
        <w:rPr>
          <w:rFonts w:ascii="Arial"/>
          <w:color w:val="auto"/>
          <w:sz w:val="21"/>
          <w:highlight w:val="none"/>
        </w:rPr>
      </w:pPr>
    </w:p>
    <w:p w14:paraId="6D7F3B2C">
      <w:pPr>
        <w:spacing w:line="245" w:lineRule="auto"/>
        <w:rPr>
          <w:rFonts w:ascii="Arial"/>
          <w:color w:val="auto"/>
          <w:sz w:val="21"/>
          <w:highlight w:val="none"/>
        </w:rPr>
      </w:pPr>
    </w:p>
    <w:p w14:paraId="55856E59">
      <w:pPr>
        <w:spacing w:line="245" w:lineRule="auto"/>
        <w:rPr>
          <w:rFonts w:ascii="Arial"/>
          <w:color w:val="auto"/>
          <w:sz w:val="21"/>
          <w:highlight w:val="none"/>
        </w:rPr>
      </w:pPr>
    </w:p>
    <w:p w14:paraId="170F0374">
      <w:pPr>
        <w:spacing w:line="245" w:lineRule="auto"/>
        <w:rPr>
          <w:rFonts w:ascii="Arial"/>
          <w:color w:val="auto"/>
          <w:sz w:val="21"/>
          <w:highlight w:val="none"/>
        </w:rPr>
      </w:pPr>
    </w:p>
    <w:p w14:paraId="6DAA8249">
      <w:pPr>
        <w:spacing w:line="245" w:lineRule="auto"/>
        <w:rPr>
          <w:rFonts w:ascii="Arial"/>
          <w:color w:val="auto"/>
          <w:sz w:val="21"/>
          <w:highlight w:val="none"/>
        </w:rPr>
      </w:pPr>
    </w:p>
    <w:p w14:paraId="025FB6B5">
      <w:pPr>
        <w:spacing w:line="245" w:lineRule="auto"/>
        <w:rPr>
          <w:rFonts w:ascii="Arial"/>
          <w:color w:val="auto"/>
          <w:sz w:val="21"/>
          <w:highlight w:val="none"/>
        </w:rPr>
      </w:pPr>
    </w:p>
    <w:p w14:paraId="2C4D6D86">
      <w:pPr>
        <w:spacing w:line="245" w:lineRule="auto"/>
        <w:rPr>
          <w:rFonts w:ascii="Arial"/>
          <w:color w:val="auto"/>
          <w:sz w:val="21"/>
          <w:highlight w:val="none"/>
        </w:rPr>
      </w:pPr>
    </w:p>
    <w:p w14:paraId="5A42E0D0">
      <w:pPr>
        <w:spacing w:line="245" w:lineRule="auto"/>
        <w:rPr>
          <w:rFonts w:ascii="Arial"/>
          <w:color w:val="auto"/>
          <w:sz w:val="21"/>
          <w:highlight w:val="none"/>
        </w:rPr>
      </w:pPr>
    </w:p>
    <w:p w14:paraId="3B87041A">
      <w:pPr>
        <w:spacing w:line="246" w:lineRule="auto"/>
        <w:rPr>
          <w:rFonts w:ascii="Arial"/>
          <w:color w:val="auto"/>
          <w:sz w:val="21"/>
          <w:highlight w:val="none"/>
        </w:rPr>
      </w:pPr>
    </w:p>
    <w:p w14:paraId="30820DBA">
      <w:pPr>
        <w:spacing w:line="246" w:lineRule="auto"/>
        <w:rPr>
          <w:rFonts w:ascii="Arial"/>
          <w:color w:val="auto"/>
          <w:sz w:val="21"/>
          <w:highlight w:val="none"/>
        </w:rPr>
      </w:pPr>
    </w:p>
    <w:p w14:paraId="1B36E454">
      <w:pPr>
        <w:spacing w:line="246" w:lineRule="auto"/>
        <w:rPr>
          <w:rFonts w:ascii="Arial"/>
          <w:color w:val="auto"/>
          <w:sz w:val="21"/>
          <w:highlight w:val="none"/>
        </w:rPr>
      </w:pPr>
    </w:p>
    <w:p w14:paraId="72CFD36C">
      <w:pPr>
        <w:spacing w:line="246" w:lineRule="auto"/>
        <w:rPr>
          <w:rFonts w:ascii="Arial"/>
          <w:color w:val="auto"/>
          <w:sz w:val="21"/>
          <w:highlight w:val="none"/>
        </w:rPr>
      </w:pPr>
    </w:p>
    <w:p w14:paraId="4269097F">
      <w:pPr>
        <w:spacing w:line="246" w:lineRule="auto"/>
        <w:rPr>
          <w:rFonts w:ascii="Arial"/>
          <w:color w:val="auto"/>
          <w:sz w:val="21"/>
          <w:highlight w:val="none"/>
        </w:rPr>
      </w:pPr>
    </w:p>
    <w:p w14:paraId="101F4358">
      <w:pPr>
        <w:spacing w:before="140" w:line="223" w:lineRule="auto"/>
        <w:ind w:left="1643"/>
        <w:outlineLvl w:val="0"/>
        <w:rPr>
          <w:rFonts w:ascii="宋体" w:hAnsi="宋体" w:eastAsia="宋体" w:cs="宋体"/>
          <w:color w:val="auto"/>
          <w:sz w:val="43"/>
          <w:szCs w:val="43"/>
          <w:highlight w:val="none"/>
        </w:rPr>
      </w:pPr>
      <w:bookmarkStart w:id="12" w:name="bookmark9"/>
      <w:bookmarkEnd w:id="12"/>
      <w:bookmarkStart w:id="13" w:name="_Toc8888"/>
      <w:bookmarkStart w:id="14" w:name="_Toc14064"/>
      <w:r>
        <w:rPr>
          <w:rFonts w:ascii="宋体" w:hAnsi="宋体" w:eastAsia="宋体" w:cs="宋体"/>
          <w:b/>
          <w:bCs/>
          <w:color w:val="auto"/>
          <w:spacing w:val="5"/>
          <w:sz w:val="43"/>
          <w:szCs w:val="43"/>
          <w:highlight w:val="none"/>
        </w:rPr>
        <w:t>第五章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工程量清单及图纸</w:t>
      </w:r>
      <w:bookmarkEnd w:id="13"/>
      <w:bookmarkEnd w:id="14"/>
    </w:p>
    <w:p w14:paraId="5C4CE4DF">
      <w:pPr>
        <w:spacing w:line="223" w:lineRule="auto"/>
        <w:rPr>
          <w:rFonts w:ascii="宋体" w:hAnsi="宋体" w:eastAsia="宋体" w:cs="宋体"/>
          <w:color w:val="auto"/>
          <w:sz w:val="43"/>
          <w:szCs w:val="43"/>
          <w:highlight w:val="none"/>
        </w:rPr>
      </w:pPr>
    </w:p>
    <w:p w14:paraId="2B8C9B73">
      <w:pPr>
        <w:bidi w:val="0"/>
        <w:jc w:val="left"/>
        <w:rPr>
          <w:rFonts w:hint="eastAsia" w:ascii="Arial"/>
          <w:color w:val="auto"/>
          <w:sz w:val="22"/>
          <w:szCs w:val="22"/>
          <w:highlight w:val="none"/>
          <w:lang w:eastAsia="zh-CN"/>
        </w:rPr>
        <w:sectPr>
          <w:footerReference r:id="rId33" w:type="default"/>
          <w:pgSz w:w="11906" w:h="16838"/>
          <w:pgMar w:top="1361" w:right="1134" w:bottom="1134" w:left="1531" w:header="57" w:footer="964" w:gutter="0"/>
          <w:pgNumType w:fmt="decimal"/>
          <w:cols w:space="720" w:num="1"/>
        </w:sectPr>
      </w:pPr>
      <w:r>
        <w:rPr>
          <w:rFonts w:hint="eastAsia"/>
          <w:color w:val="auto"/>
          <w:sz w:val="22"/>
          <w:szCs w:val="22"/>
          <w:highlight w:val="none"/>
          <w:lang w:val="en-US" w:eastAsia="zh-CN"/>
        </w:rPr>
        <w:t xml:space="preserve">                                  </w:t>
      </w:r>
      <w:r>
        <w:rPr>
          <w:rFonts w:hint="eastAsia" w:ascii="Arial"/>
          <w:color w:val="auto"/>
          <w:sz w:val="22"/>
          <w:szCs w:val="22"/>
          <w:highlight w:val="none"/>
          <w:lang w:eastAsia="zh-CN"/>
        </w:rPr>
        <w:t>供应商可从“广西政府采购云平台”自行下载另附</w:t>
      </w:r>
    </w:p>
    <w:p w14:paraId="3407628C">
      <w:pPr>
        <w:spacing w:line="269" w:lineRule="auto"/>
        <w:rPr>
          <w:rFonts w:ascii="Arial"/>
          <w:color w:val="auto"/>
          <w:sz w:val="21"/>
          <w:highlight w:val="none"/>
        </w:rPr>
      </w:pPr>
    </w:p>
    <w:p w14:paraId="4EB30F94">
      <w:pPr>
        <w:spacing w:line="269" w:lineRule="auto"/>
        <w:rPr>
          <w:rFonts w:ascii="Arial"/>
          <w:color w:val="auto"/>
          <w:sz w:val="21"/>
          <w:highlight w:val="none"/>
        </w:rPr>
      </w:pPr>
    </w:p>
    <w:p w14:paraId="08B169F0">
      <w:pPr>
        <w:spacing w:line="270" w:lineRule="auto"/>
        <w:rPr>
          <w:rFonts w:ascii="Arial"/>
          <w:color w:val="auto"/>
          <w:sz w:val="21"/>
          <w:highlight w:val="none"/>
        </w:rPr>
      </w:pPr>
    </w:p>
    <w:p w14:paraId="3F4FE0ED">
      <w:pPr>
        <w:spacing w:line="244" w:lineRule="auto"/>
        <w:rPr>
          <w:rFonts w:ascii="Arial"/>
          <w:color w:val="auto"/>
          <w:sz w:val="21"/>
          <w:highlight w:val="none"/>
        </w:rPr>
      </w:pPr>
    </w:p>
    <w:p w14:paraId="06790F87">
      <w:pPr>
        <w:spacing w:line="244" w:lineRule="auto"/>
        <w:rPr>
          <w:rFonts w:ascii="Arial"/>
          <w:color w:val="auto"/>
          <w:sz w:val="21"/>
          <w:highlight w:val="none"/>
        </w:rPr>
      </w:pPr>
    </w:p>
    <w:p w14:paraId="06A57926">
      <w:pPr>
        <w:spacing w:line="245" w:lineRule="auto"/>
        <w:rPr>
          <w:rFonts w:ascii="Arial"/>
          <w:color w:val="auto"/>
          <w:sz w:val="21"/>
          <w:highlight w:val="none"/>
        </w:rPr>
      </w:pPr>
    </w:p>
    <w:p w14:paraId="3690D028">
      <w:pPr>
        <w:spacing w:line="245" w:lineRule="auto"/>
        <w:rPr>
          <w:rFonts w:ascii="Arial"/>
          <w:color w:val="auto"/>
          <w:sz w:val="21"/>
          <w:highlight w:val="none"/>
        </w:rPr>
      </w:pPr>
    </w:p>
    <w:p w14:paraId="56DD9255">
      <w:pPr>
        <w:spacing w:line="245" w:lineRule="auto"/>
        <w:rPr>
          <w:rFonts w:ascii="Arial"/>
          <w:color w:val="auto"/>
          <w:sz w:val="21"/>
          <w:highlight w:val="none"/>
        </w:rPr>
      </w:pPr>
    </w:p>
    <w:p w14:paraId="515654D4">
      <w:pPr>
        <w:spacing w:line="245" w:lineRule="auto"/>
        <w:rPr>
          <w:rFonts w:ascii="Arial"/>
          <w:color w:val="auto"/>
          <w:sz w:val="21"/>
          <w:highlight w:val="none"/>
        </w:rPr>
      </w:pPr>
    </w:p>
    <w:p w14:paraId="4220812D">
      <w:pPr>
        <w:spacing w:line="245" w:lineRule="auto"/>
        <w:rPr>
          <w:rFonts w:ascii="Arial"/>
          <w:color w:val="auto"/>
          <w:sz w:val="21"/>
          <w:highlight w:val="none"/>
        </w:rPr>
      </w:pPr>
    </w:p>
    <w:p w14:paraId="52237B02">
      <w:pPr>
        <w:spacing w:line="245" w:lineRule="auto"/>
        <w:rPr>
          <w:rFonts w:ascii="Arial"/>
          <w:color w:val="auto"/>
          <w:sz w:val="21"/>
          <w:highlight w:val="none"/>
        </w:rPr>
      </w:pPr>
    </w:p>
    <w:p w14:paraId="02E96BD7">
      <w:pPr>
        <w:spacing w:line="245" w:lineRule="auto"/>
        <w:rPr>
          <w:rFonts w:ascii="Arial"/>
          <w:color w:val="auto"/>
          <w:sz w:val="21"/>
          <w:highlight w:val="none"/>
        </w:rPr>
      </w:pPr>
    </w:p>
    <w:p w14:paraId="6F3B34C1">
      <w:pPr>
        <w:spacing w:line="245" w:lineRule="auto"/>
        <w:rPr>
          <w:rFonts w:ascii="Arial"/>
          <w:color w:val="auto"/>
          <w:sz w:val="21"/>
          <w:highlight w:val="none"/>
        </w:rPr>
      </w:pPr>
    </w:p>
    <w:p w14:paraId="6895BD84">
      <w:pPr>
        <w:spacing w:line="245" w:lineRule="auto"/>
        <w:rPr>
          <w:rFonts w:ascii="Arial"/>
          <w:color w:val="auto"/>
          <w:sz w:val="21"/>
          <w:highlight w:val="none"/>
        </w:rPr>
      </w:pPr>
    </w:p>
    <w:p w14:paraId="10128268">
      <w:pPr>
        <w:spacing w:line="245" w:lineRule="auto"/>
        <w:rPr>
          <w:rFonts w:ascii="Arial"/>
          <w:color w:val="auto"/>
          <w:sz w:val="21"/>
          <w:highlight w:val="none"/>
        </w:rPr>
      </w:pPr>
    </w:p>
    <w:p w14:paraId="666C6271">
      <w:pPr>
        <w:spacing w:line="245" w:lineRule="auto"/>
        <w:rPr>
          <w:rFonts w:ascii="Arial"/>
          <w:color w:val="auto"/>
          <w:sz w:val="21"/>
          <w:highlight w:val="none"/>
        </w:rPr>
      </w:pPr>
    </w:p>
    <w:p w14:paraId="6AAC539D">
      <w:pPr>
        <w:spacing w:line="245" w:lineRule="auto"/>
        <w:rPr>
          <w:rFonts w:ascii="Arial"/>
          <w:color w:val="auto"/>
          <w:sz w:val="21"/>
          <w:highlight w:val="none"/>
        </w:rPr>
      </w:pPr>
    </w:p>
    <w:p w14:paraId="23234A7C">
      <w:pPr>
        <w:spacing w:line="245" w:lineRule="auto"/>
        <w:rPr>
          <w:rFonts w:ascii="Arial"/>
          <w:color w:val="auto"/>
          <w:sz w:val="21"/>
          <w:highlight w:val="none"/>
        </w:rPr>
      </w:pPr>
    </w:p>
    <w:p w14:paraId="5F6A50D7">
      <w:pPr>
        <w:spacing w:line="245" w:lineRule="auto"/>
        <w:rPr>
          <w:rFonts w:ascii="Arial"/>
          <w:color w:val="auto"/>
          <w:sz w:val="21"/>
          <w:highlight w:val="none"/>
        </w:rPr>
      </w:pPr>
    </w:p>
    <w:p w14:paraId="3B13632A">
      <w:pPr>
        <w:spacing w:line="245" w:lineRule="auto"/>
        <w:rPr>
          <w:rFonts w:ascii="Arial"/>
          <w:color w:val="auto"/>
          <w:sz w:val="21"/>
          <w:highlight w:val="none"/>
        </w:rPr>
      </w:pPr>
    </w:p>
    <w:p w14:paraId="2D43F93A">
      <w:pPr>
        <w:spacing w:line="245" w:lineRule="auto"/>
        <w:rPr>
          <w:rFonts w:ascii="Arial"/>
          <w:color w:val="auto"/>
          <w:sz w:val="21"/>
          <w:highlight w:val="none"/>
        </w:rPr>
      </w:pPr>
    </w:p>
    <w:p w14:paraId="7625F3E6">
      <w:pPr>
        <w:spacing w:line="245" w:lineRule="auto"/>
        <w:rPr>
          <w:rFonts w:ascii="Arial"/>
          <w:color w:val="auto"/>
          <w:sz w:val="21"/>
          <w:highlight w:val="none"/>
        </w:rPr>
      </w:pPr>
    </w:p>
    <w:p w14:paraId="4BBB567E">
      <w:pPr>
        <w:spacing w:line="245" w:lineRule="auto"/>
        <w:rPr>
          <w:rFonts w:ascii="Arial"/>
          <w:color w:val="auto"/>
          <w:sz w:val="21"/>
          <w:highlight w:val="none"/>
        </w:rPr>
      </w:pPr>
    </w:p>
    <w:p w14:paraId="4DB5C3EC">
      <w:pPr>
        <w:spacing w:before="140" w:line="223" w:lineRule="auto"/>
        <w:ind w:left="2085"/>
        <w:outlineLvl w:val="0"/>
        <w:rPr>
          <w:rFonts w:ascii="宋体" w:hAnsi="宋体" w:eastAsia="宋体" w:cs="宋体"/>
          <w:color w:val="auto"/>
          <w:sz w:val="43"/>
          <w:szCs w:val="43"/>
          <w:highlight w:val="none"/>
        </w:rPr>
      </w:pPr>
      <w:bookmarkStart w:id="15" w:name="bookmark11"/>
      <w:bookmarkEnd w:id="15"/>
      <w:bookmarkStart w:id="16" w:name="_Toc12225"/>
      <w:bookmarkStart w:id="17" w:name="_Toc29551"/>
      <w:r>
        <w:rPr>
          <w:rFonts w:ascii="宋体" w:hAnsi="宋体" w:eastAsia="宋体" w:cs="宋体"/>
          <w:b/>
          <w:bCs/>
          <w:color w:val="auto"/>
          <w:sz w:val="43"/>
          <w:szCs w:val="43"/>
          <w:highlight w:val="none"/>
        </w:rPr>
        <w:t>第六章</w:t>
      </w:r>
      <w:r>
        <w:rPr>
          <w:rFonts w:ascii="宋体" w:hAnsi="宋体" w:eastAsia="宋体" w:cs="宋体"/>
          <w:color w:val="auto"/>
          <w:spacing w:val="49"/>
          <w:sz w:val="43"/>
          <w:szCs w:val="43"/>
          <w:highlight w:val="none"/>
        </w:rPr>
        <w:t xml:space="preserve"> </w:t>
      </w:r>
      <w:r>
        <w:rPr>
          <w:rFonts w:ascii="宋体" w:hAnsi="宋体" w:eastAsia="宋体" w:cs="宋体"/>
          <w:b/>
          <w:bCs/>
          <w:color w:val="auto"/>
          <w:sz w:val="43"/>
          <w:szCs w:val="43"/>
          <w:highlight w:val="none"/>
        </w:rPr>
        <w:t>响应文件格式</w:t>
      </w:r>
      <w:bookmarkEnd w:id="16"/>
      <w:bookmarkEnd w:id="17"/>
    </w:p>
    <w:p w14:paraId="26595975">
      <w:pPr>
        <w:spacing w:line="223" w:lineRule="auto"/>
        <w:rPr>
          <w:rFonts w:ascii="宋体" w:hAnsi="宋体" w:eastAsia="宋体" w:cs="宋体"/>
          <w:color w:val="auto"/>
          <w:sz w:val="43"/>
          <w:szCs w:val="43"/>
          <w:highlight w:val="none"/>
        </w:rPr>
        <w:sectPr>
          <w:footerReference r:id="rId34" w:type="default"/>
          <w:pgSz w:w="11900" w:h="16832"/>
          <w:pgMar w:top="1430" w:right="1784" w:bottom="1220" w:left="1784" w:header="0" w:footer="1060" w:gutter="0"/>
          <w:pgNumType w:fmt="decimal"/>
          <w:cols w:space="720" w:num="1"/>
        </w:sectPr>
      </w:pPr>
    </w:p>
    <w:p w14:paraId="06643C82">
      <w:pPr>
        <w:spacing w:before="63" w:line="225" w:lineRule="auto"/>
        <w:ind w:left="35"/>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一、资格证明文件格式</w:t>
      </w:r>
    </w:p>
    <w:p w14:paraId="2DCC3868">
      <w:pPr>
        <w:spacing w:before="159" w:line="225" w:lineRule="auto"/>
        <w:ind w:left="54"/>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1.资格证明文件封面格式：</w:t>
      </w:r>
    </w:p>
    <w:p w14:paraId="4065E53C">
      <w:pPr>
        <w:spacing w:line="309" w:lineRule="auto"/>
        <w:rPr>
          <w:rFonts w:ascii="Arial"/>
          <w:color w:val="auto"/>
          <w:sz w:val="21"/>
          <w:highlight w:val="none"/>
        </w:rPr>
      </w:pPr>
    </w:p>
    <w:p w14:paraId="67D95BFD">
      <w:pPr>
        <w:spacing w:line="309" w:lineRule="auto"/>
        <w:rPr>
          <w:rFonts w:ascii="Arial"/>
          <w:color w:val="auto"/>
          <w:sz w:val="21"/>
          <w:highlight w:val="none"/>
        </w:rPr>
      </w:pPr>
    </w:p>
    <w:p w14:paraId="13CB6888">
      <w:pPr>
        <w:spacing w:line="309" w:lineRule="auto"/>
        <w:rPr>
          <w:rFonts w:ascii="Arial"/>
          <w:color w:val="auto"/>
          <w:sz w:val="21"/>
          <w:highlight w:val="none"/>
        </w:rPr>
      </w:pPr>
    </w:p>
    <w:p w14:paraId="1C922EE3">
      <w:pPr>
        <w:spacing w:before="140" w:line="223" w:lineRule="auto"/>
        <w:ind w:left="2364"/>
        <w:rPr>
          <w:rFonts w:ascii="宋体" w:hAnsi="宋体" w:eastAsia="宋体" w:cs="宋体"/>
          <w:color w:val="auto"/>
          <w:sz w:val="43"/>
          <w:szCs w:val="43"/>
          <w:highlight w:val="none"/>
        </w:rPr>
      </w:pPr>
      <w:r>
        <w:rPr>
          <w:rFonts w:ascii="宋体" w:hAnsi="宋体" w:eastAsia="宋体" w:cs="宋体"/>
          <w:color w:val="auto"/>
          <w:spacing w:val="-20"/>
          <w:sz w:val="43"/>
          <w:szCs w:val="43"/>
          <w:highlight w:val="none"/>
        </w:rPr>
        <w:t>电</w:t>
      </w:r>
      <w:r>
        <w:rPr>
          <w:rFonts w:ascii="宋体" w:hAnsi="宋体" w:eastAsia="宋体" w:cs="宋体"/>
          <w:color w:val="auto"/>
          <w:spacing w:val="24"/>
          <w:sz w:val="43"/>
          <w:szCs w:val="43"/>
          <w:highlight w:val="none"/>
        </w:rPr>
        <w:t xml:space="preserve"> </w:t>
      </w:r>
      <w:r>
        <w:rPr>
          <w:rFonts w:ascii="宋体" w:hAnsi="宋体" w:eastAsia="宋体" w:cs="宋体"/>
          <w:color w:val="auto"/>
          <w:spacing w:val="-20"/>
          <w:sz w:val="43"/>
          <w:szCs w:val="43"/>
          <w:highlight w:val="none"/>
        </w:rPr>
        <w:t>子</w:t>
      </w:r>
      <w:r>
        <w:rPr>
          <w:rFonts w:ascii="宋体" w:hAnsi="宋体" w:eastAsia="宋体" w:cs="宋体"/>
          <w:color w:val="auto"/>
          <w:spacing w:val="46"/>
          <w:sz w:val="43"/>
          <w:szCs w:val="43"/>
          <w:highlight w:val="none"/>
        </w:rPr>
        <w:t xml:space="preserve"> </w:t>
      </w:r>
      <w:r>
        <w:rPr>
          <w:rFonts w:ascii="宋体" w:hAnsi="宋体" w:eastAsia="宋体" w:cs="宋体"/>
          <w:color w:val="auto"/>
          <w:spacing w:val="-20"/>
          <w:sz w:val="43"/>
          <w:szCs w:val="43"/>
          <w:highlight w:val="none"/>
        </w:rPr>
        <w:t>响</w:t>
      </w:r>
      <w:r>
        <w:rPr>
          <w:rFonts w:ascii="宋体" w:hAnsi="宋体" w:eastAsia="宋体" w:cs="宋体"/>
          <w:color w:val="auto"/>
          <w:spacing w:val="23"/>
          <w:sz w:val="43"/>
          <w:szCs w:val="43"/>
          <w:highlight w:val="none"/>
        </w:rPr>
        <w:t xml:space="preserve"> </w:t>
      </w:r>
      <w:r>
        <w:rPr>
          <w:rFonts w:ascii="宋体" w:hAnsi="宋体" w:eastAsia="宋体" w:cs="宋体"/>
          <w:color w:val="auto"/>
          <w:spacing w:val="-20"/>
          <w:sz w:val="43"/>
          <w:szCs w:val="43"/>
          <w:highlight w:val="none"/>
        </w:rPr>
        <w:t>应</w:t>
      </w:r>
      <w:r>
        <w:rPr>
          <w:rFonts w:ascii="宋体" w:hAnsi="宋体" w:eastAsia="宋体" w:cs="宋体"/>
          <w:color w:val="auto"/>
          <w:spacing w:val="27"/>
          <w:sz w:val="43"/>
          <w:szCs w:val="43"/>
          <w:highlight w:val="none"/>
        </w:rPr>
        <w:t xml:space="preserve"> </w:t>
      </w:r>
      <w:r>
        <w:rPr>
          <w:rFonts w:ascii="宋体" w:hAnsi="宋体" w:eastAsia="宋体" w:cs="宋体"/>
          <w:color w:val="auto"/>
          <w:spacing w:val="-20"/>
          <w:sz w:val="43"/>
          <w:szCs w:val="43"/>
          <w:highlight w:val="none"/>
        </w:rPr>
        <w:t>文</w:t>
      </w:r>
      <w:r>
        <w:rPr>
          <w:rFonts w:ascii="宋体" w:hAnsi="宋体" w:eastAsia="宋体" w:cs="宋体"/>
          <w:color w:val="auto"/>
          <w:spacing w:val="21"/>
          <w:sz w:val="43"/>
          <w:szCs w:val="43"/>
          <w:highlight w:val="none"/>
        </w:rPr>
        <w:t xml:space="preserve"> </w:t>
      </w:r>
      <w:r>
        <w:rPr>
          <w:rFonts w:ascii="宋体" w:hAnsi="宋体" w:eastAsia="宋体" w:cs="宋体"/>
          <w:color w:val="auto"/>
          <w:spacing w:val="-20"/>
          <w:sz w:val="43"/>
          <w:szCs w:val="43"/>
          <w:highlight w:val="none"/>
        </w:rPr>
        <w:t>件</w:t>
      </w:r>
    </w:p>
    <w:p w14:paraId="476F50D6">
      <w:pPr>
        <w:spacing w:line="429" w:lineRule="auto"/>
        <w:rPr>
          <w:rFonts w:ascii="Arial"/>
          <w:color w:val="auto"/>
          <w:sz w:val="21"/>
          <w:highlight w:val="none"/>
        </w:rPr>
      </w:pPr>
    </w:p>
    <w:p w14:paraId="0D11B822">
      <w:pPr>
        <w:spacing w:before="184" w:line="215" w:lineRule="auto"/>
        <w:ind w:left="1756"/>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1"/>
          <w:sz w:val="43"/>
          <w:szCs w:val="43"/>
          <w:highlight w:val="none"/>
        </w:rPr>
        <w:t>资</w:t>
      </w:r>
      <w:r>
        <w:rPr>
          <w:rFonts w:ascii="微软雅黑" w:hAnsi="微软雅黑" w:eastAsia="微软雅黑" w:cs="微软雅黑"/>
          <w:color w:val="auto"/>
          <w:spacing w:val="23"/>
          <w:sz w:val="43"/>
          <w:szCs w:val="43"/>
          <w:highlight w:val="none"/>
        </w:rPr>
        <w:t xml:space="preserve">   </w:t>
      </w:r>
      <w:r>
        <w:rPr>
          <w:rFonts w:ascii="微软雅黑" w:hAnsi="微软雅黑" w:eastAsia="微软雅黑" w:cs="微软雅黑"/>
          <w:color w:val="auto"/>
          <w:spacing w:val="-1"/>
          <w:sz w:val="43"/>
          <w:szCs w:val="43"/>
          <w:highlight w:val="none"/>
        </w:rPr>
        <w:t>格</w:t>
      </w:r>
      <w:r>
        <w:rPr>
          <w:rFonts w:ascii="微软雅黑" w:hAnsi="微软雅黑" w:eastAsia="微软雅黑" w:cs="微软雅黑"/>
          <w:color w:val="auto"/>
          <w:spacing w:val="21"/>
          <w:sz w:val="43"/>
          <w:szCs w:val="43"/>
          <w:highlight w:val="none"/>
        </w:rPr>
        <w:t xml:space="preserve">   </w:t>
      </w:r>
      <w:r>
        <w:rPr>
          <w:rFonts w:ascii="微软雅黑" w:hAnsi="微软雅黑" w:eastAsia="微软雅黑" w:cs="微软雅黑"/>
          <w:color w:val="auto"/>
          <w:spacing w:val="-1"/>
          <w:sz w:val="43"/>
          <w:szCs w:val="43"/>
          <w:highlight w:val="none"/>
        </w:rPr>
        <w:t>证</w:t>
      </w:r>
      <w:r>
        <w:rPr>
          <w:rFonts w:ascii="微软雅黑" w:hAnsi="微软雅黑" w:eastAsia="微软雅黑" w:cs="微软雅黑"/>
          <w:color w:val="auto"/>
          <w:spacing w:val="27"/>
          <w:sz w:val="43"/>
          <w:szCs w:val="43"/>
          <w:highlight w:val="none"/>
        </w:rPr>
        <w:t xml:space="preserve">   </w:t>
      </w:r>
      <w:r>
        <w:rPr>
          <w:rFonts w:ascii="微软雅黑" w:hAnsi="微软雅黑" w:eastAsia="微软雅黑" w:cs="微软雅黑"/>
          <w:color w:val="auto"/>
          <w:spacing w:val="-1"/>
          <w:sz w:val="43"/>
          <w:szCs w:val="43"/>
          <w:highlight w:val="none"/>
        </w:rPr>
        <w:t>明</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文</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件</w:t>
      </w:r>
    </w:p>
    <w:p w14:paraId="3848335D">
      <w:pPr>
        <w:spacing w:line="268" w:lineRule="auto"/>
        <w:rPr>
          <w:rFonts w:ascii="Arial"/>
          <w:color w:val="auto"/>
          <w:sz w:val="21"/>
          <w:highlight w:val="none"/>
        </w:rPr>
      </w:pPr>
    </w:p>
    <w:p w14:paraId="6F3CF81B">
      <w:pPr>
        <w:spacing w:line="268" w:lineRule="auto"/>
        <w:rPr>
          <w:rFonts w:ascii="Arial"/>
          <w:color w:val="auto"/>
          <w:sz w:val="21"/>
          <w:highlight w:val="none"/>
        </w:rPr>
      </w:pPr>
    </w:p>
    <w:p w14:paraId="0EC3EA79">
      <w:pPr>
        <w:spacing w:line="268" w:lineRule="auto"/>
        <w:rPr>
          <w:rFonts w:ascii="Arial"/>
          <w:color w:val="auto"/>
          <w:sz w:val="21"/>
          <w:highlight w:val="none"/>
        </w:rPr>
      </w:pPr>
    </w:p>
    <w:p w14:paraId="6EF1A210">
      <w:pPr>
        <w:spacing w:line="268" w:lineRule="auto"/>
        <w:rPr>
          <w:rFonts w:ascii="Arial"/>
          <w:color w:val="auto"/>
          <w:sz w:val="21"/>
          <w:highlight w:val="none"/>
        </w:rPr>
      </w:pPr>
    </w:p>
    <w:p w14:paraId="518ED771">
      <w:pPr>
        <w:spacing w:line="269" w:lineRule="auto"/>
        <w:rPr>
          <w:rFonts w:ascii="Arial"/>
          <w:color w:val="auto"/>
          <w:sz w:val="21"/>
          <w:highlight w:val="none"/>
        </w:rPr>
      </w:pPr>
    </w:p>
    <w:p w14:paraId="005C1F2A">
      <w:pPr>
        <w:spacing w:line="269" w:lineRule="auto"/>
        <w:rPr>
          <w:rFonts w:ascii="Arial"/>
          <w:color w:val="auto"/>
          <w:sz w:val="21"/>
          <w:highlight w:val="none"/>
        </w:rPr>
      </w:pPr>
    </w:p>
    <w:p w14:paraId="1B5AD95D">
      <w:pPr>
        <w:spacing w:line="269" w:lineRule="auto"/>
        <w:rPr>
          <w:rFonts w:ascii="Arial"/>
          <w:color w:val="auto"/>
          <w:sz w:val="21"/>
          <w:highlight w:val="none"/>
        </w:rPr>
      </w:pPr>
    </w:p>
    <w:p w14:paraId="03CCF2A8">
      <w:pPr>
        <w:spacing w:line="269" w:lineRule="auto"/>
        <w:rPr>
          <w:rFonts w:ascii="Arial"/>
          <w:color w:val="auto"/>
          <w:sz w:val="21"/>
          <w:highlight w:val="none"/>
        </w:rPr>
      </w:pPr>
    </w:p>
    <w:p w14:paraId="37691A35">
      <w:pPr>
        <w:spacing w:before="102" w:line="226"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项目名称：</w:t>
      </w:r>
    </w:p>
    <w:p w14:paraId="17564F11">
      <w:pPr>
        <w:spacing w:line="293" w:lineRule="auto"/>
        <w:rPr>
          <w:rFonts w:ascii="Arial"/>
          <w:color w:val="auto"/>
          <w:sz w:val="21"/>
          <w:highlight w:val="none"/>
        </w:rPr>
      </w:pPr>
    </w:p>
    <w:p w14:paraId="6A7DC4A8">
      <w:pPr>
        <w:spacing w:line="294" w:lineRule="auto"/>
        <w:rPr>
          <w:rFonts w:ascii="Arial"/>
          <w:color w:val="auto"/>
          <w:sz w:val="21"/>
          <w:highlight w:val="none"/>
        </w:rPr>
      </w:pPr>
    </w:p>
    <w:p w14:paraId="10345879">
      <w:pPr>
        <w:spacing w:before="101" w:line="225" w:lineRule="auto"/>
        <w:ind w:left="755"/>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项目编号：</w:t>
      </w:r>
    </w:p>
    <w:p w14:paraId="6E609062">
      <w:pPr>
        <w:spacing w:line="259" w:lineRule="auto"/>
        <w:rPr>
          <w:rFonts w:ascii="Arial"/>
          <w:color w:val="auto"/>
          <w:sz w:val="21"/>
          <w:highlight w:val="none"/>
        </w:rPr>
      </w:pPr>
    </w:p>
    <w:p w14:paraId="5F54F9F6">
      <w:pPr>
        <w:spacing w:line="260" w:lineRule="auto"/>
        <w:rPr>
          <w:rFonts w:ascii="Arial"/>
          <w:color w:val="auto"/>
          <w:sz w:val="21"/>
          <w:highlight w:val="none"/>
        </w:rPr>
      </w:pPr>
    </w:p>
    <w:p w14:paraId="525B313E">
      <w:pPr>
        <w:spacing w:before="101" w:line="224" w:lineRule="auto"/>
        <w:ind w:left="750"/>
        <w:rPr>
          <w:rFonts w:ascii="宋体" w:hAnsi="宋体" w:eastAsia="宋体" w:cs="宋体"/>
          <w:color w:val="auto"/>
          <w:sz w:val="31"/>
          <w:szCs w:val="31"/>
          <w:highlight w:val="none"/>
        </w:rPr>
      </w:pPr>
      <w:r>
        <w:rPr>
          <w:rFonts w:ascii="宋体" w:hAnsi="宋体" w:eastAsia="宋体" w:cs="宋体"/>
          <w:color w:val="auto"/>
          <w:spacing w:val="-1"/>
          <w:sz w:val="31"/>
          <w:szCs w:val="31"/>
          <w:highlight w:val="none"/>
        </w:rPr>
        <w:t>供应商名称：</w:t>
      </w:r>
    </w:p>
    <w:p w14:paraId="07C80789">
      <w:pPr>
        <w:spacing w:line="246" w:lineRule="auto"/>
        <w:rPr>
          <w:rFonts w:ascii="Arial"/>
          <w:color w:val="auto"/>
          <w:sz w:val="21"/>
          <w:highlight w:val="none"/>
        </w:rPr>
      </w:pPr>
    </w:p>
    <w:p w14:paraId="58ACE6CD">
      <w:pPr>
        <w:spacing w:line="247" w:lineRule="auto"/>
        <w:rPr>
          <w:rFonts w:ascii="Arial"/>
          <w:color w:val="auto"/>
          <w:sz w:val="21"/>
          <w:highlight w:val="none"/>
        </w:rPr>
      </w:pPr>
    </w:p>
    <w:p w14:paraId="7F1F139C">
      <w:pPr>
        <w:spacing w:line="247" w:lineRule="auto"/>
        <w:rPr>
          <w:rFonts w:ascii="Arial"/>
          <w:color w:val="auto"/>
          <w:sz w:val="21"/>
          <w:highlight w:val="none"/>
        </w:rPr>
      </w:pPr>
    </w:p>
    <w:p w14:paraId="2B45807C">
      <w:pPr>
        <w:spacing w:line="247" w:lineRule="auto"/>
        <w:rPr>
          <w:rFonts w:ascii="Arial"/>
          <w:color w:val="auto"/>
          <w:sz w:val="21"/>
          <w:highlight w:val="none"/>
        </w:rPr>
      </w:pPr>
    </w:p>
    <w:p w14:paraId="4CABCBE8">
      <w:pPr>
        <w:spacing w:line="247" w:lineRule="auto"/>
        <w:rPr>
          <w:rFonts w:ascii="Arial"/>
          <w:color w:val="auto"/>
          <w:sz w:val="21"/>
          <w:highlight w:val="none"/>
        </w:rPr>
      </w:pPr>
    </w:p>
    <w:p w14:paraId="4E648236">
      <w:pPr>
        <w:spacing w:line="247" w:lineRule="auto"/>
        <w:rPr>
          <w:rFonts w:ascii="Arial"/>
          <w:color w:val="auto"/>
          <w:sz w:val="21"/>
          <w:highlight w:val="none"/>
        </w:rPr>
      </w:pPr>
    </w:p>
    <w:p w14:paraId="2AE3350A">
      <w:pPr>
        <w:spacing w:line="247" w:lineRule="auto"/>
        <w:rPr>
          <w:rFonts w:ascii="Arial"/>
          <w:color w:val="auto"/>
          <w:sz w:val="21"/>
          <w:highlight w:val="none"/>
        </w:rPr>
      </w:pPr>
    </w:p>
    <w:p w14:paraId="6B40B12A">
      <w:pPr>
        <w:spacing w:line="247" w:lineRule="auto"/>
        <w:rPr>
          <w:rFonts w:ascii="Arial"/>
          <w:color w:val="auto"/>
          <w:sz w:val="21"/>
          <w:highlight w:val="none"/>
        </w:rPr>
      </w:pPr>
    </w:p>
    <w:p w14:paraId="16755502">
      <w:pPr>
        <w:spacing w:before="102" w:line="225" w:lineRule="auto"/>
        <w:ind w:left="3058"/>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1"/>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0079B638">
      <w:pPr>
        <w:spacing w:line="225" w:lineRule="auto"/>
        <w:rPr>
          <w:rFonts w:ascii="宋体" w:hAnsi="宋体" w:eastAsia="宋体" w:cs="宋体"/>
          <w:color w:val="auto"/>
          <w:sz w:val="31"/>
          <w:szCs w:val="31"/>
          <w:highlight w:val="none"/>
        </w:rPr>
        <w:sectPr>
          <w:footerReference r:id="rId35" w:type="default"/>
          <w:pgSz w:w="11900" w:h="16832"/>
          <w:pgMar w:top="1421" w:right="1784" w:bottom="1220" w:left="1784" w:header="0" w:footer="1060" w:gutter="0"/>
          <w:pgNumType w:fmt="decimal"/>
          <w:cols w:space="720" w:num="1"/>
        </w:sectPr>
      </w:pPr>
    </w:p>
    <w:p w14:paraId="0A488C58">
      <w:pPr>
        <w:spacing w:before="126" w:line="225" w:lineRule="auto"/>
        <w:ind w:left="175"/>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2.资格证明文件目录</w:t>
      </w:r>
    </w:p>
    <w:p w14:paraId="1CA80AB5">
      <w:pPr>
        <w:spacing w:line="261" w:lineRule="auto"/>
        <w:rPr>
          <w:rFonts w:ascii="Arial"/>
          <w:color w:val="auto"/>
          <w:sz w:val="21"/>
          <w:highlight w:val="none"/>
        </w:rPr>
      </w:pPr>
    </w:p>
    <w:p w14:paraId="389686BB">
      <w:pPr>
        <w:spacing w:before="101" w:line="357" w:lineRule="auto"/>
        <w:ind w:left="43" w:right="24" w:firstLine="632"/>
        <w:rPr>
          <w:rFonts w:ascii="宋体" w:hAnsi="宋体" w:eastAsia="宋体" w:cs="宋体"/>
          <w:color w:val="auto"/>
          <w:sz w:val="31"/>
          <w:szCs w:val="31"/>
          <w:highlight w:val="none"/>
        </w:rPr>
      </w:pPr>
      <w:r>
        <w:rPr>
          <w:rFonts w:ascii="宋体" w:hAnsi="宋体" w:eastAsia="宋体" w:cs="宋体"/>
          <w:color w:val="auto"/>
          <w:spacing w:val="21"/>
          <w:sz w:val="31"/>
          <w:szCs w:val="31"/>
          <w:highlight w:val="none"/>
        </w:rPr>
        <w:t>根据磋商文件规定及供应商提供的材料自行编写目录</w:t>
      </w:r>
      <w:r>
        <w:rPr>
          <w:rFonts w:ascii="宋体" w:hAnsi="宋体" w:eastAsia="宋体" w:cs="宋体"/>
          <w:color w:val="auto"/>
          <w:spacing w:val="15"/>
          <w:sz w:val="31"/>
          <w:szCs w:val="31"/>
          <w:highlight w:val="none"/>
        </w:rPr>
        <w:t xml:space="preserve"> </w:t>
      </w:r>
      <w:r>
        <w:rPr>
          <w:rFonts w:ascii="宋体" w:hAnsi="宋体" w:eastAsia="宋体" w:cs="宋体"/>
          <w:color w:val="auto"/>
          <w:spacing w:val="2"/>
          <w:sz w:val="31"/>
          <w:szCs w:val="31"/>
          <w:highlight w:val="none"/>
        </w:rPr>
        <w:t>（部分格式后附）。</w:t>
      </w:r>
    </w:p>
    <w:p w14:paraId="16F22E6B">
      <w:pPr>
        <w:spacing w:line="357" w:lineRule="auto"/>
        <w:rPr>
          <w:rFonts w:ascii="宋体" w:hAnsi="宋体" w:eastAsia="宋体" w:cs="宋体"/>
          <w:color w:val="auto"/>
          <w:sz w:val="31"/>
          <w:szCs w:val="31"/>
          <w:highlight w:val="none"/>
        </w:rPr>
        <w:sectPr>
          <w:footerReference r:id="rId36" w:type="default"/>
          <w:pgSz w:w="11900" w:h="16832"/>
          <w:pgMar w:top="1430" w:right="1784" w:bottom="1220" w:left="1784" w:header="0" w:footer="1060" w:gutter="0"/>
          <w:pgNumType w:fmt="decimal"/>
          <w:cols w:space="720" w:num="1"/>
        </w:sectPr>
      </w:pPr>
    </w:p>
    <w:p w14:paraId="0BDA8828">
      <w:pPr>
        <w:spacing w:line="264" w:lineRule="auto"/>
        <w:rPr>
          <w:rFonts w:ascii="Arial"/>
          <w:color w:val="auto"/>
          <w:sz w:val="21"/>
          <w:highlight w:val="none"/>
        </w:rPr>
      </w:pPr>
    </w:p>
    <w:p w14:paraId="4F756B39">
      <w:pPr>
        <w:spacing w:line="264" w:lineRule="auto"/>
        <w:rPr>
          <w:rFonts w:ascii="Arial"/>
          <w:color w:val="auto"/>
          <w:sz w:val="21"/>
          <w:highlight w:val="none"/>
        </w:rPr>
      </w:pPr>
    </w:p>
    <w:p w14:paraId="1F8BC4AB">
      <w:pPr>
        <w:spacing w:before="101" w:line="593" w:lineRule="auto"/>
        <w:ind w:left="3164" w:right="2674" w:hanging="482"/>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供应商直接控股、管理关系信息表</w:t>
      </w:r>
      <w:r>
        <w:rPr>
          <w:rFonts w:ascii="宋体" w:hAnsi="宋体" w:eastAsia="宋体" w:cs="宋体"/>
          <w:color w:val="auto"/>
          <w:spacing w:val="13"/>
          <w:sz w:val="31"/>
          <w:szCs w:val="31"/>
          <w:highlight w:val="none"/>
        </w:rPr>
        <w:t xml:space="preserve"> </w:t>
      </w:r>
      <w:r>
        <w:rPr>
          <w:rFonts w:ascii="宋体" w:hAnsi="宋体" w:eastAsia="宋体" w:cs="宋体"/>
          <w:b/>
          <w:bCs/>
          <w:color w:val="auto"/>
          <w:spacing w:val="6"/>
          <w:sz w:val="31"/>
          <w:szCs w:val="31"/>
          <w:highlight w:val="none"/>
        </w:rPr>
        <w:t>供应商直接控股股东信息表</w:t>
      </w:r>
    </w:p>
    <w:p w14:paraId="45BF9117">
      <w:pPr>
        <w:spacing w:line="71" w:lineRule="exact"/>
        <w:rPr>
          <w:color w:val="auto"/>
          <w:highlight w:val="none"/>
        </w:rPr>
      </w:pPr>
    </w:p>
    <w:tbl>
      <w:tblPr>
        <w:tblStyle w:val="16"/>
        <w:tblW w:w="101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2656"/>
        <w:gridCol w:w="1454"/>
        <w:gridCol w:w="4285"/>
        <w:gridCol w:w="876"/>
      </w:tblGrid>
      <w:tr w14:paraId="087BB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883" w:type="dxa"/>
            <w:vAlign w:val="top"/>
          </w:tcPr>
          <w:p w14:paraId="6E8FB327">
            <w:pPr>
              <w:spacing w:line="313" w:lineRule="auto"/>
              <w:rPr>
                <w:rFonts w:ascii="Arial"/>
                <w:color w:val="auto"/>
                <w:sz w:val="21"/>
                <w:highlight w:val="none"/>
              </w:rPr>
            </w:pPr>
          </w:p>
          <w:p w14:paraId="3AE43491">
            <w:pPr>
              <w:pStyle w:val="17"/>
              <w:spacing w:before="78" w:line="221" w:lineRule="auto"/>
              <w:ind w:left="207"/>
              <w:rPr>
                <w:color w:val="auto"/>
                <w:sz w:val="24"/>
                <w:szCs w:val="24"/>
                <w:highlight w:val="none"/>
              </w:rPr>
            </w:pPr>
            <w:r>
              <w:rPr>
                <w:b/>
                <w:bCs/>
                <w:color w:val="auto"/>
                <w:spacing w:val="-5"/>
                <w:sz w:val="24"/>
                <w:szCs w:val="24"/>
                <w:highlight w:val="none"/>
              </w:rPr>
              <w:t>序号</w:t>
            </w:r>
          </w:p>
        </w:tc>
        <w:tc>
          <w:tcPr>
            <w:tcW w:w="2656" w:type="dxa"/>
            <w:vAlign w:val="top"/>
          </w:tcPr>
          <w:p w14:paraId="441E769D">
            <w:pPr>
              <w:spacing w:line="313" w:lineRule="auto"/>
              <w:rPr>
                <w:rFonts w:ascii="Arial"/>
                <w:color w:val="auto"/>
                <w:sz w:val="21"/>
                <w:highlight w:val="none"/>
              </w:rPr>
            </w:pPr>
          </w:p>
          <w:p w14:paraId="60492BA8">
            <w:pPr>
              <w:pStyle w:val="17"/>
              <w:spacing w:before="78" w:line="220" w:lineRule="auto"/>
              <w:ind w:left="371"/>
              <w:rPr>
                <w:color w:val="auto"/>
                <w:sz w:val="24"/>
                <w:szCs w:val="24"/>
                <w:highlight w:val="none"/>
              </w:rPr>
            </w:pPr>
            <w:r>
              <w:rPr>
                <w:b/>
                <w:bCs/>
                <w:color w:val="auto"/>
                <w:spacing w:val="-4"/>
                <w:sz w:val="24"/>
                <w:szCs w:val="24"/>
                <w:highlight w:val="none"/>
              </w:rPr>
              <w:t>直接控股股东名称</w:t>
            </w:r>
          </w:p>
        </w:tc>
        <w:tc>
          <w:tcPr>
            <w:tcW w:w="1454" w:type="dxa"/>
            <w:vAlign w:val="top"/>
          </w:tcPr>
          <w:p w14:paraId="55997A30">
            <w:pPr>
              <w:pStyle w:val="17"/>
              <w:spacing w:before="158" w:line="221" w:lineRule="auto"/>
              <w:ind w:left="271"/>
              <w:rPr>
                <w:color w:val="auto"/>
                <w:sz w:val="24"/>
                <w:szCs w:val="24"/>
                <w:highlight w:val="none"/>
              </w:rPr>
            </w:pPr>
            <w:r>
              <w:rPr>
                <w:b/>
                <w:bCs/>
                <w:color w:val="auto"/>
                <w:spacing w:val="-9"/>
                <w:sz w:val="24"/>
                <w:szCs w:val="24"/>
                <w:highlight w:val="none"/>
              </w:rPr>
              <w:t>出资比例</w:t>
            </w:r>
          </w:p>
          <w:p w14:paraId="01CB4B92">
            <w:pPr>
              <w:pStyle w:val="17"/>
              <w:spacing w:before="181" w:line="222" w:lineRule="auto"/>
              <w:ind w:left="593"/>
              <w:rPr>
                <w:color w:val="auto"/>
                <w:sz w:val="24"/>
                <w:szCs w:val="24"/>
                <w:highlight w:val="none"/>
              </w:rPr>
            </w:pPr>
            <w:r>
              <w:rPr>
                <w:b/>
                <w:bCs/>
                <w:color w:val="auto"/>
                <w:spacing w:val="-15"/>
                <w:w w:val="96"/>
                <w:sz w:val="24"/>
                <w:szCs w:val="24"/>
                <w:highlight w:val="none"/>
              </w:rPr>
              <w:t>(%)</w:t>
            </w:r>
          </w:p>
        </w:tc>
        <w:tc>
          <w:tcPr>
            <w:tcW w:w="4285" w:type="dxa"/>
            <w:vAlign w:val="top"/>
          </w:tcPr>
          <w:p w14:paraId="1051C577">
            <w:pPr>
              <w:spacing w:line="313" w:lineRule="auto"/>
              <w:rPr>
                <w:rFonts w:ascii="Arial"/>
                <w:color w:val="auto"/>
                <w:sz w:val="21"/>
                <w:highlight w:val="none"/>
              </w:rPr>
            </w:pPr>
          </w:p>
          <w:p w14:paraId="49FC99EE">
            <w:pPr>
              <w:pStyle w:val="17"/>
              <w:spacing w:before="78" w:line="219" w:lineRule="auto"/>
              <w:ind w:left="349"/>
              <w:rPr>
                <w:color w:val="auto"/>
                <w:sz w:val="24"/>
                <w:szCs w:val="24"/>
                <w:highlight w:val="none"/>
              </w:rPr>
            </w:pPr>
            <w:r>
              <w:rPr>
                <w:b/>
                <w:bCs/>
                <w:color w:val="auto"/>
                <w:spacing w:val="-3"/>
                <w:sz w:val="24"/>
                <w:szCs w:val="24"/>
                <w:highlight w:val="none"/>
              </w:rPr>
              <w:t>身份证号码或者统一社会信用代码</w:t>
            </w:r>
          </w:p>
        </w:tc>
        <w:tc>
          <w:tcPr>
            <w:tcW w:w="876" w:type="dxa"/>
            <w:vAlign w:val="top"/>
          </w:tcPr>
          <w:p w14:paraId="717C2651">
            <w:pPr>
              <w:spacing w:line="313" w:lineRule="auto"/>
              <w:rPr>
                <w:rFonts w:ascii="Arial"/>
                <w:color w:val="auto"/>
                <w:sz w:val="21"/>
                <w:highlight w:val="none"/>
              </w:rPr>
            </w:pPr>
          </w:p>
          <w:p w14:paraId="38AF0F01">
            <w:pPr>
              <w:pStyle w:val="17"/>
              <w:spacing w:before="78" w:line="221" w:lineRule="auto"/>
              <w:ind w:left="206"/>
              <w:rPr>
                <w:color w:val="auto"/>
                <w:sz w:val="24"/>
                <w:szCs w:val="24"/>
                <w:highlight w:val="none"/>
              </w:rPr>
            </w:pPr>
            <w:r>
              <w:rPr>
                <w:b/>
                <w:bCs/>
                <w:color w:val="auto"/>
                <w:spacing w:val="-5"/>
                <w:sz w:val="24"/>
                <w:szCs w:val="24"/>
                <w:highlight w:val="none"/>
              </w:rPr>
              <w:t>备注</w:t>
            </w:r>
          </w:p>
        </w:tc>
      </w:tr>
      <w:tr w14:paraId="234DE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883" w:type="dxa"/>
            <w:vAlign w:val="top"/>
          </w:tcPr>
          <w:p w14:paraId="3ED049CC">
            <w:pPr>
              <w:pStyle w:val="17"/>
              <w:spacing w:before="194" w:line="182" w:lineRule="auto"/>
              <w:ind w:left="406"/>
              <w:rPr>
                <w:color w:val="auto"/>
                <w:sz w:val="24"/>
                <w:szCs w:val="24"/>
                <w:highlight w:val="none"/>
              </w:rPr>
            </w:pPr>
            <w:r>
              <w:rPr>
                <w:color w:val="auto"/>
                <w:sz w:val="24"/>
                <w:szCs w:val="24"/>
                <w:highlight w:val="none"/>
              </w:rPr>
              <w:t>1</w:t>
            </w:r>
          </w:p>
        </w:tc>
        <w:tc>
          <w:tcPr>
            <w:tcW w:w="2656" w:type="dxa"/>
            <w:vAlign w:val="top"/>
          </w:tcPr>
          <w:p w14:paraId="695365E7">
            <w:pPr>
              <w:rPr>
                <w:rFonts w:ascii="Arial"/>
                <w:color w:val="auto"/>
                <w:sz w:val="21"/>
                <w:highlight w:val="none"/>
              </w:rPr>
            </w:pPr>
          </w:p>
        </w:tc>
        <w:tc>
          <w:tcPr>
            <w:tcW w:w="1454" w:type="dxa"/>
            <w:vAlign w:val="top"/>
          </w:tcPr>
          <w:p w14:paraId="653AC621">
            <w:pPr>
              <w:rPr>
                <w:rFonts w:ascii="Arial"/>
                <w:color w:val="auto"/>
                <w:sz w:val="21"/>
                <w:highlight w:val="none"/>
              </w:rPr>
            </w:pPr>
          </w:p>
        </w:tc>
        <w:tc>
          <w:tcPr>
            <w:tcW w:w="4285" w:type="dxa"/>
            <w:vAlign w:val="top"/>
          </w:tcPr>
          <w:p w14:paraId="113FC9A4">
            <w:pPr>
              <w:rPr>
                <w:rFonts w:ascii="Arial"/>
                <w:color w:val="auto"/>
                <w:sz w:val="21"/>
                <w:highlight w:val="none"/>
              </w:rPr>
            </w:pPr>
          </w:p>
        </w:tc>
        <w:tc>
          <w:tcPr>
            <w:tcW w:w="876" w:type="dxa"/>
            <w:vAlign w:val="top"/>
          </w:tcPr>
          <w:p w14:paraId="12FA4A39">
            <w:pPr>
              <w:rPr>
                <w:rFonts w:ascii="Arial"/>
                <w:color w:val="auto"/>
                <w:sz w:val="21"/>
                <w:highlight w:val="none"/>
              </w:rPr>
            </w:pPr>
          </w:p>
        </w:tc>
      </w:tr>
      <w:tr w14:paraId="3CA50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83" w:type="dxa"/>
            <w:vAlign w:val="top"/>
          </w:tcPr>
          <w:p w14:paraId="3F918AED">
            <w:pPr>
              <w:pStyle w:val="17"/>
              <w:spacing w:before="197" w:line="181" w:lineRule="auto"/>
              <w:ind w:left="391"/>
              <w:rPr>
                <w:color w:val="auto"/>
                <w:sz w:val="24"/>
                <w:szCs w:val="24"/>
                <w:highlight w:val="none"/>
              </w:rPr>
            </w:pPr>
            <w:r>
              <w:rPr>
                <w:color w:val="auto"/>
                <w:sz w:val="24"/>
                <w:szCs w:val="24"/>
                <w:highlight w:val="none"/>
              </w:rPr>
              <w:t>2</w:t>
            </w:r>
          </w:p>
        </w:tc>
        <w:tc>
          <w:tcPr>
            <w:tcW w:w="2656" w:type="dxa"/>
            <w:vAlign w:val="top"/>
          </w:tcPr>
          <w:p w14:paraId="392272A2">
            <w:pPr>
              <w:rPr>
                <w:rFonts w:ascii="Arial"/>
                <w:color w:val="auto"/>
                <w:sz w:val="21"/>
                <w:highlight w:val="none"/>
              </w:rPr>
            </w:pPr>
          </w:p>
        </w:tc>
        <w:tc>
          <w:tcPr>
            <w:tcW w:w="1454" w:type="dxa"/>
            <w:vAlign w:val="top"/>
          </w:tcPr>
          <w:p w14:paraId="452804B1">
            <w:pPr>
              <w:rPr>
                <w:rFonts w:ascii="Arial"/>
                <w:color w:val="auto"/>
                <w:sz w:val="21"/>
                <w:highlight w:val="none"/>
              </w:rPr>
            </w:pPr>
          </w:p>
        </w:tc>
        <w:tc>
          <w:tcPr>
            <w:tcW w:w="4285" w:type="dxa"/>
            <w:vAlign w:val="top"/>
          </w:tcPr>
          <w:p w14:paraId="1D5C1107">
            <w:pPr>
              <w:rPr>
                <w:rFonts w:ascii="Arial"/>
                <w:color w:val="auto"/>
                <w:sz w:val="21"/>
                <w:highlight w:val="none"/>
              </w:rPr>
            </w:pPr>
          </w:p>
        </w:tc>
        <w:tc>
          <w:tcPr>
            <w:tcW w:w="876" w:type="dxa"/>
            <w:vAlign w:val="top"/>
          </w:tcPr>
          <w:p w14:paraId="7AA79261">
            <w:pPr>
              <w:rPr>
                <w:rFonts w:ascii="Arial"/>
                <w:color w:val="auto"/>
                <w:sz w:val="21"/>
                <w:highlight w:val="none"/>
              </w:rPr>
            </w:pPr>
          </w:p>
        </w:tc>
      </w:tr>
      <w:tr w14:paraId="08006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83" w:type="dxa"/>
            <w:vAlign w:val="top"/>
          </w:tcPr>
          <w:p w14:paraId="0976DFC9">
            <w:pPr>
              <w:pStyle w:val="17"/>
              <w:spacing w:before="198" w:line="181" w:lineRule="auto"/>
              <w:ind w:left="393"/>
              <w:rPr>
                <w:color w:val="auto"/>
                <w:sz w:val="24"/>
                <w:szCs w:val="24"/>
                <w:highlight w:val="none"/>
              </w:rPr>
            </w:pPr>
            <w:r>
              <w:rPr>
                <w:color w:val="auto"/>
                <w:sz w:val="24"/>
                <w:szCs w:val="24"/>
                <w:highlight w:val="none"/>
              </w:rPr>
              <w:t>3</w:t>
            </w:r>
          </w:p>
        </w:tc>
        <w:tc>
          <w:tcPr>
            <w:tcW w:w="2656" w:type="dxa"/>
            <w:vAlign w:val="top"/>
          </w:tcPr>
          <w:p w14:paraId="6E1D8FE2">
            <w:pPr>
              <w:rPr>
                <w:rFonts w:ascii="Arial"/>
                <w:color w:val="auto"/>
                <w:sz w:val="21"/>
                <w:highlight w:val="none"/>
              </w:rPr>
            </w:pPr>
          </w:p>
        </w:tc>
        <w:tc>
          <w:tcPr>
            <w:tcW w:w="1454" w:type="dxa"/>
            <w:vAlign w:val="top"/>
          </w:tcPr>
          <w:p w14:paraId="37F172DB">
            <w:pPr>
              <w:rPr>
                <w:rFonts w:ascii="Arial"/>
                <w:color w:val="auto"/>
                <w:sz w:val="21"/>
                <w:highlight w:val="none"/>
              </w:rPr>
            </w:pPr>
          </w:p>
        </w:tc>
        <w:tc>
          <w:tcPr>
            <w:tcW w:w="4285" w:type="dxa"/>
            <w:vAlign w:val="top"/>
          </w:tcPr>
          <w:p w14:paraId="30B82749">
            <w:pPr>
              <w:rPr>
                <w:rFonts w:ascii="Arial"/>
                <w:color w:val="auto"/>
                <w:sz w:val="21"/>
                <w:highlight w:val="none"/>
              </w:rPr>
            </w:pPr>
          </w:p>
        </w:tc>
        <w:tc>
          <w:tcPr>
            <w:tcW w:w="876" w:type="dxa"/>
            <w:vAlign w:val="top"/>
          </w:tcPr>
          <w:p w14:paraId="69E131B1">
            <w:pPr>
              <w:rPr>
                <w:rFonts w:ascii="Arial"/>
                <w:color w:val="auto"/>
                <w:sz w:val="21"/>
                <w:highlight w:val="none"/>
              </w:rPr>
            </w:pPr>
          </w:p>
        </w:tc>
      </w:tr>
      <w:tr w14:paraId="2B768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883" w:type="dxa"/>
            <w:vAlign w:val="top"/>
          </w:tcPr>
          <w:p w14:paraId="68D83F38">
            <w:pPr>
              <w:pStyle w:val="17"/>
              <w:spacing w:before="158" w:line="378" w:lineRule="exact"/>
              <w:ind w:left="223"/>
              <w:rPr>
                <w:color w:val="auto"/>
                <w:sz w:val="24"/>
                <w:szCs w:val="24"/>
                <w:highlight w:val="none"/>
              </w:rPr>
            </w:pPr>
            <w:r>
              <w:rPr>
                <w:color w:val="auto"/>
                <w:spacing w:val="-7"/>
                <w:position w:val="3"/>
                <w:sz w:val="24"/>
                <w:szCs w:val="24"/>
                <w:highlight w:val="none"/>
              </w:rPr>
              <w:t>……</w:t>
            </w:r>
          </w:p>
        </w:tc>
        <w:tc>
          <w:tcPr>
            <w:tcW w:w="2656" w:type="dxa"/>
            <w:vAlign w:val="top"/>
          </w:tcPr>
          <w:p w14:paraId="3F7A36AA">
            <w:pPr>
              <w:rPr>
                <w:rFonts w:ascii="Arial"/>
                <w:color w:val="auto"/>
                <w:sz w:val="21"/>
                <w:highlight w:val="none"/>
              </w:rPr>
            </w:pPr>
          </w:p>
        </w:tc>
        <w:tc>
          <w:tcPr>
            <w:tcW w:w="1454" w:type="dxa"/>
            <w:vAlign w:val="top"/>
          </w:tcPr>
          <w:p w14:paraId="2CD85448">
            <w:pPr>
              <w:rPr>
                <w:rFonts w:ascii="Arial"/>
                <w:color w:val="auto"/>
                <w:sz w:val="21"/>
                <w:highlight w:val="none"/>
              </w:rPr>
            </w:pPr>
          </w:p>
        </w:tc>
        <w:tc>
          <w:tcPr>
            <w:tcW w:w="4285" w:type="dxa"/>
            <w:vAlign w:val="top"/>
          </w:tcPr>
          <w:p w14:paraId="6CE8211F">
            <w:pPr>
              <w:rPr>
                <w:rFonts w:ascii="Arial"/>
                <w:color w:val="auto"/>
                <w:sz w:val="21"/>
                <w:highlight w:val="none"/>
              </w:rPr>
            </w:pPr>
          </w:p>
        </w:tc>
        <w:tc>
          <w:tcPr>
            <w:tcW w:w="876" w:type="dxa"/>
            <w:vAlign w:val="top"/>
          </w:tcPr>
          <w:p w14:paraId="6C8AD7D5">
            <w:pPr>
              <w:rPr>
                <w:rFonts w:ascii="Arial"/>
                <w:color w:val="auto"/>
                <w:sz w:val="21"/>
                <w:highlight w:val="none"/>
              </w:rPr>
            </w:pPr>
          </w:p>
        </w:tc>
      </w:tr>
    </w:tbl>
    <w:p w14:paraId="269471D7">
      <w:pPr>
        <w:spacing w:before="33" w:line="224" w:lineRule="auto"/>
        <w:ind w:left="941"/>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注：</w:t>
      </w:r>
    </w:p>
    <w:p w14:paraId="1AA15823">
      <w:pPr>
        <w:spacing w:before="174" w:line="353" w:lineRule="auto"/>
        <w:ind w:left="940" w:right="933" w:firstLine="49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1.直接控股股东：是指其出资额占有限责任公司资本总额百分之五十以上或</w:t>
      </w:r>
      <w:r>
        <w:rPr>
          <w:rFonts w:ascii="宋体" w:hAnsi="宋体" w:eastAsia="宋体" w:cs="宋体"/>
          <w:color w:val="auto"/>
          <w:spacing w:val="2"/>
          <w:sz w:val="24"/>
          <w:szCs w:val="24"/>
          <w:highlight w:val="none"/>
        </w:rPr>
        <w:t xml:space="preserve"> </w:t>
      </w:r>
      <w:r>
        <w:rPr>
          <w:rFonts w:ascii="宋体" w:hAnsi="宋体" w:eastAsia="宋体" w:cs="宋体"/>
          <w:color w:val="auto"/>
          <w:spacing w:val="-3"/>
          <w:sz w:val="24"/>
          <w:szCs w:val="24"/>
          <w:highlight w:val="none"/>
        </w:rPr>
        <w:t>者其持有的股份占股份有限公司股份总额百分之五十以</w:t>
      </w:r>
      <w:r>
        <w:rPr>
          <w:rFonts w:ascii="宋体" w:hAnsi="宋体" w:eastAsia="宋体" w:cs="宋体"/>
          <w:color w:val="auto"/>
          <w:spacing w:val="-4"/>
          <w:sz w:val="24"/>
          <w:szCs w:val="24"/>
          <w:highlight w:val="none"/>
        </w:rPr>
        <w:t>上的股东；出资额或者持</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有股份的比例虽然不足百分之五十，但依其出资额或者</w:t>
      </w:r>
      <w:r>
        <w:rPr>
          <w:rFonts w:ascii="宋体" w:hAnsi="宋体" w:eastAsia="宋体" w:cs="宋体"/>
          <w:color w:val="auto"/>
          <w:spacing w:val="-4"/>
          <w:sz w:val="24"/>
          <w:szCs w:val="24"/>
          <w:highlight w:val="none"/>
        </w:rPr>
        <w:t>持有的股份所享有的表决</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权已足以对股东会、股东大会的决议产生重大影响的股东。</w:t>
      </w:r>
    </w:p>
    <w:p w14:paraId="06439DFE">
      <w:pPr>
        <w:spacing w:before="34" w:line="346" w:lineRule="auto"/>
        <w:ind w:left="946" w:right="932" w:firstLine="47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2.本表所指的控股关系仅限于直接控股关系，不包括间接的控股关系。公司</w:t>
      </w:r>
      <w:r>
        <w:rPr>
          <w:rFonts w:ascii="宋体" w:hAnsi="宋体" w:eastAsia="宋体" w:cs="宋体"/>
          <w:color w:val="auto"/>
          <w:spacing w:val="18"/>
          <w:sz w:val="24"/>
          <w:szCs w:val="24"/>
          <w:highlight w:val="none"/>
        </w:rPr>
        <w:t xml:space="preserve"> </w:t>
      </w:r>
      <w:r>
        <w:rPr>
          <w:rFonts w:ascii="宋体" w:hAnsi="宋体" w:eastAsia="宋体" w:cs="宋体"/>
          <w:color w:val="auto"/>
          <w:spacing w:val="-2"/>
          <w:sz w:val="24"/>
          <w:szCs w:val="24"/>
          <w:highlight w:val="none"/>
        </w:rPr>
        <w:t>实际控制人与公司之间的关系不属于本表所指的直接控股关系。</w:t>
      </w:r>
    </w:p>
    <w:p w14:paraId="5D623987">
      <w:pPr>
        <w:spacing w:before="34" w:line="219" w:lineRule="auto"/>
        <w:ind w:left="142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3.供应商不存在直接控股股东的，则在“</w:t>
      </w:r>
      <w:r>
        <w:rPr>
          <w:rFonts w:ascii="宋体" w:hAnsi="宋体" w:eastAsia="宋体" w:cs="宋体"/>
          <w:b/>
          <w:bCs/>
          <w:color w:val="auto"/>
          <w:spacing w:val="-2"/>
          <w:sz w:val="24"/>
          <w:szCs w:val="24"/>
          <w:highlight w:val="none"/>
        </w:rPr>
        <w:t>直接控股股东名称</w:t>
      </w:r>
      <w:r>
        <w:rPr>
          <w:rFonts w:ascii="宋体" w:hAnsi="宋体" w:eastAsia="宋体" w:cs="宋体"/>
          <w:color w:val="auto"/>
          <w:spacing w:val="-2"/>
          <w:sz w:val="24"/>
          <w:szCs w:val="24"/>
          <w:highlight w:val="none"/>
        </w:rPr>
        <w:t>”中填“无”。</w:t>
      </w:r>
    </w:p>
    <w:p w14:paraId="55680D45">
      <w:pPr>
        <w:spacing w:line="262" w:lineRule="auto"/>
        <w:rPr>
          <w:rFonts w:ascii="Arial"/>
          <w:color w:val="auto"/>
          <w:sz w:val="21"/>
          <w:highlight w:val="none"/>
        </w:rPr>
      </w:pPr>
    </w:p>
    <w:p w14:paraId="3A733958">
      <w:pPr>
        <w:spacing w:line="263" w:lineRule="auto"/>
        <w:rPr>
          <w:rFonts w:ascii="Arial"/>
          <w:color w:val="auto"/>
          <w:sz w:val="21"/>
          <w:highlight w:val="none"/>
        </w:rPr>
      </w:pPr>
    </w:p>
    <w:p w14:paraId="5AECECB2">
      <w:pPr>
        <w:spacing w:line="263" w:lineRule="auto"/>
        <w:rPr>
          <w:rFonts w:ascii="Arial"/>
          <w:color w:val="auto"/>
          <w:sz w:val="21"/>
          <w:highlight w:val="none"/>
        </w:rPr>
      </w:pPr>
    </w:p>
    <w:p w14:paraId="7DBB5650">
      <w:pPr>
        <w:spacing w:line="263" w:lineRule="auto"/>
        <w:rPr>
          <w:rFonts w:ascii="Arial"/>
          <w:color w:val="auto"/>
          <w:sz w:val="21"/>
          <w:highlight w:val="none"/>
        </w:rPr>
      </w:pPr>
    </w:p>
    <w:p w14:paraId="6894D82E">
      <w:pPr>
        <w:spacing w:before="78" w:line="220" w:lineRule="auto"/>
        <w:ind w:left="256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法定代表人或者委托代理人（签字或者电子签名</w:t>
      </w:r>
      <w:r>
        <w:rPr>
          <w:rFonts w:ascii="宋体" w:hAnsi="宋体" w:eastAsia="宋体" w:cs="宋体"/>
          <w:color w:val="auto"/>
          <w:spacing w:val="5"/>
          <w:sz w:val="24"/>
          <w:szCs w:val="24"/>
          <w:highlight w:val="none"/>
        </w:rPr>
        <w:t>）：</w:t>
      </w:r>
      <w:r>
        <w:rPr>
          <w:rFonts w:ascii="宋体" w:hAnsi="宋体" w:eastAsia="宋体" w:cs="宋体"/>
          <w:color w:val="auto"/>
          <w:sz w:val="24"/>
          <w:szCs w:val="24"/>
          <w:highlight w:val="none"/>
          <w:u w:val="single" w:color="auto"/>
        </w:rPr>
        <w:t xml:space="preserve">      </w:t>
      </w:r>
    </w:p>
    <w:p w14:paraId="07FA0443">
      <w:pPr>
        <w:spacing w:before="180" w:line="219" w:lineRule="auto"/>
        <w:ind w:left="394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供应商（电子签章</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z w:val="24"/>
          <w:szCs w:val="24"/>
          <w:highlight w:val="none"/>
          <w:u w:val="single" w:color="auto"/>
        </w:rPr>
        <w:t xml:space="preserve">                    </w:t>
      </w:r>
    </w:p>
    <w:p w14:paraId="75CFB487">
      <w:pPr>
        <w:spacing w:before="183" w:line="220" w:lineRule="auto"/>
        <w:ind w:left="7557"/>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日</w:t>
      </w:r>
    </w:p>
    <w:p w14:paraId="1484C229">
      <w:pPr>
        <w:spacing w:line="220" w:lineRule="auto"/>
        <w:rPr>
          <w:rFonts w:ascii="宋体" w:hAnsi="宋体" w:eastAsia="宋体" w:cs="宋体"/>
          <w:color w:val="auto"/>
          <w:sz w:val="24"/>
          <w:szCs w:val="24"/>
          <w:highlight w:val="none"/>
        </w:rPr>
        <w:sectPr>
          <w:footerReference r:id="rId37" w:type="default"/>
          <w:pgSz w:w="11900" w:h="16832"/>
          <w:pgMar w:top="1430" w:right="868" w:bottom="1220" w:left="871" w:header="0" w:footer="1060" w:gutter="0"/>
          <w:pgNumType w:fmt="decimal"/>
          <w:cols w:space="720" w:num="1"/>
        </w:sectPr>
      </w:pPr>
    </w:p>
    <w:p w14:paraId="1E3389D1">
      <w:pPr>
        <w:spacing w:line="252" w:lineRule="auto"/>
        <w:rPr>
          <w:rFonts w:ascii="Arial"/>
          <w:color w:val="auto"/>
          <w:sz w:val="21"/>
          <w:highlight w:val="none"/>
        </w:rPr>
      </w:pPr>
    </w:p>
    <w:p w14:paraId="2C37FF21">
      <w:pPr>
        <w:spacing w:before="101" w:line="224" w:lineRule="auto"/>
        <w:ind w:left="2916"/>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供应商直接管理关系信息表</w:t>
      </w:r>
    </w:p>
    <w:p w14:paraId="258A0C21">
      <w:pPr>
        <w:spacing w:before="186"/>
        <w:rPr>
          <w:color w:val="auto"/>
          <w:highlight w:val="none"/>
        </w:rPr>
      </w:pPr>
    </w:p>
    <w:tbl>
      <w:tblPr>
        <w:tblStyle w:val="16"/>
        <w:tblW w:w="96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3599"/>
        <w:gridCol w:w="3553"/>
        <w:gridCol w:w="1694"/>
      </w:tblGrid>
      <w:tr w14:paraId="5B937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13" w:type="dxa"/>
            <w:vAlign w:val="top"/>
          </w:tcPr>
          <w:p w14:paraId="77FCC19D">
            <w:pPr>
              <w:pStyle w:val="17"/>
              <w:spacing w:before="158" w:line="221" w:lineRule="auto"/>
              <w:ind w:left="171"/>
              <w:rPr>
                <w:color w:val="auto"/>
                <w:sz w:val="24"/>
                <w:szCs w:val="24"/>
                <w:highlight w:val="none"/>
              </w:rPr>
            </w:pPr>
            <w:r>
              <w:rPr>
                <w:b/>
                <w:bCs/>
                <w:color w:val="auto"/>
                <w:spacing w:val="-5"/>
                <w:sz w:val="24"/>
                <w:szCs w:val="24"/>
                <w:highlight w:val="none"/>
              </w:rPr>
              <w:t>序号</w:t>
            </w:r>
          </w:p>
        </w:tc>
        <w:tc>
          <w:tcPr>
            <w:tcW w:w="3599" w:type="dxa"/>
            <w:vAlign w:val="top"/>
          </w:tcPr>
          <w:p w14:paraId="0D11A03F">
            <w:pPr>
              <w:pStyle w:val="17"/>
              <w:spacing w:before="157" w:line="220" w:lineRule="auto"/>
              <w:ind w:left="601"/>
              <w:rPr>
                <w:color w:val="auto"/>
                <w:sz w:val="24"/>
                <w:szCs w:val="24"/>
                <w:highlight w:val="none"/>
              </w:rPr>
            </w:pPr>
            <w:r>
              <w:rPr>
                <w:b/>
                <w:bCs/>
                <w:color w:val="auto"/>
                <w:spacing w:val="-3"/>
                <w:sz w:val="24"/>
                <w:szCs w:val="24"/>
                <w:highlight w:val="none"/>
              </w:rPr>
              <w:t>直接管理关系单位名称</w:t>
            </w:r>
          </w:p>
        </w:tc>
        <w:tc>
          <w:tcPr>
            <w:tcW w:w="3553" w:type="dxa"/>
            <w:vAlign w:val="top"/>
          </w:tcPr>
          <w:p w14:paraId="0EF0554E">
            <w:pPr>
              <w:pStyle w:val="17"/>
              <w:spacing w:before="158" w:line="219" w:lineRule="auto"/>
              <w:ind w:left="826"/>
              <w:rPr>
                <w:color w:val="auto"/>
                <w:sz w:val="24"/>
                <w:szCs w:val="24"/>
                <w:highlight w:val="none"/>
              </w:rPr>
            </w:pPr>
            <w:r>
              <w:rPr>
                <w:b/>
                <w:bCs/>
                <w:color w:val="auto"/>
                <w:spacing w:val="-4"/>
                <w:sz w:val="24"/>
                <w:szCs w:val="24"/>
                <w:highlight w:val="none"/>
              </w:rPr>
              <w:t>统一社会信用代码</w:t>
            </w:r>
          </w:p>
        </w:tc>
        <w:tc>
          <w:tcPr>
            <w:tcW w:w="1694" w:type="dxa"/>
            <w:vAlign w:val="top"/>
          </w:tcPr>
          <w:p w14:paraId="1E5B2660">
            <w:pPr>
              <w:pStyle w:val="17"/>
              <w:spacing w:before="158" w:line="221" w:lineRule="auto"/>
              <w:ind w:left="614"/>
              <w:rPr>
                <w:color w:val="auto"/>
                <w:sz w:val="24"/>
                <w:szCs w:val="24"/>
                <w:highlight w:val="none"/>
              </w:rPr>
            </w:pPr>
            <w:r>
              <w:rPr>
                <w:b/>
                <w:bCs/>
                <w:color w:val="auto"/>
                <w:spacing w:val="-5"/>
                <w:sz w:val="24"/>
                <w:szCs w:val="24"/>
                <w:highlight w:val="none"/>
              </w:rPr>
              <w:t>备注</w:t>
            </w:r>
          </w:p>
        </w:tc>
      </w:tr>
      <w:tr w14:paraId="59BCA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13" w:type="dxa"/>
            <w:vAlign w:val="top"/>
          </w:tcPr>
          <w:p w14:paraId="6FD7CE20">
            <w:pPr>
              <w:pStyle w:val="17"/>
              <w:spacing w:before="194" w:line="182" w:lineRule="auto"/>
              <w:ind w:left="370"/>
              <w:rPr>
                <w:color w:val="auto"/>
                <w:sz w:val="24"/>
                <w:szCs w:val="24"/>
                <w:highlight w:val="none"/>
              </w:rPr>
            </w:pPr>
            <w:r>
              <w:rPr>
                <w:color w:val="auto"/>
                <w:sz w:val="24"/>
                <w:szCs w:val="24"/>
                <w:highlight w:val="none"/>
              </w:rPr>
              <w:t>1</w:t>
            </w:r>
          </w:p>
        </w:tc>
        <w:tc>
          <w:tcPr>
            <w:tcW w:w="3599" w:type="dxa"/>
            <w:vAlign w:val="top"/>
          </w:tcPr>
          <w:p w14:paraId="3A5AE729">
            <w:pPr>
              <w:rPr>
                <w:rFonts w:ascii="Arial"/>
                <w:color w:val="auto"/>
                <w:sz w:val="21"/>
                <w:highlight w:val="none"/>
              </w:rPr>
            </w:pPr>
          </w:p>
        </w:tc>
        <w:tc>
          <w:tcPr>
            <w:tcW w:w="3553" w:type="dxa"/>
            <w:vAlign w:val="top"/>
          </w:tcPr>
          <w:p w14:paraId="72AC87DA">
            <w:pPr>
              <w:rPr>
                <w:rFonts w:ascii="Arial"/>
                <w:color w:val="auto"/>
                <w:sz w:val="21"/>
                <w:highlight w:val="none"/>
              </w:rPr>
            </w:pPr>
          </w:p>
        </w:tc>
        <w:tc>
          <w:tcPr>
            <w:tcW w:w="1694" w:type="dxa"/>
            <w:vAlign w:val="top"/>
          </w:tcPr>
          <w:p w14:paraId="2714AE70">
            <w:pPr>
              <w:rPr>
                <w:rFonts w:ascii="Arial"/>
                <w:color w:val="auto"/>
                <w:sz w:val="21"/>
                <w:highlight w:val="none"/>
              </w:rPr>
            </w:pPr>
          </w:p>
        </w:tc>
      </w:tr>
      <w:tr w14:paraId="3917F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813" w:type="dxa"/>
            <w:vAlign w:val="top"/>
          </w:tcPr>
          <w:p w14:paraId="67CAC152">
            <w:pPr>
              <w:pStyle w:val="17"/>
              <w:spacing w:before="196" w:line="181" w:lineRule="auto"/>
              <w:ind w:left="355"/>
              <w:rPr>
                <w:color w:val="auto"/>
                <w:sz w:val="24"/>
                <w:szCs w:val="24"/>
                <w:highlight w:val="none"/>
              </w:rPr>
            </w:pPr>
            <w:r>
              <w:rPr>
                <w:color w:val="auto"/>
                <w:sz w:val="24"/>
                <w:szCs w:val="24"/>
                <w:highlight w:val="none"/>
              </w:rPr>
              <w:t>2</w:t>
            </w:r>
          </w:p>
        </w:tc>
        <w:tc>
          <w:tcPr>
            <w:tcW w:w="3599" w:type="dxa"/>
            <w:vAlign w:val="top"/>
          </w:tcPr>
          <w:p w14:paraId="46C3FE96">
            <w:pPr>
              <w:rPr>
                <w:rFonts w:ascii="Arial"/>
                <w:color w:val="auto"/>
                <w:sz w:val="21"/>
                <w:highlight w:val="none"/>
              </w:rPr>
            </w:pPr>
          </w:p>
        </w:tc>
        <w:tc>
          <w:tcPr>
            <w:tcW w:w="3553" w:type="dxa"/>
            <w:vAlign w:val="top"/>
          </w:tcPr>
          <w:p w14:paraId="55F880B7">
            <w:pPr>
              <w:rPr>
                <w:rFonts w:ascii="Arial"/>
                <w:color w:val="auto"/>
                <w:sz w:val="21"/>
                <w:highlight w:val="none"/>
              </w:rPr>
            </w:pPr>
          </w:p>
        </w:tc>
        <w:tc>
          <w:tcPr>
            <w:tcW w:w="1694" w:type="dxa"/>
            <w:vAlign w:val="top"/>
          </w:tcPr>
          <w:p w14:paraId="60A7B802">
            <w:pPr>
              <w:rPr>
                <w:rFonts w:ascii="Arial"/>
                <w:color w:val="auto"/>
                <w:sz w:val="21"/>
                <w:highlight w:val="none"/>
              </w:rPr>
            </w:pPr>
          </w:p>
        </w:tc>
      </w:tr>
      <w:tr w14:paraId="21024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13" w:type="dxa"/>
            <w:vAlign w:val="top"/>
          </w:tcPr>
          <w:p w14:paraId="7C4D576D">
            <w:pPr>
              <w:pStyle w:val="17"/>
              <w:spacing w:before="198" w:line="181" w:lineRule="auto"/>
              <w:ind w:left="357"/>
              <w:rPr>
                <w:color w:val="auto"/>
                <w:sz w:val="24"/>
                <w:szCs w:val="24"/>
                <w:highlight w:val="none"/>
              </w:rPr>
            </w:pPr>
            <w:r>
              <w:rPr>
                <w:color w:val="auto"/>
                <w:sz w:val="24"/>
                <w:szCs w:val="24"/>
                <w:highlight w:val="none"/>
              </w:rPr>
              <w:t>3</w:t>
            </w:r>
          </w:p>
        </w:tc>
        <w:tc>
          <w:tcPr>
            <w:tcW w:w="3599" w:type="dxa"/>
            <w:vAlign w:val="top"/>
          </w:tcPr>
          <w:p w14:paraId="79C2FCBC">
            <w:pPr>
              <w:rPr>
                <w:rFonts w:ascii="Arial"/>
                <w:color w:val="auto"/>
                <w:sz w:val="21"/>
                <w:highlight w:val="none"/>
              </w:rPr>
            </w:pPr>
          </w:p>
        </w:tc>
        <w:tc>
          <w:tcPr>
            <w:tcW w:w="3553" w:type="dxa"/>
            <w:vAlign w:val="top"/>
          </w:tcPr>
          <w:p w14:paraId="580AF0DA">
            <w:pPr>
              <w:rPr>
                <w:rFonts w:ascii="Arial"/>
                <w:color w:val="auto"/>
                <w:sz w:val="21"/>
                <w:highlight w:val="none"/>
              </w:rPr>
            </w:pPr>
          </w:p>
        </w:tc>
        <w:tc>
          <w:tcPr>
            <w:tcW w:w="1694" w:type="dxa"/>
            <w:vAlign w:val="top"/>
          </w:tcPr>
          <w:p w14:paraId="0801AA0F">
            <w:pPr>
              <w:rPr>
                <w:rFonts w:ascii="Arial"/>
                <w:color w:val="auto"/>
                <w:sz w:val="21"/>
                <w:highlight w:val="none"/>
              </w:rPr>
            </w:pPr>
          </w:p>
        </w:tc>
      </w:tr>
      <w:tr w14:paraId="21496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13" w:type="dxa"/>
            <w:vAlign w:val="top"/>
          </w:tcPr>
          <w:p w14:paraId="5C12C8F3">
            <w:pPr>
              <w:pStyle w:val="17"/>
              <w:spacing w:before="158" w:line="378" w:lineRule="exact"/>
              <w:ind w:left="187"/>
              <w:rPr>
                <w:color w:val="auto"/>
                <w:sz w:val="24"/>
                <w:szCs w:val="24"/>
                <w:highlight w:val="none"/>
              </w:rPr>
            </w:pPr>
            <w:r>
              <w:rPr>
                <w:color w:val="auto"/>
                <w:spacing w:val="-7"/>
                <w:position w:val="3"/>
                <w:sz w:val="24"/>
                <w:szCs w:val="24"/>
                <w:highlight w:val="none"/>
              </w:rPr>
              <w:t>……</w:t>
            </w:r>
          </w:p>
        </w:tc>
        <w:tc>
          <w:tcPr>
            <w:tcW w:w="3599" w:type="dxa"/>
            <w:vAlign w:val="top"/>
          </w:tcPr>
          <w:p w14:paraId="0511D297">
            <w:pPr>
              <w:rPr>
                <w:rFonts w:ascii="Arial"/>
                <w:color w:val="auto"/>
                <w:sz w:val="21"/>
                <w:highlight w:val="none"/>
              </w:rPr>
            </w:pPr>
          </w:p>
        </w:tc>
        <w:tc>
          <w:tcPr>
            <w:tcW w:w="3553" w:type="dxa"/>
            <w:vAlign w:val="top"/>
          </w:tcPr>
          <w:p w14:paraId="78CB51D5">
            <w:pPr>
              <w:rPr>
                <w:rFonts w:ascii="Arial"/>
                <w:color w:val="auto"/>
                <w:sz w:val="21"/>
                <w:highlight w:val="none"/>
              </w:rPr>
            </w:pPr>
          </w:p>
        </w:tc>
        <w:tc>
          <w:tcPr>
            <w:tcW w:w="1694" w:type="dxa"/>
            <w:vAlign w:val="top"/>
          </w:tcPr>
          <w:p w14:paraId="30BB0C50">
            <w:pPr>
              <w:rPr>
                <w:rFonts w:ascii="Arial"/>
                <w:color w:val="auto"/>
                <w:sz w:val="21"/>
                <w:highlight w:val="none"/>
              </w:rPr>
            </w:pPr>
          </w:p>
        </w:tc>
      </w:tr>
    </w:tbl>
    <w:p w14:paraId="4B386619">
      <w:pPr>
        <w:spacing w:before="33" w:line="224" w:lineRule="auto"/>
        <w:ind w:left="693"/>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注：</w:t>
      </w:r>
    </w:p>
    <w:p w14:paraId="6076EAA4">
      <w:pPr>
        <w:spacing w:before="174" w:line="347" w:lineRule="auto"/>
        <w:ind w:left="697" w:right="686" w:firstLine="49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1.管理关系：是指不具有出资持股关系的其他单位之间存在的管理与被管理</w:t>
      </w:r>
      <w:r>
        <w:rPr>
          <w:rFonts w:ascii="宋体" w:hAnsi="宋体" w:eastAsia="宋体" w:cs="宋体"/>
          <w:color w:val="auto"/>
          <w:spacing w:val="2"/>
          <w:sz w:val="24"/>
          <w:szCs w:val="24"/>
          <w:highlight w:val="none"/>
        </w:rPr>
        <w:t xml:space="preserve"> </w:t>
      </w:r>
      <w:r>
        <w:rPr>
          <w:rFonts w:ascii="宋体" w:hAnsi="宋体" w:eastAsia="宋体" w:cs="宋体"/>
          <w:color w:val="auto"/>
          <w:spacing w:val="-2"/>
          <w:sz w:val="24"/>
          <w:szCs w:val="24"/>
          <w:highlight w:val="none"/>
        </w:rPr>
        <w:t>关系，如一些上下级关系的事业单位和团体</w:t>
      </w:r>
      <w:r>
        <w:rPr>
          <w:rFonts w:ascii="宋体" w:hAnsi="宋体" w:eastAsia="宋体" w:cs="宋体"/>
          <w:color w:val="auto"/>
          <w:spacing w:val="-3"/>
          <w:sz w:val="24"/>
          <w:szCs w:val="24"/>
          <w:highlight w:val="none"/>
        </w:rPr>
        <w:t>组织。</w:t>
      </w:r>
    </w:p>
    <w:p w14:paraId="18D09761">
      <w:pPr>
        <w:spacing w:before="31" w:line="219" w:lineRule="auto"/>
        <w:ind w:left="1176"/>
        <w:rPr>
          <w:rFonts w:ascii="宋体" w:hAnsi="宋体" w:eastAsia="宋体" w:cs="宋体"/>
          <w:color w:val="auto"/>
          <w:sz w:val="24"/>
          <w:szCs w:val="24"/>
          <w:highlight w:val="none"/>
        </w:rPr>
      </w:pPr>
      <w:r>
        <w:rPr>
          <w:rFonts w:ascii="宋体" w:hAnsi="宋体" w:eastAsia="宋体" w:cs="宋体"/>
          <w:color w:val="auto"/>
          <w:spacing w:val="-12"/>
          <w:sz w:val="24"/>
          <w:szCs w:val="24"/>
          <w:highlight w:val="none"/>
        </w:rPr>
        <w:t>2.本表所指的管理关系仅限于直接管理关系，不包括间接的管理关系。</w:t>
      </w:r>
    </w:p>
    <w:p w14:paraId="66F917A8">
      <w:pPr>
        <w:spacing w:before="184" w:line="219" w:lineRule="auto"/>
        <w:ind w:left="1178"/>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3.供应商不存在直接管理关系的，则在“</w:t>
      </w:r>
      <w:r>
        <w:rPr>
          <w:rFonts w:ascii="宋体" w:hAnsi="宋体" w:eastAsia="宋体" w:cs="宋体"/>
          <w:b/>
          <w:bCs/>
          <w:color w:val="auto"/>
          <w:spacing w:val="-11"/>
          <w:sz w:val="24"/>
          <w:szCs w:val="24"/>
          <w:highlight w:val="none"/>
        </w:rPr>
        <w:t>直接</w:t>
      </w:r>
      <w:r>
        <w:rPr>
          <w:rFonts w:ascii="宋体" w:hAnsi="宋体" w:eastAsia="宋体" w:cs="宋体"/>
          <w:b/>
          <w:bCs/>
          <w:color w:val="auto"/>
          <w:spacing w:val="-12"/>
          <w:sz w:val="24"/>
          <w:szCs w:val="24"/>
          <w:highlight w:val="none"/>
        </w:rPr>
        <w:t>管理关系单位名称</w:t>
      </w:r>
      <w:r>
        <w:rPr>
          <w:rFonts w:ascii="宋体" w:hAnsi="宋体" w:eastAsia="宋体" w:cs="宋体"/>
          <w:color w:val="auto"/>
          <w:spacing w:val="-12"/>
          <w:sz w:val="24"/>
          <w:szCs w:val="24"/>
          <w:highlight w:val="none"/>
        </w:rPr>
        <w:t>”中填“无”。</w:t>
      </w:r>
    </w:p>
    <w:p w14:paraId="0864F982">
      <w:pPr>
        <w:spacing w:line="243" w:lineRule="auto"/>
        <w:rPr>
          <w:rFonts w:ascii="Arial"/>
          <w:color w:val="auto"/>
          <w:sz w:val="21"/>
          <w:highlight w:val="none"/>
        </w:rPr>
      </w:pPr>
    </w:p>
    <w:p w14:paraId="1C6211A7">
      <w:pPr>
        <w:spacing w:line="243" w:lineRule="auto"/>
        <w:rPr>
          <w:rFonts w:ascii="Arial"/>
          <w:color w:val="auto"/>
          <w:sz w:val="21"/>
          <w:highlight w:val="none"/>
        </w:rPr>
      </w:pPr>
    </w:p>
    <w:p w14:paraId="27C600B9">
      <w:pPr>
        <w:spacing w:line="243" w:lineRule="auto"/>
        <w:rPr>
          <w:rFonts w:ascii="Arial"/>
          <w:color w:val="auto"/>
          <w:sz w:val="21"/>
          <w:highlight w:val="none"/>
        </w:rPr>
      </w:pPr>
    </w:p>
    <w:p w14:paraId="68C220C6">
      <w:pPr>
        <w:spacing w:line="244" w:lineRule="auto"/>
        <w:rPr>
          <w:rFonts w:ascii="Arial"/>
          <w:color w:val="auto"/>
          <w:sz w:val="21"/>
          <w:highlight w:val="none"/>
        </w:rPr>
      </w:pPr>
    </w:p>
    <w:p w14:paraId="439D3F42">
      <w:pPr>
        <w:spacing w:line="244" w:lineRule="auto"/>
        <w:rPr>
          <w:rFonts w:ascii="Arial"/>
          <w:color w:val="auto"/>
          <w:sz w:val="21"/>
          <w:highlight w:val="none"/>
        </w:rPr>
      </w:pPr>
    </w:p>
    <w:p w14:paraId="5F8B1F82">
      <w:pPr>
        <w:spacing w:line="244" w:lineRule="auto"/>
        <w:rPr>
          <w:rFonts w:ascii="Arial"/>
          <w:color w:val="auto"/>
          <w:sz w:val="21"/>
          <w:highlight w:val="none"/>
        </w:rPr>
      </w:pPr>
    </w:p>
    <w:p w14:paraId="75681715">
      <w:pPr>
        <w:spacing w:line="244" w:lineRule="auto"/>
        <w:rPr>
          <w:rFonts w:ascii="Arial"/>
          <w:color w:val="auto"/>
          <w:sz w:val="21"/>
          <w:highlight w:val="none"/>
        </w:rPr>
      </w:pPr>
    </w:p>
    <w:p w14:paraId="2F967186">
      <w:pPr>
        <w:spacing w:line="244" w:lineRule="auto"/>
        <w:rPr>
          <w:rFonts w:ascii="Arial"/>
          <w:color w:val="auto"/>
          <w:sz w:val="21"/>
          <w:highlight w:val="none"/>
        </w:rPr>
      </w:pPr>
    </w:p>
    <w:p w14:paraId="6BA2C6FF">
      <w:pPr>
        <w:spacing w:line="244" w:lineRule="auto"/>
        <w:rPr>
          <w:rFonts w:ascii="Arial"/>
          <w:color w:val="auto"/>
          <w:sz w:val="21"/>
          <w:highlight w:val="none"/>
        </w:rPr>
      </w:pPr>
    </w:p>
    <w:p w14:paraId="1F8E3953">
      <w:pPr>
        <w:spacing w:line="244" w:lineRule="auto"/>
        <w:rPr>
          <w:rFonts w:ascii="Arial"/>
          <w:color w:val="auto"/>
          <w:sz w:val="21"/>
          <w:highlight w:val="none"/>
        </w:rPr>
      </w:pPr>
    </w:p>
    <w:p w14:paraId="72F791BC">
      <w:pPr>
        <w:spacing w:line="244" w:lineRule="auto"/>
        <w:rPr>
          <w:rFonts w:ascii="Arial"/>
          <w:color w:val="auto"/>
          <w:sz w:val="21"/>
          <w:highlight w:val="none"/>
        </w:rPr>
      </w:pPr>
    </w:p>
    <w:p w14:paraId="3186A641">
      <w:pPr>
        <w:spacing w:line="244" w:lineRule="auto"/>
        <w:rPr>
          <w:rFonts w:ascii="Arial"/>
          <w:color w:val="auto"/>
          <w:sz w:val="21"/>
          <w:highlight w:val="none"/>
        </w:rPr>
      </w:pPr>
    </w:p>
    <w:p w14:paraId="062BBE7B">
      <w:pPr>
        <w:spacing w:line="244" w:lineRule="auto"/>
        <w:rPr>
          <w:rFonts w:ascii="Arial"/>
          <w:color w:val="auto"/>
          <w:sz w:val="21"/>
          <w:highlight w:val="none"/>
        </w:rPr>
      </w:pPr>
    </w:p>
    <w:p w14:paraId="76CFA027">
      <w:pPr>
        <w:spacing w:before="78" w:line="346" w:lineRule="auto"/>
        <w:ind w:left="4053" w:right="1164" w:hanging="137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法定代表人或者委托代理人（签字或者电子签名</w:t>
      </w:r>
      <w:r>
        <w:rPr>
          <w:rFonts w:ascii="宋体" w:hAnsi="宋体" w:eastAsia="宋体" w:cs="宋体"/>
          <w:color w:val="auto"/>
          <w:spacing w:val="5"/>
          <w:sz w:val="24"/>
          <w:szCs w:val="24"/>
          <w:highlight w:val="none"/>
        </w:rPr>
        <w:t>）：</w:t>
      </w:r>
      <w:r>
        <w:rPr>
          <w:rFonts w:ascii="宋体" w:hAnsi="宋体" w:eastAsia="宋体" w:cs="宋体"/>
          <w:color w:val="auto"/>
          <w:spacing w:val="33"/>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1"/>
          <w:sz w:val="24"/>
          <w:szCs w:val="24"/>
          <w:highlight w:val="none"/>
        </w:rPr>
        <w:t>供应商（电子签章）：</w:t>
      </w:r>
      <w:r>
        <w:rPr>
          <w:rFonts w:ascii="宋体" w:hAnsi="宋体" w:eastAsia="宋体" w:cs="宋体"/>
          <w:color w:val="auto"/>
          <w:sz w:val="24"/>
          <w:szCs w:val="24"/>
          <w:highlight w:val="none"/>
          <w:u w:val="single" w:color="auto"/>
        </w:rPr>
        <w:t xml:space="preserve">                 </w:t>
      </w:r>
    </w:p>
    <w:p w14:paraId="76566D2C">
      <w:pPr>
        <w:spacing w:before="32" w:line="220" w:lineRule="auto"/>
        <w:ind w:left="5975"/>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日</w:t>
      </w:r>
    </w:p>
    <w:p w14:paraId="7124AF4D">
      <w:pPr>
        <w:spacing w:line="220" w:lineRule="auto"/>
        <w:rPr>
          <w:rFonts w:ascii="宋体" w:hAnsi="宋体" w:eastAsia="宋体" w:cs="宋体"/>
          <w:color w:val="auto"/>
          <w:sz w:val="24"/>
          <w:szCs w:val="24"/>
          <w:highlight w:val="none"/>
        </w:rPr>
        <w:sectPr>
          <w:footerReference r:id="rId38" w:type="default"/>
          <w:pgSz w:w="11900" w:h="16832"/>
          <w:pgMar w:top="1430" w:right="1115" w:bottom="1220" w:left="1118" w:header="0" w:footer="1060" w:gutter="0"/>
          <w:pgNumType w:fmt="decimal"/>
          <w:cols w:space="720" w:num="1"/>
        </w:sectPr>
      </w:pPr>
    </w:p>
    <w:p w14:paraId="2792B0C2">
      <w:pPr>
        <w:spacing w:before="63" w:line="225" w:lineRule="auto"/>
        <w:ind w:left="3538"/>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竞标声明</w:t>
      </w:r>
    </w:p>
    <w:p w14:paraId="62176CFD">
      <w:pPr>
        <w:spacing w:before="313" w:line="219" w:lineRule="auto"/>
        <w:ind w:left="2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致</w:t>
      </w:r>
      <w:r>
        <w:rPr>
          <w:rFonts w:ascii="宋体" w:hAnsi="宋体" w:eastAsia="宋体" w:cs="宋体"/>
          <w:color w:val="auto"/>
          <w:spacing w:val="-2"/>
          <w:sz w:val="24"/>
          <w:szCs w:val="24"/>
          <w:highlight w:val="none"/>
        </w:rPr>
        <w:t>：</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1"/>
          <w:sz w:val="24"/>
          <w:szCs w:val="24"/>
          <w:highlight w:val="none"/>
          <w:u w:val="single" w:color="auto"/>
        </w:rPr>
        <w:t>采购人名称</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2"/>
          <w:sz w:val="24"/>
          <w:szCs w:val="24"/>
          <w:highlight w:val="none"/>
        </w:rPr>
        <w:t>：</w:t>
      </w:r>
    </w:p>
    <w:p w14:paraId="44A1CB31">
      <w:pPr>
        <w:spacing w:before="182" w:line="351" w:lineRule="auto"/>
        <w:ind w:left="28" w:right="74" w:firstLine="48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我</w:t>
      </w:r>
      <w:r>
        <w:rPr>
          <w:rFonts w:ascii="宋体" w:hAnsi="宋体" w:eastAsia="宋体" w:cs="宋体"/>
          <w:color w:val="auto"/>
          <w:spacing w:val="-41"/>
          <w:sz w:val="24"/>
          <w:szCs w:val="24"/>
          <w:highlight w:val="none"/>
        </w:rPr>
        <w:t xml:space="preserve"> </w:t>
      </w:r>
      <w:r>
        <w:rPr>
          <w:rFonts w:ascii="宋体" w:hAnsi="宋体" w:eastAsia="宋体" w:cs="宋体"/>
          <w:color w:val="auto"/>
          <w:spacing w:val="-13"/>
          <w:sz w:val="24"/>
          <w:szCs w:val="24"/>
          <w:highlight w:val="none"/>
        </w:rPr>
        <w:t>方</w:t>
      </w:r>
      <w:r>
        <w:rPr>
          <w:rFonts w:ascii="宋体" w:hAnsi="宋体" w:eastAsia="宋体" w:cs="宋体"/>
          <w:color w:val="auto"/>
          <w:spacing w:val="-58"/>
          <w:sz w:val="24"/>
          <w:szCs w:val="24"/>
          <w:highlight w:val="none"/>
        </w:rPr>
        <w:t xml:space="preserve"> </w:t>
      </w:r>
      <w:r>
        <w:rPr>
          <w:rFonts w:ascii="宋体" w:hAnsi="宋体" w:eastAsia="宋体" w:cs="宋体"/>
          <w:color w:val="auto"/>
          <w:spacing w:val="-13"/>
          <w:sz w:val="24"/>
          <w:szCs w:val="24"/>
          <w:highlight w:val="none"/>
          <w:u w:val="single" w:color="auto"/>
        </w:rPr>
        <w:t>（供</w:t>
      </w:r>
      <w:r>
        <w:rPr>
          <w:rFonts w:ascii="宋体" w:hAnsi="宋体" w:eastAsia="宋体" w:cs="宋体"/>
          <w:color w:val="auto"/>
          <w:spacing w:val="-48"/>
          <w:sz w:val="24"/>
          <w:szCs w:val="24"/>
          <w:highlight w:val="none"/>
          <w:u w:val="single" w:color="auto"/>
        </w:rPr>
        <w:t xml:space="preserve"> </w:t>
      </w:r>
      <w:r>
        <w:rPr>
          <w:rFonts w:ascii="宋体" w:hAnsi="宋体" w:eastAsia="宋体" w:cs="宋体"/>
          <w:color w:val="auto"/>
          <w:spacing w:val="-13"/>
          <w:sz w:val="24"/>
          <w:szCs w:val="24"/>
          <w:highlight w:val="none"/>
          <w:u w:val="single" w:color="auto"/>
        </w:rPr>
        <w:t>应</w:t>
      </w:r>
      <w:r>
        <w:rPr>
          <w:rFonts w:ascii="宋体" w:hAnsi="宋体" w:eastAsia="宋体" w:cs="宋体"/>
          <w:color w:val="auto"/>
          <w:spacing w:val="-44"/>
          <w:sz w:val="24"/>
          <w:szCs w:val="24"/>
          <w:highlight w:val="none"/>
          <w:u w:val="single" w:color="auto"/>
        </w:rPr>
        <w:t xml:space="preserve"> </w:t>
      </w:r>
      <w:r>
        <w:rPr>
          <w:rFonts w:ascii="宋体" w:hAnsi="宋体" w:eastAsia="宋体" w:cs="宋体"/>
          <w:color w:val="auto"/>
          <w:spacing w:val="-13"/>
          <w:sz w:val="24"/>
          <w:szCs w:val="24"/>
          <w:highlight w:val="none"/>
          <w:u w:val="single" w:color="auto"/>
        </w:rPr>
        <w:t>商</w:t>
      </w:r>
      <w:r>
        <w:rPr>
          <w:rFonts w:ascii="宋体" w:hAnsi="宋体" w:eastAsia="宋体" w:cs="宋体"/>
          <w:color w:val="auto"/>
          <w:spacing w:val="-43"/>
          <w:sz w:val="24"/>
          <w:szCs w:val="24"/>
          <w:highlight w:val="none"/>
          <w:u w:val="single" w:color="auto"/>
        </w:rPr>
        <w:t xml:space="preserve"> </w:t>
      </w:r>
      <w:r>
        <w:rPr>
          <w:rFonts w:ascii="宋体" w:hAnsi="宋体" w:eastAsia="宋体" w:cs="宋体"/>
          <w:color w:val="auto"/>
          <w:spacing w:val="-13"/>
          <w:sz w:val="24"/>
          <w:szCs w:val="24"/>
          <w:highlight w:val="none"/>
          <w:u w:val="single" w:color="auto"/>
        </w:rPr>
        <w:t>名</w:t>
      </w:r>
      <w:r>
        <w:rPr>
          <w:rFonts w:ascii="宋体" w:hAnsi="宋体" w:eastAsia="宋体" w:cs="宋体"/>
          <w:color w:val="auto"/>
          <w:spacing w:val="-49"/>
          <w:sz w:val="24"/>
          <w:szCs w:val="24"/>
          <w:highlight w:val="none"/>
          <w:u w:val="single" w:color="auto"/>
        </w:rPr>
        <w:t xml:space="preserve"> </w:t>
      </w:r>
      <w:r>
        <w:rPr>
          <w:rFonts w:ascii="宋体" w:hAnsi="宋体" w:eastAsia="宋体" w:cs="宋体"/>
          <w:color w:val="auto"/>
          <w:spacing w:val="-13"/>
          <w:sz w:val="24"/>
          <w:szCs w:val="24"/>
          <w:highlight w:val="none"/>
          <w:u w:val="single" w:color="auto"/>
        </w:rPr>
        <w:t>称 ）</w:t>
      </w:r>
      <w:r>
        <w:rPr>
          <w:rFonts w:ascii="宋体" w:hAnsi="宋体" w:eastAsia="宋体" w:cs="宋体"/>
          <w:color w:val="auto"/>
          <w:spacing w:val="-56"/>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13"/>
          <w:sz w:val="24"/>
          <w:szCs w:val="24"/>
          <w:highlight w:val="none"/>
        </w:rPr>
        <w:t>系</w:t>
      </w:r>
      <w:r>
        <w:rPr>
          <w:rFonts w:ascii="宋体" w:hAnsi="宋体" w:eastAsia="宋体" w:cs="宋体"/>
          <w:color w:val="auto"/>
          <w:spacing w:val="-26"/>
          <w:sz w:val="24"/>
          <w:szCs w:val="24"/>
          <w:highlight w:val="none"/>
        </w:rPr>
        <w:t xml:space="preserve"> </w:t>
      </w:r>
      <w:r>
        <w:rPr>
          <w:rFonts w:ascii="宋体" w:hAnsi="宋体" w:eastAsia="宋体" w:cs="宋体"/>
          <w:color w:val="auto"/>
          <w:spacing w:val="-13"/>
          <w:sz w:val="24"/>
          <w:szCs w:val="24"/>
          <w:highlight w:val="none"/>
        </w:rPr>
        <w:t>中</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华</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人 民</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共</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和</w:t>
      </w:r>
      <w:r>
        <w:rPr>
          <w:rFonts w:ascii="宋体" w:hAnsi="宋体" w:eastAsia="宋体" w:cs="宋体"/>
          <w:color w:val="auto"/>
          <w:spacing w:val="-23"/>
          <w:sz w:val="24"/>
          <w:szCs w:val="24"/>
          <w:highlight w:val="none"/>
        </w:rPr>
        <w:t xml:space="preserve"> </w:t>
      </w:r>
      <w:r>
        <w:rPr>
          <w:rFonts w:ascii="宋体" w:hAnsi="宋体" w:eastAsia="宋体" w:cs="宋体"/>
          <w:color w:val="auto"/>
          <w:spacing w:val="-13"/>
          <w:sz w:val="24"/>
          <w:szCs w:val="24"/>
          <w:highlight w:val="none"/>
        </w:rPr>
        <w:t>国</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合</w:t>
      </w:r>
      <w:r>
        <w:rPr>
          <w:rFonts w:ascii="宋体" w:hAnsi="宋体" w:eastAsia="宋体" w:cs="宋体"/>
          <w:color w:val="auto"/>
          <w:spacing w:val="-48"/>
          <w:sz w:val="24"/>
          <w:szCs w:val="24"/>
          <w:highlight w:val="none"/>
        </w:rPr>
        <w:t xml:space="preserve"> </w:t>
      </w:r>
      <w:r>
        <w:rPr>
          <w:rFonts w:ascii="宋体" w:hAnsi="宋体" w:eastAsia="宋体" w:cs="宋体"/>
          <w:color w:val="auto"/>
          <w:spacing w:val="-13"/>
          <w:sz w:val="24"/>
          <w:szCs w:val="24"/>
          <w:highlight w:val="none"/>
        </w:rPr>
        <w:t>法</w:t>
      </w:r>
      <w:r>
        <w:rPr>
          <w:rFonts w:ascii="宋体" w:hAnsi="宋体" w:eastAsia="宋体" w:cs="宋体"/>
          <w:color w:val="auto"/>
          <w:spacing w:val="-48"/>
          <w:sz w:val="24"/>
          <w:szCs w:val="24"/>
          <w:highlight w:val="none"/>
        </w:rPr>
        <w:t xml:space="preserve"> </w:t>
      </w:r>
      <w:r>
        <w:rPr>
          <w:rFonts w:ascii="宋体" w:hAnsi="宋体" w:eastAsia="宋体" w:cs="宋体"/>
          <w:color w:val="auto"/>
          <w:spacing w:val="-13"/>
          <w:sz w:val="24"/>
          <w:szCs w:val="24"/>
          <w:highlight w:val="none"/>
        </w:rPr>
        <w:t>供</w:t>
      </w:r>
      <w:r>
        <w:rPr>
          <w:rFonts w:ascii="宋体" w:hAnsi="宋体" w:eastAsia="宋体" w:cs="宋体"/>
          <w:color w:val="auto"/>
          <w:spacing w:val="-49"/>
          <w:sz w:val="24"/>
          <w:szCs w:val="24"/>
          <w:highlight w:val="none"/>
        </w:rPr>
        <w:t xml:space="preserve"> </w:t>
      </w:r>
      <w:r>
        <w:rPr>
          <w:rFonts w:ascii="宋体" w:hAnsi="宋体" w:eastAsia="宋体" w:cs="宋体"/>
          <w:color w:val="auto"/>
          <w:spacing w:val="-13"/>
          <w:sz w:val="24"/>
          <w:szCs w:val="24"/>
          <w:highlight w:val="none"/>
        </w:rPr>
        <w:t>应</w:t>
      </w:r>
      <w:r>
        <w:rPr>
          <w:rFonts w:ascii="宋体" w:hAnsi="宋体" w:eastAsia="宋体" w:cs="宋体"/>
          <w:color w:val="auto"/>
          <w:spacing w:val="-44"/>
          <w:sz w:val="24"/>
          <w:szCs w:val="24"/>
          <w:highlight w:val="none"/>
        </w:rPr>
        <w:t xml:space="preserve"> </w:t>
      </w:r>
      <w:r>
        <w:rPr>
          <w:rFonts w:ascii="宋体" w:hAnsi="宋体" w:eastAsia="宋体" w:cs="宋体"/>
          <w:color w:val="auto"/>
          <w:spacing w:val="-13"/>
          <w:sz w:val="24"/>
          <w:szCs w:val="24"/>
          <w:highlight w:val="none"/>
        </w:rPr>
        <w:t>商</w:t>
      </w:r>
      <w:r>
        <w:rPr>
          <w:rFonts w:ascii="宋体" w:hAnsi="宋体" w:eastAsia="宋体" w:cs="宋体"/>
          <w:color w:val="auto"/>
          <w:spacing w:val="-26"/>
          <w:sz w:val="24"/>
          <w:szCs w:val="24"/>
          <w:highlight w:val="none"/>
        </w:rPr>
        <w:t xml:space="preserve"> </w:t>
      </w:r>
      <w:r>
        <w:rPr>
          <w:rFonts w:ascii="宋体" w:hAnsi="宋体" w:eastAsia="宋体" w:cs="宋体"/>
          <w:color w:val="auto"/>
          <w:spacing w:val="-13"/>
          <w:sz w:val="24"/>
          <w:szCs w:val="24"/>
          <w:highlight w:val="none"/>
        </w:rPr>
        <w:t>，</w:t>
      </w:r>
      <w:r>
        <w:rPr>
          <w:rFonts w:ascii="宋体" w:hAnsi="宋体" w:eastAsia="宋体" w:cs="宋体"/>
          <w:color w:val="auto"/>
          <w:spacing w:val="-46"/>
          <w:sz w:val="24"/>
          <w:szCs w:val="24"/>
          <w:highlight w:val="none"/>
        </w:rPr>
        <w:t xml:space="preserve"> </w:t>
      </w:r>
      <w:r>
        <w:rPr>
          <w:rFonts w:ascii="宋体" w:hAnsi="宋体" w:eastAsia="宋体" w:cs="宋体"/>
          <w:color w:val="auto"/>
          <w:spacing w:val="-13"/>
          <w:sz w:val="24"/>
          <w:szCs w:val="24"/>
          <w:highlight w:val="none"/>
        </w:rPr>
        <w:t>经</w:t>
      </w:r>
      <w:r>
        <w:rPr>
          <w:rFonts w:ascii="宋体" w:hAnsi="宋体" w:eastAsia="宋体" w:cs="宋体"/>
          <w:color w:val="auto"/>
          <w:spacing w:val="-39"/>
          <w:sz w:val="24"/>
          <w:szCs w:val="24"/>
          <w:highlight w:val="none"/>
        </w:rPr>
        <w:t xml:space="preserve"> </w:t>
      </w:r>
      <w:r>
        <w:rPr>
          <w:rFonts w:ascii="宋体" w:hAnsi="宋体" w:eastAsia="宋体" w:cs="宋体"/>
          <w:color w:val="auto"/>
          <w:spacing w:val="-13"/>
          <w:sz w:val="24"/>
          <w:szCs w:val="24"/>
          <w:highlight w:val="none"/>
        </w:rPr>
        <w:t>营</w:t>
      </w:r>
      <w:r>
        <w:rPr>
          <w:rFonts w:ascii="宋体" w:hAnsi="宋体" w:eastAsia="宋体" w:cs="宋体"/>
          <w:color w:val="auto"/>
          <w:spacing w:val="-49"/>
          <w:sz w:val="24"/>
          <w:szCs w:val="24"/>
          <w:highlight w:val="none"/>
        </w:rPr>
        <w:t xml:space="preserve"> </w:t>
      </w:r>
      <w:r>
        <w:rPr>
          <w:rFonts w:ascii="宋体" w:hAnsi="宋体" w:eastAsia="宋体" w:cs="宋体"/>
          <w:color w:val="auto"/>
          <w:spacing w:val="-13"/>
          <w:sz w:val="24"/>
          <w:szCs w:val="24"/>
          <w:highlight w:val="none"/>
        </w:rPr>
        <w:t>地</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址</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
          <w:sz w:val="24"/>
          <w:szCs w:val="24"/>
          <w:highlight w:val="none"/>
        </w:rPr>
        <w:t>。</w:t>
      </w:r>
    </w:p>
    <w:p w14:paraId="44C666F8">
      <w:pPr>
        <w:spacing w:before="18" w:line="351" w:lineRule="auto"/>
        <w:ind w:left="28" w:right="69"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我方愿意参加贵方组织的</w:t>
      </w:r>
      <w:r>
        <w:rPr>
          <w:rFonts w:ascii="宋体" w:hAnsi="宋体" w:eastAsia="宋体" w:cs="宋体"/>
          <w:color w:val="auto"/>
          <w:spacing w:val="-3"/>
          <w:sz w:val="24"/>
          <w:szCs w:val="24"/>
          <w:highlight w:val="none"/>
          <w:u w:val="single" w:color="auto"/>
        </w:rPr>
        <w:t>（项目名称</w:t>
      </w:r>
      <w:r>
        <w:rPr>
          <w:rFonts w:ascii="宋体" w:hAnsi="宋体" w:eastAsia="宋体" w:cs="宋体"/>
          <w:color w:val="auto"/>
          <w:spacing w:val="-12"/>
          <w:sz w:val="24"/>
          <w:szCs w:val="24"/>
          <w:highlight w:val="none"/>
          <w:u w:val="single" w:color="auto"/>
        </w:rPr>
        <w:t>）（</w:t>
      </w:r>
      <w:r>
        <w:rPr>
          <w:rFonts w:ascii="宋体" w:hAnsi="宋体" w:eastAsia="宋体" w:cs="宋体"/>
          <w:color w:val="auto"/>
          <w:spacing w:val="-3"/>
          <w:sz w:val="24"/>
          <w:szCs w:val="24"/>
          <w:highlight w:val="none"/>
          <w:u w:val="single" w:color="auto"/>
        </w:rPr>
        <w:t>项目编号）</w:t>
      </w:r>
      <w:r>
        <w:rPr>
          <w:rFonts w:ascii="宋体" w:hAnsi="宋体" w:eastAsia="宋体" w:cs="宋体"/>
          <w:color w:val="auto"/>
          <w:spacing w:val="-3"/>
          <w:sz w:val="24"/>
          <w:szCs w:val="24"/>
          <w:highlight w:val="none"/>
        </w:rPr>
        <w:t>项目的竞标，为便于贵</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方公正、择优地确定成交供应商及其服务，</w:t>
      </w:r>
      <w:r>
        <w:rPr>
          <w:rFonts w:ascii="宋体" w:hAnsi="宋体" w:eastAsia="宋体" w:cs="宋体"/>
          <w:color w:val="auto"/>
          <w:spacing w:val="-59"/>
          <w:sz w:val="24"/>
          <w:szCs w:val="24"/>
          <w:highlight w:val="none"/>
        </w:rPr>
        <w:t xml:space="preserve"> </w:t>
      </w:r>
      <w:r>
        <w:rPr>
          <w:rFonts w:ascii="宋体" w:hAnsi="宋体" w:eastAsia="宋体" w:cs="宋体"/>
          <w:color w:val="auto"/>
          <w:spacing w:val="-5"/>
          <w:sz w:val="24"/>
          <w:szCs w:val="24"/>
          <w:highlight w:val="none"/>
        </w:rPr>
        <w:t>我方就本次竞标有关事项郑重</w:t>
      </w:r>
      <w:r>
        <w:rPr>
          <w:rFonts w:ascii="宋体" w:hAnsi="宋体" w:eastAsia="宋体" w:cs="宋体"/>
          <w:color w:val="auto"/>
          <w:spacing w:val="-6"/>
          <w:sz w:val="24"/>
          <w:szCs w:val="24"/>
          <w:highlight w:val="none"/>
        </w:rPr>
        <w:t>声明如</w:t>
      </w:r>
      <w:r>
        <w:rPr>
          <w:rFonts w:ascii="宋体" w:hAnsi="宋体" w:eastAsia="宋体" w:cs="宋体"/>
          <w:color w:val="auto"/>
          <w:sz w:val="24"/>
          <w:szCs w:val="24"/>
          <w:highlight w:val="none"/>
        </w:rPr>
        <w:t xml:space="preserve"> </w:t>
      </w:r>
      <w:r>
        <w:rPr>
          <w:rFonts w:ascii="宋体" w:hAnsi="宋体" w:eastAsia="宋体" w:cs="宋体"/>
          <w:color w:val="auto"/>
          <w:spacing w:val="-17"/>
          <w:sz w:val="24"/>
          <w:szCs w:val="24"/>
          <w:highlight w:val="none"/>
        </w:rPr>
        <w:t>下：</w:t>
      </w:r>
    </w:p>
    <w:p w14:paraId="4AE0D2F7">
      <w:pPr>
        <w:spacing w:before="34" w:line="220" w:lineRule="auto"/>
        <w:ind w:left="52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1.我方向贵方提交的所有响应文件、资料都是准确的和</w:t>
      </w:r>
      <w:r>
        <w:rPr>
          <w:rFonts w:ascii="宋体" w:hAnsi="宋体" w:eastAsia="宋体" w:cs="宋体"/>
          <w:color w:val="auto"/>
          <w:spacing w:val="-3"/>
          <w:sz w:val="24"/>
          <w:szCs w:val="24"/>
          <w:highlight w:val="none"/>
        </w:rPr>
        <w:t>真实的。</w:t>
      </w:r>
    </w:p>
    <w:p w14:paraId="77DA59A8">
      <w:pPr>
        <w:spacing w:before="181" w:line="346" w:lineRule="auto"/>
        <w:ind w:left="27"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2.我方不是为本次采购项目提供整体设计</w:t>
      </w:r>
      <w:r>
        <w:rPr>
          <w:rFonts w:ascii="宋体" w:hAnsi="宋体" w:eastAsia="宋体" w:cs="宋体"/>
          <w:color w:val="auto"/>
          <w:spacing w:val="-2"/>
          <w:sz w:val="24"/>
          <w:szCs w:val="24"/>
          <w:highlight w:val="none"/>
        </w:rPr>
        <w:t>、规范编制或者项目管理、监理、</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检测等服务的供应商。</w:t>
      </w:r>
    </w:p>
    <w:p w14:paraId="3CC15295">
      <w:pPr>
        <w:spacing w:before="33" w:line="219" w:lineRule="auto"/>
        <w:ind w:left="51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3.在此，我方宣布同意如下：</w:t>
      </w:r>
    </w:p>
    <w:p w14:paraId="6A091739">
      <w:pPr>
        <w:spacing w:before="183" w:line="220" w:lineRule="auto"/>
        <w:ind w:left="51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（1）将按磋商文件的约定履行合同责任和义务；</w:t>
      </w:r>
    </w:p>
    <w:p w14:paraId="1ACDA65E">
      <w:pPr>
        <w:spacing w:before="183" w:line="218"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（2）已详细审查全部磋商文件，包括澄清或者更正公告（如有</w:t>
      </w:r>
      <w:r>
        <w:rPr>
          <w:rFonts w:ascii="宋体" w:hAnsi="宋体" w:eastAsia="宋体" w:cs="宋体"/>
          <w:color w:val="auto"/>
          <w:spacing w:val="6"/>
          <w:sz w:val="24"/>
          <w:szCs w:val="24"/>
          <w:highlight w:val="none"/>
        </w:rPr>
        <w:t>）；</w:t>
      </w:r>
    </w:p>
    <w:p w14:paraId="156A716D">
      <w:pPr>
        <w:spacing w:before="182" w:line="347" w:lineRule="auto"/>
        <w:ind w:left="513" w:right="62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（3）同意提供按照贵方可能要求的与磋商</w:t>
      </w:r>
      <w:r>
        <w:rPr>
          <w:rFonts w:ascii="宋体" w:hAnsi="宋体" w:eastAsia="宋体" w:cs="宋体"/>
          <w:color w:val="auto"/>
          <w:spacing w:val="-3"/>
          <w:sz w:val="24"/>
          <w:szCs w:val="24"/>
          <w:highlight w:val="none"/>
        </w:rPr>
        <w:t>有关的一切数据或者资料；</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（4）响应磋商文件规定的竞标有效期。</w:t>
      </w:r>
    </w:p>
    <w:p w14:paraId="2388BD7B">
      <w:pPr>
        <w:spacing w:before="31" w:line="219" w:lineRule="auto"/>
        <w:ind w:left="50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4.我方承诺符合《中华人民共和国政府采购法》第二十二条</w:t>
      </w:r>
      <w:r>
        <w:rPr>
          <w:rFonts w:ascii="宋体" w:hAnsi="宋体" w:eastAsia="宋体" w:cs="宋体"/>
          <w:color w:val="auto"/>
          <w:spacing w:val="-3"/>
          <w:sz w:val="24"/>
          <w:szCs w:val="24"/>
          <w:highlight w:val="none"/>
        </w:rPr>
        <w:t>规定：</w:t>
      </w:r>
    </w:p>
    <w:p w14:paraId="219FF4E8">
      <w:pPr>
        <w:spacing w:before="183" w:line="220" w:lineRule="auto"/>
        <w:ind w:left="51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（1）具有独立承担民事责任的能力；</w:t>
      </w:r>
    </w:p>
    <w:p w14:paraId="74721493">
      <w:pPr>
        <w:spacing w:before="180" w:line="219"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（2）具有良好的商业信誉和健全的财务会计制</w:t>
      </w:r>
      <w:r>
        <w:rPr>
          <w:rFonts w:ascii="宋体" w:hAnsi="宋体" w:eastAsia="宋体" w:cs="宋体"/>
          <w:color w:val="auto"/>
          <w:spacing w:val="-4"/>
          <w:sz w:val="24"/>
          <w:szCs w:val="24"/>
          <w:highlight w:val="none"/>
        </w:rPr>
        <w:t>度；</w:t>
      </w:r>
    </w:p>
    <w:p w14:paraId="776B6BDA">
      <w:pPr>
        <w:spacing w:before="183" w:line="220"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（3）具有履行合同所必需的设备和专业技术能</w:t>
      </w:r>
      <w:r>
        <w:rPr>
          <w:rFonts w:ascii="宋体" w:hAnsi="宋体" w:eastAsia="宋体" w:cs="宋体"/>
          <w:color w:val="auto"/>
          <w:spacing w:val="-4"/>
          <w:sz w:val="24"/>
          <w:szCs w:val="24"/>
          <w:highlight w:val="none"/>
        </w:rPr>
        <w:t>力；</w:t>
      </w:r>
    </w:p>
    <w:p w14:paraId="2BBD953D">
      <w:pPr>
        <w:spacing w:before="180" w:line="219"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（4）有依法缴纳税收和社会保障资金的良好记</w:t>
      </w:r>
      <w:r>
        <w:rPr>
          <w:rFonts w:ascii="宋体" w:hAnsi="宋体" w:eastAsia="宋体" w:cs="宋体"/>
          <w:color w:val="auto"/>
          <w:spacing w:val="-4"/>
          <w:sz w:val="24"/>
          <w:szCs w:val="24"/>
          <w:highlight w:val="none"/>
        </w:rPr>
        <w:t>录；</w:t>
      </w:r>
    </w:p>
    <w:p w14:paraId="6D0EF696">
      <w:pPr>
        <w:spacing w:before="184" w:line="219" w:lineRule="auto"/>
        <w:ind w:left="51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（5）参加政府采购活动前三年内，在经营活动</w:t>
      </w:r>
      <w:r>
        <w:rPr>
          <w:rFonts w:ascii="宋体" w:hAnsi="宋体" w:eastAsia="宋体" w:cs="宋体"/>
          <w:color w:val="auto"/>
          <w:spacing w:val="-3"/>
          <w:sz w:val="24"/>
          <w:szCs w:val="24"/>
          <w:highlight w:val="none"/>
        </w:rPr>
        <w:t>中没有重大违法记录；</w:t>
      </w:r>
    </w:p>
    <w:p w14:paraId="0753786A">
      <w:pPr>
        <w:spacing w:before="181" w:line="220"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（6）法律、行政法规规定的其他条件。</w:t>
      </w:r>
    </w:p>
    <w:p w14:paraId="6CAAC075">
      <w:pPr>
        <w:spacing w:before="186" w:line="354" w:lineRule="auto"/>
        <w:ind w:left="27" w:right="70" w:firstLine="484"/>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5.我方在此声明，我方在参加本项目的政府采购活动前三年内，在经营活动</w:t>
      </w:r>
      <w:r>
        <w:rPr>
          <w:rFonts w:ascii="宋体" w:hAnsi="宋体" w:eastAsia="宋体" w:cs="宋体"/>
          <w:color w:val="auto"/>
          <w:spacing w:val="15"/>
          <w:sz w:val="24"/>
          <w:szCs w:val="24"/>
          <w:highlight w:val="none"/>
        </w:rPr>
        <w:t xml:space="preserve"> </w:t>
      </w:r>
      <w:r>
        <w:rPr>
          <w:rFonts w:ascii="宋体" w:hAnsi="宋体" w:eastAsia="宋体" w:cs="宋体"/>
          <w:color w:val="auto"/>
          <w:spacing w:val="-4"/>
          <w:sz w:val="24"/>
          <w:szCs w:val="24"/>
          <w:highlight w:val="none"/>
        </w:rPr>
        <w:t>中没有重大违法记录（重大违法记录是指供应商因违法经营受到刑事处罚或者责</w:t>
      </w:r>
      <w:r>
        <w:rPr>
          <w:rFonts w:ascii="宋体" w:hAnsi="宋体" w:eastAsia="宋体" w:cs="宋体"/>
          <w:color w:val="auto"/>
          <w:spacing w:val="8"/>
          <w:sz w:val="24"/>
          <w:szCs w:val="24"/>
          <w:highlight w:val="none"/>
        </w:rPr>
        <w:t xml:space="preserve"> </w:t>
      </w:r>
      <w:r>
        <w:rPr>
          <w:rFonts w:ascii="宋体" w:hAnsi="宋体" w:eastAsia="宋体" w:cs="宋体"/>
          <w:color w:val="auto"/>
          <w:spacing w:val="-6"/>
          <w:sz w:val="24"/>
          <w:szCs w:val="24"/>
          <w:highlight w:val="none"/>
        </w:rPr>
        <w:t>令停产停业、吊销许可证或者执照、较大数</w:t>
      </w:r>
      <w:r>
        <w:rPr>
          <w:rFonts w:ascii="宋体" w:hAnsi="宋体" w:eastAsia="宋体" w:cs="宋体"/>
          <w:color w:val="auto"/>
          <w:spacing w:val="-7"/>
          <w:sz w:val="24"/>
          <w:szCs w:val="24"/>
          <w:highlight w:val="none"/>
        </w:rPr>
        <w:t>额罚款等行政处罚）</w:t>
      </w:r>
      <w:r>
        <w:rPr>
          <w:rFonts w:ascii="宋体" w:hAnsi="宋体" w:eastAsia="宋体" w:cs="宋体"/>
          <w:color w:val="auto"/>
          <w:spacing w:val="-10"/>
          <w:sz w:val="24"/>
          <w:szCs w:val="24"/>
          <w:highlight w:val="none"/>
        </w:rPr>
        <w:t xml:space="preserve"> </w:t>
      </w:r>
      <w:r>
        <w:rPr>
          <w:rFonts w:ascii="宋体" w:hAnsi="宋体" w:eastAsia="宋体" w:cs="宋体"/>
          <w:color w:val="auto"/>
          <w:spacing w:val="-7"/>
          <w:sz w:val="24"/>
          <w:szCs w:val="24"/>
          <w:highlight w:val="none"/>
        </w:rPr>
        <w:t>，未被列入失信</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被执行人、重大税收违法失信主体、政府采购严重违法失信行为记录名单，</w:t>
      </w:r>
      <w:r>
        <w:rPr>
          <w:rFonts w:ascii="宋体" w:hAnsi="宋体" w:eastAsia="宋体" w:cs="宋体"/>
          <w:color w:val="auto"/>
          <w:spacing w:val="-26"/>
          <w:sz w:val="24"/>
          <w:szCs w:val="24"/>
          <w:highlight w:val="none"/>
        </w:rPr>
        <w:t xml:space="preserve"> </w:t>
      </w:r>
      <w:r>
        <w:rPr>
          <w:rFonts w:ascii="宋体" w:hAnsi="宋体" w:eastAsia="宋体" w:cs="宋体"/>
          <w:color w:val="auto"/>
          <w:spacing w:val="-7"/>
          <w:sz w:val="24"/>
          <w:szCs w:val="24"/>
          <w:highlight w:val="none"/>
        </w:rPr>
        <w:t>完全</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符合《中华人民共和国政府采购法》第二十二条规</w:t>
      </w:r>
      <w:r>
        <w:rPr>
          <w:rFonts w:ascii="宋体" w:hAnsi="宋体" w:eastAsia="宋体" w:cs="宋体"/>
          <w:color w:val="auto"/>
          <w:spacing w:val="-6"/>
          <w:sz w:val="24"/>
          <w:szCs w:val="24"/>
          <w:highlight w:val="none"/>
        </w:rPr>
        <w:t>定的供应商资格条件，</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我方对</w:t>
      </w:r>
      <w:r>
        <w:rPr>
          <w:rFonts w:ascii="宋体" w:hAnsi="宋体" w:eastAsia="宋体" w:cs="宋体"/>
          <w:color w:val="auto"/>
          <w:sz w:val="24"/>
          <w:szCs w:val="24"/>
          <w:highlight w:val="none"/>
        </w:rPr>
        <w:t xml:space="preserve"> </w:t>
      </w:r>
      <w:r>
        <w:rPr>
          <w:rFonts w:ascii="宋体" w:hAnsi="宋体" w:eastAsia="宋体" w:cs="宋体"/>
          <w:color w:val="auto"/>
          <w:spacing w:val="-4"/>
          <w:sz w:val="24"/>
          <w:szCs w:val="24"/>
          <w:highlight w:val="none"/>
        </w:rPr>
        <w:t>此声明负全部法律责任。</w:t>
      </w:r>
    </w:p>
    <w:p w14:paraId="1F14D20F">
      <w:pPr>
        <w:spacing w:before="36" w:line="219" w:lineRule="auto"/>
        <w:ind w:left="50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6.根据《中华人民共和国政府采购法实施条例》第五十条要求对政府采购合</w:t>
      </w:r>
    </w:p>
    <w:p w14:paraId="1BC3FFB4">
      <w:pPr>
        <w:spacing w:line="219" w:lineRule="auto"/>
        <w:rPr>
          <w:rFonts w:ascii="宋体" w:hAnsi="宋体" w:eastAsia="宋体" w:cs="宋体"/>
          <w:color w:val="auto"/>
          <w:sz w:val="24"/>
          <w:szCs w:val="24"/>
          <w:highlight w:val="none"/>
        </w:rPr>
        <w:sectPr>
          <w:footerReference r:id="rId39" w:type="default"/>
          <w:pgSz w:w="11900" w:h="16832"/>
          <w:pgMar w:top="1359" w:right="1731" w:bottom="1220" w:left="1784" w:header="0" w:footer="1060" w:gutter="0"/>
          <w:pgNumType w:fmt="decimal"/>
          <w:cols w:space="720" w:num="1"/>
        </w:sectPr>
      </w:pPr>
    </w:p>
    <w:p w14:paraId="72573FDB">
      <w:pPr>
        <w:spacing w:before="48" w:line="346" w:lineRule="auto"/>
        <w:ind w:left="28" w:right="66" w:firstLine="2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同进行公告，但政府采购合同中涉及国家秘密、商业秘密的内容除外。我方就对</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本次响应文件进行注明如下</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两项内容中必须选择一项）</w:t>
      </w:r>
    </w:p>
    <w:p w14:paraId="1A923EFA">
      <w:pPr>
        <w:spacing w:before="32" w:line="219" w:lineRule="auto"/>
        <w:ind w:left="53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□我方本次响应文件内容中未涉及商业秘密；</w:t>
      </w:r>
    </w:p>
    <w:p w14:paraId="3791A610">
      <w:pPr>
        <w:spacing w:before="184" w:line="288" w:lineRule="auto"/>
        <w:ind w:left="513" w:firstLine="18"/>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□我方本次响应文件涉及商业秘密的内容有</w:t>
      </w:r>
      <w:r>
        <w:rPr>
          <w:rFonts w:ascii="宋体" w:hAnsi="宋体" w:eastAsia="宋体" w:cs="宋体"/>
          <w:color w:val="auto"/>
          <w:spacing w:val="-3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2"/>
          <w:sz w:val="24"/>
          <w:szCs w:val="24"/>
          <w:highlight w:val="none"/>
        </w:rPr>
        <w:t>；</w:t>
      </w:r>
      <w:r>
        <w:rPr>
          <w:rFonts w:ascii="宋体" w:hAnsi="宋体" w:eastAsia="宋体" w:cs="宋体"/>
          <w:color w:val="auto"/>
          <w:spacing w:val="2"/>
          <w:sz w:val="24"/>
          <w:szCs w:val="24"/>
          <w:highlight w:val="none"/>
        </w:rPr>
        <w:t xml:space="preserve"> 7.与本磋商有关的一切正式往来信函请寄：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84"/>
          <w:sz w:val="24"/>
          <w:szCs w:val="24"/>
          <w:highlight w:val="none"/>
        </w:rPr>
        <w:t xml:space="preserve"> </w:t>
      </w:r>
      <w:r>
        <w:rPr>
          <w:rFonts w:ascii="宋体" w:hAnsi="宋体" w:eastAsia="宋体" w:cs="宋体"/>
          <w:color w:val="auto"/>
          <w:spacing w:val="2"/>
          <w:sz w:val="24"/>
          <w:szCs w:val="24"/>
          <w:highlight w:val="none"/>
        </w:rPr>
        <w:t>邮政编</w:t>
      </w:r>
    </w:p>
    <w:p w14:paraId="5F6C00F0">
      <w:pPr>
        <w:spacing w:before="184" w:line="221" w:lineRule="auto"/>
        <w:ind w:left="33"/>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号：</w:t>
      </w:r>
      <w:r>
        <w:rPr>
          <w:rFonts w:ascii="宋体" w:hAnsi="宋体" w:eastAsia="宋体" w:cs="宋体"/>
          <w:color w:val="auto"/>
          <w:sz w:val="24"/>
          <w:szCs w:val="24"/>
          <w:highlight w:val="none"/>
          <w:u w:val="single" w:color="auto"/>
        </w:rPr>
        <w:t xml:space="preserve">        </w:t>
      </w:r>
    </w:p>
    <w:p w14:paraId="1EA4A830">
      <w:pPr>
        <w:spacing w:before="177" w:line="348" w:lineRule="auto"/>
        <w:ind w:left="529" w:right="63" w:firstLine="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电话/传真：</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9"/>
          <w:sz w:val="24"/>
          <w:szCs w:val="24"/>
          <w:highlight w:val="none"/>
        </w:rPr>
        <w:t xml:space="preserve"> </w:t>
      </w:r>
      <w:r>
        <w:rPr>
          <w:rFonts w:ascii="宋体" w:hAnsi="宋体" w:eastAsia="宋体" w:cs="宋体"/>
          <w:color w:val="auto"/>
          <w:spacing w:val="-7"/>
          <w:sz w:val="24"/>
          <w:szCs w:val="24"/>
          <w:highlight w:val="none"/>
        </w:rPr>
        <w:t>电子邮箱：</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5"/>
          <w:sz w:val="24"/>
          <w:szCs w:val="24"/>
          <w:highlight w:val="none"/>
        </w:rPr>
        <w:t xml:space="preserve"> </w:t>
      </w:r>
      <w:r>
        <w:rPr>
          <w:rFonts w:ascii="宋体" w:hAnsi="宋体" w:eastAsia="宋体" w:cs="宋体"/>
          <w:color w:val="auto"/>
          <w:spacing w:val="-4"/>
          <w:sz w:val="24"/>
          <w:szCs w:val="24"/>
          <w:highlight w:val="none"/>
        </w:rPr>
        <w:t>开户银行：</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
          <w:sz w:val="24"/>
          <w:szCs w:val="24"/>
          <w:highlight w:val="none"/>
        </w:rPr>
        <w:t xml:space="preserve">  </w:t>
      </w:r>
      <w:r>
        <w:rPr>
          <w:rFonts w:ascii="宋体" w:hAnsi="宋体" w:eastAsia="宋体" w:cs="宋体"/>
          <w:color w:val="auto"/>
          <w:spacing w:val="-4"/>
          <w:sz w:val="24"/>
          <w:szCs w:val="24"/>
          <w:highlight w:val="none"/>
        </w:rPr>
        <w:t>帐号：</w:t>
      </w:r>
      <w:r>
        <w:rPr>
          <w:rFonts w:ascii="宋体" w:hAnsi="宋体" w:eastAsia="宋体" w:cs="宋体"/>
          <w:color w:val="auto"/>
          <w:sz w:val="24"/>
          <w:szCs w:val="24"/>
          <w:highlight w:val="none"/>
          <w:u w:val="single" w:color="auto"/>
        </w:rPr>
        <w:t xml:space="preserve">                      </w:t>
      </w:r>
    </w:p>
    <w:p w14:paraId="4E092BE5">
      <w:pPr>
        <w:spacing w:before="29" w:line="347" w:lineRule="auto"/>
        <w:ind w:left="26" w:right="65"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8.以上事项如有虚假或者隐瞒，我方愿意</w:t>
      </w:r>
      <w:r>
        <w:rPr>
          <w:rFonts w:ascii="宋体" w:hAnsi="宋体" w:eastAsia="宋体" w:cs="宋体"/>
          <w:color w:val="auto"/>
          <w:spacing w:val="-4"/>
          <w:sz w:val="24"/>
          <w:szCs w:val="24"/>
          <w:highlight w:val="none"/>
        </w:rPr>
        <w:t>承担一切后果，并不再寻求任何旨</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在减轻或者免除法律责任的辩解。</w:t>
      </w:r>
    </w:p>
    <w:p w14:paraId="0C820F63">
      <w:pPr>
        <w:spacing w:before="32" w:line="220" w:lineRule="auto"/>
        <w:ind w:left="528"/>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特此承诺。</w:t>
      </w:r>
    </w:p>
    <w:p w14:paraId="43D85F09">
      <w:pPr>
        <w:spacing w:before="184" w:line="344" w:lineRule="auto"/>
        <w:ind w:left="31" w:right="167" w:firstLine="478"/>
        <w:rPr>
          <w:rFonts w:ascii="宋体" w:hAnsi="宋体" w:eastAsia="宋体" w:cs="宋体"/>
          <w:color w:val="auto"/>
          <w:sz w:val="24"/>
          <w:szCs w:val="24"/>
          <w:highlight w:val="none"/>
        </w:rPr>
      </w:pPr>
      <w:r>
        <w:rPr>
          <w:rFonts w:ascii="宋体" w:hAnsi="宋体" w:eastAsia="宋体" w:cs="宋体"/>
          <w:b/>
          <w:bCs/>
          <w:color w:val="auto"/>
          <w:spacing w:val="-2"/>
          <w:sz w:val="24"/>
          <w:szCs w:val="24"/>
          <w:highlight w:val="none"/>
        </w:rPr>
        <w:t>注：如为联合体竞标，盖章处须加盖联合体牵头人电子签章并由联合体牵</w:t>
      </w:r>
      <w:r>
        <w:rPr>
          <w:rFonts w:ascii="宋体" w:hAnsi="宋体" w:eastAsia="宋体" w:cs="宋体"/>
          <w:color w:val="auto"/>
          <w:spacing w:val="2"/>
          <w:sz w:val="24"/>
          <w:szCs w:val="24"/>
          <w:highlight w:val="none"/>
        </w:rPr>
        <w:t xml:space="preserve"> </w:t>
      </w:r>
      <w:r>
        <w:rPr>
          <w:rFonts w:ascii="宋体" w:hAnsi="宋体" w:eastAsia="宋体" w:cs="宋体"/>
          <w:b/>
          <w:bCs/>
          <w:color w:val="auto"/>
          <w:spacing w:val="-2"/>
          <w:sz w:val="24"/>
          <w:szCs w:val="24"/>
          <w:highlight w:val="none"/>
        </w:rPr>
        <w:t>头人法定代表人分别签字或者盖章或者电子签名，否则响应文件按无效处理。</w:t>
      </w:r>
    </w:p>
    <w:p w14:paraId="58A20A6E">
      <w:pPr>
        <w:spacing w:line="365" w:lineRule="auto"/>
        <w:rPr>
          <w:rFonts w:ascii="Arial"/>
          <w:color w:val="auto"/>
          <w:sz w:val="21"/>
          <w:highlight w:val="none"/>
        </w:rPr>
      </w:pPr>
    </w:p>
    <w:p w14:paraId="54AF876C">
      <w:pPr>
        <w:spacing w:before="79" w:line="219" w:lineRule="auto"/>
        <w:ind w:left="160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pacing w:val="-1"/>
          <w:sz w:val="24"/>
          <w:szCs w:val="24"/>
          <w:highlight w:val="none"/>
        </w:rPr>
        <w:t>签字或者盖章或者电子签名</w:t>
      </w:r>
      <w:r>
        <w:rPr>
          <w:rFonts w:ascii="宋体" w:hAnsi="宋体" w:eastAsia="宋体" w:cs="宋体"/>
          <w:color w:val="auto"/>
          <w:spacing w:val="5"/>
          <w:sz w:val="21"/>
          <w:szCs w:val="21"/>
          <w:highlight w:val="none"/>
        </w:rPr>
        <w:t>）：</w:t>
      </w:r>
      <w:r>
        <w:rPr>
          <w:rFonts w:ascii="宋体" w:hAnsi="宋体" w:eastAsia="宋体" w:cs="宋体"/>
          <w:color w:val="auto"/>
          <w:sz w:val="21"/>
          <w:szCs w:val="21"/>
          <w:highlight w:val="none"/>
          <w:u w:val="single" w:color="auto"/>
        </w:rPr>
        <w:t xml:space="preserve">               </w:t>
      </w:r>
    </w:p>
    <w:p w14:paraId="29F10E6E">
      <w:pPr>
        <w:spacing w:before="180" w:line="345" w:lineRule="auto"/>
        <w:ind w:left="6434" w:right="63" w:hanging="26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供应商（电子签章</w:t>
      </w:r>
      <w:r>
        <w:rPr>
          <w:rFonts w:ascii="宋体" w:hAnsi="宋体" w:eastAsia="宋体" w:cs="宋体"/>
          <w:color w:val="auto"/>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7"/>
          <w:sz w:val="21"/>
          <w:szCs w:val="21"/>
          <w:highlight w:val="none"/>
        </w:rPr>
        <w:t>日</w:t>
      </w:r>
    </w:p>
    <w:p w14:paraId="32B491AB">
      <w:pPr>
        <w:spacing w:line="345" w:lineRule="auto"/>
        <w:rPr>
          <w:rFonts w:ascii="宋体" w:hAnsi="宋体" w:eastAsia="宋体" w:cs="宋体"/>
          <w:color w:val="auto"/>
          <w:sz w:val="21"/>
          <w:szCs w:val="21"/>
          <w:highlight w:val="none"/>
        </w:rPr>
        <w:sectPr>
          <w:footerReference r:id="rId40" w:type="default"/>
          <w:pgSz w:w="11900" w:h="16832"/>
          <w:pgMar w:top="1426" w:right="1736" w:bottom="1220" w:left="1784" w:header="0" w:footer="1060" w:gutter="0"/>
          <w:pgNumType w:fmt="decimal"/>
          <w:cols w:space="720" w:num="1"/>
        </w:sectPr>
      </w:pPr>
    </w:p>
    <w:p w14:paraId="35666DC8">
      <w:pPr>
        <w:spacing w:before="151" w:line="224" w:lineRule="auto"/>
        <w:ind w:left="2893"/>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联合体竞标协议书</w:t>
      </w:r>
    </w:p>
    <w:p w14:paraId="03797EF1">
      <w:pPr>
        <w:spacing w:line="423" w:lineRule="auto"/>
        <w:rPr>
          <w:rFonts w:ascii="Arial"/>
          <w:color w:val="auto"/>
          <w:sz w:val="21"/>
          <w:highlight w:val="none"/>
        </w:rPr>
      </w:pPr>
    </w:p>
    <w:p w14:paraId="7DFC395E">
      <w:pPr>
        <w:tabs>
          <w:tab w:val="left" w:pos="1353"/>
        </w:tabs>
        <w:spacing w:before="78" w:line="350" w:lineRule="auto"/>
        <w:ind w:left="29" w:right="16" w:firstLine="468"/>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
          <w:sz w:val="24"/>
          <w:szCs w:val="24"/>
          <w:highlight w:val="none"/>
          <w:u w:val="single" w:color="auto"/>
        </w:rPr>
        <w:t>（所有成员单位名称）</w:t>
      </w:r>
      <w:r>
        <w:rPr>
          <w:rFonts w:ascii="宋体" w:hAnsi="宋体" w:eastAsia="宋体" w:cs="宋体"/>
          <w:color w:val="auto"/>
          <w:spacing w:val="-71"/>
          <w:sz w:val="24"/>
          <w:szCs w:val="24"/>
          <w:highlight w:val="none"/>
        </w:rPr>
        <w:t xml:space="preserve"> </w:t>
      </w:r>
      <w:r>
        <w:rPr>
          <w:rFonts w:ascii="宋体" w:hAnsi="宋体" w:eastAsia="宋体" w:cs="宋体"/>
          <w:color w:val="auto"/>
          <w:spacing w:val="-10"/>
          <w:sz w:val="24"/>
          <w:szCs w:val="24"/>
          <w:highlight w:val="none"/>
        </w:rPr>
        <w:t>自愿组成</w:t>
      </w:r>
      <w:r>
        <w:rPr>
          <w:rFonts w:ascii="宋体" w:hAnsi="宋体" w:eastAsia="宋体" w:cs="宋体"/>
          <w:color w:val="auto"/>
          <w:spacing w:val="17"/>
          <w:sz w:val="24"/>
          <w:szCs w:val="24"/>
          <w:highlight w:val="none"/>
          <w:u w:val="single" w:color="auto"/>
        </w:rPr>
        <w:t xml:space="preserve">     </w:t>
      </w:r>
      <w:r>
        <w:rPr>
          <w:rFonts w:ascii="宋体" w:hAnsi="宋体" w:eastAsia="宋体" w:cs="宋体"/>
          <w:color w:val="auto"/>
          <w:spacing w:val="-10"/>
          <w:sz w:val="24"/>
          <w:szCs w:val="24"/>
          <w:highlight w:val="none"/>
          <w:u w:val="single" w:color="auto"/>
        </w:rPr>
        <w:t>（联合体名称）</w:t>
      </w:r>
      <w:r>
        <w:rPr>
          <w:rFonts w:ascii="宋体" w:hAnsi="宋体" w:eastAsia="宋体" w:cs="宋体"/>
          <w:color w:val="auto"/>
          <w:spacing w:val="-11"/>
          <w:sz w:val="24"/>
          <w:szCs w:val="24"/>
          <w:highlight w:val="none"/>
        </w:rPr>
        <w:t>联合体，共同</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参加</w:t>
      </w:r>
      <w:r>
        <w:rPr>
          <w:rFonts w:ascii="宋体" w:hAnsi="宋体" w:eastAsia="宋体" w:cs="宋体"/>
          <w:color w:val="auto"/>
          <w:spacing w:val="19"/>
          <w:sz w:val="24"/>
          <w:szCs w:val="24"/>
          <w:highlight w:val="none"/>
          <w:u w:val="single" w:color="auto"/>
        </w:rPr>
        <w:t xml:space="preserve">     </w:t>
      </w:r>
      <w:r>
        <w:rPr>
          <w:rFonts w:ascii="宋体" w:hAnsi="宋体" w:eastAsia="宋体" w:cs="宋体"/>
          <w:color w:val="auto"/>
          <w:spacing w:val="-3"/>
          <w:sz w:val="24"/>
          <w:szCs w:val="24"/>
          <w:highlight w:val="none"/>
          <w:u w:val="single" w:color="auto"/>
        </w:rPr>
        <w:t>（项目名称</w:t>
      </w:r>
      <w:r>
        <w:rPr>
          <w:rFonts w:ascii="宋体" w:hAnsi="宋体" w:eastAsia="宋体" w:cs="宋体"/>
          <w:color w:val="auto"/>
          <w:spacing w:val="-1"/>
          <w:sz w:val="24"/>
          <w:szCs w:val="24"/>
          <w:highlight w:val="none"/>
          <w:u w:val="single" w:color="auto"/>
        </w:rPr>
        <w:t>）（</w:t>
      </w:r>
      <w:r>
        <w:rPr>
          <w:rFonts w:ascii="宋体" w:hAnsi="宋体" w:eastAsia="宋体" w:cs="宋体"/>
          <w:color w:val="auto"/>
          <w:spacing w:val="-3"/>
          <w:sz w:val="24"/>
          <w:szCs w:val="24"/>
          <w:highlight w:val="none"/>
          <w:u w:val="single" w:color="auto"/>
        </w:rPr>
        <w:t>项目编号）</w:t>
      </w:r>
      <w:r>
        <w:rPr>
          <w:rFonts w:ascii="宋体" w:hAnsi="宋体" w:eastAsia="宋体" w:cs="宋体"/>
          <w:color w:val="auto"/>
          <w:spacing w:val="-3"/>
          <w:sz w:val="24"/>
          <w:szCs w:val="24"/>
          <w:highlight w:val="none"/>
        </w:rPr>
        <w:t>采购项目竞标。现就联合体竞标事宜订立</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rPr>
        <w:t>如下协议。</w:t>
      </w:r>
    </w:p>
    <w:p w14:paraId="2B058C48">
      <w:pPr>
        <w:spacing w:before="34" w:line="219" w:lineRule="auto"/>
        <w:ind w:left="52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w:t>
      </w:r>
      <w:r>
        <w:rPr>
          <w:rFonts w:ascii="宋体" w:hAnsi="宋体" w:eastAsia="宋体" w:cs="宋体"/>
          <w:color w:val="auto"/>
          <w:spacing w:val="9"/>
          <w:sz w:val="24"/>
          <w:szCs w:val="24"/>
          <w:highlight w:val="none"/>
          <w:u w:val="single" w:color="auto"/>
        </w:rPr>
        <w:t xml:space="preserve">       </w:t>
      </w:r>
      <w:r>
        <w:rPr>
          <w:rFonts w:ascii="宋体" w:hAnsi="宋体" w:eastAsia="宋体" w:cs="宋体"/>
          <w:color w:val="auto"/>
          <w:spacing w:val="-2"/>
          <w:sz w:val="24"/>
          <w:szCs w:val="24"/>
          <w:highlight w:val="none"/>
          <w:u w:val="single" w:color="auto"/>
        </w:rPr>
        <w:t>（某成员单位名称）</w:t>
      </w:r>
      <w:r>
        <w:rPr>
          <w:rFonts w:ascii="宋体" w:hAnsi="宋体" w:eastAsia="宋体" w:cs="宋体"/>
          <w:color w:val="auto"/>
          <w:spacing w:val="-2"/>
          <w:sz w:val="24"/>
          <w:szCs w:val="24"/>
          <w:highlight w:val="none"/>
        </w:rPr>
        <w:t>为</w:t>
      </w:r>
      <w:r>
        <w:rPr>
          <w:rFonts w:ascii="宋体" w:hAnsi="宋体" w:eastAsia="宋体" w:cs="宋体"/>
          <w:color w:val="auto"/>
          <w:spacing w:val="-2"/>
          <w:sz w:val="24"/>
          <w:szCs w:val="24"/>
          <w:highlight w:val="none"/>
          <w:u w:val="single" w:color="auto"/>
        </w:rPr>
        <w:t xml:space="preserve">     （联合体名称）</w:t>
      </w:r>
      <w:r>
        <w:rPr>
          <w:rFonts w:ascii="宋体" w:hAnsi="宋体" w:eastAsia="宋体" w:cs="宋体"/>
          <w:color w:val="auto"/>
          <w:spacing w:val="-2"/>
          <w:sz w:val="24"/>
          <w:szCs w:val="24"/>
          <w:highlight w:val="none"/>
        </w:rPr>
        <w:t>牵头人。</w:t>
      </w:r>
    </w:p>
    <w:p w14:paraId="1E2B702F">
      <w:pPr>
        <w:spacing w:before="181" w:line="350" w:lineRule="auto"/>
        <w:ind w:left="33" w:right="16" w:firstLine="47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2.联合体各成员授权牵头人代表联合体参加竞标</w:t>
      </w:r>
      <w:r>
        <w:rPr>
          <w:rFonts w:ascii="宋体" w:hAnsi="宋体" w:eastAsia="宋体" w:cs="宋体"/>
          <w:color w:val="auto"/>
          <w:spacing w:val="3"/>
          <w:sz w:val="24"/>
          <w:szCs w:val="24"/>
          <w:highlight w:val="none"/>
        </w:rPr>
        <w:t>活动，签署文件及对文件</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的盖章，提交和接收相关的资料、信息及指示，进行合同磋商活动，负责合同</w:t>
      </w:r>
      <w:r>
        <w:rPr>
          <w:rFonts w:ascii="宋体" w:hAnsi="宋体" w:eastAsia="宋体" w:cs="宋体"/>
          <w:color w:val="auto"/>
          <w:spacing w:val="10"/>
          <w:sz w:val="24"/>
          <w:szCs w:val="24"/>
          <w:highlight w:val="none"/>
        </w:rPr>
        <w:t xml:space="preserve"> </w:t>
      </w:r>
      <w:r>
        <w:rPr>
          <w:rFonts w:ascii="宋体" w:hAnsi="宋体" w:eastAsia="宋体" w:cs="宋体"/>
          <w:color w:val="auto"/>
          <w:spacing w:val="-1"/>
          <w:sz w:val="24"/>
          <w:szCs w:val="24"/>
          <w:highlight w:val="none"/>
        </w:rPr>
        <w:t>实施阶段的组织和协调工作，以及处理与本</w:t>
      </w:r>
      <w:r>
        <w:rPr>
          <w:rFonts w:ascii="宋体" w:hAnsi="宋体" w:eastAsia="宋体" w:cs="宋体"/>
          <w:color w:val="auto"/>
          <w:spacing w:val="-2"/>
          <w:sz w:val="24"/>
          <w:szCs w:val="24"/>
          <w:highlight w:val="none"/>
        </w:rPr>
        <w:t>竞标项目有关的一切事宜。</w:t>
      </w:r>
    </w:p>
    <w:p w14:paraId="4C82AD28">
      <w:pPr>
        <w:spacing w:before="36" w:line="350" w:lineRule="auto"/>
        <w:ind w:left="28" w:right="22" w:firstLine="48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3.联合体牵头人在本项目中签署和盖章的一切文件和处理的一切事宜，联</w:t>
      </w:r>
      <w:r>
        <w:rPr>
          <w:rFonts w:ascii="宋体" w:hAnsi="宋体" w:eastAsia="宋体" w:cs="宋体"/>
          <w:color w:val="auto"/>
          <w:spacing w:val="13"/>
          <w:sz w:val="24"/>
          <w:szCs w:val="24"/>
          <w:highlight w:val="none"/>
        </w:rPr>
        <w:t xml:space="preserve"> </w:t>
      </w:r>
      <w:r>
        <w:rPr>
          <w:rFonts w:ascii="宋体" w:hAnsi="宋体" w:eastAsia="宋体" w:cs="宋体"/>
          <w:color w:val="auto"/>
          <w:spacing w:val="3"/>
          <w:sz w:val="24"/>
          <w:szCs w:val="24"/>
          <w:highlight w:val="none"/>
        </w:rPr>
        <w:t>合体各成员均予以承认。联合体各成员将严格按照磋商文件、响应文件和合同</w:t>
      </w:r>
      <w:r>
        <w:rPr>
          <w:rFonts w:ascii="宋体" w:hAnsi="宋体" w:eastAsia="宋体" w:cs="宋体"/>
          <w:color w:val="auto"/>
          <w:spacing w:val="15"/>
          <w:sz w:val="24"/>
          <w:szCs w:val="24"/>
          <w:highlight w:val="none"/>
        </w:rPr>
        <w:t xml:space="preserve"> </w:t>
      </w:r>
      <w:r>
        <w:rPr>
          <w:rFonts w:ascii="宋体" w:hAnsi="宋体" w:eastAsia="宋体" w:cs="宋体"/>
          <w:color w:val="auto"/>
          <w:spacing w:val="-2"/>
          <w:sz w:val="24"/>
          <w:szCs w:val="24"/>
          <w:highlight w:val="none"/>
        </w:rPr>
        <w:t>的要求全面履行义务，并向采购人承担连带责任。</w:t>
      </w:r>
    </w:p>
    <w:p w14:paraId="73666414">
      <w:pPr>
        <w:spacing w:before="36" w:line="220" w:lineRule="auto"/>
        <w:ind w:left="506"/>
        <w:rPr>
          <w:rFonts w:ascii="宋体" w:hAnsi="宋体" w:eastAsia="宋体" w:cs="宋体"/>
          <w:color w:val="auto"/>
          <w:sz w:val="24"/>
          <w:szCs w:val="24"/>
          <w:highlight w:val="none"/>
        </w:rPr>
      </w:pPr>
      <w:r>
        <w:rPr>
          <w:rFonts w:ascii="宋体" w:hAnsi="宋体" w:eastAsia="宋体" w:cs="宋体"/>
          <w:color w:val="auto"/>
          <w:sz w:val="24"/>
          <w:szCs w:val="24"/>
          <w:highlight w:val="none"/>
        </w:rPr>
        <w:t>4.联合体各成员单位内部的职责分工如下</w:t>
      </w:r>
      <w:r>
        <w:rPr>
          <w:rFonts w:ascii="宋体" w:hAnsi="宋体" w:eastAsia="宋体" w:cs="宋体"/>
          <w:color w:val="auto"/>
          <w:spacing w:val="-1"/>
          <w:sz w:val="24"/>
          <w:szCs w:val="24"/>
          <w:highlight w:val="none"/>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054D8D68">
      <w:pPr>
        <w:spacing w:before="181" w:line="347" w:lineRule="auto"/>
        <w:ind w:left="68" w:right="7" w:firstLine="443"/>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5.本协议书自所有成员单位法定代表人或者其委托代理人签字或者盖单位</w:t>
      </w:r>
      <w:r>
        <w:rPr>
          <w:rFonts w:ascii="宋体" w:hAnsi="宋体" w:eastAsia="宋体" w:cs="宋体"/>
          <w:color w:val="auto"/>
          <w:spacing w:val="-11"/>
          <w:sz w:val="24"/>
          <w:szCs w:val="24"/>
          <w:highlight w:val="none"/>
        </w:rPr>
        <w:t>章之</w:t>
      </w:r>
      <w:r>
        <w:rPr>
          <w:rFonts w:ascii="宋体" w:hAnsi="宋体" w:eastAsia="宋体" w:cs="宋体"/>
          <w:color w:val="auto"/>
          <w:sz w:val="24"/>
          <w:szCs w:val="24"/>
          <w:highlight w:val="none"/>
        </w:rPr>
        <w:t xml:space="preserve"> </w:t>
      </w:r>
      <w:r>
        <w:rPr>
          <w:rFonts w:ascii="宋体" w:hAnsi="宋体" w:eastAsia="宋体" w:cs="宋体"/>
          <w:color w:val="auto"/>
          <w:spacing w:val="-16"/>
          <w:sz w:val="24"/>
          <w:szCs w:val="24"/>
          <w:highlight w:val="none"/>
        </w:rPr>
        <w:t>日起生效，合同履行完毕后自动失效。</w:t>
      </w:r>
    </w:p>
    <w:p w14:paraId="72126936">
      <w:pPr>
        <w:spacing w:before="31" w:line="219" w:lineRule="auto"/>
        <w:ind w:left="5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6.本协议书一式</w:t>
      </w:r>
      <w:r>
        <w:rPr>
          <w:rFonts w:ascii="宋体" w:hAnsi="宋体" w:eastAsia="宋体" w:cs="宋体"/>
          <w:color w:val="auto"/>
          <w:spacing w:val="-111"/>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1"/>
          <w:sz w:val="24"/>
          <w:szCs w:val="24"/>
          <w:highlight w:val="none"/>
        </w:rPr>
        <w:t xml:space="preserve"> </w:t>
      </w:r>
      <w:r>
        <w:rPr>
          <w:rFonts w:ascii="宋体" w:hAnsi="宋体" w:eastAsia="宋体" w:cs="宋体"/>
          <w:color w:val="auto"/>
          <w:spacing w:val="-2"/>
          <w:sz w:val="24"/>
          <w:szCs w:val="24"/>
          <w:highlight w:val="none"/>
        </w:rPr>
        <w:t>份，联合体成员和采购人各执一份。</w:t>
      </w:r>
    </w:p>
    <w:p w14:paraId="63DB1936">
      <w:pPr>
        <w:spacing w:before="185" w:line="344" w:lineRule="auto"/>
        <w:ind w:left="33" w:right="24" w:firstLine="47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注：本协议书应附法定代表人身份证明书；有</w:t>
      </w:r>
      <w:r>
        <w:rPr>
          <w:rFonts w:ascii="宋体" w:hAnsi="宋体" w:eastAsia="宋体" w:cs="宋体"/>
          <w:color w:val="auto"/>
          <w:spacing w:val="3"/>
          <w:sz w:val="24"/>
          <w:szCs w:val="24"/>
          <w:highlight w:val="none"/>
        </w:rPr>
        <w:t>委托代理的，应附权委托书</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（格式自拟）。</w:t>
      </w:r>
    </w:p>
    <w:p w14:paraId="1175959B">
      <w:pPr>
        <w:spacing w:line="422" w:lineRule="auto"/>
        <w:rPr>
          <w:rFonts w:ascii="Arial"/>
          <w:color w:val="auto"/>
          <w:sz w:val="21"/>
          <w:highlight w:val="none"/>
        </w:rPr>
      </w:pPr>
    </w:p>
    <w:p w14:paraId="03B13971">
      <w:pPr>
        <w:spacing w:before="79" w:line="219" w:lineRule="auto"/>
        <w:ind w:left="2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联合体牵头人名称（电子签章</w:t>
      </w:r>
      <w:r>
        <w:rPr>
          <w:rFonts w:ascii="宋体" w:hAnsi="宋体" w:eastAsia="宋体" w:cs="宋体"/>
          <w:color w:val="auto"/>
          <w:spacing w:val="1"/>
          <w:sz w:val="24"/>
          <w:szCs w:val="24"/>
          <w:highlight w:val="none"/>
        </w:rPr>
        <w:t>）：</w:t>
      </w:r>
    </w:p>
    <w:p w14:paraId="0C4B96F6">
      <w:pPr>
        <w:spacing w:before="183" w:line="220" w:lineRule="auto"/>
        <w:ind w:left="2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法定代表人或者其委托代理人（签字或者电子签名</w:t>
      </w:r>
      <w:r>
        <w:rPr>
          <w:rFonts w:ascii="宋体" w:hAnsi="宋体" w:eastAsia="宋体" w:cs="宋体"/>
          <w:color w:val="auto"/>
          <w:spacing w:val="1"/>
          <w:sz w:val="24"/>
          <w:szCs w:val="24"/>
          <w:highlight w:val="none"/>
        </w:rPr>
        <w:t>）：</w:t>
      </w:r>
    </w:p>
    <w:p w14:paraId="46DFB444">
      <w:pPr>
        <w:spacing w:line="283" w:lineRule="auto"/>
        <w:rPr>
          <w:rFonts w:ascii="Arial"/>
          <w:color w:val="auto"/>
          <w:sz w:val="21"/>
          <w:highlight w:val="none"/>
        </w:rPr>
      </w:pPr>
    </w:p>
    <w:p w14:paraId="66CFEBE3">
      <w:pPr>
        <w:spacing w:line="284" w:lineRule="auto"/>
        <w:rPr>
          <w:rFonts w:ascii="Arial"/>
          <w:color w:val="auto"/>
          <w:sz w:val="21"/>
          <w:highlight w:val="none"/>
        </w:rPr>
      </w:pPr>
    </w:p>
    <w:p w14:paraId="324D6005">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联合体成员名称（盖公章或者电子签章</w:t>
      </w:r>
      <w:r>
        <w:rPr>
          <w:rFonts w:ascii="宋体" w:hAnsi="宋体" w:eastAsia="宋体" w:cs="宋体"/>
          <w:color w:val="auto"/>
          <w:spacing w:val="2"/>
          <w:sz w:val="24"/>
          <w:szCs w:val="24"/>
          <w:highlight w:val="none"/>
        </w:rPr>
        <w:t>）：</w:t>
      </w:r>
    </w:p>
    <w:p w14:paraId="2444C595">
      <w:pPr>
        <w:spacing w:before="180" w:line="220" w:lineRule="auto"/>
        <w:ind w:left="2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法定代表人或者其委托代理人（签字或者电子签名</w:t>
      </w:r>
      <w:r>
        <w:rPr>
          <w:rFonts w:ascii="宋体" w:hAnsi="宋体" w:eastAsia="宋体" w:cs="宋体"/>
          <w:color w:val="auto"/>
          <w:spacing w:val="1"/>
          <w:sz w:val="24"/>
          <w:szCs w:val="24"/>
          <w:highlight w:val="none"/>
        </w:rPr>
        <w:t>）：</w:t>
      </w:r>
    </w:p>
    <w:p w14:paraId="31457AAE">
      <w:pPr>
        <w:spacing w:line="283" w:lineRule="auto"/>
        <w:rPr>
          <w:rFonts w:ascii="Arial"/>
          <w:color w:val="auto"/>
          <w:sz w:val="21"/>
          <w:highlight w:val="none"/>
        </w:rPr>
      </w:pPr>
    </w:p>
    <w:p w14:paraId="164BF579">
      <w:pPr>
        <w:spacing w:line="283" w:lineRule="auto"/>
        <w:rPr>
          <w:rFonts w:ascii="Arial"/>
          <w:color w:val="auto"/>
          <w:sz w:val="21"/>
          <w:highlight w:val="none"/>
        </w:rPr>
      </w:pPr>
    </w:p>
    <w:p w14:paraId="68F4C535">
      <w:pPr>
        <w:spacing w:before="79" w:line="219" w:lineRule="auto"/>
        <w:ind w:left="2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联合体成员名称（盖公章或者电子签章</w:t>
      </w:r>
      <w:r>
        <w:rPr>
          <w:rFonts w:ascii="宋体" w:hAnsi="宋体" w:eastAsia="宋体" w:cs="宋体"/>
          <w:color w:val="auto"/>
          <w:spacing w:val="2"/>
          <w:sz w:val="24"/>
          <w:szCs w:val="24"/>
          <w:highlight w:val="none"/>
        </w:rPr>
        <w:t>）：</w:t>
      </w:r>
    </w:p>
    <w:p w14:paraId="59444F00">
      <w:pPr>
        <w:spacing w:before="182" w:line="381" w:lineRule="auto"/>
        <w:ind w:left="42" w:right="2606" w:hanging="1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法定代表人或者其委托代理人（签字或者电子签名</w:t>
      </w:r>
      <w:r>
        <w:rPr>
          <w:rFonts w:ascii="宋体" w:hAnsi="宋体" w:eastAsia="宋体" w:cs="宋体"/>
          <w:color w:val="auto"/>
          <w:spacing w:val="-1"/>
          <w:sz w:val="24"/>
          <w:szCs w:val="24"/>
          <w:highlight w:val="none"/>
        </w:rPr>
        <w:t>）：</w:t>
      </w:r>
      <w:r>
        <w:rPr>
          <w:rFonts w:ascii="宋体" w:hAnsi="宋体" w:eastAsia="宋体" w:cs="宋体"/>
          <w:color w:val="auto"/>
          <w:spacing w:val="1"/>
          <w:sz w:val="24"/>
          <w:szCs w:val="24"/>
          <w:highlight w:val="none"/>
        </w:rPr>
        <w:t xml:space="preserve"> </w:t>
      </w:r>
      <w:r>
        <w:rPr>
          <w:rFonts w:ascii="宋体" w:hAnsi="宋体" w:eastAsia="宋体" w:cs="宋体"/>
          <w:color w:val="auto"/>
          <w:spacing w:val="-7"/>
          <w:sz w:val="24"/>
          <w:szCs w:val="24"/>
          <w:highlight w:val="none"/>
        </w:rPr>
        <w:t>……</w:t>
      </w:r>
    </w:p>
    <w:p w14:paraId="6962759A">
      <w:pPr>
        <w:spacing w:line="331" w:lineRule="auto"/>
        <w:rPr>
          <w:rFonts w:ascii="Arial"/>
          <w:color w:val="auto"/>
          <w:sz w:val="21"/>
          <w:highlight w:val="none"/>
        </w:rPr>
      </w:pPr>
    </w:p>
    <w:p w14:paraId="4A45F688">
      <w:pPr>
        <w:spacing w:before="79" w:line="220" w:lineRule="auto"/>
        <w:ind w:left="5416"/>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2"/>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6"/>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521756EA">
      <w:pPr>
        <w:spacing w:line="220" w:lineRule="auto"/>
        <w:rPr>
          <w:rFonts w:ascii="宋体" w:hAnsi="宋体" w:eastAsia="宋体" w:cs="宋体"/>
          <w:color w:val="auto"/>
          <w:sz w:val="24"/>
          <w:szCs w:val="24"/>
          <w:highlight w:val="none"/>
        </w:rPr>
        <w:sectPr>
          <w:footerReference r:id="rId41" w:type="default"/>
          <w:pgSz w:w="11900" w:h="16832"/>
          <w:pgMar w:top="1430" w:right="1784" w:bottom="1220" w:left="1784" w:header="0" w:footer="1060" w:gutter="0"/>
          <w:pgNumType w:fmt="decimal"/>
          <w:cols w:space="720" w:num="1"/>
        </w:sectPr>
      </w:pPr>
    </w:p>
    <w:p w14:paraId="6D66EE1D">
      <w:pPr>
        <w:spacing w:line="286" w:lineRule="auto"/>
        <w:rPr>
          <w:rFonts w:ascii="Arial"/>
          <w:color w:val="auto"/>
          <w:sz w:val="21"/>
          <w:highlight w:val="none"/>
        </w:rPr>
      </w:pPr>
    </w:p>
    <w:p w14:paraId="593E2B37">
      <w:pPr>
        <w:spacing w:line="287" w:lineRule="auto"/>
        <w:rPr>
          <w:rFonts w:ascii="Arial"/>
          <w:color w:val="auto"/>
          <w:sz w:val="21"/>
          <w:highlight w:val="none"/>
        </w:rPr>
      </w:pPr>
    </w:p>
    <w:p w14:paraId="2F2015AE">
      <w:pPr>
        <w:spacing w:before="101" w:line="224" w:lineRule="auto"/>
        <w:ind w:left="35"/>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二、报价文件格式</w:t>
      </w:r>
    </w:p>
    <w:p w14:paraId="3B185483">
      <w:pPr>
        <w:spacing w:line="265" w:lineRule="auto"/>
        <w:rPr>
          <w:rFonts w:ascii="Arial"/>
          <w:color w:val="auto"/>
          <w:sz w:val="21"/>
          <w:highlight w:val="none"/>
        </w:rPr>
      </w:pPr>
    </w:p>
    <w:p w14:paraId="574D4048">
      <w:pPr>
        <w:spacing w:before="101" w:line="224" w:lineRule="auto"/>
        <w:ind w:left="54"/>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1.报价文件封面格式</w:t>
      </w:r>
    </w:p>
    <w:p w14:paraId="55F59C92">
      <w:pPr>
        <w:spacing w:line="258" w:lineRule="auto"/>
        <w:rPr>
          <w:rFonts w:ascii="Arial"/>
          <w:color w:val="auto"/>
          <w:sz w:val="21"/>
          <w:highlight w:val="none"/>
        </w:rPr>
      </w:pPr>
    </w:p>
    <w:p w14:paraId="672B9EA1">
      <w:pPr>
        <w:spacing w:line="258" w:lineRule="auto"/>
        <w:rPr>
          <w:rFonts w:ascii="Arial"/>
          <w:color w:val="auto"/>
          <w:sz w:val="21"/>
          <w:highlight w:val="none"/>
        </w:rPr>
      </w:pPr>
    </w:p>
    <w:p w14:paraId="67173944">
      <w:pPr>
        <w:spacing w:line="258" w:lineRule="auto"/>
        <w:rPr>
          <w:rFonts w:ascii="Arial"/>
          <w:color w:val="auto"/>
          <w:sz w:val="21"/>
          <w:highlight w:val="none"/>
        </w:rPr>
      </w:pPr>
    </w:p>
    <w:p w14:paraId="5D559E23">
      <w:pPr>
        <w:spacing w:before="140" w:line="223" w:lineRule="auto"/>
        <w:ind w:left="2364"/>
        <w:rPr>
          <w:rFonts w:ascii="宋体" w:hAnsi="宋体" w:eastAsia="宋体" w:cs="宋体"/>
          <w:color w:val="auto"/>
          <w:sz w:val="43"/>
          <w:szCs w:val="43"/>
          <w:highlight w:val="none"/>
        </w:rPr>
      </w:pPr>
      <w:r>
        <w:rPr>
          <w:rFonts w:ascii="宋体" w:hAnsi="宋体" w:eastAsia="宋体" w:cs="宋体"/>
          <w:color w:val="auto"/>
          <w:spacing w:val="-20"/>
          <w:sz w:val="43"/>
          <w:szCs w:val="43"/>
          <w:highlight w:val="none"/>
        </w:rPr>
        <w:t>电</w:t>
      </w:r>
      <w:r>
        <w:rPr>
          <w:rFonts w:ascii="宋体" w:hAnsi="宋体" w:eastAsia="宋体" w:cs="宋体"/>
          <w:color w:val="auto"/>
          <w:spacing w:val="24"/>
          <w:sz w:val="43"/>
          <w:szCs w:val="43"/>
          <w:highlight w:val="none"/>
        </w:rPr>
        <w:t xml:space="preserve"> </w:t>
      </w:r>
      <w:r>
        <w:rPr>
          <w:rFonts w:ascii="宋体" w:hAnsi="宋体" w:eastAsia="宋体" w:cs="宋体"/>
          <w:color w:val="auto"/>
          <w:spacing w:val="-20"/>
          <w:sz w:val="43"/>
          <w:szCs w:val="43"/>
          <w:highlight w:val="none"/>
        </w:rPr>
        <w:t>子</w:t>
      </w:r>
      <w:r>
        <w:rPr>
          <w:rFonts w:ascii="宋体" w:hAnsi="宋体" w:eastAsia="宋体" w:cs="宋体"/>
          <w:color w:val="auto"/>
          <w:spacing w:val="46"/>
          <w:sz w:val="43"/>
          <w:szCs w:val="43"/>
          <w:highlight w:val="none"/>
        </w:rPr>
        <w:t xml:space="preserve"> </w:t>
      </w:r>
      <w:r>
        <w:rPr>
          <w:rFonts w:ascii="宋体" w:hAnsi="宋体" w:eastAsia="宋体" w:cs="宋体"/>
          <w:color w:val="auto"/>
          <w:spacing w:val="-20"/>
          <w:sz w:val="43"/>
          <w:szCs w:val="43"/>
          <w:highlight w:val="none"/>
        </w:rPr>
        <w:t>响</w:t>
      </w:r>
      <w:r>
        <w:rPr>
          <w:rFonts w:ascii="宋体" w:hAnsi="宋体" w:eastAsia="宋体" w:cs="宋体"/>
          <w:color w:val="auto"/>
          <w:spacing w:val="23"/>
          <w:sz w:val="43"/>
          <w:szCs w:val="43"/>
          <w:highlight w:val="none"/>
        </w:rPr>
        <w:t xml:space="preserve"> </w:t>
      </w:r>
      <w:r>
        <w:rPr>
          <w:rFonts w:ascii="宋体" w:hAnsi="宋体" w:eastAsia="宋体" w:cs="宋体"/>
          <w:color w:val="auto"/>
          <w:spacing w:val="-20"/>
          <w:sz w:val="43"/>
          <w:szCs w:val="43"/>
          <w:highlight w:val="none"/>
        </w:rPr>
        <w:t>应</w:t>
      </w:r>
      <w:r>
        <w:rPr>
          <w:rFonts w:ascii="宋体" w:hAnsi="宋体" w:eastAsia="宋体" w:cs="宋体"/>
          <w:color w:val="auto"/>
          <w:spacing w:val="27"/>
          <w:sz w:val="43"/>
          <w:szCs w:val="43"/>
          <w:highlight w:val="none"/>
        </w:rPr>
        <w:t xml:space="preserve"> </w:t>
      </w:r>
      <w:r>
        <w:rPr>
          <w:rFonts w:ascii="宋体" w:hAnsi="宋体" w:eastAsia="宋体" w:cs="宋体"/>
          <w:color w:val="auto"/>
          <w:spacing w:val="-20"/>
          <w:sz w:val="43"/>
          <w:szCs w:val="43"/>
          <w:highlight w:val="none"/>
        </w:rPr>
        <w:t>文</w:t>
      </w:r>
      <w:r>
        <w:rPr>
          <w:rFonts w:ascii="宋体" w:hAnsi="宋体" w:eastAsia="宋体" w:cs="宋体"/>
          <w:color w:val="auto"/>
          <w:spacing w:val="21"/>
          <w:sz w:val="43"/>
          <w:szCs w:val="43"/>
          <w:highlight w:val="none"/>
        </w:rPr>
        <w:t xml:space="preserve"> </w:t>
      </w:r>
      <w:r>
        <w:rPr>
          <w:rFonts w:ascii="宋体" w:hAnsi="宋体" w:eastAsia="宋体" w:cs="宋体"/>
          <w:color w:val="auto"/>
          <w:spacing w:val="-20"/>
          <w:sz w:val="43"/>
          <w:szCs w:val="43"/>
          <w:highlight w:val="none"/>
        </w:rPr>
        <w:t>件</w:t>
      </w:r>
    </w:p>
    <w:p w14:paraId="04EF7FCF">
      <w:pPr>
        <w:spacing w:line="294" w:lineRule="auto"/>
        <w:rPr>
          <w:rFonts w:ascii="Arial"/>
          <w:color w:val="auto"/>
          <w:sz w:val="21"/>
          <w:highlight w:val="none"/>
        </w:rPr>
      </w:pPr>
    </w:p>
    <w:p w14:paraId="57723490">
      <w:pPr>
        <w:spacing w:line="294" w:lineRule="auto"/>
        <w:rPr>
          <w:rFonts w:ascii="Arial"/>
          <w:color w:val="auto"/>
          <w:sz w:val="21"/>
          <w:highlight w:val="none"/>
        </w:rPr>
      </w:pPr>
    </w:p>
    <w:p w14:paraId="6A114509">
      <w:pPr>
        <w:spacing w:line="295" w:lineRule="auto"/>
        <w:rPr>
          <w:rFonts w:ascii="Arial"/>
          <w:color w:val="auto"/>
          <w:sz w:val="21"/>
          <w:highlight w:val="none"/>
        </w:rPr>
      </w:pPr>
    </w:p>
    <w:p w14:paraId="729A4A18">
      <w:pPr>
        <w:spacing w:before="185" w:line="183" w:lineRule="auto"/>
        <w:ind w:left="2630"/>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3"/>
          <w:sz w:val="43"/>
          <w:szCs w:val="43"/>
          <w:highlight w:val="none"/>
        </w:rPr>
        <w:t>报</w:t>
      </w:r>
      <w:r>
        <w:rPr>
          <w:rFonts w:ascii="微软雅黑" w:hAnsi="微软雅黑" w:eastAsia="微软雅黑" w:cs="微软雅黑"/>
          <w:color w:val="auto"/>
          <w:spacing w:val="21"/>
          <w:sz w:val="43"/>
          <w:szCs w:val="43"/>
          <w:highlight w:val="none"/>
        </w:rPr>
        <w:t xml:space="preserve">   </w:t>
      </w:r>
      <w:r>
        <w:rPr>
          <w:rFonts w:ascii="微软雅黑" w:hAnsi="微软雅黑" w:eastAsia="微软雅黑" w:cs="微软雅黑"/>
          <w:color w:val="auto"/>
          <w:spacing w:val="3"/>
          <w:sz w:val="43"/>
          <w:szCs w:val="43"/>
          <w:highlight w:val="none"/>
        </w:rPr>
        <w:t>价</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3"/>
          <w:sz w:val="43"/>
          <w:szCs w:val="43"/>
          <w:highlight w:val="none"/>
        </w:rPr>
        <w:t>文</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3"/>
          <w:sz w:val="43"/>
          <w:szCs w:val="43"/>
          <w:highlight w:val="none"/>
        </w:rPr>
        <w:t>件</w:t>
      </w:r>
    </w:p>
    <w:p w14:paraId="1F94354C">
      <w:pPr>
        <w:spacing w:line="246" w:lineRule="auto"/>
        <w:rPr>
          <w:rFonts w:ascii="Arial"/>
          <w:color w:val="auto"/>
          <w:sz w:val="21"/>
          <w:highlight w:val="none"/>
        </w:rPr>
      </w:pPr>
    </w:p>
    <w:p w14:paraId="22D0777A">
      <w:pPr>
        <w:spacing w:line="247" w:lineRule="auto"/>
        <w:rPr>
          <w:rFonts w:ascii="Arial"/>
          <w:color w:val="auto"/>
          <w:sz w:val="21"/>
          <w:highlight w:val="none"/>
        </w:rPr>
      </w:pPr>
    </w:p>
    <w:p w14:paraId="2D54B665">
      <w:pPr>
        <w:spacing w:line="247" w:lineRule="auto"/>
        <w:rPr>
          <w:rFonts w:ascii="Arial"/>
          <w:color w:val="auto"/>
          <w:sz w:val="21"/>
          <w:highlight w:val="none"/>
        </w:rPr>
      </w:pPr>
    </w:p>
    <w:p w14:paraId="66B36065">
      <w:pPr>
        <w:spacing w:line="247" w:lineRule="auto"/>
        <w:rPr>
          <w:rFonts w:ascii="Arial"/>
          <w:color w:val="auto"/>
          <w:sz w:val="21"/>
          <w:highlight w:val="none"/>
        </w:rPr>
      </w:pPr>
    </w:p>
    <w:p w14:paraId="27376B2B">
      <w:pPr>
        <w:spacing w:line="247" w:lineRule="auto"/>
        <w:rPr>
          <w:rFonts w:ascii="Arial"/>
          <w:color w:val="auto"/>
          <w:sz w:val="21"/>
          <w:highlight w:val="none"/>
        </w:rPr>
      </w:pPr>
    </w:p>
    <w:p w14:paraId="6B870692">
      <w:pPr>
        <w:spacing w:line="247" w:lineRule="auto"/>
        <w:rPr>
          <w:rFonts w:ascii="Arial"/>
          <w:color w:val="auto"/>
          <w:sz w:val="21"/>
          <w:highlight w:val="none"/>
        </w:rPr>
      </w:pPr>
    </w:p>
    <w:p w14:paraId="4A6C4663">
      <w:pPr>
        <w:spacing w:line="247" w:lineRule="auto"/>
        <w:rPr>
          <w:rFonts w:ascii="Arial"/>
          <w:color w:val="auto"/>
          <w:sz w:val="21"/>
          <w:highlight w:val="none"/>
        </w:rPr>
      </w:pPr>
    </w:p>
    <w:p w14:paraId="391163E7">
      <w:pPr>
        <w:spacing w:line="247" w:lineRule="auto"/>
        <w:rPr>
          <w:rFonts w:ascii="Arial"/>
          <w:color w:val="auto"/>
          <w:sz w:val="21"/>
          <w:highlight w:val="none"/>
        </w:rPr>
      </w:pPr>
    </w:p>
    <w:p w14:paraId="44B5335D">
      <w:pPr>
        <w:spacing w:line="247" w:lineRule="auto"/>
        <w:rPr>
          <w:rFonts w:ascii="Arial"/>
          <w:color w:val="auto"/>
          <w:sz w:val="21"/>
          <w:highlight w:val="none"/>
        </w:rPr>
      </w:pPr>
    </w:p>
    <w:p w14:paraId="782EBFF5">
      <w:pPr>
        <w:spacing w:before="100" w:line="226"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项目名称：</w:t>
      </w:r>
    </w:p>
    <w:p w14:paraId="0448120D">
      <w:pPr>
        <w:spacing w:line="293" w:lineRule="auto"/>
        <w:rPr>
          <w:rFonts w:ascii="Arial"/>
          <w:color w:val="auto"/>
          <w:sz w:val="21"/>
          <w:highlight w:val="none"/>
        </w:rPr>
      </w:pPr>
    </w:p>
    <w:p w14:paraId="0D996D76">
      <w:pPr>
        <w:spacing w:line="294" w:lineRule="auto"/>
        <w:rPr>
          <w:rFonts w:ascii="Arial"/>
          <w:color w:val="auto"/>
          <w:sz w:val="21"/>
          <w:highlight w:val="none"/>
        </w:rPr>
      </w:pPr>
    </w:p>
    <w:p w14:paraId="0982362E">
      <w:pPr>
        <w:spacing w:before="101" w:line="225"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项目编号：</w:t>
      </w:r>
    </w:p>
    <w:p w14:paraId="37EE13E3">
      <w:pPr>
        <w:spacing w:line="258" w:lineRule="auto"/>
        <w:rPr>
          <w:rFonts w:ascii="Arial"/>
          <w:color w:val="auto"/>
          <w:sz w:val="21"/>
          <w:highlight w:val="none"/>
        </w:rPr>
      </w:pPr>
    </w:p>
    <w:p w14:paraId="166D809E">
      <w:pPr>
        <w:spacing w:line="259" w:lineRule="auto"/>
        <w:rPr>
          <w:rFonts w:ascii="Arial"/>
          <w:color w:val="auto"/>
          <w:sz w:val="21"/>
          <w:highlight w:val="none"/>
        </w:rPr>
      </w:pPr>
    </w:p>
    <w:p w14:paraId="46BB0D2A">
      <w:pPr>
        <w:spacing w:before="101" w:line="224" w:lineRule="auto"/>
        <w:ind w:left="671"/>
        <w:rPr>
          <w:rFonts w:ascii="宋体" w:hAnsi="宋体" w:eastAsia="宋体" w:cs="宋体"/>
          <w:color w:val="auto"/>
          <w:sz w:val="31"/>
          <w:szCs w:val="31"/>
          <w:highlight w:val="none"/>
        </w:rPr>
      </w:pPr>
      <w:r>
        <w:rPr>
          <w:rFonts w:ascii="宋体" w:hAnsi="宋体" w:eastAsia="宋体" w:cs="宋体"/>
          <w:color w:val="auto"/>
          <w:spacing w:val="-1"/>
          <w:sz w:val="31"/>
          <w:szCs w:val="31"/>
          <w:highlight w:val="none"/>
        </w:rPr>
        <w:t>供应商名称：</w:t>
      </w:r>
    </w:p>
    <w:p w14:paraId="1BA4CD38">
      <w:pPr>
        <w:spacing w:line="272" w:lineRule="auto"/>
        <w:rPr>
          <w:rFonts w:ascii="Arial"/>
          <w:color w:val="auto"/>
          <w:sz w:val="21"/>
          <w:highlight w:val="none"/>
        </w:rPr>
      </w:pPr>
    </w:p>
    <w:p w14:paraId="15C14622">
      <w:pPr>
        <w:spacing w:line="272" w:lineRule="auto"/>
        <w:rPr>
          <w:rFonts w:ascii="Arial"/>
          <w:color w:val="auto"/>
          <w:sz w:val="21"/>
          <w:highlight w:val="none"/>
        </w:rPr>
      </w:pPr>
    </w:p>
    <w:p w14:paraId="33A93C28">
      <w:pPr>
        <w:spacing w:line="272" w:lineRule="auto"/>
        <w:rPr>
          <w:rFonts w:ascii="Arial"/>
          <w:color w:val="auto"/>
          <w:sz w:val="21"/>
          <w:highlight w:val="none"/>
        </w:rPr>
      </w:pPr>
    </w:p>
    <w:p w14:paraId="4D6BC5C9">
      <w:pPr>
        <w:spacing w:line="272" w:lineRule="auto"/>
        <w:rPr>
          <w:rFonts w:ascii="Arial"/>
          <w:color w:val="auto"/>
          <w:sz w:val="21"/>
          <w:highlight w:val="none"/>
        </w:rPr>
      </w:pPr>
    </w:p>
    <w:p w14:paraId="11331945">
      <w:pPr>
        <w:spacing w:line="272" w:lineRule="auto"/>
        <w:rPr>
          <w:rFonts w:ascii="Arial"/>
          <w:color w:val="auto"/>
          <w:sz w:val="21"/>
          <w:highlight w:val="none"/>
        </w:rPr>
      </w:pPr>
    </w:p>
    <w:p w14:paraId="43F4A31D">
      <w:pPr>
        <w:spacing w:line="273" w:lineRule="auto"/>
        <w:rPr>
          <w:rFonts w:ascii="Arial"/>
          <w:color w:val="auto"/>
          <w:sz w:val="21"/>
          <w:highlight w:val="none"/>
        </w:rPr>
      </w:pPr>
    </w:p>
    <w:p w14:paraId="5730DD76">
      <w:pPr>
        <w:spacing w:line="273" w:lineRule="auto"/>
        <w:rPr>
          <w:rFonts w:ascii="Arial"/>
          <w:color w:val="auto"/>
          <w:sz w:val="21"/>
          <w:highlight w:val="none"/>
        </w:rPr>
      </w:pPr>
    </w:p>
    <w:p w14:paraId="4E8B6B6C">
      <w:pPr>
        <w:spacing w:before="101" w:line="225" w:lineRule="auto"/>
        <w:ind w:left="3058"/>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1"/>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5BF788F1">
      <w:pPr>
        <w:spacing w:line="225" w:lineRule="auto"/>
        <w:rPr>
          <w:rFonts w:ascii="宋体" w:hAnsi="宋体" w:eastAsia="宋体" w:cs="宋体"/>
          <w:color w:val="auto"/>
          <w:sz w:val="31"/>
          <w:szCs w:val="31"/>
          <w:highlight w:val="none"/>
        </w:rPr>
        <w:sectPr>
          <w:footerReference r:id="rId42" w:type="default"/>
          <w:pgSz w:w="11900" w:h="16832"/>
          <w:pgMar w:top="1430" w:right="1784" w:bottom="1220" w:left="1784" w:header="0" w:footer="1060" w:gutter="0"/>
          <w:pgNumType w:fmt="decimal"/>
          <w:cols w:space="720" w:num="1"/>
        </w:sectPr>
      </w:pPr>
    </w:p>
    <w:p w14:paraId="493A8122">
      <w:pPr>
        <w:spacing w:before="126" w:line="224" w:lineRule="auto"/>
        <w:ind w:left="175"/>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2.报价文件目录</w:t>
      </w:r>
    </w:p>
    <w:p w14:paraId="0B696215">
      <w:pPr>
        <w:spacing w:line="286" w:lineRule="auto"/>
        <w:rPr>
          <w:rFonts w:ascii="Arial"/>
          <w:color w:val="auto"/>
          <w:sz w:val="21"/>
          <w:highlight w:val="none"/>
        </w:rPr>
      </w:pPr>
    </w:p>
    <w:p w14:paraId="705765F0">
      <w:pPr>
        <w:spacing w:before="100" w:line="296" w:lineRule="auto"/>
        <w:ind w:left="30" w:right="23"/>
        <w:rPr>
          <w:rFonts w:ascii="宋体" w:hAnsi="宋体" w:eastAsia="宋体" w:cs="宋体"/>
          <w:color w:val="auto"/>
          <w:sz w:val="31"/>
          <w:szCs w:val="31"/>
          <w:highlight w:val="none"/>
        </w:rPr>
      </w:pPr>
      <w:r>
        <w:rPr>
          <w:rFonts w:ascii="宋体" w:hAnsi="宋体" w:eastAsia="宋体" w:cs="宋体"/>
          <w:color w:val="auto"/>
          <w:spacing w:val="8"/>
          <w:sz w:val="31"/>
          <w:szCs w:val="31"/>
          <w:highlight w:val="none"/>
        </w:rPr>
        <w:t>根据磋商文件规定及供应商提供的材料自行编写目录（部分</w:t>
      </w:r>
      <w:r>
        <w:rPr>
          <w:rFonts w:ascii="宋体" w:hAnsi="宋体" w:eastAsia="宋体" w:cs="宋体"/>
          <w:color w:val="auto"/>
          <w:spacing w:val="6"/>
          <w:sz w:val="31"/>
          <w:szCs w:val="31"/>
          <w:highlight w:val="none"/>
        </w:rPr>
        <w:t xml:space="preserve"> </w:t>
      </w:r>
      <w:r>
        <w:rPr>
          <w:rFonts w:ascii="宋体" w:hAnsi="宋体" w:eastAsia="宋体" w:cs="宋体"/>
          <w:color w:val="auto"/>
          <w:spacing w:val="1"/>
          <w:sz w:val="31"/>
          <w:szCs w:val="31"/>
          <w:highlight w:val="none"/>
        </w:rPr>
        <w:t>格式后附）。</w:t>
      </w:r>
    </w:p>
    <w:p w14:paraId="2DD5B40C">
      <w:pPr>
        <w:spacing w:line="296" w:lineRule="auto"/>
        <w:rPr>
          <w:rFonts w:ascii="宋体" w:hAnsi="宋体" w:eastAsia="宋体" w:cs="宋体"/>
          <w:color w:val="auto"/>
          <w:sz w:val="31"/>
          <w:szCs w:val="31"/>
          <w:highlight w:val="none"/>
        </w:rPr>
        <w:sectPr>
          <w:footerReference r:id="rId43" w:type="default"/>
          <w:pgSz w:w="11900" w:h="16832"/>
          <w:pgMar w:top="1430" w:right="1784" w:bottom="1220" w:left="1784" w:header="0" w:footer="1060" w:gutter="0"/>
          <w:pgNumType w:fmt="decimal"/>
          <w:cols w:space="720" w:num="1"/>
        </w:sectPr>
      </w:pPr>
    </w:p>
    <w:p w14:paraId="7A16884D">
      <w:pPr>
        <w:spacing w:before="151" w:line="224" w:lineRule="auto"/>
        <w:ind w:left="2734"/>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竞标函及竞标函附录</w:t>
      </w:r>
    </w:p>
    <w:p w14:paraId="41750954">
      <w:pPr>
        <w:spacing w:line="278" w:lineRule="auto"/>
        <w:rPr>
          <w:rFonts w:ascii="Arial"/>
          <w:color w:val="auto"/>
          <w:sz w:val="21"/>
          <w:highlight w:val="none"/>
        </w:rPr>
      </w:pPr>
    </w:p>
    <w:p w14:paraId="0DF259A1">
      <w:pPr>
        <w:spacing w:line="279" w:lineRule="auto"/>
        <w:rPr>
          <w:rFonts w:ascii="Arial"/>
          <w:color w:val="auto"/>
          <w:sz w:val="21"/>
          <w:highlight w:val="none"/>
        </w:rPr>
      </w:pPr>
    </w:p>
    <w:p w14:paraId="72743020">
      <w:pPr>
        <w:spacing w:before="101" w:line="226" w:lineRule="auto"/>
        <w:ind w:left="3226"/>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（一）竞标函</w:t>
      </w:r>
    </w:p>
    <w:p w14:paraId="0F45D4E2">
      <w:pPr>
        <w:spacing w:line="479" w:lineRule="auto"/>
        <w:rPr>
          <w:rFonts w:ascii="Arial"/>
          <w:color w:val="auto"/>
          <w:sz w:val="21"/>
          <w:highlight w:val="none"/>
        </w:rPr>
      </w:pPr>
    </w:p>
    <w:p w14:paraId="1EC01DD2">
      <w:pPr>
        <w:tabs>
          <w:tab w:val="left" w:pos="2748"/>
        </w:tabs>
        <w:spacing w:before="69" w:line="220" w:lineRule="auto"/>
        <w:ind w:left="1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（采购人名称</w:t>
      </w:r>
      <w:r>
        <w:rPr>
          <w:rFonts w:ascii="宋体" w:hAnsi="宋体" w:eastAsia="宋体" w:cs="宋体"/>
          <w:color w:val="auto"/>
          <w:spacing w:val="-13"/>
          <w:sz w:val="21"/>
          <w:szCs w:val="21"/>
          <w:highlight w:val="none"/>
        </w:rPr>
        <w:t>）：</w:t>
      </w:r>
    </w:p>
    <w:p w14:paraId="689F087C">
      <w:pPr>
        <w:spacing w:before="157" w:line="353" w:lineRule="auto"/>
        <w:ind w:left="28" w:right="11" w:firstLine="451"/>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19"/>
          <w:szCs w:val="19"/>
          <w:highlight w:val="none"/>
        </w:rPr>
        <w:t>1.</w:t>
      </w:r>
      <w:r>
        <w:rPr>
          <w:rFonts w:ascii="Times New Roman" w:hAnsi="Times New Roman" w:eastAsia="Times New Roman" w:cs="Times New Roman"/>
          <w:color w:val="auto"/>
          <w:spacing w:val="13"/>
          <w:w w:val="101"/>
          <w:sz w:val="19"/>
          <w:szCs w:val="19"/>
          <w:highlight w:val="none"/>
        </w:rPr>
        <w:t xml:space="preserve">   </w:t>
      </w:r>
      <w:r>
        <w:rPr>
          <w:rFonts w:ascii="宋体" w:hAnsi="宋体" w:eastAsia="宋体" w:cs="宋体"/>
          <w:color w:val="auto"/>
          <w:spacing w:val="1"/>
          <w:sz w:val="21"/>
          <w:szCs w:val="21"/>
          <w:highlight w:val="none"/>
        </w:rPr>
        <w:t>我方已仔细研究了</w:t>
      </w:r>
      <w:r>
        <w:rPr>
          <w:rFonts w:ascii="宋体" w:hAnsi="宋体" w:eastAsia="宋体" w:cs="宋体"/>
          <w:color w:val="auto"/>
          <w:spacing w:val="1"/>
          <w:sz w:val="21"/>
          <w:szCs w:val="21"/>
          <w:highlight w:val="none"/>
          <w:u w:val="single" w:color="auto"/>
        </w:rPr>
        <w:t xml:space="preserve">           （项目名称、项目编号）          </w:t>
      </w:r>
      <w:r>
        <w:rPr>
          <w:rFonts w:ascii="宋体" w:hAnsi="宋体" w:eastAsia="宋体" w:cs="宋体"/>
          <w:color w:val="auto"/>
          <w:spacing w:val="-97"/>
          <w:sz w:val="21"/>
          <w:szCs w:val="21"/>
          <w:highlight w:val="none"/>
        </w:rPr>
        <w:t xml:space="preserve"> </w:t>
      </w:r>
      <w:r>
        <w:rPr>
          <w:rFonts w:ascii="宋体" w:hAnsi="宋体" w:eastAsia="宋体" w:cs="宋体"/>
          <w:color w:val="auto"/>
          <w:spacing w:val="1"/>
          <w:sz w:val="21"/>
          <w:szCs w:val="21"/>
          <w:highlight w:val="none"/>
        </w:rPr>
        <w:t>磋商文件的全</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部内容，愿意以人民币（大写）</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14"/>
          <w:sz w:val="21"/>
          <w:szCs w:val="21"/>
          <w:highlight w:val="none"/>
        </w:rPr>
        <w:t>元(</w:t>
      </w:r>
      <w:r>
        <w:rPr>
          <w:rFonts w:ascii="宋体" w:hAnsi="宋体" w:eastAsia="宋体" w:cs="宋体"/>
          <w:color w:val="auto"/>
          <w:spacing w:val="-63"/>
          <w:sz w:val="21"/>
          <w:szCs w:val="21"/>
          <w:highlight w:val="none"/>
        </w:rPr>
        <w:t xml:space="preserve"> </w:t>
      </w:r>
      <w:r>
        <w:rPr>
          <w:rFonts w:ascii="Times New Roman" w:hAnsi="Times New Roman" w:eastAsia="Times New Roman" w:cs="Times New Roman"/>
          <w:color w:val="auto"/>
          <w:spacing w:val="14"/>
          <w:sz w:val="21"/>
          <w:szCs w:val="21"/>
          <w:highlight w:val="none"/>
        </w:rPr>
        <w:t>¥</w:t>
      </w:r>
      <w:r>
        <w:rPr>
          <w:rFonts w:ascii="Times New Roman" w:hAnsi="Times New Roman" w:eastAsia="Times New Roman" w:cs="Times New Roman"/>
          <w:color w:val="auto"/>
          <w:spacing w:val="14"/>
          <w:sz w:val="21"/>
          <w:szCs w:val="21"/>
          <w:highlight w:val="none"/>
          <w:u w:val="single" w:color="auto"/>
        </w:rPr>
        <w:t xml:space="preserve">               </w:t>
      </w:r>
      <w:r>
        <w:rPr>
          <w:rFonts w:ascii="Times New Roman" w:hAnsi="Times New Roman" w:eastAsia="Times New Roman" w:cs="Times New Roman"/>
          <w:color w:val="auto"/>
          <w:spacing w:val="-21"/>
          <w:sz w:val="21"/>
          <w:szCs w:val="21"/>
          <w:highlight w:val="none"/>
        </w:rPr>
        <w:t xml:space="preserve"> </w:t>
      </w:r>
      <w:r>
        <w:rPr>
          <w:rFonts w:ascii="宋体" w:hAnsi="宋体" w:eastAsia="宋体" w:cs="宋体"/>
          <w:color w:val="auto"/>
          <w:spacing w:val="14"/>
          <w:sz w:val="21"/>
          <w:szCs w:val="21"/>
          <w:highlight w:val="none"/>
        </w:rPr>
        <w:t>)的竞标总报价，工期</w:t>
      </w:r>
      <w:r>
        <w:rPr>
          <w:rFonts w:ascii="宋体" w:hAnsi="宋体" w:eastAsia="宋体" w:cs="宋体"/>
          <w:color w:val="auto"/>
          <w:sz w:val="21"/>
          <w:szCs w:val="21"/>
          <w:highlight w:val="none"/>
        </w:rPr>
        <w:t xml:space="preserve"> </w:t>
      </w:r>
      <w:r>
        <w:rPr>
          <w:rFonts w:ascii="宋体" w:hAnsi="宋体" w:eastAsia="宋体" w:cs="宋体"/>
          <w:color w:val="auto"/>
          <w:spacing w:val="22"/>
          <w:sz w:val="21"/>
          <w:szCs w:val="21"/>
          <w:highlight w:val="none"/>
        </w:rPr>
        <w:t>日历天</w:t>
      </w:r>
      <w:r>
        <w:rPr>
          <w:rFonts w:ascii="宋体" w:hAnsi="宋体" w:eastAsia="宋体" w:cs="宋体"/>
          <w:color w:val="auto"/>
          <w:spacing w:val="-49"/>
          <w:sz w:val="21"/>
          <w:szCs w:val="21"/>
          <w:highlight w:val="none"/>
        </w:rPr>
        <w:t xml:space="preserve"> </w:t>
      </w:r>
      <w:r>
        <w:rPr>
          <w:rFonts w:ascii="宋体" w:hAnsi="宋体" w:eastAsia="宋体" w:cs="宋体"/>
          <w:color w:val="auto"/>
          <w:spacing w:val="22"/>
          <w:sz w:val="21"/>
          <w:szCs w:val="21"/>
          <w:highlight w:val="none"/>
        </w:rPr>
        <w:t>，按合同约定实施和完成承包工程</w:t>
      </w:r>
      <w:r>
        <w:rPr>
          <w:rFonts w:ascii="宋体" w:hAnsi="宋体" w:eastAsia="宋体" w:cs="宋体"/>
          <w:color w:val="auto"/>
          <w:spacing w:val="-53"/>
          <w:sz w:val="21"/>
          <w:szCs w:val="21"/>
          <w:highlight w:val="none"/>
        </w:rPr>
        <w:t xml:space="preserve"> </w:t>
      </w:r>
      <w:r>
        <w:rPr>
          <w:rFonts w:ascii="宋体" w:hAnsi="宋体" w:eastAsia="宋体" w:cs="宋体"/>
          <w:color w:val="auto"/>
          <w:spacing w:val="22"/>
          <w:sz w:val="21"/>
          <w:szCs w:val="21"/>
          <w:highlight w:val="none"/>
        </w:rPr>
        <w:t>，修补工程中的任何缺陷</w:t>
      </w:r>
      <w:r>
        <w:rPr>
          <w:rFonts w:ascii="宋体" w:hAnsi="宋体" w:eastAsia="宋体" w:cs="宋体"/>
          <w:color w:val="auto"/>
          <w:spacing w:val="-54"/>
          <w:sz w:val="21"/>
          <w:szCs w:val="21"/>
          <w:highlight w:val="none"/>
        </w:rPr>
        <w:t xml:space="preserve"> </w:t>
      </w:r>
      <w:r>
        <w:rPr>
          <w:rFonts w:ascii="宋体" w:hAnsi="宋体" w:eastAsia="宋体" w:cs="宋体"/>
          <w:color w:val="auto"/>
          <w:spacing w:val="22"/>
          <w:sz w:val="21"/>
          <w:szCs w:val="21"/>
          <w:highlight w:val="none"/>
        </w:rPr>
        <w:t>，工程质量达</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到</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5"/>
          <w:sz w:val="21"/>
          <w:szCs w:val="21"/>
          <w:highlight w:val="none"/>
        </w:rPr>
        <w:t>。</w:t>
      </w:r>
    </w:p>
    <w:p w14:paraId="2446F178">
      <w:pPr>
        <w:spacing w:before="28" w:line="220"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z w:val="19"/>
          <w:szCs w:val="19"/>
          <w:highlight w:val="none"/>
        </w:rPr>
        <w:t xml:space="preserve">2.    </w:t>
      </w:r>
      <w:r>
        <w:rPr>
          <w:rFonts w:ascii="宋体" w:hAnsi="宋体" w:eastAsia="宋体" w:cs="宋体"/>
          <w:color w:val="auto"/>
          <w:sz w:val="21"/>
          <w:szCs w:val="21"/>
          <w:highlight w:val="none"/>
        </w:rPr>
        <w:t>我方承认竞标函附录是我方竞标函的组成部分。</w:t>
      </w:r>
    </w:p>
    <w:p w14:paraId="3C80CA62">
      <w:pPr>
        <w:spacing w:before="159" w:line="221" w:lineRule="auto"/>
        <w:ind w:left="44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19"/>
          <w:szCs w:val="19"/>
          <w:highlight w:val="none"/>
        </w:rPr>
        <w:t>3.</w:t>
      </w:r>
      <w:r>
        <w:rPr>
          <w:rFonts w:ascii="Times New Roman" w:hAnsi="Times New Roman" w:eastAsia="Times New Roman" w:cs="Times New Roman"/>
          <w:color w:val="auto"/>
          <w:spacing w:val="5"/>
          <w:sz w:val="19"/>
          <w:szCs w:val="19"/>
          <w:highlight w:val="none"/>
        </w:rPr>
        <w:t xml:space="preserve">    </w:t>
      </w:r>
      <w:r>
        <w:rPr>
          <w:rFonts w:ascii="宋体" w:hAnsi="宋体" w:eastAsia="宋体" w:cs="宋体"/>
          <w:color w:val="auto"/>
          <w:spacing w:val="-2"/>
          <w:sz w:val="21"/>
          <w:szCs w:val="21"/>
          <w:highlight w:val="none"/>
        </w:rPr>
        <w:t>如我方成交：</w:t>
      </w:r>
    </w:p>
    <w:p w14:paraId="7AD79E13">
      <w:pPr>
        <w:spacing w:before="156"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）我方承诺在收到成交通知书后，在成交通知书规定的期限内与你方签订合同。</w:t>
      </w:r>
    </w:p>
    <w:p w14:paraId="071221FC">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）在签订合同时不向你方提出附加条件。</w:t>
      </w:r>
    </w:p>
    <w:p w14:paraId="3E5C4624">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）我方承诺按照磋商文件规定向你方递交履约</w:t>
      </w:r>
      <w:r>
        <w:rPr>
          <w:rFonts w:ascii="宋体" w:hAnsi="宋体" w:eastAsia="宋体" w:cs="宋体"/>
          <w:color w:val="auto"/>
          <w:spacing w:val="-2"/>
          <w:sz w:val="21"/>
          <w:szCs w:val="21"/>
          <w:highlight w:val="none"/>
        </w:rPr>
        <w:t>担保。</w:t>
      </w:r>
    </w:p>
    <w:p w14:paraId="259A1C66">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）我方承诺在合同约定的期限内完成并移交全部合同工程。</w:t>
      </w:r>
    </w:p>
    <w:p w14:paraId="329F005A">
      <w:pPr>
        <w:spacing w:before="156" w:line="290" w:lineRule="auto"/>
        <w:ind w:left="27" w:right="14" w:firstLine="433"/>
        <w:rPr>
          <w:rFonts w:ascii="宋体" w:hAnsi="宋体" w:eastAsia="宋体" w:cs="宋体"/>
          <w:color w:val="auto"/>
          <w:sz w:val="21"/>
          <w:szCs w:val="21"/>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21"/>
          <w:szCs w:val="21"/>
          <w:highlight w:val="none"/>
        </w:rPr>
        <w:t>在合同协议书正式签署生效之前，本竞标函连同你方的成交通知书将构成我们双</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方之间共同遵守的文件，对双方具有约束力。</w:t>
      </w:r>
    </w:p>
    <w:p w14:paraId="0919D4E7">
      <w:pPr>
        <w:spacing w:before="157" w:line="221" w:lineRule="auto"/>
        <w:ind w:left="44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（其他补充说明）。</w:t>
      </w:r>
    </w:p>
    <w:p w14:paraId="2ECD0AE6">
      <w:pPr>
        <w:spacing w:line="351" w:lineRule="auto"/>
        <w:rPr>
          <w:rFonts w:ascii="Arial"/>
          <w:color w:val="auto"/>
          <w:sz w:val="21"/>
          <w:highlight w:val="none"/>
        </w:rPr>
      </w:pPr>
    </w:p>
    <w:p w14:paraId="24BB37E9">
      <w:pPr>
        <w:spacing w:line="352" w:lineRule="auto"/>
        <w:rPr>
          <w:rFonts w:ascii="Arial"/>
          <w:color w:val="auto"/>
          <w:sz w:val="21"/>
          <w:highlight w:val="none"/>
        </w:rPr>
      </w:pPr>
    </w:p>
    <w:p w14:paraId="107E4784">
      <w:pPr>
        <w:spacing w:before="79" w:line="346" w:lineRule="auto"/>
        <w:ind w:left="2667" w:right="2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法定代表人或者委托代理人（签字或者电子签名</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4DD52D36">
      <w:pPr>
        <w:spacing w:before="32" w:line="220" w:lineRule="auto"/>
        <w:ind w:left="2956"/>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799C203E">
      <w:pPr>
        <w:spacing w:line="220" w:lineRule="auto"/>
        <w:rPr>
          <w:rFonts w:ascii="宋体" w:hAnsi="宋体" w:eastAsia="宋体" w:cs="宋体"/>
          <w:color w:val="auto"/>
          <w:sz w:val="24"/>
          <w:szCs w:val="24"/>
          <w:highlight w:val="none"/>
        </w:rPr>
        <w:sectPr>
          <w:footerReference r:id="rId44" w:type="default"/>
          <w:pgSz w:w="11900" w:h="16832"/>
          <w:pgMar w:top="1430" w:right="1784" w:bottom="1220" w:left="1784" w:header="0" w:footer="1060" w:gutter="0"/>
          <w:pgNumType w:fmt="decimal"/>
          <w:cols w:space="720" w:num="1"/>
        </w:sectPr>
      </w:pPr>
    </w:p>
    <w:p w14:paraId="476383BC">
      <w:pPr>
        <w:spacing w:before="64" w:line="224" w:lineRule="auto"/>
        <w:ind w:left="2904"/>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（二）竞标函附录</w:t>
      </w:r>
    </w:p>
    <w:p w14:paraId="33768BC1">
      <w:pPr>
        <w:spacing w:before="91"/>
        <w:rPr>
          <w:color w:val="auto"/>
          <w:highlight w:val="none"/>
        </w:rPr>
      </w:pPr>
    </w:p>
    <w:p w14:paraId="420C4A59">
      <w:pPr>
        <w:spacing w:before="91"/>
        <w:rPr>
          <w:color w:val="auto"/>
          <w:highlight w:val="none"/>
        </w:rPr>
      </w:pPr>
    </w:p>
    <w:tbl>
      <w:tblPr>
        <w:tblStyle w:val="16"/>
        <w:tblW w:w="8226"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2225"/>
        <w:gridCol w:w="1438"/>
        <w:gridCol w:w="2904"/>
        <w:gridCol w:w="849"/>
      </w:tblGrid>
      <w:tr w14:paraId="50EA1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10" w:type="dxa"/>
            <w:vAlign w:val="top"/>
          </w:tcPr>
          <w:p w14:paraId="06C994FC">
            <w:pPr>
              <w:pStyle w:val="17"/>
              <w:spacing w:before="233" w:line="222" w:lineRule="auto"/>
              <w:ind w:left="201"/>
              <w:rPr>
                <w:color w:val="auto"/>
                <w:highlight w:val="none"/>
              </w:rPr>
            </w:pPr>
            <w:r>
              <w:rPr>
                <w:color w:val="auto"/>
                <w:spacing w:val="-2"/>
                <w:highlight w:val="none"/>
              </w:rPr>
              <w:t>序号</w:t>
            </w:r>
          </w:p>
        </w:tc>
        <w:tc>
          <w:tcPr>
            <w:tcW w:w="2225" w:type="dxa"/>
            <w:vAlign w:val="top"/>
          </w:tcPr>
          <w:p w14:paraId="4AC0E677">
            <w:pPr>
              <w:pStyle w:val="17"/>
              <w:spacing w:before="233" w:line="221" w:lineRule="auto"/>
              <w:ind w:left="697"/>
              <w:rPr>
                <w:color w:val="auto"/>
                <w:highlight w:val="none"/>
              </w:rPr>
            </w:pPr>
            <w:r>
              <w:rPr>
                <w:color w:val="auto"/>
                <w:spacing w:val="-2"/>
                <w:highlight w:val="none"/>
              </w:rPr>
              <w:t>条款名称</w:t>
            </w:r>
          </w:p>
        </w:tc>
        <w:tc>
          <w:tcPr>
            <w:tcW w:w="1438" w:type="dxa"/>
            <w:vAlign w:val="top"/>
          </w:tcPr>
          <w:p w14:paraId="1C1B6BD6">
            <w:pPr>
              <w:pStyle w:val="17"/>
              <w:spacing w:before="233" w:line="221" w:lineRule="auto"/>
              <w:ind w:left="204"/>
              <w:rPr>
                <w:color w:val="auto"/>
                <w:highlight w:val="none"/>
              </w:rPr>
            </w:pPr>
            <w:r>
              <w:rPr>
                <w:color w:val="auto"/>
                <w:spacing w:val="-2"/>
                <w:highlight w:val="none"/>
              </w:rPr>
              <w:t>合同条款号</w:t>
            </w:r>
          </w:p>
        </w:tc>
        <w:tc>
          <w:tcPr>
            <w:tcW w:w="2904" w:type="dxa"/>
            <w:vAlign w:val="top"/>
          </w:tcPr>
          <w:p w14:paraId="63550394">
            <w:pPr>
              <w:pStyle w:val="17"/>
              <w:spacing w:before="233" w:line="221" w:lineRule="auto"/>
              <w:ind w:left="1051"/>
              <w:rPr>
                <w:color w:val="auto"/>
                <w:highlight w:val="none"/>
              </w:rPr>
            </w:pPr>
            <w:r>
              <w:rPr>
                <w:color w:val="auto"/>
                <w:spacing w:val="-3"/>
                <w:highlight w:val="none"/>
              </w:rPr>
              <w:t>约定内容</w:t>
            </w:r>
          </w:p>
        </w:tc>
        <w:tc>
          <w:tcPr>
            <w:tcW w:w="849" w:type="dxa"/>
            <w:vAlign w:val="top"/>
          </w:tcPr>
          <w:p w14:paraId="1016EA95">
            <w:pPr>
              <w:pStyle w:val="17"/>
              <w:spacing w:before="233" w:line="222" w:lineRule="auto"/>
              <w:ind w:left="226"/>
              <w:rPr>
                <w:color w:val="auto"/>
                <w:highlight w:val="none"/>
              </w:rPr>
            </w:pPr>
            <w:r>
              <w:rPr>
                <w:color w:val="auto"/>
                <w:spacing w:val="-3"/>
                <w:highlight w:val="none"/>
              </w:rPr>
              <w:t>备注</w:t>
            </w:r>
          </w:p>
        </w:tc>
      </w:tr>
      <w:tr w14:paraId="63B9C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810" w:type="dxa"/>
            <w:vAlign w:val="top"/>
          </w:tcPr>
          <w:p w14:paraId="0C54D117">
            <w:pPr>
              <w:spacing w:line="471" w:lineRule="auto"/>
              <w:rPr>
                <w:rFonts w:ascii="Arial"/>
                <w:color w:val="auto"/>
                <w:sz w:val="21"/>
                <w:highlight w:val="none"/>
              </w:rPr>
            </w:pPr>
          </w:p>
          <w:p w14:paraId="6711B185">
            <w:pPr>
              <w:pStyle w:val="17"/>
              <w:spacing w:before="68" w:line="183" w:lineRule="auto"/>
              <w:ind w:left="373"/>
              <w:rPr>
                <w:color w:val="auto"/>
                <w:highlight w:val="none"/>
              </w:rPr>
            </w:pPr>
            <w:r>
              <w:rPr>
                <w:color w:val="auto"/>
                <w:highlight w:val="none"/>
              </w:rPr>
              <w:t>1</w:t>
            </w:r>
          </w:p>
        </w:tc>
        <w:tc>
          <w:tcPr>
            <w:tcW w:w="2225" w:type="dxa"/>
            <w:vAlign w:val="top"/>
          </w:tcPr>
          <w:p w14:paraId="379DE74B">
            <w:pPr>
              <w:spacing w:line="437" w:lineRule="auto"/>
              <w:rPr>
                <w:rFonts w:ascii="Arial"/>
                <w:color w:val="auto"/>
                <w:sz w:val="21"/>
                <w:highlight w:val="none"/>
              </w:rPr>
            </w:pPr>
          </w:p>
          <w:p w14:paraId="6B2461AE">
            <w:pPr>
              <w:pStyle w:val="17"/>
              <w:spacing w:before="68" w:line="221" w:lineRule="auto"/>
              <w:ind w:left="698"/>
              <w:rPr>
                <w:color w:val="auto"/>
                <w:highlight w:val="none"/>
              </w:rPr>
            </w:pPr>
            <w:r>
              <w:rPr>
                <w:color w:val="auto"/>
                <w:spacing w:val="-3"/>
                <w:highlight w:val="none"/>
              </w:rPr>
              <w:t>项目经理</w:t>
            </w:r>
          </w:p>
        </w:tc>
        <w:tc>
          <w:tcPr>
            <w:tcW w:w="1438" w:type="dxa"/>
            <w:vAlign w:val="top"/>
          </w:tcPr>
          <w:p w14:paraId="43C0D198">
            <w:pPr>
              <w:spacing w:line="471" w:lineRule="auto"/>
              <w:rPr>
                <w:rFonts w:ascii="Arial"/>
                <w:color w:val="auto"/>
                <w:sz w:val="21"/>
                <w:highlight w:val="none"/>
              </w:rPr>
            </w:pPr>
          </w:p>
          <w:p w14:paraId="5B5E01B4">
            <w:pPr>
              <w:pStyle w:val="17"/>
              <w:spacing w:before="68" w:line="183" w:lineRule="auto"/>
              <w:ind w:left="377"/>
              <w:rPr>
                <w:color w:val="auto"/>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color w:val="auto"/>
                <w:spacing w:val="-3"/>
                <w:highlight w:val="none"/>
              </w:rPr>
              <w:t>1.1.2.4</w:t>
            </w:r>
            <w:r>
              <w:rPr>
                <w:color w:val="auto"/>
                <w:spacing w:val="-3"/>
                <w:highlight w:val="none"/>
              </w:rPr>
              <w:fldChar w:fldCharType="end"/>
            </w:r>
          </w:p>
        </w:tc>
        <w:tc>
          <w:tcPr>
            <w:tcW w:w="2904" w:type="dxa"/>
            <w:vAlign w:val="top"/>
          </w:tcPr>
          <w:p w14:paraId="29EC6DE9">
            <w:pPr>
              <w:spacing w:line="70" w:lineRule="exact"/>
              <w:ind w:firstLine="10"/>
              <w:rPr>
                <w:color w:val="auto"/>
                <w:highlight w:val="none"/>
              </w:rPr>
            </w:pPr>
            <w:r>
              <w:rPr>
                <w:color w:val="auto"/>
                <w:position w:val="-1"/>
                <w:highlight w:val="none"/>
              </w:rPr>
              <w:pict>
                <v:shape id="_x0000_s1026" o:spid="_x0000_s1026" style="height:3.5pt;width:145pt;" fillcolor="#FFFFFF" filled="t" stroked="f" coordsize="2900,70" path="m0,69l2899,69,2899,0,0,0,0,69xe">
                  <v:path/>
                  <v:fill on="t" focussize="0,0"/>
                  <v:stroke on="f"/>
                  <v:imagedata o:title=""/>
                  <o:lock v:ext="edit"/>
                  <w10:wrap type="none"/>
                  <w10:anchorlock/>
                </v:shape>
              </w:pict>
            </w:r>
          </w:p>
          <w:p w14:paraId="7E1BB279">
            <w:pPr>
              <w:pStyle w:val="17"/>
              <w:spacing w:before="29" w:line="221" w:lineRule="auto"/>
              <w:ind w:left="23"/>
              <w:rPr>
                <w:color w:val="auto"/>
                <w:highlight w:val="none"/>
              </w:rPr>
            </w:pPr>
            <w:r>
              <w:rPr>
                <w:color w:val="auto"/>
                <w:spacing w:val="-12"/>
                <w:highlight w:val="none"/>
              </w:rPr>
              <w:t>姓名：</w:t>
            </w:r>
          </w:p>
          <w:p w14:paraId="0D5E7602">
            <w:pPr>
              <w:pStyle w:val="17"/>
              <w:spacing w:before="19" w:line="232" w:lineRule="auto"/>
              <w:ind w:left="24" w:right="1669" w:firstLine="4"/>
              <w:rPr>
                <w:color w:val="auto"/>
                <w:highlight w:val="none"/>
              </w:rPr>
            </w:pPr>
            <w:r>
              <w:rPr>
                <w:color w:val="auto"/>
                <w:spacing w:val="-11"/>
                <w:highlight w:val="none"/>
              </w:rPr>
              <w:t>身份证号码：</w:t>
            </w:r>
            <w:r>
              <w:rPr>
                <w:color w:val="auto"/>
                <w:spacing w:val="4"/>
                <w:highlight w:val="none"/>
              </w:rPr>
              <w:t xml:space="preserve"> </w:t>
            </w:r>
            <w:r>
              <w:rPr>
                <w:color w:val="auto"/>
                <w:spacing w:val="-13"/>
                <w:highlight w:val="none"/>
              </w:rPr>
              <w:t>职称：</w:t>
            </w:r>
          </w:p>
          <w:p w14:paraId="6AF9D248">
            <w:pPr>
              <w:pStyle w:val="17"/>
              <w:spacing w:before="18" w:line="214" w:lineRule="auto"/>
              <w:ind w:left="23"/>
              <w:rPr>
                <w:color w:val="auto"/>
                <w:highlight w:val="none"/>
              </w:rPr>
            </w:pPr>
            <w:r>
              <w:rPr>
                <w:color w:val="auto"/>
                <w:spacing w:val="-5"/>
                <w:highlight w:val="none"/>
              </w:rPr>
              <w:t>注册执业资格：</w:t>
            </w:r>
          </w:p>
          <w:p w14:paraId="09EE7BE3">
            <w:pPr>
              <w:spacing w:line="60" w:lineRule="exact"/>
              <w:ind w:firstLine="10"/>
              <w:rPr>
                <w:color w:val="auto"/>
                <w:highlight w:val="none"/>
              </w:rPr>
            </w:pPr>
            <w:r>
              <w:rPr>
                <w:color w:val="auto"/>
                <w:position w:val="-1"/>
                <w:highlight w:val="none"/>
              </w:rPr>
              <w:pict>
                <v:shape id="_x0000_s1027" o:spid="_x0000_s1027" style="height:3.4pt;width:145pt;" fillcolor="#FFFFFF" filled="t" stroked="f" coordsize="2900,68" path="m0,67l2899,67,2899,0,0,0,0,67xe">
                  <v:path/>
                  <v:fill on="t" focussize="0,0"/>
                  <v:stroke on="f"/>
                  <v:imagedata o:title=""/>
                  <o:lock v:ext="edit"/>
                  <w10:wrap type="none"/>
                  <w10:anchorlock/>
                </v:shape>
              </w:pict>
            </w:r>
          </w:p>
        </w:tc>
        <w:tc>
          <w:tcPr>
            <w:tcW w:w="849" w:type="dxa"/>
            <w:vAlign w:val="top"/>
          </w:tcPr>
          <w:p w14:paraId="02B4CFFC">
            <w:pPr>
              <w:rPr>
                <w:rFonts w:ascii="Arial"/>
                <w:color w:val="auto"/>
                <w:sz w:val="21"/>
                <w:highlight w:val="none"/>
              </w:rPr>
            </w:pPr>
          </w:p>
        </w:tc>
      </w:tr>
      <w:tr w14:paraId="775AB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810" w:type="dxa"/>
            <w:vAlign w:val="top"/>
          </w:tcPr>
          <w:p w14:paraId="1100C91C">
            <w:pPr>
              <w:spacing w:line="345" w:lineRule="auto"/>
              <w:rPr>
                <w:rFonts w:ascii="Arial"/>
                <w:color w:val="auto"/>
                <w:sz w:val="21"/>
                <w:highlight w:val="none"/>
              </w:rPr>
            </w:pPr>
          </w:p>
          <w:p w14:paraId="29CCD3DA">
            <w:pPr>
              <w:pStyle w:val="17"/>
              <w:spacing w:before="68" w:line="182" w:lineRule="auto"/>
              <w:ind w:left="360"/>
              <w:rPr>
                <w:color w:val="auto"/>
                <w:highlight w:val="none"/>
              </w:rPr>
            </w:pPr>
            <w:r>
              <w:rPr>
                <w:color w:val="auto"/>
                <w:highlight w:val="none"/>
              </w:rPr>
              <w:t>2</w:t>
            </w:r>
          </w:p>
        </w:tc>
        <w:tc>
          <w:tcPr>
            <w:tcW w:w="2225" w:type="dxa"/>
            <w:vAlign w:val="top"/>
          </w:tcPr>
          <w:p w14:paraId="608616DB">
            <w:pPr>
              <w:spacing w:line="309" w:lineRule="auto"/>
              <w:rPr>
                <w:rFonts w:ascii="Arial"/>
                <w:color w:val="auto"/>
                <w:sz w:val="21"/>
                <w:highlight w:val="none"/>
              </w:rPr>
            </w:pPr>
          </w:p>
          <w:p w14:paraId="68362C40">
            <w:pPr>
              <w:pStyle w:val="17"/>
              <w:spacing w:before="68" w:line="221" w:lineRule="auto"/>
              <w:ind w:left="590"/>
              <w:rPr>
                <w:color w:val="auto"/>
                <w:highlight w:val="none"/>
              </w:rPr>
            </w:pPr>
            <w:r>
              <w:rPr>
                <w:color w:val="auto"/>
                <w:spacing w:val="-2"/>
                <w:highlight w:val="none"/>
              </w:rPr>
              <w:t>技术负责人</w:t>
            </w:r>
          </w:p>
        </w:tc>
        <w:tc>
          <w:tcPr>
            <w:tcW w:w="1438" w:type="dxa"/>
            <w:vAlign w:val="top"/>
          </w:tcPr>
          <w:p w14:paraId="35701B89">
            <w:pPr>
              <w:spacing w:line="344" w:lineRule="auto"/>
              <w:rPr>
                <w:rFonts w:ascii="Arial"/>
                <w:color w:val="auto"/>
                <w:sz w:val="21"/>
                <w:highlight w:val="none"/>
              </w:rPr>
            </w:pPr>
          </w:p>
          <w:p w14:paraId="4CC2B786">
            <w:pPr>
              <w:pStyle w:val="17"/>
              <w:spacing w:before="68" w:line="183" w:lineRule="auto"/>
              <w:ind w:left="377"/>
              <w:rPr>
                <w:color w:val="auto"/>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color w:val="auto"/>
                <w:spacing w:val="-3"/>
                <w:highlight w:val="none"/>
              </w:rPr>
              <w:t>1.1.2.4</w:t>
            </w:r>
            <w:r>
              <w:rPr>
                <w:color w:val="auto"/>
                <w:spacing w:val="-3"/>
                <w:highlight w:val="none"/>
              </w:rPr>
              <w:fldChar w:fldCharType="end"/>
            </w:r>
          </w:p>
        </w:tc>
        <w:tc>
          <w:tcPr>
            <w:tcW w:w="2904" w:type="dxa"/>
            <w:vAlign w:val="top"/>
          </w:tcPr>
          <w:p w14:paraId="4390C6FE">
            <w:pPr>
              <w:spacing w:before="1" w:line="77" w:lineRule="exact"/>
              <w:ind w:firstLine="10"/>
              <w:rPr>
                <w:color w:val="auto"/>
                <w:highlight w:val="none"/>
              </w:rPr>
            </w:pPr>
            <w:r>
              <w:rPr>
                <w:color w:val="auto"/>
                <w:position w:val="-1"/>
                <w:highlight w:val="none"/>
              </w:rPr>
              <w:pict>
                <v:shape id="_x0000_s1028" o:spid="_x0000_s1028" style="height:3.85pt;width:145pt;" fillcolor="#FFFFFF" filled="t" stroked="f" coordsize="2900,76" path="m0,76l2899,76,2899,0,0,0,0,76xe">
                  <v:path/>
                  <v:fill on="t" focussize="0,0"/>
                  <v:stroke on="f"/>
                  <v:imagedata o:title=""/>
                  <o:lock v:ext="edit"/>
                  <w10:wrap type="none"/>
                  <w10:anchorlock/>
                </v:shape>
              </w:pict>
            </w:r>
          </w:p>
          <w:p w14:paraId="35659147">
            <w:pPr>
              <w:pStyle w:val="17"/>
              <w:spacing w:before="29" w:line="221" w:lineRule="auto"/>
              <w:ind w:left="23"/>
              <w:rPr>
                <w:color w:val="auto"/>
                <w:highlight w:val="none"/>
              </w:rPr>
            </w:pPr>
            <w:r>
              <w:rPr>
                <w:color w:val="auto"/>
                <w:spacing w:val="-12"/>
                <w:highlight w:val="none"/>
              </w:rPr>
              <w:t>姓名：</w:t>
            </w:r>
          </w:p>
          <w:p w14:paraId="6119D15C">
            <w:pPr>
              <w:pStyle w:val="17"/>
              <w:spacing w:before="21" w:line="226" w:lineRule="auto"/>
              <w:ind w:left="24" w:right="1669" w:firstLine="4"/>
              <w:rPr>
                <w:color w:val="auto"/>
                <w:highlight w:val="none"/>
              </w:rPr>
            </w:pPr>
            <w:r>
              <w:rPr>
                <w:color w:val="auto"/>
                <w:spacing w:val="-11"/>
                <w:highlight w:val="none"/>
              </w:rPr>
              <w:t>身份证号码：</w:t>
            </w:r>
            <w:r>
              <w:rPr>
                <w:color w:val="auto"/>
                <w:spacing w:val="4"/>
                <w:highlight w:val="none"/>
              </w:rPr>
              <w:t xml:space="preserve"> </w:t>
            </w:r>
            <w:r>
              <w:rPr>
                <w:color w:val="auto"/>
                <w:spacing w:val="-13"/>
                <w:highlight w:val="none"/>
              </w:rPr>
              <w:t>职称：</w:t>
            </w:r>
          </w:p>
          <w:p w14:paraId="611AC1F7">
            <w:pPr>
              <w:spacing w:line="68" w:lineRule="exact"/>
              <w:ind w:firstLine="10"/>
              <w:rPr>
                <w:color w:val="auto"/>
                <w:highlight w:val="none"/>
              </w:rPr>
            </w:pPr>
            <w:r>
              <w:rPr>
                <w:color w:val="auto"/>
                <w:position w:val="-2"/>
                <w:highlight w:val="none"/>
              </w:rPr>
              <w:pict>
                <v:shape id="_x0000_s1029" o:spid="_x0000_s1029" style="height:3.85pt;width:145pt;" fillcolor="#FFFFFF" filled="t" stroked="f" coordsize="2900,76" path="m0,76l2899,76,2899,0,0,0,0,76xe">
                  <v:path/>
                  <v:fill on="t" focussize="0,0"/>
                  <v:stroke on="f"/>
                  <v:imagedata o:title=""/>
                  <o:lock v:ext="edit"/>
                  <w10:wrap type="none"/>
                  <w10:anchorlock/>
                </v:shape>
              </w:pict>
            </w:r>
          </w:p>
        </w:tc>
        <w:tc>
          <w:tcPr>
            <w:tcW w:w="849" w:type="dxa"/>
            <w:vAlign w:val="top"/>
          </w:tcPr>
          <w:p w14:paraId="5D07A80D">
            <w:pPr>
              <w:rPr>
                <w:rFonts w:ascii="Arial"/>
                <w:color w:val="auto"/>
                <w:sz w:val="21"/>
                <w:highlight w:val="none"/>
              </w:rPr>
            </w:pPr>
          </w:p>
        </w:tc>
      </w:tr>
      <w:tr w14:paraId="51BDA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0" w:hRule="atLeast"/>
        </w:trPr>
        <w:tc>
          <w:tcPr>
            <w:tcW w:w="810" w:type="dxa"/>
            <w:vAlign w:val="top"/>
          </w:tcPr>
          <w:p w14:paraId="41D8AF09">
            <w:pPr>
              <w:spacing w:line="478" w:lineRule="auto"/>
              <w:rPr>
                <w:rFonts w:ascii="Arial"/>
                <w:color w:val="auto"/>
                <w:sz w:val="21"/>
                <w:highlight w:val="none"/>
              </w:rPr>
            </w:pPr>
          </w:p>
          <w:p w14:paraId="0E6408ED">
            <w:pPr>
              <w:pStyle w:val="17"/>
              <w:spacing w:before="69" w:line="182" w:lineRule="auto"/>
              <w:ind w:left="362"/>
              <w:rPr>
                <w:color w:val="auto"/>
                <w:highlight w:val="none"/>
              </w:rPr>
            </w:pPr>
            <w:r>
              <w:rPr>
                <w:color w:val="auto"/>
                <w:highlight w:val="none"/>
              </w:rPr>
              <w:t>3</w:t>
            </w:r>
          </w:p>
        </w:tc>
        <w:tc>
          <w:tcPr>
            <w:tcW w:w="2225" w:type="dxa"/>
            <w:vAlign w:val="top"/>
          </w:tcPr>
          <w:p w14:paraId="392CB20D">
            <w:pPr>
              <w:spacing w:line="444" w:lineRule="auto"/>
              <w:rPr>
                <w:rFonts w:ascii="Arial"/>
                <w:color w:val="auto"/>
                <w:sz w:val="21"/>
                <w:highlight w:val="none"/>
              </w:rPr>
            </w:pPr>
          </w:p>
          <w:p w14:paraId="46749D95">
            <w:pPr>
              <w:pStyle w:val="17"/>
              <w:spacing w:before="68" w:line="221" w:lineRule="auto"/>
              <w:ind w:left="590"/>
              <w:rPr>
                <w:color w:val="auto"/>
                <w:highlight w:val="none"/>
              </w:rPr>
            </w:pPr>
            <w:r>
              <w:rPr>
                <w:color w:val="auto"/>
                <w:spacing w:val="-2"/>
                <w:highlight w:val="none"/>
              </w:rPr>
              <w:t>专职安全员</w:t>
            </w:r>
          </w:p>
        </w:tc>
        <w:tc>
          <w:tcPr>
            <w:tcW w:w="1438" w:type="dxa"/>
            <w:vAlign w:val="top"/>
          </w:tcPr>
          <w:p w14:paraId="67E92CC0">
            <w:pPr>
              <w:spacing w:line="477" w:lineRule="auto"/>
              <w:rPr>
                <w:rFonts w:ascii="Arial"/>
                <w:color w:val="auto"/>
                <w:sz w:val="21"/>
                <w:highlight w:val="none"/>
              </w:rPr>
            </w:pPr>
          </w:p>
          <w:p w14:paraId="46293EC3">
            <w:pPr>
              <w:pStyle w:val="17"/>
              <w:spacing w:before="69" w:line="183" w:lineRule="auto"/>
              <w:ind w:left="377"/>
              <w:rPr>
                <w:color w:val="auto"/>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color w:val="auto"/>
                <w:spacing w:val="-3"/>
                <w:highlight w:val="none"/>
              </w:rPr>
              <w:t>1.1.2.4</w:t>
            </w:r>
            <w:r>
              <w:rPr>
                <w:color w:val="auto"/>
                <w:spacing w:val="-3"/>
                <w:highlight w:val="none"/>
              </w:rPr>
              <w:fldChar w:fldCharType="end"/>
            </w:r>
          </w:p>
        </w:tc>
        <w:tc>
          <w:tcPr>
            <w:tcW w:w="2904" w:type="dxa"/>
            <w:vAlign w:val="top"/>
          </w:tcPr>
          <w:p w14:paraId="6134C79B">
            <w:pPr>
              <w:spacing w:before="2" w:line="74" w:lineRule="exact"/>
              <w:ind w:firstLine="10"/>
              <w:rPr>
                <w:color w:val="auto"/>
                <w:highlight w:val="none"/>
              </w:rPr>
            </w:pPr>
            <w:r>
              <w:rPr>
                <w:color w:val="auto"/>
                <w:position w:val="-1"/>
                <w:highlight w:val="none"/>
              </w:rPr>
              <w:pict>
                <v:shape id="_x0000_s1030" o:spid="_x0000_s1030" style="height:3.75pt;width:145pt;" fillcolor="#FFFFFF" filled="t" stroked="f" coordsize="2900,75" path="m0,74l2899,74,2899,0,0,0,0,74xe">
                  <v:path/>
                  <v:fill on="t" focussize="0,0"/>
                  <v:stroke on="f"/>
                  <v:imagedata o:title=""/>
                  <o:lock v:ext="edit"/>
                  <w10:wrap type="none"/>
                  <w10:anchorlock/>
                </v:shape>
              </w:pict>
            </w:r>
          </w:p>
          <w:p w14:paraId="4FAB263D">
            <w:pPr>
              <w:pStyle w:val="17"/>
              <w:spacing w:before="29" w:line="221" w:lineRule="auto"/>
              <w:ind w:left="23"/>
              <w:rPr>
                <w:color w:val="auto"/>
                <w:highlight w:val="none"/>
              </w:rPr>
            </w:pPr>
            <w:r>
              <w:rPr>
                <w:color w:val="auto"/>
                <w:spacing w:val="-12"/>
                <w:highlight w:val="none"/>
              </w:rPr>
              <w:t>姓名：</w:t>
            </w:r>
          </w:p>
          <w:p w14:paraId="05D85617">
            <w:pPr>
              <w:pStyle w:val="17"/>
              <w:spacing w:before="19" w:line="221" w:lineRule="auto"/>
              <w:ind w:left="29"/>
              <w:rPr>
                <w:color w:val="auto"/>
                <w:highlight w:val="none"/>
              </w:rPr>
            </w:pPr>
            <w:r>
              <w:rPr>
                <w:color w:val="auto"/>
                <w:spacing w:val="-2"/>
                <w:highlight w:val="none"/>
              </w:rPr>
              <w:t>身份证号码：</w:t>
            </w:r>
          </w:p>
          <w:p w14:paraId="130886FE">
            <w:pPr>
              <w:pStyle w:val="17"/>
              <w:spacing w:before="23" w:line="226" w:lineRule="auto"/>
              <w:ind w:left="23" w:firstLine="2"/>
              <w:rPr>
                <w:color w:val="auto"/>
                <w:highlight w:val="none"/>
              </w:rPr>
            </w:pPr>
            <w:r>
              <w:rPr>
                <w:color w:val="auto"/>
                <w:spacing w:val="10"/>
                <w:highlight w:val="none"/>
              </w:rPr>
              <w:t>水行政主管部门颁发的安全生</w:t>
            </w:r>
            <w:r>
              <w:rPr>
                <w:color w:val="auto"/>
                <w:spacing w:val="11"/>
                <w:highlight w:val="none"/>
              </w:rPr>
              <w:t xml:space="preserve"> </w:t>
            </w:r>
            <w:r>
              <w:rPr>
                <w:color w:val="auto"/>
                <w:spacing w:val="-1"/>
                <w:highlight w:val="none"/>
              </w:rPr>
              <w:t>产考核合格证书号码：</w:t>
            </w:r>
          </w:p>
          <w:p w14:paraId="458A07F3">
            <w:pPr>
              <w:spacing w:line="64" w:lineRule="exact"/>
              <w:ind w:firstLine="10"/>
              <w:rPr>
                <w:color w:val="auto"/>
                <w:highlight w:val="none"/>
              </w:rPr>
            </w:pPr>
            <w:r>
              <w:rPr>
                <w:color w:val="auto"/>
                <w:position w:val="-2"/>
                <w:highlight w:val="none"/>
              </w:rPr>
              <w:pict>
                <v:shape id="_x0000_s1031" o:spid="_x0000_s1031" style="height:3.65pt;width:145pt;" fillcolor="#FFFFFF" filled="t" stroked="f" coordsize="2900,73" path="m0,72l2899,72,2899,0,0,0,0,72xe">
                  <v:path/>
                  <v:fill on="t" focussize="0,0"/>
                  <v:stroke on="f"/>
                  <v:imagedata o:title=""/>
                  <o:lock v:ext="edit"/>
                  <w10:wrap type="none"/>
                  <w10:anchorlock/>
                </v:shape>
              </w:pict>
            </w:r>
          </w:p>
        </w:tc>
        <w:tc>
          <w:tcPr>
            <w:tcW w:w="849" w:type="dxa"/>
            <w:vAlign w:val="top"/>
          </w:tcPr>
          <w:p w14:paraId="2A4EF9D9">
            <w:pPr>
              <w:rPr>
                <w:rFonts w:ascii="Arial"/>
                <w:color w:val="auto"/>
                <w:sz w:val="21"/>
                <w:highlight w:val="none"/>
              </w:rPr>
            </w:pPr>
          </w:p>
        </w:tc>
      </w:tr>
      <w:tr w14:paraId="082D8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10" w:type="dxa"/>
            <w:vAlign w:val="top"/>
          </w:tcPr>
          <w:p w14:paraId="78234093">
            <w:pPr>
              <w:pStyle w:val="17"/>
              <w:spacing w:before="267" w:line="182" w:lineRule="auto"/>
              <w:ind w:left="357"/>
              <w:rPr>
                <w:color w:val="auto"/>
                <w:highlight w:val="none"/>
              </w:rPr>
            </w:pPr>
            <w:r>
              <w:rPr>
                <w:color w:val="auto"/>
                <w:highlight w:val="none"/>
              </w:rPr>
              <w:t>4</w:t>
            </w:r>
          </w:p>
        </w:tc>
        <w:tc>
          <w:tcPr>
            <w:tcW w:w="2225" w:type="dxa"/>
            <w:vAlign w:val="top"/>
          </w:tcPr>
          <w:p w14:paraId="6786241E">
            <w:pPr>
              <w:pStyle w:val="17"/>
              <w:spacing w:before="232" w:line="221" w:lineRule="auto"/>
              <w:ind w:left="909"/>
              <w:rPr>
                <w:color w:val="auto"/>
                <w:highlight w:val="none"/>
              </w:rPr>
            </w:pPr>
            <w:r>
              <w:rPr>
                <w:color w:val="auto"/>
                <w:spacing w:val="-3"/>
                <w:highlight w:val="none"/>
              </w:rPr>
              <w:t>工期</w:t>
            </w:r>
          </w:p>
        </w:tc>
        <w:tc>
          <w:tcPr>
            <w:tcW w:w="1438" w:type="dxa"/>
            <w:vAlign w:val="top"/>
          </w:tcPr>
          <w:p w14:paraId="7885D8F8">
            <w:pPr>
              <w:pStyle w:val="17"/>
              <w:spacing w:before="266" w:line="183" w:lineRule="auto"/>
              <w:ind w:left="377"/>
              <w:rPr>
                <w:color w:val="auto"/>
                <w:highlight w:val="none"/>
              </w:rPr>
            </w:pPr>
            <w:r>
              <w:rPr>
                <w:color w:val="auto"/>
                <w:highlight w:val="none"/>
              </w:rPr>
              <w:fldChar w:fldCharType="begin"/>
            </w:r>
            <w:r>
              <w:rPr>
                <w:color w:val="auto"/>
                <w:highlight w:val="none"/>
              </w:rPr>
              <w:instrText xml:space="preserve"> HYPERLINK "1.1.4.3" </w:instrText>
            </w:r>
            <w:r>
              <w:rPr>
                <w:color w:val="auto"/>
                <w:highlight w:val="none"/>
              </w:rPr>
              <w:fldChar w:fldCharType="separate"/>
            </w:r>
            <w:r>
              <w:rPr>
                <w:color w:val="auto"/>
                <w:spacing w:val="-3"/>
                <w:highlight w:val="none"/>
              </w:rPr>
              <w:t>1.1.4.3</w:t>
            </w:r>
            <w:r>
              <w:rPr>
                <w:color w:val="auto"/>
                <w:spacing w:val="-3"/>
                <w:highlight w:val="none"/>
              </w:rPr>
              <w:fldChar w:fldCharType="end"/>
            </w:r>
          </w:p>
        </w:tc>
        <w:tc>
          <w:tcPr>
            <w:tcW w:w="2904" w:type="dxa"/>
            <w:vAlign w:val="top"/>
          </w:tcPr>
          <w:p w14:paraId="36F61CC5">
            <w:pPr>
              <w:pStyle w:val="17"/>
              <w:spacing w:before="231" w:line="221" w:lineRule="auto"/>
              <w:ind w:left="28"/>
              <w:rPr>
                <w:color w:val="auto"/>
                <w:highlight w:val="none"/>
              </w:rPr>
            </w:pPr>
            <w:r>
              <w:rPr>
                <w:color w:val="auto"/>
                <w:spacing w:val="-7"/>
                <w:highlight w:val="none"/>
              </w:rPr>
              <w:t>天数：</w:t>
            </w:r>
            <w:r>
              <w:rPr>
                <w:color w:val="auto"/>
                <w:spacing w:val="-7"/>
                <w:highlight w:val="none"/>
                <w:u w:val="single" w:color="auto"/>
              </w:rPr>
              <w:t xml:space="preserve">   </w:t>
            </w:r>
            <w:r>
              <w:rPr>
                <w:color w:val="auto"/>
                <w:spacing w:val="-53"/>
                <w:highlight w:val="none"/>
              </w:rPr>
              <w:t xml:space="preserve"> </w:t>
            </w:r>
            <w:r>
              <w:rPr>
                <w:color w:val="auto"/>
                <w:spacing w:val="-7"/>
                <w:highlight w:val="none"/>
              </w:rPr>
              <w:t>日历天</w:t>
            </w:r>
          </w:p>
        </w:tc>
        <w:tc>
          <w:tcPr>
            <w:tcW w:w="849" w:type="dxa"/>
            <w:vAlign w:val="top"/>
          </w:tcPr>
          <w:p w14:paraId="5B5F4073">
            <w:pPr>
              <w:rPr>
                <w:rFonts w:ascii="Arial"/>
                <w:color w:val="auto"/>
                <w:sz w:val="21"/>
                <w:highlight w:val="none"/>
              </w:rPr>
            </w:pPr>
          </w:p>
        </w:tc>
      </w:tr>
      <w:tr w14:paraId="34B01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10" w:type="dxa"/>
            <w:vAlign w:val="top"/>
          </w:tcPr>
          <w:p w14:paraId="38FC4F4C">
            <w:pPr>
              <w:pStyle w:val="17"/>
              <w:spacing w:before="268" w:line="181" w:lineRule="auto"/>
              <w:ind w:left="362"/>
              <w:rPr>
                <w:color w:val="auto"/>
                <w:highlight w:val="none"/>
              </w:rPr>
            </w:pPr>
            <w:r>
              <w:rPr>
                <w:color w:val="auto"/>
                <w:highlight w:val="none"/>
              </w:rPr>
              <w:t>5</w:t>
            </w:r>
          </w:p>
        </w:tc>
        <w:tc>
          <w:tcPr>
            <w:tcW w:w="2225" w:type="dxa"/>
            <w:vAlign w:val="top"/>
          </w:tcPr>
          <w:p w14:paraId="2A788C99">
            <w:pPr>
              <w:spacing w:before="3" w:line="65" w:lineRule="exact"/>
              <w:rPr>
                <w:color w:val="auto"/>
                <w:highlight w:val="none"/>
              </w:rPr>
            </w:pPr>
            <w:r>
              <w:rPr>
                <w:color w:val="auto"/>
                <w:position w:val="-1"/>
                <w:highlight w:val="none"/>
              </w:rPr>
              <w:pict>
                <v:shape id="_x0000_s1032" o:spid="_x0000_s1032" style="height:3.25pt;width:111.15pt;" fillcolor="#FFFFFF" filled="t" stroked="f" coordsize="2223,65" path="m0,64l2222,64,2222,0,0,0,0,64xe">
                  <v:path/>
                  <v:fill on="t" focussize="0,0"/>
                  <v:stroke on="f"/>
                  <v:imagedata o:title=""/>
                  <o:lock v:ext="edit"/>
                  <w10:wrap type="none"/>
                  <w10:anchorlock/>
                </v:shape>
              </w:pict>
            </w:r>
          </w:p>
          <w:p w14:paraId="0EF7FB3B">
            <w:pPr>
              <w:pStyle w:val="17"/>
              <w:spacing w:before="35" w:line="223" w:lineRule="auto"/>
              <w:ind w:left="695" w:right="13" w:hanging="682"/>
              <w:rPr>
                <w:color w:val="auto"/>
                <w:highlight w:val="none"/>
              </w:rPr>
            </w:pPr>
            <w:r>
              <w:rPr>
                <w:color w:val="auto"/>
                <w:spacing w:val="-2"/>
                <w:highlight w:val="none"/>
              </w:rPr>
              <w:t>缺陷责任期 （工程质量</w:t>
            </w:r>
            <w:r>
              <w:rPr>
                <w:color w:val="auto"/>
                <w:spacing w:val="8"/>
                <w:highlight w:val="none"/>
              </w:rPr>
              <w:t xml:space="preserve"> </w:t>
            </w:r>
            <w:r>
              <w:rPr>
                <w:color w:val="auto"/>
                <w:spacing w:val="-2"/>
                <w:highlight w:val="none"/>
              </w:rPr>
              <w:t>保修期）</w:t>
            </w:r>
          </w:p>
          <w:p w14:paraId="7882B74F">
            <w:pPr>
              <w:spacing w:line="55" w:lineRule="exact"/>
              <w:rPr>
                <w:color w:val="auto"/>
                <w:highlight w:val="none"/>
              </w:rPr>
            </w:pPr>
            <w:r>
              <w:rPr>
                <w:color w:val="auto"/>
                <w:position w:val="-2"/>
                <w:highlight w:val="none"/>
              </w:rPr>
              <w:pict>
                <v:shape id="_x0000_s1033" o:spid="_x0000_s1033" style="height:3.25pt;width:111.15pt;" fillcolor="#FFFFFF" filled="t" stroked="f" coordsize="2223,65" path="m0,64l2222,64,2222,0,0,0,0,64xe">
                  <v:path/>
                  <v:fill on="t" focussize="0,0"/>
                  <v:stroke on="f"/>
                  <v:imagedata o:title=""/>
                  <o:lock v:ext="edit"/>
                  <w10:wrap type="none"/>
                  <w10:anchorlock/>
                </v:shape>
              </w:pict>
            </w:r>
          </w:p>
        </w:tc>
        <w:tc>
          <w:tcPr>
            <w:tcW w:w="1438" w:type="dxa"/>
            <w:vAlign w:val="top"/>
          </w:tcPr>
          <w:p w14:paraId="7E16307E">
            <w:pPr>
              <w:pStyle w:val="17"/>
              <w:spacing w:before="266" w:line="183" w:lineRule="auto"/>
              <w:ind w:left="377"/>
              <w:rPr>
                <w:color w:val="auto"/>
                <w:highlight w:val="none"/>
              </w:rPr>
            </w:pPr>
            <w:r>
              <w:rPr>
                <w:color w:val="auto"/>
                <w:highlight w:val="none"/>
              </w:rPr>
              <w:fldChar w:fldCharType="begin"/>
            </w:r>
            <w:r>
              <w:rPr>
                <w:color w:val="auto"/>
                <w:highlight w:val="none"/>
              </w:rPr>
              <w:instrText xml:space="preserve"> HYPERLINK "1.1.4.5" </w:instrText>
            </w:r>
            <w:r>
              <w:rPr>
                <w:color w:val="auto"/>
                <w:highlight w:val="none"/>
              </w:rPr>
              <w:fldChar w:fldCharType="separate"/>
            </w:r>
            <w:r>
              <w:rPr>
                <w:color w:val="auto"/>
                <w:spacing w:val="-3"/>
                <w:highlight w:val="none"/>
              </w:rPr>
              <w:t>1.1.4.5</w:t>
            </w:r>
            <w:r>
              <w:rPr>
                <w:color w:val="auto"/>
                <w:spacing w:val="-3"/>
                <w:highlight w:val="none"/>
              </w:rPr>
              <w:fldChar w:fldCharType="end"/>
            </w:r>
          </w:p>
        </w:tc>
        <w:tc>
          <w:tcPr>
            <w:tcW w:w="2904" w:type="dxa"/>
            <w:vAlign w:val="top"/>
          </w:tcPr>
          <w:p w14:paraId="4B8F10C3">
            <w:pPr>
              <w:rPr>
                <w:rFonts w:ascii="Arial"/>
                <w:color w:val="auto"/>
                <w:sz w:val="21"/>
                <w:highlight w:val="none"/>
              </w:rPr>
            </w:pPr>
          </w:p>
        </w:tc>
        <w:tc>
          <w:tcPr>
            <w:tcW w:w="849" w:type="dxa"/>
            <w:vAlign w:val="top"/>
          </w:tcPr>
          <w:p w14:paraId="33B91A43">
            <w:pPr>
              <w:rPr>
                <w:rFonts w:ascii="Arial"/>
                <w:color w:val="auto"/>
                <w:sz w:val="21"/>
                <w:highlight w:val="none"/>
              </w:rPr>
            </w:pPr>
          </w:p>
        </w:tc>
      </w:tr>
      <w:tr w14:paraId="11C21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810" w:type="dxa"/>
            <w:vAlign w:val="top"/>
          </w:tcPr>
          <w:p w14:paraId="4DCE6205">
            <w:pPr>
              <w:spacing w:line="368" w:lineRule="auto"/>
              <w:rPr>
                <w:rFonts w:ascii="Arial"/>
                <w:color w:val="auto"/>
                <w:sz w:val="21"/>
                <w:highlight w:val="none"/>
              </w:rPr>
            </w:pPr>
          </w:p>
          <w:p w14:paraId="51153EFC">
            <w:pPr>
              <w:pStyle w:val="17"/>
              <w:spacing w:before="68" w:line="182" w:lineRule="auto"/>
              <w:ind w:left="360"/>
              <w:rPr>
                <w:color w:val="auto"/>
                <w:highlight w:val="none"/>
              </w:rPr>
            </w:pPr>
            <w:r>
              <w:rPr>
                <w:color w:val="auto"/>
                <w:highlight w:val="none"/>
              </w:rPr>
              <w:t>6</w:t>
            </w:r>
          </w:p>
        </w:tc>
        <w:tc>
          <w:tcPr>
            <w:tcW w:w="2225" w:type="dxa"/>
            <w:vAlign w:val="top"/>
          </w:tcPr>
          <w:p w14:paraId="6A138E0D">
            <w:pPr>
              <w:spacing w:line="333" w:lineRule="auto"/>
              <w:rPr>
                <w:rFonts w:ascii="Arial"/>
                <w:color w:val="auto"/>
                <w:sz w:val="21"/>
                <w:highlight w:val="none"/>
              </w:rPr>
            </w:pPr>
          </w:p>
          <w:p w14:paraId="0C12B89C">
            <w:pPr>
              <w:pStyle w:val="17"/>
              <w:spacing w:before="69" w:line="221" w:lineRule="auto"/>
              <w:ind w:left="909"/>
              <w:rPr>
                <w:color w:val="auto"/>
                <w:highlight w:val="none"/>
              </w:rPr>
            </w:pPr>
            <w:r>
              <w:rPr>
                <w:color w:val="auto"/>
                <w:spacing w:val="-3"/>
                <w:highlight w:val="none"/>
              </w:rPr>
              <w:t>分包</w:t>
            </w:r>
          </w:p>
        </w:tc>
        <w:tc>
          <w:tcPr>
            <w:tcW w:w="1438" w:type="dxa"/>
            <w:vAlign w:val="top"/>
          </w:tcPr>
          <w:p w14:paraId="073E9045">
            <w:pPr>
              <w:spacing w:line="368" w:lineRule="auto"/>
              <w:rPr>
                <w:rFonts w:ascii="Arial"/>
                <w:color w:val="auto"/>
                <w:sz w:val="21"/>
                <w:highlight w:val="none"/>
              </w:rPr>
            </w:pPr>
          </w:p>
          <w:p w14:paraId="2D7ED2AA">
            <w:pPr>
              <w:pStyle w:val="17"/>
              <w:spacing w:before="68" w:line="182" w:lineRule="auto"/>
              <w:ind w:left="570"/>
              <w:rPr>
                <w:color w:val="auto"/>
                <w:highlight w:val="none"/>
              </w:rPr>
            </w:pPr>
            <w:r>
              <w:rPr>
                <w:color w:val="auto"/>
                <w:spacing w:val="-2"/>
                <w:highlight w:val="none"/>
              </w:rPr>
              <w:t>4.3</w:t>
            </w:r>
          </w:p>
        </w:tc>
        <w:tc>
          <w:tcPr>
            <w:tcW w:w="2904" w:type="dxa"/>
            <w:vAlign w:val="top"/>
          </w:tcPr>
          <w:p w14:paraId="66B68D03">
            <w:pPr>
              <w:spacing w:before="3" w:line="99" w:lineRule="exact"/>
              <w:ind w:firstLine="10"/>
              <w:rPr>
                <w:color w:val="auto"/>
                <w:highlight w:val="none"/>
              </w:rPr>
            </w:pPr>
            <w:r>
              <w:rPr>
                <w:color w:val="auto"/>
                <w:position w:val="-1"/>
                <w:highlight w:val="none"/>
              </w:rPr>
              <w:pict>
                <v:shape id="_x0000_s1034" o:spid="_x0000_s1034" style="height:4.95pt;width:145pt;" fillcolor="#FFFFFF" filled="t" stroked="f" coordsize="2900,98" path="m0,98l2899,98,2899,0,0,0,0,98xe">
                  <v:path/>
                  <v:fill on="t" focussize="0,0"/>
                  <v:stroke on="f"/>
                  <v:imagedata o:title=""/>
                  <o:lock v:ext="edit"/>
                  <w10:wrap type="none"/>
                  <w10:anchorlock/>
                </v:shape>
              </w:pict>
            </w:r>
          </w:p>
          <w:p w14:paraId="3E29B762">
            <w:pPr>
              <w:pStyle w:val="17"/>
              <w:spacing w:before="29" w:line="221" w:lineRule="auto"/>
              <w:ind w:left="45"/>
              <w:rPr>
                <w:color w:val="auto"/>
                <w:highlight w:val="none"/>
              </w:rPr>
            </w:pPr>
            <w:r>
              <w:rPr>
                <w:color w:val="auto"/>
                <w:spacing w:val="-11"/>
                <w:highlight w:val="none"/>
              </w:rPr>
              <w:t>□不允许；</w:t>
            </w:r>
          </w:p>
          <w:p w14:paraId="186C6BF9">
            <w:pPr>
              <w:pStyle w:val="17"/>
              <w:spacing w:before="21" w:line="226" w:lineRule="auto"/>
              <w:ind w:left="865" w:right="618" w:hanging="820"/>
              <w:rPr>
                <w:color w:val="auto"/>
                <w:highlight w:val="none"/>
              </w:rPr>
            </w:pPr>
            <w:r>
              <w:rPr>
                <w:color w:val="auto"/>
                <w:spacing w:val="-7"/>
                <w:highlight w:val="none"/>
              </w:rPr>
              <w:t>□允许，分包工程项目：</w:t>
            </w:r>
            <w:r>
              <w:rPr>
                <w:color w:val="auto"/>
                <w:highlight w:val="none"/>
              </w:rPr>
              <w:t xml:space="preserve"> </w:t>
            </w:r>
            <w:r>
              <w:rPr>
                <w:color w:val="auto"/>
                <w:spacing w:val="-9"/>
                <w:highlight w:val="none"/>
              </w:rPr>
              <w:t>分包金额限额：</w:t>
            </w:r>
          </w:p>
          <w:p w14:paraId="05562140">
            <w:pPr>
              <w:spacing w:line="88" w:lineRule="exact"/>
              <w:ind w:firstLine="10"/>
              <w:rPr>
                <w:color w:val="auto"/>
                <w:highlight w:val="none"/>
              </w:rPr>
            </w:pPr>
            <w:r>
              <w:rPr>
                <w:color w:val="auto"/>
                <w:position w:val="-2"/>
                <w:highlight w:val="none"/>
              </w:rPr>
              <w:pict>
                <v:shape id="_x0000_s1035" o:spid="_x0000_s1035" style="height:4.95pt;width:145pt;" fillcolor="#FFFFFF" filled="t" stroked="f" coordsize="2900,98" path="m0,98l2899,98,2899,0,0,0,0,98xe">
                  <v:path/>
                  <v:fill on="t" focussize="0,0"/>
                  <v:stroke on="f"/>
                  <v:imagedata o:title=""/>
                  <o:lock v:ext="edit"/>
                  <w10:wrap type="none"/>
                  <w10:anchorlock/>
                </v:shape>
              </w:pict>
            </w:r>
          </w:p>
        </w:tc>
        <w:tc>
          <w:tcPr>
            <w:tcW w:w="849" w:type="dxa"/>
            <w:vAlign w:val="top"/>
          </w:tcPr>
          <w:p w14:paraId="2936BACE">
            <w:pPr>
              <w:rPr>
                <w:rFonts w:ascii="Arial"/>
                <w:color w:val="auto"/>
                <w:sz w:val="21"/>
                <w:highlight w:val="none"/>
              </w:rPr>
            </w:pPr>
          </w:p>
        </w:tc>
      </w:tr>
      <w:tr w14:paraId="118AE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10" w:type="dxa"/>
            <w:vAlign w:val="top"/>
          </w:tcPr>
          <w:p w14:paraId="6D932705">
            <w:pPr>
              <w:pStyle w:val="17"/>
              <w:spacing w:before="270" w:line="181" w:lineRule="auto"/>
              <w:ind w:left="363"/>
              <w:rPr>
                <w:color w:val="auto"/>
                <w:highlight w:val="none"/>
              </w:rPr>
            </w:pPr>
            <w:r>
              <w:rPr>
                <w:color w:val="auto"/>
                <w:highlight w:val="none"/>
              </w:rPr>
              <w:t>7</w:t>
            </w:r>
          </w:p>
        </w:tc>
        <w:tc>
          <w:tcPr>
            <w:tcW w:w="2225" w:type="dxa"/>
            <w:vAlign w:val="top"/>
          </w:tcPr>
          <w:p w14:paraId="1B088D6E">
            <w:pPr>
              <w:pStyle w:val="17"/>
              <w:spacing w:before="233" w:line="219" w:lineRule="auto"/>
              <w:ind w:left="170"/>
              <w:rPr>
                <w:color w:val="auto"/>
                <w:highlight w:val="none"/>
              </w:rPr>
            </w:pPr>
            <w:r>
              <w:rPr>
                <w:color w:val="auto"/>
                <w:spacing w:val="-1"/>
                <w:highlight w:val="none"/>
              </w:rPr>
              <w:t>价格调整的差额计算</w:t>
            </w:r>
          </w:p>
        </w:tc>
        <w:tc>
          <w:tcPr>
            <w:tcW w:w="1438" w:type="dxa"/>
            <w:vAlign w:val="top"/>
          </w:tcPr>
          <w:p w14:paraId="736E0617">
            <w:pPr>
              <w:pStyle w:val="17"/>
              <w:spacing w:before="268" w:line="183" w:lineRule="auto"/>
              <w:ind w:left="533"/>
              <w:rPr>
                <w:color w:val="auto"/>
                <w:highlight w:val="none"/>
              </w:rPr>
            </w:pPr>
            <w:r>
              <w:rPr>
                <w:color w:val="auto"/>
                <w:spacing w:val="-5"/>
                <w:highlight w:val="none"/>
              </w:rPr>
              <w:t>16.1</w:t>
            </w:r>
          </w:p>
        </w:tc>
        <w:tc>
          <w:tcPr>
            <w:tcW w:w="2904" w:type="dxa"/>
            <w:vAlign w:val="top"/>
          </w:tcPr>
          <w:p w14:paraId="31D5245F">
            <w:pPr>
              <w:rPr>
                <w:rFonts w:ascii="Arial"/>
                <w:color w:val="auto"/>
                <w:sz w:val="21"/>
                <w:highlight w:val="none"/>
              </w:rPr>
            </w:pPr>
          </w:p>
        </w:tc>
        <w:tc>
          <w:tcPr>
            <w:tcW w:w="849" w:type="dxa"/>
            <w:vAlign w:val="top"/>
          </w:tcPr>
          <w:p w14:paraId="0BC02816">
            <w:pPr>
              <w:rPr>
                <w:rFonts w:ascii="Arial"/>
                <w:color w:val="auto"/>
                <w:sz w:val="21"/>
                <w:highlight w:val="none"/>
              </w:rPr>
            </w:pPr>
          </w:p>
        </w:tc>
      </w:tr>
      <w:tr w14:paraId="1771B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10" w:type="dxa"/>
            <w:vAlign w:val="top"/>
          </w:tcPr>
          <w:p w14:paraId="009F83FD">
            <w:pPr>
              <w:rPr>
                <w:rFonts w:ascii="Arial"/>
                <w:color w:val="auto"/>
                <w:sz w:val="21"/>
                <w:highlight w:val="none"/>
              </w:rPr>
            </w:pPr>
          </w:p>
        </w:tc>
        <w:tc>
          <w:tcPr>
            <w:tcW w:w="2225" w:type="dxa"/>
            <w:vAlign w:val="top"/>
          </w:tcPr>
          <w:p w14:paraId="39080048">
            <w:pPr>
              <w:spacing w:line="319" w:lineRule="auto"/>
              <w:rPr>
                <w:rFonts w:ascii="Arial"/>
                <w:color w:val="auto"/>
                <w:sz w:val="21"/>
                <w:highlight w:val="none"/>
              </w:rPr>
            </w:pPr>
          </w:p>
          <w:p w14:paraId="7AB8203A">
            <w:pPr>
              <w:pStyle w:val="17"/>
              <w:spacing w:before="68" w:line="87" w:lineRule="exact"/>
              <w:ind w:left="1061"/>
              <w:rPr>
                <w:color w:val="auto"/>
                <w:highlight w:val="none"/>
              </w:rPr>
            </w:pPr>
            <w:r>
              <w:rPr>
                <w:color w:val="auto"/>
                <w:spacing w:val="-4"/>
                <w:position w:val="1"/>
                <w:highlight w:val="none"/>
              </w:rPr>
              <w:t>..</w:t>
            </w:r>
          </w:p>
        </w:tc>
        <w:tc>
          <w:tcPr>
            <w:tcW w:w="1438" w:type="dxa"/>
            <w:vAlign w:val="top"/>
          </w:tcPr>
          <w:p w14:paraId="5560FC3D">
            <w:pPr>
              <w:spacing w:line="319" w:lineRule="auto"/>
              <w:rPr>
                <w:rFonts w:ascii="Arial"/>
                <w:color w:val="auto"/>
                <w:sz w:val="21"/>
                <w:highlight w:val="none"/>
              </w:rPr>
            </w:pPr>
          </w:p>
          <w:p w14:paraId="3B65A4B1">
            <w:pPr>
              <w:pStyle w:val="17"/>
              <w:spacing w:before="68" w:line="87" w:lineRule="exact"/>
              <w:ind w:left="632"/>
              <w:rPr>
                <w:color w:val="auto"/>
                <w:highlight w:val="none"/>
              </w:rPr>
            </w:pPr>
            <w:r>
              <w:rPr>
                <w:color w:val="auto"/>
                <w:spacing w:val="-4"/>
                <w:position w:val="1"/>
                <w:highlight w:val="none"/>
              </w:rPr>
              <w:t>..</w:t>
            </w:r>
          </w:p>
        </w:tc>
        <w:tc>
          <w:tcPr>
            <w:tcW w:w="2904" w:type="dxa"/>
            <w:vAlign w:val="top"/>
          </w:tcPr>
          <w:p w14:paraId="75F22EE3">
            <w:pPr>
              <w:spacing w:line="319" w:lineRule="auto"/>
              <w:rPr>
                <w:rFonts w:ascii="Arial"/>
                <w:color w:val="auto"/>
                <w:sz w:val="21"/>
                <w:highlight w:val="none"/>
              </w:rPr>
            </w:pPr>
          </w:p>
          <w:p w14:paraId="1CB0B0F4">
            <w:pPr>
              <w:pStyle w:val="17"/>
              <w:spacing w:before="68" w:line="87" w:lineRule="exact"/>
              <w:ind w:left="1412"/>
              <w:rPr>
                <w:color w:val="auto"/>
                <w:highlight w:val="none"/>
              </w:rPr>
            </w:pPr>
            <w:r>
              <w:rPr>
                <w:color w:val="auto"/>
                <w:spacing w:val="-4"/>
                <w:position w:val="1"/>
                <w:highlight w:val="none"/>
              </w:rPr>
              <w:t>..</w:t>
            </w:r>
          </w:p>
        </w:tc>
        <w:tc>
          <w:tcPr>
            <w:tcW w:w="849" w:type="dxa"/>
            <w:vAlign w:val="top"/>
          </w:tcPr>
          <w:p w14:paraId="74B6E0CC">
            <w:pPr>
              <w:rPr>
                <w:rFonts w:ascii="Arial"/>
                <w:color w:val="auto"/>
                <w:sz w:val="21"/>
                <w:highlight w:val="none"/>
              </w:rPr>
            </w:pPr>
          </w:p>
        </w:tc>
      </w:tr>
      <w:tr w14:paraId="33A40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10" w:type="dxa"/>
            <w:vAlign w:val="top"/>
          </w:tcPr>
          <w:p w14:paraId="2A9B5666">
            <w:pPr>
              <w:rPr>
                <w:rFonts w:ascii="Arial"/>
                <w:color w:val="auto"/>
                <w:sz w:val="21"/>
                <w:highlight w:val="none"/>
              </w:rPr>
            </w:pPr>
          </w:p>
        </w:tc>
        <w:tc>
          <w:tcPr>
            <w:tcW w:w="2225" w:type="dxa"/>
            <w:vAlign w:val="top"/>
          </w:tcPr>
          <w:p w14:paraId="2D80DA29">
            <w:pPr>
              <w:spacing w:line="322" w:lineRule="auto"/>
              <w:rPr>
                <w:rFonts w:ascii="Arial"/>
                <w:color w:val="auto"/>
                <w:sz w:val="21"/>
                <w:highlight w:val="none"/>
              </w:rPr>
            </w:pPr>
          </w:p>
          <w:p w14:paraId="7A836D02">
            <w:pPr>
              <w:pStyle w:val="17"/>
              <w:spacing w:before="68" w:line="87" w:lineRule="exact"/>
              <w:ind w:left="1061"/>
              <w:rPr>
                <w:color w:val="auto"/>
                <w:highlight w:val="none"/>
              </w:rPr>
            </w:pPr>
            <w:r>
              <w:rPr>
                <w:color w:val="auto"/>
                <w:spacing w:val="-4"/>
                <w:position w:val="1"/>
                <w:highlight w:val="none"/>
              </w:rPr>
              <w:t>..</w:t>
            </w:r>
          </w:p>
        </w:tc>
        <w:tc>
          <w:tcPr>
            <w:tcW w:w="1438" w:type="dxa"/>
            <w:vAlign w:val="top"/>
          </w:tcPr>
          <w:p w14:paraId="18C0FA91">
            <w:pPr>
              <w:spacing w:line="322" w:lineRule="auto"/>
              <w:rPr>
                <w:rFonts w:ascii="Arial"/>
                <w:color w:val="auto"/>
                <w:sz w:val="21"/>
                <w:highlight w:val="none"/>
              </w:rPr>
            </w:pPr>
          </w:p>
          <w:p w14:paraId="2B2D4BBB">
            <w:pPr>
              <w:pStyle w:val="17"/>
              <w:spacing w:before="68" w:line="87" w:lineRule="exact"/>
              <w:ind w:left="632"/>
              <w:rPr>
                <w:color w:val="auto"/>
                <w:highlight w:val="none"/>
              </w:rPr>
            </w:pPr>
            <w:r>
              <w:rPr>
                <w:color w:val="auto"/>
                <w:spacing w:val="-4"/>
                <w:position w:val="1"/>
                <w:highlight w:val="none"/>
              </w:rPr>
              <w:t>..</w:t>
            </w:r>
          </w:p>
        </w:tc>
        <w:tc>
          <w:tcPr>
            <w:tcW w:w="2904" w:type="dxa"/>
            <w:vAlign w:val="top"/>
          </w:tcPr>
          <w:p w14:paraId="71BE2239">
            <w:pPr>
              <w:spacing w:line="322" w:lineRule="auto"/>
              <w:rPr>
                <w:rFonts w:ascii="Arial"/>
                <w:color w:val="auto"/>
                <w:sz w:val="21"/>
                <w:highlight w:val="none"/>
              </w:rPr>
            </w:pPr>
          </w:p>
          <w:p w14:paraId="7B0422FE">
            <w:pPr>
              <w:pStyle w:val="17"/>
              <w:spacing w:before="68" w:line="87" w:lineRule="exact"/>
              <w:ind w:left="1412"/>
              <w:rPr>
                <w:color w:val="auto"/>
                <w:highlight w:val="none"/>
              </w:rPr>
            </w:pPr>
            <w:r>
              <w:rPr>
                <w:color w:val="auto"/>
                <w:spacing w:val="-4"/>
                <w:position w:val="1"/>
                <w:highlight w:val="none"/>
              </w:rPr>
              <w:t>..</w:t>
            </w:r>
          </w:p>
        </w:tc>
        <w:tc>
          <w:tcPr>
            <w:tcW w:w="849" w:type="dxa"/>
            <w:vAlign w:val="top"/>
          </w:tcPr>
          <w:p w14:paraId="44613749">
            <w:pPr>
              <w:rPr>
                <w:rFonts w:ascii="Arial"/>
                <w:color w:val="auto"/>
                <w:sz w:val="21"/>
                <w:highlight w:val="none"/>
              </w:rPr>
            </w:pPr>
          </w:p>
        </w:tc>
      </w:tr>
    </w:tbl>
    <w:p w14:paraId="2E93EE9E">
      <w:pPr>
        <w:spacing w:line="423" w:lineRule="auto"/>
        <w:rPr>
          <w:rFonts w:ascii="Arial"/>
          <w:color w:val="auto"/>
          <w:sz w:val="21"/>
          <w:highlight w:val="none"/>
        </w:rPr>
      </w:pPr>
    </w:p>
    <w:p w14:paraId="0A95D567">
      <w:pPr>
        <w:spacing w:before="78" w:line="344" w:lineRule="auto"/>
        <w:ind w:left="2667" w:right="2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法定代表人或者委托代理人（签字或者电子签名</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0A2BADAE">
      <w:pPr>
        <w:spacing w:before="37" w:line="220" w:lineRule="auto"/>
        <w:ind w:left="2956"/>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5DD06D01">
      <w:pPr>
        <w:spacing w:line="220" w:lineRule="auto"/>
        <w:rPr>
          <w:rFonts w:ascii="宋体" w:hAnsi="宋体" w:eastAsia="宋体" w:cs="宋体"/>
          <w:color w:val="auto"/>
          <w:sz w:val="24"/>
          <w:szCs w:val="24"/>
          <w:highlight w:val="none"/>
        </w:rPr>
        <w:sectPr>
          <w:footerReference r:id="rId45" w:type="default"/>
          <w:pgSz w:w="11900" w:h="16832"/>
          <w:pgMar w:top="1423" w:right="1784" w:bottom="1220" w:left="1784" w:header="0" w:footer="1060" w:gutter="0"/>
          <w:pgNumType w:fmt="decimal"/>
          <w:cols w:space="720" w:num="1"/>
        </w:sectPr>
      </w:pPr>
    </w:p>
    <w:p w14:paraId="0F7F00C7">
      <w:pPr>
        <w:spacing w:before="63" w:line="224" w:lineRule="auto"/>
        <w:ind w:left="4058"/>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竞标报价表</w:t>
      </w:r>
    </w:p>
    <w:p w14:paraId="3BB632B2">
      <w:pPr>
        <w:spacing w:line="295" w:lineRule="auto"/>
        <w:rPr>
          <w:rFonts w:ascii="Arial"/>
          <w:color w:val="auto"/>
          <w:sz w:val="21"/>
          <w:highlight w:val="none"/>
        </w:rPr>
      </w:pPr>
    </w:p>
    <w:p w14:paraId="2B04A9BE">
      <w:pPr>
        <w:spacing w:line="296" w:lineRule="auto"/>
        <w:rPr>
          <w:rFonts w:ascii="Arial"/>
          <w:color w:val="auto"/>
          <w:sz w:val="21"/>
          <w:highlight w:val="none"/>
        </w:rPr>
      </w:pPr>
    </w:p>
    <w:p w14:paraId="55AF2C95">
      <w:pPr>
        <w:spacing w:before="78" w:line="220" w:lineRule="auto"/>
        <w:ind w:left="71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7"/>
          <w:sz w:val="24"/>
          <w:szCs w:val="24"/>
          <w:highlight w:val="none"/>
        </w:rPr>
        <w:t xml:space="preserve"> </w:t>
      </w:r>
      <w:r>
        <w:rPr>
          <w:rFonts w:ascii="宋体" w:hAnsi="宋体" w:eastAsia="宋体" w:cs="宋体"/>
          <w:color w:val="auto"/>
          <w:spacing w:val="-1"/>
          <w:sz w:val="24"/>
          <w:szCs w:val="24"/>
          <w:highlight w:val="none"/>
        </w:rPr>
        <w:t>项目编号：</w:t>
      </w:r>
      <w:r>
        <w:rPr>
          <w:rFonts w:ascii="宋体" w:hAnsi="宋体" w:eastAsia="宋体" w:cs="宋体"/>
          <w:color w:val="auto"/>
          <w:sz w:val="24"/>
          <w:szCs w:val="24"/>
          <w:highlight w:val="none"/>
          <w:u w:val="single" w:color="auto"/>
        </w:rPr>
        <w:t xml:space="preserve">                    </w:t>
      </w:r>
    </w:p>
    <w:p w14:paraId="2BA6A967">
      <w:pPr>
        <w:spacing w:before="179" w:line="219" w:lineRule="auto"/>
        <w:ind w:left="7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供应商名称：</w:t>
      </w:r>
      <w:r>
        <w:rPr>
          <w:rFonts w:ascii="宋体" w:hAnsi="宋体" w:eastAsia="宋体" w:cs="宋体"/>
          <w:color w:val="auto"/>
          <w:sz w:val="24"/>
          <w:szCs w:val="24"/>
          <w:highlight w:val="none"/>
          <w:u w:val="single" w:color="auto"/>
        </w:rPr>
        <w:t xml:space="preserve">                                            </w:t>
      </w:r>
    </w:p>
    <w:p w14:paraId="551810BE">
      <w:pPr>
        <w:spacing w:before="183" w:line="220" w:lineRule="auto"/>
        <w:ind w:left="647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单位：元</w:t>
      </w:r>
    </w:p>
    <w:p w14:paraId="1961472B">
      <w:pPr>
        <w:spacing w:line="146" w:lineRule="exact"/>
        <w:rPr>
          <w:color w:val="auto"/>
          <w:highlight w:val="none"/>
        </w:rPr>
      </w:pPr>
    </w:p>
    <w:tbl>
      <w:tblPr>
        <w:tblStyle w:val="16"/>
        <w:tblW w:w="9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3"/>
        <w:gridCol w:w="2711"/>
        <w:gridCol w:w="1504"/>
        <w:gridCol w:w="3107"/>
        <w:gridCol w:w="1187"/>
      </w:tblGrid>
      <w:tr w14:paraId="4D89B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593" w:type="dxa"/>
            <w:textDirection w:val="tbRlV"/>
            <w:vAlign w:val="top"/>
          </w:tcPr>
          <w:p w14:paraId="137F71A7">
            <w:pPr>
              <w:pStyle w:val="17"/>
              <w:spacing w:before="174" w:line="210" w:lineRule="auto"/>
              <w:ind w:left="38"/>
              <w:rPr>
                <w:color w:val="auto"/>
                <w:sz w:val="24"/>
                <w:szCs w:val="24"/>
                <w:highlight w:val="none"/>
              </w:rPr>
            </w:pPr>
            <w:r>
              <w:rPr>
                <w:color w:val="auto"/>
                <w:sz w:val="24"/>
                <w:szCs w:val="24"/>
                <w:highlight w:val="none"/>
              </w:rPr>
              <w:t>序</w:t>
            </w:r>
            <w:r>
              <w:rPr>
                <w:color w:val="auto"/>
                <w:spacing w:val="108"/>
                <w:sz w:val="24"/>
                <w:szCs w:val="24"/>
                <w:highlight w:val="none"/>
              </w:rPr>
              <w:t xml:space="preserve"> </w:t>
            </w:r>
            <w:r>
              <w:rPr>
                <w:color w:val="auto"/>
                <w:sz w:val="24"/>
                <w:szCs w:val="24"/>
                <w:highlight w:val="none"/>
              </w:rPr>
              <w:t>号</w:t>
            </w:r>
          </w:p>
        </w:tc>
        <w:tc>
          <w:tcPr>
            <w:tcW w:w="2711" w:type="dxa"/>
            <w:vAlign w:val="top"/>
          </w:tcPr>
          <w:p w14:paraId="30A950BD">
            <w:pPr>
              <w:pStyle w:val="17"/>
              <w:spacing w:before="273" w:line="220" w:lineRule="auto"/>
              <w:ind w:left="881"/>
              <w:rPr>
                <w:color w:val="auto"/>
                <w:sz w:val="24"/>
                <w:szCs w:val="24"/>
                <w:highlight w:val="none"/>
              </w:rPr>
            </w:pPr>
            <w:r>
              <w:rPr>
                <w:color w:val="auto"/>
                <w:spacing w:val="-2"/>
                <w:sz w:val="24"/>
                <w:szCs w:val="24"/>
                <w:highlight w:val="none"/>
              </w:rPr>
              <w:t>标项名称</w:t>
            </w:r>
          </w:p>
        </w:tc>
        <w:tc>
          <w:tcPr>
            <w:tcW w:w="1504" w:type="dxa"/>
            <w:vAlign w:val="top"/>
          </w:tcPr>
          <w:p w14:paraId="0B225AD9">
            <w:pPr>
              <w:pStyle w:val="17"/>
              <w:spacing w:before="273" w:line="220" w:lineRule="auto"/>
              <w:ind w:left="159"/>
              <w:rPr>
                <w:color w:val="auto"/>
                <w:sz w:val="24"/>
                <w:szCs w:val="24"/>
                <w:highlight w:val="none"/>
              </w:rPr>
            </w:pPr>
            <w:r>
              <w:rPr>
                <w:color w:val="auto"/>
                <w:spacing w:val="-2"/>
                <w:sz w:val="24"/>
                <w:szCs w:val="24"/>
                <w:highlight w:val="none"/>
              </w:rPr>
              <w:t>数量及单位</w:t>
            </w:r>
          </w:p>
        </w:tc>
        <w:tc>
          <w:tcPr>
            <w:tcW w:w="3107" w:type="dxa"/>
            <w:vAlign w:val="top"/>
          </w:tcPr>
          <w:p w14:paraId="4394A1B8">
            <w:pPr>
              <w:pStyle w:val="17"/>
              <w:spacing w:before="273" w:line="218" w:lineRule="auto"/>
              <w:ind w:left="1326"/>
              <w:rPr>
                <w:color w:val="auto"/>
                <w:sz w:val="24"/>
                <w:szCs w:val="24"/>
                <w:highlight w:val="none"/>
              </w:rPr>
            </w:pPr>
            <w:r>
              <w:rPr>
                <w:color w:val="auto"/>
                <w:spacing w:val="-4"/>
                <w:sz w:val="24"/>
                <w:szCs w:val="24"/>
                <w:highlight w:val="none"/>
              </w:rPr>
              <w:t>总价</w:t>
            </w:r>
          </w:p>
        </w:tc>
        <w:tc>
          <w:tcPr>
            <w:tcW w:w="1187" w:type="dxa"/>
            <w:vAlign w:val="top"/>
          </w:tcPr>
          <w:p w14:paraId="2B8EE646">
            <w:pPr>
              <w:pStyle w:val="17"/>
              <w:spacing w:before="273" w:line="221" w:lineRule="auto"/>
              <w:ind w:left="362"/>
              <w:rPr>
                <w:color w:val="auto"/>
                <w:sz w:val="24"/>
                <w:szCs w:val="24"/>
                <w:highlight w:val="none"/>
              </w:rPr>
            </w:pPr>
            <w:r>
              <w:rPr>
                <w:color w:val="auto"/>
                <w:spacing w:val="-4"/>
                <w:sz w:val="24"/>
                <w:szCs w:val="24"/>
                <w:highlight w:val="none"/>
              </w:rPr>
              <w:t>备注</w:t>
            </w:r>
          </w:p>
        </w:tc>
      </w:tr>
      <w:tr w14:paraId="22E8E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93" w:type="dxa"/>
            <w:vAlign w:val="top"/>
          </w:tcPr>
          <w:p w14:paraId="2B7DB8F8">
            <w:pPr>
              <w:pStyle w:val="17"/>
              <w:spacing w:before="238" w:line="182" w:lineRule="auto"/>
              <w:ind w:left="260"/>
              <w:rPr>
                <w:color w:val="auto"/>
                <w:sz w:val="24"/>
                <w:szCs w:val="24"/>
                <w:highlight w:val="none"/>
              </w:rPr>
            </w:pPr>
            <w:r>
              <w:rPr>
                <w:color w:val="auto"/>
                <w:sz w:val="24"/>
                <w:szCs w:val="24"/>
                <w:highlight w:val="none"/>
              </w:rPr>
              <w:t>1</w:t>
            </w:r>
          </w:p>
        </w:tc>
        <w:tc>
          <w:tcPr>
            <w:tcW w:w="2711" w:type="dxa"/>
            <w:vAlign w:val="top"/>
          </w:tcPr>
          <w:p w14:paraId="047C54BA">
            <w:pPr>
              <w:rPr>
                <w:rFonts w:ascii="Arial"/>
                <w:color w:val="auto"/>
                <w:sz w:val="21"/>
                <w:highlight w:val="none"/>
              </w:rPr>
            </w:pPr>
          </w:p>
        </w:tc>
        <w:tc>
          <w:tcPr>
            <w:tcW w:w="1504" w:type="dxa"/>
            <w:vAlign w:val="top"/>
          </w:tcPr>
          <w:p w14:paraId="7107E1E9">
            <w:pPr>
              <w:pStyle w:val="17"/>
              <w:spacing w:before="199" w:line="220" w:lineRule="auto"/>
              <w:ind w:left="566"/>
              <w:rPr>
                <w:color w:val="auto"/>
                <w:sz w:val="24"/>
                <w:szCs w:val="24"/>
                <w:highlight w:val="none"/>
              </w:rPr>
            </w:pPr>
            <w:r>
              <w:rPr>
                <w:color w:val="auto"/>
                <w:spacing w:val="-14"/>
                <w:sz w:val="24"/>
                <w:szCs w:val="24"/>
                <w:highlight w:val="none"/>
              </w:rPr>
              <w:t>1</w:t>
            </w:r>
            <w:r>
              <w:rPr>
                <w:color w:val="auto"/>
                <w:spacing w:val="-47"/>
                <w:sz w:val="24"/>
                <w:szCs w:val="24"/>
                <w:highlight w:val="none"/>
              </w:rPr>
              <w:t xml:space="preserve"> </w:t>
            </w:r>
            <w:r>
              <w:rPr>
                <w:color w:val="auto"/>
                <w:spacing w:val="-14"/>
                <w:sz w:val="24"/>
                <w:szCs w:val="24"/>
                <w:highlight w:val="none"/>
              </w:rPr>
              <w:t>项</w:t>
            </w:r>
          </w:p>
        </w:tc>
        <w:tc>
          <w:tcPr>
            <w:tcW w:w="3107" w:type="dxa"/>
            <w:vAlign w:val="top"/>
          </w:tcPr>
          <w:p w14:paraId="43280EE6">
            <w:pPr>
              <w:rPr>
                <w:rFonts w:ascii="Arial"/>
                <w:color w:val="auto"/>
                <w:sz w:val="21"/>
                <w:highlight w:val="none"/>
              </w:rPr>
            </w:pPr>
          </w:p>
        </w:tc>
        <w:tc>
          <w:tcPr>
            <w:tcW w:w="1187" w:type="dxa"/>
            <w:vAlign w:val="top"/>
          </w:tcPr>
          <w:p w14:paraId="240B07B4">
            <w:pPr>
              <w:rPr>
                <w:rFonts w:ascii="Arial"/>
                <w:color w:val="auto"/>
                <w:sz w:val="21"/>
                <w:highlight w:val="none"/>
              </w:rPr>
            </w:pPr>
          </w:p>
        </w:tc>
      </w:tr>
      <w:tr w14:paraId="7D06D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102" w:type="dxa"/>
            <w:gridSpan w:val="5"/>
            <w:vAlign w:val="top"/>
          </w:tcPr>
          <w:p w14:paraId="7F9273E0">
            <w:pPr>
              <w:pStyle w:val="17"/>
              <w:spacing w:before="202" w:line="219" w:lineRule="auto"/>
              <w:ind w:left="118"/>
              <w:rPr>
                <w:color w:val="auto"/>
                <w:sz w:val="24"/>
                <w:szCs w:val="24"/>
                <w:highlight w:val="none"/>
              </w:rPr>
            </w:pPr>
            <w:r>
              <w:rPr>
                <w:color w:val="auto"/>
                <w:spacing w:val="-1"/>
                <w:sz w:val="24"/>
                <w:szCs w:val="24"/>
                <w:highlight w:val="none"/>
              </w:rPr>
              <w:t>合计金额（人民币）</w:t>
            </w:r>
            <w:r>
              <w:rPr>
                <w:color w:val="auto"/>
                <w:spacing w:val="-1"/>
                <w:sz w:val="24"/>
                <w:szCs w:val="24"/>
                <w:highlight w:val="none"/>
                <w:u w:val="single" w:color="auto"/>
              </w:rPr>
              <w:t xml:space="preserve">大写：           </w:t>
            </w:r>
            <w:r>
              <w:rPr>
                <w:color w:val="auto"/>
                <w:spacing w:val="-2"/>
                <w:sz w:val="24"/>
                <w:szCs w:val="24"/>
                <w:highlight w:val="none"/>
                <w:u w:val="single" w:color="auto"/>
              </w:rPr>
              <w:t xml:space="preserve">           </w:t>
            </w:r>
            <w:r>
              <w:rPr>
                <w:color w:val="auto"/>
                <w:spacing w:val="8"/>
                <w:sz w:val="24"/>
                <w:szCs w:val="24"/>
                <w:highlight w:val="none"/>
              </w:rPr>
              <w:t xml:space="preserve">  </w:t>
            </w:r>
            <w:r>
              <w:rPr>
                <w:color w:val="auto"/>
                <w:spacing w:val="-2"/>
                <w:sz w:val="24"/>
                <w:szCs w:val="24"/>
                <w:highlight w:val="none"/>
              </w:rPr>
              <w:t>(</w:t>
            </w:r>
            <w:r>
              <w:rPr>
                <w:rFonts w:hint="eastAsia"/>
                <w:color w:val="auto"/>
                <w:spacing w:val="-2"/>
                <w:sz w:val="24"/>
                <w:szCs w:val="24"/>
                <w:highlight w:val="none"/>
              </w:rPr>
              <w:t>¥</w:t>
            </w:r>
            <w:r>
              <w:rPr>
                <w:color w:val="auto"/>
                <w:sz w:val="24"/>
                <w:szCs w:val="24"/>
                <w:highlight w:val="none"/>
                <w:u w:val="single" w:color="auto"/>
              </w:rPr>
              <w:t xml:space="preserve">                </w:t>
            </w:r>
            <w:r>
              <w:rPr>
                <w:color w:val="auto"/>
                <w:spacing w:val="-85"/>
                <w:sz w:val="24"/>
                <w:szCs w:val="24"/>
                <w:highlight w:val="none"/>
              </w:rPr>
              <w:t xml:space="preserve"> </w:t>
            </w:r>
            <w:r>
              <w:rPr>
                <w:color w:val="auto"/>
                <w:spacing w:val="-2"/>
                <w:sz w:val="24"/>
                <w:szCs w:val="24"/>
                <w:highlight w:val="none"/>
              </w:rPr>
              <w:t>)</w:t>
            </w:r>
          </w:p>
        </w:tc>
      </w:tr>
    </w:tbl>
    <w:p w14:paraId="173CDDA3">
      <w:pPr>
        <w:spacing w:line="421" w:lineRule="auto"/>
        <w:rPr>
          <w:rFonts w:ascii="Arial"/>
          <w:color w:val="auto"/>
          <w:sz w:val="21"/>
          <w:highlight w:val="none"/>
        </w:rPr>
      </w:pPr>
    </w:p>
    <w:p w14:paraId="0569D292">
      <w:pPr>
        <w:spacing w:before="78" w:line="224" w:lineRule="auto"/>
        <w:ind w:left="708"/>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注:</w:t>
      </w:r>
    </w:p>
    <w:p w14:paraId="27B75E77">
      <w:pPr>
        <w:spacing w:before="174" w:line="290" w:lineRule="auto"/>
        <w:ind w:left="710" w:right="129" w:firstLine="49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 供应商的报价表必须加盖供应商电子签章并由法定代表人或者委托代理</w:t>
      </w:r>
      <w:r>
        <w:rPr>
          <w:rFonts w:ascii="宋体" w:hAnsi="宋体" w:eastAsia="宋体" w:cs="宋体"/>
          <w:color w:val="auto"/>
          <w:spacing w:val="5"/>
          <w:sz w:val="24"/>
          <w:szCs w:val="24"/>
          <w:highlight w:val="none"/>
        </w:rPr>
        <w:t xml:space="preserve"> </w:t>
      </w:r>
      <w:r>
        <w:rPr>
          <w:rFonts w:ascii="宋体" w:hAnsi="宋体" w:eastAsia="宋体" w:cs="宋体"/>
          <w:color w:val="auto"/>
          <w:spacing w:val="-2"/>
          <w:sz w:val="24"/>
          <w:szCs w:val="24"/>
          <w:highlight w:val="none"/>
        </w:rPr>
        <w:t>人签字或者电子签名，</w:t>
      </w:r>
      <w:r>
        <w:rPr>
          <w:rFonts w:ascii="宋体" w:hAnsi="宋体" w:eastAsia="宋体" w:cs="宋体"/>
          <w:b/>
          <w:bCs/>
          <w:color w:val="auto"/>
          <w:spacing w:val="-2"/>
          <w:sz w:val="24"/>
          <w:szCs w:val="24"/>
          <w:highlight w:val="none"/>
        </w:rPr>
        <w:t>否则其响应文件按无效处理</w:t>
      </w:r>
      <w:r>
        <w:rPr>
          <w:rFonts w:ascii="宋体" w:hAnsi="宋体" w:eastAsia="宋体" w:cs="宋体"/>
          <w:color w:val="auto"/>
          <w:spacing w:val="-2"/>
          <w:sz w:val="24"/>
          <w:szCs w:val="24"/>
          <w:highlight w:val="none"/>
        </w:rPr>
        <w:t>。</w:t>
      </w:r>
    </w:p>
    <w:p w14:paraId="484E981B">
      <w:pPr>
        <w:spacing w:before="180" w:line="290" w:lineRule="auto"/>
        <w:ind w:left="713" w:right="30" w:firstLine="477"/>
        <w:rPr>
          <w:rFonts w:ascii="宋体" w:hAnsi="宋体" w:eastAsia="宋体" w:cs="宋体"/>
          <w:color w:val="auto"/>
          <w:sz w:val="24"/>
          <w:szCs w:val="24"/>
          <w:highlight w:val="none"/>
        </w:rPr>
      </w:pPr>
      <w:r>
        <w:rPr>
          <w:rFonts w:ascii="宋体" w:hAnsi="宋体" w:eastAsia="宋体" w:cs="宋体"/>
          <w:color w:val="auto"/>
          <w:sz w:val="24"/>
          <w:szCs w:val="24"/>
          <w:highlight w:val="none"/>
        </w:rPr>
        <w:t>2. 报价一经涂改，应在涂改处加盖供应商</w:t>
      </w:r>
      <w:r>
        <w:rPr>
          <w:rFonts w:ascii="宋体" w:hAnsi="宋体" w:eastAsia="宋体" w:cs="宋体"/>
          <w:color w:val="auto"/>
          <w:spacing w:val="-1"/>
          <w:sz w:val="24"/>
          <w:szCs w:val="24"/>
          <w:highlight w:val="none"/>
        </w:rPr>
        <w:t>公章或者加盖电子签章或者由法</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定代表人或者授权委托人签字（或者电子签名</w:t>
      </w:r>
      <w:r>
        <w:rPr>
          <w:rFonts w:ascii="宋体" w:hAnsi="宋体" w:eastAsia="宋体" w:cs="宋体"/>
          <w:color w:val="auto"/>
          <w:spacing w:val="13"/>
          <w:sz w:val="24"/>
          <w:szCs w:val="24"/>
          <w:highlight w:val="none"/>
        </w:rPr>
        <w:t>）</w:t>
      </w:r>
      <w:r>
        <w:rPr>
          <w:rFonts w:ascii="宋体" w:hAnsi="宋体" w:eastAsia="宋体" w:cs="宋体"/>
          <w:b/>
          <w:bCs/>
          <w:color w:val="auto"/>
          <w:spacing w:val="13"/>
          <w:sz w:val="24"/>
          <w:szCs w:val="24"/>
          <w:highlight w:val="none"/>
        </w:rPr>
        <w:t>，</w:t>
      </w:r>
      <w:r>
        <w:rPr>
          <w:rFonts w:ascii="宋体" w:hAnsi="宋体" w:eastAsia="宋体" w:cs="宋体"/>
          <w:b/>
          <w:bCs/>
          <w:color w:val="auto"/>
          <w:spacing w:val="-3"/>
          <w:sz w:val="24"/>
          <w:szCs w:val="24"/>
          <w:highlight w:val="none"/>
        </w:rPr>
        <w:t>否则其响应文件按无效处理。</w:t>
      </w:r>
    </w:p>
    <w:p w14:paraId="4CA59861">
      <w:pPr>
        <w:spacing w:before="181" w:line="346" w:lineRule="auto"/>
        <w:ind w:left="708" w:right="114" w:firstLine="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3.如为联合体竞标，“供应商名称”处必须列明联合体各方名称，标注联合</w:t>
      </w:r>
      <w:r>
        <w:rPr>
          <w:rFonts w:ascii="宋体" w:hAnsi="宋体" w:eastAsia="宋体" w:cs="宋体"/>
          <w:color w:val="auto"/>
          <w:spacing w:val="15"/>
          <w:sz w:val="24"/>
          <w:szCs w:val="24"/>
          <w:highlight w:val="none"/>
        </w:rPr>
        <w:t xml:space="preserve"> </w:t>
      </w:r>
      <w:r>
        <w:rPr>
          <w:rFonts w:ascii="宋体" w:hAnsi="宋体" w:eastAsia="宋体" w:cs="宋体"/>
          <w:color w:val="auto"/>
          <w:spacing w:val="-3"/>
          <w:sz w:val="24"/>
          <w:szCs w:val="24"/>
          <w:highlight w:val="none"/>
        </w:rPr>
        <w:t>体牵头人名称，</w:t>
      </w:r>
      <w:r>
        <w:rPr>
          <w:rFonts w:ascii="宋体" w:hAnsi="宋体" w:eastAsia="宋体" w:cs="宋体"/>
          <w:b/>
          <w:bCs/>
          <w:color w:val="auto"/>
          <w:spacing w:val="-3"/>
          <w:sz w:val="24"/>
          <w:szCs w:val="24"/>
          <w:highlight w:val="none"/>
        </w:rPr>
        <w:t>否则其响应文件按无效处理。</w:t>
      </w:r>
    </w:p>
    <w:p w14:paraId="077428EE">
      <w:pPr>
        <w:spacing w:before="32" w:line="347" w:lineRule="auto"/>
        <w:ind w:left="707" w:right="207" w:firstLine="479"/>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4. 如为联合体竞标， 盖章处须加盖联合体牵</w:t>
      </w:r>
      <w:r>
        <w:rPr>
          <w:rFonts w:ascii="宋体" w:hAnsi="宋体" w:eastAsia="宋体" w:cs="宋体"/>
          <w:color w:val="auto"/>
          <w:spacing w:val="-7"/>
          <w:sz w:val="24"/>
          <w:szCs w:val="24"/>
          <w:highlight w:val="none"/>
        </w:rPr>
        <w:t>头人电子签章，</w:t>
      </w:r>
      <w:r>
        <w:rPr>
          <w:rFonts w:ascii="宋体" w:hAnsi="宋体" w:eastAsia="宋体" w:cs="宋体"/>
          <w:b/>
          <w:bCs/>
          <w:color w:val="auto"/>
          <w:spacing w:val="-7"/>
          <w:sz w:val="24"/>
          <w:szCs w:val="24"/>
          <w:highlight w:val="none"/>
        </w:rPr>
        <w:t>否则其响应文</w:t>
      </w:r>
      <w:r>
        <w:rPr>
          <w:rFonts w:ascii="宋体" w:hAnsi="宋体" w:eastAsia="宋体" w:cs="宋体"/>
          <w:color w:val="auto"/>
          <w:sz w:val="24"/>
          <w:szCs w:val="24"/>
          <w:highlight w:val="none"/>
        </w:rPr>
        <w:t xml:space="preserve"> </w:t>
      </w:r>
      <w:r>
        <w:rPr>
          <w:rFonts w:ascii="宋体" w:hAnsi="宋体" w:eastAsia="宋体" w:cs="宋体"/>
          <w:b/>
          <w:bCs/>
          <w:color w:val="auto"/>
          <w:spacing w:val="-4"/>
          <w:sz w:val="24"/>
          <w:szCs w:val="24"/>
          <w:highlight w:val="none"/>
        </w:rPr>
        <w:t>件按无效处理。</w:t>
      </w:r>
    </w:p>
    <w:p w14:paraId="0B359F47">
      <w:pPr>
        <w:spacing w:before="36" w:line="218" w:lineRule="auto"/>
        <w:ind w:left="1192"/>
        <w:rPr>
          <w:rFonts w:ascii="宋体" w:hAnsi="宋体" w:eastAsia="宋体" w:cs="宋体"/>
          <w:color w:val="auto"/>
          <w:sz w:val="24"/>
          <w:szCs w:val="24"/>
          <w:highlight w:val="none"/>
        </w:rPr>
      </w:pPr>
      <w:r>
        <w:rPr>
          <w:rFonts w:ascii="宋体" w:hAnsi="宋体" w:eastAsia="宋体" w:cs="宋体"/>
          <w:color w:val="auto"/>
          <w:spacing w:val="-12"/>
          <w:sz w:val="24"/>
          <w:szCs w:val="24"/>
          <w:highlight w:val="none"/>
        </w:rPr>
        <w:t>5.如有多分标，分别列明各分标的报价表，</w:t>
      </w:r>
      <w:r>
        <w:rPr>
          <w:rFonts w:ascii="宋体" w:hAnsi="宋体" w:eastAsia="宋体" w:cs="宋体"/>
          <w:b/>
          <w:bCs/>
          <w:color w:val="auto"/>
          <w:spacing w:val="-12"/>
          <w:sz w:val="24"/>
          <w:szCs w:val="24"/>
          <w:highlight w:val="none"/>
        </w:rPr>
        <w:t>否则其响应文件按无效处理。</w:t>
      </w:r>
    </w:p>
    <w:p w14:paraId="0172D311">
      <w:pPr>
        <w:spacing w:line="284" w:lineRule="auto"/>
        <w:rPr>
          <w:rFonts w:ascii="Arial"/>
          <w:color w:val="auto"/>
          <w:sz w:val="21"/>
          <w:highlight w:val="none"/>
        </w:rPr>
      </w:pPr>
    </w:p>
    <w:p w14:paraId="61F81995">
      <w:pPr>
        <w:spacing w:line="285" w:lineRule="auto"/>
        <w:rPr>
          <w:rFonts w:ascii="Arial"/>
          <w:color w:val="auto"/>
          <w:sz w:val="21"/>
          <w:highlight w:val="none"/>
        </w:rPr>
      </w:pPr>
    </w:p>
    <w:p w14:paraId="2406B3B4">
      <w:pPr>
        <w:spacing w:before="78" w:line="344" w:lineRule="auto"/>
        <w:ind w:left="3348" w:right="30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法定代表人或者委托代理人（签字或者电子签名</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7BC0DFE5">
      <w:pPr>
        <w:spacing w:before="38" w:line="220" w:lineRule="auto"/>
        <w:ind w:left="483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39083231">
      <w:pPr>
        <w:spacing w:line="220" w:lineRule="auto"/>
        <w:rPr>
          <w:rFonts w:ascii="宋体" w:hAnsi="宋体" w:eastAsia="宋体" w:cs="宋体"/>
          <w:color w:val="auto"/>
          <w:sz w:val="24"/>
          <w:szCs w:val="24"/>
          <w:highlight w:val="none"/>
        </w:rPr>
        <w:sectPr>
          <w:footerReference r:id="rId46" w:type="default"/>
          <w:pgSz w:w="11900" w:h="16832"/>
          <w:pgMar w:top="1423" w:right="1687" w:bottom="1218" w:left="1104" w:header="0" w:footer="1060" w:gutter="0"/>
          <w:pgNumType w:fmt="decimal"/>
          <w:cols w:space="720" w:num="1"/>
        </w:sectPr>
      </w:pPr>
    </w:p>
    <w:p w14:paraId="45E903F0">
      <w:pPr>
        <w:spacing w:before="63" w:line="224" w:lineRule="auto"/>
        <w:ind w:left="2926"/>
        <w:rPr>
          <w:rFonts w:ascii="宋体" w:hAnsi="宋体" w:eastAsia="宋体" w:cs="宋体"/>
          <w:b/>
          <w:bCs/>
          <w:color w:val="auto"/>
          <w:spacing w:val="1"/>
          <w:sz w:val="31"/>
          <w:szCs w:val="31"/>
          <w:highlight w:val="none"/>
        </w:rPr>
      </w:pPr>
      <w:r>
        <w:rPr>
          <w:rFonts w:ascii="宋体" w:hAnsi="宋体" w:eastAsia="宋体" w:cs="宋体"/>
          <w:b/>
          <w:bCs/>
          <w:color w:val="auto"/>
          <w:spacing w:val="1"/>
          <w:sz w:val="31"/>
          <w:szCs w:val="31"/>
          <w:highlight w:val="none"/>
        </w:rPr>
        <w:t>已标价工程量清单</w:t>
      </w:r>
    </w:p>
    <w:p w14:paraId="64B1911F">
      <w:pPr>
        <w:spacing w:before="63" w:line="224" w:lineRule="auto"/>
        <w:ind w:left="2926"/>
        <w:rPr>
          <w:rFonts w:ascii="宋体" w:hAnsi="宋体" w:eastAsia="宋体" w:cs="宋体"/>
          <w:b/>
          <w:bCs/>
          <w:color w:val="auto"/>
          <w:spacing w:val="1"/>
          <w:sz w:val="31"/>
          <w:szCs w:val="31"/>
          <w:highlight w:val="none"/>
        </w:rPr>
      </w:pPr>
    </w:p>
    <w:p w14:paraId="4E2FEA1A">
      <w:pPr>
        <w:pStyle w:val="5"/>
        <w:spacing w:before="78" w:line="480" w:lineRule="exact"/>
        <w:jc w:val="right"/>
        <w:rPr>
          <w:color w:val="auto"/>
          <w:sz w:val="24"/>
          <w:szCs w:val="24"/>
          <w:highlight w:val="none"/>
        </w:rPr>
      </w:pPr>
      <w:r>
        <w:rPr>
          <w:color w:val="auto"/>
          <w:spacing w:val="-3"/>
          <w:position w:val="18"/>
          <w:sz w:val="24"/>
          <w:szCs w:val="24"/>
          <w:highlight w:val="none"/>
        </w:rPr>
        <w:t>供应商应按照第五章“工程量清单及图纸</w:t>
      </w:r>
      <w:r>
        <w:rPr>
          <w:color w:val="auto"/>
          <w:spacing w:val="-73"/>
          <w:position w:val="18"/>
          <w:sz w:val="24"/>
          <w:szCs w:val="24"/>
          <w:highlight w:val="none"/>
        </w:rPr>
        <w:t xml:space="preserve"> </w:t>
      </w:r>
      <w:r>
        <w:rPr>
          <w:color w:val="auto"/>
          <w:spacing w:val="-3"/>
          <w:position w:val="18"/>
          <w:sz w:val="24"/>
          <w:szCs w:val="24"/>
          <w:highlight w:val="none"/>
        </w:rPr>
        <w:t>”的要求逐项填报工程量清单，包括工程</w:t>
      </w:r>
    </w:p>
    <w:p w14:paraId="48539072">
      <w:pPr>
        <w:pStyle w:val="5"/>
        <w:spacing w:line="218" w:lineRule="auto"/>
        <w:rPr>
          <w:color w:val="auto"/>
          <w:sz w:val="24"/>
          <w:szCs w:val="24"/>
          <w:highlight w:val="none"/>
        </w:rPr>
      </w:pPr>
      <w:r>
        <w:rPr>
          <w:color w:val="auto"/>
          <w:sz w:val="24"/>
          <w:szCs w:val="24"/>
          <w:highlight w:val="none"/>
        </w:rPr>
        <w:t>量清单说明、报价说明、计日工说明、其他说明</w:t>
      </w:r>
      <w:r>
        <w:rPr>
          <w:color w:val="auto"/>
          <w:spacing w:val="-1"/>
          <w:sz w:val="24"/>
          <w:szCs w:val="24"/>
          <w:highlight w:val="none"/>
        </w:rPr>
        <w:t>及工程量清单各项表格。</w:t>
      </w:r>
    </w:p>
    <w:p w14:paraId="137ECC78">
      <w:pPr>
        <w:spacing w:line="218" w:lineRule="auto"/>
        <w:rPr>
          <w:color w:val="auto"/>
          <w:sz w:val="24"/>
          <w:szCs w:val="24"/>
          <w:highlight w:val="none"/>
        </w:rPr>
        <w:sectPr>
          <w:footerReference r:id="rId47" w:type="default"/>
          <w:pgSz w:w="11906" w:h="16838"/>
          <w:pgMar w:top="1431" w:right="1246" w:bottom="1015" w:left="1598" w:header="0" w:footer="853" w:gutter="0"/>
          <w:pgNumType w:fmt="decimal"/>
          <w:cols w:space="720" w:num="1"/>
        </w:sectPr>
      </w:pPr>
    </w:p>
    <w:p w14:paraId="5C428154">
      <w:pPr>
        <w:spacing w:before="63" w:line="225" w:lineRule="auto"/>
        <w:ind w:left="2441"/>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中小企业声明函（工程）</w:t>
      </w:r>
    </w:p>
    <w:p w14:paraId="6BF89120">
      <w:pPr>
        <w:spacing w:line="310" w:lineRule="auto"/>
        <w:rPr>
          <w:rFonts w:ascii="Arial"/>
          <w:color w:val="auto"/>
          <w:sz w:val="21"/>
          <w:highlight w:val="none"/>
        </w:rPr>
      </w:pPr>
    </w:p>
    <w:p w14:paraId="0DC77ACE">
      <w:pPr>
        <w:spacing w:before="78" w:line="380" w:lineRule="auto"/>
        <w:ind w:left="26" w:right="157" w:firstLine="707"/>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本公司（联合体）郑重声明，根据《政府采购促进中小企业</w:t>
      </w:r>
      <w:r>
        <w:rPr>
          <w:rFonts w:ascii="宋体" w:hAnsi="宋体" w:eastAsia="宋体" w:cs="宋体"/>
          <w:color w:val="auto"/>
          <w:spacing w:val="-1"/>
          <w:sz w:val="24"/>
          <w:szCs w:val="24"/>
          <w:highlight w:val="none"/>
        </w:rPr>
        <w:t>发展管理办</w:t>
      </w:r>
      <w:r>
        <w:rPr>
          <w:rFonts w:ascii="宋体" w:hAnsi="宋体" w:eastAsia="宋体" w:cs="宋体"/>
          <w:color w:val="auto"/>
          <w:sz w:val="24"/>
          <w:szCs w:val="24"/>
          <w:highlight w:val="none"/>
        </w:rPr>
        <w:t xml:space="preserve"> </w:t>
      </w:r>
      <w:r>
        <w:rPr>
          <w:rFonts w:ascii="宋体" w:hAnsi="宋体" w:eastAsia="宋体" w:cs="宋体"/>
          <w:color w:val="auto"/>
          <w:spacing w:val="-11"/>
          <w:sz w:val="24"/>
          <w:szCs w:val="24"/>
          <w:highlight w:val="none"/>
        </w:rPr>
        <w:t>法》（财库﹝</w:t>
      </w:r>
      <w:r>
        <w:rPr>
          <w:rFonts w:ascii="宋体" w:hAnsi="宋体" w:eastAsia="宋体" w:cs="宋体"/>
          <w:color w:val="auto"/>
          <w:spacing w:val="-48"/>
          <w:sz w:val="24"/>
          <w:szCs w:val="24"/>
          <w:highlight w:val="none"/>
        </w:rPr>
        <w:t xml:space="preserve"> </w:t>
      </w:r>
      <w:r>
        <w:rPr>
          <w:rFonts w:ascii="宋体" w:hAnsi="宋体" w:eastAsia="宋体" w:cs="宋体"/>
          <w:color w:val="auto"/>
          <w:spacing w:val="-11"/>
          <w:sz w:val="24"/>
          <w:szCs w:val="24"/>
          <w:highlight w:val="none"/>
        </w:rPr>
        <w:t>2020﹞46</w:t>
      </w:r>
      <w:r>
        <w:rPr>
          <w:rFonts w:ascii="宋体" w:hAnsi="宋体" w:eastAsia="宋体" w:cs="宋体"/>
          <w:color w:val="auto"/>
          <w:spacing w:val="-44"/>
          <w:sz w:val="24"/>
          <w:szCs w:val="24"/>
          <w:highlight w:val="none"/>
        </w:rPr>
        <w:t xml:space="preserve"> </w:t>
      </w:r>
      <w:r>
        <w:rPr>
          <w:rFonts w:ascii="宋体" w:hAnsi="宋体" w:eastAsia="宋体" w:cs="宋体"/>
          <w:color w:val="auto"/>
          <w:spacing w:val="-11"/>
          <w:sz w:val="24"/>
          <w:szCs w:val="24"/>
          <w:highlight w:val="none"/>
        </w:rPr>
        <w:t>号）的规定，本公司（联合体）参加</w:t>
      </w:r>
      <w:r>
        <w:rPr>
          <w:rFonts w:ascii="宋体" w:hAnsi="宋体" w:eastAsia="宋体" w:cs="宋体"/>
          <w:color w:val="auto"/>
          <w:spacing w:val="-11"/>
          <w:sz w:val="24"/>
          <w:szCs w:val="24"/>
          <w:highlight w:val="none"/>
          <w:u w:val="single" w:color="auto"/>
        </w:rPr>
        <w:t>（单位名称）</w:t>
      </w:r>
      <w:r>
        <w:rPr>
          <w:rFonts w:ascii="宋体" w:hAnsi="宋体" w:eastAsia="宋体" w:cs="宋体"/>
          <w:color w:val="auto"/>
          <w:spacing w:val="-11"/>
          <w:sz w:val="24"/>
          <w:szCs w:val="24"/>
          <w:highlight w:val="none"/>
        </w:rPr>
        <w:t>的</w:t>
      </w:r>
      <w:r>
        <w:rPr>
          <w:rFonts w:ascii="宋体" w:hAnsi="宋体" w:eastAsia="宋体" w:cs="宋体"/>
          <w:color w:val="auto"/>
          <w:spacing w:val="-11"/>
          <w:sz w:val="24"/>
          <w:szCs w:val="24"/>
          <w:highlight w:val="none"/>
          <w:u w:val="single" w:color="auto"/>
        </w:rPr>
        <w:t>（项</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u w:val="single" w:color="auto"/>
        </w:rPr>
        <w:t>目名称）</w:t>
      </w:r>
      <w:r>
        <w:rPr>
          <w:rFonts w:ascii="宋体" w:hAnsi="宋体" w:eastAsia="宋体" w:cs="宋体"/>
          <w:color w:val="auto"/>
          <w:spacing w:val="-1"/>
          <w:sz w:val="24"/>
          <w:szCs w:val="24"/>
          <w:highlight w:val="none"/>
        </w:rPr>
        <w:t>采购活动，工程的施工单位全部为符合政策要求的中小企业。相关企</w:t>
      </w:r>
      <w:r>
        <w:rPr>
          <w:rFonts w:ascii="宋体" w:hAnsi="宋体" w:eastAsia="宋体" w:cs="宋体"/>
          <w:color w:val="auto"/>
          <w:spacing w:val="18"/>
          <w:sz w:val="24"/>
          <w:szCs w:val="24"/>
          <w:highlight w:val="none"/>
        </w:rPr>
        <w:t xml:space="preserve"> </w:t>
      </w:r>
      <w:r>
        <w:rPr>
          <w:rFonts w:ascii="宋体" w:hAnsi="宋体" w:eastAsia="宋体" w:cs="宋体"/>
          <w:color w:val="auto"/>
          <w:spacing w:val="7"/>
          <w:sz w:val="24"/>
          <w:szCs w:val="24"/>
          <w:highlight w:val="none"/>
        </w:rPr>
        <w:t>业（含联合体中的中小企业、签订分包意向协议的中</w:t>
      </w:r>
      <w:r>
        <w:rPr>
          <w:rFonts w:ascii="宋体" w:hAnsi="宋体" w:eastAsia="宋体" w:cs="宋体"/>
          <w:color w:val="auto"/>
          <w:spacing w:val="6"/>
          <w:sz w:val="24"/>
          <w:szCs w:val="24"/>
          <w:highlight w:val="none"/>
        </w:rPr>
        <w:t>小企业）的具体情况如</w:t>
      </w:r>
      <w:r>
        <w:rPr>
          <w:rFonts w:ascii="宋体" w:hAnsi="宋体" w:eastAsia="宋体" w:cs="宋体"/>
          <w:color w:val="auto"/>
          <w:sz w:val="24"/>
          <w:szCs w:val="24"/>
          <w:highlight w:val="none"/>
        </w:rPr>
        <w:t xml:space="preserve"> </w:t>
      </w:r>
      <w:r>
        <w:rPr>
          <w:rFonts w:ascii="宋体" w:hAnsi="宋体" w:eastAsia="宋体" w:cs="宋体"/>
          <w:color w:val="auto"/>
          <w:spacing w:val="-16"/>
          <w:sz w:val="24"/>
          <w:szCs w:val="24"/>
          <w:highlight w:val="none"/>
        </w:rPr>
        <w:t>下：</w:t>
      </w:r>
    </w:p>
    <w:p w14:paraId="4F52777F">
      <w:pPr>
        <w:spacing w:before="152" w:line="376" w:lineRule="auto"/>
        <w:ind w:left="26" w:right="159" w:firstLine="791"/>
        <w:jc w:val="both"/>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1.</w:t>
      </w:r>
      <w:r>
        <w:rPr>
          <w:rFonts w:ascii="宋体" w:hAnsi="宋体" w:eastAsia="宋体" w:cs="宋体"/>
          <w:color w:val="auto"/>
          <w:spacing w:val="-7"/>
          <w:sz w:val="24"/>
          <w:szCs w:val="24"/>
          <w:highlight w:val="none"/>
          <w:u w:val="single" w:color="auto"/>
        </w:rPr>
        <w:t>（标的名称</w:t>
      </w:r>
      <w:r>
        <w:rPr>
          <w:rFonts w:ascii="宋体" w:hAnsi="宋体" w:eastAsia="宋体" w:cs="宋体"/>
          <w:color w:val="auto"/>
          <w:spacing w:val="-35"/>
          <w:sz w:val="24"/>
          <w:szCs w:val="24"/>
          <w:highlight w:val="none"/>
          <w:u w:val="single" w:color="auto"/>
        </w:rPr>
        <w:t>）</w:t>
      </w:r>
      <w:r>
        <w:rPr>
          <w:rFonts w:ascii="宋体" w:hAnsi="宋体" w:eastAsia="宋体" w:cs="宋体"/>
          <w:color w:val="auto"/>
          <w:spacing w:val="-35"/>
          <w:sz w:val="24"/>
          <w:szCs w:val="24"/>
          <w:highlight w:val="none"/>
        </w:rPr>
        <w:t>，</w:t>
      </w:r>
      <w:r>
        <w:rPr>
          <w:rFonts w:ascii="宋体" w:hAnsi="宋体" w:eastAsia="宋体" w:cs="宋体"/>
          <w:color w:val="auto"/>
          <w:spacing w:val="-7"/>
          <w:sz w:val="24"/>
          <w:szCs w:val="24"/>
          <w:highlight w:val="none"/>
        </w:rPr>
        <w:t>属于</w:t>
      </w:r>
      <w:r>
        <w:rPr>
          <w:rFonts w:ascii="宋体" w:hAnsi="宋体" w:eastAsia="宋体" w:cs="宋体"/>
          <w:color w:val="auto"/>
          <w:spacing w:val="-7"/>
          <w:sz w:val="24"/>
          <w:szCs w:val="24"/>
          <w:highlight w:val="none"/>
          <w:u w:val="single" w:color="auto"/>
        </w:rPr>
        <w:t>（采购文件中明确的所属行业</w:t>
      </w:r>
      <w:r>
        <w:rPr>
          <w:rFonts w:ascii="宋体" w:hAnsi="宋体" w:eastAsia="宋体" w:cs="宋体"/>
          <w:color w:val="auto"/>
          <w:spacing w:val="-35"/>
          <w:sz w:val="24"/>
          <w:szCs w:val="24"/>
          <w:highlight w:val="none"/>
          <w:u w:val="single" w:color="auto"/>
        </w:rPr>
        <w:t>）</w:t>
      </w:r>
      <w:r>
        <w:rPr>
          <w:rFonts w:ascii="宋体" w:hAnsi="宋体" w:eastAsia="宋体" w:cs="宋体"/>
          <w:color w:val="auto"/>
          <w:spacing w:val="-35"/>
          <w:sz w:val="24"/>
          <w:szCs w:val="24"/>
          <w:highlight w:val="none"/>
        </w:rPr>
        <w:t>；</w:t>
      </w:r>
      <w:r>
        <w:rPr>
          <w:rFonts w:ascii="宋体" w:hAnsi="宋体" w:eastAsia="宋体" w:cs="宋体"/>
          <w:color w:val="auto"/>
          <w:spacing w:val="-7"/>
          <w:sz w:val="24"/>
          <w:szCs w:val="24"/>
          <w:highlight w:val="none"/>
        </w:rPr>
        <w:t>承建企业为</w:t>
      </w:r>
      <w:r>
        <w:rPr>
          <w:rFonts w:ascii="宋体" w:hAnsi="宋体" w:eastAsia="宋体" w:cs="宋体"/>
          <w:color w:val="auto"/>
          <w:spacing w:val="-7"/>
          <w:sz w:val="24"/>
          <w:szCs w:val="24"/>
          <w:highlight w:val="none"/>
          <w:u w:val="single" w:color="auto"/>
        </w:rPr>
        <w:t>（企</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 w:val="24"/>
          <w:szCs w:val="24"/>
          <w:highlight w:val="none"/>
          <w:u w:val="single" w:color="auto"/>
        </w:rPr>
        <w:t>业名称</w:t>
      </w:r>
      <w:r>
        <w:rPr>
          <w:rFonts w:ascii="宋体" w:hAnsi="宋体" w:eastAsia="宋体" w:cs="宋体"/>
          <w:color w:val="auto"/>
          <w:spacing w:val="4"/>
          <w:sz w:val="24"/>
          <w:szCs w:val="24"/>
          <w:highlight w:val="none"/>
          <w:u w:val="single" w:color="auto"/>
        </w:rPr>
        <w:t>）</w:t>
      </w:r>
      <w:r>
        <w:rPr>
          <w:rFonts w:ascii="宋体" w:hAnsi="宋体" w:eastAsia="宋体" w:cs="宋体"/>
          <w:color w:val="auto"/>
          <w:spacing w:val="4"/>
          <w:sz w:val="24"/>
          <w:szCs w:val="24"/>
          <w:highlight w:val="none"/>
        </w:rPr>
        <w:t>，</w:t>
      </w:r>
      <w:r>
        <w:rPr>
          <w:rFonts w:ascii="宋体" w:hAnsi="宋体" w:eastAsia="宋体" w:cs="宋体"/>
          <w:color w:val="auto"/>
          <w:spacing w:val="-3"/>
          <w:sz w:val="24"/>
          <w:szCs w:val="24"/>
          <w:highlight w:val="none"/>
        </w:rPr>
        <w:t>从业人员</w:t>
      </w:r>
      <w:r>
        <w:rPr>
          <w:rFonts w:ascii="宋体" w:hAnsi="宋体" w:eastAsia="宋体" w:cs="宋体"/>
          <w:color w:val="auto"/>
          <w:spacing w:val="-119"/>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3"/>
          <w:sz w:val="24"/>
          <w:szCs w:val="24"/>
          <w:highlight w:val="none"/>
        </w:rPr>
        <w:t>人，营业收入为</w:t>
      </w:r>
      <w:r>
        <w:rPr>
          <w:rFonts w:ascii="宋体" w:hAnsi="宋体" w:eastAsia="宋体" w:cs="宋体"/>
          <w:color w:val="auto"/>
          <w:spacing w:val="-120"/>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3"/>
          <w:sz w:val="24"/>
          <w:szCs w:val="24"/>
          <w:highlight w:val="none"/>
        </w:rPr>
        <w:t>万元，资产总额为</w:t>
      </w:r>
      <w:r>
        <w:rPr>
          <w:rFonts w:ascii="宋体" w:hAnsi="宋体" w:eastAsia="宋体" w:cs="宋体"/>
          <w:color w:val="auto"/>
          <w:spacing w:val="-119"/>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3"/>
          <w:sz w:val="24"/>
          <w:szCs w:val="24"/>
          <w:highlight w:val="none"/>
        </w:rPr>
        <w:t>万</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元，属于</w:t>
      </w:r>
      <w:r>
        <w:rPr>
          <w:rFonts w:ascii="宋体" w:hAnsi="宋体" w:eastAsia="宋体" w:cs="宋体"/>
          <w:color w:val="auto"/>
          <w:spacing w:val="-1"/>
          <w:sz w:val="24"/>
          <w:szCs w:val="24"/>
          <w:highlight w:val="none"/>
          <w:u w:val="single" w:color="auto"/>
        </w:rPr>
        <w:t>（中型企业、小型企业、微型企业</w:t>
      </w:r>
      <w:r>
        <w:rPr>
          <w:rFonts w:ascii="宋体" w:hAnsi="宋体" w:eastAsia="宋体" w:cs="宋体"/>
          <w:color w:val="auto"/>
          <w:spacing w:val="5"/>
          <w:sz w:val="24"/>
          <w:szCs w:val="24"/>
          <w:highlight w:val="none"/>
          <w:u w:val="single" w:color="auto"/>
        </w:rPr>
        <w:t>）</w:t>
      </w:r>
      <w:r>
        <w:rPr>
          <w:rFonts w:ascii="宋体" w:hAnsi="宋体" w:eastAsia="宋体" w:cs="宋体"/>
          <w:color w:val="auto"/>
          <w:spacing w:val="5"/>
          <w:sz w:val="24"/>
          <w:szCs w:val="24"/>
          <w:highlight w:val="none"/>
        </w:rPr>
        <w:t>；</w:t>
      </w:r>
    </w:p>
    <w:p w14:paraId="42F9549C">
      <w:pPr>
        <w:spacing w:before="52" w:line="376" w:lineRule="auto"/>
        <w:ind w:left="26" w:right="99" w:firstLine="776"/>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w:t>
      </w:r>
      <w:r>
        <w:rPr>
          <w:rFonts w:ascii="宋体" w:hAnsi="宋体" w:eastAsia="宋体" w:cs="宋体"/>
          <w:color w:val="auto"/>
          <w:spacing w:val="-5"/>
          <w:sz w:val="24"/>
          <w:szCs w:val="24"/>
          <w:highlight w:val="none"/>
          <w:u w:val="single" w:color="auto"/>
        </w:rPr>
        <w:t>（标的名称</w:t>
      </w:r>
      <w:r>
        <w:rPr>
          <w:rFonts w:ascii="宋体" w:hAnsi="宋体" w:eastAsia="宋体" w:cs="宋体"/>
          <w:color w:val="auto"/>
          <w:spacing w:val="-29"/>
          <w:sz w:val="24"/>
          <w:szCs w:val="24"/>
          <w:highlight w:val="none"/>
          <w:u w:val="single" w:color="auto"/>
        </w:rPr>
        <w:t>）</w:t>
      </w:r>
      <w:r>
        <w:rPr>
          <w:rFonts w:ascii="宋体" w:hAnsi="宋体" w:eastAsia="宋体" w:cs="宋体"/>
          <w:color w:val="auto"/>
          <w:spacing w:val="-29"/>
          <w:sz w:val="24"/>
          <w:szCs w:val="24"/>
          <w:highlight w:val="none"/>
        </w:rPr>
        <w:t>，</w:t>
      </w:r>
      <w:r>
        <w:rPr>
          <w:rFonts w:ascii="宋体" w:hAnsi="宋体" w:eastAsia="宋体" w:cs="宋体"/>
          <w:color w:val="auto"/>
          <w:spacing w:val="-5"/>
          <w:sz w:val="24"/>
          <w:szCs w:val="24"/>
          <w:highlight w:val="none"/>
        </w:rPr>
        <w:t>属于</w:t>
      </w:r>
      <w:r>
        <w:rPr>
          <w:rFonts w:ascii="宋体" w:hAnsi="宋体" w:eastAsia="宋体" w:cs="宋体"/>
          <w:color w:val="auto"/>
          <w:spacing w:val="-5"/>
          <w:sz w:val="24"/>
          <w:szCs w:val="24"/>
          <w:highlight w:val="none"/>
          <w:u w:val="single" w:color="auto"/>
        </w:rPr>
        <w:t>（采购文件中明确的所属行业</w:t>
      </w:r>
      <w:r>
        <w:rPr>
          <w:rFonts w:ascii="宋体" w:hAnsi="宋体" w:eastAsia="宋体" w:cs="宋体"/>
          <w:color w:val="auto"/>
          <w:spacing w:val="-29"/>
          <w:sz w:val="24"/>
          <w:szCs w:val="24"/>
          <w:highlight w:val="none"/>
          <w:u w:val="single" w:color="auto"/>
        </w:rPr>
        <w:t>）</w:t>
      </w:r>
      <w:r>
        <w:rPr>
          <w:rFonts w:ascii="宋体" w:hAnsi="宋体" w:eastAsia="宋体" w:cs="宋体"/>
          <w:color w:val="auto"/>
          <w:spacing w:val="-29"/>
          <w:sz w:val="24"/>
          <w:szCs w:val="24"/>
          <w:highlight w:val="none"/>
        </w:rPr>
        <w:t>；</w:t>
      </w:r>
      <w:r>
        <w:rPr>
          <w:rFonts w:ascii="宋体" w:hAnsi="宋体" w:eastAsia="宋体" w:cs="宋体"/>
          <w:color w:val="auto"/>
          <w:spacing w:val="-5"/>
          <w:sz w:val="24"/>
          <w:szCs w:val="24"/>
          <w:highlight w:val="none"/>
        </w:rPr>
        <w:t>承建企业</w:t>
      </w:r>
      <w:r>
        <w:rPr>
          <w:rFonts w:ascii="宋体" w:hAnsi="宋体" w:eastAsia="宋体" w:cs="宋体"/>
          <w:color w:val="auto"/>
          <w:spacing w:val="-6"/>
          <w:sz w:val="24"/>
          <w:szCs w:val="24"/>
          <w:highlight w:val="none"/>
        </w:rPr>
        <w:t>为</w:t>
      </w:r>
      <w:r>
        <w:rPr>
          <w:rFonts w:ascii="宋体" w:hAnsi="宋体" w:eastAsia="宋体" w:cs="宋体"/>
          <w:color w:val="auto"/>
          <w:spacing w:val="-6"/>
          <w:sz w:val="24"/>
          <w:szCs w:val="24"/>
          <w:highlight w:val="none"/>
          <w:u w:val="single" w:color="auto"/>
        </w:rPr>
        <w:t>（企</w:t>
      </w:r>
      <w:r>
        <w:rPr>
          <w:rFonts w:ascii="宋体" w:hAnsi="宋体" w:eastAsia="宋体" w:cs="宋体"/>
          <w:color w:val="auto"/>
          <w:spacing w:val="2"/>
          <w:sz w:val="24"/>
          <w:szCs w:val="24"/>
          <w:highlight w:val="none"/>
        </w:rPr>
        <w:t xml:space="preserve"> </w:t>
      </w:r>
      <w:r>
        <w:rPr>
          <w:rFonts w:ascii="宋体" w:hAnsi="宋体" w:eastAsia="宋体" w:cs="宋体"/>
          <w:color w:val="auto"/>
          <w:spacing w:val="-1"/>
          <w:sz w:val="24"/>
          <w:szCs w:val="24"/>
          <w:highlight w:val="none"/>
          <w:u w:val="single" w:color="auto"/>
        </w:rPr>
        <w:t>业名称）</w:t>
      </w:r>
      <w:r>
        <w:rPr>
          <w:rFonts w:ascii="宋体" w:hAnsi="宋体" w:eastAsia="宋体" w:cs="宋体"/>
          <w:color w:val="auto"/>
          <w:spacing w:val="-1"/>
          <w:sz w:val="24"/>
          <w:szCs w:val="24"/>
          <w:highlight w:val="none"/>
        </w:rPr>
        <w:t>，从业人员</w:t>
      </w:r>
      <w:r>
        <w:rPr>
          <w:rFonts w:ascii="宋体" w:hAnsi="宋体" w:eastAsia="宋体" w:cs="宋体"/>
          <w:color w:val="auto"/>
          <w:spacing w:val="-119"/>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
          <w:sz w:val="24"/>
          <w:szCs w:val="24"/>
          <w:highlight w:val="none"/>
        </w:rPr>
        <w:t>人，营业收入为</w:t>
      </w:r>
      <w:r>
        <w:rPr>
          <w:rFonts w:ascii="宋体" w:hAnsi="宋体" w:eastAsia="宋体" w:cs="宋体"/>
          <w:color w:val="auto"/>
          <w:spacing w:val="-119"/>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2"/>
          <w:sz w:val="24"/>
          <w:szCs w:val="24"/>
          <w:highlight w:val="none"/>
        </w:rPr>
        <w:t xml:space="preserve"> </w:t>
      </w:r>
      <w:r>
        <w:rPr>
          <w:rFonts w:ascii="宋体" w:hAnsi="宋体" w:eastAsia="宋体" w:cs="宋体"/>
          <w:color w:val="auto"/>
          <w:spacing w:val="-1"/>
          <w:sz w:val="24"/>
          <w:szCs w:val="24"/>
          <w:highlight w:val="none"/>
        </w:rPr>
        <w:t>万元，资产</w:t>
      </w:r>
      <w:r>
        <w:rPr>
          <w:rFonts w:ascii="宋体" w:hAnsi="宋体" w:eastAsia="宋体" w:cs="宋体"/>
          <w:color w:val="auto"/>
          <w:spacing w:val="-2"/>
          <w:sz w:val="24"/>
          <w:szCs w:val="24"/>
          <w:highlight w:val="none"/>
        </w:rPr>
        <w:t>总额为</w:t>
      </w:r>
      <w:r>
        <w:rPr>
          <w:rFonts w:ascii="宋体" w:hAnsi="宋体" w:eastAsia="宋体" w:cs="宋体"/>
          <w:color w:val="auto"/>
          <w:spacing w:val="-116"/>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0"/>
          <w:sz w:val="24"/>
          <w:szCs w:val="24"/>
          <w:highlight w:val="none"/>
        </w:rPr>
        <w:t xml:space="preserve"> </w:t>
      </w:r>
      <w:r>
        <w:rPr>
          <w:rFonts w:ascii="宋体" w:hAnsi="宋体" w:eastAsia="宋体" w:cs="宋体"/>
          <w:color w:val="auto"/>
          <w:spacing w:val="-2"/>
          <w:sz w:val="24"/>
          <w:szCs w:val="24"/>
          <w:highlight w:val="none"/>
        </w:rPr>
        <w:t>万</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元，属于</w:t>
      </w:r>
      <w:r>
        <w:rPr>
          <w:rFonts w:ascii="宋体" w:hAnsi="宋体" w:eastAsia="宋体" w:cs="宋体"/>
          <w:color w:val="auto"/>
          <w:spacing w:val="-1"/>
          <w:sz w:val="24"/>
          <w:szCs w:val="24"/>
          <w:highlight w:val="none"/>
          <w:u w:val="single" w:color="auto"/>
        </w:rPr>
        <w:t>（中型企业、小型企业、微型企业</w:t>
      </w:r>
      <w:r>
        <w:rPr>
          <w:rFonts w:ascii="宋体" w:hAnsi="宋体" w:eastAsia="宋体" w:cs="宋体"/>
          <w:color w:val="auto"/>
          <w:spacing w:val="5"/>
          <w:sz w:val="24"/>
          <w:szCs w:val="24"/>
          <w:highlight w:val="none"/>
          <w:u w:val="single" w:color="auto"/>
        </w:rPr>
        <w:t>）</w:t>
      </w:r>
      <w:r>
        <w:rPr>
          <w:rFonts w:ascii="宋体" w:hAnsi="宋体" w:eastAsia="宋体" w:cs="宋体"/>
          <w:color w:val="auto"/>
          <w:spacing w:val="5"/>
          <w:sz w:val="24"/>
          <w:szCs w:val="24"/>
          <w:highlight w:val="none"/>
        </w:rPr>
        <w:t>；</w:t>
      </w:r>
    </w:p>
    <w:p w14:paraId="7288FB66">
      <w:pPr>
        <w:spacing w:before="67" w:line="378" w:lineRule="exact"/>
        <w:ind w:left="747"/>
        <w:rPr>
          <w:rFonts w:ascii="宋体" w:hAnsi="宋体" w:eastAsia="宋体" w:cs="宋体"/>
          <w:color w:val="auto"/>
          <w:sz w:val="24"/>
          <w:szCs w:val="24"/>
          <w:highlight w:val="none"/>
        </w:rPr>
      </w:pPr>
      <w:r>
        <w:rPr>
          <w:rFonts w:ascii="宋体" w:hAnsi="宋体" w:eastAsia="宋体" w:cs="宋体"/>
          <w:color w:val="auto"/>
          <w:spacing w:val="-7"/>
          <w:position w:val="3"/>
          <w:sz w:val="24"/>
          <w:szCs w:val="24"/>
          <w:highlight w:val="none"/>
        </w:rPr>
        <w:t>……</w:t>
      </w:r>
    </w:p>
    <w:p w14:paraId="28720D77">
      <w:pPr>
        <w:spacing w:before="243" w:line="371" w:lineRule="auto"/>
        <w:ind w:left="30" w:right="163" w:firstLine="729"/>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以上企业，不属于大企业的分支机构，不存在控股股东为</w:t>
      </w:r>
      <w:r>
        <w:rPr>
          <w:rFonts w:ascii="宋体" w:hAnsi="宋体" w:eastAsia="宋体" w:cs="宋体"/>
          <w:color w:val="auto"/>
          <w:spacing w:val="6"/>
          <w:sz w:val="24"/>
          <w:szCs w:val="24"/>
          <w:highlight w:val="none"/>
        </w:rPr>
        <w:t>大企业的情</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形，也不存在与大企业的负责人为同一人的情形。</w:t>
      </w:r>
    </w:p>
    <w:p w14:paraId="14C0EE54">
      <w:pPr>
        <w:spacing w:before="156" w:line="371" w:lineRule="auto"/>
        <w:ind w:left="26" w:right="163" w:firstLine="707"/>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本企业对上述声明内容的真实性负责。如有虚假</w:t>
      </w:r>
      <w:r>
        <w:rPr>
          <w:rFonts w:ascii="宋体" w:hAnsi="宋体" w:eastAsia="宋体" w:cs="宋体"/>
          <w:color w:val="auto"/>
          <w:spacing w:val="7"/>
          <w:sz w:val="24"/>
          <w:szCs w:val="24"/>
          <w:highlight w:val="none"/>
        </w:rPr>
        <w:t>，将依法承担相应责</w:t>
      </w:r>
      <w:r>
        <w:rPr>
          <w:rFonts w:ascii="宋体" w:hAnsi="宋体" w:eastAsia="宋体" w:cs="宋体"/>
          <w:color w:val="auto"/>
          <w:sz w:val="24"/>
          <w:szCs w:val="24"/>
          <w:highlight w:val="none"/>
        </w:rPr>
        <w:t xml:space="preserve"> </w:t>
      </w:r>
      <w:r>
        <w:rPr>
          <w:rFonts w:ascii="宋体" w:hAnsi="宋体" w:eastAsia="宋体" w:cs="宋体"/>
          <w:color w:val="auto"/>
          <w:spacing w:val="-11"/>
          <w:sz w:val="24"/>
          <w:szCs w:val="24"/>
          <w:highlight w:val="none"/>
        </w:rPr>
        <w:t>任。</w:t>
      </w:r>
    </w:p>
    <w:p w14:paraId="4C32828E">
      <w:pPr>
        <w:spacing w:before="155" w:line="462" w:lineRule="auto"/>
        <w:ind w:left="5694" w:right="820" w:hanging="37"/>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企业名称（章</w:t>
      </w:r>
      <w:r>
        <w:rPr>
          <w:rFonts w:ascii="宋体" w:hAnsi="宋体" w:eastAsia="宋体" w:cs="宋体"/>
          <w:color w:val="auto"/>
          <w:spacing w:val="-8"/>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29"/>
          <w:sz w:val="24"/>
          <w:szCs w:val="24"/>
          <w:highlight w:val="none"/>
        </w:rPr>
        <w:t>日</w:t>
      </w:r>
      <w:r>
        <w:rPr>
          <w:rFonts w:ascii="宋体" w:hAnsi="宋体" w:eastAsia="宋体" w:cs="宋体"/>
          <w:color w:val="auto"/>
          <w:spacing w:val="13"/>
          <w:sz w:val="24"/>
          <w:szCs w:val="24"/>
          <w:highlight w:val="none"/>
        </w:rPr>
        <w:t xml:space="preserve"> </w:t>
      </w:r>
      <w:r>
        <w:rPr>
          <w:rFonts w:ascii="宋体" w:hAnsi="宋体" w:eastAsia="宋体" w:cs="宋体"/>
          <w:color w:val="auto"/>
          <w:spacing w:val="-29"/>
          <w:sz w:val="24"/>
          <w:szCs w:val="24"/>
          <w:highlight w:val="none"/>
        </w:rPr>
        <w:t>期：</w:t>
      </w:r>
    </w:p>
    <w:p w14:paraId="36FFC500">
      <w:pPr>
        <w:spacing w:before="1" w:line="360" w:lineRule="auto"/>
        <w:ind w:left="28" w:right="114" w:firstLine="417"/>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注：1.对于联合体中由中小企业承担的部分，或者分包给中小企业的部分，供</w:t>
      </w:r>
      <w:r>
        <w:rPr>
          <w:rFonts w:ascii="宋体" w:hAnsi="宋体" w:eastAsia="宋体" w:cs="宋体"/>
          <w:color w:val="auto"/>
          <w:spacing w:val="-1"/>
          <w:sz w:val="21"/>
          <w:szCs w:val="21"/>
          <w:highlight w:val="none"/>
        </w:rPr>
        <w:t>应商应</w:t>
      </w:r>
      <w:r>
        <w:rPr>
          <w:rFonts w:ascii="宋体" w:hAnsi="宋体" w:eastAsia="宋体" w:cs="宋体"/>
          <w:color w:val="auto"/>
          <w:sz w:val="21"/>
          <w:szCs w:val="21"/>
          <w:highlight w:val="none"/>
        </w:rPr>
        <w:t xml:space="preserve"> 当在声明函“项目名称”部分标明联合体中中小企业承担的具体内容或者中小</w:t>
      </w:r>
      <w:r>
        <w:rPr>
          <w:rFonts w:ascii="宋体" w:hAnsi="宋体" w:eastAsia="宋体" w:cs="宋体"/>
          <w:color w:val="auto"/>
          <w:spacing w:val="-1"/>
          <w:sz w:val="21"/>
          <w:szCs w:val="21"/>
          <w:highlight w:val="none"/>
        </w:rPr>
        <w:t>企业的具体</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分包内容。</w:t>
      </w:r>
    </w:p>
    <w:p w14:paraId="685F5AA6">
      <w:pPr>
        <w:spacing w:before="29" w:line="363" w:lineRule="auto"/>
        <w:ind w:left="25" w:right="63" w:firstLine="423"/>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2.享受《政府采购促进中小企业发展管理办法</w:t>
      </w:r>
      <w:r>
        <w:rPr>
          <w:rFonts w:ascii="宋体" w:hAnsi="宋体" w:eastAsia="宋体" w:cs="宋体"/>
          <w:color w:val="auto"/>
          <w:spacing w:val="-1"/>
          <w:sz w:val="21"/>
          <w:szCs w:val="21"/>
          <w:highlight w:val="none"/>
        </w:rPr>
        <w:t>》（财库〔2020〕46</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号）规定的中小企</w:t>
      </w:r>
      <w:r>
        <w:rPr>
          <w:rFonts w:ascii="宋体" w:hAnsi="宋体" w:eastAsia="宋体" w:cs="宋体"/>
          <w:color w:val="auto"/>
          <w:sz w:val="21"/>
          <w:szCs w:val="21"/>
          <w:highlight w:val="none"/>
        </w:rPr>
        <w:t xml:space="preserve"> 业扶持政策的，采购人、采购代理机构应当随成交结果公开成交供应商的《中小企业声明 函》。从业人员、营业收入、资产总额填报上一年度数据，无上一年度数据的新成立</w:t>
      </w:r>
      <w:r>
        <w:rPr>
          <w:rFonts w:ascii="宋体" w:hAnsi="宋体" w:eastAsia="宋体" w:cs="宋体"/>
          <w:color w:val="auto"/>
          <w:spacing w:val="-1"/>
          <w:sz w:val="21"/>
          <w:szCs w:val="21"/>
          <w:highlight w:val="none"/>
        </w:rPr>
        <w:t>企业</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可不填报。</w:t>
      </w:r>
    </w:p>
    <w:p w14:paraId="5C9307B8">
      <w:pPr>
        <w:spacing w:line="363" w:lineRule="auto"/>
        <w:rPr>
          <w:rFonts w:ascii="宋体" w:hAnsi="宋体" w:eastAsia="宋体" w:cs="宋体"/>
          <w:color w:val="auto"/>
          <w:sz w:val="21"/>
          <w:szCs w:val="21"/>
          <w:highlight w:val="none"/>
        </w:rPr>
        <w:sectPr>
          <w:footerReference r:id="rId48" w:type="default"/>
          <w:pgSz w:w="11900" w:h="16832"/>
          <w:pgMar w:top="1423" w:right="1784" w:bottom="808" w:left="1784" w:header="0" w:footer="647" w:gutter="0"/>
          <w:pgNumType w:fmt="decimal"/>
          <w:cols w:space="720" w:num="1"/>
        </w:sectPr>
      </w:pPr>
    </w:p>
    <w:p w14:paraId="12179B23">
      <w:pPr>
        <w:spacing w:before="150" w:line="225" w:lineRule="auto"/>
        <w:ind w:left="2411"/>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残疾人福利性单位声明函</w:t>
      </w:r>
    </w:p>
    <w:p w14:paraId="5A7EAE59">
      <w:pPr>
        <w:spacing w:line="286" w:lineRule="auto"/>
        <w:rPr>
          <w:rFonts w:ascii="Arial"/>
          <w:color w:val="auto"/>
          <w:sz w:val="21"/>
          <w:highlight w:val="none"/>
        </w:rPr>
      </w:pPr>
    </w:p>
    <w:p w14:paraId="5D83EFA8">
      <w:pPr>
        <w:spacing w:line="287" w:lineRule="auto"/>
        <w:rPr>
          <w:rFonts w:ascii="Arial"/>
          <w:color w:val="auto"/>
          <w:sz w:val="21"/>
          <w:highlight w:val="none"/>
        </w:rPr>
      </w:pPr>
    </w:p>
    <w:p w14:paraId="79813481">
      <w:pPr>
        <w:spacing w:before="78" w:line="354" w:lineRule="auto"/>
        <w:ind w:left="28" w:right="15" w:firstLine="479"/>
        <w:jc w:val="both"/>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本单位郑重声明，根据《财政部</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24"/>
          <w:szCs w:val="24"/>
          <w:highlight w:val="none"/>
        </w:rPr>
        <w:t>民政部</w:t>
      </w:r>
      <w:r>
        <w:rPr>
          <w:rFonts w:ascii="宋体" w:hAnsi="宋体" w:eastAsia="宋体" w:cs="宋体"/>
          <w:color w:val="auto"/>
          <w:spacing w:val="32"/>
          <w:sz w:val="24"/>
          <w:szCs w:val="24"/>
          <w:highlight w:val="none"/>
        </w:rPr>
        <w:t xml:space="preserve"> </w:t>
      </w:r>
      <w:r>
        <w:rPr>
          <w:rFonts w:ascii="宋体" w:hAnsi="宋体" w:eastAsia="宋体" w:cs="宋体"/>
          <w:color w:val="auto"/>
          <w:spacing w:val="-6"/>
          <w:sz w:val="24"/>
          <w:szCs w:val="24"/>
          <w:highlight w:val="none"/>
        </w:rPr>
        <w:t>中国残疾人联合会关于促进</w:t>
      </w:r>
      <w:r>
        <w:rPr>
          <w:rFonts w:ascii="宋体" w:hAnsi="宋体" w:eastAsia="宋体" w:cs="宋体"/>
          <w:color w:val="auto"/>
          <w:spacing w:val="-7"/>
          <w:sz w:val="24"/>
          <w:szCs w:val="24"/>
          <w:highlight w:val="none"/>
        </w:rPr>
        <w:t>残疾人</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就业政府采购政策的通知》（财库〔2017〕141</w:t>
      </w:r>
      <w:r>
        <w:rPr>
          <w:rFonts w:ascii="宋体" w:hAnsi="宋体" w:eastAsia="宋体" w:cs="宋体"/>
          <w:color w:val="auto"/>
          <w:spacing w:val="-41"/>
          <w:sz w:val="24"/>
          <w:szCs w:val="24"/>
          <w:highlight w:val="none"/>
        </w:rPr>
        <w:t xml:space="preserve"> </w:t>
      </w:r>
      <w:r>
        <w:rPr>
          <w:rFonts w:ascii="宋体" w:hAnsi="宋体" w:eastAsia="宋体" w:cs="宋体"/>
          <w:color w:val="auto"/>
          <w:spacing w:val="-2"/>
          <w:sz w:val="24"/>
          <w:szCs w:val="24"/>
          <w:highlight w:val="none"/>
        </w:rPr>
        <w:t>号）的规定，本单位为符合条件</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的残疾人福利性单位，且本单位参加</w:t>
      </w:r>
      <w:r>
        <w:rPr>
          <w:rFonts w:ascii="宋体" w:hAnsi="宋体" w:eastAsia="宋体" w:cs="宋体"/>
          <w:color w:val="auto"/>
          <w:spacing w:val="-111"/>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3"/>
          <w:sz w:val="24"/>
          <w:szCs w:val="24"/>
          <w:highlight w:val="none"/>
        </w:rPr>
        <w:t xml:space="preserve"> </w:t>
      </w:r>
      <w:r>
        <w:rPr>
          <w:rFonts w:ascii="宋体" w:hAnsi="宋体" w:eastAsia="宋体" w:cs="宋体"/>
          <w:color w:val="auto"/>
          <w:spacing w:val="-1"/>
          <w:sz w:val="24"/>
          <w:szCs w:val="24"/>
          <w:highlight w:val="none"/>
        </w:rPr>
        <w:t>单位的</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7"/>
          <w:sz w:val="24"/>
          <w:szCs w:val="24"/>
          <w:highlight w:val="none"/>
        </w:rPr>
        <w:t xml:space="preserve"> </w:t>
      </w:r>
      <w:r>
        <w:rPr>
          <w:rFonts w:ascii="宋体" w:hAnsi="宋体" w:eastAsia="宋体" w:cs="宋体"/>
          <w:color w:val="auto"/>
          <w:spacing w:val="-1"/>
          <w:sz w:val="24"/>
          <w:szCs w:val="24"/>
          <w:highlight w:val="none"/>
        </w:rPr>
        <w:t>项目采购活动提供</w:t>
      </w:r>
      <w:r>
        <w:rPr>
          <w:rFonts w:ascii="宋体" w:hAnsi="宋体" w:eastAsia="宋体" w:cs="宋体"/>
          <w:color w:val="auto"/>
          <w:sz w:val="24"/>
          <w:szCs w:val="24"/>
          <w:highlight w:val="none"/>
        </w:rPr>
        <w:t xml:space="preserve"> 本单位制造的货物（由本单位承担工程/提供服务</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rPr>
        <w:t>或者提供其他残疾人福利</w:t>
      </w:r>
      <w:r>
        <w:rPr>
          <w:rFonts w:ascii="宋体" w:hAnsi="宋体" w:eastAsia="宋体" w:cs="宋体"/>
          <w:color w:val="auto"/>
          <w:spacing w:val="1"/>
          <w:sz w:val="24"/>
          <w:szCs w:val="24"/>
          <w:highlight w:val="none"/>
        </w:rPr>
        <w:t xml:space="preserve"> </w:t>
      </w:r>
      <w:r>
        <w:rPr>
          <w:rFonts w:ascii="宋体" w:hAnsi="宋体" w:eastAsia="宋体" w:cs="宋体"/>
          <w:color w:val="auto"/>
          <w:spacing w:val="-1"/>
          <w:sz w:val="24"/>
          <w:szCs w:val="24"/>
          <w:highlight w:val="none"/>
        </w:rPr>
        <w:t>性单位制造的货物（不包括使用非残疾人福</w:t>
      </w:r>
      <w:r>
        <w:rPr>
          <w:rFonts w:ascii="宋体" w:hAnsi="宋体" w:eastAsia="宋体" w:cs="宋体"/>
          <w:color w:val="auto"/>
          <w:spacing w:val="-2"/>
          <w:sz w:val="24"/>
          <w:szCs w:val="24"/>
          <w:highlight w:val="none"/>
        </w:rPr>
        <w:t>利性单位注册商标的货物）。</w:t>
      </w:r>
    </w:p>
    <w:p w14:paraId="20C431EE">
      <w:pPr>
        <w:spacing w:before="37" w:line="219" w:lineRule="auto"/>
        <w:ind w:left="5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本单位对上述声明的真实性负责。如有虚假，将依法承担相应责任。</w:t>
      </w:r>
    </w:p>
    <w:p w14:paraId="0CC67007">
      <w:pPr>
        <w:spacing w:line="249" w:lineRule="auto"/>
        <w:rPr>
          <w:rFonts w:ascii="Arial"/>
          <w:color w:val="auto"/>
          <w:sz w:val="21"/>
          <w:highlight w:val="none"/>
        </w:rPr>
      </w:pPr>
    </w:p>
    <w:p w14:paraId="5555AB6A">
      <w:pPr>
        <w:spacing w:line="249" w:lineRule="auto"/>
        <w:rPr>
          <w:rFonts w:ascii="Arial"/>
          <w:color w:val="auto"/>
          <w:sz w:val="21"/>
          <w:highlight w:val="none"/>
        </w:rPr>
      </w:pPr>
    </w:p>
    <w:p w14:paraId="769418EB">
      <w:pPr>
        <w:spacing w:line="249" w:lineRule="auto"/>
        <w:rPr>
          <w:rFonts w:ascii="Arial"/>
          <w:color w:val="auto"/>
          <w:sz w:val="21"/>
          <w:highlight w:val="none"/>
        </w:rPr>
      </w:pPr>
    </w:p>
    <w:p w14:paraId="1BF342B0">
      <w:pPr>
        <w:spacing w:line="249" w:lineRule="auto"/>
        <w:rPr>
          <w:rFonts w:ascii="Arial"/>
          <w:color w:val="auto"/>
          <w:sz w:val="21"/>
          <w:highlight w:val="none"/>
        </w:rPr>
      </w:pPr>
    </w:p>
    <w:p w14:paraId="2FA2FBC9">
      <w:pPr>
        <w:spacing w:line="250" w:lineRule="auto"/>
        <w:rPr>
          <w:rFonts w:ascii="Arial"/>
          <w:color w:val="auto"/>
          <w:sz w:val="21"/>
          <w:highlight w:val="none"/>
        </w:rPr>
      </w:pPr>
    </w:p>
    <w:p w14:paraId="3C5CFB76">
      <w:pPr>
        <w:spacing w:line="250" w:lineRule="auto"/>
        <w:rPr>
          <w:rFonts w:ascii="Arial"/>
          <w:color w:val="auto"/>
          <w:sz w:val="21"/>
          <w:highlight w:val="none"/>
        </w:rPr>
      </w:pPr>
    </w:p>
    <w:p w14:paraId="15892C41">
      <w:pPr>
        <w:spacing w:before="78" w:line="345" w:lineRule="auto"/>
        <w:ind w:left="2429" w:right="3805"/>
        <w:jc w:val="right"/>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单位名称（盖章</w:t>
      </w:r>
      <w:r>
        <w:rPr>
          <w:rFonts w:ascii="宋体" w:hAnsi="宋体" w:eastAsia="宋体" w:cs="宋体"/>
          <w:color w:val="auto"/>
          <w:spacing w:val="-6"/>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29"/>
          <w:sz w:val="24"/>
          <w:szCs w:val="24"/>
          <w:highlight w:val="none"/>
        </w:rPr>
        <w:t>日</w:t>
      </w:r>
      <w:r>
        <w:rPr>
          <w:rFonts w:ascii="宋体" w:hAnsi="宋体" w:eastAsia="宋体" w:cs="宋体"/>
          <w:color w:val="auto"/>
          <w:spacing w:val="7"/>
          <w:sz w:val="24"/>
          <w:szCs w:val="24"/>
          <w:highlight w:val="none"/>
        </w:rPr>
        <w:t xml:space="preserve">  </w:t>
      </w:r>
      <w:r>
        <w:rPr>
          <w:rFonts w:ascii="宋体" w:hAnsi="宋体" w:eastAsia="宋体" w:cs="宋体"/>
          <w:color w:val="auto"/>
          <w:spacing w:val="-29"/>
          <w:sz w:val="24"/>
          <w:szCs w:val="24"/>
          <w:highlight w:val="none"/>
        </w:rPr>
        <w:t>期：</w:t>
      </w:r>
    </w:p>
    <w:p w14:paraId="53192A11">
      <w:pPr>
        <w:spacing w:line="270" w:lineRule="auto"/>
        <w:rPr>
          <w:rFonts w:ascii="Arial"/>
          <w:color w:val="auto"/>
          <w:sz w:val="21"/>
          <w:highlight w:val="none"/>
        </w:rPr>
      </w:pPr>
    </w:p>
    <w:p w14:paraId="3A229098">
      <w:pPr>
        <w:spacing w:line="270" w:lineRule="auto"/>
        <w:rPr>
          <w:rFonts w:ascii="Arial"/>
          <w:color w:val="auto"/>
          <w:sz w:val="21"/>
          <w:highlight w:val="none"/>
        </w:rPr>
      </w:pPr>
    </w:p>
    <w:p w14:paraId="249AA035">
      <w:pPr>
        <w:spacing w:line="271" w:lineRule="auto"/>
        <w:rPr>
          <w:rFonts w:ascii="Arial"/>
          <w:color w:val="auto"/>
          <w:sz w:val="21"/>
          <w:highlight w:val="none"/>
        </w:rPr>
      </w:pPr>
    </w:p>
    <w:p w14:paraId="6EB58ABA">
      <w:pPr>
        <w:spacing w:line="271" w:lineRule="auto"/>
        <w:rPr>
          <w:rFonts w:ascii="Arial"/>
          <w:color w:val="auto"/>
          <w:sz w:val="21"/>
          <w:highlight w:val="none"/>
        </w:rPr>
      </w:pPr>
    </w:p>
    <w:p w14:paraId="1A92A97B">
      <w:pPr>
        <w:spacing w:line="271" w:lineRule="auto"/>
        <w:rPr>
          <w:rFonts w:ascii="Arial"/>
          <w:color w:val="auto"/>
          <w:sz w:val="21"/>
          <w:highlight w:val="none"/>
        </w:rPr>
      </w:pPr>
    </w:p>
    <w:p w14:paraId="1959DF30">
      <w:pPr>
        <w:spacing w:before="68" w:line="351" w:lineRule="auto"/>
        <w:ind w:left="27" w:right="21" w:hanging="1"/>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注：请根据自己的真实情况出具《残疾人福利性单位声明函》。依法享受中小企业优惠政</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策的，采购人或者采购代理机构在公告中标结果时，同时公告其《残疾人福利性单位声明</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函》，接受社会监督。</w:t>
      </w:r>
    </w:p>
    <w:p w14:paraId="5E310476">
      <w:pPr>
        <w:spacing w:line="351" w:lineRule="auto"/>
        <w:rPr>
          <w:rFonts w:ascii="宋体" w:hAnsi="宋体" w:eastAsia="宋体" w:cs="宋体"/>
          <w:color w:val="auto"/>
          <w:sz w:val="21"/>
          <w:szCs w:val="21"/>
          <w:highlight w:val="none"/>
        </w:rPr>
        <w:sectPr>
          <w:footerReference r:id="rId49" w:type="default"/>
          <w:pgSz w:w="11900" w:h="16832"/>
          <w:pgMar w:top="1430" w:right="1784" w:bottom="805" w:left="1784" w:header="0" w:footer="647" w:gutter="0"/>
          <w:pgNumType w:fmt="decimal"/>
          <w:cols w:space="720" w:num="1"/>
        </w:sectPr>
      </w:pPr>
    </w:p>
    <w:p w14:paraId="0DD55782">
      <w:pPr>
        <w:spacing w:before="63" w:line="225" w:lineRule="auto"/>
        <w:ind w:left="30"/>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三、商务技术文件格式</w:t>
      </w:r>
    </w:p>
    <w:p w14:paraId="4165351E">
      <w:pPr>
        <w:spacing w:line="261" w:lineRule="auto"/>
        <w:rPr>
          <w:rFonts w:ascii="Arial"/>
          <w:color w:val="auto"/>
          <w:sz w:val="21"/>
          <w:highlight w:val="none"/>
        </w:rPr>
      </w:pPr>
    </w:p>
    <w:p w14:paraId="3926F46E">
      <w:pPr>
        <w:spacing w:before="101" w:line="225" w:lineRule="auto"/>
        <w:ind w:left="54"/>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1.商务技术文件封面格式</w:t>
      </w:r>
    </w:p>
    <w:p w14:paraId="06811A9F">
      <w:pPr>
        <w:spacing w:line="258" w:lineRule="auto"/>
        <w:rPr>
          <w:rFonts w:ascii="Arial"/>
          <w:color w:val="auto"/>
          <w:sz w:val="21"/>
          <w:highlight w:val="none"/>
        </w:rPr>
      </w:pPr>
    </w:p>
    <w:p w14:paraId="53E06F51">
      <w:pPr>
        <w:spacing w:line="258" w:lineRule="auto"/>
        <w:rPr>
          <w:rFonts w:ascii="Arial"/>
          <w:color w:val="auto"/>
          <w:sz w:val="21"/>
          <w:highlight w:val="none"/>
        </w:rPr>
      </w:pPr>
    </w:p>
    <w:p w14:paraId="4BEF11D8">
      <w:pPr>
        <w:spacing w:line="258" w:lineRule="auto"/>
        <w:rPr>
          <w:rFonts w:ascii="Arial"/>
          <w:color w:val="auto"/>
          <w:sz w:val="21"/>
          <w:highlight w:val="none"/>
        </w:rPr>
      </w:pPr>
    </w:p>
    <w:p w14:paraId="134ECC7E">
      <w:pPr>
        <w:spacing w:before="140" w:line="223" w:lineRule="auto"/>
        <w:ind w:left="2364"/>
        <w:rPr>
          <w:rFonts w:ascii="宋体" w:hAnsi="宋体" w:eastAsia="宋体" w:cs="宋体"/>
          <w:color w:val="auto"/>
          <w:sz w:val="43"/>
          <w:szCs w:val="43"/>
          <w:highlight w:val="none"/>
        </w:rPr>
      </w:pPr>
      <w:r>
        <w:rPr>
          <w:rFonts w:ascii="宋体" w:hAnsi="宋体" w:eastAsia="宋体" w:cs="宋体"/>
          <w:color w:val="auto"/>
          <w:spacing w:val="-20"/>
          <w:sz w:val="43"/>
          <w:szCs w:val="43"/>
          <w:highlight w:val="none"/>
        </w:rPr>
        <w:t>电</w:t>
      </w:r>
      <w:r>
        <w:rPr>
          <w:rFonts w:ascii="宋体" w:hAnsi="宋体" w:eastAsia="宋体" w:cs="宋体"/>
          <w:color w:val="auto"/>
          <w:spacing w:val="24"/>
          <w:sz w:val="43"/>
          <w:szCs w:val="43"/>
          <w:highlight w:val="none"/>
        </w:rPr>
        <w:t xml:space="preserve"> </w:t>
      </w:r>
      <w:r>
        <w:rPr>
          <w:rFonts w:ascii="宋体" w:hAnsi="宋体" w:eastAsia="宋体" w:cs="宋体"/>
          <w:color w:val="auto"/>
          <w:spacing w:val="-20"/>
          <w:sz w:val="43"/>
          <w:szCs w:val="43"/>
          <w:highlight w:val="none"/>
        </w:rPr>
        <w:t>子</w:t>
      </w:r>
      <w:r>
        <w:rPr>
          <w:rFonts w:ascii="宋体" w:hAnsi="宋体" w:eastAsia="宋体" w:cs="宋体"/>
          <w:color w:val="auto"/>
          <w:spacing w:val="46"/>
          <w:sz w:val="43"/>
          <w:szCs w:val="43"/>
          <w:highlight w:val="none"/>
        </w:rPr>
        <w:t xml:space="preserve"> </w:t>
      </w:r>
      <w:r>
        <w:rPr>
          <w:rFonts w:ascii="宋体" w:hAnsi="宋体" w:eastAsia="宋体" w:cs="宋体"/>
          <w:color w:val="auto"/>
          <w:spacing w:val="-20"/>
          <w:sz w:val="43"/>
          <w:szCs w:val="43"/>
          <w:highlight w:val="none"/>
        </w:rPr>
        <w:t>响</w:t>
      </w:r>
      <w:r>
        <w:rPr>
          <w:rFonts w:ascii="宋体" w:hAnsi="宋体" w:eastAsia="宋体" w:cs="宋体"/>
          <w:color w:val="auto"/>
          <w:spacing w:val="23"/>
          <w:sz w:val="43"/>
          <w:szCs w:val="43"/>
          <w:highlight w:val="none"/>
        </w:rPr>
        <w:t xml:space="preserve"> </w:t>
      </w:r>
      <w:r>
        <w:rPr>
          <w:rFonts w:ascii="宋体" w:hAnsi="宋体" w:eastAsia="宋体" w:cs="宋体"/>
          <w:color w:val="auto"/>
          <w:spacing w:val="-20"/>
          <w:sz w:val="43"/>
          <w:szCs w:val="43"/>
          <w:highlight w:val="none"/>
        </w:rPr>
        <w:t>应</w:t>
      </w:r>
      <w:r>
        <w:rPr>
          <w:rFonts w:ascii="宋体" w:hAnsi="宋体" w:eastAsia="宋体" w:cs="宋体"/>
          <w:color w:val="auto"/>
          <w:spacing w:val="27"/>
          <w:sz w:val="43"/>
          <w:szCs w:val="43"/>
          <w:highlight w:val="none"/>
        </w:rPr>
        <w:t xml:space="preserve"> </w:t>
      </w:r>
      <w:r>
        <w:rPr>
          <w:rFonts w:ascii="宋体" w:hAnsi="宋体" w:eastAsia="宋体" w:cs="宋体"/>
          <w:color w:val="auto"/>
          <w:spacing w:val="-20"/>
          <w:sz w:val="43"/>
          <w:szCs w:val="43"/>
          <w:highlight w:val="none"/>
        </w:rPr>
        <w:t>文</w:t>
      </w:r>
      <w:r>
        <w:rPr>
          <w:rFonts w:ascii="宋体" w:hAnsi="宋体" w:eastAsia="宋体" w:cs="宋体"/>
          <w:color w:val="auto"/>
          <w:spacing w:val="21"/>
          <w:sz w:val="43"/>
          <w:szCs w:val="43"/>
          <w:highlight w:val="none"/>
        </w:rPr>
        <w:t xml:space="preserve"> </w:t>
      </w:r>
      <w:r>
        <w:rPr>
          <w:rFonts w:ascii="宋体" w:hAnsi="宋体" w:eastAsia="宋体" w:cs="宋体"/>
          <w:color w:val="auto"/>
          <w:spacing w:val="-20"/>
          <w:sz w:val="43"/>
          <w:szCs w:val="43"/>
          <w:highlight w:val="none"/>
        </w:rPr>
        <w:t>件</w:t>
      </w:r>
    </w:p>
    <w:p w14:paraId="4CAEFBA7">
      <w:pPr>
        <w:spacing w:line="285" w:lineRule="auto"/>
        <w:rPr>
          <w:rFonts w:ascii="Arial"/>
          <w:color w:val="auto"/>
          <w:sz w:val="21"/>
          <w:highlight w:val="none"/>
        </w:rPr>
      </w:pPr>
    </w:p>
    <w:p w14:paraId="6751BF76">
      <w:pPr>
        <w:spacing w:line="286" w:lineRule="auto"/>
        <w:rPr>
          <w:rFonts w:ascii="Arial"/>
          <w:color w:val="auto"/>
          <w:sz w:val="21"/>
          <w:highlight w:val="none"/>
        </w:rPr>
      </w:pPr>
    </w:p>
    <w:p w14:paraId="1A6CC091">
      <w:pPr>
        <w:spacing w:line="286" w:lineRule="auto"/>
        <w:rPr>
          <w:rFonts w:ascii="Arial"/>
          <w:color w:val="auto"/>
          <w:sz w:val="21"/>
          <w:highlight w:val="none"/>
        </w:rPr>
      </w:pPr>
    </w:p>
    <w:p w14:paraId="6D0C7005">
      <w:pPr>
        <w:spacing w:before="184" w:line="215" w:lineRule="auto"/>
        <w:ind w:left="1756"/>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1"/>
          <w:sz w:val="43"/>
          <w:szCs w:val="43"/>
          <w:highlight w:val="none"/>
        </w:rPr>
        <w:t>商</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务</w:t>
      </w:r>
      <w:r>
        <w:rPr>
          <w:rFonts w:ascii="微软雅黑" w:hAnsi="微软雅黑" w:eastAsia="微软雅黑" w:cs="微软雅黑"/>
          <w:color w:val="auto"/>
          <w:spacing w:val="23"/>
          <w:sz w:val="43"/>
          <w:szCs w:val="43"/>
          <w:highlight w:val="none"/>
        </w:rPr>
        <w:t xml:space="preserve">   </w:t>
      </w:r>
      <w:r>
        <w:rPr>
          <w:rFonts w:ascii="微软雅黑" w:hAnsi="微软雅黑" w:eastAsia="微软雅黑" w:cs="微软雅黑"/>
          <w:color w:val="auto"/>
          <w:spacing w:val="1"/>
          <w:sz w:val="43"/>
          <w:szCs w:val="43"/>
          <w:highlight w:val="none"/>
        </w:rPr>
        <w:t>技</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术</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文</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件</w:t>
      </w:r>
    </w:p>
    <w:p w14:paraId="6008B328">
      <w:pPr>
        <w:spacing w:line="268" w:lineRule="auto"/>
        <w:rPr>
          <w:rFonts w:ascii="Arial"/>
          <w:color w:val="auto"/>
          <w:sz w:val="21"/>
          <w:highlight w:val="none"/>
        </w:rPr>
      </w:pPr>
    </w:p>
    <w:p w14:paraId="1D71CB12">
      <w:pPr>
        <w:spacing w:line="268" w:lineRule="auto"/>
        <w:rPr>
          <w:rFonts w:ascii="Arial"/>
          <w:color w:val="auto"/>
          <w:sz w:val="21"/>
          <w:highlight w:val="none"/>
        </w:rPr>
      </w:pPr>
    </w:p>
    <w:p w14:paraId="669A9420">
      <w:pPr>
        <w:spacing w:line="268" w:lineRule="auto"/>
        <w:rPr>
          <w:rFonts w:ascii="Arial"/>
          <w:color w:val="auto"/>
          <w:sz w:val="21"/>
          <w:highlight w:val="none"/>
        </w:rPr>
      </w:pPr>
    </w:p>
    <w:p w14:paraId="36A38D48">
      <w:pPr>
        <w:spacing w:line="268" w:lineRule="auto"/>
        <w:rPr>
          <w:rFonts w:ascii="Arial"/>
          <w:color w:val="auto"/>
          <w:sz w:val="21"/>
          <w:highlight w:val="none"/>
        </w:rPr>
      </w:pPr>
    </w:p>
    <w:p w14:paraId="68045EF9">
      <w:pPr>
        <w:spacing w:line="269" w:lineRule="auto"/>
        <w:rPr>
          <w:rFonts w:ascii="Arial"/>
          <w:color w:val="auto"/>
          <w:sz w:val="21"/>
          <w:highlight w:val="none"/>
        </w:rPr>
      </w:pPr>
    </w:p>
    <w:p w14:paraId="71ADD6F0">
      <w:pPr>
        <w:spacing w:line="269" w:lineRule="auto"/>
        <w:rPr>
          <w:rFonts w:ascii="Arial"/>
          <w:color w:val="auto"/>
          <w:sz w:val="21"/>
          <w:highlight w:val="none"/>
        </w:rPr>
      </w:pPr>
    </w:p>
    <w:p w14:paraId="505175D3">
      <w:pPr>
        <w:spacing w:line="269" w:lineRule="auto"/>
        <w:rPr>
          <w:rFonts w:ascii="Arial"/>
          <w:color w:val="auto"/>
          <w:sz w:val="21"/>
          <w:highlight w:val="none"/>
        </w:rPr>
      </w:pPr>
    </w:p>
    <w:p w14:paraId="7D4956A8">
      <w:pPr>
        <w:spacing w:line="269" w:lineRule="auto"/>
        <w:rPr>
          <w:rFonts w:ascii="Arial"/>
          <w:color w:val="auto"/>
          <w:sz w:val="21"/>
          <w:highlight w:val="none"/>
        </w:rPr>
      </w:pPr>
    </w:p>
    <w:p w14:paraId="0ABEF112">
      <w:pPr>
        <w:spacing w:before="101" w:line="226"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项目名称：</w:t>
      </w:r>
    </w:p>
    <w:p w14:paraId="588E67F0">
      <w:pPr>
        <w:spacing w:line="293" w:lineRule="auto"/>
        <w:rPr>
          <w:rFonts w:ascii="Arial"/>
          <w:color w:val="auto"/>
          <w:sz w:val="21"/>
          <w:highlight w:val="none"/>
        </w:rPr>
      </w:pPr>
    </w:p>
    <w:p w14:paraId="5AB73CED">
      <w:pPr>
        <w:spacing w:line="294" w:lineRule="auto"/>
        <w:rPr>
          <w:rFonts w:ascii="Arial"/>
          <w:color w:val="auto"/>
          <w:sz w:val="21"/>
          <w:highlight w:val="none"/>
        </w:rPr>
      </w:pPr>
    </w:p>
    <w:p w14:paraId="03A20015">
      <w:pPr>
        <w:spacing w:before="101" w:line="225"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项目编号：</w:t>
      </w:r>
    </w:p>
    <w:p w14:paraId="47718018">
      <w:pPr>
        <w:spacing w:line="259" w:lineRule="auto"/>
        <w:rPr>
          <w:rFonts w:ascii="Arial"/>
          <w:color w:val="auto"/>
          <w:sz w:val="21"/>
          <w:highlight w:val="none"/>
        </w:rPr>
      </w:pPr>
    </w:p>
    <w:p w14:paraId="5EB74E47">
      <w:pPr>
        <w:spacing w:line="260" w:lineRule="auto"/>
        <w:rPr>
          <w:rFonts w:ascii="Arial"/>
          <w:color w:val="auto"/>
          <w:sz w:val="21"/>
          <w:highlight w:val="none"/>
        </w:rPr>
      </w:pPr>
    </w:p>
    <w:p w14:paraId="3945EFCE">
      <w:pPr>
        <w:spacing w:before="101" w:line="224" w:lineRule="auto"/>
        <w:ind w:left="671"/>
        <w:rPr>
          <w:rFonts w:ascii="宋体" w:hAnsi="宋体" w:eastAsia="宋体" w:cs="宋体"/>
          <w:color w:val="auto"/>
          <w:sz w:val="31"/>
          <w:szCs w:val="31"/>
          <w:highlight w:val="none"/>
        </w:rPr>
      </w:pPr>
      <w:r>
        <w:rPr>
          <w:rFonts w:ascii="宋体" w:hAnsi="宋体" w:eastAsia="宋体" w:cs="宋体"/>
          <w:color w:val="auto"/>
          <w:spacing w:val="-1"/>
          <w:sz w:val="31"/>
          <w:szCs w:val="31"/>
          <w:highlight w:val="none"/>
        </w:rPr>
        <w:t>供应商名称：</w:t>
      </w:r>
    </w:p>
    <w:p w14:paraId="4D27172E">
      <w:pPr>
        <w:spacing w:line="272" w:lineRule="auto"/>
        <w:rPr>
          <w:rFonts w:ascii="Arial"/>
          <w:color w:val="auto"/>
          <w:sz w:val="21"/>
          <w:highlight w:val="none"/>
        </w:rPr>
      </w:pPr>
    </w:p>
    <w:p w14:paraId="731CFF9D">
      <w:pPr>
        <w:spacing w:line="272" w:lineRule="auto"/>
        <w:rPr>
          <w:rFonts w:ascii="Arial"/>
          <w:color w:val="auto"/>
          <w:sz w:val="21"/>
          <w:highlight w:val="none"/>
        </w:rPr>
      </w:pPr>
    </w:p>
    <w:p w14:paraId="4B6EB91F">
      <w:pPr>
        <w:spacing w:line="272" w:lineRule="auto"/>
        <w:rPr>
          <w:rFonts w:ascii="Arial"/>
          <w:color w:val="auto"/>
          <w:sz w:val="21"/>
          <w:highlight w:val="none"/>
        </w:rPr>
      </w:pPr>
    </w:p>
    <w:p w14:paraId="53784574">
      <w:pPr>
        <w:spacing w:line="272" w:lineRule="auto"/>
        <w:rPr>
          <w:rFonts w:ascii="Arial"/>
          <w:color w:val="auto"/>
          <w:sz w:val="21"/>
          <w:highlight w:val="none"/>
        </w:rPr>
      </w:pPr>
    </w:p>
    <w:p w14:paraId="3A625AB3">
      <w:pPr>
        <w:spacing w:line="272" w:lineRule="auto"/>
        <w:rPr>
          <w:rFonts w:ascii="Arial"/>
          <w:color w:val="auto"/>
          <w:sz w:val="21"/>
          <w:highlight w:val="none"/>
        </w:rPr>
      </w:pPr>
    </w:p>
    <w:p w14:paraId="4443C3FF">
      <w:pPr>
        <w:spacing w:line="273" w:lineRule="auto"/>
        <w:rPr>
          <w:rFonts w:ascii="Arial"/>
          <w:color w:val="auto"/>
          <w:sz w:val="21"/>
          <w:highlight w:val="none"/>
        </w:rPr>
      </w:pPr>
    </w:p>
    <w:p w14:paraId="4A0059FD">
      <w:pPr>
        <w:spacing w:line="273" w:lineRule="auto"/>
        <w:rPr>
          <w:rFonts w:ascii="Arial"/>
          <w:color w:val="auto"/>
          <w:sz w:val="21"/>
          <w:highlight w:val="none"/>
        </w:rPr>
      </w:pPr>
    </w:p>
    <w:p w14:paraId="6CFC15A2">
      <w:pPr>
        <w:spacing w:before="101" w:line="225" w:lineRule="auto"/>
        <w:ind w:left="3058"/>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1"/>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29CCA4A6">
      <w:pPr>
        <w:spacing w:line="225" w:lineRule="auto"/>
        <w:rPr>
          <w:rFonts w:ascii="宋体" w:hAnsi="宋体" w:eastAsia="宋体" w:cs="宋体"/>
          <w:color w:val="auto"/>
          <w:sz w:val="31"/>
          <w:szCs w:val="31"/>
          <w:highlight w:val="none"/>
        </w:rPr>
        <w:sectPr>
          <w:footerReference r:id="rId50" w:type="default"/>
          <w:pgSz w:w="11900" w:h="16832"/>
          <w:pgMar w:top="1423" w:right="1784" w:bottom="808" w:left="1784" w:header="0" w:footer="647" w:gutter="0"/>
          <w:pgNumType w:fmt="decimal"/>
          <w:cols w:space="720" w:num="1"/>
        </w:sectPr>
      </w:pPr>
    </w:p>
    <w:p w14:paraId="6AE312E7">
      <w:pPr>
        <w:spacing w:before="126" w:line="225" w:lineRule="auto"/>
        <w:ind w:left="274"/>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2.商务技术文件目录</w:t>
      </w:r>
    </w:p>
    <w:p w14:paraId="1240F569">
      <w:pPr>
        <w:spacing w:line="261" w:lineRule="auto"/>
        <w:rPr>
          <w:rFonts w:ascii="Arial"/>
          <w:color w:val="auto"/>
          <w:sz w:val="21"/>
          <w:highlight w:val="none"/>
        </w:rPr>
      </w:pPr>
    </w:p>
    <w:p w14:paraId="45AF295F">
      <w:pPr>
        <w:spacing w:before="101" w:line="357" w:lineRule="auto"/>
        <w:ind w:left="43" w:right="26" w:firstLine="627"/>
        <w:rPr>
          <w:rFonts w:ascii="宋体" w:hAnsi="宋体" w:eastAsia="宋体" w:cs="宋体"/>
          <w:color w:val="auto"/>
          <w:sz w:val="31"/>
          <w:szCs w:val="31"/>
          <w:highlight w:val="none"/>
        </w:rPr>
      </w:pPr>
      <w:r>
        <w:rPr>
          <w:rFonts w:ascii="宋体" w:hAnsi="宋体" w:eastAsia="宋体" w:cs="宋体"/>
          <w:color w:val="auto"/>
          <w:spacing w:val="21"/>
          <w:sz w:val="31"/>
          <w:szCs w:val="31"/>
          <w:highlight w:val="none"/>
        </w:rPr>
        <w:t>根据磋商文件规定及供应商提供的材料自行编写目录</w:t>
      </w:r>
      <w:r>
        <w:rPr>
          <w:rFonts w:ascii="宋体" w:hAnsi="宋体" w:eastAsia="宋体" w:cs="宋体"/>
          <w:color w:val="auto"/>
          <w:spacing w:val="17"/>
          <w:sz w:val="31"/>
          <w:szCs w:val="31"/>
          <w:highlight w:val="none"/>
        </w:rPr>
        <w:t xml:space="preserve"> </w:t>
      </w:r>
      <w:r>
        <w:rPr>
          <w:rFonts w:ascii="宋体" w:hAnsi="宋体" w:eastAsia="宋体" w:cs="宋体"/>
          <w:color w:val="auto"/>
          <w:spacing w:val="2"/>
          <w:sz w:val="31"/>
          <w:szCs w:val="31"/>
          <w:highlight w:val="none"/>
        </w:rPr>
        <w:t>（部分格式后附）。</w:t>
      </w:r>
    </w:p>
    <w:p w14:paraId="523A3C50">
      <w:pPr>
        <w:spacing w:line="357" w:lineRule="auto"/>
        <w:rPr>
          <w:rFonts w:ascii="宋体" w:hAnsi="宋体" w:eastAsia="宋体" w:cs="宋体"/>
          <w:color w:val="auto"/>
          <w:sz w:val="31"/>
          <w:szCs w:val="31"/>
          <w:highlight w:val="none"/>
        </w:rPr>
        <w:sectPr>
          <w:footerReference r:id="rId51" w:type="default"/>
          <w:pgSz w:w="11900" w:h="16832"/>
          <w:pgMar w:top="1430" w:right="1784" w:bottom="808" w:left="1784" w:header="0" w:footer="647" w:gutter="0"/>
          <w:pgNumType w:fmt="decimal"/>
          <w:cols w:space="720" w:num="1"/>
        </w:sectPr>
      </w:pPr>
    </w:p>
    <w:p w14:paraId="0C8F03F7">
      <w:pPr>
        <w:spacing w:before="150" w:line="225" w:lineRule="auto"/>
        <w:ind w:left="2414"/>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无串通竞标行为的承诺函</w:t>
      </w:r>
    </w:p>
    <w:p w14:paraId="7525DBA7">
      <w:pPr>
        <w:spacing w:line="287" w:lineRule="auto"/>
        <w:rPr>
          <w:rFonts w:ascii="Arial"/>
          <w:color w:val="auto"/>
          <w:sz w:val="21"/>
          <w:highlight w:val="none"/>
        </w:rPr>
      </w:pPr>
    </w:p>
    <w:p w14:paraId="504C3DD0">
      <w:pPr>
        <w:spacing w:line="288" w:lineRule="auto"/>
        <w:rPr>
          <w:rFonts w:ascii="Arial"/>
          <w:color w:val="auto"/>
          <w:sz w:val="21"/>
          <w:highlight w:val="none"/>
        </w:rPr>
      </w:pPr>
    </w:p>
    <w:p w14:paraId="23A28EFC">
      <w:pPr>
        <w:spacing w:before="78" w:line="220" w:lineRule="auto"/>
        <w:ind w:left="51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一、我方承诺无下列相互串通竞标的情形：</w:t>
      </w:r>
    </w:p>
    <w:p w14:paraId="23043B65">
      <w:pPr>
        <w:spacing w:before="183" w:line="344" w:lineRule="auto"/>
        <w:ind w:left="510" w:right="2367" w:firstLine="1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1.不同供应商的响应文件由同一单位或者个人编制；</w:t>
      </w:r>
      <w:r>
        <w:rPr>
          <w:rFonts w:ascii="宋体" w:hAnsi="宋体" w:eastAsia="宋体" w:cs="宋体"/>
          <w:color w:val="auto"/>
          <w:spacing w:val="11"/>
          <w:sz w:val="24"/>
          <w:szCs w:val="24"/>
          <w:highlight w:val="none"/>
        </w:rPr>
        <w:t xml:space="preserve"> </w:t>
      </w:r>
      <w:r>
        <w:rPr>
          <w:rFonts w:ascii="宋体" w:hAnsi="宋体" w:eastAsia="宋体" w:cs="宋体"/>
          <w:color w:val="auto"/>
          <w:spacing w:val="-3"/>
          <w:sz w:val="24"/>
          <w:szCs w:val="24"/>
          <w:highlight w:val="none"/>
        </w:rPr>
        <w:t>2.不同供应商委托同一单位或者个人办理竞标事宜；</w:t>
      </w:r>
    </w:p>
    <w:p w14:paraId="03944013">
      <w:pPr>
        <w:spacing w:before="37" w:line="219" w:lineRule="auto"/>
        <w:ind w:left="51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3.不同供应商的响应文件载明的项目管理员为同一个人；</w:t>
      </w:r>
    </w:p>
    <w:p w14:paraId="34E77E58">
      <w:pPr>
        <w:spacing w:before="181" w:line="347" w:lineRule="auto"/>
        <w:ind w:left="511" w:right="1467" w:hanging="5"/>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4.不同供应商的响应文件异常一致或者竞标报价呈规律性差异；</w:t>
      </w:r>
      <w:r>
        <w:rPr>
          <w:rFonts w:ascii="宋体" w:hAnsi="宋体" w:eastAsia="宋体" w:cs="宋体"/>
          <w:color w:val="auto"/>
          <w:spacing w:val="11"/>
          <w:sz w:val="24"/>
          <w:szCs w:val="24"/>
          <w:highlight w:val="none"/>
        </w:rPr>
        <w:t xml:space="preserve"> </w:t>
      </w:r>
      <w:r>
        <w:rPr>
          <w:rFonts w:ascii="宋体" w:hAnsi="宋体" w:eastAsia="宋体" w:cs="宋体"/>
          <w:color w:val="auto"/>
          <w:spacing w:val="-4"/>
          <w:sz w:val="24"/>
          <w:szCs w:val="24"/>
          <w:highlight w:val="none"/>
        </w:rPr>
        <w:t>5.不同供应商的响应文件相互混装；</w:t>
      </w:r>
    </w:p>
    <w:p w14:paraId="434FD7E4">
      <w:pPr>
        <w:spacing w:before="32" w:line="219" w:lineRule="auto"/>
        <w:ind w:left="5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6.不同供应商的磋商保证金从同一单位或者个人账户转出。</w:t>
      </w:r>
    </w:p>
    <w:p w14:paraId="152B50CC">
      <w:pPr>
        <w:spacing w:before="183" w:line="220" w:lineRule="auto"/>
        <w:ind w:left="51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二、我方承诺无下列恶意串通的情形：</w:t>
      </w:r>
    </w:p>
    <w:p w14:paraId="4F16EBE1">
      <w:pPr>
        <w:spacing w:before="179" w:line="347" w:lineRule="auto"/>
        <w:ind w:left="31" w:right="24" w:firstLine="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1.供应商直接或者间接从采购人或者采购代理机构处获得其他供应商的相</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关信息并修改其响应文件；</w:t>
      </w:r>
    </w:p>
    <w:p w14:paraId="1B70419A">
      <w:pPr>
        <w:spacing w:before="32" w:line="346" w:lineRule="auto"/>
        <w:ind w:left="511" w:right="687" w:hanging="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2.供应商按照采购人或者采购代理机构的授意撤换</w:t>
      </w:r>
      <w:r>
        <w:rPr>
          <w:rFonts w:ascii="宋体" w:hAnsi="宋体" w:eastAsia="宋体" w:cs="宋体"/>
          <w:color w:val="auto"/>
          <w:spacing w:val="-3"/>
          <w:sz w:val="24"/>
          <w:szCs w:val="24"/>
          <w:highlight w:val="none"/>
        </w:rPr>
        <w:t>、修改响应文件；</w:t>
      </w:r>
      <w:r>
        <w:rPr>
          <w:rFonts w:ascii="宋体" w:hAnsi="宋体" w:eastAsia="宋体" w:cs="宋体"/>
          <w:color w:val="auto"/>
          <w:sz w:val="24"/>
          <w:szCs w:val="24"/>
          <w:highlight w:val="none"/>
        </w:rPr>
        <w:t xml:space="preserve"> </w:t>
      </w:r>
      <w:r>
        <w:rPr>
          <w:rFonts w:ascii="宋体" w:hAnsi="宋体" w:eastAsia="宋体" w:cs="宋体"/>
          <w:color w:val="auto"/>
          <w:spacing w:val="-13"/>
          <w:sz w:val="24"/>
          <w:szCs w:val="24"/>
          <w:highlight w:val="none"/>
        </w:rPr>
        <w:t>3.供应商之间协商报价、技术方案等响应文件的实质性内容；</w:t>
      </w:r>
    </w:p>
    <w:p w14:paraId="0D0840B3">
      <w:pPr>
        <w:spacing w:before="36" w:line="346" w:lineRule="auto"/>
        <w:ind w:left="26" w:right="17"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4.属于同一集团、协会、商会等组织成员的</w:t>
      </w:r>
      <w:r>
        <w:rPr>
          <w:rFonts w:ascii="宋体" w:hAnsi="宋体" w:eastAsia="宋体" w:cs="宋体"/>
          <w:color w:val="auto"/>
          <w:spacing w:val="-4"/>
          <w:sz w:val="24"/>
          <w:szCs w:val="24"/>
          <w:highlight w:val="none"/>
        </w:rPr>
        <w:t>供应商按照该组织要求协同参加</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rPr>
        <w:t>政府采购活动；</w:t>
      </w:r>
    </w:p>
    <w:p w14:paraId="1C8DED67">
      <w:pPr>
        <w:spacing w:before="34" w:line="351" w:lineRule="auto"/>
        <w:ind w:left="32" w:right="17" w:firstLine="479"/>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5.供应商之间事先约定一致抬高或者压低竞标报价，或者在竞争性磋商项目</w:t>
      </w:r>
      <w:r>
        <w:rPr>
          <w:rFonts w:ascii="宋体" w:hAnsi="宋体" w:eastAsia="宋体" w:cs="宋体"/>
          <w:color w:val="auto"/>
          <w:spacing w:val="15"/>
          <w:sz w:val="24"/>
          <w:szCs w:val="24"/>
          <w:highlight w:val="none"/>
        </w:rPr>
        <w:t xml:space="preserve"> </w:t>
      </w:r>
      <w:r>
        <w:rPr>
          <w:rFonts w:ascii="宋体" w:hAnsi="宋体" w:eastAsia="宋体" w:cs="宋体"/>
          <w:color w:val="auto"/>
          <w:spacing w:val="3"/>
          <w:sz w:val="24"/>
          <w:szCs w:val="24"/>
          <w:highlight w:val="none"/>
        </w:rPr>
        <w:t>中事先约定轮流以高价位或者低价位成交，或者事先约定由某一特定供应商成</w:t>
      </w:r>
      <w:r>
        <w:rPr>
          <w:rFonts w:ascii="宋体" w:hAnsi="宋体" w:eastAsia="宋体" w:cs="宋体"/>
          <w:color w:val="auto"/>
          <w:spacing w:val="11"/>
          <w:sz w:val="24"/>
          <w:szCs w:val="24"/>
          <w:highlight w:val="none"/>
        </w:rPr>
        <w:t xml:space="preserve"> </w:t>
      </w:r>
      <w:r>
        <w:rPr>
          <w:rFonts w:ascii="宋体" w:hAnsi="宋体" w:eastAsia="宋体" w:cs="宋体"/>
          <w:color w:val="auto"/>
          <w:spacing w:val="-7"/>
          <w:sz w:val="24"/>
          <w:szCs w:val="24"/>
          <w:highlight w:val="none"/>
        </w:rPr>
        <w:t>交，然后再参加竞标；</w:t>
      </w:r>
    </w:p>
    <w:p w14:paraId="4B9FCDE6">
      <w:pPr>
        <w:spacing w:before="31" w:line="219" w:lineRule="auto"/>
        <w:ind w:left="5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6.供应商之间商定部分供应商放弃参加政府采购活动或者</w:t>
      </w:r>
      <w:r>
        <w:rPr>
          <w:rFonts w:ascii="宋体" w:hAnsi="宋体" w:eastAsia="宋体" w:cs="宋体"/>
          <w:color w:val="auto"/>
          <w:spacing w:val="-3"/>
          <w:sz w:val="24"/>
          <w:szCs w:val="24"/>
          <w:highlight w:val="none"/>
        </w:rPr>
        <w:t>放弃成交；</w:t>
      </w:r>
    </w:p>
    <w:p w14:paraId="290DA514">
      <w:pPr>
        <w:spacing w:before="184" w:line="345" w:lineRule="auto"/>
        <w:ind w:left="27" w:right="5" w:firstLine="48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7.供应商与采购人或者采购代理机构之间、供应商相互之间， 为谋求特定供</w:t>
      </w:r>
      <w:r>
        <w:rPr>
          <w:rFonts w:ascii="宋体" w:hAnsi="宋体" w:eastAsia="宋体" w:cs="宋体"/>
          <w:color w:val="auto"/>
          <w:spacing w:val="14"/>
          <w:sz w:val="24"/>
          <w:szCs w:val="24"/>
          <w:highlight w:val="none"/>
        </w:rPr>
        <w:t xml:space="preserve"> </w:t>
      </w:r>
      <w:r>
        <w:rPr>
          <w:rFonts w:ascii="宋体" w:hAnsi="宋体" w:eastAsia="宋体" w:cs="宋体"/>
          <w:color w:val="auto"/>
          <w:spacing w:val="-13"/>
          <w:sz w:val="24"/>
          <w:szCs w:val="24"/>
          <w:highlight w:val="none"/>
        </w:rPr>
        <w:t>应商成交或者排斥其他供应商的其他串通行为。</w:t>
      </w:r>
    </w:p>
    <w:p w14:paraId="0CAC2F72">
      <w:pPr>
        <w:spacing w:line="421" w:lineRule="auto"/>
        <w:rPr>
          <w:rFonts w:ascii="Arial"/>
          <w:color w:val="auto"/>
          <w:sz w:val="21"/>
          <w:highlight w:val="none"/>
        </w:rPr>
      </w:pPr>
    </w:p>
    <w:p w14:paraId="458DD9A9">
      <w:pPr>
        <w:spacing w:before="78" w:line="347" w:lineRule="auto"/>
        <w:ind w:left="28" w:right="22" w:firstLine="508"/>
        <w:rPr>
          <w:rFonts w:ascii="宋体" w:hAnsi="宋体" w:eastAsia="宋体" w:cs="宋体"/>
          <w:color w:val="auto"/>
          <w:sz w:val="24"/>
          <w:szCs w:val="24"/>
          <w:highlight w:val="none"/>
        </w:rPr>
      </w:pPr>
      <w:r>
        <w:rPr>
          <w:rFonts w:ascii="宋体" w:hAnsi="宋体" w:eastAsia="宋体" w:cs="宋体"/>
          <w:b/>
          <w:bCs/>
          <w:color w:val="auto"/>
          <w:sz w:val="24"/>
          <w:szCs w:val="24"/>
          <w:highlight w:val="none"/>
        </w:rPr>
        <w:t>以上情形一经核查属实，我方愿意承担一切后果，并不再寻求任何旨在减</w:t>
      </w:r>
      <w:r>
        <w:rPr>
          <w:rFonts w:ascii="宋体" w:hAnsi="宋体" w:eastAsia="宋体" w:cs="宋体"/>
          <w:color w:val="auto"/>
          <w:spacing w:val="8"/>
          <w:sz w:val="24"/>
          <w:szCs w:val="24"/>
          <w:highlight w:val="none"/>
        </w:rPr>
        <w:t xml:space="preserve"> </w:t>
      </w:r>
      <w:r>
        <w:rPr>
          <w:rFonts w:ascii="宋体" w:hAnsi="宋体" w:eastAsia="宋体" w:cs="宋体"/>
          <w:b/>
          <w:bCs/>
          <w:color w:val="auto"/>
          <w:spacing w:val="-4"/>
          <w:sz w:val="24"/>
          <w:szCs w:val="24"/>
          <w:highlight w:val="none"/>
        </w:rPr>
        <w:t>轻或者免除法律责任的辩解。</w:t>
      </w:r>
    </w:p>
    <w:p w14:paraId="725CE068">
      <w:pPr>
        <w:spacing w:line="419" w:lineRule="auto"/>
        <w:rPr>
          <w:rFonts w:ascii="Arial"/>
          <w:color w:val="auto"/>
          <w:sz w:val="21"/>
          <w:highlight w:val="none"/>
        </w:rPr>
      </w:pPr>
    </w:p>
    <w:p w14:paraId="7A9EFD40">
      <w:pPr>
        <w:spacing w:before="79" w:line="219" w:lineRule="auto"/>
        <w:ind w:left="362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供应商（电子签章</w:t>
      </w:r>
      <w:r>
        <w:rPr>
          <w:rFonts w:ascii="宋体" w:hAnsi="宋体" w:eastAsia="宋体" w:cs="宋体"/>
          <w:color w:val="auto"/>
          <w:spacing w:val="2"/>
          <w:sz w:val="24"/>
          <w:szCs w:val="24"/>
          <w:highlight w:val="none"/>
        </w:rPr>
        <w:t>）：</w:t>
      </w:r>
    </w:p>
    <w:p w14:paraId="28888BE1">
      <w:pPr>
        <w:spacing w:before="181" w:line="220" w:lineRule="auto"/>
        <w:ind w:left="5556"/>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9"/>
          <w:sz w:val="24"/>
          <w:szCs w:val="24"/>
          <w:highlight w:val="none"/>
        </w:rPr>
        <w:t>日</w:t>
      </w:r>
    </w:p>
    <w:p w14:paraId="414B1C3D">
      <w:pPr>
        <w:spacing w:line="220" w:lineRule="auto"/>
        <w:rPr>
          <w:rFonts w:ascii="宋体" w:hAnsi="宋体" w:eastAsia="宋体" w:cs="宋体"/>
          <w:color w:val="auto"/>
          <w:sz w:val="24"/>
          <w:szCs w:val="24"/>
          <w:highlight w:val="none"/>
        </w:rPr>
        <w:sectPr>
          <w:footerReference r:id="rId52" w:type="default"/>
          <w:pgSz w:w="11900" w:h="16832"/>
          <w:pgMar w:top="1430" w:right="1784" w:bottom="808" w:left="1784" w:header="0" w:footer="647" w:gutter="0"/>
          <w:pgNumType w:fmt="decimal"/>
          <w:cols w:space="720" w:num="1"/>
        </w:sectPr>
      </w:pPr>
    </w:p>
    <w:p w14:paraId="7AB2D782">
      <w:pPr>
        <w:spacing w:before="151" w:line="224" w:lineRule="auto"/>
        <w:ind w:left="2893"/>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法定代表人证明书</w:t>
      </w:r>
    </w:p>
    <w:p w14:paraId="36FCE267">
      <w:pPr>
        <w:spacing w:line="289" w:lineRule="auto"/>
        <w:rPr>
          <w:rFonts w:ascii="Arial"/>
          <w:color w:val="auto"/>
          <w:sz w:val="21"/>
          <w:highlight w:val="none"/>
        </w:rPr>
      </w:pPr>
    </w:p>
    <w:p w14:paraId="4736E357">
      <w:pPr>
        <w:spacing w:line="289" w:lineRule="auto"/>
        <w:rPr>
          <w:rFonts w:ascii="Arial"/>
          <w:color w:val="auto"/>
          <w:sz w:val="21"/>
          <w:highlight w:val="none"/>
        </w:rPr>
      </w:pPr>
    </w:p>
    <w:p w14:paraId="3E7EA96B">
      <w:pPr>
        <w:spacing w:before="78" w:line="351" w:lineRule="auto"/>
        <w:ind w:left="567" w:right="1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供应商名称：</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7"/>
          <w:sz w:val="24"/>
          <w:szCs w:val="24"/>
          <w:highlight w:val="none"/>
        </w:rPr>
        <w:t>地</w:t>
      </w:r>
      <w:r>
        <w:rPr>
          <w:rFonts w:ascii="宋体" w:hAnsi="宋体" w:eastAsia="宋体" w:cs="宋体"/>
          <w:color w:val="auto"/>
          <w:spacing w:val="2"/>
          <w:sz w:val="24"/>
          <w:szCs w:val="24"/>
          <w:highlight w:val="none"/>
        </w:rPr>
        <w:t xml:space="preserve">    </w:t>
      </w:r>
      <w:r>
        <w:rPr>
          <w:rFonts w:ascii="宋体" w:hAnsi="宋体" w:eastAsia="宋体" w:cs="宋体"/>
          <w:color w:val="auto"/>
          <w:spacing w:val="-7"/>
          <w:sz w:val="24"/>
          <w:szCs w:val="24"/>
          <w:highlight w:val="none"/>
        </w:rPr>
        <w:t>址：</w:t>
      </w:r>
      <w:r>
        <w:rPr>
          <w:rFonts w:ascii="宋体" w:hAnsi="宋体" w:eastAsia="宋体" w:cs="宋体"/>
          <w:color w:val="auto"/>
          <w:sz w:val="24"/>
          <w:szCs w:val="24"/>
          <w:highlight w:val="none"/>
          <w:u w:val="single" w:color="auto"/>
        </w:rPr>
        <w:t xml:space="preserve">                                                       </w:t>
      </w:r>
    </w:p>
    <w:p w14:paraId="59929CF3">
      <w:pPr>
        <w:spacing w:before="19" w:line="220" w:lineRule="auto"/>
        <w:ind w:left="567"/>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姓</w:t>
      </w:r>
      <w:r>
        <w:rPr>
          <w:rFonts w:ascii="宋体" w:hAnsi="宋体" w:eastAsia="宋体" w:cs="宋体"/>
          <w:color w:val="auto"/>
          <w:spacing w:val="3"/>
          <w:sz w:val="24"/>
          <w:szCs w:val="24"/>
          <w:highlight w:val="none"/>
        </w:rPr>
        <w:t xml:space="preserve">    </w:t>
      </w:r>
      <w:r>
        <w:rPr>
          <w:rFonts w:ascii="宋体" w:hAnsi="宋体" w:eastAsia="宋体" w:cs="宋体"/>
          <w:color w:val="auto"/>
          <w:spacing w:val="-8"/>
          <w:sz w:val="24"/>
          <w:szCs w:val="24"/>
          <w:highlight w:val="none"/>
        </w:rPr>
        <w:t>名：</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8"/>
          <w:sz w:val="24"/>
          <w:szCs w:val="24"/>
          <w:highlight w:val="none"/>
        </w:rPr>
        <w:t>性</w:t>
      </w:r>
      <w:r>
        <w:rPr>
          <w:rFonts w:ascii="宋体" w:hAnsi="宋体" w:eastAsia="宋体" w:cs="宋体"/>
          <w:color w:val="auto"/>
          <w:spacing w:val="2"/>
          <w:sz w:val="24"/>
          <w:szCs w:val="24"/>
          <w:highlight w:val="none"/>
        </w:rPr>
        <w:t xml:space="preserve">     </w:t>
      </w:r>
      <w:r>
        <w:rPr>
          <w:rFonts w:ascii="宋体" w:hAnsi="宋体" w:eastAsia="宋体" w:cs="宋体"/>
          <w:color w:val="auto"/>
          <w:spacing w:val="-8"/>
          <w:sz w:val="24"/>
          <w:szCs w:val="24"/>
          <w:highlight w:val="none"/>
        </w:rPr>
        <w:t>别：</w:t>
      </w:r>
      <w:r>
        <w:rPr>
          <w:rFonts w:ascii="宋体" w:hAnsi="宋体" w:eastAsia="宋体" w:cs="宋体"/>
          <w:color w:val="auto"/>
          <w:sz w:val="24"/>
          <w:szCs w:val="24"/>
          <w:highlight w:val="none"/>
          <w:u w:val="single" w:color="auto"/>
        </w:rPr>
        <w:t xml:space="preserve">                 </w:t>
      </w:r>
    </w:p>
    <w:p w14:paraId="26BEC69D">
      <w:pPr>
        <w:spacing w:before="182" w:line="220" w:lineRule="auto"/>
        <w:ind w:left="568"/>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年</w:t>
      </w:r>
      <w:r>
        <w:rPr>
          <w:rFonts w:ascii="宋体" w:hAnsi="宋体" w:eastAsia="宋体" w:cs="宋体"/>
          <w:color w:val="auto"/>
          <w:spacing w:val="2"/>
          <w:sz w:val="24"/>
          <w:szCs w:val="24"/>
          <w:highlight w:val="none"/>
        </w:rPr>
        <w:t xml:space="preserve">    </w:t>
      </w:r>
      <w:r>
        <w:rPr>
          <w:rFonts w:ascii="宋体" w:hAnsi="宋体" w:eastAsia="宋体" w:cs="宋体"/>
          <w:color w:val="auto"/>
          <w:spacing w:val="-7"/>
          <w:sz w:val="24"/>
          <w:szCs w:val="24"/>
          <w:highlight w:val="none"/>
        </w:rPr>
        <w:t>龄：</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7"/>
          <w:sz w:val="24"/>
          <w:szCs w:val="24"/>
          <w:highlight w:val="none"/>
        </w:rPr>
        <w:t>职</w:t>
      </w:r>
      <w:r>
        <w:rPr>
          <w:rFonts w:ascii="宋体" w:hAnsi="宋体" w:eastAsia="宋体" w:cs="宋体"/>
          <w:color w:val="auto"/>
          <w:spacing w:val="2"/>
          <w:sz w:val="24"/>
          <w:szCs w:val="24"/>
          <w:highlight w:val="none"/>
        </w:rPr>
        <w:t xml:space="preserve">     </w:t>
      </w:r>
      <w:r>
        <w:rPr>
          <w:rFonts w:ascii="宋体" w:hAnsi="宋体" w:eastAsia="宋体" w:cs="宋体"/>
          <w:color w:val="auto"/>
          <w:spacing w:val="-7"/>
          <w:sz w:val="24"/>
          <w:szCs w:val="24"/>
          <w:highlight w:val="none"/>
        </w:rPr>
        <w:t>务：</w:t>
      </w:r>
      <w:r>
        <w:rPr>
          <w:rFonts w:ascii="宋体" w:hAnsi="宋体" w:eastAsia="宋体" w:cs="宋体"/>
          <w:color w:val="auto"/>
          <w:sz w:val="24"/>
          <w:szCs w:val="24"/>
          <w:highlight w:val="none"/>
          <w:u w:val="single" w:color="auto"/>
        </w:rPr>
        <w:t xml:space="preserve">                 </w:t>
      </w:r>
    </w:p>
    <w:p w14:paraId="282A58E9">
      <w:pPr>
        <w:spacing w:before="179" w:line="347" w:lineRule="auto"/>
        <w:ind w:left="512" w:right="1529" w:firstLine="61"/>
        <w:rPr>
          <w:rFonts w:ascii="宋体" w:hAnsi="宋体" w:eastAsia="宋体" w:cs="宋体"/>
          <w:color w:val="auto"/>
          <w:sz w:val="24"/>
          <w:szCs w:val="24"/>
          <w:highlight w:val="none"/>
        </w:rPr>
      </w:pPr>
      <w:r>
        <w:rPr>
          <w:rFonts w:ascii="宋体" w:hAnsi="宋体" w:eastAsia="宋体" w:cs="宋体"/>
          <w:color w:val="auto"/>
          <w:sz w:val="24"/>
          <w:szCs w:val="24"/>
          <w:highlight w:val="none"/>
        </w:rPr>
        <w:t>身份证号码：</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系</w:t>
      </w:r>
      <w:r>
        <w:rPr>
          <w:rFonts w:ascii="宋体" w:hAnsi="宋体" w:eastAsia="宋体" w:cs="宋体"/>
          <w:color w:val="auto"/>
          <w:spacing w:val="-3"/>
          <w:sz w:val="24"/>
          <w:szCs w:val="24"/>
          <w:highlight w:val="none"/>
          <w:u w:val="single" w:color="auto"/>
        </w:rPr>
        <w:t>（供应商名称）</w:t>
      </w:r>
      <w:r>
        <w:rPr>
          <w:rFonts w:ascii="宋体" w:hAnsi="宋体" w:eastAsia="宋体" w:cs="宋体"/>
          <w:color w:val="auto"/>
          <w:spacing w:val="-3"/>
          <w:sz w:val="24"/>
          <w:szCs w:val="24"/>
          <w:highlight w:val="none"/>
        </w:rPr>
        <w:t>的法定代表人。</w:t>
      </w:r>
    </w:p>
    <w:p w14:paraId="7C86FFBE">
      <w:pPr>
        <w:spacing w:before="31" w:line="220" w:lineRule="auto"/>
        <w:ind w:left="567"/>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特此证明。</w:t>
      </w:r>
    </w:p>
    <w:p w14:paraId="5B73C992">
      <w:pPr>
        <w:spacing w:line="249" w:lineRule="auto"/>
        <w:rPr>
          <w:rFonts w:ascii="Arial"/>
          <w:color w:val="auto"/>
          <w:sz w:val="21"/>
          <w:highlight w:val="none"/>
        </w:rPr>
      </w:pPr>
    </w:p>
    <w:p w14:paraId="1036F944">
      <w:pPr>
        <w:spacing w:line="249" w:lineRule="auto"/>
        <w:rPr>
          <w:rFonts w:ascii="Arial"/>
          <w:color w:val="auto"/>
          <w:sz w:val="21"/>
          <w:highlight w:val="none"/>
        </w:rPr>
      </w:pPr>
    </w:p>
    <w:p w14:paraId="7701ED32">
      <w:pPr>
        <w:spacing w:line="249" w:lineRule="auto"/>
        <w:rPr>
          <w:rFonts w:ascii="Arial"/>
          <w:color w:val="auto"/>
          <w:sz w:val="21"/>
          <w:highlight w:val="none"/>
        </w:rPr>
      </w:pPr>
    </w:p>
    <w:p w14:paraId="0F916A6F">
      <w:pPr>
        <w:spacing w:line="249" w:lineRule="auto"/>
        <w:rPr>
          <w:rFonts w:ascii="Arial"/>
          <w:color w:val="auto"/>
          <w:sz w:val="21"/>
          <w:highlight w:val="none"/>
        </w:rPr>
      </w:pPr>
    </w:p>
    <w:p w14:paraId="2D428D5D">
      <w:pPr>
        <w:spacing w:line="249" w:lineRule="auto"/>
        <w:rPr>
          <w:rFonts w:ascii="Arial"/>
          <w:color w:val="auto"/>
          <w:sz w:val="21"/>
          <w:highlight w:val="none"/>
        </w:rPr>
      </w:pPr>
    </w:p>
    <w:p w14:paraId="181517C3">
      <w:pPr>
        <w:spacing w:line="249" w:lineRule="auto"/>
        <w:rPr>
          <w:rFonts w:ascii="Arial"/>
          <w:color w:val="auto"/>
          <w:sz w:val="21"/>
          <w:highlight w:val="none"/>
        </w:rPr>
      </w:pPr>
    </w:p>
    <w:p w14:paraId="33895E9D">
      <w:pPr>
        <w:spacing w:before="78" w:line="219" w:lineRule="auto"/>
        <w:ind w:left="5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附件：法定代表人有效身份证正反面复印件</w:t>
      </w:r>
    </w:p>
    <w:p w14:paraId="43263107">
      <w:pPr>
        <w:spacing w:line="283" w:lineRule="auto"/>
        <w:rPr>
          <w:rFonts w:ascii="Arial"/>
          <w:color w:val="auto"/>
          <w:sz w:val="21"/>
          <w:highlight w:val="none"/>
        </w:rPr>
      </w:pPr>
    </w:p>
    <w:p w14:paraId="1B5A0721">
      <w:pPr>
        <w:spacing w:line="284" w:lineRule="auto"/>
        <w:rPr>
          <w:rFonts w:ascii="Arial"/>
          <w:color w:val="auto"/>
          <w:sz w:val="21"/>
          <w:highlight w:val="none"/>
        </w:rPr>
      </w:pPr>
    </w:p>
    <w:p w14:paraId="7D5BE056">
      <w:pPr>
        <w:tabs>
          <w:tab w:val="left" w:pos="4697"/>
        </w:tabs>
        <w:spacing w:before="78" w:line="347" w:lineRule="auto"/>
        <w:ind w:left="4098" w:right="570" w:hanging="53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供应商（电子签章</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8"/>
          <w:sz w:val="24"/>
          <w:szCs w:val="24"/>
          <w:highlight w:val="none"/>
        </w:rPr>
        <w:t xml:space="preserve"> </w:t>
      </w:r>
      <w:r>
        <w:rPr>
          <w:rFonts w:ascii="宋体" w:hAnsi="宋体" w:eastAsia="宋体" w:cs="宋体"/>
          <w:color w:val="auto"/>
          <w:spacing w:val="-9"/>
          <w:sz w:val="24"/>
          <w:szCs w:val="24"/>
          <w:highlight w:val="none"/>
        </w:rPr>
        <w:t>日</w:t>
      </w:r>
    </w:p>
    <w:p w14:paraId="59B5D794">
      <w:pPr>
        <w:spacing w:line="294" w:lineRule="auto"/>
        <w:rPr>
          <w:rFonts w:ascii="Arial"/>
          <w:color w:val="auto"/>
          <w:sz w:val="21"/>
          <w:highlight w:val="none"/>
        </w:rPr>
      </w:pPr>
    </w:p>
    <w:p w14:paraId="2DC580D6">
      <w:pPr>
        <w:spacing w:line="295" w:lineRule="auto"/>
        <w:rPr>
          <w:rFonts w:ascii="Arial"/>
          <w:color w:val="auto"/>
          <w:sz w:val="21"/>
          <w:highlight w:val="none"/>
        </w:rPr>
      </w:pPr>
    </w:p>
    <w:p w14:paraId="2C477AD2">
      <w:pPr>
        <w:spacing w:line="295" w:lineRule="auto"/>
        <w:rPr>
          <w:rFonts w:ascii="Arial"/>
          <w:color w:val="auto"/>
          <w:sz w:val="21"/>
          <w:highlight w:val="none"/>
        </w:rPr>
      </w:pPr>
    </w:p>
    <w:p w14:paraId="3A025634">
      <w:pPr>
        <w:spacing w:before="79" w:line="219" w:lineRule="auto"/>
        <w:ind w:left="2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注：联合体竞标的只需牵头人出具。</w:t>
      </w:r>
    </w:p>
    <w:p w14:paraId="6E0B9727">
      <w:pPr>
        <w:spacing w:line="219" w:lineRule="auto"/>
        <w:rPr>
          <w:rFonts w:ascii="宋体" w:hAnsi="宋体" w:eastAsia="宋体" w:cs="宋体"/>
          <w:color w:val="auto"/>
          <w:sz w:val="24"/>
          <w:szCs w:val="24"/>
          <w:highlight w:val="none"/>
        </w:rPr>
        <w:sectPr>
          <w:footerReference r:id="rId53" w:type="default"/>
          <w:pgSz w:w="11900" w:h="16832"/>
          <w:pgMar w:top="1430" w:right="1784" w:bottom="808" w:left="1784" w:header="0" w:footer="647" w:gutter="0"/>
          <w:pgNumType w:fmt="decimal"/>
          <w:cols w:space="720" w:num="1"/>
        </w:sectPr>
      </w:pPr>
    </w:p>
    <w:p w14:paraId="126A17E0">
      <w:pPr>
        <w:spacing w:line="272" w:lineRule="auto"/>
        <w:rPr>
          <w:rFonts w:ascii="Arial"/>
          <w:color w:val="auto"/>
          <w:sz w:val="21"/>
          <w:highlight w:val="none"/>
        </w:rPr>
      </w:pPr>
    </w:p>
    <w:p w14:paraId="2A348271">
      <w:pPr>
        <w:spacing w:line="273" w:lineRule="auto"/>
        <w:rPr>
          <w:rFonts w:ascii="Arial"/>
          <w:color w:val="auto"/>
          <w:sz w:val="21"/>
          <w:highlight w:val="none"/>
        </w:rPr>
      </w:pPr>
    </w:p>
    <w:p w14:paraId="4C8A8CDC">
      <w:pPr>
        <w:spacing w:before="101" w:line="338" w:lineRule="auto"/>
        <w:ind w:left="2976" w:right="2975" w:firstLine="396"/>
        <w:rPr>
          <w:rFonts w:ascii="宋体" w:hAnsi="宋体" w:eastAsia="宋体" w:cs="宋体"/>
          <w:color w:val="auto"/>
          <w:sz w:val="24"/>
          <w:szCs w:val="24"/>
          <w:highlight w:val="none"/>
        </w:rPr>
      </w:pPr>
      <w:r>
        <w:rPr>
          <w:rFonts w:ascii="宋体" w:hAnsi="宋体" w:eastAsia="宋体" w:cs="宋体"/>
          <w:b/>
          <w:bCs/>
          <w:color w:val="auto"/>
          <w:spacing w:val="5"/>
          <w:sz w:val="31"/>
          <w:szCs w:val="31"/>
          <w:highlight w:val="none"/>
        </w:rPr>
        <w:t>授权委托书</w:t>
      </w:r>
      <w:r>
        <w:rPr>
          <w:rFonts w:ascii="宋体" w:hAnsi="宋体" w:eastAsia="宋体" w:cs="宋体"/>
          <w:color w:val="auto"/>
          <w:sz w:val="31"/>
          <w:szCs w:val="31"/>
          <w:highlight w:val="none"/>
        </w:rPr>
        <w:t xml:space="preserve">   </w:t>
      </w:r>
      <w:r>
        <w:rPr>
          <w:rFonts w:ascii="宋体" w:hAnsi="宋体" w:eastAsia="宋体" w:cs="宋体"/>
          <w:b/>
          <w:bCs/>
          <w:color w:val="auto"/>
          <w:spacing w:val="-5"/>
          <w:sz w:val="24"/>
          <w:szCs w:val="24"/>
          <w:highlight w:val="none"/>
        </w:rPr>
        <w:t>（非联合体竞标格式）</w:t>
      </w:r>
    </w:p>
    <w:p w14:paraId="25611B92">
      <w:pPr>
        <w:spacing w:before="103" w:line="220" w:lineRule="auto"/>
        <w:ind w:left="3336"/>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（如有委托时）</w:t>
      </w:r>
    </w:p>
    <w:p w14:paraId="51B794EC">
      <w:pPr>
        <w:spacing w:line="248" w:lineRule="auto"/>
        <w:rPr>
          <w:rFonts w:ascii="Arial"/>
          <w:color w:val="auto"/>
          <w:sz w:val="21"/>
          <w:highlight w:val="none"/>
        </w:rPr>
      </w:pPr>
    </w:p>
    <w:p w14:paraId="0FEE0B8D">
      <w:pPr>
        <w:spacing w:line="248" w:lineRule="auto"/>
        <w:rPr>
          <w:rFonts w:ascii="Arial"/>
          <w:color w:val="auto"/>
          <w:sz w:val="21"/>
          <w:highlight w:val="none"/>
        </w:rPr>
      </w:pPr>
    </w:p>
    <w:p w14:paraId="53617185">
      <w:pPr>
        <w:spacing w:before="78" w:line="219" w:lineRule="auto"/>
        <w:ind w:left="2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致</w:t>
      </w:r>
      <w:r>
        <w:rPr>
          <w:rFonts w:ascii="宋体" w:hAnsi="宋体" w:eastAsia="宋体" w:cs="宋体"/>
          <w:color w:val="auto"/>
          <w:spacing w:val="-2"/>
          <w:sz w:val="24"/>
          <w:szCs w:val="24"/>
          <w:highlight w:val="none"/>
        </w:rPr>
        <w:t>：</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1"/>
          <w:sz w:val="24"/>
          <w:szCs w:val="24"/>
          <w:highlight w:val="none"/>
          <w:u w:val="single" w:color="auto"/>
        </w:rPr>
        <w:t>采购人名称</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2"/>
          <w:sz w:val="24"/>
          <w:szCs w:val="24"/>
          <w:highlight w:val="none"/>
        </w:rPr>
        <w:t>：</w:t>
      </w:r>
    </w:p>
    <w:p w14:paraId="1477ECC3">
      <w:pPr>
        <w:spacing w:before="184" w:line="350" w:lineRule="auto"/>
        <w:ind w:left="26" w:right="16"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我</w:t>
      </w:r>
      <w:r>
        <w:rPr>
          <w:rFonts w:ascii="宋体" w:hAnsi="宋体" w:eastAsia="宋体" w:cs="宋体"/>
          <w:color w:val="auto"/>
          <w:sz w:val="24"/>
          <w:szCs w:val="24"/>
          <w:highlight w:val="none"/>
          <w:u w:val="single" w:color="auto"/>
        </w:rPr>
        <w:t xml:space="preserve">  （姓名）  </w:t>
      </w:r>
      <w:r>
        <w:rPr>
          <w:rFonts w:ascii="宋体" w:hAnsi="宋体" w:eastAsia="宋体" w:cs="宋体"/>
          <w:color w:val="auto"/>
          <w:spacing w:val="-106"/>
          <w:sz w:val="24"/>
          <w:szCs w:val="24"/>
          <w:highlight w:val="none"/>
        </w:rPr>
        <w:t xml:space="preserve"> </w:t>
      </w:r>
      <w:r>
        <w:rPr>
          <w:rFonts w:ascii="宋体" w:hAnsi="宋体" w:eastAsia="宋体" w:cs="宋体"/>
          <w:color w:val="auto"/>
          <w:sz w:val="24"/>
          <w:szCs w:val="24"/>
          <w:highlight w:val="none"/>
        </w:rPr>
        <w:t>系</w:t>
      </w:r>
      <w:r>
        <w:rPr>
          <w:rFonts w:ascii="宋体" w:hAnsi="宋体" w:eastAsia="宋体" w:cs="宋体"/>
          <w:color w:val="auto"/>
          <w:sz w:val="24"/>
          <w:szCs w:val="24"/>
          <w:highlight w:val="none"/>
          <w:u w:val="single" w:color="auto"/>
        </w:rPr>
        <w:t xml:space="preserve">  （供应商名称）  </w:t>
      </w:r>
      <w:r>
        <w:rPr>
          <w:rFonts w:ascii="宋体" w:hAnsi="宋体" w:eastAsia="宋体" w:cs="宋体"/>
          <w:color w:val="auto"/>
          <w:spacing w:val="-91"/>
          <w:sz w:val="24"/>
          <w:szCs w:val="24"/>
          <w:highlight w:val="none"/>
        </w:rPr>
        <w:t xml:space="preserve"> </w:t>
      </w:r>
      <w:r>
        <w:rPr>
          <w:rFonts w:ascii="宋体" w:hAnsi="宋体" w:eastAsia="宋体" w:cs="宋体"/>
          <w:color w:val="auto"/>
          <w:sz w:val="24"/>
          <w:szCs w:val="24"/>
          <w:highlight w:val="none"/>
        </w:rPr>
        <w:t>的(</w:t>
      </w:r>
      <w:r>
        <w:rPr>
          <w:rFonts w:ascii="宋体" w:hAnsi="宋体" w:eastAsia="宋体" w:cs="宋体"/>
          <w:color w:val="auto"/>
          <w:spacing w:val="-85"/>
          <w:sz w:val="24"/>
          <w:szCs w:val="24"/>
          <w:highlight w:val="none"/>
        </w:rPr>
        <w:t xml:space="preserve"> </w:t>
      </w:r>
      <w:r>
        <w:rPr>
          <w:rFonts w:ascii="宋体" w:hAnsi="宋体" w:eastAsia="宋体" w:cs="宋体"/>
          <w:color w:val="auto"/>
          <w:spacing w:val="-86"/>
          <w:sz w:val="24"/>
          <w:szCs w:val="24"/>
          <w:highlight w:val="none"/>
          <w:u w:val="single" w:color="auto"/>
        </w:rPr>
        <w:t xml:space="preserve"> </w:t>
      </w:r>
      <w:r>
        <w:rPr>
          <w:rFonts w:ascii="宋体" w:hAnsi="宋体" w:eastAsia="宋体" w:cs="宋体"/>
          <w:color w:val="auto"/>
          <w:sz w:val="24"/>
          <w:szCs w:val="24"/>
          <w:highlight w:val="none"/>
          <w:u w:val="single" w:color="auto"/>
        </w:rPr>
        <w:t>□法定代表人/□负责人</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rPr>
        <w:t xml:space="preserve">现 </w:t>
      </w:r>
      <w:r>
        <w:rPr>
          <w:rFonts w:ascii="宋体" w:hAnsi="宋体" w:eastAsia="宋体" w:cs="宋体"/>
          <w:color w:val="auto"/>
          <w:spacing w:val="-4"/>
          <w:sz w:val="24"/>
          <w:szCs w:val="24"/>
          <w:highlight w:val="none"/>
        </w:rPr>
        <w:t>授权</w:t>
      </w:r>
      <w:r>
        <w:rPr>
          <w:rFonts w:ascii="宋体" w:hAnsi="宋体" w:eastAsia="宋体" w:cs="宋体"/>
          <w:color w:val="auto"/>
          <w:spacing w:val="-22"/>
          <w:sz w:val="24"/>
          <w:szCs w:val="24"/>
          <w:highlight w:val="none"/>
          <w:u w:val="single" w:color="auto"/>
        </w:rPr>
        <w:t xml:space="preserve"> </w:t>
      </w:r>
      <w:r>
        <w:rPr>
          <w:rFonts w:ascii="宋体" w:hAnsi="宋体" w:eastAsia="宋体" w:cs="宋体"/>
          <w:color w:val="auto"/>
          <w:spacing w:val="-4"/>
          <w:sz w:val="24"/>
          <w:szCs w:val="24"/>
          <w:highlight w:val="none"/>
          <w:u w:val="single" w:color="auto"/>
        </w:rPr>
        <w:t>（姓名）</w:t>
      </w:r>
      <w:r>
        <w:rPr>
          <w:rFonts w:ascii="宋体" w:hAnsi="宋体" w:eastAsia="宋体" w:cs="宋体"/>
          <w:color w:val="auto"/>
          <w:spacing w:val="-35"/>
          <w:sz w:val="24"/>
          <w:szCs w:val="24"/>
          <w:highlight w:val="none"/>
          <w:u w:val="single" w:color="auto"/>
        </w:rPr>
        <w:t xml:space="preserve"> </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以我方的名义参加</w:t>
      </w:r>
      <w:r>
        <w:rPr>
          <w:rFonts w:ascii="宋体" w:hAnsi="宋体" w:eastAsia="宋体" w:cs="宋体"/>
          <w:color w:val="auto"/>
          <w:spacing w:val="-120"/>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7"/>
          <w:sz w:val="24"/>
          <w:szCs w:val="24"/>
          <w:highlight w:val="none"/>
        </w:rPr>
        <w:t xml:space="preserve"> </w:t>
      </w:r>
      <w:r>
        <w:rPr>
          <w:rFonts w:ascii="宋体" w:hAnsi="宋体" w:eastAsia="宋体" w:cs="宋体"/>
          <w:color w:val="auto"/>
          <w:spacing w:val="-4"/>
          <w:sz w:val="24"/>
          <w:szCs w:val="24"/>
          <w:highlight w:val="none"/>
        </w:rPr>
        <w:t>项目的竞标活动，并代表我方</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全权办理针对上述项目的所有采购程序和环节的具体</w:t>
      </w:r>
      <w:r>
        <w:rPr>
          <w:rFonts w:ascii="宋体" w:hAnsi="宋体" w:eastAsia="宋体" w:cs="宋体"/>
          <w:color w:val="auto"/>
          <w:spacing w:val="-2"/>
          <w:sz w:val="24"/>
          <w:szCs w:val="24"/>
          <w:highlight w:val="none"/>
        </w:rPr>
        <w:t>事务和签署相关文件。</w:t>
      </w:r>
    </w:p>
    <w:p w14:paraId="13C006F6">
      <w:pPr>
        <w:spacing w:before="33" w:line="220" w:lineRule="auto"/>
        <w:ind w:left="5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我方对委托代理人的签字或者电子签名事项负全部责任。</w:t>
      </w:r>
    </w:p>
    <w:p w14:paraId="61D8AB2C">
      <w:pPr>
        <w:spacing w:before="183" w:line="344" w:lineRule="auto"/>
        <w:ind w:left="33" w:right="16" w:firstLine="47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本授权书自签署之日起生效，在撤销授权的书面通知以前，本授权书一直有</w:t>
      </w:r>
      <w:r>
        <w:rPr>
          <w:rFonts w:ascii="宋体" w:hAnsi="宋体" w:eastAsia="宋体" w:cs="宋体"/>
          <w:color w:val="auto"/>
          <w:spacing w:val="15"/>
          <w:sz w:val="24"/>
          <w:szCs w:val="24"/>
          <w:highlight w:val="none"/>
        </w:rPr>
        <w:t xml:space="preserve"> </w:t>
      </w:r>
      <w:r>
        <w:rPr>
          <w:rFonts w:ascii="宋体" w:hAnsi="宋体" w:eastAsia="宋体" w:cs="宋体"/>
          <w:color w:val="auto"/>
          <w:spacing w:val="-2"/>
          <w:sz w:val="24"/>
          <w:szCs w:val="24"/>
          <w:highlight w:val="none"/>
        </w:rPr>
        <w:t>效。委托代理人在授权书有效期内签署的所有文件不因授权的撤销而失效。</w:t>
      </w:r>
    </w:p>
    <w:p w14:paraId="41036B3B">
      <w:pPr>
        <w:spacing w:before="37" w:line="220" w:lineRule="auto"/>
        <w:ind w:left="5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委托代理人无转委托权，特此委托。</w:t>
      </w:r>
    </w:p>
    <w:p w14:paraId="4B86A987">
      <w:pPr>
        <w:spacing w:before="180" w:line="219" w:lineRule="auto"/>
        <w:ind w:left="52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附：法定代表人身份证明书及委托代理人有效身份证正反面复印件</w:t>
      </w:r>
    </w:p>
    <w:p w14:paraId="28C73924">
      <w:pPr>
        <w:spacing w:line="283" w:lineRule="auto"/>
        <w:rPr>
          <w:rFonts w:ascii="Arial"/>
          <w:color w:val="auto"/>
          <w:sz w:val="21"/>
          <w:highlight w:val="none"/>
        </w:rPr>
      </w:pPr>
    </w:p>
    <w:p w14:paraId="75F2C6EA">
      <w:pPr>
        <w:spacing w:line="284" w:lineRule="auto"/>
        <w:rPr>
          <w:rFonts w:ascii="Arial"/>
          <w:color w:val="auto"/>
          <w:sz w:val="21"/>
          <w:highlight w:val="none"/>
        </w:rPr>
      </w:pPr>
    </w:p>
    <w:p w14:paraId="2E759BB8">
      <w:pPr>
        <w:spacing w:before="79" w:line="219" w:lineRule="auto"/>
        <w:ind w:left="26"/>
        <w:rPr>
          <w:rFonts w:ascii="宋体" w:hAnsi="宋体" w:eastAsia="宋体" w:cs="宋体"/>
          <w:color w:val="auto"/>
          <w:sz w:val="24"/>
          <w:szCs w:val="24"/>
          <w:highlight w:val="none"/>
        </w:rPr>
      </w:pPr>
      <w:r>
        <w:rPr>
          <w:rFonts w:ascii="宋体" w:hAnsi="宋体" w:eastAsia="宋体" w:cs="宋体"/>
          <w:color w:val="auto"/>
          <w:sz w:val="24"/>
          <w:szCs w:val="24"/>
          <w:highlight w:val="none"/>
        </w:rPr>
        <w:t>委托代理人（签字或者电子签名）：</w:t>
      </w:r>
      <w:r>
        <w:rPr>
          <w:rFonts w:ascii="宋体" w:hAnsi="宋体" w:eastAsia="宋体" w:cs="宋体"/>
          <w:color w:val="auto"/>
          <w:spacing w:val="2"/>
          <w:sz w:val="24"/>
          <w:szCs w:val="24"/>
          <w:highlight w:val="none"/>
        </w:rPr>
        <w:t xml:space="preserve">     </w:t>
      </w:r>
      <w:r>
        <w:rPr>
          <w:rFonts w:ascii="宋体" w:hAnsi="宋体" w:eastAsia="宋体" w:cs="宋体"/>
          <w:color w:val="auto"/>
          <w:sz w:val="24"/>
          <w:szCs w:val="24"/>
          <w:highlight w:val="none"/>
        </w:rPr>
        <w:t>法定代表人（签</w:t>
      </w:r>
      <w:r>
        <w:rPr>
          <w:rFonts w:ascii="宋体" w:hAnsi="宋体" w:eastAsia="宋体" w:cs="宋体"/>
          <w:color w:val="auto"/>
          <w:spacing w:val="-1"/>
          <w:sz w:val="24"/>
          <w:szCs w:val="24"/>
          <w:highlight w:val="none"/>
        </w:rPr>
        <w:t>字或者盖章或者电子</w:t>
      </w:r>
    </w:p>
    <w:p w14:paraId="0A8C269B">
      <w:pPr>
        <w:spacing w:before="184" w:line="223" w:lineRule="auto"/>
        <w:ind w:left="27"/>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签名</w:t>
      </w:r>
      <w:r>
        <w:rPr>
          <w:rFonts w:ascii="宋体" w:hAnsi="宋体" w:eastAsia="宋体" w:cs="宋体"/>
          <w:color w:val="auto"/>
          <w:spacing w:val="-8"/>
          <w:sz w:val="24"/>
          <w:szCs w:val="24"/>
          <w:highlight w:val="none"/>
        </w:rPr>
        <w:t>）：</w:t>
      </w:r>
    </w:p>
    <w:p w14:paraId="5205C2F5">
      <w:pPr>
        <w:spacing w:before="175" w:line="220" w:lineRule="auto"/>
        <w:ind w:left="26"/>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委托代理人身份证号码：</w:t>
      </w:r>
    </w:p>
    <w:p w14:paraId="39E4CB58">
      <w:pPr>
        <w:spacing w:line="283" w:lineRule="auto"/>
        <w:rPr>
          <w:rFonts w:ascii="Arial"/>
          <w:color w:val="auto"/>
          <w:sz w:val="21"/>
          <w:highlight w:val="none"/>
        </w:rPr>
      </w:pPr>
    </w:p>
    <w:p w14:paraId="73D71E74">
      <w:pPr>
        <w:spacing w:line="283" w:lineRule="auto"/>
        <w:rPr>
          <w:rFonts w:ascii="Arial"/>
          <w:color w:val="auto"/>
          <w:sz w:val="21"/>
          <w:highlight w:val="none"/>
        </w:rPr>
      </w:pPr>
    </w:p>
    <w:p w14:paraId="4FA778B3">
      <w:pPr>
        <w:spacing w:before="78" w:line="219" w:lineRule="auto"/>
        <w:ind w:left="302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2A81A09F">
      <w:pPr>
        <w:spacing w:before="183" w:line="220" w:lineRule="auto"/>
        <w:ind w:left="4949"/>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日</w:t>
      </w:r>
    </w:p>
    <w:p w14:paraId="23AAE886">
      <w:pPr>
        <w:spacing w:line="284" w:lineRule="auto"/>
        <w:rPr>
          <w:rFonts w:ascii="Arial"/>
          <w:color w:val="auto"/>
          <w:sz w:val="21"/>
          <w:highlight w:val="none"/>
        </w:rPr>
      </w:pPr>
    </w:p>
    <w:p w14:paraId="35511967">
      <w:pPr>
        <w:spacing w:line="284" w:lineRule="auto"/>
        <w:rPr>
          <w:rFonts w:ascii="Arial"/>
          <w:color w:val="auto"/>
          <w:sz w:val="21"/>
          <w:highlight w:val="none"/>
        </w:rPr>
      </w:pPr>
    </w:p>
    <w:p w14:paraId="13A37725">
      <w:pPr>
        <w:spacing w:before="78" w:line="346" w:lineRule="auto"/>
        <w:ind w:left="30" w:right="35" w:hanging="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注：法定代表人必须在授权委托书上签字或者盖章或者电子签名，委托代理人必</w:t>
      </w:r>
      <w:r>
        <w:rPr>
          <w:rFonts w:ascii="宋体" w:hAnsi="宋体" w:eastAsia="宋体" w:cs="宋体"/>
          <w:color w:val="auto"/>
          <w:spacing w:val="5"/>
          <w:sz w:val="24"/>
          <w:szCs w:val="24"/>
          <w:highlight w:val="none"/>
        </w:rPr>
        <w:t xml:space="preserve"> </w:t>
      </w:r>
      <w:r>
        <w:rPr>
          <w:rFonts w:ascii="宋体" w:hAnsi="宋体" w:eastAsia="宋体" w:cs="宋体"/>
          <w:color w:val="auto"/>
          <w:spacing w:val="-2"/>
          <w:sz w:val="24"/>
          <w:szCs w:val="24"/>
          <w:highlight w:val="none"/>
        </w:rPr>
        <w:t>须在授权委托书上签字或者电子签名，</w:t>
      </w:r>
      <w:r>
        <w:rPr>
          <w:rFonts w:ascii="宋体" w:hAnsi="宋体" w:eastAsia="宋体" w:cs="宋体"/>
          <w:b/>
          <w:bCs/>
          <w:color w:val="auto"/>
          <w:spacing w:val="-2"/>
          <w:sz w:val="24"/>
          <w:szCs w:val="24"/>
          <w:highlight w:val="none"/>
        </w:rPr>
        <w:t>否则其响应文件按无效处理。</w:t>
      </w:r>
    </w:p>
    <w:p w14:paraId="73598BB7">
      <w:pPr>
        <w:spacing w:line="346" w:lineRule="auto"/>
        <w:rPr>
          <w:rFonts w:ascii="宋体" w:hAnsi="宋体" w:eastAsia="宋体" w:cs="宋体"/>
          <w:color w:val="auto"/>
          <w:sz w:val="24"/>
          <w:szCs w:val="24"/>
          <w:highlight w:val="none"/>
        </w:rPr>
        <w:sectPr>
          <w:footerReference r:id="rId54" w:type="default"/>
          <w:pgSz w:w="11900" w:h="16832"/>
          <w:pgMar w:top="1430" w:right="1784" w:bottom="808" w:left="1784" w:header="0" w:footer="647" w:gutter="0"/>
          <w:pgNumType w:fmt="decimal"/>
          <w:cols w:space="720" w:num="1"/>
        </w:sectPr>
      </w:pPr>
    </w:p>
    <w:p w14:paraId="158FCE4D">
      <w:pPr>
        <w:spacing w:before="136" w:line="224" w:lineRule="auto"/>
        <w:ind w:left="1611"/>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建筑材料和设备节能环保要求承诺书</w:t>
      </w:r>
    </w:p>
    <w:p w14:paraId="3C374C85">
      <w:pPr>
        <w:spacing w:line="362" w:lineRule="auto"/>
        <w:rPr>
          <w:rFonts w:ascii="Arial"/>
          <w:color w:val="auto"/>
          <w:sz w:val="21"/>
          <w:highlight w:val="none"/>
        </w:rPr>
      </w:pPr>
    </w:p>
    <w:p w14:paraId="688EDB10">
      <w:pPr>
        <w:spacing w:before="78" w:line="356" w:lineRule="auto"/>
        <w:ind w:left="26"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我方承诺，一旦成交，我方保证严格执行《</w:t>
      </w:r>
      <w:r>
        <w:rPr>
          <w:rFonts w:ascii="宋体" w:hAnsi="宋体" w:eastAsia="宋体" w:cs="宋体"/>
          <w:color w:val="auto"/>
          <w:spacing w:val="-2"/>
          <w:sz w:val="24"/>
          <w:szCs w:val="24"/>
          <w:highlight w:val="none"/>
        </w:rPr>
        <w:t>财政部</w:t>
      </w:r>
      <w:r>
        <w:rPr>
          <w:rFonts w:ascii="宋体" w:hAnsi="宋体" w:eastAsia="宋体" w:cs="宋体"/>
          <w:color w:val="auto"/>
          <w:spacing w:val="33"/>
          <w:sz w:val="24"/>
          <w:szCs w:val="24"/>
          <w:highlight w:val="none"/>
        </w:rPr>
        <w:t xml:space="preserve"> </w:t>
      </w:r>
      <w:r>
        <w:rPr>
          <w:rFonts w:ascii="宋体" w:hAnsi="宋体" w:eastAsia="宋体" w:cs="宋体"/>
          <w:color w:val="auto"/>
          <w:spacing w:val="-2"/>
          <w:sz w:val="24"/>
          <w:szCs w:val="24"/>
          <w:highlight w:val="none"/>
        </w:rPr>
        <w:t>国家发展改革委关于印</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发《节能产品政府采购实施意见》的通知》（财库〔2004〕185</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号）、</w:t>
      </w:r>
      <w:r>
        <w:rPr>
          <w:rFonts w:ascii="宋体" w:hAnsi="宋体" w:eastAsia="宋体" w:cs="宋体"/>
          <w:color w:val="auto"/>
          <w:spacing w:val="-3"/>
          <w:sz w:val="24"/>
          <w:szCs w:val="24"/>
          <w:highlight w:val="none"/>
        </w:rPr>
        <w:t>《财政部</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发展改革委 生态环境部 市场监管总局关于调整优化节能产品、</w:t>
      </w:r>
      <w:r>
        <w:rPr>
          <w:rFonts w:ascii="宋体" w:hAnsi="宋体" w:eastAsia="宋体" w:cs="宋体"/>
          <w:color w:val="auto"/>
          <w:spacing w:val="-4"/>
          <w:sz w:val="24"/>
          <w:szCs w:val="24"/>
          <w:highlight w:val="none"/>
        </w:rPr>
        <w:t>环境标志产品政</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府采购执行机制的通知》（财库〔2019〕9</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号）和《关于印发</w:t>
      </w:r>
      <w:r>
        <w:rPr>
          <w:rFonts w:ascii="宋体" w:hAnsi="宋体" w:eastAsia="宋体" w:cs="宋体"/>
          <w:color w:val="auto"/>
          <w:spacing w:val="-3"/>
          <w:sz w:val="24"/>
          <w:szCs w:val="24"/>
          <w:highlight w:val="none"/>
        </w:rPr>
        <w:t>节能产品政府采购</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品目清单的通知》（财库〔2019〕19</w:t>
      </w:r>
      <w:r>
        <w:rPr>
          <w:rFonts w:ascii="宋体" w:hAnsi="宋体" w:eastAsia="宋体" w:cs="宋体"/>
          <w:color w:val="auto"/>
          <w:spacing w:val="-32"/>
          <w:sz w:val="24"/>
          <w:szCs w:val="24"/>
          <w:highlight w:val="none"/>
        </w:rPr>
        <w:t xml:space="preserve"> </w:t>
      </w:r>
      <w:r>
        <w:rPr>
          <w:rFonts w:ascii="宋体" w:hAnsi="宋体" w:eastAsia="宋体" w:cs="宋体"/>
          <w:color w:val="auto"/>
          <w:spacing w:val="-1"/>
          <w:sz w:val="24"/>
          <w:szCs w:val="24"/>
          <w:highlight w:val="none"/>
        </w:rPr>
        <w:t>号）的规定，所有工程中涉及的建筑材料</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和设备如属于财库〔2019〕19</w:t>
      </w:r>
      <w:r>
        <w:rPr>
          <w:rFonts w:ascii="宋体" w:hAnsi="宋体" w:eastAsia="宋体" w:cs="宋体"/>
          <w:color w:val="auto"/>
          <w:spacing w:val="-42"/>
          <w:sz w:val="24"/>
          <w:szCs w:val="24"/>
          <w:highlight w:val="none"/>
        </w:rPr>
        <w:t xml:space="preserve"> </w:t>
      </w:r>
      <w:r>
        <w:rPr>
          <w:rFonts w:ascii="宋体" w:hAnsi="宋体" w:eastAsia="宋体" w:cs="宋体"/>
          <w:color w:val="auto"/>
          <w:spacing w:val="-5"/>
          <w:sz w:val="24"/>
          <w:szCs w:val="24"/>
          <w:highlight w:val="none"/>
        </w:rPr>
        <w:t>号文中《节能产品政府采购品目清单》内标注“★”</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的产品，都使用政府强制采购的节能产品。如我方在该项</w:t>
      </w:r>
      <w:r>
        <w:rPr>
          <w:rFonts w:ascii="宋体" w:hAnsi="宋体" w:eastAsia="宋体" w:cs="宋体"/>
          <w:color w:val="auto"/>
          <w:spacing w:val="-4"/>
          <w:sz w:val="24"/>
          <w:szCs w:val="24"/>
          <w:highlight w:val="none"/>
        </w:rPr>
        <w:t>目的承包中出现未按规</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定执行的情形，我方愿意按照相关规定接受采购</w:t>
      </w:r>
      <w:r>
        <w:rPr>
          <w:rFonts w:ascii="宋体" w:hAnsi="宋体" w:eastAsia="宋体" w:cs="宋体"/>
          <w:color w:val="auto"/>
          <w:sz w:val="24"/>
          <w:szCs w:val="24"/>
          <w:highlight w:val="none"/>
        </w:rPr>
        <w:t xml:space="preserve">人及有关行政主管部门的处罚，  </w:t>
      </w:r>
      <w:r>
        <w:rPr>
          <w:rFonts w:ascii="宋体" w:hAnsi="宋体" w:eastAsia="宋体" w:cs="宋体"/>
          <w:color w:val="auto"/>
          <w:spacing w:val="-1"/>
          <w:sz w:val="24"/>
          <w:szCs w:val="24"/>
          <w:highlight w:val="none"/>
        </w:rPr>
        <w:t>愿意承担一切后果，并不再寻求任何旨在减轻或</w:t>
      </w:r>
      <w:r>
        <w:rPr>
          <w:rFonts w:ascii="宋体" w:hAnsi="宋体" w:eastAsia="宋体" w:cs="宋体"/>
          <w:color w:val="auto"/>
          <w:spacing w:val="-2"/>
          <w:sz w:val="24"/>
          <w:szCs w:val="24"/>
          <w:highlight w:val="none"/>
        </w:rPr>
        <w:t>者免除法律责任的辩解。</w:t>
      </w:r>
    </w:p>
    <w:p w14:paraId="01DFDB81">
      <w:pPr>
        <w:spacing w:line="294" w:lineRule="auto"/>
        <w:rPr>
          <w:rFonts w:ascii="Arial"/>
          <w:color w:val="auto"/>
          <w:sz w:val="21"/>
          <w:highlight w:val="none"/>
        </w:rPr>
      </w:pPr>
    </w:p>
    <w:p w14:paraId="68DA4C3E">
      <w:pPr>
        <w:spacing w:line="294" w:lineRule="auto"/>
        <w:rPr>
          <w:rFonts w:ascii="Arial"/>
          <w:color w:val="auto"/>
          <w:sz w:val="21"/>
          <w:highlight w:val="none"/>
        </w:rPr>
      </w:pPr>
    </w:p>
    <w:p w14:paraId="4C2CF0E1">
      <w:pPr>
        <w:spacing w:line="295" w:lineRule="auto"/>
        <w:rPr>
          <w:rFonts w:ascii="Arial"/>
          <w:color w:val="auto"/>
          <w:sz w:val="21"/>
          <w:highlight w:val="none"/>
        </w:rPr>
      </w:pPr>
    </w:p>
    <w:p w14:paraId="54401D14">
      <w:pPr>
        <w:spacing w:before="78" w:line="219" w:lineRule="auto"/>
        <w:ind w:left="362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35085466">
      <w:pPr>
        <w:spacing w:before="183" w:line="220" w:lineRule="auto"/>
        <w:ind w:left="5556"/>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9"/>
          <w:sz w:val="24"/>
          <w:szCs w:val="24"/>
          <w:highlight w:val="none"/>
        </w:rPr>
        <w:t>日</w:t>
      </w:r>
    </w:p>
    <w:p w14:paraId="7E431DEF">
      <w:pPr>
        <w:spacing w:line="220" w:lineRule="auto"/>
        <w:rPr>
          <w:rFonts w:ascii="宋体" w:hAnsi="宋体" w:eastAsia="宋体" w:cs="宋体"/>
          <w:color w:val="auto"/>
          <w:sz w:val="24"/>
          <w:szCs w:val="24"/>
          <w:highlight w:val="none"/>
        </w:rPr>
        <w:sectPr>
          <w:footerReference r:id="rId55" w:type="default"/>
          <w:pgSz w:w="11900" w:h="16832"/>
          <w:pgMar w:top="1430" w:right="1563" w:bottom="808" w:left="1784" w:header="0" w:footer="647" w:gutter="0"/>
          <w:pgNumType w:fmt="decimal"/>
          <w:cols w:space="720" w:num="1"/>
        </w:sectPr>
      </w:pPr>
    </w:p>
    <w:p w14:paraId="54816A4A">
      <w:pPr>
        <w:spacing w:before="64" w:line="226" w:lineRule="auto"/>
        <w:ind w:left="3212"/>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施工组织设计</w:t>
      </w:r>
    </w:p>
    <w:p w14:paraId="2FBCDC4D">
      <w:pPr>
        <w:spacing w:before="222" w:line="354" w:lineRule="auto"/>
        <w:ind w:left="25" w:right="17" w:firstLine="43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 供应商编制施工组织设计时，应采用文字并结合图表形式说明工程的施工组织、</w:t>
      </w:r>
      <w:r>
        <w:rPr>
          <w:rFonts w:ascii="宋体" w:hAnsi="宋体" w:eastAsia="宋体" w:cs="宋体"/>
          <w:color w:val="auto"/>
          <w:spacing w:val="3"/>
          <w:sz w:val="21"/>
          <w:szCs w:val="21"/>
          <w:highlight w:val="none"/>
        </w:rPr>
        <w:t xml:space="preserve"> </w:t>
      </w:r>
      <w:r>
        <w:rPr>
          <w:rFonts w:ascii="宋体" w:hAnsi="宋体" w:eastAsia="宋体" w:cs="宋体"/>
          <w:color w:val="auto"/>
          <w:spacing w:val="2"/>
          <w:sz w:val="21"/>
          <w:szCs w:val="21"/>
          <w:highlight w:val="none"/>
        </w:rPr>
        <w:t>施工方法、技术组织措施，同时应对关键工序、复杂环节重点提出相应技术措施，如冬雨</w:t>
      </w:r>
      <w:r>
        <w:rPr>
          <w:rFonts w:ascii="宋体" w:hAnsi="宋体" w:eastAsia="宋体" w:cs="宋体"/>
          <w:color w:val="auto"/>
          <w:spacing w:val="13"/>
          <w:sz w:val="21"/>
          <w:szCs w:val="21"/>
          <w:highlight w:val="none"/>
        </w:rPr>
        <w:t xml:space="preserve"> </w:t>
      </w:r>
      <w:r>
        <w:rPr>
          <w:rFonts w:ascii="宋体" w:hAnsi="宋体" w:eastAsia="宋体" w:cs="宋体"/>
          <w:color w:val="auto"/>
          <w:spacing w:val="8"/>
          <w:sz w:val="21"/>
          <w:szCs w:val="21"/>
          <w:highlight w:val="none"/>
        </w:rPr>
        <w:t>季施工技术、减少噪音、降低环境污染、地下管线及其它地上地下设施的保护加固措施</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rPr>
        <w:t>等。 施工组织设计还应结合工程特点提出切实可行的工程质量、工程进度、安全生产、</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防汛度 汛、文明施工、水土保持、环境保护管理方案。</w:t>
      </w:r>
    </w:p>
    <w:p w14:paraId="28ADC80D">
      <w:pPr>
        <w:spacing w:before="29" w:line="220" w:lineRule="auto"/>
        <w:ind w:left="464"/>
        <w:rPr>
          <w:rFonts w:ascii="宋体" w:hAnsi="宋体" w:eastAsia="宋体" w:cs="宋体"/>
          <w:color w:val="auto"/>
          <w:sz w:val="21"/>
          <w:szCs w:val="21"/>
          <w:highlight w:val="none"/>
        </w:rPr>
      </w:pPr>
      <w:r>
        <w:rPr>
          <w:rFonts w:ascii="宋体" w:hAnsi="宋体" w:eastAsia="宋体" w:cs="宋体"/>
          <w:color w:val="auto"/>
          <w:sz w:val="21"/>
          <w:szCs w:val="21"/>
          <w:highlight w:val="none"/>
        </w:rPr>
        <w:t>施工组织设计应附的文字说明如下(不限于，仅</w:t>
      </w:r>
      <w:r>
        <w:rPr>
          <w:rFonts w:ascii="宋体" w:hAnsi="宋体" w:eastAsia="宋体" w:cs="宋体"/>
          <w:color w:val="auto"/>
          <w:spacing w:val="-1"/>
          <w:sz w:val="21"/>
          <w:szCs w:val="21"/>
          <w:highlight w:val="none"/>
        </w:rPr>
        <w:t>供参考)：</w:t>
      </w:r>
    </w:p>
    <w:p w14:paraId="5D90CAB0">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（1）施工方案与技术措施；</w:t>
      </w:r>
    </w:p>
    <w:p w14:paraId="55B79100">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（2）质量管理体系与措施；</w:t>
      </w:r>
    </w:p>
    <w:p w14:paraId="2E662A0B">
      <w:pPr>
        <w:spacing w:before="156"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（3）安全管理体系与措施；</w:t>
      </w:r>
    </w:p>
    <w:p w14:paraId="42CF9962">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（4）环境保护管理体系与措施；</w:t>
      </w:r>
    </w:p>
    <w:p w14:paraId="4773996B">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（5）工程进度计划与措施；</w:t>
      </w:r>
    </w:p>
    <w:p w14:paraId="317A9584">
      <w:pPr>
        <w:spacing w:before="156" w:line="222"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（6）资源配备计划；</w:t>
      </w:r>
    </w:p>
    <w:p w14:paraId="56C770C4">
      <w:pPr>
        <w:spacing w:line="241" w:lineRule="auto"/>
        <w:rPr>
          <w:rFonts w:ascii="Arial"/>
          <w:color w:val="auto"/>
          <w:sz w:val="21"/>
          <w:highlight w:val="none"/>
        </w:rPr>
      </w:pPr>
    </w:p>
    <w:p w14:paraId="7CBF2302">
      <w:pPr>
        <w:spacing w:before="69" w:line="86" w:lineRule="exact"/>
        <w:ind w:left="451"/>
        <w:rPr>
          <w:rFonts w:ascii="宋体" w:hAnsi="宋体" w:eastAsia="宋体" w:cs="宋体"/>
          <w:color w:val="auto"/>
          <w:sz w:val="21"/>
          <w:szCs w:val="21"/>
          <w:highlight w:val="none"/>
        </w:rPr>
      </w:pPr>
      <w:r>
        <w:rPr>
          <w:rFonts w:ascii="宋体" w:hAnsi="宋体" w:eastAsia="宋体" w:cs="宋体"/>
          <w:color w:val="auto"/>
          <w:spacing w:val="-2"/>
          <w:position w:val="1"/>
          <w:sz w:val="21"/>
          <w:szCs w:val="21"/>
          <w:highlight w:val="none"/>
        </w:rPr>
        <w:t>......</w:t>
      </w:r>
    </w:p>
    <w:p w14:paraId="0D6296F7">
      <w:pPr>
        <w:spacing w:before="166" w:line="220" w:lineRule="auto"/>
        <w:ind w:left="448"/>
        <w:rPr>
          <w:rFonts w:ascii="宋体" w:hAnsi="宋体" w:eastAsia="宋体" w:cs="宋体"/>
          <w:color w:val="auto"/>
          <w:sz w:val="21"/>
          <w:szCs w:val="21"/>
          <w:highlight w:val="none"/>
        </w:rPr>
      </w:pPr>
      <w:r>
        <w:rPr>
          <w:rFonts w:ascii="宋体" w:hAnsi="宋体" w:eastAsia="宋体" w:cs="宋体"/>
          <w:color w:val="auto"/>
          <w:sz w:val="21"/>
          <w:szCs w:val="21"/>
          <w:highlight w:val="none"/>
        </w:rPr>
        <w:t>2. 施工组织设计除采用文字表述外宜附下列图表，图表及</w:t>
      </w:r>
      <w:r>
        <w:rPr>
          <w:rFonts w:ascii="宋体" w:hAnsi="宋体" w:eastAsia="宋体" w:cs="宋体"/>
          <w:color w:val="auto"/>
          <w:spacing w:val="-1"/>
          <w:sz w:val="21"/>
          <w:szCs w:val="21"/>
          <w:highlight w:val="none"/>
        </w:rPr>
        <w:t>格式要求附后。</w:t>
      </w:r>
    </w:p>
    <w:p w14:paraId="67F0CC80">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（7）拟投入本合同工程的主要施工设备表</w:t>
      </w:r>
    </w:p>
    <w:p w14:paraId="7F2BFFAE">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（8）拟投入本合同工程的试验和检测仪器设备表</w:t>
      </w:r>
    </w:p>
    <w:p w14:paraId="3659C7F6">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（9）拟投入本合同工程的劳动力计划表</w:t>
      </w:r>
    </w:p>
    <w:p w14:paraId="31684535">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（10）拟投入本合同工程的材料进场计划表</w:t>
      </w:r>
    </w:p>
    <w:p w14:paraId="585C958D">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（11）计划开工日期、完工日期和施工进度网络图(或横递图)</w:t>
      </w:r>
    </w:p>
    <w:p w14:paraId="107B22D1">
      <w:pPr>
        <w:spacing w:before="157" w:line="222"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（12）平面图</w:t>
      </w:r>
    </w:p>
    <w:p w14:paraId="5DDCCA9A">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（13）临时用地表</w:t>
      </w:r>
    </w:p>
    <w:p w14:paraId="587FC02E">
      <w:pPr>
        <w:spacing w:before="156" w:line="290" w:lineRule="auto"/>
        <w:ind w:left="42" w:right="13" w:firstLine="40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 本节对施工组织设计的编制要求仅供供应商参考，不作为评审时响应无效的直接</w:t>
      </w:r>
      <w:r>
        <w:rPr>
          <w:rFonts w:ascii="宋体" w:hAnsi="宋体" w:eastAsia="宋体" w:cs="宋体"/>
          <w:color w:val="auto"/>
          <w:spacing w:val="9"/>
          <w:sz w:val="21"/>
          <w:szCs w:val="21"/>
          <w:highlight w:val="none"/>
        </w:rPr>
        <w:t xml:space="preserve"> </w:t>
      </w:r>
      <w:r>
        <w:rPr>
          <w:rFonts w:ascii="宋体" w:hAnsi="宋体" w:eastAsia="宋体" w:cs="宋体"/>
          <w:color w:val="auto"/>
          <w:spacing w:val="-8"/>
          <w:sz w:val="21"/>
          <w:szCs w:val="21"/>
          <w:highlight w:val="none"/>
        </w:rPr>
        <w:t>因素。</w:t>
      </w:r>
    </w:p>
    <w:p w14:paraId="48E33912">
      <w:pPr>
        <w:spacing w:line="290" w:lineRule="auto"/>
        <w:rPr>
          <w:rFonts w:ascii="宋体" w:hAnsi="宋体" w:eastAsia="宋体" w:cs="宋体"/>
          <w:color w:val="auto"/>
          <w:sz w:val="21"/>
          <w:szCs w:val="21"/>
          <w:highlight w:val="none"/>
        </w:rPr>
        <w:sectPr>
          <w:footerReference r:id="rId56" w:type="default"/>
          <w:pgSz w:w="11900" w:h="16832"/>
          <w:pgMar w:top="1423" w:right="1784" w:bottom="808" w:left="1784" w:header="0" w:footer="647" w:gutter="0"/>
          <w:pgNumType w:fmt="decimal"/>
          <w:cols w:space="720" w:num="1"/>
        </w:sectPr>
      </w:pPr>
    </w:p>
    <w:p w14:paraId="6863D202">
      <w:pPr>
        <w:spacing w:before="287" w:line="219" w:lineRule="auto"/>
        <w:ind w:left="68"/>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附件一：拟投入本合同的主要施工设备表</w:t>
      </w:r>
    </w:p>
    <w:p w14:paraId="24E8D2D3">
      <w:pPr>
        <w:spacing w:line="392" w:lineRule="auto"/>
        <w:rPr>
          <w:rFonts w:ascii="Arial"/>
          <w:color w:val="auto"/>
          <w:sz w:val="21"/>
          <w:highlight w:val="none"/>
        </w:rPr>
      </w:pPr>
    </w:p>
    <w:p w14:paraId="61AC617F">
      <w:pPr>
        <w:spacing w:before="91" w:line="219" w:lineRule="auto"/>
        <w:ind w:left="2226"/>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拟投入本合同的主要施工设备表</w:t>
      </w:r>
    </w:p>
    <w:p w14:paraId="6F41504A">
      <w:pPr>
        <w:spacing w:before="22"/>
        <w:rPr>
          <w:color w:val="auto"/>
          <w:highlight w:val="none"/>
        </w:rPr>
      </w:pPr>
    </w:p>
    <w:tbl>
      <w:tblPr>
        <w:tblStyle w:val="16"/>
        <w:tblW w:w="83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
        <w:gridCol w:w="1134"/>
        <w:gridCol w:w="862"/>
        <w:gridCol w:w="867"/>
        <w:gridCol w:w="869"/>
        <w:gridCol w:w="862"/>
        <w:gridCol w:w="862"/>
        <w:gridCol w:w="862"/>
        <w:gridCol w:w="862"/>
        <w:gridCol w:w="882"/>
      </w:tblGrid>
      <w:tr w14:paraId="140FB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298" w:type="dxa"/>
            <w:vAlign w:val="top"/>
          </w:tcPr>
          <w:p w14:paraId="1235F990">
            <w:pPr>
              <w:spacing w:line="264" w:lineRule="auto"/>
              <w:rPr>
                <w:rFonts w:ascii="Arial"/>
                <w:color w:val="auto"/>
                <w:sz w:val="21"/>
                <w:highlight w:val="none"/>
              </w:rPr>
            </w:pPr>
          </w:p>
          <w:p w14:paraId="2849899B">
            <w:pPr>
              <w:pStyle w:val="17"/>
              <w:spacing w:before="68" w:line="227" w:lineRule="auto"/>
              <w:ind w:left="55" w:right="38" w:hanging="5"/>
              <w:rPr>
                <w:color w:val="auto"/>
                <w:highlight w:val="none"/>
              </w:rPr>
            </w:pPr>
            <w:r>
              <w:rPr>
                <w:color w:val="auto"/>
                <w:spacing w:val="-7"/>
                <w:highlight w:val="none"/>
              </w:rPr>
              <w:t>序</w:t>
            </w:r>
            <w:r>
              <w:rPr>
                <w:color w:val="auto"/>
                <w:highlight w:val="none"/>
              </w:rPr>
              <w:t xml:space="preserve"> </w:t>
            </w:r>
            <w:r>
              <w:rPr>
                <w:color w:val="auto"/>
                <w:spacing w:val="-13"/>
                <w:highlight w:val="none"/>
              </w:rPr>
              <w:t>号</w:t>
            </w:r>
          </w:p>
        </w:tc>
        <w:tc>
          <w:tcPr>
            <w:tcW w:w="1134" w:type="dxa"/>
            <w:vAlign w:val="top"/>
          </w:tcPr>
          <w:p w14:paraId="54D1C72C">
            <w:pPr>
              <w:spacing w:line="265" w:lineRule="auto"/>
              <w:rPr>
                <w:rFonts w:ascii="Arial"/>
                <w:color w:val="auto"/>
                <w:sz w:val="21"/>
                <w:highlight w:val="none"/>
              </w:rPr>
            </w:pPr>
          </w:p>
          <w:p w14:paraId="74F21D9C">
            <w:pPr>
              <w:pStyle w:val="17"/>
              <w:spacing w:before="69" w:line="230" w:lineRule="auto"/>
              <w:ind w:left="400" w:right="54" w:hanging="161"/>
              <w:rPr>
                <w:color w:val="auto"/>
                <w:highlight w:val="none"/>
              </w:rPr>
            </w:pPr>
            <w:r>
              <w:rPr>
                <w:color w:val="auto"/>
                <w:spacing w:val="-2"/>
                <w:highlight w:val="none"/>
              </w:rPr>
              <w:t>施工机械</w:t>
            </w:r>
            <w:r>
              <w:rPr>
                <w:color w:val="auto"/>
                <w:spacing w:val="2"/>
                <w:highlight w:val="none"/>
              </w:rPr>
              <w:t xml:space="preserve"> </w:t>
            </w:r>
            <w:r>
              <w:rPr>
                <w:color w:val="auto"/>
                <w:spacing w:val="-5"/>
                <w:highlight w:val="none"/>
              </w:rPr>
              <w:t>名</w:t>
            </w:r>
            <w:r>
              <w:rPr>
                <w:color w:val="auto"/>
                <w:spacing w:val="7"/>
                <w:highlight w:val="none"/>
              </w:rPr>
              <w:t xml:space="preserve"> </w:t>
            </w:r>
            <w:r>
              <w:rPr>
                <w:color w:val="auto"/>
                <w:spacing w:val="-5"/>
                <w:highlight w:val="none"/>
              </w:rPr>
              <w:t>称</w:t>
            </w:r>
          </w:p>
        </w:tc>
        <w:tc>
          <w:tcPr>
            <w:tcW w:w="862" w:type="dxa"/>
            <w:vAlign w:val="top"/>
          </w:tcPr>
          <w:p w14:paraId="1C5563BC">
            <w:pPr>
              <w:pStyle w:val="17"/>
              <w:spacing w:before="297" w:line="278" w:lineRule="auto"/>
              <w:ind w:left="226" w:right="217"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867" w:type="dxa"/>
            <w:vAlign w:val="top"/>
          </w:tcPr>
          <w:p w14:paraId="4E614385">
            <w:pPr>
              <w:spacing w:line="392" w:lineRule="auto"/>
              <w:rPr>
                <w:rFonts w:ascii="Arial"/>
                <w:color w:val="auto"/>
                <w:sz w:val="21"/>
                <w:highlight w:val="none"/>
              </w:rPr>
            </w:pPr>
          </w:p>
          <w:p w14:paraId="3BCEC21C">
            <w:pPr>
              <w:pStyle w:val="17"/>
              <w:spacing w:before="69" w:line="221" w:lineRule="auto"/>
              <w:ind w:left="231"/>
              <w:rPr>
                <w:color w:val="auto"/>
                <w:highlight w:val="none"/>
              </w:rPr>
            </w:pPr>
            <w:r>
              <w:rPr>
                <w:color w:val="auto"/>
                <w:spacing w:val="-2"/>
                <w:highlight w:val="none"/>
              </w:rPr>
              <w:t>数量</w:t>
            </w:r>
          </w:p>
        </w:tc>
        <w:tc>
          <w:tcPr>
            <w:tcW w:w="869" w:type="dxa"/>
            <w:vAlign w:val="top"/>
          </w:tcPr>
          <w:p w14:paraId="1032E252">
            <w:pPr>
              <w:spacing w:line="265" w:lineRule="auto"/>
              <w:rPr>
                <w:rFonts w:ascii="Arial"/>
                <w:color w:val="auto"/>
                <w:sz w:val="21"/>
                <w:highlight w:val="none"/>
              </w:rPr>
            </w:pPr>
          </w:p>
          <w:p w14:paraId="29A4097E">
            <w:pPr>
              <w:pStyle w:val="17"/>
              <w:spacing w:before="68" w:line="227" w:lineRule="auto"/>
              <w:ind w:left="334" w:right="62" w:hanging="260"/>
              <w:rPr>
                <w:color w:val="auto"/>
                <w:highlight w:val="none"/>
              </w:rPr>
            </w:pPr>
            <w:r>
              <w:rPr>
                <w:color w:val="auto"/>
                <w:spacing w:val="-5"/>
                <w:highlight w:val="none"/>
              </w:rPr>
              <w:t>制造</w:t>
            </w:r>
            <w:r>
              <w:rPr>
                <w:color w:val="auto"/>
                <w:spacing w:val="7"/>
                <w:highlight w:val="none"/>
              </w:rPr>
              <w:t xml:space="preserve"> </w:t>
            </w:r>
            <w:r>
              <w:rPr>
                <w:color w:val="auto"/>
                <w:spacing w:val="-5"/>
                <w:highlight w:val="none"/>
              </w:rPr>
              <w:t>年</w:t>
            </w:r>
            <w:r>
              <w:rPr>
                <w:color w:val="auto"/>
                <w:highlight w:val="none"/>
              </w:rPr>
              <w:t xml:space="preserve"> 份</w:t>
            </w:r>
          </w:p>
        </w:tc>
        <w:tc>
          <w:tcPr>
            <w:tcW w:w="862" w:type="dxa"/>
            <w:vAlign w:val="top"/>
          </w:tcPr>
          <w:p w14:paraId="4D6EC04E">
            <w:pPr>
              <w:pStyle w:val="17"/>
              <w:spacing w:before="202" w:line="229" w:lineRule="auto"/>
              <w:ind w:left="17" w:right="7" w:hanging="4"/>
              <w:jc w:val="both"/>
              <w:rPr>
                <w:color w:val="auto"/>
                <w:highlight w:val="none"/>
              </w:rPr>
            </w:pPr>
            <w:r>
              <w:rPr>
                <w:color w:val="auto"/>
                <w:spacing w:val="-2"/>
                <w:highlight w:val="none"/>
              </w:rPr>
              <w:t>额定功率</w:t>
            </w:r>
            <w:r>
              <w:rPr>
                <w:color w:val="auto"/>
                <w:spacing w:val="1"/>
                <w:highlight w:val="none"/>
              </w:rPr>
              <w:t xml:space="preserve"> </w:t>
            </w:r>
            <w:r>
              <w:rPr>
                <w:color w:val="auto"/>
                <w:spacing w:val="-2"/>
                <w:highlight w:val="none"/>
              </w:rPr>
              <w:t>（KW）或</w:t>
            </w:r>
            <w:r>
              <w:rPr>
                <w:color w:val="auto"/>
                <w:highlight w:val="none"/>
              </w:rPr>
              <w:t xml:space="preserve"> </w:t>
            </w:r>
            <w:r>
              <w:rPr>
                <w:color w:val="auto"/>
                <w:spacing w:val="-2"/>
                <w:highlight w:val="none"/>
              </w:rPr>
              <w:t>生产能力</w:t>
            </w:r>
          </w:p>
        </w:tc>
        <w:tc>
          <w:tcPr>
            <w:tcW w:w="862" w:type="dxa"/>
            <w:vAlign w:val="top"/>
          </w:tcPr>
          <w:p w14:paraId="5E47CD9F">
            <w:pPr>
              <w:spacing w:line="393" w:lineRule="auto"/>
              <w:rPr>
                <w:rFonts w:ascii="Arial"/>
                <w:color w:val="auto"/>
                <w:sz w:val="21"/>
                <w:highlight w:val="none"/>
              </w:rPr>
            </w:pPr>
          </w:p>
          <w:p w14:paraId="6265AAAC">
            <w:pPr>
              <w:pStyle w:val="17"/>
              <w:spacing w:before="68" w:line="221" w:lineRule="auto"/>
              <w:ind w:left="19"/>
              <w:rPr>
                <w:color w:val="auto"/>
                <w:highlight w:val="none"/>
              </w:rPr>
            </w:pPr>
            <w:r>
              <w:rPr>
                <w:color w:val="auto"/>
                <w:spacing w:val="-2"/>
                <w:highlight w:val="none"/>
              </w:rPr>
              <w:t>现在何处</w:t>
            </w:r>
          </w:p>
        </w:tc>
        <w:tc>
          <w:tcPr>
            <w:tcW w:w="862" w:type="dxa"/>
            <w:vAlign w:val="top"/>
          </w:tcPr>
          <w:p w14:paraId="6B54BFF3">
            <w:pPr>
              <w:spacing w:line="393" w:lineRule="auto"/>
              <w:rPr>
                <w:rFonts w:ascii="Arial"/>
                <w:color w:val="auto"/>
                <w:sz w:val="21"/>
                <w:highlight w:val="none"/>
              </w:rPr>
            </w:pPr>
          </w:p>
          <w:p w14:paraId="46B5C95F">
            <w:pPr>
              <w:pStyle w:val="17"/>
              <w:spacing w:before="68" w:line="221" w:lineRule="auto"/>
              <w:ind w:right="1"/>
              <w:jc w:val="right"/>
              <w:rPr>
                <w:color w:val="auto"/>
                <w:highlight w:val="none"/>
              </w:rPr>
            </w:pPr>
            <w:r>
              <w:rPr>
                <w:color w:val="auto"/>
                <w:spacing w:val="-1"/>
                <w:highlight w:val="none"/>
              </w:rPr>
              <w:t>进场时间</w:t>
            </w:r>
          </w:p>
        </w:tc>
        <w:tc>
          <w:tcPr>
            <w:tcW w:w="862" w:type="dxa"/>
            <w:vAlign w:val="top"/>
          </w:tcPr>
          <w:p w14:paraId="3DCA5F45">
            <w:pPr>
              <w:spacing w:line="393" w:lineRule="auto"/>
              <w:rPr>
                <w:rFonts w:ascii="Arial"/>
                <w:color w:val="auto"/>
                <w:sz w:val="21"/>
                <w:highlight w:val="none"/>
              </w:rPr>
            </w:pPr>
          </w:p>
          <w:p w14:paraId="0DAD3079">
            <w:pPr>
              <w:pStyle w:val="17"/>
              <w:spacing w:before="68" w:line="221" w:lineRule="auto"/>
              <w:jc w:val="right"/>
              <w:rPr>
                <w:color w:val="auto"/>
                <w:highlight w:val="none"/>
              </w:rPr>
            </w:pPr>
            <w:r>
              <w:rPr>
                <w:color w:val="auto"/>
                <w:spacing w:val="-2"/>
                <w:highlight w:val="none"/>
              </w:rPr>
              <w:t>退场时间</w:t>
            </w:r>
          </w:p>
        </w:tc>
        <w:tc>
          <w:tcPr>
            <w:tcW w:w="882" w:type="dxa"/>
            <w:vAlign w:val="top"/>
          </w:tcPr>
          <w:p w14:paraId="147B5391">
            <w:pPr>
              <w:spacing w:line="269" w:lineRule="auto"/>
              <w:rPr>
                <w:rFonts w:ascii="Arial"/>
                <w:color w:val="auto"/>
                <w:sz w:val="21"/>
                <w:highlight w:val="none"/>
              </w:rPr>
            </w:pPr>
          </w:p>
          <w:p w14:paraId="11E84045">
            <w:pPr>
              <w:pStyle w:val="17"/>
              <w:spacing w:before="68" w:line="223" w:lineRule="auto"/>
              <w:ind w:left="240" w:right="16" w:hanging="212"/>
              <w:rPr>
                <w:color w:val="auto"/>
                <w:highlight w:val="none"/>
              </w:rPr>
            </w:pPr>
            <w:r>
              <w:rPr>
                <w:color w:val="auto"/>
                <w:spacing w:val="-2"/>
                <w:highlight w:val="none"/>
              </w:rPr>
              <w:t>用于施工</w:t>
            </w:r>
            <w:r>
              <w:rPr>
                <w:color w:val="auto"/>
                <w:highlight w:val="none"/>
              </w:rPr>
              <w:t xml:space="preserve"> </w:t>
            </w:r>
            <w:r>
              <w:rPr>
                <w:color w:val="auto"/>
                <w:spacing w:val="-3"/>
                <w:highlight w:val="none"/>
              </w:rPr>
              <w:t>部位</w:t>
            </w:r>
          </w:p>
        </w:tc>
      </w:tr>
      <w:tr w14:paraId="18734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98" w:type="dxa"/>
            <w:vAlign w:val="top"/>
          </w:tcPr>
          <w:p w14:paraId="6C7B65FE">
            <w:pPr>
              <w:rPr>
                <w:rFonts w:ascii="Arial"/>
                <w:color w:val="auto"/>
                <w:sz w:val="21"/>
                <w:highlight w:val="none"/>
              </w:rPr>
            </w:pPr>
          </w:p>
        </w:tc>
        <w:tc>
          <w:tcPr>
            <w:tcW w:w="1134" w:type="dxa"/>
            <w:vAlign w:val="top"/>
          </w:tcPr>
          <w:p w14:paraId="22D2B1B2">
            <w:pPr>
              <w:rPr>
                <w:rFonts w:ascii="Arial"/>
                <w:color w:val="auto"/>
                <w:sz w:val="21"/>
                <w:highlight w:val="none"/>
              </w:rPr>
            </w:pPr>
          </w:p>
        </w:tc>
        <w:tc>
          <w:tcPr>
            <w:tcW w:w="862" w:type="dxa"/>
            <w:vAlign w:val="top"/>
          </w:tcPr>
          <w:p w14:paraId="0176C2EE">
            <w:pPr>
              <w:rPr>
                <w:rFonts w:ascii="Arial"/>
                <w:color w:val="auto"/>
                <w:sz w:val="21"/>
                <w:highlight w:val="none"/>
              </w:rPr>
            </w:pPr>
          </w:p>
        </w:tc>
        <w:tc>
          <w:tcPr>
            <w:tcW w:w="867" w:type="dxa"/>
            <w:vAlign w:val="top"/>
          </w:tcPr>
          <w:p w14:paraId="65B8A072">
            <w:pPr>
              <w:rPr>
                <w:rFonts w:ascii="Arial"/>
                <w:color w:val="auto"/>
                <w:sz w:val="21"/>
                <w:highlight w:val="none"/>
              </w:rPr>
            </w:pPr>
          </w:p>
        </w:tc>
        <w:tc>
          <w:tcPr>
            <w:tcW w:w="869" w:type="dxa"/>
            <w:vAlign w:val="top"/>
          </w:tcPr>
          <w:p w14:paraId="670D348C">
            <w:pPr>
              <w:rPr>
                <w:rFonts w:ascii="Arial"/>
                <w:color w:val="auto"/>
                <w:sz w:val="21"/>
                <w:highlight w:val="none"/>
              </w:rPr>
            </w:pPr>
          </w:p>
        </w:tc>
        <w:tc>
          <w:tcPr>
            <w:tcW w:w="862" w:type="dxa"/>
            <w:vAlign w:val="top"/>
          </w:tcPr>
          <w:p w14:paraId="7E135190">
            <w:pPr>
              <w:rPr>
                <w:rFonts w:ascii="Arial"/>
                <w:color w:val="auto"/>
                <w:sz w:val="21"/>
                <w:highlight w:val="none"/>
              </w:rPr>
            </w:pPr>
          </w:p>
        </w:tc>
        <w:tc>
          <w:tcPr>
            <w:tcW w:w="862" w:type="dxa"/>
            <w:vAlign w:val="top"/>
          </w:tcPr>
          <w:p w14:paraId="37D8225D">
            <w:pPr>
              <w:rPr>
                <w:rFonts w:ascii="Arial"/>
                <w:color w:val="auto"/>
                <w:sz w:val="21"/>
                <w:highlight w:val="none"/>
              </w:rPr>
            </w:pPr>
          </w:p>
        </w:tc>
        <w:tc>
          <w:tcPr>
            <w:tcW w:w="862" w:type="dxa"/>
            <w:vAlign w:val="top"/>
          </w:tcPr>
          <w:p w14:paraId="5533E0F7">
            <w:pPr>
              <w:rPr>
                <w:rFonts w:ascii="Arial"/>
                <w:color w:val="auto"/>
                <w:sz w:val="21"/>
                <w:highlight w:val="none"/>
              </w:rPr>
            </w:pPr>
          </w:p>
        </w:tc>
        <w:tc>
          <w:tcPr>
            <w:tcW w:w="862" w:type="dxa"/>
            <w:vAlign w:val="top"/>
          </w:tcPr>
          <w:p w14:paraId="50E81D3E">
            <w:pPr>
              <w:rPr>
                <w:rFonts w:ascii="Arial"/>
                <w:color w:val="auto"/>
                <w:sz w:val="21"/>
                <w:highlight w:val="none"/>
              </w:rPr>
            </w:pPr>
          </w:p>
        </w:tc>
        <w:tc>
          <w:tcPr>
            <w:tcW w:w="882" w:type="dxa"/>
            <w:vAlign w:val="top"/>
          </w:tcPr>
          <w:p w14:paraId="3E267217">
            <w:pPr>
              <w:rPr>
                <w:rFonts w:ascii="Arial"/>
                <w:color w:val="auto"/>
                <w:sz w:val="21"/>
                <w:highlight w:val="none"/>
              </w:rPr>
            </w:pPr>
          </w:p>
        </w:tc>
      </w:tr>
      <w:tr w14:paraId="1F556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68BD42D8">
            <w:pPr>
              <w:rPr>
                <w:rFonts w:ascii="Arial"/>
                <w:color w:val="auto"/>
                <w:sz w:val="21"/>
                <w:highlight w:val="none"/>
              </w:rPr>
            </w:pPr>
          </w:p>
        </w:tc>
        <w:tc>
          <w:tcPr>
            <w:tcW w:w="1134" w:type="dxa"/>
            <w:vAlign w:val="top"/>
          </w:tcPr>
          <w:p w14:paraId="5423E23F">
            <w:pPr>
              <w:rPr>
                <w:rFonts w:ascii="Arial"/>
                <w:color w:val="auto"/>
                <w:sz w:val="21"/>
                <w:highlight w:val="none"/>
              </w:rPr>
            </w:pPr>
          </w:p>
        </w:tc>
        <w:tc>
          <w:tcPr>
            <w:tcW w:w="862" w:type="dxa"/>
            <w:vAlign w:val="top"/>
          </w:tcPr>
          <w:p w14:paraId="46C6C96D">
            <w:pPr>
              <w:rPr>
                <w:rFonts w:ascii="Arial"/>
                <w:color w:val="auto"/>
                <w:sz w:val="21"/>
                <w:highlight w:val="none"/>
              </w:rPr>
            </w:pPr>
          </w:p>
        </w:tc>
        <w:tc>
          <w:tcPr>
            <w:tcW w:w="867" w:type="dxa"/>
            <w:vAlign w:val="top"/>
          </w:tcPr>
          <w:p w14:paraId="5F7392BB">
            <w:pPr>
              <w:rPr>
                <w:rFonts w:ascii="Arial"/>
                <w:color w:val="auto"/>
                <w:sz w:val="21"/>
                <w:highlight w:val="none"/>
              </w:rPr>
            </w:pPr>
          </w:p>
        </w:tc>
        <w:tc>
          <w:tcPr>
            <w:tcW w:w="869" w:type="dxa"/>
            <w:vAlign w:val="top"/>
          </w:tcPr>
          <w:p w14:paraId="37B7402A">
            <w:pPr>
              <w:rPr>
                <w:rFonts w:ascii="Arial"/>
                <w:color w:val="auto"/>
                <w:sz w:val="21"/>
                <w:highlight w:val="none"/>
              </w:rPr>
            </w:pPr>
          </w:p>
        </w:tc>
        <w:tc>
          <w:tcPr>
            <w:tcW w:w="862" w:type="dxa"/>
            <w:vAlign w:val="top"/>
          </w:tcPr>
          <w:p w14:paraId="32AF0BFA">
            <w:pPr>
              <w:rPr>
                <w:rFonts w:ascii="Arial"/>
                <w:color w:val="auto"/>
                <w:sz w:val="21"/>
                <w:highlight w:val="none"/>
              </w:rPr>
            </w:pPr>
          </w:p>
        </w:tc>
        <w:tc>
          <w:tcPr>
            <w:tcW w:w="862" w:type="dxa"/>
            <w:vAlign w:val="top"/>
          </w:tcPr>
          <w:p w14:paraId="71E95900">
            <w:pPr>
              <w:rPr>
                <w:rFonts w:ascii="Arial"/>
                <w:color w:val="auto"/>
                <w:sz w:val="21"/>
                <w:highlight w:val="none"/>
              </w:rPr>
            </w:pPr>
          </w:p>
        </w:tc>
        <w:tc>
          <w:tcPr>
            <w:tcW w:w="862" w:type="dxa"/>
            <w:vAlign w:val="top"/>
          </w:tcPr>
          <w:p w14:paraId="5EDF2091">
            <w:pPr>
              <w:rPr>
                <w:rFonts w:ascii="Arial"/>
                <w:color w:val="auto"/>
                <w:sz w:val="21"/>
                <w:highlight w:val="none"/>
              </w:rPr>
            </w:pPr>
          </w:p>
        </w:tc>
        <w:tc>
          <w:tcPr>
            <w:tcW w:w="862" w:type="dxa"/>
            <w:vAlign w:val="top"/>
          </w:tcPr>
          <w:p w14:paraId="1620E948">
            <w:pPr>
              <w:rPr>
                <w:rFonts w:ascii="Arial"/>
                <w:color w:val="auto"/>
                <w:sz w:val="21"/>
                <w:highlight w:val="none"/>
              </w:rPr>
            </w:pPr>
          </w:p>
        </w:tc>
        <w:tc>
          <w:tcPr>
            <w:tcW w:w="882" w:type="dxa"/>
            <w:vAlign w:val="top"/>
          </w:tcPr>
          <w:p w14:paraId="15E6C5ED">
            <w:pPr>
              <w:rPr>
                <w:rFonts w:ascii="Arial"/>
                <w:color w:val="auto"/>
                <w:sz w:val="21"/>
                <w:highlight w:val="none"/>
              </w:rPr>
            </w:pPr>
          </w:p>
        </w:tc>
      </w:tr>
      <w:tr w14:paraId="2BBB4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381EB001">
            <w:pPr>
              <w:rPr>
                <w:rFonts w:ascii="Arial"/>
                <w:color w:val="auto"/>
                <w:sz w:val="21"/>
                <w:highlight w:val="none"/>
              </w:rPr>
            </w:pPr>
          </w:p>
        </w:tc>
        <w:tc>
          <w:tcPr>
            <w:tcW w:w="1134" w:type="dxa"/>
            <w:vAlign w:val="top"/>
          </w:tcPr>
          <w:p w14:paraId="4E013FE8">
            <w:pPr>
              <w:rPr>
                <w:rFonts w:ascii="Arial"/>
                <w:color w:val="auto"/>
                <w:sz w:val="21"/>
                <w:highlight w:val="none"/>
              </w:rPr>
            </w:pPr>
          </w:p>
        </w:tc>
        <w:tc>
          <w:tcPr>
            <w:tcW w:w="862" w:type="dxa"/>
            <w:vAlign w:val="top"/>
          </w:tcPr>
          <w:p w14:paraId="152C464A">
            <w:pPr>
              <w:rPr>
                <w:rFonts w:ascii="Arial"/>
                <w:color w:val="auto"/>
                <w:sz w:val="21"/>
                <w:highlight w:val="none"/>
              </w:rPr>
            </w:pPr>
          </w:p>
        </w:tc>
        <w:tc>
          <w:tcPr>
            <w:tcW w:w="867" w:type="dxa"/>
            <w:vAlign w:val="top"/>
          </w:tcPr>
          <w:p w14:paraId="789591CE">
            <w:pPr>
              <w:rPr>
                <w:rFonts w:ascii="Arial"/>
                <w:color w:val="auto"/>
                <w:sz w:val="21"/>
                <w:highlight w:val="none"/>
              </w:rPr>
            </w:pPr>
          </w:p>
        </w:tc>
        <w:tc>
          <w:tcPr>
            <w:tcW w:w="869" w:type="dxa"/>
            <w:vAlign w:val="top"/>
          </w:tcPr>
          <w:p w14:paraId="02C7CBB3">
            <w:pPr>
              <w:rPr>
                <w:rFonts w:ascii="Arial"/>
                <w:color w:val="auto"/>
                <w:sz w:val="21"/>
                <w:highlight w:val="none"/>
              </w:rPr>
            </w:pPr>
          </w:p>
        </w:tc>
        <w:tc>
          <w:tcPr>
            <w:tcW w:w="862" w:type="dxa"/>
            <w:vAlign w:val="top"/>
          </w:tcPr>
          <w:p w14:paraId="410BEE34">
            <w:pPr>
              <w:rPr>
                <w:rFonts w:ascii="Arial"/>
                <w:color w:val="auto"/>
                <w:sz w:val="21"/>
                <w:highlight w:val="none"/>
              </w:rPr>
            </w:pPr>
          </w:p>
        </w:tc>
        <w:tc>
          <w:tcPr>
            <w:tcW w:w="862" w:type="dxa"/>
            <w:vAlign w:val="top"/>
          </w:tcPr>
          <w:p w14:paraId="644D19A2">
            <w:pPr>
              <w:rPr>
                <w:rFonts w:ascii="Arial"/>
                <w:color w:val="auto"/>
                <w:sz w:val="21"/>
                <w:highlight w:val="none"/>
              </w:rPr>
            </w:pPr>
          </w:p>
        </w:tc>
        <w:tc>
          <w:tcPr>
            <w:tcW w:w="862" w:type="dxa"/>
            <w:vAlign w:val="top"/>
          </w:tcPr>
          <w:p w14:paraId="7ACA84AA">
            <w:pPr>
              <w:rPr>
                <w:rFonts w:ascii="Arial"/>
                <w:color w:val="auto"/>
                <w:sz w:val="21"/>
                <w:highlight w:val="none"/>
              </w:rPr>
            </w:pPr>
          </w:p>
        </w:tc>
        <w:tc>
          <w:tcPr>
            <w:tcW w:w="862" w:type="dxa"/>
            <w:vAlign w:val="top"/>
          </w:tcPr>
          <w:p w14:paraId="2E87147B">
            <w:pPr>
              <w:rPr>
                <w:rFonts w:ascii="Arial"/>
                <w:color w:val="auto"/>
                <w:sz w:val="21"/>
                <w:highlight w:val="none"/>
              </w:rPr>
            </w:pPr>
          </w:p>
        </w:tc>
        <w:tc>
          <w:tcPr>
            <w:tcW w:w="882" w:type="dxa"/>
            <w:vAlign w:val="top"/>
          </w:tcPr>
          <w:p w14:paraId="0A7190C3">
            <w:pPr>
              <w:rPr>
                <w:rFonts w:ascii="Arial"/>
                <w:color w:val="auto"/>
                <w:sz w:val="21"/>
                <w:highlight w:val="none"/>
              </w:rPr>
            </w:pPr>
          </w:p>
        </w:tc>
      </w:tr>
      <w:tr w14:paraId="1510E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24D3B307">
            <w:pPr>
              <w:rPr>
                <w:rFonts w:ascii="Arial"/>
                <w:color w:val="auto"/>
                <w:sz w:val="21"/>
                <w:highlight w:val="none"/>
              </w:rPr>
            </w:pPr>
          </w:p>
        </w:tc>
        <w:tc>
          <w:tcPr>
            <w:tcW w:w="1134" w:type="dxa"/>
            <w:vAlign w:val="top"/>
          </w:tcPr>
          <w:p w14:paraId="7BAF1B1C">
            <w:pPr>
              <w:rPr>
                <w:rFonts w:ascii="Arial"/>
                <w:color w:val="auto"/>
                <w:sz w:val="21"/>
                <w:highlight w:val="none"/>
              </w:rPr>
            </w:pPr>
          </w:p>
        </w:tc>
        <w:tc>
          <w:tcPr>
            <w:tcW w:w="862" w:type="dxa"/>
            <w:vAlign w:val="top"/>
          </w:tcPr>
          <w:p w14:paraId="00E2096A">
            <w:pPr>
              <w:rPr>
                <w:rFonts w:ascii="Arial"/>
                <w:color w:val="auto"/>
                <w:sz w:val="21"/>
                <w:highlight w:val="none"/>
              </w:rPr>
            </w:pPr>
          </w:p>
        </w:tc>
        <w:tc>
          <w:tcPr>
            <w:tcW w:w="867" w:type="dxa"/>
            <w:vAlign w:val="top"/>
          </w:tcPr>
          <w:p w14:paraId="549113F8">
            <w:pPr>
              <w:rPr>
                <w:rFonts w:ascii="Arial"/>
                <w:color w:val="auto"/>
                <w:sz w:val="21"/>
                <w:highlight w:val="none"/>
              </w:rPr>
            </w:pPr>
          </w:p>
        </w:tc>
        <w:tc>
          <w:tcPr>
            <w:tcW w:w="869" w:type="dxa"/>
            <w:vAlign w:val="top"/>
          </w:tcPr>
          <w:p w14:paraId="54D32E9B">
            <w:pPr>
              <w:rPr>
                <w:rFonts w:ascii="Arial"/>
                <w:color w:val="auto"/>
                <w:sz w:val="21"/>
                <w:highlight w:val="none"/>
              </w:rPr>
            </w:pPr>
          </w:p>
        </w:tc>
        <w:tc>
          <w:tcPr>
            <w:tcW w:w="862" w:type="dxa"/>
            <w:vAlign w:val="top"/>
          </w:tcPr>
          <w:p w14:paraId="177B1C35">
            <w:pPr>
              <w:rPr>
                <w:rFonts w:ascii="Arial"/>
                <w:color w:val="auto"/>
                <w:sz w:val="21"/>
                <w:highlight w:val="none"/>
              </w:rPr>
            </w:pPr>
          </w:p>
        </w:tc>
        <w:tc>
          <w:tcPr>
            <w:tcW w:w="862" w:type="dxa"/>
            <w:vAlign w:val="top"/>
          </w:tcPr>
          <w:p w14:paraId="6B7669FA">
            <w:pPr>
              <w:rPr>
                <w:rFonts w:ascii="Arial"/>
                <w:color w:val="auto"/>
                <w:sz w:val="21"/>
                <w:highlight w:val="none"/>
              </w:rPr>
            </w:pPr>
          </w:p>
        </w:tc>
        <w:tc>
          <w:tcPr>
            <w:tcW w:w="862" w:type="dxa"/>
            <w:vAlign w:val="top"/>
          </w:tcPr>
          <w:p w14:paraId="5EBABA81">
            <w:pPr>
              <w:rPr>
                <w:rFonts w:ascii="Arial"/>
                <w:color w:val="auto"/>
                <w:sz w:val="21"/>
                <w:highlight w:val="none"/>
              </w:rPr>
            </w:pPr>
          </w:p>
        </w:tc>
        <w:tc>
          <w:tcPr>
            <w:tcW w:w="862" w:type="dxa"/>
            <w:vAlign w:val="top"/>
          </w:tcPr>
          <w:p w14:paraId="32151DEC">
            <w:pPr>
              <w:rPr>
                <w:rFonts w:ascii="Arial"/>
                <w:color w:val="auto"/>
                <w:sz w:val="21"/>
                <w:highlight w:val="none"/>
              </w:rPr>
            </w:pPr>
          </w:p>
        </w:tc>
        <w:tc>
          <w:tcPr>
            <w:tcW w:w="882" w:type="dxa"/>
            <w:vAlign w:val="top"/>
          </w:tcPr>
          <w:p w14:paraId="07BF822D">
            <w:pPr>
              <w:rPr>
                <w:rFonts w:ascii="Arial"/>
                <w:color w:val="auto"/>
                <w:sz w:val="21"/>
                <w:highlight w:val="none"/>
              </w:rPr>
            </w:pPr>
          </w:p>
        </w:tc>
      </w:tr>
      <w:tr w14:paraId="3E31D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58134F97">
            <w:pPr>
              <w:rPr>
                <w:rFonts w:ascii="Arial"/>
                <w:color w:val="auto"/>
                <w:sz w:val="21"/>
                <w:highlight w:val="none"/>
              </w:rPr>
            </w:pPr>
          </w:p>
        </w:tc>
        <w:tc>
          <w:tcPr>
            <w:tcW w:w="1134" w:type="dxa"/>
            <w:vAlign w:val="top"/>
          </w:tcPr>
          <w:p w14:paraId="35A90501">
            <w:pPr>
              <w:rPr>
                <w:rFonts w:ascii="Arial"/>
                <w:color w:val="auto"/>
                <w:sz w:val="21"/>
                <w:highlight w:val="none"/>
              </w:rPr>
            </w:pPr>
          </w:p>
        </w:tc>
        <w:tc>
          <w:tcPr>
            <w:tcW w:w="862" w:type="dxa"/>
            <w:vAlign w:val="top"/>
          </w:tcPr>
          <w:p w14:paraId="0AE11AB9">
            <w:pPr>
              <w:rPr>
                <w:rFonts w:ascii="Arial"/>
                <w:color w:val="auto"/>
                <w:sz w:val="21"/>
                <w:highlight w:val="none"/>
              </w:rPr>
            </w:pPr>
          </w:p>
        </w:tc>
        <w:tc>
          <w:tcPr>
            <w:tcW w:w="867" w:type="dxa"/>
            <w:vAlign w:val="top"/>
          </w:tcPr>
          <w:p w14:paraId="40C71C69">
            <w:pPr>
              <w:rPr>
                <w:rFonts w:ascii="Arial"/>
                <w:color w:val="auto"/>
                <w:sz w:val="21"/>
                <w:highlight w:val="none"/>
              </w:rPr>
            </w:pPr>
          </w:p>
        </w:tc>
        <w:tc>
          <w:tcPr>
            <w:tcW w:w="869" w:type="dxa"/>
            <w:vAlign w:val="top"/>
          </w:tcPr>
          <w:p w14:paraId="71079FD8">
            <w:pPr>
              <w:rPr>
                <w:rFonts w:ascii="Arial"/>
                <w:color w:val="auto"/>
                <w:sz w:val="21"/>
                <w:highlight w:val="none"/>
              </w:rPr>
            </w:pPr>
          </w:p>
        </w:tc>
        <w:tc>
          <w:tcPr>
            <w:tcW w:w="862" w:type="dxa"/>
            <w:vAlign w:val="top"/>
          </w:tcPr>
          <w:p w14:paraId="5A3C4BD2">
            <w:pPr>
              <w:rPr>
                <w:rFonts w:ascii="Arial"/>
                <w:color w:val="auto"/>
                <w:sz w:val="21"/>
                <w:highlight w:val="none"/>
              </w:rPr>
            </w:pPr>
          </w:p>
        </w:tc>
        <w:tc>
          <w:tcPr>
            <w:tcW w:w="862" w:type="dxa"/>
            <w:vAlign w:val="top"/>
          </w:tcPr>
          <w:p w14:paraId="3431F59F">
            <w:pPr>
              <w:rPr>
                <w:rFonts w:ascii="Arial"/>
                <w:color w:val="auto"/>
                <w:sz w:val="21"/>
                <w:highlight w:val="none"/>
              </w:rPr>
            </w:pPr>
          </w:p>
        </w:tc>
        <w:tc>
          <w:tcPr>
            <w:tcW w:w="862" w:type="dxa"/>
            <w:vAlign w:val="top"/>
          </w:tcPr>
          <w:p w14:paraId="0A8E6D44">
            <w:pPr>
              <w:rPr>
                <w:rFonts w:ascii="Arial"/>
                <w:color w:val="auto"/>
                <w:sz w:val="21"/>
                <w:highlight w:val="none"/>
              </w:rPr>
            </w:pPr>
          </w:p>
        </w:tc>
        <w:tc>
          <w:tcPr>
            <w:tcW w:w="862" w:type="dxa"/>
            <w:vAlign w:val="top"/>
          </w:tcPr>
          <w:p w14:paraId="1CBA6E1C">
            <w:pPr>
              <w:rPr>
                <w:rFonts w:ascii="Arial"/>
                <w:color w:val="auto"/>
                <w:sz w:val="21"/>
                <w:highlight w:val="none"/>
              </w:rPr>
            </w:pPr>
          </w:p>
        </w:tc>
        <w:tc>
          <w:tcPr>
            <w:tcW w:w="882" w:type="dxa"/>
            <w:vAlign w:val="top"/>
          </w:tcPr>
          <w:p w14:paraId="32F78469">
            <w:pPr>
              <w:rPr>
                <w:rFonts w:ascii="Arial"/>
                <w:color w:val="auto"/>
                <w:sz w:val="21"/>
                <w:highlight w:val="none"/>
              </w:rPr>
            </w:pPr>
          </w:p>
        </w:tc>
      </w:tr>
      <w:tr w14:paraId="021D2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08160147">
            <w:pPr>
              <w:rPr>
                <w:rFonts w:ascii="Arial"/>
                <w:color w:val="auto"/>
                <w:sz w:val="21"/>
                <w:highlight w:val="none"/>
              </w:rPr>
            </w:pPr>
          </w:p>
        </w:tc>
        <w:tc>
          <w:tcPr>
            <w:tcW w:w="1134" w:type="dxa"/>
            <w:vAlign w:val="top"/>
          </w:tcPr>
          <w:p w14:paraId="000943CC">
            <w:pPr>
              <w:rPr>
                <w:rFonts w:ascii="Arial"/>
                <w:color w:val="auto"/>
                <w:sz w:val="21"/>
                <w:highlight w:val="none"/>
              </w:rPr>
            </w:pPr>
          </w:p>
        </w:tc>
        <w:tc>
          <w:tcPr>
            <w:tcW w:w="862" w:type="dxa"/>
            <w:vAlign w:val="top"/>
          </w:tcPr>
          <w:p w14:paraId="52CA932B">
            <w:pPr>
              <w:rPr>
                <w:rFonts w:ascii="Arial"/>
                <w:color w:val="auto"/>
                <w:sz w:val="21"/>
                <w:highlight w:val="none"/>
              </w:rPr>
            </w:pPr>
          </w:p>
        </w:tc>
        <w:tc>
          <w:tcPr>
            <w:tcW w:w="867" w:type="dxa"/>
            <w:vAlign w:val="top"/>
          </w:tcPr>
          <w:p w14:paraId="25008777">
            <w:pPr>
              <w:rPr>
                <w:rFonts w:ascii="Arial"/>
                <w:color w:val="auto"/>
                <w:sz w:val="21"/>
                <w:highlight w:val="none"/>
              </w:rPr>
            </w:pPr>
          </w:p>
        </w:tc>
        <w:tc>
          <w:tcPr>
            <w:tcW w:w="869" w:type="dxa"/>
            <w:vAlign w:val="top"/>
          </w:tcPr>
          <w:p w14:paraId="5DF152A9">
            <w:pPr>
              <w:rPr>
                <w:rFonts w:ascii="Arial"/>
                <w:color w:val="auto"/>
                <w:sz w:val="21"/>
                <w:highlight w:val="none"/>
              </w:rPr>
            </w:pPr>
          </w:p>
        </w:tc>
        <w:tc>
          <w:tcPr>
            <w:tcW w:w="862" w:type="dxa"/>
            <w:vAlign w:val="top"/>
          </w:tcPr>
          <w:p w14:paraId="1464ABE2">
            <w:pPr>
              <w:rPr>
                <w:rFonts w:ascii="Arial"/>
                <w:color w:val="auto"/>
                <w:sz w:val="21"/>
                <w:highlight w:val="none"/>
              </w:rPr>
            </w:pPr>
          </w:p>
        </w:tc>
        <w:tc>
          <w:tcPr>
            <w:tcW w:w="862" w:type="dxa"/>
            <w:vAlign w:val="top"/>
          </w:tcPr>
          <w:p w14:paraId="4EE530BD">
            <w:pPr>
              <w:rPr>
                <w:rFonts w:ascii="Arial"/>
                <w:color w:val="auto"/>
                <w:sz w:val="21"/>
                <w:highlight w:val="none"/>
              </w:rPr>
            </w:pPr>
          </w:p>
        </w:tc>
        <w:tc>
          <w:tcPr>
            <w:tcW w:w="862" w:type="dxa"/>
            <w:vAlign w:val="top"/>
          </w:tcPr>
          <w:p w14:paraId="52527996">
            <w:pPr>
              <w:rPr>
                <w:rFonts w:ascii="Arial"/>
                <w:color w:val="auto"/>
                <w:sz w:val="21"/>
                <w:highlight w:val="none"/>
              </w:rPr>
            </w:pPr>
          </w:p>
        </w:tc>
        <w:tc>
          <w:tcPr>
            <w:tcW w:w="862" w:type="dxa"/>
            <w:vAlign w:val="top"/>
          </w:tcPr>
          <w:p w14:paraId="79103554">
            <w:pPr>
              <w:rPr>
                <w:rFonts w:ascii="Arial"/>
                <w:color w:val="auto"/>
                <w:sz w:val="21"/>
                <w:highlight w:val="none"/>
              </w:rPr>
            </w:pPr>
          </w:p>
        </w:tc>
        <w:tc>
          <w:tcPr>
            <w:tcW w:w="882" w:type="dxa"/>
            <w:vAlign w:val="top"/>
          </w:tcPr>
          <w:p w14:paraId="050AC75B">
            <w:pPr>
              <w:rPr>
                <w:rFonts w:ascii="Arial"/>
                <w:color w:val="auto"/>
                <w:sz w:val="21"/>
                <w:highlight w:val="none"/>
              </w:rPr>
            </w:pPr>
          </w:p>
        </w:tc>
      </w:tr>
      <w:tr w14:paraId="1F216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298" w:type="dxa"/>
            <w:vAlign w:val="top"/>
          </w:tcPr>
          <w:p w14:paraId="61EBB0B9">
            <w:pPr>
              <w:rPr>
                <w:rFonts w:ascii="Arial"/>
                <w:color w:val="auto"/>
                <w:sz w:val="21"/>
                <w:highlight w:val="none"/>
              </w:rPr>
            </w:pPr>
          </w:p>
        </w:tc>
        <w:tc>
          <w:tcPr>
            <w:tcW w:w="1134" w:type="dxa"/>
            <w:vAlign w:val="top"/>
          </w:tcPr>
          <w:p w14:paraId="7FF3E607">
            <w:pPr>
              <w:rPr>
                <w:rFonts w:ascii="Arial"/>
                <w:color w:val="auto"/>
                <w:sz w:val="21"/>
                <w:highlight w:val="none"/>
              </w:rPr>
            </w:pPr>
          </w:p>
        </w:tc>
        <w:tc>
          <w:tcPr>
            <w:tcW w:w="862" w:type="dxa"/>
            <w:vAlign w:val="top"/>
          </w:tcPr>
          <w:p w14:paraId="468E8DBD">
            <w:pPr>
              <w:rPr>
                <w:rFonts w:ascii="Arial"/>
                <w:color w:val="auto"/>
                <w:sz w:val="21"/>
                <w:highlight w:val="none"/>
              </w:rPr>
            </w:pPr>
          </w:p>
        </w:tc>
        <w:tc>
          <w:tcPr>
            <w:tcW w:w="867" w:type="dxa"/>
            <w:vAlign w:val="top"/>
          </w:tcPr>
          <w:p w14:paraId="6F5D3C41">
            <w:pPr>
              <w:rPr>
                <w:rFonts w:ascii="Arial"/>
                <w:color w:val="auto"/>
                <w:sz w:val="21"/>
                <w:highlight w:val="none"/>
              </w:rPr>
            </w:pPr>
          </w:p>
        </w:tc>
        <w:tc>
          <w:tcPr>
            <w:tcW w:w="869" w:type="dxa"/>
            <w:vAlign w:val="top"/>
          </w:tcPr>
          <w:p w14:paraId="252AC43D">
            <w:pPr>
              <w:rPr>
                <w:rFonts w:ascii="Arial"/>
                <w:color w:val="auto"/>
                <w:sz w:val="21"/>
                <w:highlight w:val="none"/>
              </w:rPr>
            </w:pPr>
          </w:p>
        </w:tc>
        <w:tc>
          <w:tcPr>
            <w:tcW w:w="862" w:type="dxa"/>
            <w:vAlign w:val="top"/>
          </w:tcPr>
          <w:p w14:paraId="43178EEC">
            <w:pPr>
              <w:rPr>
                <w:rFonts w:ascii="Arial"/>
                <w:color w:val="auto"/>
                <w:sz w:val="21"/>
                <w:highlight w:val="none"/>
              </w:rPr>
            </w:pPr>
          </w:p>
        </w:tc>
        <w:tc>
          <w:tcPr>
            <w:tcW w:w="862" w:type="dxa"/>
            <w:vAlign w:val="top"/>
          </w:tcPr>
          <w:p w14:paraId="6CA8F007">
            <w:pPr>
              <w:rPr>
                <w:rFonts w:ascii="Arial"/>
                <w:color w:val="auto"/>
                <w:sz w:val="21"/>
                <w:highlight w:val="none"/>
              </w:rPr>
            </w:pPr>
          </w:p>
        </w:tc>
        <w:tc>
          <w:tcPr>
            <w:tcW w:w="862" w:type="dxa"/>
            <w:vAlign w:val="top"/>
          </w:tcPr>
          <w:p w14:paraId="62300CEB">
            <w:pPr>
              <w:rPr>
                <w:rFonts w:ascii="Arial"/>
                <w:color w:val="auto"/>
                <w:sz w:val="21"/>
                <w:highlight w:val="none"/>
              </w:rPr>
            </w:pPr>
          </w:p>
        </w:tc>
        <w:tc>
          <w:tcPr>
            <w:tcW w:w="862" w:type="dxa"/>
            <w:vAlign w:val="top"/>
          </w:tcPr>
          <w:p w14:paraId="4BA73169">
            <w:pPr>
              <w:rPr>
                <w:rFonts w:ascii="Arial"/>
                <w:color w:val="auto"/>
                <w:sz w:val="21"/>
                <w:highlight w:val="none"/>
              </w:rPr>
            </w:pPr>
          </w:p>
        </w:tc>
        <w:tc>
          <w:tcPr>
            <w:tcW w:w="882" w:type="dxa"/>
            <w:vAlign w:val="top"/>
          </w:tcPr>
          <w:p w14:paraId="7270CBF2">
            <w:pPr>
              <w:rPr>
                <w:rFonts w:ascii="Arial"/>
                <w:color w:val="auto"/>
                <w:sz w:val="21"/>
                <w:highlight w:val="none"/>
              </w:rPr>
            </w:pPr>
          </w:p>
        </w:tc>
      </w:tr>
      <w:tr w14:paraId="6B222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98" w:type="dxa"/>
            <w:vAlign w:val="top"/>
          </w:tcPr>
          <w:p w14:paraId="1ED4F0AD">
            <w:pPr>
              <w:rPr>
                <w:rFonts w:ascii="Arial"/>
                <w:color w:val="auto"/>
                <w:sz w:val="21"/>
                <w:highlight w:val="none"/>
              </w:rPr>
            </w:pPr>
          </w:p>
        </w:tc>
        <w:tc>
          <w:tcPr>
            <w:tcW w:w="1134" w:type="dxa"/>
            <w:vAlign w:val="top"/>
          </w:tcPr>
          <w:p w14:paraId="3155CACD">
            <w:pPr>
              <w:rPr>
                <w:rFonts w:ascii="Arial"/>
                <w:color w:val="auto"/>
                <w:sz w:val="21"/>
                <w:highlight w:val="none"/>
              </w:rPr>
            </w:pPr>
          </w:p>
        </w:tc>
        <w:tc>
          <w:tcPr>
            <w:tcW w:w="862" w:type="dxa"/>
            <w:vAlign w:val="top"/>
          </w:tcPr>
          <w:p w14:paraId="2A769E5C">
            <w:pPr>
              <w:rPr>
                <w:rFonts w:ascii="Arial"/>
                <w:color w:val="auto"/>
                <w:sz w:val="21"/>
                <w:highlight w:val="none"/>
              </w:rPr>
            </w:pPr>
          </w:p>
        </w:tc>
        <w:tc>
          <w:tcPr>
            <w:tcW w:w="867" w:type="dxa"/>
            <w:vAlign w:val="top"/>
          </w:tcPr>
          <w:p w14:paraId="4B71185A">
            <w:pPr>
              <w:rPr>
                <w:rFonts w:ascii="Arial"/>
                <w:color w:val="auto"/>
                <w:sz w:val="21"/>
                <w:highlight w:val="none"/>
              </w:rPr>
            </w:pPr>
          </w:p>
        </w:tc>
        <w:tc>
          <w:tcPr>
            <w:tcW w:w="869" w:type="dxa"/>
            <w:vAlign w:val="top"/>
          </w:tcPr>
          <w:p w14:paraId="466DA539">
            <w:pPr>
              <w:rPr>
                <w:rFonts w:ascii="Arial"/>
                <w:color w:val="auto"/>
                <w:sz w:val="21"/>
                <w:highlight w:val="none"/>
              </w:rPr>
            </w:pPr>
          </w:p>
        </w:tc>
        <w:tc>
          <w:tcPr>
            <w:tcW w:w="862" w:type="dxa"/>
            <w:vAlign w:val="top"/>
          </w:tcPr>
          <w:p w14:paraId="3694B94A">
            <w:pPr>
              <w:rPr>
                <w:rFonts w:ascii="Arial"/>
                <w:color w:val="auto"/>
                <w:sz w:val="21"/>
                <w:highlight w:val="none"/>
              </w:rPr>
            </w:pPr>
          </w:p>
        </w:tc>
        <w:tc>
          <w:tcPr>
            <w:tcW w:w="862" w:type="dxa"/>
            <w:vAlign w:val="top"/>
          </w:tcPr>
          <w:p w14:paraId="576E01D7">
            <w:pPr>
              <w:rPr>
                <w:rFonts w:ascii="Arial"/>
                <w:color w:val="auto"/>
                <w:sz w:val="21"/>
                <w:highlight w:val="none"/>
              </w:rPr>
            </w:pPr>
          </w:p>
        </w:tc>
        <w:tc>
          <w:tcPr>
            <w:tcW w:w="862" w:type="dxa"/>
            <w:vAlign w:val="top"/>
          </w:tcPr>
          <w:p w14:paraId="49B27596">
            <w:pPr>
              <w:rPr>
                <w:rFonts w:ascii="Arial"/>
                <w:color w:val="auto"/>
                <w:sz w:val="21"/>
                <w:highlight w:val="none"/>
              </w:rPr>
            </w:pPr>
          </w:p>
        </w:tc>
        <w:tc>
          <w:tcPr>
            <w:tcW w:w="862" w:type="dxa"/>
            <w:vAlign w:val="top"/>
          </w:tcPr>
          <w:p w14:paraId="65A897C6">
            <w:pPr>
              <w:rPr>
                <w:rFonts w:ascii="Arial"/>
                <w:color w:val="auto"/>
                <w:sz w:val="21"/>
                <w:highlight w:val="none"/>
              </w:rPr>
            </w:pPr>
          </w:p>
        </w:tc>
        <w:tc>
          <w:tcPr>
            <w:tcW w:w="882" w:type="dxa"/>
            <w:vAlign w:val="top"/>
          </w:tcPr>
          <w:p w14:paraId="37116B5B">
            <w:pPr>
              <w:rPr>
                <w:rFonts w:ascii="Arial"/>
                <w:color w:val="auto"/>
                <w:sz w:val="21"/>
                <w:highlight w:val="none"/>
              </w:rPr>
            </w:pPr>
          </w:p>
        </w:tc>
      </w:tr>
      <w:tr w14:paraId="18760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631623C6">
            <w:pPr>
              <w:rPr>
                <w:rFonts w:ascii="Arial"/>
                <w:color w:val="auto"/>
                <w:sz w:val="21"/>
                <w:highlight w:val="none"/>
              </w:rPr>
            </w:pPr>
          </w:p>
        </w:tc>
        <w:tc>
          <w:tcPr>
            <w:tcW w:w="1134" w:type="dxa"/>
            <w:vAlign w:val="top"/>
          </w:tcPr>
          <w:p w14:paraId="29241069">
            <w:pPr>
              <w:rPr>
                <w:rFonts w:ascii="Arial"/>
                <w:color w:val="auto"/>
                <w:sz w:val="21"/>
                <w:highlight w:val="none"/>
              </w:rPr>
            </w:pPr>
          </w:p>
        </w:tc>
        <w:tc>
          <w:tcPr>
            <w:tcW w:w="862" w:type="dxa"/>
            <w:vAlign w:val="top"/>
          </w:tcPr>
          <w:p w14:paraId="64F27960">
            <w:pPr>
              <w:rPr>
                <w:rFonts w:ascii="Arial"/>
                <w:color w:val="auto"/>
                <w:sz w:val="21"/>
                <w:highlight w:val="none"/>
              </w:rPr>
            </w:pPr>
          </w:p>
        </w:tc>
        <w:tc>
          <w:tcPr>
            <w:tcW w:w="867" w:type="dxa"/>
            <w:vAlign w:val="top"/>
          </w:tcPr>
          <w:p w14:paraId="0B4A2522">
            <w:pPr>
              <w:rPr>
                <w:rFonts w:ascii="Arial"/>
                <w:color w:val="auto"/>
                <w:sz w:val="21"/>
                <w:highlight w:val="none"/>
              </w:rPr>
            </w:pPr>
          </w:p>
        </w:tc>
        <w:tc>
          <w:tcPr>
            <w:tcW w:w="869" w:type="dxa"/>
            <w:vAlign w:val="top"/>
          </w:tcPr>
          <w:p w14:paraId="627E0665">
            <w:pPr>
              <w:rPr>
                <w:rFonts w:ascii="Arial"/>
                <w:color w:val="auto"/>
                <w:sz w:val="21"/>
                <w:highlight w:val="none"/>
              </w:rPr>
            </w:pPr>
          </w:p>
        </w:tc>
        <w:tc>
          <w:tcPr>
            <w:tcW w:w="862" w:type="dxa"/>
            <w:vAlign w:val="top"/>
          </w:tcPr>
          <w:p w14:paraId="6C53DFC4">
            <w:pPr>
              <w:rPr>
                <w:rFonts w:ascii="Arial"/>
                <w:color w:val="auto"/>
                <w:sz w:val="21"/>
                <w:highlight w:val="none"/>
              </w:rPr>
            </w:pPr>
          </w:p>
        </w:tc>
        <w:tc>
          <w:tcPr>
            <w:tcW w:w="862" w:type="dxa"/>
            <w:vAlign w:val="top"/>
          </w:tcPr>
          <w:p w14:paraId="6F6C7F5F">
            <w:pPr>
              <w:rPr>
                <w:rFonts w:ascii="Arial"/>
                <w:color w:val="auto"/>
                <w:sz w:val="21"/>
                <w:highlight w:val="none"/>
              </w:rPr>
            </w:pPr>
          </w:p>
        </w:tc>
        <w:tc>
          <w:tcPr>
            <w:tcW w:w="862" w:type="dxa"/>
            <w:vAlign w:val="top"/>
          </w:tcPr>
          <w:p w14:paraId="7836A8CC">
            <w:pPr>
              <w:rPr>
                <w:rFonts w:ascii="Arial"/>
                <w:color w:val="auto"/>
                <w:sz w:val="21"/>
                <w:highlight w:val="none"/>
              </w:rPr>
            </w:pPr>
          </w:p>
        </w:tc>
        <w:tc>
          <w:tcPr>
            <w:tcW w:w="862" w:type="dxa"/>
            <w:vAlign w:val="top"/>
          </w:tcPr>
          <w:p w14:paraId="735A7803">
            <w:pPr>
              <w:rPr>
                <w:rFonts w:ascii="Arial"/>
                <w:color w:val="auto"/>
                <w:sz w:val="21"/>
                <w:highlight w:val="none"/>
              </w:rPr>
            </w:pPr>
          </w:p>
        </w:tc>
        <w:tc>
          <w:tcPr>
            <w:tcW w:w="882" w:type="dxa"/>
            <w:vAlign w:val="top"/>
          </w:tcPr>
          <w:p w14:paraId="374F16A9">
            <w:pPr>
              <w:rPr>
                <w:rFonts w:ascii="Arial"/>
                <w:color w:val="auto"/>
                <w:sz w:val="21"/>
                <w:highlight w:val="none"/>
              </w:rPr>
            </w:pPr>
          </w:p>
        </w:tc>
      </w:tr>
      <w:tr w14:paraId="5283F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98" w:type="dxa"/>
            <w:vAlign w:val="top"/>
          </w:tcPr>
          <w:p w14:paraId="3F952336">
            <w:pPr>
              <w:rPr>
                <w:rFonts w:ascii="Arial"/>
                <w:color w:val="auto"/>
                <w:sz w:val="21"/>
                <w:highlight w:val="none"/>
              </w:rPr>
            </w:pPr>
          </w:p>
        </w:tc>
        <w:tc>
          <w:tcPr>
            <w:tcW w:w="1134" w:type="dxa"/>
            <w:vAlign w:val="top"/>
          </w:tcPr>
          <w:p w14:paraId="40F921A6">
            <w:pPr>
              <w:rPr>
                <w:rFonts w:ascii="Arial"/>
                <w:color w:val="auto"/>
                <w:sz w:val="21"/>
                <w:highlight w:val="none"/>
              </w:rPr>
            </w:pPr>
          </w:p>
        </w:tc>
        <w:tc>
          <w:tcPr>
            <w:tcW w:w="862" w:type="dxa"/>
            <w:vAlign w:val="top"/>
          </w:tcPr>
          <w:p w14:paraId="7C2890FC">
            <w:pPr>
              <w:rPr>
                <w:rFonts w:ascii="Arial"/>
                <w:color w:val="auto"/>
                <w:sz w:val="21"/>
                <w:highlight w:val="none"/>
              </w:rPr>
            </w:pPr>
          </w:p>
        </w:tc>
        <w:tc>
          <w:tcPr>
            <w:tcW w:w="867" w:type="dxa"/>
            <w:vAlign w:val="top"/>
          </w:tcPr>
          <w:p w14:paraId="4C42453C">
            <w:pPr>
              <w:rPr>
                <w:rFonts w:ascii="Arial"/>
                <w:color w:val="auto"/>
                <w:sz w:val="21"/>
                <w:highlight w:val="none"/>
              </w:rPr>
            </w:pPr>
          </w:p>
        </w:tc>
        <w:tc>
          <w:tcPr>
            <w:tcW w:w="869" w:type="dxa"/>
            <w:vAlign w:val="top"/>
          </w:tcPr>
          <w:p w14:paraId="126DA224">
            <w:pPr>
              <w:rPr>
                <w:rFonts w:ascii="Arial"/>
                <w:color w:val="auto"/>
                <w:sz w:val="21"/>
                <w:highlight w:val="none"/>
              </w:rPr>
            </w:pPr>
          </w:p>
        </w:tc>
        <w:tc>
          <w:tcPr>
            <w:tcW w:w="862" w:type="dxa"/>
            <w:vAlign w:val="top"/>
          </w:tcPr>
          <w:p w14:paraId="7066D687">
            <w:pPr>
              <w:rPr>
                <w:rFonts w:ascii="Arial"/>
                <w:color w:val="auto"/>
                <w:sz w:val="21"/>
                <w:highlight w:val="none"/>
              </w:rPr>
            </w:pPr>
          </w:p>
        </w:tc>
        <w:tc>
          <w:tcPr>
            <w:tcW w:w="862" w:type="dxa"/>
            <w:vAlign w:val="top"/>
          </w:tcPr>
          <w:p w14:paraId="3E22C49E">
            <w:pPr>
              <w:rPr>
                <w:rFonts w:ascii="Arial"/>
                <w:color w:val="auto"/>
                <w:sz w:val="21"/>
                <w:highlight w:val="none"/>
              </w:rPr>
            </w:pPr>
          </w:p>
        </w:tc>
        <w:tc>
          <w:tcPr>
            <w:tcW w:w="862" w:type="dxa"/>
            <w:vAlign w:val="top"/>
          </w:tcPr>
          <w:p w14:paraId="7FE381DE">
            <w:pPr>
              <w:rPr>
                <w:rFonts w:ascii="Arial"/>
                <w:color w:val="auto"/>
                <w:sz w:val="21"/>
                <w:highlight w:val="none"/>
              </w:rPr>
            </w:pPr>
          </w:p>
        </w:tc>
        <w:tc>
          <w:tcPr>
            <w:tcW w:w="862" w:type="dxa"/>
            <w:vAlign w:val="top"/>
          </w:tcPr>
          <w:p w14:paraId="772A141A">
            <w:pPr>
              <w:rPr>
                <w:rFonts w:ascii="Arial"/>
                <w:color w:val="auto"/>
                <w:sz w:val="21"/>
                <w:highlight w:val="none"/>
              </w:rPr>
            </w:pPr>
          </w:p>
        </w:tc>
        <w:tc>
          <w:tcPr>
            <w:tcW w:w="882" w:type="dxa"/>
            <w:vAlign w:val="top"/>
          </w:tcPr>
          <w:p w14:paraId="394D68C4">
            <w:pPr>
              <w:rPr>
                <w:rFonts w:ascii="Arial"/>
                <w:color w:val="auto"/>
                <w:sz w:val="21"/>
                <w:highlight w:val="none"/>
              </w:rPr>
            </w:pPr>
          </w:p>
        </w:tc>
      </w:tr>
    </w:tbl>
    <w:p w14:paraId="16230D83">
      <w:pPr>
        <w:rPr>
          <w:rFonts w:ascii="Arial"/>
          <w:color w:val="auto"/>
          <w:sz w:val="21"/>
          <w:highlight w:val="none"/>
        </w:rPr>
      </w:pPr>
    </w:p>
    <w:p w14:paraId="206CB636">
      <w:pPr>
        <w:rPr>
          <w:rFonts w:ascii="Arial" w:hAnsi="Arial" w:eastAsia="Arial" w:cs="Arial"/>
          <w:color w:val="auto"/>
          <w:sz w:val="21"/>
          <w:szCs w:val="21"/>
          <w:highlight w:val="none"/>
        </w:rPr>
        <w:sectPr>
          <w:footerReference r:id="rId57" w:type="default"/>
          <w:pgSz w:w="11900" w:h="16832"/>
          <w:pgMar w:top="1430" w:right="1766" w:bottom="808" w:left="1766" w:header="0" w:footer="647" w:gutter="0"/>
          <w:pgNumType w:fmt="decimal"/>
          <w:cols w:space="720" w:num="1"/>
        </w:sectPr>
      </w:pPr>
    </w:p>
    <w:p w14:paraId="52D78D8D">
      <w:pPr>
        <w:spacing w:before="56" w:line="219" w:lineRule="auto"/>
        <w:ind w:left="6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附件二：拟投入本合同工程的试验和检测仪器设备表</w:t>
      </w:r>
    </w:p>
    <w:p w14:paraId="4F8F112E">
      <w:pPr>
        <w:spacing w:line="392" w:lineRule="auto"/>
        <w:rPr>
          <w:rFonts w:ascii="Arial"/>
          <w:color w:val="auto"/>
          <w:sz w:val="21"/>
          <w:highlight w:val="none"/>
        </w:rPr>
      </w:pPr>
    </w:p>
    <w:p w14:paraId="1776F24D">
      <w:pPr>
        <w:spacing w:before="91" w:line="219" w:lineRule="auto"/>
        <w:ind w:left="1520"/>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拟投入本合同工程的试验和检测仪器设备表</w:t>
      </w:r>
    </w:p>
    <w:p w14:paraId="7BB75384">
      <w:pPr>
        <w:spacing w:before="22"/>
        <w:rPr>
          <w:color w:val="auto"/>
          <w:highlight w:val="none"/>
        </w:rPr>
      </w:pPr>
    </w:p>
    <w:tbl>
      <w:tblPr>
        <w:tblStyle w:val="16"/>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420"/>
        <w:gridCol w:w="905"/>
        <w:gridCol w:w="905"/>
        <w:gridCol w:w="905"/>
        <w:gridCol w:w="910"/>
        <w:gridCol w:w="901"/>
        <w:gridCol w:w="904"/>
        <w:gridCol w:w="925"/>
      </w:tblGrid>
      <w:tr w14:paraId="277CD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583" w:type="dxa"/>
            <w:vAlign w:val="top"/>
          </w:tcPr>
          <w:p w14:paraId="593E1605">
            <w:pPr>
              <w:spacing w:line="252" w:lineRule="auto"/>
              <w:rPr>
                <w:rFonts w:ascii="Arial"/>
                <w:color w:val="auto"/>
                <w:sz w:val="21"/>
                <w:highlight w:val="none"/>
              </w:rPr>
            </w:pPr>
          </w:p>
          <w:p w14:paraId="1EC99D18">
            <w:pPr>
              <w:pStyle w:val="17"/>
              <w:spacing w:before="68" w:line="222" w:lineRule="auto"/>
              <w:ind w:left="83"/>
              <w:rPr>
                <w:color w:val="auto"/>
                <w:highlight w:val="none"/>
              </w:rPr>
            </w:pPr>
            <w:r>
              <w:rPr>
                <w:color w:val="auto"/>
                <w:spacing w:val="-2"/>
                <w:highlight w:val="none"/>
              </w:rPr>
              <w:t>序号</w:t>
            </w:r>
          </w:p>
        </w:tc>
        <w:tc>
          <w:tcPr>
            <w:tcW w:w="1420" w:type="dxa"/>
            <w:vAlign w:val="top"/>
          </w:tcPr>
          <w:p w14:paraId="05F1A079">
            <w:pPr>
              <w:spacing w:line="252" w:lineRule="auto"/>
              <w:rPr>
                <w:rFonts w:ascii="Arial"/>
                <w:color w:val="auto"/>
                <w:sz w:val="21"/>
                <w:highlight w:val="none"/>
              </w:rPr>
            </w:pPr>
          </w:p>
          <w:p w14:paraId="477AA28C">
            <w:pPr>
              <w:pStyle w:val="17"/>
              <w:spacing w:before="68" w:line="221" w:lineRule="auto"/>
              <w:ind w:left="78"/>
              <w:rPr>
                <w:color w:val="auto"/>
                <w:highlight w:val="none"/>
              </w:rPr>
            </w:pPr>
            <w:r>
              <w:rPr>
                <w:color w:val="auto"/>
                <w:spacing w:val="-1"/>
                <w:highlight w:val="none"/>
              </w:rPr>
              <w:t>仪器设备名称</w:t>
            </w:r>
          </w:p>
        </w:tc>
        <w:tc>
          <w:tcPr>
            <w:tcW w:w="905" w:type="dxa"/>
            <w:vAlign w:val="top"/>
          </w:tcPr>
          <w:p w14:paraId="247AC68D">
            <w:pPr>
              <w:spacing w:line="252" w:lineRule="auto"/>
              <w:rPr>
                <w:rFonts w:ascii="Arial"/>
                <w:color w:val="auto"/>
                <w:sz w:val="21"/>
                <w:highlight w:val="none"/>
              </w:rPr>
            </w:pPr>
          </w:p>
          <w:p w14:paraId="19232FE5">
            <w:pPr>
              <w:pStyle w:val="17"/>
              <w:spacing w:before="68" w:line="221" w:lineRule="auto"/>
              <w:ind w:left="37"/>
              <w:rPr>
                <w:color w:val="auto"/>
                <w:highlight w:val="none"/>
              </w:rPr>
            </w:pPr>
            <w:r>
              <w:rPr>
                <w:color w:val="auto"/>
                <w:spacing w:val="-3"/>
                <w:highlight w:val="none"/>
              </w:rPr>
              <w:t>型号规格</w:t>
            </w:r>
          </w:p>
        </w:tc>
        <w:tc>
          <w:tcPr>
            <w:tcW w:w="905" w:type="dxa"/>
            <w:tcBorders>
              <w:right w:val="single" w:color="000000" w:sz="4" w:space="0"/>
            </w:tcBorders>
            <w:vAlign w:val="top"/>
          </w:tcPr>
          <w:p w14:paraId="3C47C660">
            <w:pPr>
              <w:spacing w:line="252" w:lineRule="auto"/>
              <w:rPr>
                <w:rFonts w:ascii="Arial"/>
                <w:color w:val="auto"/>
                <w:sz w:val="21"/>
                <w:highlight w:val="none"/>
              </w:rPr>
            </w:pPr>
          </w:p>
          <w:p w14:paraId="488C36F8">
            <w:pPr>
              <w:pStyle w:val="17"/>
              <w:spacing w:before="68" w:line="221" w:lineRule="auto"/>
              <w:ind w:left="243"/>
              <w:rPr>
                <w:color w:val="auto"/>
                <w:highlight w:val="none"/>
              </w:rPr>
            </w:pPr>
            <w:r>
              <w:rPr>
                <w:color w:val="auto"/>
                <w:spacing w:val="-2"/>
                <w:highlight w:val="none"/>
              </w:rPr>
              <w:t>数量</w:t>
            </w:r>
          </w:p>
        </w:tc>
        <w:tc>
          <w:tcPr>
            <w:tcW w:w="905" w:type="dxa"/>
            <w:tcBorders>
              <w:left w:val="single" w:color="000000" w:sz="4" w:space="0"/>
            </w:tcBorders>
            <w:vAlign w:val="top"/>
          </w:tcPr>
          <w:p w14:paraId="33ADEA76">
            <w:pPr>
              <w:spacing w:line="252" w:lineRule="auto"/>
              <w:rPr>
                <w:rFonts w:ascii="Arial"/>
                <w:color w:val="auto"/>
                <w:sz w:val="21"/>
                <w:highlight w:val="none"/>
              </w:rPr>
            </w:pPr>
          </w:p>
          <w:p w14:paraId="2981BB29">
            <w:pPr>
              <w:pStyle w:val="17"/>
              <w:spacing w:before="68" w:line="221" w:lineRule="auto"/>
              <w:ind w:left="54"/>
              <w:rPr>
                <w:color w:val="auto"/>
                <w:highlight w:val="none"/>
              </w:rPr>
            </w:pPr>
            <w:r>
              <w:rPr>
                <w:color w:val="auto"/>
                <w:spacing w:val="-7"/>
                <w:highlight w:val="none"/>
              </w:rPr>
              <w:t>国别产地</w:t>
            </w:r>
          </w:p>
        </w:tc>
        <w:tc>
          <w:tcPr>
            <w:tcW w:w="910" w:type="dxa"/>
            <w:vAlign w:val="top"/>
          </w:tcPr>
          <w:p w14:paraId="149A305D">
            <w:pPr>
              <w:spacing w:line="252" w:lineRule="auto"/>
              <w:rPr>
                <w:rFonts w:ascii="Arial"/>
                <w:color w:val="auto"/>
                <w:sz w:val="21"/>
                <w:highlight w:val="none"/>
              </w:rPr>
            </w:pPr>
          </w:p>
          <w:p w14:paraId="19D99835">
            <w:pPr>
              <w:pStyle w:val="17"/>
              <w:spacing w:before="68" w:line="221" w:lineRule="auto"/>
              <w:ind w:left="41"/>
              <w:rPr>
                <w:color w:val="auto"/>
                <w:highlight w:val="none"/>
              </w:rPr>
            </w:pPr>
            <w:r>
              <w:rPr>
                <w:color w:val="auto"/>
                <w:spacing w:val="-2"/>
                <w:highlight w:val="none"/>
              </w:rPr>
              <w:t>制造年份</w:t>
            </w:r>
          </w:p>
        </w:tc>
        <w:tc>
          <w:tcPr>
            <w:tcW w:w="901" w:type="dxa"/>
            <w:vAlign w:val="top"/>
          </w:tcPr>
          <w:p w14:paraId="2986761D">
            <w:pPr>
              <w:pStyle w:val="17"/>
              <w:spacing w:before="193" w:line="226" w:lineRule="auto"/>
              <w:ind w:left="157" w:right="129" w:firstLine="5"/>
              <w:rPr>
                <w:color w:val="auto"/>
                <w:highlight w:val="none"/>
              </w:rPr>
            </w:pPr>
            <w:r>
              <w:rPr>
                <w:color w:val="auto"/>
                <w:spacing w:val="-9"/>
                <w:highlight w:val="none"/>
              </w:rPr>
              <w:t>己使用</w:t>
            </w:r>
            <w:r>
              <w:rPr>
                <w:color w:val="auto"/>
                <w:highlight w:val="none"/>
              </w:rPr>
              <w:t xml:space="preserve"> </w:t>
            </w:r>
            <w:r>
              <w:rPr>
                <w:color w:val="auto"/>
                <w:spacing w:val="-8"/>
                <w:highlight w:val="none"/>
              </w:rPr>
              <w:t>台时数</w:t>
            </w:r>
          </w:p>
        </w:tc>
        <w:tc>
          <w:tcPr>
            <w:tcW w:w="904" w:type="dxa"/>
            <w:vAlign w:val="top"/>
          </w:tcPr>
          <w:p w14:paraId="375C5302">
            <w:pPr>
              <w:spacing w:line="252" w:lineRule="auto"/>
              <w:rPr>
                <w:rFonts w:ascii="Arial"/>
                <w:color w:val="auto"/>
                <w:sz w:val="21"/>
                <w:highlight w:val="none"/>
              </w:rPr>
            </w:pPr>
          </w:p>
          <w:p w14:paraId="16DC1F27">
            <w:pPr>
              <w:pStyle w:val="17"/>
              <w:spacing w:before="68" w:line="222" w:lineRule="auto"/>
              <w:ind w:left="252"/>
              <w:rPr>
                <w:color w:val="auto"/>
                <w:highlight w:val="none"/>
              </w:rPr>
            </w:pPr>
            <w:r>
              <w:rPr>
                <w:color w:val="auto"/>
                <w:spacing w:val="-2"/>
                <w:highlight w:val="none"/>
              </w:rPr>
              <w:t>用途</w:t>
            </w:r>
          </w:p>
        </w:tc>
        <w:tc>
          <w:tcPr>
            <w:tcW w:w="925" w:type="dxa"/>
            <w:vAlign w:val="top"/>
          </w:tcPr>
          <w:p w14:paraId="448CB905">
            <w:pPr>
              <w:spacing w:line="252" w:lineRule="auto"/>
              <w:rPr>
                <w:rFonts w:ascii="Arial"/>
                <w:color w:val="auto"/>
                <w:sz w:val="21"/>
                <w:highlight w:val="none"/>
              </w:rPr>
            </w:pPr>
          </w:p>
          <w:p w14:paraId="561B15E6">
            <w:pPr>
              <w:pStyle w:val="17"/>
              <w:spacing w:before="68" w:line="222" w:lineRule="auto"/>
              <w:ind w:left="261"/>
              <w:rPr>
                <w:color w:val="auto"/>
                <w:highlight w:val="none"/>
              </w:rPr>
            </w:pPr>
            <w:r>
              <w:rPr>
                <w:color w:val="auto"/>
                <w:spacing w:val="-3"/>
                <w:highlight w:val="none"/>
              </w:rPr>
              <w:t>备注</w:t>
            </w:r>
          </w:p>
        </w:tc>
      </w:tr>
      <w:tr w14:paraId="7CB85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393EB0B2">
            <w:pPr>
              <w:rPr>
                <w:rFonts w:ascii="Arial"/>
                <w:color w:val="auto"/>
                <w:sz w:val="21"/>
                <w:highlight w:val="none"/>
              </w:rPr>
            </w:pPr>
          </w:p>
        </w:tc>
        <w:tc>
          <w:tcPr>
            <w:tcW w:w="1420" w:type="dxa"/>
            <w:vAlign w:val="top"/>
          </w:tcPr>
          <w:p w14:paraId="2BDB0E14">
            <w:pPr>
              <w:rPr>
                <w:rFonts w:ascii="Arial"/>
                <w:color w:val="auto"/>
                <w:sz w:val="21"/>
                <w:highlight w:val="none"/>
              </w:rPr>
            </w:pPr>
          </w:p>
        </w:tc>
        <w:tc>
          <w:tcPr>
            <w:tcW w:w="905" w:type="dxa"/>
            <w:vAlign w:val="top"/>
          </w:tcPr>
          <w:p w14:paraId="3F544C51">
            <w:pPr>
              <w:rPr>
                <w:rFonts w:ascii="Arial"/>
                <w:color w:val="auto"/>
                <w:sz w:val="21"/>
                <w:highlight w:val="none"/>
              </w:rPr>
            </w:pPr>
          </w:p>
        </w:tc>
        <w:tc>
          <w:tcPr>
            <w:tcW w:w="905" w:type="dxa"/>
            <w:tcBorders>
              <w:right w:val="single" w:color="000000" w:sz="4" w:space="0"/>
            </w:tcBorders>
            <w:vAlign w:val="top"/>
          </w:tcPr>
          <w:p w14:paraId="5C5E2942">
            <w:pPr>
              <w:rPr>
                <w:rFonts w:ascii="Arial"/>
                <w:color w:val="auto"/>
                <w:sz w:val="21"/>
                <w:highlight w:val="none"/>
              </w:rPr>
            </w:pPr>
          </w:p>
        </w:tc>
        <w:tc>
          <w:tcPr>
            <w:tcW w:w="905" w:type="dxa"/>
            <w:tcBorders>
              <w:left w:val="single" w:color="000000" w:sz="4" w:space="0"/>
            </w:tcBorders>
            <w:vAlign w:val="top"/>
          </w:tcPr>
          <w:p w14:paraId="28CA1DF3">
            <w:pPr>
              <w:rPr>
                <w:rFonts w:ascii="Arial"/>
                <w:color w:val="auto"/>
                <w:sz w:val="21"/>
                <w:highlight w:val="none"/>
              </w:rPr>
            </w:pPr>
          </w:p>
        </w:tc>
        <w:tc>
          <w:tcPr>
            <w:tcW w:w="910" w:type="dxa"/>
            <w:vAlign w:val="top"/>
          </w:tcPr>
          <w:p w14:paraId="04C88055">
            <w:pPr>
              <w:rPr>
                <w:rFonts w:ascii="Arial"/>
                <w:color w:val="auto"/>
                <w:sz w:val="21"/>
                <w:highlight w:val="none"/>
              </w:rPr>
            </w:pPr>
          </w:p>
        </w:tc>
        <w:tc>
          <w:tcPr>
            <w:tcW w:w="901" w:type="dxa"/>
            <w:vAlign w:val="top"/>
          </w:tcPr>
          <w:p w14:paraId="0DF0AA2B">
            <w:pPr>
              <w:rPr>
                <w:rFonts w:ascii="Arial"/>
                <w:color w:val="auto"/>
                <w:sz w:val="21"/>
                <w:highlight w:val="none"/>
              </w:rPr>
            </w:pPr>
          </w:p>
        </w:tc>
        <w:tc>
          <w:tcPr>
            <w:tcW w:w="904" w:type="dxa"/>
            <w:vAlign w:val="top"/>
          </w:tcPr>
          <w:p w14:paraId="14C39F50">
            <w:pPr>
              <w:rPr>
                <w:rFonts w:ascii="Arial"/>
                <w:color w:val="auto"/>
                <w:sz w:val="21"/>
                <w:highlight w:val="none"/>
              </w:rPr>
            </w:pPr>
          </w:p>
        </w:tc>
        <w:tc>
          <w:tcPr>
            <w:tcW w:w="925" w:type="dxa"/>
            <w:vAlign w:val="top"/>
          </w:tcPr>
          <w:p w14:paraId="1527C3C5">
            <w:pPr>
              <w:rPr>
                <w:rFonts w:ascii="Arial"/>
                <w:color w:val="auto"/>
                <w:sz w:val="21"/>
                <w:highlight w:val="none"/>
              </w:rPr>
            </w:pPr>
          </w:p>
        </w:tc>
      </w:tr>
      <w:tr w14:paraId="1CB8E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83" w:type="dxa"/>
            <w:vAlign w:val="top"/>
          </w:tcPr>
          <w:p w14:paraId="048EB007">
            <w:pPr>
              <w:rPr>
                <w:rFonts w:ascii="Arial"/>
                <w:color w:val="auto"/>
                <w:sz w:val="21"/>
                <w:highlight w:val="none"/>
              </w:rPr>
            </w:pPr>
          </w:p>
        </w:tc>
        <w:tc>
          <w:tcPr>
            <w:tcW w:w="1420" w:type="dxa"/>
            <w:vAlign w:val="top"/>
          </w:tcPr>
          <w:p w14:paraId="453CABD9">
            <w:pPr>
              <w:rPr>
                <w:rFonts w:ascii="Arial"/>
                <w:color w:val="auto"/>
                <w:sz w:val="21"/>
                <w:highlight w:val="none"/>
              </w:rPr>
            </w:pPr>
          </w:p>
        </w:tc>
        <w:tc>
          <w:tcPr>
            <w:tcW w:w="905" w:type="dxa"/>
            <w:vAlign w:val="top"/>
          </w:tcPr>
          <w:p w14:paraId="2B9FD749">
            <w:pPr>
              <w:rPr>
                <w:rFonts w:ascii="Arial"/>
                <w:color w:val="auto"/>
                <w:sz w:val="21"/>
                <w:highlight w:val="none"/>
              </w:rPr>
            </w:pPr>
          </w:p>
        </w:tc>
        <w:tc>
          <w:tcPr>
            <w:tcW w:w="905" w:type="dxa"/>
            <w:tcBorders>
              <w:right w:val="single" w:color="000000" w:sz="4" w:space="0"/>
            </w:tcBorders>
            <w:vAlign w:val="top"/>
          </w:tcPr>
          <w:p w14:paraId="23A93CBC">
            <w:pPr>
              <w:rPr>
                <w:rFonts w:ascii="Arial"/>
                <w:color w:val="auto"/>
                <w:sz w:val="21"/>
                <w:highlight w:val="none"/>
              </w:rPr>
            </w:pPr>
          </w:p>
        </w:tc>
        <w:tc>
          <w:tcPr>
            <w:tcW w:w="905" w:type="dxa"/>
            <w:tcBorders>
              <w:left w:val="single" w:color="000000" w:sz="4" w:space="0"/>
            </w:tcBorders>
            <w:vAlign w:val="top"/>
          </w:tcPr>
          <w:p w14:paraId="558765CF">
            <w:pPr>
              <w:rPr>
                <w:rFonts w:ascii="Arial"/>
                <w:color w:val="auto"/>
                <w:sz w:val="21"/>
                <w:highlight w:val="none"/>
              </w:rPr>
            </w:pPr>
          </w:p>
        </w:tc>
        <w:tc>
          <w:tcPr>
            <w:tcW w:w="910" w:type="dxa"/>
            <w:vAlign w:val="top"/>
          </w:tcPr>
          <w:p w14:paraId="17311EBE">
            <w:pPr>
              <w:rPr>
                <w:rFonts w:ascii="Arial"/>
                <w:color w:val="auto"/>
                <w:sz w:val="21"/>
                <w:highlight w:val="none"/>
              </w:rPr>
            </w:pPr>
          </w:p>
        </w:tc>
        <w:tc>
          <w:tcPr>
            <w:tcW w:w="901" w:type="dxa"/>
            <w:vAlign w:val="top"/>
          </w:tcPr>
          <w:p w14:paraId="000CE5C0">
            <w:pPr>
              <w:rPr>
                <w:rFonts w:ascii="Arial"/>
                <w:color w:val="auto"/>
                <w:sz w:val="21"/>
                <w:highlight w:val="none"/>
              </w:rPr>
            </w:pPr>
          </w:p>
        </w:tc>
        <w:tc>
          <w:tcPr>
            <w:tcW w:w="904" w:type="dxa"/>
            <w:vAlign w:val="top"/>
          </w:tcPr>
          <w:p w14:paraId="56801003">
            <w:pPr>
              <w:rPr>
                <w:rFonts w:ascii="Arial"/>
                <w:color w:val="auto"/>
                <w:sz w:val="21"/>
                <w:highlight w:val="none"/>
              </w:rPr>
            </w:pPr>
          </w:p>
        </w:tc>
        <w:tc>
          <w:tcPr>
            <w:tcW w:w="925" w:type="dxa"/>
            <w:vAlign w:val="top"/>
          </w:tcPr>
          <w:p w14:paraId="57887715">
            <w:pPr>
              <w:rPr>
                <w:rFonts w:ascii="Arial"/>
                <w:color w:val="auto"/>
                <w:sz w:val="21"/>
                <w:highlight w:val="none"/>
              </w:rPr>
            </w:pPr>
          </w:p>
        </w:tc>
      </w:tr>
      <w:tr w14:paraId="0CAED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00CD7B15">
            <w:pPr>
              <w:rPr>
                <w:rFonts w:ascii="Arial"/>
                <w:color w:val="auto"/>
                <w:sz w:val="21"/>
                <w:highlight w:val="none"/>
              </w:rPr>
            </w:pPr>
          </w:p>
        </w:tc>
        <w:tc>
          <w:tcPr>
            <w:tcW w:w="1420" w:type="dxa"/>
            <w:vAlign w:val="top"/>
          </w:tcPr>
          <w:p w14:paraId="61224AA5">
            <w:pPr>
              <w:rPr>
                <w:rFonts w:ascii="Arial"/>
                <w:color w:val="auto"/>
                <w:sz w:val="21"/>
                <w:highlight w:val="none"/>
              </w:rPr>
            </w:pPr>
          </w:p>
        </w:tc>
        <w:tc>
          <w:tcPr>
            <w:tcW w:w="905" w:type="dxa"/>
            <w:vAlign w:val="top"/>
          </w:tcPr>
          <w:p w14:paraId="01673E3A">
            <w:pPr>
              <w:rPr>
                <w:rFonts w:ascii="Arial"/>
                <w:color w:val="auto"/>
                <w:sz w:val="21"/>
                <w:highlight w:val="none"/>
              </w:rPr>
            </w:pPr>
          </w:p>
        </w:tc>
        <w:tc>
          <w:tcPr>
            <w:tcW w:w="905" w:type="dxa"/>
            <w:tcBorders>
              <w:right w:val="single" w:color="000000" w:sz="4" w:space="0"/>
            </w:tcBorders>
            <w:vAlign w:val="top"/>
          </w:tcPr>
          <w:p w14:paraId="4D999250">
            <w:pPr>
              <w:rPr>
                <w:rFonts w:ascii="Arial"/>
                <w:color w:val="auto"/>
                <w:sz w:val="21"/>
                <w:highlight w:val="none"/>
              </w:rPr>
            </w:pPr>
          </w:p>
        </w:tc>
        <w:tc>
          <w:tcPr>
            <w:tcW w:w="905" w:type="dxa"/>
            <w:tcBorders>
              <w:left w:val="single" w:color="000000" w:sz="4" w:space="0"/>
            </w:tcBorders>
            <w:vAlign w:val="top"/>
          </w:tcPr>
          <w:p w14:paraId="741B9DD7">
            <w:pPr>
              <w:rPr>
                <w:rFonts w:ascii="Arial"/>
                <w:color w:val="auto"/>
                <w:sz w:val="21"/>
                <w:highlight w:val="none"/>
              </w:rPr>
            </w:pPr>
          </w:p>
        </w:tc>
        <w:tc>
          <w:tcPr>
            <w:tcW w:w="910" w:type="dxa"/>
            <w:vAlign w:val="top"/>
          </w:tcPr>
          <w:p w14:paraId="35B8267C">
            <w:pPr>
              <w:rPr>
                <w:rFonts w:ascii="Arial"/>
                <w:color w:val="auto"/>
                <w:sz w:val="21"/>
                <w:highlight w:val="none"/>
              </w:rPr>
            </w:pPr>
          </w:p>
        </w:tc>
        <w:tc>
          <w:tcPr>
            <w:tcW w:w="901" w:type="dxa"/>
            <w:vAlign w:val="top"/>
          </w:tcPr>
          <w:p w14:paraId="43C5635F">
            <w:pPr>
              <w:rPr>
                <w:rFonts w:ascii="Arial"/>
                <w:color w:val="auto"/>
                <w:sz w:val="21"/>
                <w:highlight w:val="none"/>
              </w:rPr>
            </w:pPr>
          </w:p>
        </w:tc>
        <w:tc>
          <w:tcPr>
            <w:tcW w:w="904" w:type="dxa"/>
            <w:vAlign w:val="top"/>
          </w:tcPr>
          <w:p w14:paraId="4ED46955">
            <w:pPr>
              <w:rPr>
                <w:rFonts w:ascii="Arial"/>
                <w:color w:val="auto"/>
                <w:sz w:val="21"/>
                <w:highlight w:val="none"/>
              </w:rPr>
            </w:pPr>
          </w:p>
        </w:tc>
        <w:tc>
          <w:tcPr>
            <w:tcW w:w="925" w:type="dxa"/>
            <w:vAlign w:val="top"/>
          </w:tcPr>
          <w:p w14:paraId="68276AF7">
            <w:pPr>
              <w:rPr>
                <w:rFonts w:ascii="Arial"/>
                <w:color w:val="auto"/>
                <w:sz w:val="21"/>
                <w:highlight w:val="none"/>
              </w:rPr>
            </w:pPr>
          </w:p>
        </w:tc>
      </w:tr>
      <w:tr w14:paraId="70775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7DC83053">
            <w:pPr>
              <w:rPr>
                <w:rFonts w:ascii="Arial"/>
                <w:color w:val="auto"/>
                <w:sz w:val="21"/>
                <w:highlight w:val="none"/>
              </w:rPr>
            </w:pPr>
          </w:p>
        </w:tc>
        <w:tc>
          <w:tcPr>
            <w:tcW w:w="1420" w:type="dxa"/>
            <w:vAlign w:val="top"/>
          </w:tcPr>
          <w:p w14:paraId="1C37D262">
            <w:pPr>
              <w:rPr>
                <w:rFonts w:ascii="Arial"/>
                <w:color w:val="auto"/>
                <w:sz w:val="21"/>
                <w:highlight w:val="none"/>
              </w:rPr>
            </w:pPr>
          </w:p>
        </w:tc>
        <w:tc>
          <w:tcPr>
            <w:tcW w:w="905" w:type="dxa"/>
            <w:vAlign w:val="top"/>
          </w:tcPr>
          <w:p w14:paraId="563236AF">
            <w:pPr>
              <w:rPr>
                <w:rFonts w:ascii="Arial"/>
                <w:color w:val="auto"/>
                <w:sz w:val="21"/>
                <w:highlight w:val="none"/>
              </w:rPr>
            </w:pPr>
          </w:p>
        </w:tc>
        <w:tc>
          <w:tcPr>
            <w:tcW w:w="905" w:type="dxa"/>
            <w:tcBorders>
              <w:right w:val="single" w:color="000000" w:sz="4" w:space="0"/>
            </w:tcBorders>
            <w:vAlign w:val="top"/>
          </w:tcPr>
          <w:p w14:paraId="63602B5B">
            <w:pPr>
              <w:rPr>
                <w:rFonts w:ascii="Arial"/>
                <w:color w:val="auto"/>
                <w:sz w:val="21"/>
                <w:highlight w:val="none"/>
              </w:rPr>
            </w:pPr>
          </w:p>
        </w:tc>
        <w:tc>
          <w:tcPr>
            <w:tcW w:w="905" w:type="dxa"/>
            <w:tcBorders>
              <w:left w:val="single" w:color="000000" w:sz="4" w:space="0"/>
            </w:tcBorders>
            <w:vAlign w:val="top"/>
          </w:tcPr>
          <w:p w14:paraId="27142591">
            <w:pPr>
              <w:rPr>
                <w:rFonts w:ascii="Arial"/>
                <w:color w:val="auto"/>
                <w:sz w:val="21"/>
                <w:highlight w:val="none"/>
              </w:rPr>
            </w:pPr>
          </w:p>
        </w:tc>
        <w:tc>
          <w:tcPr>
            <w:tcW w:w="910" w:type="dxa"/>
            <w:vAlign w:val="top"/>
          </w:tcPr>
          <w:p w14:paraId="3DFE6EB5">
            <w:pPr>
              <w:rPr>
                <w:rFonts w:ascii="Arial"/>
                <w:color w:val="auto"/>
                <w:sz w:val="21"/>
                <w:highlight w:val="none"/>
              </w:rPr>
            </w:pPr>
          </w:p>
        </w:tc>
        <w:tc>
          <w:tcPr>
            <w:tcW w:w="901" w:type="dxa"/>
            <w:vAlign w:val="top"/>
          </w:tcPr>
          <w:p w14:paraId="2D635084">
            <w:pPr>
              <w:rPr>
                <w:rFonts w:ascii="Arial"/>
                <w:color w:val="auto"/>
                <w:sz w:val="21"/>
                <w:highlight w:val="none"/>
              </w:rPr>
            </w:pPr>
          </w:p>
        </w:tc>
        <w:tc>
          <w:tcPr>
            <w:tcW w:w="904" w:type="dxa"/>
            <w:vAlign w:val="top"/>
          </w:tcPr>
          <w:p w14:paraId="129BAEA5">
            <w:pPr>
              <w:rPr>
                <w:rFonts w:ascii="Arial"/>
                <w:color w:val="auto"/>
                <w:sz w:val="21"/>
                <w:highlight w:val="none"/>
              </w:rPr>
            </w:pPr>
          </w:p>
        </w:tc>
        <w:tc>
          <w:tcPr>
            <w:tcW w:w="925" w:type="dxa"/>
            <w:vAlign w:val="top"/>
          </w:tcPr>
          <w:p w14:paraId="569763A5">
            <w:pPr>
              <w:rPr>
                <w:rFonts w:ascii="Arial"/>
                <w:color w:val="auto"/>
                <w:sz w:val="21"/>
                <w:highlight w:val="none"/>
              </w:rPr>
            </w:pPr>
          </w:p>
        </w:tc>
      </w:tr>
      <w:tr w14:paraId="39C26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3D72C53E">
            <w:pPr>
              <w:rPr>
                <w:rFonts w:ascii="Arial"/>
                <w:color w:val="auto"/>
                <w:sz w:val="21"/>
                <w:highlight w:val="none"/>
              </w:rPr>
            </w:pPr>
          </w:p>
        </w:tc>
        <w:tc>
          <w:tcPr>
            <w:tcW w:w="1420" w:type="dxa"/>
            <w:vAlign w:val="top"/>
          </w:tcPr>
          <w:p w14:paraId="66B1BCBB">
            <w:pPr>
              <w:rPr>
                <w:rFonts w:ascii="Arial"/>
                <w:color w:val="auto"/>
                <w:sz w:val="21"/>
                <w:highlight w:val="none"/>
              </w:rPr>
            </w:pPr>
          </w:p>
        </w:tc>
        <w:tc>
          <w:tcPr>
            <w:tcW w:w="905" w:type="dxa"/>
            <w:vAlign w:val="top"/>
          </w:tcPr>
          <w:p w14:paraId="714D11F0">
            <w:pPr>
              <w:rPr>
                <w:rFonts w:ascii="Arial"/>
                <w:color w:val="auto"/>
                <w:sz w:val="21"/>
                <w:highlight w:val="none"/>
              </w:rPr>
            </w:pPr>
          </w:p>
        </w:tc>
        <w:tc>
          <w:tcPr>
            <w:tcW w:w="905" w:type="dxa"/>
            <w:tcBorders>
              <w:right w:val="single" w:color="000000" w:sz="4" w:space="0"/>
            </w:tcBorders>
            <w:vAlign w:val="top"/>
          </w:tcPr>
          <w:p w14:paraId="1E5705F1">
            <w:pPr>
              <w:rPr>
                <w:rFonts w:ascii="Arial"/>
                <w:color w:val="auto"/>
                <w:sz w:val="21"/>
                <w:highlight w:val="none"/>
              </w:rPr>
            </w:pPr>
          </w:p>
        </w:tc>
        <w:tc>
          <w:tcPr>
            <w:tcW w:w="905" w:type="dxa"/>
            <w:tcBorders>
              <w:left w:val="single" w:color="000000" w:sz="4" w:space="0"/>
            </w:tcBorders>
            <w:vAlign w:val="top"/>
          </w:tcPr>
          <w:p w14:paraId="56A13249">
            <w:pPr>
              <w:rPr>
                <w:rFonts w:ascii="Arial"/>
                <w:color w:val="auto"/>
                <w:sz w:val="21"/>
                <w:highlight w:val="none"/>
              </w:rPr>
            </w:pPr>
          </w:p>
        </w:tc>
        <w:tc>
          <w:tcPr>
            <w:tcW w:w="910" w:type="dxa"/>
            <w:vAlign w:val="top"/>
          </w:tcPr>
          <w:p w14:paraId="5EE9A904">
            <w:pPr>
              <w:rPr>
                <w:rFonts w:ascii="Arial"/>
                <w:color w:val="auto"/>
                <w:sz w:val="21"/>
                <w:highlight w:val="none"/>
              </w:rPr>
            </w:pPr>
          </w:p>
        </w:tc>
        <w:tc>
          <w:tcPr>
            <w:tcW w:w="901" w:type="dxa"/>
            <w:vAlign w:val="top"/>
          </w:tcPr>
          <w:p w14:paraId="2857437D">
            <w:pPr>
              <w:rPr>
                <w:rFonts w:ascii="Arial"/>
                <w:color w:val="auto"/>
                <w:sz w:val="21"/>
                <w:highlight w:val="none"/>
              </w:rPr>
            </w:pPr>
          </w:p>
        </w:tc>
        <w:tc>
          <w:tcPr>
            <w:tcW w:w="904" w:type="dxa"/>
            <w:vAlign w:val="top"/>
          </w:tcPr>
          <w:p w14:paraId="5864F61C">
            <w:pPr>
              <w:rPr>
                <w:rFonts w:ascii="Arial"/>
                <w:color w:val="auto"/>
                <w:sz w:val="21"/>
                <w:highlight w:val="none"/>
              </w:rPr>
            </w:pPr>
          </w:p>
        </w:tc>
        <w:tc>
          <w:tcPr>
            <w:tcW w:w="925" w:type="dxa"/>
            <w:vAlign w:val="top"/>
          </w:tcPr>
          <w:p w14:paraId="2ADBC550">
            <w:pPr>
              <w:rPr>
                <w:rFonts w:ascii="Arial"/>
                <w:color w:val="auto"/>
                <w:sz w:val="21"/>
                <w:highlight w:val="none"/>
              </w:rPr>
            </w:pPr>
          </w:p>
        </w:tc>
      </w:tr>
      <w:tr w14:paraId="35E33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357DA56D">
            <w:pPr>
              <w:rPr>
                <w:rFonts w:ascii="Arial"/>
                <w:color w:val="auto"/>
                <w:sz w:val="21"/>
                <w:highlight w:val="none"/>
              </w:rPr>
            </w:pPr>
          </w:p>
        </w:tc>
        <w:tc>
          <w:tcPr>
            <w:tcW w:w="1420" w:type="dxa"/>
            <w:vAlign w:val="top"/>
          </w:tcPr>
          <w:p w14:paraId="54FD9531">
            <w:pPr>
              <w:rPr>
                <w:rFonts w:ascii="Arial"/>
                <w:color w:val="auto"/>
                <w:sz w:val="21"/>
                <w:highlight w:val="none"/>
              </w:rPr>
            </w:pPr>
          </w:p>
        </w:tc>
        <w:tc>
          <w:tcPr>
            <w:tcW w:w="905" w:type="dxa"/>
            <w:vAlign w:val="top"/>
          </w:tcPr>
          <w:p w14:paraId="3A33556F">
            <w:pPr>
              <w:rPr>
                <w:rFonts w:ascii="Arial"/>
                <w:color w:val="auto"/>
                <w:sz w:val="21"/>
                <w:highlight w:val="none"/>
              </w:rPr>
            </w:pPr>
          </w:p>
        </w:tc>
        <w:tc>
          <w:tcPr>
            <w:tcW w:w="905" w:type="dxa"/>
            <w:tcBorders>
              <w:right w:val="single" w:color="000000" w:sz="4" w:space="0"/>
            </w:tcBorders>
            <w:vAlign w:val="top"/>
          </w:tcPr>
          <w:p w14:paraId="46BCEEAF">
            <w:pPr>
              <w:rPr>
                <w:rFonts w:ascii="Arial"/>
                <w:color w:val="auto"/>
                <w:sz w:val="21"/>
                <w:highlight w:val="none"/>
              </w:rPr>
            </w:pPr>
          </w:p>
        </w:tc>
        <w:tc>
          <w:tcPr>
            <w:tcW w:w="905" w:type="dxa"/>
            <w:tcBorders>
              <w:left w:val="single" w:color="000000" w:sz="4" w:space="0"/>
            </w:tcBorders>
            <w:vAlign w:val="top"/>
          </w:tcPr>
          <w:p w14:paraId="3077E61D">
            <w:pPr>
              <w:rPr>
                <w:rFonts w:ascii="Arial"/>
                <w:color w:val="auto"/>
                <w:sz w:val="21"/>
                <w:highlight w:val="none"/>
              </w:rPr>
            </w:pPr>
          </w:p>
        </w:tc>
        <w:tc>
          <w:tcPr>
            <w:tcW w:w="910" w:type="dxa"/>
            <w:vAlign w:val="top"/>
          </w:tcPr>
          <w:p w14:paraId="6557FD19">
            <w:pPr>
              <w:rPr>
                <w:rFonts w:ascii="Arial"/>
                <w:color w:val="auto"/>
                <w:sz w:val="21"/>
                <w:highlight w:val="none"/>
              </w:rPr>
            </w:pPr>
          </w:p>
        </w:tc>
        <w:tc>
          <w:tcPr>
            <w:tcW w:w="901" w:type="dxa"/>
            <w:vAlign w:val="top"/>
          </w:tcPr>
          <w:p w14:paraId="6E446258">
            <w:pPr>
              <w:rPr>
                <w:rFonts w:ascii="Arial"/>
                <w:color w:val="auto"/>
                <w:sz w:val="21"/>
                <w:highlight w:val="none"/>
              </w:rPr>
            </w:pPr>
          </w:p>
        </w:tc>
        <w:tc>
          <w:tcPr>
            <w:tcW w:w="904" w:type="dxa"/>
            <w:vAlign w:val="top"/>
          </w:tcPr>
          <w:p w14:paraId="093ADAA4">
            <w:pPr>
              <w:rPr>
                <w:rFonts w:ascii="Arial"/>
                <w:color w:val="auto"/>
                <w:sz w:val="21"/>
                <w:highlight w:val="none"/>
              </w:rPr>
            </w:pPr>
          </w:p>
        </w:tc>
        <w:tc>
          <w:tcPr>
            <w:tcW w:w="925" w:type="dxa"/>
            <w:vAlign w:val="top"/>
          </w:tcPr>
          <w:p w14:paraId="1DD9D7BC">
            <w:pPr>
              <w:rPr>
                <w:rFonts w:ascii="Arial"/>
                <w:color w:val="auto"/>
                <w:sz w:val="21"/>
                <w:highlight w:val="none"/>
              </w:rPr>
            </w:pPr>
          </w:p>
        </w:tc>
      </w:tr>
      <w:tr w14:paraId="2E086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6B10B44B">
            <w:pPr>
              <w:rPr>
                <w:rFonts w:ascii="Arial"/>
                <w:color w:val="auto"/>
                <w:sz w:val="21"/>
                <w:highlight w:val="none"/>
              </w:rPr>
            </w:pPr>
          </w:p>
        </w:tc>
        <w:tc>
          <w:tcPr>
            <w:tcW w:w="1420" w:type="dxa"/>
            <w:vAlign w:val="top"/>
          </w:tcPr>
          <w:p w14:paraId="757A24F6">
            <w:pPr>
              <w:rPr>
                <w:rFonts w:ascii="Arial"/>
                <w:color w:val="auto"/>
                <w:sz w:val="21"/>
                <w:highlight w:val="none"/>
              </w:rPr>
            </w:pPr>
          </w:p>
        </w:tc>
        <w:tc>
          <w:tcPr>
            <w:tcW w:w="905" w:type="dxa"/>
            <w:vAlign w:val="top"/>
          </w:tcPr>
          <w:p w14:paraId="619C8FA2">
            <w:pPr>
              <w:rPr>
                <w:rFonts w:ascii="Arial"/>
                <w:color w:val="auto"/>
                <w:sz w:val="21"/>
                <w:highlight w:val="none"/>
              </w:rPr>
            </w:pPr>
          </w:p>
        </w:tc>
        <w:tc>
          <w:tcPr>
            <w:tcW w:w="905" w:type="dxa"/>
            <w:tcBorders>
              <w:right w:val="single" w:color="000000" w:sz="4" w:space="0"/>
            </w:tcBorders>
            <w:vAlign w:val="top"/>
          </w:tcPr>
          <w:p w14:paraId="691C5090">
            <w:pPr>
              <w:rPr>
                <w:rFonts w:ascii="Arial"/>
                <w:color w:val="auto"/>
                <w:sz w:val="21"/>
                <w:highlight w:val="none"/>
              </w:rPr>
            </w:pPr>
          </w:p>
        </w:tc>
        <w:tc>
          <w:tcPr>
            <w:tcW w:w="905" w:type="dxa"/>
            <w:tcBorders>
              <w:left w:val="single" w:color="000000" w:sz="4" w:space="0"/>
            </w:tcBorders>
            <w:vAlign w:val="top"/>
          </w:tcPr>
          <w:p w14:paraId="5BDBD6BF">
            <w:pPr>
              <w:rPr>
                <w:rFonts w:ascii="Arial"/>
                <w:color w:val="auto"/>
                <w:sz w:val="21"/>
                <w:highlight w:val="none"/>
              </w:rPr>
            </w:pPr>
          </w:p>
        </w:tc>
        <w:tc>
          <w:tcPr>
            <w:tcW w:w="910" w:type="dxa"/>
            <w:vAlign w:val="top"/>
          </w:tcPr>
          <w:p w14:paraId="0836315C">
            <w:pPr>
              <w:rPr>
                <w:rFonts w:ascii="Arial"/>
                <w:color w:val="auto"/>
                <w:sz w:val="21"/>
                <w:highlight w:val="none"/>
              </w:rPr>
            </w:pPr>
          </w:p>
        </w:tc>
        <w:tc>
          <w:tcPr>
            <w:tcW w:w="901" w:type="dxa"/>
            <w:vAlign w:val="top"/>
          </w:tcPr>
          <w:p w14:paraId="1C2CBE41">
            <w:pPr>
              <w:rPr>
                <w:rFonts w:ascii="Arial"/>
                <w:color w:val="auto"/>
                <w:sz w:val="21"/>
                <w:highlight w:val="none"/>
              </w:rPr>
            </w:pPr>
          </w:p>
        </w:tc>
        <w:tc>
          <w:tcPr>
            <w:tcW w:w="904" w:type="dxa"/>
            <w:vAlign w:val="top"/>
          </w:tcPr>
          <w:p w14:paraId="3D4A6D4E">
            <w:pPr>
              <w:rPr>
                <w:rFonts w:ascii="Arial"/>
                <w:color w:val="auto"/>
                <w:sz w:val="21"/>
                <w:highlight w:val="none"/>
              </w:rPr>
            </w:pPr>
          </w:p>
        </w:tc>
        <w:tc>
          <w:tcPr>
            <w:tcW w:w="925" w:type="dxa"/>
            <w:vAlign w:val="top"/>
          </w:tcPr>
          <w:p w14:paraId="74DA8CD1">
            <w:pPr>
              <w:rPr>
                <w:rFonts w:ascii="Arial"/>
                <w:color w:val="auto"/>
                <w:sz w:val="21"/>
                <w:highlight w:val="none"/>
              </w:rPr>
            </w:pPr>
          </w:p>
        </w:tc>
      </w:tr>
      <w:tr w14:paraId="566D8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83" w:type="dxa"/>
            <w:vAlign w:val="top"/>
          </w:tcPr>
          <w:p w14:paraId="3318EDB1">
            <w:pPr>
              <w:rPr>
                <w:rFonts w:ascii="Arial"/>
                <w:color w:val="auto"/>
                <w:sz w:val="21"/>
                <w:highlight w:val="none"/>
              </w:rPr>
            </w:pPr>
          </w:p>
        </w:tc>
        <w:tc>
          <w:tcPr>
            <w:tcW w:w="1420" w:type="dxa"/>
            <w:vAlign w:val="top"/>
          </w:tcPr>
          <w:p w14:paraId="3D1B808E">
            <w:pPr>
              <w:rPr>
                <w:rFonts w:ascii="Arial"/>
                <w:color w:val="auto"/>
                <w:sz w:val="21"/>
                <w:highlight w:val="none"/>
              </w:rPr>
            </w:pPr>
          </w:p>
        </w:tc>
        <w:tc>
          <w:tcPr>
            <w:tcW w:w="905" w:type="dxa"/>
            <w:vAlign w:val="top"/>
          </w:tcPr>
          <w:p w14:paraId="405EDF70">
            <w:pPr>
              <w:rPr>
                <w:rFonts w:ascii="Arial"/>
                <w:color w:val="auto"/>
                <w:sz w:val="21"/>
                <w:highlight w:val="none"/>
              </w:rPr>
            </w:pPr>
          </w:p>
        </w:tc>
        <w:tc>
          <w:tcPr>
            <w:tcW w:w="905" w:type="dxa"/>
            <w:tcBorders>
              <w:right w:val="single" w:color="000000" w:sz="4" w:space="0"/>
            </w:tcBorders>
            <w:vAlign w:val="top"/>
          </w:tcPr>
          <w:p w14:paraId="4B8DFB65">
            <w:pPr>
              <w:rPr>
                <w:rFonts w:ascii="Arial"/>
                <w:color w:val="auto"/>
                <w:sz w:val="21"/>
                <w:highlight w:val="none"/>
              </w:rPr>
            </w:pPr>
          </w:p>
        </w:tc>
        <w:tc>
          <w:tcPr>
            <w:tcW w:w="905" w:type="dxa"/>
            <w:tcBorders>
              <w:left w:val="single" w:color="000000" w:sz="4" w:space="0"/>
            </w:tcBorders>
            <w:vAlign w:val="top"/>
          </w:tcPr>
          <w:p w14:paraId="39DCDC00">
            <w:pPr>
              <w:rPr>
                <w:rFonts w:ascii="Arial"/>
                <w:color w:val="auto"/>
                <w:sz w:val="21"/>
                <w:highlight w:val="none"/>
              </w:rPr>
            </w:pPr>
          </w:p>
        </w:tc>
        <w:tc>
          <w:tcPr>
            <w:tcW w:w="910" w:type="dxa"/>
            <w:vAlign w:val="top"/>
          </w:tcPr>
          <w:p w14:paraId="39163C3F">
            <w:pPr>
              <w:rPr>
                <w:rFonts w:ascii="Arial"/>
                <w:color w:val="auto"/>
                <w:sz w:val="21"/>
                <w:highlight w:val="none"/>
              </w:rPr>
            </w:pPr>
          </w:p>
        </w:tc>
        <w:tc>
          <w:tcPr>
            <w:tcW w:w="901" w:type="dxa"/>
            <w:vAlign w:val="top"/>
          </w:tcPr>
          <w:p w14:paraId="6D02B511">
            <w:pPr>
              <w:rPr>
                <w:rFonts w:ascii="Arial"/>
                <w:color w:val="auto"/>
                <w:sz w:val="21"/>
                <w:highlight w:val="none"/>
              </w:rPr>
            </w:pPr>
          </w:p>
        </w:tc>
        <w:tc>
          <w:tcPr>
            <w:tcW w:w="904" w:type="dxa"/>
            <w:vAlign w:val="top"/>
          </w:tcPr>
          <w:p w14:paraId="3FBE3F67">
            <w:pPr>
              <w:rPr>
                <w:rFonts w:ascii="Arial"/>
                <w:color w:val="auto"/>
                <w:sz w:val="21"/>
                <w:highlight w:val="none"/>
              </w:rPr>
            </w:pPr>
          </w:p>
        </w:tc>
        <w:tc>
          <w:tcPr>
            <w:tcW w:w="925" w:type="dxa"/>
            <w:vAlign w:val="top"/>
          </w:tcPr>
          <w:p w14:paraId="157812C4">
            <w:pPr>
              <w:rPr>
                <w:rFonts w:ascii="Arial"/>
                <w:color w:val="auto"/>
                <w:sz w:val="21"/>
                <w:highlight w:val="none"/>
              </w:rPr>
            </w:pPr>
          </w:p>
        </w:tc>
      </w:tr>
      <w:tr w14:paraId="4BE8F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6B1977B1">
            <w:pPr>
              <w:rPr>
                <w:rFonts w:ascii="Arial"/>
                <w:color w:val="auto"/>
                <w:sz w:val="21"/>
                <w:highlight w:val="none"/>
              </w:rPr>
            </w:pPr>
          </w:p>
        </w:tc>
        <w:tc>
          <w:tcPr>
            <w:tcW w:w="1420" w:type="dxa"/>
            <w:vAlign w:val="top"/>
          </w:tcPr>
          <w:p w14:paraId="6CD8F62C">
            <w:pPr>
              <w:rPr>
                <w:rFonts w:ascii="Arial"/>
                <w:color w:val="auto"/>
                <w:sz w:val="21"/>
                <w:highlight w:val="none"/>
              </w:rPr>
            </w:pPr>
          </w:p>
        </w:tc>
        <w:tc>
          <w:tcPr>
            <w:tcW w:w="905" w:type="dxa"/>
            <w:vAlign w:val="top"/>
          </w:tcPr>
          <w:p w14:paraId="05212A3C">
            <w:pPr>
              <w:rPr>
                <w:rFonts w:ascii="Arial"/>
                <w:color w:val="auto"/>
                <w:sz w:val="21"/>
                <w:highlight w:val="none"/>
              </w:rPr>
            </w:pPr>
          </w:p>
        </w:tc>
        <w:tc>
          <w:tcPr>
            <w:tcW w:w="905" w:type="dxa"/>
            <w:tcBorders>
              <w:right w:val="single" w:color="000000" w:sz="4" w:space="0"/>
            </w:tcBorders>
            <w:vAlign w:val="top"/>
          </w:tcPr>
          <w:p w14:paraId="0BFD1A42">
            <w:pPr>
              <w:rPr>
                <w:rFonts w:ascii="Arial"/>
                <w:color w:val="auto"/>
                <w:sz w:val="21"/>
                <w:highlight w:val="none"/>
              </w:rPr>
            </w:pPr>
          </w:p>
        </w:tc>
        <w:tc>
          <w:tcPr>
            <w:tcW w:w="905" w:type="dxa"/>
            <w:tcBorders>
              <w:left w:val="single" w:color="000000" w:sz="4" w:space="0"/>
            </w:tcBorders>
            <w:vAlign w:val="top"/>
          </w:tcPr>
          <w:p w14:paraId="395A697F">
            <w:pPr>
              <w:rPr>
                <w:rFonts w:ascii="Arial"/>
                <w:color w:val="auto"/>
                <w:sz w:val="21"/>
                <w:highlight w:val="none"/>
              </w:rPr>
            </w:pPr>
          </w:p>
        </w:tc>
        <w:tc>
          <w:tcPr>
            <w:tcW w:w="910" w:type="dxa"/>
            <w:vAlign w:val="top"/>
          </w:tcPr>
          <w:p w14:paraId="35FF45D6">
            <w:pPr>
              <w:rPr>
                <w:rFonts w:ascii="Arial"/>
                <w:color w:val="auto"/>
                <w:sz w:val="21"/>
                <w:highlight w:val="none"/>
              </w:rPr>
            </w:pPr>
          </w:p>
        </w:tc>
        <w:tc>
          <w:tcPr>
            <w:tcW w:w="901" w:type="dxa"/>
            <w:vAlign w:val="top"/>
          </w:tcPr>
          <w:p w14:paraId="14028120">
            <w:pPr>
              <w:rPr>
                <w:rFonts w:ascii="Arial"/>
                <w:color w:val="auto"/>
                <w:sz w:val="21"/>
                <w:highlight w:val="none"/>
              </w:rPr>
            </w:pPr>
          </w:p>
        </w:tc>
        <w:tc>
          <w:tcPr>
            <w:tcW w:w="904" w:type="dxa"/>
            <w:vAlign w:val="top"/>
          </w:tcPr>
          <w:p w14:paraId="6503B0DA">
            <w:pPr>
              <w:rPr>
                <w:rFonts w:ascii="Arial"/>
                <w:color w:val="auto"/>
                <w:sz w:val="21"/>
                <w:highlight w:val="none"/>
              </w:rPr>
            </w:pPr>
          </w:p>
        </w:tc>
        <w:tc>
          <w:tcPr>
            <w:tcW w:w="925" w:type="dxa"/>
            <w:vAlign w:val="top"/>
          </w:tcPr>
          <w:p w14:paraId="1A324B72">
            <w:pPr>
              <w:rPr>
                <w:rFonts w:ascii="Arial"/>
                <w:color w:val="auto"/>
                <w:sz w:val="21"/>
                <w:highlight w:val="none"/>
              </w:rPr>
            </w:pPr>
          </w:p>
        </w:tc>
      </w:tr>
      <w:tr w14:paraId="2413B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00A56DBF">
            <w:pPr>
              <w:rPr>
                <w:rFonts w:ascii="Arial"/>
                <w:color w:val="auto"/>
                <w:sz w:val="21"/>
                <w:highlight w:val="none"/>
              </w:rPr>
            </w:pPr>
          </w:p>
        </w:tc>
        <w:tc>
          <w:tcPr>
            <w:tcW w:w="1420" w:type="dxa"/>
            <w:vAlign w:val="top"/>
          </w:tcPr>
          <w:p w14:paraId="10D645BD">
            <w:pPr>
              <w:rPr>
                <w:rFonts w:ascii="Arial"/>
                <w:color w:val="auto"/>
                <w:sz w:val="21"/>
                <w:highlight w:val="none"/>
              </w:rPr>
            </w:pPr>
          </w:p>
        </w:tc>
        <w:tc>
          <w:tcPr>
            <w:tcW w:w="905" w:type="dxa"/>
            <w:vAlign w:val="top"/>
          </w:tcPr>
          <w:p w14:paraId="32BDED16">
            <w:pPr>
              <w:rPr>
                <w:rFonts w:ascii="Arial"/>
                <w:color w:val="auto"/>
                <w:sz w:val="21"/>
                <w:highlight w:val="none"/>
              </w:rPr>
            </w:pPr>
          </w:p>
        </w:tc>
        <w:tc>
          <w:tcPr>
            <w:tcW w:w="905" w:type="dxa"/>
            <w:tcBorders>
              <w:right w:val="single" w:color="000000" w:sz="4" w:space="0"/>
            </w:tcBorders>
            <w:vAlign w:val="top"/>
          </w:tcPr>
          <w:p w14:paraId="186852BD">
            <w:pPr>
              <w:rPr>
                <w:rFonts w:ascii="Arial"/>
                <w:color w:val="auto"/>
                <w:sz w:val="21"/>
                <w:highlight w:val="none"/>
              </w:rPr>
            </w:pPr>
          </w:p>
        </w:tc>
        <w:tc>
          <w:tcPr>
            <w:tcW w:w="905" w:type="dxa"/>
            <w:tcBorders>
              <w:left w:val="single" w:color="000000" w:sz="4" w:space="0"/>
            </w:tcBorders>
            <w:vAlign w:val="top"/>
          </w:tcPr>
          <w:p w14:paraId="536849E9">
            <w:pPr>
              <w:rPr>
                <w:rFonts w:ascii="Arial"/>
                <w:color w:val="auto"/>
                <w:sz w:val="21"/>
                <w:highlight w:val="none"/>
              </w:rPr>
            </w:pPr>
          </w:p>
        </w:tc>
        <w:tc>
          <w:tcPr>
            <w:tcW w:w="910" w:type="dxa"/>
            <w:vAlign w:val="top"/>
          </w:tcPr>
          <w:p w14:paraId="6BAB3929">
            <w:pPr>
              <w:rPr>
                <w:rFonts w:ascii="Arial"/>
                <w:color w:val="auto"/>
                <w:sz w:val="21"/>
                <w:highlight w:val="none"/>
              </w:rPr>
            </w:pPr>
          </w:p>
        </w:tc>
        <w:tc>
          <w:tcPr>
            <w:tcW w:w="901" w:type="dxa"/>
            <w:vAlign w:val="top"/>
          </w:tcPr>
          <w:p w14:paraId="30E08E0E">
            <w:pPr>
              <w:rPr>
                <w:rFonts w:ascii="Arial"/>
                <w:color w:val="auto"/>
                <w:sz w:val="21"/>
                <w:highlight w:val="none"/>
              </w:rPr>
            </w:pPr>
          </w:p>
        </w:tc>
        <w:tc>
          <w:tcPr>
            <w:tcW w:w="904" w:type="dxa"/>
            <w:vAlign w:val="top"/>
          </w:tcPr>
          <w:p w14:paraId="4CF2EB8B">
            <w:pPr>
              <w:rPr>
                <w:rFonts w:ascii="Arial"/>
                <w:color w:val="auto"/>
                <w:sz w:val="21"/>
                <w:highlight w:val="none"/>
              </w:rPr>
            </w:pPr>
          </w:p>
        </w:tc>
        <w:tc>
          <w:tcPr>
            <w:tcW w:w="925" w:type="dxa"/>
            <w:vAlign w:val="top"/>
          </w:tcPr>
          <w:p w14:paraId="36B89F88">
            <w:pPr>
              <w:rPr>
                <w:rFonts w:ascii="Arial"/>
                <w:color w:val="auto"/>
                <w:sz w:val="21"/>
                <w:highlight w:val="none"/>
              </w:rPr>
            </w:pPr>
          </w:p>
        </w:tc>
      </w:tr>
      <w:tr w14:paraId="4CEC8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65019FED">
            <w:pPr>
              <w:rPr>
                <w:rFonts w:ascii="Arial"/>
                <w:color w:val="auto"/>
                <w:sz w:val="21"/>
                <w:highlight w:val="none"/>
              </w:rPr>
            </w:pPr>
          </w:p>
        </w:tc>
        <w:tc>
          <w:tcPr>
            <w:tcW w:w="1420" w:type="dxa"/>
            <w:vAlign w:val="top"/>
          </w:tcPr>
          <w:p w14:paraId="57646E11">
            <w:pPr>
              <w:rPr>
                <w:rFonts w:ascii="Arial"/>
                <w:color w:val="auto"/>
                <w:sz w:val="21"/>
                <w:highlight w:val="none"/>
              </w:rPr>
            </w:pPr>
          </w:p>
        </w:tc>
        <w:tc>
          <w:tcPr>
            <w:tcW w:w="905" w:type="dxa"/>
            <w:vAlign w:val="top"/>
          </w:tcPr>
          <w:p w14:paraId="156A589B">
            <w:pPr>
              <w:rPr>
                <w:rFonts w:ascii="Arial"/>
                <w:color w:val="auto"/>
                <w:sz w:val="21"/>
                <w:highlight w:val="none"/>
              </w:rPr>
            </w:pPr>
          </w:p>
        </w:tc>
        <w:tc>
          <w:tcPr>
            <w:tcW w:w="905" w:type="dxa"/>
            <w:tcBorders>
              <w:right w:val="single" w:color="000000" w:sz="4" w:space="0"/>
            </w:tcBorders>
            <w:vAlign w:val="top"/>
          </w:tcPr>
          <w:p w14:paraId="211C28F9">
            <w:pPr>
              <w:rPr>
                <w:rFonts w:ascii="Arial"/>
                <w:color w:val="auto"/>
                <w:sz w:val="21"/>
                <w:highlight w:val="none"/>
              </w:rPr>
            </w:pPr>
          </w:p>
        </w:tc>
        <w:tc>
          <w:tcPr>
            <w:tcW w:w="905" w:type="dxa"/>
            <w:tcBorders>
              <w:left w:val="single" w:color="000000" w:sz="4" w:space="0"/>
            </w:tcBorders>
            <w:vAlign w:val="top"/>
          </w:tcPr>
          <w:p w14:paraId="58352472">
            <w:pPr>
              <w:rPr>
                <w:rFonts w:ascii="Arial"/>
                <w:color w:val="auto"/>
                <w:sz w:val="21"/>
                <w:highlight w:val="none"/>
              </w:rPr>
            </w:pPr>
          </w:p>
        </w:tc>
        <w:tc>
          <w:tcPr>
            <w:tcW w:w="910" w:type="dxa"/>
            <w:vAlign w:val="top"/>
          </w:tcPr>
          <w:p w14:paraId="7CBE4E7F">
            <w:pPr>
              <w:rPr>
                <w:rFonts w:ascii="Arial"/>
                <w:color w:val="auto"/>
                <w:sz w:val="21"/>
                <w:highlight w:val="none"/>
              </w:rPr>
            </w:pPr>
          </w:p>
        </w:tc>
        <w:tc>
          <w:tcPr>
            <w:tcW w:w="901" w:type="dxa"/>
            <w:vAlign w:val="top"/>
          </w:tcPr>
          <w:p w14:paraId="1B9D245E">
            <w:pPr>
              <w:rPr>
                <w:rFonts w:ascii="Arial"/>
                <w:color w:val="auto"/>
                <w:sz w:val="21"/>
                <w:highlight w:val="none"/>
              </w:rPr>
            </w:pPr>
          </w:p>
        </w:tc>
        <w:tc>
          <w:tcPr>
            <w:tcW w:w="904" w:type="dxa"/>
            <w:vAlign w:val="top"/>
          </w:tcPr>
          <w:p w14:paraId="6A35C881">
            <w:pPr>
              <w:rPr>
                <w:rFonts w:ascii="Arial"/>
                <w:color w:val="auto"/>
                <w:sz w:val="21"/>
                <w:highlight w:val="none"/>
              </w:rPr>
            </w:pPr>
          </w:p>
        </w:tc>
        <w:tc>
          <w:tcPr>
            <w:tcW w:w="925" w:type="dxa"/>
            <w:vAlign w:val="top"/>
          </w:tcPr>
          <w:p w14:paraId="4295B380">
            <w:pPr>
              <w:rPr>
                <w:rFonts w:ascii="Arial"/>
                <w:color w:val="auto"/>
                <w:sz w:val="21"/>
                <w:highlight w:val="none"/>
              </w:rPr>
            </w:pPr>
          </w:p>
        </w:tc>
      </w:tr>
      <w:tr w14:paraId="1B707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7FB9A8EB">
            <w:pPr>
              <w:rPr>
                <w:rFonts w:ascii="Arial"/>
                <w:color w:val="auto"/>
                <w:sz w:val="21"/>
                <w:highlight w:val="none"/>
              </w:rPr>
            </w:pPr>
          </w:p>
        </w:tc>
        <w:tc>
          <w:tcPr>
            <w:tcW w:w="1420" w:type="dxa"/>
            <w:vAlign w:val="top"/>
          </w:tcPr>
          <w:p w14:paraId="1BFECBF0">
            <w:pPr>
              <w:rPr>
                <w:rFonts w:ascii="Arial"/>
                <w:color w:val="auto"/>
                <w:sz w:val="21"/>
                <w:highlight w:val="none"/>
              </w:rPr>
            </w:pPr>
          </w:p>
        </w:tc>
        <w:tc>
          <w:tcPr>
            <w:tcW w:w="905" w:type="dxa"/>
            <w:vAlign w:val="top"/>
          </w:tcPr>
          <w:p w14:paraId="407549A1">
            <w:pPr>
              <w:rPr>
                <w:rFonts w:ascii="Arial"/>
                <w:color w:val="auto"/>
                <w:sz w:val="21"/>
                <w:highlight w:val="none"/>
              </w:rPr>
            </w:pPr>
          </w:p>
        </w:tc>
        <w:tc>
          <w:tcPr>
            <w:tcW w:w="905" w:type="dxa"/>
            <w:tcBorders>
              <w:right w:val="single" w:color="000000" w:sz="4" w:space="0"/>
            </w:tcBorders>
            <w:vAlign w:val="top"/>
          </w:tcPr>
          <w:p w14:paraId="48E2FACE">
            <w:pPr>
              <w:rPr>
                <w:rFonts w:ascii="Arial"/>
                <w:color w:val="auto"/>
                <w:sz w:val="21"/>
                <w:highlight w:val="none"/>
              </w:rPr>
            </w:pPr>
          </w:p>
        </w:tc>
        <w:tc>
          <w:tcPr>
            <w:tcW w:w="905" w:type="dxa"/>
            <w:tcBorders>
              <w:left w:val="single" w:color="000000" w:sz="4" w:space="0"/>
            </w:tcBorders>
            <w:vAlign w:val="top"/>
          </w:tcPr>
          <w:p w14:paraId="1EA7615E">
            <w:pPr>
              <w:rPr>
                <w:rFonts w:ascii="Arial"/>
                <w:color w:val="auto"/>
                <w:sz w:val="21"/>
                <w:highlight w:val="none"/>
              </w:rPr>
            </w:pPr>
          </w:p>
        </w:tc>
        <w:tc>
          <w:tcPr>
            <w:tcW w:w="910" w:type="dxa"/>
            <w:vAlign w:val="top"/>
          </w:tcPr>
          <w:p w14:paraId="5E7DC77C">
            <w:pPr>
              <w:rPr>
                <w:rFonts w:ascii="Arial"/>
                <w:color w:val="auto"/>
                <w:sz w:val="21"/>
                <w:highlight w:val="none"/>
              </w:rPr>
            </w:pPr>
          </w:p>
        </w:tc>
        <w:tc>
          <w:tcPr>
            <w:tcW w:w="901" w:type="dxa"/>
            <w:vAlign w:val="top"/>
          </w:tcPr>
          <w:p w14:paraId="15038374">
            <w:pPr>
              <w:rPr>
                <w:rFonts w:ascii="Arial"/>
                <w:color w:val="auto"/>
                <w:sz w:val="21"/>
                <w:highlight w:val="none"/>
              </w:rPr>
            </w:pPr>
          </w:p>
        </w:tc>
        <w:tc>
          <w:tcPr>
            <w:tcW w:w="904" w:type="dxa"/>
            <w:vAlign w:val="top"/>
          </w:tcPr>
          <w:p w14:paraId="188E7727">
            <w:pPr>
              <w:rPr>
                <w:rFonts w:ascii="Arial"/>
                <w:color w:val="auto"/>
                <w:sz w:val="21"/>
                <w:highlight w:val="none"/>
              </w:rPr>
            </w:pPr>
          </w:p>
        </w:tc>
        <w:tc>
          <w:tcPr>
            <w:tcW w:w="925" w:type="dxa"/>
            <w:vAlign w:val="top"/>
          </w:tcPr>
          <w:p w14:paraId="2F120AAF">
            <w:pPr>
              <w:rPr>
                <w:rFonts w:ascii="Arial"/>
                <w:color w:val="auto"/>
                <w:sz w:val="21"/>
                <w:highlight w:val="none"/>
              </w:rPr>
            </w:pPr>
          </w:p>
        </w:tc>
      </w:tr>
      <w:tr w14:paraId="5E6E7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7E7D0FB8">
            <w:pPr>
              <w:rPr>
                <w:rFonts w:ascii="Arial"/>
                <w:color w:val="auto"/>
                <w:sz w:val="21"/>
                <w:highlight w:val="none"/>
              </w:rPr>
            </w:pPr>
          </w:p>
        </w:tc>
        <w:tc>
          <w:tcPr>
            <w:tcW w:w="1420" w:type="dxa"/>
            <w:vAlign w:val="top"/>
          </w:tcPr>
          <w:p w14:paraId="17710879">
            <w:pPr>
              <w:rPr>
                <w:rFonts w:ascii="Arial"/>
                <w:color w:val="auto"/>
                <w:sz w:val="21"/>
                <w:highlight w:val="none"/>
              </w:rPr>
            </w:pPr>
          </w:p>
        </w:tc>
        <w:tc>
          <w:tcPr>
            <w:tcW w:w="905" w:type="dxa"/>
            <w:vAlign w:val="top"/>
          </w:tcPr>
          <w:p w14:paraId="5088E7DE">
            <w:pPr>
              <w:rPr>
                <w:rFonts w:ascii="Arial"/>
                <w:color w:val="auto"/>
                <w:sz w:val="21"/>
                <w:highlight w:val="none"/>
              </w:rPr>
            </w:pPr>
          </w:p>
        </w:tc>
        <w:tc>
          <w:tcPr>
            <w:tcW w:w="905" w:type="dxa"/>
            <w:tcBorders>
              <w:right w:val="single" w:color="000000" w:sz="4" w:space="0"/>
            </w:tcBorders>
            <w:vAlign w:val="top"/>
          </w:tcPr>
          <w:p w14:paraId="548CABBA">
            <w:pPr>
              <w:rPr>
                <w:rFonts w:ascii="Arial"/>
                <w:color w:val="auto"/>
                <w:sz w:val="21"/>
                <w:highlight w:val="none"/>
              </w:rPr>
            </w:pPr>
          </w:p>
        </w:tc>
        <w:tc>
          <w:tcPr>
            <w:tcW w:w="905" w:type="dxa"/>
            <w:tcBorders>
              <w:left w:val="single" w:color="000000" w:sz="4" w:space="0"/>
            </w:tcBorders>
            <w:vAlign w:val="top"/>
          </w:tcPr>
          <w:p w14:paraId="7AFF341E">
            <w:pPr>
              <w:rPr>
                <w:rFonts w:ascii="Arial"/>
                <w:color w:val="auto"/>
                <w:sz w:val="21"/>
                <w:highlight w:val="none"/>
              </w:rPr>
            </w:pPr>
          </w:p>
        </w:tc>
        <w:tc>
          <w:tcPr>
            <w:tcW w:w="910" w:type="dxa"/>
            <w:vAlign w:val="top"/>
          </w:tcPr>
          <w:p w14:paraId="74805810">
            <w:pPr>
              <w:rPr>
                <w:rFonts w:ascii="Arial"/>
                <w:color w:val="auto"/>
                <w:sz w:val="21"/>
                <w:highlight w:val="none"/>
              </w:rPr>
            </w:pPr>
          </w:p>
        </w:tc>
        <w:tc>
          <w:tcPr>
            <w:tcW w:w="901" w:type="dxa"/>
            <w:vAlign w:val="top"/>
          </w:tcPr>
          <w:p w14:paraId="32AFF599">
            <w:pPr>
              <w:rPr>
                <w:rFonts w:ascii="Arial"/>
                <w:color w:val="auto"/>
                <w:sz w:val="21"/>
                <w:highlight w:val="none"/>
              </w:rPr>
            </w:pPr>
          </w:p>
        </w:tc>
        <w:tc>
          <w:tcPr>
            <w:tcW w:w="904" w:type="dxa"/>
            <w:vAlign w:val="top"/>
          </w:tcPr>
          <w:p w14:paraId="4DAF6C42">
            <w:pPr>
              <w:rPr>
                <w:rFonts w:ascii="Arial"/>
                <w:color w:val="auto"/>
                <w:sz w:val="21"/>
                <w:highlight w:val="none"/>
              </w:rPr>
            </w:pPr>
          </w:p>
        </w:tc>
        <w:tc>
          <w:tcPr>
            <w:tcW w:w="925" w:type="dxa"/>
            <w:vAlign w:val="top"/>
          </w:tcPr>
          <w:p w14:paraId="7A5BF1A8">
            <w:pPr>
              <w:rPr>
                <w:rFonts w:ascii="Arial"/>
                <w:color w:val="auto"/>
                <w:sz w:val="21"/>
                <w:highlight w:val="none"/>
              </w:rPr>
            </w:pPr>
          </w:p>
        </w:tc>
      </w:tr>
      <w:tr w14:paraId="765BB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583" w:type="dxa"/>
            <w:vAlign w:val="top"/>
          </w:tcPr>
          <w:p w14:paraId="6428E5D9">
            <w:pPr>
              <w:rPr>
                <w:rFonts w:ascii="Arial"/>
                <w:color w:val="auto"/>
                <w:sz w:val="21"/>
                <w:highlight w:val="none"/>
              </w:rPr>
            </w:pPr>
          </w:p>
        </w:tc>
        <w:tc>
          <w:tcPr>
            <w:tcW w:w="1420" w:type="dxa"/>
            <w:vAlign w:val="top"/>
          </w:tcPr>
          <w:p w14:paraId="23EF206B">
            <w:pPr>
              <w:rPr>
                <w:rFonts w:ascii="Arial"/>
                <w:color w:val="auto"/>
                <w:sz w:val="21"/>
                <w:highlight w:val="none"/>
              </w:rPr>
            </w:pPr>
          </w:p>
        </w:tc>
        <w:tc>
          <w:tcPr>
            <w:tcW w:w="905" w:type="dxa"/>
            <w:vAlign w:val="top"/>
          </w:tcPr>
          <w:p w14:paraId="07048596">
            <w:pPr>
              <w:rPr>
                <w:rFonts w:ascii="Arial"/>
                <w:color w:val="auto"/>
                <w:sz w:val="21"/>
                <w:highlight w:val="none"/>
              </w:rPr>
            </w:pPr>
          </w:p>
        </w:tc>
        <w:tc>
          <w:tcPr>
            <w:tcW w:w="905" w:type="dxa"/>
            <w:tcBorders>
              <w:right w:val="single" w:color="000000" w:sz="4" w:space="0"/>
            </w:tcBorders>
            <w:vAlign w:val="top"/>
          </w:tcPr>
          <w:p w14:paraId="0BDE28AD">
            <w:pPr>
              <w:rPr>
                <w:rFonts w:ascii="Arial"/>
                <w:color w:val="auto"/>
                <w:sz w:val="21"/>
                <w:highlight w:val="none"/>
              </w:rPr>
            </w:pPr>
          </w:p>
        </w:tc>
        <w:tc>
          <w:tcPr>
            <w:tcW w:w="905" w:type="dxa"/>
            <w:tcBorders>
              <w:left w:val="single" w:color="000000" w:sz="4" w:space="0"/>
            </w:tcBorders>
            <w:vAlign w:val="top"/>
          </w:tcPr>
          <w:p w14:paraId="51C44E06">
            <w:pPr>
              <w:rPr>
                <w:rFonts w:ascii="Arial"/>
                <w:color w:val="auto"/>
                <w:sz w:val="21"/>
                <w:highlight w:val="none"/>
              </w:rPr>
            </w:pPr>
          </w:p>
        </w:tc>
        <w:tc>
          <w:tcPr>
            <w:tcW w:w="910" w:type="dxa"/>
            <w:vAlign w:val="top"/>
          </w:tcPr>
          <w:p w14:paraId="0B6A3403">
            <w:pPr>
              <w:rPr>
                <w:rFonts w:ascii="Arial"/>
                <w:color w:val="auto"/>
                <w:sz w:val="21"/>
                <w:highlight w:val="none"/>
              </w:rPr>
            </w:pPr>
          </w:p>
        </w:tc>
        <w:tc>
          <w:tcPr>
            <w:tcW w:w="901" w:type="dxa"/>
            <w:vAlign w:val="top"/>
          </w:tcPr>
          <w:p w14:paraId="28337610">
            <w:pPr>
              <w:rPr>
                <w:rFonts w:ascii="Arial"/>
                <w:color w:val="auto"/>
                <w:sz w:val="21"/>
                <w:highlight w:val="none"/>
              </w:rPr>
            </w:pPr>
          </w:p>
        </w:tc>
        <w:tc>
          <w:tcPr>
            <w:tcW w:w="904" w:type="dxa"/>
            <w:vAlign w:val="top"/>
          </w:tcPr>
          <w:p w14:paraId="2B63D59D">
            <w:pPr>
              <w:rPr>
                <w:rFonts w:ascii="Arial"/>
                <w:color w:val="auto"/>
                <w:sz w:val="21"/>
                <w:highlight w:val="none"/>
              </w:rPr>
            </w:pPr>
          </w:p>
        </w:tc>
        <w:tc>
          <w:tcPr>
            <w:tcW w:w="925" w:type="dxa"/>
            <w:vAlign w:val="top"/>
          </w:tcPr>
          <w:p w14:paraId="592FDB3B">
            <w:pPr>
              <w:rPr>
                <w:rFonts w:ascii="Arial"/>
                <w:color w:val="auto"/>
                <w:sz w:val="21"/>
                <w:highlight w:val="none"/>
              </w:rPr>
            </w:pPr>
          </w:p>
        </w:tc>
      </w:tr>
      <w:tr w14:paraId="53CB5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6DEDC91D">
            <w:pPr>
              <w:rPr>
                <w:rFonts w:ascii="Arial"/>
                <w:color w:val="auto"/>
                <w:sz w:val="21"/>
                <w:highlight w:val="none"/>
              </w:rPr>
            </w:pPr>
          </w:p>
        </w:tc>
        <w:tc>
          <w:tcPr>
            <w:tcW w:w="1420" w:type="dxa"/>
            <w:vAlign w:val="top"/>
          </w:tcPr>
          <w:p w14:paraId="53E2B0E0">
            <w:pPr>
              <w:rPr>
                <w:rFonts w:ascii="Arial"/>
                <w:color w:val="auto"/>
                <w:sz w:val="21"/>
                <w:highlight w:val="none"/>
              </w:rPr>
            </w:pPr>
          </w:p>
        </w:tc>
        <w:tc>
          <w:tcPr>
            <w:tcW w:w="905" w:type="dxa"/>
            <w:vAlign w:val="top"/>
          </w:tcPr>
          <w:p w14:paraId="4779B0C6">
            <w:pPr>
              <w:rPr>
                <w:rFonts w:ascii="Arial"/>
                <w:color w:val="auto"/>
                <w:sz w:val="21"/>
                <w:highlight w:val="none"/>
              </w:rPr>
            </w:pPr>
          </w:p>
        </w:tc>
        <w:tc>
          <w:tcPr>
            <w:tcW w:w="905" w:type="dxa"/>
            <w:tcBorders>
              <w:right w:val="single" w:color="000000" w:sz="4" w:space="0"/>
            </w:tcBorders>
            <w:vAlign w:val="top"/>
          </w:tcPr>
          <w:p w14:paraId="37299885">
            <w:pPr>
              <w:rPr>
                <w:rFonts w:ascii="Arial"/>
                <w:color w:val="auto"/>
                <w:sz w:val="21"/>
                <w:highlight w:val="none"/>
              </w:rPr>
            </w:pPr>
          </w:p>
        </w:tc>
        <w:tc>
          <w:tcPr>
            <w:tcW w:w="905" w:type="dxa"/>
            <w:tcBorders>
              <w:left w:val="single" w:color="000000" w:sz="4" w:space="0"/>
            </w:tcBorders>
            <w:vAlign w:val="top"/>
          </w:tcPr>
          <w:p w14:paraId="3609718E">
            <w:pPr>
              <w:rPr>
                <w:rFonts w:ascii="Arial"/>
                <w:color w:val="auto"/>
                <w:sz w:val="21"/>
                <w:highlight w:val="none"/>
              </w:rPr>
            </w:pPr>
          </w:p>
        </w:tc>
        <w:tc>
          <w:tcPr>
            <w:tcW w:w="910" w:type="dxa"/>
            <w:vAlign w:val="top"/>
          </w:tcPr>
          <w:p w14:paraId="4B53A6D8">
            <w:pPr>
              <w:rPr>
                <w:rFonts w:ascii="Arial"/>
                <w:color w:val="auto"/>
                <w:sz w:val="21"/>
                <w:highlight w:val="none"/>
              </w:rPr>
            </w:pPr>
          </w:p>
        </w:tc>
        <w:tc>
          <w:tcPr>
            <w:tcW w:w="901" w:type="dxa"/>
            <w:vAlign w:val="top"/>
          </w:tcPr>
          <w:p w14:paraId="6546B04F">
            <w:pPr>
              <w:rPr>
                <w:rFonts w:ascii="Arial"/>
                <w:color w:val="auto"/>
                <w:sz w:val="21"/>
                <w:highlight w:val="none"/>
              </w:rPr>
            </w:pPr>
          </w:p>
        </w:tc>
        <w:tc>
          <w:tcPr>
            <w:tcW w:w="904" w:type="dxa"/>
            <w:vAlign w:val="top"/>
          </w:tcPr>
          <w:p w14:paraId="2FF4B5B2">
            <w:pPr>
              <w:rPr>
                <w:rFonts w:ascii="Arial"/>
                <w:color w:val="auto"/>
                <w:sz w:val="21"/>
                <w:highlight w:val="none"/>
              </w:rPr>
            </w:pPr>
          </w:p>
        </w:tc>
        <w:tc>
          <w:tcPr>
            <w:tcW w:w="925" w:type="dxa"/>
            <w:vAlign w:val="top"/>
          </w:tcPr>
          <w:p w14:paraId="1EBDCCC5">
            <w:pPr>
              <w:rPr>
                <w:rFonts w:ascii="Arial"/>
                <w:color w:val="auto"/>
                <w:sz w:val="21"/>
                <w:highlight w:val="none"/>
              </w:rPr>
            </w:pPr>
          </w:p>
        </w:tc>
      </w:tr>
      <w:tr w14:paraId="6E1BD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583" w:type="dxa"/>
            <w:vAlign w:val="top"/>
          </w:tcPr>
          <w:p w14:paraId="222E4F92">
            <w:pPr>
              <w:rPr>
                <w:rFonts w:ascii="Arial"/>
                <w:color w:val="auto"/>
                <w:sz w:val="21"/>
                <w:highlight w:val="none"/>
              </w:rPr>
            </w:pPr>
          </w:p>
        </w:tc>
        <w:tc>
          <w:tcPr>
            <w:tcW w:w="1420" w:type="dxa"/>
            <w:vAlign w:val="top"/>
          </w:tcPr>
          <w:p w14:paraId="1BE0B413">
            <w:pPr>
              <w:rPr>
                <w:rFonts w:ascii="Arial"/>
                <w:color w:val="auto"/>
                <w:sz w:val="21"/>
                <w:highlight w:val="none"/>
              </w:rPr>
            </w:pPr>
          </w:p>
        </w:tc>
        <w:tc>
          <w:tcPr>
            <w:tcW w:w="905" w:type="dxa"/>
            <w:vAlign w:val="top"/>
          </w:tcPr>
          <w:p w14:paraId="3DF6F128">
            <w:pPr>
              <w:rPr>
                <w:rFonts w:ascii="Arial"/>
                <w:color w:val="auto"/>
                <w:sz w:val="21"/>
                <w:highlight w:val="none"/>
              </w:rPr>
            </w:pPr>
          </w:p>
        </w:tc>
        <w:tc>
          <w:tcPr>
            <w:tcW w:w="905" w:type="dxa"/>
            <w:tcBorders>
              <w:right w:val="single" w:color="000000" w:sz="4" w:space="0"/>
            </w:tcBorders>
            <w:vAlign w:val="top"/>
          </w:tcPr>
          <w:p w14:paraId="3FF46DC1">
            <w:pPr>
              <w:rPr>
                <w:rFonts w:ascii="Arial"/>
                <w:color w:val="auto"/>
                <w:sz w:val="21"/>
                <w:highlight w:val="none"/>
              </w:rPr>
            </w:pPr>
          </w:p>
        </w:tc>
        <w:tc>
          <w:tcPr>
            <w:tcW w:w="905" w:type="dxa"/>
            <w:tcBorders>
              <w:left w:val="single" w:color="000000" w:sz="4" w:space="0"/>
            </w:tcBorders>
            <w:vAlign w:val="top"/>
          </w:tcPr>
          <w:p w14:paraId="41047547">
            <w:pPr>
              <w:rPr>
                <w:rFonts w:ascii="Arial"/>
                <w:color w:val="auto"/>
                <w:sz w:val="21"/>
                <w:highlight w:val="none"/>
              </w:rPr>
            </w:pPr>
          </w:p>
        </w:tc>
        <w:tc>
          <w:tcPr>
            <w:tcW w:w="910" w:type="dxa"/>
            <w:vAlign w:val="top"/>
          </w:tcPr>
          <w:p w14:paraId="16A13692">
            <w:pPr>
              <w:rPr>
                <w:rFonts w:ascii="Arial"/>
                <w:color w:val="auto"/>
                <w:sz w:val="21"/>
                <w:highlight w:val="none"/>
              </w:rPr>
            </w:pPr>
          </w:p>
        </w:tc>
        <w:tc>
          <w:tcPr>
            <w:tcW w:w="901" w:type="dxa"/>
            <w:vAlign w:val="top"/>
          </w:tcPr>
          <w:p w14:paraId="4B3D6960">
            <w:pPr>
              <w:rPr>
                <w:rFonts w:ascii="Arial"/>
                <w:color w:val="auto"/>
                <w:sz w:val="21"/>
                <w:highlight w:val="none"/>
              </w:rPr>
            </w:pPr>
          </w:p>
        </w:tc>
        <w:tc>
          <w:tcPr>
            <w:tcW w:w="904" w:type="dxa"/>
            <w:vAlign w:val="top"/>
          </w:tcPr>
          <w:p w14:paraId="229D2933">
            <w:pPr>
              <w:rPr>
                <w:rFonts w:ascii="Arial"/>
                <w:color w:val="auto"/>
                <w:sz w:val="21"/>
                <w:highlight w:val="none"/>
              </w:rPr>
            </w:pPr>
          </w:p>
        </w:tc>
        <w:tc>
          <w:tcPr>
            <w:tcW w:w="925" w:type="dxa"/>
            <w:vAlign w:val="top"/>
          </w:tcPr>
          <w:p w14:paraId="6E7C81EE">
            <w:pPr>
              <w:rPr>
                <w:rFonts w:ascii="Arial"/>
                <w:color w:val="auto"/>
                <w:sz w:val="21"/>
                <w:highlight w:val="none"/>
              </w:rPr>
            </w:pPr>
          </w:p>
        </w:tc>
      </w:tr>
    </w:tbl>
    <w:p w14:paraId="7DDAD165">
      <w:pPr>
        <w:rPr>
          <w:rFonts w:ascii="Arial"/>
          <w:color w:val="auto"/>
          <w:sz w:val="21"/>
          <w:highlight w:val="none"/>
        </w:rPr>
      </w:pPr>
    </w:p>
    <w:p w14:paraId="2ABDDEC6">
      <w:pPr>
        <w:rPr>
          <w:rFonts w:ascii="Arial" w:hAnsi="Arial" w:eastAsia="Arial" w:cs="Arial"/>
          <w:color w:val="auto"/>
          <w:sz w:val="21"/>
          <w:szCs w:val="21"/>
          <w:highlight w:val="none"/>
        </w:rPr>
        <w:sectPr>
          <w:footerReference r:id="rId58" w:type="default"/>
          <w:pgSz w:w="11900" w:h="16832"/>
          <w:pgMar w:top="1421" w:right="1766" w:bottom="808" w:left="1769" w:header="0" w:footer="647" w:gutter="0"/>
          <w:pgNumType w:fmt="decimal"/>
          <w:cols w:space="720" w:num="1"/>
        </w:sectPr>
      </w:pPr>
    </w:p>
    <w:p w14:paraId="7F0BC74A">
      <w:pPr>
        <w:spacing w:before="56" w:line="219" w:lineRule="auto"/>
        <w:ind w:left="81"/>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附件三：拟投入本合同工程的劳动力计划表</w:t>
      </w:r>
    </w:p>
    <w:p w14:paraId="16F56D64">
      <w:pPr>
        <w:spacing w:line="392" w:lineRule="auto"/>
        <w:rPr>
          <w:rFonts w:ascii="Arial"/>
          <w:color w:val="auto"/>
          <w:sz w:val="21"/>
          <w:highlight w:val="none"/>
        </w:rPr>
      </w:pPr>
    </w:p>
    <w:p w14:paraId="666B6F3A">
      <w:pPr>
        <w:spacing w:before="91" w:line="219" w:lineRule="auto"/>
        <w:ind w:left="2097"/>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拟投入本合同工程的劳动力计划表</w:t>
      </w:r>
    </w:p>
    <w:p w14:paraId="2F9B5829">
      <w:pPr>
        <w:spacing w:before="10"/>
        <w:rPr>
          <w:color w:val="auto"/>
          <w:highlight w:val="none"/>
        </w:rPr>
      </w:pPr>
    </w:p>
    <w:tbl>
      <w:tblPr>
        <w:tblStyle w:val="16"/>
        <w:tblW w:w="83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5"/>
        <w:gridCol w:w="1425"/>
        <w:gridCol w:w="636"/>
        <w:gridCol w:w="643"/>
        <w:gridCol w:w="637"/>
        <w:gridCol w:w="642"/>
        <w:gridCol w:w="650"/>
        <w:gridCol w:w="1132"/>
        <w:gridCol w:w="1153"/>
      </w:tblGrid>
      <w:tr w14:paraId="1D05A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2880" w:type="dxa"/>
            <w:gridSpan w:val="2"/>
            <w:tcBorders>
              <w:bottom w:val="nil"/>
              <w:tl2br w:val="single" w:color="000000" w:sz="6" w:space="0"/>
            </w:tcBorders>
            <w:vAlign w:val="top"/>
          </w:tcPr>
          <w:p w14:paraId="0B536FFF">
            <w:pPr>
              <w:pStyle w:val="17"/>
              <w:spacing w:before="46" w:line="221" w:lineRule="auto"/>
              <w:ind w:left="2315"/>
              <w:rPr>
                <w:color w:val="auto"/>
                <w:highlight w:val="none"/>
              </w:rPr>
            </w:pPr>
            <w:r>
              <w:rPr>
                <w:color w:val="auto"/>
                <w:spacing w:val="-3"/>
                <w:highlight w:val="none"/>
              </w:rPr>
              <w:t>工种</w:t>
            </w:r>
          </w:p>
          <w:p w14:paraId="140638D7">
            <w:pPr>
              <w:pStyle w:val="17"/>
              <w:spacing w:before="14" w:line="221" w:lineRule="auto"/>
              <w:ind w:left="1094"/>
              <w:rPr>
                <w:color w:val="auto"/>
                <w:highlight w:val="none"/>
              </w:rPr>
            </w:pPr>
            <w:r>
              <w:rPr>
                <w:color w:val="auto"/>
                <w:highlight w:val="none"/>
              </w:rPr>
              <w:pict>
                <v:shape id="_x0000_s1060" o:spid="_x0000_s1060" style="position:absolute;left:0pt;margin-left:-0.25pt;margin-top:-15.15pt;height:58.15pt;width:90.5pt;z-index:-251656192;mso-width-relative:page;mso-height-relative:page;" filled="f" stroked="t" coordsize="1810,1163" path="m7,7l1801,1155e">
                  <v:fill on="f" focussize="0,0"/>
                  <v:stroke color="#000000" miterlimit="10" endcap="round"/>
                  <v:imagedata o:title=""/>
                  <o:lock v:ext="edit"/>
                </v:shape>
              </w:pict>
            </w:r>
            <w:r>
              <w:rPr>
                <w:color w:val="auto"/>
                <w:spacing w:val="-2"/>
                <w:highlight w:val="none"/>
              </w:rPr>
              <w:t>人数</w:t>
            </w:r>
          </w:p>
        </w:tc>
        <w:tc>
          <w:tcPr>
            <w:tcW w:w="636" w:type="dxa"/>
            <w:vMerge w:val="restart"/>
            <w:tcBorders>
              <w:bottom w:val="nil"/>
            </w:tcBorders>
            <w:vAlign w:val="top"/>
          </w:tcPr>
          <w:p w14:paraId="2F2F5919">
            <w:pPr>
              <w:rPr>
                <w:rFonts w:ascii="Arial"/>
                <w:color w:val="auto"/>
                <w:sz w:val="21"/>
                <w:highlight w:val="none"/>
              </w:rPr>
            </w:pPr>
          </w:p>
        </w:tc>
        <w:tc>
          <w:tcPr>
            <w:tcW w:w="643" w:type="dxa"/>
            <w:vMerge w:val="restart"/>
            <w:tcBorders>
              <w:bottom w:val="nil"/>
            </w:tcBorders>
            <w:vAlign w:val="top"/>
          </w:tcPr>
          <w:p w14:paraId="720665AF">
            <w:pPr>
              <w:rPr>
                <w:rFonts w:ascii="Arial"/>
                <w:color w:val="auto"/>
                <w:sz w:val="21"/>
                <w:highlight w:val="none"/>
              </w:rPr>
            </w:pPr>
          </w:p>
        </w:tc>
        <w:tc>
          <w:tcPr>
            <w:tcW w:w="637" w:type="dxa"/>
            <w:vMerge w:val="restart"/>
            <w:tcBorders>
              <w:bottom w:val="nil"/>
            </w:tcBorders>
            <w:vAlign w:val="top"/>
          </w:tcPr>
          <w:p w14:paraId="6B9A52B5">
            <w:pPr>
              <w:rPr>
                <w:rFonts w:ascii="Arial"/>
                <w:color w:val="auto"/>
                <w:sz w:val="21"/>
                <w:highlight w:val="none"/>
              </w:rPr>
            </w:pPr>
          </w:p>
        </w:tc>
        <w:tc>
          <w:tcPr>
            <w:tcW w:w="642" w:type="dxa"/>
            <w:vMerge w:val="restart"/>
            <w:tcBorders>
              <w:bottom w:val="nil"/>
            </w:tcBorders>
            <w:vAlign w:val="top"/>
          </w:tcPr>
          <w:p w14:paraId="2984D6C4">
            <w:pPr>
              <w:rPr>
                <w:rFonts w:ascii="Arial"/>
                <w:color w:val="auto"/>
                <w:sz w:val="21"/>
                <w:highlight w:val="none"/>
              </w:rPr>
            </w:pPr>
          </w:p>
        </w:tc>
        <w:tc>
          <w:tcPr>
            <w:tcW w:w="650" w:type="dxa"/>
            <w:vMerge w:val="restart"/>
            <w:tcBorders>
              <w:bottom w:val="nil"/>
            </w:tcBorders>
            <w:vAlign w:val="top"/>
          </w:tcPr>
          <w:p w14:paraId="1355ACA0">
            <w:pPr>
              <w:rPr>
                <w:rFonts w:ascii="Arial"/>
                <w:color w:val="auto"/>
                <w:sz w:val="21"/>
                <w:highlight w:val="none"/>
              </w:rPr>
            </w:pPr>
          </w:p>
        </w:tc>
        <w:tc>
          <w:tcPr>
            <w:tcW w:w="2285" w:type="dxa"/>
            <w:gridSpan w:val="2"/>
            <w:vAlign w:val="top"/>
          </w:tcPr>
          <w:p w14:paraId="0FD21ABC">
            <w:pPr>
              <w:pStyle w:val="17"/>
              <w:spacing w:before="192" w:line="222" w:lineRule="auto"/>
              <w:ind w:left="887"/>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r>
      <w:tr w14:paraId="330E4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880" w:type="dxa"/>
            <w:gridSpan w:val="2"/>
            <w:tcBorders>
              <w:top w:val="nil"/>
            </w:tcBorders>
            <w:vAlign w:val="top"/>
          </w:tcPr>
          <w:p w14:paraId="77441AE5">
            <w:pPr>
              <w:pStyle w:val="17"/>
              <w:spacing w:line="211" w:lineRule="auto"/>
              <w:ind w:left="222"/>
              <w:rPr>
                <w:color w:val="auto"/>
                <w:highlight w:val="none"/>
              </w:rPr>
            </w:pPr>
            <w:r>
              <w:rPr>
                <w:color w:val="auto"/>
                <w:spacing w:val="-4"/>
                <w:highlight w:val="none"/>
              </w:rPr>
              <w:t>时间</w:t>
            </w:r>
          </w:p>
        </w:tc>
        <w:tc>
          <w:tcPr>
            <w:tcW w:w="636" w:type="dxa"/>
            <w:vMerge w:val="continue"/>
            <w:tcBorders>
              <w:top w:val="nil"/>
            </w:tcBorders>
            <w:vAlign w:val="top"/>
          </w:tcPr>
          <w:p w14:paraId="31781A20">
            <w:pPr>
              <w:rPr>
                <w:rFonts w:ascii="Arial"/>
                <w:color w:val="auto"/>
                <w:sz w:val="21"/>
                <w:highlight w:val="none"/>
              </w:rPr>
            </w:pPr>
          </w:p>
        </w:tc>
        <w:tc>
          <w:tcPr>
            <w:tcW w:w="643" w:type="dxa"/>
            <w:vMerge w:val="continue"/>
            <w:tcBorders>
              <w:top w:val="nil"/>
            </w:tcBorders>
            <w:vAlign w:val="top"/>
          </w:tcPr>
          <w:p w14:paraId="354FD7E4">
            <w:pPr>
              <w:rPr>
                <w:rFonts w:ascii="Arial"/>
                <w:color w:val="auto"/>
                <w:sz w:val="21"/>
                <w:highlight w:val="none"/>
              </w:rPr>
            </w:pPr>
          </w:p>
        </w:tc>
        <w:tc>
          <w:tcPr>
            <w:tcW w:w="637" w:type="dxa"/>
            <w:vMerge w:val="continue"/>
            <w:tcBorders>
              <w:top w:val="nil"/>
            </w:tcBorders>
            <w:vAlign w:val="top"/>
          </w:tcPr>
          <w:p w14:paraId="6DBE823F">
            <w:pPr>
              <w:rPr>
                <w:rFonts w:ascii="Arial"/>
                <w:color w:val="auto"/>
                <w:sz w:val="21"/>
                <w:highlight w:val="none"/>
              </w:rPr>
            </w:pPr>
          </w:p>
        </w:tc>
        <w:tc>
          <w:tcPr>
            <w:tcW w:w="642" w:type="dxa"/>
            <w:vMerge w:val="continue"/>
            <w:tcBorders>
              <w:top w:val="nil"/>
            </w:tcBorders>
            <w:vAlign w:val="top"/>
          </w:tcPr>
          <w:p w14:paraId="57DD317B">
            <w:pPr>
              <w:rPr>
                <w:rFonts w:ascii="Arial"/>
                <w:color w:val="auto"/>
                <w:sz w:val="21"/>
                <w:highlight w:val="none"/>
              </w:rPr>
            </w:pPr>
          </w:p>
        </w:tc>
        <w:tc>
          <w:tcPr>
            <w:tcW w:w="650" w:type="dxa"/>
            <w:vMerge w:val="continue"/>
            <w:tcBorders>
              <w:top w:val="nil"/>
            </w:tcBorders>
            <w:vAlign w:val="top"/>
          </w:tcPr>
          <w:p w14:paraId="724B2A7B">
            <w:pPr>
              <w:rPr>
                <w:rFonts w:ascii="Arial"/>
                <w:color w:val="auto"/>
                <w:sz w:val="21"/>
                <w:highlight w:val="none"/>
              </w:rPr>
            </w:pPr>
          </w:p>
        </w:tc>
        <w:tc>
          <w:tcPr>
            <w:tcW w:w="1132" w:type="dxa"/>
            <w:vAlign w:val="top"/>
          </w:tcPr>
          <w:p w14:paraId="327BC157">
            <w:pPr>
              <w:pStyle w:val="17"/>
              <w:spacing w:before="171" w:line="221" w:lineRule="auto"/>
              <w:ind w:left="370"/>
              <w:rPr>
                <w:color w:val="auto"/>
                <w:highlight w:val="none"/>
              </w:rPr>
            </w:pPr>
            <w:r>
              <w:rPr>
                <w:color w:val="auto"/>
                <w:spacing w:val="-2"/>
                <w:highlight w:val="none"/>
              </w:rPr>
              <w:t>人数</w:t>
            </w:r>
          </w:p>
        </w:tc>
        <w:tc>
          <w:tcPr>
            <w:tcW w:w="1153" w:type="dxa"/>
            <w:vAlign w:val="top"/>
          </w:tcPr>
          <w:p w14:paraId="27468A93">
            <w:pPr>
              <w:pStyle w:val="17"/>
              <w:spacing w:before="171" w:line="221" w:lineRule="auto"/>
              <w:ind w:left="61"/>
              <w:rPr>
                <w:color w:val="auto"/>
                <w:highlight w:val="none"/>
              </w:rPr>
            </w:pPr>
            <w:r>
              <w:rPr>
                <w:color w:val="auto"/>
                <w:spacing w:val="-2"/>
                <w:highlight w:val="none"/>
              </w:rPr>
              <w:t>人工工日数</w:t>
            </w:r>
          </w:p>
        </w:tc>
      </w:tr>
      <w:tr w14:paraId="15E9E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55" w:type="dxa"/>
            <w:vMerge w:val="restart"/>
            <w:tcBorders>
              <w:bottom w:val="nil"/>
            </w:tcBorders>
            <w:vAlign w:val="top"/>
          </w:tcPr>
          <w:p w14:paraId="3E7BD22D">
            <w:pPr>
              <w:spacing w:line="256" w:lineRule="auto"/>
              <w:rPr>
                <w:rFonts w:ascii="Arial"/>
                <w:color w:val="auto"/>
                <w:sz w:val="21"/>
                <w:highlight w:val="none"/>
              </w:rPr>
            </w:pPr>
          </w:p>
          <w:p w14:paraId="23E8B360">
            <w:pPr>
              <w:spacing w:line="256" w:lineRule="auto"/>
              <w:rPr>
                <w:rFonts w:ascii="Arial"/>
                <w:color w:val="auto"/>
                <w:sz w:val="21"/>
                <w:highlight w:val="none"/>
              </w:rPr>
            </w:pPr>
          </w:p>
          <w:p w14:paraId="783B95B3">
            <w:pPr>
              <w:spacing w:line="256" w:lineRule="auto"/>
              <w:rPr>
                <w:rFonts w:ascii="Arial"/>
                <w:color w:val="auto"/>
                <w:sz w:val="21"/>
                <w:highlight w:val="none"/>
              </w:rPr>
            </w:pPr>
          </w:p>
          <w:p w14:paraId="15160804">
            <w:pPr>
              <w:spacing w:line="256" w:lineRule="auto"/>
              <w:rPr>
                <w:rFonts w:ascii="Arial"/>
                <w:color w:val="auto"/>
                <w:sz w:val="21"/>
                <w:highlight w:val="none"/>
              </w:rPr>
            </w:pPr>
          </w:p>
          <w:p w14:paraId="40183F91">
            <w:pPr>
              <w:spacing w:line="256" w:lineRule="auto"/>
              <w:rPr>
                <w:rFonts w:ascii="Arial"/>
                <w:color w:val="auto"/>
                <w:sz w:val="21"/>
                <w:highlight w:val="none"/>
              </w:rPr>
            </w:pPr>
          </w:p>
          <w:p w14:paraId="04789B57">
            <w:pPr>
              <w:spacing w:line="256" w:lineRule="auto"/>
              <w:rPr>
                <w:rFonts w:ascii="Arial"/>
                <w:color w:val="auto"/>
                <w:sz w:val="21"/>
                <w:highlight w:val="none"/>
              </w:rPr>
            </w:pPr>
          </w:p>
          <w:p w14:paraId="294C310E">
            <w:pPr>
              <w:spacing w:line="256" w:lineRule="auto"/>
              <w:rPr>
                <w:rFonts w:ascii="Arial"/>
                <w:color w:val="auto"/>
                <w:sz w:val="21"/>
                <w:highlight w:val="none"/>
              </w:rPr>
            </w:pPr>
          </w:p>
          <w:p w14:paraId="64E5636D">
            <w:pPr>
              <w:pStyle w:val="17"/>
              <w:spacing w:before="68" w:line="221" w:lineRule="auto"/>
              <w:ind w:left="1153"/>
              <w:rPr>
                <w:color w:val="auto"/>
                <w:highlight w:val="none"/>
              </w:rPr>
            </w:pPr>
            <w:r>
              <w:rPr>
                <w:color w:val="auto"/>
                <w:highlight w:val="none"/>
              </w:rPr>
              <w:t>年</w:t>
            </w:r>
          </w:p>
        </w:tc>
        <w:tc>
          <w:tcPr>
            <w:tcW w:w="1425" w:type="dxa"/>
            <w:vAlign w:val="top"/>
          </w:tcPr>
          <w:p w14:paraId="3EDC551F">
            <w:pPr>
              <w:pStyle w:val="17"/>
              <w:spacing w:before="171" w:line="221" w:lineRule="auto"/>
              <w:ind w:left="1131"/>
              <w:rPr>
                <w:color w:val="auto"/>
                <w:highlight w:val="none"/>
              </w:rPr>
            </w:pPr>
            <w:r>
              <w:rPr>
                <w:color w:val="auto"/>
                <w:highlight w:val="none"/>
              </w:rPr>
              <w:t>月</w:t>
            </w:r>
          </w:p>
        </w:tc>
        <w:tc>
          <w:tcPr>
            <w:tcW w:w="636" w:type="dxa"/>
            <w:vAlign w:val="top"/>
          </w:tcPr>
          <w:p w14:paraId="2B89CE21">
            <w:pPr>
              <w:rPr>
                <w:rFonts w:ascii="Arial"/>
                <w:color w:val="auto"/>
                <w:sz w:val="21"/>
                <w:highlight w:val="none"/>
              </w:rPr>
            </w:pPr>
          </w:p>
        </w:tc>
        <w:tc>
          <w:tcPr>
            <w:tcW w:w="643" w:type="dxa"/>
            <w:vAlign w:val="top"/>
          </w:tcPr>
          <w:p w14:paraId="07537F60">
            <w:pPr>
              <w:rPr>
                <w:rFonts w:ascii="Arial"/>
                <w:color w:val="auto"/>
                <w:sz w:val="21"/>
                <w:highlight w:val="none"/>
              </w:rPr>
            </w:pPr>
          </w:p>
        </w:tc>
        <w:tc>
          <w:tcPr>
            <w:tcW w:w="637" w:type="dxa"/>
            <w:vAlign w:val="top"/>
          </w:tcPr>
          <w:p w14:paraId="3A361A93">
            <w:pPr>
              <w:rPr>
                <w:rFonts w:ascii="Arial"/>
                <w:color w:val="auto"/>
                <w:sz w:val="21"/>
                <w:highlight w:val="none"/>
              </w:rPr>
            </w:pPr>
          </w:p>
        </w:tc>
        <w:tc>
          <w:tcPr>
            <w:tcW w:w="642" w:type="dxa"/>
            <w:vAlign w:val="top"/>
          </w:tcPr>
          <w:p w14:paraId="54554650">
            <w:pPr>
              <w:rPr>
                <w:rFonts w:ascii="Arial"/>
                <w:color w:val="auto"/>
                <w:sz w:val="21"/>
                <w:highlight w:val="none"/>
              </w:rPr>
            </w:pPr>
          </w:p>
        </w:tc>
        <w:tc>
          <w:tcPr>
            <w:tcW w:w="650" w:type="dxa"/>
            <w:vAlign w:val="top"/>
          </w:tcPr>
          <w:p w14:paraId="503EA5DE">
            <w:pPr>
              <w:rPr>
                <w:rFonts w:ascii="Arial"/>
                <w:color w:val="auto"/>
                <w:sz w:val="21"/>
                <w:highlight w:val="none"/>
              </w:rPr>
            </w:pPr>
          </w:p>
        </w:tc>
        <w:tc>
          <w:tcPr>
            <w:tcW w:w="1132" w:type="dxa"/>
            <w:vAlign w:val="top"/>
          </w:tcPr>
          <w:p w14:paraId="6B9F61A5">
            <w:pPr>
              <w:rPr>
                <w:rFonts w:ascii="Arial"/>
                <w:color w:val="auto"/>
                <w:sz w:val="21"/>
                <w:highlight w:val="none"/>
              </w:rPr>
            </w:pPr>
          </w:p>
        </w:tc>
        <w:tc>
          <w:tcPr>
            <w:tcW w:w="1153" w:type="dxa"/>
            <w:vAlign w:val="top"/>
          </w:tcPr>
          <w:p w14:paraId="0FF79418">
            <w:pPr>
              <w:rPr>
                <w:rFonts w:ascii="Arial"/>
                <w:color w:val="auto"/>
                <w:sz w:val="21"/>
                <w:highlight w:val="none"/>
              </w:rPr>
            </w:pPr>
          </w:p>
        </w:tc>
      </w:tr>
      <w:tr w14:paraId="46E2D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6ED5ECBA">
            <w:pPr>
              <w:rPr>
                <w:rFonts w:ascii="Arial"/>
                <w:color w:val="auto"/>
                <w:sz w:val="21"/>
                <w:highlight w:val="none"/>
              </w:rPr>
            </w:pPr>
          </w:p>
        </w:tc>
        <w:tc>
          <w:tcPr>
            <w:tcW w:w="1425" w:type="dxa"/>
            <w:vAlign w:val="top"/>
          </w:tcPr>
          <w:p w14:paraId="52681B51">
            <w:pPr>
              <w:pStyle w:val="17"/>
              <w:spacing w:before="175" w:line="221" w:lineRule="auto"/>
              <w:ind w:left="1131"/>
              <w:rPr>
                <w:color w:val="auto"/>
                <w:highlight w:val="none"/>
              </w:rPr>
            </w:pPr>
            <w:r>
              <w:rPr>
                <w:color w:val="auto"/>
                <w:highlight w:val="none"/>
              </w:rPr>
              <w:t>月</w:t>
            </w:r>
          </w:p>
        </w:tc>
        <w:tc>
          <w:tcPr>
            <w:tcW w:w="636" w:type="dxa"/>
            <w:vAlign w:val="top"/>
          </w:tcPr>
          <w:p w14:paraId="5780E295">
            <w:pPr>
              <w:rPr>
                <w:rFonts w:ascii="Arial"/>
                <w:color w:val="auto"/>
                <w:sz w:val="21"/>
                <w:highlight w:val="none"/>
              </w:rPr>
            </w:pPr>
          </w:p>
        </w:tc>
        <w:tc>
          <w:tcPr>
            <w:tcW w:w="643" w:type="dxa"/>
            <w:vAlign w:val="top"/>
          </w:tcPr>
          <w:p w14:paraId="7AA89709">
            <w:pPr>
              <w:rPr>
                <w:rFonts w:ascii="Arial"/>
                <w:color w:val="auto"/>
                <w:sz w:val="21"/>
                <w:highlight w:val="none"/>
              </w:rPr>
            </w:pPr>
          </w:p>
        </w:tc>
        <w:tc>
          <w:tcPr>
            <w:tcW w:w="637" w:type="dxa"/>
            <w:vAlign w:val="top"/>
          </w:tcPr>
          <w:p w14:paraId="31DB4C50">
            <w:pPr>
              <w:rPr>
                <w:rFonts w:ascii="Arial"/>
                <w:color w:val="auto"/>
                <w:sz w:val="21"/>
                <w:highlight w:val="none"/>
              </w:rPr>
            </w:pPr>
          </w:p>
        </w:tc>
        <w:tc>
          <w:tcPr>
            <w:tcW w:w="642" w:type="dxa"/>
            <w:vAlign w:val="top"/>
          </w:tcPr>
          <w:p w14:paraId="2EB417B8">
            <w:pPr>
              <w:rPr>
                <w:rFonts w:ascii="Arial"/>
                <w:color w:val="auto"/>
                <w:sz w:val="21"/>
                <w:highlight w:val="none"/>
              </w:rPr>
            </w:pPr>
          </w:p>
        </w:tc>
        <w:tc>
          <w:tcPr>
            <w:tcW w:w="650" w:type="dxa"/>
            <w:vAlign w:val="top"/>
          </w:tcPr>
          <w:p w14:paraId="5E744A7B">
            <w:pPr>
              <w:rPr>
                <w:rFonts w:ascii="Arial"/>
                <w:color w:val="auto"/>
                <w:sz w:val="21"/>
                <w:highlight w:val="none"/>
              </w:rPr>
            </w:pPr>
          </w:p>
        </w:tc>
        <w:tc>
          <w:tcPr>
            <w:tcW w:w="1132" w:type="dxa"/>
            <w:vAlign w:val="top"/>
          </w:tcPr>
          <w:p w14:paraId="593941A6">
            <w:pPr>
              <w:rPr>
                <w:rFonts w:ascii="Arial"/>
                <w:color w:val="auto"/>
                <w:sz w:val="21"/>
                <w:highlight w:val="none"/>
              </w:rPr>
            </w:pPr>
          </w:p>
        </w:tc>
        <w:tc>
          <w:tcPr>
            <w:tcW w:w="1153" w:type="dxa"/>
            <w:vAlign w:val="top"/>
          </w:tcPr>
          <w:p w14:paraId="33D79F68">
            <w:pPr>
              <w:rPr>
                <w:rFonts w:ascii="Arial"/>
                <w:color w:val="auto"/>
                <w:sz w:val="21"/>
                <w:highlight w:val="none"/>
              </w:rPr>
            </w:pPr>
          </w:p>
        </w:tc>
      </w:tr>
      <w:tr w14:paraId="306E5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7496F39D">
            <w:pPr>
              <w:rPr>
                <w:rFonts w:ascii="Arial"/>
                <w:color w:val="auto"/>
                <w:sz w:val="21"/>
                <w:highlight w:val="none"/>
              </w:rPr>
            </w:pPr>
          </w:p>
        </w:tc>
        <w:tc>
          <w:tcPr>
            <w:tcW w:w="1425" w:type="dxa"/>
            <w:vAlign w:val="top"/>
          </w:tcPr>
          <w:p w14:paraId="3889B317">
            <w:pPr>
              <w:pStyle w:val="17"/>
              <w:spacing w:before="176" w:line="221" w:lineRule="auto"/>
              <w:ind w:left="1131"/>
              <w:rPr>
                <w:color w:val="auto"/>
                <w:highlight w:val="none"/>
              </w:rPr>
            </w:pPr>
            <w:r>
              <w:rPr>
                <w:color w:val="auto"/>
                <w:highlight w:val="none"/>
              </w:rPr>
              <w:t>月</w:t>
            </w:r>
          </w:p>
        </w:tc>
        <w:tc>
          <w:tcPr>
            <w:tcW w:w="636" w:type="dxa"/>
            <w:vAlign w:val="top"/>
          </w:tcPr>
          <w:p w14:paraId="1A86CE1D">
            <w:pPr>
              <w:rPr>
                <w:rFonts w:ascii="Arial"/>
                <w:color w:val="auto"/>
                <w:sz w:val="21"/>
                <w:highlight w:val="none"/>
              </w:rPr>
            </w:pPr>
          </w:p>
        </w:tc>
        <w:tc>
          <w:tcPr>
            <w:tcW w:w="643" w:type="dxa"/>
            <w:vAlign w:val="top"/>
          </w:tcPr>
          <w:p w14:paraId="2DB5AD44">
            <w:pPr>
              <w:rPr>
                <w:rFonts w:ascii="Arial"/>
                <w:color w:val="auto"/>
                <w:sz w:val="21"/>
                <w:highlight w:val="none"/>
              </w:rPr>
            </w:pPr>
          </w:p>
        </w:tc>
        <w:tc>
          <w:tcPr>
            <w:tcW w:w="637" w:type="dxa"/>
            <w:vAlign w:val="top"/>
          </w:tcPr>
          <w:p w14:paraId="6DCE5A37">
            <w:pPr>
              <w:rPr>
                <w:rFonts w:ascii="Arial"/>
                <w:color w:val="auto"/>
                <w:sz w:val="21"/>
                <w:highlight w:val="none"/>
              </w:rPr>
            </w:pPr>
          </w:p>
        </w:tc>
        <w:tc>
          <w:tcPr>
            <w:tcW w:w="642" w:type="dxa"/>
            <w:vAlign w:val="top"/>
          </w:tcPr>
          <w:p w14:paraId="4B2B2B04">
            <w:pPr>
              <w:rPr>
                <w:rFonts w:ascii="Arial"/>
                <w:color w:val="auto"/>
                <w:sz w:val="21"/>
                <w:highlight w:val="none"/>
              </w:rPr>
            </w:pPr>
          </w:p>
        </w:tc>
        <w:tc>
          <w:tcPr>
            <w:tcW w:w="650" w:type="dxa"/>
            <w:vAlign w:val="top"/>
          </w:tcPr>
          <w:p w14:paraId="63A24DBF">
            <w:pPr>
              <w:rPr>
                <w:rFonts w:ascii="Arial"/>
                <w:color w:val="auto"/>
                <w:sz w:val="21"/>
                <w:highlight w:val="none"/>
              </w:rPr>
            </w:pPr>
          </w:p>
        </w:tc>
        <w:tc>
          <w:tcPr>
            <w:tcW w:w="1132" w:type="dxa"/>
            <w:vAlign w:val="top"/>
          </w:tcPr>
          <w:p w14:paraId="7A753532">
            <w:pPr>
              <w:rPr>
                <w:rFonts w:ascii="Arial"/>
                <w:color w:val="auto"/>
                <w:sz w:val="21"/>
                <w:highlight w:val="none"/>
              </w:rPr>
            </w:pPr>
          </w:p>
        </w:tc>
        <w:tc>
          <w:tcPr>
            <w:tcW w:w="1153" w:type="dxa"/>
            <w:vAlign w:val="top"/>
          </w:tcPr>
          <w:p w14:paraId="5DA05E59">
            <w:pPr>
              <w:rPr>
                <w:rFonts w:ascii="Arial"/>
                <w:color w:val="auto"/>
                <w:sz w:val="21"/>
                <w:highlight w:val="none"/>
              </w:rPr>
            </w:pPr>
          </w:p>
        </w:tc>
      </w:tr>
      <w:tr w14:paraId="58ADA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018D3527">
            <w:pPr>
              <w:rPr>
                <w:rFonts w:ascii="Arial"/>
                <w:color w:val="auto"/>
                <w:sz w:val="21"/>
                <w:highlight w:val="none"/>
              </w:rPr>
            </w:pPr>
          </w:p>
        </w:tc>
        <w:tc>
          <w:tcPr>
            <w:tcW w:w="1425" w:type="dxa"/>
            <w:vAlign w:val="top"/>
          </w:tcPr>
          <w:p w14:paraId="13BEB4BD">
            <w:pPr>
              <w:pStyle w:val="17"/>
              <w:spacing w:before="174" w:line="221" w:lineRule="auto"/>
              <w:ind w:left="1131"/>
              <w:rPr>
                <w:color w:val="auto"/>
                <w:highlight w:val="none"/>
              </w:rPr>
            </w:pPr>
            <w:r>
              <w:rPr>
                <w:color w:val="auto"/>
                <w:highlight w:val="none"/>
              </w:rPr>
              <w:t>月</w:t>
            </w:r>
          </w:p>
        </w:tc>
        <w:tc>
          <w:tcPr>
            <w:tcW w:w="636" w:type="dxa"/>
            <w:vAlign w:val="top"/>
          </w:tcPr>
          <w:p w14:paraId="7D37452A">
            <w:pPr>
              <w:rPr>
                <w:rFonts w:ascii="Arial"/>
                <w:color w:val="auto"/>
                <w:sz w:val="21"/>
                <w:highlight w:val="none"/>
              </w:rPr>
            </w:pPr>
          </w:p>
        </w:tc>
        <w:tc>
          <w:tcPr>
            <w:tcW w:w="643" w:type="dxa"/>
            <w:vAlign w:val="top"/>
          </w:tcPr>
          <w:p w14:paraId="01F5B7A2">
            <w:pPr>
              <w:rPr>
                <w:rFonts w:ascii="Arial"/>
                <w:color w:val="auto"/>
                <w:sz w:val="21"/>
                <w:highlight w:val="none"/>
              </w:rPr>
            </w:pPr>
          </w:p>
        </w:tc>
        <w:tc>
          <w:tcPr>
            <w:tcW w:w="637" w:type="dxa"/>
            <w:vAlign w:val="top"/>
          </w:tcPr>
          <w:p w14:paraId="02207A71">
            <w:pPr>
              <w:rPr>
                <w:rFonts w:ascii="Arial"/>
                <w:color w:val="auto"/>
                <w:sz w:val="21"/>
                <w:highlight w:val="none"/>
              </w:rPr>
            </w:pPr>
          </w:p>
        </w:tc>
        <w:tc>
          <w:tcPr>
            <w:tcW w:w="642" w:type="dxa"/>
            <w:vAlign w:val="top"/>
          </w:tcPr>
          <w:p w14:paraId="60B48215">
            <w:pPr>
              <w:rPr>
                <w:rFonts w:ascii="Arial"/>
                <w:color w:val="auto"/>
                <w:sz w:val="21"/>
                <w:highlight w:val="none"/>
              </w:rPr>
            </w:pPr>
          </w:p>
        </w:tc>
        <w:tc>
          <w:tcPr>
            <w:tcW w:w="650" w:type="dxa"/>
            <w:vAlign w:val="top"/>
          </w:tcPr>
          <w:p w14:paraId="757E3D64">
            <w:pPr>
              <w:rPr>
                <w:rFonts w:ascii="Arial"/>
                <w:color w:val="auto"/>
                <w:sz w:val="21"/>
                <w:highlight w:val="none"/>
              </w:rPr>
            </w:pPr>
          </w:p>
        </w:tc>
        <w:tc>
          <w:tcPr>
            <w:tcW w:w="1132" w:type="dxa"/>
            <w:vAlign w:val="top"/>
          </w:tcPr>
          <w:p w14:paraId="42223CA1">
            <w:pPr>
              <w:rPr>
                <w:rFonts w:ascii="Arial"/>
                <w:color w:val="auto"/>
                <w:sz w:val="21"/>
                <w:highlight w:val="none"/>
              </w:rPr>
            </w:pPr>
          </w:p>
        </w:tc>
        <w:tc>
          <w:tcPr>
            <w:tcW w:w="1153" w:type="dxa"/>
            <w:vAlign w:val="top"/>
          </w:tcPr>
          <w:p w14:paraId="38FBB28D">
            <w:pPr>
              <w:rPr>
                <w:rFonts w:ascii="Arial"/>
                <w:color w:val="auto"/>
                <w:sz w:val="21"/>
                <w:highlight w:val="none"/>
              </w:rPr>
            </w:pPr>
          </w:p>
        </w:tc>
      </w:tr>
      <w:tr w14:paraId="2B615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106F669B">
            <w:pPr>
              <w:rPr>
                <w:rFonts w:ascii="Arial"/>
                <w:color w:val="auto"/>
                <w:sz w:val="21"/>
                <w:highlight w:val="none"/>
              </w:rPr>
            </w:pPr>
          </w:p>
        </w:tc>
        <w:tc>
          <w:tcPr>
            <w:tcW w:w="1425" w:type="dxa"/>
            <w:vAlign w:val="top"/>
          </w:tcPr>
          <w:p w14:paraId="7BB0FC06">
            <w:pPr>
              <w:pStyle w:val="17"/>
              <w:spacing w:before="174" w:line="221" w:lineRule="auto"/>
              <w:ind w:left="1131"/>
              <w:rPr>
                <w:color w:val="auto"/>
                <w:highlight w:val="none"/>
              </w:rPr>
            </w:pPr>
            <w:r>
              <w:rPr>
                <w:color w:val="auto"/>
                <w:highlight w:val="none"/>
              </w:rPr>
              <w:t>月</w:t>
            </w:r>
          </w:p>
        </w:tc>
        <w:tc>
          <w:tcPr>
            <w:tcW w:w="636" w:type="dxa"/>
            <w:vAlign w:val="top"/>
          </w:tcPr>
          <w:p w14:paraId="3702699C">
            <w:pPr>
              <w:rPr>
                <w:rFonts w:ascii="Arial"/>
                <w:color w:val="auto"/>
                <w:sz w:val="21"/>
                <w:highlight w:val="none"/>
              </w:rPr>
            </w:pPr>
          </w:p>
        </w:tc>
        <w:tc>
          <w:tcPr>
            <w:tcW w:w="643" w:type="dxa"/>
            <w:vAlign w:val="top"/>
          </w:tcPr>
          <w:p w14:paraId="65ED68C7">
            <w:pPr>
              <w:rPr>
                <w:rFonts w:ascii="Arial"/>
                <w:color w:val="auto"/>
                <w:sz w:val="21"/>
                <w:highlight w:val="none"/>
              </w:rPr>
            </w:pPr>
          </w:p>
        </w:tc>
        <w:tc>
          <w:tcPr>
            <w:tcW w:w="637" w:type="dxa"/>
            <w:vAlign w:val="top"/>
          </w:tcPr>
          <w:p w14:paraId="2CCDD175">
            <w:pPr>
              <w:rPr>
                <w:rFonts w:ascii="Arial"/>
                <w:color w:val="auto"/>
                <w:sz w:val="21"/>
                <w:highlight w:val="none"/>
              </w:rPr>
            </w:pPr>
          </w:p>
        </w:tc>
        <w:tc>
          <w:tcPr>
            <w:tcW w:w="642" w:type="dxa"/>
            <w:vAlign w:val="top"/>
          </w:tcPr>
          <w:p w14:paraId="1B02FA14">
            <w:pPr>
              <w:rPr>
                <w:rFonts w:ascii="Arial"/>
                <w:color w:val="auto"/>
                <w:sz w:val="21"/>
                <w:highlight w:val="none"/>
              </w:rPr>
            </w:pPr>
          </w:p>
        </w:tc>
        <w:tc>
          <w:tcPr>
            <w:tcW w:w="650" w:type="dxa"/>
            <w:vAlign w:val="top"/>
          </w:tcPr>
          <w:p w14:paraId="09F89AB1">
            <w:pPr>
              <w:rPr>
                <w:rFonts w:ascii="Arial"/>
                <w:color w:val="auto"/>
                <w:sz w:val="21"/>
                <w:highlight w:val="none"/>
              </w:rPr>
            </w:pPr>
          </w:p>
        </w:tc>
        <w:tc>
          <w:tcPr>
            <w:tcW w:w="1132" w:type="dxa"/>
            <w:vAlign w:val="top"/>
          </w:tcPr>
          <w:p w14:paraId="31FAEE7E">
            <w:pPr>
              <w:rPr>
                <w:rFonts w:ascii="Arial"/>
                <w:color w:val="auto"/>
                <w:sz w:val="21"/>
                <w:highlight w:val="none"/>
              </w:rPr>
            </w:pPr>
          </w:p>
        </w:tc>
        <w:tc>
          <w:tcPr>
            <w:tcW w:w="1153" w:type="dxa"/>
            <w:vAlign w:val="top"/>
          </w:tcPr>
          <w:p w14:paraId="4188AA8C">
            <w:pPr>
              <w:rPr>
                <w:rFonts w:ascii="Arial"/>
                <w:color w:val="auto"/>
                <w:sz w:val="21"/>
                <w:highlight w:val="none"/>
              </w:rPr>
            </w:pPr>
          </w:p>
        </w:tc>
      </w:tr>
      <w:tr w14:paraId="6BDED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19BC8ABB">
            <w:pPr>
              <w:rPr>
                <w:rFonts w:ascii="Arial"/>
                <w:color w:val="auto"/>
                <w:sz w:val="21"/>
                <w:highlight w:val="none"/>
              </w:rPr>
            </w:pPr>
          </w:p>
        </w:tc>
        <w:tc>
          <w:tcPr>
            <w:tcW w:w="1425" w:type="dxa"/>
            <w:vAlign w:val="top"/>
          </w:tcPr>
          <w:p w14:paraId="36B7F971">
            <w:pPr>
              <w:pStyle w:val="17"/>
              <w:spacing w:before="174" w:line="221" w:lineRule="auto"/>
              <w:ind w:left="1131"/>
              <w:rPr>
                <w:color w:val="auto"/>
                <w:highlight w:val="none"/>
              </w:rPr>
            </w:pPr>
            <w:r>
              <w:rPr>
                <w:color w:val="auto"/>
                <w:highlight w:val="none"/>
              </w:rPr>
              <w:t>月</w:t>
            </w:r>
          </w:p>
        </w:tc>
        <w:tc>
          <w:tcPr>
            <w:tcW w:w="636" w:type="dxa"/>
            <w:vAlign w:val="top"/>
          </w:tcPr>
          <w:p w14:paraId="47FF1116">
            <w:pPr>
              <w:rPr>
                <w:rFonts w:ascii="Arial"/>
                <w:color w:val="auto"/>
                <w:sz w:val="21"/>
                <w:highlight w:val="none"/>
              </w:rPr>
            </w:pPr>
          </w:p>
        </w:tc>
        <w:tc>
          <w:tcPr>
            <w:tcW w:w="643" w:type="dxa"/>
            <w:vAlign w:val="top"/>
          </w:tcPr>
          <w:p w14:paraId="1A17799F">
            <w:pPr>
              <w:rPr>
                <w:rFonts w:ascii="Arial"/>
                <w:color w:val="auto"/>
                <w:sz w:val="21"/>
                <w:highlight w:val="none"/>
              </w:rPr>
            </w:pPr>
          </w:p>
        </w:tc>
        <w:tc>
          <w:tcPr>
            <w:tcW w:w="637" w:type="dxa"/>
            <w:vAlign w:val="top"/>
          </w:tcPr>
          <w:p w14:paraId="6B3FD4FB">
            <w:pPr>
              <w:rPr>
                <w:rFonts w:ascii="Arial"/>
                <w:color w:val="auto"/>
                <w:sz w:val="21"/>
                <w:highlight w:val="none"/>
              </w:rPr>
            </w:pPr>
          </w:p>
        </w:tc>
        <w:tc>
          <w:tcPr>
            <w:tcW w:w="642" w:type="dxa"/>
            <w:vAlign w:val="top"/>
          </w:tcPr>
          <w:p w14:paraId="52D4CEC7">
            <w:pPr>
              <w:rPr>
                <w:rFonts w:ascii="Arial"/>
                <w:color w:val="auto"/>
                <w:sz w:val="21"/>
                <w:highlight w:val="none"/>
              </w:rPr>
            </w:pPr>
          </w:p>
        </w:tc>
        <w:tc>
          <w:tcPr>
            <w:tcW w:w="650" w:type="dxa"/>
            <w:vAlign w:val="top"/>
          </w:tcPr>
          <w:p w14:paraId="47BFC170">
            <w:pPr>
              <w:rPr>
                <w:rFonts w:ascii="Arial"/>
                <w:color w:val="auto"/>
                <w:sz w:val="21"/>
                <w:highlight w:val="none"/>
              </w:rPr>
            </w:pPr>
          </w:p>
        </w:tc>
        <w:tc>
          <w:tcPr>
            <w:tcW w:w="1132" w:type="dxa"/>
            <w:vAlign w:val="top"/>
          </w:tcPr>
          <w:p w14:paraId="2F4D6D80">
            <w:pPr>
              <w:rPr>
                <w:rFonts w:ascii="Arial"/>
                <w:color w:val="auto"/>
                <w:sz w:val="21"/>
                <w:highlight w:val="none"/>
              </w:rPr>
            </w:pPr>
          </w:p>
        </w:tc>
        <w:tc>
          <w:tcPr>
            <w:tcW w:w="1153" w:type="dxa"/>
            <w:vAlign w:val="top"/>
          </w:tcPr>
          <w:p w14:paraId="4E6BD524">
            <w:pPr>
              <w:rPr>
                <w:rFonts w:ascii="Arial"/>
                <w:color w:val="auto"/>
                <w:sz w:val="21"/>
                <w:highlight w:val="none"/>
              </w:rPr>
            </w:pPr>
          </w:p>
        </w:tc>
      </w:tr>
      <w:tr w14:paraId="58942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455" w:type="dxa"/>
            <w:vMerge w:val="continue"/>
            <w:tcBorders>
              <w:top w:val="nil"/>
            </w:tcBorders>
            <w:vAlign w:val="top"/>
          </w:tcPr>
          <w:p w14:paraId="68464333">
            <w:pPr>
              <w:rPr>
                <w:rFonts w:ascii="Arial"/>
                <w:color w:val="auto"/>
                <w:sz w:val="21"/>
                <w:highlight w:val="none"/>
              </w:rPr>
            </w:pPr>
          </w:p>
        </w:tc>
        <w:tc>
          <w:tcPr>
            <w:tcW w:w="1425" w:type="dxa"/>
            <w:vAlign w:val="top"/>
          </w:tcPr>
          <w:p w14:paraId="3FD98B9E">
            <w:pPr>
              <w:spacing w:line="264" w:lineRule="auto"/>
              <w:rPr>
                <w:rFonts w:ascii="Arial"/>
                <w:color w:val="auto"/>
                <w:sz w:val="21"/>
                <w:highlight w:val="none"/>
              </w:rPr>
            </w:pPr>
          </w:p>
          <w:p w14:paraId="60938889">
            <w:pPr>
              <w:pStyle w:val="17"/>
              <w:spacing w:before="68" w:line="87" w:lineRule="exact"/>
              <w:ind w:left="1130"/>
              <w:rPr>
                <w:color w:val="auto"/>
                <w:highlight w:val="none"/>
              </w:rPr>
            </w:pPr>
            <w:r>
              <w:rPr>
                <w:color w:val="auto"/>
                <w:spacing w:val="-4"/>
                <w:position w:val="1"/>
                <w:highlight w:val="none"/>
              </w:rPr>
              <w:t>..</w:t>
            </w:r>
          </w:p>
        </w:tc>
        <w:tc>
          <w:tcPr>
            <w:tcW w:w="636" w:type="dxa"/>
            <w:vAlign w:val="top"/>
          </w:tcPr>
          <w:p w14:paraId="5CDCC35E">
            <w:pPr>
              <w:rPr>
                <w:rFonts w:ascii="Arial"/>
                <w:color w:val="auto"/>
                <w:sz w:val="21"/>
                <w:highlight w:val="none"/>
              </w:rPr>
            </w:pPr>
          </w:p>
        </w:tc>
        <w:tc>
          <w:tcPr>
            <w:tcW w:w="643" w:type="dxa"/>
            <w:vAlign w:val="top"/>
          </w:tcPr>
          <w:p w14:paraId="5FF0E580">
            <w:pPr>
              <w:rPr>
                <w:rFonts w:ascii="Arial"/>
                <w:color w:val="auto"/>
                <w:sz w:val="21"/>
                <w:highlight w:val="none"/>
              </w:rPr>
            </w:pPr>
          </w:p>
        </w:tc>
        <w:tc>
          <w:tcPr>
            <w:tcW w:w="637" w:type="dxa"/>
            <w:vAlign w:val="top"/>
          </w:tcPr>
          <w:p w14:paraId="777FCA9B">
            <w:pPr>
              <w:rPr>
                <w:rFonts w:ascii="Arial"/>
                <w:color w:val="auto"/>
                <w:sz w:val="21"/>
                <w:highlight w:val="none"/>
              </w:rPr>
            </w:pPr>
          </w:p>
        </w:tc>
        <w:tc>
          <w:tcPr>
            <w:tcW w:w="642" w:type="dxa"/>
            <w:vAlign w:val="top"/>
          </w:tcPr>
          <w:p w14:paraId="316091D9">
            <w:pPr>
              <w:rPr>
                <w:rFonts w:ascii="Arial"/>
                <w:color w:val="auto"/>
                <w:sz w:val="21"/>
                <w:highlight w:val="none"/>
              </w:rPr>
            </w:pPr>
          </w:p>
        </w:tc>
        <w:tc>
          <w:tcPr>
            <w:tcW w:w="650" w:type="dxa"/>
            <w:vAlign w:val="top"/>
          </w:tcPr>
          <w:p w14:paraId="3373596F">
            <w:pPr>
              <w:rPr>
                <w:rFonts w:ascii="Arial"/>
                <w:color w:val="auto"/>
                <w:sz w:val="21"/>
                <w:highlight w:val="none"/>
              </w:rPr>
            </w:pPr>
          </w:p>
        </w:tc>
        <w:tc>
          <w:tcPr>
            <w:tcW w:w="1132" w:type="dxa"/>
            <w:vAlign w:val="top"/>
          </w:tcPr>
          <w:p w14:paraId="1545F81F">
            <w:pPr>
              <w:rPr>
                <w:rFonts w:ascii="Arial"/>
                <w:color w:val="auto"/>
                <w:sz w:val="21"/>
                <w:highlight w:val="none"/>
              </w:rPr>
            </w:pPr>
          </w:p>
        </w:tc>
        <w:tc>
          <w:tcPr>
            <w:tcW w:w="1153" w:type="dxa"/>
            <w:vAlign w:val="top"/>
          </w:tcPr>
          <w:p w14:paraId="6963EBE2">
            <w:pPr>
              <w:rPr>
                <w:rFonts w:ascii="Arial"/>
                <w:color w:val="auto"/>
                <w:sz w:val="21"/>
                <w:highlight w:val="none"/>
              </w:rPr>
            </w:pPr>
          </w:p>
        </w:tc>
      </w:tr>
      <w:tr w14:paraId="3C20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088" w:type="dxa"/>
            <w:gridSpan w:val="7"/>
            <w:vAlign w:val="top"/>
          </w:tcPr>
          <w:p w14:paraId="43F9CC32">
            <w:pPr>
              <w:pStyle w:val="17"/>
              <w:spacing w:before="181" w:line="222" w:lineRule="auto"/>
              <w:ind w:left="2803"/>
              <w:rPr>
                <w:color w:val="auto"/>
                <w:highlight w:val="none"/>
              </w:rPr>
            </w:pPr>
            <w:r>
              <w:rPr>
                <w:color w:val="auto"/>
                <w:spacing w:val="-7"/>
                <w:highlight w:val="none"/>
              </w:rPr>
              <w:t>总</w:t>
            </w:r>
            <w:r>
              <w:rPr>
                <w:color w:val="auto"/>
                <w:spacing w:val="9"/>
                <w:highlight w:val="none"/>
              </w:rPr>
              <w:t xml:space="preserve"> </w:t>
            </w:r>
            <w:r>
              <w:rPr>
                <w:color w:val="auto"/>
                <w:spacing w:val="-7"/>
                <w:highlight w:val="none"/>
              </w:rPr>
              <w:t>计</w:t>
            </w:r>
          </w:p>
        </w:tc>
        <w:tc>
          <w:tcPr>
            <w:tcW w:w="1132" w:type="dxa"/>
            <w:vAlign w:val="top"/>
          </w:tcPr>
          <w:p w14:paraId="186FEC8C">
            <w:pPr>
              <w:rPr>
                <w:rFonts w:ascii="Arial"/>
                <w:color w:val="auto"/>
                <w:sz w:val="21"/>
                <w:highlight w:val="none"/>
              </w:rPr>
            </w:pPr>
          </w:p>
        </w:tc>
        <w:tc>
          <w:tcPr>
            <w:tcW w:w="1153" w:type="dxa"/>
            <w:vAlign w:val="top"/>
          </w:tcPr>
          <w:p w14:paraId="23ADE732">
            <w:pPr>
              <w:rPr>
                <w:rFonts w:ascii="Arial"/>
                <w:color w:val="auto"/>
                <w:sz w:val="21"/>
                <w:highlight w:val="none"/>
              </w:rPr>
            </w:pPr>
          </w:p>
        </w:tc>
      </w:tr>
    </w:tbl>
    <w:p w14:paraId="72ED9180">
      <w:pPr>
        <w:rPr>
          <w:rFonts w:ascii="Arial"/>
          <w:color w:val="auto"/>
          <w:sz w:val="21"/>
          <w:highlight w:val="none"/>
        </w:rPr>
      </w:pPr>
    </w:p>
    <w:p w14:paraId="04A07A27">
      <w:pPr>
        <w:rPr>
          <w:rFonts w:ascii="Arial" w:hAnsi="Arial" w:eastAsia="Arial" w:cs="Arial"/>
          <w:color w:val="auto"/>
          <w:sz w:val="21"/>
          <w:szCs w:val="21"/>
          <w:highlight w:val="none"/>
        </w:rPr>
        <w:sectPr>
          <w:footerReference r:id="rId59" w:type="default"/>
          <w:pgSz w:w="11900" w:h="16832"/>
          <w:pgMar w:top="1421" w:right="1766" w:bottom="808" w:left="1754" w:header="0" w:footer="647" w:gutter="0"/>
          <w:pgNumType w:fmt="decimal"/>
          <w:cols w:space="720" w:num="1"/>
        </w:sectPr>
      </w:pPr>
    </w:p>
    <w:p w14:paraId="208EF67B">
      <w:pPr>
        <w:spacing w:before="56" w:line="219" w:lineRule="auto"/>
        <w:ind w:left="6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附件四：拟投入本合同工程的材料进场计划表</w:t>
      </w:r>
    </w:p>
    <w:p w14:paraId="4D60BB53">
      <w:pPr>
        <w:spacing w:line="347" w:lineRule="auto"/>
        <w:rPr>
          <w:rFonts w:ascii="Arial"/>
          <w:color w:val="auto"/>
          <w:sz w:val="21"/>
          <w:highlight w:val="none"/>
        </w:rPr>
      </w:pPr>
    </w:p>
    <w:p w14:paraId="37C311ED">
      <w:pPr>
        <w:spacing w:before="91" w:line="219" w:lineRule="auto"/>
        <w:ind w:left="1943"/>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拟投入本合同工程的材料进场计划表</w:t>
      </w:r>
    </w:p>
    <w:p w14:paraId="03EE0463">
      <w:pPr>
        <w:spacing w:before="22"/>
        <w:rPr>
          <w:color w:val="auto"/>
          <w:highlight w:val="none"/>
        </w:rPr>
      </w:pPr>
    </w:p>
    <w:tbl>
      <w:tblPr>
        <w:tblStyle w:val="16"/>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900"/>
        <w:gridCol w:w="905"/>
        <w:gridCol w:w="905"/>
        <w:gridCol w:w="905"/>
        <w:gridCol w:w="909"/>
        <w:gridCol w:w="900"/>
        <w:gridCol w:w="909"/>
        <w:gridCol w:w="924"/>
      </w:tblGrid>
      <w:tr w14:paraId="4340A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101" w:type="dxa"/>
            <w:vMerge w:val="restart"/>
            <w:tcBorders>
              <w:bottom w:val="nil"/>
            </w:tcBorders>
            <w:vAlign w:val="top"/>
          </w:tcPr>
          <w:p w14:paraId="5E46BD19">
            <w:pPr>
              <w:spacing w:line="393" w:lineRule="auto"/>
              <w:rPr>
                <w:rFonts w:ascii="Arial"/>
                <w:color w:val="auto"/>
                <w:sz w:val="21"/>
                <w:highlight w:val="none"/>
              </w:rPr>
            </w:pPr>
          </w:p>
          <w:p w14:paraId="0A6C6998">
            <w:pPr>
              <w:pStyle w:val="17"/>
              <w:spacing w:before="68" w:line="223" w:lineRule="auto"/>
              <w:ind w:left="344"/>
              <w:rPr>
                <w:color w:val="auto"/>
                <w:highlight w:val="none"/>
              </w:rPr>
            </w:pPr>
            <w:r>
              <w:rPr>
                <w:color w:val="auto"/>
                <w:spacing w:val="-3"/>
                <w:highlight w:val="none"/>
              </w:rPr>
              <w:t>名称</w:t>
            </w:r>
          </w:p>
        </w:tc>
        <w:tc>
          <w:tcPr>
            <w:tcW w:w="900" w:type="dxa"/>
            <w:vMerge w:val="restart"/>
            <w:tcBorders>
              <w:bottom w:val="nil"/>
            </w:tcBorders>
            <w:vAlign w:val="top"/>
          </w:tcPr>
          <w:p w14:paraId="6BFB526F">
            <w:pPr>
              <w:spacing w:line="392" w:lineRule="auto"/>
              <w:rPr>
                <w:rFonts w:ascii="Arial"/>
                <w:color w:val="auto"/>
                <w:sz w:val="21"/>
                <w:highlight w:val="none"/>
              </w:rPr>
            </w:pPr>
          </w:p>
          <w:p w14:paraId="23860273">
            <w:pPr>
              <w:pStyle w:val="17"/>
              <w:spacing w:before="69" w:line="221" w:lineRule="auto"/>
              <w:ind w:left="237"/>
              <w:rPr>
                <w:color w:val="auto"/>
                <w:highlight w:val="none"/>
              </w:rPr>
            </w:pPr>
            <w:r>
              <w:rPr>
                <w:color w:val="auto"/>
                <w:spacing w:val="-2"/>
                <w:highlight w:val="none"/>
              </w:rPr>
              <w:t>规格</w:t>
            </w:r>
          </w:p>
        </w:tc>
        <w:tc>
          <w:tcPr>
            <w:tcW w:w="905" w:type="dxa"/>
            <w:vMerge w:val="restart"/>
            <w:tcBorders>
              <w:bottom w:val="nil"/>
            </w:tcBorders>
            <w:vAlign w:val="top"/>
          </w:tcPr>
          <w:p w14:paraId="3F3F45E2">
            <w:pPr>
              <w:spacing w:line="267" w:lineRule="auto"/>
              <w:rPr>
                <w:rFonts w:ascii="Arial"/>
                <w:color w:val="auto"/>
                <w:sz w:val="21"/>
                <w:highlight w:val="none"/>
              </w:rPr>
            </w:pPr>
          </w:p>
          <w:p w14:paraId="227F7E69">
            <w:pPr>
              <w:pStyle w:val="17"/>
              <w:spacing w:before="68" w:line="229" w:lineRule="auto"/>
              <w:ind w:left="346" w:right="85" w:hanging="261"/>
              <w:rPr>
                <w:color w:val="auto"/>
                <w:highlight w:val="none"/>
              </w:rPr>
            </w:pPr>
            <w:r>
              <w:rPr>
                <w:color w:val="auto"/>
                <w:spacing w:val="-5"/>
                <w:highlight w:val="none"/>
              </w:rPr>
              <w:t>计量</w:t>
            </w:r>
            <w:r>
              <w:rPr>
                <w:color w:val="auto"/>
                <w:spacing w:val="8"/>
                <w:highlight w:val="none"/>
              </w:rPr>
              <w:t xml:space="preserve"> </w:t>
            </w:r>
            <w:r>
              <w:rPr>
                <w:color w:val="auto"/>
                <w:spacing w:val="-5"/>
                <w:highlight w:val="none"/>
              </w:rPr>
              <w:t>单</w:t>
            </w:r>
            <w:r>
              <w:rPr>
                <w:color w:val="auto"/>
                <w:highlight w:val="none"/>
              </w:rPr>
              <w:t xml:space="preserve"> 位</w:t>
            </w:r>
          </w:p>
        </w:tc>
        <w:tc>
          <w:tcPr>
            <w:tcW w:w="4528" w:type="dxa"/>
            <w:gridSpan w:val="5"/>
            <w:vAlign w:val="top"/>
          </w:tcPr>
          <w:p w14:paraId="33E08371">
            <w:pPr>
              <w:pStyle w:val="17"/>
              <w:spacing w:before="180" w:line="221" w:lineRule="auto"/>
              <w:ind w:left="2007"/>
              <w:rPr>
                <w:color w:val="auto"/>
                <w:highlight w:val="none"/>
              </w:rPr>
            </w:pPr>
            <w:r>
              <w:rPr>
                <w:color w:val="auto"/>
                <w:spacing w:val="-5"/>
                <w:highlight w:val="none"/>
              </w:rPr>
              <w:t>数</w:t>
            </w:r>
            <w:r>
              <w:rPr>
                <w:color w:val="auto"/>
                <w:spacing w:val="9"/>
                <w:highlight w:val="none"/>
              </w:rPr>
              <w:t xml:space="preserve"> </w:t>
            </w:r>
            <w:r>
              <w:rPr>
                <w:color w:val="auto"/>
                <w:spacing w:val="-5"/>
                <w:highlight w:val="none"/>
              </w:rPr>
              <w:t>量</w:t>
            </w:r>
          </w:p>
        </w:tc>
        <w:tc>
          <w:tcPr>
            <w:tcW w:w="924" w:type="dxa"/>
            <w:vMerge w:val="restart"/>
            <w:tcBorders>
              <w:bottom w:val="nil"/>
            </w:tcBorders>
            <w:vAlign w:val="top"/>
          </w:tcPr>
          <w:p w14:paraId="723C4FF5">
            <w:pPr>
              <w:spacing w:line="393" w:lineRule="auto"/>
              <w:rPr>
                <w:rFonts w:ascii="Arial"/>
                <w:color w:val="auto"/>
                <w:sz w:val="21"/>
                <w:highlight w:val="none"/>
              </w:rPr>
            </w:pPr>
          </w:p>
          <w:p w14:paraId="05011BBE">
            <w:pPr>
              <w:pStyle w:val="17"/>
              <w:spacing w:before="68" w:line="222" w:lineRule="auto"/>
              <w:ind w:left="260"/>
              <w:rPr>
                <w:color w:val="auto"/>
                <w:highlight w:val="none"/>
              </w:rPr>
            </w:pPr>
            <w:r>
              <w:rPr>
                <w:color w:val="auto"/>
                <w:spacing w:val="-3"/>
                <w:highlight w:val="none"/>
              </w:rPr>
              <w:t>备注</w:t>
            </w:r>
          </w:p>
        </w:tc>
      </w:tr>
      <w:tr w14:paraId="05842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01" w:type="dxa"/>
            <w:vMerge w:val="continue"/>
            <w:tcBorders>
              <w:top w:val="nil"/>
            </w:tcBorders>
            <w:vAlign w:val="top"/>
          </w:tcPr>
          <w:p w14:paraId="57539841">
            <w:pPr>
              <w:rPr>
                <w:rFonts w:ascii="Arial"/>
                <w:color w:val="auto"/>
                <w:sz w:val="21"/>
                <w:highlight w:val="none"/>
              </w:rPr>
            </w:pPr>
          </w:p>
        </w:tc>
        <w:tc>
          <w:tcPr>
            <w:tcW w:w="900" w:type="dxa"/>
            <w:vMerge w:val="continue"/>
            <w:tcBorders>
              <w:top w:val="nil"/>
            </w:tcBorders>
            <w:vAlign w:val="top"/>
          </w:tcPr>
          <w:p w14:paraId="139AFC3D">
            <w:pPr>
              <w:rPr>
                <w:rFonts w:ascii="Arial"/>
                <w:color w:val="auto"/>
                <w:sz w:val="21"/>
                <w:highlight w:val="none"/>
              </w:rPr>
            </w:pPr>
          </w:p>
        </w:tc>
        <w:tc>
          <w:tcPr>
            <w:tcW w:w="905" w:type="dxa"/>
            <w:vMerge w:val="continue"/>
            <w:tcBorders>
              <w:top w:val="nil"/>
            </w:tcBorders>
            <w:vAlign w:val="top"/>
          </w:tcPr>
          <w:p w14:paraId="76FD8630">
            <w:pPr>
              <w:rPr>
                <w:rFonts w:ascii="Arial"/>
                <w:color w:val="auto"/>
                <w:sz w:val="21"/>
                <w:highlight w:val="none"/>
              </w:rPr>
            </w:pPr>
          </w:p>
        </w:tc>
        <w:tc>
          <w:tcPr>
            <w:tcW w:w="905" w:type="dxa"/>
            <w:tcBorders>
              <w:right w:val="single" w:color="000000" w:sz="4" w:space="0"/>
            </w:tcBorders>
            <w:vAlign w:val="top"/>
          </w:tcPr>
          <w:p w14:paraId="40DFA946">
            <w:pPr>
              <w:pStyle w:val="17"/>
              <w:spacing w:before="172" w:line="226" w:lineRule="auto"/>
              <w:ind w:left="249"/>
              <w:rPr>
                <w:color w:val="auto"/>
                <w:highlight w:val="none"/>
              </w:rPr>
            </w:pPr>
            <w:r>
              <w:rPr>
                <w:color w:val="auto"/>
                <w:spacing w:val="-3"/>
                <w:highlight w:val="none"/>
              </w:rPr>
              <w:t>总量</w:t>
            </w:r>
          </w:p>
        </w:tc>
        <w:tc>
          <w:tcPr>
            <w:tcW w:w="905" w:type="dxa"/>
            <w:tcBorders>
              <w:left w:val="single" w:color="000000" w:sz="4" w:space="0"/>
            </w:tcBorders>
            <w:vAlign w:val="top"/>
          </w:tcPr>
          <w:p w14:paraId="277E968D">
            <w:pPr>
              <w:pStyle w:val="17"/>
              <w:spacing w:before="171" w:line="221" w:lineRule="auto"/>
              <w:ind w:left="354"/>
              <w:rPr>
                <w:color w:val="auto"/>
                <w:highlight w:val="none"/>
              </w:rPr>
            </w:pPr>
            <w:r>
              <w:rPr>
                <w:color w:val="auto"/>
                <w:highlight w:val="none"/>
              </w:rPr>
              <w:t>月</w:t>
            </w:r>
          </w:p>
        </w:tc>
        <w:tc>
          <w:tcPr>
            <w:tcW w:w="909" w:type="dxa"/>
            <w:vAlign w:val="top"/>
          </w:tcPr>
          <w:p w14:paraId="3C9BA054">
            <w:pPr>
              <w:pStyle w:val="17"/>
              <w:spacing w:before="171" w:line="221" w:lineRule="auto"/>
              <w:ind w:left="362"/>
              <w:rPr>
                <w:color w:val="auto"/>
                <w:highlight w:val="none"/>
              </w:rPr>
            </w:pPr>
            <w:r>
              <w:rPr>
                <w:color w:val="auto"/>
                <w:highlight w:val="none"/>
              </w:rPr>
              <w:t>月</w:t>
            </w:r>
          </w:p>
        </w:tc>
        <w:tc>
          <w:tcPr>
            <w:tcW w:w="900" w:type="dxa"/>
            <w:vAlign w:val="top"/>
          </w:tcPr>
          <w:p w14:paraId="4E3E675D">
            <w:pPr>
              <w:pStyle w:val="17"/>
              <w:spacing w:before="171" w:line="221" w:lineRule="auto"/>
              <w:ind w:left="360"/>
              <w:rPr>
                <w:color w:val="auto"/>
                <w:highlight w:val="none"/>
              </w:rPr>
            </w:pPr>
            <w:r>
              <w:rPr>
                <w:color w:val="auto"/>
                <w:highlight w:val="none"/>
              </w:rPr>
              <w:t>月</w:t>
            </w:r>
          </w:p>
        </w:tc>
        <w:tc>
          <w:tcPr>
            <w:tcW w:w="909" w:type="dxa"/>
            <w:vAlign w:val="top"/>
          </w:tcPr>
          <w:p w14:paraId="36455B6A">
            <w:pPr>
              <w:pStyle w:val="17"/>
              <w:spacing w:before="171" w:line="221" w:lineRule="auto"/>
              <w:ind w:left="173"/>
              <w:rPr>
                <w:color w:val="auto"/>
                <w:highlight w:val="none"/>
              </w:rPr>
            </w:pPr>
            <w:r>
              <w:rPr>
                <w:color w:val="auto"/>
                <w:highlight w:val="none"/>
              </w:rPr>
              <w:t>月</w:t>
            </w:r>
          </w:p>
        </w:tc>
        <w:tc>
          <w:tcPr>
            <w:tcW w:w="924" w:type="dxa"/>
            <w:vMerge w:val="continue"/>
            <w:tcBorders>
              <w:top w:val="nil"/>
            </w:tcBorders>
            <w:vAlign w:val="top"/>
          </w:tcPr>
          <w:p w14:paraId="4F066F30">
            <w:pPr>
              <w:rPr>
                <w:rFonts w:ascii="Arial"/>
                <w:color w:val="auto"/>
                <w:sz w:val="21"/>
                <w:highlight w:val="none"/>
              </w:rPr>
            </w:pPr>
          </w:p>
        </w:tc>
      </w:tr>
      <w:tr w14:paraId="591A3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101" w:type="dxa"/>
            <w:vAlign w:val="top"/>
          </w:tcPr>
          <w:p w14:paraId="01DE0EB3">
            <w:pPr>
              <w:rPr>
                <w:rFonts w:ascii="Arial"/>
                <w:color w:val="auto"/>
                <w:sz w:val="21"/>
                <w:highlight w:val="none"/>
              </w:rPr>
            </w:pPr>
          </w:p>
        </w:tc>
        <w:tc>
          <w:tcPr>
            <w:tcW w:w="900" w:type="dxa"/>
            <w:vAlign w:val="top"/>
          </w:tcPr>
          <w:p w14:paraId="0D51029A">
            <w:pPr>
              <w:rPr>
                <w:rFonts w:ascii="Arial"/>
                <w:color w:val="auto"/>
                <w:sz w:val="21"/>
                <w:highlight w:val="none"/>
              </w:rPr>
            </w:pPr>
          </w:p>
        </w:tc>
        <w:tc>
          <w:tcPr>
            <w:tcW w:w="905" w:type="dxa"/>
            <w:vAlign w:val="top"/>
          </w:tcPr>
          <w:p w14:paraId="007B606F">
            <w:pPr>
              <w:rPr>
                <w:rFonts w:ascii="Arial"/>
                <w:color w:val="auto"/>
                <w:sz w:val="21"/>
                <w:highlight w:val="none"/>
              </w:rPr>
            </w:pPr>
          </w:p>
        </w:tc>
        <w:tc>
          <w:tcPr>
            <w:tcW w:w="905" w:type="dxa"/>
            <w:tcBorders>
              <w:right w:val="single" w:color="000000" w:sz="4" w:space="0"/>
            </w:tcBorders>
            <w:vAlign w:val="top"/>
          </w:tcPr>
          <w:p w14:paraId="04797C4C">
            <w:pPr>
              <w:rPr>
                <w:rFonts w:ascii="Arial"/>
                <w:color w:val="auto"/>
                <w:sz w:val="21"/>
                <w:highlight w:val="none"/>
              </w:rPr>
            </w:pPr>
          </w:p>
        </w:tc>
        <w:tc>
          <w:tcPr>
            <w:tcW w:w="905" w:type="dxa"/>
            <w:tcBorders>
              <w:left w:val="single" w:color="000000" w:sz="4" w:space="0"/>
            </w:tcBorders>
            <w:vAlign w:val="top"/>
          </w:tcPr>
          <w:p w14:paraId="63327217">
            <w:pPr>
              <w:rPr>
                <w:rFonts w:ascii="Arial"/>
                <w:color w:val="auto"/>
                <w:sz w:val="21"/>
                <w:highlight w:val="none"/>
              </w:rPr>
            </w:pPr>
          </w:p>
        </w:tc>
        <w:tc>
          <w:tcPr>
            <w:tcW w:w="909" w:type="dxa"/>
            <w:vAlign w:val="top"/>
          </w:tcPr>
          <w:p w14:paraId="2AF720A0">
            <w:pPr>
              <w:rPr>
                <w:rFonts w:ascii="Arial"/>
                <w:color w:val="auto"/>
                <w:sz w:val="21"/>
                <w:highlight w:val="none"/>
              </w:rPr>
            </w:pPr>
          </w:p>
        </w:tc>
        <w:tc>
          <w:tcPr>
            <w:tcW w:w="900" w:type="dxa"/>
            <w:vAlign w:val="top"/>
          </w:tcPr>
          <w:p w14:paraId="6E45DB83">
            <w:pPr>
              <w:rPr>
                <w:rFonts w:ascii="Arial"/>
                <w:color w:val="auto"/>
                <w:sz w:val="21"/>
                <w:highlight w:val="none"/>
              </w:rPr>
            </w:pPr>
          </w:p>
        </w:tc>
        <w:tc>
          <w:tcPr>
            <w:tcW w:w="909" w:type="dxa"/>
            <w:vAlign w:val="top"/>
          </w:tcPr>
          <w:p w14:paraId="22328865">
            <w:pPr>
              <w:rPr>
                <w:rFonts w:ascii="Arial"/>
                <w:color w:val="auto"/>
                <w:sz w:val="21"/>
                <w:highlight w:val="none"/>
              </w:rPr>
            </w:pPr>
          </w:p>
        </w:tc>
        <w:tc>
          <w:tcPr>
            <w:tcW w:w="924" w:type="dxa"/>
            <w:vAlign w:val="top"/>
          </w:tcPr>
          <w:p w14:paraId="3F2F8B67">
            <w:pPr>
              <w:rPr>
                <w:rFonts w:ascii="Arial"/>
                <w:color w:val="auto"/>
                <w:sz w:val="21"/>
                <w:highlight w:val="none"/>
              </w:rPr>
            </w:pPr>
          </w:p>
        </w:tc>
      </w:tr>
      <w:tr w14:paraId="48FC7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1" w:type="dxa"/>
            <w:vAlign w:val="top"/>
          </w:tcPr>
          <w:p w14:paraId="533616BC">
            <w:pPr>
              <w:rPr>
                <w:rFonts w:ascii="Arial"/>
                <w:color w:val="auto"/>
                <w:sz w:val="21"/>
                <w:highlight w:val="none"/>
              </w:rPr>
            </w:pPr>
          </w:p>
        </w:tc>
        <w:tc>
          <w:tcPr>
            <w:tcW w:w="900" w:type="dxa"/>
            <w:vAlign w:val="top"/>
          </w:tcPr>
          <w:p w14:paraId="6C73C18F">
            <w:pPr>
              <w:rPr>
                <w:rFonts w:ascii="Arial"/>
                <w:color w:val="auto"/>
                <w:sz w:val="21"/>
                <w:highlight w:val="none"/>
              </w:rPr>
            </w:pPr>
          </w:p>
        </w:tc>
        <w:tc>
          <w:tcPr>
            <w:tcW w:w="905" w:type="dxa"/>
            <w:vAlign w:val="top"/>
          </w:tcPr>
          <w:p w14:paraId="3BF1B68A">
            <w:pPr>
              <w:rPr>
                <w:rFonts w:ascii="Arial"/>
                <w:color w:val="auto"/>
                <w:sz w:val="21"/>
                <w:highlight w:val="none"/>
              </w:rPr>
            </w:pPr>
          </w:p>
        </w:tc>
        <w:tc>
          <w:tcPr>
            <w:tcW w:w="905" w:type="dxa"/>
            <w:tcBorders>
              <w:right w:val="single" w:color="000000" w:sz="4" w:space="0"/>
            </w:tcBorders>
            <w:vAlign w:val="top"/>
          </w:tcPr>
          <w:p w14:paraId="591DB17F">
            <w:pPr>
              <w:rPr>
                <w:rFonts w:ascii="Arial"/>
                <w:color w:val="auto"/>
                <w:sz w:val="21"/>
                <w:highlight w:val="none"/>
              </w:rPr>
            </w:pPr>
          </w:p>
        </w:tc>
        <w:tc>
          <w:tcPr>
            <w:tcW w:w="905" w:type="dxa"/>
            <w:tcBorders>
              <w:left w:val="single" w:color="000000" w:sz="4" w:space="0"/>
            </w:tcBorders>
            <w:vAlign w:val="top"/>
          </w:tcPr>
          <w:p w14:paraId="653C3B20">
            <w:pPr>
              <w:rPr>
                <w:rFonts w:ascii="Arial"/>
                <w:color w:val="auto"/>
                <w:sz w:val="21"/>
                <w:highlight w:val="none"/>
              </w:rPr>
            </w:pPr>
          </w:p>
        </w:tc>
        <w:tc>
          <w:tcPr>
            <w:tcW w:w="909" w:type="dxa"/>
            <w:vAlign w:val="top"/>
          </w:tcPr>
          <w:p w14:paraId="55CFC708">
            <w:pPr>
              <w:rPr>
                <w:rFonts w:ascii="Arial"/>
                <w:color w:val="auto"/>
                <w:sz w:val="21"/>
                <w:highlight w:val="none"/>
              </w:rPr>
            </w:pPr>
          </w:p>
        </w:tc>
        <w:tc>
          <w:tcPr>
            <w:tcW w:w="900" w:type="dxa"/>
            <w:vAlign w:val="top"/>
          </w:tcPr>
          <w:p w14:paraId="75AA7C2F">
            <w:pPr>
              <w:rPr>
                <w:rFonts w:ascii="Arial"/>
                <w:color w:val="auto"/>
                <w:sz w:val="21"/>
                <w:highlight w:val="none"/>
              </w:rPr>
            </w:pPr>
          </w:p>
        </w:tc>
        <w:tc>
          <w:tcPr>
            <w:tcW w:w="909" w:type="dxa"/>
            <w:vAlign w:val="top"/>
          </w:tcPr>
          <w:p w14:paraId="24D9B366">
            <w:pPr>
              <w:rPr>
                <w:rFonts w:ascii="Arial"/>
                <w:color w:val="auto"/>
                <w:sz w:val="21"/>
                <w:highlight w:val="none"/>
              </w:rPr>
            </w:pPr>
          </w:p>
        </w:tc>
        <w:tc>
          <w:tcPr>
            <w:tcW w:w="924" w:type="dxa"/>
            <w:vAlign w:val="top"/>
          </w:tcPr>
          <w:p w14:paraId="1B09F944">
            <w:pPr>
              <w:rPr>
                <w:rFonts w:ascii="Arial"/>
                <w:color w:val="auto"/>
                <w:sz w:val="21"/>
                <w:highlight w:val="none"/>
              </w:rPr>
            </w:pPr>
          </w:p>
        </w:tc>
      </w:tr>
      <w:tr w14:paraId="16A39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1" w:type="dxa"/>
            <w:vAlign w:val="top"/>
          </w:tcPr>
          <w:p w14:paraId="1A634A2E">
            <w:pPr>
              <w:rPr>
                <w:rFonts w:ascii="Arial"/>
                <w:color w:val="auto"/>
                <w:sz w:val="21"/>
                <w:highlight w:val="none"/>
              </w:rPr>
            </w:pPr>
          </w:p>
        </w:tc>
        <w:tc>
          <w:tcPr>
            <w:tcW w:w="900" w:type="dxa"/>
            <w:vAlign w:val="top"/>
          </w:tcPr>
          <w:p w14:paraId="01F84A27">
            <w:pPr>
              <w:rPr>
                <w:rFonts w:ascii="Arial"/>
                <w:color w:val="auto"/>
                <w:sz w:val="21"/>
                <w:highlight w:val="none"/>
              </w:rPr>
            </w:pPr>
          </w:p>
        </w:tc>
        <w:tc>
          <w:tcPr>
            <w:tcW w:w="905" w:type="dxa"/>
            <w:vAlign w:val="top"/>
          </w:tcPr>
          <w:p w14:paraId="75197EC4">
            <w:pPr>
              <w:rPr>
                <w:rFonts w:ascii="Arial"/>
                <w:color w:val="auto"/>
                <w:sz w:val="21"/>
                <w:highlight w:val="none"/>
              </w:rPr>
            </w:pPr>
          </w:p>
        </w:tc>
        <w:tc>
          <w:tcPr>
            <w:tcW w:w="905" w:type="dxa"/>
            <w:tcBorders>
              <w:right w:val="single" w:color="000000" w:sz="4" w:space="0"/>
            </w:tcBorders>
            <w:vAlign w:val="top"/>
          </w:tcPr>
          <w:p w14:paraId="51ABD64B">
            <w:pPr>
              <w:rPr>
                <w:rFonts w:ascii="Arial"/>
                <w:color w:val="auto"/>
                <w:sz w:val="21"/>
                <w:highlight w:val="none"/>
              </w:rPr>
            </w:pPr>
          </w:p>
        </w:tc>
        <w:tc>
          <w:tcPr>
            <w:tcW w:w="905" w:type="dxa"/>
            <w:tcBorders>
              <w:left w:val="single" w:color="000000" w:sz="4" w:space="0"/>
            </w:tcBorders>
            <w:vAlign w:val="top"/>
          </w:tcPr>
          <w:p w14:paraId="63CE3C19">
            <w:pPr>
              <w:rPr>
                <w:rFonts w:ascii="Arial"/>
                <w:color w:val="auto"/>
                <w:sz w:val="21"/>
                <w:highlight w:val="none"/>
              </w:rPr>
            </w:pPr>
          </w:p>
        </w:tc>
        <w:tc>
          <w:tcPr>
            <w:tcW w:w="909" w:type="dxa"/>
            <w:vAlign w:val="top"/>
          </w:tcPr>
          <w:p w14:paraId="6B8A4025">
            <w:pPr>
              <w:rPr>
                <w:rFonts w:ascii="Arial"/>
                <w:color w:val="auto"/>
                <w:sz w:val="21"/>
                <w:highlight w:val="none"/>
              </w:rPr>
            </w:pPr>
          </w:p>
        </w:tc>
        <w:tc>
          <w:tcPr>
            <w:tcW w:w="900" w:type="dxa"/>
            <w:vAlign w:val="top"/>
          </w:tcPr>
          <w:p w14:paraId="7D884E7D">
            <w:pPr>
              <w:rPr>
                <w:rFonts w:ascii="Arial"/>
                <w:color w:val="auto"/>
                <w:sz w:val="21"/>
                <w:highlight w:val="none"/>
              </w:rPr>
            </w:pPr>
          </w:p>
        </w:tc>
        <w:tc>
          <w:tcPr>
            <w:tcW w:w="909" w:type="dxa"/>
            <w:vAlign w:val="top"/>
          </w:tcPr>
          <w:p w14:paraId="76DDBB41">
            <w:pPr>
              <w:rPr>
                <w:rFonts w:ascii="Arial"/>
                <w:color w:val="auto"/>
                <w:sz w:val="21"/>
                <w:highlight w:val="none"/>
              </w:rPr>
            </w:pPr>
          </w:p>
        </w:tc>
        <w:tc>
          <w:tcPr>
            <w:tcW w:w="924" w:type="dxa"/>
            <w:vAlign w:val="top"/>
          </w:tcPr>
          <w:p w14:paraId="63A42EA3">
            <w:pPr>
              <w:rPr>
                <w:rFonts w:ascii="Arial"/>
                <w:color w:val="auto"/>
                <w:sz w:val="21"/>
                <w:highlight w:val="none"/>
              </w:rPr>
            </w:pPr>
          </w:p>
        </w:tc>
      </w:tr>
      <w:tr w14:paraId="2A954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1" w:type="dxa"/>
            <w:vAlign w:val="top"/>
          </w:tcPr>
          <w:p w14:paraId="79BDFB02">
            <w:pPr>
              <w:rPr>
                <w:rFonts w:ascii="Arial"/>
                <w:color w:val="auto"/>
                <w:sz w:val="21"/>
                <w:highlight w:val="none"/>
              </w:rPr>
            </w:pPr>
          </w:p>
        </w:tc>
        <w:tc>
          <w:tcPr>
            <w:tcW w:w="900" w:type="dxa"/>
            <w:vAlign w:val="top"/>
          </w:tcPr>
          <w:p w14:paraId="1A035FDC">
            <w:pPr>
              <w:rPr>
                <w:rFonts w:ascii="Arial"/>
                <w:color w:val="auto"/>
                <w:sz w:val="21"/>
                <w:highlight w:val="none"/>
              </w:rPr>
            </w:pPr>
          </w:p>
        </w:tc>
        <w:tc>
          <w:tcPr>
            <w:tcW w:w="905" w:type="dxa"/>
            <w:vAlign w:val="top"/>
          </w:tcPr>
          <w:p w14:paraId="6C914EF8">
            <w:pPr>
              <w:rPr>
                <w:rFonts w:ascii="Arial"/>
                <w:color w:val="auto"/>
                <w:sz w:val="21"/>
                <w:highlight w:val="none"/>
              </w:rPr>
            </w:pPr>
          </w:p>
        </w:tc>
        <w:tc>
          <w:tcPr>
            <w:tcW w:w="905" w:type="dxa"/>
            <w:tcBorders>
              <w:right w:val="single" w:color="000000" w:sz="4" w:space="0"/>
            </w:tcBorders>
            <w:vAlign w:val="top"/>
          </w:tcPr>
          <w:p w14:paraId="7461530E">
            <w:pPr>
              <w:rPr>
                <w:rFonts w:ascii="Arial"/>
                <w:color w:val="auto"/>
                <w:sz w:val="21"/>
                <w:highlight w:val="none"/>
              </w:rPr>
            </w:pPr>
          </w:p>
        </w:tc>
        <w:tc>
          <w:tcPr>
            <w:tcW w:w="905" w:type="dxa"/>
            <w:tcBorders>
              <w:left w:val="single" w:color="000000" w:sz="4" w:space="0"/>
            </w:tcBorders>
            <w:vAlign w:val="top"/>
          </w:tcPr>
          <w:p w14:paraId="5AFE3374">
            <w:pPr>
              <w:rPr>
                <w:rFonts w:ascii="Arial"/>
                <w:color w:val="auto"/>
                <w:sz w:val="21"/>
                <w:highlight w:val="none"/>
              </w:rPr>
            </w:pPr>
          </w:p>
        </w:tc>
        <w:tc>
          <w:tcPr>
            <w:tcW w:w="909" w:type="dxa"/>
            <w:vAlign w:val="top"/>
          </w:tcPr>
          <w:p w14:paraId="27F5B17B">
            <w:pPr>
              <w:rPr>
                <w:rFonts w:ascii="Arial"/>
                <w:color w:val="auto"/>
                <w:sz w:val="21"/>
                <w:highlight w:val="none"/>
              </w:rPr>
            </w:pPr>
          </w:p>
        </w:tc>
        <w:tc>
          <w:tcPr>
            <w:tcW w:w="900" w:type="dxa"/>
            <w:vAlign w:val="top"/>
          </w:tcPr>
          <w:p w14:paraId="20BEE188">
            <w:pPr>
              <w:rPr>
                <w:rFonts w:ascii="Arial"/>
                <w:color w:val="auto"/>
                <w:sz w:val="21"/>
                <w:highlight w:val="none"/>
              </w:rPr>
            </w:pPr>
          </w:p>
        </w:tc>
        <w:tc>
          <w:tcPr>
            <w:tcW w:w="909" w:type="dxa"/>
            <w:vAlign w:val="top"/>
          </w:tcPr>
          <w:p w14:paraId="49846CDD">
            <w:pPr>
              <w:rPr>
                <w:rFonts w:ascii="Arial"/>
                <w:color w:val="auto"/>
                <w:sz w:val="21"/>
                <w:highlight w:val="none"/>
              </w:rPr>
            </w:pPr>
          </w:p>
        </w:tc>
        <w:tc>
          <w:tcPr>
            <w:tcW w:w="924" w:type="dxa"/>
            <w:vAlign w:val="top"/>
          </w:tcPr>
          <w:p w14:paraId="5BFCFCD5">
            <w:pPr>
              <w:rPr>
                <w:rFonts w:ascii="Arial"/>
                <w:color w:val="auto"/>
                <w:sz w:val="21"/>
                <w:highlight w:val="none"/>
              </w:rPr>
            </w:pPr>
          </w:p>
        </w:tc>
      </w:tr>
      <w:tr w14:paraId="68A8D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1" w:type="dxa"/>
            <w:vAlign w:val="top"/>
          </w:tcPr>
          <w:p w14:paraId="1F523DF1">
            <w:pPr>
              <w:rPr>
                <w:rFonts w:ascii="Arial"/>
                <w:color w:val="auto"/>
                <w:sz w:val="21"/>
                <w:highlight w:val="none"/>
              </w:rPr>
            </w:pPr>
          </w:p>
        </w:tc>
        <w:tc>
          <w:tcPr>
            <w:tcW w:w="900" w:type="dxa"/>
            <w:vAlign w:val="top"/>
          </w:tcPr>
          <w:p w14:paraId="790FDC4A">
            <w:pPr>
              <w:rPr>
                <w:rFonts w:ascii="Arial"/>
                <w:color w:val="auto"/>
                <w:sz w:val="21"/>
                <w:highlight w:val="none"/>
              </w:rPr>
            </w:pPr>
          </w:p>
        </w:tc>
        <w:tc>
          <w:tcPr>
            <w:tcW w:w="905" w:type="dxa"/>
            <w:vAlign w:val="top"/>
          </w:tcPr>
          <w:p w14:paraId="216902CA">
            <w:pPr>
              <w:rPr>
                <w:rFonts w:ascii="Arial"/>
                <w:color w:val="auto"/>
                <w:sz w:val="21"/>
                <w:highlight w:val="none"/>
              </w:rPr>
            </w:pPr>
          </w:p>
        </w:tc>
        <w:tc>
          <w:tcPr>
            <w:tcW w:w="905" w:type="dxa"/>
            <w:tcBorders>
              <w:right w:val="single" w:color="000000" w:sz="4" w:space="0"/>
            </w:tcBorders>
            <w:vAlign w:val="top"/>
          </w:tcPr>
          <w:p w14:paraId="75D9E0DB">
            <w:pPr>
              <w:rPr>
                <w:rFonts w:ascii="Arial"/>
                <w:color w:val="auto"/>
                <w:sz w:val="21"/>
                <w:highlight w:val="none"/>
              </w:rPr>
            </w:pPr>
          </w:p>
        </w:tc>
        <w:tc>
          <w:tcPr>
            <w:tcW w:w="905" w:type="dxa"/>
            <w:tcBorders>
              <w:left w:val="single" w:color="000000" w:sz="4" w:space="0"/>
            </w:tcBorders>
            <w:vAlign w:val="top"/>
          </w:tcPr>
          <w:p w14:paraId="0E42E337">
            <w:pPr>
              <w:rPr>
                <w:rFonts w:ascii="Arial"/>
                <w:color w:val="auto"/>
                <w:sz w:val="21"/>
                <w:highlight w:val="none"/>
              </w:rPr>
            </w:pPr>
          </w:p>
        </w:tc>
        <w:tc>
          <w:tcPr>
            <w:tcW w:w="909" w:type="dxa"/>
            <w:vAlign w:val="top"/>
          </w:tcPr>
          <w:p w14:paraId="60043387">
            <w:pPr>
              <w:rPr>
                <w:rFonts w:ascii="Arial"/>
                <w:color w:val="auto"/>
                <w:sz w:val="21"/>
                <w:highlight w:val="none"/>
              </w:rPr>
            </w:pPr>
          </w:p>
        </w:tc>
        <w:tc>
          <w:tcPr>
            <w:tcW w:w="900" w:type="dxa"/>
            <w:vAlign w:val="top"/>
          </w:tcPr>
          <w:p w14:paraId="5FA73C2A">
            <w:pPr>
              <w:rPr>
                <w:rFonts w:ascii="Arial"/>
                <w:color w:val="auto"/>
                <w:sz w:val="21"/>
                <w:highlight w:val="none"/>
              </w:rPr>
            </w:pPr>
          </w:p>
        </w:tc>
        <w:tc>
          <w:tcPr>
            <w:tcW w:w="909" w:type="dxa"/>
            <w:vAlign w:val="top"/>
          </w:tcPr>
          <w:p w14:paraId="7E5185A5">
            <w:pPr>
              <w:rPr>
                <w:rFonts w:ascii="Arial"/>
                <w:color w:val="auto"/>
                <w:sz w:val="21"/>
                <w:highlight w:val="none"/>
              </w:rPr>
            </w:pPr>
          </w:p>
        </w:tc>
        <w:tc>
          <w:tcPr>
            <w:tcW w:w="924" w:type="dxa"/>
            <w:vAlign w:val="top"/>
          </w:tcPr>
          <w:p w14:paraId="2D277C28">
            <w:pPr>
              <w:rPr>
                <w:rFonts w:ascii="Arial"/>
                <w:color w:val="auto"/>
                <w:sz w:val="21"/>
                <w:highlight w:val="none"/>
              </w:rPr>
            </w:pPr>
          </w:p>
        </w:tc>
      </w:tr>
      <w:tr w14:paraId="21582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101" w:type="dxa"/>
            <w:vAlign w:val="top"/>
          </w:tcPr>
          <w:p w14:paraId="4EAE353A">
            <w:pPr>
              <w:rPr>
                <w:rFonts w:ascii="Arial"/>
                <w:color w:val="auto"/>
                <w:sz w:val="21"/>
                <w:highlight w:val="none"/>
              </w:rPr>
            </w:pPr>
          </w:p>
        </w:tc>
        <w:tc>
          <w:tcPr>
            <w:tcW w:w="900" w:type="dxa"/>
            <w:vAlign w:val="top"/>
          </w:tcPr>
          <w:p w14:paraId="4CF34785">
            <w:pPr>
              <w:rPr>
                <w:rFonts w:ascii="Arial"/>
                <w:color w:val="auto"/>
                <w:sz w:val="21"/>
                <w:highlight w:val="none"/>
              </w:rPr>
            </w:pPr>
          </w:p>
        </w:tc>
        <w:tc>
          <w:tcPr>
            <w:tcW w:w="905" w:type="dxa"/>
            <w:vAlign w:val="top"/>
          </w:tcPr>
          <w:p w14:paraId="311A1610">
            <w:pPr>
              <w:rPr>
                <w:rFonts w:ascii="Arial"/>
                <w:color w:val="auto"/>
                <w:sz w:val="21"/>
                <w:highlight w:val="none"/>
              </w:rPr>
            </w:pPr>
          </w:p>
        </w:tc>
        <w:tc>
          <w:tcPr>
            <w:tcW w:w="905" w:type="dxa"/>
            <w:tcBorders>
              <w:right w:val="single" w:color="000000" w:sz="4" w:space="0"/>
            </w:tcBorders>
            <w:vAlign w:val="top"/>
          </w:tcPr>
          <w:p w14:paraId="6E536742">
            <w:pPr>
              <w:rPr>
                <w:rFonts w:ascii="Arial"/>
                <w:color w:val="auto"/>
                <w:sz w:val="21"/>
                <w:highlight w:val="none"/>
              </w:rPr>
            </w:pPr>
          </w:p>
        </w:tc>
        <w:tc>
          <w:tcPr>
            <w:tcW w:w="905" w:type="dxa"/>
            <w:tcBorders>
              <w:left w:val="single" w:color="000000" w:sz="4" w:space="0"/>
            </w:tcBorders>
            <w:vAlign w:val="top"/>
          </w:tcPr>
          <w:p w14:paraId="52560B17">
            <w:pPr>
              <w:rPr>
                <w:rFonts w:ascii="Arial"/>
                <w:color w:val="auto"/>
                <w:sz w:val="21"/>
                <w:highlight w:val="none"/>
              </w:rPr>
            </w:pPr>
          </w:p>
        </w:tc>
        <w:tc>
          <w:tcPr>
            <w:tcW w:w="909" w:type="dxa"/>
            <w:vAlign w:val="top"/>
          </w:tcPr>
          <w:p w14:paraId="12D4CF95">
            <w:pPr>
              <w:rPr>
                <w:rFonts w:ascii="Arial"/>
                <w:color w:val="auto"/>
                <w:sz w:val="21"/>
                <w:highlight w:val="none"/>
              </w:rPr>
            </w:pPr>
          </w:p>
        </w:tc>
        <w:tc>
          <w:tcPr>
            <w:tcW w:w="900" w:type="dxa"/>
            <w:vAlign w:val="top"/>
          </w:tcPr>
          <w:p w14:paraId="59536801">
            <w:pPr>
              <w:rPr>
                <w:rFonts w:ascii="Arial"/>
                <w:color w:val="auto"/>
                <w:sz w:val="21"/>
                <w:highlight w:val="none"/>
              </w:rPr>
            </w:pPr>
          </w:p>
        </w:tc>
        <w:tc>
          <w:tcPr>
            <w:tcW w:w="909" w:type="dxa"/>
            <w:vAlign w:val="top"/>
          </w:tcPr>
          <w:p w14:paraId="79FEB427">
            <w:pPr>
              <w:rPr>
                <w:rFonts w:ascii="Arial"/>
                <w:color w:val="auto"/>
                <w:sz w:val="21"/>
                <w:highlight w:val="none"/>
              </w:rPr>
            </w:pPr>
          </w:p>
        </w:tc>
        <w:tc>
          <w:tcPr>
            <w:tcW w:w="924" w:type="dxa"/>
            <w:vAlign w:val="top"/>
          </w:tcPr>
          <w:p w14:paraId="229F3AE0">
            <w:pPr>
              <w:rPr>
                <w:rFonts w:ascii="Arial"/>
                <w:color w:val="auto"/>
                <w:sz w:val="21"/>
                <w:highlight w:val="none"/>
              </w:rPr>
            </w:pPr>
          </w:p>
        </w:tc>
      </w:tr>
    </w:tbl>
    <w:p w14:paraId="3FC17287">
      <w:pPr>
        <w:rPr>
          <w:rFonts w:ascii="Arial"/>
          <w:color w:val="auto"/>
          <w:sz w:val="21"/>
          <w:highlight w:val="none"/>
        </w:rPr>
      </w:pPr>
    </w:p>
    <w:p w14:paraId="2BEC420A">
      <w:pPr>
        <w:rPr>
          <w:rFonts w:ascii="Arial" w:hAnsi="Arial" w:eastAsia="Arial" w:cs="Arial"/>
          <w:color w:val="auto"/>
          <w:sz w:val="21"/>
          <w:szCs w:val="21"/>
          <w:highlight w:val="none"/>
        </w:rPr>
        <w:sectPr>
          <w:footerReference r:id="rId60" w:type="default"/>
          <w:pgSz w:w="11900" w:h="16832"/>
          <w:pgMar w:top="1421" w:right="1766" w:bottom="808" w:left="1769" w:header="0" w:footer="647" w:gutter="0"/>
          <w:pgNumType w:fmt="decimal"/>
          <w:cols w:space="720" w:num="1"/>
        </w:sectPr>
      </w:pPr>
    </w:p>
    <w:p w14:paraId="38D78CEA">
      <w:pPr>
        <w:spacing w:before="56" w:line="219" w:lineRule="auto"/>
        <w:ind w:left="5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附件五：计划开工日期、完工日期和施工进度网络图</w:t>
      </w:r>
      <w:r>
        <w:rPr>
          <w:rFonts w:ascii="宋体" w:hAnsi="宋体" w:eastAsia="宋体" w:cs="宋体"/>
          <w:color w:val="auto"/>
          <w:spacing w:val="-2"/>
          <w:sz w:val="28"/>
          <w:szCs w:val="28"/>
          <w:highlight w:val="none"/>
        </w:rPr>
        <w:t>（或横道图）</w:t>
      </w:r>
    </w:p>
    <w:p w14:paraId="49DFA0F1">
      <w:pPr>
        <w:spacing w:line="392" w:lineRule="auto"/>
        <w:rPr>
          <w:rFonts w:ascii="Arial"/>
          <w:color w:val="auto"/>
          <w:sz w:val="21"/>
          <w:highlight w:val="none"/>
        </w:rPr>
      </w:pPr>
    </w:p>
    <w:p w14:paraId="1AEB2EB8">
      <w:pPr>
        <w:spacing w:before="91" w:line="220" w:lineRule="auto"/>
        <w:ind w:left="662"/>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计划开工日期、完工日期和施工进度网络图（或横道图）</w:t>
      </w:r>
    </w:p>
    <w:p w14:paraId="1E3B89DA">
      <w:pPr>
        <w:spacing w:before="292" w:line="345" w:lineRule="auto"/>
        <w:ind w:left="28" w:right="13" w:firstLine="4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供应商应递交施工进度网络图或施工进度表，说明按磋</w:t>
      </w:r>
      <w:r>
        <w:rPr>
          <w:rFonts w:ascii="宋体" w:hAnsi="宋体" w:eastAsia="宋体" w:cs="宋体"/>
          <w:color w:val="auto"/>
          <w:spacing w:val="2"/>
          <w:sz w:val="21"/>
          <w:szCs w:val="21"/>
          <w:highlight w:val="none"/>
        </w:rPr>
        <w:t>商文件要求的计划工期进行施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工的各个关键日期。</w:t>
      </w:r>
    </w:p>
    <w:p w14:paraId="51C4A0DD">
      <w:pPr>
        <w:spacing w:before="30" w:line="220"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施工进度表可采用网络图（或横道图）表示。</w:t>
      </w:r>
    </w:p>
    <w:p w14:paraId="39C9F1C2">
      <w:pPr>
        <w:spacing w:line="220" w:lineRule="auto"/>
        <w:rPr>
          <w:rFonts w:ascii="宋体" w:hAnsi="宋体" w:eastAsia="宋体" w:cs="宋体"/>
          <w:color w:val="auto"/>
          <w:sz w:val="21"/>
          <w:szCs w:val="21"/>
          <w:highlight w:val="none"/>
        </w:rPr>
        <w:sectPr>
          <w:footerReference r:id="rId61" w:type="default"/>
          <w:pgSz w:w="11900" w:h="16832"/>
          <w:pgMar w:top="1421" w:right="1784" w:bottom="808" w:left="1784" w:header="0" w:footer="647" w:gutter="0"/>
          <w:pgNumType w:fmt="decimal"/>
          <w:cols w:space="720" w:num="1"/>
        </w:sectPr>
      </w:pPr>
    </w:p>
    <w:p w14:paraId="79CA69A1">
      <w:pPr>
        <w:spacing w:before="287" w:line="219" w:lineRule="auto"/>
        <w:ind w:left="50"/>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附件六：施工总平面图</w:t>
      </w:r>
    </w:p>
    <w:p w14:paraId="7E459084">
      <w:pPr>
        <w:spacing w:line="241" w:lineRule="auto"/>
        <w:rPr>
          <w:rFonts w:ascii="Arial"/>
          <w:color w:val="auto"/>
          <w:sz w:val="21"/>
          <w:highlight w:val="none"/>
        </w:rPr>
      </w:pPr>
    </w:p>
    <w:p w14:paraId="60602624">
      <w:pPr>
        <w:spacing w:line="242" w:lineRule="auto"/>
        <w:rPr>
          <w:rFonts w:ascii="Arial"/>
          <w:color w:val="auto"/>
          <w:sz w:val="21"/>
          <w:highlight w:val="none"/>
        </w:rPr>
      </w:pPr>
    </w:p>
    <w:p w14:paraId="6D1B5E95">
      <w:pPr>
        <w:spacing w:before="91" w:line="221" w:lineRule="auto"/>
        <w:ind w:left="33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施工总平面图</w:t>
      </w:r>
    </w:p>
    <w:p w14:paraId="2622D058">
      <w:pPr>
        <w:spacing w:before="291" w:line="349" w:lineRule="auto"/>
        <w:ind w:left="29" w:right="17" w:firstLine="41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供应商应递交一份施工总平面图，绘出现场</w:t>
      </w:r>
      <w:r>
        <w:rPr>
          <w:rFonts w:ascii="宋体" w:hAnsi="宋体" w:eastAsia="宋体" w:cs="宋体"/>
          <w:color w:val="auto"/>
          <w:spacing w:val="2"/>
          <w:sz w:val="21"/>
          <w:szCs w:val="21"/>
          <w:highlight w:val="none"/>
        </w:rPr>
        <w:t>临时设施布置图及表并附文字说明，说明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临时设施、加工车间、现场办公、设备及仓储、供电、供水、卫生、生活、道路、消防等</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设施的情况和布置。</w:t>
      </w:r>
    </w:p>
    <w:p w14:paraId="39812736">
      <w:pPr>
        <w:spacing w:before="3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其他平面图由供应商根据需要制作。</w:t>
      </w:r>
    </w:p>
    <w:p w14:paraId="52670273">
      <w:pPr>
        <w:spacing w:line="220" w:lineRule="auto"/>
        <w:rPr>
          <w:rFonts w:ascii="宋体" w:hAnsi="宋体" w:eastAsia="宋体" w:cs="宋体"/>
          <w:color w:val="auto"/>
          <w:sz w:val="21"/>
          <w:szCs w:val="21"/>
          <w:highlight w:val="none"/>
        </w:rPr>
        <w:sectPr>
          <w:footerReference r:id="rId62" w:type="default"/>
          <w:pgSz w:w="11900" w:h="16832"/>
          <w:pgMar w:top="1430" w:right="1784" w:bottom="1187" w:left="1784" w:header="0" w:footer="980" w:gutter="0"/>
          <w:pgNumType w:fmt="decimal"/>
          <w:cols w:space="720" w:num="1"/>
        </w:sectPr>
      </w:pPr>
    </w:p>
    <w:p w14:paraId="10BFBF18">
      <w:pPr>
        <w:spacing w:before="56" w:line="219" w:lineRule="auto"/>
        <w:ind w:left="66"/>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附件七：临时用地表</w:t>
      </w:r>
    </w:p>
    <w:p w14:paraId="08E59605">
      <w:pPr>
        <w:spacing w:before="214" w:line="220" w:lineRule="auto"/>
        <w:ind w:left="3504"/>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临时用地表</w:t>
      </w:r>
    </w:p>
    <w:p w14:paraId="09CB006E">
      <w:pPr>
        <w:spacing w:before="21"/>
        <w:rPr>
          <w:color w:val="auto"/>
          <w:highlight w:val="none"/>
        </w:rPr>
      </w:pPr>
    </w:p>
    <w:tbl>
      <w:tblPr>
        <w:tblStyle w:val="16"/>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1"/>
        <w:gridCol w:w="2079"/>
        <w:gridCol w:w="2079"/>
        <w:gridCol w:w="2099"/>
      </w:tblGrid>
      <w:tr w14:paraId="53C5B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101" w:type="dxa"/>
            <w:vAlign w:val="top"/>
          </w:tcPr>
          <w:p w14:paraId="6A80A940">
            <w:pPr>
              <w:pStyle w:val="17"/>
              <w:spacing w:before="180" w:line="222" w:lineRule="auto"/>
              <w:ind w:left="844"/>
              <w:rPr>
                <w:color w:val="auto"/>
                <w:highlight w:val="none"/>
              </w:rPr>
            </w:pPr>
            <w:r>
              <w:rPr>
                <w:color w:val="auto"/>
                <w:spacing w:val="-2"/>
                <w:highlight w:val="none"/>
              </w:rPr>
              <w:t>用途</w:t>
            </w:r>
          </w:p>
        </w:tc>
        <w:tc>
          <w:tcPr>
            <w:tcW w:w="2079" w:type="dxa"/>
            <w:vAlign w:val="top"/>
          </w:tcPr>
          <w:p w14:paraId="69425EF4">
            <w:pPr>
              <w:pStyle w:val="17"/>
              <w:spacing w:before="175" w:line="226" w:lineRule="auto"/>
              <w:ind w:left="541"/>
              <w:rPr>
                <w:color w:val="auto"/>
                <w:highlight w:val="none"/>
              </w:rPr>
            </w:pPr>
            <w:r>
              <w:rPr>
                <w:color w:val="auto"/>
                <w:spacing w:val="-2"/>
                <w:highlight w:val="none"/>
              </w:rPr>
              <w:t>面积（m</w:t>
            </w:r>
            <w:r>
              <w:rPr>
                <w:color w:val="auto"/>
                <w:spacing w:val="-2"/>
                <w:position w:val="10"/>
                <w:sz w:val="11"/>
                <w:szCs w:val="11"/>
                <w:highlight w:val="none"/>
              </w:rPr>
              <w:t>2</w:t>
            </w:r>
            <w:r>
              <w:rPr>
                <w:color w:val="auto"/>
                <w:spacing w:val="-2"/>
                <w:highlight w:val="none"/>
              </w:rPr>
              <w:t>）</w:t>
            </w:r>
          </w:p>
        </w:tc>
        <w:tc>
          <w:tcPr>
            <w:tcW w:w="2079" w:type="dxa"/>
            <w:vAlign w:val="top"/>
          </w:tcPr>
          <w:p w14:paraId="1DBE1390">
            <w:pPr>
              <w:pStyle w:val="17"/>
              <w:spacing w:before="180" w:line="222" w:lineRule="auto"/>
              <w:ind w:left="835"/>
              <w:rPr>
                <w:color w:val="auto"/>
                <w:highlight w:val="none"/>
              </w:rPr>
            </w:pPr>
            <w:r>
              <w:rPr>
                <w:color w:val="auto"/>
                <w:spacing w:val="-2"/>
                <w:highlight w:val="none"/>
              </w:rPr>
              <w:t>位置</w:t>
            </w:r>
          </w:p>
        </w:tc>
        <w:tc>
          <w:tcPr>
            <w:tcW w:w="2099" w:type="dxa"/>
            <w:vAlign w:val="top"/>
          </w:tcPr>
          <w:p w14:paraId="70B53052">
            <w:pPr>
              <w:pStyle w:val="17"/>
              <w:spacing w:before="181" w:line="221" w:lineRule="auto"/>
              <w:ind w:left="647"/>
              <w:rPr>
                <w:color w:val="auto"/>
                <w:highlight w:val="none"/>
              </w:rPr>
            </w:pPr>
            <w:r>
              <w:rPr>
                <w:color w:val="auto"/>
                <w:spacing w:val="-5"/>
                <w:highlight w:val="none"/>
              </w:rPr>
              <w:t>需用时间</w:t>
            </w:r>
          </w:p>
        </w:tc>
      </w:tr>
      <w:tr w14:paraId="6454F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12E391AA">
            <w:pPr>
              <w:rPr>
                <w:rFonts w:ascii="Arial"/>
                <w:color w:val="auto"/>
                <w:sz w:val="21"/>
                <w:highlight w:val="none"/>
              </w:rPr>
            </w:pPr>
          </w:p>
        </w:tc>
        <w:tc>
          <w:tcPr>
            <w:tcW w:w="2079" w:type="dxa"/>
            <w:vAlign w:val="top"/>
          </w:tcPr>
          <w:p w14:paraId="1349AC97">
            <w:pPr>
              <w:rPr>
                <w:rFonts w:ascii="Arial"/>
                <w:color w:val="auto"/>
                <w:sz w:val="21"/>
                <w:highlight w:val="none"/>
              </w:rPr>
            </w:pPr>
          </w:p>
        </w:tc>
        <w:tc>
          <w:tcPr>
            <w:tcW w:w="2079" w:type="dxa"/>
            <w:vAlign w:val="top"/>
          </w:tcPr>
          <w:p w14:paraId="27B75DCD">
            <w:pPr>
              <w:rPr>
                <w:rFonts w:ascii="Arial"/>
                <w:color w:val="auto"/>
                <w:sz w:val="21"/>
                <w:highlight w:val="none"/>
              </w:rPr>
            </w:pPr>
          </w:p>
        </w:tc>
        <w:tc>
          <w:tcPr>
            <w:tcW w:w="2099" w:type="dxa"/>
            <w:vAlign w:val="top"/>
          </w:tcPr>
          <w:p w14:paraId="6A019287">
            <w:pPr>
              <w:rPr>
                <w:rFonts w:ascii="Arial"/>
                <w:color w:val="auto"/>
                <w:sz w:val="21"/>
                <w:highlight w:val="none"/>
              </w:rPr>
            </w:pPr>
          </w:p>
        </w:tc>
      </w:tr>
      <w:tr w14:paraId="4A278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101" w:type="dxa"/>
            <w:vAlign w:val="top"/>
          </w:tcPr>
          <w:p w14:paraId="06D04BAD">
            <w:pPr>
              <w:rPr>
                <w:rFonts w:ascii="Arial"/>
                <w:color w:val="auto"/>
                <w:sz w:val="21"/>
                <w:highlight w:val="none"/>
              </w:rPr>
            </w:pPr>
          </w:p>
        </w:tc>
        <w:tc>
          <w:tcPr>
            <w:tcW w:w="2079" w:type="dxa"/>
            <w:vAlign w:val="top"/>
          </w:tcPr>
          <w:p w14:paraId="1B87E8E0">
            <w:pPr>
              <w:rPr>
                <w:rFonts w:ascii="Arial"/>
                <w:color w:val="auto"/>
                <w:sz w:val="21"/>
                <w:highlight w:val="none"/>
              </w:rPr>
            </w:pPr>
          </w:p>
        </w:tc>
        <w:tc>
          <w:tcPr>
            <w:tcW w:w="2079" w:type="dxa"/>
            <w:vAlign w:val="top"/>
          </w:tcPr>
          <w:p w14:paraId="0267166E">
            <w:pPr>
              <w:rPr>
                <w:rFonts w:ascii="Arial"/>
                <w:color w:val="auto"/>
                <w:sz w:val="21"/>
                <w:highlight w:val="none"/>
              </w:rPr>
            </w:pPr>
          </w:p>
        </w:tc>
        <w:tc>
          <w:tcPr>
            <w:tcW w:w="2099" w:type="dxa"/>
            <w:vAlign w:val="top"/>
          </w:tcPr>
          <w:p w14:paraId="0D800E36">
            <w:pPr>
              <w:rPr>
                <w:rFonts w:ascii="Arial"/>
                <w:color w:val="auto"/>
                <w:sz w:val="21"/>
                <w:highlight w:val="none"/>
              </w:rPr>
            </w:pPr>
          </w:p>
        </w:tc>
      </w:tr>
      <w:tr w14:paraId="633B4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2101" w:type="dxa"/>
            <w:vAlign w:val="top"/>
          </w:tcPr>
          <w:p w14:paraId="7CE1AACA">
            <w:pPr>
              <w:rPr>
                <w:rFonts w:ascii="Arial"/>
                <w:color w:val="auto"/>
                <w:sz w:val="21"/>
                <w:highlight w:val="none"/>
              </w:rPr>
            </w:pPr>
          </w:p>
        </w:tc>
        <w:tc>
          <w:tcPr>
            <w:tcW w:w="2079" w:type="dxa"/>
            <w:vAlign w:val="top"/>
          </w:tcPr>
          <w:p w14:paraId="64C2A9EB">
            <w:pPr>
              <w:rPr>
                <w:rFonts w:ascii="Arial"/>
                <w:color w:val="auto"/>
                <w:sz w:val="21"/>
                <w:highlight w:val="none"/>
              </w:rPr>
            </w:pPr>
          </w:p>
        </w:tc>
        <w:tc>
          <w:tcPr>
            <w:tcW w:w="2079" w:type="dxa"/>
            <w:vAlign w:val="top"/>
          </w:tcPr>
          <w:p w14:paraId="1FC8C505">
            <w:pPr>
              <w:rPr>
                <w:rFonts w:ascii="Arial"/>
                <w:color w:val="auto"/>
                <w:sz w:val="21"/>
                <w:highlight w:val="none"/>
              </w:rPr>
            </w:pPr>
          </w:p>
        </w:tc>
        <w:tc>
          <w:tcPr>
            <w:tcW w:w="2099" w:type="dxa"/>
            <w:vAlign w:val="top"/>
          </w:tcPr>
          <w:p w14:paraId="2E1B5A0A">
            <w:pPr>
              <w:rPr>
                <w:rFonts w:ascii="Arial"/>
                <w:color w:val="auto"/>
                <w:sz w:val="21"/>
                <w:highlight w:val="none"/>
              </w:rPr>
            </w:pPr>
          </w:p>
        </w:tc>
      </w:tr>
      <w:tr w14:paraId="3E343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213E2810">
            <w:pPr>
              <w:rPr>
                <w:rFonts w:ascii="Arial"/>
                <w:color w:val="auto"/>
                <w:sz w:val="21"/>
                <w:highlight w:val="none"/>
              </w:rPr>
            </w:pPr>
          </w:p>
        </w:tc>
        <w:tc>
          <w:tcPr>
            <w:tcW w:w="2079" w:type="dxa"/>
            <w:vAlign w:val="top"/>
          </w:tcPr>
          <w:p w14:paraId="4A71D456">
            <w:pPr>
              <w:rPr>
                <w:rFonts w:ascii="Arial"/>
                <w:color w:val="auto"/>
                <w:sz w:val="21"/>
                <w:highlight w:val="none"/>
              </w:rPr>
            </w:pPr>
          </w:p>
        </w:tc>
        <w:tc>
          <w:tcPr>
            <w:tcW w:w="2079" w:type="dxa"/>
            <w:vAlign w:val="top"/>
          </w:tcPr>
          <w:p w14:paraId="4DC1A6C7">
            <w:pPr>
              <w:rPr>
                <w:rFonts w:ascii="Arial"/>
                <w:color w:val="auto"/>
                <w:sz w:val="21"/>
                <w:highlight w:val="none"/>
              </w:rPr>
            </w:pPr>
          </w:p>
        </w:tc>
        <w:tc>
          <w:tcPr>
            <w:tcW w:w="2099" w:type="dxa"/>
            <w:vAlign w:val="top"/>
          </w:tcPr>
          <w:p w14:paraId="068C406D">
            <w:pPr>
              <w:rPr>
                <w:rFonts w:ascii="Arial"/>
                <w:color w:val="auto"/>
                <w:sz w:val="21"/>
                <w:highlight w:val="none"/>
              </w:rPr>
            </w:pPr>
          </w:p>
        </w:tc>
      </w:tr>
      <w:tr w14:paraId="3D6F1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3D42FDF5">
            <w:pPr>
              <w:rPr>
                <w:rFonts w:ascii="Arial"/>
                <w:color w:val="auto"/>
                <w:sz w:val="21"/>
                <w:highlight w:val="none"/>
              </w:rPr>
            </w:pPr>
          </w:p>
        </w:tc>
        <w:tc>
          <w:tcPr>
            <w:tcW w:w="2079" w:type="dxa"/>
            <w:vAlign w:val="top"/>
          </w:tcPr>
          <w:p w14:paraId="7BE89393">
            <w:pPr>
              <w:rPr>
                <w:rFonts w:ascii="Arial"/>
                <w:color w:val="auto"/>
                <w:sz w:val="21"/>
                <w:highlight w:val="none"/>
              </w:rPr>
            </w:pPr>
          </w:p>
        </w:tc>
        <w:tc>
          <w:tcPr>
            <w:tcW w:w="2079" w:type="dxa"/>
            <w:vAlign w:val="top"/>
          </w:tcPr>
          <w:p w14:paraId="70E87009">
            <w:pPr>
              <w:rPr>
                <w:rFonts w:ascii="Arial"/>
                <w:color w:val="auto"/>
                <w:sz w:val="21"/>
                <w:highlight w:val="none"/>
              </w:rPr>
            </w:pPr>
          </w:p>
        </w:tc>
        <w:tc>
          <w:tcPr>
            <w:tcW w:w="2099" w:type="dxa"/>
            <w:vAlign w:val="top"/>
          </w:tcPr>
          <w:p w14:paraId="60A0495C">
            <w:pPr>
              <w:rPr>
                <w:rFonts w:ascii="Arial"/>
                <w:color w:val="auto"/>
                <w:sz w:val="21"/>
                <w:highlight w:val="none"/>
              </w:rPr>
            </w:pPr>
          </w:p>
        </w:tc>
      </w:tr>
      <w:tr w14:paraId="6E241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7DA7B358">
            <w:pPr>
              <w:rPr>
                <w:rFonts w:ascii="Arial"/>
                <w:color w:val="auto"/>
                <w:sz w:val="21"/>
                <w:highlight w:val="none"/>
              </w:rPr>
            </w:pPr>
          </w:p>
        </w:tc>
        <w:tc>
          <w:tcPr>
            <w:tcW w:w="2079" w:type="dxa"/>
            <w:vAlign w:val="top"/>
          </w:tcPr>
          <w:p w14:paraId="0AA01207">
            <w:pPr>
              <w:rPr>
                <w:rFonts w:ascii="Arial"/>
                <w:color w:val="auto"/>
                <w:sz w:val="21"/>
                <w:highlight w:val="none"/>
              </w:rPr>
            </w:pPr>
          </w:p>
        </w:tc>
        <w:tc>
          <w:tcPr>
            <w:tcW w:w="2079" w:type="dxa"/>
            <w:vAlign w:val="top"/>
          </w:tcPr>
          <w:p w14:paraId="2EB2D525">
            <w:pPr>
              <w:rPr>
                <w:rFonts w:ascii="Arial"/>
                <w:color w:val="auto"/>
                <w:sz w:val="21"/>
                <w:highlight w:val="none"/>
              </w:rPr>
            </w:pPr>
          </w:p>
        </w:tc>
        <w:tc>
          <w:tcPr>
            <w:tcW w:w="2099" w:type="dxa"/>
            <w:vAlign w:val="top"/>
          </w:tcPr>
          <w:p w14:paraId="2AA6E2FA">
            <w:pPr>
              <w:rPr>
                <w:rFonts w:ascii="Arial"/>
                <w:color w:val="auto"/>
                <w:sz w:val="21"/>
                <w:highlight w:val="none"/>
              </w:rPr>
            </w:pPr>
          </w:p>
        </w:tc>
      </w:tr>
      <w:tr w14:paraId="37949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66AD35C2">
            <w:pPr>
              <w:rPr>
                <w:rFonts w:ascii="Arial"/>
                <w:color w:val="auto"/>
                <w:sz w:val="21"/>
                <w:highlight w:val="none"/>
              </w:rPr>
            </w:pPr>
          </w:p>
        </w:tc>
        <w:tc>
          <w:tcPr>
            <w:tcW w:w="2079" w:type="dxa"/>
            <w:vAlign w:val="top"/>
          </w:tcPr>
          <w:p w14:paraId="30B263D8">
            <w:pPr>
              <w:rPr>
                <w:rFonts w:ascii="Arial"/>
                <w:color w:val="auto"/>
                <w:sz w:val="21"/>
                <w:highlight w:val="none"/>
              </w:rPr>
            </w:pPr>
          </w:p>
        </w:tc>
        <w:tc>
          <w:tcPr>
            <w:tcW w:w="2079" w:type="dxa"/>
            <w:vAlign w:val="top"/>
          </w:tcPr>
          <w:p w14:paraId="47867C8C">
            <w:pPr>
              <w:rPr>
                <w:rFonts w:ascii="Arial"/>
                <w:color w:val="auto"/>
                <w:sz w:val="21"/>
                <w:highlight w:val="none"/>
              </w:rPr>
            </w:pPr>
          </w:p>
        </w:tc>
        <w:tc>
          <w:tcPr>
            <w:tcW w:w="2099" w:type="dxa"/>
            <w:vAlign w:val="top"/>
          </w:tcPr>
          <w:p w14:paraId="7DF87E09">
            <w:pPr>
              <w:rPr>
                <w:rFonts w:ascii="Arial"/>
                <w:color w:val="auto"/>
                <w:sz w:val="21"/>
                <w:highlight w:val="none"/>
              </w:rPr>
            </w:pPr>
          </w:p>
        </w:tc>
      </w:tr>
      <w:tr w14:paraId="4882F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2101" w:type="dxa"/>
            <w:vAlign w:val="top"/>
          </w:tcPr>
          <w:p w14:paraId="2D85B56E">
            <w:pPr>
              <w:rPr>
                <w:rFonts w:ascii="Arial"/>
                <w:color w:val="auto"/>
                <w:sz w:val="21"/>
                <w:highlight w:val="none"/>
              </w:rPr>
            </w:pPr>
          </w:p>
        </w:tc>
        <w:tc>
          <w:tcPr>
            <w:tcW w:w="2079" w:type="dxa"/>
            <w:vAlign w:val="top"/>
          </w:tcPr>
          <w:p w14:paraId="313452E9">
            <w:pPr>
              <w:rPr>
                <w:rFonts w:ascii="Arial"/>
                <w:color w:val="auto"/>
                <w:sz w:val="21"/>
                <w:highlight w:val="none"/>
              </w:rPr>
            </w:pPr>
          </w:p>
        </w:tc>
        <w:tc>
          <w:tcPr>
            <w:tcW w:w="2079" w:type="dxa"/>
            <w:vAlign w:val="top"/>
          </w:tcPr>
          <w:p w14:paraId="211C531B">
            <w:pPr>
              <w:rPr>
                <w:rFonts w:ascii="Arial"/>
                <w:color w:val="auto"/>
                <w:sz w:val="21"/>
                <w:highlight w:val="none"/>
              </w:rPr>
            </w:pPr>
          </w:p>
        </w:tc>
        <w:tc>
          <w:tcPr>
            <w:tcW w:w="2099" w:type="dxa"/>
            <w:vAlign w:val="top"/>
          </w:tcPr>
          <w:p w14:paraId="507A2067">
            <w:pPr>
              <w:rPr>
                <w:rFonts w:ascii="Arial"/>
                <w:color w:val="auto"/>
                <w:sz w:val="21"/>
                <w:highlight w:val="none"/>
              </w:rPr>
            </w:pPr>
          </w:p>
        </w:tc>
      </w:tr>
      <w:tr w14:paraId="21837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2101" w:type="dxa"/>
            <w:vAlign w:val="top"/>
          </w:tcPr>
          <w:p w14:paraId="43F54F05">
            <w:pPr>
              <w:rPr>
                <w:rFonts w:ascii="Arial"/>
                <w:color w:val="auto"/>
                <w:sz w:val="21"/>
                <w:highlight w:val="none"/>
              </w:rPr>
            </w:pPr>
          </w:p>
        </w:tc>
        <w:tc>
          <w:tcPr>
            <w:tcW w:w="2079" w:type="dxa"/>
            <w:vAlign w:val="top"/>
          </w:tcPr>
          <w:p w14:paraId="151937C1">
            <w:pPr>
              <w:rPr>
                <w:rFonts w:ascii="Arial"/>
                <w:color w:val="auto"/>
                <w:sz w:val="21"/>
                <w:highlight w:val="none"/>
              </w:rPr>
            </w:pPr>
          </w:p>
        </w:tc>
        <w:tc>
          <w:tcPr>
            <w:tcW w:w="2079" w:type="dxa"/>
            <w:vAlign w:val="top"/>
          </w:tcPr>
          <w:p w14:paraId="05F335FE">
            <w:pPr>
              <w:rPr>
                <w:rFonts w:ascii="Arial"/>
                <w:color w:val="auto"/>
                <w:sz w:val="21"/>
                <w:highlight w:val="none"/>
              </w:rPr>
            </w:pPr>
          </w:p>
        </w:tc>
        <w:tc>
          <w:tcPr>
            <w:tcW w:w="2099" w:type="dxa"/>
            <w:vAlign w:val="top"/>
          </w:tcPr>
          <w:p w14:paraId="11CDDDDF">
            <w:pPr>
              <w:rPr>
                <w:rFonts w:ascii="Arial"/>
                <w:color w:val="auto"/>
                <w:sz w:val="21"/>
                <w:highlight w:val="none"/>
              </w:rPr>
            </w:pPr>
          </w:p>
        </w:tc>
      </w:tr>
      <w:tr w14:paraId="3A91D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57AD9E9B">
            <w:pPr>
              <w:rPr>
                <w:rFonts w:ascii="Arial"/>
                <w:color w:val="auto"/>
                <w:sz w:val="21"/>
                <w:highlight w:val="none"/>
              </w:rPr>
            </w:pPr>
          </w:p>
        </w:tc>
        <w:tc>
          <w:tcPr>
            <w:tcW w:w="2079" w:type="dxa"/>
            <w:vAlign w:val="top"/>
          </w:tcPr>
          <w:p w14:paraId="1911026B">
            <w:pPr>
              <w:rPr>
                <w:rFonts w:ascii="Arial"/>
                <w:color w:val="auto"/>
                <w:sz w:val="21"/>
                <w:highlight w:val="none"/>
              </w:rPr>
            </w:pPr>
          </w:p>
        </w:tc>
        <w:tc>
          <w:tcPr>
            <w:tcW w:w="2079" w:type="dxa"/>
            <w:vAlign w:val="top"/>
          </w:tcPr>
          <w:p w14:paraId="3827D77D">
            <w:pPr>
              <w:rPr>
                <w:rFonts w:ascii="Arial"/>
                <w:color w:val="auto"/>
                <w:sz w:val="21"/>
                <w:highlight w:val="none"/>
              </w:rPr>
            </w:pPr>
          </w:p>
        </w:tc>
        <w:tc>
          <w:tcPr>
            <w:tcW w:w="2099" w:type="dxa"/>
            <w:vAlign w:val="top"/>
          </w:tcPr>
          <w:p w14:paraId="0289294D">
            <w:pPr>
              <w:rPr>
                <w:rFonts w:ascii="Arial"/>
                <w:color w:val="auto"/>
                <w:sz w:val="21"/>
                <w:highlight w:val="none"/>
              </w:rPr>
            </w:pPr>
          </w:p>
        </w:tc>
      </w:tr>
      <w:tr w14:paraId="4929A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4670B485">
            <w:pPr>
              <w:rPr>
                <w:rFonts w:ascii="Arial"/>
                <w:color w:val="auto"/>
                <w:sz w:val="21"/>
                <w:highlight w:val="none"/>
              </w:rPr>
            </w:pPr>
          </w:p>
        </w:tc>
        <w:tc>
          <w:tcPr>
            <w:tcW w:w="2079" w:type="dxa"/>
            <w:vAlign w:val="top"/>
          </w:tcPr>
          <w:p w14:paraId="76B4CB2A">
            <w:pPr>
              <w:rPr>
                <w:rFonts w:ascii="Arial"/>
                <w:color w:val="auto"/>
                <w:sz w:val="21"/>
                <w:highlight w:val="none"/>
              </w:rPr>
            </w:pPr>
          </w:p>
        </w:tc>
        <w:tc>
          <w:tcPr>
            <w:tcW w:w="2079" w:type="dxa"/>
            <w:vAlign w:val="top"/>
          </w:tcPr>
          <w:p w14:paraId="6560ED9A">
            <w:pPr>
              <w:rPr>
                <w:rFonts w:ascii="Arial"/>
                <w:color w:val="auto"/>
                <w:sz w:val="21"/>
                <w:highlight w:val="none"/>
              </w:rPr>
            </w:pPr>
          </w:p>
        </w:tc>
        <w:tc>
          <w:tcPr>
            <w:tcW w:w="2099" w:type="dxa"/>
            <w:vAlign w:val="top"/>
          </w:tcPr>
          <w:p w14:paraId="1C50D5FD">
            <w:pPr>
              <w:rPr>
                <w:rFonts w:ascii="Arial"/>
                <w:color w:val="auto"/>
                <w:sz w:val="21"/>
                <w:highlight w:val="none"/>
              </w:rPr>
            </w:pPr>
          </w:p>
        </w:tc>
      </w:tr>
      <w:tr w14:paraId="62BE3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09E7ECCD">
            <w:pPr>
              <w:rPr>
                <w:rFonts w:ascii="Arial"/>
                <w:color w:val="auto"/>
                <w:sz w:val="21"/>
                <w:highlight w:val="none"/>
              </w:rPr>
            </w:pPr>
          </w:p>
        </w:tc>
        <w:tc>
          <w:tcPr>
            <w:tcW w:w="2079" w:type="dxa"/>
            <w:vAlign w:val="top"/>
          </w:tcPr>
          <w:p w14:paraId="02B035E3">
            <w:pPr>
              <w:rPr>
                <w:rFonts w:ascii="Arial"/>
                <w:color w:val="auto"/>
                <w:sz w:val="21"/>
                <w:highlight w:val="none"/>
              </w:rPr>
            </w:pPr>
          </w:p>
        </w:tc>
        <w:tc>
          <w:tcPr>
            <w:tcW w:w="2079" w:type="dxa"/>
            <w:vAlign w:val="top"/>
          </w:tcPr>
          <w:p w14:paraId="44DDA9EC">
            <w:pPr>
              <w:rPr>
                <w:rFonts w:ascii="Arial"/>
                <w:color w:val="auto"/>
                <w:sz w:val="21"/>
                <w:highlight w:val="none"/>
              </w:rPr>
            </w:pPr>
          </w:p>
        </w:tc>
        <w:tc>
          <w:tcPr>
            <w:tcW w:w="2099" w:type="dxa"/>
            <w:vAlign w:val="top"/>
          </w:tcPr>
          <w:p w14:paraId="15E6FDF5">
            <w:pPr>
              <w:rPr>
                <w:rFonts w:ascii="Arial"/>
                <w:color w:val="auto"/>
                <w:sz w:val="21"/>
                <w:highlight w:val="none"/>
              </w:rPr>
            </w:pPr>
          </w:p>
        </w:tc>
      </w:tr>
      <w:tr w14:paraId="53700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0EFEAEFF">
            <w:pPr>
              <w:rPr>
                <w:rFonts w:ascii="Arial"/>
                <w:color w:val="auto"/>
                <w:sz w:val="21"/>
                <w:highlight w:val="none"/>
              </w:rPr>
            </w:pPr>
          </w:p>
        </w:tc>
        <w:tc>
          <w:tcPr>
            <w:tcW w:w="2079" w:type="dxa"/>
            <w:vAlign w:val="top"/>
          </w:tcPr>
          <w:p w14:paraId="4CA0BAB1">
            <w:pPr>
              <w:rPr>
                <w:rFonts w:ascii="Arial"/>
                <w:color w:val="auto"/>
                <w:sz w:val="21"/>
                <w:highlight w:val="none"/>
              </w:rPr>
            </w:pPr>
          </w:p>
        </w:tc>
        <w:tc>
          <w:tcPr>
            <w:tcW w:w="2079" w:type="dxa"/>
            <w:vAlign w:val="top"/>
          </w:tcPr>
          <w:p w14:paraId="61DFB8B4">
            <w:pPr>
              <w:rPr>
                <w:rFonts w:ascii="Arial"/>
                <w:color w:val="auto"/>
                <w:sz w:val="21"/>
                <w:highlight w:val="none"/>
              </w:rPr>
            </w:pPr>
          </w:p>
        </w:tc>
        <w:tc>
          <w:tcPr>
            <w:tcW w:w="2099" w:type="dxa"/>
            <w:vAlign w:val="top"/>
          </w:tcPr>
          <w:p w14:paraId="3061F1E4">
            <w:pPr>
              <w:rPr>
                <w:rFonts w:ascii="Arial"/>
                <w:color w:val="auto"/>
                <w:sz w:val="21"/>
                <w:highlight w:val="none"/>
              </w:rPr>
            </w:pPr>
          </w:p>
        </w:tc>
      </w:tr>
      <w:tr w14:paraId="3FBB5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101" w:type="dxa"/>
            <w:vAlign w:val="top"/>
          </w:tcPr>
          <w:p w14:paraId="65185257">
            <w:pPr>
              <w:rPr>
                <w:rFonts w:ascii="Arial"/>
                <w:color w:val="auto"/>
                <w:sz w:val="21"/>
                <w:highlight w:val="none"/>
              </w:rPr>
            </w:pPr>
          </w:p>
        </w:tc>
        <w:tc>
          <w:tcPr>
            <w:tcW w:w="2079" w:type="dxa"/>
            <w:vAlign w:val="top"/>
          </w:tcPr>
          <w:p w14:paraId="187ED7BD">
            <w:pPr>
              <w:rPr>
                <w:rFonts w:ascii="Arial"/>
                <w:color w:val="auto"/>
                <w:sz w:val="21"/>
                <w:highlight w:val="none"/>
              </w:rPr>
            </w:pPr>
          </w:p>
        </w:tc>
        <w:tc>
          <w:tcPr>
            <w:tcW w:w="2079" w:type="dxa"/>
            <w:vAlign w:val="top"/>
          </w:tcPr>
          <w:p w14:paraId="6540E9E6">
            <w:pPr>
              <w:rPr>
                <w:rFonts w:ascii="Arial"/>
                <w:color w:val="auto"/>
                <w:sz w:val="21"/>
                <w:highlight w:val="none"/>
              </w:rPr>
            </w:pPr>
          </w:p>
        </w:tc>
        <w:tc>
          <w:tcPr>
            <w:tcW w:w="2099" w:type="dxa"/>
            <w:vAlign w:val="top"/>
          </w:tcPr>
          <w:p w14:paraId="777EB53A">
            <w:pPr>
              <w:rPr>
                <w:rFonts w:ascii="Arial"/>
                <w:color w:val="auto"/>
                <w:sz w:val="21"/>
                <w:highlight w:val="none"/>
              </w:rPr>
            </w:pPr>
          </w:p>
        </w:tc>
      </w:tr>
    </w:tbl>
    <w:p w14:paraId="78B86842">
      <w:pPr>
        <w:rPr>
          <w:rFonts w:ascii="Arial"/>
          <w:color w:val="auto"/>
          <w:sz w:val="21"/>
          <w:highlight w:val="none"/>
        </w:rPr>
      </w:pPr>
    </w:p>
    <w:p w14:paraId="145A59C3">
      <w:pPr>
        <w:rPr>
          <w:rFonts w:ascii="Arial" w:hAnsi="Arial" w:eastAsia="Arial" w:cs="Arial"/>
          <w:color w:val="auto"/>
          <w:sz w:val="21"/>
          <w:szCs w:val="21"/>
          <w:highlight w:val="none"/>
        </w:rPr>
        <w:sectPr>
          <w:footerReference r:id="rId63" w:type="default"/>
          <w:pgSz w:w="11900" w:h="16832"/>
          <w:pgMar w:top="1421" w:right="1766" w:bottom="1188" w:left="1769" w:header="0" w:footer="980" w:gutter="0"/>
          <w:pgNumType w:fmt="decimal"/>
          <w:cols w:space="720" w:num="1"/>
        </w:sectPr>
      </w:pPr>
    </w:p>
    <w:p w14:paraId="5C2024DB">
      <w:pPr>
        <w:jc w:val="center"/>
        <w:rPr>
          <w:rFonts w:hint="eastAsia" w:ascii="宋体" w:hAnsi="宋体" w:cs="宋体"/>
          <w:color w:val="auto"/>
          <w:sz w:val="32"/>
          <w:highlight w:val="none"/>
        </w:rPr>
      </w:pPr>
      <w:r>
        <w:rPr>
          <w:rFonts w:hint="eastAsia" w:ascii="宋体" w:hAnsi="宋体" w:cs="宋体"/>
          <w:color w:val="auto"/>
          <w:sz w:val="32"/>
          <w:highlight w:val="none"/>
        </w:rPr>
        <w:t>主要施工管理人员表</w:t>
      </w:r>
    </w:p>
    <w:p w14:paraId="54A29864">
      <w:pPr>
        <w:jc w:val="center"/>
        <w:rPr>
          <w:rFonts w:hint="eastAsia" w:ascii="宋体" w:hAnsi="宋体" w:cs="宋体"/>
          <w:color w:val="auto"/>
          <w:highlight w:val="none"/>
        </w:rPr>
      </w:pPr>
    </w:p>
    <w:tbl>
      <w:tblPr>
        <w:tblStyle w:val="13"/>
        <w:tblW w:w="0" w:type="auto"/>
        <w:jc w:val="center"/>
        <w:tblLayout w:type="fixed"/>
        <w:tblCellMar>
          <w:top w:w="0" w:type="dxa"/>
          <w:left w:w="0" w:type="dxa"/>
          <w:bottom w:w="0" w:type="dxa"/>
          <w:right w:w="0" w:type="dxa"/>
        </w:tblCellMar>
      </w:tblPr>
      <w:tblGrid>
        <w:gridCol w:w="1745"/>
        <w:gridCol w:w="1155"/>
        <w:gridCol w:w="1155"/>
        <w:gridCol w:w="1155"/>
        <w:gridCol w:w="4453"/>
      </w:tblGrid>
      <w:tr w14:paraId="67DD3BA0">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8BA7F5">
            <w:pPr>
              <w:jc w:val="center"/>
              <w:rPr>
                <w:rFonts w:hint="eastAsia" w:ascii="宋体" w:hAnsi="宋体" w:cs="宋体"/>
                <w:color w:val="auto"/>
                <w:highlight w:val="none"/>
              </w:rPr>
            </w:pPr>
            <w:r>
              <w:rPr>
                <w:rFonts w:hint="eastAsia" w:ascii="宋体" w:hAnsi="宋体" w:cs="宋体"/>
                <w:color w:val="auto"/>
                <w:highlight w:val="none"/>
              </w:rPr>
              <w:t>职务</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02D8C3">
            <w:pPr>
              <w:jc w:val="center"/>
              <w:rPr>
                <w:rFonts w:hint="eastAsia" w:ascii="宋体" w:hAnsi="宋体" w:cs="宋体"/>
                <w:color w:val="auto"/>
                <w:highlight w:val="none"/>
              </w:rPr>
            </w:pPr>
            <w:r>
              <w:rPr>
                <w:rFonts w:hint="eastAsia" w:ascii="宋体" w:hAnsi="宋体" w:cs="宋体"/>
                <w:color w:val="auto"/>
                <w:highlight w:val="none"/>
              </w:rPr>
              <w:t>姓名</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FA930B">
            <w:pPr>
              <w:jc w:val="center"/>
              <w:rPr>
                <w:rFonts w:hint="eastAsia" w:ascii="宋体" w:hAnsi="宋体" w:cs="宋体"/>
                <w:color w:val="auto"/>
                <w:highlight w:val="none"/>
              </w:rPr>
            </w:pPr>
            <w:r>
              <w:rPr>
                <w:rFonts w:hint="eastAsia" w:ascii="宋体" w:hAnsi="宋体" w:cs="宋体"/>
                <w:color w:val="auto"/>
                <w:highlight w:val="none"/>
              </w:rPr>
              <w:t>职务</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433F21">
            <w:pPr>
              <w:jc w:val="center"/>
              <w:rPr>
                <w:rFonts w:hint="eastAsia" w:ascii="宋体" w:hAnsi="宋体" w:cs="宋体"/>
                <w:color w:val="auto"/>
                <w:highlight w:val="none"/>
              </w:rPr>
            </w:pPr>
            <w:r>
              <w:rPr>
                <w:rFonts w:hint="eastAsia" w:ascii="宋体" w:hAnsi="宋体" w:cs="宋体"/>
                <w:color w:val="auto"/>
                <w:highlight w:val="none"/>
              </w:rPr>
              <w:t>职称</w:t>
            </w: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1F9A12">
            <w:pPr>
              <w:jc w:val="center"/>
              <w:rPr>
                <w:rFonts w:hint="eastAsia" w:ascii="宋体" w:hAnsi="宋体" w:cs="宋体"/>
                <w:color w:val="auto"/>
                <w:highlight w:val="none"/>
              </w:rPr>
            </w:pPr>
            <w:r>
              <w:rPr>
                <w:rFonts w:hint="eastAsia" w:ascii="宋体" w:hAnsi="宋体" w:cs="宋体"/>
                <w:color w:val="auto"/>
                <w:highlight w:val="none"/>
              </w:rPr>
              <w:t>现任职务及资格经历</w:t>
            </w:r>
          </w:p>
        </w:tc>
      </w:tr>
      <w:tr w14:paraId="184E8D62">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4D7F50">
            <w:pPr>
              <w:rPr>
                <w:rFonts w:hint="eastAsia" w:ascii="宋体" w:hAnsi="宋体" w:cs="宋体"/>
                <w:color w:val="auto"/>
                <w:highlight w:val="none"/>
              </w:rPr>
            </w:pPr>
            <w:r>
              <w:rPr>
                <w:rFonts w:hint="eastAsia" w:ascii="宋体" w:hAnsi="宋体" w:cs="宋体"/>
                <w:color w:val="auto"/>
                <w:highlight w:val="none"/>
              </w:rPr>
              <w:t>一、总   部</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A50D6E">
            <w:pPr>
              <w:jc w:val="cente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A8ABBDA">
            <w:pPr>
              <w:jc w:val="cente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663950">
            <w:pPr>
              <w:jc w:val="cente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73A120">
            <w:pPr>
              <w:jc w:val="center"/>
              <w:rPr>
                <w:rFonts w:hint="eastAsia" w:ascii="宋体" w:hAnsi="宋体" w:cs="宋体"/>
                <w:color w:val="auto"/>
                <w:highlight w:val="none"/>
              </w:rPr>
            </w:pPr>
          </w:p>
        </w:tc>
      </w:tr>
      <w:tr w14:paraId="6187BD46">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C1AC79">
            <w:pPr>
              <w:rPr>
                <w:rFonts w:hint="eastAsia" w:ascii="宋体" w:hAnsi="宋体" w:cs="宋体"/>
                <w:color w:val="auto"/>
                <w:highlight w:val="none"/>
              </w:rPr>
            </w:pPr>
            <w:r>
              <w:rPr>
                <w:rFonts w:hint="eastAsia" w:ascii="宋体" w:hAnsi="宋体" w:cs="宋体"/>
                <w:color w:val="auto"/>
                <w:highlight w:val="none"/>
              </w:rPr>
              <w:t>1、项目主管</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2241C9D">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C5DC37">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7D6710">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C10966A">
            <w:pPr>
              <w:rPr>
                <w:rFonts w:hint="eastAsia" w:ascii="宋体" w:hAnsi="宋体" w:cs="宋体"/>
                <w:color w:val="auto"/>
                <w:highlight w:val="none"/>
              </w:rPr>
            </w:pPr>
          </w:p>
        </w:tc>
      </w:tr>
      <w:tr w14:paraId="3E3CF32B">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06E5F2">
            <w:pPr>
              <w:rPr>
                <w:rFonts w:hint="eastAsia" w:ascii="宋体" w:hAnsi="宋体" w:cs="宋体"/>
                <w:color w:val="auto"/>
                <w:highlight w:val="none"/>
              </w:rPr>
            </w:pPr>
            <w:r>
              <w:rPr>
                <w:rFonts w:hint="eastAsia" w:ascii="宋体" w:hAnsi="宋体" w:cs="宋体"/>
                <w:color w:val="auto"/>
                <w:highlight w:val="none"/>
              </w:rPr>
              <w:t>2、其他人员</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A6C3111">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8B978C">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2BC5F1">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C55AC4">
            <w:pPr>
              <w:rPr>
                <w:rFonts w:hint="eastAsia" w:ascii="宋体" w:hAnsi="宋体" w:cs="宋体"/>
                <w:color w:val="auto"/>
                <w:highlight w:val="none"/>
              </w:rPr>
            </w:pPr>
          </w:p>
        </w:tc>
      </w:tr>
      <w:tr w14:paraId="55D79AAE">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6689CB">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5535E2">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734FCCC">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B7ED5AC">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174B137">
            <w:pPr>
              <w:rPr>
                <w:rFonts w:hint="eastAsia" w:ascii="宋体" w:hAnsi="宋体" w:cs="宋体"/>
                <w:color w:val="auto"/>
                <w:highlight w:val="none"/>
              </w:rPr>
            </w:pPr>
          </w:p>
        </w:tc>
      </w:tr>
      <w:tr w14:paraId="751FBEF2">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53AAFC">
            <w:pPr>
              <w:ind w:firstLine="377"/>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74C960">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5EAD7F2">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51C888">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AEA79E">
            <w:pPr>
              <w:rPr>
                <w:rFonts w:hint="eastAsia" w:ascii="宋体" w:hAnsi="宋体" w:cs="宋体"/>
                <w:color w:val="auto"/>
                <w:highlight w:val="none"/>
              </w:rPr>
            </w:pPr>
          </w:p>
        </w:tc>
      </w:tr>
      <w:tr w14:paraId="65EC1542">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1121E6">
            <w:pPr>
              <w:rPr>
                <w:rFonts w:hint="eastAsia" w:ascii="宋体" w:hAnsi="宋体" w:cs="宋体"/>
                <w:color w:val="auto"/>
                <w:highlight w:val="none"/>
              </w:rPr>
            </w:pPr>
            <w:r>
              <w:rPr>
                <w:rFonts w:hint="eastAsia" w:ascii="宋体" w:hAnsi="宋体" w:cs="宋体"/>
                <w:color w:val="auto"/>
                <w:highlight w:val="none"/>
              </w:rPr>
              <w:t>二、现    场</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6C13802">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ACE4C0">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C5A051B">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6DDE3A">
            <w:pPr>
              <w:rPr>
                <w:rFonts w:hint="eastAsia" w:ascii="宋体" w:hAnsi="宋体" w:cs="宋体"/>
                <w:color w:val="auto"/>
                <w:highlight w:val="none"/>
              </w:rPr>
            </w:pPr>
          </w:p>
        </w:tc>
      </w:tr>
      <w:tr w14:paraId="7BECD98A">
        <w:tblPrEx>
          <w:tblCellMar>
            <w:top w:w="0" w:type="dxa"/>
            <w:left w:w="0" w:type="dxa"/>
            <w:bottom w:w="0" w:type="dxa"/>
            <w:right w:w="0" w:type="dxa"/>
          </w:tblCellMar>
        </w:tblPrEx>
        <w:trPr>
          <w:trHeight w:val="701"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33F461">
            <w:pPr>
              <w:rPr>
                <w:rFonts w:hint="eastAsia" w:ascii="宋体" w:hAnsi="宋体" w:cs="宋体"/>
                <w:color w:val="auto"/>
                <w:highlight w:val="none"/>
              </w:rPr>
            </w:pPr>
            <w:r>
              <w:rPr>
                <w:rFonts w:hint="eastAsia" w:ascii="宋体" w:hAnsi="宋体" w:cs="宋体"/>
                <w:color w:val="auto"/>
                <w:highlight w:val="none"/>
              </w:rPr>
              <w:t>1、项目经理（或建造师）</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5D7DFEE">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3350318">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99781C">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A7ECB11">
            <w:pPr>
              <w:rPr>
                <w:rFonts w:hint="eastAsia" w:ascii="宋体" w:hAnsi="宋体" w:cs="宋体"/>
                <w:color w:val="auto"/>
                <w:highlight w:val="none"/>
              </w:rPr>
            </w:pPr>
          </w:p>
        </w:tc>
      </w:tr>
      <w:tr w14:paraId="4A75ABD1">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0CCA6B">
            <w:pPr>
              <w:rPr>
                <w:rFonts w:hint="eastAsia" w:ascii="宋体" w:hAnsi="宋体" w:cs="宋体"/>
                <w:color w:val="auto"/>
                <w:highlight w:val="none"/>
              </w:rPr>
            </w:pPr>
            <w:r>
              <w:rPr>
                <w:rFonts w:hint="eastAsia" w:ascii="宋体" w:hAnsi="宋体" w:cs="宋体"/>
                <w:color w:val="auto"/>
                <w:highlight w:val="none"/>
              </w:rPr>
              <w:t>2、项目副经理</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A43C68">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C963A9D">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86DA55">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95EC3E5">
            <w:pPr>
              <w:rPr>
                <w:rFonts w:hint="eastAsia" w:ascii="宋体" w:hAnsi="宋体" w:cs="宋体"/>
                <w:color w:val="auto"/>
                <w:highlight w:val="none"/>
              </w:rPr>
            </w:pPr>
          </w:p>
        </w:tc>
      </w:tr>
      <w:tr w14:paraId="05664294">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B7D4DA">
            <w:pPr>
              <w:rPr>
                <w:rFonts w:hint="eastAsia" w:ascii="宋体" w:hAnsi="宋体" w:cs="宋体"/>
                <w:color w:val="auto"/>
                <w:highlight w:val="none"/>
              </w:rPr>
            </w:pPr>
            <w:r>
              <w:rPr>
                <w:rFonts w:hint="eastAsia" w:ascii="宋体" w:hAnsi="宋体" w:cs="宋体"/>
                <w:color w:val="auto"/>
                <w:highlight w:val="none"/>
              </w:rPr>
              <w:t>3、总工程师</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A1BD924">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91E4F49">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C74D43C">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21546C5">
            <w:pPr>
              <w:rPr>
                <w:rFonts w:hint="eastAsia" w:ascii="宋体" w:hAnsi="宋体" w:cs="宋体"/>
                <w:color w:val="auto"/>
                <w:highlight w:val="none"/>
              </w:rPr>
            </w:pPr>
          </w:p>
        </w:tc>
      </w:tr>
      <w:tr w14:paraId="2A98825C">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DFB320">
            <w:pPr>
              <w:rPr>
                <w:rFonts w:hint="eastAsia" w:ascii="宋体" w:hAnsi="宋体" w:cs="宋体"/>
                <w:color w:val="auto"/>
                <w:highlight w:val="none"/>
              </w:rPr>
            </w:pPr>
            <w:r>
              <w:rPr>
                <w:rFonts w:hint="eastAsia" w:ascii="宋体" w:hAnsi="宋体" w:cs="宋体"/>
                <w:color w:val="auto"/>
                <w:highlight w:val="none"/>
              </w:rPr>
              <w:t>4、施工总管</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2F14151">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D4231C5">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A9A5CA">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0607E4">
            <w:pPr>
              <w:rPr>
                <w:rFonts w:hint="eastAsia" w:ascii="宋体" w:hAnsi="宋体" w:cs="宋体"/>
                <w:color w:val="auto"/>
                <w:highlight w:val="none"/>
              </w:rPr>
            </w:pPr>
          </w:p>
        </w:tc>
      </w:tr>
      <w:tr w14:paraId="1381FC9E">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71E6C1">
            <w:pPr>
              <w:rPr>
                <w:rFonts w:hint="eastAsia" w:ascii="宋体" w:hAnsi="宋体" w:cs="宋体"/>
                <w:color w:val="auto"/>
                <w:highlight w:val="none"/>
              </w:rPr>
            </w:pPr>
            <w:r>
              <w:rPr>
                <w:rFonts w:hint="eastAsia" w:ascii="宋体" w:hAnsi="宋体" w:cs="宋体"/>
                <w:color w:val="auto"/>
                <w:highlight w:val="none"/>
              </w:rPr>
              <w:t>5、质量管理</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0721DB1">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BF7BDCC">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9C1D12">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0A0A839">
            <w:pPr>
              <w:rPr>
                <w:rFonts w:hint="eastAsia" w:ascii="宋体" w:hAnsi="宋体" w:cs="宋体"/>
                <w:color w:val="auto"/>
                <w:highlight w:val="none"/>
              </w:rPr>
            </w:pPr>
          </w:p>
        </w:tc>
      </w:tr>
      <w:tr w14:paraId="3F72B5E0">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E0A6C4">
            <w:pPr>
              <w:rPr>
                <w:rFonts w:hint="eastAsia" w:ascii="宋体" w:hAnsi="宋体" w:cs="宋体"/>
                <w:color w:val="auto"/>
                <w:highlight w:val="none"/>
              </w:rPr>
            </w:pPr>
            <w:r>
              <w:rPr>
                <w:rFonts w:hint="eastAsia" w:ascii="宋体" w:hAnsi="宋体" w:cs="宋体"/>
                <w:color w:val="auto"/>
                <w:highlight w:val="none"/>
              </w:rPr>
              <w:t>6、计划管理</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B18E2F">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EC3E52">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A40929">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6F1AD8">
            <w:pPr>
              <w:rPr>
                <w:rFonts w:hint="eastAsia" w:ascii="宋体" w:hAnsi="宋体" w:cs="宋体"/>
                <w:color w:val="auto"/>
                <w:highlight w:val="none"/>
              </w:rPr>
            </w:pPr>
          </w:p>
        </w:tc>
      </w:tr>
      <w:tr w14:paraId="1A0A1FE9">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83F70A">
            <w:pPr>
              <w:rPr>
                <w:rFonts w:hint="eastAsia" w:ascii="宋体" w:hAnsi="宋体" w:cs="宋体"/>
                <w:color w:val="auto"/>
                <w:highlight w:val="none"/>
              </w:rPr>
            </w:pPr>
            <w:r>
              <w:rPr>
                <w:rFonts w:hint="eastAsia" w:ascii="宋体" w:hAnsi="宋体" w:cs="宋体"/>
                <w:color w:val="auto"/>
                <w:highlight w:val="none"/>
              </w:rPr>
              <w:t>7、材料管理</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0D822E7">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C6FAB22">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5B7512C">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2F8464">
            <w:pPr>
              <w:rPr>
                <w:rFonts w:hint="eastAsia" w:ascii="宋体" w:hAnsi="宋体" w:cs="宋体"/>
                <w:color w:val="auto"/>
                <w:highlight w:val="none"/>
              </w:rPr>
            </w:pPr>
          </w:p>
        </w:tc>
      </w:tr>
      <w:tr w14:paraId="14740C14">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BBA757">
            <w:pPr>
              <w:rPr>
                <w:rFonts w:hint="eastAsia" w:ascii="宋体" w:hAnsi="宋体" w:cs="宋体"/>
                <w:color w:val="auto"/>
                <w:highlight w:val="none"/>
              </w:rPr>
            </w:pPr>
            <w:r>
              <w:rPr>
                <w:rFonts w:hint="eastAsia" w:ascii="宋体" w:hAnsi="宋体" w:cs="宋体"/>
                <w:color w:val="auto"/>
                <w:highlight w:val="none"/>
              </w:rPr>
              <w:t>8、安全管理</w:t>
            </w: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1B4F8B">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6557AB">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B3D4FC7">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79AF223">
            <w:pPr>
              <w:rPr>
                <w:rFonts w:hint="eastAsia" w:ascii="宋体" w:hAnsi="宋体" w:cs="宋体"/>
                <w:color w:val="auto"/>
                <w:highlight w:val="none"/>
              </w:rPr>
            </w:pPr>
          </w:p>
        </w:tc>
      </w:tr>
      <w:tr w14:paraId="05417706">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665F43C">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8C8B15">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8D34DC5">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B136E5F">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050902D">
            <w:pPr>
              <w:rPr>
                <w:rFonts w:hint="eastAsia" w:ascii="宋体" w:hAnsi="宋体" w:cs="宋体"/>
                <w:color w:val="auto"/>
                <w:highlight w:val="none"/>
              </w:rPr>
            </w:pPr>
          </w:p>
        </w:tc>
      </w:tr>
      <w:tr w14:paraId="14A97DFA">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580461">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A149A04">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DC7D0A">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A34E0BE">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ECADF51">
            <w:pPr>
              <w:rPr>
                <w:rFonts w:hint="eastAsia" w:ascii="宋体" w:hAnsi="宋体" w:cs="宋体"/>
                <w:color w:val="auto"/>
                <w:highlight w:val="none"/>
              </w:rPr>
            </w:pPr>
          </w:p>
        </w:tc>
      </w:tr>
      <w:tr w14:paraId="046EFA48">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F2614B6">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543D3E">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7FE439C">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0B5BBAE">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613B02E">
            <w:pPr>
              <w:rPr>
                <w:rFonts w:hint="eastAsia" w:ascii="宋体" w:hAnsi="宋体" w:cs="宋体"/>
                <w:color w:val="auto"/>
                <w:highlight w:val="none"/>
              </w:rPr>
            </w:pPr>
          </w:p>
        </w:tc>
      </w:tr>
      <w:tr w14:paraId="332F014A">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34495B">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E1620C">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8DCCC26">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DA820B">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C31FDA">
            <w:pPr>
              <w:rPr>
                <w:rFonts w:hint="eastAsia" w:ascii="宋体" w:hAnsi="宋体" w:cs="宋体"/>
                <w:color w:val="auto"/>
                <w:highlight w:val="none"/>
              </w:rPr>
            </w:pPr>
          </w:p>
        </w:tc>
      </w:tr>
      <w:tr w14:paraId="5859E446">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1E8321">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233CC6B">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6A907E">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853DAC">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1DBD267">
            <w:pPr>
              <w:rPr>
                <w:rFonts w:hint="eastAsia" w:ascii="宋体" w:hAnsi="宋体" w:cs="宋体"/>
                <w:color w:val="auto"/>
                <w:highlight w:val="none"/>
              </w:rPr>
            </w:pPr>
          </w:p>
        </w:tc>
      </w:tr>
      <w:tr w14:paraId="3D9F9500">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0FA349C">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88DB0EE">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6CF35B">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DDE21B">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50E1E1C">
            <w:pPr>
              <w:rPr>
                <w:rFonts w:hint="eastAsia" w:ascii="宋体" w:hAnsi="宋体" w:cs="宋体"/>
                <w:color w:val="auto"/>
                <w:highlight w:val="none"/>
              </w:rPr>
            </w:pPr>
          </w:p>
        </w:tc>
      </w:tr>
      <w:tr w14:paraId="74C3AE34">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28F154D">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4B0BCEC">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A05231C">
            <w:pPr>
              <w:rPr>
                <w:rFonts w:hint="eastAsia" w:ascii="宋体" w:hAnsi="宋体" w:cs="宋体"/>
                <w:color w:val="auto"/>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919C03">
            <w:pPr>
              <w:rPr>
                <w:rFonts w:hint="eastAsia" w:ascii="宋体" w:hAnsi="宋体" w:cs="宋体"/>
                <w:color w:val="auto"/>
                <w:highlight w:val="none"/>
              </w:rPr>
            </w:pPr>
          </w:p>
        </w:tc>
        <w:tc>
          <w:tcPr>
            <w:tcW w:w="445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0EE7FE8">
            <w:pPr>
              <w:rPr>
                <w:rFonts w:hint="eastAsia" w:ascii="宋体" w:hAnsi="宋体" w:cs="宋体"/>
                <w:color w:val="auto"/>
                <w:highlight w:val="none"/>
              </w:rPr>
            </w:pPr>
          </w:p>
        </w:tc>
      </w:tr>
    </w:tbl>
    <w:p w14:paraId="0A00AA3B">
      <w:pPr>
        <w:spacing w:line="440" w:lineRule="exact"/>
        <w:jc w:val="center"/>
        <w:rPr>
          <w:rFonts w:hint="eastAsia" w:ascii="宋体" w:hAnsi="宋体" w:cs="宋体"/>
          <w:b/>
          <w:color w:val="auto"/>
          <w:sz w:val="48"/>
          <w:highlight w:val="none"/>
        </w:rPr>
      </w:pPr>
    </w:p>
    <w:p w14:paraId="3C5A9677">
      <w:pPr>
        <w:spacing w:line="440" w:lineRule="exact"/>
        <w:jc w:val="center"/>
        <w:rPr>
          <w:rFonts w:hint="eastAsia" w:ascii="宋体" w:hAnsi="宋体" w:cs="宋体"/>
          <w:b/>
          <w:color w:val="auto"/>
          <w:sz w:val="48"/>
          <w:highlight w:val="none"/>
        </w:rPr>
      </w:pPr>
    </w:p>
    <w:p w14:paraId="676C28B9">
      <w:pPr>
        <w:rPr>
          <w:rFonts w:ascii="宋体" w:hAnsi="宋体" w:eastAsia="宋体" w:cs="宋体"/>
          <w:b/>
          <w:bCs/>
          <w:color w:val="auto"/>
          <w:spacing w:val="4"/>
          <w:sz w:val="31"/>
          <w:szCs w:val="31"/>
          <w:highlight w:val="none"/>
        </w:rPr>
      </w:pPr>
      <w:r>
        <w:rPr>
          <w:rFonts w:ascii="宋体" w:hAnsi="宋体" w:eastAsia="宋体" w:cs="宋体"/>
          <w:b/>
          <w:bCs/>
          <w:color w:val="auto"/>
          <w:spacing w:val="4"/>
          <w:sz w:val="31"/>
          <w:szCs w:val="31"/>
          <w:highlight w:val="none"/>
        </w:rPr>
        <w:br w:type="page"/>
      </w:r>
    </w:p>
    <w:p w14:paraId="5D500419">
      <w:pPr>
        <w:spacing w:before="64" w:line="224" w:lineRule="auto"/>
        <w:ind w:left="2748"/>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拟分包项目情况表（如有）</w:t>
      </w:r>
    </w:p>
    <w:p w14:paraId="503DD8F0">
      <w:pPr>
        <w:spacing w:before="91"/>
        <w:rPr>
          <w:color w:val="auto"/>
          <w:highlight w:val="none"/>
        </w:rPr>
      </w:pPr>
    </w:p>
    <w:p w14:paraId="06A64C4E">
      <w:pPr>
        <w:spacing w:before="91"/>
        <w:rPr>
          <w:color w:val="auto"/>
          <w:highlight w:val="none"/>
        </w:rPr>
      </w:pPr>
    </w:p>
    <w:tbl>
      <w:tblPr>
        <w:tblStyle w:val="16"/>
        <w:tblW w:w="93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694"/>
        <w:gridCol w:w="751"/>
        <w:gridCol w:w="947"/>
        <w:gridCol w:w="1123"/>
        <w:gridCol w:w="1089"/>
        <w:gridCol w:w="1197"/>
        <w:gridCol w:w="1269"/>
        <w:gridCol w:w="677"/>
      </w:tblGrid>
      <w:tr w14:paraId="27039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73" w:type="dxa"/>
            <w:vMerge w:val="restart"/>
            <w:tcBorders>
              <w:bottom w:val="nil"/>
            </w:tcBorders>
            <w:textDirection w:val="tbRlV"/>
            <w:vAlign w:val="top"/>
          </w:tcPr>
          <w:p w14:paraId="6AE0641C">
            <w:pPr>
              <w:pStyle w:val="17"/>
              <w:spacing w:before="176" w:line="211" w:lineRule="auto"/>
              <w:ind w:left="221"/>
              <w:rPr>
                <w:color w:val="auto"/>
                <w:highlight w:val="none"/>
              </w:rPr>
            </w:pPr>
            <w:r>
              <w:rPr>
                <w:color w:val="auto"/>
                <w:spacing w:val="31"/>
                <w:highlight w:val="none"/>
              </w:rPr>
              <w:t>序号</w:t>
            </w:r>
          </w:p>
        </w:tc>
        <w:tc>
          <w:tcPr>
            <w:tcW w:w="1694" w:type="dxa"/>
            <w:vMerge w:val="restart"/>
            <w:tcBorders>
              <w:bottom w:val="nil"/>
            </w:tcBorders>
            <w:vAlign w:val="top"/>
          </w:tcPr>
          <w:p w14:paraId="10F86A3A">
            <w:pPr>
              <w:pStyle w:val="17"/>
              <w:spacing w:before="221" w:line="230" w:lineRule="auto"/>
              <w:ind w:left="113" w:right="109" w:firstLine="106"/>
              <w:rPr>
                <w:color w:val="auto"/>
                <w:highlight w:val="none"/>
              </w:rPr>
            </w:pPr>
            <w:r>
              <w:rPr>
                <w:color w:val="auto"/>
                <w:spacing w:val="-1"/>
                <w:highlight w:val="none"/>
              </w:rPr>
              <w:t>拟分包项目名</w:t>
            </w:r>
            <w:r>
              <w:rPr>
                <w:color w:val="auto"/>
                <w:highlight w:val="none"/>
              </w:rPr>
              <w:t xml:space="preserve">  </w:t>
            </w:r>
            <w:r>
              <w:rPr>
                <w:color w:val="auto"/>
                <w:spacing w:val="-1"/>
                <w:highlight w:val="none"/>
              </w:rPr>
              <w:t>称、范围及理由</w:t>
            </w:r>
          </w:p>
        </w:tc>
        <w:tc>
          <w:tcPr>
            <w:tcW w:w="6376" w:type="dxa"/>
            <w:gridSpan w:val="6"/>
            <w:vAlign w:val="top"/>
          </w:tcPr>
          <w:p w14:paraId="37890522">
            <w:pPr>
              <w:pStyle w:val="17"/>
              <w:spacing w:before="125" w:line="220" w:lineRule="auto"/>
              <w:ind w:left="2669"/>
              <w:rPr>
                <w:color w:val="auto"/>
                <w:highlight w:val="none"/>
              </w:rPr>
            </w:pPr>
            <w:r>
              <w:rPr>
                <w:color w:val="auto"/>
                <w:spacing w:val="-1"/>
                <w:highlight w:val="none"/>
              </w:rPr>
              <w:t>拟选分包人</w:t>
            </w:r>
          </w:p>
        </w:tc>
        <w:tc>
          <w:tcPr>
            <w:tcW w:w="677" w:type="dxa"/>
            <w:vMerge w:val="restart"/>
            <w:tcBorders>
              <w:bottom w:val="nil"/>
            </w:tcBorders>
            <w:vAlign w:val="top"/>
          </w:tcPr>
          <w:p w14:paraId="2C3C3E25">
            <w:pPr>
              <w:spacing w:line="288" w:lineRule="auto"/>
              <w:rPr>
                <w:rFonts w:ascii="Arial"/>
                <w:color w:val="auto"/>
                <w:sz w:val="21"/>
                <w:highlight w:val="none"/>
              </w:rPr>
            </w:pPr>
          </w:p>
          <w:p w14:paraId="5B75BABC">
            <w:pPr>
              <w:pStyle w:val="17"/>
              <w:spacing w:before="68" w:line="222" w:lineRule="auto"/>
              <w:ind w:left="136"/>
              <w:rPr>
                <w:color w:val="auto"/>
                <w:highlight w:val="none"/>
              </w:rPr>
            </w:pPr>
            <w:r>
              <w:rPr>
                <w:color w:val="auto"/>
                <w:spacing w:val="-3"/>
                <w:highlight w:val="none"/>
              </w:rPr>
              <w:t>备注</w:t>
            </w:r>
          </w:p>
        </w:tc>
      </w:tr>
      <w:tr w14:paraId="6C2E2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textDirection w:val="tbRlV"/>
            <w:vAlign w:val="top"/>
          </w:tcPr>
          <w:p w14:paraId="394D0130">
            <w:pPr>
              <w:rPr>
                <w:rFonts w:ascii="Arial"/>
                <w:color w:val="auto"/>
                <w:sz w:val="21"/>
                <w:highlight w:val="none"/>
              </w:rPr>
            </w:pPr>
          </w:p>
        </w:tc>
        <w:tc>
          <w:tcPr>
            <w:tcW w:w="1694" w:type="dxa"/>
            <w:vMerge w:val="continue"/>
            <w:tcBorders>
              <w:top w:val="nil"/>
            </w:tcBorders>
            <w:vAlign w:val="top"/>
          </w:tcPr>
          <w:p w14:paraId="1110D13A">
            <w:pPr>
              <w:rPr>
                <w:rFonts w:ascii="Arial"/>
                <w:color w:val="auto"/>
                <w:sz w:val="21"/>
                <w:highlight w:val="none"/>
              </w:rPr>
            </w:pPr>
          </w:p>
        </w:tc>
        <w:tc>
          <w:tcPr>
            <w:tcW w:w="1698" w:type="dxa"/>
            <w:gridSpan w:val="2"/>
            <w:vAlign w:val="top"/>
          </w:tcPr>
          <w:p w14:paraId="656814E8">
            <w:pPr>
              <w:pStyle w:val="17"/>
              <w:spacing w:before="121" w:line="220" w:lineRule="auto"/>
              <w:ind w:left="119"/>
              <w:rPr>
                <w:color w:val="auto"/>
                <w:highlight w:val="none"/>
              </w:rPr>
            </w:pPr>
            <w:r>
              <w:rPr>
                <w:color w:val="auto"/>
                <w:spacing w:val="-1"/>
                <w:highlight w:val="none"/>
              </w:rPr>
              <w:t>拟选分包人名称</w:t>
            </w:r>
          </w:p>
        </w:tc>
        <w:tc>
          <w:tcPr>
            <w:tcW w:w="1123" w:type="dxa"/>
            <w:vAlign w:val="top"/>
          </w:tcPr>
          <w:p w14:paraId="22142108">
            <w:pPr>
              <w:pStyle w:val="17"/>
              <w:spacing w:before="121" w:line="222" w:lineRule="auto"/>
              <w:ind w:left="149"/>
              <w:rPr>
                <w:color w:val="auto"/>
                <w:highlight w:val="none"/>
              </w:rPr>
            </w:pPr>
            <w:r>
              <w:rPr>
                <w:color w:val="auto"/>
                <w:spacing w:val="-2"/>
                <w:highlight w:val="none"/>
              </w:rPr>
              <w:t>注册地点</w:t>
            </w:r>
          </w:p>
        </w:tc>
        <w:tc>
          <w:tcPr>
            <w:tcW w:w="1089" w:type="dxa"/>
            <w:vAlign w:val="top"/>
          </w:tcPr>
          <w:p w14:paraId="7B1D523A">
            <w:pPr>
              <w:pStyle w:val="17"/>
              <w:spacing w:before="122" w:line="221" w:lineRule="auto"/>
              <w:ind w:left="134"/>
              <w:rPr>
                <w:color w:val="auto"/>
                <w:highlight w:val="none"/>
              </w:rPr>
            </w:pPr>
            <w:r>
              <w:rPr>
                <w:color w:val="auto"/>
                <w:spacing w:val="-3"/>
                <w:highlight w:val="none"/>
              </w:rPr>
              <w:t>企业资质</w:t>
            </w:r>
          </w:p>
        </w:tc>
        <w:tc>
          <w:tcPr>
            <w:tcW w:w="1197" w:type="dxa"/>
            <w:vAlign w:val="top"/>
          </w:tcPr>
          <w:p w14:paraId="3777021A">
            <w:pPr>
              <w:pStyle w:val="17"/>
              <w:spacing w:before="122" w:line="221" w:lineRule="auto"/>
              <w:ind w:left="188"/>
              <w:rPr>
                <w:color w:val="auto"/>
                <w:highlight w:val="none"/>
              </w:rPr>
            </w:pPr>
            <w:r>
              <w:rPr>
                <w:color w:val="auto"/>
                <w:spacing w:val="-2"/>
                <w:highlight w:val="none"/>
              </w:rPr>
              <w:t>有关业绩</w:t>
            </w:r>
          </w:p>
        </w:tc>
        <w:tc>
          <w:tcPr>
            <w:tcW w:w="1269" w:type="dxa"/>
            <w:vAlign w:val="top"/>
          </w:tcPr>
          <w:p w14:paraId="55588817">
            <w:pPr>
              <w:pStyle w:val="17"/>
              <w:spacing w:before="121" w:line="220" w:lineRule="auto"/>
              <w:ind w:left="116"/>
              <w:rPr>
                <w:color w:val="auto"/>
                <w:highlight w:val="none"/>
              </w:rPr>
            </w:pPr>
            <w:r>
              <w:rPr>
                <w:color w:val="auto"/>
                <w:spacing w:val="-1"/>
                <w:highlight w:val="none"/>
              </w:rPr>
              <w:t>拟分包金额</w:t>
            </w:r>
          </w:p>
        </w:tc>
        <w:tc>
          <w:tcPr>
            <w:tcW w:w="677" w:type="dxa"/>
            <w:vMerge w:val="continue"/>
            <w:tcBorders>
              <w:top w:val="nil"/>
            </w:tcBorders>
            <w:vAlign w:val="top"/>
          </w:tcPr>
          <w:p w14:paraId="57A4417A">
            <w:pPr>
              <w:rPr>
                <w:rFonts w:ascii="Arial"/>
                <w:color w:val="auto"/>
                <w:sz w:val="21"/>
                <w:highlight w:val="none"/>
              </w:rPr>
            </w:pPr>
          </w:p>
        </w:tc>
      </w:tr>
      <w:tr w14:paraId="61E04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73" w:type="dxa"/>
            <w:vMerge w:val="restart"/>
            <w:tcBorders>
              <w:bottom w:val="nil"/>
            </w:tcBorders>
            <w:vAlign w:val="top"/>
          </w:tcPr>
          <w:p w14:paraId="460A4FD8">
            <w:pPr>
              <w:rPr>
                <w:rFonts w:ascii="Arial"/>
                <w:color w:val="auto"/>
                <w:sz w:val="21"/>
                <w:highlight w:val="none"/>
              </w:rPr>
            </w:pPr>
          </w:p>
        </w:tc>
        <w:tc>
          <w:tcPr>
            <w:tcW w:w="1694" w:type="dxa"/>
            <w:vMerge w:val="restart"/>
            <w:tcBorders>
              <w:bottom w:val="nil"/>
            </w:tcBorders>
            <w:vAlign w:val="top"/>
          </w:tcPr>
          <w:p w14:paraId="095E5172">
            <w:pPr>
              <w:rPr>
                <w:rFonts w:ascii="Arial"/>
                <w:color w:val="auto"/>
                <w:sz w:val="21"/>
                <w:highlight w:val="none"/>
              </w:rPr>
            </w:pPr>
          </w:p>
        </w:tc>
        <w:tc>
          <w:tcPr>
            <w:tcW w:w="751" w:type="dxa"/>
            <w:vAlign w:val="top"/>
          </w:tcPr>
          <w:p w14:paraId="4C50E30C">
            <w:pPr>
              <w:pStyle w:val="17"/>
              <w:spacing w:before="156" w:line="183" w:lineRule="auto"/>
              <w:ind w:left="341"/>
              <w:rPr>
                <w:color w:val="auto"/>
                <w:highlight w:val="none"/>
              </w:rPr>
            </w:pPr>
            <w:r>
              <w:rPr>
                <w:color w:val="auto"/>
                <w:highlight w:val="none"/>
              </w:rPr>
              <w:t>1</w:t>
            </w:r>
          </w:p>
        </w:tc>
        <w:tc>
          <w:tcPr>
            <w:tcW w:w="947" w:type="dxa"/>
            <w:vAlign w:val="top"/>
          </w:tcPr>
          <w:p w14:paraId="053B1EF0">
            <w:pPr>
              <w:rPr>
                <w:rFonts w:ascii="Arial"/>
                <w:color w:val="auto"/>
                <w:sz w:val="21"/>
                <w:highlight w:val="none"/>
              </w:rPr>
            </w:pPr>
          </w:p>
        </w:tc>
        <w:tc>
          <w:tcPr>
            <w:tcW w:w="1123" w:type="dxa"/>
            <w:vAlign w:val="top"/>
          </w:tcPr>
          <w:p w14:paraId="54560D06">
            <w:pPr>
              <w:rPr>
                <w:rFonts w:ascii="Arial"/>
                <w:color w:val="auto"/>
                <w:sz w:val="21"/>
                <w:highlight w:val="none"/>
              </w:rPr>
            </w:pPr>
          </w:p>
        </w:tc>
        <w:tc>
          <w:tcPr>
            <w:tcW w:w="1089" w:type="dxa"/>
            <w:vAlign w:val="top"/>
          </w:tcPr>
          <w:p w14:paraId="74DE3460">
            <w:pPr>
              <w:rPr>
                <w:rFonts w:ascii="Arial"/>
                <w:color w:val="auto"/>
                <w:sz w:val="21"/>
                <w:highlight w:val="none"/>
              </w:rPr>
            </w:pPr>
          </w:p>
        </w:tc>
        <w:tc>
          <w:tcPr>
            <w:tcW w:w="1197" w:type="dxa"/>
            <w:vAlign w:val="top"/>
          </w:tcPr>
          <w:p w14:paraId="34F8D111">
            <w:pPr>
              <w:rPr>
                <w:rFonts w:ascii="Arial"/>
                <w:color w:val="auto"/>
                <w:sz w:val="21"/>
                <w:highlight w:val="none"/>
              </w:rPr>
            </w:pPr>
          </w:p>
        </w:tc>
        <w:tc>
          <w:tcPr>
            <w:tcW w:w="1269" w:type="dxa"/>
            <w:vAlign w:val="top"/>
          </w:tcPr>
          <w:p w14:paraId="054AF81A">
            <w:pPr>
              <w:rPr>
                <w:rFonts w:ascii="Arial"/>
                <w:color w:val="auto"/>
                <w:sz w:val="21"/>
                <w:highlight w:val="none"/>
              </w:rPr>
            </w:pPr>
          </w:p>
        </w:tc>
        <w:tc>
          <w:tcPr>
            <w:tcW w:w="677" w:type="dxa"/>
            <w:vAlign w:val="top"/>
          </w:tcPr>
          <w:p w14:paraId="534BFAB3">
            <w:pPr>
              <w:rPr>
                <w:rFonts w:ascii="Arial"/>
                <w:color w:val="auto"/>
                <w:sz w:val="21"/>
                <w:highlight w:val="none"/>
              </w:rPr>
            </w:pPr>
          </w:p>
        </w:tc>
      </w:tr>
      <w:tr w14:paraId="57D5D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vAlign w:val="top"/>
          </w:tcPr>
          <w:p w14:paraId="3DB12F19">
            <w:pPr>
              <w:rPr>
                <w:rFonts w:ascii="Arial"/>
                <w:color w:val="auto"/>
                <w:sz w:val="21"/>
                <w:highlight w:val="none"/>
              </w:rPr>
            </w:pPr>
          </w:p>
        </w:tc>
        <w:tc>
          <w:tcPr>
            <w:tcW w:w="1694" w:type="dxa"/>
            <w:vMerge w:val="continue"/>
            <w:tcBorders>
              <w:top w:val="nil"/>
              <w:bottom w:val="nil"/>
            </w:tcBorders>
            <w:vAlign w:val="top"/>
          </w:tcPr>
          <w:p w14:paraId="087033FC">
            <w:pPr>
              <w:rPr>
                <w:rFonts w:ascii="Arial"/>
                <w:color w:val="auto"/>
                <w:sz w:val="21"/>
                <w:highlight w:val="none"/>
              </w:rPr>
            </w:pPr>
          </w:p>
        </w:tc>
        <w:tc>
          <w:tcPr>
            <w:tcW w:w="751" w:type="dxa"/>
            <w:vAlign w:val="top"/>
          </w:tcPr>
          <w:p w14:paraId="192C04E6">
            <w:pPr>
              <w:pStyle w:val="17"/>
              <w:spacing w:before="158" w:line="182" w:lineRule="auto"/>
              <w:ind w:left="328"/>
              <w:rPr>
                <w:color w:val="auto"/>
                <w:highlight w:val="none"/>
              </w:rPr>
            </w:pPr>
            <w:r>
              <w:rPr>
                <w:color w:val="auto"/>
                <w:highlight w:val="none"/>
              </w:rPr>
              <w:t>2</w:t>
            </w:r>
          </w:p>
        </w:tc>
        <w:tc>
          <w:tcPr>
            <w:tcW w:w="947" w:type="dxa"/>
            <w:vAlign w:val="top"/>
          </w:tcPr>
          <w:p w14:paraId="0980B5F6">
            <w:pPr>
              <w:rPr>
                <w:rFonts w:ascii="Arial"/>
                <w:color w:val="auto"/>
                <w:sz w:val="21"/>
                <w:highlight w:val="none"/>
              </w:rPr>
            </w:pPr>
          </w:p>
        </w:tc>
        <w:tc>
          <w:tcPr>
            <w:tcW w:w="1123" w:type="dxa"/>
            <w:vAlign w:val="top"/>
          </w:tcPr>
          <w:p w14:paraId="21C22F6F">
            <w:pPr>
              <w:rPr>
                <w:rFonts w:ascii="Arial"/>
                <w:color w:val="auto"/>
                <w:sz w:val="21"/>
                <w:highlight w:val="none"/>
              </w:rPr>
            </w:pPr>
          </w:p>
        </w:tc>
        <w:tc>
          <w:tcPr>
            <w:tcW w:w="1089" w:type="dxa"/>
            <w:vAlign w:val="top"/>
          </w:tcPr>
          <w:p w14:paraId="2B00C29D">
            <w:pPr>
              <w:rPr>
                <w:rFonts w:ascii="Arial"/>
                <w:color w:val="auto"/>
                <w:sz w:val="21"/>
                <w:highlight w:val="none"/>
              </w:rPr>
            </w:pPr>
          </w:p>
        </w:tc>
        <w:tc>
          <w:tcPr>
            <w:tcW w:w="1197" w:type="dxa"/>
            <w:vAlign w:val="top"/>
          </w:tcPr>
          <w:p w14:paraId="2EC9EB10">
            <w:pPr>
              <w:rPr>
                <w:rFonts w:ascii="Arial"/>
                <w:color w:val="auto"/>
                <w:sz w:val="21"/>
                <w:highlight w:val="none"/>
              </w:rPr>
            </w:pPr>
          </w:p>
        </w:tc>
        <w:tc>
          <w:tcPr>
            <w:tcW w:w="1269" w:type="dxa"/>
            <w:vAlign w:val="top"/>
          </w:tcPr>
          <w:p w14:paraId="0D41086B">
            <w:pPr>
              <w:rPr>
                <w:rFonts w:ascii="Arial"/>
                <w:color w:val="auto"/>
                <w:sz w:val="21"/>
                <w:highlight w:val="none"/>
              </w:rPr>
            </w:pPr>
          </w:p>
        </w:tc>
        <w:tc>
          <w:tcPr>
            <w:tcW w:w="677" w:type="dxa"/>
            <w:vAlign w:val="top"/>
          </w:tcPr>
          <w:p w14:paraId="536801FF">
            <w:pPr>
              <w:rPr>
                <w:rFonts w:ascii="Arial"/>
                <w:color w:val="auto"/>
                <w:sz w:val="21"/>
                <w:highlight w:val="none"/>
              </w:rPr>
            </w:pPr>
          </w:p>
        </w:tc>
      </w:tr>
      <w:tr w14:paraId="30F83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vAlign w:val="top"/>
          </w:tcPr>
          <w:p w14:paraId="0F45B6F2">
            <w:pPr>
              <w:rPr>
                <w:rFonts w:ascii="Arial"/>
                <w:color w:val="auto"/>
                <w:sz w:val="21"/>
                <w:highlight w:val="none"/>
              </w:rPr>
            </w:pPr>
          </w:p>
        </w:tc>
        <w:tc>
          <w:tcPr>
            <w:tcW w:w="1694" w:type="dxa"/>
            <w:vMerge w:val="continue"/>
            <w:tcBorders>
              <w:top w:val="nil"/>
            </w:tcBorders>
            <w:vAlign w:val="top"/>
          </w:tcPr>
          <w:p w14:paraId="452EA4EC">
            <w:pPr>
              <w:rPr>
                <w:rFonts w:ascii="Arial"/>
                <w:color w:val="auto"/>
                <w:sz w:val="21"/>
                <w:highlight w:val="none"/>
              </w:rPr>
            </w:pPr>
          </w:p>
        </w:tc>
        <w:tc>
          <w:tcPr>
            <w:tcW w:w="751" w:type="dxa"/>
            <w:vAlign w:val="top"/>
          </w:tcPr>
          <w:p w14:paraId="04140D14">
            <w:pPr>
              <w:pStyle w:val="17"/>
              <w:spacing w:before="159" w:line="182" w:lineRule="auto"/>
              <w:ind w:left="330"/>
              <w:rPr>
                <w:color w:val="auto"/>
                <w:highlight w:val="none"/>
              </w:rPr>
            </w:pPr>
            <w:r>
              <w:rPr>
                <w:color w:val="auto"/>
                <w:highlight w:val="none"/>
              </w:rPr>
              <w:t>3</w:t>
            </w:r>
          </w:p>
        </w:tc>
        <w:tc>
          <w:tcPr>
            <w:tcW w:w="947" w:type="dxa"/>
            <w:vAlign w:val="top"/>
          </w:tcPr>
          <w:p w14:paraId="56624834">
            <w:pPr>
              <w:rPr>
                <w:rFonts w:ascii="Arial"/>
                <w:color w:val="auto"/>
                <w:sz w:val="21"/>
                <w:highlight w:val="none"/>
              </w:rPr>
            </w:pPr>
          </w:p>
        </w:tc>
        <w:tc>
          <w:tcPr>
            <w:tcW w:w="1123" w:type="dxa"/>
            <w:vAlign w:val="top"/>
          </w:tcPr>
          <w:p w14:paraId="2D7A1132">
            <w:pPr>
              <w:rPr>
                <w:rFonts w:ascii="Arial"/>
                <w:color w:val="auto"/>
                <w:sz w:val="21"/>
                <w:highlight w:val="none"/>
              </w:rPr>
            </w:pPr>
          </w:p>
        </w:tc>
        <w:tc>
          <w:tcPr>
            <w:tcW w:w="1089" w:type="dxa"/>
            <w:vAlign w:val="top"/>
          </w:tcPr>
          <w:p w14:paraId="153D26E8">
            <w:pPr>
              <w:rPr>
                <w:rFonts w:ascii="Arial"/>
                <w:color w:val="auto"/>
                <w:sz w:val="21"/>
                <w:highlight w:val="none"/>
              </w:rPr>
            </w:pPr>
          </w:p>
        </w:tc>
        <w:tc>
          <w:tcPr>
            <w:tcW w:w="1197" w:type="dxa"/>
            <w:vAlign w:val="top"/>
          </w:tcPr>
          <w:p w14:paraId="1F356FEB">
            <w:pPr>
              <w:rPr>
                <w:rFonts w:ascii="Arial"/>
                <w:color w:val="auto"/>
                <w:sz w:val="21"/>
                <w:highlight w:val="none"/>
              </w:rPr>
            </w:pPr>
          </w:p>
        </w:tc>
        <w:tc>
          <w:tcPr>
            <w:tcW w:w="1269" w:type="dxa"/>
            <w:vAlign w:val="top"/>
          </w:tcPr>
          <w:p w14:paraId="0E352548">
            <w:pPr>
              <w:rPr>
                <w:rFonts w:ascii="Arial"/>
                <w:color w:val="auto"/>
                <w:sz w:val="21"/>
                <w:highlight w:val="none"/>
              </w:rPr>
            </w:pPr>
          </w:p>
        </w:tc>
        <w:tc>
          <w:tcPr>
            <w:tcW w:w="677" w:type="dxa"/>
            <w:vAlign w:val="top"/>
          </w:tcPr>
          <w:p w14:paraId="75F0739B">
            <w:pPr>
              <w:rPr>
                <w:rFonts w:ascii="Arial"/>
                <w:color w:val="auto"/>
                <w:sz w:val="21"/>
                <w:highlight w:val="none"/>
              </w:rPr>
            </w:pPr>
          </w:p>
        </w:tc>
      </w:tr>
      <w:tr w14:paraId="57576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vAlign w:val="top"/>
          </w:tcPr>
          <w:p w14:paraId="5E75A429">
            <w:pPr>
              <w:rPr>
                <w:rFonts w:ascii="Arial"/>
                <w:color w:val="auto"/>
                <w:sz w:val="21"/>
                <w:highlight w:val="none"/>
              </w:rPr>
            </w:pPr>
          </w:p>
        </w:tc>
        <w:tc>
          <w:tcPr>
            <w:tcW w:w="1694" w:type="dxa"/>
            <w:vMerge w:val="restart"/>
            <w:tcBorders>
              <w:bottom w:val="nil"/>
            </w:tcBorders>
            <w:vAlign w:val="top"/>
          </w:tcPr>
          <w:p w14:paraId="72DE0F0A">
            <w:pPr>
              <w:rPr>
                <w:rFonts w:ascii="Arial"/>
                <w:color w:val="auto"/>
                <w:sz w:val="21"/>
                <w:highlight w:val="none"/>
              </w:rPr>
            </w:pPr>
          </w:p>
        </w:tc>
        <w:tc>
          <w:tcPr>
            <w:tcW w:w="751" w:type="dxa"/>
            <w:vAlign w:val="top"/>
          </w:tcPr>
          <w:p w14:paraId="031EBF1D">
            <w:pPr>
              <w:pStyle w:val="17"/>
              <w:spacing w:before="159" w:line="183" w:lineRule="auto"/>
              <w:ind w:left="341"/>
              <w:rPr>
                <w:color w:val="auto"/>
                <w:highlight w:val="none"/>
              </w:rPr>
            </w:pPr>
            <w:r>
              <w:rPr>
                <w:color w:val="auto"/>
                <w:highlight w:val="none"/>
              </w:rPr>
              <w:t>1</w:t>
            </w:r>
          </w:p>
        </w:tc>
        <w:tc>
          <w:tcPr>
            <w:tcW w:w="947" w:type="dxa"/>
            <w:vAlign w:val="top"/>
          </w:tcPr>
          <w:p w14:paraId="200C2907">
            <w:pPr>
              <w:rPr>
                <w:rFonts w:ascii="Arial"/>
                <w:color w:val="auto"/>
                <w:sz w:val="21"/>
                <w:highlight w:val="none"/>
              </w:rPr>
            </w:pPr>
          </w:p>
        </w:tc>
        <w:tc>
          <w:tcPr>
            <w:tcW w:w="1123" w:type="dxa"/>
            <w:vAlign w:val="top"/>
          </w:tcPr>
          <w:p w14:paraId="64DABB2D">
            <w:pPr>
              <w:rPr>
                <w:rFonts w:ascii="Arial"/>
                <w:color w:val="auto"/>
                <w:sz w:val="21"/>
                <w:highlight w:val="none"/>
              </w:rPr>
            </w:pPr>
          </w:p>
        </w:tc>
        <w:tc>
          <w:tcPr>
            <w:tcW w:w="1089" w:type="dxa"/>
            <w:vAlign w:val="top"/>
          </w:tcPr>
          <w:p w14:paraId="39CDE9E3">
            <w:pPr>
              <w:rPr>
                <w:rFonts w:ascii="Arial"/>
                <w:color w:val="auto"/>
                <w:sz w:val="21"/>
                <w:highlight w:val="none"/>
              </w:rPr>
            </w:pPr>
          </w:p>
        </w:tc>
        <w:tc>
          <w:tcPr>
            <w:tcW w:w="1197" w:type="dxa"/>
            <w:vAlign w:val="top"/>
          </w:tcPr>
          <w:p w14:paraId="611A7478">
            <w:pPr>
              <w:rPr>
                <w:rFonts w:ascii="Arial"/>
                <w:color w:val="auto"/>
                <w:sz w:val="21"/>
                <w:highlight w:val="none"/>
              </w:rPr>
            </w:pPr>
          </w:p>
        </w:tc>
        <w:tc>
          <w:tcPr>
            <w:tcW w:w="1269" w:type="dxa"/>
            <w:vAlign w:val="top"/>
          </w:tcPr>
          <w:p w14:paraId="0BFBE8DF">
            <w:pPr>
              <w:rPr>
                <w:rFonts w:ascii="Arial"/>
                <w:color w:val="auto"/>
                <w:sz w:val="21"/>
                <w:highlight w:val="none"/>
              </w:rPr>
            </w:pPr>
          </w:p>
        </w:tc>
        <w:tc>
          <w:tcPr>
            <w:tcW w:w="677" w:type="dxa"/>
            <w:vAlign w:val="top"/>
          </w:tcPr>
          <w:p w14:paraId="10FDE077">
            <w:pPr>
              <w:rPr>
                <w:rFonts w:ascii="Arial"/>
                <w:color w:val="auto"/>
                <w:sz w:val="21"/>
                <w:highlight w:val="none"/>
              </w:rPr>
            </w:pPr>
          </w:p>
        </w:tc>
      </w:tr>
      <w:tr w14:paraId="38284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73" w:type="dxa"/>
            <w:vMerge w:val="continue"/>
            <w:tcBorders>
              <w:top w:val="nil"/>
              <w:bottom w:val="nil"/>
            </w:tcBorders>
            <w:vAlign w:val="top"/>
          </w:tcPr>
          <w:p w14:paraId="3AFBCEC3">
            <w:pPr>
              <w:rPr>
                <w:rFonts w:ascii="Arial"/>
                <w:color w:val="auto"/>
                <w:sz w:val="21"/>
                <w:highlight w:val="none"/>
              </w:rPr>
            </w:pPr>
          </w:p>
        </w:tc>
        <w:tc>
          <w:tcPr>
            <w:tcW w:w="1694" w:type="dxa"/>
            <w:vMerge w:val="continue"/>
            <w:tcBorders>
              <w:top w:val="nil"/>
              <w:bottom w:val="nil"/>
            </w:tcBorders>
            <w:vAlign w:val="top"/>
          </w:tcPr>
          <w:p w14:paraId="47FE2AB2">
            <w:pPr>
              <w:rPr>
                <w:rFonts w:ascii="Arial"/>
                <w:color w:val="auto"/>
                <w:sz w:val="21"/>
                <w:highlight w:val="none"/>
              </w:rPr>
            </w:pPr>
          </w:p>
        </w:tc>
        <w:tc>
          <w:tcPr>
            <w:tcW w:w="751" w:type="dxa"/>
            <w:vAlign w:val="top"/>
          </w:tcPr>
          <w:p w14:paraId="41DD3C14">
            <w:pPr>
              <w:pStyle w:val="17"/>
              <w:spacing w:before="160" w:line="182" w:lineRule="auto"/>
              <w:ind w:left="328"/>
              <w:rPr>
                <w:color w:val="auto"/>
                <w:highlight w:val="none"/>
              </w:rPr>
            </w:pPr>
            <w:r>
              <w:rPr>
                <w:color w:val="auto"/>
                <w:highlight w:val="none"/>
              </w:rPr>
              <w:t>2</w:t>
            </w:r>
          </w:p>
        </w:tc>
        <w:tc>
          <w:tcPr>
            <w:tcW w:w="947" w:type="dxa"/>
            <w:vAlign w:val="top"/>
          </w:tcPr>
          <w:p w14:paraId="1570D188">
            <w:pPr>
              <w:rPr>
                <w:rFonts w:ascii="Arial"/>
                <w:color w:val="auto"/>
                <w:sz w:val="21"/>
                <w:highlight w:val="none"/>
              </w:rPr>
            </w:pPr>
          </w:p>
        </w:tc>
        <w:tc>
          <w:tcPr>
            <w:tcW w:w="1123" w:type="dxa"/>
            <w:vAlign w:val="top"/>
          </w:tcPr>
          <w:p w14:paraId="7457D938">
            <w:pPr>
              <w:rPr>
                <w:rFonts w:ascii="Arial"/>
                <w:color w:val="auto"/>
                <w:sz w:val="21"/>
                <w:highlight w:val="none"/>
              </w:rPr>
            </w:pPr>
          </w:p>
        </w:tc>
        <w:tc>
          <w:tcPr>
            <w:tcW w:w="1089" w:type="dxa"/>
            <w:vAlign w:val="top"/>
          </w:tcPr>
          <w:p w14:paraId="5BD81CC5">
            <w:pPr>
              <w:rPr>
                <w:rFonts w:ascii="Arial"/>
                <w:color w:val="auto"/>
                <w:sz w:val="21"/>
                <w:highlight w:val="none"/>
              </w:rPr>
            </w:pPr>
          </w:p>
        </w:tc>
        <w:tc>
          <w:tcPr>
            <w:tcW w:w="1197" w:type="dxa"/>
            <w:vAlign w:val="top"/>
          </w:tcPr>
          <w:p w14:paraId="33B10A8E">
            <w:pPr>
              <w:rPr>
                <w:rFonts w:ascii="Arial"/>
                <w:color w:val="auto"/>
                <w:sz w:val="21"/>
                <w:highlight w:val="none"/>
              </w:rPr>
            </w:pPr>
          </w:p>
        </w:tc>
        <w:tc>
          <w:tcPr>
            <w:tcW w:w="1269" w:type="dxa"/>
            <w:vAlign w:val="top"/>
          </w:tcPr>
          <w:p w14:paraId="7911EA74">
            <w:pPr>
              <w:rPr>
                <w:rFonts w:ascii="Arial"/>
                <w:color w:val="auto"/>
                <w:sz w:val="21"/>
                <w:highlight w:val="none"/>
              </w:rPr>
            </w:pPr>
          </w:p>
        </w:tc>
        <w:tc>
          <w:tcPr>
            <w:tcW w:w="677" w:type="dxa"/>
            <w:vAlign w:val="top"/>
          </w:tcPr>
          <w:p w14:paraId="7F57BFD1">
            <w:pPr>
              <w:rPr>
                <w:rFonts w:ascii="Arial"/>
                <w:color w:val="auto"/>
                <w:sz w:val="21"/>
                <w:highlight w:val="none"/>
              </w:rPr>
            </w:pPr>
          </w:p>
        </w:tc>
      </w:tr>
      <w:tr w14:paraId="5661A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73" w:type="dxa"/>
            <w:vMerge w:val="continue"/>
            <w:tcBorders>
              <w:top w:val="nil"/>
            </w:tcBorders>
            <w:vAlign w:val="top"/>
          </w:tcPr>
          <w:p w14:paraId="44FA98E1">
            <w:pPr>
              <w:rPr>
                <w:rFonts w:ascii="Arial"/>
                <w:color w:val="auto"/>
                <w:sz w:val="21"/>
                <w:highlight w:val="none"/>
              </w:rPr>
            </w:pPr>
          </w:p>
        </w:tc>
        <w:tc>
          <w:tcPr>
            <w:tcW w:w="1694" w:type="dxa"/>
            <w:vMerge w:val="continue"/>
            <w:tcBorders>
              <w:top w:val="nil"/>
            </w:tcBorders>
            <w:vAlign w:val="top"/>
          </w:tcPr>
          <w:p w14:paraId="07983C32">
            <w:pPr>
              <w:rPr>
                <w:rFonts w:ascii="Arial"/>
                <w:color w:val="auto"/>
                <w:sz w:val="21"/>
                <w:highlight w:val="none"/>
              </w:rPr>
            </w:pPr>
          </w:p>
        </w:tc>
        <w:tc>
          <w:tcPr>
            <w:tcW w:w="751" w:type="dxa"/>
            <w:vAlign w:val="top"/>
          </w:tcPr>
          <w:p w14:paraId="06B50A0C">
            <w:pPr>
              <w:pStyle w:val="17"/>
              <w:spacing w:before="161" w:line="182" w:lineRule="auto"/>
              <w:ind w:left="330"/>
              <w:rPr>
                <w:color w:val="auto"/>
                <w:highlight w:val="none"/>
              </w:rPr>
            </w:pPr>
            <w:r>
              <w:rPr>
                <w:color w:val="auto"/>
                <w:highlight w:val="none"/>
              </w:rPr>
              <w:t>3</w:t>
            </w:r>
          </w:p>
        </w:tc>
        <w:tc>
          <w:tcPr>
            <w:tcW w:w="947" w:type="dxa"/>
            <w:vAlign w:val="top"/>
          </w:tcPr>
          <w:p w14:paraId="79A55EEE">
            <w:pPr>
              <w:rPr>
                <w:rFonts w:ascii="Arial"/>
                <w:color w:val="auto"/>
                <w:sz w:val="21"/>
                <w:highlight w:val="none"/>
              </w:rPr>
            </w:pPr>
          </w:p>
        </w:tc>
        <w:tc>
          <w:tcPr>
            <w:tcW w:w="1123" w:type="dxa"/>
            <w:vAlign w:val="top"/>
          </w:tcPr>
          <w:p w14:paraId="13CE2D50">
            <w:pPr>
              <w:rPr>
                <w:rFonts w:ascii="Arial"/>
                <w:color w:val="auto"/>
                <w:sz w:val="21"/>
                <w:highlight w:val="none"/>
              </w:rPr>
            </w:pPr>
          </w:p>
        </w:tc>
        <w:tc>
          <w:tcPr>
            <w:tcW w:w="1089" w:type="dxa"/>
            <w:vAlign w:val="top"/>
          </w:tcPr>
          <w:p w14:paraId="448B1643">
            <w:pPr>
              <w:rPr>
                <w:rFonts w:ascii="Arial"/>
                <w:color w:val="auto"/>
                <w:sz w:val="21"/>
                <w:highlight w:val="none"/>
              </w:rPr>
            </w:pPr>
          </w:p>
        </w:tc>
        <w:tc>
          <w:tcPr>
            <w:tcW w:w="1197" w:type="dxa"/>
            <w:vAlign w:val="top"/>
          </w:tcPr>
          <w:p w14:paraId="1AD8F511">
            <w:pPr>
              <w:rPr>
                <w:rFonts w:ascii="Arial"/>
                <w:color w:val="auto"/>
                <w:sz w:val="21"/>
                <w:highlight w:val="none"/>
              </w:rPr>
            </w:pPr>
          </w:p>
        </w:tc>
        <w:tc>
          <w:tcPr>
            <w:tcW w:w="1269" w:type="dxa"/>
            <w:vAlign w:val="top"/>
          </w:tcPr>
          <w:p w14:paraId="726F0552">
            <w:pPr>
              <w:rPr>
                <w:rFonts w:ascii="Arial"/>
                <w:color w:val="auto"/>
                <w:sz w:val="21"/>
                <w:highlight w:val="none"/>
              </w:rPr>
            </w:pPr>
          </w:p>
        </w:tc>
        <w:tc>
          <w:tcPr>
            <w:tcW w:w="677" w:type="dxa"/>
            <w:vAlign w:val="top"/>
          </w:tcPr>
          <w:p w14:paraId="29FBD626">
            <w:pPr>
              <w:rPr>
                <w:rFonts w:ascii="Arial"/>
                <w:color w:val="auto"/>
                <w:sz w:val="21"/>
                <w:highlight w:val="none"/>
              </w:rPr>
            </w:pPr>
          </w:p>
        </w:tc>
      </w:tr>
    </w:tbl>
    <w:p w14:paraId="64EF97FB">
      <w:pPr>
        <w:spacing w:before="146" w:line="219" w:lineRule="auto"/>
        <w:ind w:left="10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备注：1.若无分包计划，则供应商应在本表填写“无”。</w:t>
      </w:r>
    </w:p>
    <w:p w14:paraId="7BC4210D">
      <w:pPr>
        <w:spacing w:before="154" w:line="219" w:lineRule="auto"/>
        <w:ind w:left="172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2.本表所列分包仅限于承包人自行施工范围内的非主体、非关键</w:t>
      </w:r>
    </w:p>
    <w:p w14:paraId="6A85A1FF">
      <w:pPr>
        <w:spacing w:before="155" w:line="220" w:lineRule="auto"/>
        <w:ind w:left="528"/>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工程。</w:t>
      </w:r>
    </w:p>
    <w:p w14:paraId="7D5E0408">
      <w:pPr>
        <w:spacing w:line="271" w:lineRule="auto"/>
        <w:rPr>
          <w:rFonts w:ascii="Arial"/>
          <w:color w:val="auto"/>
          <w:sz w:val="21"/>
          <w:highlight w:val="none"/>
        </w:rPr>
      </w:pPr>
    </w:p>
    <w:p w14:paraId="2EC09C98">
      <w:pPr>
        <w:spacing w:line="271" w:lineRule="auto"/>
        <w:rPr>
          <w:rFonts w:ascii="Arial"/>
          <w:color w:val="auto"/>
          <w:sz w:val="21"/>
          <w:highlight w:val="none"/>
        </w:rPr>
      </w:pPr>
    </w:p>
    <w:p w14:paraId="4FBB87C9">
      <w:pPr>
        <w:spacing w:line="271" w:lineRule="auto"/>
        <w:rPr>
          <w:rFonts w:ascii="Arial"/>
          <w:color w:val="auto"/>
          <w:sz w:val="21"/>
          <w:highlight w:val="none"/>
        </w:rPr>
      </w:pPr>
    </w:p>
    <w:p w14:paraId="4BBD14B3">
      <w:pPr>
        <w:spacing w:line="271" w:lineRule="auto"/>
        <w:rPr>
          <w:rFonts w:ascii="Arial"/>
          <w:color w:val="auto"/>
          <w:sz w:val="21"/>
          <w:highlight w:val="none"/>
        </w:rPr>
      </w:pPr>
    </w:p>
    <w:p w14:paraId="4D531EFA">
      <w:pPr>
        <w:spacing w:line="272" w:lineRule="auto"/>
        <w:rPr>
          <w:rFonts w:ascii="Arial"/>
          <w:color w:val="auto"/>
          <w:sz w:val="21"/>
          <w:highlight w:val="none"/>
        </w:rPr>
      </w:pPr>
    </w:p>
    <w:p w14:paraId="4694C434">
      <w:pPr>
        <w:spacing w:before="78" w:line="346" w:lineRule="auto"/>
        <w:ind w:left="3165" w:right="1549" w:hanging="84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法定代表人或者委托代理人（签字或者电子签名</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7BFF79DA">
      <w:pPr>
        <w:spacing w:before="32" w:line="220" w:lineRule="auto"/>
        <w:ind w:left="4647"/>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721F20EB">
      <w:pPr>
        <w:spacing w:line="220" w:lineRule="auto"/>
        <w:rPr>
          <w:rFonts w:ascii="宋体" w:hAnsi="宋体" w:eastAsia="宋体" w:cs="宋体"/>
          <w:color w:val="auto"/>
          <w:sz w:val="24"/>
          <w:szCs w:val="24"/>
          <w:highlight w:val="none"/>
        </w:rPr>
        <w:sectPr>
          <w:footerReference r:id="rId64" w:type="default"/>
          <w:pgSz w:w="11900" w:h="16832"/>
          <w:pgMar w:top="1423" w:right="1286" w:bottom="1187" w:left="1286" w:header="0" w:footer="980" w:gutter="0"/>
          <w:pgNumType w:fmt="decimal"/>
          <w:cols w:space="720" w:num="1"/>
        </w:sectPr>
      </w:pPr>
    </w:p>
    <w:p w14:paraId="46EAA64E">
      <w:pPr>
        <w:spacing w:before="47" w:line="219" w:lineRule="auto"/>
        <w:ind w:left="28"/>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其他文书、文件格式</w:t>
      </w:r>
    </w:p>
    <w:p w14:paraId="6B1C9D44">
      <w:pPr>
        <w:spacing w:before="230" w:line="210" w:lineRule="auto"/>
        <w:ind w:left="2628"/>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12"/>
          <w:sz w:val="43"/>
          <w:szCs w:val="43"/>
          <w:highlight w:val="none"/>
        </w:rPr>
        <w:t>质疑函（格式）</w:t>
      </w:r>
    </w:p>
    <w:p w14:paraId="48ACC171">
      <w:pPr>
        <w:spacing w:line="250" w:lineRule="auto"/>
        <w:rPr>
          <w:rFonts w:ascii="Arial"/>
          <w:color w:val="auto"/>
          <w:sz w:val="21"/>
          <w:highlight w:val="none"/>
        </w:rPr>
      </w:pPr>
    </w:p>
    <w:p w14:paraId="6D70E4A3">
      <w:pPr>
        <w:spacing w:before="78" w:line="219" w:lineRule="auto"/>
        <w:ind w:left="51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一、质疑供应商基本信息：</w:t>
      </w:r>
    </w:p>
    <w:p w14:paraId="1C50B3E4">
      <w:pPr>
        <w:spacing w:before="183" w:line="219" w:lineRule="auto"/>
        <w:ind w:left="5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质疑供应商：</w:t>
      </w:r>
      <w:r>
        <w:rPr>
          <w:rFonts w:ascii="宋体" w:hAnsi="宋体" w:eastAsia="宋体" w:cs="宋体"/>
          <w:color w:val="auto"/>
          <w:sz w:val="24"/>
          <w:szCs w:val="24"/>
          <w:highlight w:val="none"/>
          <w:u w:val="single" w:color="auto"/>
        </w:rPr>
        <w:t xml:space="preserve">                                        </w:t>
      </w:r>
    </w:p>
    <w:p w14:paraId="374EC0EC">
      <w:pPr>
        <w:spacing w:before="180" w:line="348" w:lineRule="auto"/>
        <w:ind w:left="507" w:right="1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地址：</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92"/>
          <w:sz w:val="24"/>
          <w:szCs w:val="24"/>
          <w:highlight w:val="none"/>
        </w:rPr>
        <w:t xml:space="preserve"> </w:t>
      </w:r>
      <w:r>
        <w:rPr>
          <w:rFonts w:ascii="宋体" w:hAnsi="宋体" w:eastAsia="宋体" w:cs="宋体"/>
          <w:color w:val="auto"/>
          <w:spacing w:val="-3"/>
          <w:sz w:val="24"/>
          <w:szCs w:val="24"/>
          <w:highlight w:val="none"/>
        </w:rPr>
        <w:t>邮编：</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联系人：</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1"/>
          <w:sz w:val="24"/>
          <w:szCs w:val="24"/>
          <w:highlight w:val="none"/>
        </w:rPr>
        <w:t xml:space="preserve"> </w:t>
      </w:r>
      <w:r>
        <w:rPr>
          <w:rFonts w:ascii="宋体" w:hAnsi="宋体" w:eastAsia="宋体" w:cs="宋体"/>
          <w:color w:val="auto"/>
          <w:spacing w:val="-1"/>
          <w:sz w:val="24"/>
          <w:szCs w:val="24"/>
          <w:highlight w:val="none"/>
        </w:rPr>
        <w:t>联系电话：</w:t>
      </w:r>
      <w:r>
        <w:rPr>
          <w:rFonts w:ascii="宋体" w:hAnsi="宋体" w:eastAsia="宋体" w:cs="宋体"/>
          <w:color w:val="auto"/>
          <w:sz w:val="24"/>
          <w:szCs w:val="24"/>
          <w:highlight w:val="none"/>
          <w:u w:val="single" w:color="auto"/>
        </w:rPr>
        <w:t xml:space="preserve">                  </w:t>
      </w:r>
    </w:p>
    <w:p w14:paraId="1B281193">
      <w:pPr>
        <w:spacing w:before="29" w:line="348" w:lineRule="auto"/>
        <w:ind w:left="507" w:right="3990" w:hanging="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授权代表：</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8"/>
          <w:sz w:val="24"/>
          <w:szCs w:val="24"/>
          <w:highlight w:val="none"/>
        </w:rPr>
        <w:t xml:space="preserve"> </w:t>
      </w:r>
      <w:r>
        <w:rPr>
          <w:rFonts w:ascii="宋体" w:hAnsi="宋体" w:eastAsia="宋体" w:cs="宋体"/>
          <w:color w:val="auto"/>
          <w:spacing w:val="-2"/>
          <w:sz w:val="24"/>
          <w:szCs w:val="24"/>
          <w:highlight w:val="none"/>
        </w:rPr>
        <w:t>联系电话：</w:t>
      </w:r>
      <w:r>
        <w:rPr>
          <w:rFonts w:ascii="宋体" w:hAnsi="宋体" w:eastAsia="宋体" w:cs="宋体"/>
          <w:color w:val="auto"/>
          <w:sz w:val="24"/>
          <w:szCs w:val="24"/>
          <w:highlight w:val="none"/>
          <w:u w:val="single" w:color="auto"/>
        </w:rPr>
        <w:t xml:space="preserve">                       </w:t>
      </w:r>
    </w:p>
    <w:p w14:paraId="58A5F699">
      <w:pPr>
        <w:spacing w:before="29" w:line="220" w:lineRule="auto"/>
        <w:ind w:left="50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地址：</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8"/>
          <w:sz w:val="24"/>
          <w:szCs w:val="24"/>
          <w:highlight w:val="none"/>
        </w:rPr>
        <w:t xml:space="preserve"> </w:t>
      </w:r>
      <w:r>
        <w:rPr>
          <w:rFonts w:ascii="宋体" w:hAnsi="宋体" w:eastAsia="宋体" w:cs="宋体"/>
          <w:color w:val="auto"/>
          <w:spacing w:val="-7"/>
          <w:sz w:val="24"/>
          <w:szCs w:val="24"/>
          <w:highlight w:val="none"/>
        </w:rPr>
        <w:t>邮编：</w:t>
      </w:r>
      <w:r>
        <w:rPr>
          <w:rFonts w:ascii="宋体" w:hAnsi="宋体" w:eastAsia="宋体" w:cs="宋体"/>
          <w:color w:val="auto"/>
          <w:sz w:val="24"/>
          <w:szCs w:val="24"/>
          <w:highlight w:val="none"/>
          <w:u w:val="single" w:color="auto"/>
        </w:rPr>
        <w:t xml:space="preserve">                   </w:t>
      </w:r>
    </w:p>
    <w:p w14:paraId="266E3E44">
      <w:pPr>
        <w:spacing w:before="182" w:line="219" w:lineRule="auto"/>
        <w:ind w:left="513"/>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二、质疑项目基本情况：</w:t>
      </w:r>
    </w:p>
    <w:p w14:paraId="4411909E">
      <w:pPr>
        <w:tabs>
          <w:tab w:val="left" w:pos="6875"/>
        </w:tabs>
        <w:spacing w:before="181" w:line="353" w:lineRule="auto"/>
        <w:ind w:left="523" w:right="1453" w:firstLine="1"/>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质疑项目的名称：</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质疑项目的编号：</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采购人名称：</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1"/>
          <w:sz w:val="24"/>
          <w:szCs w:val="24"/>
          <w:highlight w:val="none"/>
        </w:rPr>
        <w:t>质疑事项：</w:t>
      </w:r>
    </w:p>
    <w:p w14:paraId="68026C1B">
      <w:pPr>
        <w:spacing w:before="32" w:line="219" w:lineRule="auto"/>
        <w:ind w:left="42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□采购文件   采购文件获取日期：</w:t>
      </w:r>
      <w:r>
        <w:rPr>
          <w:rFonts w:ascii="宋体" w:hAnsi="宋体" w:eastAsia="宋体" w:cs="宋体"/>
          <w:color w:val="auto"/>
          <w:spacing w:val="-3"/>
          <w:sz w:val="24"/>
          <w:szCs w:val="24"/>
          <w:highlight w:val="none"/>
          <w:u w:val="single" w:color="auto"/>
        </w:rPr>
        <w:t xml:space="preserve">                                    </w:t>
      </w:r>
    </w:p>
    <w:p w14:paraId="484F450E">
      <w:pPr>
        <w:spacing w:before="183" w:line="219" w:lineRule="auto"/>
        <w:ind w:left="428"/>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□采购过程</w:t>
      </w:r>
    </w:p>
    <w:p w14:paraId="6869C930">
      <w:pPr>
        <w:spacing w:before="182" w:line="220" w:lineRule="auto"/>
        <w:ind w:left="428"/>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□成交结果</w:t>
      </w:r>
    </w:p>
    <w:p w14:paraId="0FA9A756">
      <w:pPr>
        <w:spacing w:before="181" w:line="220" w:lineRule="auto"/>
        <w:ind w:left="5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三、质疑事项具体内容</w:t>
      </w:r>
    </w:p>
    <w:p w14:paraId="29E902BE">
      <w:pPr>
        <w:tabs>
          <w:tab w:val="left" w:pos="8314"/>
        </w:tabs>
        <w:spacing w:before="181" w:line="351" w:lineRule="auto"/>
        <w:ind w:left="524" w:right="15"/>
        <w:jc w:val="both"/>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质疑事项</w:t>
      </w:r>
      <w:r>
        <w:rPr>
          <w:rFonts w:ascii="宋体" w:hAnsi="宋体" w:eastAsia="宋体" w:cs="宋体"/>
          <w:color w:val="auto"/>
          <w:spacing w:val="-29"/>
          <w:sz w:val="24"/>
          <w:szCs w:val="24"/>
          <w:highlight w:val="none"/>
        </w:rPr>
        <w:t xml:space="preserve"> </w:t>
      </w:r>
      <w:r>
        <w:rPr>
          <w:rFonts w:ascii="宋体" w:hAnsi="宋体" w:eastAsia="宋体" w:cs="宋体"/>
          <w:color w:val="auto"/>
          <w:spacing w:val="-7"/>
          <w:sz w:val="24"/>
          <w:szCs w:val="24"/>
          <w:highlight w:val="none"/>
        </w:rPr>
        <w:t>1：</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事实依据：</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法律依据：</w:t>
      </w:r>
      <w:r>
        <w:rPr>
          <w:rFonts w:ascii="宋体" w:hAnsi="宋体" w:eastAsia="宋体" w:cs="宋体"/>
          <w:color w:val="auto"/>
          <w:sz w:val="24"/>
          <w:szCs w:val="24"/>
          <w:highlight w:val="none"/>
          <w:u w:val="single" w:color="auto"/>
        </w:rPr>
        <w:t xml:space="preserve">                                                       </w:t>
      </w:r>
    </w:p>
    <w:p w14:paraId="4091CCFA">
      <w:pPr>
        <w:spacing w:before="33" w:line="359" w:lineRule="auto"/>
        <w:ind w:left="539" w:right="6674" w:hanging="1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质疑事项</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2</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w:t>
      </w:r>
    </w:p>
    <w:p w14:paraId="7D8772F1">
      <w:pPr>
        <w:spacing w:line="220" w:lineRule="auto"/>
        <w:ind w:left="546"/>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四、与质疑事项相关的质疑请求：</w:t>
      </w:r>
    </w:p>
    <w:p w14:paraId="4C452AE6">
      <w:pPr>
        <w:spacing w:before="182" w:line="220" w:lineRule="auto"/>
        <w:ind w:left="52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请求：</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p>
    <w:p w14:paraId="32A25B3B">
      <w:pPr>
        <w:spacing w:line="282" w:lineRule="auto"/>
        <w:rPr>
          <w:rFonts w:ascii="Arial"/>
          <w:color w:val="auto"/>
          <w:sz w:val="21"/>
          <w:highlight w:val="none"/>
        </w:rPr>
      </w:pPr>
    </w:p>
    <w:p w14:paraId="31F1C7A2">
      <w:pPr>
        <w:spacing w:line="283" w:lineRule="auto"/>
        <w:rPr>
          <w:rFonts w:ascii="Arial"/>
          <w:color w:val="auto"/>
          <w:sz w:val="21"/>
          <w:highlight w:val="none"/>
        </w:rPr>
      </w:pPr>
    </w:p>
    <w:p w14:paraId="40C8A828">
      <w:pPr>
        <w:spacing w:before="79" w:line="219" w:lineRule="auto"/>
        <w:ind w:left="524"/>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签字（签章</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公章：</w:t>
      </w:r>
    </w:p>
    <w:p w14:paraId="10792CB5">
      <w:pPr>
        <w:spacing w:before="181" w:line="220" w:lineRule="auto"/>
        <w:ind w:left="548"/>
        <w:rPr>
          <w:rFonts w:ascii="宋体" w:hAnsi="宋体" w:eastAsia="宋体" w:cs="宋体"/>
          <w:color w:val="auto"/>
          <w:sz w:val="24"/>
          <w:szCs w:val="24"/>
          <w:highlight w:val="none"/>
        </w:rPr>
      </w:pPr>
      <w:r>
        <w:rPr>
          <w:rFonts w:ascii="宋体" w:hAnsi="宋体" w:eastAsia="宋体" w:cs="宋体"/>
          <w:color w:val="auto"/>
          <w:spacing w:val="-24"/>
          <w:sz w:val="24"/>
          <w:szCs w:val="24"/>
          <w:highlight w:val="none"/>
        </w:rPr>
        <w:t>日期：</w:t>
      </w:r>
    </w:p>
    <w:p w14:paraId="3383CE80">
      <w:pPr>
        <w:spacing w:before="181" w:line="220" w:lineRule="auto"/>
        <w:ind w:left="30"/>
        <w:rPr>
          <w:rFonts w:ascii="宋体" w:hAnsi="宋体" w:eastAsia="宋体" w:cs="宋体"/>
          <w:color w:val="auto"/>
          <w:sz w:val="24"/>
          <w:szCs w:val="24"/>
          <w:highlight w:val="none"/>
        </w:rPr>
      </w:pPr>
      <w:r>
        <w:rPr>
          <w:rFonts w:ascii="宋体" w:hAnsi="宋体" w:eastAsia="宋体" w:cs="宋体"/>
          <w:b/>
          <w:bCs/>
          <w:color w:val="auto"/>
          <w:spacing w:val="-16"/>
          <w:sz w:val="24"/>
          <w:szCs w:val="24"/>
          <w:highlight w:val="none"/>
        </w:rPr>
        <w:t>说明：</w:t>
      </w:r>
    </w:p>
    <w:p w14:paraId="054944A8">
      <w:pPr>
        <w:spacing w:line="220" w:lineRule="auto"/>
        <w:rPr>
          <w:rFonts w:ascii="宋体" w:hAnsi="宋体" w:eastAsia="宋体" w:cs="宋体"/>
          <w:color w:val="auto"/>
          <w:sz w:val="24"/>
          <w:szCs w:val="24"/>
          <w:highlight w:val="none"/>
        </w:rPr>
        <w:sectPr>
          <w:footerReference r:id="rId65" w:type="default"/>
          <w:pgSz w:w="11900" w:h="16832"/>
          <w:pgMar w:top="1426" w:right="1784" w:bottom="1187" w:left="1784" w:header="0" w:footer="980" w:gutter="0"/>
          <w:pgNumType w:fmt="decimal"/>
          <w:cols w:space="720" w:num="1"/>
        </w:sectPr>
      </w:pPr>
    </w:p>
    <w:p w14:paraId="5FFC508C">
      <w:pPr>
        <w:spacing w:before="47" w:line="219" w:lineRule="auto"/>
        <w:ind w:left="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1.供应商提出质疑时，应提交质疑函和必要的证明材料。</w:t>
      </w:r>
    </w:p>
    <w:p w14:paraId="6DCBFD05">
      <w:pPr>
        <w:spacing w:before="183" w:line="350" w:lineRule="auto"/>
        <w:ind w:left="50" w:right="22" w:firstLine="358"/>
        <w:rPr>
          <w:rFonts w:ascii="宋体" w:hAnsi="宋体" w:eastAsia="宋体" w:cs="宋体"/>
          <w:color w:val="auto"/>
          <w:sz w:val="24"/>
          <w:szCs w:val="24"/>
          <w:highlight w:val="none"/>
        </w:rPr>
      </w:pPr>
      <w:r>
        <w:rPr>
          <w:rFonts w:ascii="宋体" w:hAnsi="宋体" w:eastAsia="宋体" w:cs="宋体"/>
          <w:b/>
          <w:bCs/>
          <w:color w:val="auto"/>
          <w:spacing w:val="12"/>
          <w:sz w:val="24"/>
          <w:szCs w:val="24"/>
          <w:highlight w:val="none"/>
        </w:rPr>
        <w:t>2.质疑供应商若委托代理人进行质疑的，质疑函</w:t>
      </w:r>
      <w:r>
        <w:rPr>
          <w:rFonts w:ascii="宋体" w:hAnsi="宋体" w:eastAsia="宋体" w:cs="宋体"/>
          <w:b/>
          <w:bCs/>
          <w:color w:val="auto"/>
          <w:spacing w:val="11"/>
          <w:sz w:val="24"/>
          <w:szCs w:val="24"/>
          <w:highlight w:val="none"/>
        </w:rPr>
        <w:t>应按要求列明“授权代</w:t>
      </w:r>
      <w:r>
        <w:rPr>
          <w:rFonts w:ascii="宋体" w:hAnsi="宋体" w:eastAsia="宋体" w:cs="宋体"/>
          <w:color w:val="auto"/>
          <w:sz w:val="24"/>
          <w:szCs w:val="24"/>
          <w:highlight w:val="none"/>
        </w:rPr>
        <w:t xml:space="preserve"> </w:t>
      </w:r>
      <w:r>
        <w:rPr>
          <w:rFonts w:ascii="宋体" w:hAnsi="宋体" w:eastAsia="宋体" w:cs="宋体"/>
          <w:b/>
          <w:bCs/>
          <w:color w:val="auto"/>
          <w:sz w:val="24"/>
          <w:szCs w:val="24"/>
          <w:highlight w:val="none"/>
        </w:rPr>
        <w:t>表”的有关内容，并在附件中提交由质疑供应商签署的授权委托书。授权委托</w:t>
      </w:r>
      <w:r>
        <w:rPr>
          <w:rFonts w:ascii="宋体" w:hAnsi="宋体" w:eastAsia="宋体" w:cs="宋体"/>
          <w:color w:val="auto"/>
          <w:spacing w:val="9"/>
          <w:sz w:val="24"/>
          <w:szCs w:val="24"/>
          <w:highlight w:val="none"/>
        </w:rPr>
        <w:t xml:space="preserve"> </w:t>
      </w:r>
      <w:r>
        <w:rPr>
          <w:rFonts w:ascii="宋体" w:hAnsi="宋体" w:eastAsia="宋体" w:cs="宋体"/>
          <w:b/>
          <w:bCs/>
          <w:color w:val="auto"/>
          <w:spacing w:val="-3"/>
          <w:sz w:val="24"/>
          <w:szCs w:val="24"/>
          <w:highlight w:val="none"/>
        </w:rPr>
        <w:t>书应载明代理人的姓名或者名称、代理事项、具体权限、期限和相关事项。</w:t>
      </w:r>
    </w:p>
    <w:p w14:paraId="6BDA85E6">
      <w:pPr>
        <w:spacing w:before="34" w:line="219" w:lineRule="auto"/>
        <w:ind w:left="411"/>
        <w:rPr>
          <w:rFonts w:ascii="宋体" w:hAnsi="宋体" w:eastAsia="宋体" w:cs="宋体"/>
          <w:color w:val="auto"/>
          <w:sz w:val="24"/>
          <w:szCs w:val="24"/>
          <w:highlight w:val="none"/>
        </w:rPr>
      </w:pPr>
      <w:r>
        <w:rPr>
          <w:rFonts w:ascii="宋体" w:hAnsi="宋体" w:eastAsia="宋体" w:cs="宋体"/>
          <w:b/>
          <w:bCs/>
          <w:color w:val="auto"/>
          <w:spacing w:val="-9"/>
          <w:sz w:val="24"/>
          <w:szCs w:val="24"/>
          <w:highlight w:val="none"/>
        </w:rPr>
        <w:t>3.质疑函的质疑事项应具体、明确，</w:t>
      </w:r>
      <w:r>
        <w:rPr>
          <w:rFonts w:ascii="宋体" w:hAnsi="宋体" w:eastAsia="宋体" w:cs="宋体"/>
          <w:color w:val="auto"/>
          <w:spacing w:val="74"/>
          <w:sz w:val="24"/>
          <w:szCs w:val="24"/>
          <w:highlight w:val="none"/>
        </w:rPr>
        <w:t xml:space="preserve"> </w:t>
      </w:r>
      <w:r>
        <w:rPr>
          <w:rFonts w:ascii="宋体" w:hAnsi="宋体" w:eastAsia="宋体" w:cs="宋体"/>
          <w:b/>
          <w:bCs/>
          <w:color w:val="auto"/>
          <w:spacing w:val="-9"/>
          <w:sz w:val="24"/>
          <w:szCs w:val="24"/>
          <w:highlight w:val="none"/>
        </w:rPr>
        <w:t>并有必要的事实依据和法律依据。</w:t>
      </w:r>
    </w:p>
    <w:p w14:paraId="277A6D0D">
      <w:pPr>
        <w:spacing w:before="183" w:line="220" w:lineRule="auto"/>
        <w:ind w:left="405"/>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4.质疑函的质疑请求应与质疑事项相关。</w:t>
      </w:r>
    </w:p>
    <w:p w14:paraId="57C40A91">
      <w:pPr>
        <w:spacing w:before="178" w:line="347" w:lineRule="auto"/>
        <w:ind w:left="53" w:right="24" w:firstLine="357"/>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5.质疑供应商为法人或者其他组织的，质疑函应由法定代表人、主</w:t>
      </w:r>
      <w:r>
        <w:rPr>
          <w:rFonts w:ascii="宋体" w:hAnsi="宋体" w:eastAsia="宋体" w:cs="宋体"/>
          <w:b/>
          <w:bCs/>
          <w:color w:val="auto"/>
          <w:spacing w:val="3"/>
          <w:sz w:val="24"/>
          <w:szCs w:val="24"/>
          <w:highlight w:val="none"/>
        </w:rPr>
        <w:t>要负责</w:t>
      </w:r>
      <w:r>
        <w:rPr>
          <w:rFonts w:ascii="宋体" w:hAnsi="宋体" w:eastAsia="宋体" w:cs="宋体"/>
          <w:color w:val="auto"/>
          <w:sz w:val="24"/>
          <w:szCs w:val="24"/>
          <w:highlight w:val="none"/>
        </w:rPr>
        <w:t xml:space="preserve"> </w:t>
      </w:r>
      <w:r>
        <w:rPr>
          <w:rFonts w:ascii="宋体" w:hAnsi="宋体" w:eastAsia="宋体" w:cs="宋体"/>
          <w:b/>
          <w:bCs/>
          <w:color w:val="auto"/>
          <w:spacing w:val="-3"/>
          <w:sz w:val="24"/>
          <w:szCs w:val="24"/>
          <w:highlight w:val="none"/>
        </w:rPr>
        <w:t>人，或者其授权代表签字或者盖章，并加盖公章。</w:t>
      </w:r>
    </w:p>
    <w:p w14:paraId="7E7C6CE8">
      <w:pPr>
        <w:spacing w:line="347" w:lineRule="auto"/>
        <w:rPr>
          <w:rFonts w:ascii="宋体" w:hAnsi="宋体" w:eastAsia="宋体" w:cs="宋体"/>
          <w:color w:val="auto"/>
          <w:sz w:val="24"/>
          <w:szCs w:val="24"/>
          <w:highlight w:val="none"/>
        </w:rPr>
        <w:sectPr>
          <w:footerReference r:id="rId66" w:type="default"/>
          <w:pgSz w:w="11900" w:h="16832"/>
          <w:pgMar w:top="1426" w:right="1784" w:bottom="1187" w:left="1784" w:header="0" w:footer="980" w:gutter="0"/>
          <w:pgNumType w:fmt="decimal"/>
          <w:cols w:space="720" w:num="1"/>
        </w:sectPr>
      </w:pPr>
    </w:p>
    <w:p w14:paraId="563FA1B6">
      <w:pPr>
        <w:spacing w:before="105" w:line="210" w:lineRule="auto"/>
        <w:ind w:left="2635"/>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11"/>
          <w:sz w:val="43"/>
          <w:szCs w:val="43"/>
          <w:highlight w:val="none"/>
        </w:rPr>
        <w:t>投诉书（格式）</w:t>
      </w:r>
    </w:p>
    <w:p w14:paraId="74EAC107">
      <w:pPr>
        <w:spacing w:line="250" w:lineRule="auto"/>
        <w:rPr>
          <w:rFonts w:ascii="Arial"/>
          <w:color w:val="auto"/>
          <w:sz w:val="21"/>
          <w:highlight w:val="none"/>
        </w:rPr>
      </w:pPr>
    </w:p>
    <w:p w14:paraId="4B8BFE03">
      <w:pPr>
        <w:spacing w:before="78" w:line="219" w:lineRule="auto"/>
        <w:ind w:left="513"/>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一、投诉相关主体基本情况：</w:t>
      </w:r>
    </w:p>
    <w:p w14:paraId="139F165A">
      <w:pPr>
        <w:tabs>
          <w:tab w:val="left" w:pos="8314"/>
        </w:tabs>
        <w:spacing w:before="184" w:line="353" w:lineRule="auto"/>
        <w:ind w:left="507" w:right="15"/>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供应商：</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地址：</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92"/>
          <w:sz w:val="24"/>
          <w:szCs w:val="24"/>
          <w:highlight w:val="none"/>
        </w:rPr>
        <w:t xml:space="preserve"> </w:t>
      </w:r>
      <w:r>
        <w:rPr>
          <w:rFonts w:ascii="宋体" w:hAnsi="宋体" w:eastAsia="宋体" w:cs="宋体"/>
          <w:color w:val="auto"/>
          <w:spacing w:val="-4"/>
          <w:sz w:val="24"/>
          <w:szCs w:val="24"/>
          <w:highlight w:val="none"/>
        </w:rPr>
        <w:t>邮编：</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法定代表人/主要负责人：</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联系电话：</w:t>
      </w:r>
      <w:r>
        <w:rPr>
          <w:rFonts w:ascii="宋体" w:hAnsi="宋体" w:eastAsia="宋体" w:cs="宋体"/>
          <w:color w:val="auto"/>
          <w:sz w:val="24"/>
          <w:szCs w:val="24"/>
          <w:highlight w:val="none"/>
          <w:u w:val="single" w:color="auto"/>
        </w:rPr>
        <w:t xml:space="preserve">                                          </w:t>
      </w:r>
    </w:p>
    <w:p w14:paraId="5DCC6066">
      <w:pPr>
        <w:spacing w:before="32" w:line="351" w:lineRule="auto"/>
        <w:ind w:left="506" w:right="15"/>
        <w:rPr>
          <w:rFonts w:ascii="宋体" w:hAnsi="宋体" w:eastAsia="宋体" w:cs="宋体"/>
          <w:color w:val="auto"/>
          <w:sz w:val="24"/>
          <w:szCs w:val="24"/>
          <w:highlight w:val="none"/>
        </w:rPr>
      </w:pPr>
      <w:r>
        <w:rPr>
          <w:rFonts w:ascii="宋体" w:hAnsi="宋体" w:eastAsia="宋体" w:cs="宋体"/>
          <w:color w:val="auto"/>
          <w:sz w:val="24"/>
          <w:szCs w:val="24"/>
          <w:highlight w:val="none"/>
        </w:rPr>
        <w:t>授权代表：</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z w:val="24"/>
          <w:szCs w:val="24"/>
          <w:highlight w:val="none"/>
        </w:rPr>
        <w:t>联系电话：</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地址：</w:t>
      </w:r>
      <w:r>
        <w:rPr>
          <w:rFonts w:ascii="宋体" w:hAnsi="宋体" w:eastAsia="宋体" w:cs="宋体"/>
          <w:color w:val="auto"/>
          <w:spacing w:val="-2"/>
          <w:sz w:val="24"/>
          <w:szCs w:val="24"/>
          <w:highlight w:val="none"/>
          <w:u w:val="single" w:color="auto"/>
        </w:rPr>
        <w:t xml:space="preserve">                                                            </w:t>
      </w:r>
    </w:p>
    <w:p w14:paraId="6A6C6F1A">
      <w:pPr>
        <w:spacing w:before="19" w:line="347" w:lineRule="auto"/>
        <w:ind w:left="507" w:right="6031" w:firstLine="17"/>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邮编：</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 xml:space="preserve"> </w:t>
      </w:r>
      <w:r>
        <w:rPr>
          <w:rFonts w:ascii="宋体" w:hAnsi="宋体" w:eastAsia="宋体" w:cs="宋体"/>
          <w:color w:val="auto"/>
          <w:spacing w:val="-7"/>
          <w:sz w:val="24"/>
          <w:szCs w:val="24"/>
          <w:highlight w:val="none"/>
        </w:rPr>
        <w:t>被投诉人</w:t>
      </w:r>
      <w:r>
        <w:rPr>
          <w:rFonts w:ascii="宋体" w:hAnsi="宋体" w:eastAsia="宋体" w:cs="宋体"/>
          <w:color w:val="auto"/>
          <w:spacing w:val="-29"/>
          <w:sz w:val="24"/>
          <w:szCs w:val="24"/>
          <w:highlight w:val="none"/>
        </w:rPr>
        <w:t xml:space="preserve"> </w:t>
      </w:r>
      <w:r>
        <w:rPr>
          <w:rFonts w:ascii="宋体" w:hAnsi="宋体" w:eastAsia="宋体" w:cs="宋体"/>
          <w:color w:val="auto"/>
          <w:spacing w:val="-7"/>
          <w:sz w:val="24"/>
          <w:szCs w:val="24"/>
          <w:highlight w:val="none"/>
        </w:rPr>
        <w:t>1：</w:t>
      </w:r>
    </w:p>
    <w:p w14:paraId="70BA2D50">
      <w:pPr>
        <w:spacing w:before="31" w:line="347" w:lineRule="auto"/>
        <w:ind w:left="524" w:right="15" w:hanging="1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8"/>
          <w:sz w:val="24"/>
          <w:szCs w:val="24"/>
          <w:highlight w:val="none"/>
        </w:rPr>
        <w:t xml:space="preserve"> </w:t>
      </w:r>
      <w:r>
        <w:rPr>
          <w:rFonts w:ascii="宋体" w:hAnsi="宋体" w:eastAsia="宋体" w:cs="宋体"/>
          <w:color w:val="auto"/>
          <w:spacing w:val="-10"/>
          <w:sz w:val="24"/>
          <w:szCs w:val="24"/>
          <w:highlight w:val="none"/>
        </w:rPr>
        <w:t>邮编：</w:t>
      </w:r>
      <w:r>
        <w:rPr>
          <w:rFonts w:ascii="宋体" w:hAnsi="宋体" w:eastAsia="宋体" w:cs="宋体"/>
          <w:color w:val="auto"/>
          <w:sz w:val="24"/>
          <w:szCs w:val="24"/>
          <w:highlight w:val="none"/>
          <w:u w:val="single" w:color="auto"/>
        </w:rPr>
        <w:t xml:space="preserve">          </w:t>
      </w:r>
    </w:p>
    <w:p w14:paraId="23F7A433">
      <w:pPr>
        <w:spacing w:before="33" w:line="348" w:lineRule="auto"/>
        <w:ind w:left="27" w:right="15"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联系人：</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2"/>
          <w:sz w:val="24"/>
          <w:szCs w:val="24"/>
          <w:highlight w:val="none"/>
        </w:rPr>
        <w:t>联系电</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话：</w:t>
      </w:r>
      <w:r>
        <w:rPr>
          <w:rFonts w:ascii="宋体" w:hAnsi="宋体" w:eastAsia="宋体" w:cs="宋体"/>
          <w:color w:val="auto"/>
          <w:sz w:val="24"/>
          <w:szCs w:val="24"/>
          <w:highlight w:val="none"/>
          <w:u w:val="single" w:color="auto"/>
        </w:rPr>
        <w:t xml:space="preserve">                 </w:t>
      </w:r>
    </w:p>
    <w:p w14:paraId="3F8302EA">
      <w:pPr>
        <w:spacing w:before="29" w:line="359" w:lineRule="auto"/>
        <w:ind w:left="522" w:right="6506" w:hanging="15"/>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被投诉人</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2：</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w:t>
      </w:r>
    </w:p>
    <w:p w14:paraId="79DDE064">
      <w:pPr>
        <w:tabs>
          <w:tab w:val="left" w:pos="8314"/>
        </w:tabs>
        <w:spacing w:before="4" w:line="350" w:lineRule="auto"/>
        <w:ind w:left="507" w:right="15"/>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相关供应商：</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地址：</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90"/>
          <w:sz w:val="24"/>
          <w:szCs w:val="24"/>
          <w:highlight w:val="none"/>
        </w:rPr>
        <w:t xml:space="preserve"> </w:t>
      </w:r>
      <w:r>
        <w:rPr>
          <w:rFonts w:ascii="宋体" w:hAnsi="宋体" w:eastAsia="宋体" w:cs="宋体"/>
          <w:color w:val="auto"/>
          <w:spacing w:val="-3"/>
          <w:sz w:val="24"/>
          <w:szCs w:val="24"/>
          <w:highlight w:val="none"/>
        </w:rPr>
        <w:t>邮编：</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联系人：</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
          <w:sz w:val="24"/>
          <w:szCs w:val="24"/>
          <w:highlight w:val="none"/>
        </w:rPr>
        <w:t>联系电话：</w:t>
      </w:r>
      <w:r>
        <w:rPr>
          <w:rFonts w:ascii="宋体" w:hAnsi="宋体" w:eastAsia="宋体" w:cs="宋体"/>
          <w:color w:val="auto"/>
          <w:sz w:val="24"/>
          <w:szCs w:val="24"/>
          <w:highlight w:val="none"/>
          <w:u w:val="single" w:color="auto"/>
        </w:rPr>
        <w:t xml:space="preserve">    </w:t>
      </w:r>
    </w:p>
    <w:p w14:paraId="5B6B3500">
      <w:pPr>
        <w:spacing w:before="32" w:line="219" w:lineRule="auto"/>
        <w:ind w:left="513"/>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二、投诉项目基本情况：</w:t>
      </w:r>
    </w:p>
    <w:p w14:paraId="7288F6A4">
      <w:pPr>
        <w:spacing w:before="186" w:line="344" w:lineRule="auto"/>
        <w:ind w:left="523" w:right="15"/>
        <w:rPr>
          <w:rFonts w:ascii="宋体" w:hAnsi="宋体" w:eastAsia="宋体" w:cs="宋体"/>
          <w:color w:val="auto"/>
          <w:sz w:val="24"/>
          <w:szCs w:val="24"/>
          <w:highlight w:val="none"/>
        </w:rPr>
      </w:pPr>
      <w:r>
        <w:rPr>
          <w:rFonts w:ascii="宋体" w:hAnsi="宋体" w:eastAsia="宋体" w:cs="宋体"/>
          <w:color w:val="auto"/>
          <w:sz w:val="24"/>
          <w:szCs w:val="24"/>
          <w:highlight w:val="none"/>
        </w:rPr>
        <w:t>采购项目的名称：</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采购项目的编号：</w:t>
      </w:r>
      <w:r>
        <w:rPr>
          <w:rFonts w:ascii="宋体" w:hAnsi="宋体" w:eastAsia="宋体" w:cs="宋体"/>
          <w:color w:val="auto"/>
          <w:sz w:val="24"/>
          <w:szCs w:val="24"/>
          <w:highlight w:val="none"/>
          <w:u w:val="single" w:color="auto"/>
        </w:rPr>
        <w:t xml:space="preserve">                                           </w:t>
      </w:r>
    </w:p>
    <w:p w14:paraId="58202025">
      <w:pPr>
        <w:tabs>
          <w:tab w:val="left" w:pos="8314"/>
        </w:tabs>
        <w:spacing w:before="36" w:line="352" w:lineRule="auto"/>
        <w:ind w:left="523" w:right="15"/>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采购人名称：</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代理机构名称：</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采购文件公告：</w:t>
      </w:r>
      <w:r>
        <w:rPr>
          <w:rFonts w:ascii="宋体" w:hAnsi="宋体" w:eastAsia="宋体" w:cs="宋体"/>
          <w:color w:val="auto"/>
          <w:spacing w:val="-1"/>
          <w:sz w:val="24"/>
          <w:szCs w:val="24"/>
          <w:highlight w:val="none"/>
          <w:u w:val="single" w:color="auto"/>
        </w:rPr>
        <w:t>是/否</w:t>
      </w:r>
      <w:r>
        <w:rPr>
          <w:rFonts w:ascii="宋体" w:hAnsi="宋体" w:eastAsia="宋体" w:cs="宋体"/>
          <w:color w:val="auto"/>
          <w:spacing w:val="-1"/>
          <w:sz w:val="24"/>
          <w:szCs w:val="24"/>
          <w:highlight w:val="none"/>
        </w:rPr>
        <w:t>公告期限：</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采购结果公告：</w:t>
      </w:r>
      <w:r>
        <w:rPr>
          <w:rFonts w:ascii="宋体" w:hAnsi="宋体" w:eastAsia="宋体" w:cs="宋体"/>
          <w:color w:val="auto"/>
          <w:spacing w:val="-1"/>
          <w:sz w:val="24"/>
          <w:szCs w:val="24"/>
          <w:highlight w:val="none"/>
          <w:u w:val="single" w:color="auto"/>
        </w:rPr>
        <w:t>是/否</w:t>
      </w:r>
      <w:r>
        <w:rPr>
          <w:rFonts w:ascii="宋体" w:hAnsi="宋体" w:eastAsia="宋体" w:cs="宋体"/>
          <w:color w:val="auto"/>
          <w:spacing w:val="-1"/>
          <w:sz w:val="24"/>
          <w:szCs w:val="24"/>
          <w:highlight w:val="none"/>
        </w:rPr>
        <w:t>公告期限：</w:t>
      </w:r>
      <w:r>
        <w:rPr>
          <w:rFonts w:ascii="宋体" w:hAnsi="宋体" w:eastAsia="宋体" w:cs="宋体"/>
          <w:color w:val="auto"/>
          <w:sz w:val="24"/>
          <w:szCs w:val="24"/>
          <w:highlight w:val="none"/>
          <w:u w:val="single" w:color="auto"/>
        </w:rPr>
        <w:t xml:space="preserve">                                    </w:t>
      </w:r>
    </w:p>
    <w:p w14:paraId="4AD8E190">
      <w:pPr>
        <w:spacing w:before="38" w:line="219" w:lineRule="auto"/>
        <w:ind w:left="5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三、质疑基本情况</w:t>
      </w:r>
    </w:p>
    <w:p w14:paraId="6B12C13B">
      <w:pPr>
        <w:spacing w:before="182" w:line="347" w:lineRule="auto"/>
        <w:ind w:left="47" w:right="15" w:firstLine="462"/>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投诉人于</w:t>
      </w:r>
      <w:r>
        <w:rPr>
          <w:rFonts w:ascii="宋体" w:hAnsi="宋体" w:eastAsia="宋体" w:cs="宋体"/>
          <w:color w:val="auto"/>
          <w:spacing w:val="-116"/>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pacing w:val="-118"/>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18"/>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68"/>
          <w:sz w:val="24"/>
          <w:szCs w:val="24"/>
          <w:highlight w:val="none"/>
        </w:rPr>
        <w:t xml:space="preserve"> </w:t>
      </w:r>
      <w:r>
        <w:rPr>
          <w:rFonts w:ascii="宋体" w:hAnsi="宋体" w:eastAsia="宋体" w:cs="宋体"/>
          <w:color w:val="auto"/>
          <w:spacing w:val="-9"/>
          <w:sz w:val="24"/>
          <w:szCs w:val="24"/>
          <w:highlight w:val="none"/>
        </w:rPr>
        <w:t>日，向</w:t>
      </w:r>
      <w:r>
        <w:rPr>
          <w:rFonts w:ascii="宋体" w:hAnsi="宋体" w:eastAsia="宋体" w:cs="宋体"/>
          <w:color w:val="auto"/>
          <w:spacing w:val="-117"/>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92"/>
          <w:sz w:val="24"/>
          <w:szCs w:val="24"/>
          <w:highlight w:val="none"/>
        </w:rPr>
        <w:t xml:space="preserve"> </w:t>
      </w:r>
      <w:r>
        <w:rPr>
          <w:rFonts w:ascii="宋体" w:hAnsi="宋体" w:eastAsia="宋体" w:cs="宋体"/>
          <w:color w:val="auto"/>
          <w:spacing w:val="-9"/>
          <w:sz w:val="24"/>
          <w:szCs w:val="24"/>
          <w:highlight w:val="none"/>
        </w:rPr>
        <w:t>提</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rPr>
        <w:t>出质疑，质疑事项为：</w:t>
      </w:r>
    </w:p>
    <w:p w14:paraId="127089DD">
      <w:pPr>
        <w:spacing w:line="347" w:lineRule="auto"/>
        <w:rPr>
          <w:rFonts w:ascii="宋体" w:hAnsi="宋体" w:eastAsia="宋体" w:cs="宋体"/>
          <w:color w:val="auto"/>
          <w:sz w:val="24"/>
          <w:szCs w:val="24"/>
          <w:highlight w:val="none"/>
        </w:rPr>
        <w:sectPr>
          <w:footerReference r:id="rId67" w:type="default"/>
          <w:pgSz w:w="11900" w:h="16832"/>
          <w:pgMar w:top="1414" w:right="1784" w:bottom="1187" w:left="1784" w:header="0" w:footer="980" w:gutter="0"/>
          <w:pgNumType w:fmt="decimal"/>
          <w:cols w:space="720" w:num="1"/>
        </w:sectPr>
      </w:pPr>
    </w:p>
    <w:p w14:paraId="31D0FDD9">
      <w:pPr>
        <w:spacing w:line="281" w:lineRule="auto"/>
        <w:rPr>
          <w:rFonts w:ascii="Arial"/>
          <w:color w:val="auto"/>
          <w:sz w:val="21"/>
          <w:highlight w:val="none"/>
        </w:rPr>
      </w:pPr>
    </w:p>
    <w:p w14:paraId="4F46CAB6">
      <w:pPr>
        <w:spacing w:line="480" w:lineRule="exact"/>
        <w:ind w:firstLine="737"/>
        <w:rPr>
          <w:color w:val="auto"/>
          <w:highlight w:val="none"/>
        </w:rPr>
      </w:pPr>
      <w:r>
        <w:rPr>
          <w:color w:val="auto"/>
          <w:position w:val="-9"/>
          <w:highlight w:val="none"/>
        </w:rPr>
        <w:pict>
          <v:shape id="_x0000_s1061" o:spid="_x0000_s1061" style="height:24pt;width:378.85pt;" fillcolor="#000000" filled="t" stroked="f" coordsize="7577,480" path="m0,11l7576,11,7576,0,0,0,0,11xem0,480l7576,480,7576,468,0,468,0,480xe">
            <v:path/>
            <v:fill on="t" focussize="0,0"/>
            <v:stroke on="f"/>
            <v:imagedata o:title=""/>
            <o:lock v:ext="edit"/>
            <w10:wrap type="none"/>
            <w10:anchorlock/>
          </v:shape>
        </w:pict>
      </w:r>
    </w:p>
    <w:p w14:paraId="76A9847B">
      <w:pPr>
        <w:spacing w:before="213" w:line="347" w:lineRule="auto"/>
        <w:ind w:left="28" w:right="15" w:firstLine="478"/>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采购人/代理机构</w:t>
      </w:r>
      <w:r>
        <w:rPr>
          <w:rFonts w:ascii="宋体" w:hAnsi="宋体" w:eastAsia="宋体" w:cs="宋体"/>
          <w:color w:val="auto"/>
          <w:sz w:val="24"/>
          <w:szCs w:val="24"/>
          <w:highlight w:val="none"/>
        </w:rPr>
        <w:t>于</w:t>
      </w:r>
      <w:r>
        <w:rPr>
          <w:rFonts w:ascii="宋体" w:hAnsi="宋体" w:eastAsia="宋体" w:cs="宋体"/>
          <w:color w:val="auto"/>
          <w:spacing w:val="-115"/>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z w:val="24"/>
          <w:szCs w:val="24"/>
          <w:highlight w:val="none"/>
        </w:rPr>
        <w:t>年</w:t>
      </w:r>
      <w:r>
        <w:rPr>
          <w:rFonts w:ascii="宋体" w:hAnsi="宋体" w:eastAsia="宋体" w:cs="宋体"/>
          <w:color w:val="auto"/>
          <w:spacing w:val="-117"/>
          <w:sz w:val="24"/>
          <w:szCs w:val="24"/>
          <w:highlight w:val="none"/>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z w:val="24"/>
          <w:szCs w:val="24"/>
          <w:highlight w:val="none"/>
        </w:rPr>
        <w:t>月</w:t>
      </w:r>
      <w:r>
        <w:rPr>
          <w:rFonts w:ascii="宋体" w:hAnsi="宋体" w:eastAsia="宋体" w:cs="宋体"/>
          <w:color w:val="auto"/>
          <w:spacing w:val="-118"/>
          <w:sz w:val="24"/>
          <w:szCs w:val="24"/>
          <w:highlight w:val="none"/>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z w:val="24"/>
          <w:szCs w:val="24"/>
          <w:highlight w:val="none"/>
        </w:rPr>
        <w:t>日，就质疑事项作出了</w:t>
      </w:r>
      <w:r>
        <w:rPr>
          <w:rFonts w:ascii="宋体" w:hAnsi="宋体" w:eastAsia="宋体" w:cs="宋体"/>
          <w:color w:val="auto"/>
          <w:spacing w:val="-1"/>
          <w:sz w:val="24"/>
          <w:szCs w:val="24"/>
          <w:highlight w:val="none"/>
        </w:rPr>
        <w:t>答复/没有在</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法定期限内作出答复。</w:t>
      </w:r>
    </w:p>
    <w:p w14:paraId="54505D17">
      <w:pPr>
        <w:spacing w:before="31" w:line="220" w:lineRule="auto"/>
        <w:ind w:left="546"/>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四、投诉事项具体内容</w:t>
      </w:r>
    </w:p>
    <w:p w14:paraId="55613D66">
      <w:pPr>
        <w:spacing w:before="183" w:line="344" w:lineRule="auto"/>
        <w:ind w:left="507" w:right="15" w:firstLine="1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投诉事项</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1：</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 xml:space="preserve">事实依据： </w:t>
      </w:r>
      <w:r>
        <w:rPr>
          <w:rFonts w:ascii="宋体" w:hAnsi="宋体" w:eastAsia="宋体" w:cs="宋体"/>
          <w:color w:val="auto"/>
          <w:spacing w:val="-2"/>
          <w:sz w:val="24"/>
          <w:szCs w:val="24"/>
          <w:highlight w:val="none"/>
          <w:u w:val="single" w:color="auto"/>
        </w:rPr>
        <w:t xml:space="preserve">                                                       </w:t>
      </w:r>
    </w:p>
    <w:p w14:paraId="527DB1EC">
      <w:pPr>
        <w:tabs>
          <w:tab w:val="left" w:pos="8314"/>
        </w:tabs>
        <w:spacing w:before="87"/>
        <w:ind w:left="514"/>
        <w:rPr>
          <w:rFonts w:ascii="Arial"/>
          <w:color w:val="auto"/>
          <w:sz w:val="21"/>
          <w:highlight w:val="none"/>
        </w:rPr>
      </w:pPr>
      <w:r>
        <w:rPr>
          <w:rFonts w:ascii="Arial" w:hAnsi="Arial" w:eastAsia="Arial" w:cs="Arial"/>
          <w:color w:val="auto"/>
          <w:sz w:val="21"/>
          <w:szCs w:val="21"/>
          <w:highlight w:val="none"/>
          <w:u w:val="single" w:color="auto"/>
        </w:rPr>
        <w:tab/>
      </w:r>
    </w:p>
    <w:p w14:paraId="425DC669">
      <w:pPr>
        <w:spacing w:before="175" w:line="219" w:lineRule="auto"/>
        <w:ind w:left="5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 xml:space="preserve">法律依据： </w:t>
      </w:r>
      <w:r>
        <w:rPr>
          <w:rFonts w:ascii="宋体" w:hAnsi="宋体" w:eastAsia="宋体" w:cs="宋体"/>
          <w:color w:val="auto"/>
          <w:spacing w:val="-2"/>
          <w:sz w:val="24"/>
          <w:szCs w:val="24"/>
          <w:highlight w:val="none"/>
          <w:u w:val="single" w:color="auto"/>
        </w:rPr>
        <w:t xml:space="preserve">                                                       </w:t>
      </w:r>
    </w:p>
    <w:p w14:paraId="261B4C8A">
      <w:pPr>
        <w:tabs>
          <w:tab w:val="left" w:pos="8314"/>
        </w:tabs>
        <w:spacing w:before="232"/>
        <w:ind w:left="514"/>
        <w:rPr>
          <w:rFonts w:ascii="Arial"/>
          <w:color w:val="auto"/>
          <w:sz w:val="21"/>
          <w:highlight w:val="none"/>
        </w:rPr>
      </w:pPr>
      <w:r>
        <w:rPr>
          <w:rFonts w:ascii="Arial" w:hAnsi="Arial" w:eastAsia="Arial" w:cs="Arial"/>
          <w:color w:val="auto"/>
          <w:sz w:val="21"/>
          <w:szCs w:val="21"/>
          <w:highlight w:val="none"/>
          <w:u w:val="single" w:color="auto"/>
        </w:rPr>
        <w:tab/>
      </w:r>
    </w:p>
    <w:p w14:paraId="0393E1A5">
      <w:pPr>
        <w:spacing w:before="176" w:line="359" w:lineRule="auto"/>
        <w:ind w:left="538" w:right="6674" w:hanging="1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投诉事项</w:t>
      </w:r>
      <w:r>
        <w:rPr>
          <w:rFonts w:ascii="宋体" w:hAnsi="宋体" w:eastAsia="宋体" w:cs="宋体"/>
          <w:color w:val="auto"/>
          <w:spacing w:val="-48"/>
          <w:sz w:val="24"/>
          <w:szCs w:val="24"/>
          <w:highlight w:val="none"/>
        </w:rPr>
        <w:t xml:space="preserve"> </w:t>
      </w:r>
      <w:r>
        <w:rPr>
          <w:rFonts w:ascii="宋体" w:hAnsi="宋体" w:eastAsia="宋体" w:cs="宋体"/>
          <w:color w:val="auto"/>
          <w:spacing w:val="-5"/>
          <w:sz w:val="24"/>
          <w:szCs w:val="24"/>
          <w:highlight w:val="none"/>
        </w:rPr>
        <w:t>2</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w:t>
      </w:r>
    </w:p>
    <w:p w14:paraId="07C5FA4C">
      <w:pPr>
        <w:spacing w:line="220" w:lineRule="auto"/>
        <w:ind w:left="527"/>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五、与投诉事项相关的投诉请求：</w:t>
      </w:r>
    </w:p>
    <w:p w14:paraId="11767E70">
      <w:pPr>
        <w:spacing w:before="182" w:line="220" w:lineRule="auto"/>
        <w:ind w:left="52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请求：</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p>
    <w:p w14:paraId="749DF9F5">
      <w:pPr>
        <w:spacing w:line="282" w:lineRule="auto"/>
        <w:rPr>
          <w:rFonts w:ascii="Arial"/>
          <w:color w:val="auto"/>
          <w:sz w:val="21"/>
          <w:highlight w:val="none"/>
        </w:rPr>
      </w:pPr>
    </w:p>
    <w:p w14:paraId="77A2CED7">
      <w:pPr>
        <w:spacing w:line="283" w:lineRule="auto"/>
        <w:rPr>
          <w:rFonts w:ascii="Arial"/>
          <w:color w:val="auto"/>
          <w:sz w:val="21"/>
          <w:highlight w:val="none"/>
        </w:rPr>
      </w:pPr>
    </w:p>
    <w:p w14:paraId="68F85BAF">
      <w:pPr>
        <w:spacing w:before="79" w:line="219" w:lineRule="auto"/>
        <w:ind w:left="524"/>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签字（签章</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公章：</w:t>
      </w:r>
    </w:p>
    <w:p w14:paraId="33DCF9C5">
      <w:pPr>
        <w:spacing w:line="283" w:lineRule="auto"/>
        <w:rPr>
          <w:rFonts w:ascii="Arial"/>
          <w:color w:val="auto"/>
          <w:sz w:val="21"/>
          <w:highlight w:val="none"/>
        </w:rPr>
      </w:pPr>
    </w:p>
    <w:p w14:paraId="6F8487BB">
      <w:pPr>
        <w:spacing w:line="284" w:lineRule="auto"/>
        <w:rPr>
          <w:rFonts w:ascii="Arial"/>
          <w:color w:val="auto"/>
          <w:sz w:val="21"/>
          <w:highlight w:val="none"/>
        </w:rPr>
      </w:pPr>
    </w:p>
    <w:p w14:paraId="5086A8FF">
      <w:pPr>
        <w:spacing w:before="79" w:line="220" w:lineRule="auto"/>
        <w:ind w:left="565"/>
        <w:rPr>
          <w:rFonts w:ascii="宋体" w:hAnsi="宋体" w:eastAsia="宋体" w:cs="宋体"/>
          <w:color w:val="auto"/>
          <w:sz w:val="24"/>
          <w:szCs w:val="24"/>
          <w:highlight w:val="none"/>
        </w:rPr>
      </w:pPr>
      <w:r>
        <w:rPr>
          <w:rFonts w:ascii="宋体" w:hAnsi="宋体" w:eastAsia="宋体" w:cs="宋体"/>
          <w:color w:val="auto"/>
          <w:spacing w:val="-24"/>
          <w:sz w:val="24"/>
          <w:szCs w:val="24"/>
          <w:highlight w:val="none"/>
        </w:rPr>
        <w:t>日期：</w:t>
      </w:r>
    </w:p>
    <w:p w14:paraId="76F0B6E3">
      <w:pPr>
        <w:spacing w:line="282" w:lineRule="auto"/>
        <w:rPr>
          <w:rFonts w:ascii="Arial"/>
          <w:color w:val="auto"/>
          <w:sz w:val="21"/>
          <w:highlight w:val="none"/>
        </w:rPr>
      </w:pPr>
    </w:p>
    <w:p w14:paraId="082B12BF">
      <w:pPr>
        <w:spacing w:line="283" w:lineRule="auto"/>
        <w:rPr>
          <w:rFonts w:ascii="Arial"/>
          <w:color w:val="auto"/>
          <w:sz w:val="21"/>
          <w:highlight w:val="none"/>
        </w:rPr>
      </w:pPr>
    </w:p>
    <w:p w14:paraId="470A8E97">
      <w:pPr>
        <w:spacing w:before="78" w:line="220" w:lineRule="auto"/>
        <w:ind w:left="30"/>
        <w:rPr>
          <w:rFonts w:ascii="宋体" w:hAnsi="宋体" w:eastAsia="宋体" w:cs="宋体"/>
          <w:color w:val="auto"/>
          <w:sz w:val="24"/>
          <w:szCs w:val="24"/>
          <w:highlight w:val="none"/>
        </w:rPr>
      </w:pPr>
      <w:r>
        <w:rPr>
          <w:rFonts w:ascii="宋体" w:hAnsi="宋体" w:eastAsia="宋体" w:cs="宋体"/>
          <w:b/>
          <w:bCs/>
          <w:color w:val="auto"/>
          <w:spacing w:val="-16"/>
          <w:sz w:val="24"/>
          <w:szCs w:val="24"/>
          <w:highlight w:val="none"/>
        </w:rPr>
        <w:t>说明：</w:t>
      </w:r>
    </w:p>
    <w:p w14:paraId="08E081BA">
      <w:pPr>
        <w:spacing w:before="183" w:line="345" w:lineRule="auto"/>
        <w:ind w:left="53" w:right="24" w:firstLine="37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1.投诉人提起投诉时，应当提交投诉书和必要的证明材料，并按照被投诉</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3"/>
          <w:sz w:val="24"/>
          <w:szCs w:val="24"/>
          <w:highlight w:val="none"/>
        </w:rPr>
        <w:t>人和与投诉事项有关的供应商数量提供投诉书副本。</w:t>
      </w:r>
    </w:p>
    <w:p w14:paraId="45A15C89">
      <w:pPr>
        <w:spacing w:before="38" w:line="350" w:lineRule="auto"/>
        <w:ind w:left="50" w:right="22" w:firstLine="358"/>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2.投诉人若委托代理人进行投诉的，投诉书应按要求列明“授权代表”的</w:t>
      </w:r>
      <w:r>
        <w:rPr>
          <w:rFonts w:ascii="宋体" w:hAnsi="宋体" w:eastAsia="宋体" w:cs="宋体"/>
          <w:color w:val="auto"/>
          <w:sz w:val="24"/>
          <w:szCs w:val="24"/>
          <w:highlight w:val="none"/>
        </w:rPr>
        <w:t xml:space="preserve"> </w:t>
      </w:r>
      <w:r>
        <w:rPr>
          <w:rFonts w:ascii="宋体" w:hAnsi="宋体" w:eastAsia="宋体" w:cs="宋体"/>
          <w:b/>
          <w:bCs/>
          <w:color w:val="auto"/>
          <w:sz w:val="24"/>
          <w:szCs w:val="24"/>
          <w:highlight w:val="none"/>
        </w:rPr>
        <w:t>有关内容，并在附件中提交由投诉人签署的授权委托书。授权委托书应当载明</w:t>
      </w:r>
      <w:r>
        <w:rPr>
          <w:rFonts w:ascii="宋体" w:hAnsi="宋体" w:eastAsia="宋体" w:cs="宋体"/>
          <w:color w:val="auto"/>
          <w:spacing w:val="9"/>
          <w:sz w:val="24"/>
          <w:szCs w:val="24"/>
          <w:highlight w:val="none"/>
        </w:rPr>
        <w:t xml:space="preserve"> </w:t>
      </w:r>
      <w:r>
        <w:rPr>
          <w:rFonts w:ascii="宋体" w:hAnsi="宋体" w:eastAsia="宋体" w:cs="宋体"/>
          <w:b/>
          <w:bCs/>
          <w:color w:val="auto"/>
          <w:spacing w:val="-2"/>
          <w:sz w:val="24"/>
          <w:szCs w:val="24"/>
          <w:highlight w:val="none"/>
        </w:rPr>
        <w:t>代理人的姓名或者名称、代理事项、具体权限、期限和相关事项。</w:t>
      </w:r>
    </w:p>
    <w:p w14:paraId="311695B7">
      <w:pPr>
        <w:spacing w:before="34" w:line="346" w:lineRule="auto"/>
        <w:ind w:left="405" w:right="258" w:firstLine="5"/>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3.投诉书应简要列明质疑事项，质疑函、质疑答复等作为附</w:t>
      </w:r>
      <w:r>
        <w:rPr>
          <w:rFonts w:ascii="宋体" w:hAnsi="宋体" w:eastAsia="宋体" w:cs="宋体"/>
          <w:b/>
          <w:bCs/>
          <w:color w:val="auto"/>
          <w:spacing w:val="-4"/>
          <w:sz w:val="24"/>
          <w:szCs w:val="24"/>
          <w:highlight w:val="none"/>
        </w:rPr>
        <w:t>件材料提供。</w:t>
      </w:r>
      <w:r>
        <w:rPr>
          <w:rFonts w:ascii="宋体" w:hAnsi="宋体" w:eastAsia="宋体" w:cs="宋体"/>
          <w:color w:val="auto"/>
          <w:sz w:val="24"/>
          <w:szCs w:val="24"/>
          <w:highlight w:val="none"/>
        </w:rPr>
        <w:t xml:space="preserve"> </w:t>
      </w:r>
      <w:r>
        <w:rPr>
          <w:rFonts w:ascii="宋体" w:hAnsi="宋体" w:eastAsia="宋体" w:cs="宋体"/>
          <w:b/>
          <w:bCs/>
          <w:color w:val="auto"/>
          <w:spacing w:val="-9"/>
          <w:sz w:val="24"/>
          <w:szCs w:val="24"/>
          <w:highlight w:val="none"/>
        </w:rPr>
        <w:t>4.投诉书的投诉事项应具体、明确，</w:t>
      </w:r>
      <w:r>
        <w:rPr>
          <w:rFonts w:ascii="宋体" w:hAnsi="宋体" w:eastAsia="宋体" w:cs="宋体"/>
          <w:color w:val="auto"/>
          <w:spacing w:val="80"/>
          <w:sz w:val="24"/>
          <w:szCs w:val="24"/>
          <w:highlight w:val="none"/>
        </w:rPr>
        <w:t xml:space="preserve"> </w:t>
      </w:r>
      <w:r>
        <w:rPr>
          <w:rFonts w:ascii="宋体" w:hAnsi="宋体" w:eastAsia="宋体" w:cs="宋体"/>
          <w:b/>
          <w:bCs/>
          <w:color w:val="auto"/>
          <w:spacing w:val="-9"/>
          <w:sz w:val="24"/>
          <w:szCs w:val="24"/>
          <w:highlight w:val="none"/>
        </w:rPr>
        <w:t>并有必要的事实依据和法律依据。</w:t>
      </w:r>
    </w:p>
    <w:p w14:paraId="000637CD">
      <w:pPr>
        <w:spacing w:before="33" w:line="219" w:lineRule="auto"/>
        <w:ind w:left="41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5.投诉书的投诉请求应与投诉事项相关。</w:t>
      </w:r>
    </w:p>
    <w:p w14:paraId="48A43039">
      <w:pPr>
        <w:spacing w:before="185" w:line="344" w:lineRule="auto"/>
        <w:ind w:left="54" w:right="77" w:firstLine="354"/>
        <w:rPr>
          <w:rFonts w:ascii="宋体" w:hAnsi="宋体" w:eastAsia="宋体" w:cs="宋体"/>
          <w:color w:val="auto"/>
          <w:sz w:val="24"/>
          <w:szCs w:val="24"/>
          <w:highlight w:val="none"/>
        </w:rPr>
      </w:pPr>
      <w:r>
        <w:rPr>
          <w:rFonts w:ascii="宋体" w:hAnsi="宋体" w:eastAsia="宋体" w:cs="宋体"/>
          <w:b/>
          <w:bCs/>
          <w:color w:val="auto"/>
          <w:spacing w:val="2"/>
          <w:sz w:val="24"/>
          <w:szCs w:val="24"/>
          <w:highlight w:val="none"/>
        </w:rPr>
        <w:t>6.投诉人为法人或者其他组织的，投诉书应由法定代表人、主要负责人，</w:t>
      </w:r>
      <w:r>
        <w:rPr>
          <w:rFonts w:ascii="宋体" w:hAnsi="宋体" w:eastAsia="宋体" w:cs="宋体"/>
          <w:color w:val="auto"/>
          <w:spacing w:val="13"/>
          <w:sz w:val="24"/>
          <w:szCs w:val="24"/>
          <w:highlight w:val="none"/>
        </w:rPr>
        <w:t xml:space="preserve"> </w:t>
      </w:r>
      <w:r>
        <w:rPr>
          <w:rFonts w:ascii="宋体" w:hAnsi="宋体" w:eastAsia="宋体" w:cs="宋体"/>
          <w:b/>
          <w:bCs/>
          <w:color w:val="auto"/>
          <w:spacing w:val="-4"/>
          <w:sz w:val="24"/>
          <w:szCs w:val="24"/>
          <w:highlight w:val="none"/>
        </w:rPr>
        <w:t>或者其授权代表签字或者盖章，并加盖公章。</w:t>
      </w:r>
    </w:p>
    <w:p w14:paraId="0C6B506B">
      <w:pPr>
        <w:spacing w:line="344" w:lineRule="auto"/>
        <w:rPr>
          <w:rFonts w:ascii="宋体" w:hAnsi="宋体" w:eastAsia="宋体" w:cs="宋体"/>
          <w:color w:val="auto"/>
          <w:sz w:val="24"/>
          <w:szCs w:val="24"/>
          <w:highlight w:val="none"/>
        </w:rPr>
        <w:sectPr>
          <w:footerReference r:id="rId68" w:type="default"/>
          <w:pgSz w:w="11900" w:h="16832"/>
          <w:pgMar w:top="1430" w:right="1784" w:bottom="1187" w:left="1784" w:header="0" w:footer="980" w:gutter="0"/>
          <w:pgNumType w:fmt="decimal"/>
          <w:cols w:space="720" w:num="1"/>
        </w:sectPr>
      </w:pPr>
    </w:p>
    <w:p w14:paraId="4FC4D335">
      <w:pPr>
        <w:rPr>
          <w:rFonts w:ascii="Arial"/>
          <w:color w:val="auto"/>
          <w:sz w:val="21"/>
          <w:highlight w:val="none"/>
        </w:rPr>
      </w:pPr>
    </w:p>
    <w:p w14:paraId="769ACE20">
      <w:pPr>
        <w:rPr>
          <w:rFonts w:ascii="Arial"/>
          <w:color w:val="auto"/>
          <w:sz w:val="21"/>
          <w:highlight w:val="none"/>
        </w:rPr>
      </w:pPr>
    </w:p>
    <w:p w14:paraId="182C36D1">
      <w:pPr>
        <w:rPr>
          <w:rFonts w:ascii="Arial"/>
          <w:color w:val="auto"/>
          <w:sz w:val="21"/>
          <w:highlight w:val="none"/>
        </w:rPr>
      </w:pPr>
    </w:p>
    <w:p w14:paraId="1E31045C">
      <w:pPr>
        <w:rPr>
          <w:rFonts w:ascii="Arial"/>
          <w:color w:val="auto"/>
          <w:sz w:val="21"/>
          <w:highlight w:val="none"/>
        </w:rPr>
      </w:pPr>
    </w:p>
    <w:p w14:paraId="22E1B3AD">
      <w:pPr>
        <w:rPr>
          <w:rFonts w:ascii="Arial"/>
          <w:color w:val="auto"/>
          <w:sz w:val="21"/>
          <w:highlight w:val="none"/>
        </w:rPr>
      </w:pPr>
    </w:p>
    <w:p w14:paraId="07152904">
      <w:pPr>
        <w:rPr>
          <w:rFonts w:ascii="Arial"/>
          <w:color w:val="auto"/>
          <w:sz w:val="21"/>
          <w:highlight w:val="none"/>
        </w:rPr>
      </w:pPr>
    </w:p>
    <w:p w14:paraId="4F17A62F">
      <w:pPr>
        <w:rPr>
          <w:rFonts w:ascii="Arial"/>
          <w:color w:val="auto"/>
          <w:sz w:val="21"/>
          <w:highlight w:val="none"/>
        </w:rPr>
      </w:pPr>
    </w:p>
    <w:p w14:paraId="38C088BB">
      <w:pPr>
        <w:rPr>
          <w:rFonts w:ascii="Arial"/>
          <w:color w:val="auto"/>
          <w:sz w:val="21"/>
          <w:highlight w:val="none"/>
        </w:rPr>
      </w:pPr>
    </w:p>
    <w:p w14:paraId="7F1F6ADB">
      <w:pPr>
        <w:rPr>
          <w:rFonts w:ascii="Arial"/>
          <w:color w:val="auto"/>
          <w:sz w:val="21"/>
          <w:highlight w:val="none"/>
        </w:rPr>
      </w:pPr>
    </w:p>
    <w:p w14:paraId="235F45E6">
      <w:pPr>
        <w:rPr>
          <w:rFonts w:ascii="Arial"/>
          <w:color w:val="auto"/>
          <w:sz w:val="21"/>
          <w:highlight w:val="none"/>
        </w:rPr>
      </w:pPr>
    </w:p>
    <w:p w14:paraId="724F0FB8">
      <w:pPr>
        <w:rPr>
          <w:rFonts w:ascii="Arial"/>
          <w:color w:val="auto"/>
          <w:sz w:val="21"/>
          <w:highlight w:val="none"/>
        </w:rPr>
      </w:pPr>
    </w:p>
    <w:p w14:paraId="200C6FAB">
      <w:pPr>
        <w:rPr>
          <w:rFonts w:ascii="Arial"/>
          <w:color w:val="auto"/>
          <w:sz w:val="21"/>
          <w:highlight w:val="none"/>
        </w:rPr>
      </w:pPr>
    </w:p>
    <w:p w14:paraId="6AFB0673">
      <w:pPr>
        <w:rPr>
          <w:rFonts w:ascii="Arial"/>
          <w:color w:val="auto"/>
          <w:sz w:val="21"/>
          <w:highlight w:val="none"/>
        </w:rPr>
      </w:pPr>
    </w:p>
    <w:p w14:paraId="6A5CE321">
      <w:pPr>
        <w:rPr>
          <w:rFonts w:ascii="Arial"/>
          <w:color w:val="auto"/>
          <w:sz w:val="21"/>
          <w:highlight w:val="none"/>
        </w:rPr>
      </w:pPr>
    </w:p>
    <w:p w14:paraId="06201A31">
      <w:pPr>
        <w:rPr>
          <w:rFonts w:ascii="Arial"/>
          <w:color w:val="auto"/>
          <w:sz w:val="21"/>
          <w:highlight w:val="none"/>
        </w:rPr>
      </w:pPr>
    </w:p>
    <w:p w14:paraId="2C66BD3C">
      <w:pPr>
        <w:rPr>
          <w:rFonts w:ascii="Arial"/>
          <w:color w:val="auto"/>
          <w:sz w:val="21"/>
          <w:highlight w:val="none"/>
        </w:rPr>
      </w:pPr>
    </w:p>
    <w:p w14:paraId="19B0C57D">
      <w:pPr>
        <w:rPr>
          <w:rFonts w:ascii="Arial"/>
          <w:color w:val="auto"/>
          <w:sz w:val="21"/>
          <w:highlight w:val="none"/>
        </w:rPr>
      </w:pPr>
    </w:p>
    <w:p w14:paraId="068074AC">
      <w:pPr>
        <w:rPr>
          <w:rFonts w:ascii="Arial"/>
          <w:color w:val="auto"/>
          <w:sz w:val="21"/>
          <w:highlight w:val="none"/>
        </w:rPr>
      </w:pPr>
    </w:p>
    <w:p w14:paraId="5C359B8E">
      <w:pPr>
        <w:rPr>
          <w:rFonts w:ascii="Arial"/>
          <w:color w:val="auto"/>
          <w:sz w:val="21"/>
          <w:highlight w:val="none"/>
        </w:rPr>
      </w:pPr>
    </w:p>
    <w:p w14:paraId="556E86AF">
      <w:pPr>
        <w:rPr>
          <w:rFonts w:ascii="Arial"/>
          <w:color w:val="auto"/>
          <w:sz w:val="21"/>
          <w:highlight w:val="none"/>
        </w:rPr>
      </w:pPr>
    </w:p>
    <w:p w14:paraId="484015D4">
      <w:pPr>
        <w:rPr>
          <w:rFonts w:ascii="Arial"/>
          <w:color w:val="auto"/>
          <w:sz w:val="21"/>
          <w:highlight w:val="none"/>
        </w:rPr>
      </w:pPr>
    </w:p>
    <w:p w14:paraId="363FE202">
      <w:pPr>
        <w:rPr>
          <w:rFonts w:ascii="Arial"/>
          <w:color w:val="auto"/>
          <w:sz w:val="21"/>
          <w:highlight w:val="none"/>
        </w:rPr>
      </w:pPr>
    </w:p>
    <w:p w14:paraId="485294C7">
      <w:pPr>
        <w:rPr>
          <w:rFonts w:ascii="Arial"/>
          <w:color w:val="auto"/>
          <w:sz w:val="21"/>
          <w:highlight w:val="none"/>
        </w:rPr>
      </w:pPr>
    </w:p>
    <w:p w14:paraId="6E4EE769">
      <w:pPr>
        <w:rPr>
          <w:rFonts w:ascii="Arial"/>
          <w:color w:val="auto"/>
          <w:sz w:val="21"/>
          <w:highlight w:val="none"/>
        </w:rPr>
      </w:pPr>
    </w:p>
    <w:p w14:paraId="7DDC2160">
      <w:pPr>
        <w:rPr>
          <w:rFonts w:ascii="Arial"/>
          <w:color w:val="auto"/>
          <w:sz w:val="21"/>
          <w:highlight w:val="none"/>
        </w:rPr>
      </w:pPr>
    </w:p>
    <w:p w14:paraId="33511796">
      <w:pPr>
        <w:rPr>
          <w:rFonts w:ascii="Arial"/>
          <w:color w:val="auto"/>
          <w:sz w:val="21"/>
          <w:highlight w:val="none"/>
        </w:rPr>
      </w:pPr>
    </w:p>
    <w:p w14:paraId="716FD6B4">
      <w:pPr>
        <w:rPr>
          <w:rFonts w:ascii="Arial"/>
          <w:color w:val="auto"/>
          <w:sz w:val="21"/>
          <w:highlight w:val="none"/>
        </w:rPr>
      </w:pPr>
    </w:p>
    <w:p w14:paraId="7EFE8F0E">
      <w:pPr>
        <w:rPr>
          <w:rFonts w:ascii="Arial"/>
          <w:color w:val="auto"/>
          <w:sz w:val="21"/>
          <w:highlight w:val="none"/>
        </w:rPr>
      </w:pPr>
    </w:p>
    <w:p w14:paraId="11CD7ED2">
      <w:pPr>
        <w:rPr>
          <w:rFonts w:ascii="Arial"/>
          <w:color w:val="auto"/>
          <w:sz w:val="21"/>
          <w:highlight w:val="none"/>
        </w:rPr>
      </w:pPr>
    </w:p>
    <w:p w14:paraId="630B6A34">
      <w:pPr>
        <w:rPr>
          <w:rFonts w:ascii="Arial"/>
          <w:color w:val="auto"/>
          <w:sz w:val="21"/>
          <w:highlight w:val="none"/>
        </w:rPr>
      </w:pPr>
    </w:p>
    <w:p w14:paraId="4338C0C3">
      <w:pPr>
        <w:rPr>
          <w:rFonts w:ascii="Arial"/>
          <w:color w:val="auto"/>
          <w:sz w:val="21"/>
          <w:highlight w:val="none"/>
        </w:rPr>
      </w:pPr>
    </w:p>
    <w:p w14:paraId="2F5B25A5">
      <w:pPr>
        <w:rPr>
          <w:rFonts w:ascii="Arial"/>
          <w:color w:val="auto"/>
          <w:sz w:val="21"/>
          <w:highlight w:val="none"/>
        </w:rPr>
      </w:pPr>
    </w:p>
    <w:p w14:paraId="1B65EBE2">
      <w:pPr>
        <w:spacing w:before="139" w:line="223" w:lineRule="auto"/>
        <w:ind w:left="2526"/>
        <w:outlineLvl w:val="0"/>
        <w:rPr>
          <w:rFonts w:ascii="宋体" w:hAnsi="宋体" w:eastAsia="宋体" w:cs="宋体"/>
          <w:color w:val="auto"/>
          <w:sz w:val="43"/>
          <w:szCs w:val="43"/>
          <w:highlight w:val="none"/>
        </w:rPr>
      </w:pPr>
      <w:bookmarkStart w:id="18" w:name="bookmark13"/>
      <w:bookmarkEnd w:id="18"/>
      <w:bookmarkStart w:id="19" w:name="_Toc28555"/>
      <w:bookmarkStart w:id="20" w:name="_Toc10221"/>
      <w:r>
        <w:rPr>
          <w:rFonts w:ascii="宋体" w:hAnsi="宋体" w:eastAsia="宋体" w:cs="宋体"/>
          <w:b/>
          <w:bCs/>
          <w:color w:val="auto"/>
          <w:spacing w:val="4"/>
          <w:sz w:val="43"/>
          <w:szCs w:val="43"/>
          <w:highlight w:val="none"/>
        </w:rPr>
        <w:t>第七章</w:t>
      </w:r>
      <w:r>
        <w:rPr>
          <w:rFonts w:ascii="宋体" w:hAnsi="宋体" w:eastAsia="宋体" w:cs="宋体"/>
          <w:color w:val="auto"/>
          <w:spacing w:val="4"/>
          <w:sz w:val="43"/>
          <w:szCs w:val="43"/>
          <w:highlight w:val="none"/>
        </w:rPr>
        <w:t xml:space="preserve"> </w:t>
      </w:r>
      <w:r>
        <w:rPr>
          <w:rFonts w:ascii="宋体" w:hAnsi="宋体" w:eastAsia="宋体" w:cs="宋体"/>
          <w:b/>
          <w:bCs/>
          <w:color w:val="auto"/>
          <w:spacing w:val="4"/>
          <w:sz w:val="43"/>
          <w:szCs w:val="43"/>
          <w:highlight w:val="none"/>
        </w:rPr>
        <w:t>合同文本</w:t>
      </w:r>
      <w:bookmarkEnd w:id="19"/>
      <w:bookmarkEnd w:id="20"/>
    </w:p>
    <w:p w14:paraId="769DB41C">
      <w:pPr>
        <w:spacing w:line="223" w:lineRule="auto"/>
        <w:rPr>
          <w:rFonts w:ascii="宋体" w:hAnsi="宋体" w:eastAsia="宋体" w:cs="宋体"/>
          <w:color w:val="auto"/>
          <w:sz w:val="43"/>
          <w:szCs w:val="43"/>
          <w:highlight w:val="none"/>
        </w:rPr>
        <w:sectPr>
          <w:footerReference r:id="rId69" w:type="default"/>
          <w:pgSz w:w="11900" w:h="16832"/>
          <w:pgMar w:top="1430" w:right="1784" w:bottom="1187" w:left="1784" w:header="0" w:footer="980" w:gutter="0"/>
          <w:pgNumType w:fmt="decimal"/>
          <w:cols w:space="720" w:num="1"/>
        </w:sectPr>
      </w:pPr>
    </w:p>
    <w:p w14:paraId="321F83FD">
      <w:pPr>
        <w:spacing w:before="316" w:line="225" w:lineRule="auto"/>
        <w:ind w:left="30"/>
        <w:jc w:val="center"/>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第一节通用合同条款</w:t>
      </w:r>
    </w:p>
    <w:p w14:paraId="3EE13644">
      <w:pPr>
        <w:spacing w:line="248" w:lineRule="auto"/>
        <w:rPr>
          <w:rFonts w:ascii="Arial"/>
          <w:color w:val="auto"/>
          <w:sz w:val="21"/>
          <w:highlight w:val="none"/>
        </w:rPr>
      </w:pPr>
    </w:p>
    <w:p w14:paraId="7FA00A56">
      <w:pPr>
        <w:spacing w:line="249" w:lineRule="auto"/>
        <w:rPr>
          <w:rFonts w:ascii="Arial"/>
          <w:color w:val="auto"/>
          <w:sz w:val="21"/>
          <w:highlight w:val="none"/>
        </w:rPr>
      </w:pPr>
    </w:p>
    <w:p w14:paraId="51C48A3A">
      <w:pPr>
        <w:spacing w:before="100"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1.</w:t>
      </w:r>
      <w:r>
        <w:rPr>
          <w:rFonts w:ascii="Cambria" w:hAnsi="Cambria" w:eastAsia="Cambria" w:cs="Cambria"/>
          <w:b/>
          <w:bCs/>
          <w:color w:val="auto"/>
          <w:spacing w:val="22"/>
          <w:sz w:val="31"/>
          <w:szCs w:val="31"/>
          <w:highlight w:val="none"/>
        </w:rPr>
        <w:t xml:space="preserve">  </w:t>
      </w:r>
      <w:r>
        <w:rPr>
          <w:rFonts w:ascii="宋体" w:hAnsi="宋体" w:eastAsia="宋体" w:cs="宋体"/>
          <w:b/>
          <w:bCs/>
          <w:color w:val="auto"/>
          <w:spacing w:val="-1"/>
          <w:sz w:val="31"/>
          <w:szCs w:val="31"/>
          <w:highlight w:val="none"/>
        </w:rPr>
        <w:t>一般约定</w:t>
      </w:r>
    </w:p>
    <w:p w14:paraId="791D20A9">
      <w:pPr>
        <w:spacing w:line="248" w:lineRule="auto"/>
        <w:rPr>
          <w:rFonts w:ascii="Arial"/>
          <w:color w:val="auto"/>
          <w:sz w:val="21"/>
          <w:highlight w:val="none"/>
        </w:rPr>
      </w:pPr>
    </w:p>
    <w:p w14:paraId="764F5A91">
      <w:pPr>
        <w:spacing w:line="249" w:lineRule="auto"/>
        <w:rPr>
          <w:rFonts w:ascii="Arial"/>
          <w:color w:val="auto"/>
          <w:sz w:val="21"/>
          <w:highlight w:val="none"/>
        </w:rPr>
      </w:pPr>
    </w:p>
    <w:p w14:paraId="202BC2B6">
      <w:pPr>
        <w:spacing w:before="91" w:line="221" w:lineRule="auto"/>
        <w:ind w:left="49"/>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9"/>
          <w:sz w:val="28"/>
          <w:szCs w:val="28"/>
          <w:highlight w:val="none"/>
        </w:rPr>
        <w:t>词语定义</w:t>
      </w:r>
    </w:p>
    <w:p w14:paraId="4BA6EDC5">
      <w:pPr>
        <w:spacing w:line="295" w:lineRule="auto"/>
        <w:rPr>
          <w:rFonts w:ascii="Arial"/>
          <w:color w:val="auto"/>
          <w:sz w:val="21"/>
          <w:highlight w:val="none"/>
        </w:rPr>
      </w:pPr>
    </w:p>
    <w:p w14:paraId="51FD063F">
      <w:pPr>
        <w:spacing w:before="62" w:line="228" w:lineRule="auto"/>
        <w:ind w:left="44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通用合同条款、专用合同条款中的下列词语应具有本款所赋予的含义。</w:t>
      </w:r>
    </w:p>
    <w:p w14:paraId="2C1113DC">
      <w:pPr>
        <w:spacing w:before="138" w:line="231" w:lineRule="auto"/>
        <w:ind w:left="460"/>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1.1.1</w:t>
      </w:r>
      <w:r>
        <w:rPr>
          <w:rFonts w:ascii="宋体" w:hAnsi="宋体" w:eastAsia="宋体" w:cs="宋体"/>
          <w:color w:val="auto"/>
          <w:spacing w:val="-31"/>
          <w:sz w:val="19"/>
          <w:szCs w:val="19"/>
          <w:highlight w:val="none"/>
        </w:rPr>
        <w:t xml:space="preserve"> </w:t>
      </w:r>
      <w:r>
        <w:rPr>
          <w:rFonts w:ascii="宋体" w:hAnsi="宋体" w:eastAsia="宋体" w:cs="宋体"/>
          <w:color w:val="auto"/>
          <w:spacing w:val="1"/>
          <w:sz w:val="19"/>
          <w:szCs w:val="19"/>
          <w:highlight w:val="none"/>
        </w:rPr>
        <w:t>合同</w:t>
      </w:r>
    </w:p>
    <w:p w14:paraId="2DDE6E81">
      <w:pPr>
        <w:spacing w:before="228" w:line="325" w:lineRule="auto"/>
        <w:ind w:left="26" w:right="20" w:firstLine="433"/>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"1.1.1.1" </w:instrText>
      </w:r>
      <w:r>
        <w:rPr>
          <w:color w:val="auto"/>
          <w:highlight w:val="none"/>
        </w:rPr>
        <w:fldChar w:fldCharType="separate"/>
      </w:r>
      <w:r>
        <w:rPr>
          <w:rFonts w:ascii="宋体" w:hAnsi="宋体" w:eastAsia="宋体" w:cs="宋体"/>
          <w:color w:val="auto"/>
          <w:spacing w:val="6"/>
          <w:sz w:val="19"/>
          <w:szCs w:val="19"/>
          <w:highlight w:val="none"/>
        </w:rPr>
        <w:t>1.1.1.1</w:t>
      </w:r>
      <w:r>
        <w:rPr>
          <w:rFonts w:ascii="宋体" w:hAnsi="宋体" w:eastAsia="宋体" w:cs="宋体"/>
          <w:color w:val="auto"/>
          <w:spacing w:val="6"/>
          <w:sz w:val="19"/>
          <w:szCs w:val="19"/>
          <w:highlight w:val="none"/>
        </w:rPr>
        <w:fldChar w:fldCharType="end"/>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合同文件（或称合同</w:t>
      </w:r>
      <w:r>
        <w:rPr>
          <w:rFonts w:ascii="宋体" w:hAnsi="宋体" w:eastAsia="宋体" w:cs="宋体"/>
          <w:color w:val="auto"/>
          <w:spacing w:val="-4"/>
          <w:sz w:val="19"/>
          <w:szCs w:val="19"/>
          <w:highlight w:val="none"/>
        </w:rPr>
        <w:t>）</w:t>
      </w:r>
      <w:r>
        <w:rPr>
          <w:rFonts w:ascii="宋体" w:hAnsi="宋体" w:eastAsia="宋体" w:cs="宋体"/>
          <w:color w:val="auto"/>
          <w:spacing w:val="-53"/>
          <w:sz w:val="19"/>
          <w:szCs w:val="19"/>
          <w:highlight w:val="none"/>
        </w:rPr>
        <w:t xml:space="preserve"> </w:t>
      </w:r>
      <w:r>
        <w:rPr>
          <w:rFonts w:ascii="宋体" w:hAnsi="宋体" w:eastAsia="宋体" w:cs="宋体"/>
          <w:color w:val="auto"/>
          <w:spacing w:val="-4"/>
          <w:sz w:val="19"/>
          <w:szCs w:val="19"/>
          <w:highlight w:val="none"/>
        </w:rPr>
        <w:t>：</w:t>
      </w:r>
      <w:r>
        <w:rPr>
          <w:rFonts w:ascii="宋体" w:hAnsi="宋体" w:eastAsia="宋体" w:cs="宋体"/>
          <w:color w:val="auto"/>
          <w:spacing w:val="6"/>
          <w:sz w:val="19"/>
          <w:szCs w:val="19"/>
          <w:highlight w:val="none"/>
        </w:rPr>
        <w:t>指合同协议书、成交通知书、磋商函及磋商函附录、专用</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合同条款、通用合同条款、技术标准和要求、图纸、已标价工程量清单，以及其他合同文件。</w:t>
      </w:r>
    </w:p>
    <w:p w14:paraId="7D32C7F3">
      <w:pPr>
        <w:spacing w:before="41"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w:t>
      </w:r>
      <w:r>
        <w:rPr>
          <w:rFonts w:ascii="宋体" w:hAnsi="宋体" w:eastAsia="宋体" w:cs="宋体"/>
          <w:color w:val="auto"/>
          <w:spacing w:val="43"/>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1. 2   合同协议书：指第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1.5</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款所指的合同协议书。</w:t>
      </w:r>
    </w:p>
    <w:p w14:paraId="391C0CF7">
      <w:pPr>
        <w:spacing w:before="128"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1. 3</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成交通知书：指发包人通知承包</w:t>
      </w:r>
      <w:r>
        <w:rPr>
          <w:rFonts w:ascii="宋体" w:hAnsi="宋体" w:eastAsia="宋体" w:cs="宋体"/>
          <w:color w:val="auto"/>
          <w:spacing w:val="4"/>
          <w:sz w:val="19"/>
          <w:szCs w:val="19"/>
          <w:highlight w:val="none"/>
        </w:rPr>
        <w:t>人成交的函件。</w:t>
      </w:r>
    </w:p>
    <w:p w14:paraId="67AA81CC">
      <w:pPr>
        <w:spacing w:before="128"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29"/>
          <w:w w:val="101"/>
          <w:sz w:val="19"/>
          <w:szCs w:val="19"/>
          <w:highlight w:val="none"/>
        </w:rPr>
        <w:t xml:space="preserve"> </w:t>
      </w:r>
      <w:r>
        <w:rPr>
          <w:rFonts w:ascii="宋体" w:hAnsi="宋体" w:eastAsia="宋体" w:cs="宋体"/>
          <w:color w:val="auto"/>
          <w:spacing w:val="6"/>
          <w:sz w:val="19"/>
          <w:szCs w:val="19"/>
          <w:highlight w:val="none"/>
        </w:rPr>
        <w:t>1. 4  磋商函：指构成合同文件组成部分的由承包人填写并签署的磋商函。</w:t>
      </w:r>
    </w:p>
    <w:p w14:paraId="323BE296">
      <w:pPr>
        <w:spacing w:before="127"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42"/>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1. 5</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磋商函附录：指附在磋商函后构成合同文件的磋商函附录。</w:t>
      </w:r>
    </w:p>
    <w:p w14:paraId="748E351F">
      <w:pPr>
        <w:spacing w:before="127" w:line="290" w:lineRule="auto"/>
        <w:ind w:left="447" w:right="19" w:firstLine="13"/>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1.</w:t>
      </w:r>
      <w:r>
        <w:rPr>
          <w:rFonts w:ascii="宋体" w:hAnsi="宋体" w:eastAsia="宋体" w:cs="宋体"/>
          <w:color w:val="auto"/>
          <w:spacing w:val="42"/>
          <w:sz w:val="19"/>
          <w:szCs w:val="19"/>
          <w:highlight w:val="none"/>
        </w:rPr>
        <w:t xml:space="preserve"> </w:t>
      </w:r>
      <w:r>
        <w:rPr>
          <w:rFonts w:ascii="宋体" w:hAnsi="宋体" w:eastAsia="宋体" w:cs="宋体"/>
          <w:color w:val="auto"/>
          <w:spacing w:val="9"/>
          <w:sz w:val="19"/>
          <w:szCs w:val="19"/>
          <w:highlight w:val="none"/>
        </w:rPr>
        <w:t>1. 1. 6  技术标准和要求：指构成合同文件组成部分的名为技术标准和要求（合同技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术条款）</w:t>
      </w:r>
      <w:r>
        <w:rPr>
          <w:rFonts w:ascii="宋体" w:hAnsi="宋体" w:eastAsia="宋体" w:cs="宋体"/>
          <w:color w:val="auto"/>
          <w:spacing w:val="-41"/>
          <w:sz w:val="19"/>
          <w:szCs w:val="19"/>
          <w:highlight w:val="none"/>
        </w:rPr>
        <w:t xml:space="preserve"> </w:t>
      </w:r>
      <w:r>
        <w:rPr>
          <w:rFonts w:ascii="宋体" w:hAnsi="宋体" w:eastAsia="宋体" w:cs="宋体"/>
          <w:color w:val="auto"/>
          <w:spacing w:val="7"/>
          <w:sz w:val="19"/>
          <w:szCs w:val="19"/>
          <w:highlight w:val="none"/>
        </w:rPr>
        <w:t>的文件，包括合同双方当事人约定对其所做的</w:t>
      </w:r>
      <w:r>
        <w:rPr>
          <w:rFonts w:ascii="宋体" w:hAnsi="宋体" w:eastAsia="宋体" w:cs="宋体"/>
          <w:color w:val="auto"/>
          <w:spacing w:val="6"/>
          <w:sz w:val="19"/>
          <w:szCs w:val="19"/>
          <w:highlight w:val="none"/>
        </w:rPr>
        <w:t>修改或补充。</w:t>
      </w:r>
    </w:p>
    <w:p w14:paraId="48D38F4E">
      <w:pPr>
        <w:spacing w:before="122" w:line="319" w:lineRule="auto"/>
        <w:ind w:left="445" w:right="16" w:firstLine="1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1. 1. 1. 7</w:t>
      </w:r>
      <w:r>
        <w:rPr>
          <w:rFonts w:ascii="宋体" w:hAnsi="宋体" w:eastAsia="宋体" w:cs="宋体"/>
          <w:color w:val="auto"/>
          <w:spacing w:val="26"/>
          <w:sz w:val="19"/>
          <w:szCs w:val="19"/>
          <w:highlight w:val="none"/>
        </w:rPr>
        <w:t xml:space="preserve">  </w:t>
      </w:r>
      <w:r>
        <w:rPr>
          <w:rFonts w:ascii="宋体" w:hAnsi="宋体" w:eastAsia="宋体" w:cs="宋体"/>
          <w:color w:val="auto"/>
          <w:spacing w:val="6"/>
          <w:sz w:val="19"/>
          <w:szCs w:val="19"/>
          <w:highlight w:val="none"/>
        </w:rPr>
        <w:t>图纸：指列入合同的图纸和发包人按合同约定向承包人提供</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的施工图纸和其</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他图纸（包括配套说明和有关资料）。列入合同的图纸已成为合同文件的一部分，</w:t>
      </w:r>
      <w:r>
        <w:rPr>
          <w:rFonts w:ascii="宋体" w:hAnsi="宋体" w:eastAsia="宋体" w:cs="宋体"/>
          <w:color w:val="auto"/>
          <w:spacing w:val="-31"/>
          <w:sz w:val="19"/>
          <w:szCs w:val="19"/>
          <w:highlight w:val="none"/>
        </w:rPr>
        <w:t xml:space="preserve"> </w:t>
      </w:r>
      <w:r>
        <w:rPr>
          <w:rFonts w:ascii="宋体" w:hAnsi="宋体" w:eastAsia="宋体" w:cs="宋体"/>
          <w:color w:val="auto"/>
          <w:spacing w:val="10"/>
          <w:sz w:val="19"/>
          <w:szCs w:val="19"/>
          <w:highlight w:val="none"/>
        </w:rPr>
        <w:t>具有合</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同效力，主要用于在履行合同过程中作为衡量变更的依据，</w:t>
      </w:r>
      <w:r>
        <w:rPr>
          <w:rFonts w:ascii="宋体" w:hAnsi="宋体" w:eastAsia="宋体" w:cs="宋体"/>
          <w:color w:val="auto"/>
          <w:spacing w:val="11"/>
          <w:sz w:val="19"/>
          <w:szCs w:val="19"/>
          <w:highlight w:val="none"/>
        </w:rPr>
        <w:t>但不能直接用于施工。经发包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人确认进入合同的图纸亦成为合同文件的一部分，用于在</w:t>
      </w:r>
      <w:r>
        <w:rPr>
          <w:rFonts w:ascii="宋体" w:hAnsi="宋体" w:eastAsia="宋体" w:cs="宋体"/>
          <w:color w:val="auto"/>
          <w:spacing w:val="11"/>
          <w:sz w:val="19"/>
          <w:szCs w:val="19"/>
          <w:highlight w:val="none"/>
        </w:rPr>
        <w:t>履行合同中检验承包人是否按其</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竞标时承诺的条件进行施工的依据，</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亦不能直接用于施工。</w:t>
      </w:r>
    </w:p>
    <w:p w14:paraId="7FC56455">
      <w:pPr>
        <w:spacing w:before="88" w:line="269" w:lineRule="auto"/>
        <w:ind w:left="27" w:right="21" w:firstLine="43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 8 已标价工程量清单：指构成合同文件</w:t>
      </w:r>
      <w:r>
        <w:rPr>
          <w:rFonts w:ascii="宋体" w:hAnsi="宋体" w:eastAsia="宋体" w:cs="宋体"/>
          <w:color w:val="auto"/>
          <w:spacing w:val="6"/>
          <w:sz w:val="19"/>
          <w:szCs w:val="19"/>
          <w:highlight w:val="none"/>
        </w:rPr>
        <w:t>组成部分的由承包人按照规定的格式和要</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求填写并标明价格的工程量清单。</w:t>
      </w:r>
    </w:p>
    <w:p w14:paraId="2E2445CA">
      <w:pPr>
        <w:spacing w:before="113"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1. 9</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其他合同文件：</w:t>
      </w:r>
      <w:r>
        <w:rPr>
          <w:rFonts w:ascii="宋体" w:hAnsi="宋体" w:eastAsia="宋体" w:cs="宋体"/>
          <w:color w:val="auto"/>
          <w:spacing w:val="-27"/>
          <w:sz w:val="19"/>
          <w:szCs w:val="19"/>
          <w:highlight w:val="none"/>
        </w:rPr>
        <w:t xml:space="preserve"> </w:t>
      </w:r>
      <w:r>
        <w:rPr>
          <w:rFonts w:ascii="宋体" w:hAnsi="宋体" w:eastAsia="宋体" w:cs="宋体"/>
          <w:color w:val="auto"/>
          <w:spacing w:val="5"/>
          <w:sz w:val="19"/>
          <w:szCs w:val="19"/>
          <w:highlight w:val="none"/>
        </w:rPr>
        <w:t>指经合同双方当事</w:t>
      </w:r>
      <w:r>
        <w:rPr>
          <w:rFonts w:ascii="宋体" w:hAnsi="宋体" w:eastAsia="宋体" w:cs="宋体"/>
          <w:color w:val="auto"/>
          <w:spacing w:val="4"/>
          <w:sz w:val="19"/>
          <w:szCs w:val="19"/>
          <w:highlight w:val="none"/>
        </w:rPr>
        <w:t>人确认构成合同文件的其他文件。</w:t>
      </w:r>
    </w:p>
    <w:p w14:paraId="7A20D596">
      <w:pPr>
        <w:spacing w:before="118" w:line="229"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2"/>
          <w:sz w:val="19"/>
          <w:szCs w:val="19"/>
          <w:highlight w:val="none"/>
        </w:rPr>
        <w:t>1.2</w:t>
      </w:r>
      <w:r>
        <w:rPr>
          <w:rFonts w:ascii="宋体" w:hAnsi="宋体" w:eastAsia="宋体" w:cs="宋体"/>
          <w:color w:val="auto"/>
          <w:spacing w:val="-35"/>
          <w:sz w:val="19"/>
          <w:szCs w:val="19"/>
          <w:highlight w:val="none"/>
        </w:rPr>
        <w:t xml:space="preserve"> </w:t>
      </w:r>
      <w:r>
        <w:rPr>
          <w:rFonts w:ascii="宋体" w:hAnsi="宋体" w:eastAsia="宋体" w:cs="宋体"/>
          <w:color w:val="auto"/>
          <w:spacing w:val="2"/>
          <w:sz w:val="19"/>
          <w:szCs w:val="19"/>
          <w:highlight w:val="none"/>
        </w:rPr>
        <w:t>合同当事人和人员。</w:t>
      </w:r>
    </w:p>
    <w:p w14:paraId="7E8F3ACF">
      <w:pPr>
        <w:spacing w:before="118" w:line="228"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w:t>
      </w:r>
      <w:r>
        <w:rPr>
          <w:rFonts w:ascii="宋体" w:hAnsi="宋体" w:eastAsia="宋体" w:cs="宋体"/>
          <w:color w:val="auto"/>
          <w:spacing w:val="40"/>
          <w:sz w:val="19"/>
          <w:szCs w:val="19"/>
          <w:highlight w:val="none"/>
        </w:rPr>
        <w:t xml:space="preserve"> </w:t>
      </w:r>
      <w:r>
        <w:rPr>
          <w:rFonts w:ascii="宋体" w:hAnsi="宋体" w:eastAsia="宋体" w:cs="宋体"/>
          <w:color w:val="auto"/>
          <w:spacing w:val="2"/>
          <w:sz w:val="19"/>
          <w:szCs w:val="19"/>
          <w:highlight w:val="none"/>
        </w:rPr>
        <w:t>1.2.1</w:t>
      </w:r>
      <w:r>
        <w:rPr>
          <w:rFonts w:ascii="宋体" w:hAnsi="宋体" w:eastAsia="宋体" w:cs="宋体"/>
          <w:color w:val="auto"/>
          <w:spacing w:val="-34"/>
          <w:sz w:val="19"/>
          <w:szCs w:val="19"/>
          <w:highlight w:val="none"/>
        </w:rPr>
        <w:t xml:space="preserve"> </w:t>
      </w:r>
      <w:r>
        <w:rPr>
          <w:rFonts w:ascii="宋体" w:hAnsi="宋体" w:eastAsia="宋体" w:cs="宋体"/>
          <w:color w:val="auto"/>
          <w:spacing w:val="2"/>
          <w:sz w:val="19"/>
          <w:szCs w:val="19"/>
          <w:highlight w:val="none"/>
        </w:rPr>
        <w:t>合同当事人：</w:t>
      </w:r>
      <w:r>
        <w:rPr>
          <w:rFonts w:ascii="宋体" w:hAnsi="宋体" w:eastAsia="宋体" w:cs="宋体"/>
          <w:color w:val="auto"/>
          <w:spacing w:val="-36"/>
          <w:sz w:val="19"/>
          <w:szCs w:val="19"/>
          <w:highlight w:val="none"/>
        </w:rPr>
        <w:t xml:space="preserve"> </w:t>
      </w:r>
      <w:r>
        <w:rPr>
          <w:rFonts w:ascii="宋体" w:hAnsi="宋体" w:eastAsia="宋体" w:cs="宋体"/>
          <w:color w:val="auto"/>
          <w:spacing w:val="2"/>
          <w:sz w:val="19"/>
          <w:szCs w:val="19"/>
          <w:highlight w:val="none"/>
        </w:rPr>
        <w:t>指发包人和（或）承包人。</w:t>
      </w:r>
    </w:p>
    <w:p w14:paraId="28496E18">
      <w:pPr>
        <w:spacing w:before="115"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1.2.2</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发包人：指专用合同条款中指明并与承包人在合同协议书中签字的当</w:t>
      </w:r>
      <w:r>
        <w:rPr>
          <w:rFonts w:ascii="宋体" w:hAnsi="宋体" w:eastAsia="宋体" w:cs="宋体"/>
          <w:color w:val="auto"/>
          <w:spacing w:val="6"/>
          <w:sz w:val="19"/>
          <w:szCs w:val="19"/>
          <w:highlight w:val="none"/>
        </w:rPr>
        <w:t>事人。</w:t>
      </w:r>
    </w:p>
    <w:p w14:paraId="6E567F72">
      <w:pPr>
        <w:spacing w:before="118" w:line="228" w:lineRule="auto"/>
        <w:ind w:left="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1. 1.2.3</w:t>
      </w:r>
      <w:r>
        <w:rPr>
          <w:rFonts w:ascii="宋体" w:hAnsi="宋体" w:eastAsia="宋体" w:cs="宋体"/>
          <w:color w:val="auto"/>
          <w:spacing w:val="-36"/>
          <w:sz w:val="19"/>
          <w:szCs w:val="19"/>
          <w:highlight w:val="none"/>
        </w:rPr>
        <w:t xml:space="preserve"> </w:t>
      </w:r>
      <w:r>
        <w:rPr>
          <w:rFonts w:ascii="宋体" w:hAnsi="宋体" w:eastAsia="宋体" w:cs="宋体"/>
          <w:color w:val="auto"/>
          <w:spacing w:val="8"/>
          <w:sz w:val="19"/>
          <w:szCs w:val="19"/>
          <w:highlight w:val="none"/>
        </w:rPr>
        <w:t>承包人：指专用合同条款中指明并与发包人在合同协议书中签字</w:t>
      </w:r>
      <w:r>
        <w:rPr>
          <w:rFonts w:ascii="宋体" w:hAnsi="宋体" w:eastAsia="宋体" w:cs="宋体"/>
          <w:color w:val="auto"/>
          <w:spacing w:val="7"/>
          <w:sz w:val="19"/>
          <w:szCs w:val="19"/>
          <w:highlight w:val="none"/>
        </w:rPr>
        <w:t>的当事人。</w:t>
      </w:r>
    </w:p>
    <w:p w14:paraId="2DA0534A">
      <w:pPr>
        <w:spacing w:before="119" w:line="228"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rFonts w:ascii="宋体" w:hAnsi="宋体" w:eastAsia="宋体" w:cs="宋体"/>
          <w:color w:val="auto"/>
          <w:spacing w:val="7"/>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1.2.4</w:t>
      </w:r>
      <w:r>
        <w:rPr>
          <w:rFonts w:ascii="宋体" w:hAnsi="宋体" w:eastAsia="宋体" w:cs="宋体"/>
          <w:color w:val="auto"/>
          <w:spacing w:val="7"/>
          <w:sz w:val="19"/>
          <w:szCs w:val="19"/>
          <w:highlight w:val="none"/>
        </w:rPr>
        <w:fldChar w:fldCharType="end"/>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承包人项目经理：指承包人派</w:t>
      </w:r>
      <w:r>
        <w:rPr>
          <w:rFonts w:ascii="宋体" w:hAnsi="宋体" w:eastAsia="宋体" w:cs="宋体"/>
          <w:color w:val="auto"/>
          <w:spacing w:val="6"/>
          <w:sz w:val="19"/>
          <w:szCs w:val="19"/>
          <w:highlight w:val="none"/>
        </w:rPr>
        <w:t>驻施工场地的全权负责人。</w:t>
      </w:r>
    </w:p>
    <w:p w14:paraId="2DE3D082">
      <w:pPr>
        <w:spacing w:before="88" w:line="270" w:lineRule="auto"/>
        <w:ind w:left="26" w:right="15" w:firstLine="43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 1.2.5 分包人：指专用合同条款中指明的，从承包人处分包</w:t>
      </w:r>
      <w:r>
        <w:rPr>
          <w:rFonts w:ascii="宋体" w:hAnsi="宋体" w:eastAsia="宋体" w:cs="宋体"/>
          <w:color w:val="auto"/>
          <w:spacing w:val="7"/>
          <w:sz w:val="19"/>
          <w:szCs w:val="19"/>
          <w:highlight w:val="none"/>
        </w:rPr>
        <w:t>合同中某一部分工程, 并与</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其签订分包合同的分包人。</w:t>
      </w:r>
    </w:p>
    <w:p w14:paraId="0C2A9792">
      <w:pPr>
        <w:spacing w:before="128" w:line="296" w:lineRule="auto"/>
        <w:ind w:left="447" w:right="17" w:firstLine="1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 1.2.6  监理人：指在专用合同条款中指明的，</w:t>
      </w:r>
      <w:r>
        <w:rPr>
          <w:rFonts w:ascii="宋体" w:hAnsi="宋体" w:eastAsia="宋体" w:cs="宋体"/>
          <w:color w:val="auto"/>
          <w:spacing w:val="-51"/>
          <w:sz w:val="19"/>
          <w:szCs w:val="19"/>
          <w:highlight w:val="none"/>
        </w:rPr>
        <w:t xml:space="preserve"> </w:t>
      </w:r>
      <w:r>
        <w:rPr>
          <w:rFonts w:ascii="宋体" w:hAnsi="宋体" w:eastAsia="宋体" w:cs="宋体"/>
          <w:color w:val="auto"/>
          <w:spacing w:val="7"/>
          <w:sz w:val="19"/>
          <w:szCs w:val="19"/>
          <w:highlight w:val="none"/>
        </w:rPr>
        <w:t>受发包人</w:t>
      </w:r>
      <w:r>
        <w:rPr>
          <w:rFonts w:ascii="宋体" w:hAnsi="宋体" w:eastAsia="宋体" w:cs="宋体"/>
          <w:color w:val="auto"/>
          <w:spacing w:val="6"/>
          <w:sz w:val="19"/>
          <w:szCs w:val="19"/>
          <w:highlight w:val="none"/>
        </w:rPr>
        <w:t>委托对合同履行实施管理的 法</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人或其他组织。</w:t>
      </w:r>
    </w:p>
    <w:p w14:paraId="1DCC8A95">
      <w:pPr>
        <w:spacing w:before="129" w:line="290" w:lineRule="auto"/>
        <w:ind w:left="24" w:right="22" w:firstLine="435"/>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1. 1. 2. 7</w:t>
      </w:r>
      <w:r>
        <w:rPr>
          <w:rFonts w:ascii="宋体" w:hAnsi="宋体" w:eastAsia="宋体" w:cs="宋体"/>
          <w:color w:val="auto"/>
          <w:spacing w:val="-30"/>
          <w:sz w:val="19"/>
          <w:szCs w:val="19"/>
          <w:highlight w:val="none"/>
        </w:rPr>
        <w:t xml:space="preserve"> </w:t>
      </w:r>
      <w:r>
        <w:rPr>
          <w:rFonts w:ascii="宋体" w:hAnsi="宋体" w:eastAsia="宋体" w:cs="宋体"/>
          <w:color w:val="auto"/>
          <w:spacing w:val="4"/>
          <w:sz w:val="19"/>
          <w:szCs w:val="19"/>
          <w:highlight w:val="none"/>
        </w:rPr>
        <w:t>总监理工程师（总监） :指由监理人委派常驻施工场地对合同履行实施</w:t>
      </w:r>
      <w:r>
        <w:rPr>
          <w:rFonts w:ascii="宋体" w:hAnsi="宋体" w:eastAsia="宋体" w:cs="宋体"/>
          <w:color w:val="auto"/>
          <w:spacing w:val="3"/>
          <w:sz w:val="19"/>
          <w:szCs w:val="19"/>
          <w:highlight w:val="none"/>
        </w:rPr>
        <w:t>管理的全</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权负责人。</w:t>
      </w:r>
    </w:p>
    <w:p w14:paraId="5AF29ED2">
      <w:pPr>
        <w:spacing w:before="126" w:line="229" w:lineRule="auto"/>
        <w:ind w:left="460"/>
        <w:rPr>
          <w:rFonts w:ascii="宋体" w:hAnsi="宋体" w:eastAsia="宋体" w:cs="宋体"/>
          <w:color w:val="auto"/>
          <w:sz w:val="19"/>
          <w:szCs w:val="19"/>
          <w:highlight w:val="none"/>
        </w:rPr>
      </w:pPr>
      <w:r>
        <w:rPr>
          <w:rFonts w:ascii="宋体" w:hAnsi="宋体" w:eastAsia="宋体" w:cs="宋体"/>
          <w:color w:val="auto"/>
          <w:sz w:val="19"/>
          <w:szCs w:val="19"/>
          <w:highlight w:val="none"/>
        </w:rPr>
        <w:t>1.</w:t>
      </w:r>
      <w:r>
        <w:rPr>
          <w:rFonts w:ascii="宋体" w:hAnsi="宋体" w:eastAsia="宋体" w:cs="宋体"/>
          <w:color w:val="auto"/>
          <w:spacing w:val="29"/>
          <w:w w:val="101"/>
          <w:sz w:val="19"/>
          <w:szCs w:val="19"/>
          <w:highlight w:val="none"/>
        </w:rPr>
        <w:t xml:space="preserve"> </w:t>
      </w:r>
      <w:r>
        <w:rPr>
          <w:rFonts w:ascii="宋体" w:hAnsi="宋体" w:eastAsia="宋体" w:cs="宋体"/>
          <w:color w:val="auto"/>
          <w:sz w:val="19"/>
          <w:szCs w:val="19"/>
          <w:highlight w:val="none"/>
        </w:rPr>
        <w:t>1.</w:t>
      </w:r>
      <w:r>
        <w:rPr>
          <w:rFonts w:ascii="宋体" w:hAnsi="宋体" w:eastAsia="宋体" w:cs="宋体"/>
          <w:color w:val="auto"/>
          <w:spacing w:val="19"/>
          <w:sz w:val="19"/>
          <w:szCs w:val="19"/>
          <w:highlight w:val="none"/>
        </w:rPr>
        <w:t xml:space="preserve"> </w:t>
      </w:r>
      <w:r>
        <w:rPr>
          <w:rFonts w:ascii="宋体" w:hAnsi="宋体" w:eastAsia="宋体" w:cs="宋体"/>
          <w:color w:val="auto"/>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color w:val="auto"/>
          <w:sz w:val="19"/>
          <w:szCs w:val="19"/>
          <w:highlight w:val="none"/>
        </w:rPr>
        <w:t>工程和设备</w:t>
      </w:r>
    </w:p>
    <w:p w14:paraId="036EF3FC">
      <w:pPr>
        <w:spacing w:before="127"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w:t>
      </w:r>
      <w:r>
        <w:rPr>
          <w:rFonts w:ascii="宋体" w:hAnsi="宋体" w:eastAsia="宋体" w:cs="宋体"/>
          <w:color w:val="auto"/>
          <w:spacing w:val="42"/>
          <w:sz w:val="19"/>
          <w:szCs w:val="19"/>
          <w:highlight w:val="none"/>
        </w:rPr>
        <w:t xml:space="preserve"> </w:t>
      </w:r>
      <w:r>
        <w:rPr>
          <w:rFonts w:ascii="宋体" w:hAnsi="宋体" w:eastAsia="宋体" w:cs="宋体"/>
          <w:color w:val="auto"/>
          <w:spacing w:val="3"/>
          <w:sz w:val="19"/>
          <w:szCs w:val="19"/>
          <w:highlight w:val="none"/>
        </w:rPr>
        <w:t>1.3.</w:t>
      </w:r>
      <w:r>
        <w:rPr>
          <w:rFonts w:ascii="宋体" w:hAnsi="宋体" w:eastAsia="宋体" w:cs="宋体"/>
          <w:color w:val="auto"/>
          <w:spacing w:val="28"/>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工程：指永久工程和（或）临时工程。</w:t>
      </w:r>
    </w:p>
    <w:p w14:paraId="3D8B5F84">
      <w:pPr>
        <w:spacing w:line="228" w:lineRule="auto"/>
        <w:rPr>
          <w:rFonts w:ascii="宋体" w:hAnsi="宋体" w:eastAsia="宋体" w:cs="宋体"/>
          <w:color w:val="auto"/>
          <w:sz w:val="19"/>
          <w:szCs w:val="19"/>
          <w:highlight w:val="none"/>
        </w:rPr>
        <w:sectPr>
          <w:footerReference r:id="rId70" w:type="default"/>
          <w:pgSz w:w="11900" w:h="16832"/>
          <w:pgMar w:top="1430" w:right="1784" w:bottom="1187" w:left="1784" w:header="0" w:footer="980" w:gutter="0"/>
          <w:pgNumType w:fmt="decimal"/>
          <w:cols w:space="720" w:num="1"/>
        </w:sectPr>
      </w:pPr>
    </w:p>
    <w:p w14:paraId="4D634C19">
      <w:pPr>
        <w:spacing w:before="127"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1.3. 2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永久工程：指按合同约定建造并移交给</w:t>
      </w:r>
      <w:r>
        <w:rPr>
          <w:rFonts w:ascii="宋体" w:hAnsi="宋体" w:eastAsia="宋体" w:cs="宋体"/>
          <w:color w:val="auto"/>
          <w:spacing w:val="6"/>
          <w:sz w:val="19"/>
          <w:szCs w:val="19"/>
          <w:highlight w:val="none"/>
        </w:rPr>
        <w:t>发包人的工程，包括工程设备。</w:t>
      </w:r>
    </w:p>
    <w:p w14:paraId="4E897D41">
      <w:pPr>
        <w:spacing w:before="136" w:line="296" w:lineRule="auto"/>
        <w:ind w:left="28" w:right="73" w:firstLine="43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1. 1.3.</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3</w:t>
      </w:r>
      <w:r>
        <w:rPr>
          <w:rFonts w:ascii="宋体" w:hAnsi="宋体" w:eastAsia="宋体" w:cs="宋体"/>
          <w:color w:val="auto"/>
          <w:spacing w:val="-25"/>
          <w:sz w:val="19"/>
          <w:szCs w:val="19"/>
          <w:highlight w:val="none"/>
        </w:rPr>
        <w:t xml:space="preserve"> </w:t>
      </w:r>
      <w:r>
        <w:rPr>
          <w:rFonts w:ascii="宋体" w:hAnsi="宋体" w:eastAsia="宋体" w:cs="宋体"/>
          <w:color w:val="auto"/>
          <w:spacing w:val="7"/>
          <w:sz w:val="19"/>
          <w:szCs w:val="19"/>
          <w:highlight w:val="none"/>
        </w:rPr>
        <w:t>临时工程：指为完成合同约定的永久工程所修建</w:t>
      </w:r>
      <w:r>
        <w:rPr>
          <w:rFonts w:ascii="宋体" w:hAnsi="宋体" w:eastAsia="宋体" w:cs="宋体"/>
          <w:color w:val="auto"/>
          <w:spacing w:val="6"/>
          <w:sz w:val="19"/>
          <w:szCs w:val="19"/>
          <w:highlight w:val="none"/>
        </w:rPr>
        <w:t>的各类临时性工程，不包括施工</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设备。</w:t>
      </w:r>
    </w:p>
    <w:p w14:paraId="278ECEC9">
      <w:pPr>
        <w:spacing w:before="131" w:line="228"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"1.1.3.4" </w:instrText>
      </w:r>
      <w:r>
        <w:rPr>
          <w:color w:val="auto"/>
          <w:highlight w:val="none"/>
        </w:rPr>
        <w:fldChar w:fldCharType="separate"/>
      </w:r>
      <w:r>
        <w:rPr>
          <w:rFonts w:ascii="宋体" w:hAnsi="宋体" w:eastAsia="宋体" w:cs="宋体"/>
          <w:color w:val="auto"/>
          <w:spacing w:val="7"/>
          <w:sz w:val="19"/>
          <w:szCs w:val="19"/>
          <w:highlight w:val="none"/>
        </w:rPr>
        <w:t>1.1.3. 4</w:t>
      </w:r>
      <w:r>
        <w:rPr>
          <w:rFonts w:ascii="宋体" w:hAnsi="宋体" w:eastAsia="宋体" w:cs="宋体"/>
          <w:color w:val="auto"/>
          <w:spacing w:val="7"/>
          <w:sz w:val="19"/>
          <w:szCs w:val="19"/>
          <w:highlight w:val="none"/>
        </w:rPr>
        <w:fldChar w:fldCharType="end"/>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单位工程：指专用合同条款中指明特定范围的永久工程。</w:t>
      </w:r>
    </w:p>
    <w:p w14:paraId="659BCCF1">
      <w:pPr>
        <w:spacing w:before="131" w:line="293" w:lineRule="auto"/>
        <w:ind w:left="25" w:right="73" w:firstLine="44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1. 1.3.</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5</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工程设备：指构成或计划构成永久工程一部分的机电设备、金属结构</w:t>
      </w:r>
      <w:r>
        <w:rPr>
          <w:rFonts w:ascii="宋体" w:hAnsi="宋体" w:eastAsia="宋体" w:cs="宋体"/>
          <w:color w:val="auto"/>
          <w:spacing w:val="6"/>
          <w:sz w:val="19"/>
          <w:szCs w:val="19"/>
          <w:highlight w:val="none"/>
        </w:rPr>
        <w:t>设备、仪器</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装置及其他类似的设备和装置。</w:t>
      </w:r>
    </w:p>
    <w:p w14:paraId="22527E9D">
      <w:pPr>
        <w:spacing w:before="126" w:line="289" w:lineRule="auto"/>
        <w:ind w:left="36" w:right="80" w:firstLine="43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1. 1.3.</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6</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施工设备：指为完成合同约定的各项工作所需的设备、器具和其</w:t>
      </w:r>
      <w:r>
        <w:rPr>
          <w:rFonts w:ascii="宋体" w:hAnsi="宋体" w:eastAsia="宋体" w:cs="宋体"/>
          <w:color w:val="auto"/>
          <w:spacing w:val="6"/>
          <w:sz w:val="19"/>
          <w:szCs w:val="19"/>
          <w:highlight w:val="none"/>
        </w:rPr>
        <w:t>他物品，不包括</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临时工程和材料。</w:t>
      </w:r>
    </w:p>
    <w:p w14:paraId="345C3C6C">
      <w:pPr>
        <w:spacing w:before="126"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1.3. 7</w:t>
      </w:r>
      <w:r>
        <w:rPr>
          <w:rFonts w:ascii="宋体" w:hAnsi="宋体" w:eastAsia="宋体" w:cs="宋体"/>
          <w:color w:val="auto"/>
          <w:spacing w:val="-25"/>
          <w:sz w:val="19"/>
          <w:szCs w:val="19"/>
          <w:highlight w:val="none"/>
        </w:rPr>
        <w:t xml:space="preserve"> </w:t>
      </w:r>
      <w:r>
        <w:rPr>
          <w:rFonts w:ascii="宋体" w:hAnsi="宋体" w:eastAsia="宋体" w:cs="宋体"/>
          <w:color w:val="auto"/>
          <w:spacing w:val="7"/>
          <w:sz w:val="19"/>
          <w:szCs w:val="19"/>
          <w:highlight w:val="none"/>
        </w:rPr>
        <w:t>临时设施：指为完成合同约定的各项工</w:t>
      </w:r>
      <w:r>
        <w:rPr>
          <w:rFonts w:ascii="宋体" w:hAnsi="宋体" w:eastAsia="宋体" w:cs="宋体"/>
          <w:color w:val="auto"/>
          <w:spacing w:val="6"/>
          <w:sz w:val="19"/>
          <w:szCs w:val="19"/>
          <w:highlight w:val="none"/>
        </w:rPr>
        <w:t>作所服务的临时性生产和生活设施。</w:t>
      </w:r>
    </w:p>
    <w:p w14:paraId="3B394122">
      <w:pPr>
        <w:spacing w:before="128"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47"/>
          <w:sz w:val="19"/>
          <w:szCs w:val="19"/>
          <w:highlight w:val="none"/>
        </w:rPr>
        <w:t xml:space="preserve"> </w:t>
      </w:r>
      <w:r>
        <w:rPr>
          <w:rFonts w:ascii="宋体" w:hAnsi="宋体" w:eastAsia="宋体" w:cs="宋体"/>
          <w:color w:val="auto"/>
          <w:spacing w:val="5"/>
          <w:sz w:val="19"/>
          <w:szCs w:val="19"/>
          <w:highlight w:val="none"/>
        </w:rPr>
        <w:t>1. 3. 8</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承包人设备：指承包人自带的施工设备。</w:t>
      </w:r>
    </w:p>
    <w:p w14:paraId="0ED6B445">
      <w:pPr>
        <w:spacing w:before="125" w:line="290" w:lineRule="auto"/>
        <w:ind w:left="30" w:right="73" w:firstLine="437"/>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pacing w:val="4"/>
          <w:sz w:val="19"/>
          <w:szCs w:val="19"/>
          <w:highlight w:val="none"/>
        </w:rPr>
        <w:t>1. 3. 9</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施工场地（或称工地、现场</w:t>
      </w:r>
      <w:r>
        <w:rPr>
          <w:rFonts w:ascii="宋体" w:hAnsi="宋体" w:eastAsia="宋体" w:cs="宋体"/>
          <w:color w:val="auto"/>
          <w:spacing w:val="10"/>
          <w:sz w:val="19"/>
          <w:szCs w:val="19"/>
          <w:highlight w:val="none"/>
        </w:rPr>
        <w:t>）</w:t>
      </w:r>
      <w:r>
        <w:rPr>
          <w:rFonts w:ascii="宋体" w:hAnsi="宋体" w:eastAsia="宋体" w:cs="宋体"/>
          <w:color w:val="auto"/>
          <w:spacing w:val="45"/>
          <w:sz w:val="19"/>
          <w:szCs w:val="19"/>
          <w:highlight w:val="none"/>
        </w:rPr>
        <w:t xml:space="preserve"> </w:t>
      </w:r>
      <w:r>
        <w:rPr>
          <w:rFonts w:ascii="宋体" w:hAnsi="宋体" w:eastAsia="宋体" w:cs="宋体"/>
          <w:color w:val="auto"/>
          <w:spacing w:val="10"/>
          <w:sz w:val="19"/>
          <w:szCs w:val="19"/>
          <w:highlight w:val="none"/>
        </w:rPr>
        <w:t>：</w:t>
      </w:r>
      <w:r>
        <w:rPr>
          <w:rFonts w:ascii="宋体" w:hAnsi="宋体" w:eastAsia="宋体" w:cs="宋体"/>
          <w:color w:val="auto"/>
          <w:spacing w:val="4"/>
          <w:sz w:val="19"/>
          <w:szCs w:val="19"/>
          <w:highlight w:val="none"/>
        </w:rPr>
        <w:t>指用于合同工程施工的场所，以及在合同中指</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定作为施工场地组成部分的其他场所，包括永久占地和临时占地。</w:t>
      </w:r>
    </w:p>
    <w:p w14:paraId="203F43AA">
      <w:pPr>
        <w:spacing w:before="125"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1. 3.</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10</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永久占地：指发包人为建设本合同工程永久征用的场地。</w:t>
      </w:r>
    </w:p>
    <w:p w14:paraId="56920DDC">
      <w:pPr>
        <w:spacing w:before="132" w:line="228" w:lineRule="auto"/>
        <w:ind w:left="467"/>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"1.1.3.11" </w:instrText>
      </w:r>
      <w:r>
        <w:rPr>
          <w:color w:val="auto"/>
          <w:highlight w:val="none"/>
        </w:rPr>
        <w:fldChar w:fldCharType="separate"/>
      </w:r>
      <w:r>
        <w:rPr>
          <w:rFonts w:ascii="宋体" w:hAnsi="宋体" w:eastAsia="宋体" w:cs="宋体"/>
          <w:color w:val="auto"/>
          <w:spacing w:val="6"/>
          <w:sz w:val="19"/>
          <w:szCs w:val="19"/>
          <w:highlight w:val="none"/>
        </w:rPr>
        <w:t>1.1.3.11</w:t>
      </w:r>
      <w:r>
        <w:rPr>
          <w:rFonts w:ascii="宋体" w:hAnsi="宋体" w:eastAsia="宋体" w:cs="宋体"/>
          <w:color w:val="auto"/>
          <w:spacing w:val="6"/>
          <w:sz w:val="19"/>
          <w:szCs w:val="19"/>
          <w:highlight w:val="none"/>
        </w:rPr>
        <w:fldChar w:fldCharType="end"/>
      </w:r>
      <w:r>
        <w:rPr>
          <w:rFonts w:ascii="宋体" w:hAnsi="宋体" w:eastAsia="宋体" w:cs="宋体"/>
          <w:color w:val="auto"/>
          <w:spacing w:val="-19"/>
          <w:sz w:val="19"/>
          <w:szCs w:val="19"/>
          <w:highlight w:val="none"/>
        </w:rPr>
        <w:t xml:space="preserve"> </w:t>
      </w:r>
      <w:r>
        <w:rPr>
          <w:rFonts w:ascii="宋体" w:hAnsi="宋体" w:eastAsia="宋体" w:cs="宋体"/>
          <w:color w:val="auto"/>
          <w:spacing w:val="6"/>
          <w:sz w:val="19"/>
          <w:szCs w:val="19"/>
          <w:highlight w:val="none"/>
        </w:rPr>
        <w:t>临时占地：指发包人为建设本合同工程临时征用，并应在完工后须按合同 要求退</w:t>
      </w:r>
    </w:p>
    <w:p w14:paraId="34EE0646">
      <w:pPr>
        <w:spacing w:before="131" w:line="229" w:lineRule="auto"/>
        <w:ind w:left="2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还的场地。</w:t>
      </w:r>
    </w:p>
    <w:p w14:paraId="0AA5B11E">
      <w:pPr>
        <w:spacing w:before="40" w:line="229"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1.1.4 日期</w:t>
      </w:r>
    </w:p>
    <w:p w14:paraId="783E1D25">
      <w:pPr>
        <w:spacing w:before="98"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w:t>
      </w:r>
      <w:r>
        <w:rPr>
          <w:rFonts w:ascii="宋体" w:hAnsi="宋体" w:eastAsia="宋体" w:cs="宋体"/>
          <w:color w:val="auto"/>
          <w:spacing w:val="37"/>
          <w:sz w:val="19"/>
          <w:szCs w:val="19"/>
          <w:highlight w:val="none"/>
        </w:rPr>
        <w:t xml:space="preserve"> </w:t>
      </w:r>
      <w:r>
        <w:rPr>
          <w:rFonts w:ascii="宋体" w:hAnsi="宋体" w:eastAsia="宋体" w:cs="宋体"/>
          <w:color w:val="auto"/>
          <w:spacing w:val="3"/>
          <w:sz w:val="19"/>
          <w:szCs w:val="19"/>
          <w:highlight w:val="none"/>
        </w:rPr>
        <w:t>1.4.</w:t>
      </w:r>
      <w:r>
        <w:rPr>
          <w:rFonts w:ascii="宋体" w:hAnsi="宋体" w:eastAsia="宋体" w:cs="宋体"/>
          <w:color w:val="auto"/>
          <w:spacing w:val="28"/>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开工通知：指监理人按第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11.</w:t>
      </w:r>
      <w:r>
        <w:rPr>
          <w:rFonts w:ascii="宋体" w:hAnsi="宋体" w:eastAsia="宋体" w:cs="宋体"/>
          <w:color w:val="auto"/>
          <w:spacing w:val="30"/>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款通知承包人开工的函件。</w:t>
      </w:r>
    </w:p>
    <w:p w14:paraId="129CC8EE">
      <w:pPr>
        <w:spacing w:before="114"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38"/>
          <w:sz w:val="19"/>
          <w:szCs w:val="19"/>
          <w:highlight w:val="none"/>
        </w:rPr>
        <w:t xml:space="preserve"> </w:t>
      </w:r>
      <w:r>
        <w:rPr>
          <w:rFonts w:ascii="宋体" w:hAnsi="宋体" w:eastAsia="宋体" w:cs="宋体"/>
          <w:color w:val="auto"/>
          <w:spacing w:val="5"/>
          <w:sz w:val="19"/>
          <w:szCs w:val="19"/>
          <w:highlight w:val="none"/>
        </w:rPr>
        <w:t>1.4.2</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开工日期：指监理人按第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11.</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款发出的开工通知中写明的开工日期。</w:t>
      </w:r>
    </w:p>
    <w:p w14:paraId="6CCF84BD">
      <w:pPr>
        <w:spacing w:before="113" w:line="283" w:lineRule="auto"/>
        <w:ind w:left="25" w:firstLine="43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1. 1.4.3</w:t>
      </w:r>
      <w:r>
        <w:rPr>
          <w:rFonts w:ascii="宋体" w:hAnsi="宋体" w:eastAsia="宋体" w:cs="宋体"/>
          <w:color w:val="auto"/>
          <w:spacing w:val="-27"/>
          <w:sz w:val="19"/>
          <w:szCs w:val="19"/>
          <w:highlight w:val="none"/>
        </w:rPr>
        <w:t xml:space="preserve"> </w:t>
      </w:r>
      <w:r>
        <w:rPr>
          <w:rFonts w:ascii="宋体" w:hAnsi="宋体" w:eastAsia="宋体" w:cs="宋体"/>
          <w:color w:val="auto"/>
          <w:spacing w:val="5"/>
          <w:sz w:val="19"/>
          <w:szCs w:val="19"/>
          <w:highlight w:val="none"/>
        </w:rPr>
        <w:t>工期：指承包人在磋商函中承诺的完成合同工程所需的期限，</w:t>
      </w:r>
      <w:r>
        <w:rPr>
          <w:rFonts w:ascii="宋体" w:hAnsi="宋体" w:eastAsia="宋体" w:cs="宋体"/>
          <w:color w:val="auto"/>
          <w:spacing w:val="-55"/>
          <w:sz w:val="19"/>
          <w:szCs w:val="19"/>
          <w:highlight w:val="none"/>
        </w:rPr>
        <w:t xml:space="preserve"> </w:t>
      </w:r>
      <w:r>
        <w:rPr>
          <w:rFonts w:ascii="宋体" w:hAnsi="宋体" w:eastAsia="宋体" w:cs="宋体"/>
          <w:color w:val="auto"/>
          <w:spacing w:val="5"/>
          <w:sz w:val="19"/>
          <w:szCs w:val="19"/>
          <w:highlight w:val="none"/>
        </w:rPr>
        <w:t>包括按第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11.3 款、</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11. 4</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款和第</w:t>
      </w:r>
      <w:r>
        <w:rPr>
          <w:rFonts w:ascii="宋体" w:hAnsi="宋体" w:eastAsia="宋体" w:cs="宋体"/>
          <w:color w:val="auto"/>
          <w:spacing w:val="-23"/>
          <w:sz w:val="19"/>
          <w:szCs w:val="19"/>
          <w:highlight w:val="none"/>
        </w:rPr>
        <w:t xml:space="preserve"> </w:t>
      </w:r>
      <w:r>
        <w:rPr>
          <w:rFonts w:ascii="宋体" w:hAnsi="宋体" w:eastAsia="宋体" w:cs="宋体"/>
          <w:color w:val="auto"/>
          <w:spacing w:val="3"/>
          <w:sz w:val="19"/>
          <w:szCs w:val="19"/>
          <w:highlight w:val="none"/>
        </w:rPr>
        <w:t>11. 6</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款约定所作的变更。</w:t>
      </w:r>
    </w:p>
    <w:p w14:paraId="5B05257D">
      <w:pPr>
        <w:spacing w:before="134" w:line="296" w:lineRule="auto"/>
        <w:ind w:left="39" w:right="64" w:firstLine="427"/>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1.4.4  竣工日期：即合同工程完工日</w:t>
      </w:r>
      <w:r>
        <w:rPr>
          <w:rFonts w:ascii="宋体" w:hAnsi="宋体" w:eastAsia="宋体" w:cs="宋体"/>
          <w:color w:val="auto"/>
          <w:spacing w:val="3"/>
          <w:sz w:val="19"/>
          <w:szCs w:val="19"/>
          <w:highlight w:val="none"/>
        </w:rPr>
        <w:t>期，指第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3"/>
          <w:sz w:val="19"/>
          <w:szCs w:val="19"/>
          <w:highlight w:val="none"/>
        </w:rPr>
        <w:t>1.1.</w:t>
      </w:r>
      <w:r>
        <w:rPr>
          <w:rFonts w:ascii="宋体" w:hAnsi="宋体" w:eastAsia="宋体" w:cs="宋体"/>
          <w:color w:val="auto"/>
          <w:spacing w:val="-36"/>
          <w:sz w:val="19"/>
          <w:szCs w:val="19"/>
          <w:highlight w:val="none"/>
        </w:rPr>
        <w:t xml:space="preserve"> </w:t>
      </w:r>
      <w:r>
        <w:rPr>
          <w:rFonts w:ascii="宋体" w:hAnsi="宋体" w:eastAsia="宋体" w:cs="宋体"/>
          <w:color w:val="auto"/>
          <w:spacing w:val="3"/>
          <w:sz w:val="19"/>
          <w:szCs w:val="19"/>
          <w:highlight w:val="none"/>
        </w:rPr>
        <w:t>4.</w:t>
      </w:r>
      <w:r>
        <w:rPr>
          <w:rFonts w:ascii="宋体" w:hAnsi="宋体" w:eastAsia="宋体" w:cs="宋体"/>
          <w:color w:val="auto"/>
          <w:spacing w:val="-31"/>
          <w:sz w:val="19"/>
          <w:szCs w:val="19"/>
          <w:highlight w:val="none"/>
        </w:rPr>
        <w:t xml:space="preserve"> </w:t>
      </w:r>
      <w:r>
        <w:rPr>
          <w:rFonts w:ascii="宋体" w:hAnsi="宋体" w:eastAsia="宋体" w:cs="宋体"/>
          <w:color w:val="auto"/>
          <w:spacing w:val="3"/>
          <w:sz w:val="19"/>
          <w:szCs w:val="19"/>
          <w:highlight w:val="none"/>
        </w:rPr>
        <w:t>3 目约定工期届满时的日期。 实</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际完工时间以合同工程完工证书中写明的日期为准。</w:t>
      </w:r>
    </w:p>
    <w:p w14:paraId="171F1E03">
      <w:pPr>
        <w:spacing w:before="140" w:line="294" w:lineRule="auto"/>
        <w:ind w:left="25" w:right="67" w:firstLine="441"/>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1.4.6  缺陷责任期：</w:t>
      </w:r>
      <w:r>
        <w:rPr>
          <w:rFonts w:ascii="宋体" w:hAnsi="宋体" w:eastAsia="宋体" w:cs="宋体"/>
          <w:color w:val="auto"/>
          <w:spacing w:val="-40"/>
          <w:sz w:val="19"/>
          <w:szCs w:val="19"/>
          <w:highlight w:val="none"/>
        </w:rPr>
        <w:t xml:space="preserve"> </w:t>
      </w:r>
      <w:r>
        <w:rPr>
          <w:rFonts w:ascii="宋体" w:hAnsi="宋体" w:eastAsia="宋体" w:cs="宋体"/>
          <w:color w:val="auto"/>
          <w:spacing w:val="5"/>
          <w:sz w:val="19"/>
          <w:szCs w:val="19"/>
          <w:highlight w:val="none"/>
        </w:rPr>
        <w:t>即工程质量</w:t>
      </w:r>
      <w:r>
        <w:rPr>
          <w:rFonts w:ascii="宋体" w:hAnsi="宋体" w:eastAsia="宋体" w:cs="宋体"/>
          <w:color w:val="auto"/>
          <w:spacing w:val="4"/>
          <w:sz w:val="19"/>
          <w:szCs w:val="19"/>
          <w:highlight w:val="none"/>
        </w:rPr>
        <w:t>保修期，指履行第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4"/>
          <w:sz w:val="19"/>
          <w:szCs w:val="19"/>
          <w:highlight w:val="none"/>
        </w:rPr>
        <w:t>19.</w:t>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款约定的缺陷责任的期限, 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括根据第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5"/>
          <w:sz w:val="19"/>
          <w:szCs w:val="19"/>
          <w:highlight w:val="none"/>
        </w:rPr>
        <w:t>19. 3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款约定所作的延长，</w:t>
      </w:r>
      <w:r>
        <w:rPr>
          <w:rFonts w:ascii="宋体" w:hAnsi="宋体" w:eastAsia="宋体" w:cs="宋体"/>
          <w:color w:val="auto"/>
          <w:spacing w:val="-42"/>
          <w:sz w:val="19"/>
          <w:szCs w:val="19"/>
          <w:highlight w:val="none"/>
        </w:rPr>
        <w:t xml:space="preserve"> </w:t>
      </w:r>
      <w:r>
        <w:rPr>
          <w:rFonts w:ascii="宋体" w:hAnsi="宋体" w:eastAsia="宋体" w:cs="宋体"/>
          <w:color w:val="auto"/>
          <w:spacing w:val="5"/>
          <w:sz w:val="19"/>
          <w:szCs w:val="19"/>
          <w:highlight w:val="none"/>
        </w:rPr>
        <w:t>具体期限由专用合同条款约定。</w:t>
      </w:r>
    </w:p>
    <w:p w14:paraId="3463A6F4">
      <w:pPr>
        <w:spacing w:before="125" w:line="229"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"1.1.4.6" </w:instrText>
      </w:r>
      <w:r>
        <w:rPr>
          <w:color w:val="auto"/>
          <w:highlight w:val="none"/>
        </w:rPr>
        <w:fldChar w:fldCharType="separate"/>
      </w:r>
      <w:r>
        <w:rPr>
          <w:rFonts w:ascii="宋体" w:hAnsi="宋体" w:eastAsia="宋体" w:cs="宋体"/>
          <w:color w:val="auto"/>
          <w:spacing w:val="4"/>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4"/>
          <w:sz w:val="19"/>
          <w:szCs w:val="19"/>
          <w:highlight w:val="none"/>
        </w:rPr>
        <w:t>1.4.6</w:t>
      </w:r>
      <w:r>
        <w:rPr>
          <w:rFonts w:ascii="宋体" w:hAnsi="宋体" w:eastAsia="宋体" w:cs="宋体"/>
          <w:color w:val="auto"/>
          <w:spacing w:val="4"/>
          <w:sz w:val="19"/>
          <w:szCs w:val="19"/>
          <w:highlight w:val="none"/>
        </w:rPr>
        <w:fldChar w:fldCharType="end"/>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基准日期：指竞标截止时间前</w:t>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4"/>
          <w:sz w:val="19"/>
          <w:szCs w:val="19"/>
          <w:highlight w:val="none"/>
        </w:rPr>
        <w:t>天的日</w:t>
      </w:r>
      <w:r>
        <w:rPr>
          <w:rFonts w:ascii="宋体" w:hAnsi="宋体" w:eastAsia="宋体" w:cs="宋体"/>
          <w:color w:val="auto"/>
          <w:spacing w:val="3"/>
          <w:sz w:val="19"/>
          <w:szCs w:val="19"/>
          <w:highlight w:val="none"/>
        </w:rPr>
        <w:t>期。</w:t>
      </w:r>
    </w:p>
    <w:p w14:paraId="24D7C86B">
      <w:pPr>
        <w:spacing w:before="125" w:line="289" w:lineRule="auto"/>
        <w:ind w:left="60" w:right="67" w:firstLine="400"/>
        <w:rPr>
          <w:rFonts w:ascii="宋体" w:hAnsi="宋体" w:eastAsia="宋体" w:cs="宋体"/>
          <w:color w:val="auto"/>
          <w:sz w:val="10"/>
          <w:szCs w:val="10"/>
          <w:highlight w:val="none"/>
        </w:rPr>
      </w:pPr>
      <w:r>
        <w:rPr>
          <w:rFonts w:ascii="宋体" w:hAnsi="宋体" w:eastAsia="宋体" w:cs="宋体"/>
          <w:color w:val="auto"/>
          <w:spacing w:val="8"/>
          <w:sz w:val="19"/>
          <w:szCs w:val="19"/>
          <w:highlight w:val="none"/>
        </w:rPr>
        <w:t>1. 1.4.7 天：除特别指明外，指日历天。合同中按天计算时间</w:t>
      </w:r>
      <w:r>
        <w:rPr>
          <w:rFonts w:ascii="宋体" w:hAnsi="宋体" w:eastAsia="宋体" w:cs="宋体"/>
          <w:color w:val="auto"/>
          <w:spacing w:val="7"/>
          <w:sz w:val="19"/>
          <w:szCs w:val="19"/>
          <w:highlight w:val="none"/>
        </w:rPr>
        <w:t>的，开始当天不计入, 从次</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日开始计算。期限最后一天的截止时间为当天</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24：00</w:t>
      </w:r>
      <w:r>
        <w:rPr>
          <w:rFonts w:ascii="宋体" w:hAnsi="宋体" w:eastAsia="宋体" w:cs="宋体"/>
          <w:color w:val="auto"/>
          <w:spacing w:val="6"/>
          <w:sz w:val="10"/>
          <w:szCs w:val="10"/>
          <w:highlight w:val="none"/>
        </w:rPr>
        <w:t>o</w:t>
      </w:r>
    </w:p>
    <w:p w14:paraId="7C4DEAF2">
      <w:pPr>
        <w:spacing w:before="125" w:line="227"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1.1.5</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合同价格和费用</w:t>
      </w:r>
    </w:p>
    <w:p w14:paraId="270BFF9E">
      <w:pPr>
        <w:spacing w:before="126" w:line="335" w:lineRule="auto"/>
        <w:ind w:left="31" w:right="73" w:firstLine="436"/>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"1.1.5.1" </w:instrText>
      </w:r>
      <w:r>
        <w:rPr>
          <w:color w:val="auto"/>
          <w:highlight w:val="none"/>
        </w:rPr>
        <w:fldChar w:fldCharType="separate"/>
      </w:r>
      <w:r>
        <w:rPr>
          <w:rFonts w:ascii="宋体" w:hAnsi="宋体" w:eastAsia="宋体" w:cs="宋体"/>
          <w:color w:val="auto"/>
          <w:spacing w:val="6"/>
          <w:sz w:val="19"/>
          <w:szCs w:val="19"/>
          <w:highlight w:val="none"/>
        </w:rPr>
        <w:t>1.1.5.1</w:t>
      </w:r>
      <w:r>
        <w:rPr>
          <w:rFonts w:ascii="宋体" w:hAnsi="宋体" w:eastAsia="宋体" w:cs="宋体"/>
          <w:color w:val="auto"/>
          <w:spacing w:val="6"/>
          <w:sz w:val="19"/>
          <w:szCs w:val="19"/>
          <w:highlight w:val="none"/>
        </w:rPr>
        <w:fldChar w:fldCharType="end"/>
      </w:r>
      <w:r>
        <w:rPr>
          <w:rFonts w:ascii="宋体" w:hAnsi="宋体" w:eastAsia="宋体" w:cs="宋体"/>
          <w:color w:val="auto"/>
          <w:spacing w:val="-19"/>
          <w:sz w:val="19"/>
          <w:szCs w:val="19"/>
          <w:highlight w:val="none"/>
        </w:rPr>
        <w:t xml:space="preserve"> </w:t>
      </w:r>
      <w:r>
        <w:rPr>
          <w:rFonts w:ascii="宋体" w:hAnsi="宋体" w:eastAsia="宋体" w:cs="宋体"/>
          <w:color w:val="auto"/>
          <w:spacing w:val="6"/>
          <w:sz w:val="19"/>
          <w:szCs w:val="19"/>
          <w:highlight w:val="none"/>
        </w:rPr>
        <w:t>签约合同价：指签定合同时合同协议书中写明的，包括了暂列金额、暂估价的合同</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总金额。</w:t>
      </w:r>
    </w:p>
    <w:p w14:paraId="455D619E">
      <w:pPr>
        <w:spacing w:before="31" w:line="335" w:lineRule="auto"/>
        <w:ind w:left="25" w:right="73" w:firstLine="44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1.1.5. 2</w:t>
      </w:r>
      <w:r>
        <w:rPr>
          <w:rFonts w:ascii="宋体" w:hAnsi="宋体" w:eastAsia="宋体" w:cs="宋体"/>
          <w:color w:val="auto"/>
          <w:spacing w:val="-10"/>
          <w:sz w:val="19"/>
          <w:szCs w:val="19"/>
          <w:highlight w:val="none"/>
        </w:rPr>
        <w:t xml:space="preserve"> </w:t>
      </w:r>
      <w:r>
        <w:rPr>
          <w:rFonts w:ascii="宋体" w:hAnsi="宋体" w:eastAsia="宋体" w:cs="宋体"/>
          <w:color w:val="auto"/>
          <w:spacing w:val="8"/>
          <w:sz w:val="19"/>
          <w:szCs w:val="19"/>
          <w:highlight w:val="none"/>
        </w:rPr>
        <w:t>合同价格：指承包人按合同约定完成了包括缺陷责任期内的全部承包工作后，发</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包人应付给承包人的金额，包括在履行合同过程中按合同约定进行的变更</w:t>
      </w:r>
      <w:r>
        <w:rPr>
          <w:rFonts w:ascii="宋体" w:hAnsi="宋体" w:eastAsia="宋体" w:cs="宋体"/>
          <w:color w:val="auto"/>
          <w:spacing w:val="8"/>
          <w:sz w:val="19"/>
          <w:szCs w:val="19"/>
          <w:highlight w:val="none"/>
        </w:rPr>
        <w:t>和调整。</w:t>
      </w:r>
    </w:p>
    <w:p w14:paraId="0632FACC">
      <w:pPr>
        <w:spacing w:before="31" w:line="335" w:lineRule="auto"/>
        <w:ind w:left="42" w:right="73" w:firstLine="42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1.1.5. 3 费用：指为履行合同所发生的或将要发生的所有</w:t>
      </w:r>
      <w:r>
        <w:rPr>
          <w:rFonts w:ascii="宋体" w:hAnsi="宋体" w:eastAsia="宋体" w:cs="宋体"/>
          <w:color w:val="auto"/>
          <w:spacing w:val="6"/>
          <w:sz w:val="19"/>
          <w:szCs w:val="19"/>
          <w:highlight w:val="none"/>
        </w:rPr>
        <w:t>合理开支，</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包括管理费和应分摊</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的其他费用，但不包括利润。</w:t>
      </w:r>
    </w:p>
    <w:p w14:paraId="4802D3A1">
      <w:pPr>
        <w:spacing w:before="36" w:line="313" w:lineRule="auto"/>
        <w:ind w:left="27" w:right="72" w:firstLine="45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1.5.4</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暂列金额：指已标价工程量清</w:t>
      </w:r>
      <w:r>
        <w:rPr>
          <w:rFonts w:ascii="宋体" w:hAnsi="宋体" w:eastAsia="宋体" w:cs="宋体"/>
          <w:color w:val="auto"/>
          <w:spacing w:val="6"/>
          <w:sz w:val="19"/>
          <w:szCs w:val="19"/>
          <w:highlight w:val="none"/>
        </w:rPr>
        <w:t>单中所列的暂列金额，用于在签订协议书时尚 未确</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定或不可预见变更的施工及其所需材料、工程设备、服务等的金额，包括以计</w:t>
      </w:r>
      <w:r>
        <w:rPr>
          <w:rFonts w:ascii="宋体" w:hAnsi="宋体" w:eastAsia="宋体" w:cs="宋体"/>
          <w:color w:val="auto"/>
          <w:spacing w:val="11"/>
          <w:sz w:val="19"/>
          <w:szCs w:val="19"/>
          <w:highlight w:val="none"/>
        </w:rPr>
        <w:t>日工方式支付的</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金额。</w:t>
      </w:r>
    </w:p>
    <w:p w14:paraId="2B0755EB">
      <w:pPr>
        <w:spacing w:before="137" w:line="227" w:lineRule="auto"/>
        <w:ind w:left="47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1. 1.5.5</w:t>
      </w:r>
      <w:r>
        <w:rPr>
          <w:rFonts w:ascii="宋体" w:hAnsi="宋体" w:eastAsia="宋体" w:cs="宋体"/>
          <w:color w:val="auto"/>
          <w:spacing w:val="-22"/>
          <w:sz w:val="19"/>
          <w:szCs w:val="19"/>
          <w:highlight w:val="none"/>
        </w:rPr>
        <w:t xml:space="preserve"> </w:t>
      </w:r>
      <w:r>
        <w:rPr>
          <w:rFonts w:ascii="宋体" w:hAnsi="宋体" w:eastAsia="宋体" w:cs="宋体"/>
          <w:color w:val="auto"/>
          <w:spacing w:val="8"/>
          <w:sz w:val="19"/>
          <w:szCs w:val="19"/>
          <w:highlight w:val="none"/>
        </w:rPr>
        <w:t>暂估价：指发包人在工程量清单中给定的用于支付必然发生但暂时不能确定价格</w:t>
      </w:r>
    </w:p>
    <w:p w14:paraId="53901143">
      <w:pPr>
        <w:spacing w:line="227" w:lineRule="auto"/>
        <w:rPr>
          <w:rFonts w:ascii="宋体" w:hAnsi="宋体" w:eastAsia="宋体" w:cs="宋体"/>
          <w:color w:val="auto"/>
          <w:sz w:val="19"/>
          <w:szCs w:val="19"/>
          <w:highlight w:val="none"/>
        </w:rPr>
        <w:sectPr>
          <w:footerReference r:id="rId71" w:type="default"/>
          <w:pgSz w:w="11900" w:h="16832"/>
          <w:pgMar w:top="1430" w:right="1733" w:bottom="1187" w:left="1784" w:header="0" w:footer="980" w:gutter="0"/>
          <w:pgNumType w:fmt="decimal"/>
          <w:cols w:space="720" w:num="1"/>
        </w:sectPr>
      </w:pPr>
    </w:p>
    <w:p w14:paraId="329FE090">
      <w:pPr>
        <w:spacing w:before="135" w:line="228" w:lineRule="auto"/>
        <w:ind w:left="42"/>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的材料、设备以及专业工程的金额。</w:t>
      </w:r>
    </w:p>
    <w:p w14:paraId="2D6ADDB9">
      <w:pPr>
        <w:spacing w:before="140" w:line="348" w:lineRule="auto"/>
        <w:ind w:left="26" w:right="20" w:firstLine="453"/>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"1.1.5.6" </w:instrText>
      </w:r>
      <w:r>
        <w:rPr>
          <w:color w:val="auto"/>
          <w:highlight w:val="none"/>
        </w:rPr>
        <w:fldChar w:fldCharType="separate"/>
      </w:r>
      <w:r>
        <w:rPr>
          <w:rFonts w:ascii="宋体" w:hAnsi="宋体" w:eastAsia="宋体" w:cs="宋体"/>
          <w:color w:val="auto"/>
          <w:spacing w:val="7"/>
          <w:sz w:val="19"/>
          <w:szCs w:val="19"/>
          <w:highlight w:val="none"/>
        </w:rPr>
        <w:t>1.1.5.</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6</w:t>
      </w:r>
      <w:r>
        <w:rPr>
          <w:rFonts w:ascii="宋体" w:hAnsi="宋体" w:eastAsia="宋体" w:cs="宋体"/>
          <w:color w:val="auto"/>
          <w:spacing w:val="7"/>
          <w:sz w:val="19"/>
          <w:szCs w:val="19"/>
          <w:highlight w:val="none"/>
        </w:rPr>
        <w:fldChar w:fldCharType="end"/>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 xml:space="preserve">计日工：指对零星工作采取的一种计价方式，按合同中的计日工子目及其单 </w:t>
      </w:r>
      <w:r>
        <w:rPr>
          <w:rFonts w:ascii="宋体" w:hAnsi="宋体" w:eastAsia="宋体" w:cs="宋体"/>
          <w:color w:val="auto"/>
          <w:spacing w:val="6"/>
          <w:sz w:val="19"/>
          <w:szCs w:val="19"/>
          <w:highlight w:val="none"/>
        </w:rPr>
        <w:t>价计</w:t>
      </w:r>
      <w:r>
        <w:rPr>
          <w:rFonts w:ascii="宋体" w:hAnsi="宋体" w:eastAsia="宋体" w:cs="宋体"/>
          <w:color w:val="auto"/>
          <w:sz w:val="19"/>
          <w:szCs w:val="19"/>
          <w:highlight w:val="none"/>
        </w:rPr>
        <w:t xml:space="preserve"> </w:t>
      </w:r>
      <w:r>
        <w:rPr>
          <w:rFonts w:ascii="宋体" w:hAnsi="宋体" w:eastAsia="宋体" w:cs="宋体"/>
          <w:color w:val="auto"/>
          <w:spacing w:val="-1"/>
          <w:sz w:val="19"/>
          <w:szCs w:val="19"/>
          <w:highlight w:val="none"/>
        </w:rPr>
        <w:t>价付款。</w:t>
      </w:r>
    </w:p>
    <w:p w14:paraId="65B148AC">
      <w:pPr>
        <w:spacing w:before="34" w:line="356" w:lineRule="auto"/>
        <w:ind w:left="38" w:right="21" w:firstLine="441"/>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11"/>
          <w:sz w:val="19"/>
          <w:szCs w:val="19"/>
          <w:highlight w:val="none"/>
        </w:rPr>
        <w:t xml:space="preserve"> </w:t>
      </w:r>
      <w:r>
        <w:rPr>
          <w:rFonts w:ascii="宋体" w:hAnsi="宋体" w:eastAsia="宋体" w:cs="宋体"/>
          <w:color w:val="auto"/>
          <w:spacing w:val="5"/>
          <w:sz w:val="19"/>
          <w:szCs w:val="19"/>
          <w:highlight w:val="none"/>
        </w:rPr>
        <w:t>1.5.7</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质量保证金(或称保留金)：指按第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17.4.1</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项约定用于保证在缺陷责任期内履行缺</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陷修复义务的金额。</w:t>
      </w:r>
    </w:p>
    <w:p w14:paraId="5DE0FA5B">
      <w:pPr>
        <w:spacing w:before="64" w:line="229" w:lineRule="auto"/>
        <w:ind w:left="479"/>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1.1.6</w:t>
      </w:r>
      <w:r>
        <w:rPr>
          <w:rFonts w:ascii="宋体" w:hAnsi="宋体" w:eastAsia="宋体" w:cs="宋体"/>
          <w:color w:val="auto"/>
          <w:spacing w:val="-31"/>
          <w:sz w:val="19"/>
          <w:szCs w:val="19"/>
          <w:highlight w:val="none"/>
        </w:rPr>
        <w:t xml:space="preserve"> </w:t>
      </w:r>
      <w:r>
        <w:rPr>
          <w:rFonts w:ascii="宋体" w:hAnsi="宋体" w:eastAsia="宋体" w:cs="宋体"/>
          <w:color w:val="auto"/>
          <w:spacing w:val="1"/>
          <w:sz w:val="19"/>
          <w:szCs w:val="19"/>
          <w:highlight w:val="none"/>
        </w:rPr>
        <w:t>其他</w:t>
      </w:r>
    </w:p>
    <w:p w14:paraId="29BBA464">
      <w:pPr>
        <w:spacing w:before="275" w:line="228" w:lineRule="auto"/>
        <w:ind w:left="479"/>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"1.1.6.1" </w:instrText>
      </w:r>
      <w:r>
        <w:rPr>
          <w:color w:val="auto"/>
          <w:highlight w:val="none"/>
        </w:rPr>
        <w:fldChar w:fldCharType="separate"/>
      </w:r>
      <w:r>
        <w:rPr>
          <w:rFonts w:ascii="宋体" w:hAnsi="宋体" w:eastAsia="宋体" w:cs="宋体"/>
          <w:color w:val="auto"/>
          <w:spacing w:val="7"/>
          <w:sz w:val="19"/>
          <w:szCs w:val="19"/>
          <w:highlight w:val="none"/>
        </w:rPr>
        <w:t>1.1.6.1</w:t>
      </w:r>
      <w:r>
        <w:rPr>
          <w:rFonts w:ascii="宋体" w:hAnsi="宋体" w:eastAsia="宋体" w:cs="宋体"/>
          <w:color w:val="auto"/>
          <w:spacing w:val="7"/>
          <w:sz w:val="19"/>
          <w:szCs w:val="19"/>
          <w:highlight w:val="none"/>
        </w:rPr>
        <w:fldChar w:fldCharType="end"/>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书面形式：指合同文件、信函、电报、传真等可以有形地表现所载内容的形式。</w:t>
      </w:r>
    </w:p>
    <w:p w14:paraId="07383F3A">
      <w:pPr>
        <w:spacing w:before="187"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1.2</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8"/>
          <w:sz w:val="28"/>
          <w:szCs w:val="28"/>
          <w:highlight w:val="none"/>
        </w:rPr>
        <w:t>语言文字</w:t>
      </w:r>
    </w:p>
    <w:p w14:paraId="7D12BB07">
      <w:pPr>
        <w:spacing w:line="309" w:lineRule="auto"/>
        <w:rPr>
          <w:rFonts w:ascii="Arial"/>
          <w:color w:val="auto"/>
          <w:sz w:val="21"/>
          <w:highlight w:val="none"/>
        </w:rPr>
      </w:pPr>
    </w:p>
    <w:p w14:paraId="4B169891">
      <w:pPr>
        <w:spacing w:before="62" w:line="228" w:lineRule="auto"/>
        <w:ind w:left="45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除专用术语外，</w:t>
      </w:r>
      <w:r>
        <w:rPr>
          <w:rFonts w:ascii="宋体" w:hAnsi="宋体" w:eastAsia="宋体" w:cs="宋体"/>
          <w:color w:val="auto"/>
          <w:spacing w:val="-54"/>
          <w:sz w:val="19"/>
          <w:szCs w:val="19"/>
          <w:highlight w:val="none"/>
        </w:rPr>
        <w:t xml:space="preserve"> </w:t>
      </w:r>
      <w:r>
        <w:rPr>
          <w:rFonts w:ascii="宋体" w:hAnsi="宋体" w:eastAsia="宋体" w:cs="宋体"/>
          <w:color w:val="auto"/>
          <w:spacing w:val="8"/>
          <w:sz w:val="19"/>
          <w:szCs w:val="19"/>
          <w:highlight w:val="none"/>
        </w:rPr>
        <w:t>合同使用的语言文字为中文。必要时专用术语应</w:t>
      </w:r>
      <w:r>
        <w:rPr>
          <w:rFonts w:ascii="宋体" w:hAnsi="宋体" w:eastAsia="宋体" w:cs="宋体"/>
          <w:color w:val="auto"/>
          <w:spacing w:val="7"/>
          <w:sz w:val="19"/>
          <w:szCs w:val="19"/>
          <w:highlight w:val="none"/>
        </w:rPr>
        <w:t>附有中文注释。</w:t>
      </w:r>
    </w:p>
    <w:p w14:paraId="783F6ECD">
      <w:pPr>
        <w:spacing w:before="190" w:line="220" w:lineRule="auto"/>
        <w:ind w:left="49"/>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1.3</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10"/>
          <w:sz w:val="28"/>
          <w:szCs w:val="28"/>
          <w:highlight w:val="none"/>
        </w:rPr>
        <w:t>法律</w:t>
      </w:r>
    </w:p>
    <w:p w14:paraId="00BB1FDD">
      <w:pPr>
        <w:spacing w:line="303" w:lineRule="auto"/>
        <w:rPr>
          <w:rFonts w:ascii="Arial"/>
          <w:color w:val="auto"/>
          <w:sz w:val="21"/>
          <w:highlight w:val="none"/>
        </w:rPr>
      </w:pPr>
    </w:p>
    <w:p w14:paraId="62C1B5F4">
      <w:pPr>
        <w:spacing w:before="62" w:line="335" w:lineRule="auto"/>
        <w:ind w:left="26" w:right="19" w:firstLine="438"/>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适用于合同的法律包括中华人民共和国法律、行政法规、部门规章，以及工程所在地的地</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方法规、自治条例、单行条例和地方政府规章。</w:t>
      </w:r>
    </w:p>
    <w:p w14:paraId="45A348C4">
      <w:pPr>
        <w:spacing w:before="96"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1.4</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合同文件的优先顺序</w:t>
      </w:r>
    </w:p>
    <w:p w14:paraId="4213F049">
      <w:pPr>
        <w:spacing w:line="304" w:lineRule="auto"/>
        <w:rPr>
          <w:rFonts w:ascii="Arial"/>
          <w:color w:val="auto"/>
          <w:sz w:val="21"/>
          <w:highlight w:val="none"/>
        </w:rPr>
      </w:pPr>
    </w:p>
    <w:p w14:paraId="3CE1B6A4">
      <w:pPr>
        <w:spacing w:before="61" w:line="340" w:lineRule="auto"/>
        <w:ind w:left="42" w:right="19" w:firstLine="425"/>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组成合同的各项文件应互相解释，互为说明。除专用合同条款另有约定外，解释合同文件</w:t>
      </w:r>
      <w:r>
        <w:rPr>
          <w:rFonts w:ascii="宋体" w:hAnsi="宋体" w:eastAsia="宋体" w:cs="宋体"/>
          <w:color w:val="auto"/>
          <w:spacing w:val="2"/>
          <w:sz w:val="19"/>
          <w:szCs w:val="19"/>
          <w:highlight w:val="none"/>
        </w:rPr>
        <w:t xml:space="preserve"> </w:t>
      </w:r>
      <w:r>
        <w:rPr>
          <w:rFonts w:ascii="宋体" w:hAnsi="宋体" w:eastAsia="宋体" w:cs="宋体"/>
          <w:color w:val="auto"/>
          <w:spacing w:val="5"/>
          <w:sz w:val="19"/>
          <w:szCs w:val="19"/>
          <w:highlight w:val="none"/>
        </w:rPr>
        <w:t>的优先顺序如下：</w:t>
      </w:r>
    </w:p>
    <w:p w14:paraId="635F8D4E">
      <w:pPr>
        <w:spacing w:before="7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(1)</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1"/>
          <w:sz w:val="19"/>
          <w:szCs w:val="19"/>
          <w:highlight w:val="none"/>
        </w:rPr>
        <w:t>合同协议书；</w:t>
      </w:r>
    </w:p>
    <w:p w14:paraId="31336FA5">
      <w:pPr>
        <w:spacing w:before="18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(2)</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1"/>
          <w:sz w:val="19"/>
          <w:szCs w:val="19"/>
          <w:highlight w:val="none"/>
        </w:rPr>
        <w:t>成交通知书；</w:t>
      </w:r>
    </w:p>
    <w:p w14:paraId="2CA214E2">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(3)</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3"/>
          <w:sz w:val="19"/>
          <w:szCs w:val="19"/>
          <w:highlight w:val="none"/>
        </w:rPr>
        <w:t>磋商函及磋商函附录；</w:t>
      </w:r>
    </w:p>
    <w:p w14:paraId="36C4E4ED">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 xml:space="preserve">(4)              </w:t>
      </w:r>
      <w:r>
        <w:rPr>
          <w:rFonts w:ascii="宋体" w:hAnsi="宋体" w:eastAsia="宋体" w:cs="宋体"/>
          <w:color w:val="auto"/>
          <w:spacing w:val="1"/>
          <w:sz w:val="19"/>
          <w:szCs w:val="19"/>
          <w:highlight w:val="none"/>
        </w:rPr>
        <w:t>专用合同条款；</w:t>
      </w:r>
    </w:p>
    <w:p w14:paraId="2DA0982F">
      <w:pPr>
        <w:spacing w:before="18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 xml:space="preserve">(5)              </w:t>
      </w:r>
      <w:r>
        <w:rPr>
          <w:rFonts w:ascii="宋体" w:hAnsi="宋体" w:eastAsia="宋体" w:cs="宋体"/>
          <w:color w:val="auto"/>
          <w:spacing w:val="1"/>
          <w:sz w:val="19"/>
          <w:szCs w:val="19"/>
          <w:highlight w:val="none"/>
        </w:rPr>
        <w:t>通用合同条款；</w:t>
      </w:r>
    </w:p>
    <w:p w14:paraId="2E049CEA">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(6)</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技术标准和要求；</w:t>
      </w:r>
    </w:p>
    <w:p w14:paraId="1723AAD2">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(7)               </w:t>
      </w:r>
      <w:r>
        <w:rPr>
          <w:rFonts w:ascii="宋体" w:hAnsi="宋体" w:eastAsia="宋体" w:cs="宋体"/>
          <w:color w:val="auto"/>
          <w:spacing w:val="-3"/>
          <w:sz w:val="19"/>
          <w:szCs w:val="19"/>
          <w:highlight w:val="none"/>
        </w:rPr>
        <w:t>图纸；</w:t>
      </w:r>
    </w:p>
    <w:p w14:paraId="48587653">
      <w:pPr>
        <w:spacing w:before="18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 xml:space="preserve">(8)              </w:t>
      </w:r>
      <w:r>
        <w:rPr>
          <w:rFonts w:ascii="宋体" w:hAnsi="宋体" w:eastAsia="宋体" w:cs="宋体"/>
          <w:color w:val="auto"/>
          <w:spacing w:val="2"/>
          <w:sz w:val="19"/>
          <w:szCs w:val="19"/>
          <w:highlight w:val="none"/>
        </w:rPr>
        <w:t>已标价工程量清单；</w:t>
      </w:r>
    </w:p>
    <w:p w14:paraId="291FF838">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(9)</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2"/>
          <w:sz w:val="19"/>
          <w:szCs w:val="19"/>
          <w:highlight w:val="none"/>
        </w:rPr>
        <w:t>其他合同文件。</w:t>
      </w:r>
    </w:p>
    <w:p w14:paraId="259E2246">
      <w:pPr>
        <w:spacing w:before="194" w:line="219"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1.5</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8"/>
          <w:sz w:val="28"/>
          <w:szCs w:val="28"/>
          <w:highlight w:val="none"/>
        </w:rPr>
        <w:t>合同协议书</w:t>
      </w:r>
    </w:p>
    <w:p w14:paraId="77604314">
      <w:pPr>
        <w:spacing w:line="299" w:lineRule="auto"/>
        <w:rPr>
          <w:rFonts w:ascii="Arial"/>
          <w:color w:val="auto"/>
          <w:sz w:val="21"/>
          <w:highlight w:val="none"/>
        </w:rPr>
      </w:pPr>
    </w:p>
    <w:p w14:paraId="75188434">
      <w:pPr>
        <w:spacing w:before="62" w:line="337" w:lineRule="auto"/>
        <w:ind w:left="30" w:right="19" w:firstLine="434"/>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承包人按成交通知书规定的时间与发包人签订合同协议书。除法律另有规定或合同另有约</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定外，发包人和承包人的法定代表人或其委托代理人在合同协议书上签</w:t>
      </w:r>
      <w:r>
        <w:rPr>
          <w:rFonts w:ascii="宋体" w:hAnsi="宋体" w:eastAsia="宋体" w:cs="宋体"/>
          <w:color w:val="auto"/>
          <w:spacing w:val="11"/>
          <w:sz w:val="19"/>
          <w:szCs w:val="19"/>
          <w:highlight w:val="none"/>
        </w:rPr>
        <w:t>字并盖单位公章后，合</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同生效。</w:t>
      </w:r>
    </w:p>
    <w:p w14:paraId="2E0FC91E">
      <w:pPr>
        <w:spacing w:before="93" w:line="220" w:lineRule="auto"/>
        <w:ind w:left="49"/>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1.6</w:t>
      </w:r>
      <w:r>
        <w:rPr>
          <w:rFonts w:ascii="宋体" w:hAnsi="宋体" w:eastAsia="宋体" w:cs="宋体"/>
          <w:color w:val="auto"/>
          <w:spacing w:val="-22"/>
          <w:sz w:val="28"/>
          <w:szCs w:val="28"/>
          <w:highlight w:val="none"/>
        </w:rPr>
        <w:t xml:space="preserve"> </w:t>
      </w:r>
      <w:r>
        <w:rPr>
          <w:rFonts w:ascii="宋体" w:hAnsi="宋体" w:eastAsia="宋体" w:cs="宋体"/>
          <w:b/>
          <w:bCs/>
          <w:color w:val="auto"/>
          <w:spacing w:val="-9"/>
          <w:sz w:val="28"/>
          <w:szCs w:val="28"/>
          <w:highlight w:val="none"/>
        </w:rPr>
        <w:t>图纸和承包人文件</w:t>
      </w:r>
    </w:p>
    <w:p w14:paraId="5642EA88">
      <w:pPr>
        <w:spacing w:before="284" w:line="228"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1.6.1</w:t>
      </w:r>
      <w:r>
        <w:rPr>
          <w:rFonts w:ascii="宋体" w:hAnsi="宋体" w:eastAsia="宋体" w:cs="宋体"/>
          <w:color w:val="auto"/>
          <w:spacing w:val="-16"/>
          <w:sz w:val="19"/>
          <w:szCs w:val="19"/>
          <w:highlight w:val="none"/>
        </w:rPr>
        <w:t xml:space="preserve"> </w:t>
      </w:r>
      <w:r>
        <w:rPr>
          <w:rFonts w:ascii="宋体" w:hAnsi="宋体" w:eastAsia="宋体" w:cs="宋体"/>
          <w:color w:val="auto"/>
          <w:spacing w:val="2"/>
          <w:sz w:val="19"/>
          <w:szCs w:val="19"/>
          <w:highlight w:val="none"/>
        </w:rPr>
        <w:t>图纸的提供</w:t>
      </w:r>
    </w:p>
    <w:p w14:paraId="14E8FEB8">
      <w:pPr>
        <w:spacing w:line="228" w:lineRule="auto"/>
        <w:rPr>
          <w:rFonts w:ascii="宋体" w:hAnsi="宋体" w:eastAsia="宋体" w:cs="宋体"/>
          <w:color w:val="auto"/>
          <w:sz w:val="19"/>
          <w:szCs w:val="19"/>
          <w:highlight w:val="none"/>
        </w:rPr>
        <w:sectPr>
          <w:footerReference r:id="rId72" w:type="default"/>
          <w:pgSz w:w="11900" w:h="16832"/>
          <w:pgMar w:top="1430" w:right="1784" w:bottom="1188" w:left="1784" w:header="0" w:footer="980" w:gutter="0"/>
          <w:pgNumType w:fmt="decimal"/>
          <w:cols w:space="720" w:num="1"/>
        </w:sectPr>
      </w:pPr>
    </w:p>
    <w:p w14:paraId="1A572780">
      <w:pPr>
        <w:spacing w:before="130" w:line="346" w:lineRule="auto"/>
        <w:ind w:left="25" w:right="65" w:firstLine="423"/>
        <w:jc w:val="both"/>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rPr>
        <w:t>发包人应按技术标准和要求(合同技术条款)约定的期限和数量将施工图纸以及其它图纸</w:t>
      </w:r>
      <w:r>
        <w:rPr>
          <w:rFonts w:ascii="宋体" w:hAnsi="宋体" w:eastAsia="宋体" w:cs="宋体"/>
          <w:color w:val="auto"/>
          <w:spacing w:val="15"/>
          <w:sz w:val="19"/>
          <w:szCs w:val="19"/>
          <w:highlight w:val="none"/>
        </w:rPr>
        <w:t xml:space="preserve"> </w:t>
      </w:r>
      <w:r>
        <w:rPr>
          <w:rFonts w:ascii="宋体" w:hAnsi="宋体" w:eastAsia="宋体" w:cs="宋体"/>
          <w:color w:val="auto"/>
          <w:spacing w:val="12"/>
          <w:sz w:val="19"/>
          <w:szCs w:val="19"/>
          <w:highlight w:val="none"/>
        </w:rPr>
        <w:t>（包括配套说明和有关资料）提供给承包人。由于发包人未按时提供图纸造成工期</w:t>
      </w:r>
      <w:r>
        <w:rPr>
          <w:rFonts w:ascii="宋体" w:hAnsi="宋体" w:eastAsia="宋体" w:cs="宋体"/>
          <w:color w:val="auto"/>
          <w:spacing w:val="11"/>
          <w:sz w:val="19"/>
          <w:szCs w:val="19"/>
          <w:highlight w:val="none"/>
        </w:rPr>
        <w:t>延误的，按</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第</w:t>
      </w:r>
      <w:r>
        <w:rPr>
          <w:rFonts w:ascii="宋体" w:hAnsi="宋体" w:eastAsia="宋体" w:cs="宋体"/>
          <w:color w:val="auto"/>
          <w:spacing w:val="-12"/>
          <w:sz w:val="19"/>
          <w:szCs w:val="19"/>
          <w:highlight w:val="none"/>
        </w:rPr>
        <w:t xml:space="preserve"> </w:t>
      </w:r>
      <w:r>
        <w:rPr>
          <w:rFonts w:ascii="宋体" w:hAnsi="宋体" w:eastAsia="宋体" w:cs="宋体"/>
          <w:color w:val="auto"/>
          <w:spacing w:val="3"/>
          <w:sz w:val="19"/>
          <w:szCs w:val="19"/>
          <w:highlight w:val="none"/>
        </w:rPr>
        <w:t>11. 3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款的约定办理。</w:t>
      </w:r>
    </w:p>
    <w:p w14:paraId="5750907D">
      <w:pPr>
        <w:spacing w:before="57"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1.6. 2</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承包人提供的文件</w:t>
      </w:r>
    </w:p>
    <w:p w14:paraId="63C169E9">
      <w:pPr>
        <w:spacing w:before="258" w:line="330" w:lineRule="auto"/>
        <w:ind w:left="26" w:right="2" w:firstLine="43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承包人提供的文件应按技术标准和要求（合同技术条款）约</w:t>
      </w:r>
      <w:r>
        <w:rPr>
          <w:rFonts w:ascii="宋体" w:hAnsi="宋体" w:eastAsia="宋体" w:cs="宋体"/>
          <w:color w:val="auto"/>
          <w:spacing w:val="7"/>
          <w:sz w:val="19"/>
          <w:szCs w:val="19"/>
          <w:highlight w:val="none"/>
        </w:rPr>
        <w:t>定的期限和数量提供给监理人。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监理人应按技术标准和要求（合同技术条款）约定的期限批复承包人。</w:t>
      </w:r>
    </w:p>
    <w:p w14:paraId="1CCABA21">
      <w:pPr>
        <w:spacing w:before="69" w:line="228" w:lineRule="auto"/>
        <w:ind w:left="47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1.6.3</w:t>
      </w:r>
      <w:r>
        <w:rPr>
          <w:rFonts w:ascii="宋体" w:hAnsi="宋体" w:eastAsia="宋体" w:cs="宋体"/>
          <w:color w:val="auto"/>
          <w:spacing w:val="-16"/>
          <w:sz w:val="19"/>
          <w:szCs w:val="19"/>
          <w:highlight w:val="none"/>
        </w:rPr>
        <w:t xml:space="preserve"> </w:t>
      </w:r>
      <w:r>
        <w:rPr>
          <w:rFonts w:ascii="宋体" w:hAnsi="宋体" w:eastAsia="宋体" w:cs="宋体"/>
          <w:color w:val="auto"/>
          <w:spacing w:val="2"/>
          <w:sz w:val="19"/>
          <w:szCs w:val="19"/>
          <w:highlight w:val="none"/>
        </w:rPr>
        <w:t>图纸的修改</w:t>
      </w:r>
    </w:p>
    <w:p w14:paraId="17071A9D">
      <w:pPr>
        <w:spacing w:before="255" w:line="340" w:lineRule="auto"/>
        <w:ind w:left="27" w:right="64" w:firstLine="440"/>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设计人需要对已发给承包人的施工图纸进行修改时，监理人应在技术标准和要求（合同技</w:t>
      </w:r>
      <w:r>
        <w:rPr>
          <w:rFonts w:ascii="宋体" w:hAnsi="宋体" w:eastAsia="宋体" w:cs="宋体"/>
          <w:color w:val="auto"/>
          <w:spacing w:val="1"/>
          <w:sz w:val="19"/>
          <w:szCs w:val="19"/>
          <w:highlight w:val="none"/>
        </w:rPr>
        <w:t xml:space="preserve"> </w:t>
      </w:r>
      <w:r>
        <w:rPr>
          <w:rFonts w:ascii="宋体" w:hAnsi="宋体" w:eastAsia="宋体" w:cs="宋体"/>
          <w:color w:val="auto"/>
          <w:spacing w:val="12"/>
          <w:sz w:val="19"/>
          <w:szCs w:val="19"/>
          <w:highlight w:val="none"/>
        </w:rPr>
        <w:t>术条款）约定的期限内签发施工图纸的修改图给承包人。承包人应按技术标准</w:t>
      </w:r>
      <w:r>
        <w:rPr>
          <w:rFonts w:ascii="宋体" w:hAnsi="宋体" w:eastAsia="宋体" w:cs="宋体"/>
          <w:color w:val="auto"/>
          <w:spacing w:val="11"/>
          <w:sz w:val="19"/>
          <w:szCs w:val="19"/>
          <w:highlight w:val="none"/>
        </w:rPr>
        <w:t>和要求（合同技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术条款）</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的约定编制一份承包人实施计划提交监理人批准后执行。</w:t>
      </w:r>
    </w:p>
    <w:p w14:paraId="76178C33">
      <w:pPr>
        <w:spacing w:before="63" w:line="230" w:lineRule="auto"/>
        <w:ind w:left="47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1.6.4</w:t>
      </w:r>
      <w:r>
        <w:rPr>
          <w:rFonts w:ascii="宋体" w:hAnsi="宋体" w:eastAsia="宋体" w:cs="宋体"/>
          <w:color w:val="auto"/>
          <w:spacing w:val="-16"/>
          <w:sz w:val="19"/>
          <w:szCs w:val="19"/>
          <w:highlight w:val="none"/>
        </w:rPr>
        <w:t xml:space="preserve"> </w:t>
      </w:r>
      <w:r>
        <w:rPr>
          <w:rFonts w:ascii="宋体" w:hAnsi="宋体" w:eastAsia="宋体" w:cs="宋体"/>
          <w:color w:val="auto"/>
          <w:spacing w:val="2"/>
          <w:sz w:val="19"/>
          <w:szCs w:val="19"/>
          <w:highlight w:val="none"/>
        </w:rPr>
        <w:t>图纸的错误</w:t>
      </w:r>
    </w:p>
    <w:p w14:paraId="37847E45">
      <w:pPr>
        <w:spacing w:before="260" w:line="368" w:lineRule="auto"/>
        <w:ind w:left="478" w:right="1554" w:hanging="1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承包人发现发包人提供的图纸存在明显错误或疏忽，应及时通知监理人。</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1.6.5</w:t>
      </w:r>
      <w:r>
        <w:rPr>
          <w:rFonts w:ascii="宋体" w:hAnsi="宋体" w:eastAsia="宋体" w:cs="宋体"/>
          <w:color w:val="auto"/>
          <w:spacing w:val="-16"/>
          <w:sz w:val="19"/>
          <w:szCs w:val="19"/>
          <w:highlight w:val="none"/>
        </w:rPr>
        <w:t xml:space="preserve"> </w:t>
      </w:r>
      <w:r>
        <w:rPr>
          <w:rFonts w:ascii="宋体" w:hAnsi="宋体" w:eastAsia="宋体" w:cs="宋体"/>
          <w:color w:val="auto"/>
          <w:spacing w:val="5"/>
          <w:sz w:val="19"/>
          <w:szCs w:val="19"/>
          <w:highlight w:val="none"/>
        </w:rPr>
        <w:t>图纸和承包人文件的保管</w:t>
      </w:r>
    </w:p>
    <w:p w14:paraId="41FA3F5F">
      <w:pPr>
        <w:spacing w:before="146" w:line="228" w:lineRule="auto"/>
        <w:ind w:left="465"/>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监理人和承包人均应在施工场地各保存一套完整的包含第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2"/>
          <w:sz w:val="19"/>
          <w:szCs w:val="19"/>
          <w:highlight w:val="none"/>
        </w:rPr>
        <w:t>6.</w:t>
      </w:r>
      <w:r>
        <w:rPr>
          <w:rFonts w:ascii="宋体" w:hAnsi="宋体" w:eastAsia="宋体" w:cs="宋体"/>
          <w:color w:val="auto"/>
          <w:spacing w:val="-23"/>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2"/>
          <w:sz w:val="19"/>
          <w:szCs w:val="19"/>
          <w:highlight w:val="none"/>
        </w:rPr>
        <w:t>项、第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2"/>
          <w:sz w:val="19"/>
          <w:szCs w:val="19"/>
          <w:highlight w:val="none"/>
        </w:rPr>
        <w:t>1.6.2</w:t>
      </w:r>
      <w:r>
        <w:rPr>
          <w:rFonts w:ascii="宋体" w:hAnsi="宋体" w:eastAsia="宋体" w:cs="宋体"/>
          <w:color w:val="auto"/>
          <w:spacing w:val="-32"/>
          <w:sz w:val="19"/>
          <w:szCs w:val="19"/>
          <w:highlight w:val="none"/>
        </w:rPr>
        <w:t xml:space="preserve"> </w:t>
      </w:r>
      <w:r>
        <w:rPr>
          <w:rFonts w:ascii="宋体" w:hAnsi="宋体" w:eastAsia="宋体" w:cs="宋体"/>
          <w:color w:val="auto"/>
          <w:spacing w:val="2"/>
          <w:sz w:val="19"/>
          <w:szCs w:val="19"/>
          <w:highlight w:val="none"/>
        </w:rPr>
        <w:t>项、第</w:t>
      </w:r>
      <w:r>
        <w:rPr>
          <w:rFonts w:ascii="宋体" w:hAnsi="宋体" w:eastAsia="宋体" w:cs="宋体"/>
          <w:color w:val="auto"/>
          <w:spacing w:val="28"/>
          <w:sz w:val="19"/>
          <w:szCs w:val="19"/>
          <w:highlight w:val="none"/>
        </w:rPr>
        <w:t xml:space="preserve"> </w:t>
      </w:r>
      <w:r>
        <w:rPr>
          <w:rFonts w:ascii="宋体" w:hAnsi="宋体" w:eastAsia="宋体" w:cs="宋体"/>
          <w:color w:val="auto"/>
          <w:spacing w:val="2"/>
          <w:sz w:val="19"/>
          <w:szCs w:val="19"/>
          <w:highlight w:val="none"/>
        </w:rPr>
        <w:t>1.6.</w:t>
      </w:r>
    </w:p>
    <w:p w14:paraId="622B75D6">
      <w:pPr>
        <w:spacing w:before="133" w:line="228" w:lineRule="auto"/>
        <w:ind w:left="2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3</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项约定内容的图纸和承包人文件。</w:t>
      </w:r>
    </w:p>
    <w:p w14:paraId="349CC005">
      <w:pPr>
        <w:spacing w:before="230" w:line="222" w:lineRule="auto"/>
        <w:ind w:left="49"/>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1.7</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10"/>
          <w:sz w:val="28"/>
          <w:szCs w:val="28"/>
          <w:highlight w:val="none"/>
        </w:rPr>
        <w:t>联络</w:t>
      </w:r>
    </w:p>
    <w:p w14:paraId="75D6E782">
      <w:pPr>
        <w:spacing w:line="320" w:lineRule="auto"/>
        <w:rPr>
          <w:rFonts w:ascii="Arial"/>
          <w:color w:val="auto"/>
          <w:sz w:val="21"/>
          <w:highlight w:val="none"/>
        </w:rPr>
      </w:pPr>
    </w:p>
    <w:p w14:paraId="1B901259">
      <w:pPr>
        <w:spacing w:before="62" w:line="360" w:lineRule="auto"/>
        <w:ind w:left="31" w:right="63" w:firstLine="44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1.7.1</w:t>
      </w:r>
      <w:r>
        <w:rPr>
          <w:rFonts w:ascii="宋体" w:hAnsi="宋体" w:eastAsia="宋体" w:cs="宋体"/>
          <w:color w:val="auto"/>
          <w:spacing w:val="-11"/>
          <w:sz w:val="19"/>
          <w:szCs w:val="19"/>
          <w:highlight w:val="none"/>
        </w:rPr>
        <w:t xml:space="preserve"> </w:t>
      </w:r>
      <w:r>
        <w:rPr>
          <w:rFonts w:ascii="宋体" w:hAnsi="宋体" w:eastAsia="宋体" w:cs="宋体"/>
          <w:color w:val="auto"/>
          <w:spacing w:val="8"/>
          <w:sz w:val="19"/>
          <w:szCs w:val="19"/>
          <w:highlight w:val="none"/>
        </w:rPr>
        <w:t>与合同有关的通知、批准、证明、证书、指示、要求、请求、同意、意见、确 定和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决定等，均应采用书面形式。</w:t>
      </w:r>
    </w:p>
    <w:p w14:paraId="750D1A03">
      <w:pPr>
        <w:spacing w:before="23" w:line="349" w:lineRule="auto"/>
        <w:ind w:left="26" w:right="2" w:firstLine="45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1.7.2</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1.7.1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项中的通知、批准、证明、证书、指示、要求、请求、同意、意见、 确定</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和决定等来往函件，均应在合同约定的期限内送达指定地点和接收人，并办理签</w:t>
      </w:r>
      <w:r>
        <w:rPr>
          <w:rFonts w:ascii="宋体" w:hAnsi="宋体" w:eastAsia="宋体" w:cs="宋体"/>
          <w:color w:val="auto"/>
          <w:spacing w:val="11"/>
          <w:sz w:val="19"/>
          <w:szCs w:val="19"/>
          <w:highlight w:val="none"/>
        </w:rPr>
        <w:t>收手续。来往</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函件的送达期限在技术标准和要求（合同技术条款）</w:t>
      </w:r>
      <w:r>
        <w:rPr>
          <w:rFonts w:ascii="宋体" w:hAnsi="宋体" w:eastAsia="宋体" w:cs="宋体"/>
          <w:color w:val="auto"/>
          <w:spacing w:val="-50"/>
          <w:sz w:val="19"/>
          <w:szCs w:val="19"/>
          <w:highlight w:val="none"/>
        </w:rPr>
        <w:t xml:space="preserve"> </w:t>
      </w:r>
      <w:r>
        <w:rPr>
          <w:rFonts w:ascii="宋体" w:hAnsi="宋体" w:eastAsia="宋体" w:cs="宋体"/>
          <w:color w:val="auto"/>
          <w:spacing w:val="8"/>
          <w:sz w:val="19"/>
          <w:szCs w:val="19"/>
          <w:highlight w:val="none"/>
        </w:rPr>
        <w:t>中约定</w:t>
      </w:r>
      <w:r>
        <w:rPr>
          <w:rFonts w:ascii="宋体" w:hAnsi="宋体" w:eastAsia="宋体" w:cs="宋体"/>
          <w:color w:val="auto"/>
          <w:spacing w:val="7"/>
          <w:sz w:val="19"/>
          <w:szCs w:val="19"/>
          <w:highlight w:val="none"/>
        </w:rPr>
        <w:t>，送达地点在专用合同条款中约定。</w:t>
      </w:r>
    </w:p>
    <w:p w14:paraId="4ED78EB8">
      <w:pPr>
        <w:spacing w:before="27" w:line="340" w:lineRule="auto"/>
        <w:ind w:left="31" w:firstLine="447"/>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1.7.3</w:t>
      </w:r>
      <w:r>
        <w:rPr>
          <w:rFonts w:ascii="宋体" w:hAnsi="宋体" w:eastAsia="宋体" w:cs="宋体"/>
          <w:color w:val="auto"/>
          <w:spacing w:val="-25"/>
          <w:sz w:val="19"/>
          <w:szCs w:val="19"/>
          <w:highlight w:val="none"/>
        </w:rPr>
        <w:t xml:space="preserve"> </w:t>
      </w:r>
      <w:r>
        <w:rPr>
          <w:rFonts w:ascii="宋体" w:hAnsi="宋体" w:eastAsia="宋体" w:cs="宋体"/>
          <w:color w:val="auto"/>
          <w:spacing w:val="3"/>
          <w:sz w:val="19"/>
          <w:szCs w:val="19"/>
          <w:highlight w:val="none"/>
        </w:rPr>
        <w:t>来往函件均应按合同约定的期限及时发出和答复，不得无故扣压和拖延，亦不得拒收。</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否则，由此造成的后果由责任方负责。</w:t>
      </w:r>
    </w:p>
    <w:p w14:paraId="4413CBF3">
      <w:pPr>
        <w:spacing w:before="131" w:line="221" w:lineRule="auto"/>
        <w:ind w:left="49"/>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1.8</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10"/>
          <w:sz w:val="28"/>
          <w:szCs w:val="28"/>
          <w:highlight w:val="none"/>
        </w:rPr>
        <w:t>转让</w:t>
      </w:r>
    </w:p>
    <w:p w14:paraId="3C5A5375">
      <w:pPr>
        <w:spacing w:line="304" w:lineRule="auto"/>
        <w:rPr>
          <w:rFonts w:ascii="Arial"/>
          <w:color w:val="auto"/>
          <w:sz w:val="21"/>
          <w:highlight w:val="none"/>
        </w:rPr>
      </w:pPr>
    </w:p>
    <w:p w14:paraId="6CCF0FAC">
      <w:pPr>
        <w:spacing w:before="62" w:line="333" w:lineRule="auto"/>
        <w:ind w:left="25" w:right="64" w:firstLine="45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除合同另有约定外，未经对方当事人同意， 一方当事人不得将合同权利全部或部分转让给</w:t>
      </w:r>
      <w:r>
        <w:rPr>
          <w:rFonts w:ascii="宋体" w:hAnsi="宋体" w:eastAsia="宋体" w:cs="宋体"/>
          <w:color w:val="auto"/>
          <w:spacing w:val="7"/>
          <w:sz w:val="19"/>
          <w:szCs w:val="19"/>
          <w:highlight w:val="none"/>
        </w:rPr>
        <w:t xml:space="preserve"> </w:t>
      </w:r>
      <w:r>
        <w:rPr>
          <w:rFonts w:ascii="宋体" w:hAnsi="宋体" w:eastAsia="宋体" w:cs="宋体"/>
          <w:color w:val="auto"/>
          <w:spacing w:val="5"/>
          <w:sz w:val="19"/>
          <w:szCs w:val="19"/>
          <w:highlight w:val="none"/>
        </w:rPr>
        <w:t>第三人，</w:t>
      </w:r>
      <w:r>
        <w:rPr>
          <w:rFonts w:ascii="宋体" w:hAnsi="宋体" w:eastAsia="宋体" w:cs="宋体"/>
          <w:color w:val="auto"/>
          <w:spacing w:val="-46"/>
          <w:sz w:val="19"/>
          <w:szCs w:val="19"/>
          <w:highlight w:val="none"/>
        </w:rPr>
        <w:t xml:space="preserve"> </w:t>
      </w:r>
      <w:r>
        <w:rPr>
          <w:rFonts w:ascii="宋体" w:hAnsi="宋体" w:eastAsia="宋体" w:cs="宋体"/>
          <w:color w:val="auto"/>
          <w:spacing w:val="5"/>
          <w:sz w:val="19"/>
          <w:szCs w:val="19"/>
          <w:highlight w:val="none"/>
        </w:rPr>
        <w:t>也不得全部或部分转移合同义务。</w:t>
      </w:r>
    </w:p>
    <w:p w14:paraId="240C00C8">
      <w:pPr>
        <w:spacing w:before="134"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1.9</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8"/>
          <w:sz w:val="28"/>
          <w:szCs w:val="28"/>
          <w:highlight w:val="none"/>
        </w:rPr>
        <w:t>严禁贿赂</w:t>
      </w:r>
    </w:p>
    <w:p w14:paraId="23889820">
      <w:pPr>
        <w:spacing w:line="308" w:lineRule="auto"/>
        <w:rPr>
          <w:rFonts w:ascii="Arial"/>
          <w:color w:val="auto"/>
          <w:sz w:val="21"/>
          <w:highlight w:val="none"/>
        </w:rPr>
      </w:pPr>
    </w:p>
    <w:p w14:paraId="7A6D781B">
      <w:pPr>
        <w:spacing w:before="62" w:line="342" w:lineRule="auto"/>
        <w:ind w:left="27" w:right="63" w:firstLine="438"/>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合同双方当事人不得以贿赂或变相贿赂的方式，谋取不当利益或损害对方权益。因贿赂造</w:t>
      </w:r>
      <w:r>
        <w:rPr>
          <w:rFonts w:ascii="宋体" w:hAnsi="宋体" w:eastAsia="宋体" w:cs="宋体"/>
          <w:color w:val="auto"/>
          <w:spacing w:val="5"/>
          <w:sz w:val="19"/>
          <w:szCs w:val="19"/>
          <w:highlight w:val="none"/>
        </w:rPr>
        <w:t xml:space="preserve"> </w:t>
      </w:r>
      <w:r>
        <w:rPr>
          <w:rFonts w:ascii="宋体" w:hAnsi="宋体" w:eastAsia="宋体" w:cs="宋体"/>
          <w:color w:val="auto"/>
          <w:spacing w:val="4"/>
          <w:sz w:val="19"/>
          <w:szCs w:val="19"/>
          <w:highlight w:val="none"/>
        </w:rPr>
        <w:t>成对方损失的，</w:t>
      </w:r>
      <w:r>
        <w:rPr>
          <w:rFonts w:ascii="宋体" w:hAnsi="宋体" w:eastAsia="宋体" w:cs="宋体"/>
          <w:color w:val="auto"/>
          <w:spacing w:val="-34"/>
          <w:sz w:val="19"/>
          <w:szCs w:val="19"/>
          <w:highlight w:val="none"/>
        </w:rPr>
        <w:t xml:space="preserve"> </w:t>
      </w:r>
      <w:r>
        <w:rPr>
          <w:rFonts w:ascii="宋体" w:hAnsi="宋体" w:eastAsia="宋体" w:cs="宋体"/>
          <w:color w:val="auto"/>
          <w:spacing w:val="4"/>
          <w:sz w:val="19"/>
          <w:szCs w:val="19"/>
          <w:highlight w:val="none"/>
        </w:rPr>
        <w:t>行为人应赔偿损失，</w:t>
      </w:r>
      <w:r>
        <w:rPr>
          <w:rFonts w:ascii="宋体" w:hAnsi="宋体" w:eastAsia="宋体" w:cs="宋体"/>
          <w:color w:val="auto"/>
          <w:spacing w:val="-41"/>
          <w:sz w:val="19"/>
          <w:szCs w:val="19"/>
          <w:highlight w:val="none"/>
        </w:rPr>
        <w:t xml:space="preserve"> </w:t>
      </w:r>
      <w:r>
        <w:rPr>
          <w:rFonts w:ascii="宋体" w:hAnsi="宋体" w:eastAsia="宋体" w:cs="宋体"/>
          <w:color w:val="auto"/>
          <w:spacing w:val="4"/>
          <w:sz w:val="19"/>
          <w:szCs w:val="19"/>
          <w:highlight w:val="none"/>
        </w:rPr>
        <w:t>并承担相应的法律责任。</w:t>
      </w:r>
    </w:p>
    <w:p w14:paraId="2C6253C7">
      <w:pPr>
        <w:spacing w:before="129"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1.10</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7"/>
          <w:sz w:val="28"/>
          <w:szCs w:val="28"/>
          <w:highlight w:val="none"/>
        </w:rPr>
        <w:t>化石、文物</w:t>
      </w:r>
    </w:p>
    <w:p w14:paraId="77C90D08">
      <w:pPr>
        <w:spacing w:line="304" w:lineRule="auto"/>
        <w:rPr>
          <w:rFonts w:ascii="Arial"/>
          <w:color w:val="auto"/>
          <w:sz w:val="21"/>
          <w:highlight w:val="none"/>
        </w:rPr>
      </w:pPr>
    </w:p>
    <w:p w14:paraId="7DF4EA98">
      <w:pPr>
        <w:spacing w:before="63" w:line="227" w:lineRule="auto"/>
        <w:ind w:left="47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1.10. 1</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在施工场地发掘的所有文物、古迹以及</w:t>
      </w:r>
      <w:r>
        <w:rPr>
          <w:rFonts w:ascii="宋体" w:hAnsi="宋体" w:eastAsia="宋体" w:cs="宋体"/>
          <w:color w:val="auto"/>
          <w:spacing w:val="7"/>
          <w:sz w:val="19"/>
          <w:szCs w:val="19"/>
          <w:highlight w:val="none"/>
        </w:rPr>
        <w:t>具有地质研究或考古价值的其他遗迹、</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化</w:t>
      </w:r>
    </w:p>
    <w:p w14:paraId="5566159B">
      <w:pPr>
        <w:spacing w:line="227" w:lineRule="auto"/>
        <w:rPr>
          <w:rFonts w:ascii="宋体" w:hAnsi="宋体" w:eastAsia="宋体" w:cs="宋体"/>
          <w:color w:val="auto"/>
          <w:sz w:val="19"/>
          <w:szCs w:val="19"/>
          <w:highlight w:val="none"/>
        </w:rPr>
        <w:sectPr>
          <w:footerReference r:id="rId73" w:type="default"/>
          <w:pgSz w:w="11900" w:h="16832"/>
          <w:pgMar w:top="1430" w:right="1739" w:bottom="1188" w:left="1784" w:header="0" w:footer="980" w:gutter="0"/>
          <w:pgNumType w:fmt="decimal"/>
          <w:cols w:space="720" w:num="1"/>
        </w:sectPr>
      </w:pPr>
    </w:p>
    <w:p w14:paraId="1888EC07">
      <w:pPr>
        <w:spacing w:before="125" w:line="345" w:lineRule="auto"/>
        <w:ind w:left="24" w:right="49" w:firstLine="1"/>
        <w:jc w:val="both"/>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石、钱币或物品属于国家所有。一旦发现上述文物，承包人应采取有效合理的</w:t>
      </w:r>
      <w:r>
        <w:rPr>
          <w:rFonts w:ascii="宋体" w:hAnsi="宋体" w:eastAsia="宋体" w:cs="宋体"/>
          <w:color w:val="auto"/>
          <w:spacing w:val="11"/>
          <w:sz w:val="19"/>
          <w:szCs w:val="19"/>
          <w:highlight w:val="none"/>
        </w:rPr>
        <w:t>保护措施, 防止</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任何人员移动或损坏上述物品，并立即报告当地文物行政部门，</w:t>
      </w:r>
      <w:r>
        <w:rPr>
          <w:rFonts w:ascii="宋体" w:hAnsi="宋体" w:eastAsia="宋体" w:cs="宋体"/>
          <w:color w:val="auto"/>
          <w:spacing w:val="-52"/>
          <w:sz w:val="19"/>
          <w:szCs w:val="19"/>
          <w:highlight w:val="none"/>
        </w:rPr>
        <w:t xml:space="preserve"> </w:t>
      </w:r>
      <w:r>
        <w:rPr>
          <w:rFonts w:ascii="宋体" w:hAnsi="宋体" w:eastAsia="宋体" w:cs="宋体"/>
          <w:color w:val="auto"/>
          <w:spacing w:val="11"/>
          <w:sz w:val="19"/>
          <w:szCs w:val="19"/>
          <w:highlight w:val="none"/>
        </w:rPr>
        <w:t>同时通知监理</w:t>
      </w:r>
      <w:r>
        <w:rPr>
          <w:rFonts w:ascii="宋体" w:hAnsi="宋体" w:eastAsia="宋体" w:cs="宋体"/>
          <w:color w:val="auto"/>
          <w:spacing w:val="10"/>
          <w:sz w:val="19"/>
          <w:szCs w:val="19"/>
          <w:highlight w:val="none"/>
        </w:rPr>
        <w:t>人。发包人、监</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理人和承包人应按文物行政部门要求采取妥善保护措施，</w:t>
      </w:r>
      <w:r>
        <w:rPr>
          <w:rFonts w:ascii="宋体" w:hAnsi="宋体" w:eastAsia="宋体" w:cs="宋体"/>
          <w:color w:val="auto"/>
          <w:spacing w:val="-48"/>
          <w:sz w:val="19"/>
          <w:szCs w:val="19"/>
          <w:highlight w:val="none"/>
        </w:rPr>
        <w:t xml:space="preserve"> </w:t>
      </w:r>
      <w:r>
        <w:rPr>
          <w:rFonts w:ascii="宋体" w:hAnsi="宋体" w:eastAsia="宋体" w:cs="宋体"/>
          <w:color w:val="auto"/>
          <w:spacing w:val="11"/>
          <w:sz w:val="19"/>
          <w:szCs w:val="19"/>
          <w:highlight w:val="none"/>
        </w:rPr>
        <w:t>由此导致费</w:t>
      </w:r>
      <w:r>
        <w:rPr>
          <w:rFonts w:ascii="宋体" w:hAnsi="宋体" w:eastAsia="宋体" w:cs="宋体"/>
          <w:color w:val="auto"/>
          <w:spacing w:val="10"/>
          <w:sz w:val="19"/>
          <w:szCs w:val="19"/>
          <w:highlight w:val="none"/>
        </w:rPr>
        <w:t>用增加和（或）工期延误</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由发包人承担。</w:t>
      </w:r>
    </w:p>
    <w:p w14:paraId="2422D141">
      <w:pPr>
        <w:spacing w:before="28" w:line="337" w:lineRule="auto"/>
        <w:ind w:left="30" w:firstLine="44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w:t>
      </w:r>
      <w:r>
        <w:rPr>
          <w:rFonts w:ascii="宋体" w:hAnsi="宋体" w:eastAsia="宋体" w:cs="宋体"/>
          <w:color w:val="auto"/>
          <w:spacing w:val="-19"/>
          <w:sz w:val="19"/>
          <w:szCs w:val="19"/>
          <w:highlight w:val="none"/>
        </w:rPr>
        <w:t xml:space="preserve"> </w:t>
      </w:r>
      <w:r>
        <w:rPr>
          <w:rFonts w:ascii="宋体" w:hAnsi="宋体" w:eastAsia="宋体" w:cs="宋体"/>
          <w:color w:val="auto"/>
          <w:spacing w:val="6"/>
          <w:sz w:val="19"/>
          <w:szCs w:val="19"/>
          <w:highlight w:val="none"/>
        </w:rPr>
        <w:t>10.</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承包人发现文物后不及时报告或隐瞒不报</w:t>
      </w:r>
      <w:r>
        <w:rPr>
          <w:rFonts w:ascii="宋体" w:hAnsi="宋体" w:eastAsia="宋体" w:cs="宋体"/>
          <w:color w:val="auto"/>
          <w:spacing w:val="5"/>
          <w:sz w:val="19"/>
          <w:szCs w:val="19"/>
          <w:highlight w:val="none"/>
        </w:rPr>
        <w:t>，致使文物丢失或损坏的，</w:t>
      </w:r>
      <w:r>
        <w:rPr>
          <w:rFonts w:ascii="宋体" w:hAnsi="宋体" w:eastAsia="宋体" w:cs="宋体"/>
          <w:color w:val="auto"/>
          <w:spacing w:val="-55"/>
          <w:sz w:val="19"/>
          <w:szCs w:val="19"/>
          <w:highlight w:val="none"/>
        </w:rPr>
        <w:t xml:space="preserve"> </w:t>
      </w:r>
      <w:r>
        <w:rPr>
          <w:rFonts w:ascii="宋体" w:hAnsi="宋体" w:eastAsia="宋体" w:cs="宋体"/>
          <w:color w:val="auto"/>
          <w:spacing w:val="5"/>
          <w:sz w:val="19"/>
          <w:szCs w:val="19"/>
          <w:highlight w:val="none"/>
        </w:rPr>
        <w:t>应赔偿损失，</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并承担相应的法律责任。</w:t>
      </w:r>
    </w:p>
    <w:p w14:paraId="606F3F9C">
      <w:pPr>
        <w:spacing w:before="73"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1.11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专利技术</w:t>
      </w:r>
    </w:p>
    <w:p w14:paraId="66CBB6EF">
      <w:pPr>
        <w:spacing w:line="304" w:lineRule="auto"/>
        <w:rPr>
          <w:rFonts w:ascii="Arial"/>
          <w:color w:val="auto"/>
          <w:sz w:val="21"/>
          <w:highlight w:val="none"/>
        </w:rPr>
      </w:pPr>
    </w:p>
    <w:p w14:paraId="417B2331">
      <w:pPr>
        <w:spacing w:before="62" w:line="340" w:lineRule="auto"/>
        <w:ind w:left="27" w:right="55" w:firstLine="452"/>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1.11.1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承包人在使用任何材料、承包人设备、工程设备或采用施工工艺时，因侵犯专利权</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或其他知识产权所引起的责任，</w:t>
      </w:r>
      <w:r>
        <w:rPr>
          <w:rFonts w:ascii="宋体" w:hAnsi="宋体" w:eastAsia="宋体" w:cs="宋体"/>
          <w:color w:val="auto"/>
          <w:spacing w:val="-50"/>
          <w:sz w:val="19"/>
          <w:szCs w:val="19"/>
          <w:highlight w:val="none"/>
        </w:rPr>
        <w:t xml:space="preserve"> </w:t>
      </w:r>
      <w:r>
        <w:rPr>
          <w:rFonts w:ascii="宋体" w:hAnsi="宋体" w:eastAsia="宋体" w:cs="宋体"/>
          <w:color w:val="auto"/>
          <w:spacing w:val="11"/>
          <w:sz w:val="19"/>
          <w:szCs w:val="19"/>
          <w:highlight w:val="none"/>
        </w:rPr>
        <w:t>由承包人承担，但由于遵照发包人提</w:t>
      </w:r>
      <w:r>
        <w:rPr>
          <w:rFonts w:ascii="宋体" w:hAnsi="宋体" w:eastAsia="宋体" w:cs="宋体"/>
          <w:color w:val="auto"/>
          <w:spacing w:val="10"/>
          <w:sz w:val="19"/>
          <w:szCs w:val="19"/>
          <w:highlight w:val="none"/>
        </w:rPr>
        <w:t>供的设计或技术标准和要</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求引起的除外。</w:t>
      </w:r>
    </w:p>
    <w:p w14:paraId="4C14FBA5">
      <w:pPr>
        <w:spacing w:before="30" w:line="227" w:lineRule="auto"/>
        <w:ind w:left="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1.11.2</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承包人在响应文件中采用专利技术的，专利技术的使用费包含在竞标报价内。</w:t>
      </w:r>
    </w:p>
    <w:p w14:paraId="255BC079">
      <w:pPr>
        <w:spacing w:before="127" w:line="335" w:lineRule="auto"/>
        <w:ind w:left="42" w:right="55" w:firstLine="43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1.11.3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承包人的技术秘密和声明需要保密的资料和信息，发包人和监理人不得为合同以外</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的目的泄露给他人。</w:t>
      </w:r>
    </w:p>
    <w:p w14:paraId="484BAEE6">
      <w:pPr>
        <w:spacing w:before="29" w:line="325" w:lineRule="auto"/>
        <w:ind w:left="28" w:right="55" w:firstLine="451"/>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1.11.4</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合同实施过程中，</w:t>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发包人要求承包</w:t>
      </w:r>
      <w:r>
        <w:rPr>
          <w:rFonts w:ascii="宋体" w:hAnsi="宋体" w:eastAsia="宋体" w:cs="宋体"/>
          <w:color w:val="auto"/>
          <w:spacing w:val="6"/>
          <w:sz w:val="19"/>
          <w:szCs w:val="19"/>
          <w:highlight w:val="none"/>
        </w:rPr>
        <w:t>人采用专利技术的，发包人应办理相应的使用手</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续，承包人应按发包人约定的条件使用，并承担使用专利技术的相关试验工作</w:t>
      </w:r>
      <w:r>
        <w:rPr>
          <w:rFonts w:ascii="宋体" w:hAnsi="宋体" w:eastAsia="宋体" w:cs="宋体"/>
          <w:color w:val="auto"/>
          <w:spacing w:val="11"/>
          <w:sz w:val="19"/>
          <w:szCs w:val="19"/>
          <w:highlight w:val="none"/>
        </w:rPr>
        <w:t>。所需的费用由</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发包人承担。</w:t>
      </w:r>
    </w:p>
    <w:p w14:paraId="6C496599">
      <w:pPr>
        <w:spacing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1.12</w:t>
      </w:r>
      <w:r>
        <w:rPr>
          <w:rFonts w:ascii="宋体" w:hAnsi="宋体" w:eastAsia="宋体" w:cs="宋体"/>
          <w:color w:val="auto"/>
          <w:spacing w:val="-26"/>
          <w:sz w:val="28"/>
          <w:szCs w:val="28"/>
          <w:highlight w:val="none"/>
        </w:rPr>
        <w:t xml:space="preserve"> </w:t>
      </w:r>
      <w:r>
        <w:rPr>
          <w:rFonts w:ascii="宋体" w:hAnsi="宋体" w:eastAsia="宋体" w:cs="宋体"/>
          <w:b/>
          <w:bCs/>
          <w:color w:val="auto"/>
          <w:spacing w:val="-8"/>
          <w:sz w:val="28"/>
          <w:szCs w:val="28"/>
          <w:highlight w:val="none"/>
        </w:rPr>
        <w:t>图纸和文件的保密</w:t>
      </w:r>
    </w:p>
    <w:p w14:paraId="0D152600">
      <w:pPr>
        <w:spacing w:line="316" w:lineRule="auto"/>
        <w:rPr>
          <w:rFonts w:ascii="Arial"/>
          <w:color w:val="auto"/>
          <w:sz w:val="21"/>
          <w:highlight w:val="none"/>
        </w:rPr>
      </w:pPr>
    </w:p>
    <w:p w14:paraId="2B7E1AA5">
      <w:pPr>
        <w:spacing w:before="62" w:line="347" w:lineRule="auto"/>
        <w:ind w:left="25" w:right="55"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1.12.1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发包人提供的图纸和文件，未经发包人同意，承包人不得为合同以外的目的泄露给</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他人或公开发表与引用。</w:t>
      </w:r>
    </w:p>
    <w:p w14:paraId="387A1B95">
      <w:pPr>
        <w:spacing w:before="24" w:line="345" w:lineRule="auto"/>
        <w:ind w:left="26" w:right="55"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1.12.2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承包人提供的文件，未经承包人同意，发包人和监理人不得为合同以外的目的泄露</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给他人或公开发表与引用。</w:t>
      </w:r>
    </w:p>
    <w:p w14:paraId="511CC92E">
      <w:pPr>
        <w:spacing w:before="210"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w:t>
      </w:r>
      <w:r>
        <w:rPr>
          <w:rFonts w:ascii="宋体" w:hAnsi="宋体" w:eastAsia="宋体" w:cs="宋体"/>
          <w:b/>
          <w:bCs/>
          <w:color w:val="auto"/>
          <w:spacing w:val="4"/>
          <w:sz w:val="31"/>
          <w:szCs w:val="31"/>
          <w:highlight w:val="none"/>
        </w:rPr>
        <w:t>发包人义务</w:t>
      </w:r>
    </w:p>
    <w:p w14:paraId="5FB45C68">
      <w:pPr>
        <w:spacing w:line="249" w:lineRule="auto"/>
        <w:rPr>
          <w:rFonts w:ascii="Arial"/>
          <w:color w:val="auto"/>
          <w:sz w:val="21"/>
          <w:highlight w:val="none"/>
        </w:rPr>
      </w:pPr>
    </w:p>
    <w:p w14:paraId="029887B4">
      <w:pPr>
        <w:spacing w:line="250" w:lineRule="auto"/>
        <w:rPr>
          <w:rFonts w:ascii="Arial"/>
          <w:color w:val="auto"/>
          <w:sz w:val="21"/>
          <w:highlight w:val="none"/>
        </w:rPr>
      </w:pPr>
    </w:p>
    <w:p w14:paraId="4B05F06A">
      <w:pPr>
        <w:spacing w:before="91" w:line="220"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2.1</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6"/>
          <w:sz w:val="28"/>
          <w:szCs w:val="28"/>
          <w:highlight w:val="none"/>
        </w:rPr>
        <w:t>遵守法律</w:t>
      </w:r>
    </w:p>
    <w:p w14:paraId="4E0C0061">
      <w:pPr>
        <w:spacing w:line="300" w:lineRule="auto"/>
        <w:rPr>
          <w:rFonts w:ascii="Arial"/>
          <w:color w:val="auto"/>
          <w:sz w:val="21"/>
          <w:highlight w:val="none"/>
        </w:rPr>
      </w:pPr>
    </w:p>
    <w:p w14:paraId="2AF87346">
      <w:pPr>
        <w:spacing w:before="63" w:line="330" w:lineRule="auto"/>
        <w:ind w:left="24" w:right="51" w:firstLine="44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发包人在履行合同过程中应遵守法律，并保证承包人免于承担因发包人违反法律而引 起的</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任何责任。</w:t>
      </w:r>
    </w:p>
    <w:p w14:paraId="548F921D">
      <w:pPr>
        <w:spacing w:before="197" w:line="221"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2.2</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6"/>
          <w:sz w:val="28"/>
          <w:szCs w:val="28"/>
          <w:highlight w:val="none"/>
        </w:rPr>
        <w:t>发出开工通知</w:t>
      </w:r>
    </w:p>
    <w:p w14:paraId="02E2062B">
      <w:pPr>
        <w:spacing w:line="308" w:lineRule="auto"/>
        <w:rPr>
          <w:rFonts w:ascii="Arial"/>
          <w:color w:val="auto"/>
          <w:sz w:val="21"/>
          <w:highlight w:val="none"/>
        </w:rPr>
      </w:pPr>
    </w:p>
    <w:p w14:paraId="5BFD3255">
      <w:pPr>
        <w:spacing w:before="62" w:line="228" w:lineRule="auto"/>
        <w:ind w:left="44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发包人应委托监理人按第</w:t>
      </w:r>
      <w:r>
        <w:rPr>
          <w:rFonts w:ascii="宋体" w:hAnsi="宋体" w:eastAsia="宋体" w:cs="宋体"/>
          <w:color w:val="auto"/>
          <w:spacing w:val="-27"/>
          <w:sz w:val="19"/>
          <w:szCs w:val="19"/>
          <w:highlight w:val="none"/>
        </w:rPr>
        <w:t xml:space="preserve"> </w:t>
      </w:r>
      <w:r>
        <w:rPr>
          <w:rFonts w:ascii="宋体" w:hAnsi="宋体" w:eastAsia="宋体" w:cs="宋体"/>
          <w:color w:val="auto"/>
          <w:spacing w:val="6"/>
          <w:sz w:val="19"/>
          <w:szCs w:val="19"/>
          <w:highlight w:val="none"/>
        </w:rPr>
        <w:t>H.</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款的约定向承包人发出开工通知。</w:t>
      </w:r>
    </w:p>
    <w:p w14:paraId="05230A74">
      <w:pPr>
        <w:spacing w:before="288" w:line="219"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2.3</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5"/>
          <w:sz w:val="28"/>
          <w:szCs w:val="28"/>
          <w:highlight w:val="none"/>
        </w:rPr>
        <w:t>提供施工场地</w:t>
      </w:r>
    </w:p>
    <w:p w14:paraId="00D88CDA">
      <w:pPr>
        <w:spacing w:line="314" w:lineRule="auto"/>
        <w:rPr>
          <w:rFonts w:ascii="Arial"/>
          <w:color w:val="auto"/>
          <w:sz w:val="21"/>
          <w:highlight w:val="none"/>
        </w:rPr>
      </w:pPr>
    </w:p>
    <w:p w14:paraId="5E4ED492">
      <w:pPr>
        <w:spacing w:before="62" w:line="349" w:lineRule="auto"/>
        <w:ind w:left="26" w:right="53" w:firstLine="44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2.3.1</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发包人应在合同双方签定合同协议书后的</w:t>
      </w:r>
      <w:r>
        <w:rPr>
          <w:rFonts w:ascii="宋体" w:hAnsi="宋体" w:eastAsia="宋体" w:cs="宋体"/>
          <w:color w:val="auto"/>
          <w:spacing w:val="-21"/>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天内，将</w:t>
      </w:r>
      <w:r>
        <w:rPr>
          <w:rFonts w:ascii="宋体" w:hAnsi="宋体" w:eastAsia="宋体" w:cs="宋体"/>
          <w:color w:val="auto"/>
          <w:spacing w:val="7"/>
          <w:sz w:val="19"/>
          <w:szCs w:val="19"/>
          <w:highlight w:val="none"/>
        </w:rPr>
        <w:t>本合同工程的施工场地范围图</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提交给承包人。发包人提供的施工用地范围图应标明用地范围内永久占地与临时</w:t>
      </w:r>
      <w:r>
        <w:rPr>
          <w:rFonts w:ascii="宋体" w:hAnsi="宋体" w:eastAsia="宋体" w:cs="宋体"/>
          <w:color w:val="auto"/>
          <w:spacing w:val="11"/>
          <w:sz w:val="19"/>
          <w:szCs w:val="19"/>
          <w:highlight w:val="none"/>
        </w:rPr>
        <w:t>占地的范围和</w:t>
      </w:r>
    </w:p>
    <w:p w14:paraId="62ACD7E6">
      <w:pPr>
        <w:spacing w:line="349" w:lineRule="auto"/>
        <w:rPr>
          <w:rFonts w:ascii="宋体" w:hAnsi="宋体" w:eastAsia="宋体" w:cs="宋体"/>
          <w:color w:val="auto"/>
          <w:sz w:val="19"/>
          <w:szCs w:val="19"/>
          <w:highlight w:val="none"/>
        </w:rPr>
        <w:sectPr>
          <w:footerReference r:id="rId74" w:type="default"/>
          <w:pgSz w:w="11900" w:h="16832"/>
          <w:pgMar w:top="1430" w:right="1751" w:bottom="1188" w:left="1784" w:header="0" w:footer="980" w:gutter="0"/>
          <w:pgNumType w:fmt="decimal"/>
          <w:cols w:space="720" w:num="1"/>
        </w:sectPr>
      </w:pPr>
    </w:p>
    <w:p w14:paraId="23B0993C">
      <w:pPr>
        <w:spacing w:before="135" w:line="342" w:lineRule="auto"/>
        <w:ind w:left="466" w:right="1594" w:hanging="43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界限，以及指明提供给承包人用于施工场地布置的范围和界限及其有关资料。</w:t>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2.3.2</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发包人提供的施工用地范围在专用合同条款中约定。</w:t>
      </w:r>
    </w:p>
    <w:p w14:paraId="76EA3417">
      <w:pPr>
        <w:spacing w:before="30" w:line="346" w:lineRule="auto"/>
        <w:ind w:left="30" w:right="21" w:firstLine="436"/>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2.3.3</w:t>
      </w:r>
      <w:r>
        <w:rPr>
          <w:rFonts w:ascii="宋体" w:hAnsi="宋体" w:eastAsia="宋体" w:cs="宋体"/>
          <w:color w:val="auto"/>
          <w:spacing w:val="-23"/>
          <w:sz w:val="19"/>
          <w:szCs w:val="19"/>
          <w:highlight w:val="none"/>
        </w:rPr>
        <w:t xml:space="preserve"> </w:t>
      </w:r>
      <w:r>
        <w:rPr>
          <w:rFonts w:ascii="宋体" w:hAnsi="宋体" w:eastAsia="宋体" w:cs="宋体"/>
          <w:color w:val="auto"/>
          <w:spacing w:val="5"/>
          <w:sz w:val="19"/>
          <w:szCs w:val="19"/>
          <w:highlight w:val="none"/>
        </w:rPr>
        <w:t>除专用合同条款另有约定外，</w:t>
      </w:r>
      <w:r>
        <w:rPr>
          <w:rFonts w:ascii="宋体" w:hAnsi="宋体" w:eastAsia="宋体" w:cs="宋体"/>
          <w:color w:val="auto"/>
          <w:spacing w:val="-43"/>
          <w:sz w:val="19"/>
          <w:szCs w:val="19"/>
          <w:highlight w:val="none"/>
        </w:rPr>
        <w:t xml:space="preserve"> </w:t>
      </w:r>
      <w:r>
        <w:rPr>
          <w:rFonts w:ascii="宋体" w:hAnsi="宋体" w:eastAsia="宋体" w:cs="宋体"/>
          <w:color w:val="auto"/>
          <w:spacing w:val="5"/>
          <w:sz w:val="19"/>
          <w:szCs w:val="19"/>
          <w:highlight w:val="none"/>
        </w:rPr>
        <w:t>发包人应按技术标准和要求（合同技术条款）</w:t>
      </w:r>
      <w:r>
        <w:rPr>
          <w:rFonts w:ascii="宋体" w:hAnsi="宋体" w:eastAsia="宋体" w:cs="宋体"/>
          <w:color w:val="auto"/>
          <w:spacing w:val="-48"/>
          <w:sz w:val="19"/>
          <w:szCs w:val="19"/>
          <w:highlight w:val="none"/>
        </w:rPr>
        <w:t xml:space="preserve"> </w:t>
      </w:r>
      <w:r>
        <w:rPr>
          <w:rFonts w:ascii="宋体" w:hAnsi="宋体" w:eastAsia="宋体" w:cs="宋体"/>
          <w:color w:val="auto"/>
          <w:spacing w:val="5"/>
          <w:sz w:val="19"/>
          <w:szCs w:val="19"/>
          <w:highlight w:val="none"/>
        </w:rPr>
        <w:t>的约</w:t>
      </w:r>
      <w:r>
        <w:rPr>
          <w:rFonts w:ascii="宋体" w:hAnsi="宋体" w:eastAsia="宋体" w:cs="宋体"/>
          <w:color w:val="auto"/>
          <w:spacing w:val="4"/>
          <w:sz w:val="19"/>
          <w:szCs w:val="19"/>
          <w:highlight w:val="none"/>
        </w:rPr>
        <w:t>定，</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向承包人提供施工场地内的工程地质图纸和报告，</w:t>
      </w:r>
      <w:r>
        <w:rPr>
          <w:rFonts w:ascii="宋体" w:hAnsi="宋体" w:eastAsia="宋体" w:cs="宋体"/>
          <w:color w:val="auto"/>
          <w:spacing w:val="-37"/>
          <w:sz w:val="19"/>
          <w:szCs w:val="19"/>
          <w:highlight w:val="none"/>
        </w:rPr>
        <w:t xml:space="preserve"> </w:t>
      </w:r>
      <w:r>
        <w:rPr>
          <w:rFonts w:ascii="宋体" w:hAnsi="宋体" w:eastAsia="宋体" w:cs="宋体"/>
          <w:color w:val="auto"/>
          <w:spacing w:val="10"/>
          <w:sz w:val="19"/>
          <w:szCs w:val="19"/>
          <w:highlight w:val="none"/>
        </w:rPr>
        <w:t>以及地下障碍物图纸等施工场地有关资料，</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并保证资料的真实、准确、完整。</w:t>
      </w:r>
    </w:p>
    <w:p w14:paraId="2972D070">
      <w:pPr>
        <w:spacing w:before="187" w:line="220"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2.4</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协助承包人办理证件和批件</w:t>
      </w:r>
    </w:p>
    <w:p w14:paraId="10C3B29F">
      <w:pPr>
        <w:spacing w:line="309" w:lineRule="auto"/>
        <w:rPr>
          <w:rFonts w:ascii="Arial"/>
          <w:color w:val="auto"/>
          <w:sz w:val="21"/>
          <w:highlight w:val="none"/>
        </w:rPr>
      </w:pPr>
    </w:p>
    <w:p w14:paraId="6AAB292E">
      <w:pPr>
        <w:spacing w:before="61"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发包人应协助承包人办理法律规定的有关施工证件和批件。</w:t>
      </w:r>
    </w:p>
    <w:p w14:paraId="422DE329">
      <w:pPr>
        <w:spacing w:before="289" w:line="221"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2.5</w:t>
      </w:r>
      <w:r>
        <w:rPr>
          <w:rFonts w:ascii="宋体" w:hAnsi="宋体" w:eastAsia="宋体" w:cs="宋体"/>
          <w:color w:val="auto"/>
          <w:spacing w:val="-48"/>
          <w:sz w:val="28"/>
          <w:szCs w:val="28"/>
          <w:highlight w:val="none"/>
        </w:rPr>
        <w:t xml:space="preserve"> </w:t>
      </w:r>
      <w:r>
        <w:rPr>
          <w:rFonts w:ascii="宋体" w:hAnsi="宋体" w:eastAsia="宋体" w:cs="宋体"/>
          <w:b/>
          <w:bCs/>
          <w:color w:val="auto"/>
          <w:spacing w:val="-6"/>
          <w:sz w:val="28"/>
          <w:szCs w:val="28"/>
          <w:highlight w:val="none"/>
        </w:rPr>
        <w:t>组织设计交底</w:t>
      </w:r>
    </w:p>
    <w:p w14:paraId="5529F664">
      <w:pPr>
        <w:spacing w:line="304" w:lineRule="auto"/>
        <w:rPr>
          <w:rFonts w:ascii="Arial"/>
          <w:color w:val="auto"/>
          <w:sz w:val="21"/>
          <w:highlight w:val="none"/>
        </w:rPr>
      </w:pPr>
    </w:p>
    <w:p w14:paraId="68F60DF1">
      <w:pPr>
        <w:spacing w:before="62"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发包人应根据合同进度计划，组织设计单位向承包人进行设计交底。</w:t>
      </w:r>
    </w:p>
    <w:p w14:paraId="4F338BAF">
      <w:pPr>
        <w:spacing w:before="289" w:line="219"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2.6</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5"/>
          <w:sz w:val="28"/>
          <w:szCs w:val="28"/>
          <w:highlight w:val="none"/>
        </w:rPr>
        <w:t>支付合同价款</w:t>
      </w:r>
    </w:p>
    <w:p w14:paraId="3E830E52">
      <w:pPr>
        <w:spacing w:line="308" w:lineRule="auto"/>
        <w:rPr>
          <w:rFonts w:ascii="Arial"/>
          <w:color w:val="auto"/>
          <w:sz w:val="21"/>
          <w:highlight w:val="none"/>
        </w:rPr>
      </w:pPr>
    </w:p>
    <w:p w14:paraId="0E5064EB">
      <w:pPr>
        <w:spacing w:before="63" w:line="227" w:lineRule="auto"/>
        <w:ind w:left="44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发包人应按合同约定向承包人及时支付合同价款。</w:t>
      </w:r>
    </w:p>
    <w:p w14:paraId="40AF4F1B">
      <w:pPr>
        <w:spacing w:before="289"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2.7</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5"/>
          <w:sz w:val="28"/>
          <w:szCs w:val="28"/>
          <w:highlight w:val="none"/>
        </w:rPr>
        <w:t>组织竣工验收（组织法人验收）</w:t>
      </w:r>
    </w:p>
    <w:p w14:paraId="767C5167">
      <w:pPr>
        <w:spacing w:line="307" w:lineRule="auto"/>
        <w:rPr>
          <w:rFonts w:ascii="Arial"/>
          <w:color w:val="auto"/>
          <w:sz w:val="21"/>
          <w:highlight w:val="none"/>
        </w:rPr>
      </w:pPr>
    </w:p>
    <w:p w14:paraId="3BAFA381">
      <w:pPr>
        <w:spacing w:before="62" w:line="228" w:lineRule="auto"/>
        <w:ind w:left="44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发包人应按合同约定及时组织法人验收。</w:t>
      </w:r>
    </w:p>
    <w:p w14:paraId="7258F991">
      <w:pPr>
        <w:spacing w:before="167" w:line="220"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2.8</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6"/>
          <w:sz w:val="28"/>
          <w:szCs w:val="28"/>
          <w:highlight w:val="none"/>
        </w:rPr>
        <w:t>其它义务</w:t>
      </w:r>
    </w:p>
    <w:p w14:paraId="7612657B">
      <w:pPr>
        <w:spacing w:line="302" w:lineRule="auto"/>
        <w:rPr>
          <w:rFonts w:ascii="Arial"/>
          <w:color w:val="auto"/>
          <w:sz w:val="21"/>
          <w:highlight w:val="none"/>
        </w:rPr>
      </w:pPr>
    </w:p>
    <w:p w14:paraId="1CC39C9A">
      <w:pPr>
        <w:spacing w:before="62" w:line="228" w:lineRule="auto"/>
        <w:ind w:left="44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其它义务在专用合同条款中补充约定。</w:t>
      </w:r>
    </w:p>
    <w:p w14:paraId="30F5ABE2">
      <w:pPr>
        <w:spacing w:before="338" w:line="228" w:lineRule="auto"/>
        <w:ind w:left="37"/>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3.</w:t>
      </w:r>
      <w:r>
        <w:rPr>
          <w:rFonts w:ascii="宋体" w:hAnsi="宋体" w:eastAsia="宋体" w:cs="宋体"/>
          <w:b/>
          <w:bCs/>
          <w:color w:val="auto"/>
          <w:spacing w:val="2"/>
          <w:sz w:val="31"/>
          <w:szCs w:val="31"/>
          <w:highlight w:val="none"/>
        </w:rPr>
        <w:t>监理人</w:t>
      </w:r>
    </w:p>
    <w:p w14:paraId="1251EB19">
      <w:pPr>
        <w:spacing w:line="247" w:lineRule="auto"/>
        <w:rPr>
          <w:rFonts w:ascii="Arial"/>
          <w:color w:val="auto"/>
          <w:sz w:val="21"/>
          <w:highlight w:val="none"/>
        </w:rPr>
      </w:pPr>
    </w:p>
    <w:p w14:paraId="5713A22F">
      <w:pPr>
        <w:spacing w:line="247" w:lineRule="auto"/>
        <w:rPr>
          <w:rFonts w:ascii="Arial"/>
          <w:color w:val="auto"/>
          <w:sz w:val="21"/>
          <w:highlight w:val="none"/>
        </w:rPr>
      </w:pPr>
    </w:p>
    <w:p w14:paraId="48FA0666">
      <w:pPr>
        <w:spacing w:before="92" w:line="220" w:lineRule="auto"/>
        <w:ind w:left="34"/>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3.1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5"/>
          <w:sz w:val="28"/>
          <w:szCs w:val="28"/>
          <w:highlight w:val="none"/>
        </w:rPr>
        <w:t>监理人的职责和权利</w:t>
      </w:r>
    </w:p>
    <w:p w14:paraId="4F529A51">
      <w:pPr>
        <w:spacing w:line="301" w:lineRule="auto"/>
        <w:rPr>
          <w:rFonts w:ascii="Arial"/>
          <w:color w:val="auto"/>
          <w:sz w:val="21"/>
          <w:highlight w:val="none"/>
        </w:rPr>
      </w:pPr>
    </w:p>
    <w:p w14:paraId="2DB97CD0">
      <w:pPr>
        <w:spacing w:before="62" w:line="340" w:lineRule="auto"/>
        <w:ind w:left="25" w:right="62" w:firstLine="42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3.1.1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监理人受发包人的委托，享有合同约定的权力。监理人的权力范围在专用</w:t>
      </w:r>
      <w:r>
        <w:rPr>
          <w:rFonts w:ascii="宋体" w:hAnsi="宋体" w:eastAsia="宋体" w:cs="宋体"/>
          <w:color w:val="auto"/>
          <w:spacing w:val="6"/>
          <w:sz w:val="19"/>
          <w:szCs w:val="19"/>
          <w:highlight w:val="none"/>
        </w:rPr>
        <w:t>合同条款中</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约定。当监理人认为出现了危及生命、工程或毗邻财产等安全的紧急事件时，在不</w:t>
      </w:r>
      <w:r>
        <w:rPr>
          <w:rFonts w:ascii="宋体" w:hAnsi="宋体" w:eastAsia="宋体" w:cs="宋体"/>
          <w:color w:val="auto"/>
          <w:spacing w:val="11"/>
          <w:sz w:val="19"/>
          <w:szCs w:val="19"/>
          <w:highlight w:val="none"/>
        </w:rPr>
        <w:t>免除合同约</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定的承包人责任的情况下，监理人可以指示承包</w:t>
      </w:r>
      <w:r>
        <w:rPr>
          <w:rFonts w:ascii="宋体" w:hAnsi="宋体" w:eastAsia="宋体" w:cs="宋体"/>
          <w:color w:val="auto"/>
          <w:spacing w:val="9"/>
          <w:sz w:val="19"/>
          <w:szCs w:val="19"/>
          <w:highlight w:val="none"/>
        </w:rPr>
        <w:t>人实施为消除或减少这种危险 所必须进行的工</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作，即使没有发包人的事先批准，承包人也应立即遵照执行。监理人应按 第 15 条的约定增加</w:t>
      </w:r>
      <w:r>
        <w:rPr>
          <w:rFonts w:ascii="宋体" w:hAnsi="宋体" w:eastAsia="宋体" w:cs="宋体"/>
          <w:color w:val="auto"/>
          <w:spacing w:val="3"/>
          <w:sz w:val="19"/>
          <w:szCs w:val="19"/>
          <w:highlight w:val="none"/>
        </w:rPr>
        <w:t xml:space="preserve"> </w:t>
      </w:r>
      <w:r>
        <w:rPr>
          <w:rFonts w:ascii="宋体" w:hAnsi="宋体" w:eastAsia="宋体" w:cs="宋体"/>
          <w:color w:val="auto"/>
          <w:spacing w:val="8"/>
          <w:sz w:val="19"/>
          <w:szCs w:val="19"/>
          <w:highlight w:val="none"/>
        </w:rPr>
        <w:t>相应的费用，并通知承包人。</w:t>
      </w:r>
    </w:p>
    <w:p w14:paraId="16A51B8E">
      <w:pPr>
        <w:spacing w:before="33" w:line="330" w:lineRule="auto"/>
        <w:ind w:left="30" w:right="68"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3.1.2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监理人发出的任何指示应视为已得到发包人的批准，但监理人无权免除</w:t>
      </w:r>
      <w:r>
        <w:rPr>
          <w:rFonts w:ascii="宋体" w:hAnsi="宋体" w:eastAsia="宋体" w:cs="宋体"/>
          <w:color w:val="auto"/>
          <w:spacing w:val="6"/>
          <w:sz w:val="19"/>
          <w:szCs w:val="19"/>
          <w:highlight w:val="none"/>
        </w:rPr>
        <w:t>或变更合同约</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定的发包人和承包人的权利、义务和责任。</w:t>
      </w:r>
    </w:p>
    <w:p w14:paraId="4B067955">
      <w:pPr>
        <w:spacing w:before="31" w:line="332" w:lineRule="auto"/>
        <w:ind w:left="27" w:firstLine="422"/>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3.1.3 合同约定应由承包人承担的义务和责任，不因监理</w:t>
      </w:r>
      <w:r>
        <w:rPr>
          <w:rFonts w:ascii="宋体" w:hAnsi="宋体" w:eastAsia="宋体" w:cs="宋体"/>
          <w:color w:val="auto"/>
          <w:spacing w:val="10"/>
          <w:sz w:val="19"/>
          <w:szCs w:val="19"/>
          <w:highlight w:val="none"/>
        </w:rPr>
        <w:t>人对承包人提交文件的审查或批</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准，对工程、材料和设备的检查和检验，</w:t>
      </w:r>
      <w:r>
        <w:rPr>
          <w:rFonts w:ascii="宋体" w:hAnsi="宋体" w:eastAsia="宋体" w:cs="宋体"/>
          <w:color w:val="auto"/>
          <w:spacing w:val="-43"/>
          <w:sz w:val="19"/>
          <w:szCs w:val="19"/>
          <w:highlight w:val="none"/>
        </w:rPr>
        <w:t xml:space="preserve"> </w:t>
      </w:r>
      <w:r>
        <w:rPr>
          <w:rFonts w:ascii="宋体" w:hAnsi="宋体" w:eastAsia="宋体" w:cs="宋体"/>
          <w:color w:val="auto"/>
          <w:spacing w:val="8"/>
          <w:sz w:val="19"/>
          <w:szCs w:val="19"/>
          <w:highlight w:val="none"/>
        </w:rPr>
        <w:t>以</w:t>
      </w:r>
      <w:r>
        <w:rPr>
          <w:rFonts w:ascii="宋体" w:hAnsi="宋体" w:eastAsia="宋体" w:cs="宋体"/>
          <w:color w:val="auto"/>
          <w:spacing w:val="7"/>
          <w:sz w:val="19"/>
          <w:szCs w:val="19"/>
          <w:highlight w:val="none"/>
        </w:rPr>
        <w:t>及为实施监理作出的指示等职务行为而减轻或解除。</w:t>
      </w:r>
    </w:p>
    <w:p w14:paraId="128A0277">
      <w:pPr>
        <w:spacing w:line="332" w:lineRule="auto"/>
        <w:rPr>
          <w:rFonts w:ascii="宋体" w:hAnsi="宋体" w:eastAsia="宋体" w:cs="宋体"/>
          <w:color w:val="auto"/>
          <w:sz w:val="19"/>
          <w:szCs w:val="19"/>
          <w:highlight w:val="none"/>
        </w:rPr>
        <w:sectPr>
          <w:footerReference r:id="rId75" w:type="default"/>
          <w:pgSz w:w="11900" w:h="16832"/>
          <w:pgMar w:top="1430" w:right="1740" w:bottom="1188" w:left="1784" w:header="0" w:footer="980" w:gutter="0"/>
          <w:pgNumType w:fmt="decimal"/>
          <w:cols w:space="720" w:num="1"/>
        </w:sectPr>
      </w:pPr>
    </w:p>
    <w:p w14:paraId="1592739B">
      <w:pPr>
        <w:spacing w:before="56" w:line="220" w:lineRule="auto"/>
        <w:ind w:left="34"/>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3.</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5"/>
          <w:sz w:val="28"/>
          <w:szCs w:val="28"/>
          <w:highlight w:val="none"/>
        </w:rPr>
        <w:t>2</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5"/>
          <w:sz w:val="28"/>
          <w:szCs w:val="28"/>
          <w:highlight w:val="none"/>
        </w:rPr>
        <w:t>总监理工程师</w:t>
      </w:r>
    </w:p>
    <w:p w14:paraId="1E806A07">
      <w:pPr>
        <w:spacing w:line="299" w:lineRule="auto"/>
        <w:rPr>
          <w:rFonts w:ascii="Arial"/>
          <w:color w:val="auto"/>
          <w:sz w:val="21"/>
          <w:highlight w:val="none"/>
        </w:rPr>
      </w:pPr>
    </w:p>
    <w:p w14:paraId="34C5C737">
      <w:pPr>
        <w:spacing w:before="62" w:line="334" w:lineRule="auto"/>
        <w:ind w:left="24" w:right="62" w:firstLine="423"/>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发包人应在发出开工通知前将总监理工程师的任命通知承包人。总监理工程师更换时, 应</w:t>
      </w:r>
      <w:r>
        <w:rPr>
          <w:rFonts w:ascii="宋体" w:hAnsi="宋体" w:eastAsia="宋体" w:cs="宋体"/>
          <w:color w:val="auto"/>
          <w:spacing w:val="16"/>
          <w:sz w:val="19"/>
          <w:szCs w:val="19"/>
          <w:highlight w:val="none"/>
        </w:rPr>
        <w:t xml:space="preserve"> </w:t>
      </w:r>
      <w:r>
        <w:rPr>
          <w:rFonts w:ascii="宋体" w:hAnsi="宋体" w:eastAsia="宋体" w:cs="宋体"/>
          <w:color w:val="auto"/>
          <w:spacing w:val="9"/>
          <w:sz w:val="19"/>
          <w:szCs w:val="19"/>
          <w:highlight w:val="none"/>
        </w:rPr>
        <w:t>在调离 14 天前通知承包人。总监理工程师短期离开施工场地的，应委派代表代行其职 责，并</w:t>
      </w:r>
      <w:r>
        <w:rPr>
          <w:rFonts w:ascii="宋体" w:hAnsi="宋体" w:eastAsia="宋体" w:cs="宋体"/>
          <w:color w:val="auto"/>
          <w:spacing w:val="4"/>
          <w:sz w:val="19"/>
          <w:szCs w:val="19"/>
          <w:highlight w:val="none"/>
        </w:rPr>
        <w:t xml:space="preserve"> </w:t>
      </w:r>
      <w:r>
        <w:rPr>
          <w:rFonts w:ascii="宋体" w:hAnsi="宋体" w:eastAsia="宋体" w:cs="宋体"/>
          <w:color w:val="auto"/>
          <w:spacing w:val="3"/>
          <w:sz w:val="19"/>
          <w:szCs w:val="19"/>
          <w:highlight w:val="none"/>
        </w:rPr>
        <w:t>通知承包人。</w:t>
      </w:r>
    </w:p>
    <w:p w14:paraId="20137BF3">
      <w:pPr>
        <w:spacing w:before="79" w:line="221" w:lineRule="auto"/>
        <w:ind w:left="34"/>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3.3</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监理人员</w:t>
      </w:r>
    </w:p>
    <w:p w14:paraId="51A772C8">
      <w:pPr>
        <w:spacing w:line="303" w:lineRule="auto"/>
        <w:rPr>
          <w:rFonts w:ascii="Arial"/>
          <w:color w:val="auto"/>
          <w:sz w:val="21"/>
          <w:highlight w:val="none"/>
        </w:rPr>
      </w:pPr>
    </w:p>
    <w:p w14:paraId="27F70340">
      <w:pPr>
        <w:spacing w:before="62" w:line="343" w:lineRule="auto"/>
        <w:ind w:left="26" w:right="64" w:firstLine="42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 xml:space="preserve">3.3. 1 总监理工程师可以授权其他监理人员负责执行其指派的一项或多项监理工作。总监 </w:t>
      </w:r>
      <w:r>
        <w:rPr>
          <w:rFonts w:ascii="宋体" w:hAnsi="宋体" w:eastAsia="宋体" w:cs="宋体"/>
          <w:color w:val="auto"/>
          <w:spacing w:val="12"/>
          <w:sz w:val="19"/>
          <w:szCs w:val="19"/>
          <w:highlight w:val="none"/>
        </w:rPr>
        <w:t>理工程师应将被授权监理人员的姓名及其授权范围通知承包人。被授权的监理人</w:t>
      </w:r>
      <w:r>
        <w:rPr>
          <w:rFonts w:ascii="宋体" w:hAnsi="宋体" w:eastAsia="宋体" w:cs="宋体"/>
          <w:color w:val="auto"/>
          <w:spacing w:val="11"/>
          <w:sz w:val="19"/>
          <w:szCs w:val="19"/>
          <w:highlight w:val="none"/>
        </w:rPr>
        <w:t>员在授权范围</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内发出的指示视为已得到总监理工程师的同意，与总监理工程师发出的指示具有同等效力。</w:t>
      </w:r>
      <w:r>
        <w:rPr>
          <w:rFonts w:ascii="宋体" w:hAnsi="宋体" w:eastAsia="宋体" w:cs="宋体"/>
          <w:color w:val="auto"/>
          <w:spacing w:val="-50"/>
          <w:sz w:val="19"/>
          <w:szCs w:val="19"/>
          <w:highlight w:val="none"/>
        </w:rPr>
        <w:t xml:space="preserve"> </w:t>
      </w:r>
      <w:r>
        <w:rPr>
          <w:rFonts w:ascii="宋体" w:hAnsi="宋体" w:eastAsia="宋体" w:cs="宋体"/>
          <w:color w:val="auto"/>
          <w:spacing w:val="11"/>
          <w:sz w:val="19"/>
          <w:szCs w:val="19"/>
          <w:highlight w:val="none"/>
        </w:rPr>
        <w:t>总</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监理工程师撤销某项授权时，应将撤销授权</w:t>
      </w:r>
      <w:r>
        <w:rPr>
          <w:rFonts w:ascii="宋体" w:hAnsi="宋体" w:eastAsia="宋体" w:cs="宋体"/>
          <w:color w:val="auto"/>
          <w:spacing w:val="8"/>
          <w:sz w:val="19"/>
          <w:szCs w:val="19"/>
          <w:highlight w:val="none"/>
        </w:rPr>
        <w:t>的决定及时通知承包人。</w:t>
      </w:r>
    </w:p>
    <w:p w14:paraId="0645A88B">
      <w:pPr>
        <w:spacing w:before="32" w:line="341" w:lineRule="auto"/>
        <w:ind w:left="28" w:right="73" w:firstLine="421"/>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3.3.2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监理人员对承包人的任何工作、工程或其采用的材料和工程设备未在约</w:t>
      </w:r>
      <w:r>
        <w:rPr>
          <w:rFonts w:ascii="宋体" w:hAnsi="宋体" w:eastAsia="宋体" w:cs="宋体"/>
          <w:color w:val="auto"/>
          <w:spacing w:val="6"/>
          <w:sz w:val="19"/>
          <w:szCs w:val="19"/>
          <w:highlight w:val="none"/>
        </w:rPr>
        <w:t>定的或合理的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期限内提出否定意见的，视为已获批准，但不影响监理人在以后拒绝该项工</w:t>
      </w:r>
      <w:r>
        <w:rPr>
          <w:rFonts w:ascii="宋体" w:hAnsi="宋体" w:eastAsia="宋体" w:cs="宋体"/>
          <w:color w:val="auto"/>
          <w:spacing w:val="11"/>
          <w:sz w:val="19"/>
          <w:szCs w:val="19"/>
          <w:highlight w:val="none"/>
        </w:rPr>
        <w:t>作、工程、材料或</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工程设备的权利。</w:t>
      </w:r>
    </w:p>
    <w:p w14:paraId="0F0CA892">
      <w:pPr>
        <w:spacing w:before="29" w:line="337" w:lineRule="auto"/>
        <w:ind w:left="29" w:right="7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3.3.3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承包人对总监理工程师授权的监理人员发出的指示有疑问的，可向总监理工</w:t>
      </w:r>
      <w:r>
        <w:rPr>
          <w:rFonts w:ascii="宋体" w:hAnsi="宋体" w:eastAsia="宋体" w:cs="宋体"/>
          <w:color w:val="auto"/>
          <w:spacing w:val="6"/>
          <w:sz w:val="19"/>
          <w:szCs w:val="19"/>
          <w:highlight w:val="none"/>
        </w:rPr>
        <w:t>程师提出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书面异议，总监理工程师应在</w:t>
      </w:r>
      <w:r>
        <w:rPr>
          <w:rFonts w:ascii="宋体" w:hAnsi="宋体" w:eastAsia="宋体" w:cs="宋体"/>
          <w:color w:val="auto"/>
          <w:spacing w:val="-37"/>
          <w:sz w:val="19"/>
          <w:szCs w:val="19"/>
          <w:highlight w:val="none"/>
        </w:rPr>
        <w:t xml:space="preserve"> </w:t>
      </w:r>
      <w:r>
        <w:rPr>
          <w:rFonts w:ascii="宋体" w:hAnsi="宋体" w:eastAsia="宋体" w:cs="宋体"/>
          <w:color w:val="auto"/>
          <w:spacing w:val="8"/>
          <w:sz w:val="19"/>
          <w:szCs w:val="19"/>
          <w:highlight w:val="none"/>
        </w:rPr>
        <w:t>48</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小时内对该指示</w:t>
      </w:r>
      <w:r>
        <w:rPr>
          <w:rFonts w:ascii="宋体" w:hAnsi="宋体" w:eastAsia="宋体" w:cs="宋体"/>
          <w:color w:val="auto"/>
          <w:spacing w:val="7"/>
          <w:sz w:val="19"/>
          <w:szCs w:val="19"/>
          <w:highlight w:val="none"/>
        </w:rPr>
        <w:t>予以确认、更改或撤销。</w:t>
      </w:r>
    </w:p>
    <w:p w14:paraId="64AF70D9">
      <w:pPr>
        <w:spacing w:before="28" w:line="335" w:lineRule="auto"/>
        <w:ind w:left="26" w:right="67" w:firstLine="42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3.3.4</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除专用合同条款另有约定外，</w:t>
      </w:r>
      <w:r>
        <w:rPr>
          <w:rFonts w:ascii="宋体" w:hAnsi="宋体" w:eastAsia="宋体" w:cs="宋体"/>
          <w:color w:val="auto"/>
          <w:spacing w:val="-41"/>
          <w:sz w:val="19"/>
          <w:szCs w:val="19"/>
          <w:highlight w:val="none"/>
        </w:rPr>
        <w:t xml:space="preserve"> </w:t>
      </w:r>
      <w:r>
        <w:rPr>
          <w:rFonts w:ascii="宋体" w:hAnsi="宋体" w:eastAsia="宋体" w:cs="宋体"/>
          <w:color w:val="auto"/>
          <w:spacing w:val="6"/>
          <w:sz w:val="19"/>
          <w:szCs w:val="19"/>
          <w:highlight w:val="none"/>
        </w:rPr>
        <w:t>总监理工程师不应将第</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pacing w:val="-27"/>
          <w:sz w:val="19"/>
          <w:szCs w:val="19"/>
          <w:highlight w:val="none"/>
        </w:rPr>
        <w:t xml:space="preserve"> </w:t>
      </w:r>
      <w:r>
        <w:rPr>
          <w:rFonts w:ascii="宋体" w:hAnsi="宋体" w:eastAsia="宋体" w:cs="宋体"/>
          <w:color w:val="auto"/>
          <w:spacing w:val="6"/>
          <w:sz w:val="19"/>
          <w:szCs w:val="19"/>
          <w:highlight w:val="none"/>
        </w:rPr>
        <w:t>款约定应由总监理工程师</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作出确定的权力授权或委托给其他监理人员。</w:t>
      </w:r>
    </w:p>
    <w:p w14:paraId="74BA9A61">
      <w:pPr>
        <w:spacing w:before="197" w:line="221" w:lineRule="auto"/>
        <w:ind w:left="34"/>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3.4</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监理人的指示</w:t>
      </w:r>
    </w:p>
    <w:p w14:paraId="21E82A60">
      <w:pPr>
        <w:spacing w:line="301" w:lineRule="auto"/>
        <w:rPr>
          <w:rFonts w:ascii="Arial"/>
          <w:color w:val="auto"/>
          <w:sz w:val="21"/>
          <w:highlight w:val="none"/>
        </w:rPr>
      </w:pPr>
    </w:p>
    <w:p w14:paraId="56753BAD">
      <w:pPr>
        <w:spacing w:before="62" w:line="337" w:lineRule="auto"/>
        <w:ind w:left="24" w:firstLine="42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3.4. 1</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监理人应按第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3. 1</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款的约定向承包人发出指示，监理人的指示应盖有监理人授权的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施工场地机构章，并由总监理工程师或总监理工程师按第</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3. 3. 1</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项约定授权的监理人员签字。</w:t>
      </w:r>
    </w:p>
    <w:p w14:paraId="7D4227C1">
      <w:pPr>
        <w:spacing w:before="34" w:line="337" w:lineRule="auto"/>
        <w:ind w:left="25" w:right="69"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3.4.2</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承包人收到监理人按第</w:t>
      </w:r>
      <w:r>
        <w:rPr>
          <w:rFonts w:ascii="宋体" w:hAnsi="宋体" w:eastAsia="宋体" w:cs="宋体"/>
          <w:color w:val="auto"/>
          <w:spacing w:val="-24"/>
          <w:sz w:val="19"/>
          <w:szCs w:val="19"/>
          <w:highlight w:val="none"/>
        </w:rPr>
        <w:t xml:space="preserve"> </w:t>
      </w:r>
      <w:r>
        <w:rPr>
          <w:rFonts w:ascii="宋体" w:hAnsi="宋体" w:eastAsia="宋体" w:cs="宋体"/>
          <w:color w:val="auto"/>
          <w:spacing w:val="8"/>
          <w:sz w:val="19"/>
          <w:szCs w:val="19"/>
          <w:highlight w:val="none"/>
        </w:rPr>
        <w:t>3. 4.1</w:t>
      </w:r>
      <w:r>
        <w:rPr>
          <w:rFonts w:ascii="宋体" w:hAnsi="宋体" w:eastAsia="宋体" w:cs="宋体"/>
          <w:color w:val="auto"/>
          <w:spacing w:val="-26"/>
          <w:sz w:val="19"/>
          <w:szCs w:val="19"/>
          <w:highlight w:val="none"/>
        </w:rPr>
        <w:t xml:space="preserve"> </w:t>
      </w:r>
      <w:r>
        <w:rPr>
          <w:rFonts w:ascii="宋体" w:hAnsi="宋体" w:eastAsia="宋体" w:cs="宋体"/>
          <w:color w:val="auto"/>
          <w:spacing w:val="8"/>
          <w:sz w:val="19"/>
          <w:szCs w:val="19"/>
          <w:highlight w:val="none"/>
        </w:rPr>
        <w:t>项作出的指示后应</w:t>
      </w:r>
      <w:r>
        <w:rPr>
          <w:rFonts w:ascii="宋体" w:hAnsi="宋体" w:eastAsia="宋体" w:cs="宋体"/>
          <w:color w:val="auto"/>
          <w:spacing w:val="7"/>
          <w:sz w:val="19"/>
          <w:szCs w:val="19"/>
          <w:highlight w:val="none"/>
        </w:rPr>
        <w:t>遵照执行。指示构成变更的，应按</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3"/>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条处理。</w:t>
      </w:r>
    </w:p>
    <w:p w14:paraId="7BC1ABBC">
      <w:pPr>
        <w:spacing w:before="32" w:line="343" w:lineRule="auto"/>
        <w:ind w:left="26" w:right="71"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3.4.3</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在紧急情况下，总监理工程师或被授权的监理人员可以当场签发临时书面指示，</w:t>
      </w:r>
      <w:r>
        <w:rPr>
          <w:rFonts w:ascii="宋体" w:hAnsi="宋体" w:eastAsia="宋体" w:cs="宋体"/>
          <w:color w:val="auto"/>
          <w:spacing w:val="6"/>
          <w:sz w:val="19"/>
          <w:szCs w:val="19"/>
          <w:highlight w:val="none"/>
        </w:rPr>
        <w:t>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人应遵照执行。承包人应在收到上述临时书面指示后 24 小时内，</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向监理人发出书 面确认函。</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监理人在收到书面确认函后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24</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小时内未予答复</w:t>
      </w:r>
      <w:r>
        <w:rPr>
          <w:rFonts w:ascii="宋体" w:hAnsi="宋体" w:eastAsia="宋体" w:cs="宋体"/>
          <w:color w:val="auto"/>
          <w:spacing w:val="7"/>
          <w:sz w:val="19"/>
          <w:szCs w:val="19"/>
          <w:highlight w:val="none"/>
        </w:rPr>
        <w:t>的，</w:t>
      </w:r>
      <w:r>
        <w:rPr>
          <w:rFonts w:ascii="宋体" w:hAnsi="宋体" w:eastAsia="宋体" w:cs="宋体"/>
          <w:color w:val="auto"/>
          <w:spacing w:val="-52"/>
          <w:sz w:val="19"/>
          <w:szCs w:val="19"/>
          <w:highlight w:val="none"/>
        </w:rPr>
        <w:t xml:space="preserve"> </w:t>
      </w:r>
      <w:r>
        <w:rPr>
          <w:rFonts w:ascii="宋体" w:hAnsi="宋体" w:eastAsia="宋体" w:cs="宋体"/>
          <w:color w:val="auto"/>
          <w:spacing w:val="7"/>
          <w:sz w:val="19"/>
          <w:szCs w:val="19"/>
          <w:highlight w:val="none"/>
        </w:rPr>
        <w:t>该书面确认函应被视为监理人的正式指示。</w:t>
      </w:r>
    </w:p>
    <w:p w14:paraId="6FC60A50">
      <w:pPr>
        <w:spacing w:before="31" w:line="337" w:lineRule="auto"/>
        <w:ind w:left="28" w:right="69" w:firstLine="421"/>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3.4.4</w:t>
      </w:r>
      <w:r>
        <w:rPr>
          <w:rFonts w:ascii="宋体" w:hAnsi="宋体" w:eastAsia="宋体" w:cs="宋体"/>
          <w:color w:val="auto"/>
          <w:spacing w:val="-14"/>
          <w:sz w:val="19"/>
          <w:szCs w:val="19"/>
          <w:highlight w:val="none"/>
        </w:rPr>
        <w:t xml:space="preserve"> </w:t>
      </w:r>
      <w:r>
        <w:rPr>
          <w:rFonts w:ascii="宋体" w:hAnsi="宋体" w:eastAsia="宋体" w:cs="宋体"/>
          <w:color w:val="auto"/>
          <w:spacing w:val="5"/>
          <w:sz w:val="19"/>
          <w:szCs w:val="19"/>
          <w:highlight w:val="none"/>
        </w:rPr>
        <w:t>除合同另有约定外，</w:t>
      </w:r>
      <w:r>
        <w:rPr>
          <w:rFonts w:ascii="宋体" w:hAnsi="宋体" w:eastAsia="宋体" w:cs="宋体"/>
          <w:color w:val="auto"/>
          <w:spacing w:val="-55"/>
          <w:sz w:val="19"/>
          <w:szCs w:val="19"/>
          <w:highlight w:val="none"/>
        </w:rPr>
        <w:t xml:space="preserve"> </w:t>
      </w:r>
      <w:r>
        <w:rPr>
          <w:rFonts w:ascii="宋体" w:hAnsi="宋体" w:eastAsia="宋体" w:cs="宋体"/>
          <w:color w:val="auto"/>
          <w:spacing w:val="5"/>
          <w:sz w:val="19"/>
          <w:szCs w:val="19"/>
          <w:highlight w:val="none"/>
        </w:rPr>
        <w:t>承包人只从总监理工程师或按第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3.</w:t>
      </w:r>
      <w:r>
        <w:rPr>
          <w:rFonts w:ascii="宋体" w:hAnsi="宋体" w:eastAsia="宋体" w:cs="宋体"/>
          <w:color w:val="auto"/>
          <w:spacing w:val="-20"/>
          <w:sz w:val="19"/>
          <w:szCs w:val="19"/>
          <w:highlight w:val="none"/>
        </w:rPr>
        <w:t xml:space="preserve"> </w:t>
      </w:r>
      <w:r>
        <w:rPr>
          <w:rFonts w:ascii="宋体" w:hAnsi="宋体" w:eastAsia="宋体" w:cs="宋体"/>
          <w:color w:val="auto"/>
          <w:spacing w:val="5"/>
          <w:sz w:val="19"/>
          <w:szCs w:val="19"/>
          <w:highlight w:val="none"/>
        </w:rPr>
        <w:t>3. 1</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项被授权的监理人员处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取得指示。</w:t>
      </w:r>
    </w:p>
    <w:p w14:paraId="1F6E78AE">
      <w:pPr>
        <w:spacing w:before="33" w:line="337" w:lineRule="auto"/>
        <w:ind w:left="35" w:right="73" w:firstLine="41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3.4.5 由于监理人未能按合同约定发出指示、指示延误或指示错误而导致承包人费</w:t>
      </w:r>
      <w:r>
        <w:rPr>
          <w:rFonts w:ascii="宋体" w:hAnsi="宋体" w:eastAsia="宋体" w:cs="宋体"/>
          <w:color w:val="auto"/>
          <w:spacing w:val="5"/>
          <w:sz w:val="19"/>
          <w:szCs w:val="19"/>
          <w:highlight w:val="none"/>
        </w:rPr>
        <w:t>用增加和</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（或）工期延误的，由发包人承担赔偿责任。</w:t>
      </w:r>
    </w:p>
    <w:p w14:paraId="62DBA4A7">
      <w:pPr>
        <w:spacing w:before="71" w:line="221" w:lineRule="auto"/>
        <w:ind w:left="34"/>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3.5</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商定或确定</w:t>
      </w:r>
    </w:p>
    <w:p w14:paraId="02DD8D08">
      <w:pPr>
        <w:spacing w:line="309" w:lineRule="auto"/>
        <w:rPr>
          <w:rFonts w:ascii="Arial"/>
          <w:color w:val="auto"/>
          <w:sz w:val="21"/>
          <w:highlight w:val="none"/>
        </w:rPr>
      </w:pPr>
    </w:p>
    <w:p w14:paraId="6F66361D">
      <w:pPr>
        <w:spacing w:before="62" w:line="344" w:lineRule="auto"/>
        <w:ind w:left="26" w:right="73"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3.5.1</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合同约定总监理工程师应按照本款对任何事项进行商定或确定时，总监</w:t>
      </w:r>
      <w:r>
        <w:rPr>
          <w:rFonts w:ascii="宋体" w:hAnsi="宋体" w:eastAsia="宋体" w:cs="宋体"/>
          <w:color w:val="auto"/>
          <w:spacing w:val="6"/>
          <w:sz w:val="19"/>
          <w:szCs w:val="19"/>
          <w:highlight w:val="none"/>
        </w:rPr>
        <w:t>理工程师应与</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合同当事人协商，尽量达成一致。不能达成一致的，总监理工程师应认</w:t>
      </w:r>
      <w:r>
        <w:rPr>
          <w:rFonts w:ascii="宋体" w:hAnsi="宋体" w:eastAsia="宋体" w:cs="宋体"/>
          <w:color w:val="auto"/>
          <w:spacing w:val="8"/>
          <w:sz w:val="19"/>
          <w:szCs w:val="19"/>
          <w:highlight w:val="none"/>
        </w:rPr>
        <w:t>真研究后审慎确定。</w:t>
      </w:r>
    </w:p>
    <w:p w14:paraId="28776A59">
      <w:pPr>
        <w:spacing w:before="19" w:line="337" w:lineRule="auto"/>
        <w:ind w:left="24" w:right="67" w:firstLine="42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3.5.2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总监理工程师应将商定或确定的事项通知合同当事人，并附详细</w:t>
      </w:r>
      <w:r>
        <w:rPr>
          <w:rFonts w:ascii="宋体" w:hAnsi="宋体" w:eastAsia="宋体" w:cs="宋体"/>
          <w:color w:val="auto"/>
          <w:spacing w:val="6"/>
          <w:sz w:val="19"/>
          <w:szCs w:val="19"/>
          <w:highlight w:val="none"/>
        </w:rPr>
        <w:t>依据。对总监理工程</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师的确定有异议的，构成争议，按照第</w:t>
      </w:r>
      <w:r>
        <w:rPr>
          <w:rFonts w:ascii="宋体" w:hAnsi="宋体" w:eastAsia="宋体" w:cs="宋体"/>
          <w:color w:val="auto"/>
          <w:spacing w:val="-34"/>
          <w:sz w:val="19"/>
          <w:szCs w:val="19"/>
          <w:highlight w:val="none"/>
        </w:rPr>
        <w:t xml:space="preserve"> </w:t>
      </w:r>
      <w:r>
        <w:rPr>
          <w:rFonts w:ascii="宋体" w:hAnsi="宋体" w:eastAsia="宋体" w:cs="宋体"/>
          <w:color w:val="auto"/>
          <w:spacing w:val="9"/>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9"/>
          <w:sz w:val="19"/>
          <w:szCs w:val="19"/>
          <w:highlight w:val="none"/>
        </w:rPr>
        <w:t>条的约定处理。在争议解决前，双</w:t>
      </w:r>
      <w:r>
        <w:rPr>
          <w:rFonts w:ascii="宋体" w:hAnsi="宋体" w:eastAsia="宋体" w:cs="宋体"/>
          <w:color w:val="auto"/>
          <w:spacing w:val="8"/>
          <w:sz w:val="19"/>
          <w:szCs w:val="19"/>
          <w:highlight w:val="none"/>
        </w:rPr>
        <w:t>方应暂按总监理工</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程师的确定执行，按照第 24 条的约定对总监理工程师的确定作出修改的，按修 改后的结果执</w:t>
      </w:r>
    </w:p>
    <w:p w14:paraId="1D6CD8EA">
      <w:pPr>
        <w:spacing w:line="337" w:lineRule="auto"/>
        <w:rPr>
          <w:rFonts w:ascii="宋体" w:hAnsi="宋体" w:eastAsia="宋体" w:cs="宋体"/>
          <w:color w:val="auto"/>
          <w:sz w:val="19"/>
          <w:szCs w:val="19"/>
          <w:highlight w:val="none"/>
        </w:rPr>
        <w:sectPr>
          <w:footerReference r:id="rId76" w:type="default"/>
          <w:pgSz w:w="11900" w:h="16832"/>
          <w:pgMar w:top="1423" w:right="1735" w:bottom="1188" w:left="1784" w:header="0" w:footer="980" w:gutter="0"/>
          <w:pgNumType w:fmt="decimal"/>
          <w:cols w:space="720" w:num="1"/>
        </w:sectPr>
      </w:pPr>
    </w:p>
    <w:p w14:paraId="0740FBED">
      <w:pPr>
        <w:spacing w:before="124" w:line="229" w:lineRule="auto"/>
        <w:ind w:left="28"/>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行。</w:t>
      </w:r>
    </w:p>
    <w:p w14:paraId="13EB5EA1">
      <w:pPr>
        <w:spacing w:before="333" w:line="225" w:lineRule="auto"/>
        <w:ind w:left="25"/>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4.</w:t>
      </w:r>
      <w:r>
        <w:rPr>
          <w:rFonts w:ascii="宋体" w:hAnsi="宋体" w:eastAsia="宋体" w:cs="宋体"/>
          <w:b/>
          <w:bCs/>
          <w:color w:val="auto"/>
          <w:spacing w:val="4"/>
          <w:sz w:val="31"/>
          <w:szCs w:val="31"/>
          <w:highlight w:val="none"/>
        </w:rPr>
        <w:t>承包人</w:t>
      </w:r>
    </w:p>
    <w:p w14:paraId="1CADA481">
      <w:pPr>
        <w:spacing w:line="249" w:lineRule="auto"/>
        <w:rPr>
          <w:rFonts w:ascii="Arial"/>
          <w:color w:val="auto"/>
          <w:sz w:val="21"/>
          <w:highlight w:val="none"/>
        </w:rPr>
      </w:pPr>
    </w:p>
    <w:p w14:paraId="283AD138">
      <w:pPr>
        <w:spacing w:line="250" w:lineRule="auto"/>
        <w:rPr>
          <w:rFonts w:ascii="Arial"/>
          <w:color w:val="auto"/>
          <w:sz w:val="21"/>
          <w:highlight w:val="none"/>
        </w:rPr>
      </w:pPr>
    </w:p>
    <w:p w14:paraId="4086870C">
      <w:pPr>
        <w:spacing w:before="91"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4.1</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4"/>
          <w:sz w:val="28"/>
          <w:szCs w:val="28"/>
          <w:highlight w:val="none"/>
        </w:rPr>
        <w:t>承包人的一般义务</w:t>
      </w:r>
    </w:p>
    <w:p w14:paraId="5A0FFCD1">
      <w:pPr>
        <w:spacing w:line="306" w:lineRule="auto"/>
        <w:rPr>
          <w:rFonts w:ascii="Arial"/>
          <w:color w:val="auto"/>
          <w:sz w:val="21"/>
          <w:highlight w:val="none"/>
        </w:rPr>
      </w:pPr>
    </w:p>
    <w:p w14:paraId="1D042DBF">
      <w:pPr>
        <w:spacing w:before="62" w:line="228" w:lineRule="auto"/>
        <w:ind w:left="44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4.1.1</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遵守法律</w:t>
      </w:r>
    </w:p>
    <w:p w14:paraId="5277F1B4">
      <w:pPr>
        <w:spacing w:before="116" w:line="326" w:lineRule="auto"/>
        <w:ind w:left="24" w:right="48" w:firstLine="420"/>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承包人在履行合同过程中应遵守法律，并保证发包人免于</w:t>
      </w:r>
      <w:r>
        <w:rPr>
          <w:rFonts w:ascii="宋体" w:hAnsi="宋体" w:eastAsia="宋体" w:cs="宋体"/>
          <w:color w:val="auto"/>
          <w:spacing w:val="11"/>
          <w:sz w:val="19"/>
          <w:szCs w:val="19"/>
          <w:highlight w:val="none"/>
        </w:rPr>
        <w:t>承担因承包人违反法律而引起的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任何责任。</w:t>
      </w:r>
    </w:p>
    <w:p w14:paraId="37FB3D8F">
      <w:pPr>
        <w:spacing w:before="72" w:line="228" w:lineRule="auto"/>
        <w:ind w:left="44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4.1.2</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依法纳税</w:t>
      </w:r>
    </w:p>
    <w:p w14:paraId="7C9B416D">
      <w:pPr>
        <w:spacing w:before="243" w:line="342" w:lineRule="auto"/>
        <w:ind w:left="444" w:right="215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承包人应按有关法律规定纳税，应缴纳的税金包括在合同价格内。</w:t>
      </w:r>
      <w:r>
        <w:rPr>
          <w:rFonts w:ascii="宋体" w:hAnsi="宋体" w:eastAsia="宋体" w:cs="宋体"/>
          <w:color w:val="auto"/>
          <w:spacing w:val="12"/>
          <w:sz w:val="19"/>
          <w:szCs w:val="19"/>
          <w:highlight w:val="none"/>
        </w:rPr>
        <w:t xml:space="preserve"> </w:t>
      </w:r>
      <w:r>
        <w:rPr>
          <w:rFonts w:ascii="宋体" w:hAnsi="宋体" w:eastAsia="宋体" w:cs="宋体"/>
          <w:color w:val="auto"/>
          <w:spacing w:val="6"/>
          <w:sz w:val="19"/>
          <w:szCs w:val="19"/>
          <w:highlight w:val="none"/>
        </w:rPr>
        <w:t>4.1.3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完成各项承包工作</w:t>
      </w:r>
    </w:p>
    <w:p w14:paraId="65FF739A">
      <w:pPr>
        <w:spacing w:before="26" w:line="349" w:lineRule="auto"/>
        <w:ind w:left="25" w:right="4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承包人应按合同约定以及监理人根据第 3.4 款作出的指示，实施、完成全部工程，并修补</w:t>
      </w:r>
      <w:r>
        <w:rPr>
          <w:rFonts w:ascii="宋体" w:hAnsi="宋体" w:eastAsia="宋体" w:cs="宋体"/>
          <w:color w:val="auto"/>
          <w:spacing w:val="7"/>
          <w:sz w:val="19"/>
          <w:szCs w:val="19"/>
          <w:highlight w:val="none"/>
        </w:rPr>
        <w:t xml:space="preserve"> </w:t>
      </w:r>
      <w:r>
        <w:rPr>
          <w:rFonts w:ascii="宋体" w:hAnsi="宋体" w:eastAsia="宋体" w:cs="宋体"/>
          <w:color w:val="auto"/>
          <w:spacing w:val="6"/>
          <w:sz w:val="19"/>
          <w:szCs w:val="19"/>
          <w:highlight w:val="none"/>
        </w:rPr>
        <w:t>工程中的任何缺陷。除第 5. 2 款、第 6. 2 款另有约定外，承包人应提供为完成合同工作所需</w:t>
      </w:r>
      <w:r>
        <w:rPr>
          <w:rFonts w:ascii="宋体" w:hAnsi="宋体" w:eastAsia="宋体" w:cs="宋体"/>
          <w:color w:val="auto"/>
          <w:spacing w:val="15"/>
          <w:sz w:val="19"/>
          <w:szCs w:val="19"/>
          <w:highlight w:val="none"/>
        </w:rPr>
        <w:t xml:space="preserve"> </w:t>
      </w:r>
      <w:r>
        <w:rPr>
          <w:rFonts w:ascii="宋体" w:hAnsi="宋体" w:eastAsia="宋体" w:cs="宋体"/>
          <w:color w:val="auto"/>
          <w:spacing w:val="11"/>
          <w:sz w:val="19"/>
          <w:szCs w:val="19"/>
          <w:highlight w:val="none"/>
        </w:rPr>
        <w:t>的劳务、材料、施工设备、工程设备和其它物品，并按合同约定负责临时设施的设计、建造、</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运行、维护、管理和拆除。</w:t>
      </w:r>
    </w:p>
    <w:p w14:paraId="2A8B1DBC">
      <w:pPr>
        <w:spacing w:before="25"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4.1.4</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对施工作业和施工方法的完备性负责</w:t>
      </w:r>
    </w:p>
    <w:p w14:paraId="037622AA">
      <w:pPr>
        <w:spacing w:before="125" w:line="335" w:lineRule="auto"/>
        <w:ind w:left="24" w:right="48" w:firstLine="420"/>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承包人应按合同约定的工作内容和施工进度要求，编制施</w:t>
      </w:r>
      <w:r>
        <w:rPr>
          <w:rFonts w:ascii="宋体" w:hAnsi="宋体" w:eastAsia="宋体" w:cs="宋体"/>
          <w:color w:val="auto"/>
          <w:spacing w:val="11"/>
          <w:sz w:val="19"/>
          <w:szCs w:val="19"/>
          <w:highlight w:val="none"/>
        </w:rPr>
        <w:t>工组织设计和施工措施计划，并</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对所有施工作业和施工方法的完备性和安全可靠性负责。</w:t>
      </w:r>
    </w:p>
    <w:p w14:paraId="46D21815">
      <w:pPr>
        <w:spacing w:before="33" w:line="229"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4.1.5</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保证工程施工和人员的安全</w:t>
      </w:r>
    </w:p>
    <w:p w14:paraId="1F9A2F1B">
      <w:pPr>
        <w:spacing w:before="144" w:line="358" w:lineRule="auto"/>
        <w:ind w:left="25" w:right="48"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承包人应按第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9. 2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款约定采取施工安全措施，确保工程及其人员、材料、设备和设施的安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全，防止因工程施工造成的人身伤害和财产损</w:t>
      </w:r>
      <w:r>
        <w:rPr>
          <w:rFonts w:ascii="宋体" w:hAnsi="宋体" w:eastAsia="宋体" w:cs="宋体"/>
          <w:color w:val="auto"/>
          <w:spacing w:val="7"/>
          <w:sz w:val="19"/>
          <w:szCs w:val="19"/>
          <w:highlight w:val="none"/>
        </w:rPr>
        <w:t>失。</w:t>
      </w:r>
    </w:p>
    <w:p w14:paraId="7A4C6660">
      <w:pPr>
        <w:spacing w:before="12" w:line="228" w:lineRule="auto"/>
        <w:ind w:left="44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4.1.6</w:t>
      </w:r>
      <w:r>
        <w:rPr>
          <w:rFonts w:ascii="宋体" w:hAnsi="宋体" w:eastAsia="宋体" w:cs="宋体"/>
          <w:color w:val="auto"/>
          <w:spacing w:val="-28"/>
          <w:sz w:val="19"/>
          <w:szCs w:val="19"/>
          <w:highlight w:val="none"/>
        </w:rPr>
        <w:t xml:space="preserve"> </w:t>
      </w:r>
      <w:r>
        <w:rPr>
          <w:rFonts w:ascii="宋体" w:hAnsi="宋体" w:eastAsia="宋体" w:cs="宋体"/>
          <w:color w:val="auto"/>
          <w:spacing w:val="8"/>
          <w:sz w:val="19"/>
          <w:szCs w:val="19"/>
          <w:highlight w:val="none"/>
        </w:rPr>
        <w:t>负责施工场地及其周边环境与生态的</w:t>
      </w:r>
      <w:r>
        <w:rPr>
          <w:rFonts w:ascii="宋体" w:hAnsi="宋体" w:eastAsia="宋体" w:cs="宋体"/>
          <w:color w:val="auto"/>
          <w:spacing w:val="7"/>
          <w:sz w:val="19"/>
          <w:szCs w:val="19"/>
          <w:highlight w:val="none"/>
        </w:rPr>
        <w:t>保护工作</w:t>
      </w:r>
    </w:p>
    <w:p w14:paraId="6C979948">
      <w:pPr>
        <w:spacing w:before="181" w:line="228" w:lineRule="auto"/>
        <w:ind w:left="44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承包人应按照第</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9.4</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款约定负责施工场地及其周边环境与生</w:t>
      </w:r>
      <w:r>
        <w:rPr>
          <w:rFonts w:ascii="宋体" w:hAnsi="宋体" w:eastAsia="宋体" w:cs="宋体"/>
          <w:color w:val="auto"/>
          <w:spacing w:val="7"/>
          <w:sz w:val="19"/>
          <w:szCs w:val="19"/>
          <w:highlight w:val="none"/>
        </w:rPr>
        <w:t>态的保护工作。</w:t>
      </w:r>
    </w:p>
    <w:p w14:paraId="166EE7D3">
      <w:pPr>
        <w:spacing w:before="120" w:line="228" w:lineRule="auto"/>
        <w:ind w:left="44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w:t>
      </w:r>
      <w:r>
        <w:rPr>
          <w:rFonts w:ascii="宋体" w:hAnsi="宋体" w:eastAsia="宋体" w:cs="宋体"/>
          <w:color w:val="auto"/>
          <w:spacing w:val="47"/>
          <w:sz w:val="19"/>
          <w:szCs w:val="19"/>
          <w:highlight w:val="none"/>
        </w:rPr>
        <w:t xml:space="preserve"> </w:t>
      </w:r>
      <w:r>
        <w:rPr>
          <w:rFonts w:ascii="宋体" w:hAnsi="宋体" w:eastAsia="宋体" w:cs="宋体"/>
          <w:color w:val="auto"/>
          <w:spacing w:val="6"/>
          <w:sz w:val="19"/>
          <w:szCs w:val="19"/>
          <w:highlight w:val="none"/>
        </w:rPr>
        <w:t>1. 7</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避免施工对公众与他人的利益造成损害</w:t>
      </w:r>
    </w:p>
    <w:p w14:paraId="42A2BD5B">
      <w:pPr>
        <w:spacing w:before="119" w:line="336" w:lineRule="auto"/>
        <w:ind w:left="25" w:firstLine="419"/>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承包人在进行合同约定的各项工作时，不得侵害发包人与他人使用公用道路、水源、</w:t>
      </w:r>
      <w:r>
        <w:rPr>
          <w:rFonts w:ascii="宋体" w:hAnsi="宋体" w:eastAsia="宋体" w:cs="宋体"/>
          <w:color w:val="auto"/>
          <w:spacing w:val="8"/>
          <w:sz w:val="19"/>
          <w:szCs w:val="19"/>
          <w:highlight w:val="none"/>
        </w:rPr>
        <w:t xml:space="preserve"> 市政</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管网等公共设施的权利，避免对邻近的公共设施产生干扰。承包人占用或使用他人的施工场地，</w:t>
      </w:r>
      <w:r>
        <w:rPr>
          <w:rFonts w:ascii="宋体" w:hAnsi="宋体" w:eastAsia="宋体" w:cs="宋体"/>
          <w:color w:val="auto"/>
          <w:spacing w:val="16"/>
          <w:sz w:val="19"/>
          <w:szCs w:val="19"/>
          <w:highlight w:val="none"/>
        </w:rPr>
        <w:t xml:space="preserve"> </w:t>
      </w:r>
      <w:r>
        <w:rPr>
          <w:rFonts w:ascii="宋体" w:hAnsi="宋体" w:eastAsia="宋体" w:cs="宋体"/>
          <w:color w:val="auto"/>
          <w:spacing w:val="7"/>
          <w:sz w:val="19"/>
          <w:szCs w:val="19"/>
          <w:highlight w:val="none"/>
        </w:rPr>
        <w:t>影响他人作业或生活的，应承担相应责任。</w:t>
      </w:r>
    </w:p>
    <w:p w14:paraId="66674D3B">
      <w:pPr>
        <w:spacing w:before="30" w:line="228" w:lineRule="auto"/>
        <w:ind w:left="444"/>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4.</w:t>
      </w:r>
      <w:r>
        <w:rPr>
          <w:rFonts w:ascii="宋体" w:hAnsi="宋体" w:eastAsia="宋体" w:cs="宋体"/>
          <w:color w:val="auto"/>
          <w:spacing w:val="29"/>
          <w:sz w:val="19"/>
          <w:szCs w:val="19"/>
          <w:highlight w:val="none"/>
        </w:rPr>
        <w:t xml:space="preserve"> </w:t>
      </w:r>
      <w:r>
        <w:rPr>
          <w:rFonts w:ascii="宋体" w:hAnsi="宋体" w:eastAsia="宋体" w:cs="宋体"/>
          <w:color w:val="auto"/>
          <w:spacing w:val="4"/>
          <w:sz w:val="19"/>
          <w:szCs w:val="19"/>
          <w:highlight w:val="none"/>
        </w:rPr>
        <w:t>1.8</w:t>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为他人提供方便</w:t>
      </w:r>
    </w:p>
    <w:p w14:paraId="180801A9">
      <w:pPr>
        <w:spacing w:before="109" w:line="322" w:lineRule="auto"/>
        <w:ind w:left="26" w:right="41" w:firstLine="419"/>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承包人应按监理人的指示为他人在施工场地或附近实施</w:t>
      </w:r>
      <w:r>
        <w:rPr>
          <w:rFonts w:ascii="宋体" w:hAnsi="宋体" w:eastAsia="宋体" w:cs="宋体"/>
          <w:color w:val="auto"/>
          <w:spacing w:val="11"/>
          <w:sz w:val="19"/>
          <w:szCs w:val="19"/>
          <w:highlight w:val="none"/>
        </w:rPr>
        <w:t>与工程有关的其他各项工作提供可</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能的条件。除合同另有约定外，提供有关条件的内容和可能发生的费用，</w:t>
      </w:r>
      <w:r>
        <w:rPr>
          <w:rFonts w:ascii="宋体" w:hAnsi="宋体" w:eastAsia="宋体" w:cs="宋体"/>
          <w:color w:val="auto"/>
          <w:spacing w:val="-36"/>
          <w:sz w:val="19"/>
          <w:szCs w:val="19"/>
          <w:highlight w:val="none"/>
        </w:rPr>
        <w:t xml:space="preserve"> </w:t>
      </w:r>
      <w:r>
        <w:rPr>
          <w:rFonts w:ascii="宋体" w:hAnsi="宋体" w:eastAsia="宋体" w:cs="宋体"/>
          <w:color w:val="auto"/>
          <w:spacing w:val="10"/>
          <w:sz w:val="19"/>
          <w:szCs w:val="19"/>
          <w:highlight w:val="none"/>
        </w:rPr>
        <w:t>由监理人按 第 3. 5</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款商定或确定。</w:t>
      </w:r>
    </w:p>
    <w:p w14:paraId="23ACB89E">
      <w:pPr>
        <w:spacing w:before="31" w:line="228" w:lineRule="auto"/>
        <w:ind w:left="44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4.1.9</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工程的维护和照管</w:t>
      </w:r>
    </w:p>
    <w:p w14:paraId="300DF40F">
      <w:pPr>
        <w:spacing w:before="114" w:line="336" w:lineRule="auto"/>
        <w:ind w:left="27" w:right="48" w:firstLine="43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 xml:space="preserve">除合同另有约定外， 合同工程完工证书颁发前， 承包人应负责照管和维护工程。合同工程 </w:t>
      </w:r>
      <w:r>
        <w:rPr>
          <w:rFonts w:ascii="宋体" w:hAnsi="宋体" w:eastAsia="宋体" w:cs="宋体"/>
          <w:color w:val="auto"/>
          <w:spacing w:val="12"/>
          <w:sz w:val="19"/>
          <w:szCs w:val="19"/>
          <w:highlight w:val="none"/>
        </w:rPr>
        <w:t>完工证书颁发时尚有部分未完工程的，承包人还应负责该未完工程的照管和维</w:t>
      </w:r>
      <w:r>
        <w:rPr>
          <w:rFonts w:ascii="宋体" w:hAnsi="宋体" w:eastAsia="宋体" w:cs="宋体"/>
          <w:color w:val="auto"/>
          <w:spacing w:val="11"/>
          <w:sz w:val="19"/>
          <w:szCs w:val="19"/>
          <w:highlight w:val="none"/>
        </w:rPr>
        <w:t>护工作，直至完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工后移交给发包人为止。</w:t>
      </w:r>
    </w:p>
    <w:p w14:paraId="534799D3">
      <w:pPr>
        <w:spacing w:before="30" w:line="228" w:lineRule="auto"/>
        <w:ind w:left="444"/>
        <w:rPr>
          <w:rFonts w:ascii="宋体" w:hAnsi="宋体" w:eastAsia="宋体" w:cs="宋体"/>
          <w:color w:val="auto"/>
          <w:sz w:val="19"/>
          <w:szCs w:val="19"/>
          <w:highlight w:val="none"/>
        </w:rPr>
      </w:pPr>
      <w:r>
        <w:rPr>
          <w:rFonts w:ascii="宋体" w:hAnsi="宋体" w:eastAsia="宋体" w:cs="宋体"/>
          <w:color w:val="auto"/>
          <w:sz w:val="19"/>
          <w:szCs w:val="19"/>
          <w:highlight w:val="none"/>
        </w:rPr>
        <w:t>4.</w:t>
      </w:r>
      <w:r>
        <w:rPr>
          <w:rFonts w:ascii="宋体" w:hAnsi="宋体" w:eastAsia="宋体" w:cs="宋体"/>
          <w:color w:val="auto"/>
          <w:spacing w:val="30"/>
          <w:sz w:val="19"/>
          <w:szCs w:val="19"/>
          <w:highlight w:val="none"/>
        </w:rPr>
        <w:t xml:space="preserve"> </w:t>
      </w:r>
      <w:r>
        <w:rPr>
          <w:rFonts w:ascii="宋体" w:hAnsi="宋体" w:eastAsia="宋体" w:cs="宋体"/>
          <w:color w:val="auto"/>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z w:val="19"/>
          <w:szCs w:val="19"/>
          <w:highlight w:val="none"/>
        </w:rPr>
        <w:t>10</w:t>
      </w:r>
      <w:r>
        <w:rPr>
          <w:rFonts w:ascii="宋体" w:hAnsi="宋体" w:eastAsia="宋体" w:cs="宋体"/>
          <w:color w:val="auto"/>
          <w:spacing w:val="-35"/>
          <w:sz w:val="19"/>
          <w:szCs w:val="19"/>
          <w:highlight w:val="none"/>
        </w:rPr>
        <w:t xml:space="preserve"> </w:t>
      </w:r>
      <w:r>
        <w:rPr>
          <w:rFonts w:ascii="宋体" w:hAnsi="宋体" w:eastAsia="宋体" w:cs="宋体"/>
          <w:color w:val="auto"/>
          <w:sz w:val="19"/>
          <w:szCs w:val="19"/>
          <w:highlight w:val="none"/>
        </w:rPr>
        <w:t>其它义务</w:t>
      </w:r>
    </w:p>
    <w:p w14:paraId="08D1F171">
      <w:pPr>
        <w:spacing w:before="128" w:line="228" w:lineRule="auto"/>
        <w:ind w:left="44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其它义务在专用合同条款中补充约定。</w:t>
      </w:r>
    </w:p>
    <w:p w14:paraId="19B16EA6">
      <w:pPr>
        <w:spacing w:line="228" w:lineRule="auto"/>
        <w:rPr>
          <w:rFonts w:ascii="宋体" w:hAnsi="宋体" w:eastAsia="宋体" w:cs="宋体"/>
          <w:color w:val="auto"/>
          <w:sz w:val="19"/>
          <w:szCs w:val="19"/>
          <w:highlight w:val="none"/>
        </w:rPr>
        <w:sectPr>
          <w:footerReference r:id="rId77" w:type="default"/>
          <w:pgSz w:w="11900" w:h="16832"/>
          <w:pgMar w:top="1430" w:right="1755" w:bottom="1188" w:left="1784" w:header="0" w:footer="980" w:gutter="0"/>
          <w:pgNumType w:fmt="decimal"/>
          <w:cols w:space="720" w:num="1"/>
        </w:sectPr>
      </w:pPr>
    </w:p>
    <w:p w14:paraId="552DBED4">
      <w:pPr>
        <w:spacing w:before="55" w:line="221" w:lineRule="auto"/>
        <w:ind w:left="27"/>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4.2</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6"/>
          <w:sz w:val="28"/>
          <w:szCs w:val="28"/>
          <w:highlight w:val="none"/>
        </w:rPr>
        <w:t>履约担保</w:t>
      </w:r>
    </w:p>
    <w:p w14:paraId="22DE0DCB">
      <w:pPr>
        <w:spacing w:line="278" w:lineRule="auto"/>
        <w:rPr>
          <w:rFonts w:ascii="Arial"/>
          <w:color w:val="auto"/>
          <w:sz w:val="21"/>
          <w:highlight w:val="none"/>
        </w:rPr>
      </w:pPr>
    </w:p>
    <w:p w14:paraId="4EAC1C1F">
      <w:pPr>
        <w:spacing w:before="62" w:line="307" w:lineRule="auto"/>
        <w:ind w:left="24" w:right="43" w:firstLine="420"/>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承包人应保证其履约担保在发包人颁发合同工程完工证书</w:t>
      </w:r>
      <w:r>
        <w:rPr>
          <w:rFonts w:ascii="宋体" w:hAnsi="宋体" w:eastAsia="宋体" w:cs="宋体"/>
          <w:color w:val="auto"/>
          <w:spacing w:val="11"/>
          <w:sz w:val="19"/>
          <w:szCs w:val="19"/>
          <w:highlight w:val="none"/>
        </w:rPr>
        <w:t>前一直有效。发包人应在合同工</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程完工证书颁发后</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天内将履约担保退还给承包</w:t>
      </w:r>
      <w:r>
        <w:rPr>
          <w:rFonts w:ascii="宋体" w:hAnsi="宋体" w:eastAsia="宋体" w:cs="宋体"/>
          <w:color w:val="auto"/>
          <w:spacing w:val="6"/>
          <w:sz w:val="19"/>
          <w:szCs w:val="19"/>
          <w:highlight w:val="none"/>
        </w:rPr>
        <w:t>人。</w:t>
      </w:r>
    </w:p>
    <w:p w14:paraId="12978529">
      <w:pPr>
        <w:spacing w:before="138" w:line="221" w:lineRule="auto"/>
        <w:ind w:left="27"/>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4.3</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分包</w:t>
      </w:r>
    </w:p>
    <w:p w14:paraId="6C5014CB">
      <w:pPr>
        <w:spacing w:line="305" w:lineRule="auto"/>
        <w:rPr>
          <w:rFonts w:ascii="Arial"/>
          <w:color w:val="auto"/>
          <w:sz w:val="21"/>
          <w:highlight w:val="none"/>
        </w:rPr>
      </w:pPr>
    </w:p>
    <w:p w14:paraId="1903CC8B">
      <w:pPr>
        <w:spacing w:before="62" w:line="337" w:lineRule="auto"/>
        <w:ind w:left="42" w:right="49" w:firstLine="40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承包人不得将其承包的全部工程转包给第三人，或将其承包的全部工程肢解后以分包</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的名义转包给第三人。</w:t>
      </w:r>
    </w:p>
    <w:p w14:paraId="1F5AEA5C">
      <w:pPr>
        <w:spacing w:before="32" w:line="338" w:lineRule="auto"/>
        <w:ind w:left="27" w:right="45" w:firstLine="41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4.3.2</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承包人不得将工程主体、关键性工作分包给第三人。除专用合同条款另有约定外，未</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经发包人同意，</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承包人不得将工程的其他部分或工作分包给第三人。</w:t>
      </w:r>
    </w:p>
    <w:p w14:paraId="125F7A81">
      <w:pPr>
        <w:spacing w:before="30" w:line="228" w:lineRule="auto"/>
        <w:ind w:left="44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4. 3. 3</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分包人的资格能力应与其分包工程的标准和</w:t>
      </w:r>
      <w:r>
        <w:rPr>
          <w:rFonts w:ascii="宋体" w:hAnsi="宋体" w:eastAsia="宋体" w:cs="宋体"/>
          <w:color w:val="auto"/>
          <w:spacing w:val="7"/>
          <w:sz w:val="19"/>
          <w:szCs w:val="19"/>
          <w:highlight w:val="none"/>
        </w:rPr>
        <w:t>规模相适应。</w:t>
      </w:r>
    </w:p>
    <w:p w14:paraId="5B39CB14">
      <w:pPr>
        <w:spacing w:before="127" w:line="340" w:lineRule="auto"/>
        <w:ind w:left="444" w:right="30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4.3.4</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按磋商函附录约定分包工程的，承包人应向发包人和监理人提交分包合同</w:t>
      </w:r>
      <w:r>
        <w:rPr>
          <w:rFonts w:ascii="宋体" w:hAnsi="宋体" w:eastAsia="宋体" w:cs="宋体"/>
          <w:color w:val="auto"/>
          <w:spacing w:val="7"/>
          <w:sz w:val="19"/>
          <w:szCs w:val="19"/>
          <w:highlight w:val="none"/>
        </w:rPr>
        <w:t xml:space="preserve"> 副本。</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4.3.5</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承包人应与分包人就分包工程向发包人承担连带责任。</w:t>
      </w:r>
    </w:p>
    <w:p w14:paraId="0C5C27B7">
      <w:pPr>
        <w:spacing w:before="26" w:line="346" w:lineRule="auto"/>
        <w:ind w:left="25" w:right="45" w:firstLine="419"/>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4.3.6 分包分为工程分包和劳务作业分包。工程分包应遵循合同约</w:t>
      </w:r>
      <w:r>
        <w:rPr>
          <w:rFonts w:ascii="宋体" w:hAnsi="宋体" w:eastAsia="宋体" w:cs="宋体"/>
          <w:color w:val="auto"/>
          <w:spacing w:val="10"/>
          <w:sz w:val="19"/>
          <w:szCs w:val="19"/>
          <w:highlight w:val="none"/>
        </w:rPr>
        <w:t>定或者经发包人书面认</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可。禁止承包人将本合同工程进行违法分包。分包人应具备与分包工程规模和标准</w:t>
      </w:r>
      <w:r>
        <w:rPr>
          <w:rFonts w:ascii="宋体" w:hAnsi="宋体" w:eastAsia="宋体" w:cs="宋体"/>
          <w:color w:val="auto"/>
          <w:spacing w:val="11"/>
          <w:sz w:val="19"/>
          <w:szCs w:val="19"/>
          <w:highlight w:val="none"/>
        </w:rPr>
        <w:t>相适应的资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质和业绩，在人力、设备、资金等方面具有承担分包工程施工的能力。分包人应自</w:t>
      </w:r>
      <w:r>
        <w:rPr>
          <w:rFonts w:ascii="宋体" w:hAnsi="宋体" w:eastAsia="宋体" w:cs="宋体"/>
          <w:color w:val="auto"/>
          <w:spacing w:val="11"/>
          <w:sz w:val="19"/>
          <w:szCs w:val="19"/>
          <w:highlight w:val="none"/>
        </w:rPr>
        <w:t>行完成所承</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包的任务。</w:t>
      </w:r>
    </w:p>
    <w:p w14:paraId="6485CA82">
      <w:pPr>
        <w:spacing w:before="28" w:line="348" w:lineRule="auto"/>
        <w:ind w:left="24" w:right="4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4.3.7 在合同实施过程中，</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如承包人无力在合同规定的期限内完成合同中的应急防 汛、抢</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险等危及公共安全和工程安全的项目，发包人可对该应急防汛、抢险等项目的部分</w:t>
      </w:r>
      <w:r>
        <w:rPr>
          <w:rFonts w:ascii="宋体" w:hAnsi="宋体" w:eastAsia="宋体" w:cs="宋体"/>
          <w:color w:val="auto"/>
          <w:spacing w:val="11"/>
          <w:sz w:val="19"/>
          <w:szCs w:val="19"/>
          <w:highlight w:val="none"/>
        </w:rPr>
        <w:t>工程指定分</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包人。因非承包人原因形成指定分包条件的，发包人</w:t>
      </w:r>
      <w:r>
        <w:rPr>
          <w:rFonts w:ascii="宋体" w:hAnsi="宋体" w:eastAsia="宋体" w:cs="宋体"/>
          <w:color w:val="auto"/>
          <w:spacing w:val="11"/>
          <w:sz w:val="19"/>
          <w:szCs w:val="19"/>
          <w:highlight w:val="none"/>
        </w:rPr>
        <w:t>的指定分包不得增加承包人的额外费用；</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因承包人原因形成指定分包条件的，承包人应承担指定分包所增加的费用。由指定分</w:t>
      </w:r>
      <w:r>
        <w:rPr>
          <w:rFonts w:ascii="宋体" w:hAnsi="宋体" w:eastAsia="宋体" w:cs="宋体"/>
          <w:color w:val="auto"/>
          <w:spacing w:val="11"/>
          <w:sz w:val="19"/>
          <w:szCs w:val="19"/>
          <w:highlight w:val="none"/>
        </w:rPr>
        <w:t>包人造成</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的与其分包工作有关的一切索赔、诉讼和损失赔偿由指定分包人直接对发包人负责</w:t>
      </w:r>
      <w:r>
        <w:rPr>
          <w:rFonts w:ascii="宋体" w:hAnsi="宋体" w:eastAsia="宋体" w:cs="宋体"/>
          <w:color w:val="auto"/>
          <w:spacing w:val="11"/>
          <w:sz w:val="19"/>
          <w:szCs w:val="19"/>
          <w:highlight w:val="none"/>
        </w:rPr>
        <w:t>，承包人不</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对此承担责任。</w:t>
      </w:r>
    </w:p>
    <w:p w14:paraId="0D17130C">
      <w:pPr>
        <w:spacing w:before="31" w:line="343" w:lineRule="auto"/>
        <w:ind w:left="26" w:right="49" w:firstLine="418"/>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4.3.8</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承包人和发包人应当签订分包合同，并履行合同约定的义务。分包合同必须遵循承包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合同的各项原则，满足相应条款的要求。发包人可以对分包合同实施情况进行监</w:t>
      </w:r>
      <w:r>
        <w:rPr>
          <w:rFonts w:ascii="宋体" w:hAnsi="宋体" w:eastAsia="宋体" w:cs="宋体"/>
          <w:color w:val="auto"/>
          <w:spacing w:val="11"/>
          <w:sz w:val="19"/>
          <w:szCs w:val="19"/>
          <w:highlight w:val="none"/>
        </w:rPr>
        <w:t>督检查。承包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人应将分包合同副本提交发包人和监理人。</w:t>
      </w:r>
    </w:p>
    <w:p w14:paraId="0BAE4666">
      <w:pPr>
        <w:spacing w:before="24" w:line="338" w:lineRule="auto"/>
        <w:ind w:left="28" w:right="45" w:firstLine="415"/>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4.3.9</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除第</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4.</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项规定的指定分包外，</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承包人对其分包项目的实施以及分包人的行为向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发包人负全部责任。承包人应对分包项目的工程进度、质量、安全、计量和验收等实</w:t>
      </w:r>
      <w:r>
        <w:rPr>
          <w:rFonts w:ascii="宋体" w:hAnsi="宋体" w:eastAsia="宋体" w:cs="宋体"/>
          <w:color w:val="auto"/>
          <w:spacing w:val="11"/>
          <w:sz w:val="19"/>
          <w:szCs w:val="19"/>
          <w:highlight w:val="none"/>
        </w:rPr>
        <w:t>施监督和</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管理。</w:t>
      </w:r>
    </w:p>
    <w:p w14:paraId="431B5057">
      <w:pPr>
        <w:spacing w:before="40" w:line="228" w:lineRule="auto"/>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4.3.10</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分包人应按专用合同条款的约定设立项目管理机构组织管理分包工程的施工 活</w:t>
      </w:r>
      <w:r>
        <w:rPr>
          <w:rFonts w:ascii="宋体" w:hAnsi="宋体" w:eastAsia="宋体" w:cs="宋体"/>
          <w:color w:val="auto"/>
          <w:spacing w:val="7"/>
          <w:sz w:val="19"/>
          <w:szCs w:val="19"/>
          <w:highlight w:val="none"/>
        </w:rPr>
        <w:t>动。</w:t>
      </w:r>
    </w:p>
    <w:p w14:paraId="5E02188A">
      <w:pPr>
        <w:spacing w:before="193" w:line="221" w:lineRule="auto"/>
        <w:ind w:left="27"/>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4.4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联合体</w:t>
      </w:r>
    </w:p>
    <w:p w14:paraId="7A33D6AE">
      <w:pPr>
        <w:spacing w:line="316" w:lineRule="auto"/>
        <w:rPr>
          <w:rFonts w:ascii="Arial"/>
          <w:color w:val="auto"/>
          <w:sz w:val="21"/>
          <w:highlight w:val="none"/>
        </w:rPr>
      </w:pPr>
    </w:p>
    <w:p w14:paraId="3272DCC4">
      <w:pPr>
        <w:spacing w:before="62" w:line="297" w:lineRule="auto"/>
        <w:ind w:left="24" w:right="54" w:hanging="2"/>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4.1</w:t>
      </w:r>
      <w:r>
        <w:rPr>
          <w:rFonts w:ascii="宋体" w:hAnsi="宋体" w:eastAsia="宋体" w:cs="宋体"/>
          <w:color w:val="auto"/>
          <w:spacing w:val="-24"/>
          <w:sz w:val="19"/>
          <w:szCs w:val="19"/>
          <w:highlight w:val="none"/>
        </w:rPr>
        <w:t xml:space="preserve"> </w:t>
      </w:r>
      <w:r>
        <w:rPr>
          <w:rFonts w:ascii="宋体" w:hAnsi="宋体" w:eastAsia="宋体" w:cs="宋体"/>
          <w:color w:val="auto"/>
          <w:spacing w:val="8"/>
          <w:sz w:val="19"/>
          <w:szCs w:val="19"/>
          <w:highlight w:val="none"/>
        </w:rPr>
        <w:t>联合体各方应共同与发包人签订合同协议书。联合体各方应为履行合同承担连带责</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任。</w:t>
      </w:r>
    </w:p>
    <w:p w14:paraId="6042BF53">
      <w:pPr>
        <w:spacing w:before="133" w:line="291" w:lineRule="auto"/>
        <w:ind w:left="28" w:right="96" w:firstLine="41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4.2 联合体协议经发包人确认后作为合同附件。在履行合同过程中，未经发包人同意，</w:t>
      </w:r>
      <w:r>
        <w:rPr>
          <w:rFonts w:ascii="宋体" w:hAnsi="宋体" w:eastAsia="宋体" w:cs="宋体"/>
          <w:color w:val="auto"/>
          <w:spacing w:val="6"/>
          <w:sz w:val="19"/>
          <w:szCs w:val="19"/>
          <w:highlight w:val="none"/>
        </w:rPr>
        <w:t xml:space="preserve"> </w:t>
      </w:r>
      <w:r>
        <w:rPr>
          <w:rFonts w:ascii="宋体" w:hAnsi="宋体" w:eastAsia="宋体" w:cs="宋体"/>
          <w:color w:val="auto"/>
          <w:spacing w:val="5"/>
          <w:sz w:val="19"/>
          <w:szCs w:val="19"/>
          <w:highlight w:val="none"/>
        </w:rPr>
        <w:t>不得修改联合体协议。</w:t>
      </w:r>
    </w:p>
    <w:p w14:paraId="198154EC">
      <w:pPr>
        <w:spacing w:before="127" w:line="338" w:lineRule="auto"/>
        <w:ind w:left="28" w:right="49" w:firstLine="41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4.4.3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联合体牵头人负责与发包人和监理人联系，并接受指示，负责组织联合体各成员全面</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履行合同。</w:t>
      </w:r>
    </w:p>
    <w:p w14:paraId="5EED7CC7">
      <w:pPr>
        <w:spacing w:line="338" w:lineRule="auto"/>
        <w:rPr>
          <w:rFonts w:ascii="宋体" w:hAnsi="宋体" w:eastAsia="宋体" w:cs="宋体"/>
          <w:color w:val="auto"/>
          <w:sz w:val="19"/>
          <w:szCs w:val="19"/>
          <w:highlight w:val="none"/>
        </w:rPr>
        <w:sectPr>
          <w:footerReference r:id="rId78" w:type="default"/>
          <w:pgSz w:w="11900" w:h="16832"/>
          <w:pgMar w:top="1423" w:right="1759" w:bottom="1188" w:left="1784" w:header="0" w:footer="980" w:gutter="0"/>
          <w:pgNumType w:fmt="decimal"/>
          <w:cols w:space="720" w:num="1"/>
        </w:sectPr>
      </w:pPr>
    </w:p>
    <w:p w14:paraId="78B5A730">
      <w:pPr>
        <w:spacing w:before="56" w:line="220" w:lineRule="auto"/>
        <w:ind w:left="27"/>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4.5</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5"/>
          <w:sz w:val="28"/>
          <w:szCs w:val="28"/>
          <w:highlight w:val="none"/>
        </w:rPr>
        <w:t>承包人项目经理</w:t>
      </w:r>
    </w:p>
    <w:p w14:paraId="71089B5E">
      <w:pPr>
        <w:spacing w:line="302" w:lineRule="auto"/>
        <w:rPr>
          <w:rFonts w:ascii="Arial"/>
          <w:color w:val="auto"/>
          <w:sz w:val="21"/>
          <w:highlight w:val="none"/>
        </w:rPr>
      </w:pPr>
    </w:p>
    <w:p w14:paraId="4966749B">
      <w:pPr>
        <w:spacing w:before="62" w:line="309" w:lineRule="auto"/>
        <w:ind w:left="24" w:right="3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5.1 承包人应按合同约定指派项目经理，并在约定的期限内到职。承包人更换项目经理</w:t>
      </w:r>
      <w:r>
        <w:rPr>
          <w:rFonts w:ascii="宋体" w:hAnsi="宋体" w:eastAsia="宋体" w:cs="宋体"/>
          <w:color w:val="auto"/>
          <w:spacing w:val="14"/>
          <w:sz w:val="19"/>
          <w:szCs w:val="19"/>
          <w:highlight w:val="none"/>
        </w:rPr>
        <w:t xml:space="preserve"> </w:t>
      </w:r>
      <w:r>
        <w:rPr>
          <w:rFonts w:ascii="宋体" w:hAnsi="宋体" w:eastAsia="宋体" w:cs="宋体"/>
          <w:color w:val="auto"/>
          <w:spacing w:val="9"/>
          <w:sz w:val="19"/>
          <w:szCs w:val="19"/>
          <w:highlight w:val="none"/>
        </w:rPr>
        <w:t>应事先征得发包人同意，并应在更换 14 天前通知发包人和监理人。承包人项目经理短 期离开</w:t>
      </w:r>
      <w:r>
        <w:rPr>
          <w:rFonts w:ascii="宋体" w:hAnsi="宋体" w:eastAsia="宋体" w:cs="宋体"/>
          <w:color w:val="auto"/>
          <w:spacing w:val="4"/>
          <w:sz w:val="19"/>
          <w:szCs w:val="19"/>
          <w:highlight w:val="none"/>
        </w:rPr>
        <w:t xml:space="preserve"> </w:t>
      </w:r>
      <w:r>
        <w:rPr>
          <w:rFonts w:ascii="宋体" w:hAnsi="宋体" w:eastAsia="宋体" w:cs="宋体"/>
          <w:color w:val="auto"/>
          <w:spacing w:val="6"/>
          <w:sz w:val="19"/>
          <w:szCs w:val="19"/>
          <w:highlight w:val="none"/>
        </w:rPr>
        <w:t>施工场地，应事先征得监理人同意，</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并委派代表代行其职责。</w:t>
      </w:r>
    </w:p>
    <w:p w14:paraId="782241AE">
      <w:pPr>
        <w:spacing w:before="128" w:line="313" w:lineRule="auto"/>
        <w:ind w:left="24" w:right="3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w:t>
      </w:r>
      <w:r>
        <w:rPr>
          <w:rFonts w:ascii="宋体" w:hAnsi="宋体" w:eastAsia="宋体" w:cs="宋体"/>
          <w:color w:val="auto"/>
          <w:spacing w:val="-20"/>
          <w:sz w:val="19"/>
          <w:szCs w:val="19"/>
          <w:highlight w:val="none"/>
        </w:rPr>
        <w:t xml:space="preserve"> </w:t>
      </w:r>
      <w:r>
        <w:rPr>
          <w:rFonts w:ascii="宋体" w:hAnsi="宋体" w:eastAsia="宋体" w:cs="宋体"/>
          <w:color w:val="auto"/>
          <w:spacing w:val="8"/>
          <w:sz w:val="19"/>
          <w:szCs w:val="19"/>
          <w:highlight w:val="none"/>
        </w:rPr>
        <w:t>5.2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承包人项目经理应按合同约定以及</w:t>
      </w:r>
      <w:r>
        <w:rPr>
          <w:rFonts w:ascii="宋体" w:hAnsi="宋体" w:eastAsia="宋体" w:cs="宋体"/>
          <w:color w:val="auto"/>
          <w:spacing w:val="7"/>
          <w:sz w:val="19"/>
          <w:szCs w:val="19"/>
          <w:highlight w:val="none"/>
        </w:rPr>
        <w:t>监理人按第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3.</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4</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款作出的指示，负责组织合同工</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程的实施。在情况紧急且无法与监理人取得联系时</w:t>
      </w:r>
      <w:r>
        <w:rPr>
          <w:rFonts w:ascii="宋体" w:hAnsi="宋体" w:eastAsia="宋体" w:cs="宋体"/>
          <w:color w:val="auto"/>
          <w:spacing w:val="9"/>
          <w:sz w:val="19"/>
          <w:szCs w:val="19"/>
          <w:highlight w:val="none"/>
        </w:rPr>
        <w:t>，可采取保证工程和人员生命财产 安全的紧</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急措施，</w:t>
      </w:r>
      <w:r>
        <w:rPr>
          <w:rFonts w:ascii="宋体" w:hAnsi="宋体" w:eastAsia="宋体" w:cs="宋体"/>
          <w:color w:val="auto"/>
          <w:spacing w:val="-40"/>
          <w:sz w:val="19"/>
          <w:szCs w:val="19"/>
          <w:highlight w:val="none"/>
        </w:rPr>
        <w:t xml:space="preserve"> </w:t>
      </w:r>
      <w:r>
        <w:rPr>
          <w:rFonts w:ascii="宋体" w:hAnsi="宋体" w:eastAsia="宋体" w:cs="宋体"/>
          <w:color w:val="auto"/>
          <w:spacing w:val="5"/>
          <w:sz w:val="19"/>
          <w:szCs w:val="19"/>
          <w:highlight w:val="none"/>
        </w:rPr>
        <w:t>并在采取措施后</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24</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小时内向监理人提交书面报告。</w:t>
      </w:r>
    </w:p>
    <w:p w14:paraId="3898CF6D">
      <w:pPr>
        <w:spacing w:before="133" w:line="292" w:lineRule="auto"/>
        <w:ind w:left="49" w:right="43" w:firstLine="39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w:t>
      </w:r>
      <w:r>
        <w:rPr>
          <w:rFonts w:ascii="宋体" w:hAnsi="宋体" w:eastAsia="宋体" w:cs="宋体"/>
          <w:color w:val="auto"/>
          <w:spacing w:val="-10"/>
          <w:sz w:val="19"/>
          <w:szCs w:val="19"/>
          <w:highlight w:val="none"/>
        </w:rPr>
        <w:t xml:space="preserve"> </w:t>
      </w:r>
      <w:r>
        <w:rPr>
          <w:rFonts w:ascii="宋体" w:hAnsi="宋体" w:eastAsia="宋体" w:cs="宋体"/>
          <w:color w:val="auto"/>
          <w:spacing w:val="8"/>
          <w:sz w:val="19"/>
          <w:szCs w:val="19"/>
          <w:highlight w:val="none"/>
        </w:rPr>
        <w:t>5.</w:t>
      </w:r>
      <w:r>
        <w:rPr>
          <w:rFonts w:ascii="宋体" w:hAnsi="宋体" w:eastAsia="宋体" w:cs="宋体"/>
          <w:color w:val="auto"/>
          <w:spacing w:val="-21"/>
          <w:sz w:val="19"/>
          <w:szCs w:val="19"/>
          <w:highlight w:val="none"/>
        </w:rPr>
        <w:t xml:space="preserve"> </w:t>
      </w:r>
      <w:r>
        <w:rPr>
          <w:rFonts w:ascii="宋体" w:hAnsi="宋体" w:eastAsia="宋体" w:cs="宋体"/>
          <w:color w:val="auto"/>
          <w:spacing w:val="8"/>
          <w:sz w:val="19"/>
          <w:szCs w:val="19"/>
          <w:highlight w:val="none"/>
        </w:rPr>
        <w:t>3</w:t>
      </w:r>
      <w:r>
        <w:rPr>
          <w:rFonts w:ascii="宋体" w:hAnsi="宋体" w:eastAsia="宋体" w:cs="宋体"/>
          <w:color w:val="auto"/>
          <w:spacing w:val="-36"/>
          <w:sz w:val="19"/>
          <w:szCs w:val="19"/>
          <w:highlight w:val="none"/>
        </w:rPr>
        <w:t xml:space="preserve"> </w:t>
      </w:r>
      <w:r>
        <w:rPr>
          <w:rFonts w:ascii="宋体" w:hAnsi="宋体" w:eastAsia="宋体" w:cs="宋体"/>
          <w:color w:val="auto"/>
          <w:spacing w:val="8"/>
          <w:sz w:val="19"/>
          <w:szCs w:val="19"/>
          <w:highlight w:val="none"/>
        </w:rPr>
        <w:t>承包人为履行合同发出的一切函件均应盖有承包人授权的施工场地管理机构章，并</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由承包人项目经理或其授权代表签字。</w:t>
      </w:r>
    </w:p>
    <w:p w14:paraId="10EB7C3E">
      <w:pPr>
        <w:spacing w:before="127" w:line="290" w:lineRule="auto"/>
        <w:ind w:left="26" w:right="43" w:firstLine="41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5.4 承包人项目经理可以授权其下属人员履行其某项职责，</w:t>
      </w:r>
      <w:r>
        <w:rPr>
          <w:rFonts w:ascii="宋体" w:hAnsi="宋体" w:eastAsia="宋体" w:cs="宋体"/>
          <w:color w:val="auto"/>
          <w:spacing w:val="-40"/>
          <w:sz w:val="19"/>
          <w:szCs w:val="19"/>
          <w:highlight w:val="none"/>
        </w:rPr>
        <w:t xml:space="preserve"> </w:t>
      </w:r>
      <w:r>
        <w:rPr>
          <w:rFonts w:ascii="宋体" w:hAnsi="宋体" w:eastAsia="宋体" w:cs="宋体"/>
          <w:color w:val="auto"/>
          <w:spacing w:val="7"/>
          <w:sz w:val="19"/>
          <w:szCs w:val="19"/>
          <w:highlight w:val="none"/>
        </w:rPr>
        <w:t>但事先应将这些人员的姓名</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和授权范围通知监理人。</w:t>
      </w:r>
    </w:p>
    <w:p w14:paraId="7F72493C">
      <w:pPr>
        <w:spacing w:before="189"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4.6</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4"/>
          <w:sz w:val="28"/>
          <w:szCs w:val="28"/>
          <w:highlight w:val="none"/>
        </w:rPr>
        <w:t>承包人人员的管理</w:t>
      </w:r>
    </w:p>
    <w:p w14:paraId="67F86C24">
      <w:pPr>
        <w:spacing w:line="305" w:lineRule="auto"/>
        <w:rPr>
          <w:rFonts w:ascii="Arial"/>
          <w:color w:val="auto"/>
          <w:sz w:val="21"/>
          <w:highlight w:val="none"/>
        </w:rPr>
      </w:pPr>
    </w:p>
    <w:p w14:paraId="0C339A2F">
      <w:pPr>
        <w:spacing w:before="62" w:line="310" w:lineRule="auto"/>
        <w:ind w:left="24" w:right="41"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6.1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承包人应在接到开工通知后</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天内，向监理人提交承包人在施工场地的管理机构以</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及人员安排的报告，其内容应包括管理机构的设置、各主要岗位的技术和管理人员</w:t>
      </w:r>
      <w:r>
        <w:rPr>
          <w:rFonts w:ascii="宋体" w:hAnsi="宋体" w:eastAsia="宋体" w:cs="宋体"/>
          <w:color w:val="auto"/>
          <w:spacing w:val="11"/>
          <w:sz w:val="19"/>
          <w:szCs w:val="19"/>
          <w:highlight w:val="none"/>
        </w:rPr>
        <w:t>名单及其资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格，以及各工种技术工人的安排状况。承包人应向监理人提交施工场地人员变动情况的报告。</w:t>
      </w:r>
    </w:p>
    <w:p w14:paraId="559BE073">
      <w:pPr>
        <w:spacing w:before="127" w:line="292" w:lineRule="auto"/>
        <w:ind w:left="33" w:right="37" w:firstLine="411"/>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4. 6.2 为完成合同约定的各项工作，承包人应向施工场</w:t>
      </w:r>
      <w:r>
        <w:rPr>
          <w:rFonts w:ascii="宋体" w:hAnsi="宋体" w:eastAsia="宋体" w:cs="宋体"/>
          <w:color w:val="auto"/>
          <w:spacing w:val="10"/>
          <w:sz w:val="19"/>
          <w:szCs w:val="19"/>
          <w:highlight w:val="none"/>
        </w:rPr>
        <w:t>地派遣或雇佣足够数量的下列 人</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员：</w:t>
      </w:r>
    </w:p>
    <w:p w14:paraId="7D87A35E">
      <w:pPr>
        <w:spacing w:before="17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具有相应资格的</w:t>
      </w:r>
      <w:r>
        <w:rPr>
          <w:rFonts w:ascii="宋体" w:hAnsi="宋体" w:eastAsia="宋体" w:cs="宋体"/>
          <w:color w:val="auto"/>
          <w:spacing w:val="5"/>
          <w:sz w:val="19"/>
          <w:szCs w:val="19"/>
          <w:highlight w:val="none"/>
        </w:rPr>
        <w:t>专业技工和合格的普工；</w:t>
      </w:r>
    </w:p>
    <w:p w14:paraId="1D584EF6">
      <w:pPr>
        <w:spacing w:before="18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具有相应施工经验的技术人员；</w:t>
      </w:r>
    </w:p>
    <w:p w14:paraId="780C1964">
      <w:pPr>
        <w:spacing w:before="18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(3)</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6"/>
          <w:sz w:val="19"/>
          <w:szCs w:val="19"/>
          <w:highlight w:val="none"/>
        </w:rPr>
        <w:t>具有相应岗位资格的各级管理人员。</w:t>
      </w:r>
    </w:p>
    <w:p w14:paraId="65E1CB94">
      <w:pPr>
        <w:spacing w:before="273" w:line="344" w:lineRule="auto"/>
        <w:ind w:left="27" w:right="45" w:firstLine="41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4.6.3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承包人安排在施工场地的主要管理人员和技术骨干应相对稳定。承包人更换主要管理</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人员和技术骨干时，应取得监理人的同意。</w:t>
      </w:r>
    </w:p>
    <w:p w14:paraId="642A4A64">
      <w:pPr>
        <w:spacing w:before="74" w:line="382" w:lineRule="auto"/>
        <w:ind w:left="26" w:right="43" w:firstLine="41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6.4 特殊岗位的工作人员均应持有相应的资格证明，监理人有权随时检查。监理人认为</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有必要时，可进行现场考核。</w:t>
      </w:r>
    </w:p>
    <w:p w14:paraId="31DD96D3">
      <w:pPr>
        <w:spacing w:before="86"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4.7</w:t>
      </w:r>
      <w:r>
        <w:rPr>
          <w:rFonts w:ascii="宋体" w:hAnsi="宋体" w:eastAsia="宋体" w:cs="宋体"/>
          <w:color w:val="auto"/>
          <w:spacing w:val="-46"/>
          <w:sz w:val="28"/>
          <w:szCs w:val="28"/>
          <w:highlight w:val="none"/>
        </w:rPr>
        <w:t xml:space="preserve"> </w:t>
      </w:r>
      <w:r>
        <w:rPr>
          <w:rFonts w:ascii="宋体" w:hAnsi="宋体" w:eastAsia="宋体" w:cs="宋体"/>
          <w:b/>
          <w:bCs/>
          <w:color w:val="auto"/>
          <w:spacing w:val="-4"/>
          <w:sz w:val="28"/>
          <w:szCs w:val="28"/>
          <w:highlight w:val="none"/>
        </w:rPr>
        <w:t>撤换承包人项目经理和其他人员</w:t>
      </w:r>
    </w:p>
    <w:p w14:paraId="05FB3248">
      <w:pPr>
        <w:spacing w:line="303" w:lineRule="auto"/>
        <w:rPr>
          <w:rFonts w:ascii="Arial"/>
          <w:color w:val="auto"/>
          <w:sz w:val="21"/>
          <w:highlight w:val="none"/>
        </w:rPr>
      </w:pPr>
    </w:p>
    <w:p w14:paraId="68FA3867">
      <w:pPr>
        <w:spacing w:before="62" w:line="228" w:lineRule="auto"/>
        <w:ind w:left="44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承包人应对其项目经理和其他人员进行有效管理。监理人要求撤换不能胜任本职工作、 行</w:t>
      </w:r>
    </w:p>
    <w:p w14:paraId="3C9F5742">
      <w:pPr>
        <w:spacing w:before="124" w:line="228" w:lineRule="auto"/>
        <w:ind w:left="2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为不端或玩忽职守的承包人项目经理和其他人员的，承包人应予以撤换。</w:t>
      </w:r>
    </w:p>
    <w:p w14:paraId="412B05FA">
      <w:pPr>
        <w:spacing w:before="211"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4.8</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4"/>
          <w:sz w:val="28"/>
          <w:szCs w:val="28"/>
          <w:highlight w:val="none"/>
        </w:rPr>
        <w:t>保障承包人人员的合法权益</w:t>
      </w:r>
    </w:p>
    <w:p w14:paraId="4D8E7CEC">
      <w:pPr>
        <w:spacing w:line="304" w:lineRule="auto"/>
        <w:rPr>
          <w:rFonts w:ascii="Arial"/>
          <w:color w:val="auto"/>
          <w:sz w:val="21"/>
          <w:highlight w:val="none"/>
        </w:rPr>
      </w:pPr>
    </w:p>
    <w:p w14:paraId="4337F694">
      <w:pPr>
        <w:spacing w:before="62" w:line="228" w:lineRule="auto"/>
        <w:ind w:left="44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4. 8.</w:t>
      </w:r>
      <w:r>
        <w:rPr>
          <w:rFonts w:ascii="宋体" w:hAnsi="宋体" w:eastAsia="宋体" w:cs="宋体"/>
          <w:color w:val="auto"/>
          <w:spacing w:val="42"/>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承包人应与其雇佣的人员签订劳动合同，</w:t>
      </w:r>
      <w:r>
        <w:rPr>
          <w:rFonts w:ascii="宋体" w:hAnsi="宋体" w:eastAsia="宋体" w:cs="宋体"/>
          <w:color w:val="auto"/>
          <w:spacing w:val="-51"/>
          <w:sz w:val="19"/>
          <w:szCs w:val="19"/>
          <w:highlight w:val="none"/>
        </w:rPr>
        <w:t xml:space="preserve"> </w:t>
      </w:r>
      <w:r>
        <w:rPr>
          <w:rFonts w:ascii="宋体" w:hAnsi="宋体" w:eastAsia="宋体" w:cs="宋体"/>
          <w:color w:val="auto"/>
          <w:spacing w:val="5"/>
          <w:sz w:val="19"/>
          <w:szCs w:val="19"/>
          <w:highlight w:val="none"/>
        </w:rPr>
        <w:t>并按时发放工资。</w:t>
      </w:r>
    </w:p>
    <w:p w14:paraId="23E792BD">
      <w:pPr>
        <w:spacing w:before="126" w:line="309" w:lineRule="auto"/>
        <w:ind w:left="30" w:firstLine="41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4. 8. 2</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承包人应按劳动法的规定安排工作时间，</w:t>
      </w:r>
      <w:r>
        <w:rPr>
          <w:rFonts w:ascii="宋体" w:hAnsi="宋体" w:eastAsia="宋体" w:cs="宋体"/>
          <w:color w:val="auto"/>
          <w:spacing w:val="-55"/>
          <w:sz w:val="19"/>
          <w:szCs w:val="19"/>
          <w:highlight w:val="none"/>
        </w:rPr>
        <w:t xml:space="preserve"> </w:t>
      </w:r>
      <w:r>
        <w:rPr>
          <w:rFonts w:ascii="宋体" w:hAnsi="宋体" w:eastAsia="宋体" w:cs="宋体"/>
          <w:color w:val="auto"/>
          <w:spacing w:val="7"/>
          <w:sz w:val="19"/>
          <w:szCs w:val="19"/>
          <w:highlight w:val="none"/>
        </w:rPr>
        <w:t>保证其雇佣人员享有休息和休假的权利。</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因工程施工的特殊需要占用休假日或延长工作时间的，应不超过法律规</w:t>
      </w:r>
      <w:r>
        <w:rPr>
          <w:rFonts w:ascii="宋体" w:hAnsi="宋体" w:eastAsia="宋体" w:cs="宋体"/>
          <w:color w:val="auto"/>
          <w:spacing w:val="11"/>
          <w:sz w:val="19"/>
          <w:szCs w:val="19"/>
          <w:highlight w:val="none"/>
        </w:rPr>
        <w:t>定的限度，并按法律规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定给予补休或付酬。</w:t>
      </w:r>
    </w:p>
    <w:p w14:paraId="36E9AFD6">
      <w:pPr>
        <w:spacing w:before="125"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4.8.3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承包人应为其雇佣人员提供必要的食宿条件，以及符合环境保护和卫生要求的生活环</w:t>
      </w:r>
    </w:p>
    <w:p w14:paraId="4C004172">
      <w:pPr>
        <w:spacing w:line="228" w:lineRule="auto"/>
        <w:rPr>
          <w:rFonts w:ascii="宋体" w:hAnsi="宋体" w:eastAsia="宋体" w:cs="宋体"/>
          <w:color w:val="auto"/>
          <w:sz w:val="19"/>
          <w:szCs w:val="19"/>
          <w:highlight w:val="none"/>
        </w:rPr>
        <w:sectPr>
          <w:footerReference r:id="rId79" w:type="default"/>
          <w:pgSz w:w="11900" w:h="16832"/>
          <w:pgMar w:top="1423" w:right="1763" w:bottom="1188" w:left="1784" w:header="0" w:footer="980" w:gutter="0"/>
          <w:pgNumType w:fmt="decimal"/>
          <w:cols w:space="720" w:num="1"/>
        </w:sectPr>
      </w:pPr>
    </w:p>
    <w:p w14:paraId="5B9878DE">
      <w:pPr>
        <w:spacing w:before="127" w:line="228" w:lineRule="auto"/>
        <w:ind w:left="26"/>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境，在远离城镇的施工场地，还应配备必要的伤病防治和急救的医务人员与医疗</w:t>
      </w:r>
      <w:r>
        <w:rPr>
          <w:rFonts w:ascii="宋体" w:hAnsi="宋体" w:eastAsia="宋体" w:cs="宋体"/>
          <w:color w:val="auto"/>
          <w:spacing w:val="8"/>
          <w:sz w:val="19"/>
          <w:szCs w:val="19"/>
          <w:highlight w:val="none"/>
        </w:rPr>
        <w:t>设施。</w:t>
      </w:r>
    </w:p>
    <w:p w14:paraId="2846D835">
      <w:pPr>
        <w:spacing w:before="123" w:line="340" w:lineRule="auto"/>
        <w:ind w:left="25" w:right="17" w:firstLine="419"/>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8.4 承包人应按国家有关劳动保护的规定，采取有效的防止粉尘、降低噪声、控制有害</w:t>
      </w:r>
      <w:r>
        <w:rPr>
          <w:rFonts w:ascii="宋体" w:hAnsi="宋体" w:eastAsia="宋体" w:cs="宋体"/>
          <w:color w:val="auto"/>
          <w:spacing w:val="16"/>
          <w:sz w:val="19"/>
          <w:szCs w:val="19"/>
          <w:highlight w:val="none"/>
        </w:rPr>
        <w:t xml:space="preserve"> </w:t>
      </w:r>
      <w:r>
        <w:rPr>
          <w:rFonts w:ascii="宋体" w:hAnsi="宋体" w:eastAsia="宋体" w:cs="宋体"/>
          <w:color w:val="auto"/>
          <w:spacing w:val="12"/>
          <w:sz w:val="19"/>
          <w:szCs w:val="19"/>
          <w:highlight w:val="none"/>
        </w:rPr>
        <w:t>气体和保障高温、高寒、高空作业安全等劳动保护措施。其雇佣人员在施工中受到</w:t>
      </w:r>
      <w:r>
        <w:rPr>
          <w:rFonts w:ascii="宋体" w:hAnsi="宋体" w:eastAsia="宋体" w:cs="宋体"/>
          <w:color w:val="auto"/>
          <w:spacing w:val="11"/>
          <w:sz w:val="19"/>
          <w:szCs w:val="19"/>
          <w:highlight w:val="none"/>
        </w:rPr>
        <w:t>伤害的，承</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包人应立即采取有效措施进行抢救和治疗。</w:t>
      </w:r>
    </w:p>
    <w:p w14:paraId="118A52BC">
      <w:pPr>
        <w:spacing w:before="31"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4. 8.5</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承包人应按有关法律规定和合同约定，为其雇佣人员办理保险。</w:t>
      </w:r>
    </w:p>
    <w:p w14:paraId="7A2D087A">
      <w:pPr>
        <w:spacing w:before="122"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4. 8.6</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承包人应负责处理其雇佣人员因工伤亡事故的善后事宜。</w:t>
      </w:r>
    </w:p>
    <w:p w14:paraId="2B267DFC">
      <w:pPr>
        <w:spacing w:before="210" w:line="219"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4.9</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工程价款应专款专用</w:t>
      </w:r>
    </w:p>
    <w:p w14:paraId="6A353F2A">
      <w:pPr>
        <w:spacing w:line="303" w:lineRule="auto"/>
        <w:rPr>
          <w:rFonts w:ascii="Arial"/>
          <w:color w:val="auto"/>
          <w:sz w:val="21"/>
          <w:highlight w:val="none"/>
        </w:rPr>
      </w:pPr>
    </w:p>
    <w:p w14:paraId="46DDF125">
      <w:pPr>
        <w:spacing w:before="63" w:line="227"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发包人按合同约定支付给承包人的各项价款应专用于合同工程。</w:t>
      </w:r>
    </w:p>
    <w:p w14:paraId="426463AD">
      <w:pPr>
        <w:spacing w:before="213"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4.10</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4"/>
          <w:sz w:val="28"/>
          <w:szCs w:val="28"/>
          <w:highlight w:val="none"/>
        </w:rPr>
        <w:t>承包人现场查勘</w:t>
      </w:r>
    </w:p>
    <w:p w14:paraId="70512104">
      <w:pPr>
        <w:spacing w:line="304" w:lineRule="auto"/>
        <w:rPr>
          <w:rFonts w:ascii="Arial"/>
          <w:color w:val="auto"/>
          <w:sz w:val="21"/>
          <w:highlight w:val="none"/>
        </w:rPr>
      </w:pPr>
    </w:p>
    <w:p w14:paraId="7BCEC0AA">
      <w:pPr>
        <w:spacing w:before="62" w:line="290" w:lineRule="auto"/>
        <w:ind w:left="25" w:right="21"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10. 1 发包人应将其持有的现场地质勘探资料、水文气象资料提供给承包人，并对其准</w:t>
      </w:r>
      <w:r>
        <w:rPr>
          <w:rFonts w:ascii="宋体" w:hAnsi="宋体" w:eastAsia="宋体" w:cs="宋体"/>
          <w:color w:val="auto"/>
          <w:spacing w:val="4"/>
          <w:sz w:val="19"/>
          <w:szCs w:val="19"/>
          <w:highlight w:val="none"/>
        </w:rPr>
        <w:t xml:space="preserve"> </w:t>
      </w:r>
      <w:r>
        <w:rPr>
          <w:rFonts w:ascii="宋体" w:hAnsi="宋体" w:eastAsia="宋体" w:cs="宋体"/>
          <w:color w:val="auto"/>
          <w:spacing w:val="9"/>
          <w:sz w:val="19"/>
          <w:szCs w:val="19"/>
          <w:highlight w:val="none"/>
        </w:rPr>
        <w:t>确性负责。但承包人应对其阅读上述有关资料后所作出的解释和</w:t>
      </w:r>
      <w:r>
        <w:rPr>
          <w:rFonts w:ascii="宋体" w:hAnsi="宋体" w:eastAsia="宋体" w:cs="宋体"/>
          <w:color w:val="auto"/>
          <w:spacing w:val="8"/>
          <w:sz w:val="19"/>
          <w:szCs w:val="19"/>
          <w:highlight w:val="none"/>
        </w:rPr>
        <w:t>推断负责。</w:t>
      </w:r>
    </w:p>
    <w:p w14:paraId="18663998">
      <w:pPr>
        <w:spacing w:before="126" w:line="341" w:lineRule="auto"/>
        <w:ind w:left="25" w:right="25"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10. 2 承包人应对施工场地和周围环境进行查勘，并收集有关地质、水</w:t>
      </w:r>
      <w:r>
        <w:rPr>
          <w:rFonts w:ascii="宋体" w:hAnsi="宋体" w:eastAsia="宋体" w:cs="宋体"/>
          <w:color w:val="auto"/>
          <w:spacing w:val="6"/>
          <w:sz w:val="19"/>
          <w:szCs w:val="19"/>
          <w:highlight w:val="none"/>
        </w:rPr>
        <w:t>文、气象条件、</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交通条件、风俗习惯以及其他为完成合同工作有关的当地资料。在全部合同工作中</w:t>
      </w:r>
      <w:r>
        <w:rPr>
          <w:rFonts w:ascii="宋体" w:hAnsi="宋体" w:eastAsia="宋体" w:cs="宋体"/>
          <w:color w:val="auto"/>
          <w:spacing w:val="11"/>
          <w:sz w:val="19"/>
          <w:szCs w:val="19"/>
          <w:highlight w:val="none"/>
        </w:rPr>
        <w:t>，应视为承</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包人已充分估计了应承担的责任和风险。</w:t>
      </w:r>
    </w:p>
    <w:p w14:paraId="0CE68EF6">
      <w:pPr>
        <w:spacing w:before="196" w:line="220" w:lineRule="auto"/>
        <w:ind w:left="27"/>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4.11</w:t>
      </w:r>
      <w:r>
        <w:rPr>
          <w:rFonts w:ascii="宋体" w:hAnsi="宋体" w:eastAsia="宋体" w:cs="宋体"/>
          <w:color w:val="auto"/>
          <w:spacing w:val="-48"/>
          <w:sz w:val="28"/>
          <w:szCs w:val="28"/>
          <w:highlight w:val="none"/>
        </w:rPr>
        <w:t xml:space="preserve"> </w:t>
      </w:r>
      <w:r>
        <w:rPr>
          <w:rFonts w:ascii="宋体" w:hAnsi="宋体" w:eastAsia="宋体" w:cs="宋体"/>
          <w:b/>
          <w:bCs/>
          <w:color w:val="auto"/>
          <w:spacing w:val="-5"/>
          <w:sz w:val="28"/>
          <w:szCs w:val="28"/>
          <w:highlight w:val="none"/>
        </w:rPr>
        <w:t>不利物质条件</w:t>
      </w:r>
    </w:p>
    <w:p w14:paraId="36103D4C">
      <w:pPr>
        <w:spacing w:line="311" w:lineRule="auto"/>
        <w:rPr>
          <w:rFonts w:ascii="Arial"/>
          <w:color w:val="auto"/>
          <w:sz w:val="21"/>
          <w:highlight w:val="none"/>
        </w:rPr>
      </w:pPr>
    </w:p>
    <w:p w14:paraId="5511463E">
      <w:pPr>
        <w:spacing w:before="62" w:line="342" w:lineRule="auto"/>
        <w:ind w:left="24" w:right="21"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4.11.1 除专用合同条款另有约定外，不利的物质条件是指在施工中遭遇不可预见的外界障</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碍或自然条件造成施工受阻。</w:t>
      </w:r>
    </w:p>
    <w:p w14:paraId="199011B9">
      <w:pPr>
        <w:spacing w:before="19" w:line="337" w:lineRule="auto"/>
        <w:ind w:left="25" w:right="15" w:firstLine="419"/>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4.11.2 承包人遇到不利物质条件时，应采取适应不利物质条件的合理措施继续施工, 并及</w:t>
      </w:r>
      <w:r>
        <w:rPr>
          <w:rFonts w:ascii="宋体" w:hAnsi="宋体" w:eastAsia="宋体" w:cs="宋体"/>
          <w:color w:val="auto"/>
          <w:spacing w:val="11"/>
          <w:sz w:val="19"/>
          <w:szCs w:val="19"/>
          <w:highlight w:val="none"/>
        </w:rPr>
        <w:t xml:space="preserve"> </w:t>
      </w:r>
      <w:r>
        <w:rPr>
          <w:rFonts w:ascii="宋体" w:hAnsi="宋体" w:eastAsia="宋体" w:cs="宋体"/>
          <w:color w:val="auto"/>
          <w:spacing w:val="9"/>
          <w:sz w:val="19"/>
          <w:szCs w:val="19"/>
          <w:highlight w:val="none"/>
        </w:rPr>
        <w:t>时通知监理人。承包人应有权根据第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9"/>
          <w:sz w:val="19"/>
          <w:szCs w:val="19"/>
          <w:highlight w:val="none"/>
        </w:rPr>
        <w:t>23.1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9"/>
          <w:sz w:val="19"/>
          <w:szCs w:val="19"/>
          <w:highlight w:val="none"/>
        </w:rPr>
        <w:t>款的约定，要求延</w:t>
      </w:r>
      <w:r>
        <w:rPr>
          <w:rFonts w:ascii="宋体" w:hAnsi="宋体" w:eastAsia="宋体" w:cs="宋体"/>
          <w:color w:val="auto"/>
          <w:spacing w:val="8"/>
          <w:sz w:val="19"/>
          <w:szCs w:val="19"/>
          <w:highlight w:val="none"/>
        </w:rPr>
        <w:t>长工期及增加费用。监理人收到此</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类要求后，应在分析上述外界障碍或自然条件是否不可预见及不可预见程度的基础</w:t>
      </w:r>
      <w:r>
        <w:rPr>
          <w:rFonts w:ascii="宋体" w:hAnsi="宋体" w:eastAsia="宋体" w:cs="宋体"/>
          <w:color w:val="auto"/>
          <w:spacing w:val="11"/>
          <w:sz w:val="19"/>
          <w:szCs w:val="19"/>
          <w:highlight w:val="none"/>
        </w:rPr>
        <w:t>上，按照通</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用合同条款第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4"/>
          <w:sz w:val="19"/>
          <w:szCs w:val="19"/>
          <w:highlight w:val="none"/>
        </w:rPr>
        <w:t>条的约定办理。</w:t>
      </w:r>
    </w:p>
    <w:p w14:paraId="125E2D38">
      <w:pPr>
        <w:spacing w:before="245" w:line="224" w:lineRule="auto"/>
        <w:ind w:left="42"/>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5.</w:t>
      </w:r>
      <w:r>
        <w:rPr>
          <w:rFonts w:ascii="宋体" w:hAnsi="宋体" w:eastAsia="宋体" w:cs="宋体"/>
          <w:b/>
          <w:bCs/>
          <w:color w:val="auto"/>
          <w:spacing w:val="4"/>
          <w:sz w:val="31"/>
          <w:szCs w:val="31"/>
          <w:highlight w:val="none"/>
        </w:rPr>
        <w:t>材料和工程设备</w:t>
      </w:r>
    </w:p>
    <w:p w14:paraId="17EF186F">
      <w:pPr>
        <w:spacing w:line="250" w:lineRule="auto"/>
        <w:rPr>
          <w:rFonts w:ascii="Arial"/>
          <w:color w:val="auto"/>
          <w:sz w:val="21"/>
          <w:highlight w:val="none"/>
        </w:rPr>
      </w:pPr>
    </w:p>
    <w:p w14:paraId="79E741B6">
      <w:pPr>
        <w:spacing w:line="251" w:lineRule="auto"/>
        <w:rPr>
          <w:rFonts w:ascii="Arial"/>
          <w:color w:val="auto"/>
          <w:sz w:val="21"/>
          <w:highlight w:val="none"/>
        </w:rPr>
      </w:pPr>
    </w:p>
    <w:p w14:paraId="398E3BEC">
      <w:pPr>
        <w:spacing w:before="92" w:line="219" w:lineRule="auto"/>
        <w:ind w:left="3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5.1</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承包人提供的材料和工程设备</w:t>
      </w:r>
    </w:p>
    <w:p w14:paraId="7FA7C9EB">
      <w:pPr>
        <w:spacing w:line="327" w:lineRule="auto"/>
        <w:rPr>
          <w:rFonts w:ascii="Arial"/>
          <w:color w:val="auto"/>
          <w:sz w:val="21"/>
          <w:highlight w:val="none"/>
        </w:rPr>
      </w:pPr>
    </w:p>
    <w:p w14:paraId="04325F05">
      <w:pPr>
        <w:spacing w:before="62" w:line="353" w:lineRule="auto"/>
        <w:ind w:left="449" w:right="1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5.1. 1</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除第</w:t>
      </w:r>
      <w:r>
        <w:rPr>
          <w:rFonts w:ascii="宋体" w:hAnsi="宋体" w:eastAsia="宋体" w:cs="宋体"/>
          <w:color w:val="auto"/>
          <w:spacing w:val="-26"/>
          <w:sz w:val="19"/>
          <w:szCs w:val="19"/>
          <w:highlight w:val="none"/>
        </w:rPr>
        <w:t xml:space="preserve"> </w:t>
      </w:r>
      <w:r>
        <w:rPr>
          <w:rFonts w:ascii="宋体" w:hAnsi="宋体" w:eastAsia="宋体" w:cs="宋体"/>
          <w:color w:val="auto"/>
          <w:spacing w:val="8"/>
          <w:sz w:val="19"/>
          <w:szCs w:val="19"/>
          <w:highlight w:val="none"/>
        </w:rPr>
        <w:t>5. 2</w:t>
      </w:r>
      <w:r>
        <w:rPr>
          <w:rFonts w:ascii="宋体" w:hAnsi="宋体" w:eastAsia="宋体" w:cs="宋体"/>
          <w:color w:val="auto"/>
          <w:spacing w:val="-28"/>
          <w:sz w:val="19"/>
          <w:szCs w:val="19"/>
          <w:highlight w:val="none"/>
        </w:rPr>
        <w:t xml:space="preserve"> </w:t>
      </w:r>
      <w:r>
        <w:rPr>
          <w:rFonts w:ascii="宋体" w:hAnsi="宋体" w:eastAsia="宋体" w:cs="宋体"/>
          <w:color w:val="auto"/>
          <w:spacing w:val="8"/>
          <w:sz w:val="19"/>
          <w:szCs w:val="19"/>
          <w:highlight w:val="none"/>
        </w:rPr>
        <w:t>款约定由发包人提供的</w:t>
      </w:r>
      <w:r>
        <w:rPr>
          <w:rFonts w:ascii="宋体" w:hAnsi="宋体" w:eastAsia="宋体" w:cs="宋体"/>
          <w:color w:val="auto"/>
          <w:spacing w:val="7"/>
          <w:sz w:val="19"/>
          <w:szCs w:val="19"/>
          <w:highlight w:val="none"/>
        </w:rPr>
        <w:t>材料和工程设备外，承包人负责采购、运输和 保</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管完成本合同工作所需的材料和工程设备。承包人应对其采购的材料和</w:t>
      </w:r>
      <w:r>
        <w:rPr>
          <w:rFonts w:ascii="宋体" w:hAnsi="宋体" w:eastAsia="宋体" w:cs="宋体"/>
          <w:color w:val="auto"/>
          <w:spacing w:val="8"/>
          <w:sz w:val="19"/>
          <w:szCs w:val="19"/>
          <w:highlight w:val="none"/>
        </w:rPr>
        <w:t>工程设备负责。</w:t>
      </w:r>
    </w:p>
    <w:p w14:paraId="1061AFD4">
      <w:pPr>
        <w:spacing w:before="177" w:line="340" w:lineRule="auto"/>
        <w:ind w:left="25" w:right="17"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5.1.2 承包人应按专用合同条款的约定，</w:t>
      </w:r>
      <w:r>
        <w:rPr>
          <w:rFonts w:ascii="宋体" w:hAnsi="宋体" w:eastAsia="宋体" w:cs="宋体"/>
          <w:color w:val="auto"/>
          <w:spacing w:val="7"/>
          <w:sz w:val="19"/>
          <w:szCs w:val="19"/>
          <w:highlight w:val="none"/>
        </w:rPr>
        <w:t>将各项材料和工程设备的供货人及品种、规 格、</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数量和供货时间等报送监理人审批。承包人应向</w:t>
      </w:r>
      <w:r>
        <w:rPr>
          <w:rFonts w:ascii="宋体" w:hAnsi="宋体" w:eastAsia="宋体" w:cs="宋体"/>
          <w:color w:val="auto"/>
          <w:spacing w:val="9"/>
          <w:sz w:val="19"/>
          <w:szCs w:val="19"/>
          <w:highlight w:val="none"/>
        </w:rPr>
        <w:t>监理人提交其负责提供的材料和工程 设备的质</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量证明文件，并满足合同约定的质量标准。</w:t>
      </w:r>
    </w:p>
    <w:p w14:paraId="3BE60013">
      <w:pPr>
        <w:spacing w:before="29" w:line="335" w:lineRule="auto"/>
        <w:ind w:left="25" w:right="17" w:firstLine="42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5.1.3</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对承包人提供的材料和工程设备，承包人应会同监理人进行检验和交货验收</w:t>
      </w:r>
      <w:r>
        <w:rPr>
          <w:rFonts w:ascii="宋体" w:hAnsi="宋体" w:eastAsia="宋体" w:cs="宋体"/>
          <w:color w:val="auto"/>
          <w:spacing w:val="6"/>
          <w:sz w:val="19"/>
          <w:szCs w:val="19"/>
          <w:highlight w:val="none"/>
        </w:rPr>
        <w:t>, 查验材</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料合格证明和产品合格证书，并按合同约定和监理人指示，进行材料的抽样检验和</w:t>
      </w:r>
      <w:r>
        <w:rPr>
          <w:rFonts w:ascii="宋体" w:hAnsi="宋体" w:eastAsia="宋体" w:cs="宋体"/>
          <w:color w:val="auto"/>
          <w:spacing w:val="11"/>
          <w:sz w:val="19"/>
          <w:szCs w:val="19"/>
          <w:highlight w:val="none"/>
        </w:rPr>
        <w:t>工程设备的</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检验测试，检验和测试结果应提交监理人，</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所需费用由承包人承担。</w:t>
      </w:r>
    </w:p>
    <w:p w14:paraId="37335FF5">
      <w:pPr>
        <w:spacing w:line="335" w:lineRule="auto"/>
        <w:rPr>
          <w:rFonts w:ascii="宋体" w:hAnsi="宋体" w:eastAsia="宋体" w:cs="宋体"/>
          <w:color w:val="auto"/>
          <w:sz w:val="19"/>
          <w:szCs w:val="19"/>
          <w:highlight w:val="none"/>
        </w:rPr>
        <w:sectPr>
          <w:footerReference r:id="rId80" w:type="default"/>
          <w:pgSz w:w="11900" w:h="16832"/>
          <w:pgMar w:top="1430" w:right="1784" w:bottom="1188" w:left="1784" w:header="0" w:footer="980" w:gutter="0"/>
          <w:pgNumType w:fmt="decimal"/>
          <w:cols w:space="720" w:num="1"/>
        </w:sectPr>
      </w:pPr>
    </w:p>
    <w:p w14:paraId="6C4E46BE">
      <w:pPr>
        <w:spacing w:before="56" w:line="219" w:lineRule="auto"/>
        <w:ind w:left="3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5.2</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发包人提供的材料和工程设备</w:t>
      </w:r>
    </w:p>
    <w:p w14:paraId="49226D83">
      <w:pPr>
        <w:spacing w:line="305" w:lineRule="auto"/>
        <w:rPr>
          <w:rFonts w:ascii="Arial"/>
          <w:color w:val="auto"/>
          <w:sz w:val="21"/>
          <w:highlight w:val="none"/>
        </w:rPr>
      </w:pPr>
    </w:p>
    <w:p w14:paraId="10D0EC48">
      <w:pPr>
        <w:spacing w:before="62" w:line="288" w:lineRule="auto"/>
        <w:ind w:left="26" w:right="76"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 2.1 发包人提供的材料和工程设备，应在专用合同条款中写明材料和工程设备的名称、</w:t>
      </w:r>
      <w:r>
        <w:rPr>
          <w:rFonts w:ascii="宋体" w:hAnsi="宋体" w:eastAsia="宋体" w:cs="宋体"/>
          <w:color w:val="auto"/>
          <w:spacing w:val="17"/>
          <w:sz w:val="19"/>
          <w:szCs w:val="19"/>
          <w:highlight w:val="none"/>
        </w:rPr>
        <w:t xml:space="preserve"> </w:t>
      </w:r>
      <w:r>
        <w:rPr>
          <w:rFonts w:ascii="宋体" w:hAnsi="宋体" w:eastAsia="宋体" w:cs="宋体"/>
          <w:color w:val="auto"/>
          <w:spacing w:val="8"/>
          <w:sz w:val="19"/>
          <w:szCs w:val="19"/>
          <w:highlight w:val="none"/>
        </w:rPr>
        <w:t>规格、数量、价格、交货方式、交货地点和计划交货日期等。</w:t>
      </w:r>
    </w:p>
    <w:p w14:paraId="265546DD">
      <w:pPr>
        <w:spacing w:before="125" w:line="289" w:lineRule="auto"/>
        <w:ind w:left="25" w:right="39"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 2.2 承包人应根据合同进度计划的安排，向监理人报送要求发包人交货的日期计划。发</w:t>
      </w:r>
      <w:r>
        <w:rPr>
          <w:rFonts w:ascii="宋体" w:hAnsi="宋体" w:eastAsia="宋体" w:cs="宋体"/>
          <w:color w:val="auto"/>
          <w:spacing w:val="11"/>
          <w:sz w:val="19"/>
          <w:szCs w:val="19"/>
          <w:highlight w:val="none"/>
        </w:rPr>
        <w:t xml:space="preserve"> </w:t>
      </w:r>
      <w:r>
        <w:rPr>
          <w:rFonts w:ascii="宋体" w:hAnsi="宋体" w:eastAsia="宋体" w:cs="宋体"/>
          <w:color w:val="auto"/>
          <w:spacing w:val="8"/>
          <w:sz w:val="19"/>
          <w:szCs w:val="19"/>
          <w:highlight w:val="none"/>
        </w:rPr>
        <w:t>包人应按照监理人与合同双方当事人商定的交货日期</w:t>
      </w:r>
      <w:r>
        <w:rPr>
          <w:rFonts w:ascii="宋体" w:hAnsi="宋体" w:eastAsia="宋体" w:cs="宋体"/>
          <w:color w:val="auto"/>
          <w:spacing w:val="7"/>
          <w:sz w:val="19"/>
          <w:szCs w:val="19"/>
          <w:highlight w:val="none"/>
        </w:rPr>
        <w:t>，</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向承包人提交材料和工程设备。</w:t>
      </w:r>
    </w:p>
    <w:p w14:paraId="0D37979C">
      <w:pPr>
        <w:spacing w:before="129" w:line="344" w:lineRule="auto"/>
        <w:ind w:left="27" w:right="43" w:firstLine="422"/>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5.2.3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发包人应在材料和工程设备到货</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天前通知承包人，承包人应会同监理人在约定的时</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间内，赴交货地点共同进行验收。发包人提供的材料和工程设备运至</w:t>
      </w:r>
      <w:r>
        <w:rPr>
          <w:rFonts w:ascii="宋体" w:hAnsi="宋体" w:eastAsia="宋体" w:cs="宋体"/>
          <w:color w:val="auto"/>
          <w:spacing w:val="10"/>
          <w:sz w:val="19"/>
          <w:szCs w:val="19"/>
          <w:highlight w:val="none"/>
        </w:rPr>
        <w:t>交货地点验收后，</w:t>
      </w:r>
      <w:r>
        <w:rPr>
          <w:rFonts w:ascii="宋体" w:hAnsi="宋体" w:eastAsia="宋体" w:cs="宋体"/>
          <w:color w:val="auto"/>
          <w:spacing w:val="-50"/>
          <w:sz w:val="19"/>
          <w:szCs w:val="19"/>
          <w:highlight w:val="none"/>
        </w:rPr>
        <w:t xml:space="preserve"> </w:t>
      </w:r>
      <w:r>
        <w:rPr>
          <w:rFonts w:ascii="宋体" w:hAnsi="宋体" w:eastAsia="宋体" w:cs="宋体"/>
          <w:color w:val="auto"/>
          <w:spacing w:val="10"/>
          <w:sz w:val="19"/>
          <w:szCs w:val="19"/>
          <w:highlight w:val="none"/>
        </w:rPr>
        <w:t>由承包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人负责接收、卸货、运输和保管。</w:t>
      </w:r>
    </w:p>
    <w:p w14:paraId="7AA2B798">
      <w:pPr>
        <w:spacing w:before="31" w:line="292" w:lineRule="auto"/>
        <w:ind w:left="25" w:right="43"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 2.4 发包人要求向承包人提前交货的，</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承包人不得拒绝，但发包人应承担承包人由此增</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加的费用。</w:t>
      </w:r>
    </w:p>
    <w:p w14:paraId="0C1EB808">
      <w:pPr>
        <w:spacing w:before="132" w:line="291" w:lineRule="auto"/>
        <w:ind w:left="29" w:right="43"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 2.5 承包人要求更改交货日期或地点的，应事先报请监理人批准。由于承包人要求更改 交货时间或地点所增加的费用和（或）工期延误由承包人承担。</w:t>
      </w:r>
    </w:p>
    <w:p w14:paraId="6B112377">
      <w:pPr>
        <w:spacing w:before="121" w:line="285" w:lineRule="auto"/>
        <w:ind w:left="30" w:right="4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 2.6 发包人提供的材料和工程设备的规格、数量或质量不符合合同要求，</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或由于发包人</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原因发生交货日期延误及交货地点变更等情况的，发包人应承担由此增</w:t>
      </w:r>
      <w:r>
        <w:rPr>
          <w:rFonts w:ascii="宋体" w:hAnsi="宋体" w:eastAsia="宋体" w:cs="宋体"/>
          <w:color w:val="auto"/>
          <w:spacing w:val="11"/>
          <w:sz w:val="19"/>
          <w:szCs w:val="19"/>
          <w:highlight w:val="none"/>
        </w:rPr>
        <w:t>加的费用和（或）工期</w:t>
      </w:r>
    </w:p>
    <w:p w14:paraId="3C5FFD5D">
      <w:pPr>
        <w:spacing w:before="121" w:line="228" w:lineRule="auto"/>
        <w:ind w:left="2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延误，并向承包人支付合理利润。</w:t>
      </w:r>
    </w:p>
    <w:p w14:paraId="735D8E01">
      <w:pPr>
        <w:spacing w:before="166" w:line="219" w:lineRule="auto"/>
        <w:ind w:left="3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5.3</w:t>
      </w:r>
      <w:r>
        <w:rPr>
          <w:rFonts w:ascii="宋体" w:hAnsi="宋体" w:eastAsia="宋体" w:cs="宋体"/>
          <w:color w:val="auto"/>
          <w:spacing w:val="-52"/>
          <w:sz w:val="28"/>
          <w:szCs w:val="28"/>
          <w:highlight w:val="none"/>
        </w:rPr>
        <w:t xml:space="preserve"> </w:t>
      </w:r>
      <w:r>
        <w:rPr>
          <w:rFonts w:ascii="宋体" w:hAnsi="宋体" w:eastAsia="宋体" w:cs="宋体"/>
          <w:b/>
          <w:bCs/>
          <w:color w:val="auto"/>
          <w:spacing w:val="-4"/>
          <w:sz w:val="28"/>
          <w:szCs w:val="28"/>
          <w:highlight w:val="none"/>
        </w:rPr>
        <w:t>材料和工程设备专用于合同工程</w:t>
      </w:r>
    </w:p>
    <w:p w14:paraId="51DE812A">
      <w:pPr>
        <w:spacing w:line="303" w:lineRule="auto"/>
        <w:rPr>
          <w:rFonts w:ascii="Arial"/>
          <w:color w:val="auto"/>
          <w:sz w:val="21"/>
          <w:highlight w:val="none"/>
        </w:rPr>
      </w:pPr>
    </w:p>
    <w:p w14:paraId="6D903A8A">
      <w:pPr>
        <w:spacing w:before="62" w:line="328" w:lineRule="auto"/>
        <w:ind w:left="26" w:right="45"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运入施工场地的材料、工程设备，包括备品备件、安装专用工器具与随机资</w:t>
      </w:r>
      <w:r>
        <w:rPr>
          <w:rFonts w:ascii="宋体" w:hAnsi="宋体" w:eastAsia="宋体" w:cs="宋体"/>
          <w:color w:val="auto"/>
          <w:spacing w:val="6"/>
          <w:sz w:val="19"/>
          <w:szCs w:val="19"/>
          <w:highlight w:val="none"/>
        </w:rPr>
        <w:t>料，必须</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专用于合同工程，未经监理人同意，</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承包人不得运出施工场地或挪作他用。</w:t>
      </w:r>
    </w:p>
    <w:p w14:paraId="4A040452">
      <w:pPr>
        <w:spacing w:before="39" w:line="345" w:lineRule="auto"/>
        <w:ind w:left="27" w:right="43" w:firstLine="422"/>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5.3.2</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随同工程设备运入施工场地的备品备件、专用工</w:t>
      </w:r>
      <w:r>
        <w:rPr>
          <w:rFonts w:ascii="宋体" w:hAnsi="宋体" w:eastAsia="宋体" w:cs="宋体"/>
          <w:color w:val="auto"/>
          <w:spacing w:val="6"/>
          <w:sz w:val="19"/>
          <w:szCs w:val="19"/>
          <w:highlight w:val="none"/>
        </w:rPr>
        <w:t>器具与随机资料，应由承包人会同监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理人按供货人的装箱单清点后共同封存，未经监理人同意不得启用。承包人因合同工</w:t>
      </w:r>
      <w:r>
        <w:rPr>
          <w:rFonts w:ascii="宋体" w:hAnsi="宋体" w:eastAsia="宋体" w:cs="宋体"/>
          <w:color w:val="auto"/>
          <w:spacing w:val="11"/>
          <w:sz w:val="19"/>
          <w:szCs w:val="19"/>
          <w:highlight w:val="none"/>
        </w:rPr>
        <w:t>作需要使</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用上述物品时，</w:t>
      </w:r>
      <w:r>
        <w:rPr>
          <w:rFonts w:ascii="宋体" w:hAnsi="宋体" w:eastAsia="宋体" w:cs="宋体"/>
          <w:color w:val="auto"/>
          <w:spacing w:val="-52"/>
          <w:sz w:val="19"/>
          <w:szCs w:val="19"/>
          <w:highlight w:val="none"/>
        </w:rPr>
        <w:t xml:space="preserve"> </w:t>
      </w:r>
      <w:r>
        <w:rPr>
          <w:rFonts w:ascii="宋体" w:hAnsi="宋体" w:eastAsia="宋体" w:cs="宋体"/>
          <w:color w:val="auto"/>
          <w:spacing w:val="6"/>
          <w:sz w:val="19"/>
          <w:szCs w:val="19"/>
          <w:highlight w:val="none"/>
        </w:rPr>
        <w:t>应向监理人提出申请。</w:t>
      </w:r>
    </w:p>
    <w:p w14:paraId="322B0639">
      <w:pPr>
        <w:spacing w:before="69" w:line="219" w:lineRule="auto"/>
        <w:ind w:left="3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5.4</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4"/>
          <w:sz w:val="28"/>
          <w:szCs w:val="28"/>
          <w:highlight w:val="none"/>
        </w:rPr>
        <w:t>禁止使用不合格的材料和工程设备</w:t>
      </w:r>
    </w:p>
    <w:p w14:paraId="4D148E30">
      <w:pPr>
        <w:spacing w:line="306" w:lineRule="auto"/>
        <w:rPr>
          <w:rFonts w:ascii="Arial"/>
          <w:color w:val="auto"/>
          <w:sz w:val="21"/>
          <w:highlight w:val="none"/>
        </w:rPr>
      </w:pPr>
    </w:p>
    <w:p w14:paraId="08696E7A">
      <w:pPr>
        <w:spacing w:before="62" w:line="340" w:lineRule="auto"/>
        <w:ind w:left="26"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5.4.1</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监理人有权拒绝承包人提供的不合格材料或工程设备，并要求承包人立即进行更</w:t>
      </w:r>
      <w:r>
        <w:rPr>
          <w:rFonts w:ascii="宋体" w:hAnsi="宋体" w:eastAsia="宋体" w:cs="宋体"/>
          <w:color w:val="auto"/>
          <w:spacing w:val="7"/>
          <w:sz w:val="19"/>
          <w:szCs w:val="19"/>
          <w:highlight w:val="none"/>
        </w:rPr>
        <w:t>换。</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监理人应在更换后再次进行检查和检验，由此增加的费用和（或）工期延误由</w:t>
      </w:r>
      <w:r>
        <w:rPr>
          <w:rFonts w:ascii="宋体" w:hAnsi="宋体" w:eastAsia="宋体" w:cs="宋体"/>
          <w:color w:val="auto"/>
          <w:spacing w:val="8"/>
          <w:sz w:val="19"/>
          <w:szCs w:val="19"/>
          <w:highlight w:val="none"/>
        </w:rPr>
        <w:t>承包 人承担。</w:t>
      </w:r>
    </w:p>
    <w:p w14:paraId="078D9DFF">
      <w:pPr>
        <w:spacing w:before="106" w:line="339" w:lineRule="auto"/>
        <w:ind w:left="32" w:right="45" w:firstLine="41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5.4.2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监理人发现承包人使用了不合格的材料和工程设备，应即时发出指示要</w:t>
      </w:r>
      <w:r>
        <w:rPr>
          <w:rFonts w:ascii="宋体" w:hAnsi="宋体" w:eastAsia="宋体" w:cs="宋体"/>
          <w:color w:val="auto"/>
          <w:spacing w:val="6"/>
          <w:sz w:val="19"/>
          <w:szCs w:val="19"/>
          <w:highlight w:val="none"/>
        </w:rPr>
        <w:t>求承包人立即</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改正，并禁止在工程中继续使用不合格的材料和工程设备。</w:t>
      </w:r>
    </w:p>
    <w:p w14:paraId="2ECB6CF0">
      <w:pPr>
        <w:spacing w:before="106" w:line="337" w:lineRule="auto"/>
        <w:ind w:left="28" w:right="42"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5.4.3</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发包人提供的材料或工程设备不符合合同要求的，承包人有权拒绝，并可要</w:t>
      </w:r>
      <w:r>
        <w:rPr>
          <w:rFonts w:ascii="宋体" w:hAnsi="宋体" w:eastAsia="宋体" w:cs="宋体"/>
          <w:color w:val="auto"/>
          <w:spacing w:val="6"/>
          <w:sz w:val="19"/>
          <w:szCs w:val="19"/>
          <w:highlight w:val="none"/>
        </w:rPr>
        <w:t>求发包人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更换，由此增加的费用和（或）工期延误由发包人承担。</w:t>
      </w:r>
    </w:p>
    <w:p w14:paraId="54EE82C6">
      <w:pPr>
        <w:spacing w:before="218" w:line="225" w:lineRule="auto"/>
        <w:ind w:left="35"/>
        <w:rPr>
          <w:rFonts w:ascii="宋体" w:hAnsi="宋体" w:eastAsia="宋体" w:cs="宋体"/>
          <w:color w:val="auto"/>
          <w:sz w:val="31"/>
          <w:szCs w:val="31"/>
          <w:highlight w:val="none"/>
        </w:rPr>
      </w:pPr>
      <w:r>
        <w:rPr>
          <w:rFonts w:ascii="Cambria" w:hAnsi="Cambria" w:eastAsia="Cambria" w:cs="Cambria"/>
          <w:b/>
          <w:bCs/>
          <w:color w:val="auto"/>
          <w:spacing w:val="5"/>
          <w:sz w:val="31"/>
          <w:szCs w:val="31"/>
          <w:highlight w:val="none"/>
        </w:rPr>
        <w:t>6.</w:t>
      </w:r>
      <w:r>
        <w:rPr>
          <w:rFonts w:ascii="宋体" w:hAnsi="宋体" w:eastAsia="宋体" w:cs="宋体"/>
          <w:b/>
          <w:bCs/>
          <w:color w:val="auto"/>
          <w:spacing w:val="5"/>
          <w:sz w:val="31"/>
          <w:szCs w:val="31"/>
          <w:highlight w:val="none"/>
        </w:rPr>
        <w:t>施工设备和临时设施</w:t>
      </w:r>
    </w:p>
    <w:p w14:paraId="7E7188BA">
      <w:pPr>
        <w:spacing w:line="251" w:lineRule="auto"/>
        <w:rPr>
          <w:rFonts w:ascii="Arial"/>
          <w:color w:val="auto"/>
          <w:sz w:val="21"/>
          <w:highlight w:val="none"/>
        </w:rPr>
      </w:pPr>
    </w:p>
    <w:p w14:paraId="16A958BE">
      <w:pPr>
        <w:spacing w:line="251" w:lineRule="auto"/>
        <w:rPr>
          <w:rFonts w:ascii="Arial"/>
          <w:color w:val="auto"/>
          <w:sz w:val="21"/>
          <w:highlight w:val="none"/>
        </w:rPr>
      </w:pPr>
    </w:p>
    <w:p w14:paraId="5DC5139B">
      <w:pPr>
        <w:spacing w:before="92" w:line="219" w:lineRule="auto"/>
        <w:ind w:left="3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6.1</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4"/>
          <w:sz w:val="28"/>
          <w:szCs w:val="28"/>
          <w:highlight w:val="none"/>
        </w:rPr>
        <w:t>承包人提供的施工设备和临时设施</w:t>
      </w:r>
    </w:p>
    <w:p w14:paraId="235C2D1A">
      <w:pPr>
        <w:spacing w:line="309" w:lineRule="auto"/>
        <w:rPr>
          <w:rFonts w:ascii="Arial"/>
          <w:color w:val="auto"/>
          <w:sz w:val="21"/>
          <w:highlight w:val="none"/>
        </w:rPr>
      </w:pPr>
    </w:p>
    <w:p w14:paraId="5A3DCA47">
      <w:pPr>
        <w:spacing w:before="62" w:line="342" w:lineRule="auto"/>
        <w:ind w:left="42" w:right="45" w:firstLine="40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6.1.1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承包人应按合同进度计划的要求，及时配置施工设备和修建临时设施。进入施工</w:t>
      </w:r>
      <w:r>
        <w:rPr>
          <w:rFonts w:ascii="宋体" w:hAnsi="宋体" w:eastAsia="宋体" w:cs="宋体"/>
          <w:color w:val="auto"/>
          <w:spacing w:val="6"/>
          <w:sz w:val="19"/>
          <w:szCs w:val="19"/>
          <w:highlight w:val="none"/>
        </w:rPr>
        <w:t>场地</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的承包人设备需经监理人核查后才能投入使</w:t>
      </w:r>
      <w:r>
        <w:rPr>
          <w:rFonts w:ascii="宋体" w:hAnsi="宋体" w:eastAsia="宋体" w:cs="宋体"/>
          <w:color w:val="auto"/>
          <w:spacing w:val="11"/>
          <w:sz w:val="19"/>
          <w:szCs w:val="19"/>
          <w:highlight w:val="none"/>
        </w:rPr>
        <w:t>用。承包人更换合同约定的承包人设备的，应报监</w:t>
      </w:r>
    </w:p>
    <w:p w14:paraId="185468C4">
      <w:pPr>
        <w:spacing w:line="342" w:lineRule="auto"/>
        <w:rPr>
          <w:rFonts w:ascii="宋体" w:hAnsi="宋体" w:eastAsia="宋体" w:cs="宋体"/>
          <w:color w:val="auto"/>
          <w:sz w:val="19"/>
          <w:szCs w:val="19"/>
          <w:highlight w:val="none"/>
        </w:rPr>
        <w:sectPr>
          <w:footerReference r:id="rId81" w:type="default"/>
          <w:pgSz w:w="11900" w:h="16832"/>
          <w:pgMar w:top="1423" w:right="1763" w:bottom="1188" w:left="1784" w:header="0" w:footer="980" w:gutter="0"/>
          <w:pgNumType w:fmt="decimal"/>
          <w:cols w:space="720" w:num="1"/>
        </w:sectPr>
      </w:pPr>
    </w:p>
    <w:p w14:paraId="6BEF5A94">
      <w:pPr>
        <w:spacing w:before="131" w:line="230" w:lineRule="auto"/>
        <w:ind w:left="2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理人批准。</w:t>
      </w:r>
    </w:p>
    <w:p w14:paraId="36FFD7A5">
      <w:pPr>
        <w:spacing w:before="135" w:line="349" w:lineRule="auto"/>
        <w:ind w:left="42" w:right="45" w:firstLine="40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6.1.2</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除专用合同条款另有约定外，承包人应自行承担修建</w:t>
      </w:r>
      <w:r>
        <w:rPr>
          <w:rFonts w:ascii="宋体" w:hAnsi="宋体" w:eastAsia="宋体" w:cs="宋体"/>
          <w:color w:val="auto"/>
          <w:spacing w:val="6"/>
          <w:sz w:val="19"/>
          <w:szCs w:val="19"/>
          <w:highlight w:val="none"/>
        </w:rPr>
        <w:t>临时设施的费用，需要临时占地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的，应由发包人办理申请手续并承担相应费用。</w:t>
      </w:r>
    </w:p>
    <w:p w14:paraId="1F77ECC2">
      <w:pPr>
        <w:spacing w:before="80" w:line="219" w:lineRule="auto"/>
        <w:ind w:left="3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6.2</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4"/>
          <w:sz w:val="28"/>
          <w:szCs w:val="28"/>
          <w:highlight w:val="none"/>
        </w:rPr>
        <w:t>发包人提供的施工设备和临时设施</w:t>
      </w:r>
    </w:p>
    <w:p w14:paraId="555432CD">
      <w:pPr>
        <w:spacing w:line="316" w:lineRule="auto"/>
        <w:rPr>
          <w:rFonts w:ascii="Arial"/>
          <w:color w:val="auto"/>
          <w:sz w:val="21"/>
          <w:highlight w:val="none"/>
        </w:rPr>
      </w:pPr>
    </w:p>
    <w:p w14:paraId="7F600DB2">
      <w:pPr>
        <w:spacing w:before="62"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发包人提供的施工设备或临时设施在专用合同条款中约定。</w:t>
      </w:r>
    </w:p>
    <w:p w14:paraId="0490D9AD">
      <w:pPr>
        <w:spacing w:before="187" w:line="220" w:lineRule="auto"/>
        <w:ind w:left="3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6.3</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4"/>
          <w:sz w:val="28"/>
          <w:szCs w:val="28"/>
          <w:highlight w:val="none"/>
        </w:rPr>
        <w:t>要求承包人增加或更换施工设备</w:t>
      </w:r>
    </w:p>
    <w:p w14:paraId="65464257">
      <w:pPr>
        <w:spacing w:line="310" w:lineRule="auto"/>
        <w:rPr>
          <w:rFonts w:ascii="Arial"/>
          <w:color w:val="auto"/>
          <w:sz w:val="21"/>
          <w:highlight w:val="none"/>
        </w:rPr>
      </w:pPr>
    </w:p>
    <w:p w14:paraId="65263BEB">
      <w:pPr>
        <w:spacing w:before="63" w:line="345" w:lineRule="auto"/>
        <w:ind w:left="27" w:right="39" w:firstLine="418"/>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承包人使用的施工设备不能满足合同进度计划和（或）</w:t>
      </w:r>
      <w:r>
        <w:rPr>
          <w:rFonts w:ascii="宋体" w:hAnsi="宋体" w:eastAsia="宋体" w:cs="宋体"/>
          <w:color w:val="auto"/>
          <w:spacing w:val="-31"/>
          <w:sz w:val="19"/>
          <w:szCs w:val="19"/>
          <w:highlight w:val="none"/>
        </w:rPr>
        <w:t xml:space="preserve"> </w:t>
      </w:r>
      <w:r>
        <w:rPr>
          <w:rFonts w:ascii="宋体" w:hAnsi="宋体" w:eastAsia="宋体" w:cs="宋体"/>
          <w:color w:val="auto"/>
          <w:spacing w:val="10"/>
          <w:sz w:val="19"/>
          <w:szCs w:val="19"/>
          <w:highlight w:val="none"/>
        </w:rPr>
        <w:t>质量要求时，监理人有权要求承包</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人增加或更换施工设备，承包人应及时增加或更换，</w:t>
      </w:r>
      <w:r>
        <w:rPr>
          <w:rFonts w:ascii="宋体" w:hAnsi="宋体" w:eastAsia="宋体" w:cs="宋体"/>
          <w:color w:val="auto"/>
          <w:spacing w:val="-47"/>
          <w:sz w:val="19"/>
          <w:szCs w:val="19"/>
          <w:highlight w:val="none"/>
        </w:rPr>
        <w:t xml:space="preserve"> </w:t>
      </w:r>
      <w:r>
        <w:rPr>
          <w:rFonts w:ascii="宋体" w:hAnsi="宋体" w:eastAsia="宋体" w:cs="宋体"/>
          <w:color w:val="auto"/>
          <w:spacing w:val="11"/>
          <w:sz w:val="19"/>
          <w:szCs w:val="19"/>
          <w:highlight w:val="none"/>
        </w:rPr>
        <w:t>由此增加</w:t>
      </w:r>
      <w:r>
        <w:rPr>
          <w:rFonts w:ascii="宋体" w:hAnsi="宋体" w:eastAsia="宋体" w:cs="宋体"/>
          <w:color w:val="auto"/>
          <w:spacing w:val="10"/>
          <w:sz w:val="19"/>
          <w:szCs w:val="19"/>
          <w:highlight w:val="none"/>
        </w:rPr>
        <w:t>的费用和（或）工期延误由承包</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人承担。</w:t>
      </w:r>
    </w:p>
    <w:p w14:paraId="449C2951">
      <w:pPr>
        <w:spacing w:before="87" w:line="220" w:lineRule="auto"/>
        <w:ind w:left="3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6.4</w:t>
      </w:r>
      <w:r>
        <w:rPr>
          <w:rFonts w:ascii="宋体" w:hAnsi="宋体" w:eastAsia="宋体" w:cs="宋体"/>
          <w:color w:val="auto"/>
          <w:spacing w:val="-45"/>
          <w:sz w:val="28"/>
          <w:szCs w:val="28"/>
          <w:highlight w:val="none"/>
        </w:rPr>
        <w:t xml:space="preserve"> </w:t>
      </w:r>
      <w:r>
        <w:rPr>
          <w:rFonts w:ascii="宋体" w:hAnsi="宋体" w:eastAsia="宋体" w:cs="宋体"/>
          <w:b/>
          <w:bCs/>
          <w:color w:val="auto"/>
          <w:spacing w:val="-4"/>
          <w:sz w:val="28"/>
          <w:szCs w:val="28"/>
          <w:highlight w:val="none"/>
        </w:rPr>
        <w:t>施工设备和临时设施专用于合同工程</w:t>
      </w:r>
    </w:p>
    <w:p w14:paraId="40ECF37D">
      <w:pPr>
        <w:spacing w:line="310" w:lineRule="auto"/>
        <w:rPr>
          <w:rFonts w:ascii="Arial"/>
          <w:color w:val="auto"/>
          <w:sz w:val="21"/>
          <w:highlight w:val="none"/>
        </w:rPr>
      </w:pPr>
    </w:p>
    <w:p w14:paraId="1510643A">
      <w:pPr>
        <w:spacing w:before="62" w:line="345" w:lineRule="auto"/>
        <w:ind w:left="25" w:right="43" w:firstLine="421"/>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6.4.1</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除合同另有约定外，运入施工场地的所有施工设备以及在施</w:t>
      </w:r>
      <w:r>
        <w:rPr>
          <w:rFonts w:ascii="宋体" w:hAnsi="宋体" w:eastAsia="宋体" w:cs="宋体"/>
          <w:color w:val="auto"/>
          <w:spacing w:val="6"/>
          <w:sz w:val="19"/>
          <w:szCs w:val="19"/>
          <w:highlight w:val="none"/>
        </w:rPr>
        <w:t>工场地建设的临时设施应</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专用于合同工程。未经监理人同意，不得将上述施工设备和临时设施中的任何部分</w:t>
      </w:r>
      <w:r>
        <w:rPr>
          <w:rFonts w:ascii="宋体" w:hAnsi="宋体" w:eastAsia="宋体" w:cs="宋体"/>
          <w:color w:val="auto"/>
          <w:spacing w:val="11"/>
          <w:sz w:val="19"/>
          <w:szCs w:val="19"/>
          <w:highlight w:val="none"/>
        </w:rPr>
        <w:t>运出施工场</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地或挪作他用。</w:t>
      </w:r>
    </w:p>
    <w:p w14:paraId="4AAF8F06">
      <w:pPr>
        <w:spacing w:before="174" w:line="228" w:lineRule="auto"/>
        <w:ind w:left="44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6.4.2</w:t>
      </w:r>
      <w:r>
        <w:rPr>
          <w:rFonts w:ascii="宋体" w:hAnsi="宋体" w:eastAsia="宋体" w:cs="宋体"/>
          <w:color w:val="auto"/>
          <w:spacing w:val="-28"/>
          <w:sz w:val="19"/>
          <w:szCs w:val="19"/>
          <w:highlight w:val="none"/>
        </w:rPr>
        <w:t xml:space="preserve"> </w:t>
      </w:r>
      <w:r>
        <w:rPr>
          <w:rFonts w:ascii="宋体" w:hAnsi="宋体" w:eastAsia="宋体" w:cs="宋体"/>
          <w:color w:val="auto"/>
          <w:spacing w:val="8"/>
          <w:sz w:val="19"/>
          <w:szCs w:val="19"/>
          <w:highlight w:val="none"/>
        </w:rPr>
        <w:t>经监理人同意，承包人可根据合同进度计划撤走闲置的施工设备。</w:t>
      </w:r>
    </w:p>
    <w:p w14:paraId="641744ED">
      <w:pPr>
        <w:spacing w:line="253" w:lineRule="auto"/>
        <w:rPr>
          <w:rFonts w:ascii="Arial"/>
          <w:color w:val="auto"/>
          <w:sz w:val="21"/>
          <w:highlight w:val="none"/>
        </w:rPr>
      </w:pPr>
    </w:p>
    <w:p w14:paraId="13A90111">
      <w:pPr>
        <w:spacing w:before="102" w:line="225" w:lineRule="auto"/>
        <w:ind w:left="37"/>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7.</w:t>
      </w:r>
      <w:r>
        <w:rPr>
          <w:rFonts w:ascii="宋体" w:hAnsi="宋体" w:eastAsia="宋体" w:cs="宋体"/>
          <w:b/>
          <w:bCs/>
          <w:color w:val="auto"/>
          <w:spacing w:val="3"/>
          <w:sz w:val="31"/>
          <w:szCs w:val="31"/>
          <w:highlight w:val="none"/>
        </w:rPr>
        <w:t>交通运输</w:t>
      </w:r>
    </w:p>
    <w:p w14:paraId="748FA6ED">
      <w:pPr>
        <w:spacing w:line="249" w:lineRule="auto"/>
        <w:rPr>
          <w:rFonts w:ascii="Arial"/>
          <w:color w:val="auto"/>
          <w:sz w:val="21"/>
          <w:highlight w:val="none"/>
        </w:rPr>
      </w:pPr>
    </w:p>
    <w:p w14:paraId="0A2FE5B2">
      <w:pPr>
        <w:spacing w:line="250" w:lineRule="auto"/>
        <w:rPr>
          <w:rFonts w:ascii="Arial"/>
          <w:color w:val="auto"/>
          <w:sz w:val="21"/>
          <w:highlight w:val="none"/>
        </w:rPr>
      </w:pPr>
    </w:p>
    <w:p w14:paraId="6E2C3DD9">
      <w:pPr>
        <w:spacing w:before="91" w:line="220" w:lineRule="auto"/>
        <w:ind w:left="35"/>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7.1</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4"/>
          <w:sz w:val="28"/>
          <w:szCs w:val="28"/>
          <w:highlight w:val="none"/>
        </w:rPr>
        <w:t>道路通行权和场外设施</w:t>
      </w:r>
    </w:p>
    <w:p w14:paraId="329E3B7A">
      <w:pPr>
        <w:spacing w:line="303" w:lineRule="auto"/>
        <w:rPr>
          <w:rFonts w:ascii="Arial"/>
          <w:color w:val="auto"/>
          <w:sz w:val="21"/>
          <w:highlight w:val="none"/>
        </w:rPr>
      </w:pPr>
    </w:p>
    <w:p w14:paraId="23D29945">
      <w:pPr>
        <w:spacing w:before="62" w:line="339" w:lineRule="auto"/>
        <w:ind w:left="24" w:right="39" w:firstLine="432"/>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除专用合同条款另有约定外，承包人应根据合同工程的施工需要，负责办理取得出入施工</w:t>
      </w:r>
      <w:r>
        <w:rPr>
          <w:rFonts w:ascii="宋体" w:hAnsi="宋体" w:eastAsia="宋体" w:cs="宋体"/>
          <w:color w:val="auto"/>
          <w:spacing w:val="13"/>
          <w:sz w:val="19"/>
          <w:szCs w:val="19"/>
          <w:highlight w:val="none"/>
        </w:rPr>
        <w:t xml:space="preserve"> </w:t>
      </w:r>
      <w:r>
        <w:rPr>
          <w:rFonts w:ascii="宋体" w:hAnsi="宋体" w:eastAsia="宋体" w:cs="宋体"/>
          <w:color w:val="auto"/>
          <w:spacing w:val="11"/>
          <w:sz w:val="19"/>
          <w:szCs w:val="19"/>
          <w:highlight w:val="none"/>
        </w:rPr>
        <w:t>场地的专用和临时道路的通行权，</w:t>
      </w:r>
      <w:r>
        <w:rPr>
          <w:rFonts w:ascii="宋体" w:hAnsi="宋体" w:eastAsia="宋体" w:cs="宋体"/>
          <w:color w:val="auto"/>
          <w:spacing w:val="-52"/>
          <w:sz w:val="19"/>
          <w:szCs w:val="19"/>
          <w:highlight w:val="none"/>
        </w:rPr>
        <w:t xml:space="preserve"> </w:t>
      </w:r>
      <w:r>
        <w:rPr>
          <w:rFonts w:ascii="宋体" w:hAnsi="宋体" w:eastAsia="宋体" w:cs="宋体"/>
          <w:color w:val="auto"/>
          <w:spacing w:val="11"/>
          <w:sz w:val="19"/>
          <w:szCs w:val="19"/>
          <w:highlight w:val="none"/>
        </w:rPr>
        <w:t>以及取得为工程建设所需修建场外设施的权</w:t>
      </w:r>
      <w:r>
        <w:rPr>
          <w:rFonts w:ascii="宋体" w:hAnsi="宋体" w:eastAsia="宋体" w:cs="宋体"/>
          <w:color w:val="auto"/>
          <w:spacing w:val="10"/>
          <w:sz w:val="19"/>
          <w:szCs w:val="19"/>
          <w:highlight w:val="none"/>
        </w:rPr>
        <w:t>利，并承担相关</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费用。发包人应协助承包人办理上述手续。</w:t>
      </w:r>
    </w:p>
    <w:p w14:paraId="30C3F62A">
      <w:pPr>
        <w:spacing w:before="97" w:line="220" w:lineRule="auto"/>
        <w:ind w:left="35"/>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7.2</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5"/>
          <w:sz w:val="28"/>
          <w:szCs w:val="28"/>
          <w:highlight w:val="none"/>
        </w:rPr>
        <w:t>场内施工道路</w:t>
      </w:r>
    </w:p>
    <w:p w14:paraId="0DFEA50B">
      <w:pPr>
        <w:spacing w:line="314" w:lineRule="auto"/>
        <w:rPr>
          <w:rFonts w:ascii="Arial"/>
          <w:color w:val="auto"/>
          <w:sz w:val="21"/>
          <w:highlight w:val="none"/>
        </w:rPr>
      </w:pPr>
    </w:p>
    <w:p w14:paraId="035163BC">
      <w:pPr>
        <w:spacing w:before="62" w:line="350" w:lineRule="auto"/>
        <w:ind w:left="26" w:right="39"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7.2.1 除本合同约定由发包人提供的部</w:t>
      </w:r>
      <w:r>
        <w:rPr>
          <w:rFonts w:ascii="宋体" w:hAnsi="宋体" w:eastAsia="宋体" w:cs="宋体"/>
          <w:color w:val="auto"/>
          <w:spacing w:val="7"/>
          <w:sz w:val="19"/>
          <w:szCs w:val="19"/>
          <w:highlight w:val="none"/>
        </w:rPr>
        <w:t>分道路和交通设施外，承包人应负责修建、维 修、</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养护和管理其施工所需的全部临时道路和交通</w:t>
      </w:r>
      <w:r>
        <w:rPr>
          <w:rFonts w:ascii="宋体" w:hAnsi="宋体" w:eastAsia="宋体" w:cs="宋体"/>
          <w:color w:val="auto"/>
          <w:spacing w:val="9"/>
          <w:sz w:val="19"/>
          <w:szCs w:val="19"/>
          <w:highlight w:val="none"/>
        </w:rPr>
        <w:t>设施（包括合同约定由发包人提供的部 分道路和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交通设施维修、养护和管理</w:t>
      </w:r>
      <w:r>
        <w:rPr>
          <w:rFonts w:ascii="宋体" w:hAnsi="宋体" w:eastAsia="宋体" w:cs="宋体"/>
          <w:color w:val="auto"/>
          <w:spacing w:val="16"/>
          <w:sz w:val="19"/>
          <w:szCs w:val="19"/>
          <w:highlight w:val="none"/>
        </w:rPr>
        <w:t>），</w:t>
      </w:r>
      <w:r>
        <w:rPr>
          <w:rFonts w:ascii="宋体" w:hAnsi="宋体" w:eastAsia="宋体" w:cs="宋体"/>
          <w:color w:val="auto"/>
          <w:spacing w:val="7"/>
          <w:sz w:val="19"/>
          <w:szCs w:val="19"/>
          <w:highlight w:val="none"/>
        </w:rPr>
        <w:t>并承担相应费用。</w:t>
      </w:r>
    </w:p>
    <w:p w14:paraId="069F2FE3">
      <w:pPr>
        <w:spacing w:before="34" w:line="356" w:lineRule="auto"/>
        <w:ind w:left="28" w:right="39" w:firstLine="42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7.2.2 承包人修建的临时道路和交通设施，应免费</w:t>
      </w:r>
      <w:r>
        <w:rPr>
          <w:rFonts w:ascii="宋体" w:hAnsi="宋体" w:eastAsia="宋体" w:cs="宋体"/>
          <w:color w:val="auto"/>
          <w:spacing w:val="7"/>
          <w:sz w:val="19"/>
          <w:szCs w:val="19"/>
          <w:highlight w:val="none"/>
        </w:rPr>
        <w:t>提供发包人、监理人，以及与本合</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同有</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关的其他承包人使用。</w:t>
      </w:r>
    </w:p>
    <w:p w14:paraId="7228A780">
      <w:pPr>
        <w:spacing w:before="73" w:line="221" w:lineRule="auto"/>
        <w:ind w:left="35"/>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7.3</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6"/>
          <w:sz w:val="28"/>
          <w:szCs w:val="28"/>
          <w:highlight w:val="none"/>
        </w:rPr>
        <w:t>场外交通</w:t>
      </w:r>
    </w:p>
    <w:p w14:paraId="76F3799F">
      <w:pPr>
        <w:spacing w:line="317" w:lineRule="auto"/>
        <w:rPr>
          <w:rFonts w:ascii="Arial"/>
          <w:color w:val="auto"/>
          <w:sz w:val="21"/>
          <w:highlight w:val="none"/>
        </w:rPr>
      </w:pPr>
    </w:p>
    <w:p w14:paraId="2E1EAFD8">
      <w:pPr>
        <w:spacing w:before="63" w:line="349" w:lineRule="auto"/>
        <w:ind w:left="45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7.3.1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承包人车辆外出行驶所需的场外公共道路的通行费、养路费和税款等由承包人承</w:t>
      </w:r>
      <w:r>
        <w:rPr>
          <w:rFonts w:ascii="宋体" w:hAnsi="宋体" w:eastAsia="宋体" w:cs="宋体"/>
          <w:color w:val="auto"/>
          <w:spacing w:val="7"/>
          <w:sz w:val="19"/>
          <w:szCs w:val="19"/>
          <w:highlight w:val="none"/>
        </w:rPr>
        <w:t>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7.3.2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承包人应遵守有关交通法规，严格按照道路和桥梁的限制荷重安全行驶</w:t>
      </w:r>
      <w:r>
        <w:rPr>
          <w:rFonts w:ascii="宋体" w:hAnsi="宋体" w:eastAsia="宋体" w:cs="宋体"/>
          <w:color w:val="auto"/>
          <w:spacing w:val="6"/>
          <w:sz w:val="19"/>
          <w:szCs w:val="19"/>
          <w:highlight w:val="none"/>
        </w:rPr>
        <w:t>，并服从交通</w:t>
      </w:r>
    </w:p>
    <w:p w14:paraId="022E0623">
      <w:pPr>
        <w:spacing w:line="349" w:lineRule="auto"/>
        <w:rPr>
          <w:rFonts w:ascii="宋体" w:hAnsi="宋体" w:eastAsia="宋体" w:cs="宋体"/>
          <w:color w:val="auto"/>
          <w:sz w:val="19"/>
          <w:szCs w:val="19"/>
          <w:highlight w:val="none"/>
        </w:rPr>
        <w:sectPr>
          <w:footerReference r:id="rId82" w:type="default"/>
          <w:pgSz w:w="11900" w:h="16832"/>
          <w:pgMar w:top="1430" w:right="1763" w:bottom="1188" w:left="1784" w:header="0" w:footer="980" w:gutter="0"/>
          <w:pgNumType w:fmt="decimal"/>
          <w:cols w:space="720" w:num="1"/>
        </w:sectPr>
      </w:pPr>
    </w:p>
    <w:p w14:paraId="45920B51">
      <w:pPr>
        <w:spacing w:before="136" w:line="228" w:lineRule="auto"/>
        <w:ind w:left="3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管理部门的检查和监督。</w:t>
      </w:r>
    </w:p>
    <w:p w14:paraId="22E882AB">
      <w:pPr>
        <w:spacing w:before="189" w:line="220" w:lineRule="auto"/>
        <w:ind w:left="35"/>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7.4</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4"/>
          <w:sz w:val="28"/>
          <w:szCs w:val="28"/>
          <w:highlight w:val="none"/>
        </w:rPr>
        <w:t>超大件和超重件的运输</w:t>
      </w:r>
    </w:p>
    <w:p w14:paraId="33AC03E7">
      <w:pPr>
        <w:spacing w:line="292" w:lineRule="auto"/>
        <w:rPr>
          <w:rFonts w:ascii="Arial"/>
          <w:color w:val="auto"/>
          <w:sz w:val="21"/>
          <w:highlight w:val="none"/>
        </w:rPr>
      </w:pPr>
    </w:p>
    <w:p w14:paraId="7F0BECAE">
      <w:pPr>
        <w:spacing w:before="62" w:line="327" w:lineRule="auto"/>
        <w:ind w:left="25" w:right="54" w:firstLine="463"/>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由承包人负责运输的超大件或超重件，应由承包人负责向交通管理部门办理申请手续, 发</w:t>
      </w:r>
      <w:r>
        <w:rPr>
          <w:rFonts w:ascii="宋体" w:hAnsi="宋体" w:eastAsia="宋体" w:cs="宋体"/>
          <w:color w:val="auto"/>
          <w:spacing w:val="13"/>
          <w:sz w:val="19"/>
          <w:szCs w:val="19"/>
          <w:highlight w:val="none"/>
        </w:rPr>
        <w:t xml:space="preserve"> </w:t>
      </w:r>
      <w:r>
        <w:rPr>
          <w:rFonts w:ascii="宋体" w:hAnsi="宋体" w:eastAsia="宋体" w:cs="宋体"/>
          <w:color w:val="auto"/>
          <w:spacing w:val="11"/>
          <w:sz w:val="19"/>
          <w:szCs w:val="19"/>
          <w:highlight w:val="none"/>
        </w:rPr>
        <w:t>包人给予协助。运输超大件或超重件所需的道路和桥梁临时加固改</w:t>
      </w:r>
      <w:r>
        <w:rPr>
          <w:rFonts w:ascii="宋体" w:hAnsi="宋体" w:eastAsia="宋体" w:cs="宋体"/>
          <w:color w:val="auto"/>
          <w:spacing w:val="10"/>
          <w:sz w:val="19"/>
          <w:szCs w:val="19"/>
          <w:highlight w:val="none"/>
        </w:rPr>
        <w:t>造费用和其他有关费用，</w:t>
      </w:r>
      <w:r>
        <w:rPr>
          <w:rFonts w:ascii="宋体" w:hAnsi="宋体" w:eastAsia="宋体" w:cs="宋体"/>
          <w:color w:val="auto"/>
          <w:spacing w:val="-47"/>
          <w:sz w:val="19"/>
          <w:szCs w:val="19"/>
          <w:highlight w:val="none"/>
        </w:rPr>
        <w:t xml:space="preserve"> </w:t>
      </w:r>
      <w:r>
        <w:rPr>
          <w:rFonts w:ascii="宋体" w:hAnsi="宋体" w:eastAsia="宋体" w:cs="宋体"/>
          <w:color w:val="auto"/>
          <w:spacing w:val="10"/>
          <w:sz w:val="19"/>
          <w:szCs w:val="19"/>
          <w:highlight w:val="none"/>
        </w:rPr>
        <w:t>由</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承包人承担，但专用合同条款另有约定除外。</w:t>
      </w:r>
    </w:p>
    <w:p w14:paraId="5DAA44B5">
      <w:pPr>
        <w:spacing w:before="86" w:line="220" w:lineRule="auto"/>
        <w:ind w:left="35"/>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7.5</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4"/>
          <w:sz w:val="28"/>
          <w:szCs w:val="28"/>
          <w:highlight w:val="none"/>
        </w:rPr>
        <w:t>道路和桥梁的损坏责任</w:t>
      </w:r>
    </w:p>
    <w:p w14:paraId="74D3A289">
      <w:pPr>
        <w:spacing w:line="298" w:lineRule="auto"/>
        <w:rPr>
          <w:rFonts w:ascii="Arial"/>
          <w:color w:val="auto"/>
          <w:sz w:val="21"/>
          <w:highlight w:val="none"/>
        </w:rPr>
      </w:pPr>
    </w:p>
    <w:p w14:paraId="2E91955C">
      <w:pPr>
        <w:spacing w:before="62" w:line="329" w:lineRule="auto"/>
        <w:ind w:left="27" w:right="58" w:firstLine="453"/>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因承包人运输造成施工场地内外公共道路和桥梁损坏的，由承包</w:t>
      </w:r>
      <w:r>
        <w:rPr>
          <w:rFonts w:ascii="宋体" w:hAnsi="宋体" w:eastAsia="宋体" w:cs="宋体"/>
          <w:color w:val="auto"/>
          <w:spacing w:val="10"/>
          <w:sz w:val="19"/>
          <w:szCs w:val="19"/>
          <w:highlight w:val="none"/>
        </w:rPr>
        <w:t>人承担修复损坏的全部费</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用和可能引起的赔偿。</w:t>
      </w:r>
    </w:p>
    <w:p w14:paraId="3ABDB392">
      <w:pPr>
        <w:spacing w:before="77" w:line="220" w:lineRule="auto"/>
        <w:ind w:left="35"/>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7.6</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6"/>
          <w:sz w:val="28"/>
          <w:szCs w:val="28"/>
          <w:highlight w:val="none"/>
        </w:rPr>
        <w:t>水路和航空运输</w:t>
      </w:r>
    </w:p>
    <w:p w14:paraId="792D7F07">
      <w:pPr>
        <w:spacing w:line="297" w:lineRule="auto"/>
        <w:rPr>
          <w:rFonts w:ascii="Arial"/>
          <w:color w:val="auto"/>
          <w:sz w:val="21"/>
          <w:highlight w:val="none"/>
        </w:rPr>
      </w:pPr>
    </w:p>
    <w:p w14:paraId="2C57822E">
      <w:pPr>
        <w:spacing w:before="62" w:line="330" w:lineRule="auto"/>
        <w:ind w:left="25" w:right="56" w:firstLine="439"/>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本条上述各款的内容适用于水路运输和航空运输，其中“道路</w:t>
      </w:r>
      <w:r>
        <w:rPr>
          <w:rFonts w:ascii="宋体" w:hAnsi="宋体" w:eastAsia="宋体" w:cs="宋体"/>
          <w:color w:val="auto"/>
          <w:spacing w:val="-63"/>
          <w:sz w:val="19"/>
          <w:szCs w:val="19"/>
          <w:highlight w:val="none"/>
        </w:rPr>
        <w:t xml:space="preserve"> </w:t>
      </w:r>
      <w:r>
        <w:rPr>
          <w:rFonts w:ascii="宋体" w:hAnsi="宋体" w:eastAsia="宋体" w:cs="宋体"/>
          <w:color w:val="auto"/>
          <w:spacing w:val="6"/>
          <w:sz w:val="19"/>
          <w:szCs w:val="19"/>
          <w:highlight w:val="none"/>
        </w:rPr>
        <w:t>” 一词的涵义包括河道、</w:t>
      </w:r>
      <w:r>
        <w:rPr>
          <w:rFonts w:ascii="宋体" w:hAnsi="宋体" w:eastAsia="宋体" w:cs="宋体"/>
          <w:color w:val="auto"/>
          <w:spacing w:val="-28"/>
          <w:sz w:val="19"/>
          <w:szCs w:val="19"/>
          <w:highlight w:val="none"/>
        </w:rPr>
        <w:t xml:space="preserve"> </w:t>
      </w:r>
      <w:r>
        <w:rPr>
          <w:rFonts w:ascii="宋体" w:hAnsi="宋体" w:eastAsia="宋体" w:cs="宋体"/>
          <w:color w:val="auto"/>
          <w:spacing w:val="6"/>
          <w:sz w:val="19"/>
          <w:szCs w:val="19"/>
          <w:highlight w:val="none"/>
        </w:rPr>
        <w:t>航</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线、船闸、机场、码头、堤防以及水路或航空运输中其他相似结构物；</w:t>
      </w:r>
      <w:r>
        <w:rPr>
          <w:rFonts w:ascii="宋体" w:hAnsi="宋体" w:eastAsia="宋体" w:cs="宋体"/>
          <w:color w:val="auto"/>
          <w:spacing w:val="-52"/>
          <w:sz w:val="19"/>
          <w:szCs w:val="19"/>
          <w:highlight w:val="none"/>
        </w:rPr>
        <w:t xml:space="preserve"> </w:t>
      </w:r>
      <w:r>
        <w:rPr>
          <w:rFonts w:ascii="宋体" w:hAnsi="宋体" w:eastAsia="宋体" w:cs="宋体"/>
          <w:color w:val="auto"/>
          <w:spacing w:val="8"/>
          <w:sz w:val="19"/>
          <w:szCs w:val="19"/>
          <w:highlight w:val="none"/>
        </w:rPr>
        <w:t>“车辆</w:t>
      </w:r>
      <w:r>
        <w:rPr>
          <w:rFonts w:ascii="宋体" w:hAnsi="宋体" w:eastAsia="宋体" w:cs="宋体"/>
          <w:color w:val="auto"/>
          <w:spacing w:val="-69"/>
          <w:sz w:val="19"/>
          <w:szCs w:val="19"/>
          <w:highlight w:val="none"/>
        </w:rPr>
        <w:t xml:space="preserve"> </w:t>
      </w:r>
      <w:r>
        <w:rPr>
          <w:rFonts w:ascii="宋体" w:hAnsi="宋体" w:eastAsia="宋体" w:cs="宋体"/>
          <w:color w:val="auto"/>
          <w:spacing w:val="8"/>
          <w:sz w:val="19"/>
          <w:szCs w:val="19"/>
          <w:highlight w:val="none"/>
        </w:rPr>
        <w:t xml:space="preserve">” </w:t>
      </w:r>
      <w:r>
        <w:rPr>
          <w:rFonts w:ascii="宋体" w:hAnsi="宋体" w:eastAsia="宋体" w:cs="宋体"/>
          <w:color w:val="auto"/>
          <w:spacing w:val="7"/>
          <w:sz w:val="19"/>
          <w:szCs w:val="19"/>
          <w:highlight w:val="none"/>
        </w:rPr>
        <w:t>一词的涵义包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括船舶和飞机等。</w:t>
      </w:r>
    </w:p>
    <w:p w14:paraId="3ED935E5">
      <w:pPr>
        <w:spacing w:before="228" w:line="226" w:lineRule="auto"/>
        <w:ind w:left="33"/>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8.</w:t>
      </w:r>
      <w:r>
        <w:rPr>
          <w:rFonts w:ascii="宋体" w:hAnsi="宋体" w:eastAsia="宋体" w:cs="宋体"/>
          <w:b/>
          <w:bCs/>
          <w:color w:val="auto"/>
          <w:spacing w:val="4"/>
          <w:sz w:val="31"/>
          <w:szCs w:val="31"/>
          <w:highlight w:val="none"/>
        </w:rPr>
        <w:t>测量放线</w:t>
      </w:r>
    </w:p>
    <w:p w14:paraId="3C91FD65">
      <w:pPr>
        <w:spacing w:line="249" w:lineRule="auto"/>
        <w:rPr>
          <w:rFonts w:ascii="Arial"/>
          <w:color w:val="auto"/>
          <w:sz w:val="21"/>
          <w:highlight w:val="none"/>
        </w:rPr>
      </w:pPr>
    </w:p>
    <w:p w14:paraId="1ECFC4B0">
      <w:pPr>
        <w:spacing w:line="249" w:lineRule="auto"/>
        <w:rPr>
          <w:rFonts w:ascii="Arial"/>
          <w:color w:val="auto"/>
          <w:sz w:val="21"/>
          <w:highlight w:val="none"/>
        </w:rPr>
      </w:pPr>
    </w:p>
    <w:p w14:paraId="44BC1041">
      <w:pPr>
        <w:spacing w:before="91" w:line="221" w:lineRule="auto"/>
        <w:ind w:left="30"/>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8.1</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5"/>
          <w:sz w:val="28"/>
          <w:szCs w:val="28"/>
          <w:highlight w:val="none"/>
        </w:rPr>
        <w:t>施工控制网</w:t>
      </w:r>
    </w:p>
    <w:p w14:paraId="526E6246">
      <w:pPr>
        <w:spacing w:line="296" w:lineRule="auto"/>
        <w:rPr>
          <w:rFonts w:ascii="Arial"/>
          <w:color w:val="auto"/>
          <w:sz w:val="21"/>
          <w:highlight w:val="none"/>
        </w:rPr>
      </w:pPr>
    </w:p>
    <w:p w14:paraId="35B9E091">
      <w:pPr>
        <w:spacing w:before="62" w:line="335" w:lineRule="auto"/>
        <w:ind w:left="25" w:right="55" w:firstLine="439"/>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8.1.1</w:t>
      </w:r>
      <w:r>
        <w:rPr>
          <w:rFonts w:ascii="宋体" w:hAnsi="宋体" w:eastAsia="宋体" w:cs="宋体"/>
          <w:color w:val="auto"/>
          <w:spacing w:val="-14"/>
          <w:sz w:val="19"/>
          <w:szCs w:val="19"/>
          <w:highlight w:val="none"/>
        </w:rPr>
        <w:t xml:space="preserve"> </w:t>
      </w:r>
      <w:r>
        <w:rPr>
          <w:rFonts w:ascii="宋体" w:hAnsi="宋体" w:eastAsia="宋体" w:cs="宋体"/>
          <w:color w:val="auto"/>
          <w:spacing w:val="6"/>
          <w:sz w:val="19"/>
          <w:szCs w:val="19"/>
          <w:highlight w:val="none"/>
        </w:rPr>
        <w:t>除专用条款另有约定外，施工控制网由承包人负责测设，发包人应在本合同协议书签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订后的</w:t>
      </w:r>
      <w:r>
        <w:rPr>
          <w:rFonts w:ascii="宋体" w:hAnsi="宋体" w:eastAsia="宋体" w:cs="宋体"/>
          <w:color w:val="auto"/>
          <w:spacing w:val="-23"/>
          <w:sz w:val="19"/>
          <w:szCs w:val="19"/>
          <w:highlight w:val="none"/>
        </w:rPr>
        <w:t xml:space="preserve"> </w:t>
      </w:r>
      <w:r>
        <w:rPr>
          <w:rFonts w:ascii="宋体" w:hAnsi="宋体" w:eastAsia="宋体" w:cs="宋体"/>
          <w:color w:val="auto"/>
          <w:spacing w:val="9"/>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天内，向承包人提供测量基准点、基准</w:t>
      </w:r>
      <w:r>
        <w:rPr>
          <w:rFonts w:ascii="宋体" w:hAnsi="宋体" w:eastAsia="宋体" w:cs="宋体"/>
          <w:color w:val="auto"/>
          <w:spacing w:val="8"/>
          <w:sz w:val="19"/>
          <w:szCs w:val="19"/>
          <w:highlight w:val="none"/>
        </w:rPr>
        <w:t>线和水准点及其相关资料。承包人应在收到上</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述资料后的</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天内，将施测的施工控制网资料提交监理人审批。监理人应在收到</w:t>
      </w:r>
      <w:r>
        <w:rPr>
          <w:rFonts w:ascii="宋体" w:hAnsi="宋体" w:eastAsia="宋体" w:cs="宋体"/>
          <w:color w:val="auto"/>
          <w:spacing w:val="6"/>
          <w:sz w:val="19"/>
          <w:szCs w:val="19"/>
          <w:highlight w:val="none"/>
        </w:rPr>
        <w:t>报批件后的</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14</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天内批复承包人。</w:t>
      </w:r>
    </w:p>
    <w:p w14:paraId="056F1736">
      <w:pPr>
        <w:spacing w:before="29" w:line="328" w:lineRule="auto"/>
        <w:ind w:left="25" w:firstLine="43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8.1.2</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承包人应负责管理施工控制网点。施工控制网点丢失或损坏的，</w:t>
      </w:r>
      <w:r>
        <w:rPr>
          <w:rFonts w:ascii="宋体" w:hAnsi="宋体" w:eastAsia="宋体" w:cs="宋体"/>
          <w:color w:val="auto"/>
          <w:spacing w:val="-55"/>
          <w:sz w:val="19"/>
          <w:szCs w:val="19"/>
          <w:highlight w:val="none"/>
        </w:rPr>
        <w:t xml:space="preserve"> </w:t>
      </w:r>
      <w:r>
        <w:rPr>
          <w:rFonts w:ascii="宋体" w:hAnsi="宋体" w:eastAsia="宋体" w:cs="宋体"/>
          <w:color w:val="auto"/>
          <w:spacing w:val="7"/>
          <w:sz w:val="19"/>
          <w:szCs w:val="19"/>
          <w:highlight w:val="none"/>
        </w:rPr>
        <w:t>承包人应及时修复。</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承包人应承担施工控制网点的管理与修复费用，并在工程竣工后将施工控制网点移交发包人。</w:t>
      </w:r>
    </w:p>
    <w:p w14:paraId="3E6F6BDB">
      <w:pPr>
        <w:spacing w:before="81" w:line="221" w:lineRule="auto"/>
        <w:ind w:left="30"/>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8.2</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5"/>
          <w:sz w:val="28"/>
          <w:szCs w:val="28"/>
          <w:highlight w:val="none"/>
        </w:rPr>
        <w:t>施工测量</w:t>
      </w:r>
    </w:p>
    <w:p w14:paraId="4720BE2E">
      <w:pPr>
        <w:spacing w:line="303" w:lineRule="auto"/>
        <w:rPr>
          <w:rFonts w:ascii="Arial"/>
          <w:color w:val="auto"/>
          <w:sz w:val="21"/>
          <w:highlight w:val="none"/>
        </w:rPr>
      </w:pPr>
    </w:p>
    <w:p w14:paraId="7235E58D">
      <w:pPr>
        <w:spacing w:before="62" w:line="335" w:lineRule="auto"/>
        <w:ind w:left="28" w:right="56" w:firstLine="437"/>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8.2.1</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承包人应负责施工过程中的全部施工测量放线工作，并配置合格的</w:t>
      </w:r>
      <w:r>
        <w:rPr>
          <w:rFonts w:ascii="宋体" w:hAnsi="宋体" w:eastAsia="宋体" w:cs="宋体"/>
          <w:color w:val="auto"/>
          <w:spacing w:val="8"/>
          <w:sz w:val="19"/>
          <w:szCs w:val="19"/>
          <w:highlight w:val="none"/>
        </w:rPr>
        <w:t>人员、仪 器、设</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备和其他物品。</w:t>
      </w:r>
    </w:p>
    <w:p w14:paraId="33A9F373">
      <w:pPr>
        <w:spacing w:before="34" w:line="340" w:lineRule="auto"/>
        <w:ind w:left="35" w:right="62" w:firstLine="43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8.2.2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监理人可以指示承包人进行抽样复</w:t>
      </w:r>
      <w:r>
        <w:rPr>
          <w:rFonts w:ascii="宋体" w:hAnsi="宋体" w:eastAsia="宋体" w:cs="宋体"/>
          <w:color w:val="auto"/>
          <w:spacing w:val="6"/>
          <w:sz w:val="19"/>
          <w:szCs w:val="19"/>
          <w:highlight w:val="none"/>
        </w:rPr>
        <w:t>测，当复测中发现错误或出现超过合同约定的误差</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时，承包人应按监理人指示进行修正或补测，并承担相应的复测费用。</w:t>
      </w:r>
    </w:p>
    <w:p w14:paraId="6F27829A">
      <w:pPr>
        <w:spacing w:before="69" w:line="220" w:lineRule="auto"/>
        <w:ind w:left="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8.3</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4"/>
          <w:sz w:val="28"/>
          <w:szCs w:val="28"/>
          <w:highlight w:val="none"/>
        </w:rPr>
        <w:t>基准资料错误的责任</w:t>
      </w:r>
    </w:p>
    <w:p w14:paraId="2E0ECF33">
      <w:pPr>
        <w:spacing w:line="298" w:lineRule="auto"/>
        <w:rPr>
          <w:rFonts w:ascii="Arial"/>
          <w:color w:val="auto"/>
          <w:sz w:val="21"/>
          <w:highlight w:val="none"/>
        </w:rPr>
      </w:pPr>
    </w:p>
    <w:p w14:paraId="7ADE7231">
      <w:pPr>
        <w:spacing w:before="62" w:line="331" w:lineRule="auto"/>
        <w:ind w:left="25" w:right="58" w:firstLine="442"/>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发包人应对其提供的测量基准点、基准线和水准点及其书面资料的真实性、准确性和完整</w:t>
      </w:r>
      <w:r>
        <w:rPr>
          <w:rFonts w:ascii="宋体" w:hAnsi="宋体" w:eastAsia="宋体" w:cs="宋体"/>
          <w:color w:val="auto"/>
          <w:spacing w:val="1"/>
          <w:sz w:val="19"/>
          <w:szCs w:val="19"/>
          <w:highlight w:val="none"/>
        </w:rPr>
        <w:t xml:space="preserve"> </w:t>
      </w:r>
      <w:r>
        <w:rPr>
          <w:rFonts w:ascii="宋体" w:hAnsi="宋体" w:eastAsia="宋体" w:cs="宋体"/>
          <w:color w:val="auto"/>
          <w:spacing w:val="12"/>
          <w:sz w:val="19"/>
          <w:szCs w:val="19"/>
          <w:highlight w:val="none"/>
        </w:rPr>
        <w:t>性负责。发包人提供上述基准资料错误导致承包人测量放线工作的返工或造成工程</w:t>
      </w:r>
      <w:r>
        <w:rPr>
          <w:rFonts w:ascii="宋体" w:hAnsi="宋体" w:eastAsia="宋体" w:cs="宋体"/>
          <w:color w:val="auto"/>
          <w:spacing w:val="11"/>
          <w:sz w:val="19"/>
          <w:szCs w:val="19"/>
          <w:highlight w:val="none"/>
        </w:rPr>
        <w:t>损失的，发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包人应当承担由此增加的费用和（或）工期延误，并向承包人支付合理利润。承包</w:t>
      </w:r>
      <w:r>
        <w:rPr>
          <w:rFonts w:ascii="宋体" w:hAnsi="宋体" w:eastAsia="宋体" w:cs="宋体"/>
          <w:color w:val="auto"/>
          <w:spacing w:val="11"/>
          <w:sz w:val="19"/>
          <w:szCs w:val="19"/>
          <w:highlight w:val="none"/>
        </w:rPr>
        <w:t>人发现发包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人提供的上述基准资料存在明显错误或疏忽</w:t>
      </w:r>
      <w:r>
        <w:rPr>
          <w:rFonts w:ascii="宋体" w:hAnsi="宋体" w:eastAsia="宋体" w:cs="宋体"/>
          <w:color w:val="auto"/>
          <w:spacing w:val="8"/>
          <w:sz w:val="19"/>
          <w:szCs w:val="19"/>
          <w:highlight w:val="none"/>
        </w:rPr>
        <w:t>的，应及时通知监理人。</w:t>
      </w:r>
    </w:p>
    <w:p w14:paraId="7A4C4E83">
      <w:pPr>
        <w:spacing w:line="331" w:lineRule="auto"/>
        <w:rPr>
          <w:rFonts w:ascii="宋体" w:hAnsi="宋体" w:eastAsia="宋体" w:cs="宋体"/>
          <w:color w:val="auto"/>
          <w:sz w:val="19"/>
          <w:szCs w:val="19"/>
          <w:highlight w:val="none"/>
        </w:rPr>
        <w:sectPr>
          <w:footerReference r:id="rId83" w:type="default"/>
          <w:pgSz w:w="11900" w:h="16832"/>
          <w:pgMar w:top="1430" w:right="1746" w:bottom="1188" w:left="1784" w:header="0" w:footer="980" w:gutter="0"/>
          <w:pgNumType w:fmt="decimal"/>
          <w:cols w:space="720" w:num="1"/>
        </w:sectPr>
      </w:pPr>
    </w:p>
    <w:p w14:paraId="00BBBAC9">
      <w:pPr>
        <w:spacing w:before="56" w:line="220" w:lineRule="auto"/>
        <w:ind w:left="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8.4</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监理人使用施工控制网</w:t>
      </w:r>
    </w:p>
    <w:p w14:paraId="37CCCA0F">
      <w:pPr>
        <w:spacing w:line="296" w:lineRule="auto"/>
        <w:rPr>
          <w:rFonts w:ascii="Arial"/>
          <w:color w:val="auto"/>
          <w:sz w:val="21"/>
          <w:highlight w:val="none"/>
        </w:rPr>
      </w:pPr>
    </w:p>
    <w:p w14:paraId="3216A365">
      <w:pPr>
        <w:spacing w:before="62" w:line="228" w:lineRule="auto"/>
        <w:ind w:left="46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监理人需要使用施工控制网的，承包人应提供必要的协助，发包人不再为此支付</w:t>
      </w:r>
      <w:r>
        <w:rPr>
          <w:rFonts w:ascii="宋体" w:hAnsi="宋体" w:eastAsia="宋体" w:cs="宋体"/>
          <w:color w:val="auto"/>
          <w:spacing w:val="8"/>
          <w:sz w:val="19"/>
          <w:szCs w:val="19"/>
          <w:highlight w:val="none"/>
        </w:rPr>
        <w:t>费用。</w:t>
      </w:r>
    </w:p>
    <w:p w14:paraId="7FE93AE5">
      <w:pPr>
        <w:spacing w:before="168" w:line="220" w:lineRule="auto"/>
        <w:ind w:left="30"/>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8.</w:t>
      </w:r>
      <w:r>
        <w:rPr>
          <w:rFonts w:ascii="宋体" w:hAnsi="宋体" w:eastAsia="宋体" w:cs="宋体"/>
          <w:color w:val="auto"/>
          <w:spacing w:val="23"/>
          <w:sz w:val="28"/>
          <w:szCs w:val="28"/>
          <w:highlight w:val="none"/>
        </w:rPr>
        <w:t xml:space="preserve"> </w:t>
      </w:r>
      <w:r>
        <w:rPr>
          <w:rFonts w:ascii="宋体" w:hAnsi="宋体" w:eastAsia="宋体" w:cs="宋体"/>
          <w:b/>
          <w:bCs/>
          <w:color w:val="auto"/>
          <w:spacing w:val="-7"/>
          <w:sz w:val="28"/>
          <w:szCs w:val="28"/>
          <w:highlight w:val="none"/>
        </w:rPr>
        <w:t>5</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7"/>
          <w:sz w:val="28"/>
          <w:szCs w:val="28"/>
          <w:highlight w:val="none"/>
        </w:rPr>
        <w:t>补充地质勘探</w:t>
      </w:r>
    </w:p>
    <w:p w14:paraId="4F543BBE">
      <w:pPr>
        <w:spacing w:line="292" w:lineRule="auto"/>
        <w:rPr>
          <w:rFonts w:ascii="Arial"/>
          <w:color w:val="auto"/>
          <w:sz w:val="21"/>
          <w:highlight w:val="none"/>
        </w:rPr>
      </w:pPr>
    </w:p>
    <w:p w14:paraId="32AA9C27">
      <w:pPr>
        <w:spacing w:before="62" w:line="332" w:lineRule="auto"/>
        <w:ind w:left="26" w:right="15" w:firstLine="437"/>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在合同实施期间，监理人可以指示承包人进行必要的补充地质勘探和提供</w:t>
      </w:r>
      <w:r>
        <w:rPr>
          <w:rFonts w:ascii="宋体" w:hAnsi="宋体" w:eastAsia="宋体" w:cs="宋体"/>
          <w:color w:val="auto"/>
          <w:spacing w:val="9"/>
          <w:sz w:val="19"/>
          <w:szCs w:val="19"/>
          <w:highlight w:val="none"/>
        </w:rPr>
        <w:t>有关资料</w:t>
      </w:r>
      <w:r>
        <w:rPr>
          <w:rFonts w:ascii="宋体" w:hAnsi="宋体" w:eastAsia="宋体" w:cs="宋体"/>
          <w:color w:val="auto"/>
          <w:spacing w:val="-49"/>
          <w:sz w:val="19"/>
          <w:szCs w:val="19"/>
          <w:highlight w:val="none"/>
        </w:rPr>
        <w:t xml:space="preserve"> </w:t>
      </w:r>
      <w:r>
        <w:rPr>
          <w:rFonts w:ascii="宋体" w:hAnsi="宋体" w:eastAsia="宋体" w:cs="宋体"/>
          <w:color w:val="auto"/>
          <w:spacing w:val="9"/>
          <w:sz w:val="19"/>
          <w:szCs w:val="19"/>
          <w:highlight w:val="none"/>
        </w:rPr>
        <w:t>; 承包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人为本合同永久工程施工的需要进行补充地质勘探时，须经监理人批准，并应向</w:t>
      </w:r>
      <w:r>
        <w:rPr>
          <w:rFonts w:ascii="宋体" w:hAnsi="宋体" w:eastAsia="宋体" w:cs="宋体"/>
          <w:color w:val="auto"/>
          <w:spacing w:val="11"/>
          <w:sz w:val="19"/>
          <w:szCs w:val="19"/>
          <w:highlight w:val="none"/>
        </w:rPr>
        <w:t>监理人提交有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关资料，</w:t>
      </w:r>
      <w:r>
        <w:rPr>
          <w:rFonts w:ascii="宋体" w:hAnsi="宋体" w:eastAsia="宋体" w:cs="宋体"/>
          <w:color w:val="auto"/>
          <w:spacing w:val="-37"/>
          <w:sz w:val="19"/>
          <w:szCs w:val="19"/>
          <w:highlight w:val="none"/>
        </w:rPr>
        <w:t xml:space="preserve"> </w:t>
      </w:r>
      <w:r>
        <w:rPr>
          <w:rFonts w:ascii="宋体" w:hAnsi="宋体" w:eastAsia="宋体" w:cs="宋体"/>
          <w:color w:val="auto"/>
          <w:spacing w:val="8"/>
          <w:sz w:val="19"/>
          <w:szCs w:val="19"/>
          <w:highlight w:val="none"/>
        </w:rPr>
        <w:t>上述补充勘探的费用由发包人承担。承包人为其临时工程所需进行的补 充地质勘探，</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其费用由承包人承担。</w:t>
      </w:r>
    </w:p>
    <w:p w14:paraId="4FA45293">
      <w:pPr>
        <w:spacing w:before="272" w:line="226" w:lineRule="auto"/>
        <w:ind w:left="32"/>
        <w:rPr>
          <w:rFonts w:ascii="宋体" w:hAnsi="宋体" w:eastAsia="宋体" w:cs="宋体"/>
          <w:color w:val="auto"/>
          <w:sz w:val="31"/>
          <w:szCs w:val="31"/>
          <w:highlight w:val="none"/>
        </w:rPr>
      </w:pPr>
      <w:r>
        <w:rPr>
          <w:rFonts w:ascii="Cambria" w:hAnsi="Cambria" w:eastAsia="Cambria" w:cs="Cambria"/>
          <w:b/>
          <w:bCs/>
          <w:color w:val="auto"/>
          <w:spacing w:val="6"/>
          <w:sz w:val="31"/>
          <w:szCs w:val="31"/>
          <w:highlight w:val="none"/>
        </w:rPr>
        <w:t>9.</w:t>
      </w:r>
      <w:r>
        <w:rPr>
          <w:rFonts w:ascii="宋体" w:hAnsi="宋体" w:eastAsia="宋体" w:cs="宋体"/>
          <w:b/>
          <w:bCs/>
          <w:color w:val="auto"/>
          <w:spacing w:val="6"/>
          <w:sz w:val="31"/>
          <w:szCs w:val="31"/>
          <w:highlight w:val="none"/>
        </w:rPr>
        <w:t>施工安全、治安保卫和环境保护</w:t>
      </w:r>
    </w:p>
    <w:p w14:paraId="51939703">
      <w:pPr>
        <w:spacing w:line="249" w:lineRule="auto"/>
        <w:rPr>
          <w:rFonts w:ascii="Arial"/>
          <w:color w:val="auto"/>
          <w:sz w:val="21"/>
          <w:highlight w:val="none"/>
        </w:rPr>
      </w:pPr>
    </w:p>
    <w:p w14:paraId="5BC4408F">
      <w:pPr>
        <w:spacing w:line="249" w:lineRule="auto"/>
        <w:rPr>
          <w:rFonts w:ascii="Arial"/>
          <w:color w:val="auto"/>
          <w:sz w:val="21"/>
          <w:highlight w:val="none"/>
        </w:rPr>
      </w:pPr>
    </w:p>
    <w:p w14:paraId="725EA9D0">
      <w:pPr>
        <w:spacing w:before="91" w:line="220" w:lineRule="auto"/>
        <w:ind w:left="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9.1</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发包人的施工安全责任</w:t>
      </w:r>
    </w:p>
    <w:p w14:paraId="2770D350">
      <w:pPr>
        <w:spacing w:line="300" w:lineRule="auto"/>
        <w:rPr>
          <w:rFonts w:ascii="Arial"/>
          <w:color w:val="auto"/>
          <w:sz w:val="21"/>
          <w:highlight w:val="none"/>
        </w:rPr>
      </w:pPr>
    </w:p>
    <w:p w14:paraId="1A5715D9">
      <w:pPr>
        <w:spacing w:before="62" w:line="339" w:lineRule="auto"/>
        <w:ind w:left="25" w:right="21" w:firstLine="420"/>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9.1.1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发包人应按合同约定履行安全职责，发包人委托监理人根据国家有关安全的法律</w:t>
      </w:r>
      <w:r>
        <w:rPr>
          <w:rFonts w:ascii="宋体" w:hAnsi="宋体" w:eastAsia="宋体" w:cs="宋体"/>
          <w:color w:val="auto"/>
          <w:spacing w:val="6"/>
          <w:sz w:val="19"/>
          <w:szCs w:val="19"/>
          <w:highlight w:val="none"/>
        </w:rPr>
        <w:t>、法</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规、强制性标准以及部门规章，对承包人的安全责任履行情况进行监督和检查。监</w:t>
      </w:r>
      <w:r>
        <w:rPr>
          <w:rFonts w:ascii="宋体" w:hAnsi="宋体" w:eastAsia="宋体" w:cs="宋体"/>
          <w:color w:val="auto"/>
          <w:spacing w:val="11"/>
          <w:sz w:val="19"/>
          <w:szCs w:val="19"/>
          <w:highlight w:val="none"/>
        </w:rPr>
        <w:t>理人的监督</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检查不减轻承包人应负的安全责任。</w:t>
      </w:r>
    </w:p>
    <w:p w14:paraId="54DBD25E">
      <w:pPr>
        <w:spacing w:before="48" w:line="352" w:lineRule="auto"/>
        <w:ind w:left="28" w:right="23" w:firstLine="41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9.1.2</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发包人应对其现场机构雇佣的全部人员的工伤事故承担责任，但由于承包人</w:t>
      </w:r>
      <w:r>
        <w:rPr>
          <w:rFonts w:ascii="宋体" w:hAnsi="宋体" w:eastAsia="宋体" w:cs="宋体"/>
          <w:color w:val="auto"/>
          <w:spacing w:val="6"/>
          <w:sz w:val="19"/>
          <w:szCs w:val="19"/>
          <w:highlight w:val="none"/>
        </w:rPr>
        <w:t>原因造成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发包人人员工伤的，应由承包人承担责任。</w:t>
      </w:r>
    </w:p>
    <w:p w14:paraId="471CD78B">
      <w:pPr>
        <w:spacing w:before="16"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1. 3</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发包人应负责赔偿以下各种情</w:t>
      </w:r>
      <w:r>
        <w:rPr>
          <w:rFonts w:ascii="宋体" w:hAnsi="宋体" w:eastAsia="宋体" w:cs="宋体"/>
          <w:color w:val="auto"/>
          <w:spacing w:val="6"/>
          <w:sz w:val="19"/>
          <w:szCs w:val="19"/>
          <w:highlight w:val="none"/>
        </w:rPr>
        <w:t>况造成的第三者人身伤亡和财产损失：</w:t>
      </w:r>
    </w:p>
    <w:p w14:paraId="5DA7F406">
      <w:pPr>
        <w:spacing w:before="12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工程或工程的任何部分对土地的占用所造成的第三者财产损失；</w:t>
      </w:r>
    </w:p>
    <w:p w14:paraId="0E6B412F">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由于发包人原因在施工场地及其毗邻地带造成的第三者人身伤亡和财产损</w:t>
      </w:r>
      <w:r>
        <w:rPr>
          <w:rFonts w:ascii="宋体" w:hAnsi="宋体" w:eastAsia="宋体" w:cs="宋体"/>
          <w:color w:val="auto"/>
          <w:spacing w:val="5"/>
          <w:sz w:val="19"/>
          <w:szCs w:val="19"/>
          <w:highlight w:val="none"/>
        </w:rPr>
        <w:t>失。</w:t>
      </w:r>
    </w:p>
    <w:p w14:paraId="2161DFD1">
      <w:pPr>
        <w:spacing w:before="133" w:line="342" w:lineRule="auto"/>
        <w:ind w:left="24" w:right="17"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9.1.4</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除专用合同条款另有约定外，发包人负责向承包人提供</w:t>
      </w:r>
      <w:r>
        <w:rPr>
          <w:rFonts w:ascii="宋体" w:hAnsi="宋体" w:eastAsia="宋体" w:cs="宋体"/>
          <w:color w:val="auto"/>
          <w:spacing w:val="6"/>
          <w:sz w:val="19"/>
          <w:szCs w:val="19"/>
          <w:highlight w:val="none"/>
        </w:rPr>
        <w:t>施工现场及施工可能影响的毗</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邻区域内供水、排水、供电、供气、供热、通信、</w:t>
      </w:r>
      <w:r>
        <w:rPr>
          <w:rFonts w:ascii="宋体" w:hAnsi="宋体" w:eastAsia="宋体" w:cs="宋体"/>
          <w:color w:val="auto"/>
          <w:spacing w:val="9"/>
          <w:sz w:val="19"/>
          <w:szCs w:val="19"/>
          <w:highlight w:val="none"/>
        </w:rPr>
        <w:t>广播电视等地下管线资料，气象 和水文观测</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资料，拟建工程可能影响的相邻建筑物地下工程的有关资料，并保证有关资料的真实、准确、</w:t>
      </w:r>
      <w:r>
        <w:rPr>
          <w:rFonts w:ascii="宋体" w:hAnsi="宋体" w:eastAsia="宋体" w:cs="宋体"/>
          <w:color w:val="auto"/>
          <w:spacing w:val="4"/>
          <w:sz w:val="19"/>
          <w:szCs w:val="19"/>
          <w:highlight w:val="none"/>
        </w:rPr>
        <w:t xml:space="preserve"> </w:t>
      </w:r>
      <w:r>
        <w:rPr>
          <w:rFonts w:ascii="宋体" w:hAnsi="宋体" w:eastAsia="宋体" w:cs="宋体"/>
          <w:color w:val="auto"/>
          <w:spacing w:val="7"/>
          <w:sz w:val="19"/>
          <w:szCs w:val="19"/>
          <w:highlight w:val="none"/>
        </w:rPr>
        <w:t>完整，满足有关技术规程的要求。</w:t>
      </w:r>
    </w:p>
    <w:p w14:paraId="2906BA27">
      <w:pPr>
        <w:spacing w:before="41" w:line="345" w:lineRule="auto"/>
        <w:ind w:left="26" w:right="2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9.1.5</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发包人按照已标价工程量清单所列金额和合同约定的计量支付规定，支付安</w:t>
      </w:r>
      <w:r>
        <w:rPr>
          <w:rFonts w:ascii="宋体" w:hAnsi="宋体" w:eastAsia="宋体" w:cs="宋体"/>
          <w:color w:val="auto"/>
          <w:spacing w:val="6"/>
          <w:sz w:val="19"/>
          <w:szCs w:val="19"/>
          <w:highlight w:val="none"/>
        </w:rPr>
        <w:t>全作业环</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境及安全施工措施所需费用。</w:t>
      </w:r>
    </w:p>
    <w:p w14:paraId="208FAD42">
      <w:pPr>
        <w:spacing w:before="28" w:line="349" w:lineRule="auto"/>
        <w:ind w:left="29" w:right="17" w:firstLine="41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9.1.6 发包人负责组织工程参建单位编制保证安全生产的措施方案。工程开工前，就 落实</w:t>
      </w:r>
      <w:r>
        <w:rPr>
          <w:rFonts w:ascii="宋体" w:hAnsi="宋体" w:eastAsia="宋体" w:cs="宋体"/>
          <w:color w:val="auto"/>
          <w:spacing w:val="15"/>
          <w:sz w:val="19"/>
          <w:szCs w:val="19"/>
          <w:highlight w:val="none"/>
        </w:rPr>
        <w:t xml:space="preserve"> </w:t>
      </w:r>
      <w:r>
        <w:rPr>
          <w:rFonts w:ascii="宋体" w:hAnsi="宋体" w:eastAsia="宋体" w:cs="宋体"/>
          <w:color w:val="auto"/>
          <w:spacing w:val="9"/>
          <w:sz w:val="19"/>
          <w:szCs w:val="19"/>
          <w:highlight w:val="none"/>
        </w:rPr>
        <w:t>安全生产的措施进行全面系统的布置，进一步明</w:t>
      </w:r>
      <w:r>
        <w:rPr>
          <w:rFonts w:ascii="宋体" w:hAnsi="宋体" w:eastAsia="宋体" w:cs="宋体"/>
          <w:color w:val="auto"/>
          <w:spacing w:val="8"/>
          <w:sz w:val="19"/>
          <w:szCs w:val="19"/>
          <w:highlight w:val="none"/>
        </w:rPr>
        <w:t>确承包人的安全生产责任。</w:t>
      </w:r>
    </w:p>
    <w:p w14:paraId="532158B2">
      <w:pPr>
        <w:spacing w:before="36" w:line="354" w:lineRule="auto"/>
        <w:ind w:left="25" w:right="19" w:firstLine="42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1. 7</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发包人负责在拆除工程和爆破工程施工</w:t>
      </w:r>
      <w:r>
        <w:rPr>
          <w:rFonts w:ascii="宋体" w:hAnsi="宋体" w:eastAsia="宋体" w:cs="宋体"/>
          <w:color w:val="auto"/>
          <w:spacing w:val="-1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天前向有关部门或机构报送相关备案资</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料。</w:t>
      </w:r>
    </w:p>
    <w:p w14:paraId="239481BA">
      <w:pPr>
        <w:spacing w:before="97" w:line="220" w:lineRule="auto"/>
        <w:ind w:left="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9.2</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承包人的施工安全责任</w:t>
      </w:r>
    </w:p>
    <w:p w14:paraId="2FFF26A8">
      <w:pPr>
        <w:spacing w:line="308" w:lineRule="auto"/>
        <w:rPr>
          <w:rFonts w:ascii="Arial"/>
          <w:color w:val="auto"/>
          <w:sz w:val="21"/>
          <w:highlight w:val="none"/>
        </w:rPr>
      </w:pPr>
    </w:p>
    <w:p w14:paraId="2B345408">
      <w:pPr>
        <w:spacing w:before="62" w:line="311" w:lineRule="auto"/>
        <w:ind w:left="24" w:right="21" w:firstLine="42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2.1 承包人应按合同约定履行安全职责，执行监理人有关安全工作的指示。承包人应按</w:t>
      </w:r>
      <w:r>
        <w:rPr>
          <w:rFonts w:ascii="宋体" w:hAnsi="宋体" w:eastAsia="宋体" w:cs="宋体"/>
          <w:color w:val="auto"/>
          <w:spacing w:val="11"/>
          <w:sz w:val="19"/>
          <w:szCs w:val="19"/>
          <w:highlight w:val="none"/>
        </w:rPr>
        <w:t xml:space="preserve"> 技术标准和要求(合同技术条款)约定的内容和期限，</w:t>
      </w:r>
      <w:r>
        <w:rPr>
          <w:rFonts w:ascii="宋体" w:hAnsi="宋体" w:eastAsia="宋体" w:cs="宋体"/>
          <w:color w:val="auto"/>
          <w:spacing w:val="-49"/>
          <w:sz w:val="19"/>
          <w:szCs w:val="19"/>
          <w:highlight w:val="none"/>
        </w:rPr>
        <w:t xml:space="preserve"> </w:t>
      </w:r>
      <w:r>
        <w:rPr>
          <w:rFonts w:ascii="宋体" w:hAnsi="宋体" w:eastAsia="宋体" w:cs="宋体"/>
          <w:color w:val="auto"/>
          <w:spacing w:val="11"/>
          <w:sz w:val="19"/>
          <w:szCs w:val="19"/>
          <w:highlight w:val="none"/>
        </w:rPr>
        <w:t>以</w:t>
      </w:r>
      <w:r>
        <w:rPr>
          <w:rFonts w:ascii="宋体" w:hAnsi="宋体" w:eastAsia="宋体" w:cs="宋体"/>
          <w:color w:val="auto"/>
          <w:spacing w:val="10"/>
          <w:sz w:val="19"/>
          <w:szCs w:val="19"/>
          <w:highlight w:val="none"/>
        </w:rPr>
        <w:t>及监理人的指示，编制施工安全技术措</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施提交监理人审批。监理人应技术标准和要求(合</w:t>
      </w:r>
      <w:r>
        <w:rPr>
          <w:rFonts w:ascii="宋体" w:hAnsi="宋体" w:eastAsia="宋体" w:cs="宋体"/>
          <w:color w:val="auto"/>
          <w:spacing w:val="8"/>
          <w:sz w:val="19"/>
          <w:szCs w:val="19"/>
          <w:highlight w:val="none"/>
        </w:rPr>
        <w:t>同技术条款)约定的期限内 批复承包人。</w:t>
      </w:r>
    </w:p>
    <w:p w14:paraId="3CFC5297">
      <w:pPr>
        <w:spacing w:before="130" w:line="227"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2.2 承包人应加强施工作业安全管理，</w:t>
      </w:r>
      <w:r>
        <w:rPr>
          <w:rFonts w:ascii="宋体" w:hAnsi="宋体" w:eastAsia="宋体" w:cs="宋体"/>
          <w:color w:val="auto"/>
          <w:spacing w:val="-55"/>
          <w:sz w:val="19"/>
          <w:szCs w:val="19"/>
          <w:highlight w:val="none"/>
        </w:rPr>
        <w:t xml:space="preserve"> </w:t>
      </w:r>
      <w:r>
        <w:rPr>
          <w:rFonts w:ascii="宋体" w:hAnsi="宋体" w:eastAsia="宋体" w:cs="宋体"/>
          <w:color w:val="auto"/>
          <w:spacing w:val="7"/>
          <w:sz w:val="19"/>
          <w:szCs w:val="19"/>
          <w:highlight w:val="none"/>
        </w:rPr>
        <w:t>特别应加强易燃、易爆材料、火工器材、有</w:t>
      </w:r>
      <w:r>
        <w:rPr>
          <w:rFonts w:ascii="宋体" w:hAnsi="宋体" w:eastAsia="宋体" w:cs="宋体"/>
          <w:color w:val="auto"/>
          <w:spacing w:val="6"/>
          <w:sz w:val="19"/>
          <w:szCs w:val="19"/>
          <w:highlight w:val="none"/>
        </w:rPr>
        <w:t>毒与</w:t>
      </w:r>
    </w:p>
    <w:p w14:paraId="27A7EAC2">
      <w:pPr>
        <w:spacing w:line="227" w:lineRule="auto"/>
        <w:rPr>
          <w:rFonts w:ascii="宋体" w:hAnsi="宋体" w:eastAsia="宋体" w:cs="宋体"/>
          <w:color w:val="auto"/>
          <w:sz w:val="19"/>
          <w:szCs w:val="19"/>
          <w:highlight w:val="none"/>
        </w:rPr>
        <w:sectPr>
          <w:footerReference r:id="rId84" w:type="default"/>
          <w:pgSz w:w="11900" w:h="16832"/>
          <w:pgMar w:top="1423" w:right="1784" w:bottom="1188" w:left="1784" w:header="0" w:footer="980" w:gutter="0"/>
          <w:pgNumType w:fmt="decimal"/>
          <w:cols w:space="720" w:num="1"/>
        </w:sectPr>
      </w:pPr>
    </w:p>
    <w:p w14:paraId="4514ECE3">
      <w:pPr>
        <w:spacing w:before="129" w:line="227" w:lineRule="auto"/>
        <w:ind w:left="2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腐蚀性材料和其他危险品的管理，以及对爆破作业和地下工程施工等危险作业的管</w:t>
      </w:r>
      <w:r>
        <w:rPr>
          <w:rFonts w:ascii="宋体" w:hAnsi="宋体" w:eastAsia="宋体" w:cs="宋体"/>
          <w:color w:val="auto"/>
          <w:spacing w:val="8"/>
          <w:sz w:val="19"/>
          <w:szCs w:val="19"/>
          <w:highlight w:val="none"/>
        </w:rPr>
        <w:t>理。</w:t>
      </w:r>
    </w:p>
    <w:p w14:paraId="0B2926A8">
      <w:pPr>
        <w:spacing w:before="129" w:line="337" w:lineRule="auto"/>
        <w:ind w:left="26" w:right="2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9.2.3 承包人应严格按照国家安全标准制定施工安全操作规程，</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配备必要的安全生产 和劳</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动保护设施，加强对承包人人员的安全教育，并发放安全工作手册和劳动保护用具。</w:t>
      </w:r>
    </w:p>
    <w:p w14:paraId="2F7FEDF2">
      <w:pPr>
        <w:spacing w:before="35" w:line="292" w:lineRule="auto"/>
        <w:ind w:left="27" w:right="27"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2.4 承包人应按监理人的指示制定应对灾害的紧急预案，报送监理人审批。承包人还应</w:t>
      </w:r>
      <w:r>
        <w:rPr>
          <w:rFonts w:ascii="宋体" w:hAnsi="宋体" w:eastAsia="宋体" w:cs="宋体"/>
          <w:color w:val="auto"/>
          <w:spacing w:val="11"/>
          <w:sz w:val="19"/>
          <w:szCs w:val="19"/>
          <w:highlight w:val="none"/>
        </w:rPr>
        <w:t xml:space="preserve"> </w:t>
      </w:r>
      <w:r>
        <w:rPr>
          <w:rFonts w:ascii="宋体" w:hAnsi="宋体" w:eastAsia="宋体" w:cs="宋体"/>
          <w:color w:val="auto"/>
          <w:spacing w:val="8"/>
          <w:sz w:val="19"/>
          <w:szCs w:val="19"/>
          <w:highlight w:val="none"/>
        </w:rPr>
        <w:t>按预案做好安全检查，</w:t>
      </w:r>
      <w:r>
        <w:rPr>
          <w:rFonts w:ascii="宋体" w:hAnsi="宋体" w:eastAsia="宋体" w:cs="宋体"/>
          <w:color w:val="auto"/>
          <w:spacing w:val="-40"/>
          <w:sz w:val="19"/>
          <w:szCs w:val="19"/>
          <w:highlight w:val="none"/>
        </w:rPr>
        <w:t xml:space="preserve"> </w:t>
      </w:r>
      <w:r>
        <w:rPr>
          <w:rFonts w:ascii="宋体" w:hAnsi="宋体" w:eastAsia="宋体" w:cs="宋体"/>
          <w:color w:val="auto"/>
          <w:spacing w:val="8"/>
          <w:sz w:val="19"/>
          <w:szCs w:val="19"/>
          <w:highlight w:val="none"/>
        </w:rPr>
        <w:t>配置必要的救助物资和器材，切实保护好有关人员的人身和财产安全。</w:t>
      </w:r>
    </w:p>
    <w:p w14:paraId="45D79234">
      <w:pPr>
        <w:spacing w:before="126" w:line="306" w:lineRule="auto"/>
        <w:ind w:left="27" w:right="27"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2.5 合同约定的安全作业环境及安全施工措施所需费用应遵守有关规定，</w:t>
      </w:r>
      <w:r>
        <w:rPr>
          <w:rFonts w:ascii="宋体" w:hAnsi="宋体" w:eastAsia="宋体" w:cs="宋体"/>
          <w:color w:val="auto"/>
          <w:spacing w:val="-41"/>
          <w:sz w:val="19"/>
          <w:szCs w:val="19"/>
          <w:highlight w:val="none"/>
        </w:rPr>
        <w:t xml:space="preserve"> </w:t>
      </w:r>
      <w:r>
        <w:rPr>
          <w:rFonts w:ascii="宋体" w:hAnsi="宋体" w:eastAsia="宋体" w:cs="宋体"/>
          <w:color w:val="auto"/>
          <w:spacing w:val="7"/>
          <w:sz w:val="19"/>
          <w:szCs w:val="19"/>
          <w:highlight w:val="none"/>
        </w:rPr>
        <w:t>并包括在相关</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工作的合同价格中。因采取合同未约定的安全作业环境及安全</w:t>
      </w:r>
      <w:r>
        <w:rPr>
          <w:rFonts w:ascii="宋体" w:hAnsi="宋体" w:eastAsia="宋体" w:cs="宋体"/>
          <w:color w:val="auto"/>
          <w:spacing w:val="10"/>
          <w:sz w:val="19"/>
          <w:szCs w:val="19"/>
          <w:highlight w:val="none"/>
        </w:rPr>
        <w:t>施工措施增加的费用，</w:t>
      </w:r>
      <w:r>
        <w:rPr>
          <w:rFonts w:ascii="宋体" w:hAnsi="宋体" w:eastAsia="宋体" w:cs="宋体"/>
          <w:color w:val="auto"/>
          <w:spacing w:val="-47"/>
          <w:sz w:val="19"/>
          <w:szCs w:val="19"/>
          <w:highlight w:val="none"/>
        </w:rPr>
        <w:t xml:space="preserve"> </w:t>
      </w:r>
      <w:r>
        <w:rPr>
          <w:rFonts w:ascii="宋体" w:hAnsi="宋体" w:eastAsia="宋体" w:cs="宋体"/>
          <w:color w:val="auto"/>
          <w:spacing w:val="10"/>
          <w:sz w:val="19"/>
          <w:szCs w:val="19"/>
          <w:highlight w:val="none"/>
        </w:rPr>
        <w:t>由监理人</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3"/>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款商定或确定。</w:t>
      </w:r>
    </w:p>
    <w:p w14:paraId="1FBEA87B">
      <w:pPr>
        <w:spacing w:before="122" w:line="287" w:lineRule="auto"/>
        <w:ind w:left="24" w:right="76" w:firstLine="42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2.6 承包人应对其履行合同所雇佣的全部人员，包括分包人人员的工伤事故承担责任，</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但由于发包人原因造成承包人人员工伤事故的，应由发包人承担责任。</w:t>
      </w:r>
    </w:p>
    <w:p w14:paraId="18D1740D">
      <w:pPr>
        <w:spacing w:before="137" w:line="297" w:lineRule="auto"/>
        <w:ind w:left="25" w:right="27" w:firstLine="42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2.</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7 由于承包人原因在施工场地内及其毗邻地带造成的第三者人员伤亡和财产损失，由</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承包人负责赔偿。</w:t>
      </w:r>
    </w:p>
    <w:p w14:paraId="6CAB8A96">
      <w:pPr>
        <w:spacing w:before="130" w:line="227" w:lineRule="auto"/>
        <w:ind w:left="44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9. 2. 8</w:t>
      </w:r>
      <w:r>
        <w:rPr>
          <w:rFonts w:ascii="宋体" w:hAnsi="宋体" w:eastAsia="宋体" w:cs="宋体"/>
          <w:color w:val="auto"/>
          <w:spacing w:val="-36"/>
          <w:sz w:val="19"/>
          <w:szCs w:val="19"/>
          <w:highlight w:val="none"/>
        </w:rPr>
        <w:t xml:space="preserve"> </w:t>
      </w:r>
      <w:r>
        <w:rPr>
          <w:rFonts w:ascii="宋体" w:hAnsi="宋体" w:eastAsia="宋体" w:cs="宋体"/>
          <w:color w:val="auto"/>
          <w:spacing w:val="8"/>
          <w:sz w:val="19"/>
          <w:szCs w:val="19"/>
          <w:highlight w:val="none"/>
        </w:rPr>
        <w:t>承包人已标价工程量清单应包含工程安全作业环境及安全施工措施所需</w:t>
      </w:r>
      <w:r>
        <w:rPr>
          <w:rFonts w:ascii="宋体" w:hAnsi="宋体" w:eastAsia="宋体" w:cs="宋体"/>
          <w:color w:val="auto"/>
          <w:spacing w:val="7"/>
          <w:sz w:val="19"/>
          <w:szCs w:val="19"/>
          <w:highlight w:val="none"/>
        </w:rPr>
        <w:t>费用。</w:t>
      </w:r>
    </w:p>
    <w:p w14:paraId="0B47177B">
      <w:pPr>
        <w:spacing w:before="131" w:line="228" w:lineRule="auto"/>
        <w:ind w:right="23"/>
        <w:jc w:val="right"/>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9.2.9 承包人应建立健全安全生产责任制度和安全生产教育培训制度，</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制定安全生产 规章</w:t>
      </w:r>
    </w:p>
    <w:p w14:paraId="5864D689">
      <w:pPr>
        <w:spacing w:before="131" w:line="337" w:lineRule="auto"/>
        <w:ind w:left="26" w:right="31"/>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制度和操作规程，保证本单位建立和完善安全生产条件所需资金的投入，对本工</w:t>
      </w:r>
      <w:r>
        <w:rPr>
          <w:rFonts w:ascii="宋体" w:hAnsi="宋体" w:eastAsia="宋体" w:cs="宋体"/>
          <w:color w:val="auto"/>
          <w:spacing w:val="11"/>
          <w:sz w:val="19"/>
          <w:szCs w:val="19"/>
          <w:highlight w:val="none"/>
        </w:rPr>
        <w:t>程进行定期和</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专项安全检查，</w:t>
      </w:r>
      <w:r>
        <w:rPr>
          <w:rFonts w:ascii="宋体" w:hAnsi="宋体" w:eastAsia="宋体" w:cs="宋体"/>
          <w:color w:val="auto"/>
          <w:spacing w:val="-51"/>
          <w:sz w:val="19"/>
          <w:szCs w:val="19"/>
          <w:highlight w:val="none"/>
        </w:rPr>
        <w:t xml:space="preserve"> </w:t>
      </w:r>
      <w:r>
        <w:rPr>
          <w:rFonts w:ascii="宋体" w:hAnsi="宋体" w:eastAsia="宋体" w:cs="宋体"/>
          <w:color w:val="auto"/>
          <w:spacing w:val="6"/>
          <w:sz w:val="19"/>
          <w:szCs w:val="19"/>
          <w:highlight w:val="none"/>
        </w:rPr>
        <w:t>并做好安全检查记录。</w:t>
      </w:r>
    </w:p>
    <w:p w14:paraId="28A6A1D4">
      <w:pPr>
        <w:spacing w:before="40" w:line="228" w:lineRule="auto"/>
        <w:ind w:left="446"/>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9. 2.</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10</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承包人应设立安全生产管理机构，</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施工现场应有专职安全生产管理人员。</w:t>
      </w:r>
    </w:p>
    <w:p w14:paraId="66167378">
      <w:pPr>
        <w:spacing w:before="136" w:line="294" w:lineRule="auto"/>
        <w:ind w:left="27" w:right="2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2.11</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承包人应负责对特种作业人员进行专门的安全作业培训，并</w:t>
      </w:r>
      <w:r>
        <w:rPr>
          <w:rFonts w:ascii="宋体" w:hAnsi="宋体" w:eastAsia="宋体" w:cs="宋体"/>
          <w:color w:val="auto"/>
          <w:spacing w:val="7"/>
          <w:sz w:val="19"/>
          <w:szCs w:val="19"/>
          <w:highlight w:val="none"/>
        </w:rPr>
        <w:t>保证特种作业人员持证</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上岗。</w:t>
      </w:r>
    </w:p>
    <w:p w14:paraId="7350EB90">
      <w:pPr>
        <w:spacing w:before="130" w:line="313" w:lineRule="auto"/>
        <w:ind w:left="26" w:right="31"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9. 2.</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12 承包人应在施工组织设计中编制安全技术措施和施工现场临时用电方案。对专用</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合同条款约定的工程，应编制专项施工方案报监理人批准。对专用合同条款约定</w:t>
      </w:r>
      <w:r>
        <w:rPr>
          <w:rFonts w:ascii="宋体" w:hAnsi="宋体" w:eastAsia="宋体" w:cs="宋体"/>
          <w:color w:val="auto"/>
          <w:spacing w:val="11"/>
          <w:sz w:val="19"/>
          <w:szCs w:val="19"/>
          <w:highlight w:val="none"/>
        </w:rPr>
        <w:t>的专项施工方</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案，还应组织专家进行论证、审查，</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其中专家</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1/2</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人员应经发包人同意。</w:t>
      </w:r>
    </w:p>
    <w:p w14:paraId="1E05F327">
      <w:pPr>
        <w:spacing w:before="130" w:line="291" w:lineRule="auto"/>
        <w:ind w:left="28" w:right="21" w:firstLine="41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13 承包人在使用施工起重机构和整体</w:t>
      </w:r>
      <w:r>
        <w:rPr>
          <w:rFonts w:ascii="宋体" w:hAnsi="宋体" w:eastAsia="宋体" w:cs="宋体"/>
          <w:color w:val="auto"/>
          <w:spacing w:val="7"/>
          <w:sz w:val="19"/>
          <w:szCs w:val="19"/>
          <w:highlight w:val="none"/>
        </w:rPr>
        <w:t>提升脚手架、模板等自升式架设设施前, 应组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织有关单位进行验收。</w:t>
      </w:r>
    </w:p>
    <w:p w14:paraId="1D26EEAC">
      <w:pPr>
        <w:spacing w:before="186" w:line="221" w:lineRule="auto"/>
        <w:ind w:left="30"/>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9.3</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6"/>
          <w:sz w:val="28"/>
          <w:szCs w:val="28"/>
          <w:highlight w:val="none"/>
        </w:rPr>
        <w:t>治安保卫</w:t>
      </w:r>
    </w:p>
    <w:p w14:paraId="650AFCE9">
      <w:pPr>
        <w:spacing w:line="309" w:lineRule="auto"/>
        <w:rPr>
          <w:rFonts w:ascii="Arial"/>
          <w:color w:val="auto"/>
          <w:sz w:val="21"/>
          <w:highlight w:val="none"/>
        </w:rPr>
      </w:pPr>
    </w:p>
    <w:p w14:paraId="3E64F04B">
      <w:pPr>
        <w:spacing w:before="62" w:line="343" w:lineRule="auto"/>
        <w:ind w:left="28" w:right="27" w:firstLine="41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9.3.1</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除合同另有约定外，发包人应与当地公安部门协商，在现场</w:t>
      </w:r>
      <w:r>
        <w:rPr>
          <w:rFonts w:ascii="宋体" w:hAnsi="宋体" w:eastAsia="宋体" w:cs="宋体"/>
          <w:color w:val="auto"/>
          <w:spacing w:val="6"/>
          <w:sz w:val="19"/>
          <w:szCs w:val="19"/>
          <w:highlight w:val="none"/>
        </w:rPr>
        <w:t>建立治安管理机构或联防</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组织，统一管理施工场地的治安保卫事项，</w:t>
      </w:r>
      <w:r>
        <w:rPr>
          <w:rFonts w:ascii="宋体" w:hAnsi="宋体" w:eastAsia="宋体" w:cs="宋体"/>
          <w:color w:val="auto"/>
          <w:spacing w:val="-39"/>
          <w:sz w:val="19"/>
          <w:szCs w:val="19"/>
          <w:highlight w:val="none"/>
        </w:rPr>
        <w:t xml:space="preserve"> </w:t>
      </w:r>
      <w:r>
        <w:rPr>
          <w:rFonts w:ascii="宋体" w:hAnsi="宋体" w:eastAsia="宋体" w:cs="宋体"/>
          <w:color w:val="auto"/>
          <w:spacing w:val="7"/>
          <w:sz w:val="19"/>
          <w:szCs w:val="19"/>
          <w:highlight w:val="none"/>
        </w:rPr>
        <w:t>履行合同工程的治安保卫职责。</w:t>
      </w:r>
    </w:p>
    <w:p w14:paraId="5F8F575F">
      <w:pPr>
        <w:spacing w:before="25" w:line="335" w:lineRule="auto"/>
        <w:ind w:left="29" w:right="26" w:firstLine="416"/>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9. 3. 2 发包人和承包人除应协助现场</w:t>
      </w:r>
      <w:r>
        <w:rPr>
          <w:rFonts w:ascii="宋体" w:hAnsi="宋体" w:eastAsia="宋体" w:cs="宋体"/>
          <w:color w:val="auto"/>
          <w:spacing w:val="10"/>
          <w:sz w:val="19"/>
          <w:szCs w:val="19"/>
          <w:highlight w:val="none"/>
        </w:rPr>
        <w:t>治安管理机构或联防组织维护施工场地的社会治安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外，还应做好包括生活区在内的各自管辖区的治安保卫工作。</w:t>
      </w:r>
    </w:p>
    <w:p w14:paraId="6DEC556A">
      <w:pPr>
        <w:spacing w:before="32" w:line="347" w:lineRule="auto"/>
        <w:ind w:left="24" w:right="27"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9.3.3</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除合同另有约定外，发包人和承包人应在工程开工后，</w:t>
      </w:r>
      <w:r>
        <w:rPr>
          <w:rFonts w:ascii="宋体" w:hAnsi="宋体" w:eastAsia="宋体" w:cs="宋体"/>
          <w:color w:val="auto"/>
          <w:spacing w:val="6"/>
          <w:sz w:val="19"/>
          <w:szCs w:val="19"/>
          <w:highlight w:val="none"/>
        </w:rPr>
        <w:t>共同编制施工场地治安管理计</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划，并制定应对突发治安事件的紧急预案。在工程施</w:t>
      </w:r>
      <w:r>
        <w:rPr>
          <w:rFonts w:ascii="宋体" w:hAnsi="宋体" w:eastAsia="宋体" w:cs="宋体"/>
          <w:color w:val="auto"/>
          <w:spacing w:val="11"/>
          <w:sz w:val="19"/>
          <w:szCs w:val="19"/>
          <w:highlight w:val="none"/>
        </w:rPr>
        <w:t>工过程中，发生暴乱、爆炸等恐怖事件，</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以及群殴、械斗等群体性突发治安事件的，发包人和承包人应立即向当地政府报告</w:t>
      </w:r>
      <w:r>
        <w:rPr>
          <w:rFonts w:ascii="宋体" w:hAnsi="宋体" w:eastAsia="宋体" w:cs="宋体"/>
          <w:color w:val="auto"/>
          <w:spacing w:val="11"/>
          <w:sz w:val="19"/>
          <w:szCs w:val="19"/>
          <w:highlight w:val="none"/>
        </w:rPr>
        <w:t>。发包人和</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承包人应积极协助当地有关部门采取措施平息事态，防止事态扩大，尽量减少财产损失和避免</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人员伤亡。</w:t>
      </w:r>
    </w:p>
    <w:p w14:paraId="0488E4C1">
      <w:pPr>
        <w:spacing w:before="90" w:line="221" w:lineRule="auto"/>
        <w:ind w:left="30"/>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9.4</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5"/>
          <w:sz w:val="28"/>
          <w:szCs w:val="28"/>
          <w:highlight w:val="none"/>
        </w:rPr>
        <w:t>环境保护</w:t>
      </w:r>
    </w:p>
    <w:p w14:paraId="1563D415">
      <w:pPr>
        <w:spacing w:line="317" w:lineRule="auto"/>
        <w:rPr>
          <w:rFonts w:ascii="Arial"/>
          <w:color w:val="auto"/>
          <w:sz w:val="21"/>
          <w:highlight w:val="none"/>
        </w:rPr>
      </w:pPr>
    </w:p>
    <w:p w14:paraId="437B3509">
      <w:pPr>
        <w:spacing w:before="62" w:line="228" w:lineRule="auto"/>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9.4.1</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承包人在施工过程中，应遵守有关环境保护的法律，</w:t>
      </w:r>
      <w:r>
        <w:rPr>
          <w:rFonts w:ascii="宋体" w:hAnsi="宋体" w:eastAsia="宋体" w:cs="宋体"/>
          <w:color w:val="auto"/>
          <w:spacing w:val="7"/>
          <w:sz w:val="19"/>
          <w:szCs w:val="19"/>
          <w:highlight w:val="none"/>
        </w:rPr>
        <w:t>履行合同约定的环境保护义务，</w:t>
      </w:r>
    </w:p>
    <w:p w14:paraId="790DF6E1">
      <w:pPr>
        <w:spacing w:line="228" w:lineRule="auto"/>
        <w:rPr>
          <w:rFonts w:ascii="宋体" w:hAnsi="宋体" w:eastAsia="宋体" w:cs="宋体"/>
          <w:color w:val="auto"/>
          <w:sz w:val="19"/>
          <w:szCs w:val="19"/>
          <w:highlight w:val="none"/>
        </w:rPr>
        <w:sectPr>
          <w:footerReference r:id="rId85" w:type="default"/>
          <w:pgSz w:w="11900" w:h="16832"/>
          <w:pgMar w:top="1430" w:right="1778" w:bottom="1188" w:left="1784" w:header="0" w:footer="980" w:gutter="0"/>
          <w:pgNumType w:fmt="decimal"/>
          <w:cols w:space="720" w:num="1"/>
        </w:sectPr>
      </w:pPr>
    </w:p>
    <w:p w14:paraId="375D5B04">
      <w:pPr>
        <w:spacing w:before="141" w:line="228" w:lineRule="auto"/>
        <w:ind w:left="3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并对违反法律和合同约定义务所造成的环境破坏、人身伤害和财产损失负责。</w:t>
      </w:r>
    </w:p>
    <w:p w14:paraId="5EA39154">
      <w:pPr>
        <w:spacing w:before="137"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9. 4.2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承包人应按合同约定的环保工作内容，编制施工环保措施计划，</w:t>
      </w:r>
      <w:r>
        <w:rPr>
          <w:rFonts w:ascii="宋体" w:hAnsi="宋体" w:eastAsia="宋体" w:cs="宋体"/>
          <w:color w:val="auto"/>
          <w:spacing w:val="-56"/>
          <w:sz w:val="19"/>
          <w:szCs w:val="19"/>
          <w:highlight w:val="none"/>
        </w:rPr>
        <w:t xml:space="preserve"> </w:t>
      </w:r>
      <w:r>
        <w:rPr>
          <w:rFonts w:ascii="宋体" w:hAnsi="宋体" w:eastAsia="宋体" w:cs="宋体"/>
          <w:color w:val="auto"/>
          <w:spacing w:val="7"/>
          <w:sz w:val="19"/>
          <w:szCs w:val="19"/>
          <w:highlight w:val="none"/>
        </w:rPr>
        <w:t>报送监理人审批。</w:t>
      </w:r>
    </w:p>
    <w:p w14:paraId="5CC1498F">
      <w:pPr>
        <w:spacing w:before="123" w:line="345" w:lineRule="auto"/>
        <w:ind w:left="26" w:right="4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9.4.3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承包人应按照批准的施工环保措施计划有序地堆放和处理施工废弃物，避免对环</w:t>
      </w:r>
      <w:r>
        <w:rPr>
          <w:rFonts w:ascii="宋体" w:hAnsi="宋体" w:eastAsia="宋体" w:cs="宋体"/>
          <w:color w:val="auto"/>
          <w:spacing w:val="6"/>
          <w:sz w:val="19"/>
          <w:szCs w:val="19"/>
          <w:highlight w:val="none"/>
        </w:rPr>
        <w:t>境造</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成破坏。因承包人任意堆放或弃置施工废弃物造成妨碍公共交通、影响城镇居民</w:t>
      </w:r>
      <w:r>
        <w:rPr>
          <w:rFonts w:ascii="宋体" w:hAnsi="宋体" w:eastAsia="宋体" w:cs="宋体"/>
          <w:color w:val="auto"/>
          <w:spacing w:val="11"/>
          <w:sz w:val="19"/>
          <w:szCs w:val="19"/>
          <w:highlight w:val="none"/>
        </w:rPr>
        <w:t>生活、降低河</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流行洪能力、危及居民安全、破坏周边环境，或者影响其他承包人施工等后果的，承包</w:t>
      </w:r>
      <w:r>
        <w:rPr>
          <w:rFonts w:ascii="宋体" w:hAnsi="宋体" w:eastAsia="宋体" w:cs="宋体"/>
          <w:color w:val="auto"/>
          <w:spacing w:val="11"/>
          <w:sz w:val="19"/>
          <w:szCs w:val="19"/>
          <w:highlight w:val="none"/>
        </w:rPr>
        <w:t>人应承</w:t>
      </w:r>
      <w:r>
        <w:rPr>
          <w:rFonts w:ascii="宋体" w:hAnsi="宋体" w:eastAsia="宋体" w:cs="宋体"/>
          <w:color w:val="auto"/>
          <w:sz w:val="19"/>
          <w:szCs w:val="19"/>
          <w:highlight w:val="none"/>
        </w:rPr>
        <w:t xml:space="preserve"> </w:t>
      </w:r>
      <w:r>
        <w:rPr>
          <w:rFonts w:ascii="宋体" w:hAnsi="宋体" w:eastAsia="宋体" w:cs="宋体"/>
          <w:color w:val="auto"/>
          <w:spacing w:val="-1"/>
          <w:sz w:val="19"/>
          <w:szCs w:val="19"/>
          <w:highlight w:val="none"/>
        </w:rPr>
        <w:t>担责任。</w:t>
      </w:r>
    </w:p>
    <w:p w14:paraId="7A0A407A">
      <w:pPr>
        <w:spacing w:before="40" w:line="344" w:lineRule="auto"/>
        <w:ind w:left="24" w:right="39"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9.4.4 承包人应按合同约定采取有效</w:t>
      </w:r>
      <w:r>
        <w:rPr>
          <w:rFonts w:ascii="宋体" w:hAnsi="宋体" w:eastAsia="宋体" w:cs="宋体"/>
          <w:color w:val="auto"/>
          <w:spacing w:val="6"/>
          <w:sz w:val="19"/>
          <w:szCs w:val="19"/>
          <w:highlight w:val="none"/>
        </w:rPr>
        <w:t>措施，</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对施工开挖的边坡及时进行支护，</w:t>
      </w:r>
      <w:r>
        <w:rPr>
          <w:rFonts w:ascii="宋体" w:hAnsi="宋体" w:eastAsia="宋体" w:cs="宋体"/>
          <w:color w:val="auto"/>
          <w:spacing w:val="-52"/>
          <w:sz w:val="19"/>
          <w:szCs w:val="19"/>
          <w:highlight w:val="none"/>
        </w:rPr>
        <w:t xml:space="preserve"> </w:t>
      </w:r>
      <w:r>
        <w:rPr>
          <w:rFonts w:ascii="宋体" w:hAnsi="宋体" w:eastAsia="宋体" w:cs="宋体"/>
          <w:color w:val="auto"/>
          <w:spacing w:val="6"/>
          <w:sz w:val="19"/>
          <w:szCs w:val="19"/>
          <w:highlight w:val="none"/>
        </w:rPr>
        <w:t>维护排 水设</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施，并进行水土保护，</w:t>
      </w:r>
      <w:r>
        <w:rPr>
          <w:rFonts w:ascii="宋体" w:hAnsi="宋体" w:eastAsia="宋体" w:cs="宋体"/>
          <w:color w:val="auto"/>
          <w:spacing w:val="-49"/>
          <w:sz w:val="19"/>
          <w:szCs w:val="19"/>
          <w:highlight w:val="none"/>
        </w:rPr>
        <w:t xml:space="preserve"> </w:t>
      </w:r>
      <w:r>
        <w:rPr>
          <w:rFonts w:ascii="宋体" w:hAnsi="宋体" w:eastAsia="宋体" w:cs="宋体"/>
          <w:color w:val="auto"/>
          <w:spacing w:val="7"/>
          <w:sz w:val="19"/>
          <w:szCs w:val="19"/>
          <w:highlight w:val="none"/>
        </w:rPr>
        <w:t>避免因施工造成的地质灾害。</w:t>
      </w:r>
    </w:p>
    <w:p w14:paraId="75048F8A">
      <w:pPr>
        <w:spacing w:before="26" w:line="315" w:lineRule="auto"/>
        <w:ind w:left="25" w:right="465" w:firstLine="420"/>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9. 4.5</w:t>
      </w:r>
      <w:r>
        <w:rPr>
          <w:rFonts w:ascii="宋体" w:hAnsi="宋体" w:eastAsia="宋体" w:cs="宋体"/>
          <w:color w:val="auto"/>
          <w:spacing w:val="-35"/>
          <w:sz w:val="19"/>
          <w:szCs w:val="19"/>
          <w:highlight w:val="none"/>
        </w:rPr>
        <w:t xml:space="preserve"> </w:t>
      </w:r>
      <w:r>
        <w:rPr>
          <w:rFonts w:ascii="宋体" w:hAnsi="宋体" w:eastAsia="宋体" w:cs="宋体"/>
          <w:color w:val="auto"/>
          <w:spacing w:val="9"/>
          <w:sz w:val="19"/>
          <w:szCs w:val="19"/>
          <w:highlight w:val="none"/>
        </w:rPr>
        <w:t>承包人应按国家饮用水管理标准定期对饮用水源</w:t>
      </w:r>
      <w:r>
        <w:rPr>
          <w:rFonts w:ascii="宋体" w:hAnsi="宋体" w:eastAsia="宋体" w:cs="宋体"/>
          <w:color w:val="auto"/>
          <w:spacing w:val="8"/>
          <w:sz w:val="19"/>
          <w:szCs w:val="19"/>
          <w:highlight w:val="none"/>
        </w:rPr>
        <w:t>进行监测，防止施工活动污染</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饮用水源。</w:t>
      </w:r>
    </w:p>
    <w:p w14:paraId="4C64B991">
      <w:pPr>
        <w:spacing w:before="261" w:line="294" w:lineRule="auto"/>
        <w:ind w:left="29" w:right="43" w:firstLine="41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4.6 承包人应按合同约定，加强对噪声、粉尘、废气、废水和废油的控制，努力降低噪</w:t>
      </w:r>
      <w:r>
        <w:rPr>
          <w:rFonts w:ascii="宋体" w:hAnsi="宋体" w:eastAsia="宋体" w:cs="宋体"/>
          <w:color w:val="auto"/>
          <w:spacing w:val="11"/>
          <w:sz w:val="19"/>
          <w:szCs w:val="19"/>
          <w:highlight w:val="none"/>
        </w:rPr>
        <w:t xml:space="preserve"> </w:t>
      </w:r>
      <w:r>
        <w:rPr>
          <w:rFonts w:ascii="宋体" w:hAnsi="宋体" w:eastAsia="宋体" w:cs="宋体"/>
          <w:color w:val="auto"/>
          <w:spacing w:val="8"/>
          <w:sz w:val="19"/>
          <w:szCs w:val="19"/>
          <w:highlight w:val="none"/>
        </w:rPr>
        <w:t>声，控制粉尘和废气浓度，做好废水和废油的治理和排放。</w:t>
      </w:r>
    </w:p>
    <w:p w14:paraId="1F85F9B2">
      <w:pPr>
        <w:spacing w:before="167" w:line="221" w:lineRule="auto"/>
        <w:ind w:left="30"/>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9.5</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5"/>
          <w:sz w:val="28"/>
          <w:szCs w:val="28"/>
          <w:highlight w:val="none"/>
        </w:rPr>
        <w:t>事故处理</w:t>
      </w:r>
    </w:p>
    <w:p w14:paraId="7DD6A984">
      <w:pPr>
        <w:spacing w:line="312" w:lineRule="auto"/>
        <w:rPr>
          <w:rFonts w:ascii="Arial"/>
          <w:color w:val="auto"/>
          <w:sz w:val="21"/>
          <w:highlight w:val="none"/>
        </w:rPr>
      </w:pPr>
    </w:p>
    <w:p w14:paraId="0255D155">
      <w:pPr>
        <w:spacing w:before="63" w:line="296" w:lineRule="auto"/>
        <w:ind w:left="25" w:right="49" w:firstLine="42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5.1 发包人负责组织参建单位制定本工程的质量与安全事故应急预案，建立质量与安全</w:t>
      </w:r>
      <w:r>
        <w:rPr>
          <w:rFonts w:ascii="宋体" w:hAnsi="宋体" w:eastAsia="宋体" w:cs="宋体"/>
          <w:color w:val="auto"/>
          <w:spacing w:val="5"/>
          <w:sz w:val="19"/>
          <w:szCs w:val="19"/>
          <w:highlight w:val="none"/>
        </w:rPr>
        <w:t xml:space="preserve"> 事故应急处置指挥部。</w:t>
      </w:r>
    </w:p>
    <w:p w14:paraId="48181CCE">
      <w:pPr>
        <w:spacing w:before="139" w:line="294" w:lineRule="auto"/>
        <w:ind w:left="28" w:right="43" w:firstLine="41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5.2 承包人应对施工现场易发生重大事故的部位、环节的进行监控，配备救援器材、设</w:t>
      </w:r>
      <w:r>
        <w:rPr>
          <w:rFonts w:ascii="宋体" w:hAnsi="宋体" w:eastAsia="宋体" w:cs="宋体"/>
          <w:color w:val="auto"/>
          <w:spacing w:val="11"/>
          <w:sz w:val="19"/>
          <w:szCs w:val="19"/>
          <w:highlight w:val="none"/>
        </w:rPr>
        <w:t xml:space="preserve"> </w:t>
      </w:r>
      <w:r>
        <w:rPr>
          <w:rFonts w:ascii="宋体" w:hAnsi="宋体" w:eastAsia="宋体" w:cs="宋体"/>
          <w:color w:val="auto"/>
          <w:spacing w:val="5"/>
          <w:sz w:val="19"/>
          <w:szCs w:val="19"/>
          <w:highlight w:val="none"/>
        </w:rPr>
        <w:t>备，并定期组织演练。</w:t>
      </w:r>
    </w:p>
    <w:p w14:paraId="374DE837">
      <w:pPr>
        <w:spacing w:before="134" w:line="349" w:lineRule="auto"/>
        <w:ind w:left="30" w:right="15" w:firstLine="415"/>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9.5.3</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工程开工前，</w:t>
      </w:r>
      <w:r>
        <w:rPr>
          <w:rFonts w:ascii="宋体" w:hAnsi="宋体" w:eastAsia="宋体" w:cs="宋体"/>
          <w:color w:val="auto"/>
          <w:spacing w:val="-40"/>
          <w:sz w:val="19"/>
          <w:szCs w:val="19"/>
          <w:highlight w:val="none"/>
        </w:rPr>
        <w:t xml:space="preserve"> </w:t>
      </w:r>
      <w:r>
        <w:rPr>
          <w:rFonts w:ascii="宋体" w:hAnsi="宋体" w:eastAsia="宋体" w:cs="宋体"/>
          <w:color w:val="auto"/>
          <w:spacing w:val="6"/>
          <w:sz w:val="19"/>
          <w:szCs w:val="19"/>
          <w:highlight w:val="none"/>
        </w:rPr>
        <w:t>承包人应根据本工程特点制定施工现场施工质量与安全事故应急预案，</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并报发包人备案。</w:t>
      </w:r>
    </w:p>
    <w:p w14:paraId="40A15203">
      <w:pPr>
        <w:spacing w:before="55"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9. 5.4</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施工过程中发生事故时，发包人、承包人应立即启动应急预案。</w:t>
      </w:r>
    </w:p>
    <w:p w14:paraId="3E5099C9">
      <w:pPr>
        <w:spacing w:before="116"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9. 5.5</w:t>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事故调查处理由发包人按相关规定履行手续，承包人应配合。</w:t>
      </w:r>
    </w:p>
    <w:p w14:paraId="020DE6BF">
      <w:pPr>
        <w:spacing w:before="170" w:line="220" w:lineRule="auto"/>
        <w:ind w:left="30"/>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9.6</w:t>
      </w:r>
      <w:r>
        <w:rPr>
          <w:rFonts w:ascii="宋体" w:hAnsi="宋体" w:eastAsia="宋体" w:cs="宋体"/>
          <w:color w:val="auto"/>
          <w:spacing w:val="-52"/>
          <w:sz w:val="28"/>
          <w:szCs w:val="28"/>
          <w:highlight w:val="none"/>
        </w:rPr>
        <w:t xml:space="preserve"> </w:t>
      </w:r>
      <w:r>
        <w:rPr>
          <w:rFonts w:ascii="宋体" w:hAnsi="宋体" w:eastAsia="宋体" w:cs="宋体"/>
          <w:b/>
          <w:bCs/>
          <w:color w:val="auto"/>
          <w:spacing w:val="-6"/>
          <w:sz w:val="28"/>
          <w:szCs w:val="28"/>
          <w:highlight w:val="none"/>
        </w:rPr>
        <w:t>水土保持</w:t>
      </w:r>
    </w:p>
    <w:p w14:paraId="6AB19C04">
      <w:pPr>
        <w:spacing w:before="278" w:line="228" w:lineRule="auto"/>
        <w:ind w:left="446"/>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9. 6.</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发包人应及时向承包人提供水土保持方案。</w:t>
      </w:r>
    </w:p>
    <w:p w14:paraId="29F4F078">
      <w:pPr>
        <w:spacing w:before="264" w:line="312" w:lineRule="auto"/>
        <w:ind w:left="26" w:right="3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6.2 承包人在施工过程中，应遵守有关水土保持的法律法规和规章，履行合同约定的水</w:t>
      </w:r>
      <w:r>
        <w:rPr>
          <w:rFonts w:ascii="宋体" w:hAnsi="宋体" w:eastAsia="宋体" w:cs="宋体"/>
          <w:color w:val="auto"/>
          <w:spacing w:val="13"/>
          <w:sz w:val="19"/>
          <w:szCs w:val="19"/>
          <w:highlight w:val="none"/>
        </w:rPr>
        <w:t xml:space="preserve"> </w:t>
      </w:r>
      <w:r>
        <w:rPr>
          <w:rFonts w:ascii="宋体" w:hAnsi="宋体" w:eastAsia="宋体" w:cs="宋体"/>
          <w:color w:val="auto"/>
          <w:spacing w:val="10"/>
          <w:sz w:val="19"/>
          <w:szCs w:val="19"/>
          <w:highlight w:val="none"/>
        </w:rPr>
        <w:t>土保持义务，并对其违反法律和合同约定义务</w:t>
      </w:r>
      <w:r>
        <w:rPr>
          <w:rFonts w:ascii="宋体" w:hAnsi="宋体" w:eastAsia="宋体" w:cs="宋体"/>
          <w:color w:val="auto"/>
          <w:spacing w:val="9"/>
          <w:sz w:val="19"/>
          <w:szCs w:val="19"/>
          <w:highlight w:val="none"/>
        </w:rPr>
        <w:t>所造成的水土流失灾害、人身伤害和财 产损失负</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责。</w:t>
      </w:r>
    </w:p>
    <w:p w14:paraId="3EB0DE97">
      <w:pPr>
        <w:spacing w:before="131" w:line="228" w:lineRule="auto"/>
        <w:jc w:val="right"/>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9.6.3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承包人的水土保持措施计划，</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rPr>
        <w:t>应满足技术标准和要求（合同技术条</w:t>
      </w:r>
      <w:r>
        <w:rPr>
          <w:rFonts w:ascii="宋体" w:hAnsi="宋体" w:eastAsia="宋体" w:cs="宋体"/>
          <w:color w:val="auto"/>
          <w:spacing w:val="5"/>
          <w:sz w:val="19"/>
          <w:szCs w:val="19"/>
          <w:highlight w:val="none"/>
        </w:rPr>
        <w:t>款）</w:t>
      </w:r>
      <w:r>
        <w:rPr>
          <w:rFonts w:ascii="宋体" w:hAnsi="宋体" w:eastAsia="宋体" w:cs="宋体"/>
          <w:color w:val="auto"/>
          <w:spacing w:val="-50"/>
          <w:sz w:val="19"/>
          <w:szCs w:val="19"/>
          <w:highlight w:val="none"/>
        </w:rPr>
        <w:t xml:space="preserve"> </w:t>
      </w:r>
      <w:r>
        <w:rPr>
          <w:rFonts w:ascii="宋体" w:hAnsi="宋体" w:eastAsia="宋体" w:cs="宋体"/>
          <w:color w:val="auto"/>
          <w:spacing w:val="5"/>
          <w:sz w:val="19"/>
          <w:szCs w:val="19"/>
          <w:highlight w:val="none"/>
        </w:rPr>
        <w:t>约定的要求。</w:t>
      </w:r>
    </w:p>
    <w:p w14:paraId="1CFA4FBA">
      <w:pPr>
        <w:spacing w:before="170" w:line="220" w:lineRule="auto"/>
        <w:ind w:left="30"/>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9.7</w:t>
      </w:r>
      <w:r>
        <w:rPr>
          <w:rFonts w:ascii="宋体" w:hAnsi="宋体" w:eastAsia="宋体" w:cs="宋体"/>
          <w:color w:val="auto"/>
          <w:spacing w:val="-52"/>
          <w:sz w:val="28"/>
          <w:szCs w:val="28"/>
          <w:highlight w:val="none"/>
        </w:rPr>
        <w:t xml:space="preserve"> </w:t>
      </w:r>
      <w:r>
        <w:rPr>
          <w:rFonts w:ascii="宋体" w:hAnsi="宋体" w:eastAsia="宋体" w:cs="宋体"/>
          <w:b/>
          <w:bCs/>
          <w:color w:val="auto"/>
          <w:spacing w:val="-6"/>
          <w:sz w:val="28"/>
          <w:szCs w:val="28"/>
          <w:highlight w:val="none"/>
        </w:rPr>
        <w:t>文明工地</w:t>
      </w:r>
    </w:p>
    <w:p w14:paraId="504FD6E5">
      <w:pPr>
        <w:spacing w:line="312" w:lineRule="auto"/>
        <w:rPr>
          <w:rFonts w:ascii="Arial"/>
          <w:color w:val="auto"/>
          <w:sz w:val="21"/>
          <w:highlight w:val="none"/>
        </w:rPr>
      </w:pPr>
    </w:p>
    <w:p w14:paraId="5F259C8D">
      <w:pPr>
        <w:spacing w:before="63" w:line="347" w:lineRule="auto"/>
        <w:ind w:left="27" w:right="45"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9.7.1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发包人应按专用合同条款的约定，负责建立创建文明建设工地的组织机构，</w:t>
      </w:r>
      <w:r>
        <w:rPr>
          <w:rFonts w:ascii="宋体" w:hAnsi="宋体" w:eastAsia="宋体" w:cs="宋体"/>
          <w:color w:val="auto"/>
          <w:spacing w:val="6"/>
          <w:sz w:val="19"/>
          <w:szCs w:val="19"/>
          <w:highlight w:val="none"/>
        </w:rPr>
        <w:t>制定创建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文明建设工地的规划和办法。</w:t>
      </w:r>
    </w:p>
    <w:p w14:paraId="6958130A">
      <w:pPr>
        <w:spacing w:before="30" w:line="344" w:lineRule="auto"/>
        <w:ind w:left="25" w:right="43" w:firstLine="42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9.7.2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承包人应按创建文明建设工地的规划和办法，履行职责，承担相应责任。所需费用应</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含在已标价工程量清单中。</w:t>
      </w:r>
    </w:p>
    <w:p w14:paraId="351F6731">
      <w:pPr>
        <w:spacing w:line="344" w:lineRule="auto"/>
        <w:rPr>
          <w:rFonts w:ascii="宋体" w:hAnsi="宋体" w:eastAsia="宋体" w:cs="宋体"/>
          <w:color w:val="auto"/>
          <w:sz w:val="19"/>
          <w:szCs w:val="19"/>
          <w:highlight w:val="none"/>
        </w:rPr>
        <w:sectPr>
          <w:footerReference r:id="rId86" w:type="default"/>
          <w:pgSz w:w="11900" w:h="16832"/>
          <w:pgMar w:top="1430" w:right="1763" w:bottom="1188" w:left="1784" w:header="0" w:footer="980" w:gutter="0"/>
          <w:pgNumType w:fmt="decimal"/>
          <w:cols w:space="720" w:num="1"/>
        </w:sectPr>
      </w:pPr>
    </w:p>
    <w:p w14:paraId="5879F67C">
      <w:pPr>
        <w:spacing w:before="55" w:line="221" w:lineRule="auto"/>
        <w:ind w:left="30"/>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9.8</w:t>
      </w:r>
      <w:r>
        <w:rPr>
          <w:rFonts w:ascii="宋体" w:hAnsi="宋体" w:eastAsia="宋体" w:cs="宋体"/>
          <w:color w:val="auto"/>
          <w:spacing w:val="-41"/>
          <w:sz w:val="28"/>
          <w:szCs w:val="28"/>
          <w:highlight w:val="none"/>
        </w:rPr>
        <w:t xml:space="preserve"> </w:t>
      </w:r>
      <w:r>
        <w:rPr>
          <w:rFonts w:ascii="宋体" w:hAnsi="宋体" w:eastAsia="宋体" w:cs="宋体"/>
          <w:b/>
          <w:bCs/>
          <w:color w:val="auto"/>
          <w:spacing w:val="-7"/>
          <w:sz w:val="28"/>
          <w:szCs w:val="28"/>
          <w:highlight w:val="none"/>
        </w:rPr>
        <w:t>防汛度汛</w:t>
      </w:r>
    </w:p>
    <w:p w14:paraId="67DD6425">
      <w:pPr>
        <w:spacing w:before="279"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9. 8.</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发包人负责组织工程参建单位</w:t>
      </w:r>
      <w:r>
        <w:rPr>
          <w:rFonts w:ascii="宋体" w:hAnsi="宋体" w:eastAsia="宋体" w:cs="宋体"/>
          <w:color w:val="auto"/>
          <w:spacing w:val="6"/>
          <w:sz w:val="19"/>
          <w:szCs w:val="19"/>
          <w:highlight w:val="none"/>
        </w:rPr>
        <w:t>编制本工程的度汛方案和措施。</w:t>
      </w:r>
    </w:p>
    <w:p w14:paraId="619771CA">
      <w:pPr>
        <w:spacing w:before="268" w:line="338" w:lineRule="auto"/>
        <w:ind w:left="24" w:right="88"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9.8.2</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承包人应根据发包人编制的本工程度汛方案和措施，制定相应的度汛方案，报发包人</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批准后实施。</w:t>
      </w:r>
    </w:p>
    <w:p w14:paraId="714B95B2">
      <w:pPr>
        <w:spacing w:before="241"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10.</w:t>
      </w:r>
      <w:r>
        <w:rPr>
          <w:rFonts w:ascii="宋体" w:hAnsi="宋体" w:eastAsia="宋体" w:cs="宋体"/>
          <w:b/>
          <w:bCs/>
          <w:color w:val="auto"/>
          <w:spacing w:val="2"/>
          <w:sz w:val="31"/>
          <w:szCs w:val="31"/>
          <w:highlight w:val="none"/>
        </w:rPr>
        <w:t>进度计划</w:t>
      </w:r>
    </w:p>
    <w:p w14:paraId="78DC5E50">
      <w:pPr>
        <w:spacing w:line="248" w:lineRule="auto"/>
        <w:rPr>
          <w:rFonts w:ascii="Arial"/>
          <w:color w:val="auto"/>
          <w:sz w:val="21"/>
          <w:highlight w:val="none"/>
        </w:rPr>
      </w:pPr>
    </w:p>
    <w:p w14:paraId="5C3466A8">
      <w:pPr>
        <w:spacing w:line="249" w:lineRule="auto"/>
        <w:rPr>
          <w:rFonts w:ascii="Arial"/>
          <w:color w:val="auto"/>
          <w:sz w:val="21"/>
          <w:highlight w:val="none"/>
        </w:rPr>
      </w:pPr>
    </w:p>
    <w:p w14:paraId="423892B4">
      <w:pPr>
        <w:spacing w:before="92"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10.1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合同进度计划</w:t>
      </w:r>
    </w:p>
    <w:p w14:paraId="04AD9CD9">
      <w:pPr>
        <w:spacing w:line="299" w:lineRule="auto"/>
        <w:rPr>
          <w:rFonts w:ascii="Arial"/>
          <w:color w:val="auto"/>
          <w:sz w:val="21"/>
          <w:highlight w:val="none"/>
        </w:rPr>
      </w:pPr>
    </w:p>
    <w:p w14:paraId="18A70881">
      <w:pPr>
        <w:spacing w:before="62" w:line="339" w:lineRule="auto"/>
        <w:ind w:left="28" w:firstLine="417"/>
        <w:jc w:val="both"/>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承包人应按技术标准和要求（合同技术条款</w:t>
      </w:r>
      <w:r>
        <w:rPr>
          <w:rFonts w:ascii="宋体" w:hAnsi="宋体" w:eastAsia="宋体" w:cs="宋体"/>
          <w:color w:val="auto"/>
          <w:spacing w:val="11"/>
          <w:sz w:val="19"/>
          <w:szCs w:val="19"/>
          <w:highlight w:val="none"/>
        </w:rPr>
        <w:t>）约定的内容和期限以及监理人的指示, 编制</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详细的施工总进度计划及其说明提交监理人审批。监理人应在技术标准和</w:t>
      </w:r>
      <w:r>
        <w:rPr>
          <w:rFonts w:ascii="宋体" w:hAnsi="宋体" w:eastAsia="宋体" w:cs="宋体"/>
          <w:color w:val="auto"/>
          <w:spacing w:val="6"/>
          <w:sz w:val="19"/>
          <w:szCs w:val="19"/>
          <w:highlight w:val="none"/>
        </w:rPr>
        <w:t>要求（合同 技术条款）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 xml:space="preserve">约定的期限内批复承包人，否则该进度计划视为已得到批准。经监理人批准的 施工进度计划称  为合同进度计划，是控制合同工程进度的依据。承包人还应根据合同进度 计划，编制更为详细  </w:t>
      </w:r>
      <w:r>
        <w:rPr>
          <w:rFonts w:ascii="宋体" w:hAnsi="宋体" w:eastAsia="宋体" w:cs="宋体"/>
          <w:color w:val="auto"/>
          <w:spacing w:val="7"/>
          <w:sz w:val="19"/>
          <w:szCs w:val="19"/>
          <w:highlight w:val="none"/>
        </w:rPr>
        <w:t>的分阶段或单位工程或分部工程进度计划，</w:t>
      </w:r>
      <w:r>
        <w:rPr>
          <w:rFonts w:ascii="宋体" w:hAnsi="宋体" w:eastAsia="宋体" w:cs="宋体"/>
          <w:color w:val="auto"/>
          <w:spacing w:val="-57"/>
          <w:sz w:val="19"/>
          <w:szCs w:val="19"/>
          <w:highlight w:val="none"/>
        </w:rPr>
        <w:t xml:space="preserve"> </w:t>
      </w:r>
      <w:r>
        <w:rPr>
          <w:rFonts w:ascii="宋体" w:hAnsi="宋体" w:eastAsia="宋体" w:cs="宋体"/>
          <w:color w:val="auto"/>
          <w:spacing w:val="7"/>
          <w:sz w:val="19"/>
          <w:szCs w:val="19"/>
          <w:highlight w:val="none"/>
        </w:rPr>
        <w:t>报监理人审批。</w:t>
      </w:r>
    </w:p>
    <w:p w14:paraId="7CA37261">
      <w:pPr>
        <w:spacing w:before="78"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10.2</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合同进度计划的修订</w:t>
      </w:r>
    </w:p>
    <w:p w14:paraId="16666009">
      <w:pPr>
        <w:spacing w:line="313" w:lineRule="auto"/>
        <w:rPr>
          <w:rFonts w:ascii="Arial"/>
          <w:color w:val="auto"/>
          <w:sz w:val="21"/>
          <w:highlight w:val="none"/>
        </w:rPr>
      </w:pPr>
    </w:p>
    <w:p w14:paraId="1424BF7B">
      <w:pPr>
        <w:spacing w:before="62" w:line="350" w:lineRule="auto"/>
        <w:ind w:left="25" w:right="31"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不论何种原因造成工程的实际进度与第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10. 1</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款的合同进度计划不符时，承</w:t>
      </w:r>
      <w:r>
        <w:rPr>
          <w:rFonts w:ascii="宋体" w:hAnsi="宋体" w:eastAsia="宋体" w:cs="宋体"/>
          <w:color w:val="auto"/>
          <w:spacing w:val="6"/>
          <w:sz w:val="19"/>
          <w:szCs w:val="19"/>
          <w:highlight w:val="none"/>
        </w:rPr>
        <w:t>包人均应在</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14</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天内向监理人提交修订合同进度计划的申请报告，</w:t>
      </w:r>
      <w:r>
        <w:rPr>
          <w:rFonts w:ascii="宋体" w:hAnsi="宋体" w:eastAsia="宋体" w:cs="宋体"/>
          <w:color w:val="auto"/>
          <w:spacing w:val="11"/>
          <w:sz w:val="19"/>
          <w:szCs w:val="19"/>
          <w:highlight w:val="none"/>
        </w:rPr>
        <w:t>并附有关措施和相关资料，报监理人审批；</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监理人应在收到申请报告后的 14 天内批复。当监理人认为需要修订合同进度计划 时，承包人</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应按监理人的指示，在</w:t>
      </w:r>
      <w:r>
        <w:rPr>
          <w:rFonts w:ascii="宋体" w:hAnsi="宋体" w:eastAsia="宋体" w:cs="宋体"/>
          <w:color w:val="auto"/>
          <w:spacing w:val="-9"/>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天内向监理人提交修订的合同进度计划，并附调整计 划的相关资料，</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提交监理人审批。监理人应在收到进度计划后的</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天内批复。</w:t>
      </w:r>
    </w:p>
    <w:p w14:paraId="0409565C">
      <w:pPr>
        <w:spacing w:before="17" w:line="333" w:lineRule="auto"/>
        <w:ind w:left="24" w:right="84" w:firstLine="423"/>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不论何种原因造成施工进度延迟，承包人均应按监理人的指示，采</w:t>
      </w:r>
      <w:r>
        <w:rPr>
          <w:rFonts w:ascii="宋体" w:hAnsi="宋体" w:eastAsia="宋体" w:cs="宋体"/>
          <w:color w:val="auto"/>
          <w:spacing w:val="10"/>
          <w:sz w:val="19"/>
          <w:szCs w:val="19"/>
          <w:highlight w:val="none"/>
        </w:rPr>
        <w:t>取有效措施赶上进度。</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承包人应在向监理人提交修订合同进度计划的同时，编制一份赶工措施报告提交监理人审批。</w:t>
      </w:r>
      <w:r>
        <w:rPr>
          <w:rFonts w:ascii="宋体" w:hAnsi="宋体" w:eastAsia="宋体" w:cs="宋体"/>
          <w:color w:val="auto"/>
          <w:spacing w:val="3"/>
          <w:sz w:val="19"/>
          <w:szCs w:val="19"/>
          <w:highlight w:val="none"/>
        </w:rPr>
        <w:t xml:space="preserve"> </w:t>
      </w:r>
      <w:r>
        <w:rPr>
          <w:rFonts w:ascii="宋体" w:hAnsi="宋体" w:eastAsia="宋体" w:cs="宋体"/>
          <w:color w:val="auto"/>
          <w:spacing w:val="8"/>
          <w:sz w:val="19"/>
          <w:szCs w:val="19"/>
          <w:highlight w:val="none"/>
        </w:rPr>
        <w:t>由于发包人原因造成施工进度延迟，</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应按第 11. 3 款的约定办理；由</w:t>
      </w:r>
      <w:r>
        <w:rPr>
          <w:rFonts w:ascii="宋体" w:hAnsi="宋体" w:eastAsia="宋体" w:cs="宋体"/>
          <w:color w:val="auto"/>
          <w:spacing w:val="7"/>
          <w:sz w:val="19"/>
          <w:szCs w:val="19"/>
          <w:highlight w:val="none"/>
        </w:rPr>
        <w:t>于承包人原因造成施工进</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度延迟，</w:t>
      </w:r>
      <w:r>
        <w:rPr>
          <w:rFonts w:ascii="宋体" w:hAnsi="宋体" w:eastAsia="宋体" w:cs="宋体"/>
          <w:color w:val="auto"/>
          <w:spacing w:val="-41"/>
          <w:sz w:val="19"/>
          <w:szCs w:val="19"/>
          <w:highlight w:val="none"/>
        </w:rPr>
        <w:t xml:space="preserve"> </w:t>
      </w:r>
      <w:r>
        <w:rPr>
          <w:rFonts w:ascii="宋体" w:hAnsi="宋体" w:eastAsia="宋体" w:cs="宋体"/>
          <w:color w:val="auto"/>
          <w:spacing w:val="3"/>
          <w:sz w:val="19"/>
          <w:szCs w:val="19"/>
          <w:highlight w:val="none"/>
        </w:rPr>
        <w:t>应按第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11. 5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款的约定办理。</w:t>
      </w:r>
    </w:p>
    <w:p w14:paraId="33FB9CBD">
      <w:pPr>
        <w:spacing w:before="121" w:line="221"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10.3</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单位工程进度计划</w:t>
      </w:r>
    </w:p>
    <w:p w14:paraId="42083848">
      <w:pPr>
        <w:spacing w:line="299" w:lineRule="auto"/>
        <w:rPr>
          <w:rFonts w:ascii="Arial"/>
          <w:color w:val="auto"/>
          <w:sz w:val="21"/>
          <w:highlight w:val="none"/>
        </w:rPr>
      </w:pPr>
    </w:p>
    <w:p w14:paraId="32A218A2">
      <w:pPr>
        <w:spacing w:before="63" w:line="326" w:lineRule="auto"/>
        <w:ind w:left="24" w:right="83" w:firstLine="421"/>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监理人认为有必要时，承包人应按监理人指示的内容和</w:t>
      </w:r>
      <w:r>
        <w:rPr>
          <w:rFonts w:ascii="宋体" w:hAnsi="宋体" w:eastAsia="宋体" w:cs="宋体"/>
          <w:color w:val="auto"/>
          <w:spacing w:val="11"/>
          <w:sz w:val="19"/>
          <w:szCs w:val="19"/>
          <w:highlight w:val="none"/>
        </w:rPr>
        <w:t>期限，并根据合同进度计划的进度</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控制要求，编制单位工程进度计划，</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提交监理人审批。</w:t>
      </w:r>
    </w:p>
    <w:p w14:paraId="330EDF26">
      <w:pPr>
        <w:spacing w:before="120" w:line="219"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10.4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提交资金流估算表</w:t>
      </w:r>
    </w:p>
    <w:p w14:paraId="1635D031">
      <w:pPr>
        <w:spacing w:line="304" w:lineRule="auto"/>
        <w:rPr>
          <w:rFonts w:ascii="Arial"/>
          <w:color w:val="auto"/>
          <w:sz w:val="21"/>
          <w:highlight w:val="none"/>
        </w:rPr>
      </w:pPr>
    </w:p>
    <w:p w14:paraId="2579A0E2">
      <w:pPr>
        <w:spacing w:before="63" w:line="334" w:lineRule="auto"/>
        <w:ind w:left="27" w:right="90" w:firstLine="41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承包人应在按第 10.</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1 款约定向监理人提交施工总进度</w:t>
      </w:r>
      <w:r>
        <w:rPr>
          <w:rFonts w:ascii="宋体" w:hAnsi="宋体" w:eastAsia="宋体" w:cs="宋体"/>
          <w:color w:val="auto"/>
          <w:spacing w:val="5"/>
          <w:sz w:val="19"/>
          <w:szCs w:val="19"/>
          <w:highlight w:val="none"/>
        </w:rPr>
        <w:t>计划的同时，</w:t>
      </w:r>
      <w:r>
        <w:rPr>
          <w:rFonts w:ascii="宋体" w:hAnsi="宋体" w:eastAsia="宋体" w:cs="宋体"/>
          <w:color w:val="auto"/>
          <w:spacing w:val="-53"/>
          <w:sz w:val="19"/>
          <w:szCs w:val="19"/>
          <w:highlight w:val="none"/>
        </w:rPr>
        <w:t xml:space="preserve"> </w:t>
      </w:r>
      <w:r>
        <w:rPr>
          <w:rFonts w:ascii="宋体" w:hAnsi="宋体" w:eastAsia="宋体" w:cs="宋体"/>
          <w:color w:val="auto"/>
          <w:spacing w:val="5"/>
          <w:sz w:val="19"/>
          <w:szCs w:val="19"/>
          <w:highlight w:val="none"/>
        </w:rPr>
        <w:t>按下表约定的格式，</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向监理人提交按月的资金流估算表。估算表应包括承包</w:t>
      </w:r>
      <w:r>
        <w:rPr>
          <w:rFonts w:ascii="宋体" w:hAnsi="宋体" w:eastAsia="宋体" w:cs="宋体"/>
          <w:color w:val="auto"/>
          <w:spacing w:val="11"/>
          <w:sz w:val="19"/>
          <w:szCs w:val="19"/>
          <w:highlight w:val="none"/>
        </w:rPr>
        <w:t>人计划可从发包人处得到的全部款额，</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以供发包人参考。此后，当监理人提出要求时，承包人应在监理人指定的期限</w:t>
      </w:r>
      <w:r>
        <w:rPr>
          <w:rFonts w:ascii="宋体" w:hAnsi="宋体" w:eastAsia="宋体" w:cs="宋体"/>
          <w:color w:val="auto"/>
          <w:spacing w:val="11"/>
          <w:sz w:val="19"/>
          <w:szCs w:val="19"/>
          <w:highlight w:val="none"/>
        </w:rPr>
        <w:t>内提交修订的资</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金流估算表。</w:t>
      </w:r>
    </w:p>
    <w:p w14:paraId="24B0B47D">
      <w:pPr>
        <w:spacing w:line="334" w:lineRule="auto"/>
        <w:rPr>
          <w:rFonts w:ascii="宋体" w:hAnsi="宋体" w:eastAsia="宋体" w:cs="宋体"/>
          <w:color w:val="auto"/>
          <w:sz w:val="19"/>
          <w:szCs w:val="19"/>
          <w:highlight w:val="none"/>
        </w:rPr>
        <w:sectPr>
          <w:footerReference r:id="rId87" w:type="default"/>
          <w:pgSz w:w="11900" w:h="16832"/>
          <w:pgMar w:top="1423" w:right="1719" w:bottom="1188" w:left="1784" w:header="0" w:footer="980" w:gutter="0"/>
          <w:pgNumType w:fmt="decimal"/>
          <w:cols w:space="720" w:num="1"/>
        </w:sectPr>
      </w:pPr>
    </w:p>
    <w:p w14:paraId="19F95F35">
      <w:pPr>
        <w:spacing w:line="286" w:lineRule="auto"/>
        <w:rPr>
          <w:rFonts w:ascii="Arial"/>
          <w:color w:val="auto"/>
          <w:sz w:val="21"/>
          <w:highlight w:val="none"/>
        </w:rPr>
      </w:pPr>
    </w:p>
    <w:p w14:paraId="3A7C64F8">
      <w:pPr>
        <w:spacing w:line="286" w:lineRule="auto"/>
        <w:rPr>
          <w:rFonts w:ascii="Arial"/>
          <w:color w:val="auto"/>
          <w:sz w:val="21"/>
          <w:highlight w:val="none"/>
        </w:rPr>
      </w:pPr>
    </w:p>
    <w:p w14:paraId="5300E216">
      <w:pPr>
        <w:spacing w:line="286" w:lineRule="auto"/>
        <w:rPr>
          <w:rFonts w:ascii="Arial"/>
          <w:color w:val="auto"/>
          <w:sz w:val="21"/>
          <w:highlight w:val="none"/>
        </w:rPr>
      </w:pPr>
    </w:p>
    <w:p w14:paraId="0B465090">
      <w:pPr>
        <w:spacing w:line="286" w:lineRule="auto"/>
        <w:rPr>
          <w:rFonts w:ascii="Arial"/>
          <w:color w:val="auto"/>
          <w:sz w:val="21"/>
          <w:highlight w:val="none"/>
        </w:rPr>
      </w:pPr>
    </w:p>
    <w:p w14:paraId="5FE8B227">
      <w:pPr>
        <w:spacing w:line="287" w:lineRule="auto"/>
        <w:rPr>
          <w:rFonts w:ascii="Arial"/>
          <w:color w:val="auto"/>
          <w:sz w:val="21"/>
          <w:highlight w:val="none"/>
        </w:rPr>
      </w:pPr>
    </w:p>
    <w:p w14:paraId="02304FB5">
      <w:pPr>
        <w:spacing w:before="62" w:line="227" w:lineRule="auto"/>
        <w:ind w:left="213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资金流估算表（参考格式）</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金额单位</w:t>
      </w:r>
    </w:p>
    <w:p w14:paraId="1CC54640">
      <w:pPr>
        <w:spacing w:line="110" w:lineRule="exact"/>
        <w:rPr>
          <w:color w:val="auto"/>
          <w:highlight w:val="none"/>
        </w:rPr>
      </w:pPr>
    </w:p>
    <w:tbl>
      <w:tblPr>
        <w:tblStyle w:val="16"/>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
        <w:gridCol w:w="274"/>
        <w:gridCol w:w="1024"/>
        <w:gridCol w:w="1421"/>
        <w:gridCol w:w="1023"/>
        <w:gridCol w:w="1018"/>
        <w:gridCol w:w="1024"/>
        <w:gridCol w:w="445"/>
        <w:gridCol w:w="678"/>
        <w:gridCol w:w="1155"/>
      </w:tblGrid>
      <w:tr w14:paraId="4BAD4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96" w:type="dxa"/>
            <w:vAlign w:val="top"/>
          </w:tcPr>
          <w:p w14:paraId="06FEE305">
            <w:pPr>
              <w:pStyle w:val="17"/>
              <w:spacing w:before="135" w:line="220" w:lineRule="auto"/>
              <w:ind w:left="17"/>
              <w:rPr>
                <w:color w:val="auto"/>
                <w:sz w:val="18"/>
                <w:szCs w:val="18"/>
                <w:highlight w:val="none"/>
              </w:rPr>
            </w:pPr>
            <w:r>
              <w:rPr>
                <w:color w:val="auto"/>
                <w:sz w:val="18"/>
                <w:szCs w:val="18"/>
                <w:highlight w:val="none"/>
              </w:rPr>
              <w:t>年</w:t>
            </w:r>
          </w:p>
        </w:tc>
        <w:tc>
          <w:tcPr>
            <w:tcW w:w="274" w:type="dxa"/>
            <w:vAlign w:val="top"/>
          </w:tcPr>
          <w:p w14:paraId="431F0F79">
            <w:pPr>
              <w:pStyle w:val="17"/>
              <w:spacing w:before="135" w:line="220" w:lineRule="auto"/>
              <w:ind w:left="17"/>
              <w:rPr>
                <w:color w:val="auto"/>
                <w:sz w:val="18"/>
                <w:szCs w:val="18"/>
                <w:highlight w:val="none"/>
              </w:rPr>
            </w:pPr>
            <w:r>
              <w:rPr>
                <w:color w:val="auto"/>
                <w:sz w:val="18"/>
                <w:szCs w:val="18"/>
                <w:highlight w:val="none"/>
              </w:rPr>
              <w:t>月</w:t>
            </w:r>
          </w:p>
        </w:tc>
        <w:tc>
          <w:tcPr>
            <w:tcW w:w="1024" w:type="dxa"/>
            <w:vAlign w:val="top"/>
          </w:tcPr>
          <w:p w14:paraId="2DF84A9D">
            <w:pPr>
              <w:pStyle w:val="17"/>
              <w:spacing w:before="135" w:line="220" w:lineRule="auto"/>
              <w:ind w:left="24"/>
              <w:rPr>
                <w:color w:val="auto"/>
                <w:sz w:val="18"/>
                <w:szCs w:val="18"/>
                <w:highlight w:val="none"/>
              </w:rPr>
            </w:pPr>
            <w:r>
              <w:rPr>
                <w:color w:val="auto"/>
                <w:spacing w:val="-2"/>
                <w:sz w:val="18"/>
                <w:szCs w:val="18"/>
                <w:highlight w:val="none"/>
              </w:rPr>
              <w:t>工程预付款</w:t>
            </w:r>
          </w:p>
        </w:tc>
        <w:tc>
          <w:tcPr>
            <w:tcW w:w="1421" w:type="dxa"/>
            <w:vAlign w:val="top"/>
          </w:tcPr>
          <w:p w14:paraId="3B5E0189">
            <w:pPr>
              <w:pStyle w:val="17"/>
              <w:spacing w:before="135" w:line="220" w:lineRule="auto"/>
              <w:ind w:left="22"/>
              <w:rPr>
                <w:color w:val="auto"/>
                <w:sz w:val="18"/>
                <w:szCs w:val="18"/>
                <w:highlight w:val="none"/>
              </w:rPr>
            </w:pPr>
            <w:r>
              <w:rPr>
                <w:color w:val="auto"/>
                <w:spacing w:val="-2"/>
                <w:sz w:val="18"/>
                <w:szCs w:val="18"/>
                <w:highlight w:val="none"/>
              </w:rPr>
              <w:t>完成工作量付款</w:t>
            </w:r>
          </w:p>
        </w:tc>
        <w:tc>
          <w:tcPr>
            <w:tcW w:w="1023" w:type="dxa"/>
            <w:vAlign w:val="top"/>
          </w:tcPr>
          <w:p w14:paraId="31517E11">
            <w:pPr>
              <w:pStyle w:val="17"/>
              <w:spacing w:before="135" w:line="220" w:lineRule="auto"/>
              <w:ind w:left="17"/>
              <w:rPr>
                <w:color w:val="auto"/>
                <w:sz w:val="18"/>
                <w:szCs w:val="18"/>
                <w:highlight w:val="none"/>
              </w:rPr>
            </w:pPr>
            <w:r>
              <w:rPr>
                <w:color w:val="auto"/>
                <w:spacing w:val="-2"/>
                <w:sz w:val="18"/>
                <w:szCs w:val="18"/>
                <w:highlight w:val="none"/>
              </w:rPr>
              <w:t>保留金扣留</w:t>
            </w:r>
          </w:p>
        </w:tc>
        <w:tc>
          <w:tcPr>
            <w:tcW w:w="1018" w:type="dxa"/>
            <w:vAlign w:val="top"/>
          </w:tcPr>
          <w:p w14:paraId="5C4FEF01">
            <w:pPr>
              <w:pStyle w:val="17"/>
              <w:spacing w:before="135" w:line="219" w:lineRule="auto"/>
              <w:ind w:right="4"/>
              <w:jc w:val="right"/>
              <w:rPr>
                <w:color w:val="auto"/>
                <w:sz w:val="18"/>
                <w:szCs w:val="18"/>
                <w:highlight w:val="none"/>
              </w:rPr>
            </w:pPr>
            <w:r>
              <w:rPr>
                <w:color w:val="auto"/>
                <w:spacing w:val="-2"/>
                <w:sz w:val="18"/>
                <w:szCs w:val="18"/>
                <w:highlight w:val="none"/>
              </w:rPr>
              <w:t>材料款扣除</w:t>
            </w:r>
          </w:p>
        </w:tc>
        <w:tc>
          <w:tcPr>
            <w:tcW w:w="1024" w:type="dxa"/>
            <w:vAlign w:val="top"/>
          </w:tcPr>
          <w:p w14:paraId="48C34A03">
            <w:pPr>
              <w:pStyle w:val="17"/>
              <w:spacing w:before="135" w:line="220" w:lineRule="auto"/>
              <w:ind w:right="5"/>
              <w:jc w:val="right"/>
              <w:rPr>
                <w:color w:val="auto"/>
                <w:sz w:val="18"/>
                <w:szCs w:val="18"/>
                <w:highlight w:val="none"/>
              </w:rPr>
            </w:pPr>
            <w:r>
              <w:rPr>
                <w:color w:val="auto"/>
                <w:spacing w:val="-2"/>
                <w:sz w:val="18"/>
                <w:szCs w:val="18"/>
                <w:highlight w:val="none"/>
              </w:rPr>
              <w:t>预付款扣还</w:t>
            </w:r>
          </w:p>
        </w:tc>
        <w:tc>
          <w:tcPr>
            <w:tcW w:w="445" w:type="dxa"/>
            <w:vAlign w:val="top"/>
          </w:tcPr>
          <w:p w14:paraId="61D0036D">
            <w:pPr>
              <w:pStyle w:val="17"/>
              <w:spacing w:before="135" w:line="220" w:lineRule="auto"/>
              <w:jc w:val="right"/>
              <w:rPr>
                <w:color w:val="auto"/>
                <w:sz w:val="18"/>
                <w:szCs w:val="18"/>
                <w:highlight w:val="none"/>
              </w:rPr>
            </w:pPr>
            <w:r>
              <w:rPr>
                <w:color w:val="auto"/>
                <w:spacing w:val="-4"/>
                <w:sz w:val="18"/>
                <w:szCs w:val="18"/>
                <w:highlight w:val="none"/>
              </w:rPr>
              <w:t>其他</w:t>
            </w:r>
          </w:p>
        </w:tc>
        <w:tc>
          <w:tcPr>
            <w:tcW w:w="678" w:type="dxa"/>
            <w:vAlign w:val="top"/>
          </w:tcPr>
          <w:p w14:paraId="7559EAB8">
            <w:pPr>
              <w:pStyle w:val="17"/>
              <w:spacing w:before="135" w:line="220" w:lineRule="auto"/>
              <w:jc w:val="right"/>
              <w:rPr>
                <w:color w:val="auto"/>
                <w:sz w:val="18"/>
                <w:szCs w:val="18"/>
                <w:highlight w:val="none"/>
              </w:rPr>
            </w:pPr>
            <w:r>
              <w:rPr>
                <w:color w:val="auto"/>
                <w:spacing w:val="-4"/>
                <w:sz w:val="18"/>
                <w:szCs w:val="18"/>
                <w:highlight w:val="none"/>
              </w:rPr>
              <w:t>应收款</w:t>
            </w:r>
          </w:p>
        </w:tc>
        <w:tc>
          <w:tcPr>
            <w:tcW w:w="1155" w:type="dxa"/>
            <w:vAlign w:val="top"/>
          </w:tcPr>
          <w:p w14:paraId="198B4A4D">
            <w:pPr>
              <w:pStyle w:val="17"/>
              <w:spacing w:before="135" w:line="220" w:lineRule="auto"/>
              <w:ind w:right="6"/>
              <w:jc w:val="right"/>
              <w:rPr>
                <w:color w:val="auto"/>
                <w:sz w:val="18"/>
                <w:szCs w:val="18"/>
                <w:highlight w:val="none"/>
              </w:rPr>
            </w:pPr>
            <w:r>
              <w:rPr>
                <w:color w:val="auto"/>
                <w:spacing w:val="-3"/>
                <w:sz w:val="18"/>
                <w:szCs w:val="18"/>
                <w:highlight w:val="none"/>
              </w:rPr>
              <w:t>累计应收款</w:t>
            </w:r>
          </w:p>
        </w:tc>
      </w:tr>
      <w:tr w14:paraId="6D9C9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296" w:type="dxa"/>
            <w:vAlign w:val="top"/>
          </w:tcPr>
          <w:p w14:paraId="009CAB8A">
            <w:pPr>
              <w:rPr>
                <w:rFonts w:ascii="Arial"/>
                <w:color w:val="auto"/>
                <w:sz w:val="21"/>
                <w:highlight w:val="none"/>
              </w:rPr>
            </w:pPr>
          </w:p>
        </w:tc>
        <w:tc>
          <w:tcPr>
            <w:tcW w:w="274" w:type="dxa"/>
            <w:vAlign w:val="top"/>
          </w:tcPr>
          <w:p w14:paraId="5DDA74B8">
            <w:pPr>
              <w:rPr>
                <w:rFonts w:ascii="Arial"/>
                <w:color w:val="auto"/>
                <w:sz w:val="21"/>
                <w:highlight w:val="none"/>
              </w:rPr>
            </w:pPr>
          </w:p>
        </w:tc>
        <w:tc>
          <w:tcPr>
            <w:tcW w:w="1024" w:type="dxa"/>
            <w:vAlign w:val="top"/>
          </w:tcPr>
          <w:p w14:paraId="0B78D6EF">
            <w:pPr>
              <w:rPr>
                <w:rFonts w:ascii="Arial"/>
                <w:color w:val="auto"/>
                <w:sz w:val="21"/>
                <w:highlight w:val="none"/>
              </w:rPr>
            </w:pPr>
          </w:p>
        </w:tc>
        <w:tc>
          <w:tcPr>
            <w:tcW w:w="1421" w:type="dxa"/>
            <w:vAlign w:val="top"/>
          </w:tcPr>
          <w:p w14:paraId="39FCC525">
            <w:pPr>
              <w:rPr>
                <w:rFonts w:ascii="Arial"/>
                <w:color w:val="auto"/>
                <w:sz w:val="21"/>
                <w:highlight w:val="none"/>
              </w:rPr>
            </w:pPr>
          </w:p>
        </w:tc>
        <w:tc>
          <w:tcPr>
            <w:tcW w:w="1023" w:type="dxa"/>
            <w:vAlign w:val="top"/>
          </w:tcPr>
          <w:p w14:paraId="6E72BFBA">
            <w:pPr>
              <w:rPr>
                <w:rFonts w:ascii="Arial"/>
                <w:color w:val="auto"/>
                <w:sz w:val="21"/>
                <w:highlight w:val="none"/>
              </w:rPr>
            </w:pPr>
          </w:p>
        </w:tc>
        <w:tc>
          <w:tcPr>
            <w:tcW w:w="1018" w:type="dxa"/>
            <w:vAlign w:val="top"/>
          </w:tcPr>
          <w:p w14:paraId="238B4099">
            <w:pPr>
              <w:rPr>
                <w:rFonts w:ascii="Arial"/>
                <w:color w:val="auto"/>
                <w:sz w:val="21"/>
                <w:highlight w:val="none"/>
              </w:rPr>
            </w:pPr>
          </w:p>
        </w:tc>
        <w:tc>
          <w:tcPr>
            <w:tcW w:w="1024" w:type="dxa"/>
            <w:vAlign w:val="top"/>
          </w:tcPr>
          <w:p w14:paraId="60EA36E7">
            <w:pPr>
              <w:rPr>
                <w:rFonts w:ascii="Arial"/>
                <w:color w:val="auto"/>
                <w:sz w:val="21"/>
                <w:highlight w:val="none"/>
              </w:rPr>
            </w:pPr>
          </w:p>
        </w:tc>
        <w:tc>
          <w:tcPr>
            <w:tcW w:w="445" w:type="dxa"/>
            <w:vAlign w:val="top"/>
          </w:tcPr>
          <w:p w14:paraId="3D9A77B7">
            <w:pPr>
              <w:rPr>
                <w:rFonts w:ascii="Arial"/>
                <w:color w:val="auto"/>
                <w:sz w:val="21"/>
                <w:highlight w:val="none"/>
              </w:rPr>
            </w:pPr>
          </w:p>
        </w:tc>
        <w:tc>
          <w:tcPr>
            <w:tcW w:w="678" w:type="dxa"/>
            <w:vAlign w:val="top"/>
          </w:tcPr>
          <w:p w14:paraId="6F8812F6">
            <w:pPr>
              <w:rPr>
                <w:rFonts w:ascii="Arial"/>
                <w:color w:val="auto"/>
                <w:sz w:val="21"/>
                <w:highlight w:val="none"/>
              </w:rPr>
            </w:pPr>
          </w:p>
        </w:tc>
        <w:tc>
          <w:tcPr>
            <w:tcW w:w="1155" w:type="dxa"/>
            <w:vAlign w:val="top"/>
          </w:tcPr>
          <w:p w14:paraId="53D8712D">
            <w:pPr>
              <w:rPr>
                <w:rFonts w:ascii="Arial"/>
                <w:color w:val="auto"/>
                <w:sz w:val="21"/>
                <w:highlight w:val="none"/>
              </w:rPr>
            </w:pPr>
          </w:p>
        </w:tc>
      </w:tr>
      <w:tr w14:paraId="797BF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96" w:type="dxa"/>
            <w:vAlign w:val="top"/>
          </w:tcPr>
          <w:p w14:paraId="4A631247">
            <w:pPr>
              <w:rPr>
                <w:rFonts w:ascii="Arial"/>
                <w:color w:val="auto"/>
                <w:sz w:val="21"/>
                <w:highlight w:val="none"/>
              </w:rPr>
            </w:pPr>
          </w:p>
        </w:tc>
        <w:tc>
          <w:tcPr>
            <w:tcW w:w="274" w:type="dxa"/>
            <w:vAlign w:val="top"/>
          </w:tcPr>
          <w:p w14:paraId="148D3FDD">
            <w:pPr>
              <w:rPr>
                <w:rFonts w:ascii="Arial"/>
                <w:color w:val="auto"/>
                <w:sz w:val="21"/>
                <w:highlight w:val="none"/>
              </w:rPr>
            </w:pPr>
          </w:p>
        </w:tc>
        <w:tc>
          <w:tcPr>
            <w:tcW w:w="1024" w:type="dxa"/>
            <w:vAlign w:val="top"/>
          </w:tcPr>
          <w:p w14:paraId="7FFFC7B1">
            <w:pPr>
              <w:rPr>
                <w:rFonts w:ascii="Arial"/>
                <w:color w:val="auto"/>
                <w:sz w:val="21"/>
                <w:highlight w:val="none"/>
              </w:rPr>
            </w:pPr>
          </w:p>
        </w:tc>
        <w:tc>
          <w:tcPr>
            <w:tcW w:w="1421" w:type="dxa"/>
            <w:vAlign w:val="top"/>
          </w:tcPr>
          <w:p w14:paraId="1BBF9417">
            <w:pPr>
              <w:rPr>
                <w:rFonts w:ascii="Arial"/>
                <w:color w:val="auto"/>
                <w:sz w:val="21"/>
                <w:highlight w:val="none"/>
              </w:rPr>
            </w:pPr>
          </w:p>
        </w:tc>
        <w:tc>
          <w:tcPr>
            <w:tcW w:w="1023" w:type="dxa"/>
            <w:vAlign w:val="top"/>
          </w:tcPr>
          <w:p w14:paraId="0030644E">
            <w:pPr>
              <w:rPr>
                <w:rFonts w:ascii="Arial"/>
                <w:color w:val="auto"/>
                <w:sz w:val="21"/>
                <w:highlight w:val="none"/>
              </w:rPr>
            </w:pPr>
          </w:p>
        </w:tc>
        <w:tc>
          <w:tcPr>
            <w:tcW w:w="1018" w:type="dxa"/>
            <w:vAlign w:val="top"/>
          </w:tcPr>
          <w:p w14:paraId="2D48CDA3">
            <w:pPr>
              <w:rPr>
                <w:rFonts w:ascii="Arial"/>
                <w:color w:val="auto"/>
                <w:sz w:val="21"/>
                <w:highlight w:val="none"/>
              </w:rPr>
            </w:pPr>
          </w:p>
        </w:tc>
        <w:tc>
          <w:tcPr>
            <w:tcW w:w="1024" w:type="dxa"/>
            <w:vAlign w:val="top"/>
          </w:tcPr>
          <w:p w14:paraId="5863D061">
            <w:pPr>
              <w:rPr>
                <w:rFonts w:ascii="Arial"/>
                <w:color w:val="auto"/>
                <w:sz w:val="21"/>
                <w:highlight w:val="none"/>
              </w:rPr>
            </w:pPr>
          </w:p>
        </w:tc>
        <w:tc>
          <w:tcPr>
            <w:tcW w:w="445" w:type="dxa"/>
            <w:vAlign w:val="top"/>
          </w:tcPr>
          <w:p w14:paraId="4D8842A6">
            <w:pPr>
              <w:rPr>
                <w:rFonts w:ascii="Arial"/>
                <w:color w:val="auto"/>
                <w:sz w:val="21"/>
                <w:highlight w:val="none"/>
              </w:rPr>
            </w:pPr>
          </w:p>
        </w:tc>
        <w:tc>
          <w:tcPr>
            <w:tcW w:w="678" w:type="dxa"/>
            <w:vAlign w:val="top"/>
          </w:tcPr>
          <w:p w14:paraId="534F859B">
            <w:pPr>
              <w:rPr>
                <w:rFonts w:ascii="Arial"/>
                <w:color w:val="auto"/>
                <w:sz w:val="21"/>
                <w:highlight w:val="none"/>
              </w:rPr>
            </w:pPr>
          </w:p>
        </w:tc>
        <w:tc>
          <w:tcPr>
            <w:tcW w:w="1155" w:type="dxa"/>
            <w:vAlign w:val="top"/>
          </w:tcPr>
          <w:p w14:paraId="18F81A5A">
            <w:pPr>
              <w:rPr>
                <w:rFonts w:ascii="Arial"/>
                <w:color w:val="auto"/>
                <w:sz w:val="21"/>
                <w:highlight w:val="none"/>
              </w:rPr>
            </w:pPr>
          </w:p>
        </w:tc>
      </w:tr>
      <w:tr w14:paraId="3D6D3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96" w:type="dxa"/>
            <w:vAlign w:val="top"/>
          </w:tcPr>
          <w:p w14:paraId="03ACF255">
            <w:pPr>
              <w:rPr>
                <w:rFonts w:ascii="Arial"/>
                <w:color w:val="auto"/>
                <w:sz w:val="21"/>
                <w:highlight w:val="none"/>
              </w:rPr>
            </w:pPr>
          </w:p>
        </w:tc>
        <w:tc>
          <w:tcPr>
            <w:tcW w:w="274" w:type="dxa"/>
            <w:vAlign w:val="top"/>
          </w:tcPr>
          <w:p w14:paraId="39E5DC6B">
            <w:pPr>
              <w:rPr>
                <w:rFonts w:ascii="Arial"/>
                <w:color w:val="auto"/>
                <w:sz w:val="21"/>
                <w:highlight w:val="none"/>
              </w:rPr>
            </w:pPr>
          </w:p>
        </w:tc>
        <w:tc>
          <w:tcPr>
            <w:tcW w:w="1024" w:type="dxa"/>
            <w:vAlign w:val="top"/>
          </w:tcPr>
          <w:p w14:paraId="79C4483B">
            <w:pPr>
              <w:rPr>
                <w:rFonts w:ascii="Arial"/>
                <w:color w:val="auto"/>
                <w:sz w:val="21"/>
                <w:highlight w:val="none"/>
              </w:rPr>
            </w:pPr>
          </w:p>
        </w:tc>
        <w:tc>
          <w:tcPr>
            <w:tcW w:w="1421" w:type="dxa"/>
            <w:vAlign w:val="top"/>
          </w:tcPr>
          <w:p w14:paraId="428B586A">
            <w:pPr>
              <w:rPr>
                <w:rFonts w:ascii="Arial"/>
                <w:color w:val="auto"/>
                <w:sz w:val="21"/>
                <w:highlight w:val="none"/>
              </w:rPr>
            </w:pPr>
          </w:p>
        </w:tc>
        <w:tc>
          <w:tcPr>
            <w:tcW w:w="1023" w:type="dxa"/>
            <w:vAlign w:val="top"/>
          </w:tcPr>
          <w:p w14:paraId="5604BE1E">
            <w:pPr>
              <w:rPr>
                <w:rFonts w:ascii="Arial"/>
                <w:color w:val="auto"/>
                <w:sz w:val="21"/>
                <w:highlight w:val="none"/>
              </w:rPr>
            </w:pPr>
          </w:p>
        </w:tc>
        <w:tc>
          <w:tcPr>
            <w:tcW w:w="1018" w:type="dxa"/>
            <w:vAlign w:val="top"/>
          </w:tcPr>
          <w:p w14:paraId="0C321678">
            <w:pPr>
              <w:rPr>
                <w:rFonts w:ascii="Arial"/>
                <w:color w:val="auto"/>
                <w:sz w:val="21"/>
                <w:highlight w:val="none"/>
              </w:rPr>
            </w:pPr>
          </w:p>
        </w:tc>
        <w:tc>
          <w:tcPr>
            <w:tcW w:w="1024" w:type="dxa"/>
            <w:vAlign w:val="top"/>
          </w:tcPr>
          <w:p w14:paraId="46395E61">
            <w:pPr>
              <w:rPr>
                <w:rFonts w:ascii="Arial"/>
                <w:color w:val="auto"/>
                <w:sz w:val="21"/>
                <w:highlight w:val="none"/>
              </w:rPr>
            </w:pPr>
          </w:p>
        </w:tc>
        <w:tc>
          <w:tcPr>
            <w:tcW w:w="445" w:type="dxa"/>
            <w:vAlign w:val="top"/>
          </w:tcPr>
          <w:p w14:paraId="0F97E28E">
            <w:pPr>
              <w:rPr>
                <w:rFonts w:ascii="Arial"/>
                <w:color w:val="auto"/>
                <w:sz w:val="21"/>
                <w:highlight w:val="none"/>
              </w:rPr>
            </w:pPr>
          </w:p>
        </w:tc>
        <w:tc>
          <w:tcPr>
            <w:tcW w:w="678" w:type="dxa"/>
            <w:vAlign w:val="top"/>
          </w:tcPr>
          <w:p w14:paraId="539FA522">
            <w:pPr>
              <w:rPr>
                <w:rFonts w:ascii="Arial"/>
                <w:color w:val="auto"/>
                <w:sz w:val="21"/>
                <w:highlight w:val="none"/>
              </w:rPr>
            </w:pPr>
          </w:p>
        </w:tc>
        <w:tc>
          <w:tcPr>
            <w:tcW w:w="1155" w:type="dxa"/>
            <w:vAlign w:val="top"/>
          </w:tcPr>
          <w:p w14:paraId="5E21BCC1">
            <w:pPr>
              <w:rPr>
                <w:rFonts w:ascii="Arial"/>
                <w:color w:val="auto"/>
                <w:sz w:val="21"/>
                <w:highlight w:val="none"/>
              </w:rPr>
            </w:pPr>
          </w:p>
        </w:tc>
      </w:tr>
    </w:tbl>
    <w:p w14:paraId="530B9ADE">
      <w:pPr>
        <w:spacing w:line="272" w:lineRule="auto"/>
        <w:rPr>
          <w:rFonts w:ascii="Arial"/>
          <w:color w:val="auto"/>
          <w:sz w:val="21"/>
          <w:highlight w:val="none"/>
        </w:rPr>
      </w:pPr>
    </w:p>
    <w:p w14:paraId="61866490">
      <w:pPr>
        <w:spacing w:line="273" w:lineRule="auto"/>
        <w:rPr>
          <w:rFonts w:ascii="Arial"/>
          <w:color w:val="auto"/>
          <w:sz w:val="21"/>
          <w:highlight w:val="none"/>
        </w:rPr>
      </w:pPr>
    </w:p>
    <w:p w14:paraId="06338BD6">
      <w:pPr>
        <w:spacing w:line="273" w:lineRule="auto"/>
        <w:rPr>
          <w:rFonts w:ascii="Arial"/>
          <w:color w:val="auto"/>
          <w:sz w:val="21"/>
          <w:highlight w:val="none"/>
        </w:rPr>
      </w:pPr>
    </w:p>
    <w:p w14:paraId="14B646FB">
      <w:pPr>
        <w:spacing w:line="273" w:lineRule="auto"/>
        <w:rPr>
          <w:rFonts w:ascii="Arial"/>
          <w:color w:val="auto"/>
          <w:sz w:val="21"/>
          <w:highlight w:val="none"/>
        </w:rPr>
      </w:pPr>
    </w:p>
    <w:p w14:paraId="24575ED7">
      <w:pPr>
        <w:spacing w:before="101" w:line="225" w:lineRule="auto"/>
        <w:ind w:left="58"/>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11.</w:t>
      </w:r>
      <w:r>
        <w:rPr>
          <w:rFonts w:ascii="Cambria" w:hAnsi="Cambria" w:eastAsia="Cambria" w:cs="Cambria"/>
          <w:b/>
          <w:bCs/>
          <w:color w:val="auto"/>
          <w:spacing w:val="23"/>
          <w:sz w:val="31"/>
          <w:szCs w:val="31"/>
          <w:highlight w:val="none"/>
        </w:rPr>
        <w:t xml:space="preserve">  </w:t>
      </w:r>
      <w:r>
        <w:rPr>
          <w:rFonts w:ascii="宋体" w:hAnsi="宋体" w:eastAsia="宋体" w:cs="宋体"/>
          <w:b/>
          <w:bCs/>
          <w:color w:val="auto"/>
          <w:spacing w:val="2"/>
          <w:sz w:val="31"/>
          <w:szCs w:val="31"/>
          <w:highlight w:val="none"/>
        </w:rPr>
        <w:t>开工和竣工（完工）</w:t>
      </w:r>
    </w:p>
    <w:p w14:paraId="52DF807E">
      <w:pPr>
        <w:spacing w:line="250" w:lineRule="auto"/>
        <w:rPr>
          <w:rFonts w:ascii="Arial"/>
          <w:color w:val="auto"/>
          <w:sz w:val="21"/>
          <w:highlight w:val="none"/>
        </w:rPr>
      </w:pPr>
    </w:p>
    <w:p w14:paraId="4AF40BC5">
      <w:pPr>
        <w:spacing w:line="250" w:lineRule="auto"/>
        <w:rPr>
          <w:rFonts w:ascii="Arial"/>
          <w:color w:val="auto"/>
          <w:sz w:val="21"/>
          <w:highlight w:val="none"/>
        </w:rPr>
      </w:pPr>
    </w:p>
    <w:p w14:paraId="147ADF66">
      <w:pPr>
        <w:spacing w:before="91" w:line="221" w:lineRule="auto"/>
        <w:ind w:left="65"/>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11.1</w:t>
      </w:r>
      <w:r>
        <w:rPr>
          <w:rFonts w:ascii="宋体" w:hAnsi="宋体" w:eastAsia="宋体" w:cs="宋体"/>
          <w:color w:val="auto"/>
          <w:spacing w:val="18"/>
          <w:sz w:val="28"/>
          <w:szCs w:val="28"/>
          <w:highlight w:val="none"/>
        </w:rPr>
        <w:t xml:space="preserve"> </w:t>
      </w:r>
      <w:r>
        <w:rPr>
          <w:rFonts w:ascii="宋体" w:hAnsi="宋体" w:eastAsia="宋体" w:cs="宋体"/>
          <w:b/>
          <w:bCs/>
          <w:color w:val="auto"/>
          <w:spacing w:val="-9"/>
          <w:sz w:val="28"/>
          <w:szCs w:val="28"/>
          <w:highlight w:val="none"/>
        </w:rPr>
        <w:t>开工</w:t>
      </w:r>
    </w:p>
    <w:p w14:paraId="7C27FD5B">
      <w:pPr>
        <w:spacing w:line="295" w:lineRule="auto"/>
        <w:rPr>
          <w:rFonts w:ascii="Arial"/>
          <w:color w:val="auto"/>
          <w:sz w:val="21"/>
          <w:highlight w:val="none"/>
        </w:rPr>
      </w:pPr>
    </w:p>
    <w:p w14:paraId="1516C781">
      <w:pPr>
        <w:spacing w:before="61" w:line="332" w:lineRule="auto"/>
        <w:ind w:left="42" w:right="36" w:firstLine="43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11.1.1</w:t>
      </w:r>
      <w:r>
        <w:rPr>
          <w:rFonts w:ascii="宋体" w:hAnsi="宋体" w:eastAsia="宋体" w:cs="宋体"/>
          <w:color w:val="auto"/>
          <w:spacing w:val="-27"/>
          <w:sz w:val="19"/>
          <w:szCs w:val="19"/>
          <w:highlight w:val="none"/>
        </w:rPr>
        <w:t xml:space="preserve"> </w:t>
      </w:r>
      <w:r>
        <w:rPr>
          <w:rFonts w:ascii="宋体" w:hAnsi="宋体" w:eastAsia="宋体" w:cs="宋体"/>
          <w:color w:val="auto"/>
          <w:spacing w:val="8"/>
          <w:sz w:val="19"/>
          <w:szCs w:val="19"/>
          <w:highlight w:val="none"/>
        </w:rPr>
        <w:t>监理人应在开工日期</w:t>
      </w:r>
      <w:r>
        <w:rPr>
          <w:rFonts w:ascii="宋体" w:hAnsi="宋体" w:eastAsia="宋体" w:cs="宋体"/>
          <w:color w:val="auto"/>
          <w:spacing w:val="-24"/>
          <w:sz w:val="19"/>
          <w:szCs w:val="19"/>
          <w:highlight w:val="none"/>
        </w:rPr>
        <w:t xml:space="preserve"> </w:t>
      </w:r>
      <w:r>
        <w:rPr>
          <w:rFonts w:ascii="宋体" w:hAnsi="宋体" w:eastAsia="宋体" w:cs="宋体"/>
          <w:color w:val="auto"/>
          <w:spacing w:val="8"/>
          <w:sz w:val="19"/>
          <w:szCs w:val="19"/>
          <w:highlight w:val="none"/>
        </w:rPr>
        <w:t>7</w:t>
      </w:r>
      <w:r>
        <w:rPr>
          <w:rFonts w:ascii="宋体" w:hAnsi="宋体" w:eastAsia="宋体" w:cs="宋体"/>
          <w:color w:val="auto"/>
          <w:spacing w:val="-24"/>
          <w:sz w:val="19"/>
          <w:szCs w:val="19"/>
          <w:highlight w:val="none"/>
        </w:rPr>
        <w:t xml:space="preserve"> </w:t>
      </w:r>
      <w:r>
        <w:rPr>
          <w:rFonts w:ascii="宋体" w:hAnsi="宋体" w:eastAsia="宋体" w:cs="宋体"/>
          <w:color w:val="auto"/>
          <w:spacing w:val="8"/>
          <w:sz w:val="19"/>
          <w:szCs w:val="19"/>
          <w:highlight w:val="none"/>
        </w:rPr>
        <w:t>天前向承包人发出开工通知</w:t>
      </w:r>
      <w:r>
        <w:rPr>
          <w:rFonts w:ascii="宋体" w:hAnsi="宋体" w:eastAsia="宋体" w:cs="宋体"/>
          <w:color w:val="auto"/>
          <w:spacing w:val="7"/>
          <w:sz w:val="19"/>
          <w:szCs w:val="19"/>
          <w:highlight w:val="none"/>
        </w:rPr>
        <w:t>。监理人在发出开工通知前应获</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得发包人同意。工期自监理人发出的开工通知</w:t>
      </w:r>
      <w:r>
        <w:rPr>
          <w:rFonts w:ascii="宋体" w:hAnsi="宋体" w:eastAsia="宋体" w:cs="宋体"/>
          <w:color w:val="auto"/>
          <w:spacing w:val="9"/>
          <w:sz w:val="19"/>
          <w:szCs w:val="19"/>
          <w:highlight w:val="none"/>
        </w:rPr>
        <w:t>中载明的开工日期起计算。承包人应 在开工日期</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后尽快施工。</w:t>
      </w:r>
    </w:p>
    <w:p w14:paraId="79583E97">
      <w:pPr>
        <w:spacing w:before="27" w:line="332" w:lineRule="auto"/>
        <w:ind w:left="40" w:right="34" w:firstLine="435"/>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11. 1. 2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承包人应按第</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10.</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款约定的合</w:t>
      </w:r>
      <w:r>
        <w:rPr>
          <w:rFonts w:ascii="宋体" w:hAnsi="宋体" w:eastAsia="宋体" w:cs="宋体"/>
          <w:color w:val="auto"/>
          <w:spacing w:val="6"/>
          <w:sz w:val="19"/>
          <w:szCs w:val="19"/>
          <w:highlight w:val="none"/>
        </w:rPr>
        <w:t>同进度计划，向监理人提交工程开工报审表, 经</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监理人审批后执行。开工报审表应详细说明按合同进度计划正常施工所需的施工道</w:t>
      </w:r>
      <w:r>
        <w:rPr>
          <w:rFonts w:ascii="宋体" w:hAnsi="宋体" w:eastAsia="宋体" w:cs="宋体"/>
          <w:color w:val="auto"/>
          <w:spacing w:val="11"/>
          <w:sz w:val="19"/>
          <w:szCs w:val="19"/>
          <w:highlight w:val="none"/>
        </w:rPr>
        <w:t>路、临时设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施、材料设备、施工人员等施工组织措施的落实情况以及工</w:t>
      </w:r>
      <w:r>
        <w:rPr>
          <w:rFonts w:ascii="宋体" w:hAnsi="宋体" w:eastAsia="宋体" w:cs="宋体"/>
          <w:color w:val="auto"/>
          <w:spacing w:val="8"/>
          <w:sz w:val="19"/>
          <w:szCs w:val="19"/>
          <w:highlight w:val="none"/>
        </w:rPr>
        <w:t>程的进度安排。</w:t>
      </w:r>
    </w:p>
    <w:p w14:paraId="2B08C209">
      <w:pPr>
        <w:spacing w:before="29" w:line="331" w:lineRule="auto"/>
        <w:ind w:left="43" w:right="36" w:firstLine="432"/>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 xml:space="preserve">11.1.3 若发包人未能按合同约定向承包人提供开工的必要条件，承包人有权要求延 长工 </w:t>
      </w:r>
      <w:r>
        <w:rPr>
          <w:rFonts w:ascii="宋体" w:hAnsi="宋体" w:eastAsia="宋体" w:cs="宋体"/>
          <w:color w:val="auto"/>
          <w:spacing w:val="8"/>
          <w:sz w:val="19"/>
          <w:szCs w:val="19"/>
          <w:highlight w:val="none"/>
        </w:rPr>
        <w:t>期。监理人应在收到承包人的书面要求后，</w:t>
      </w:r>
      <w:r>
        <w:rPr>
          <w:rFonts w:ascii="宋体" w:hAnsi="宋体" w:eastAsia="宋体" w:cs="宋体"/>
          <w:color w:val="auto"/>
          <w:spacing w:val="-53"/>
          <w:sz w:val="19"/>
          <w:szCs w:val="19"/>
          <w:highlight w:val="none"/>
        </w:rPr>
        <w:t xml:space="preserve"> </w:t>
      </w:r>
      <w:r>
        <w:rPr>
          <w:rFonts w:ascii="宋体" w:hAnsi="宋体" w:eastAsia="宋体" w:cs="宋体"/>
          <w:color w:val="auto"/>
          <w:spacing w:val="8"/>
          <w:sz w:val="19"/>
          <w:szCs w:val="19"/>
          <w:highlight w:val="none"/>
        </w:rPr>
        <w:t>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3.</w:t>
      </w:r>
      <w:r>
        <w:rPr>
          <w:rFonts w:ascii="宋体" w:hAnsi="宋体" w:eastAsia="宋体" w:cs="宋体"/>
          <w:color w:val="auto"/>
          <w:spacing w:val="7"/>
          <w:sz w:val="19"/>
          <w:szCs w:val="19"/>
          <w:highlight w:val="none"/>
        </w:rPr>
        <w:t xml:space="preserve">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款的约定，与合同双方商定或确定增加的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费用和延长的工期。</w:t>
      </w:r>
    </w:p>
    <w:p w14:paraId="2D241468">
      <w:pPr>
        <w:spacing w:before="32" w:line="331" w:lineRule="auto"/>
        <w:ind w:left="41" w:right="38" w:firstLine="434"/>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11. 1.4</w:t>
      </w:r>
      <w:r>
        <w:rPr>
          <w:rFonts w:ascii="宋体" w:hAnsi="宋体" w:eastAsia="宋体" w:cs="宋体"/>
          <w:color w:val="auto"/>
          <w:spacing w:val="-16"/>
          <w:sz w:val="19"/>
          <w:szCs w:val="19"/>
          <w:highlight w:val="none"/>
        </w:rPr>
        <w:t xml:space="preserve"> </w:t>
      </w:r>
      <w:r>
        <w:rPr>
          <w:rFonts w:ascii="宋体" w:hAnsi="宋体" w:eastAsia="宋体" w:cs="宋体"/>
          <w:color w:val="auto"/>
          <w:spacing w:val="7"/>
          <w:sz w:val="19"/>
          <w:szCs w:val="19"/>
          <w:highlight w:val="none"/>
        </w:rPr>
        <w:t>承包人在接到开工通知后</w:t>
      </w:r>
      <w:r>
        <w:rPr>
          <w:rFonts w:ascii="宋体" w:hAnsi="宋体" w:eastAsia="宋体" w:cs="宋体"/>
          <w:color w:val="auto"/>
          <w:spacing w:val="-1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25"/>
          <w:sz w:val="19"/>
          <w:szCs w:val="19"/>
          <w:highlight w:val="none"/>
        </w:rPr>
        <w:t xml:space="preserve"> </w:t>
      </w:r>
      <w:r>
        <w:rPr>
          <w:rFonts w:ascii="宋体" w:hAnsi="宋体" w:eastAsia="宋体" w:cs="宋体"/>
          <w:color w:val="auto"/>
          <w:spacing w:val="7"/>
          <w:sz w:val="19"/>
          <w:szCs w:val="19"/>
          <w:highlight w:val="none"/>
        </w:rPr>
        <w:t>天内未按进度计划要求及时进场组织施工，监理人可</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通知承包人在接到通知后 7 天内提交一份说明其进场延误的书面报告，报送监理人。书面报告 应说明不能及时进场的原因和补救措施，由此增加的费用和工期延误责任</w:t>
      </w:r>
      <w:r>
        <w:rPr>
          <w:rFonts w:ascii="宋体" w:hAnsi="宋体" w:eastAsia="宋体" w:cs="宋体"/>
          <w:color w:val="auto"/>
          <w:spacing w:val="8"/>
          <w:sz w:val="19"/>
          <w:szCs w:val="19"/>
          <w:highlight w:val="none"/>
        </w:rPr>
        <w:t>由承包人承担。</w:t>
      </w:r>
    </w:p>
    <w:p w14:paraId="48321539">
      <w:pPr>
        <w:spacing w:before="102" w:line="220" w:lineRule="auto"/>
        <w:ind w:left="65"/>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11.2</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竣工(完工)</w:t>
      </w:r>
    </w:p>
    <w:p w14:paraId="3F7F6BBF">
      <w:pPr>
        <w:spacing w:line="307" w:lineRule="auto"/>
        <w:rPr>
          <w:rFonts w:ascii="Arial"/>
          <w:color w:val="auto"/>
          <w:sz w:val="21"/>
          <w:highlight w:val="none"/>
        </w:rPr>
      </w:pPr>
    </w:p>
    <w:p w14:paraId="1FC104DD">
      <w:pPr>
        <w:spacing w:before="62" w:line="346" w:lineRule="auto"/>
        <w:ind w:left="40" w:right="39" w:firstLine="439"/>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承包人应在第 1.1. 4. 3 目约定的期</w:t>
      </w:r>
      <w:r>
        <w:rPr>
          <w:rFonts w:ascii="宋体" w:hAnsi="宋体" w:eastAsia="宋体" w:cs="宋体"/>
          <w:color w:val="auto"/>
          <w:spacing w:val="7"/>
          <w:sz w:val="19"/>
          <w:szCs w:val="19"/>
          <w:highlight w:val="none"/>
        </w:rPr>
        <w:t>限内完成合同工程。合同工程实际完工时间在合同工</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程完工证书中明确（以完工验收鉴定书或竣工验收鉴定书标明的验收日期为准，没有标明</w:t>
      </w:r>
      <w:r>
        <w:rPr>
          <w:rFonts w:ascii="宋体" w:hAnsi="宋体" w:eastAsia="宋体" w:cs="宋体"/>
          <w:color w:val="auto"/>
          <w:spacing w:val="11"/>
          <w:sz w:val="19"/>
          <w:szCs w:val="19"/>
          <w:highlight w:val="none"/>
        </w:rPr>
        <w:t>验收</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日期的则以印发鉴定书的日期为准）。</w:t>
      </w:r>
    </w:p>
    <w:p w14:paraId="670CA12A">
      <w:pPr>
        <w:spacing w:before="89" w:line="221" w:lineRule="auto"/>
        <w:ind w:left="65"/>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11.3</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发包人的工期延误</w:t>
      </w:r>
    </w:p>
    <w:p w14:paraId="5A19C592">
      <w:pPr>
        <w:spacing w:line="303" w:lineRule="auto"/>
        <w:rPr>
          <w:rFonts w:ascii="Arial"/>
          <w:color w:val="auto"/>
          <w:sz w:val="21"/>
          <w:highlight w:val="none"/>
        </w:rPr>
      </w:pPr>
    </w:p>
    <w:p w14:paraId="32988AA2">
      <w:pPr>
        <w:spacing w:before="62" w:line="228" w:lineRule="auto"/>
        <w:ind w:left="479"/>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在履行合同过程中，</w:t>
      </w:r>
      <w:r>
        <w:rPr>
          <w:rFonts w:ascii="宋体" w:hAnsi="宋体" w:eastAsia="宋体" w:cs="宋体"/>
          <w:color w:val="auto"/>
          <w:spacing w:val="-50"/>
          <w:sz w:val="19"/>
          <w:szCs w:val="19"/>
          <w:highlight w:val="none"/>
        </w:rPr>
        <w:t xml:space="preserve"> </w:t>
      </w:r>
      <w:r>
        <w:rPr>
          <w:rFonts w:ascii="宋体" w:hAnsi="宋体" w:eastAsia="宋体" w:cs="宋体"/>
          <w:color w:val="auto"/>
          <w:spacing w:val="10"/>
          <w:sz w:val="19"/>
          <w:szCs w:val="19"/>
          <w:highlight w:val="none"/>
        </w:rPr>
        <w:t>由于发包人的下列原因造成工期延误的，承包人有权要</w:t>
      </w:r>
      <w:r>
        <w:rPr>
          <w:rFonts w:ascii="宋体" w:hAnsi="宋体" w:eastAsia="宋体" w:cs="宋体"/>
          <w:color w:val="auto"/>
          <w:spacing w:val="9"/>
          <w:sz w:val="19"/>
          <w:szCs w:val="19"/>
          <w:highlight w:val="none"/>
        </w:rPr>
        <w:t>求发包人延长</w:t>
      </w:r>
    </w:p>
    <w:p w14:paraId="64D8A0DD">
      <w:pPr>
        <w:spacing w:line="228" w:lineRule="auto"/>
        <w:rPr>
          <w:rFonts w:ascii="宋体" w:hAnsi="宋体" w:eastAsia="宋体" w:cs="宋体"/>
          <w:color w:val="auto"/>
          <w:sz w:val="19"/>
          <w:szCs w:val="19"/>
          <w:highlight w:val="none"/>
        </w:rPr>
        <w:sectPr>
          <w:footerReference r:id="rId88" w:type="default"/>
          <w:pgSz w:w="11900" w:h="16832"/>
          <w:pgMar w:top="1430" w:right="1766" w:bottom="1188" w:left="1769" w:header="0" w:footer="980" w:gutter="0"/>
          <w:pgNumType w:fmt="decimal"/>
          <w:cols w:space="720" w:num="1"/>
        </w:sectPr>
      </w:pPr>
    </w:p>
    <w:p w14:paraId="1EE51FFF">
      <w:pPr>
        <w:spacing w:before="126" w:line="340" w:lineRule="auto"/>
        <w:ind w:left="28" w:right="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工期和(或)增加费用，</w:t>
      </w:r>
      <w:r>
        <w:rPr>
          <w:rFonts w:ascii="宋体" w:hAnsi="宋体" w:eastAsia="宋体" w:cs="宋体"/>
          <w:color w:val="auto"/>
          <w:spacing w:val="-50"/>
          <w:sz w:val="19"/>
          <w:szCs w:val="19"/>
          <w:highlight w:val="none"/>
        </w:rPr>
        <w:t xml:space="preserve"> </w:t>
      </w:r>
      <w:r>
        <w:rPr>
          <w:rFonts w:ascii="宋体" w:hAnsi="宋体" w:eastAsia="宋体" w:cs="宋体"/>
          <w:color w:val="auto"/>
          <w:spacing w:val="8"/>
          <w:sz w:val="19"/>
          <w:szCs w:val="19"/>
          <w:highlight w:val="none"/>
        </w:rPr>
        <w:t>并支付合理利润。需要修订合同进度计划的</w:t>
      </w:r>
      <w:r>
        <w:rPr>
          <w:rFonts w:ascii="宋体" w:hAnsi="宋体" w:eastAsia="宋体" w:cs="宋体"/>
          <w:color w:val="auto"/>
          <w:spacing w:val="7"/>
          <w:sz w:val="19"/>
          <w:szCs w:val="19"/>
          <w:highlight w:val="none"/>
        </w:rPr>
        <w:t>，按照第 10. 2 款的约定办</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理。</w:t>
      </w:r>
    </w:p>
    <w:p w14:paraId="05021590">
      <w:pPr>
        <w:spacing w:before="7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(1)              </w:t>
      </w:r>
      <w:r>
        <w:rPr>
          <w:rFonts w:ascii="宋体" w:hAnsi="宋体" w:eastAsia="宋体" w:cs="宋体"/>
          <w:color w:val="auto"/>
          <w:spacing w:val="3"/>
          <w:sz w:val="19"/>
          <w:szCs w:val="19"/>
          <w:highlight w:val="none"/>
        </w:rPr>
        <w:t>增加合同工作内容；</w:t>
      </w:r>
    </w:p>
    <w:p w14:paraId="51C80104">
      <w:pPr>
        <w:spacing w:before="17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改变合同中任何一项工作的质量要求或其他</w:t>
      </w:r>
      <w:r>
        <w:rPr>
          <w:rFonts w:ascii="宋体" w:hAnsi="宋体" w:eastAsia="宋体" w:cs="宋体"/>
          <w:color w:val="auto"/>
          <w:spacing w:val="5"/>
          <w:sz w:val="19"/>
          <w:szCs w:val="19"/>
          <w:highlight w:val="none"/>
        </w:rPr>
        <w:t>特性；</w:t>
      </w:r>
    </w:p>
    <w:p w14:paraId="064E1776">
      <w:pPr>
        <w:spacing w:before="17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发包人迟延提供材料、工程设备或变更交货</w:t>
      </w:r>
      <w:r>
        <w:rPr>
          <w:rFonts w:ascii="宋体" w:hAnsi="宋体" w:eastAsia="宋体" w:cs="宋体"/>
          <w:color w:val="auto"/>
          <w:spacing w:val="6"/>
          <w:sz w:val="19"/>
          <w:szCs w:val="19"/>
          <w:highlight w:val="none"/>
        </w:rPr>
        <w:t>地点的；</w:t>
      </w:r>
    </w:p>
    <w:p w14:paraId="0B77C807">
      <w:pPr>
        <w:spacing w:before="18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(4)              </w:t>
      </w:r>
      <w:r>
        <w:rPr>
          <w:rFonts w:ascii="宋体" w:hAnsi="宋体" w:eastAsia="宋体" w:cs="宋体"/>
          <w:color w:val="auto"/>
          <w:spacing w:val="3"/>
          <w:sz w:val="19"/>
          <w:szCs w:val="19"/>
          <w:highlight w:val="none"/>
        </w:rPr>
        <w:t>因发包人原因导致的暂停施工；</w:t>
      </w:r>
    </w:p>
    <w:p w14:paraId="034B8336">
      <w:pPr>
        <w:spacing w:before="17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 xml:space="preserve">(5)              </w:t>
      </w:r>
      <w:r>
        <w:rPr>
          <w:rFonts w:ascii="宋体" w:hAnsi="宋体" w:eastAsia="宋体" w:cs="宋体"/>
          <w:color w:val="auto"/>
          <w:spacing w:val="1"/>
          <w:sz w:val="19"/>
          <w:szCs w:val="19"/>
          <w:highlight w:val="none"/>
        </w:rPr>
        <w:t>提供图纸延误；</w:t>
      </w:r>
    </w:p>
    <w:p w14:paraId="5E2432C9">
      <w:pPr>
        <w:spacing w:before="17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(6)</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未按合同约定及时支付预付款、进度款；</w:t>
      </w:r>
    </w:p>
    <w:p w14:paraId="58AF091E">
      <w:pPr>
        <w:spacing w:before="18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(7)</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5"/>
          <w:sz w:val="19"/>
          <w:szCs w:val="19"/>
          <w:highlight w:val="none"/>
        </w:rPr>
        <w:t>发包人造成工期延误的其他原因。</w:t>
      </w:r>
    </w:p>
    <w:p w14:paraId="287752E6">
      <w:pPr>
        <w:spacing w:before="191"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11.4</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异常恶劣的气候条件</w:t>
      </w:r>
    </w:p>
    <w:p w14:paraId="1346CA3C">
      <w:pPr>
        <w:spacing w:line="311" w:lineRule="auto"/>
        <w:rPr>
          <w:rFonts w:ascii="Arial"/>
          <w:color w:val="auto"/>
          <w:sz w:val="21"/>
          <w:highlight w:val="none"/>
        </w:rPr>
      </w:pPr>
    </w:p>
    <w:p w14:paraId="335CA557">
      <w:pPr>
        <w:spacing w:before="62" w:line="348" w:lineRule="auto"/>
        <w:ind w:left="25"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11.4.1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当工程所在地发生危及施工安全的异常恶劣气候时，发包人和承包人应按本合同通</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用合同条款第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12</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条的约定，及时采取暂停施工或部分暂停施工措施。异常恶劣气候条件解除后，</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承包人应及时安排复工。</w:t>
      </w:r>
    </w:p>
    <w:p w14:paraId="09186C1B">
      <w:pPr>
        <w:spacing w:before="22" w:line="335" w:lineRule="auto"/>
        <w:ind w:left="27" w:right="51"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11.4.2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异常恶劣气候条件造成的工期延误和工程损坏，应由发包人与承包人参照本合同通</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用合同条款第</w:t>
      </w:r>
      <w:r>
        <w:rPr>
          <w:rFonts w:ascii="宋体" w:hAnsi="宋体" w:eastAsia="宋体" w:cs="宋体"/>
          <w:color w:val="auto"/>
          <w:spacing w:val="-16"/>
          <w:sz w:val="19"/>
          <w:szCs w:val="19"/>
          <w:highlight w:val="none"/>
        </w:rPr>
        <w:t xml:space="preserve"> </w:t>
      </w:r>
      <w:r>
        <w:rPr>
          <w:rFonts w:ascii="宋体" w:hAnsi="宋体" w:eastAsia="宋体" w:cs="宋体"/>
          <w:color w:val="auto"/>
          <w:spacing w:val="6"/>
          <w:sz w:val="19"/>
          <w:szCs w:val="19"/>
          <w:highlight w:val="none"/>
        </w:rPr>
        <w:t>21. 3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款的约定共同协商处理。</w:t>
      </w:r>
    </w:p>
    <w:p w14:paraId="6D0DD03C">
      <w:pPr>
        <w:spacing w:before="81"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11.4. 3</w:t>
      </w:r>
      <w:r>
        <w:rPr>
          <w:rFonts w:ascii="宋体" w:hAnsi="宋体" w:eastAsia="宋体" w:cs="宋体"/>
          <w:color w:val="auto"/>
          <w:spacing w:val="-27"/>
          <w:sz w:val="19"/>
          <w:szCs w:val="19"/>
          <w:highlight w:val="none"/>
        </w:rPr>
        <w:t xml:space="preserve"> </w:t>
      </w:r>
      <w:r>
        <w:rPr>
          <w:rFonts w:ascii="宋体" w:hAnsi="宋体" w:eastAsia="宋体" w:cs="宋体"/>
          <w:color w:val="auto"/>
          <w:spacing w:val="7"/>
          <w:sz w:val="19"/>
          <w:szCs w:val="19"/>
          <w:highlight w:val="none"/>
        </w:rPr>
        <w:t>本合同工程界定异常恶劣气候条件的范围在专用合同条款中约定。</w:t>
      </w:r>
    </w:p>
    <w:p w14:paraId="72CB633E">
      <w:pPr>
        <w:spacing w:before="186"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11.5</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承包人工期延误</w:t>
      </w:r>
    </w:p>
    <w:p w14:paraId="1B3D3165">
      <w:pPr>
        <w:spacing w:line="303" w:lineRule="auto"/>
        <w:rPr>
          <w:rFonts w:ascii="Arial"/>
          <w:color w:val="auto"/>
          <w:sz w:val="21"/>
          <w:highlight w:val="none"/>
        </w:rPr>
      </w:pPr>
    </w:p>
    <w:p w14:paraId="1B813FC5">
      <w:pPr>
        <w:spacing w:before="62" w:line="341" w:lineRule="auto"/>
        <w:ind w:left="26" w:right="49" w:firstLine="462"/>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由于承包人原因，未能按合同进度计划完成</w:t>
      </w:r>
      <w:r>
        <w:rPr>
          <w:rFonts w:ascii="宋体" w:hAnsi="宋体" w:eastAsia="宋体" w:cs="宋体"/>
          <w:color w:val="auto"/>
          <w:spacing w:val="10"/>
          <w:sz w:val="19"/>
          <w:szCs w:val="19"/>
          <w:highlight w:val="none"/>
        </w:rPr>
        <w:t>工作，或监理人认为承包人施工进度不能满足</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合同工期要求的，承包人应采取措施加快进度，并承担加快进度所增加的费用。</w:t>
      </w:r>
      <w:r>
        <w:rPr>
          <w:rFonts w:ascii="宋体" w:hAnsi="宋体" w:eastAsia="宋体" w:cs="宋体"/>
          <w:color w:val="auto"/>
          <w:spacing w:val="11"/>
          <w:sz w:val="19"/>
          <w:szCs w:val="19"/>
          <w:highlight w:val="none"/>
        </w:rPr>
        <w:t>由于承包人原</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因造成工期延误，承包人应支付逾期竣工违约金。逾期竣工违约金的计算方法在专用合</w:t>
      </w:r>
      <w:r>
        <w:rPr>
          <w:rFonts w:ascii="宋体" w:hAnsi="宋体" w:eastAsia="宋体" w:cs="宋体"/>
          <w:color w:val="auto"/>
          <w:spacing w:val="11"/>
          <w:sz w:val="19"/>
          <w:szCs w:val="19"/>
          <w:highlight w:val="none"/>
        </w:rPr>
        <w:t>同条款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中约定。承包人支付逾期竣工违约金，不免除承包人完成工程及修补</w:t>
      </w:r>
      <w:r>
        <w:rPr>
          <w:rFonts w:ascii="宋体" w:hAnsi="宋体" w:eastAsia="宋体" w:cs="宋体"/>
          <w:color w:val="auto"/>
          <w:spacing w:val="8"/>
          <w:sz w:val="19"/>
          <w:szCs w:val="19"/>
          <w:highlight w:val="none"/>
        </w:rPr>
        <w:t>缺陷的义务。</w:t>
      </w:r>
    </w:p>
    <w:p w14:paraId="0F10765E">
      <w:pPr>
        <w:spacing w:before="96" w:line="221"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11.6</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工期提前</w:t>
      </w:r>
    </w:p>
    <w:p w14:paraId="4722D3C5">
      <w:pPr>
        <w:spacing w:line="303" w:lineRule="auto"/>
        <w:rPr>
          <w:rFonts w:ascii="Arial"/>
          <w:color w:val="auto"/>
          <w:sz w:val="21"/>
          <w:highlight w:val="none"/>
        </w:rPr>
      </w:pPr>
    </w:p>
    <w:p w14:paraId="52117E25">
      <w:pPr>
        <w:spacing w:before="61" w:line="339" w:lineRule="auto"/>
        <w:ind w:left="27" w:right="50" w:firstLine="440"/>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发包人要求承包人提前完工，或承包人提出提前完工的建议能够给发包人带来效益的， 应</w:t>
      </w:r>
      <w:r>
        <w:rPr>
          <w:rFonts w:ascii="宋体" w:hAnsi="宋体" w:eastAsia="宋体" w:cs="宋体"/>
          <w:color w:val="auto"/>
          <w:spacing w:val="15"/>
          <w:sz w:val="19"/>
          <w:szCs w:val="19"/>
          <w:highlight w:val="none"/>
        </w:rPr>
        <w:t xml:space="preserve"> </w:t>
      </w:r>
      <w:r>
        <w:rPr>
          <w:rFonts w:ascii="宋体" w:hAnsi="宋体" w:eastAsia="宋体" w:cs="宋体"/>
          <w:color w:val="auto"/>
          <w:spacing w:val="12"/>
          <w:sz w:val="19"/>
          <w:szCs w:val="19"/>
          <w:highlight w:val="none"/>
        </w:rPr>
        <w:t>由监理人与承包人共同协商采取加快工程进度的措施和修订合同进度计划。发</w:t>
      </w:r>
      <w:r>
        <w:rPr>
          <w:rFonts w:ascii="宋体" w:hAnsi="宋体" w:eastAsia="宋体" w:cs="宋体"/>
          <w:color w:val="auto"/>
          <w:spacing w:val="11"/>
          <w:sz w:val="19"/>
          <w:szCs w:val="19"/>
          <w:highlight w:val="none"/>
        </w:rPr>
        <w:t>包人应承担承包</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人由此增加的费用，并向承包人支付专用合同条款约定的相应奖金。</w:t>
      </w:r>
    </w:p>
    <w:p w14:paraId="47E6CB8A">
      <w:pPr>
        <w:spacing w:before="30"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发包人要求提前完工的，双方协商一致后应签订提前完工协议，</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协议内容包括：</w:t>
      </w:r>
    </w:p>
    <w:p w14:paraId="5FC4B069">
      <w:pPr>
        <w:spacing w:before="18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(1)</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6"/>
          <w:sz w:val="19"/>
          <w:szCs w:val="19"/>
          <w:highlight w:val="none"/>
        </w:rPr>
        <w:t>提前的时间和修订后的进度计划。</w:t>
      </w:r>
    </w:p>
    <w:p w14:paraId="782E3D4B">
      <w:pPr>
        <w:spacing w:before="17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4"/>
          <w:sz w:val="19"/>
          <w:szCs w:val="19"/>
          <w:highlight w:val="none"/>
        </w:rPr>
        <w:t>承包人的赶工措施。</w:t>
      </w:r>
    </w:p>
    <w:p w14:paraId="4984ED4D">
      <w:pPr>
        <w:spacing w:before="26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(3)              </w:t>
      </w:r>
      <w:r>
        <w:rPr>
          <w:rFonts w:ascii="宋体" w:hAnsi="宋体" w:eastAsia="宋体" w:cs="宋体"/>
          <w:color w:val="auto"/>
          <w:spacing w:val="4"/>
          <w:sz w:val="19"/>
          <w:szCs w:val="19"/>
          <w:highlight w:val="none"/>
        </w:rPr>
        <w:t>发包人为赶工提供的条件。</w:t>
      </w:r>
    </w:p>
    <w:p w14:paraId="4E37DAE7">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赶工费用(包括利</w:t>
      </w:r>
      <w:r>
        <w:rPr>
          <w:rFonts w:ascii="宋体" w:hAnsi="宋体" w:eastAsia="宋体" w:cs="宋体"/>
          <w:color w:val="auto"/>
          <w:spacing w:val="4"/>
          <w:sz w:val="19"/>
          <w:szCs w:val="19"/>
          <w:highlight w:val="none"/>
        </w:rPr>
        <w:t>润和奖金)</w:t>
      </w:r>
    </w:p>
    <w:p w14:paraId="00C9610F">
      <w:pPr>
        <w:spacing w:line="222" w:lineRule="auto"/>
        <w:rPr>
          <w:rFonts w:ascii="宋体" w:hAnsi="宋体" w:eastAsia="宋体" w:cs="宋体"/>
          <w:color w:val="auto"/>
          <w:sz w:val="19"/>
          <w:szCs w:val="19"/>
          <w:highlight w:val="none"/>
        </w:rPr>
        <w:sectPr>
          <w:footerReference r:id="rId89" w:type="default"/>
          <w:pgSz w:w="11900" w:h="16832"/>
          <w:pgMar w:top="1430" w:right="1754" w:bottom="1188" w:left="1784" w:header="0" w:footer="980" w:gutter="0"/>
          <w:pgNumType w:fmt="decimal"/>
          <w:cols w:space="720" w:num="1"/>
        </w:sectPr>
      </w:pPr>
    </w:p>
    <w:p w14:paraId="0CD46827">
      <w:pPr>
        <w:spacing w:before="63"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12.</w:t>
      </w:r>
      <w:r>
        <w:rPr>
          <w:rFonts w:ascii="宋体" w:hAnsi="宋体" w:eastAsia="宋体" w:cs="宋体"/>
          <w:b/>
          <w:bCs/>
          <w:color w:val="auto"/>
          <w:spacing w:val="2"/>
          <w:sz w:val="31"/>
          <w:szCs w:val="31"/>
          <w:highlight w:val="none"/>
        </w:rPr>
        <w:t>暂停施工</w:t>
      </w:r>
    </w:p>
    <w:p w14:paraId="01FE36E6">
      <w:pPr>
        <w:spacing w:line="249" w:lineRule="auto"/>
        <w:rPr>
          <w:rFonts w:ascii="Arial"/>
          <w:color w:val="auto"/>
          <w:sz w:val="21"/>
          <w:highlight w:val="none"/>
        </w:rPr>
      </w:pPr>
    </w:p>
    <w:p w14:paraId="68AA7FF8">
      <w:pPr>
        <w:spacing w:line="249" w:lineRule="auto"/>
        <w:rPr>
          <w:rFonts w:ascii="Arial"/>
          <w:color w:val="auto"/>
          <w:sz w:val="21"/>
          <w:highlight w:val="none"/>
        </w:rPr>
      </w:pPr>
    </w:p>
    <w:p w14:paraId="7D80B65A">
      <w:pPr>
        <w:spacing w:before="91" w:line="220"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12.1</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5"/>
          <w:sz w:val="28"/>
          <w:szCs w:val="28"/>
          <w:highlight w:val="none"/>
        </w:rPr>
        <w:t>承包人暂停施工的责任</w:t>
      </w:r>
    </w:p>
    <w:p w14:paraId="40B364B2">
      <w:pPr>
        <w:spacing w:line="304" w:lineRule="auto"/>
        <w:rPr>
          <w:rFonts w:ascii="Arial"/>
          <w:color w:val="auto"/>
          <w:sz w:val="21"/>
          <w:highlight w:val="none"/>
        </w:rPr>
      </w:pPr>
    </w:p>
    <w:p w14:paraId="4B11D81C">
      <w:pPr>
        <w:spacing w:before="62" w:line="228" w:lineRule="auto"/>
        <w:ind w:left="48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因下列暂停施工增加的费用和(或)工期延误由承包人承担：</w:t>
      </w:r>
    </w:p>
    <w:p w14:paraId="04EA9B7C">
      <w:pPr>
        <w:spacing w:before="12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承包人违约引起的</w:t>
      </w:r>
      <w:r>
        <w:rPr>
          <w:rFonts w:ascii="宋体" w:hAnsi="宋体" w:eastAsia="宋体" w:cs="宋体"/>
          <w:color w:val="auto"/>
          <w:spacing w:val="4"/>
          <w:sz w:val="19"/>
          <w:szCs w:val="19"/>
          <w:highlight w:val="none"/>
        </w:rPr>
        <w:t>暂停施工；</w:t>
      </w:r>
    </w:p>
    <w:p w14:paraId="1A44CD7D">
      <w:pPr>
        <w:spacing w:before="133"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由于承包人原因为工程合理施</w:t>
      </w:r>
      <w:r>
        <w:rPr>
          <w:rFonts w:ascii="宋体" w:hAnsi="宋体" w:eastAsia="宋体" w:cs="宋体"/>
          <w:color w:val="auto"/>
          <w:spacing w:val="5"/>
          <w:sz w:val="19"/>
          <w:szCs w:val="19"/>
          <w:highlight w:val="none"/>
        </w:rPr>
        <w:t>工和安全保障所必需的暂停施工；</w:t>
      </w:r>
    </w:p>
    <w:p w14:paraId="30F9F56B">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(3)              </w:t>
      </w:r>
      <w:r>
        <w:rPr>
          <w:rFonts w:ascii="宋体" w:hAnsi="宋体" w:eastAsia="宋体" w:cs="宋体"/>
          <w:color w:val="auto"/>
          <w:spacing w:val="3"/>
          <w:sz w:val="19"/>
          <w:szCs w:val="19"/>
          <w:highlight w:val="none"/>
        </w:rPr>
        <w:t>承包人擅自暂停施工；</w:t>
      </w:r>
    </w:p>
    <w:p w14:paraId="5DB27BAA">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(4)              </w:t>
      </w:r>
      <w:r>
        <w:rPr>
          <w:rFonts w:ascii="宋体" w:hAnsi="宋体" w:eastAsia="宋体" w:cs="宋体"/>
          <w:color w:val="auto"/>
          <w:spacing w:val="4"/>
          <w:sz w:val="19"/>
          <w:szCs w:val="19"/>
          <w:highlight w:val="none"/>
        </w:rPr>
        <w:t>承包人其他原因引起的暂停施工；</w:t>
      </w:r>
    </w:p>
    <w:p w14:paraId="3D01A1AD">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(5)              </w:t>
      </w:r>
      <w:r>
        <w:rPr>
          <w:rFonts w:ascii="宋体" w:hAnsi="宋体" w:eastAsia="宋体" w:cs="宋体"/>
          <w:color w:val="auto"/>
          <w:spacing w:val="5"/>
          <w:sz w:val="19"/>
          <w:szCs w:val="19"/>
          <w:highlight w:val="none"/>
        </w:rPr>
        <w:t>专用合同条款约定由承包人承担的其他暂停施工。</w:t>
      </w:r>
    </w:p>
    <w:p w14:paraId="60566793">
      <w:pPr>
        <w:spacing w:before="174"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12.2</w:t>
      </w:r>
      <w:r>
        <w:rPr>
          <w:rFonts w:ascii="宋体" w:hAnsi="宋体" w:eastAsia="宋体" w:cs="宋体"/>
          <w:color w:val="auto"/>
          <w:spacing w:val="-44"/>
          <w:sz w:val="28"/>
          <w:szCs w:val="28"/>
          <w:highlight w:val="none"/>
        </w:rPr>
        <w:t xml:space="preserve"> </w:t>
      </w:r>
      <w:r>
        <w:rPr>
          <w:rFonts w:ascii="宋体" w:hAnsi="宋体" w:eastAsia="宋体" w:cs="宋体"/>
          <w:b/>
          <w:bCs/>
          <w:color w:val="auto"/>
          <w:spacing w:val="-6"/>
          <w:sz w:val="28"/>
          <w:szCs w:val="28"/>
          <w:highlight w:val="none"/>
        </w:rPr>
        <w:t>发包人暂停施工的责任</w:t>
      </w:r>
    </w:p>
    <w:p w14:paraId="4C7A0A64">
      <w:pPr>
        <w:spacing w:line="306" w:lineRule="auto"/>
        <w:rPr>
          <w:rFonts w:ascii="Arial"/>
          <w:color w:val="auto"/>
          <w:sz w:val="21"/>
          <w:highlight w:val="none"/>
        </w:rPr>
      </w:pPr>
    </w:p>
    <w:p w14:paraId="54808E8A">
      <w:pPr>
        <w:spacing w:before="63" w:line="337" w:lineRule="auto"/>
        <w:ind w:left="26" w:right="46" w:firstLine="46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由于发包人原因引起的暂停施工造成工期延误的，承包人</w:t>
      </w:r>
      <w:r>
        <w:rPr>
          <w:rFonts w:ascii="宋体" w:hAnsi="宋体" w:eastAsia="宋体" w:cs="宋体"/>
          <w:color w:val="auto"/>
          <w:spacing w:val="6"/>
          <w:sz w:val="19"/>
          <w:szCs w:val="19"/>
          <w:highlight w:val="none"/>
        </w:rPr>
        <w:t>有权要求发包人延长工期和</w:t>
      </w:r>
      <w:r>
        <w:rPr>
          <w:rFonts w:ascii="宋体" w:hAnsi="宋体" w:eastAsia="宋体" w:cs="宋体"/>
          <w:color w:val="auto"/>
          <w:spacing w:val="52"/>
          <w:sz w:val="19"/>
          <w:szCs w:val="19"/>
          <w:highlight w:val="none"/>
        </w:rPr>
        <w:t xml:space="preserve"> </w:t>
      </w:r>
      <w:r>
        <w:rPr>
          <w:rFonts w:ascii="宋体" w:hAnsi="宋体" w:eastAsia="宋体" w:cs="宋体"/>
          <w:color w:val="auto"/>
          <w:spacing w:val="6"/>
          <w:sz w:val="19"/>
          <w:szCs w:val="19"/>
          <w:highlight w:val="none"/>
        </w:rPr>
        <w:t>(或)</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增加费用，并支付合理利润。属于下列任何一种情况引</w:t>
      </w:r>
      <w:r>
        <w:rPr>
          <w:rFonts w:ascii="宋体" w:hAnsi="宋体" w:eastAsia="宋体" w:cs="宋体"/>
          <w:color w:val="auto"/>
          <w:spacing w:val="7"/>
          <w:sz w:val="19"/>
          <w:szCs w:val="19"/>
          <w:highlight w:val="none"/>
        </w:rPr>
        <w:t>起的暂停施工，</w:t>
      </w:r>
      <w:r>
        <w:rPr>
          <w:rFonts w:ascii="宋体" w:hAnsi="宋体" w:eastAsia="宋体" w:cs="宋体"/>
          <w:color w:val="auto"/>
          <w:spacing w:val="-55"/>
          <w:sz w:val="19"/>
          <w:szCs w:val="19"/>
          <w:highlight w:val="none"/>
        </w:rPr>
        <w:t xml:space="preserve"> </w:t>
      </w:r>
      <w:r>
        <w:rPr>
          <w:rFonts w:ascii="宋体" w:hAnsi="宋体" w:eastAsia="宋体" w:cs="宋体"/>
          <w:color w:val="auto"/>
          <w:spacing w:val="7"/>
          <w:sz w:val="19"/>
          <w:szCs w:val="19"/>
          <w:highlight w:val="none"/>
        </w:rPr>
        <w:t>均为发包人的责任：</w:t>
      </w:r>
    </w:p>
    <w:p w14:paraId="1CEB5EB4">
      <w:pPr>
        <w:spacing w:before="2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(1)</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4"/>
          <w:sz w:val="19"/>
          <w:szCs w:val="19"/>
          <w:highlight w:val="none"/>
        </w:rPr>
        <w:t>由于发包人违约引起的暂停施工。</w:t>
      </w:r>
    </w:p>
    <w:p w14:paraId="3E0CCE00">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由于不可抗力的自然或社会因素引起的暂停施工。</w:t>
      </w:r>
    </w:p>
    <w:p w14:paraId="19C2BE06">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专用合同条款中约定的其它由于发包人原因引起的暂停</w:t>
      </w:r>
      <w:r>
        <w:rPr>
          <w:rFonts w:ascii="宋体" w:hAnsi="宋体" w:eastAsia="宋体" w:cs="宋体"/>
          <w:color w:val="auto"/>
          <w:spacing w:val="5"/>
          <w:sz w:val="19"/>
          <w:szCs w:val="19"/>
          <w:highlight w:val="none"/>
        </w:rPr>
        <w:t>施工。</w:t>
      </w:r>
    </w:p>
    <w:p w14:paraId="458B6EA9">
      <w:pPr>
        <w:spacing w:line="282" w:lineRule="auto"/>
        <w:rPr>
          <w:rFonts w:ascii="Arial"/>
          <w:color w:val="auto"/>
          <w:sz w:val="21"/>
          <w:highlight w:val="none"/>
        </w:rPr>
      </w:pPr>
    </w:p>
    <w:p w14:paraId="61D9C6A4">
      <w:pPr>
        <w:spacing w:line="282" w:lineRule="auto"/>
        <w:rPr>
          <w:rFonts w:ascii="Arial"/>
          <w:color w:val="auto"/>
          <w:sz w:val="21"/>
          <w:highlight w:val="none"/>
        </w:rPr>
      </w:pPr>
    </w:p>
    <w:p w14:paraId="54C0C859">
      <w:pPr>
        <w:spacing w:before="92" w:line="221"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12.3</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监理人暂停施工指示</w:t>
      </w:r>
    </w:p>
    <w:p w14:paraId="41BD83D9">
      <w:pPr>
        <w:spacing w:line="299" w:lineRule="auto"/>
        <w:rPr>
          <w:rFonts w:ascii="Arial"/>
          <w:color w:val="auto"/>
          <w:sz w:val="21"/>
          <w:highlight w:val="none"/>
        </w:rPr>
      </w:pPr>
    </w:p>
    <w:p w14:paraId="242F1720">
      <w:pPr>
        <w:spacing w:before="62" w:line="339" w:lineRule="auto"/>
        <w:ind w:left="26" w:right="51" w:firstLine="45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12.3.1</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监理人认为有必要时，可向承包人作出暂停施工的指示，</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承包人应按监理人指示暂</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停施工。不论由于何种原因引起的暂停施工，暂停施工期间承包人应负责妥善保</w:t>
      </w:r>
      <w:r>
        <w:rPr>
          <w:rFonts w:ascii="宋体" w:hAnsi="宋体" w:eastAsia="宋体" w:cs="宋体"/>
          <w:color w:val="auto"/>
          <w:spacing w:val="11"/>
          <w:sz w:val="19"/>
          <w:szCs w:val="19"/>
          <w:highlight w:val="none"/>
        </w:rPr>
        <w:t>护工程并提供</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安全保障。</w:t>
      </w:r>
    </w:p>
    <w:p w14:paraId="5CEBF971">
      <w:pPr>
        <w:spacing w:before="31" w:line="339" w:lineRule="auto"/>
        <w:ind w:left="25" w:firstLine="453"/>
        <w:jc w:val="both"/>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12.3.2 由于发包人的原因发生暂停施工的紧急情况，且监理人未及时下达暂停施工指示的，</w:t>
      </w:r>
      <w:r>
        <w:rPr>
          <w:rFonts w:ascii="宋体" w:hAnsi="宋体" w:eastAsia="宋体" w:cs="宋体"/>
          <w:color w:val="auto"/>
          <w:spacing w:val="7"/>
          <w:sz w:val="19"/>
          <w:szCs w:val="19"/>
          <w:highlight w:val="none"/>
        </w:rPr>
        <w:t xml:space="preserve"> </w:t>
      </w:r>
      <w:r>
        <w:rPr>
          <w:rFonts w:ascii="宋体" w:hAnsi="宋体" w:eastAsia="宋体" w:cs="宋体"/>
          <w:color w:val="auto"/>
          <w:spacing w:val="12"/>
          <w:sz w:val="19"/>
          <w:szCs w:val="19"/>
          <w:highlight w:val="none"/>
        </w:rPr>
        <w:t>承包人可先暂停施工，并及时向监理人提出暂停施工的书面请求。监理人应在接到书面请求后</w:t>
      </w:r>
      <w:r>
        <w:rPr>
          <w:rFonts w:ascii="宋体" w:hAnsi="宋体" w:eastAsia="宋体" w:cs="宋体"/>
          <w:color w:val="auto"/>
          <w:spacing w:val="4"/>
          <w:sz w:val="19"/>
          <w:szCs w:val="19"/>
          <w:highlight w:val="none"/>
        </w:rPr>
        <w:t xml:space="preserve"> </w:t>
      </w:r>
      <w:r>
        <w:rPr>
          <w:rFonts w:ascii="宋体" w:hAnsi="宋体" w:eastAsia="宋体" w:cs="宋体"/>
          <w:color w:val="auto"/>
          <w:spacing w:val="8"/>
          <w:sz w:val="19"/>
          <w:szCs w:val="19"/>
          <w:highlight w:val="none"/>
        </w:rPr>
        <w:t>的</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24</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小时内予以答复，逾期未答复的，视为同意承</w:t>
      </w:r>
      <w:r>
        <w:rPr>
          <w:rFonts w:ascii="宋体" w:hAnsi="宋体" w:eastAsia="宋体" w:cs="宋体"/>
          <w:color w:val="auto"/>
          <w:spacing w:val="7"/>
          <w:sz w:val="19"/>
          <w:szCs w:val="19"/>
          <w:highlight w:val="none"/>
        </w:rPr>
        <w:t>包人的暂停施工请求。</w:t>
      </w:r>
    </w:p>
    <w:p w14:paraId="39ADF602">
      <w:pPr>
        <w:spacing w:before="77"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12.4</w:t>
      </w:r>
      <w:r>
        <w:rPr>
          <w:rFonts w:ascii="宋体" w:hAnsi="宋体" w:eastAsia="宋体" w:cs="宋体"/>
          <w:color w:val="auto"/>
          <w:spacing w:val="-41"/>
          <w:sz w:val="28"/>
          <w:szCs w:val="28"/>
          <w:highlight w:val="none"/>
        </w:rPr>
        <w:t xml:space="preserve"> </w:t>
      </w:r>
      <w:r>
        <w:rPr>
          <w:rFonts w:ascii="宋体" w:hAnsi="宋体" w:eastAsia="宋体" w:cs="宋体"/>
          <w:b/>
          <w:bCs/>
          <w:color w:val="auto"/>
          <w:spacing w:val="-7"/>
          <w:sz w:val="28"/>
          <w:szCs w:val="28"/>
          <w:highlight w:val="none"/>
        </w:rPr>
        <w:t>暂停施工后的复工</w:t>
      </w:r>
    </w:p>
    <w:p w14:paraId="44017049">
      <w:pPr>
        <w:spacing w:line="299" w:lineRule="auto"/>
        <w:rPr>
          <w:rFonts w:ascii="Arial"/>
          <w:color w:val="auto"/>
          <w:sz w:val="21"/>
          <w:highlight w:val="none"/>
        </w:rPr>
      </w:pPr>
    </w:p>
    <w:p w14:paraId="5EDAE6E1">
      <w:pPr>
        <w:spacing w:before="62" w:line="339" w:lineRule="auto"/>
        <w:ind w:left="25" w:right="2"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12.4.1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暂停施工后，监理人应与发包人和承包人协商，采取有效措施积极消除暂停施工的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影响。当工程具备复工条件时，监理人应立即向承包人发出复工通知。承包人收到复工通知后，</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应在监理人指定的期限内复工。</w:t>
      </w:r>
    </w:p>
    <w:p w14:paraId="57B41826">
      <w:pPr>
        <w:spacing w:before="151" w:line="333" w:lineRule="auto"/>
        <w:ind w:left="27" w:right="50" w:firstLine="45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12.4.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承包人无故拖延和拒绝复工的，由此增加的费用和工期延误由承包人承担；因发包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人原因无法按时复工的，承包人有权要求发包人延长工期和(或)增加费用，并支付合理利润。</w:t>
      </w:r>
    </w:p>
    <w:p w14:paraId="1E782C07">
      <w:pPr>
        <w:spacing w:before="78"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12.5</w:t>
      </w:r>
      <w:r>
        <w:rPr>
          <w:rFonts w:ascii="宋体" w:hAnsi="宋体" w:eastAsia="宋体" w:cs="宋体"/>
          <w:color w:val="auto"/>
          <w:spacing w:val="-38"/>
          <w:sz w:val="28"/>
          <w:szCs w:val="28"/>
          <w:highlight w:val="none"/>
        </w:rPr>
        <w:t xml:space="preserve"> </w:t>
      </w:r>
      <w:r>
        <w:rPr>
          <w:rFonts w:ascii="宋体" w:hAnsi="宋体" w:eastAsia="宋体" w:cs="宋体"/>
          <w:b/>
          <w:bCs/>
          <w:color w:val="auto"/>
          <w:spacing w:val="-8"/>
          <w:sz w:val="28"/>
          <w:szCs w:val="28"/>
          <w:highlight w:val="none"/>
        </w:rPr>
        <w:t>暂停施工持续</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8"/>
          <w:sz w:val="28"/>
          <w:szCs w:val="28"/>
          <w:highlight w:val="none"/>
        </w:rPr>
        <w:t>56</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8"/>
          <w:sz w:val="28"/>
          <w:szCs w:val="28"/>
          <w:highlight w:val="none"/>
        </w:rPr>
        <w:t>天以上</w:t>
      </w:r>
    </w:p>
    <w:p w14:paraId="1581D95F">
      <w:pPr>
        <w:spacing w:line="309" w:lineRule="auto"/>
        <w:rPr>
          <w:rFonts w:ascii="Arial"/>
          <w:color w:val="auto"/>
          <w:sz w:val="21"/>
          <w:highlight w:val="none"/>
        </w:rPr>
      </w:pPr>
    </w:p>
    <w:p w14:paraId="0B0EBE3A">
      <w:pPr>
        <w:spacing w:before="63"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12.5.1</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监理人发出暂停施工指示后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56</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天内未向承包人发出复工通知，除了该项停工属于第</w:t>
      </w:r>
    </w:p>
    <w:p w14:paraId="79DFA99C">
      <w:pPr>
        <w:spacing w:before="129" w:line="228" w:lineRule="auto"/>
        <w:ind w:left="4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12.1 款的情况外，承包人可向监理人提交书面通知，要求监理人在收到书面通知后 28 天内准</w:t>
      </w:r>
    </w:p>
    <w:p w14:paraId="67056B3E">
      <w:pPr>
        <w:spacing w:line="228" w:lineRule="auto"/>
        <w:rPr>
          <w:rFonts w:ascii="宋体" w:hAnsi="宋体" w:eastAsia="宋体" w:cs="宋体"/>
          <w:color w:val="auto"/>
          <w:sz w:val="19"/>
          <w:szCs w:val="19"/>
          <w:highlight w:val="none"/>
        </w:rPr>
        <w:sectPr>
          <w:footerReference r:id="rId90" w:type="default"/>
          <w:pgSz w:w="11900" w:h="16832"/>
          <w:pgMar w:top="1423" w:right="1754" w:bottom="1188" w:left="1784" w:header="0" w:footer="980" w:gutter="0"/>
          <w:pgNumType w:fmt="decimal"/>
          <w:cols w:space="720" w:num="1"/>
        </w:sectPr>
      </w:pPr>
    </w:p>
    <w:p w14:paraId="74C727DD">
      <w:pPr>
        <w:spacing w:before="130" w:line="345" w:lineRule="auto"/>
        <w:ind w:left="26"/>
        <w:jc w:val="both"/>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许已暂停施工的工程或其中一部分工程继续施工。如监理人逾期不予批准，则承</w:t>
      </w:r>
      <w:r>
        <w:rPr>
          <w:rFonts w:ascii="宋体" w:hAnsi="宋体" w:eastAsia="宋体" w:cs="宋体"/>
          <w:color w:val="auto"/>
          <w:spacing w:val="11"/>
          <w:sz w:val="19"/>
          <w:szCs w:val="19"/>
          <w:highlight w:val="none"/>
        </w:rPr>
        <w:t>包人可以通知</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监理人，将工程受影响的部分视为按第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15.1 (1)项的可取消工作。如暂停 施工影响到整个</w:t>
      </w:r>
      <w:r>
        <w:rPr>
          <w:rFonts w:ascii="宋体" w:hAnsi="宋体" w:eastAsia="宋体" w:cs="宋体"/>
          <w:color w:val="auto"/>
          <w:spacing w:val="3"/>
          <w:sz w:val="19"/>
          <w:szCs w:val="19"/>
          <w:highlight w:val="none"/>
        </w:rPr>
        <w:t>工程，</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可视为发包人违约，应按第</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22. 2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款的约定办理。</w:t>
      </w:r>
    </w:p>
    <w:p w14:paraId="544E3CA9">
      <w:pPr>
        <w:spacing w:before="34" w:line="342" w:lineRule="auto"/>
        <w:ind w:left="28" w:right="48" w:firstLine="45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12.5.2 由于承包人责任引起的暂停施工，</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如承包人在收到监理人暂停施工指示后 56 天内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不认真采取有效的复工措施，造成工期延误，</w:t>
      </w:r>
      <w:r>
        <w:rPr>
          <w:rFonts w:ascii="宋体" w:hAnsi="宋体" w:eastAsia="宋体" w:cs="宋体"/>
          <w:color w:val="auto"/>
          <w:spacing w:val="8"/>
          <w:sz w:val="19"/>
          <w:szCs w:val="19"/>
          <w:highlight w:val="none"/>
        </w:rPr>
        <w:t>可视为承包人违约，应按第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22.1</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款的约定办理。</w:t>
      </w:r>
    </w:p>
    <w:p w14:paraId="4A59159A">
      <w:pPr>
        <w:spacing w:before="237"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13.</w:t>
      </w:r>
      <w:r>
        <w:rPr>
          <w:rFonts w:ascii="宋体" w:hAnsi="宋体" w:eastAsia="宋体" w:cs="宋体"/>
          <w:b/>
          <w:bCs/>
          <w:color w:val="auto"/>
          <w:spacing w:val="2"/>
          <w:sz w:val="31"/>
          <w:szCs w:val="31"/>
          <w:highlight w:val="none"/>
        </w:rPr>
        <w:t>工程质量</w:t>
      </w:r>
    </w:p>
    <w:p w14:paraId="4B513E23">
      <w:pPr>
        <w:spacing w:line="248" w:lineRule="auto"/>
        <w:rPr>
          <w:rFonts w:ascii="Arial"/>
          <w:color w:val="auto"/>
          <w:sz w:val="21"/>
          <w:highlight w:val="none"/>
        </w:rPr>
      </w:pPr>
    </w:p>
    <w:p w14:paraId="61F176D8">
      <w:pPr>
        <w:spacing w:line="249" w:lineRule="auto"/>
        <w:rPr>
          <w:rFonts w:ascii="Arial"/>
          <w:color w:val="auto"/>
          <w:sz w:val="21"/>
          <w:highlight w:val="none"/>
        </w:rPr>
      </w:pPr>
    </w:p>
    <w:p w14:paraId="58455B8A">
      <w:pPr>
        <w:spacing w:before="91"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13.1</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7"/>
          <w:sz w:val="28"/>
          <w:szCs w:val="28"/>
          <w:highlight w:val="none"/>
        </w:rPr>
        <w:t>工程质量要求</w:t>
      </w:r>
    </w:p>
    <w:p w14:paraId="3F1759F3">
      <w:pPr>
        <w:spacing w:line="315" w:lineRule="auto"/>
        <w:rPr>
          <w:rFonts w:ascii="Arial"/>
          <w:color w:val="auto"/>
          <w:sz w:val="21"/>
          <w:highlight w:val="none"/>
        </w:rPr>
      </w:pPr>
    </w:p>
    <w:p w14:paraId="12E7B480">
      <w:pPr>
        <w:spacing w:before="62" w:line="228" w:lineRule="auto"/>
        <w:ind w:left="46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13.1.</w:t>
      </w:r>
      <w:r>
        <w:rPr>
          <w:rFonts w:ascii="宋体" w:hAnsi="宋体" w:eastAsia="宋体" w:cs="宋体"/>
          <w:color w:val="auto"/>
          <w:spacing w:val="47"/>
          <w:sz w:val="19"/>
          <w:szCs w:val="19"/>
          <w:highlight w:val="none"/>
        </w:rPr>
        <w:t xml:space="preserve"> </w:t>
      </w:r>
      <w:r>
        <w:rPr>
          <w:rFonts w:ascii="宋体" w:hAnsi="宋体" w:eastAsia="宋体" w:cs="宋体"/>
          <w:color w:val="auto"/>
          <w:spacing w:val="4"/>
          <w:sz w:val="19"/>
          <w:szCs w:val="19"/>
          <w:highlight w:val="none"/>
        </w:rPr>
        <w:t>1</w:t>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工程质量验收按合同约定验收标准执行。</w:t>
      </w:r>
    </w:p>
    <w:p w14:paraId="313DED09">
      <w:pPr>
        <w:spacing w:before="139" w:line="347" w:lineRule="auto"/>
        <w:ind w:left="28" w:right="54" w:firstLine="45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13.1.2</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因承包人原因造成工程质量达不到合同约定验收标准的，</w:t>
      </w:r>
      <w:r>
        <w:rPr>
          <w:rFonts w:ascii="宋体" w:hAnsi="宋体" w:eastAsia="宋体" w:cs="宋体"/>
          <w:color w:val="auto"/>
          <w:spacing w:val="-45"/>
          <w:sz w:val="19"/>
          <w:szCs w:val="19"/>
          <w:highlight w:val="none"/>
        </w:rPr>
        <w:t xml:space="preserve"> </w:t>
      </w:r>
      <w:r>
        <w:rPr>
          <w:rFonts w:ascii="宋体" w:hAnsi="宋体" w:eastAsia="宋体" w:cs="宋体"/>
          <w:color w:val="auto"/>
          <w:spacing w:val="7"/>
          <w:sz w:val="19"/>
          <w:szCs w:val="19"/>
          <w:highlight w:val="none"/>
        </w:rPr>
        <w:t>监理人</w:t>
      </w:r>
      <w:r>
        <w:rPr>
          <w:rFonts w:ascii="宋体" w:hAnsi="宋体" w:eastAsia="宋体" w:cs="宋体"/>
          <w:color w:val="auto"/>
          <w:spacing w:val="6"/>
          <w:sz w:val="19"/>
          <w:szCs w:val="19"/>
          <w:highlight w:val="none"/>
        </w:rPr>
        <w:t>有权要求承包人返</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工直至符合合同要求为止，</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由此造成的费用增加和（或）工期延误由承包人承担。</w:t>
      </w:r>
    </w:p>
    <w:p w14:paraId="64C6C364">
      <w:pPr>
        <w:spacing w:before="32" w:line="342" w:lineRule="auto"/>
        <w:ind w:left="26" w:right="54"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13.1.3</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因发包人原因造成工程质量达不到合同约定验收标准的，</w:t>
      </w:r>
      <w:r>
        <w:rPr>
          <w:rFonts w:ascii="宋体" w:hAnsi="宋体" w:eastAsia="宋体" w:cs="宋体"/>
          <w:color w:val="auto"/>
          <w:spacing w:val="-43"/>
          <w:sz w:val="19"/>
          <w:szCs w:val="19"/>
          <w:highlight w:val="none"/>
        </w:rPr>
        <w:t xml:space="preserve"> </w:t>
      </w:r>
      <w:r>
        <w:rPr>
          <w:rFonts w:ascii="宋体" w:hAnsi="宋体" w:eastAsia="宋体" w:cs="宋体"/>
          <w:color w:val="auto"/>
          <w:spacing w:val="7"/>
          <w:sz w:val="19"/>
          <w:szCs w:val="19"/>
          <w:highlight w:val="none"/>
        </w:rPr>
        <w:t>发</w:t>
      </w:r>
      <w:r>
        <w:rPr>
          <w:rFonts w:ascii="宋体" w:hAnsi="宋体" w:eastAsia="宋体" w:cs="宋体"/>
          <w:color w:val="auto"/>
          <w:spacing w:val="6"/>
          <w:sz w:val="19"/>
          <w:szCs w:val="19"/>
          <w:highlight w:val="none"/>
        </w:rPr>
        <w:t>包人应承担由于承包人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返工造成的费用增加和（或）工期延误，并支付承包人合理利润。</w:t>
      </w:r>
    </w:p>
    <w:p w14:paraId="6355BF6F">
      <w:pPr>
        <w:spacing w:before="110"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13.2</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承包人的质量管理</w:t>
      </w:r>
    </w:p>
    <w:p w14:paraId="1C8D23DB">
      <w:pPr>
        <w:spacing w:line="309" w:lineRule="auto"/>
        <w:rPr>
          <w:rFonts w:ascii="Arial"/>
          <w:color w:val="auto"/>
          <w:sz w:val="21"/>
          <w:highlight w:val="none"/>
        </w:rPr>
      </w:pPr>
    </w:p>
    <w:p w14:paraId="3633B8E6">
      <w:pPr>
        <w:spacing w:before="61" w:line="344" w:lineRule="auto"/>
        <w:ind w:left="24" w:right="48" w:firstLine="454"/>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13.2.1</w:t>
      </w:r>
      <w:r>
        <w:rPr>
          <w:rFonts w:ascii="宋体" w:hAnsi="宋体" w:eastAsia="宋体" w:cs="宋体"/>
          <w:color w:val="auto"/>
          <w:spacing w:val="-13"/>
          <w:sz w:val="19"/>
          <w:szCs w:val="19"/>
          <w:highlight w:val="none"/>
        </w:rPr>
        <w:t xml:space="preserve"> </w:t>
      </w:r>
      <w:r>
        <w:rPr>
          <w:rFonts w:ascii="宋体" w:hAnsi="宋体" w:eastAsia="宋体" w:cs="宋体"/>
          <w:color w:val="auto"/>
          <w:spacing w:val="8"/>
          <w:sz w:val="19"/>
          <w:szCs w:val="19"/>
          <w:highlight w:val="none"/>
        </w:rPr>
        <w:t>承包人应在施工场地设置专门的质量检查机构，配备专职质量检查人员，建立完善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的质量检查制度。承包人应按技术标准和要求（合同技术条款）约定的内容和期</w:t>
      </w:r>
      <w:r>
        <w:rPr>
          <w:rFonts w:ascii="宋体" w:hAnsi="宋体" w:eastAsia="宋体" w:cs="宋体"/>
          <w:color w:val="auto"/>
          <w:spacing w:val="11"/>
          <w:sz w:val="19"/>
          <w:szCs w:val="19"/>
          <w:highlight w:val="none"/>
        </w:rPr>
        <w:t>限, 编制工程</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质量保证措施文件，包括质量检查机构的组织和岗位责任、质量检查人员的组成、</w:t>
      </w:r>
      <w:r>
        <w:rPr>
          <w:rFonts w:ascii="宋体" w:hAnsi="宋体" w:eastAsia="宋体" w:cs="宋体"/>
          <w:color w:val="auto"/>
          <w:spacing w:val="11"/>
          <w:sz w:val="19"/>
          <w:szCs w:val="19"/>
          <w:highlight w:val="none"/>
        </w:rPr>
        <w:t>质量检查程</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序和实施细则等，提交监理人监批。监理人</w:t>
      </w:r>
      <w:r>
        <w:rPr>
          <w:rFonts w:ascii="宋体" w:hAnsi="宋体" w:eastAsia="宋体" w:cs="宋体"/>
          <w:color w:val="auto"/>
          <w:spacing w:val="9"/>
          <w:sz w:val="19"/>
          <w:szCs w:val="19"/>
          <w:highlight w:val="none"/>
        </w:rPr>
        <w:t>应在技术标准和要求（合同技术条 款）约定期限内</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批复承包人。</w:t>
      </w:r>
    </w:p>
    <w:p w14:paraId="31420173">
      <w:pPr>
        <w:spacing w:before="33" w:line="335" w:lineRule="auto"/>
        <w:ind w:left="26" w:right="1" w:firstLine="45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13.2.</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承包人应加强对施工人员的质量教育和技术培训，定期考核施工人员的劳</w:t>
      </w:r>
      <w:r>
        <w:rPr>
          <w:rFonts w:ascii="宋体" w:hAnsi="宋体" w:eastAsia="宋体" w:cs="宋体"/>
          <w:color w:val="auto"/>
          <w:spacing w:val="5"/>
          <w:sz w:val="19"/>
          <w:szCs w:val="19"/>
          <w:highlight w:val="none"/>
        </w:rPr>
        <w:t>动 技能，</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严格执行规范和操作规程。</w:t>
      </w:r>
    </w:p>
    <w:p w14:paraId="375AE2EF">
      <w:pPr>
        <w:spacing w:before="193"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13.3</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承包人的质量检查</w:t>
      </w:r>
    </w:p>
    <w:p w14:paraId="04B06345">
      <w:pPr>
        <w:spacing w:line="307" w:lineRule="auto"/>
        <w:rPr>
          <w:rFonts w:ascii="Arial"/>
          <w:color w:val="auto"/>
          <w:sz w:val="21"/>
          <w:highlight w:val="none"/>
        </w:rPr>
      </w:pPr>
    </w:p>
    <w:p w14:paraId="714BBC6E">
      <w:pPr>
        <w:spacing w:before="62" w:line="337" w:lineRule="auto"/>
        <w:ind w:left="25" w:right="51" w:firstLine="43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承包人应按合同约定对材料、工程设备以及工程的所有部位及其施工工艺进行全过程的质</w:t>
      </w:r>
      <w:r>
        <w:rPr>
          <w:rFonts w:ascii="宋体" w:hAnsi="宋体" w:eastAsia="宋体" w:cs="宋体"/>
          <w:color w:val="auto"/>
          <w:spacing w:val="5"/>
          <w:sz w:val="19"/>
          <w:szCs w:val="19"/>
          <w:highlight w:val="none"/>
        </w:rPr>
        <w:t xml:space="preserve"> </w:t>
      </w:r>
      <w:r>
        <w:rPr>
          <w:rFonts w:ascii="宋体" w:hAnsi="宋体" w:eastAsia="宋体" w:cs="宋体"/>
          <w:color w:val="auto"/>
          <w:spacing w:val="7"/>
          <w:sz w:val="19"/>
          <w:szCs w:val="19"/>
          <w:highlight w:val="none"/>
        </w:rPr>
        <w:t>量检查和检验，</w:t>
      </w:r>
      <w:r>
        <w:rPr>
          <w:rFonts w:ascii="宋体" w:hAnsi="宋体" w:eastAsia="宋体" w:cs="宋体"/>
          <w:color w:val="auto"/>
          <w:spacing w:val="-49"/>
          <w:sz w:val="19"/>
          <w:szCs w:val="19"/>
          <w:highlight w:val="none"/>
        </w:rPr>
        <w:t xml:space="preserve"> </w:t>
      </w:r>
      <w:r>
        <w:rPr>
          <w:rFonts w:ascii="宋体" w:hAnsi="宋体" w:eastAsia="宋体" w:cs="宋体"/>
          <w:color w:val="auto"/>
          <w:spacing w:val="7"/>
          <w:sz w:val="19"/>
          <w:szCs w:val="19"/>
          <w:highlight w:val="none"/>
        </w:rPr>
        <w:t>并作详细记录，编制工程质量报表，报送监理人审查。</w:t>
      </w:r>
    </w:p>
    <w:p w14:paraId="17286502">
      <w:pPr>
        <w:spacing w:before="112"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13.4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监理人的质量检查</w:t>
      </w:r>
    </w:p>
    <w:p w14:paraId="0EEC647C">
      <w:pPr>
        <w:spacing w:line="302" w:lineRule="auto"/>
        <w:rPr>
          <w:rFonts w:ascii="Arial"/>
          <w:color w:val="auto"/>
          <w:sz w:val="21"/>
          <w:highlight w:val="none"/>
        </w:rPr>
      </w:pPr>
    </w:p>
    <w:p w14:paraId="54EA91D3">
      <w:pPr>
        <w:spacing w:before="62" w:line="343" w:lineRule="auto"/>
        <w:ind w:left="26" w:right="52" w:firstLine="43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监理人有权对工程的所有部位及其施工工艺、材料和工程设备进行检查和检验。承包人应</w:t>
      </w:r>
      <w:r>
        <w:rPr>
          <w:rFonts w:ascii="宋体" w:hAnsi="宋体" w:eastAsia="宋体" w:cs="宋体"/>
          <w:color w:val="auto"/>
          <w:spacing w:val="4"/>
          <w:sz w:val="19"/>
          <w:szCs w:val="19"/>
          <w:highlight w:val="none"/>
        </w:rPr>
        <w:t xml:space="preserve"> </w:t>
      </w:r>
      <w:r>
        <w:rPr>
          <w:rFonts w:ascii="宋体" w:hAnsi="宋体" w:eastAsia="宋体" w:cs="宋体"/>
          <w:color w:val="auto"/>
          <w:spacing w:val="12"/>
          <w:sz w:val="19"/>
          <w:szCs w:val="19"/>
          <w:highlight w:val="none"/>
        </w:rPr>
        <w:t>为监理人的检查和检验提供方便，包括监理人到施工场地，或制造、加工地点，</w:t>
      </w:r>
      <w:r>
        <w:rPr>
          <w:rFonts w:ascii="宋体" w:hAnsi="宋体" w:eastAsia="宋体" w:cs="宋体"/>
          <w:color w:val="auto"/>
          <w:spacing w:val="11"/>
          <w:sz w:val="19"/>
          <w:szCs w:val="19"/>
          <w:highlight w:val="none"/>
        </w:rPr>
        <w:t>或合同约定的</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其他地方进行察看和查阅施工原始记录。承包人还应按监理人指示，进行施工场地取样试验、</w:t>
      </w:r>
      <w:r>
        <w:rPr>
          <w:rFonts w:ascii="宋体" w:hAnsi="宋体" w:eastAsia="宋体" w:cs="宋体"/>
          <w:color w:val="auto"/>
          <w:spacing w:val="1"/>
          <w:sz w:val="19"/>
          <w:szCs w:val="19"/>
          <w:highlight w:val="none"/>
        </w:rPr>
        <w:t xml:space="preserve"> </w:t>
      </w:r>
      <w:r>
        <w:rPr>
          <w:rFonts w:ascii="宋体" w:hAnsi="宋体" w:eastAsia="宋体" w:cs="宋体"/>
          <w:color w:val="auto"/>
          <w:spacing w:val="12"/>
          <w:sz w:val="19"/>
          <w:szCs w:val="19"/>
          <w:highlight w:val="none"/>
        </w:rPr>
        <w:t>工程复核测量和设备性能检测，提供试验样品、提交试验报告和测量成果以及监</w:t>
      </w:r>
      <w:r>
        <w:rPr>
          <w:rFonts w:ascii="宋体" w:hAnsi="宋体" w:eastAsia="宋体" w:cs="宋体"/>
          <w:color w:val="auto"/>
          <w:spacing w:val="11"/>
          <w:sz w:val="19"/>
          <w:szCs w:val="19"/>
          <w:highlight w:val="none"/>
        </w:rPr>
        <w:t>理人要求进行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的其他工作。监理人的检查和检验，</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不免除承包人按合同约定应负的责任。</w:t>
      </w:r>
    </w:p>
    <w:p w14:paraId="30E0180B">
      <w:pPr>
        <w:spacing w:line="343" w:lineRule="auto"/>
        <w:rPr>
          <w:rFonts w:ascii="宋体" w:hAnsi="宋体" w:eastAsia="宋体" w:cs="宋体"/>
          <w:color w:val="auto"/>
          <w:sz w:val="19"/>
          <w:szCs w:val="19"/>
          <w:highlight w:val="none"/>
        </w:rPr>
        <w:sectPr>
          <w:footerReference r:id="rId91" w:type="default"/>
          <w:pgSz w:w="11900" w:h="16832"/>
          <w:pgMar w:top="1430" w:right="1751" w:bottom="1188" w:left="1784" w:header="0" w:footer="980" w:gutter="0"/>
          <w:pgNumType w:fmt="decimal"/>
          <w:cols w:space="720" w:num="1"/>
        </w:sectPr>
      </w:pPr>
    </w:p>
    <w:p w14:paraId="5CDAB97A">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13.5</w:t>
      </w:r>
      <w:r>
        <w:rPr>
          <w:rFonts w:ascii="宋体" w:hAnsi="宋体" w:eastAsia="宋体" w:cs="宋体"/>
          <w:color w:val="auto"/>
          <w:spacing w:val="-52"/>
          <w:sz w:val="28"/>
          <w:szCs w:val="28"/>
          <w:highlight w:val="none"/>
        </w:rPr>
        <w:t xml:space="preserve"> </w:t>
      </w:r>
      <w:r>
        <w:rPr>
          <w:rFonts w:ascii="宋体" w:hAnsi="宋体" w:eastAsia="宋体" w:cs="宋体"/>
          <w:b/>
          <w:bCs/>
          <w:color w:val="auto"/>
          <w:spacing w:val="-5"/>
          <w:sz w:val="28"/>
          <w:szCs w:val="28"/>
          <w:highlight w:val="none"/>
        </w:rPr>
        <w:t>工程隐蔽部位覆盖前的检查</w:t>
      </w:r>
    </w:p>
    <w:p w14:paraId="57BCF31D">
      <w:pPr>
        <w:spacing w:before="279" w:line="228"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 xml:space="preserve">13.            </w:t>
      </w:r>
      <w:r>
        <w:rPr>
          <w:rFonts w:ascii="宋体" w:hAnsi="宋体" w:eastAsia="宋体" w:cs="宋体"/>
          <w:color w:val="auto"/>
          <w:spacing w:val="2"/>
          <w:sz w:val="19"/>
          <w:szCs w:val="19"/>
          <w:highlight w:val="none"/>
        </w:rPr>
        <w:t>5.</w:t>
      </w:r>
      <w:r>
        <w:rPr>
          <w:rFonts w:ascii="宋体" w:hAnsi="宋体" w:eastAsia="宋体" w:cs="宋体"/>
          <w:color w:val="auto"/>
          <w:spacing w:val="36"/>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2"/>
          <w:sz w:val="19"/>
          <w:szCs w:val="19"/>
          <w:highlight w:val="none"/>
        </w:rPr>
        <w:t>通知监理人检查</w:t>
      </w:r>
    </w:p>
    <w:p w14:paraId="6DEBE70C">
      <w:pPr>
        <w:spacing w:before="257" w:line="339" w:lineRule="auto"/>
        <w:ind w:left="25" w:right="76" w:firstLine="440"/>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经承包人自检确认的工程隐蔽部位具备覆盖条件后，承包人应通知监理人在约</w:t>
      </w:r>
      <w:r>
        <w:rPr>
          <w:rFonts w:ascii="宋体" w:hAnsi="宋体" w:eastAsia="宋体" w:cs="宋体"/>
          <w:color w:val="auto"/>
          <w:spacing w:val="7"/>
          <w:sz w:val="19"/>
          <w:szCs w:val="19"/>
          <w:highlight w:val="none"/>
        </w:rPr>
        <w:t>定的期</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限内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检查。承包人的通知应附有自检记录和必要的检查资料。监理人应按时到场检查。</w:t>
      </w:r>
      <w:r>
        <w:rPr>
          <w:rFonts w:ascii="宋体" w:hAnsi="宋体" w:eastAsia="宋体" w:cs="宋体"/>
          <w:color w:val="auto"/>
          <w:spacing w:val="11"/>
          <w:sz w:val="19"/>
          <w:szCs w:val="19"/>
          <w:highlight w:val="none"/>
        </w:rPr>
        <w:t>经监理人检</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查确认质量符合隐蔽要求，并在检查记录上签字后，承包人才能进行覆盖。监理人</w:t>
      </w:r>
      <w:r>
        <w:rPr>
          <w:rFonts w:ascii="宋体" w:hAnsi="宋体" w:eastAsia="宋体" w:cs="宋体"/>
          <w:color w:val="auto"/>
          <w:spacing w:val="11"/>
          <w:sz w:val="19"/>
          <w:szCs w:val="19"/>
          <w:highlight w:val="none"/>
        </w:rPr>
        <w:t>检查确认质</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量不合格的，承包人应在监理人指示的时间内修整返工后，由监理人重新检查。</w:t>
      </w:r>
    </w:p>
    <w:p w14:paraId="6DEE9127">
      <w:pPr>
        <w:spacing w:before="190"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13.5.2</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监理人未到场检查</w:t>
      </w:r>
    </w:p>
    <w:p w14:paraId="2EFC61F0">
      <w:pPr>
        <w:spacing w:before="119" w:line="337" w:lineRule="auto"/>
        <w:ind w:left="26" w:right="81" w:firstLine="43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监理人未按第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13.5.1</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项约定的时间进行检查的，除监理人另有指示外，承包人可自行完成</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覆盖工作，并作相应记录报送监理人，监理人应签字确认。</w:t>
      </w:r>
      <w:r>
        <w:rPr>
          <w:rFonts w:ascii="宋体" w:hAnsi="宋体" w:eastAsia="宋体" w:cs="宋体"/>
          <w:color w:val="auto"/>
          <w:spacing w:val="11"/>
          <w:sz w:val="19"/>
          <w:szCs w:val="19"/>
          <w:highlight w:val="none"/>
        </w:rPr>
        <w:t>监理人事后对检查记录有疑问的，</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可按第</w:t>
      </w:r>
      <w:r>
        <w:rPr>
          <w:rFonts w:ascii="宋体" w:hAnsi="宋体" w:eastAsia="宋体" w:cs="宋体"/>
          <w:color w:val="auto"/>
          <w:spacing w:val="-9"/>
          <w:sz w:val="19"/>
          <w:szCs w:val="19"/>
          <w:highlight w:val="none"/>
        </w:rPr>
        <w:t xml:space="preserve"> </w:t>
      </w:r>
      <w:r>
        <w:rPr>
          <w:rFonts w:ascii="宋体" w:hAnsi="宋体" w:eastAsia="宋体" w:cs="宋体"/>
          <w:color w:val="auto"/>
          <w:spacing w:val="3"/>
          <w:sz w:val="19"/>
          <w:szCs w:val="19"/>
          <w:highlight w:val="none"/>
        </w:rPr>
        <w:t>13.5.3</w:t>
      </w:r>
      <w:r>
        <w:rPr>
          <w:rFonts w:ascii="宋体" w:hAnsi="宋体" w:eastAsia="宋体" w:cs="宋体"/>
          <w:color w:val="auto"/>
          <w:spacing w:val="-33"/>
          <w:sz w:val="19"/>
          <w:szCs w:val="19"/>
          <w:highlight w:val="none"/>
        </w:rPr>
        <w:t xml:space="preserve"> </w:t>
      </w:r>
      <w:r>
        <w:rPr>
          <w:rFonts w:ascii="宋体" w:hAnsi="宋体" w:eastAsia="宋体" w:cs="宋体"/>
          <w:color w:val="auto"/>
          <w:spacing w:val="3"/>
          <w:sz w:val="19"/>
          <w:szCs w:val="19"/>
          <w:highlight w:val="none"/>
        </w:rPr>
        <w:t>项的约定重新检查。</w:t>
      </w:r>
    </w:p>
    <w:p w14:paraId="541D666D">
      <w:pPr>
        <w:rPr>
          <w:rFonts w:ascii="Arial"/>
          <w:color w:val="auto"/>
          <w:sz w:val="21"/>
          <w:highlight w:val="none"/>
        </w:rPr>
      </w:pPr>
    </w:p>
    <w:p w14:paraId="43178C5A">
      <w:pPr>
        <w:rPr>
          <w:rFonts w:ascii="Arial"/>
          <w:color w:val="auto"/>
          <w:sz w:val="21"/>
          <w:highlight w:val="none"/>
        </w:rPr>
      </w:pPr>
    </w:p>
    <w:p w14:paraId="06A27FBD">
      <w:pPr>
        <w:spacing w:before="62" w:line="228"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13.5.3</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监理人重新检查</w:t>
      </w:r>
    </w:p>
    <w:p w14:paraId="44D720B5">
      <w:pPr>
        <w:spacing w:before="122" w:line="340" w:lineRule="auto"/>
        <w:ind w:left="26" w:firstLine="438"/>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承包人按第 13. 5.</w:t>
      </w:r>
      <w:r>
        <w:rPr>
          <w:rFonts w:ascii="宋体" w:hAnsi="宋体" w:eastAsia="宋体" w:cs="宋体"/>
          <w:color w:val="auto"/>
          <w:spacing w:val="47"/>
          <w:sz w:val="19"/>
          <w:szCs w:val="19"/>
          <w:highlight w:val="none"/>
        </w:rPr>
        <w:t xml:space="preserve"> </w:t>
      </w:r>
      <w:r>
        <w:rPr>
          <w:rFonts w:ascii="宋体" w:hAnsi="宋体" w:eastAsia="宋体" w:cs="宋体"/>
          <w:color w:val="auto"/>
          <w:spacing w:val="4"/>
          <w:sz w:val="19"/>
          <w:szCs w:val="19"/>
          <w:highlight w:val="none"/>
        </w:rPr>
        <w:t>1</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项或第 13. 5. 2</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项覆盖工程隐蔽部位后，监理人对质量有疑问的，</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可要求承包人对已覆盖的部位进行钻孔探测或</w:t>
      </w:r>
      <w:r>
        <w:rPr>
          <w:rFonts w:ascii="宋体" w:hAnsi="宋体" w:eastAsia="宋体" w:cs="宋体"/>
          <w:color w:val="auto"/>
          <w:spacing w:val="9"/>
          <w:sz w:val="19"/>
          <w:szCs w:val="19"/>
          <w:highlight w:val="none"/>
        </w:rPr>
        <w:t>揭开重新检验，承包人应遵照执行，并在检 验后</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重新覆盖恢复原状。经检验证明工程质量符合合同要求的，由发包人承担由此增加的费用和（或）</w:t>
      </w:r>
      <w:r>
        <w:rPr>
          <w:rFonts w:ascii="宋体" w:hAnsi="宋体" w:eastAsia="宋体" w:cs="宋体"/>
          <w:color w:val="auto"/>
          <w:spacing w:val="18"/>
          <w:sz w:val="19"/>
          <w:szCs w:val="19"/>
          <w:highlight w:val="none"/>
        </w:rPr>
        <w:t xml:space="preserve"> </w:t>
      </w:r>
      <w:r>
        <w:rPr>
          <w:rFonts w:ascii="宋体" w:hAnsi="宋体" w:eastAsia="宋体" w:cs="宋体"/>
          <w:color w:val="auto"/>
          <w:spacing w:val="11"/>
          <w:sz w:val="19"/>
          <w:szCs w:val="19"/>
          <w:highlight w:val="none"/>
        </w:rPr>
        <w:t>工期延误，并支付承包人合理利润；经检验证明工程质量不符合</w:t>
      </w:r>
      <w:r>
        <w:rPr>
          <w:rFonts w:ascii="宋体" w:hAnsi="宋体" w:eastAsia="宋体" w:cs="宋体"/>
          <w:color w:val="auto"/>
          <w:spacing w:val="10"/>
          <w:sz w:val="19"/>
          <w:szCs w:val="19"/>
          <w:highlight w:val="none"/>
        </w:rPr>
        <w:t>合同要求的，</w:t>
      </w:r>
      <w:r>
        <w:rPr>
          <w:rFonts w:ascii="宋体" w:hAnsi="宋体" w:eastAsia="宋体" w:cs="宋体"/>
          <w:color w:val="auto"/>
          <w:spacing w:val="-47"/>
          <w:sz w:val="19"/>
          <w:szCs w:val="19"/>
          <w:highlight w:val="none"/>
        </w:rPr>
        <w:t xml:space="preserve"> </w:t>
      </w:r>
      <w:r>
        <w:rPr>
          <w:rFonts w:ascii="宋体" w:hAnsi="宋体" w:eastAsia="宋体" w:cs="宋体"/>
          <w:color w:val="auto"/>
          <w:spacing w:val="10"/>
          <w:sz w:val="19"/>
          <w:szCs w:val="19"/>
          <w:highlight w:val="none"/>
        </w:rPr>
        <w:t>由此增加的费用</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和（或）</w:t>
      </w:r>
      <w:r>
        <w:rPr>
          <w:rFonts w:ascii="宋体" w:hAnsi="宋体" w:eastAsia="宋体" w:cs="宋体"/>
          <w:color w:val="auto"/>
          <w:spacing w:val="-51"/>
          <w:sz w:val="19"/>
          <w:szCs w:val="19"/>
          <w:highlight w:val="none"/>
        </w:rPr>
        <w:t xml:space="preserve"> </w:t>
      </w:r>
      <w:r>
        <w:rPr>
          <w:rFonts w:ascii="宋体" w:hAnsi="宋体" w:eastAsia="宋体" w:cs="宋体"/>
          <w:color w:val="auto"/>
          <w:spacing w:val="4"/>
          <w:sz w:val="19"/>
          <w:szCs w:val="19"/>
          <w:highlight w:val="none"/>
        </w:rPr>
        <w:t>工期延误由承包人承担。</w:t>
      </w:r>
    </w:p>
    <w:p w14:paraId="37E7952B">
      <w:pPr>
        <w:spacing w:before="28" w:line="228"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13.5.4</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承包人私自覆盖</w:t>
      </w:r>
    </w:p>
    <w:p w14:paraId="3A856E21">
      <w:pPr>
        <w:spacing w:before="120" w:line="330" w:lineRule="auto"/>
        <w:ind w:left="24" w:right="78" w:firstLine="43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承包人未通知监理人到场检查，私自将工程隐蔽部位覆盖的，监理人有权指示承包人钻孔</w:t>
      </w:r>
      <w:r>
        <w:rPr>
          <w:rFonts w:ascii="宋体" w:hAnsi="宋体" w:eastAsia="宋体" w:cs="宋体"/>
          <w:color w:val="auto"/>
          <w:spacing w:val="5"/>
          <w:sz w:val="19"/>
          <w:szCs w:val="19"/>
          <w:highlight w:val="none"/>
        </w:rPr>
        <w:t xml:space="preserve"> </w:t>
      </w:r>
      <w:r>
        <w:rPr>
          <w:rFonts w:ascii="宋体" w:hAnsi="宋体" w:eastAsia="宋体" w:cs="宋体"/>
          <w:color w:val="auto"/>
          <w:spacing w:val="7"/>
          <w:sz w:val="19"/>
          <w:szCs w:val="19"/>
          <w:highlight w:val="none"/>
        </w:rPr>
        <w:t>探测或揭开检查，由此增加的费用和（或）</w:t>
      </w:r>
      <w:r>
        <w:rPr>
          <w:rFonts w:ascii="宋体" w:hAnsi="宋体" w:eastAsia="宋体" w:cs="宋体"/>
          <w:color w:val="auto"/>
          <w:spacing w:val="-45"/>
          <w:sz w:val="19"/>
          <w:szCs w:val="19"/>
          <w:highlight w:val="none"/>
        </w:rPr>
        <w:t xml:space="preserve"> </w:t>
      </w:r>
      <w:r>
        <w:rPr>
          <w:rFonts w:ascii="宋体" w:hAnsi="宋体" w:eastAsia="宋体" w:cs="宋体"/>
          <w:color w:val="auto"/>
          <w:spacing w:val="7"/>
          <w:sz w:val="19"/>
          <w:szCs w:val="19"/>
          <w:highlight w:val="none"/>
        </w:rPr>
        <w:t>工期延误由承包人承担。</w:t>
      </w:r>
    </w:p>
    <w:p w14:paraId="5F88E57A">
      <w:pPr>
        <w:spacing w:before="78"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13.6</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清除不合格工程</w:t>
      </w:r>
    </w:p>
    <w:p w14:paraId="1F89B23A">
      <w:pPr>
        <w:spacing w:line="306" w:lineRule="auto"/>
        <w:rPr>
          <w:rFonts w:ascii="Arial"/>
          <w:color w:val="auto"/>
          <w:sz w:val="21"/>
          <w:highlight w:val="none"/>
        </w:rPr>
      </w:pPr>
    </w:p>
    <w:p w14:paraId="3CDEA810">
      <w:pPr>
        <w:spacing w:before="63" w:line="341" w:lineRule="auto"/>
        <w:ind w:left="26" w:right="76" w:firstLine="453"/>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13.6.1</w:t>
      </w:r>
      <w:r>
        <w:rPr>
          <w:rFonts w:ascii="宋体" w:hAnsi="宋体" w:eastAsia="宋体" w:cs="宋体"/>
          <w:color w:val="auto"/>
          <w:spacing w:val="-28"/>
          <w:sz w:val="19"/>
          <w:szCs w:val="19"/>
          <w:highlight w:val="none"/>
        </w:rPr>
        <w:t xml:space="preserve"> </w:t>
      </w:r>
      <w:r>
        <w:rPr>
          <w:rFonts w:ascii="宋体" w:hAnsi="宋体" w:eastAsia="宋体" w:cs="宋体"/>
          <w:color w:val="auto"/>
          <w:spacing w:val="6"/>
          <w:sz w:val="19"/>
          <w:szCs w:val="19"/>
          <w:highlight w:val="none"/>
        </w:rPr>
        <w:t>承包人使用不合格材料、工程设备，或采用不适当的施工工艺，或施工不当， 造成</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工程不合格的，监理人可以随时发出指示，要求承包人立即采取措施进行补救，</w:t>
      </w:r>
      <w:r>
        <w:rPr>
          <w:rFonts w:ascii="宋体" w:hAnsi="宋体" w:eastAsia="宋体" w:cs="宋体"/>
          <w:color w:val="auto"/>
          <w:spacing w:val="11"/>
          <w:sz w:val="19"/>
          <w:szCs w:val="19"/>
          <w:highlight w:val="none"/>
        </w:rPr>
        <w:t>直至达到合同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要求的质量标准，由此增加的费用和（或）</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工期延误由承包人承担。</w:t>
      </w:r>
    </w:p>
    <w:p w14:paraId="0C0CEC0F">
      <w:pPr>
        <w:spacing w:before="49" w:line="326" w:lineRule="auto"/>
        <w:ind w:left="25" w:right="80"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13.6.2 由于发包人提供的材料或工程设</w:t>
      </w:r>
      <w:r>
        <w:rPr>
          <w:rFonts w:ascii="宋体" w:hAnsi="宋体" w:eastAsia="宋体" w:cs="宋体"/>
          <w:color w:val="auto"/>
          <w:spacing w:val="7"/>
          <w:sz w:val="19"/>
          <w:szCs w:val="19"/>
          <w:highlight w:val="none"/>
        </w:rPr>
        <w:t>备不合格造成的工程不合格，需要承包人采取措施</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补救的，</w:t>
      </w:r>
      <w:r>
        <w:rPr>
          <w:rFonts w:ascii="宋体" w:hAnsi="宋体" w:eastAsia="宋体" w:cs="宋体"/>
          <w:color w:val="auto"/>
          <w:spacing w:val="-43"/>
          <w:sz w:val="19"/>
          <w:szCs w:val="19"/>
          <w:highlight w:val="none"/>
        </w:rPr>
        <w:t xml:space="preserve"> </w:t>
      </w:r>
      <w:r>
        <w:rPr>
          <w:rFonts w:ascii="宋体" w:hAnsi="宋体" w:eastAsia="宋体" w:cs="宋体"/>
          <w:color w:val="auto"/>
          <w:spacing w:val="8"/>
          <w:sz w:val="19"/>
          <w:szCs w:val="19"/>
          <w:highlight w:val="none"/>
        </w:rPr>
        <w:t>发包人应承担由此增加的费用和（或）工期延误，并支付承包人合理利润。</w:t>
      </w:r>
    </w:p>
    <w:p w14:paraId="14A1FF03">
      <w:pPr>
        <w:spacing w:before="2"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13.7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质量评定</w:t>
      </w:r>
    </w:p>
    <w:p w14:paraId="2937B9E1">
      <w:pPr>
        <w:spacing w:line="314" w:lineRule="auto"/>
        <w:rPr>
          <w:rFonts w:ascii="Arial"/>
          <w:color w:val="auto"/>
          <w:sz w:val="21"/>
          <w:highlight w:val="none"/>
        </w:rPr>
      </w:pPr>
    </w:p>
    <w:p w14:paraId="0868AFDC">
      <w:pPr>
        <w:spacing w:before="61" w:line="347" w:lineRule="auto"/>
        <w:ind w:left="28" w:right="80" w:firstLine="45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13.7.1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发包人应组织承包人进行工程项目划分，并确定单位工程、主要分部工程、重要隐</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蔽单元工程和关键部位单元工程。</w:t>
      </w:r>
    </w:p>
    <w:p w14:paraId="0C546037">
      <w:pPr>
        <w:spacing w:before="21" w:line="335" w:lineRule="auto"/>
        <w:ind w:left="24" w:right="80" w:firstLine="45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13.7.2</w:t>
      </w:r>
      <w:r>
        <w:rPr>
          <w:rFonts w:ascii="宋体" w:hAnsi="宋体" w:eastAsia="宋体" w:cs="宋体"/>
          <w:color w:val="auto"/>
          <w:spacing w:val="-27"/>
          <w:sz w:val="19"/>
          <w:szCs w:val="19"/>
          <w:highlight w:val="none"/>
        </w:rPr>
        <w:t xml:space="preserve"> </w:t>
      </w:r>
      <w:r>
        <w:rPr>
          <w:rFonts w:ascii="宋体" w:hAnsi="宋体" w:eastAsia="宋体" w:cs="宋体"/>
          <w:color w:val="auto"/>
          <w:spacing w:val="7"/>
          <w:sz w:val="19"/>
          <w:szCs w:val="19"/>
          <w:highlight w:val="none"/>
        </w:rPr>
        <w:t>工程实施过程中，</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单位工程、主要分</w:t>
      </w:r>
      <w:r>
        <w:rPr>
          <w:rFonts w:ascii="宋体" w:hAnsi="宋体" w:eastAsia="宋体" w:cs="宋体"/>
          <w:color w:val="auto"/>
          <w:spacing w:val="6"/>
          <w:sz w:val="19"/>
          <w:szCs w:val="19"/>
          <w:highlight w:val="none"/>
        </w:rPr>
        <w:t>部工程、重要隐蔽单元工程和关键部位单元工</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程的项目划分需要调整时，承包人应报发包人确认。</w:t>
      </w:r>
    </w:p>
    <w:p w14:paraId="47465660">
      <w:pPr>
        <w:spacing w:before="38" w:line="228" w:lineRule="auto"/>
        <w:jc w:val="right"/>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13.7.3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承包人应在单元（工序）工程</w:t>
      </w:r>
      <w:r>
        <w:rPr>
          <w:rFonts w:ascii="宋体" w:hAnsi="宋体" w:eastAsia="宋体" w:cs="宋体"/>
          <w:color w:val="auto"/>
          <w:spacing w:val="5"/>
          <w:sz w:val="19"/>
          <w:szCs w:val="19"/>
          <w:highlight w:val="none"/>
        </w:rPr>
        <w:t>质量自评合格后，报监理人核定质量等级并签证认可。</w:t>
      </w:r>
    </w:p>
    <w:p w14:paraId="4405DAEB">
      <w:pPr>
        <w:spacing w:before="122" w:line="340" w:lineRule="auto"/>
        <w:ind w:left="25" w:right="80"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13.7.4</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承包人应在重要隐蔽单元工程和关键部位单元</w:t>
      </w:r>
      <w:r>
        <w:rPr>
          <w:rFonts w:ascii="宋体" w:hAnsi="宋体" w:eastAsia="宋体" w:cs="宋体"/>
          <w:color w:val="auto"/>
          <w:spacing w:val="6"/>
          <w:sz w:val="19"/>
          <w:szCs w:val="19"/>
          <w:highlight w:val="none"/>
        </w:rPr>
        <w:t>工程质</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量自评合格后以及监理人抽检后，</w:t>
      </w:r>
      <w:r>
        <w:rPr>
          <w:rFonts w:ascii="宋体" w:hAnsi="宋体" w:eastAsia="宋体" w:cs="宋体"/>
          <w:color w:val="auto"/>
          <w:spacing w:val="-49"/>
          <w:sz w:val="19"/>
          <w:szCs w:val="19"/>
          <w:highlight w:val="none"/>
        </w:rPr>
        <w:t xml:space="preserve"> </w:t>
      </w:r>
      <w:r>
        <w:rPr>
          <w:rFonts w:ascii="宋体" w:hAnsi="宋体" w:eastAsia="宋体" w:cs="宋体"/>
          <w:color w:val="auto"/>
          <w:spacing w:val="11"/>
          <w:sz w:val="19"/>
          <w:szCs w:val="19"/>
          <w:highlight w:val="none"/>
        </w:rPr>
        <w:t>由监理人组织承包人等单位组成的联合小组，</w:t>
      </w:r>
      <w:r>
        <w:rPr>
          <w:rFonts w:ascii="宋体" w:hAnsi="宋体" w:eastAsia="宋体" w:cs="宋体"/>
          <w:color w:val="auto"/>
          <w:spacing w:val="10"/>
          <w:sz w:val="19"/>
          <w:szCs w:val="19"/>
          <w:highlight w:val="none"/>
        </w:rPr>
        <w:t>共同检查核定</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其质量等级并填写签证表。发包人按有关规定完成质量结论报工程质量监</w:t>
      </w:r>
      <w:r>
        <w:rPr>
          <w:rFonts w:ascii="宋体" w:hAnsi="宋体" w:eastAsia="宋体" w:cs="宋体"/>
          <w:color w:val="auto"/>
          <w:spacing w:val="8"/>
          <w:sz w:val="19"/>
          <w:szCs w:val="19"/>
          <w:highlight w:val="none"/>
        </w:rPr>
        <w:t>督机构核备手续。</w:t>
      </w:r>
    </w:p>
    <w:p w14:paraId="7715384C">
      <w:pPr>
        <w:spacing w:line="340" w:lineRule="auto"/>
        <w:rPr>
          <w:rFonts w:ascii="宋体" w:hAnsi="宋体" w:eastAsia="宋体" w:cs="宋体"/>
          <w:color w:val="auto"/>
          <w:sz w:val="19"/>
          <w:szCs w:val="19"/>
          <w:highlight w:val="none"/>
        </w:rPr>
        <w:sectPr>
          <w:footerReference r:id="rId92" w:type="default"/>
          <w:pgSz w:w="11900" w:h="16832"/>
          <w:pgMar w:top="1423" w:right="1725" w:bottom="1188" w:left="1784" w:header="0" w:footer="980" w:gutter="0"/>
          <w:pgNumType w:fmt="decimal"/>
          <w:cols w:space="720" w:num="1"/>
        </w:sectPr>
      </w:pPr>
    </w:p>
    <w:p w14:paraId="0F6369F2">
      <w:pPr>
        <w:spacing w:before="135" w:line="349" w:lineRule="auto"/>
        <w:ind w:left="26" w:right="50"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13.7.5</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承包人应在分部工程质量自评合格后，报监理人复核和发包人认定。发包人负责按</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有关规定完成分部工程质量结论报工程质量监督机构核备（核定）</w:t>
      </w:r>
      <w:r>
        <w:rPr>
          <w:rFonts w:ascii="宋体" w:hAnsi="宋体" w:eastAsia="宋体" w:cs="宋体"/>
          <w:color w:val="auto"/>
          <w:spacing w:val="8"/>
          <w:sz w:val="19"/>
          <w:szCs w:val="19"/>
          <w:highlight w:val="none"/>
        </w:rPr>
        <w:t>手续。</w:t>
      </w:r>
    </w:p>
    <w:p w14:paraId="62803251">
      <w:pPr>
        <w:spacing w:before="31" w:line="346" w:lineRule="auto"/>
        <w:ind w:left="26" w:right="50"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13.7.6</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承包人应在单位工程质量自评合格后，报监理人复核和发包人认定。发包人负责按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有关规定完成单位工程质量结论报工程质量监督机构核定手续。</w:t>
      </w:r>
    </w:p>
    <w:p w14:paraId="78C7C79F">
      <w:pPr>
        <w:spacing w:before="29" w:line="340" w:lineRule="auto"/>
        <w:ind w:left="27" w:right="50" w:firstLine="45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13.7.7</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3"/>
          <w:sz w:val="19"/>
          <w:szCs w:val="19"/>
          <w:highlight w:val="none"/>
        </w:rPr>
        <w:t xml:space="preserve"> </w:t>
      </w:r>
      <w:r>
        <w:rPr>
          <w:rFonts w:ascii="宋体" w:hAnsi="宋体" w:eastAsia="宋体" w:cs="宋体"/>
          <w:color w:val="auto"/>
          <w:spacing w:val="7"/>
          <w:sz w:val="19"/>
          <w:szCs w:val="19"/>
          <w:highlight w:val="none"/>
        </w:rPr>
        <w:t>工程质量等级分为合格和优良，应分别达</w:t>
      </w:r>
      <w:r>
        <w:rPr>
          <w:rFonts w:ascii="宋体" w:hAnsi="宋体" w:eastAsia="宋体" w:cs="宋体"/>
          <w:color w:val="auto"/>
          <w:spacing w:val="6"/>
          <w:sz w:val="19"/>
          <w:szCs w:val="19"/>
          <w:highlight w:val="none"/>
        </w:rPr>
        <w:t>到约定的标</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准。</w:t>
      </w:r>
    </w:p>
    <w:p w14:paraId="7784FBE5">
      <w:pPr>
        <w:spacing w:before="66"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13.8</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质量事故处理</w:t>
      </w:r>
    </w:p>
    <w:p w14:paraId="6CE78B96">
      <w:pPr>
        <w:spacing w:line="305" w:lineRule="auto"/>
        <w:rPr>
          <w:rFonts w:ascii="Arial"/>
          <w:color w:val="auto"/>
          <w:sz w:val="21"/>
          <w:highlight w:val="none"/>
        </w:rPr>
      </w:pPr>
    </w:p>
    <w:p w14:paraId="2FD8E5ED">
      <w:pPr>
        <w:spacing w:before="62" w:line="227"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13.8.1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发生质量事故时，承包人应及</w:t>
      </w:r>
      <w:r>
        <w:rPr>
          <w:rFonts w:ascii="宋体" w:hAnsi="宋体" w:eastAsia="宋体" w:cs="宋体"/>
          <w:color w:val="auto"/>
          <w:spacing w:val="6"/>
          <w:sz w:val="19"/>
          <w:szCs w:val="19"/>
          <w:highlight w:val="none"/>
        </w:rPr>
        <w:t>时向发包人和监理人报告。</w:t>
      </w:r>
    </w:p>
    <w:p w14:paraId="2AF4D4E9">
      <w:pPr>
        <w:spacing w:before="130" w:line="228" w:lineRule="auto"/>
        <w:ind w:left="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13.8.2</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质量事故调查处理由发包人按相关规定履行手</w:t>
      </w:r>
      <w:r>
        <w:rPr>
          <w:rFonts w:ascii="宋体" w:hAnsi="宋体" w:eastAsia="宋体" w:cs="宋体"/>
          <w:color w:val="auto"/>
          <w:spacing w:val="7"/>
          <w:sz w:val="19"/>
          <w:szCs w:val="19"/>
          <w:highlight w:val="none"/>
        </w:rPr>
        <w:t>续，承包人应配合。</w:t>
      </w:r>
    </w:p>
    <w:p w14:paraId="49B1619A">
      <w:pPr>
        <w:spacing w:before="127" w:line="335" w:lineRule="auto"/>
        <w:ind w:left="28" w:right="50" w:firstLine="45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13.8.3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承包人应对质量缺陷进行备案。发包人委托监理人对质量缺陷备案情况进行监督检</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查并履行相关手续。</w:t>
      </w:r>
    </w:p>
    <w:p w14:paraId="05E0E55B">
      <w:pPr>
        <w:spacing w:before="32" w:line="333" w:lineRule="auto"/>
        <w:ind w:left="30" w:right="50" w:firstLine="44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13.8.4</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3"/>
          <w:sz w:val="19"/>
          <w:szCs w:val="19"/>
          <w:highlight w:val="none"/>
        </w:rPr>
        <w:t xml:space="preserve"> </w:t>
      </w:r>
      <w:r>
        <w:rPr>
          <w:rFonts w:ascii="宋体" w:hAnsi="宋体" w:eastAsia="宋体" w:cs="宋体"/>
          <w:color w:val="auto"/>
          <w:spacing w:val="7"/>
          <w:sz w:val="19"/>
          <w:szCs w:val="19"/>
          <w:highlight w:val="none"/>
        </w:rPr>
        <w:t>工程竣工验收时，发包人负责向竣工验收</w:t>
      </w:r>
      <w:r>
        <w:rPr>
          <w:rFonts w:ascii="宋体" w:hAnsi="宋体" w:eastAsia="宋体" w:cs="宋体"/>
          <w:color w:val="auto"/>
          <w:spacing w:val="6"/>
          <w:sz w:val="19"/>
          <w:szCs w:val="19"/>
          <w:highlight w:val="none"/>
        </w:rPr>
        <w:t>委员会汇报</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并提交历次质量缺陷处理的备案资料。</w:t>
      </w:r>
    </w:p>
    <w:p w14:paraId="4601ABF6">
      <w:pPr>
        <w:spacing w:before="223"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14 .</w:t>
      </w:r>
      <w:r>
        <w:rPr>
          <w:rFonts w:ascii="宋体" w:hAnsi="宋体" w:eastAsia="宋体" w:cs="宋体"/>
          <w:b/>
          <w:bCs/>
          <w:color w:val="auto"/>
          <w:spacing w:val="3"/>
          <w:sz w:val="31"/>
          <w:szCs w:val="31"/>
          <w:highlight w:val="none"/>
        </w:rPr>
        <w:t>试验和检验</w:t>
      </w:r>
    </w:p>
    <w:p w14:paraId="3EF4E5BA">
      <w:pPr>
        <w:spacing w:line="250" w:lineRule="auto"/>
        <w:rPr>
          <w:rFonts w:ascii="Arial"/>
          <w:color w:val="auto"/>
          <w:sz w:val="21"/>
          <w:highlight w:val="none"/>
        </w:rPr>
      </w:pPr>
    </w:p>
    <w:p w14:paraId="30D5A3DB">
      <w:pPr>
        <w:spacing w:line="250" w:lineRule="auto"/>
        <w:rPr>
          <w:rFonts w:ascii="Arial"/>
          <w:color w:val="auto"/>
          <w:sz w:val="21"/>
          <w:highlight w:val="none"/>
        </w:rPr>
      </w:pPr>
    </w:p>
    <w:p w14:paraId="2B8C18BD">
      <w:pPr>
        <w:spacing w:before="91" w:line="219"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14.1</w:t>
      </w:r>
      <w:r>
        <w:rPr>
          <w:rFonts w:ascii="宋体" w:hAnsi="宋体" w:eastAsia="宋体" w:cs="宋体"/>
          <w:color w:val="auto"/>
          <w:spacing w:val="-41"/>
          <w:sz w:val="28"/>
          <w:szCs w:val="28"/>
          <w:highlight w:val="none"/>
        </w:rPr>
        <w:t xml:space="preserve"> </w:t>
      </w:r>
      <w:r>
        <w:rPr>
          <w:rFonts w:ascii="宋体" w:hAnsi="宋体" w:eastAsia="宋体" w:cs="宋体"/>
          <w:b/>
          <w:bCs/>
          <w:color w:val="auto"/>
          <w:spacing w:val="-5"/>
          <w:sz w:val="28"/>
          <w:szCs w:val="28"/>
          <w:highlight w:val="none"/>
        </w:rPr>
        <w:t>材料、工程设备和工程的试验和检验</w:t>
      </w:r>
    </w:p>
    <w:p w14:paraId="1733CBC3">
      <w:pPr>
        <w:spacing w:line="303" w:lineRule="auto"/>
        <w:rPr>
          <w:rFonts w:ascii="Arial"/>
          <w:color w:val="auto"/>
          <w:sz w:val="21"/>
          <w:highlight w:val="none"/>
        </w:rPr>
      </w:pPr>
    </w:p>
    <w:p w14:paraId="06B54651">
      <w:pPr>
        <w:spacing w:before="62" w:line="336" w:lineRule="auto"/>
        <w:ind w:left="25" w:right="49"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14.1.</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承包人应按合同约定进行材料、工程设备和工程的试验和</w:t>
      </w:r>
      <w:r>
        <w:rPr>
          <w:rFonts w:ascii="宋体" w:hAnsi="宋体" w:eastAsia="宋体" w:cs="宋体"/>
          <w:color w:val="auto"/>
          <w:spacing w:val="6"/>
          <w:sz w:val="19"/>
          <w:szCs w:val="19"/>
          <w:highlight w:val="none"/>
        </w:rPr>
        <w:t>检验，并为监理人对上述</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材料、工程设备和工程的质量检查提供必要的试验资料和原始记录。按合同约定应</w:t>
      </w:r>
      <w:r>
        <w:rPr>
          <w:rFonts w:ascii="宋体" w:hAnsi="宋体" w:eastAsia="宋体" w:cs="宋体"/>
          <w:color w:val="auto"/>
          <w:spacing w:val="11"/>
          <w:sz w:val="19"/>
          <w:szCs w:val="19"/>
          <w:highlight w:val="none"/>
        </w:rPr>
        <w:t>由监理人与</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承包人共同进行试验和检验的，由承包人负责提供必要的试验资料和原始记录。</w:t>
      </w:r>
    </w:p>
    <w:p w14:paraId="6EF0747E">
      <w:pPr>
        <w:spacing w:before="29" w:line="333" w:lineRule="auto"/>
        <w:ind w:left="25" w:right="50"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监理人未按合同约定派员参加试验和检验的，除监理人另有指示外，承包人可自行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试验和检验，并应立即将试验和检验结果报送监理人，监</w:t>
      </w:r>
      <w:r>
        <w:rPr>
          <w:rFonts w:ascii="宋体" w:hAnsi="宋体" w:eastAsia="宋体" w:cs="宋体"/>
          <w:color w:val="auto"/>
          <w:spacing w:val="8"/>
          <w:sz w:val="19"/>
          <w:szCs w:val="19"/>
          <w:highlight w:val="none"/>
        </w:rPr>
        <w:t>理人应签字确认。</w:t>
      </w:r>
    </w:p>
    <w:p w14:paraId="7DC43321">
      <w:pPr>
        <w:spacing w:before="28" w:line="340" w:lineRule="auto"/>
        <w:ind w:left="24" w:right="50"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监理人对承包人的试验和检验结果有疑问的，或为查清承包人试验和检验成果的可</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靠性要求承包人重新试验和检验的，可按合同约定由监理人与承包人共同进行。重</w:t>
      </w:r>
      <w:r>
        <w:rPr>
          <w:rFonts w:ascii="宋体" w:hAnsi="宋体" w:eastAsia="宋体" w:cs="宋体"/>
          <w:color w:val="auto"/>
          <w:spacing w:val="11"/>
          <w:sz w:val="19"/>
          <w:szCs w:val="19"/>
          <w:highlight w:val="none"/>
        </w:rPr>
        <w:t>新试验和检</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验的结果证明该项材料、工程设备或工程的质量不符合合同要求的，</w:t>
      </w:r>
      <w:r>
        <w:rPr>
          <w:rFonts w:ascii="宋体" w:hAnsi="宋体" w:eastAsia="宋体" w:cs="宋体"/>
          <w:color w:val="auto"/>
          <w:spacing w:val="-33"/>
          <w:sz w:val="19"/>
          <w:szCs w:val="19"/>
          <w:highlight w:val="none"/>
        </w:rPr>
        <w:t xml:space="preserve"> </w:t>
      </w:r>
      <w:r>
        <w:rPr>
          <w:rFonts w:ascii="宋体" w:hAnsi="宋体" w:eastAsia="宋体" w:cs="宋体"/>
          <w:color w:val="auto"/>
          <w:spacing w:val="10"/>
          <w:sz w:val="19"/>
          <w:szCs w:val="19"/>
          <w:highlight w:val="none"/>
        </w:rPr>
        <w:t>由此增加的费用和（或）</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工期延误由承包人承担；重新试验和检验结果证明该</w:t>
      </w:r>
      <w:r>
        <w:rPr>
          <w:rFonts w:ascii="宋体" w:hAnsi="宋体" w:eastAsia="宋体" w:cs="宋体"/>
          <w:color w:val="auto"/>
          <w:spacing w:val="11"/>
          <w:sz w:val="19"/>
          <w:szCs w:val="19"/>
          <w:highlight w:val="none"/>
        </w:rPr>
        <w:t>项材料、工程设备和工程符合合同要求，</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由发包人承担由此增加的费用和（或）工期延误，</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并支付承包人合理利润。</w:t>
      </w:r>
    </w:p>
    <w:p w14:paraId="4A8A9C57">
      <w:pPr>
        <w:spacing w:before="32" w:line="331" w:lineRule="auto"/>
        <w:ind w:left="26" w:right="44"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14.1.4</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承包人应按相关规定和标准对水泥、钢材等原材料与中间产品质量进行检验, 并报</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监理人复核。</w:t>
      </w:r>
    </w:p>
    <w:p w14:paraId="3F736981">
      <w:pPr>
        <w:spacing w:before="27" w:line="339" w:lineRule="auto"/>
        <w:ind w:left="25" w:firstLine="45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14.1.5</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3"/>
          <w:sz w:val="19"/>
          <w:szCs w:val="19"/>
          <w:highlight w:val="none"/>
        </w:rPr>
        <w:t xml:space="preserve"> </w:t>
      </w:r>
      <w:r>
        <w:rPr>
          <w:rFonts w:ascii="宋体" w:hAnsi="宋体" w:eastAsia="宋体" w:cs="宋体"/>
          <w:color w:val="auto"/>
          <w:spacing w:val="7"/>
          <w:sz w:val="19"/>
          <w:szCs w:val="19"/>
          <w:highlight w:val="none"/>
        </w:rPr>
        <w:t>水工金属结构、启闭机及机电产品进场后</w:t>
      </w:r>
      <w:r>
        <w:rPr>
          <w:rFonts w:ascii="宋体" w:hAnsi="宋体" w:eastAsia="宋体" w:cs="宋体"/>
          <w:color w:val="auto"/>
          <w:spacing w:val="6"/>
          <w:sz w:val="19"/>
          <w:szCs w:val="19"/>
          <w:highlight w:val="none"/>
        </w:rPr>
        <w:t>，监理人组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织发包人按合同进行交货检查和验收。安装前，承包人应检查产品是否有出厂合格</w:t>
      </w:r>
      <w:r>
        <w:rPr>
          <w:rFonts w:ascii="宋体" w:hAnsi="宋体" w:eastAsia="宋体" w:cs="宋体"/>
          <w:color w:val="auto"/>
          <w:spacing w:val="11"/>
          <w:sz w:val="19"/>
          <w:szCs w:val="19"/>
          <w:highlight w:val="none"/>
        </w:rPr>
        <w:t>证、设备安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装说明书及有关技术文件，对在运输和存放过程中发生的变形、受潮、损坏等问题应作好记录，</w:t>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并进行妥善处理。</w:t>
      </w:r>
    </w:p>
    <w:p w14:paraId="3FC312BD">
      <w:pPr>
        <w:spacing w:before="34" w:line="335" w:lineRule="auto"/>
        <w:ind w:left="25" w:right="50"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14.1.6</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对专用合同条款约定的试块、试件及有关材料，监理人实行见证取样。见证取样资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料由承包人制备，记录应真实齐全，监理人、承包人等参与见证取样人员均应在相</w:t>
      </w:r>
      <w:r>
        <w:rPr>
          <w:rFonts w:ascii="宋体" w:hAnsi="宋体" w:eastAsia="宋体" w:cs="宋体"/>
          <w:color w:val="auto"/>
          <w:spacing w:val="11"/>
          <w:sz w:val="19"/>
          <w:szCs w:val="19"/>
          <w:highlight w:val="none"/>
        </w:rPr>
        <w:t>关文件上签</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字。</w:t>
      </w:r>
    </w:p>
    <w:p w14:paraId="32AA181E">
      <w:pPr>
        <w:spacing w:line="335" w:lineRule="auto"/>
        <w:rPr>
          <w:rFonts w:ascii="宋体" w:hAnsi="宋体" w:eastAsia="宋体" w:cs="宋体"/>
          <w:color w:val="auto"/>
          <w:sz w:val="19"/>
          <w:szCs w:val="19"/>
          <w:highlight w:val="none"/>
        </w:rPr>
        <w:sectPr>
          <w:footerReference r:id="rId93" w:type="default"/>
          <w:pgSz w:w="11900" w:h="16832"/>
          <w:pgMar w:top="1430" w:right="1756" w:bottom="1188" w:left="1784" w:header="0" w:footer="980" w:gutter="0"/>
          <w:pgNumType w:fmt="decimal"/>
          <w:cols w:space="720" w:num="1"/>
        </w:sectPr>
      </w:pPr>
    </w:p>
    <w:p w14:paraId="675E3E44">
      <w:pPr>
        <w:spacing w:before="56" w:line="219"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14.2</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现场材料试验</w:t>
      </w:r>
    </w:p>
    <w:p w14:paraId="18DE0F07">
      <w:pPr>
        <w:spacing w:line="304" w:lineRule="auto"/>
        <w:rPr>
          <w:rFonts w:ascii="Arial"/>
          <w:color w:val="auto"/>
          <w:sz w:val="21"/>
          <w:highlight w:val="none"/>
        </w:rPr>
      </w:pPr>
    </w:p>
    <w:p w14:paraId="03777AAD">
      <w:pPr>
        <w:spacing w:before="62" w:line="337" w:lineRule="auto"/>
        <w:ind w:left="464" w:right="17" w:firstLine="1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14.2. 1</w:t>
      </w:r>
      <w:r>
        <w:rPr>
          <w:rFonts w:ascii="宋体" w:hAnsi="宋体" w:eastAsia="宋体" w:cs="宋体"/>
          <w:color w:val="auto"/>
          <w:spacing w:val="-19"/>
          <w:sz w:val="19"/>
          <w:szCs w:val="19"/>
          <w:highlight w:val="none"/>
        </w:rPr>
        <w:t xml:space="preserve"> </w:t>
      </w:r>
      <w:r>
        <w:rPr>
          <w:rFonts w:ascii="宋体" w:hAnsi="宋体" w:eastAsia="宋体" w:cs="宋体"/>
          <w:color w:val="auto"/>
          <w:spacing w:val="8"/>
          <w:sz w:val="19"/>
          <w:szCs w:val="19"/>
          <w:highlight w:val="none"/>
        </w:rPr>
        <w:t>承包人根据合同约定或监理人指示进行的现场材料试验，应由承包人提供试 验场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所、试验人员、试验设备器材以及其他必要的试验条件。</w:t>
      </w:r>
    </w:p>
    <w:p w14:paraId="41B457E5">
      <w:pPr>
        <w:spacing w:before="35" w:line="342" w:lineRule="auto"/>
        <w:ind w:left="468" w:right="23" w:firstLine="1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14.2.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监理人在必要时可以使用承包人的试验场所、试验设备器材以及其他试验条件，进</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行以工程质量检查为目的的复核性材料试验，承包人应予以协助。</w:t>
      </w:r>
    </w:p>
    <w:p w14:paraId="3FF73314">
      <w:pPr>
        <w:spacing w:before="68"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14.3</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现场工艺试验</w:t>
      </w:r>
    </w:p>
    <w:p w14:paraId="72D8BE4F">
      <w:pPr>
        <w:spacing w:line="293" w:lineRule="auto"/>
        <w:rPr>
          <w:rFonts w:ascii="Arial"/>
          <w:color w:val="auto"/>
          <w:sz w:val="21"/>
          <w:highlight w:val="none"/>
        </w:rPr>
      </w:pPr>
    </w:p>
    <w:p w14:paraId="1B217A22">
      <w:pPr>
        <w:spacing w:before="62" w:line="330" w:lineRule="auto"/>
        <w:ind w:left="28" w:right="19" w:firstLine="436"/>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承包人应按合同约定或监理人指示进行现场工艺试验。对大型的现场工艺试验，监理人认</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为必要时，应由承包人根据监理人提出的工艺试验要求，编制工艺试验措施</w:t>
      </w:r>
      <w:r>
        <w:rPr>
          <w:rFonts w:ascii="宋体" w:hAnsi="宋体" w:eastAsia="宋体" w:cs="宋体"/>
          <w:color w:val="auto"/>
          <w:spacing w:val="11"/>
          <w:sz w:val="19"/>
          <w:szCs w:val="19"/>
          <w:highlight w:val="none"/>
        </w:rPr>
        <w:t>计划，报送监理人</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审批。</w:t>
      </w:r>
    </w:p>
    <w:p w14:paraId="7B611978">
      <w:pPr>
        <w:spacing w:before="228" w:line="226" w:lineRule="auto"/>
        <w:ind w:left="42"/>
        <w:rPr>
          <w:rFonts w:ascii="宋体" w:hAnsi="宋体" w:eastAsia="宋体" w:cs="宋体"/>
          <w:color w:val="auto"/>
          <w:sz w:val="31"/>
          <w:szCs w:val="31"/>
          <w:highlight w:val="none"/>
        </w:rPr>
      </w:pPr>
      <w:r>
        <w:rPr>
          <w:rFonts w:ascii="Cambria" w:hAnsi="Cambria" w:eastAsia="Cambria" w:cs="Cambria"/>
          <w:b/>
          <w:bCs/>
          <w:color w:val="auto"/>
          <w:sz w:val="31"/>
          <w:szCs w:val="31"/>
          <w:highlight w:val="none"/>
        </w:rPr>
        <w:t>15.</w:t>
      </w:r>
      <w:r>
        <w:rPr>
          <w:rFonts w:ascii="宋体" w:hAnsi="宋体" w:eastAsia="宋体" w:cs="宋体"/>
          <w:b/>
          <w:bCs/>
          <w:color w:val="auto"/>
          <w:sz w:val="31"/>
          <w:szCs w:val="31"/>
          <w:highlight w:val="none"/>
        </w:rPr>
        <w:t>变更</w:t>
      </w:r>
    </w:p>
    <w:p w14:paraId="20E737A6">
      <w:pPr>
        <w:spacing w:line="249" w:lineRule="auto"/>
        <w:rPr>
          <w:rFonts w:ascii="Arial"/>
          <w:color w:val="auto"/>
          <w:sz w:val="21"/>
          <w:highlight w:val="none"/>
        </w:rPr>
      </w:pPr>
    </w:p>
    <w:p w14:paraId="65058776">
      <w:pPr>
        <w:spacing w:line="250" w:lineRule="auto"/>
        <w:rPr>
          <w:rFonts w:ascii="Arial"/>
          <w:color w:val="auto"/>
          <w:sz w:val="21"/>
          <w:highlight w:val="none"/>
        </w:rPr>
      </w:pPr>
    </w:p>
    <w:p w14:paraId="6A91E98A">
      <w:pPr>
        <w:spacing w:before="92"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15.1</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变更的范围和内容</w:t>
      </w:r>
    </w:p>
    <w:p w14:paraId="4C7189F3">
      <w:pPr>
        <w:spacing w:line="303" w:lineRule="auto"/>
        <w:rPr>
          <w:rFonts w:ascii="Arial"/>
          <w:color w:val="auto"/>
          <w:sz w:val="21"/>
          <w:highlight w:val="none"/>
        </w:rPr>
      </w:pPr>
    </w:p>
    <w:p w14:paraId="11838A6E">
      <w:pPr>
        <w:spacing w:before="62" w:line="228" w:lineRule="auto"/>
        <w:ind w:left="46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在履行合同中发生以下情形之一，应按照本条规定进行变更。</w:t>
      </w:r>
    </w:p>
    <w:p w14:paraId="2A49BFF9">
      <w:pPr>
        <w:spacing w:before="12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取消合同中任何一项工作，但被取消的工作不能转由发包人或其它人实施；</w:t>
      </w:r>
    </w:p>
    <w:p w14:paraId="3F31A7A7">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改变合同中任何一项工作</w:t>
      </w:r>
      <w:r>
        <w:rPr>
          <w:rFonts w:ascii="宋体" w:hAnsi="宋体" w:eastAsia="宋体" w:cs="宋体"/>
          <w:color w:val="auto"/>
          <w:spacing w:val="5"/>
          <w:sz w:val="19"/>
          <w:szCs w:val="19"/>
          <w:highlight w:val="none"/>
        </w:rPr>
        <w:t>的质量或其它特性；</w:t>
      </w:r>
    </w:p>
    <w:p w14:paraId="2E34CE06">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(3)              </w:t>
      </w:r>
      <w:r>
        <w:rPr>
          <w:rFonts w:ascii="宋体" w:hAnsi="宋体" w:eastAsia="宋体" w:cs="宋体"/>
          <w:color w:val="auto"/>
          <w:spacing w:val="5"/>
          <w:sz w:val="19"/>
          <w:szCs w:val="19"/>
          <w:highlight w:val="none"/>
        </w:rPr>
        <w:t>改变合同工</w:t>
      </w:r>
      <w:r>
        <w:rPr>
          <w:rFonts w:ascii="宋体" w:hAnsi="宋体" w:eastAsia="宋体" w:cs="宋体"/>
          <w:color w:val="auto"/>
          <w:spacing w:val="4"/>
          <w:sz w:val="19"/>
          <w:szCs w:val="19"/>
          <w:highlight w:val="none"/>
        </w:rPr>
        <w:t>程的基线、标高、位置或尺寸；</w:t>
      </w:r>
    </w:p>
    <w:p w14:paraId="3131A70E">
      <w:pPr>
        <w:spacing w:before="13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改变合同中任何一项工作的施工时间或改变已批准的施工工艺或顺序；</w:t>
      </w:r>
    </w:p>
    <w:p w14:paraId="47B0A4A2">
      <w:pPr>
        <w:spacing w:before="13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(5)              </w:t>
      </w:r>
      <w:r>
        <w:rPr>
          <w:rFonts w:ascii="宋体" w:hAnsi="宋体" w:eastAsia="宋体" w:cs="宋体"/>
          <w:color w:val="auto"/>
          <w:spacing w:val="4"/>
          <w:sz w:val="19"/>
          <w:szCs w:val="19"/>
          <w:highlight w:val="none"/>
        </w:rPr>
        <w:t>为完成工程需要追加的额外工作；</w:t>
      </w:r>
    </w:p>
    <w:p w14:paraId="55D1C8E9">
      <w:pPr>
        <w:spacing w:before="136" w:line="292" w:lineRule="auto"/>
        <w:ind w:left="27" w:right="197"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(6)             </w:t>
      </w:r>
      <w:r>
        <w:rPr>
          <w:rFonts w:ascii="宋体" w:hAnsi="宋体" w:eastAsia="宋体" w:cs="宋体"/>
          <w:color w:val="auto"/>
          <w:spacing w:val="8"/>
          <w:sz w:val="19"/>
          <w:szCs w:val="19"/>
          <w:highlight w:val="none"/>
        </w:rPr>
        <w:t>增加或减少专用合同条款中约定的关键项目工程量超过其工程总量的一定数量的百</w:t>
      </w:r>
      <w:r>
        <w:rPr>
          <w:rFonts w:ascii="宋体" w:hAnsi="宋体" w:eastAsia="宋体" w:cs="宋体"/>
          <w:color w:val="auto"/>
          <w:spacing w:val="10"/>
          <w:sz w:val="19"/>
          <w:szCs w:val="19"/>
          <w:highlight w:val="none"/>
        </w:rPr>
        <w:t xml:space="preserve"> </w:t>
      </w:r>
      <w:r>
        <w:rPr>
          <w:rFonts w:ascii="宋体" w:hAnsi="宋体" w:eastAsia="宋体" w:cs="宋体"/>
          <w:color w:val="auto"/>
          <w:spacing w:val="-4"/>
          <w:sz w:val="19"/>
          <w:szCs w:val="19"/>
          <w:highlight w:val="none"/>
        </w:rPr>
        <w:t>分比。</w:t>
      </w:r>
    </w:p>
    <w:p w14:paraId="45ABA62A">
      <w:pPr>
        <w:spacing w:before="130" w:line="315" w:lineRule="auto"/>
        <w:ind w:left="42" w:right="20" w:firstLine="42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上述第(1) ~ (6)</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目的变更内容引起工程施</w:t>
      </w:r>
      <w:r>
        <w:rPr>
          <w:rFonts w:ascii="宋体" w:hAnsi="宋体" w:eastAsia="宋体" w:cs="宋体"/>
          <w:color w:val="auto"/>
          <w:spacing w:val="6"/>
          <w:sz w:val="19"/>
          <w:szCs w:val="19"/>
          <w:highlight w:val="none"/>
        </w:rPr>
        <w:t>工组织和进度计划发生实质性变动和影响其原定</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的价格时，才予调整该项目的单价。第(6)目情形下单价调整方式在专用合同条款中约定。</w:t>
      </w:r>
    </w:p>
    <w:p w14:paraId="3576BEAA">
      <w:pPr>
        <w:spacing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15.2</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8"/>
          <w:sz w:val="28"/>
          <w:szCs w:val="28"/>
          <w:highlight w:val="none"/>
        </w:rPr>
        <w:t>变更权</w:t>
      </w:r>
    </w:p>
    <w:p w14:paraId="70447788">
      <w:pPr>
        <w:spacing w:line="314" w:lineRule="auto"/>
        <w:rPr>
          <w:rFonts w:ascii="Arial"/>
          <w:color w:val="auto"/>
          <w:sz w:val="21"/>
          <w:highlight w:val="none"/>
        </w:rPr>
      </w:pPr>
    </w:p>
    <w:p w14:paraId="4F1203AE">
      <w:pPr>
        <w:spacing w:before="62" w:line="349" w:lineRule="auto"/>
        <w:ind w:left="25" w:right="21" w:firstLine="43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在履行合同过程中，经发包人同意，</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监理人可按第 15. 3 款</w:t>
      </w:r>
      <w:r>
        <w:rPr>
          <w:rFonts w:ascii="宋体" w:hAnsi="宋体" w:eastAsia="宋体" w:cs="宋体"/>
          <w:color w:val="auto"/>
          <w:spacing w:val="6"/>
          <w:sz w:val="19"/>
          <w:szCs w:val="19"/>
          <w:highlight w:val="none"/>
        </w:rPr>
        <w:t>约定的变更程序向承包人作出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变更指示，承包人应遵照执行。没有监理人的变更指示，承包人不得擅自变更。</w:t>
      </w:r>
    </w:p>
    <w:p w14:paraId="2C43A47A">
      <w:pPr>
        <w:spacing w:before="183"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15.3</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7"/>
          <w:sz w:val="28"/>
          <w:szCs w:val="28"/>
          <w:highlight w:val="none"/>
        </w:rPr>
        <w:t>变更程序</w:t>
      </w:r>
    </w:p>
    <w:p w14:paraId="4A3334B2">
      <w:pPr>
        <w:spacing w:line="295" w:lineRule="auto"/>
        <w:rPr>
          <w:rFonts w:ascii="Arial"/>
          <w:color w:val="auto"/>
          <w:sz w:val="21"/>
          <w:highlight w:val="none"/>
        </w:rPr>
      </w:pPr>
    </w:p>
    <w:p w14:paraId="7DE389AF">
      <w:pPr>
        <w:spacing w:before="63" w:line="229" w:lineRule="auto"/>
        <w:ind w:left="46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15.3.1</w:t>
      </w:r>
      <w:r>
        <w:rPr>
          <w:rFonts w:ascii="宋体" w:hAnsi="宋体" w:eastAsia="宋体" w:cs="宋体"/>
          <w:color w:val="auto"/>
          <w:spacing w:val="-34"/>
          <w:sz w:val="19"/>
          <w:szCs w:val="19"/>
          <w:highlight w:val="none"/>
        </w:rPr>
        <w:t xml:space="preserve"> </w:t>
      </w:r>
      <w:r>
        <w:rPr>
          <w:rFonts w:ascii="宋体" w:hAnsi="宋体" w:eastAsia="宋体" w:cs="宋体"/>
          <w:color w:val="auto"/>
          <w:spacing w:val="4"/>
          <w:sz w:val="19"/>
          <w:szCs w:val="19"/>
          <w:highlight w:val="none"/>
        </w:rPr>
        <w:t>变更的提出</w:t>
      </w:r>
    </w:p>
    <w:p w14:paraId="6F23048D">
      <w:pPr>
        <w:spacing w:before="116" w:line="335" w:lineRule="auto"/>
        <w:ind w:left="24" w:right="16" w:firstLine="1"/>
        <w:jc w:val="both"/>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在合同履行过程中，可能发生第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15.1</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款约定情形的，</w:t>
      </w:r>
      <w:r>
        <w:rPr>
          <w:rFonts w:ascii="宋体" w:hAnsi="宋体" w:eastAsia="宋体" w:cs="宋体"/>
          <w:color w:val="auto"/>
          <w:spacing w:val="-28"/>
          <w:sz w:val="19"/>
          <w:szCs w:val="19"/>
          <w:highlight w:val="none"/>
        </w:rPr>
        <w:t xml:space="preserve"> </w:t>
      </w:r>
      <w:r>
        <w:rPr>
          <w:rFonts w:ascii="宋体" w:hAnsi="宋体" w:eastAsia="宋体" w:cs="宋体"/>
          <w:color w:val="auto"/>
          <w:spacing w:val="5"/>
          <w:sz w:val="19"/>
          <w:szCs w:val="19"/>
          <w:highlight w:val="none"/>
        </w:rPr>
        <w:t>监理人可向承包人发出变更意</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向书。变更意向书应说明变更的具体内容和发包人对变更</w:t>
      </w:r>
      <w:r>
        <w:rPr>
          <w:rFonts w:ascii="宋体" w:hAnsi="宋体" w:eastAsia="宋体" w:cs="宋体"/>
          <w:color w:val="auto"/>
          <w:spacing w:val="8"/>
          <w:sz w:val="19"/>
          <w:szCs w:val="19"/>
          <w:highlight w:val="none"/>
        </w:rPr>
        <w:t>的时间要求，</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并附必要的图纸和相关</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资料。变更意向书应要求承包人提交包括拟实施变更工作的计划</w:t>
      </w:r>
      <w:r>
        <w:rPr>
          <w:rFonts w:ascii="宋体" w:hAnsi="宋体" w:eastAsia="宋体" w:cs="宋体"/>
          <w:color w:val="auto"/>
          <w:spacing w:val="9"/>
          <w:sz w:val="19"/>
          <w:szCs w:val="19"/>
          <w:highlight w:val="none"/>
        </w:rPr>
        <w:t>、措施和竣工时间等内容的实</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施方案。发包人同意承包人根据变更意向书要求提交的变更实施方案的</w:t>
      </w:r>
      <w:r>
        <w:rPr>
          <w:rFonts w:ascii="宋体" w:hAnsi="宋体" w:eastAsia="宋体" w:cs="宋体"/>
          <w:color w:val="auto"/>
          <w:spacing w:val="6"/>
          <w:sz w:val="19"/>
          <w:szCs w:val="19"/>
          <w:highlight w:val="none"/>
        </w:rPr>
        <w:t>，由监理人按第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15.</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项约定发出变更指示。</w:t>
      </w:r>
    </w:p>
    <w:p w14:paraId="3DEA50DC">
      <w:pPr>
        <w:spacing w:line="335" w:lineRule="auto"/>
        <w:rPr>
          <w:rFonts w:ascii="宋体" w:hAnsi="宋体" w:eastAsia="宋体" w:cs="宋体"/>
          <w:color w:val="auto"/>
          <w:sz w:val="19"/>
          <w:szCs w:val="19"/>
          <w:highlight w:val="none"/>
        </w:rPr>
        <w:sectPr>
          <w:footerReference r:id="rId94" w:type="default"/>
          <w:pgSz w:w="11900" w:h="16832"/>
          <w:pgMar w:top="1423" w:right="1784" w:bottom="1188" w:left="1784" w:header="0" w:footer="980" w:gutter="0"/>
          <w:pgNumType w:fmt="decimal"/>
          <w:cols w:space="720" w:num="1"/>
        </w:sectPr>
      </w:pPr>
    </w:p>
    <w:p w14:paraId="779317F1">
      <w:pPr>
        <w:spacing w:before="126" w:line="289" w:lineRule="auto"/>
        <w:ind w:left="45" w:right="160" w:hanging="19"/>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在合同履行过程中，发生第</w:t>
      </w:r>
      <w:r>
        <w:rPr>
          <w:rFonts w:ascii="宋体" w:hAnsi="宋体" w:eastAsia="宋体" w:cs="宋体"/>
          <w:color w:val="auto"/>
          <w:spacing w:val="-2"/>
          <w:sz w:val="19"/>
          <w:szCs w:val="19"/>
          <w:highlight w:val="none"/>
        </w:rPr>
        <w:t xml:space="preserve"> </w:t>
      </w:r>
      <w:r>
        <w:rPr>
          <w:rFonts w:ascii="宋体" w:hAnsi="宋体" w:eastAsia="宋体" w:cs="宋体"/>
          <w:color w:val="auto"/>
          <w:spacing w:val="5"/>
          <w:sz w:val="19"/>
          <w:szCs w:val="19"/>
          <w:highlight w:val="none"/>
        </w:rPr>
        <w:t>15. 1</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款约定情形的，监理人应按照第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15.</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3.</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项约定</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向承包人发出变更指示。</w:t>
      </w:r>
    </w:p>
    <w:p w14:paraId="3C0B3422">
      <w:pPr>
        <w:spacing w:before="125" w:line="326" w:lineRule="auto"/>
        <w:ind w:left="25" w:right="64"/>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(3)              </w:t>
      </w:r>
      <w:r>
        <w:rPr>
          <w:rFonts w:ascii="宋体" w:hAnsi="宋体" w:eastAsia="宋体" w:cs="宋体"/>
          <w:color w:val="auto"/>
          <w:spacing w:val="5"/>
          <w:sz w:val="19"/>
          <w:szCs w:val="19"/>
          <w:highlight w:val="none"/>
        </w:rPr>
        <w:t>承包人收到监理人按合同约定发出</w:t>
      </w:r>
      <w:r>
        <w:rPr>
          <w:rFonts w:ascii="宋体" w:hAnsi="宋体" w:eastAsia="宋体" w:cs="宋体"/>
          <w:color w:val="auto"/>
          <w:spacing w:val="4"/>
          <w:sz w:val="19"/>
          <w:szCs w:val="19"/>
          <w:highlight w:val="none"/>
        </w:rPr>
        <w:t>的图纸和文件，经检查认为其中存在第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15.</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款 约</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定情形的，可向监理人提出书面变更建议。变更建议应</w:t>
      </w:r>
      <w:r>
        <w:rPr>
          <w:rFonts w:ascii="宋体" w:hAnsi="宋体" w:eastAsia="宋体" w:cs="宋体"/>
          <w:color w:val="auto"/>
          <w:spacing w:val="8"/>
          <w:sz w:val="19"/>
          <w:szCs w:val="19"/>
          <w:highlight w:val="none"/>
        </w:rPr>
        <w:t>阐明要求变更的依据，</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并附必要的图纸</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和说明。监理人收到承包人书面建议后，应</w:t>
      </w:r>
      <w:r>
        <w:rPr>
          <w:rFonts w:ascii="宋体" w:hAnsi="宋体" w:eastAsia="宋体" w:cs="宋体"/>
          <w:color w:val="auto"/>
          <w:spacing w:val="8"/>
          <w:sz w:val="19"/>
          <w:szCs w:val="19"/>
          <w:highlight w:val="none"/>
        </w:rPr>
        <w:t>与发包人共同研究，</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确认存在变更的，应在收到承</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包人书面建议后的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天内作出变更指示。经研究后不同意作为变更的，应由监理人书面答复承</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包人。</w:t>
      </w:r>
    </w:p>
    <w:p w14:paraId="1A5434C9">
      <w:pPr>
        <w:spacing w:before="121" w:line="289" w:lineRule="auto"/>
        <w:ind w:left="44" w:hanging="18"/>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(4)              </w:t>
      </w:r>
      <w:r>
        <w:rPr>
          <w:rFonts w:ascii="宋体" w:hAnsi="宋体" w:eastAsia="宋体" w:cs="宋体"/>
          <w:color w:val="auto"/>
          <w:spacing w:val="7"/>
          <w:sz w:val="19"/>
          <w:szCs w:val="19"/>
          <w:highlight w:val="none"/>
        </w:rPr>
        <w:t>若承包人收到监理人的变更意向书后认为难以</w:t>
      </w:r>
      <w:r>
        <w:rPr>
          <w:rFonts w:ascii="宋体" w:hAnsi="宋体" w:eastAsia="宋体" w:cs="宋体"/>
          <w:color w:val="auto"/>
          <w:spacing w:val="6"/>
          <w:sz w:val="19"/>
          <w:szCs w:val="19"/>
          <w:highlight w:val="none"/>
        </w:rPr>
        <w:t>实施此项变更，应立即通知监理人, 说</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明原因并附详细依据。监理人与承包人和发包人协商后确定撤销、改变或不改变原变更 意向书。</w:t>
      </w:r>
    </w:p>
    <w:p w14:paraId="16CC6C96">
      <w:pPr>
        <w:spacing w:before="119" w:line="227" w:lineRule="auto"/>
        <w:ind w:left="479"/>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15.3.2</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变更估价</w:t>
      </w:r>
    </w:p>
    <w:p w14:paraId="5BCA9A09">
      <w:pPr>
        <w:spacing w:before="107" w:line="305" w:lineRule="auto"/>
        <w:ind w:left="26" w:right="89"/>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除专用合同条款对期限另有约定外，</w:t>
      </w:r>
      <w:r>
        <w:rPr>
          <w:rFonts w:ascii="宋体" w:hAnsi="宋体" w:eastAsia="宋体" w:cs="宋体"/>
          <w:color w:val="auto"/>
          <w:spacing w:val="-28"/>
          <w:sz w:val="19"/>
          <w:szCs w:val="19"/>
          <w:highlight w:val="none"/>
        </w:rPr>
        <w:t xml:space="preserve"> </w:t>
      </w:r>
      <w:r>
        <w:rPr>
          <w:rFonts w:ascii="宋体" w:hAnsi="宋体" w:eastAsia="宋体" w:cs="宋体"/>
          <w:color w:val="auto"/>
          <w:spacing w:val="5"/>
          <w:sz w:val="19"/>
          <w:szCs w:val="19"/>
          <w:highlight w:val="none"/>
        </w:rPr>
        <w:t>承包人应在收到变更指示或变更意向书后的</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天内，</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向监理人提交变更报价书，报价内容应根据第</w:t>
      </w:r>
      <w:r>
        <w:rPr>
          <w:rFonts w:ascii="宋体" w:hAnsi="宋体" w:eastAsia="宋体" w:cs="宋体"/>
          <w:color w:val="auto"/>
          <w:spacing w:val="-6"/>
          <w:sz w:val="19"/>
          <w:szCs w:val="19"/>
          <w:highlight w:val="none"/>
        </w:rPr>
        <w:t xml:space="preserve"> </w:t>
      </w:r>
      <w:r>
        <w:rPr>
          <w:rFonts w:ascii="宋体" w:hAnsi="宋体" w:eastAsia="宋体" w:cs="宋体"/>
          <w:color w:val="auto"/>
          <w:spacing w:val="8"/>
          <w:sz w:val="19"/>
          <w:szCs w:val="19"/>
          <w:highlight w:val="none"/>
        </w:rPr>
        <w:t>15. 4</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款约定的估价原则，详细开列变更工作的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价格组成及其依据，并附必要的施工方法说明和有关图纸。</w:t>
      </w:r>
    </w:p>
    <w:p w14:paraId="4850A84B">
      <w:pPr>
        <w:spacing w:before="124" w:line="289" w:lineRule="auto"/>
        <w:ind w:left="26" w:right="6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变更工作影响工期的，承包人应提出调整工期的具体</w:t>
      </w:r>
      <w:r>
        <w:rPr>
          <w:rFonts w:ascii="宋体" w:hAnsi="宋体" w:eastAsia="宋体" w:cs="宋体"/>
          <w:color w:val="auto"/>
          <w:spacing w:val="7"/>
          <w:sz w:val="19"/>
          <w:szCs w:val="19"/>
          <w:highlight w:val="none"/>
        </w:rPr>
        <w:t>细节。监理人认为有必要时, 可</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要求承包人提交要求提前或延长工期的施工进度计划及相应施工措施</w:t>
      </w:r>
      <w:r>
        <w:rPr>
          <w:rFonts w:ascii="宋体" w:hAnsi="宋体" w:eastAsia="宋体" w:cs="宋体"/>
          <w:color w:val="auto"/>
          <w:spacing w:val="8"/>
          <w:sz w:val="19"/>
          <w:szCs w:val="19"/>
          <w:highlight w:val="none"/>
        </w:rPr>
        <w:t>等详细资料。</w:t>
      </w:r>
    </w:p>
    <w:p w14:paraId="17348FDA">
      <w:pPr>
        <w:spacing w:before="124" w:line="290" w:lineRule="auto"/>
        <w:ind w:left="24" w:right="141"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除专用合同条</w:t>
      </w:r>
      <w:r>
        <w:rPr>
          <w:rFonts w:ascii="宋体" w:hAnsi="宋体" w:eastAsia="宋体" w:cs="宋体"/>
          <w:color w:val="auto"/>
          <w:spacing w:val="5"/>
          <w:sz w:val="19"/>
          <w:szCs w:val="19"/>
          <w:highlight w:val="none"/>
        </w:rPr>
        <w:t>款对期限另有约定外，</w:t>
      </w:r>
      <w:r>
        <w:rPr>
          <w:rFonts w:ascii="宋体" w:hAnsi="宋体" w:eastAsia="宋体" w:cs="宋体"/>
          <w:color w:val="auto"/>
          <w:spacing w:val="-45"/>
          <w:sz w:val="19"/>
          <w:szCs w:val="19"/>
          <w:highlight w:val="none"/>
        </w:rPr>
        <w:t xml:space="preserve"> </w:t>
      </w:r>
      <w:r>
        <w:rPr>
          <w:rFonts w:ascii="宋体" w:hAnsi="宋体" w:eastAsia="宋体" w:cs="宋体"/>
          <w:color w:val="auto"/>
          <w:spacing w:val="5"/>
          <w:sz w:val="19"/>
          <w:szCs w:val="19"/>
          <w:highlight w:val="none"/>
        </w:rPr>
        <w:t>监理人收到承包人变更报价书后的</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天内，根</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据第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6"/>
          <w:sz w:val="19"/>
          <w:szCs w:val="19"/>
          <w:highlight w:val="none"/>
        </w:rPr>
        <w:t>15. 4</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款约定的估价原则，按照第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款</w:t>
      </w:r>
      <w:r>
        <w:rPr>
          <w:rFonts w:ascii="宋体" w:hAnsi="宋体" w:eastAsia="宋体" w:cs="宋体"/>
          <w:color w:val="auto"/>
          <w:spacing w:val="5"/>
          <w:sz w:val="19"/>
          <w:szCs w:val="19"/>
          <w:highlight w:val="none"/>
        </w:rPr>
        <w:t>商定或确定变更价格。</w:t>
      </w:r>
    </w:p>
    <w:p w14:paraId="76DCF281">
      <w:pPr>
        <w:spacing w:before="157" w:line="230" w:lineRule="auto"/>
        <w:ind w:left="479"/>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15.3.3</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变更指示</w:t>
      </w:r>
    </w:p>
    <w:p w14:paraId="54348D01">
      <w:pPr>
        <w:spacing w:before="27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变更指示只能由监</w:t>
      </w:r>
      <w:r>
        <w:rPr>
          <w:rFonts w:ascii="宋体" w:hAnsi="宋体" w:eastAsia="宋体" w:cs="宋体"/>
          <w:color w:val="auto"/>
          <w:spacing w:val="4"/>
          <w:sz w:val="19"/>
          <w:szCs w:val="19"/>
          <w:highlight w:val="none"/>
        </w:rPr>
        <w:t>理人发出。</w:t>
      </w:r>
    </w:p>
    <w:p w14:paraId="58993637">
      <w:pPr>
        <w:spacing w:before="141" w:line="293" w:lineRule="auto"/>
        <w:ind w:left="30" w:right="19" w:hanging="4"/>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(2)              </w:t>
      </w:r>
      <w:r>
        <w:rPr>
          <w:rFonts w:ascii="宋体" w:hAnsi="宋体" w:eastAsia="宋体" w:cs="宋体"/>
          <w:color w:val="auto"/>
          <w:spacing w:val="4"/>
          <w:sz w:val="19"/>
          <w:szCs w:val="19"/>
          <w:highlight w:val="none"/>
        </w:rPr>
        <w:t>变更指示应说明变更的目的、范围、变更内容以及变更的工程量及其进度和技术要求，</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并附有关图纸和文件。承包人收到变更指示后，应按变更指示进行变更工作。</w:t>
      </w:r>
    </w:p>
    <w:p w14:paraId="26D3984A">
      <w:pPr>
        <w:spacing w:before="170" w:line="219"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15.4</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变更的估价原则</w:t>
      </w:r>
    </w:p>
    <w:p w14:paraId="48A10CA0">
      <w:pPr>
        <w:spacing w:line="306" w:lineRule="auto"/>
        <w:rPr>
          <w:rFonts w:ascii="Arial"/>
          <w:color w:val="auto"/>
          <w:sz w:val="21"/>
          <w:highlight w:val="none"/>
        </w:rPr>
      </w:pPr>
    </w:p>
    <w:p w14:paraId="07536720">
      <w:pPr>
        <w:spacing w:before="62" w:line="227" w:lineRule="auto"/>
        <w:ind w:left="457"/>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除专用合同条款另有约定外，因变更引起的价格调整按照本款约</w:t>
      </w:r>
      <w:r>
        <w:rPr>
          <w:rFonts w:ascii="宋体" w:hAnsi="宋体" w:eastAsia="宋体" w:cs="宋体"/>
          <w:color w:val="auto"/>
          <w:spacing w:val="8"/>
          <w:sz w:val="19"/>
          <w:szCs w:val="19"/>
          <w:highlight w:val="none"/>
        </w:rPr>
        <w:t>定处理。</w:t>
      </w:r>
    </w:p>
    <w:p w14:paraId="6AA99B72">
      <w:pPr>
        <w:spacing w:before="158" w:line="227"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15.4.1</w:t>
      </w:r>
      <w:r>
        <w:rPr>
          <w:rFonts w:ascii="宋体" w:hAnsi="宋体" w:eastAsia="宋体" w:cs="宋体"/>
          <w:color w:val="auto"/>
          <w:spacing w:val="-13"/>
          <w:sz w:val="19"/>
          <w:szCs w:val="19"/>
          <w:highlight w:val="none"/>
        </w:rPr>
        <w:t xml:space="preserve"> </w:t>
      </w:r>
      <w:r>
        <w:rPr>
          <w:rFonts w:ascii="宋体" w:hAnsi="宋体" w:eastAsia="宋体" w:cs="宋体"/>
          <w:color w:val="auto"/>
          <w:spacing w:val="7"/>
          <w:sz w:val="19"/>
          <w:szCs w:val="19"/>
          <w:highlight w:val="none"/>
        </w:rPr>
        <w:t>已标价工程量清单中有适用于变更工作的子</w:t>
      </w:r>
      <w:r>
        <w:rPr>
          <w:rFonts w:ascii="宋体" w:hAnsi="宋体" w:eastAsia="宋体" w:cs="宋体"/>
          <w:color w:val="auto"/>
          <w:spacing w:val="6"/>
          <w:sz w:val="19"/>
          <w:szCs w:val="19"/>
          <w:highlight w:val="none"/>
        </w:rPr>
        <w:t>目的，采用该子目的单价。</w:t>
      </w:r>
    </w:p>
    <w:p w14:paraId="3E414841">
      <w:pPr>
        <w:spacing w:before="257" w:line="333" w:lineRule="auto"/>
        <w:ind w:left="27" w:right="70"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15.4.2 已标价工程量清单中无适用于变</w:t>
      </w:r>
      <w:r>
        <w:rPr>
          <w:rFonts w:ascii="宋体" w:hAnsi="宋体" w:eastAsia="宋体" w:cs="宋体"/>
          <w:color w:val="auto"/>
          <w:spacing w:val="7"/>
          <w:sz w:val="19"/>
          <w:szCs w:val="19"/>
          <w:highlight w:val="none"/>
        </w:rPr>
        <w:t>更工作的子目，但有类似子目的，可在合理范围内</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参照类似子目的单价，</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由监理人按第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w:t>
      </w:r>
      <w:r>
        <w:rPr>
          <w:rFonts w:ascii="宋体" w:hAnsi="宋体" w:eastAsia="宋体" w:cs="宋体"/>
          <w:color w:val="auto"/>
          <w:spacing w:val="5"/>
          <w:sz w:val="19"/>
          <w:szCs w:val="19"/>
          <w:highlight w:val="none"/>
        </w:rPr>
        <w:t>商定或确定变更工作的单价。</w:t>
      </w:r>
    </w:p>
    <w:p w14:paraId="38BB46A9">
      <w:pPr>
        <w:spacing w:before="31" w:line="332" w:lineRule="auto"/>
        <w:ind w:left="27" w:right="69" w:firstLine="452"/>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15.4.3 已标价工程量清单中无适用或类似子目的单价，可按照成本加利润的原则，</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由监理</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人按第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款商定或确定变更工作的单价。</w:t>
      </w:r>
    </w:p>
    <w:p w14:paraId="108FD9E7">
      <w:pPr>
        <w:spacing w:before="82" w:line="205" w:lineRule="auto"/>
        <w:ind w:left="42"/>
        <w:rPr>
          <w:rFonts w:ascii="宋体" w:hAnsi="宋体" w:eastAsia="宋体" w:cs="宋体"/>
          <w:color w:val="auto"/>
          <w:sz w:val="19"/>
          <w:szCs w:val="19"/>
          <w:highlight w:val="none"/>
        </w:rPr>
      </w:pPr>
      <w:r>
        <w:rPr>
          <w:rFonts w:ascii="宋体" w:hAnsi="宋体" w:eastAsia="宋体" w:cs="宋体"/>
          <w:b/>
          <w:bCs/>
          <w:color w:val="auto"/>
          <w:spacing w:val="3"/>
          <w:sz w:val="22"/>
          <w:szCs w:val="22"/>
          <w:highlight w:val="none"/>
        </w:rPr>
        <w:t>15.5</w:t>
      </w:r>
      <w:r>
        <w:rPr>
          <w:rFonts w:ascii="宋体" w:hAnsi="宋体" w:eastAsia="宋体" w:cs="宋体"/>
          <w:color w:val="auto"/>
          <w:spacing w:val="-38"/>
          <w:sz w:val="22"/>
          <w:szCs w:val="22"/>
          <w:highlight w:val="none"/>
        </w:rPr>
        <w:t xml:space="preserve"> </w:t>
      </w:r>
      <w:r>
        <w:rPr>
          <w:rFonts w:ascii="宋体" w:hAnsi="宋体" w:eastAsia="宋体" w:cs="宋体"/>
          <w:color w:val="auto"/>
          <w:spacing w:val="3"/>
          <w:sz w:val="19"/>
          <w:szCs w:val="19"/>
          <w:highlight w:val="none"/>
        </w:rPr>
        <w:t>承包人的合理化建议</w:t>
      </w:r>
    </w:p>
    <w:p w14:paraId="11121DD9">
      <w:pPr>
        <w:spacing w:before="116" w:line="347" w:lineRule="auto"/>
        <w:ind w:left="463" w:right="3" w:firstLine="16"/>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15.5.</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在履行合同过程中，承包人对发包人提供的图纸、技术</w:t>
      </w:r>
      <w:r>
        <w:rPr>
          <w:rFonts w:ascii="宋体" w:hAnsi="宋体" w:eastAsia="宋体" w:cs="宋体"/>
          <w:color w:val="auto"/>
          <w:spacing w:val="6"/>
          <w:sz w:val="19"/>
          <w:szCs w:val="19"/>
          <w:highlight w:val="none"/>
        </w:rPr>
        <w:t>要求以及其他方面提出的合</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理化建议，均应以书面形式提交监理人。合理化建议书的内容应</w:t>
      </w:r>
      <w:r>
        <w:rPr>
          <w:rFonts w:ascii="宋体" w:hAnsi="宋体" w:eastAsia="宋体" w:cs="宋体"/>
          <w:color w:val="auto"/>
          <w:spacing w:val="7"/>
          <w:sz w:val="19"/>
          <w:szCs w:val="19"/>
          <w:highlight w:val="none"/>
        </w:rPr>
        <w:t>包括建议工作的详细说明、</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进度计划和效益以及与其他工作的协调等，并附必要的设计文件。监理人应与发包人协商</w:t>
      </w:r>
      <w:r>
        <w:rPr>
          <w:rFonts w:ascii="宋体" w:hAnsi="宋体" w:eastAsia="宋体" w:cs="宋体"/>
          <w:color w:val="auto"/>
          <w:spacing w:val="6"/>
          <w:sz w:val="19"/>
          <w:szCs w:val="19"/>
          <w:highlight w:val="none"/>
        </w:rPr>
        <w:t xml:space="preserve"> 是否采纳建议。建议被采纳并构成变更的，应按第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项约定向承包人发出变更指示。</w:t>
      </w:r>
    </w:p>
    <w:p w14:paraId="4F7CE518">
      <w:pPr>
        <w:spacing w:before="41" w:line="354" w:lineRule="auto"/>
        <w:ind w:left="28" w:right="17" w:firstLine="45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15.5.2</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承包人提出的合理化建议降低了合同价格、缩短了工期或者提高了工程经济效益的，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发包人可按国家有关规定在专用合同条款中约定给予奖励。</w:t>
      </w:r>
    </w:p>
    <w:p w14:paraId="399A7688">
      <w:pPr>
        <w:spacing w:line="354" w:lineRule="auto"/>
        <w:rPr>
          <w:rFonts w:ascii="宋体" w:hAnsi="宋体" w:eastAsia="宋体" w:cs="宋体"/>
          <w:color w:val="auto"/>
          <w:sz w:val="19"/>
          <w:szCs w:val="19"/>
          <w:highlight w:val="none"/>
        </w:rPr>
        <w:sectPr>
          <w:footerReference r:id="rId95" w:type="default"/>
          <w:pgSz w:w="11900" w:h="16832"/>
          <w:pgMar w:top="1430" w:right="1735" w:bottom="1188" w:left="1784" w:header="0" w:footer="980" w:gutter="0"/>
          <w:pgNumType w:fmt="decimal"/>
          <w:cols w:space="720" w:num="1"/>
        </w:sectPr>
      </w:pPr>
    </w:p>
    <w:p w14:paraId="54614B42">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15.6</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8"/>
          <w:sz w:val="28"/>
          <w:szCs w:val="28"/>
          <w:highlight w:val="none"/>
        </w:rPr>
        <w:t>暂列金额</w:t>
      </w:r>
    </w:p>
    <w:p w14:paraId="0C43E527">
      <w:pPr>
        <w:spacing w:line="308" w:lineRule="auto"/>
        <w:rPr>
          <w:rFonts w:ascii="Arial"/>
          <w:color w:val="auto"/>
          <w:sz w:val="21"/>
          <w:highlight w:val="none"/>
        </w:rPr>
      </w:pPr>
    </w:p>
    <w:p w14:paraId="4677CBEB">
      <w:pPr>
        <w:spacing w:before="62" w:line="227" w:lineRule="auto"/>
        <w:ind w:left="45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暂列金额只能按照监理人的指示使用，并对合同价格进行相应调整。</w:t>
      </w:r>
    </w:p>
    <w:p w14:paraId="40E66424">
      <w:pPr>
        <w:spacing w:before="169" w:line="221"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15.7</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8"/>
          <w:sz w:val="28"/>
          <w:szCs w:val="28"/>
          <w:highlight w:val="none"/>
        </w:rPr>
        <w:t>计日工</w:t>
      </w:r>
    </w:p>
    <w:p w14:paraId="0DD379AB">
      <w:pPr>
        <w:spacing w:before="125" w:line="355" w:lineRule="auto"/>
        <w:ind w:left="26" w:right="21"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15.7.1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发包人认为有必要时，由监理人通知承包人以计日工方式实施变更的零星工作。其</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价款按列入已标价工程量清单中的计日工计价子目及其单价进行计算。</w:t>
      </w:r>
    </w:p>
    <w:p w14:paraId="5F55080A">
      <w:pPr>
        <w:spacing w:before="22" w:line="347" w:lineRule="auto"/>
        <w:ind w:left="42" w:right="21" w:firstLine="43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15.7.2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采用计日工计价的任何一项变更工作，应从暂列金额中支付，承包人应在该项变更</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的实施过程中，</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每天提交以下报表和有关凭证报送</w:t>
      </w:r>
      <w:r>
        <w:rPr>
          <w:rFonts w:ascii="宋体" w:hAnsi="宋体" w:eastAsia="宋体" w:cs="宋体"/>
          <w:color w:val="auto"/>
          <w:spacing w:val="5"/>
          <w:sz w:val="19"/>
          <w:szCs w:val="19"/>
          <w:highlight w:val="none"/>
        </w:rPr>
        <w:t>监理人审批：</w:t>
      </w:r>
    </w:p>
    <w:p w14:paraId="7AD716A3">
      <w:pPr>
        <w:spacing w:before="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(1)</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工作名称、内容和数量；</w:t>
      </w:r>
    </w:p>
    <w:p w14:paraId="6727AFD6">
      <w:pPr>
        <w:spacing w:before="14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投入该工作所有人员的姓名、工种、级别和耗用工时；</w:t>
      </w:r>
    </w:p>
    <w:p w14:paraId="56ACCCF3">
      <w:pPr>
        <w:spacing w:before="13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(3)</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投入该工作的材料类别和数量；</w:t>
      </w:r>
    </w:p>
    <w:p w14:paraId="4C76018E">
      <w:pPr>
        <w:spacing w:before="13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投入该工作的施工设备型号、台数和耗用台时；</w:t>
      </w:r>
    </w:p>
    <w:p w14:paraId="20FFA280">
      <w:pPr>
        <w:spacing w:before="13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(5)</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监理人要求提交的其他资料和凭证。</w:t>
      </w:r>
    </w:p>
    <w:p w14:paraId="28D9B940">
      <w:pPr>
        <w:spacing w:before="141" w:line="351" w:lineRule="auto"/>
        <w:ind w:left="30" w:right="19" w:firstLine="44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15.7.3</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计日工由承包人汇总后，按第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17.3.2</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项的约定列入进度付款申请单，由监理</w:t>
      </w:r>
      <w:r>
        <w:rPr>
          <w:rFonts w:ascii="宋体" w:hAnsi="宋体" w:eastAsia="宋体" w:cs="宋体"/>
          <w:color w:val="auto"/>
          <w:spacing w:val="4"/>
          <w:sz w:val="19"/>
          <w:szCs w:val="19"/>
          <w:highlight w:val="none"/>
        </w:rPr>
        <w:t>人复核</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并经发包人同意后列入进度付款。</w:t>
      </w:r>
    </w:p>
    <w:p w14:paraId="22ED4CE4">
      <w:pPr>
        <w:spacing w:before="17" w:line="219" w:lineRule="auto"/>
        <w:ind w:left="49"/>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15.8</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9"/>
          <w:sz w:val="28"/>
          <w:szCs w:val="28"/>
          <w:highlight w:val="none"/>
        </w:rPr>
        <w:t>暂估价</w:t>
      </w:r>
    </w:p>
    <w:p w14:paraId="35D384F4">
      <w:pPr>
        <w:spacing w:line="317" w:lineRule="auto"/>
        <w:rPr>
          <w:rFonts w:ascii="Arial"/>
          <w:color w:val="auto"/>
          <w:sz w:val="21"/>
          <w:highlight w:val="none"/>
        </w:rPr>
      </w:pPr>
    </w:p>
    <w:p w14:paraId="2CE5492F">
      <w:pPr>
        <w:spacing w:before="63" w:line="359" w:lineRule="auto"/>
        <w:ind w:left="25" w:right="17"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15.8.1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发包人在工程量清单中给定暂估价的材料、工程设备和专业工程属于依法必须招标</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的范围并达到规定的规模标准的，若承包人不具备承担暂估价项目的能力或具备承</w:t>
      </w:r>
      <w:r>
        <w:rPr>
          <w:rFonts w:ascii="宋体" w:hAnsi="宋体" w:eastAsia="宋体" w:cs="宋体"/>
          <w:color w:val="auto"/>
          <w:spacing w:val="11"/>
          <w:sz w:val="19"/>
          <w:szCs w:val="19"/>
          <w:highlight w:val="none"/>
        </w:rPr>
        <w:t>担暂估价项</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目的能力但明确不参与竞标的，</w:t>
      </w:r>
      <w:r>
        <w:rPr>
          <w:rFonts w:ascii="宋体" w:hAnsi="宋体" w:eastAsia="宋体" w:cs="宋体"/>
          <w:color w:val="auto"/>
          <w:spacing w:val="-49"/>
          <w:sz w:val="19"/>
          <w:szCs w:val="19"/>
          <w:highlight w:val="none"/>
        </w:rPr>
        <w:t xml:space="preserve"> </w:t>
      </w:r>
      <w:r>
        <w:rPr>
          <w:rFonts w:ascii="宋体" w:hAnsi="宋体" w:eastAsia="宋体" w:cs="宋体"/>
          <w:color w:val="auto"/>
          <w:spacing w:val="11"/>
          <w:sz w:val="19"/>
          <w:szCs w:val="19"/>
          <w:highlight w:val="none"/>
        </w:rPr>
        <w:t>由发包人和承包人组织招标；若承包人具备承担暂估价项</w:t>
      </w:r>
      <w:r>
        <w:rPr>
          <w:rFonts w:ascii="宋体" w:hAnsi="宋体" w:eastAsia="宋体" w:cs="宋体"/>
          <w:color w:val="auto"/>
          <w:spacing w:val="10"/>
          <w:sz w:val="19"/>
          <w:szCs w:val="19"/>
          <w:highlight w:val="none"/>
        </w:rPr>
        <w:t>目的</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能力且明确参与竞标的，由发包人组织招标。暂</w:t>
      </w:r>
      <w:r>
        <w:rPr>
          <w:rFonts w:ascii="宋体" w:hAnsi="宋体" w:eastAsia="宋体" w:cs="宋体"/>
          <w:color w:val="auto"/>
          <w:spacing w:val="9"/>
          <w:sz w:val="19"/>
          <w:szCs w:val="19"/>
          <w:highlight w:val="none"/>
        </w:rPr>
        <w:t>估价项目成交金额与工程 量清单中所列金额差</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以及相应的税金等其他费用列入合同价格。必须招标的暂估价项目招标组织形式、</w:t>
      </w:r>
      <w:r>
        <w:rPr>
          <w:rFonts w:ascii="宋体" w:hAnsi="宋体" w:eastAsia="宋体" w:cs="宋体"/>
          <w:color w:val="auto"/>
          <w:spacing w:val="11"/>
          <w:sz w:val="19"/>
          <w:szCs w:val="19"/>
          <w:highlight w:val="none"/>
        </w:rPr>
        <w:t>发包人和承</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包人组织招标时双方的权利义务关系在专用合同条款中约定。</w:t>
      </w:r>
    </w:p>
    <w:p w14:paraId="7C129913">
      <w:pPr>
        <w:spacing w:before="106" w:line="355" w:lineRule="auto"/>
        <w:ind w:left="28" w:right="19" w:firstLine="451"/>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15.8.2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发包人在工程量清单中给定暂估价的材料和工程设备不属于依法必须招标的范围或</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未达到规定的规模标准的，应由承包人按第 5.1 款的约定提供。经监理人确认的材料、工程设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备的价格与工程量清单中所列的暂估价的金额差以及相应的税金等</w:t>
      </w:r>
      <w:r>
        <w:rPr>
          <w:rFonts w:ascii="宋体" w:hAnsi="宋体" w:eastAsia="宋体" w:cs="宋体"/>
          <w:color w:val="auto"/>
          <w:spacing w:val="8"/>
          <w:sz w:val="19"/>
          <w:szCs w:val="19"/>
          <w:highlight w:val="none"/>
        </w:rPr>
        <w:t>其他费用列入合同价格。</w:t>
      </w:r>
    </w:p>
    <w:p w14:paraId="53532B03">
      <w:pPr>
        <w:spacing w:before="110" w:line="356" w:lineRule="auto"/>
        <w:ind w:left="25" w:right="21"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15.8.3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发包人在工程量清单中给定暂估价的专业工程不属于依法必须招标的范围或未达到</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规定的规模标准的，由监理人按照第</w:t>
      </w:r>
      <w:r>
        <w:rPr>
          <w:rFonts w:ascii="宋体" w:hAnsi="宋体" w:eastAsia="宋体" w:cs="宋体"/>
          <w:color w:val="auto"/>
          <w:spacing w:val="-10"/>
          <w:sz w:val="19"/>
          <w:szCs w:val="19"/>
          <w:highlight w:val="none"/>
        </w:rPr>
        <w:t xml:space="preserve"> </w:t>
      </w:r>
      <w:r>
        <w:rPr>
          <w:rFonts w:ascii="宋体" w:hAnsi="宋体" w:eastAsia="宋体" w:cs="宋体"/>
          <w:color w:val="auto"/>
          <w:spacing w:val="8"/>
          <w:sz w:val="19"/>
          <w:szCs w:val="19"/>
          <w:highlight w:val="none"/>
        </w:rPr>
        <w:t>15.4</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款进行估价，但专用合同条款另有约定的除外。经估</w:t>
      </w:r>
      <w:r>
        <w:rPr>
          <w:rFonts w:ascii="宋体" w:hAnsi="宋体" w:eastAsia="宋体" w:cs="宋体"/>
          <w:color w:val="auto"/>
          <w:sz w:val="19"/>
          <w:szCs w:val="19"/>
          <w:highlight w:val="none"/>
        </w:rPr>
        <w:t xml:space="preserve"> </w:t>
      </w:r>
      <w:r>
        <w:rPr>
          <w:rFonts w:ascii="宋体" w:hAnsi="宋体" w:eastAsia="宋体" w:cs="宋体"/>
          <w:color w:val="auto"/>
          <w:spacing w:val="17"/>
          <w:sz w:val="19"/>
          <w:szCs w:val="19"/>
          <w:highlight w:val="none"/>
        </w:rPr>
        <w:t>价的专业工程与工程量清单中所列的暂估价的金额差以及相应的税金等</w:t>
      </w:r>
      <w:r>
        <w:rPr>
          <w:rFonts w:ascii="宋体" w:hAnsi="宋体" w:eastAsia="宋体" w:cs="宋体"/>
          <w:color w:val="auto"/>
          <w:spacing w:val="16"/>
          <w:sz w:val="19"/>
          <w:szCs w:val="19"/>
          <w:highlight w:val="none"/>
        </w:rPr>
        <w:t>其他费用列入合同价</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格。</w:t>
      </w:r>
    </w:p>
    <w:p w14:paraId="684275F7">
      <w:pPr>
        <w:spacing w:before="209" w:line="224" w:lineRule="auto"/>
        <w:ind w:left="42"/>
        <w:rPr>
          <w:rFonts w:ascii="宋体" w:hAnsi="宋体" w:eastAsia="宋体" w:cs="宋体"/>
          <w:color w:val="auto"/>
          <w:sz w:val="31"/>
          <w:szCs w:val="31"/>
          <w:highlight w:val="none"/>
        </w:rPr>
      </w:pPr>
      <w:r>
        <w:rPr>
          <w:rFonts w:ascii="Cambria" w:hAnsi="Cambria" w:eastAsia="Cambria" w:cs="Cambria"/>
          <w:b/>
          <w:bCs/>
          <w:color w:val="auto"/>
          <w:sz w:val="31"/>
          <w:szCs w:val="31"/>
          <w:highlight w:val="none"/>
        </w:rPr>
        <w:t>16</w:t>
      </w:r>
      <w:r>
        <w:rPr>
          <w:rFonts w:ascii="Cambria" w:hAnsi="Cambria" w:eastAsia="Cambria" w:cs="Cambria"/>
          <w:b/>
          <w:bCs/>
          <w:color w:val="auto"/>
          <w:spacing w:val="21"/>
          <w:sz w:val="31"/>
          <w:szCs w:val="31"/>
          <w:highlight w:val="none"/>
        </w:rPr>
        <w:t xml:space="preserve"> </w:t>
      </w:r>
      <w:r>
        <w:rPr>
          <w:rFonts w:ascii="Cambria" w:hAnsi="Cambria" w:eastAsia="Cambria" w:cs="Cambria"/>
          <w:b/>
          <w:bCs/>
          <w:color w:val="auto"/>
          <w:sz w:val="31"/>
          <w:szCs w:val="31"/>
          <w:highlight w:val="none"/>
        </w:rPr>
        <w:t>.</w:t>
      </w:r>
      <w:r>
        <w:rPr>
          <w:rFonts w:ascii="宋体" w:hAnsi="宋体" w:eastAsia="宋体" w:cs="宋体"/>
          <w:b/>
          <w:bCs/>
          <w:color w:val="auto"/>
          <w:sz w:val="31"/>
          <w:szCs w:val="31"/>
          <w:highlight w:val="none"/>
        </w:rPr>
        <w:t>价格调整</w:t>
      </w:r>
    </w:p>
    <w:p w14:paraId="76115C69">
      <w:pPr>
        <w:spacing w:line="250" w:lineRule="auto"/>
        <w:rPr>
          <w:rFonts w:ascii="Arial"/>
          <w:color w:val="auto"/>
          <w:sz w:val="21"/>
          <w:highlight w:val="none"/>
        </w:rPr>
      </w:pPr>
    </w:p>
    <w:p w14:paraId="67B68B7F">
      <w:pPr>
        <w:spacing w:line="251" w:lineRule="auto"/>
        <w:rPr>
          <w:rFonts w:ascii="Arial"/>
          <w:color w:val="auto"/>
          <w:sz w:val="21"/>
          <w:highlight w:val="none"/>
        </w:rPr>
      </w:pPr>
    </w:p>
    <w:p w14:paraId="7222257B">
      <w:pPr>
        <w:spacing w:before="92" w:line="219"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16.1</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5"/>
          <w:sz w:val="28"/>
          <w:szCs w:val="28"/>
          <w:highlight w:val="none"/>
        </w:rPr>
        <w:t>物价波动引起的价格调整</w:t>
      </w:r>
    </w:p>
    <w:p w14:paraId="5864DF05">
      <w:pPr>
        <w:spacing w:line="293" w:lineRule="auto"/>
        <w:rPr>
          <w:rFonts w:ascii="Arial"/>
          <w:color w:val="auto"/>
          <w:sz w:val="21"/>
          <w:highlight w:val="none"/>
        </w:rPr>
      </w:pPr>
    </w:p>
    <w:p w14:paraId="78F0D943">
      <w:pPr>
        <w:spacing w:before="62" w:line="323" w:lineRule="auto"/>
        <w:ind w:left="26" w:right="15" w:firstLine="443"/>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由于物价波动原因引起合同价格需要调整的，其价格调整方式在专用合同条款中约定；除</w:t>
      </w:r>
      <w:r>
        <w:rPr>
          <w:rFonts w:ascii="宋体" w:hAnsi="宋体" w:eastAsia="宋体" w:cs="宋体"/>
          <w:color w:val="auto"/>
          <w:spacing w:val="4"/>
          <w:sz w:val="19"/>
          <w:szCs w:val="19"/>
          <w:highlight w:val="none"/>
        </w:rPr>
        <w:t xml:space="preserve"> </w:t>
      </w:r>
      <w:r>
        <w:rPr>
          <w:rFonts w:ascii="宋体" w:hAnsi="宋体" w:eastAsia="宋体" w:cs="宋体"/>
          <w:color w:val="auto"/>
          <w:spacing w:val="7"/>
          <w:sz w:val="19"/>
          <w:szCs w:val="19"/>
          <w:highlight w:val="none"/>
        </w:rPr>
        <w:t>专用合同条款另有约定外，</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因物价波动引起的价格调整按照本款约定处理。</w:t>
      </w:r>
    </w:p>
    <w:p w14:paraId="422661BA">
      <w:pPr>
        <w:spacing w:line="323" w:lineRule="auto"/>
        <w:rPr>
          <w:rFonts w:ascii="宋体" w:hAnsi="宋体" w:eastAsia="宋体" w:cs="宋体"/>
          <w:color w:val="auto"/>
          <w:sz w:val="19"/>
          <w:szCs w:val="19"/>
          <w:highlight w:val="none"/>
        </w:rPr>
        <w:sectPr>
          <w:footerReference r:id="rId96" w:type="default"/>
          <w:pgSz w:w="11900" w:h="16832"/>
          <w:pgMar w:top="1423" w:right="1784" w:bottom="1188" w:left="1784" w:header="0" w:footer="980" w:gutter="0"/>
          <w:pgNumType w:fmt="decimal"/>
          <w:cols w:space="720" w:num="1"/>
        </w:sectPr>
      </w:pPr>
    </w:p>
    <w:p w14:paraId="60457EC7">
      <w:pPr>
        <w:spacing w:before="114" w:line="227"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16.1.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37"/>
          <w:sz w:val="19"/>
          <w:szCs w:val="19"/>
          <w:highlight w:val="none"/>
        </w:rPr>
        <w:t xml:space="preserve"> </w:t>
      </w:r>
      <w:r>
        <w:rPr>
          <w:rFonts w:ascii="宋体" w:hAnsi="宋体" w:eastAsia="宋体" w:cs="宋体"/>
          <w:color w:val="auto"/>
          <w:spacing w:val="5"/>
          <w:sz w:val="19"/>
          <w:szCs w:val="19"/>
          <w:highlight w:val="none"/>
        </w:rPr>
        <w:t>采用价格指数调整价格差额</w:t>
      </w:r>
    </w:p>
    <w:p w14:paraId="0987027C">
      <w:pPr>
        <w:spacing w:before="114" w:line="227" w:lineRule="auto"/>
        <w:ind w:left="460"/>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16.</w:t>
      </w:r>
      <w:r>
        <w:rPr>
          <w:rFonts w:ascii="宋体" w:hAnsi="宋体" w:eastAsia="宋体" w:cs="宋体"/>
          <w:color w:val="auto"/>
          <w:spacing w:val="37"/>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27"/>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28"/>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1"/>
          <w:sz w:val="19"/>
          <w:szCs w:val="19"/>
          <w:highlight w:val="none"/>
        </w:rPr>
        <w:t>价格调整公式</w:t>
      </w:r>
    </w:p>
    <w:p w14:paraId="37BF9825">
      <w:pPr>
        <w:spacing w:before="111" w:line="323" w:lineRule="auto"/>
        <w:ind w:left="30" w:right="33" w:firstLine="43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因人工、材料和设备等价格波动影响合同价格时，根据磋商函附录中的价格</w:t>
      </w:r>
      <w:r>
        <w:rPr>
          <w:rFonts w:ascii="宋体" w:hAnsi="宋体" w:eastAsia="宋体" w:cs="宋体"/>
          <w:color w:val="auto"/>
          <w:spacing w:val="10"/>
          <w:sz w:val="19"/>
          <w:szCs w:val="19"/>
          <w:highlight w:val="none"/>
        </w:rPr>
        <w:t>指数和权重表</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约定的数据，按以下公式计算差额并调整合同价格。</w:t>
      </w:r>
    </w:p>
    <w:p w14:paraId="70EB5F4A">
      <w:pPr>
        <w:spacing w:before="123" w:line="883" w:lineRule="exact"/>
        <w:ind w:left="479"/>
        <w:rPr>
          <w:color w:val="auto"/>
          <w:highlight w:val="none"/>
        </w:rPr>
      </w:pPr>
      <w:r>
        <w:rPr>
          <w:color w:val="auto"/>
          <w:position w:val="-18"/>
          <w:highlight w:val="none"/>
        </w:rPr>
        <w:drawing>
          <wp:inline distT="0" distB="0" distL="0" distR="0">
            <wp:extent cx="4066540" cy="56007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5"/>
                    <a:stretch>
                      <a:fillRect/>
                    </a:stretch>
                  </pic:blipFill>
                  <pic:spPr>
                    <a:xfrm>
                      <a:off x="0" y="0"/>
                      <a:ext cx="4067072" cy="560644"/>
                    </a:xfrm>
                    <a:prstGeom prst="rect">
                      <a:avLst/>
                    </a:prstGeom>
                  </pic:spPr>
                </pic:pic>
              </a:graphicData>
            </a:graphic>
          </wp:inline>
        </w:drawing>
      </w:r>
    </w:p>
    <w:p w14:paraId="789F6BFB">
      <w:pPr>
        <w:spacing w:line="249" w:lineRule="auto"/>
        <w:rPr>
          <w:rFonts w:ascii="Arial"/>
          <w:color w:val="auto"/>
          <w:sz w:val="21"/>
          <w:highlight w:val="none"/>
        </w:rPr>
      </w:pPr>
    </w:p>
    <w:p w14:paraId="09EFA7BF">
      <w:pPr>
        <w:spacing w:line="250" w:lineRule="auto"/>
        <w:rPr>
          <w:rFonts w:ascii="Arial"/>
          <w:color w:val="auto"/>
          <w:sz w:val="21"/>
          <w:highlight w:val="none"/>
        </w:rPr>
      </w:pPr>
    </w:p>
    <w:p w14:paraId="5D68C533">
      <w:pPr>
        <w:spacing w:before="62" w:line="227" w:lineRule="auto"/>
        <w:ind w:left="44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式中：</w:t>
      </w:r>
      <w:r>
        <w:rPr>
          <w:rFonts w:ascii="宋体" w:hAnsi="宋体" w:eastAsia="宋体" w:cs="宋体"/>
          <w:color w:val="auto"/>
          <w:spacing w:val="35"/>
          <w:w w:val="101"/>
          <w:sz w:val="19"/>
          <w:szCs w:val="19"/>
          <w:highlight w:val="none"/>
        </w:rPr>
        <w:t xml:space="preserve"> </w:t>
      </w:r>
      <w:r>
        <w:rPr>
          <w:rFonts w:ascii="宋体" w:hAnsi="宋体" w:eastAsia="宋体" w:cs="宋体"/>
          <w:color w:val="auto"/>
          <w:spacing w:val="2"/>
          <w:sz w:val="19"/>
          <w:szCs w:val="19"/>
          <w:highlight w:val="none"/>
        </w:rPr>
        <w:t>△P --</w:t>
      </w:r>
      <w:r>
        <w:rPr>
          <w:rFonts w:ascii="宋体" w:hAnsi="宋体" w:eastAsia="宋体" w:cs="宋体"/>
          <w:color w:val="auto"/>
          <w:spacing w:val="26"/>
          <w:sz w:val="19"/>
          <w:szCs w:val="19"/>
          <w:highlight w:val="none"/>
        </w:rPr>
        <w:t xml:space="preserve"> </w:t>
      </w:r>
      <w:r>
        <w:rPr>
          <w:rFonts w:ascii="宋体" w:hAnsi="宋体" w:eastAsia="宋体" w:cs="宋体"/>
          <w:color w:val="auto"/>
          <w:spacing w:val="2"/>
          <w:sz w:val="19"/>
          <w:szCs w:val="19"/>
          <w:highlight w:val="none"/>
        </w:rPr>
        <w:t>需调整的价格差额；</w:t>
      </w:r>
    </w:p>
    <w:p w14:paraId="00B78A70">
      <w:pPr>
        <w:spacing w:before="142" w:line="353" w:lineRule="auto"/>
        <w:ind w:left="28" w:right="19" w:firstLine="41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P0 -- 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17.3.3</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项、第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17.5.2</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项和第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17.6.2</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项约定的付</w:t>
      </w:r>
      <w:r>
        <w:rPr>
          <w:rFonts w:ascii="宋体" w:hAnsi="宋体" w:eastAsia="宋体" w:cs="宋体"/>
          <w:color w:val="auto"/>
          <w:spacing w:val="4"/>
          <w:sz w:val="19"/>
          <w:szCs w:val="19"/>
          <w:highlight w:val="none"/>
        </w:rPr>
        <w:t>款证书中承包人应得到的已完成</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工程量的金额。此项金额应不包括价格调整、不计质量保</w:t>
      </w:r>
      <w:r>
        <w:rPr>
          <w:rFonts w:ascii="宋体" w:hAnsi="宋体" w:eastAsia="宋体" w:cs="宋体"/>
          <w:color w:val="auto"/>
          <w:spacing w:val="9"/>
          <w:sz w:val="19"/>
          <w:szCs w:val="19"/>
          <w:highlight w:val="none"/>
        </w:rPr>
        <w:t>证金的扣留和支付、预付款的支付和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扣回。第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15</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条约定的变更及其他金额已按现行价格计价的，也不计在内；</w:t>
      </w:r>
    </w:p>
    <w:p w14:paraId="21C77C3B">
      <w:pPr>
        <w:spacing w:before="32" w:line="228" w:lineRule="auto"/>
        <w:ind w:left="43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A -- 定值权重(即不调部分的权重)；</w:t>
      </w:r>
    </w:p>
    <w:p w14:paraId="6BB88490">
      <w:pPr>
        <w:spacing w:before="138" w:line="348" w:lineRule="auto"/>
        <w:ind w:left="24" w:right="94" w:firstLine="41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B1；B2；B3</w:t>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w:t>
      </w:r>
      <w:r>
        <w:rPr>
          <w:rFonts w:ascii="宋体" w:hAnsi="宋体" w:eastAsia="宋体" w:cs="宋体"/>
          <w:color w:val="auto"/>
          <w:sz w:val="19"/>
          <w:szCs w:val="19"/>
          <w:highlight w:val="none"/>
        </w:rPr>
        <w:t>Bn</w:t>
      </w:r>
      <w:r>
        <w:rPr>
          <w:rFonts w:ascii="宋体" w:hAnsi="宋体" w:eastAsia="宋体" w:cs="宋体"/>
          <w:color w:val="auto"/>
          <w:spacing w:val="7"/>
          <w:sz w:val="19"/>
          <w:szCs w:val="19"/>
          <w:highlight w:val="none"/>
        </w:rPr>
        <w:t xml:space="preserve"> -- 各可调因子的变值权重(即可调部分的权重)为各可</w:t>
      </w:r>
      <w:r>
        <w:rPr>
          <w:rFonts w:ascii="宋体" w:hAnsi="宋体" w:eastAsia="宋体" w:cs="宋体"/>
          <w:color w:val="auto"/>
          <w:spacing w:val="6"/>
          <w:sz w:val="19"/>
          <w:szCs w:val="19"/>
          <w:highlight w:val="none"/>
        </w:rPr>
        <w:t>调因子在</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磋商函竞标总报价中所占的比例；</w:t>
      </w:r>
    </w:p>
    <w:p w14:paraId="2C63CD5B">
      <w:pPr>
        <w:spacing w:before="32" w:line="348" w:lineRule="auto"/>
        <w:ind w:left="28" w:right="15" w:firstLine="413"/>
        <w:rPr>
          <w:rFonts w:ascii="宋体" w:hAnsi="宋体" w:eastAsia="宋体" w:cs="宋体"/>
          <w:color w:val="auto"/>
          <w:sz w:val="19"/>
          <w:szCs w:val="19"/>
          <w:highlight w:val="none"/>
        </w:rPr>
      </w:pPr>
      <w:r>
        <w:rPr>
          <w:rFonts w:ascii="宋体" w:hAnsi="宋体" w:eastAsia="宋体" w:cs="宋体"/>
          <w:color w:val="auto"/>
          <w:sz w:val="19"/>
          <w:szCs w:val="19"/>
          <w:highlight w:val="none"/>
        </w:rPr>
        <w:t>Ft</w:t>
      </w:r>
      <w:r>
        <w:rPr>
          <w:rFonts w:ascii="宋体" w:hAnsi="宋体" w:eastAsia="宋体" w:cs="宋体"/>
          <w:color w:val="auto"/>
          <w:spacing w:val="4"/>
          <w:sz w:val="19"/>
          <w:szCs w:val="19"/>
          <w:highlight w:val="none"/>
        </w:rPr>
        <w:t>1；</w:t>
      </w:r>
      <w:r>
        <w:rPr>
          <w:rFonts w:ascii="宋体" w:hAnsi="宋体" w:eastAsia="宋体" w:cs="宋体"/>
          <w:color w:val="auto"/>
          <w:sz w:val="19"/>
          <w:szCs w:val="19"/>
          <w:highlight w:val="none"/>
        </w:rPr>
        <w:t>Ft</w:t>
      </w:r>
      <w:r>
        <w:rPr>
          <w:rFonts w:ascii="宋体" w:hAnsi="宋体" w:eastAsia="宋体" w:cs="宋体"/>
          <w:color w:val="auto"/>
          <w:spacing w:val="4"/>
          <w:sz w:val="19"/>
          <w:szCs w:val="19"/>
          <w:highlight w:val="none"/>
        </w:rPr>
        <w:t>2；</w:t>
      </w:r>
      <w:r>
        <w:rPr>
          <w:rFonts w:ascii="宋体" w:hAnsi="宋体" w:eastAsia="宋体" w:cs="宋体"/>
          <w:color w:val="auto"/>
          <w:sz w:val="19"/>
          <w:szCs w:val="19"/>
          <w:highlight w:val="none"/>
        </w:rPr>
        <w:t>Ft</w:t>
      </w:r>
      <w:r>
        <w:rPr>
          <w:rFonts w:ascii="宋体" w:hAnsi="宋体" w:eastAsia="宋体" w:cs="宋体"/>
          <w:color w:val="auto"/>
          <w:spacing w:val="4"/>
          <w:sz w:val="19"/>
          <w:szCs w:val="19"/>
          <w:highlight w:val="none"/>
        </w:rPr>
        <w:t>3</w:t>
      </w:r>
      <w:r>
        <w:rPr>
          <w:rFonts w:ascii="宋体" w:hAnsi="宋体" w:eastAsia="宋体" w:cs="宋体"/>
          <w:color w:val="auto"/>
          <w:spacing w:val="-17"/>
          <w:sz w:val="19"/>
          <w:szCs w:val="19"/>
          <w:highlight w:val="none"/>
        </w:rPr>
        <w:t xml:space="preserve"> </w:t>
      </w:r>
      <w:r>
        <w:rPr>
          <w:rFonts w:ascii="宋体" w:hAnsi="宋体" w:eastAsia="宋体" w:cs="宋体"/>
          <w:color w:val="auto"/>
          <w:spacing w:val="4"/>
          <w:sz w:val="19"/>
          <w:szCs w:val="19"/>
          <w:highlight w:val="none"/>
        </w:rPr>
        <w:t>·····</w:t>
      </w:r>
      <w:r>
        <w:rPr>
          <w:rFonts w:ascii="宋体" w:hAnsi="宋体" w:eastAsia="宋体" w:cs="宋体"/>
          <w:color w:val="auto"/>
          <w:sz w:val="19"/>
          <w:szCs w:val="19"/>
          <w:highlight w:val="none"/>
        </w:rPr>
        <w:t>Ftn</w:t>
      </w:r>
      <w:r>
        <w:rPr>
          <w:rFonts w:ascii="宋体" w:hAnsi="宋体" w:eastAsia="宋体" w:cs="宋体"/>
          <w:color w:val="auto"/>
          <w:spacing w:val="-37"/>
          <w:sz w:val="19"/>
          <w:szCs w:val="19"/>
          <w:highlight w:val="none"/>
        </w:rPr>
        <w:t xml:space="preserve"> </w:t>
      </w:r>
      <w:r>
        <w:rPr>
          <w:rFonts w:ascii="宋体" w:hAnsi="宋体" w:eastAsia="宋体" w:cs="宋体"/>
          <w:color w:val="auto"/>
          <w:spacing w:val="4"/>
          <w:sz w:val="19"/>
          <w:szCs w:val="19"/>
          <w:highlight w:val="none"/>
        </w:rPr>
        <w:t>-- 各可调因子的现行价格指数，</w:t>
      </w:r>
      <w:r>
        <w:rPr>
          <w:rFonts w:ascii="宋体" w:hAnsi="宋体" w:eastAsia="宋体" w:cs="宋体"/>
          <w:color w:val="auto"/>
          <w:spacing w:val="-49"/>
          <w:sz w:val="19"/>
          <w:szCs w:val="19"/>
          <w:highlight w:val="none"/>
        </w:rPr>
        <w:t xml:space="preserve"> </w:t>
      </w:r>
      <w:r>
        <w:rPr>
          <w:rFonts w:ascii="宋体" w:hAnsi="宋体" w:eastAsia="宋体" w:cs="宋体"/>
          <w:color w:val="auto"/>
          <w:spacing w:val="4"/>
          <w:sz w:val="19"/>
          <w:szCs w:val="19"/>
          <w:highlight w:val="none"/>
        </w:rPr>
        <w:t>指第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17.3.3</w:t>
      </w:r>
      <w:r>
        <w:rPr>
          <w:rFonts w:ascii="宋体" w:hAnsi="宋体" w:eastAsia="宋体" w:cs="宋体"/>
          <w:color w:val="auto"/>
          <w:spacing w:val="-33"/>
          <w:sz w:val="19"/>
          <w:szCs w:val="19"/>
          <w:highlight w:val="none"/>
        </w:rPr>
        <w:t xml:space="preserve"> </w:t>
      </w:r>
      <w:r>
        <w:rPr>
          <w:rFonts w:ascii="宋体" w:hAnsi="宋体" w:eastAsia="宋体" w:cs="宋体"/>
          <w:color w:val="auto"/>
          <w:spacing w:val="3"/>
          <w:sz w:val="19"/>
          <w:szCs w:val="19"/>
          <w:highlight w:val="none"/>
        </w:rPr>
        <w:t>项、第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17.5.2</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项和第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6"/>
          <w:sz w:val="19"/>
          <w:szCs w:val="19"/>
          <w:highlight w:val="none"/>
        </w:rPr>
        <w:t>17.6.2</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项约定的付款证书相关周期最后一天的前</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42</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天的各可调因子的价格指数；</w:t>
      </w:r>
    </w:p>
    <w:p w14:paraId="3BD78625">
      <w:pPr>
        <w:spacing w:before="31" w:line="349" w:lineRule="auto"/>
        <w:ind w:left="42" w:right="19" w:firstLine="400"/>
        <w:rPr>
          <w:rFonts w:ascii="宋体" w:hAnsi="宋体" w:eastAsia="宋体" w:cs="宋体"/>
          <w:color w:val="auto"/>
          <w:sz w:val="19"/>
          <w:szCs w:val="19"/>
          <w:highlight w:val="none"/>
        </w:rPr>
      </w:pPr>
      <w:r>
        <w:rPr>
          <w:rFonts w:ascii="宋体" w:hAnsi="宋体" w:eastAsia="宋体" w:cs="宋体"/>
          <w:color w:val="auto"/>
          <w:sz w:val="19"/>
          <w:szCs w:val="19"/>
          <w:highlight w:val="none"/>
        </w:rPr>
        <w:t>Fo</w:t>
      </w:r>
      <w:r>
        <w:rPr>
          <w:rFonts w:ascii="宋体" w:hAnsi="宋体" w:eastAsia="宋体" w:cs="宋体"/>
          <w:color w:val="auto"/>
          <w:spacing w:val="10"/>
          <w:sz w:val="19"/>
          <w:szCs w:val="19"/>
          <w:highlight w:val="none"/>
        </w:rPr>
        <w:t>1；</w:t>
      </w:r>
      <w:r>
        <w:rPr>
          <w:rFonts w:ascii="宋体" w:hAnsi="宋体" w:eastAsia="宋体" w:cs="宋体"/>
          <w:color w:val="auto"/>
          <w:sz w:val="19"/>
          <w:szCs w:val="19"/>
          <w:highlight w:val="none"/>
        </w:rPr>
        <w:t>Fo</w:t>
      </w:r>
      <w:r>
        <w:rPr>
          <w:rFonts w:ascii="宋体" w:hAnsi="宋体" w:eastAsia="宋体" w:cs="宋体"/>
          <w:color w:val="auto"/>
          <w:spacing w:val="10"/>
          <w:sz w:val="19"/>
          <w:szCs w:val="19"/>
          <w:highlight w:val="none"/>
        </w:rPr>
        <w:t xml:space="preserve">2; </w:t>
      </w:r>
      <w:r>
        <w:rPr>
          <w:rFonts w:ascii="宋体" w:hAnsi="宋体" w:eastAsia="宋体" w:cs="宋体"/>
          <w:color w:val="auto"/>
          <w:sz w:val="19"/>
          <w:szCs w:val="19"/>
          <w:highlight w:val="none"/>
        </w:rPr>
        <w:t>Fo</w:t>
      </w:r>
      <w:r>
        <w:rPr>
          <w:rFonts w:ascii="宋体" w:hAnsi="宋体" w:eastAsia="宋体" w:cs="宋体"/>
          <w:color w:val="auto"/>
          <w:spacing w:val="10"/>
          <w:sz w:val="19"/>
          <w:szCs w:val="19"/>
          <w:highlight w:val="none"/>
        </w:rPr>
        <w:t>3</w:t>
      </w:r>
      <w:r>
        <w:rPr>
          <w:rFonts w:ascii="宋体" w:hAnsi="宋体" w:eastAsia="宋体" w:cs="宋体"/>
          <w:color w:val="auto"/>
          <w:spacing w:val="-13"/>
          <w:sz w:val="19"/>
          <w:szCs w:val="19"/>
          <w:highlight w:val="none"/>
        </w:rPr>
        <w:t xml:space="preserve"> </w:t>
      </w:r>
      <w:r>
        <w:rPr>
          <w:rFonts w:ascii="宋体" w:hAnsi="宋体" w:eastAsia="宋体" w:cs="宋体"/>
          <w:color w:val="auto"/>
          <w:spacing w:val="10"/>
          <w:sz w:val="19"/>
          <w:szCs w:val="19"/>
          <w:highlight w:val="none"/>
        </w:rPr>
        <w:t>·····</w:t>
      </w:r>
      <w:r>
        <w:rPr>
          <w:rFonts w:ascii="宋体" w:hAnsi="宋体" w:eastAsia="宋体" w:cs="宋体"/>
          <w:color w:val="auto"/>
          <w:sz w:val="19"/>
          <w:szCs w:val="19"/>
          <w:highlight w:val="none"/>
        </w:rPr>
        <w:t>Fon</w:t>
      </w:r>
      <w:r>
        <w:rPr>
          <w:rFonts w:ascii="宋体" w:hAnsi="宋体" w:eastAsia="宋体" w:cs="宋体"/>
          <w:color w:val="auto"/>
          <w:spacing w:val="10"/>
          <w:sz w:val="19"/>
          <w:szCs w:val="19"/>
          <w:highlight w:val="none"/>
        </w:rPr>
        <w:t xml:space="preserve"> -- 各可调因子的基本</w:t>
      </w:r>
      <w:r>
        <w:rPr>
          <w:rFonts w:ascii="宋体" w:hAnsi="宋体" w:eastAsia="宋体" w:cs="宋体"/>
          <w:color w:val="auto"/>
          <w:spacing w:val="9"/>
          <w:sz w:val="19"/>
          <w:szCs w:val="19"/>
          <w:highlight w:val="none"/>
        </w:rPr>
        <w:t>价格指数，指基准日期的各可调因子</w:t>
      </w:r>
      <w:r>
        <w:rPr>
          <w:rFonts w:ascii="宋体" w:hAnsi="宋体" w:eastAsia="宋体" w:cs="宋体"/>
          <w:color w:val="auto"/>
          <w:sz w:val="19"/>
          <w:szCs w:val="19"/>
          <w:highlight w:val="none"/>
        </w:rPr>
        <w:t xml:space="preserve"> </w:t>
      </w:r>
      <w:r>
        <w:rPr>
          <w:rFonts w:ascii="宋体" w:hAnsi="宋体" w:eastAsia="宋体" w:cs="宋体"/>
          <w:color w:val="auto"/>
          <w:spacing w:val="1"/>
          <w:sz w:val="19"/>
          <w:szCs w:val="19"/>
          <w:highlight w:val="none"/>
        </w:rPr>
        <w:t>的价格指数。</w:t>
      </w:r>
    </w:p>
    <w:p w14:paraId="284B82F0">
      <w:pPr>
        <w:spacing w:before="14" w:line="334" w:lineRule="auto"/>
        <w:ind w:left="25" w:right="18" w:firstLine="442"/>
        <w:jc w:val="both"/>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以上价格调整公式中的各可调因子、定值和变值权重，</w:t>
      </w:r>
      <w:r>
        <w:rPr>
          <w:rFonts w:ascii="宋体" w:hAnsi="宋体" w:eastAsia="宋体" w:cs="宋体"/>
          <w:color w:val="auto"/>
          <w:spacing w:val="-15"/>
          <w:sz w:val="19"/>
          <w:szCs w:val="19"/>
          <w:highlight w:val="none"/>
        </w:rPr>
        <w:t xml:space="preserve"> </w:t>
      </w:r>
      <w:r>
        <w:rPr>
          <w:rFonts w:ascii="宋体" w:hAnsi="宋体" w:eastAsia="宋体" w:cs="宋体"/>
          <w:color w:val="auto"/>
          <w:spacing w:val="9"/>
          <w:sz w:val="19"/>
          <w:szCs w:val="19"/>
          <w:highlight w:val="none"/>
        </w:rPr>
        <w:t>以及基本价格指数及其来源在磋商</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函附录价格指数和权重表中约定。价格指数应首先采用有关部门提供的价格指数，缺乏</w:t>
      </w:r>
      <w:r>
        <w:rPr>
          <w:rFonts w:ascii="宋体" w:hAnsi="宋体" w:eastAsia="宋体" w:cs="宋体"/>
          <w:color w:val="auto"/>
          <w:spacing w:val="11"/>
          <w:sz w:val="19"/>
          <w:szCs w:val="19"/>
          <w:highlight w:val="none"/>
        </w:rPr>
        <w:t>上述价</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格指数时，可采用有关部门提供的价格代替。</w:t>
      </w:r>
    </w:p>
    <w:p w14:paraId="42663FC7">
      <w:pPr>
        <w:spacing w:before="67" w:line="228"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"16.1.1.2" </w:instrText>
      </w:r>
      <w:r>
        <w:rPr>
          <w:color w:val="auto"/>
          <w:highlight w:val="none"/>
        </w:rPr>
        <w:fldChar w:fldCharType="separate"/>
      </w:r>
      <w:r>
        <w:rPr>
          <w:rFonts w:ascii="宋体" w:hAnsi="宋体" w:eastAsia="宋体" w:cs="宋体"/>
          <w:color w:val="auto"/>
          <w:spacing w:val="4"/>
          <w:sz w:val="19"/>
          <w:szCs w:val="19"/>
          <w:highlight w:val="none"/>
        </w:rPr>
        <w:t>16.1.1.2</w:t>
      </w:r>
      <w:r>
        <w:rPr>
          <w:rFonts w:ascii="宋体" w:hAnsi="宋体" w:eastAsia="宋体" w:cs="宋体"/>
          <w:color w:val="auto"/>
          <w:spacing w:val="4"/>
          <w:sz w:val="19"/>
          <w:szCs w:val="19"/>
          <w:highlight w:val="none"/>
        </w:rPr>
        <w:fldChar w:fldCharType="end"/>
      </w:r>
      <w:r>
        <w:rPr>
          <w:rFonts w:ascii="宋体" w:hAnsi="宋体" w:eastAsia="宋体" w:cs="宋体"/>
          <w:color w:val="auto"/>
          <w:spacing w:val="-15"/>
          <w:sz w:val="19"/>
          <w:szCs w:val="19"/>
          <w:highlight w:val="none"/>
        </w:rPr>
        <w:t xml:space="preserve"> </w:t>
      </w:r>
      <w:r>
        <w:rPr>
          <w:rFonts w:ascii="宋体" w:hAnsi="宋体" w:eastAsia="宋体" w:cs="宋体"/>
          <w:color w:val="auto"/>
          <w:spacing w:val="4"/>
          <w:sz w:val="19"/>
          <w:szCs w:val="19"/>
          <w:highlight w:val="none"/>
        </w:rPr>
        <w:t>暂时确定调整差额</w:t>
      </w:r>
    </w:p>
    <w:p w14:paraId="1EE85C73">
      <w:pPr>
        <w:spacing w:before="261" w:line="337" w:lineRule="auto"/>
        <w:ind w:left="44" w:right="19" w:firstLine="41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在计算调整差额时得不到现行价格指数的，可暂用上一次价格指数计算，并在以后的付款</w:t>
      </w:r>
      <w:r>
        <w:rPr>
          <w:rFonts w:ascii="宋体" w:hAnsi="宋体" w:eastAsia="宋体" w:cs="宋体"/>
          <w:color w:val="auto"/>
          <w:spacing w:val="5"/>
          <w:sz w:val="19"/>
          <w:szCs w:val="19"/>
          <w:highlight w:val="none"/>
        </w:rPr>
        <w:t xml:space="preserve"> </w:t>
      </w:r>
      <w:r>
        <w:rPr>
          <w:rFonts w:ascii="宋体" w:hAnsi="宋体" w:eastAsia="宋体" w:cs="宋体"/>
          <w:color w:val="auto"/>
          <w:spacing w:val="6"/>
          <w:sz w:val="19"/>
          <w:szCs w:val="19"/>
          <w:highlight w:val="none"/>
        </w:rPr>
        <w:t>中再按实际价格指数进行调整。</w:t>
      </w:r>
    </w:p>
    <w:p w14:paraId="47A01097">
      <w:pPr>
        <w:spacing w:before="64" w:line="228" w:lineRule="auto"/>
        <w:ind w:left="479"/>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"16.1.1.3" </w:instrText>
      </w:r>
      <w:r>
        <w:rPr>
          <w:color w:val="auto"/>
          <w:highlight w:val="none"/>
        </w:rPr>
        <w:fldChar w:fldCharType="separate"/>
      </w:r>
      <w:r>
        <w:rPr>
          <w:rFonts w:ascii="宋体" w:hAnsi="宋体" w:eastAsia="宋体" w:cs="宋体"/>
          <w:color w:val="auto"/>
          <w:spacing w:val="4"/>
          <w:sz w:val="19"/>
          <w:szCs w:val="19"/>
          <w:highlight w:val="none"/>
        </w:rPr>
        <w:t>16.1.1.3</w:t>
      </w:r>
      <w:r>
        <w:rPr>
          <w:rFonts w:ascii="宋体" w:hAnsi="宋体" w:eastAsia="宋体" w:cs="宋体"/>
          <w:color w:val="auto"/>
          <w:spacing w:val="4"/>
          <w:sz w:val="19"/>
          <w:szCs w:val="19"/>
          <w:highlight w:val="none"/>
        </w:rPr>
        <w:fldChar w:fldCharType="end"/>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权重的调整</w:t>
      </w:r>
    </w:p>
    <w:p w14:paraId="62715452">
      <w:pPr>
        <w:spacing w:before="280" w:line="345" w:lineRule="auto"/>
        <w:ind w:left="29" w:right="21" w:firstLine="43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按第 15.</w:t>
      </w:r>
      <w:r>
        <w:rPr>
          <w:rFonts w:ascii="宋体" w:hAnsi="宋体" w:eastAsia="宋体" w:cs="宋体"/>
          <w:color w:val="auto"/>
          <w:spacing w:val="41"/>
          <w:sz w:val="19"/>
          <w:szCs w:val="19"/>
          <w:highlight w:val="none"/>
        </w:rPr>
        <w:t xml:space="preserve"> </w:t>
      </w:r>
      <w:r>
        <w:rPr>
          <w:rFonts w:ascii="宋体" w:hAnsi="宋体" w:eastAsia="宋体" w:cs="宋体"/>
          <w:color w:val="auto"/>
          <w:spacing w:val="7"/>
          <w:sz w:val="19"/>
          <w:szCs w:val="19"/>
          <w:highlight w:val="none"/>
        </w:rPr>
        <w:t>1 款约定的变更导致原定合同中的权重不合理时，由监理人与承包人和发包人协</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商后进行调整。</w:t>
      </w:r>
    </w:p>
    <w:p w14:paraId="1750C30C">
      <w:pPr>
        <w:spacing w:before="54" w:line="227"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"16.1.1.4" </w:instrText>
      </w:r>
      <w:r>
        <w:rPr>
          <w:color w:val="auto"/>
          <w:highlight w:val="none"/>
        </w:rPr>
        <w:fldChar w:fldCharType="separate"/>
      </w:r>
      <w:r>
        <w:rPr>
          <w:rFonts w:ascii="宋体" w:hAnsi="宋体" w:eastAsia="宋体" w:cs="宋体"/>
          <w:color w:val="auto"/>
          <w:spacing w:val="6"/>
          <w:sz w:val="19"/>
          <w:szCs w:val="19"/>
          <w:highlight w:val="none"/>
        </w:rPr>
        <w:t>16.1.1.4</w:t>
      </w:r>
      <w:r>
        <w:rPr>
          <w:rFonts w:ascii="宋体" w:hAnsi="宋体" w:eastAsia="宋体" w:cs="宋体"/>
          <w:color w:val="auto"/>
          <w:spacing w:val="6"/>
          <w:sz w:val="19"/>
          <w:szCs w:val="19"/>
          <w:highlight w:val="none"/>
        </w:rPr>
        <w:fldChar w:fldCharType="end"/>
      </w:r>
      <w:r>
        <w:rPr>
          <w:rFonts w:ascii="宋体" w:hAnsi="宋体" w:eastAsia="宋体" w:cs="宋体"/>
          <w:color w:val="auto"/>
          <w:spacing w:val="-27"/>
          <w:sz w:val="19"/>
          <w:szCs w:val="19"/>
          <w:highlight w:val="none"/>
        </w:rPr>
        <w:t xml:space="preserve"> </w:t>
      </w:r>
      <w:r>
        <w:rPr>
          <w:rFonts w:ascii="宋体" w:hAnsi="宋体" w:eastAsia="宋体" w:cs="宋体"/>
          <w:color w:val="auto"/>
          <w:spacing w:val="6"/>
          <w:sz w:val="19"/>
          <w:szCs w:val="19"/>
          <w:highlight w:val="none"/>
        </w:rPr>
        <w:t>承包人工期延误后的价格调整</w:t>
      </w:r>
    </w:p>
    <w:p w14:paraId="378F2C0D">
      <w:pPr>
        <w:spacing w:before="254" w:line="336" w:lineRule="auto"/>
        <w:ind w:left="27" w:right="15" w:firstLine="461"/>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由于承包人原因未在约定的工期内竣工的，则对原约定竣工日期后继续施工的工程, 在使</w:t>
      </w:r>
      <w:r>
        <w:rPr>
          <w:rFonts w:ascii="宋体" w:hAnsi="宋体" w:eastAsia="宋体" w:cs="宋体"/>
          <w:color w:val="auto"/>
          <w:spacing w:val="13"/>
          <w:sz w:val="19"/>
          <w:szCs w:val="19"/>
          <w:highlight w:val="none"/>
        </w:rPr>
        <w:t xml:space="preserve"> </w:t>
      </w:r>
      <w:r>
        <w:rPr>
          <w:rFonts w:ascii="宋体" w:hAnsi="宋体" w:eastAsia="宋体" w:cs="宋体"/>
          <w:color w:val="auto"/>
          <w:spacing w:val="6"/>
          <w:sz w:val="19"/>
          <w:szCs w:val="19"/>
          <w:highlight w:val="none"/>
        </w:rPr>
        <w:t>用第 16.</w:t>
      </w:r>
      <w:r>
        <w:rPr>
          <w:rFonts w:ascii="宋体" w:hAnsi="宋体" w:eastAsia="宋体" w:cs="宋体"/>
          <w:color w:val="auto"/>
          <w:spacing w:val="47"/>
          <w:sz w:val="19"/>
          <w:szCs w:val="19"/>
          <w:highlight w:val="none"/>
        </w:rPr>
        <w:t xml:space="preserve"> </w:t>
      </w:r>
      <w:r>
        <w:rPr>
          <w:rFonts w:ascii="宋体" w:hAnsi="宋体" w:eastAsia="宋体" w:cs="宋体"/>
          <w:color w:val="auto"/>
          <w:spacing w:val="6"/>
          <w:sz w:val="19"/>
          <w:szCs w:val="19"/>
          <w:highlight w:val="none"/>
        </w:rPr>
        <w:t>1. 1.</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49"/>
          <w:sz w:val="19"/>
          <w:szCs w:val="19"/>
          <w:highlight w:val="none"/>
        </w:rPr>
        <w:t xml:space="preserve"> </w:t>
      </w:r>
      <w:r>
        <w:rPr>
          <w:rFonts w:ascii="宋体" w:hAnsi="宋体" w:eastAsia="宋体" w:cs="宋体"/>
          <w:color w:val="auto"/>
          <w:spacing w:val="6"/>
          <w:sz w:val="19"/>
          <w:szCs w:val="19"/>
          <w:highlight w:val="none"/>
        </w:rPr>
        <w:t>目价格调整公式时，应采用原约定竣工日期与实际竣工日期的两个价格指数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中较低的一个作为现行价格指数。</w:t>
      </w:r>
    </w:p>
    <w:p w14:paraId="226C719E">
      <w:pPr>
        <w:spacing w:before="66" w:line="227" w:lineRule="auto"/>
        <w:ind w:left="4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16.1. 2</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采用造价信息调整价格差额</w:t>
      </w:r>
    </w:p>
    <w:p w14:paraId="7902F10B">
      <w:pPr>
        <w:spacing w:before="258" w:line="338" w:lineRule="auto"/>
        <w:ind w:left="27" w:right="19" w:firstLine="436"/>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施工期内，因人工、材料、设备和机械台班价格波动影响合同价格时，人工、机械使用费</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按照国家或省(自治区、直辖市)建设行政管理部门、行业建</w:t>
      </w:r>
      <w:r>
        <w:rPr>
          <w:rFonts w:ascii="宋体" w:hAnsi="宋体" w:eastAsia="宋体" w:cs="宋体"/>
          <w:color w:val="auto"/>
          <w:spacing w:val="11"/>
          <w:sz w:val="19"/>
          <w:szCs w:val="19"/>
          <w:highlight w:val="none"/>
        </w:rPr>
        <w:t>设管理部门或其授权的工程造价管</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理机构发布的人工成本信息、机械台班单价或机械使用费系数进行调整；需要</w:t>
      </w:r>
      <w:r>
        <w:rPr>
          <w:rFonts w:ascii="宋体" w:hAnsi="宋体" w:eastAsia="宋体" w:cs="宋体"/>
          <w:color w:val="auto"/>
          <w:spacing w:val="11"/>
          <w:sz w:val="19"/>
          <w:szCs w:val="19"/>
          <w:highlight w:val="none"/>
        </w:rPr>
        <w:t>进行价格调整的</w:t>
      </w:r>
    </w:p>
    <w:p w14:paraId="0CB9BF48">
      <w:pPr>
        <w:spacing w:line="338" w:lineRule="auto"/>
        <w:rPr>
          <w:rFonts w:ascii="宋体" w:hAnsi="宋体" w:eastAsia="宋体" w:cs="宋体"/>
          <w:color w:val="auto"/>
          <w:sz w:val="19"/>
          <w:szCs w:val="19"/>
          <w:highlight w:val="none"/>
        </w:rPr>
        <w:sectPr>
          <w:footerReference r:id="rId97" w:type="default"/>
          <w:pgSz w:w="11900" w:h="16832"/>
          <w:pgMar w:top="1430" w:right="1784" w:bottom="1188" w:left="1784" w:header="0" w:footer="980" w:gutter="0"/>
          <w:pgNumType w:fmt="decimal"/>
          <w:cols w:space="720" w:num="1"/>
        </w:sectPr>
      </w:pPr>
    </w:p>
    <w:p w14:paraId="6FFE34B6">
      <w:pPr>
        <w:spacing w:before="124" w:line="334" w:lineRule="auto"/>
        <w:ind w:left="25" w:right="50"/>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材料，其单价和采购数应由监理人复核，监理人</w:t>
      </w:r>
      <w:r>
        <w:rPr>
          <w:rFonts w:ascii="宋体" w:hAnsi="宋体" w:eastAsia="宋体" w:cs="宋体"/>
          <w:color w:val="auto"/>
          <w:spacing w:val="9"/>
          <w:sz w:val="19"/>
          <w:szCs w:val="19"/>
          <w:highlight w:val="none"/>
        </w:rPr>
        <w:t>确认需调整的材料单价及 数量，作为调整工程</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合同价格差额的依据。</w:t>
      </w:r>
    </w:p>
    <w:p w14:paraId="5CE3489E">
      <w:pPr>
        <w:spacing w:before="29" w:line="227" w:lineRule="auto"/>
        <w:ind w:left="44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工程造价信息的来源以及价格调整的项目和系数在专用合同条款中约定。</w:t>
      </w:r>
    </w:p>
    <w:p w14:paraId="2DD719BE">
      <w:pPr>
        <w:spacing w:before="209" w:line="219"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16.2</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5"/>
          <w:sz w:val="28"/>
          <w:szCs w:val="28"/>
          <w:highlight w:val="none"/>
        </w:rPr>
        <w:t>法律变化引起的价格调整</w:t>
      </w:r>
    </w:p>
    <w:p w14:paraId="5B4B1362">
      <w:pPr>
        <w:spacing w:line="295" w:lineRule="auto"/>
        <w:rPr>
          <w:rFonts w:ascii="Arial"/>
          <w:color w:val="auto"/>
          <w:sz w:val="21"/>
          <w:highlight w:val="none"/>
        </w:rPr>
      </w:pPr>
    </w:p>
    <w:p w14:paraId="19E6DEB1">
      <w:pPr>
        <w:spacing w:before="62" w:line="328" w:lineRule="auto"/>
        <w:ind w:left="26" w:right="48" w:firstLine="437"/>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在基准日后，因法律变化导致承包人在合同履行中所需要的工程费用发生除第 16.</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1 款约</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定以外的增减时，监理人应根据法律、国家或省、自治区、直辖市有关部门的规定，按第 3. 5</w:t>
      </w:r>
      <w:r>
        <w:rPr>
          <w:rFonts w:ascii="宋体" w:hAnsi="宋体" w:eastAsia="宋体" w:cs="宋体"/>
          <w:color w:val="auto"/>
          <w:spacing w:val="4"/>
          <w:sz w:val="19"/>
          <w:szCs w:val="19"/>
          <w:highlight w:val="none"/>
        </w:rPr>
        <w:t xml:space="preserve"> </w:t>
      </w:r>
      <w:r>
        <w:rPr>
          <w:rFonts w:ascii="宋体" w:hAnsi="宋体" w:eastAsia="宋体" w:cs="宋体"/>
          <w:color w:val="auto"/>
          <w:spacing w:val="7"/>
          <w:sz w:val="19"/>
          <w:szCs w:val="19"/>
          <w:highlight w:val="none"/>
        </w:rPr>
        <w:t>款商定或确定需调整的合同价款。</w:t>
      </w:r>
    </w:p>
    <w:p w14:paraId="734154C0">
      <w:pPr>
        <w:spacing w:before="275"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17.</w:t>
      </w:r>
      <w:r>
        <w:rPr>
          <w:rFonts w:ascii="宋体" w:hAnsi="宋体" w:eastAsia="宋体" w:cs="宋体"/>
          <w:b/>
          <w:bCs/>
          <w:color w:val="auto"/>
          <w:spacing w:val="3"/>
          <w:sz w:val="31"/>
          <w:szCs w:val="31"/>
          <w:highlight w:val="none"/>
        </w:rPr>
        <w:t>计量与支付</w:t>
      </w:r>
    </w:p>
    <w:p w14:paraId="4649F0B5">
      <w:pPr>
        <w:spacing w:line="247" w:lineRule="auto"/>
        <w:rPr>
          <w:rFonts w:ascii="Arial"/>
          <w:color w:val="auto"/>
          <w:sz w:val="21"/>
          <w:highlight w:val="none"/>
        </w:rPr>
      </w:pPr>
    </w:p>
    <w:p w14:paraId="3DB1003E">
      <w:pPr>
        <w:spacing w:line="248" w:lineRule="auto"/>
        <w:rPr>
          <w:rFonts w:ascii="Arial"/>
          <w:color w:val="auto"/>
          <w:sz w:val="21"/>
          <w:highlight w:val="none"/>
        </w:rPr>
      </w:pPr>
    </w:p>
    <w:p w14:paraId="1F3115BA">
      <w:pPr>
        <w:spacing w:before="102" w:line="226" w:lineRule="auto"/>
        <w:ind w:left="54"/>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17.1</w:t>
      </w:r>
      <w:r>
        <w:rPr>
          <w:rFonts w:ascii="宋体" w:hAnsi="宋体" w:eastAsia="宋体" w:cs="宋体"/>
          <w:color w:val="auto"/>
          <w:spacing w:val="-59"/>
          <w:sz w:val="31"/>
          <w:szCs w:val="31"/>
          <w:highlight w:val="none"/>
        </w:rPr>
        <w:t xml:space="preserve"> </w:t>
      </w:r>
      <w:r>
        <w:rPr>
          <w:rFonts w:ascii="宋体" w:hAnsi="宋体" w:eastAsia="宋体" w:cs="宋体"/>
          <w:b/>
          <w:bCs/>
          <w:color w:val="auto"/>
          <w:spacing w:val="-4"/>
          <w:sz w:val="31"/>
          <w:szCs w:val="31"/>
          <w:highlight w:val="none"/>
        </w:rPr>
        <w:t>计量</w:t>
      </w:r>
    </w:p>
    <w:p w14:paraId="0FC7CDD8">
      <w:pPr>
        <w:spacing w:line="254" w:lineRule="auto"/>
        <w:rPr>
          <w:rFonts w:ascii="Arial"/>
          <w:color w:val="auto"/>
          <w:sz w:val="21"/>
          <w:highlight w:val="none"/>
        </w:rPr>
      </w:pPr>
    </w:p>
    <w:p w14:paraId="191EFFFA">
      <w:pPr>
        <w:spacing w:before="62" w:line="229" w:lineRule="auto"/>
        <w:ind w:left="842"/>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17.1.</w:t>
      </w:r>
      <w:r>
        <w:rPr>
          <w:rFonts w:ascii="宋体" w:hAnsi="宋体" w:eastAsia="宋体" w:cs="宋体"/>
          <w:color w:val="auto"/>
          <w:spacing w:val="30"/>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1"/>
          <w:sz w:val="19"/>
          <w:szCs w:val="19"/>
          <w:highlight w:val="none"/>
        </w:rPr>
        <w:t>计量单位</w:t>
      </w:r>
    </w:p>
    <w:p w14:paraId="1FBDA93C">
      <w:pPr>
        <w:spacing w:before="255" w:line="368" w:lineRule="auto"/>
        <w:ind w:left="459" w:right="5159" w:hanging="1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计量采用国家法定的计量单位。</w:t>
      </w:r>
      <w:r>
        <w:rPr>
          <w:rFonts w:ascii="宋体" w:hAnsi="宋体" w:eastAsia="宋体" w:cs="宋体"/>
          <w:color w:val="auto"/>
          <w:spacing w:val="11"/>
          <w:sz w:val="19"/>
          <w:szCs w:val="19"/>
          <w:highlight w:val="none"/>
        </w:rPr>
        <w:t xml:space="preserve"> </w:t>
      </w:r>
      <w:r>
        <w:rPr>
          <w:rFonts w:ascii="宋体" w:hAnsi="宋体" w:eastAsia="宋体" w:cs="宋体"/>
          <w:color w:val="auto"/>
          <w:spacing w:val="2"/>
          <w:sz w:val="19"/>
          <w:szCs w:val="19"/>
          <w:highlight w:val="none"/>
        </w:rPr>
        <w:t>17.1.</w:t>
      </w:r>
      <w:r>
        <w:rPr>
          <w:rFonts w:ascii="宋体" w:hAnsi="宋体" w:eastAsia="宋体" w:cs="宋体"/>
          <w:color w:val="auto"/>
          <w:spacing w:val="22"/>
          <w:sz w:val="19"/>
          <w:szCs w:val="19"/>
          <w:highlight w:val="none"/>
        </w:rPr>
        <w:t xml:space="preserve"> </w:t>
      </w:r>
      <w:r>
        <w:rPr>
          <w:rFonts w:ascii="宋体" w:hAnsi="宋体" w:eastAsia="宋体" w:cs="宋体"/>
          <w:color w:val="auto"/>
          <w:spacing w:val="2"/>
          <w:sz w:val="19"/>
          <w:szCs w:val="19"/>
          <w:highlight w:val="none"/>
        </w:rPr>
        <w:t>2</w:t>
      </w:r>
      <w:r>
        <w:rPr>
          <w:rFonts w:ascii="宋体" w:hAnsi="宋体" w:eastAsia="宋体" w:cs="宋体"/>
          <w:color w:val="auto"/>
          <w:spacing w:val="-36"/>
          <w:sz w:val="19"/>
          <w:szCs w:val="19"/>
          <w:highlight w:val="none"/>
        </w:rPr>
        <w:t xml:space="preserve"> </w:t>
      </w:r>
      <w:r>
        <w:rPr>
          <w:rFonts w:ascii="宋体" w:hAnsi="宋体" w:eastAsia="宋体" w:cs="宋体"/>
          <w:color w:val="auto"/>
          <w:spacing w:val="2"/>
          <w:sz w:val="19"/>
          <w:szCs w:val="19"/>
          <w:highlight w:val="none"/>
        </w:rPr>
        <w:t>计量方法</w:t>
      </w:r>
    </w:p>
    <w:p w14:paraId="133DEE89">
      <w:pPr>
        <w:spacing w:before="125" w:line="228" w:lineRule="auto"/>
        <w:ind w:left="45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结算工程量应按工程量清单中约定的方法计算。</w:t>
      </w:r>
    </w:p>
    <w:p w14:paraId="70200564">
      <w:pPr>
        <w:spacing w:before="159" w:line="229" w:lineRule="auto"/>
        <w:ind w:left="460"/>
        <w:rPr>
          <w:rFonts w:ascii="宋体" w:hAnsi="宋体" w:eastAsia="宋体" w:cs="宋体"/>
          <w:color w:val="auto"/>
          <w:sz w:val="19"/>
          <w:szCs w:val="19"/>
          <w:highlight w:val="none"/>
        </w:rPr>
      </w:pPr>
      <w:r>
        <w:rPr>
          <w:rFonts w:ascii="宋体" w:hAnsi="宋体" w:eastAsia="宋体" w:cs="宋体"/>
          <w:color w:val="auto"/>
          <w:sz w:val="19"/>
          <w:szCs w:val="19"/>
          <w:highlight w:val="none"/>
        </w:rPr>
        <w:t>17.</w:t>
      </w:r>
      <w:r>
        <w:rPr>
          <w:rFonts w:ascii="宋体" w:hAnsi="宋体" w:eastAsia="宋体" w:cs="宋体"/>
          <w:color w:val="auto"/>
          <w:spacing w:val="28"/>
          <w:sz w:val="19"/>
          <w:szCs w:val="19"/>
          <w:highlight w:val="none"/>
        </w:rPr>
        <w:t xml:space="preserve"> </w:t>
      </w:r>
      <w:r>
        <w:rPr>
          <w:rFonts w:ascii="宋体" w:hAnsi="宋体" w:eastAsia="宋体" w:cs="宋体"/>
          <w:color w:val="auto"/>
          <w:sz w:val="19"/>
          <w:szCs w:val="19"/>
          <w:highlight w:val="none"/>
        </w:rPr>
        <w:t>1.</w:t>
      </w:r>
      <w:r>
        <w:rPr>
          <w:rFonts w:ascii="宋体" w:hAnsi="宋体" w:eastAsia="宋体" w:cs="宋体"/>
          <w:color w:val="auto"/>
          <w:spacing w:val="17"/>
          <w:sz w:val="19"/>
          <w:szCs w:val="19"/>
          <w:highlight w:val="none"/>
        </w:rPr>
        <w:t xml:space="preserve"> </w:t>
      </w:r>
      <w:r>
        <w:rPr>
          <w:rFonts w:ascii="宋体" w:hAnsi="宋体" w:eastAsia="宋体" w:cs="宋体"/>
          <w:color w:val="auto"/>
          <w:sz w:val="19"/>
          <w:szCs w:val="19"/>
          <w:highlight w:val="none"/>
        </w:rPr>
        <w:t>3</w:t>
      </w:r>
      <w:r>
        <w:rPr>
          <w:rFonts w:ascii="宋体" w:hAnsi="宋体" w:eastAsia="宋体" w:cs="宋体"/>
          <w:color w:val="auto"/>
          <w:spacing w:val="-35"/>
          <w:sz w:val="19"/>
          <w:szCs w:val="19"/>
          <w:highlight w:val="none"/>
        </w:rPr>
        <w:t xml:space="preserve"> </w:t>
      </w:r>
      <w:r>
        <w:rPr>
          <w:rFonts w:ascii="宋体" w:hAnsi="宋体" w:eastAsia="宋体" w:cs="宋体"/>
          <w:color w:val="auto"/>
          <w:sz w:val="19"/>
          <w:szCs w:val="19"/>
          <w:highlight w:val="none"/>
        </w:rPr>
        <w:t>计量周期</w:t>
      </w:r>
    </w:p>
    <w:p w14:paraId="665225A7">
      <w:pPr>
        <w:spacing w:before="247" w:line="325" w:lineRule="auto"/>
        <w:ind w:left="27" w:right="52" w:firstLine="44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除专用合同条款另有约定外，单价子目已完成工程量按月计量，总价子目的计量周期 按批</w:t>
      </w:r>
      <w:r>
        <w:rPr>
          <w:rFonts w:ascii="宋体" w:hAnsi="宋体" w:eastAsia="宋体" w:cs="宋体"/>
          <w:color w:val="auto"/>
          <w:spacing w:val="6"/>
          <w:sz w:val="19"/>
          <w:szCs w:val="19"/>
          <w:highlight w:val="none"/>
        </w:rPr>
        <w:t xml:space="preserve"> </w:t>
      </w:r>
      <w:r>
        <w:rPr>
          <w:rFonts w:ascii="宋体" w:hAnsi="宋体" w:eastAsia="宋体" w:cs="宋体"/>
          <w:color w:val="auto"/>
          <w:spacing w:val="7"/>
          <w:sz w:val="19"/>
          <w:szCs w:val="19"/>
          <w:highlight w:val="none"/>
        </w:rPr>
        <w:t>准的支付分解报告确定。</w:t>
      </w:r>
    </w:p>
    <w:p w14:paraId="4FB760C7">
      <w:pPr>
        <w:spacing w:before="72" w:line="227"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17.1.4</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单价子目的计量</w:t>
      </w:r>
    </w:p>
    <w:p w14:paraId="40FC6CBB">
      <w:pPr>
        <w:spacing w:before="245" w:line="289" w:lineRule="auto"/>
        <w:ind w:left="41" w:right="53" w:hanging="15"/>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已标价工程量清单中的单价子目工程量为估算工程量</w:t>
      </w:r>
      <w:r>
        <w:rPr>
          <w:rFonts w:ascii="宋体" w:hAnsi="宋体" w:eastAsia="宋体" w:cs="宋体"/>
          <w:color w:val="auto"/>
          <w:spacing w:val="6"/>
          <w:sz w:val="19"/>
          <w:szCs w:val="19"/>
          <w:highlight w:val="none"/>
        </w:rPr>
        <w:t>。结算工程量是承包人实际完成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的，并按合同约定的计量方法进行计量的工程量。</w:t>
      </w:r>
    </w:p>
    <w:p w14:paraId="6088BA76">
      <w:pPr>
        <w:spacing w:before="126" w:line="289" w:lineRule="auto"/>
        <w:ind w:left="26" w:right="5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承包人对已完成的工程进行计量，</w:t>
      </w:r>
      <w:r>
        <w:rPr>
          <w:rFonts w:ascii="宋体" w:hAnsi="宋体" w:eastAsia="宋体" w:cs="宋体"/>
          <w:color w:val="auto"/>
          <w:spacing w:val="-49"/>
          <w:sz w:val="19"/>
          <w:szCs w:val="19"/>
          <w:highlight w:val="none"/>
        </w:rPr>
        <w:t xml:space="preserve"> </w:t>
      </w:r>
      <w:r>
        <w:rPr>
          <w:rFonts w:ascii="宋体" w:hAnsi="宋体" w:eastAsia="宋体" w:cs="宋体"/>
          <w:color w:val="auto"/>
          <w:spacing w:val="6"/>
          <w:sz w:val="19"/>
          <w:szCs w:val="19"/>
          <w:highlight w:val="none"/>
        </w:rPr>
        <w:t>向监理人提交进度付款申请单、已完成工</w:t>
      </w:r>
      <w:r>
        <w:rPr>
          <w:rFonts w:ascii="宋体" w:hAnsi="宋体" w:eastAsia="宋体" w:cs="宋体"/>
          <w:color w:val="auto"/>
          <w:spacing w:val="5"/>
          <w:sz w:val="19"/>
          <w:szCs w:val="19"/>
          <w:highlight w:val="none"/>
        </w:rPr>
        <w:t>程量报表</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和有关计量资料。</w:t>
      </w:r>
    </w:p>
    <w:p w14:paraId="767FB735">
      <w:pPr>
        <w:spacing w:before="126" w:line="319" w:lineRule="auto"/>
        <w:ind w:left="27" w:hanging="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监理人对承包人提交的工程量报表进行复核，以确定实际完成</w:t>
      </w:r>
      <w:r>
        <w:rPr>
          <w:rFonts w:ascii="宋体" w:hAnsi="宋体" w:eastAsia="宋体" w:cs="宋体"/>
          <w:color w:val="auto"/>
          <w:spacing w:val="5"/>
          <w:sz w:val="19"/>
          <w:szCs w:val="19"/>
          <w:highlight w:val="none"/>
        </w:rPr>
        <w:t>的工程量。对数量有异议的，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可要求承包人按第</w:t>
      </w:r>
      <w:r>
        <w:rPr>
          <w:rFonts w:ascii="宋体" w:hAnsi="宋体" w:eastAsia="宋体" w:cs="宋体"/>
          <w:color w:val="auto"/>
          <w:spacing w:val="-35"/>
          <w:sz w:val="19"/>
          <w:szCs w:val="19"/>
          <w:highlight w:val="none"/>
        </w:rPr>
        <w:t xml:space="preserve"> </w:t>
      </w:r>
      <w:r>
        <w:rPr>
          <w:rFonts w:ascii="宋体" w:hAnsi="宋体" w:eastAsia="宋体" w:cs="宋体"/>
          <w:color w:val="auto"/>
          <w:spacing w:val="9"/>
          <w:sz w:val="19"/>
          <w:szCs w:val="19"/>
          <w:highlight w:val="none"/>
        </w:rPr>
        <w:t>8. 2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9"/>
          <w:sz w:val="19"/>
          <w:szCs w:val="19"/>
          <w:highlight w:val="none"/>
        </w:rPr>
        <w:t>款约定进行共同复核和抽样复测</w:t>
      </w:r>
      <w:r>
        <w:rPr>
          <w:rFonts w:ascii="宋体" w:hAnsi="宋体" w:eastAsia="宋体" w:cs="宋体"/>
          <w:color w:val="auto"/>
          <w:spacing w:val="8"/>
          <w:sz w:val="19"/>
          <w:szCs w:val="19"/>
          <w:highlight w:val="none"/>
        </w:rPr>
        <w:t>。承包人应协助监理人进行复核并按监</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理人要求提供补充计量资料。承包人未按监</w:t>
      </w:r>
      <w:r>
        <w:rPr>
          <w:rFonts w:ascii="宋体" w:hAnsi="宋体" w:eastAsia="宋体" w:cs="宋体"/>
          <w:color w:val="auto"/>
          <w:spacing w:val="8"/>
          <w:sz w:val="19"/>
          <w:szCs w:val="19"/>
          <w:highlight w:val="none"/>
        </w:rPr>
        <w:t>理人要求参加复核，</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监理人复核或修正的工程量视</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为承包人实际完成的工程量。</w:t>
      </w:r>
    </w:p>
    <w:p w14:paraId="4E9E80AC">
      <w:pPr>
        <w:spacing w:before="12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监理人认为有必要时，</w:t>
      </w:r>
      <w:r>
        <w:rPr>
          <w:rFonts w:ascii="宋体" w:hAnsi="宋体" w:eastAsia="宋体" w:cs="宋体"/>
          <w:color w:val="auto"/>
          <w:spacing w:val="-53"/>
          <w:sz w:val="19"/>
          <w:szCs w:val="19"/>
          <w:highlight w:val="none"/>
        </w:rPr>
        <w:t xml:space="preserve"> </w:t>
      </w:r>
      <w:r>
        <w:rPr>
          <w:rFonts w:ascii="宋体" w:hAnsi="宋体" w:eastAsia="宋体" w:cs="宋体"/>
          <w:color w:val="auto"/>
          <w:spacing w:val="6"/>
          <w:sz w:val="19"/>
          <w:szCs w:val="19"/>
          <w:highlight w:val="none"/>
        </w:rPr>
        <w:t>可通知承包人共同进行联合测量、计量，</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rPr>
        <w:t>承包人应遵照执</w:t>
      </w:r>
      <w:r>
        <w:rPr>
          <w:rFonts w:ascii="宋体" w:hAnsi="宋体" w:eastAsia="宋体" w:cs="宋体"/>
          <w:color w:val="auto"/>
          <w:spacing w:val="5"/>
          <w:sz w:val="19"/>
          <w:szCs w:val="19"/>
          <w:highlight w:val="none"/>
        </w:rPr>
        <w:t>行。</w:t>
      </w:r>
    </w:p>
    <w:p w14:paraId="5BE05593">
      <w:pPr>
        <w:spacing w:before="123" w:line="305" w:lineRule="auto"/>
        <w:ind w:left="25" w:right="5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(5)             </w:t>
      </w:r>
      <w:r>
        <w:rPr>
          <w:rFonts w:ascii="宋体" w:hAnsi="宋体" w:eastAsia="宋体" w:cs="宋体"/>
          <w:color w:val="auto"/>
          <w:spacing w:val="8"/>
          <w:sz w:val="19"/>
          <w:szCs w:val="19"/>
          <w:highlight w:val="none"/>
        </w:rPr>
        <w:t>承包人完成工程量清单中每个子目的工程量后，监理人应要</w:t>
      </w:r>
      <w:r>
        <w:rPr>
          <w:rFonts w:ascii="宋体" w:hAnsi="宋体" w:eastAsia="宋体" w:cs="宋体"/>
          <w:color w:val="auto"/>
          <w:spacing w:val="7"/>
          <w:sz w:val="19"/>
          <w:szCs w:val="19"/>
          <w:highlight w:val="none"/>
        </w:rPr>
        <w:t>求承包人派员共同对每个</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子目的历次计量报表进行汇总，以核实最终结算工程量。监理</w:t>
      </w:r>
      <w:r>
        <w:rPr>
          <w:rFonts w:ascii="宋体" w:hAnsi="宋体" w:eastAsia="宋体" w:cs="宋体"/>
          <w:color w:val="auto"/>
          <w:spacing w:val="9"/>
          <w:sz w:val="19"/>
          <w:szCs w:val="19"/>
          <w:highlight w:val="none"/>
        </w:rPr>
        <w:t>人可要求承包人提供补充计量资</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料，以确定最后一次进度付款的准确工程量。承包人未按监理</w:t>
      </w:r>
      <w:r>
        <w:rPr>
          <w:rFonts w:ascii="宋体" w:hAnsi="宋体" w:eastAsia="宋体" w:cs="宋体"/>
          <w:color w:val="auto"/>
          <w:spacing w:val="9"/>
          <w:sz w:val="19"/>
          <w:szCs w:val="19"/>
          <w:highlight w:val="none"/>
        </w:rPr>
        <w:t>人要求派员参加的，监理人最终</w:t>
      </w:r>
    </w:p>
    <w:p w14:paraId="4333A7ED">
      <w:pPr>
        <w:spacing w:before="116" w:line="228" w:lineRule="auto"/>
        <w:ind w:left="2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核实的工程量视为承包人完成该子目的准确工</w:t>
      </w:r>
      <w:r>
        <w:rPr>
          <w:rFonts w:ascii="宋体" w:hAnsi="宋体" w:eastAsia="宋体" w:cs="宋体"/>
          <w:color w:val="auto"/>
          <w:spacing w:val="8"/>
          <w:sz w:val="19"/>
          <w:szCs w:val="19"/>
          <w:highlight w:val="none"/>
        </w:rPr>
        <w:t>程量。</w:t>
      </w:r>
    </w:p>
    <w:p w14:paraId="6B83192D">
      <w:pPr>
        <w:spacing w:before="123" w:line="324" w:lineRule="auto"/>
        <w:ind w:left="49" w:right="49" w:hanging="23"/>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监理人应在收到承</w:t>
      </w:r>
      <w:r>
        <w:rPr>
          <w:rFonts w:ascii="宋体" w:hAnsi="宋体" w:eastAsia="宋体" w:cs="宋体"/>
          <w:color w:val="auto"/>
          <w:spacing w:val="6"/>
          <w:sz w:val="19"/>
          <w:szCs w:val="19"/>
          <w:highlight w:val="none"/>
        </w:rPr>
        <w:t>包人提交的工程量报表后的</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天内进行复核，</w:t>
      </w:r>
      <w:r>
        <w:rPr>
          <w:rFonts w:ascii="宋体" w:hAnsi="宋体" w:eastAsia="宋体" w:cs="宋体"/>
          <w:color w:val="auto"/>
          <w:spacing w:val="-54"/>
          <w:sz w:val="19"/>
          <w:szCs w:val="19"/>
          <w:highlight w:val="none"/>
        </w:rPr>
        <w:t xml:space="preserve"> </w:t>
      </w:r>
      <w:r>
        <w:rPr>
          <w:rFonts w:ascii="宋体" w:hAnsi="宋体" w:eastAsia="宋体" w:cs="宋体"/>
          <w:color w:val="auto"/>
          <w:spacing w:val="6"/>
          <w:sz w:val="19"/>
          <w:szCs w:val="19"/>
          <w:highlight w:val="none"/>
        </w:rPr>
        <w:t>监理人未在约定时间</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内复核的，承包人提交的工程量报表中的工程量视为承包人实际完成的工程量，据此计算工程</w:t>
      </w:r>
    </w:p>
    <w:p w14:paraId="30BBF73B">
      <w:pPr>
        <w:spacing w:line="324" w:lineRule="auto"/>
        <w:rPr>
          <w:rFonts w:ascii="宋体" w:hAnsi="宋体" w:eastAsia="宋体" w:cs="宋体"/>
          <w:color w:val="auto"/>
          <w:sz w:val="19"/>
          <w:szCs w:val="19"/>
          <w:highlight w:val="none"/>
        </w:rPr>
        <w:sectPr>
          <w:footerReference r:id="rId98" w:type="default"/>
          <w:pgSz w:w="11900" w:h="16832"/>
          <w:pgMar w:top="1430" w:right="1752" w:bottom="1188" w:left="1784" w:header="0" w:footer="980" w:gutter="0"/>
          <w:pgNumType w:fmt="decimal"/>
          <w:cols w:space="720" w:num="1"/>
        </w:sectPr>
      </w:pPr>
    </w:p>
    <w:p w14:paraId="41B1D838">
      <w:pPr>
        <w:spacing w:before="124" w:line="227" w:lineRule="auto"/>
        <w:ind w:left="26"/>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价款。</w:t>
      </w:r>
    </w:p>
    <w:p w14:paraId="759EBDF7">
      <w:pPr>
        <w:spacing w:before="123" w:line="227"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17.1.5</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总价子目的计量</w:t>
      </w:r>
    </w:p>
    <w:p w14:paraId="01B7C78D">
      <w:pPr>
        <w:spacing w:before="119" w:line="227" w:lineRule="auto"/>
        <w:ind w:left="45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总价子目的分解和计量按照下述约定进行。</w:t>
      </w:r>
    </w:p>
    <w:p w14:paraId="4D4B12E3">
      <w:pPr>
        <w:spacing w:before="125" w:line="289" w:lineRule="auto"/>
        <w:ind w:left="27" w:right="158"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总价子目的计量和支付应以总价为基础，不因第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16.1</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款中的因素而进行调整。承包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人实际完成的工程量，</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是进行工程目标管理和控制进度支付的依据。</w:t>
      </w:r>
    </w:p>
    <w:p w14:paraId="289FFBD5">
      <w:pPr>
        <w:spacing w:before="124" w:line="317" w:lineRule="auto"/>
        <w:ind w:left="25" w:right="15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承包人应按工程量清单的要求对总价子目进行分解，并在签订协议书后的</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各子目的总价支付分解表提交监理人审批。分解表应标明其所属子目和分阶段需</w:t>
      </w:r>
      <w:r>
        <w:rPr>
          <w:rFonts w:ascii="宋体" w:hAnsi="宋体" w:eastAsia="宋体" w:cs="宋体"/>
          <w:color w:val="auto"/>
          <w:spacing w:val="8"/>
          <w:sz w:val="19"/>
          <w:szCs w:val="19"/>
          <w:highlight w:val="none"/>
        </w:rPr>
        <w:t>支付的金额。</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承包人应按批准的各总价子目支付周期，对已完成的总价子目进行计</w:t>
      </w:r>
      <w:r>
        <w:rPr>
          <w:rFonts w:ascii="宋体" w:hAnsi="宋体" w:eastAsia="宋体" w:cs="宋体"/>
          <w:color w:val="auto"/>
          <w:spacing w:val="9"/>
          <w:sz w:val="19"/>
          <w:szCs w:val="19"/>
          <w:highlight w:val="none"/>
        </w:rPr>
        <w:t>量，确定分项的应付金额</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列入进度付款申请单中。</w:t>
      </w:r>
    </w:p>
    <w:p w14:paraId="5C53742A">
      <w:pPr>
        <w:spacing w:before="95" w:line="272" w:lineRule="auto"/>
        <w:ind w:left="32" w:right="64" w:hanging="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监理人对承包人提交的上述资料进行复核，</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以确定</w:t>
      </w:r>
      <w:r>
        <w:rPr>
          <w:rFonts w:ascii="宋体" w:hAnsi="宋体" w:eastAsia="宋体" w:cs="宋体"/>
          <w:color w:val="auto"/>
          <w:spacing w:val="6"/>
          <w:sz w:val="19"/>
          <w:szCs w:val="19"/>
          <w:highlight w:val="none"/>
        </w:rPr>
        <w:t>分阶段实际完成的工程量和工程形</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象目标。对其有异议的，可要求承包人按第</w:t>
      </w:r>
      <w:r>
        <w:rPr>
          <w:rFonts w:ascii="宋体" w:hAnsi="宋体" w:eastAsia="宋体" w:cs="宋体"/>
          <w:color w:val="auto"/>
          <w:spacing w:val="-28"/>
          <w:sz w:val="19"/>
          <w:szCs w:val="19"/>
          <w:highlight w:val="none"/>
        </w:rPr>
        <w:t xml:space="preserve"> </w:t>
      </w:r>
      <w:r>
        <w:rPr>
          <w:rFonts w:ascii="宋体" w:hAnsi="宋体" w:eastAsia="宋体" w:cs="宋体"/>
          <w:color w:val="auto"/>
          <w:spacing w:val="8"/>
          <w:sz w:val="19"/>
          <w:szCs w:val="19"/>
          <w:highlight w:val="none"/>
        </w:rPr>
        <w:t>8. 2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款约定进行共同复核和抽样复测。</w:t>
      </w:r>
    </w:p>
    <w:p w14:paraId="3616218F">
      <w:pPr>
        <w:spacing w:before="13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(4)             </w:t>
      </w:r>
      <w:r>
        <w:rPr>
          <w:rFonts w:ascii="宋体" w:hAnsi="宋体" w:eastAsia="宋体" w:cs="宋体"/>
          <w:color w:val="auto"/>
          <w:spacing w:val="7"/>
          <w:sz w:val="19"/>
          <w:szCs w:val="19"/>
          <w:highlight w:val="none"/>
        </w:rPr>
        <w:t>除按照第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条约定的变更外，总价子目的工程量是承包人用于</w:t>
      </w:r>
      <w:r>
        <w:rPr>
          <w:rFonts w:ascii="宋体" w:hAnsi="宋体" w:eastAsia="宋体" w:cs="宋体"/>
          <w:color w:val="auto"/>
          <w:spacing w:val="6"/>
          <w:sz w:val="19"/>
          <w:szCs w:val="19"/>
          <w:highlight w:val="none"/>
        </w:rPr>
        <w:t>结算的最终工程量。</w:t>
      </w:r>
    </w:p>
    <w:p w14:paraId="6EE07D6E">
      <w:pPr>
        <w:spacing w:before="198"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17.2</w:t>
      </w:r>
      <w:r>
        <w:rPr>
          <w:rFonts w:ascii="宋体" w:hAnsi="宋体" w:eastAsia="宋体" w:cs="宋体"/>
          <w:color w:val="auto"/>
          <w:spacing w:val="-56"/>
          <w:sz w:val="28"/>
          <w:szCs w:val="28"/>
          <w:highlight w:val="none"/>
        </w:rPr>
        <w:t xml:space="preserve"> </w:t>
      </w:r>
      <w:r>
        <w:rPr>
          <w:rFonts w:ascii="宋体" w:hAnsi="宋体" w:eastAsia="宋体" w:cs="宋体"/>
          <w:b/>
          <w:bCs/>
          <w:color w:val="auto"/>
          <w:spacing w:val="-8"/>
          <w:sz w:val="28"/>
          <w:szCs w:val="28"/>
          <w:highlight w:val="none"/>
        </w:rPr>
        <w:t>预付款</w:t>
      </w:r>
    </w:p>
    <w:p w14:paraId="1CD99222">
      <w:pPr>
        <w:spacing w:before="282" w:line="228" w:lineRule="auto"/>
        <w:ind w:left="47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17.2.1</w:t>
      </w:r>
      <w:r>
        <w:rPr>
          <w:rFonts w:ascii="宋体" w:hAnsi="宋体" w:eastAsia="宋体" w:cs="宋体"/>
          <w:color w:val="auto"/>
          <w:spacing w:val="-27"/>
          <w:sz w:val="19"/>
          <w:szCs w:val="19"/>
          <w:highlight w:val="none"/>
        </w:rPr>
        <w:t xml:space="preserve"> </w:t>
      </w:r>
      <w:r>
        <w:rPr>
          <w:rFonts w:ascii="宋体" w:hAnsi="宋体" w:eastAsia="宋体" w:cs="宋体"/>
          <w:color w:val="auto"/>
          <w:spacing w:val="2"/>
          <w:sz w:val="19"/>
          <w:szCs w:val="19"/>
          <w:highlight w:val="none"/>
        </w:rPr>
        <w:t>预付款</w:t>
      </w:r>
    </w:p>
    <w:p w14:paraId="5D89D321">
      <w:pPr>
        <w:spacing w:before="268" w:line="329" w:lineRule="auto"/>
        <w:ind w:left="28" w:right="64" w:firstLine="437"/>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预付款用于承包人为合同工程施工购置材料、工程设备、施工设备、修建临时设施以及组</w:t>
      </w:r>
      <w:r>
        <w:rPr>
          <w:rFonts w:ascii="宋体" w:hAnsi="宋体" w:eastAsia="宋体" w:cs="宋体"/>
          <w:color w:val="auto"/>
          <w:spacing w:val="3"/>
          <w:sz w:val="19"/>
          <w:szCs w:val="19"/>
          <w:highlight w:val="none"/>
        </w:rPr>
        <w:t xml:space="preserve"> </w:t>
      </w:r>
      <w:r>
        <w:rPr>
          <w:rFonts w:ascii="宋体" w:hAnsi="宋体" w:eastAsia="宋体" w:cs="宋体"/>
          <w:color w:val="auto"/>
          <w:spacing w:val="12"/>
          <w:sz w:val="19"/>
          <w:szCs w:val="19"/>
          <w:highlight w:val="none"/>
        </w:rPr>
        <w:t>织施工队伍进场等，分为工程预付款和工程材料预付款。预付款必须专用</w:t>
      </w:r>
      <w:r>
        <w:rPr>
          <w:rFonts w:ascii="宋体" w:hAnsi="宋体" w:eastAsia="宋体" w:cs="宋体"/>
          <w:color w:val="auto"/>
          <w:spacing w:val="11"/>
          <w:sz w:val="19"/>
          <w:szCs w:val="19"/>
          <w:highlight w:val="none"/>
        </w:rPr>
        <w:t>于合同工程。预付款</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的额度和预付办法在专用合同条款中约定。</w:t>
      </w:r>
    </w:p>
    <w:p w14:paraId="2B7E4408">
      <w:pPr>
        <w:spacing w:before="37" w:line="228"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17.2.2</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预付款保函(担保)</w:t>
      </w:r>
    </w:p>
    <w:p w14:paraId="25214C73">
      <w:pPr>
        <w:spacing w:before="115" w:line="286" w:lineRule="auto"/>
        <w:ind w:left="29" w:hanging="3"/>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承包人应在收到第一次工程预付款的同时向发包人提交工程</w:t>
      </w:r>
      <w:r>
        <w:rPr>
          <w:rFonts w:ascii="宋体" w:hAnsi="宋体" w:eastAsia="宋体" w:cs="宋体"/>
          <w:color w:val="auto"/>
          <w:spacing w:val="7"/>
          <w:sz w:val="19"/>
          <w:szCs w:val="19"/>
          <w:highlight w:val="none"/>
        </w:rPr>
        <w:t>预付款担保，担保金额应</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与第一次工程预付款金额相同，工程预付款担保在第一次工程</w:t>
      </w:r>
      <w:r>
        <w:rPr>
          <w:rFonts w:ascii="宋体" w:hAnsi="宋体" w:eastAsia="宋体" w:cs="宋体"/>
          <w:color w:val="auto"/>
          <w:spacing w:val="8"/>
          <w:sz w:val="19"/>
          <w:szCs w:val="19"/>
          <w:highlight w:val="none"/>
        </w:rPr>
        <w:t>预付款被发包人扣回前一直有效。</w:t>
      </w:r>
    </w:p>
    <w:p w14:paraId="42521C91">
      <w:pPr>
        <w:spacing w:before="11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工程材料预付款的担保在专用合同条款中约定。</w:t>
      </w:r>
    </w:p>
    <w:p w14:paraId="39B15D04">
      <w:pPr>
        <w:spacing w:before="120" w:line="286" w:lineRule="auto"/>
        <w:ind w:left="479" w:right="2310" w:hanging="453"/>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 xml:space="preserve">预付款担保的担保金额可根据预付款扣回的金额相应递减。 </w:t>
      </w:r>
      <w:r>
        <w:rPr>
          <w:rFonts w:ascii="宋体" w:hAnsi="宋体" w:eastAsia="宋体" w:cs="宋体"/>
          <w:color w:val="auto"/>
          <w:spacing w:val="5"/>
          <w:sz w:val="19"/>
          <w:szCs w:val="19"/>
          <w:highlight w:val="none"/>
        </w:rPr>
        <w:t>17.2.3</w:t>
      </w:r>
      <w:r>
        <w:rPr>
          <w:rFonts w:ascii="宋体" w:hAnsi="宋体" w:eastAsia="宋体" w:cs="宋体"/>
          <w:color w:val="auto"/>
          <w:spacing w:val="-26"/>
          <w:sz w:val="19"/>
          <w:szCs w:val="19"/>
          <w:highlight w:val="none"/>
        </w:rPr>
        <w:t xml:space="preserve"> </w:t>
      </w:r>
      <w:r>
        <w:rPr>
          <w:rFonts w:ascii="宋体" w:hAnsi="宋体" w:eastAsia="宋体" w:cs="宋体"/>
          <w:color w:val="auto"/>
          <w:spacing w:val="5"/>
          <w:sz w:val="19"/>
          <w:szCs w:val="19"/>
          <w:highlight w:val="none"/>
        </w:rPr>
        <w:t>预付款的扣回与还清</w:t>
      </w:r>
    </w:p>
    <w:p w14:paraId="12A57AA7">
      <w:pPr>
        <w:spacing w:before="117" w:line="332" w:lineRule="auto"/>
        <w:ind w:left="25" w:right="65" w:firstLine="440"/>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预付款在进度付款中扣回，扣回与还清办法在专用合同条款中约定。在颁发合同工程 完工</w:t>
      </w:r>
      <w:r>
        <w:rPr>
          <w:rFonts w:ascii="宋体" w:hAnsi="宋体" w:eastAsia="宋体" w:cs="宋体"/>
          <w:color w:val="auto"/>
          <w:spacing w:val="16"/>
          <w:sz w:val="19"/>
          <w:szCs w:val="19"/>
          <w:highlight w:val="none"/>
        </w:rPr>
        <w:t xml:space="preserve"> </w:t>
      </w:r>
      <w:r>
        <w:rPr>
          <w:rFonts w:ascii="宋体" w:hAnsi="宋体" w:eastAsia="宋体" w:cs="宋体"/>
          <w:color w:val="auto"/>
          <w:spacing w:val="10"/>
          <w:sz w:val="19"/>
          <w:szCs w:val="19"/>
          <w:highlight w:val="none"/>
        </w:rPr>
        <w:t>证书前，</w:t>
      </w:r>
      <w:r>
        <w:rPr>
          <w:rFonts w:ascii="宋体" w:hAnsi="宋体" w:eastAsia="宋体" w:cs="宋体"/>
          <w:color w:val="auto"/>
          <w:spacing w:val="-47"/>
          <w:sz w:val="19"/>
          <w:szCs w:val="19"/>
          <w:highlight w:val="none"/>
        </w:rPr>
        <w:t xml:space="preserve"> </w:t>
      </w:r>
      <w:r>
        <w:rPr>
          <w:rFonts w:ascii="宋体" w:hAnsi="宋体" w:eastAsia="宋体" w:cs="宋体"/>
          <w:color w:val="auto"/>
          <w:spacing w:val="10"/>
          <w:sz w:val="19"/>
          <w:szCs w:val="19"/>
          <w:highlight w:val="none"/>
        </w:rPr>
        <w:t>由于不可抗力或其它原因解除合同时，预付款尚未</w:t>
      </w:r>
      <w:r>
        <w:rPr>
          <w:rFonts w:ascii="宋体" w:hAnsi="宋体" w:eastAsia="宋体" w:cs="宋体"/>
          <w:color w:val="auto"/>
          <w:spacing w:val="9"/>
          <w:sz w:val="19"/>
          <w:szCs w:val="19"/>
          <w:highlight w:val="none"/>
        </w:rPr>
        <w:t>扣清的，</w:t>
      </w:r>
      <w:r>
        <w:rPr>
          <w:rFonts w:ascii="宋体" w:hAnsi="宋体" w:eastAsia="宋体" w:cs="宋体"/>
          <w:color w:val="auto"/>
          <w:spacing w:val="-51"/>
          <w:sz w:val="19"/>
          <w:szCs w:val="19"/>
          <w:highlight w:val="none"/>
        </w:rPr>
        <w:t xml:space="preserve"> </w:t>
      </w:r>
      <w:r>
        <w:rPr>
          <w:rFonts w:ascii="宋体" w:hAnsi="宋体" w:eastAsia="宋体" w:cs="宋体"/>
          <w:color w:val="auto"/>
          <w:spacing w:val="9"/>
          <w:sz w:val="19"/>
          <w:szCs w:val="19"/>
          <w:highlight w:val="none"/>
        </w:rPr>
        <w:t>尚未扣清的预付款余额应</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作为承包人的到期应付款。</w:t>
      </w:r>
    </w:p>
    <w:p w14:paraId="52C43D01">
      <w:pPr>
        <w:spacing w:before="203"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17.3</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7"/>
          <w:sz w:val="28"/>
          <w:szCs w:val="28"/>
          <w:highlight w:val="none"/>
        </w:rPr>
        <w:t>工程进度付款</w:t>
      </w:r>
    </w:p>
    <w:p w14:paraId="36DB8C75">
      <w:pPr>
        <w:spacing w:before="279"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17.3.1</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付款周期</w:t>
      </w:r>
    </w:p>
    <w:p w14:paraId="13B6898F">
      <w:pPr>
        <w:spacing w:before="176" w:line="228" w:lineRule="auto"/>
        <w:ind w:left="445"/>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付款周期同计量周期。</w:t>
      </w:r>
    </w:p>
    <w:p w14:paraId="17309DC3">
      <w:pPr>
        <w:spacing w:before="111"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17.3.2</w:t>
      </w:r>
      <w:r>
        <w:rPr>
          <w:rFonts w:ascii="宋体" w:hAnsi="宋体" w:eastAsia="宋体" w:cs="宋体"/>
          <w:color w:val="auto"/>
          <w:spacing w:val="-37"/>
          <w:sz w:val="19"/>
          <w:szCs w:val="19"/>
          <w:highlight w:val="none"/>
        </w:rPr>
        <w:t xml:space="preserve"> </w:t>
      </w:r>
      <w:r>
        <w:rPr>
          <w:rFonts w:ascii="宋体" w:hAnsi="宋体" w:eastAsia="宋体" w:cs="宋体"/>
          <w:color w:val="auto"/>
          <w:spacing w:val="5"/>
          <w:sz w:val="19"/>
          <w:szCs w:val="19"/>
          <w:highlight w:val="none"/>
        </w:rPr>
        <w:t>进度付款申请单</w:t>
      </w:r>
    </w:p>
    <w:p w14:paraId="4CE4C0AA">
      <w:pPr>
        <w:spacing w:before="124" w:line="340" w:lineRule="auto"/>
        <w:ind w:left="24" w:right="64" w:firstLine="440"/>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承包人应在每个付款周期末，按监理人批准的格式和专用合同条款约定的份数，向监理人</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提交进度付款申请单，并附相应的支持性证明文件。除专用合同条款另有约定外，进</w:t>
      </w:r>
      <w:r>
        <w:rPr>
          <w:rFonts w:ascii="宋体" w:hAnsi="宋体" w:eastAsia="宋体" w:cs="宋体"/>
          <w:color w:val="auto"/>
          <w:spacing w:val="11"/>
          <w:sz w:val="19"/>
          <w:szCs w:val="19"/>
          <w:highlight w:val="none"/>
        </w:rPr>
        <w:t>度付款申</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请单应包括下列内容：</w:t>
      </w:r>
    </w:p>
    <w:p w14:paraId="1A1E9FB6">
      <w:pPr>
        <w:spacing w:before="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截至本次付款周期</w:t>
      </w:r>
      <w:r>
        <w:rPr>
          <w:rFonts w:ascii="宋体" w:hAnsi="宋体" w:eastAsia="宋体" w:cs="宋体"/>
          <w:color w:val="auto"/>
          <w:spacing w:val="5"/>
          <w:sz w:val="19"/>
          <w:szCs w:val="19"/>
          <w:highlight w:val="none"/>
        </w:rPr>
        <w:t>末已实施工程的价款；</w:t>
      </w:r>
    </w:p>
    <w:p w14:paraId="2EBD0C74">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4"/>
          <w:sz w:val="19"/>
          <w:szCs w:val="19"/>
          <w:highlight w:val="none"/>
        </w:rPr>
        <w:t>根据第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4"/>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4"/>
          <w:sz w:val="19"/>
          <w:szCs w:val="19"/>
          <w:highlight w:val="none"/>
        </w:rPr>
        <w:t>条应增加和扣减的变更金额；</w:t>
      </w:r>
    </w:p>
    <w:p w14:paraId="7524C358">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(3)</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5"/>
          <w:sz w:val="19"/>
          <w:szCs w:val="19"/>
          <w:highlight w:val="none"/>
        </w:rPr>
        <w:t>根据第</w:t>
      </w:r>
      <w:r>
        <w:rPr>
          <w:rFonts w:ascii="宋体" w:hAnsi="宋体" w:eastAsia="宋体" w:cs="宋体"/>
          <w:color w:val="auto"/>
          <w:spacing w:val="-24"/>
          <w:sz w:val="19"/>
          <w:szCs w:val="19"/>
          <w:highlight w:val="none"/>
        </w:rPr>
        <w:t xml:space="preserve"> </w:t>
      </w:r>
      <w:r>
        <w:rPr>
          <w:rFonts w:ascii="宋体" w:hAnsi="宋体" w:eastAsia="宋体" w:cs="宋体"/>
          <w:color w:val="auto"/>
          <w:spacing w:val="5"/>
          <w:sz w:val="19"/>
          <w:szCs w:val="19"/>
          <w:highlight w:val="none"/>
        </w:rPr>
        <w:t>23</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条应增加和扣减的索赔金额；</w:t>
      </w:r>
    </w:p>
    <w:p w14:paraId="326D0FDF">
      <w:pPr>
        <w:spacing w:line="222" w:lineRule="auto"/>
        <w:rPr>
          <w:rFonts w:ascii="宋体" w:hAnsi="宋体" w:eastAsia="宋体" w:cs="宋体"/>
          <w:color w:val="auto"/>
          <w:sz w:val="19"/>
          <w:szCs w:val="19"/>
          <w:highlight w:val="none"/>
        </w:rPr>
        <w:sectPr>
          <w:footerReference r:id="rId99" w:type="default"/>
          <w:pgSz w:w="11900" w:h="16832"/>
          <w:pgMar w:top="1430" w:right="1739" w:bottom="1188" w:left="1784" w:header="0" w:footer="980" w:gutter="0"/>
          <w:pgNumType w:fmt="decimal"/>
          <w:cols w:space="720" w:num="1"/>
        </w:sectPr>
      </w:pPr>
    </w:p>
    <w:p w14:paraId="66DA8E69">
      <w:pPr>
        <w:spacing w:before="12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根据第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17.</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款约定应支付的预付款和扣减的返还预付款；</w:t>
      </w:r>
    </w:p>
    <w:p w14:paraId="2C21715B">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(5)</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根据第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5"/>
          <w:sz w:val="19"/>
          <w:szCs w:val="19"/>
          <w:highlight w:val="none"/>
        </w:rPr>
        <w:t>17.4. 1</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项约定应扣减的质量保证金；</w:t>
      </w:r>
    </w:p>
    <w:p w14:paraId="3F845250">
      <w:pPr>
        <w:spacing w:before="128" w:line="288" w:lineRule="auto"/>
        <w:ind w:left="460" w:right="4245" w:hanging="434"/>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(6)</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根据合同应增加和扣减的其他金额。</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17.3.3</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进度付款证书和支付时间</w:t>
      </w:r>
    </w:p>
    <w:p w14:paraId="791A3A78">
      <w:pPr>
        <w:spacing w:before="124" w:line="318" w:lineRule="auto"/>
        <w:ind w:left="26" w:right="92"/>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监理人</w:t>
      </w:r>
      <w:r>
        <w:rPr>
          <w:rFonts w:ascii="宋体" w:hAnsi="宋体" w:eastAsia="宋体" w:cs="宋体"/>
          <w:color w:val="auto"/>
          <w:spacing w:val="7"/>
          <w:sz w:val="19"/>
          <w:szCs w:val="19"/>
          <w:highlight w:val="none"/>
        </w:rPr>
        <w:t>在收到承包人进度付款申请单以及相应的支持性证明文件后的</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天内完成核</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查，提出发包人到期应支付给承包人的金额以及相应的支持性材料，经发包人审查</w:t>
      </w:r>
      <w:r>
        <w:rPr>
          <w:rFonts w:ascii="宋体" w:hAnsi="宋体" w:eastAsia="宋体" w:cs="宋体"/>
          <w:color w:val="auto"/>
          <w:spacing w:val="7"/>
          <w:sz w:val="19"/>
          <w:szCs w:val="19"/>
          <w:highlight w:val="none"/>
        </w:rPr>
        <w:t>同意后，</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由</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监理人向承包人出具经发包人签认的进度付款证书。监理人有</w:t>
      </w:r>
      <w:r>
        <w:rPr>
          <w:rFonts w:ascii="宋体" w:hAnsi="宋体" w:eastAsia="宋体" w:cs="宋体"/>
          <w:color w:val="auto"/>
          <w:spacing w:val="9"/>
          <w:sz w:val="19"/>
          <w:szCs w:val="19"/>
          <w:highlight w:val="none"/>
        </w:rPr>
        <w:t>权扣发承包人未能按照合同要求</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履行任何工作或义务的相应金额。</w:t>
      </w:r>
    </w:p>
    <w:p w14:paraId="56C76415">
      <w:pPr>
        <w:spacing w:before="127" w:line="293" w:lineRule="auto"/>
        <w:ind w:left="28" w:right="125" w:hanging="2"/>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发包人应在监理人收到进度付款申请单后的</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天内，将进度应付款支付给承包人。</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发包人不按期支付的，</w:t>
      </w:r>
      <w:r>
        <w:rPr>
          <w:rFonts w:ascii="宋体" w:hAnsi="宋体" w:eastAsia="宋体" w:cs="宋体"/>
          <w:color w:val="auto"/>
          <w:spacing w:val="-49"/>
          <w:sz w:val="19"/>
          <w:szCs w:val="19"/>
          <w:highlight w:val="none"/>
        </w:rPr>
        <w:t xml:space="preserve"> </w:t>
      </w:r>
      <w:r>
        <w:rPr>
          <w:rFonts w:ascii="宋体" w:hAnsi="宋体" w:eastAsia="宋体" w:cs="宋体"/>
          <w:color w:val="auto"/>
          <w:spacing w:val="7"/>
          <w:sz w:val="19"/>
          <w:szCs w:val="19"/>
          <w:highlight w:val="none"/>
        </w:rPr>
        <w:t>按专用合同条款的约定支付逾期付款违约金。</w:t>
      </w:r>
    </w:p>
    <w:p w14:paraId="34D5873F">
      <w:pPr>
        <w:spacing w:before="132" w:line="293" w:lineRule="auto"/>
        <w:ind w:left="27" w:right="18"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监理人出具进度付款证书，不应视为监理人已同意、批准或</w:t>
      </w:r>
      <w:r>
        <w:rPr>
          <w:rFonts w:ascii="宋体" w:hAnsi="宋体" w:eastAsia="宋体" w:cs="宋体"/>
          <w:color w:val="auto"/>
          <w:spacing w:val="6"/>
          <w:sz w:val="19"/>
          <w:szCs w:val="19"/>
          <w:highlight w:val="none"/>
        </w:rPr>
        <w:t>接受了承包人完成的该部</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分工作。</w:t>
      </w:r>
    </w:p>
    <w:p w14:paraId="4B88770C">
      <w:pPr>
        <w:spacing w:before="130" w:line="293" w:lineRule="auto"/>
        <w:ind w:left="30" w:right="21" w:hanging="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进度付款涉及政府投资资金的，按照国库集中支付等国</w:t>
      </w:r>
      <w:r>
        <w:rPr>
          <w:rFonts w:ascii="宋体" w:hAnsi="宋体" w:eastAsia="宋体" w:cs="宋体"/>
          <w:color w:val="auto"/>
          <w:spacing w:val="7"/>
          <w:sz w:val="19"/>
          <w:szCs w:val="19"/>
          <w:highlight w:val="none"/>
        </w:rPr>
        <w:t>家相关规定和专用合同条款的</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约定办理。</w:t>
      </w:r>
    </w:p>
    <w:p w14:paraId="43A49EEC">
      <w:pPr>
        <w:spacing w:before="127"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17.3.4</w:t>
      </w:r>
      <w:r>
        <w:rPr>
          <w:rFonts w:ascii="宋体" w:hAnsi="宋体" w:eastAsia="宋体" w:cs="宋体"/>
          <w:color w:val="auto"/>
          <w:spacing w:val="-26"/>
          <w:sz w:val="19"/>
          <w:szCs w:val="19"/>
          <w:highlight w:val="none"/>
        </w:rPr>
        <w:t xml:space="preserve"> </w:t>
      </w:r>
      <w:r>
        <w:rPr>
          <w:rFonts w:ascii="宋体" w:hAnsi="宋体" w:eastAsia="宋体" w:cs="宋体"/>
          <w:color w:val="auto"/>
          <w:spacing w:val="5"/>
          <w:sz w:val="19"/>
          <w:szCs w:val="19"/>
          <w:highlight w:val="none"/>
        </w:rPr>
        <w:t>工程进度付款的修正</w:t>
      </w:r>
    </w:p>
    <w:p w14:paraId="742E7B73">
      <w:pPr>
        <w:spacing w:before="126" w:line="341" w:lineRule="auto"/>
        <w:ind w:left="28" w:right="19" w:firstLine="435"/>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在对以往历次已签发的进度付款证书进行汇总和复核中发现错、漏或重复的，监理人有权</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予以修正，承包人也有权提出修正申请。经双方复核同意的修正，应在本</w:t>
      </w:r>
      <w:r>
        <w:rPr>
          <w:rFonts w:ascii="宋体" w:hAnsi="宋体" w:eastAsia="宋体" w:cs="宋体"/>
          <w:color w:val="auto"/>
          <w:spacing w:val="11"/>
          <w:sz w:val="19"/>
          <w:szCs w:val="19"/>
          <w:highlight w:val="none"/>
        </w:rPr>
        <w:t>次进度付款中支付或</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扣除。</w:t>
      </w:r>
    </w:p>
    <w:p w14:paraId="6B792EB1">
      <w:pPr>
        <w:spacing w:before="74"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17.4</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7"/>
          <w:sz w:val="28"/>
          <w:szCs w:val="28"/>
          <w:highlight w:val="none"/>
        </w:rPr>
        <w:t>质量保证金</w:t>
      </w:r>
    </w:p>
    <w:p w14:paraId="4AB9ED1F">
      <w:pPr>
        <w:spacing w:line="306" w:lineRule="auto"/>
        <w:rPr>
          <w:rFonts w:ascii="Arial"/>
          <w:color w:val="auto"/>
          <w:sz w:val="21"/>
          <w:highlight w:val="none"/>
        </w:rPr>
      </w:pPr>
    </w:p>
    <w:p w14:paraId="5A1F9225">
      <w:pPr>
        <w:spacing w:before="62" w:line="343" w:lineRule="auto"/>
        <w:ind w:left="26" w:right="21" w:firstLine="45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17.4.1</w:t>
      </w:r>
      <w:r>
        <w:rPr>
          <w:rFonts w:ascii="宋体" w:hAnsi="宋体" w:eastAsia="宋体" w:cs="宋体"/>
          <w:color w:val="auto"/>
          <w:spacing w:val="-11"/>
          <w:sz w:val="19"/>
          <w:szCs w:val="19"/>
          <w:highlight w:val="none"/>
        </w:rPr>
        <w:t xml:space="preserve"> </w:t>
      </w:r>
      <w:r>
        <w:rPr>
          <w:rFonts w:ascii="宋体" w:hAnsi="宋体" w:eastAsia="宋体" w:cs="宋体"/>
          <w:color w:val="auto"/>
          <w:spacing w:val="7"/>
          <w:sz w:val="19"/>
          <w:szCs w:val="19"/>
          <w:highlight w:val="none"/>
        </w:rPr>
        <w:t>监理人应从第一个工程进度付款周期开始，</w:t>
      </w:r>
      <w:r>
        <w:rPr>
          <w:rFonts w:ascii="宋体" w:hAnsi="宋体" w:eastAsia="宋体" w:cs="宋体"/>
          <w:color w:val="auto"/>
          <w:spacing w:val="-56"/>
          <w:sz w:val="19"/>
          <w:szCs w:val="19"/>
          <w:highlight w:val="none"/>
        </w:rPr>
        <w:t xml:space="preserve"> </w:t>
      </w:r>
      <w:r>
        <w:rPr>
          <w:rFonts w:ascii="宋体" w:hAnsi="宋体" w:eastAsia="宋体" w:cs="宋体"/>
          <w:color w:val="auto"/>
          <w:spacing w:val="7"/>
          <w:sz w:val="19"/>
          <w:szCs w:val="19"/>
          <w:highlight w:val="none"/>
        </w:rPr>
        <w:t>在发包人的进度付款中，按专用合同条</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款约定扣留质量保证金，直至扣留的工程质量保证金总额达到专用合同条款约定</w:t>
      </w:r>
      <w:r>
        <w:rPr>
          <w:rFonts w:ascii="宋体" w:hAnsi="宋体" w:eastAsia="宋体" w:cs="宋体"/>
          <w:color w:val="auto"/>
          <w:spacing w:val="11"/>
          <w:sz w:val="19"/>
          <w:szCs w:val="19"/>
          <w:highlight w:val="none"/>
        </w:rPr>
        <w:t>的金额或比例</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为止。质量保证金的计算额度不包括预付款的支付与扣回金额。</w:t>
      </w:r>
    </w:p>
    <w:p w14:paraId="4E80CF55">
      <w:pPr>
        <w:spacing w:before="34" w:line="348" w:lineRule="auto"/>
        <w:ind w:left="25" w:right="18" w:firstLine="453"/>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17.4.2</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竣工验收鉴定书签署后</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天内，发包人将质量保证金总额的一半支付给承包人。在</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第</w:t>
      </w:r>
      <w:r>
        <w:rPr>
          <w:rFonts w:ascii="宋体" w:hAnsi="宋体" w:eastAsia="宋体" w:cs="宋体"/>
          <w:color w:val="auto"/>
          <w:spacing w:val="-12"/>
          <w:sz w:val="19"/>
          <w:szCs w:val="19"/>
          <w:highlight w:val="none"/>
        </w:rPr>
        <w:t xml:space="preserve"> </w:t>
      </w:r>
      <w:r>
        <w:rPr>
          <w:rFonts w:ascii="宋体" w:hAnsi="宋体" w:eastAsia="宋体" w:cs="宋体"/>
          <w:color w:val="auto"/>
          <w:spacing w:val="6"/>
          <w:sz w:val="19"/>
          <w:szCs w:val="19"/>
          <w:highlight w:val="none"/>
        </w:rPr>
        <w:t>1.1. 4. 5 目约定的缺陷责任期(工程质量保修期)满时，发包人将在</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30</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个工作日内会同承包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人按照合同约定的内容核实承包人是否完成保修责任。如无异议，发包人应当在核</w:t>
      </w:r>
      <w:r>
        <w:rPr>
          <w:rFonts w:ascii="宋体" w:hAnsi="宋体" w:eastAsia="宋体" w:cs="宋体"/>
          <w:color w:val="auto"/>
          <w:spacing w:val="11"/>
          <w:sz w:val="19"/>
          <w:szCs w:val="19"/>
          <w:highlight w:val="none"/>
        </w:rPr>
        <w:t>实后将剩余</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的质量保证金支付给承包人。</w:t>
      </w:r>
    </w:p>
    <w:p w14:paraId="5BF27F4D">
      <w:pPr>
        <w:spacing w:before="38" w:line="349" w:lineRule="auto"/>
        <w:ind w:left="24" w:right="17" w:firstLine="454"/>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17.4.3</w:t>
      </w:r>
      <w:r>
        <w:rPr>
          <w:rFonts w:ascii="宋体" w:hAnsi="宋体" w:eastAsia="宋体" w:cs="宋体"/>
          <w:color w:val="auto"/>
          <w:spacing w:val="-25"/>
          <w:sz w:val="19"/>
          <w:szCs w:val="19"/>
          <w:highlight w:val="none"/>
        </w:rPr>
        <w:t xml:space="preserve"> </w:t>
      </w:r>
      <w:r>
        <w:rPr>
          <w:rFonts w:ascii="宋体" w:hAnsi="宋体" w:eastAsia="宋体" w:cs="宋体"/>
          <w:color w:val="auto"/>
          <w:spacing w:val="5"/>
          <w:sz w:val="19"/>
          <w:szCs w:val="19"/>
          <w:highlight w:val="none"/>
        </w:rPr>
        <w:t>在第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1.1. 4. 5 目约定的缺陷责任期满时，</w:t>
      </w:r>
      <w:r>
        <w:rPr>
          <w:rFonts w:ascii="宋体" w:hAnsi="宋体" w:eastAsia="宋体" w:cs="宋体"/>
          <w:color w:val="auto"/>
          <w:spacing w:val="-55"/>
          <w:sz w:val="19"/>
          <w:szCs w:val="19"/>
          <w:highlight w:val="none"/>
        </w:rPr>
        <w:t xml:space="preserve"> </w:t>
      </w:r>
      <w:r>
        <w:rPr>
          <w:rFonts w:ascii="宋体" w:hAnsi="宋体" w:eastAsia="宋体" w:cs="宋体"/>
          <w:color w:val="auto"/>
          <w:spacing w:val="5"/>
          <w:sz w:val="19"/>
          <w:szCs w:val="19"/>
          <w:highlight w:val="none"/>
        </w:rPr>
        <w:t>承包人没有完成缺陷责任的，发包人有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权扣留与未履行责任剩余工作所需金额相应的质量保证金余额，</w:t>
      </w:r>
      <w:r>
        <w:rPr>
          <w:rFonts w:ascii="宋体" w:hAnsi="宋体" w:eastAsia="宋体" w:cs="宋体"/>
          <w:color w:val="auto"/>
          <w:spacing w:val="-41"/>
          <w:sz w:val="19"/>
          <w:szCs w:val="19"/>
          <w:highlight w:val="none"/>
        </w:rPr>
        <w:t xml:space="preserve"> </w:t>
      </w:r>
      <w:r>
        <w:rPr>
          <w:rFonts w:ascii="宋体" w:hAnsi="宋体" w:eastAsia="宋体" w:cs="宋体"/>
          <w:color w:val="auto"/>
          <w:spacing w:val="8"/>
          <w:sz w:val="19"/>
          <w:szCs w:val="19"/>
          <w:highlight w:val="none"/>
        </w:rPr>
        <w:t>并有权</w:t>
      </w:r>
      <w:r>
        <w:rPr>
          <w:rFonts w:ascii="宋体" w:hAnsi="宋体" w:eastAsia="宋体" w:cs="宋体"/>
          <w:color w:val="auto"/>
          <w:spacing w:val="7"/>
          <w:sz w:val="19"/>
          <w:szCs w:val="19"/>
          <w:highlight w:val="none"/>
        </w:rPr>
        <w:t>根据第 19. 3 款约定要</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求延长缺陷责任期，直至完成剩余工作为止。</w:t>
      </w:r>
    </w:p>
    <w:p w14:paraId="1780D5F0">
      <w:pPr>
        <w:spacing w:before="64"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17.5</w:t>
      </w:r>
      <w:r>
        <w:rPr>
          <w:rFonts w:ascii="宋体" w:hAnsi="宋体" w:eastAsia="宋体" w:cs="宋体"/>
          <w:color w:val="auto"/>
          <w:spacing w:val="-45"/>
          <w:sz w:val="28"/>
          <w:szCs w:val="28"/>
          <w:highlight w:val="none"/>
        </w:rPr>
        <w:t xml:space="preserve"> </w:t>
      </w:r>
      <w:r>
        <w:rPr>
          <w:rFonts w:ascii="宋体" w:hAnsi="宋体" w:eastAsia="宋体" w:cs="宋体"/>
          <w:b/>
          <w:bCs/>
          <w:color w:val="auto"/>
          <w:spacing w:val="-6"/>
          <w:sz w:val="28"/>
          <w:szCs w:val="28"/>
          <w:highlight w:val="none"/>
        </w:rPr>
        <w:t>竣工结算(完工结算)</w:t>
      </w:r>
    </w:p>
    <w:p w14:paraId="54AE9751">
      <w:pPr>
        <w:spacing w:before="284"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17.5.1</w:t>
      </w:r>
      <w:r>
        <w:rPr>
          <w:rFonts w:ascii="宋体" w:hAnsi="宋体" w:eastAsia="宋体" w:cs="宋体"/>
          <w:color w:val="auto"/>
          <w:spacing w:val="-24"/>
          <w:sz w:val="19"/>
          <w:szCs w:val="19"/>
          <w:highlight w:val="none"/>
        </w:rPr>
        <w:t xml:space="preserve"> </w:t>
      </w:r>
      <w:r>
        <w:rPr>
          <w:rFonts w:ascii="宋体" w:hAnsi="宋体" w:eastAsia="宋体" w:cs="宋体"/>
          <w:color w:val="auto"/>
          <w:spacing w:val="5"/>
          <w:sz w:val="19"/>
          <w:szCs w:val="19"/>
          <w:highlight w:val="none"/>
        </w:rPr>
        <w:t>竣工(完工)付款申请单</w:t>
      </w:r>
    </w:p>
    <w:p w14:paraId="0F14A5BF">
      <w:pPr>
        <w:spacing w:before="234" w:line="303" w:lineRule="auto"/>
        <w:ind w:left="26" w:right="96"/>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承包人应在合同工程完工证书</w:t>
      </w:r>
      <w:r>
        <w:rPr>
          <w:rFonts w:ascii="宋体" w:hAnsi="宋体" w:eastAsia="宋体" w:cs="宋体"/>
          <w:color w:val="auto"/>
          <w:spacing w:val="7"/>
          <w:sz w:val="19"/>
          <w:szCs w:val="19"/>
          <w:highlight w:val="none"/>
        </w:rPr>
        <w:t>颁发后</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天内，按专用合同条款约定的份数向监理人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提交完工付款申请单，</w:t>
      </w:r>
      <w:r>
        <w:rPr>
          <w:rFonts w:ascii="宋体" w:hAnsi="宋体" w:eastAsia="宋体" w:cs="宋体"/>
          <w:color w:val="auto"/>
          <w:spacing w:val="-50"/>
          <w:sz w:val="19"/>
          <w:szCs w:val="19"/>
          <w:highlight w:val="none"/>
        </w:rPr>
        <w:t xml:space="preserve"> </w:t>
      </w:r>
      <w:r>
        <w:rPr>
          <w:rFonts w:ascii="宋体" w:hAnsi="宋体" w:eastAsia="宋体" w:cs="宋体"/>
          <w:color w:val="auto"/>
          <w:spacing w:val="9"/>
          <w:sz w:val="19"/>
          <w:szCs w:val="19"/>
          <w:highlight w:val="none"/>
        </w:rPr>
        <w:t>并提供相关证明材料。完工付</w:t>
      </w:r>
      <w:r>
        <w:rPr>
          <w:rFonts w:ascii="宋体" w:hAnsi="宋体" w:eastAsia="宋体" w:cs="宋体"/>
          <w:color w:val="auto"/>
          <w:spacing w:val="8"/>
          <w:sz w:val="19"/>
          <w:szCs w:val="19"/>
          <w:highlight w:val="none"/>
        </w:rPr>
        <w:t>款申请单应包括下列内容：完工结算合同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总价、发包人已支付承包人的工程价款、应扣留的质量保证金、应支付</w:t>
      </w:r>
      <w:r>
        <w:rPr>
          <w:rFonts w:ascii="宋体" w:hAnsi="宋体" w:eastAsia="宋体" w:cs="宋体"/>
          <w:color w:val="auto"/>
          <w:spacing w:val="8"/>
          <w:sz w:val="19"/>
          <w:szCs w:val="19"/>
          <w:highlight w:val="none"/>
        </w:rPr>
        <w:t>的完工付款金额。</w:t>
      </w:r>
    </w:p>
    <w:p w14:paraId="2E196CA9">
      <w:pPr>
        <w:spacing w:before="119" w:line="286" w:lineRule="auto"/>
        <w:ind w:left="27" w:right="21"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监理人对完工付款申请单有异议的，有权要求承包人进</w:t>
      </w:r>
      <w:r>
        <w:rPr>
          <w:rFonts w:ascii="宋体" w:hAnsi="宋体" w:eastAsia="宋体" w:cs="宋体"/>
          <w:color w:val="auto"/>
          <w:spacing w:val="7"/>
          <w:sz w:val="19"/>
          <w:szCs w:val="19"/>
          <w:highlight w:val="none"/>
        </w:rPr>
        <w:t>行修正和提供补充资料。经监</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理人和承包人协商后，</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由承包人向监理人提交修正后的完工付款申请单。</w:t>
      </w:r>
    </w:p>
    <w:p w14:paraId="3DD67E44">
      <w:pPr>
        <w:spacing w:line="286" w:lineRule="auto"/>
        <w:rPr>
          <w:rFonts w:ascii="宋体" w:hAnsi="宋体" w:eastAsia="宋体" w:cs="宋体"/>
          <w:color w:val="auto"/>
          <w:sz w:val="19"/>
          <w:szCs w:val="19"/>
          <w:highlight w:val="none"/>
        </w:rPr>
        <w:sectPr>
          <w:footerReference r:id="rId100" w:type="default"/>
          <w:pgSz w:w="11900" w:h="16832"/>
          <w:pgMar w:top="1430" w:right="1784" w:bottom="1188" w:left="1784" w:header="0" w:footer="980" w:gutter="0"/>
          <w:pgNumType w:fmt="decimal"/>
          <w:cols w:space="720" w:num="1"/>
        </w:sectPr>
      </w:pPr>
    </w:p>
    <w:p w14:paraId="5A1B6941">
      <w:pPr>
        <w:spacing w:before="39" w:line="228" w:lineRule="auto"/>
        <w:ind w:left="47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17.5.2</w:t>
      </w:r>
      <w:r>
        <w:rPr>
          <w:rFonts w:ascii="宋体" w:hAnsi="宋体" w:eastAsia="宋体" w:cs="宋体"/>
          <w:color w:val="auto"/>
          <w:spacing w:val="-26"/>
          <w:sz w:val="19"/>
          <w:szCs w:val="19"/>
          <w:highlight w:val="none"/>
        </w:rPr>
        <w:t xml:space="preserve"> </w:t>
      </w:r>
      <w:r>
        <w:rPr>
          <w:rFonts w:ascii="宋体" w:hAnsi="宋体" w:eastAsia="宋体" w:cs="宋体"/>
          <w:color w:val="auto"/>
          <w:spacing w:val="6"/>
          <w:sz w:val="19"/>
          <w:szCs w:val="19"/>
          <w:highlight w:val="none"/>
        </w:rPr>
        <w:t>竣工(完工)付款证书及支付时间</w:t>
      </w:r>
    </w:p>
    <w:p w14:paraId="5D2F4D27">
      <w:pPr>
        <w:spacing w:before="228" w:line="316" w:lineRule="auto"/>
        <w:ind w:left="25" w:right="18"/>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监理人在收到承包人提交的完工付款申请单后的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天内完成核查，提出发包人到期</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应支付给承包人的价款送发包人审核并抄送承包人。发包人应在收到后</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w:t>
      </w:r>
      <w:r>
        <w:rPr>
          <w:rFonts w:ascii="宋体" w:hAnsi="宋体" w:eastAsia="宋体" w:cs="宋体"/>
          <w:color w:val="auto"/>
          <w:spacing w:val="6"/>
          <w:sz w:val="19"/>
          <w:szCs w:val="19"/>
          <w:highlight w:val="none"/>
        </w:rPr>
        <w:t>内审核完毕，</w:t>
      </w:r>
      <w:r>
        <w:rPr>
          <w:rFonts w:ascii="宋体" w:hAnsi="宋体" w:eastAsia="宋体" w:cs="宋体"/>
          <w:color w:val="auto"/>
          <w:spacing w:val="-26"/>
          <w:sz w:val="19"/>
          <w:szCs w:val="19"/>
          <w:highlight w:val="none"/>
        </w:rPr>
        <w:t xml:space="preserve"> </w:t>
      </w:r>
      <w:r>
        <w:rPr>
          <w:rFonts w:ascii="宋体" w:hAnsi="宋体" w:eastAsia="宋体" w:cs="宋体"/>
          <w:color w:val="auto"/>
          <w:spacing w:val="6"/>
          <w:sz w:val="19"/>
          <w:szCs w:val="19"/>
          <w:highlight w:val="none"/>
        </w:rPr>
        <w:t>由监</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理人向承包人出具经发包人签认的完工付款证书。</w:t>
      </w:r>
      <w:r>
        <w:rPr>
          <w:rFonts w:ascii="宋体" w:hAnsi="宋体" w:eastAsia="宋体" w:cs="宋体"/>
          <w:color w:val="auto"/>
          <w:spacing w:val="9"/>
          <w:sz w:val="19"/>
          <w:szCs w:val="19"/>
          <w:highlight w:val="none"/>
        </w:rPr>
        <w:t>监理人未在约定时间内核查, 又未提出具体</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意见的，视为承包人提交的完工付款申请单已经</w:t>
      </w:r>
      <w:r>
        <w:rPr>
          <w:rFonts w:ascii="宋体" w:hAnsi="宋体" w:eastAsia="宋体" w:cs="宋体"/>
          <w:color w:val="auto"/>
          <w:spacing w:val="9"/>
          <w:sz w:val="19"/>
          <w:szCs w:val="19"/>
          <w:highlight w:val="none"/>
        </w:rPr>
        <w:t>监理人核查同意。发包人未 在约定时间内审核</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又未提出具体意见的，</w:t>
      </w:r>
      <w:r>
        <w:rPr>
          <w:rFonts w:ascii="宋体" w:hAnsi="宋体" w:eastAsia="宋体" w:cs="宋体"/>
          <w:color w:val="auto"/>
          <w:spacing w:val="-40"/>
          <w:sz w:val="19"/>
          <w:szCs w:val="19"/>
          <w:highlight w:val="none"/>
        </w:rPr>
        <w:t xml:space="preserve"> </w:t>
      </w:r>
      <w:r>
        <w:rPr>
          <w:rFonts w:ascii="宋体" w:hAnsi="宋体" w:eastAsia="宋体" w:cs="宋体"/>
          <w:color w:val="auto"/>
          <w:spacing w:val="8"/>
          <w:sz w:val="19"/>
          <w:szCs w:val="19"/>
          <w:highlight w:val="none"/>
        </w:rPr>
        <w:t>监理人提出发包人到期应支付给承包人的价款视 为已经发包人同意。</w:t>
      </w:r>
    </w:p>
    <w:p w14:paraId="21B46CF0">
      <w:pPr>
        <w:spacing w:before="114" w:line="281" w:lineRule="auto"/>
        <w:ind w:left="27" w:right="96"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发包人应在监理人出具完工付款证书后的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天内，将应支付款支付给承包人。发包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人不按期支付的，按第 17.3.3</w:t>
      </w:r>
      <w:r>
        <w:rPr>
          <w:rFonts w:ascii="宋体" w:hAnsi="宋体" w:eastAsia="宋体" w:cs="宋体"/>
          <w:color w:val="auto"/>
          <w:spacing w:val="50"/>
          <w:sz w:val="19"/>
          <w:szCs w:val="19"/>
          <w:highlight w:val="none"/>
        </w:rPr>
        <w:t xml:space="preserve"> </w:t>
      </w:r>
      <w:r>
        <w:rPr>
          <w:rFonts w:ascii="宋体" w:hAnsi="宋体" w:eastAsia="宋体" w:cs="宋体"/>
          <w:color w:val="auto"/>
          <w:spacing w:val="5"/>
          <w:sz w:val="19"/>
          <w:szCs w:val="19"/>
          <w:highlight w:val="none"/>
        </w:rPr>
        <w:t>(2)</w:t>
      </w:r>
      <w:r>
        <w:rPr>
          <w:rFonts w:ascii="宋体" w:hAnsi="宋体" w:eastAsia="宋体" w:cs="宋体"/>
          <w:color w:val="auto"/>
          <w:spacing w:val="-48"/>
          <w:sz w:val="19"/>
          <w:szCs w:val="19"/>
          <w:highlight w:val="none"/>
        </w:rPr>
        <w:t xml:space="preserve"> </w:t>
      </w:r>
      <w:r>
        <w:rPr>
          <w:rFonts w:ascii="宋体" w:hAnsi="宋体" w:eastAsia="宋体" w:cs="宋体"/>
          <w:color w:val="auto"/>
          <w:spacing w:val="5"/>
          <w:sz w:val="19"/>
          <w:szCs w:val="19"/>
          <w:highlight w:val="none"/>
        </w:rPr>
        <w:t>目的约定</w:t>
      </w:r>
      <w:r>
        <w:rPr>
          <w:rFonts w:ascii="宋体" w:hAnsi="宋体" w:eastAsia="宋体" w:cs="宋体"/>
          <w:color w:val="auto"/>
          <w:spacing w:val="4"/>
          <w:sz w:val="19"/>
          <w:szCs w:val="19"/>
          <w:highlight w:val="none"/>
        </w:rPr>
        <w:t>，将逾期付款违约金支付给承包人。</w:t>
      </w:r>
    </w:p>
    <w:p w14:paraId="540D8BD8">
      <w:pPr>
        <w:spacing w:before="110" w:line="281" w:lineRule="auto"/>
        <w:ind w:left="27" w:right="19"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承包人对发包人签认的完工付款证书有异议的，发包人可出</w:t>
      </w:r>
      <w:r>
        <w:rPr>
          <w:rFonts w:ascii="宋体" w:hAnsi="宋体" w:eastAsia="宋体" w:cs="宋体"/>
          <w:color w:val="auto"/>
          <w:spacing w:val="7"/>
          <w:sz w:val="19"/>
          <w:szCs w:val="19"/>
          <w:highlight w:val="none"/>
        </w:rPr>
        <w:t>具完工付款申请单中承包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人已同意部分的临时付款证书。存在争议的部分，</w:t>
      </w:r>
      <w:r>
        <w:rPr>
          <w:rFonts w:ascii="宋体" w:hAnsi="宋体" w:eastAsia="宋体" w:cs="宋体"/>
          <w:color w:val="auto"/>
          <w:spacing w:val="-54"/>
          <w:sz w:val="19"/>
          <w:szCs w:val="19"/>
          <w:highlight w:val="none"/>
        </w:rPr>
        <w:t xml:space="preserve"> </w:t>
      </w:r>
      <w:r>
        <w:rPr>
          <w:rFonts w:ascii="宋体" w:hAnsi="宋体" w:eastAsia="宋体" w:cs="宋体"/>
          <w:color w:val="auto"/>
          <w:spacing w:val="7"/>
          <w:sz w:val="19"/>
          <w:szCs w:val="19"/>
          <w:highlight w:val="none"/>
        </w:rPr>
        <w:t>按第</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条的约定办理。</w:t>
      </w:r>
    </w:p>
    <w:p w14:paraId="63BD1BFE">
      <w:pPr>
        <w:spacing w:before="15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(4)              </w:t>
      </w:r>
      <w:r>
        <w:rPr>
          <w:rFonts w:ascii="宋体" w:hAnsi="宋体" w:eastAsia="宋体" w:cs="宋体"/>
          <w:color w:val="auto"/>
          <w:spacing w:val="3"/>
          <w:sz w:val="19"/>
          <w:szCs w:val="19"/>
          <w:highlight w:val="none"/>
        </w:rPr>
        <w:t>完工付款涉及政府投资资金的，按第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3"/>
          <w:sz w:val="19"/>
          <w:szCs w:val="19"/>
          <w:highlight w:val="none"/>
        </w:rPr>
        <w:t>17.3.3</w:t>
      </w:r>
      <w:r>
        <w:rPr>
          <w:rFonts w:ascii="宋体" w:hAnsi="宋体" w:eastAsia="宋体" w:cs="宋体"/>
          <w:color w:val="auto"/>
          <w:spacing w:val="50"/>
          <w:sz w:val="19"/>
          <w:szCs w:val="19"/>
          <w:highlight w:val="none"/>
        </w:rPr>
        <w:t xml:space="preserve"> </w:t>
      </w:r>
      <w:r>
        <w:rPr>
          <w:rFonts w:ascii="宋体" w:hAnsi="宋体" w:eastAsia="宋体" w:cs="宋体"/>
          <w:color w:val="auto"/>
          <w:spacing w:val="3"/>
          <w:sz w:val="19"/>
          <w:szCs w:val="19"/>
          <w:highlight w:val="none"/>
        </w:rPr>
        <w:t>(4)</w:t>
      </w:r>
      <w:r>
        <w:rPr>
          <w:rFonts w:ascii="宋体" w:hAnsi="宋体" w:eastAsia="宋体" w:cs="宋体"/>
          <w:color w:val="auto"/>
          <w:spacing w:val="-48"/>
          <w:sz w:val="19"/>
          <w:szCs w:val="19"/>
          <w:highlight w:val="none"/>
        </w:rPr>
        <w:t xml:space="preserve"> </w:t>
      </w:r>
      <w:r>
        <w:rPr>
          <w:rFonts w:ascii="宋体" w:hAnsi="宋体" w:eastAsia="宋体" w:cs="宋体"/>
          <w:color w:val="auto"/>
          <w:spacing w:val="3"/>
          <w:sz w:val="19"/>
          <w:szCs w:val="19"/>
          <w:highlight w:val="none"/>
        </w:rPr>
        <w:t>目的约定办理。</w:t>
      </w:r>
    </w:p>
    <w:p w14:paraId="7B544768">
      <w:pPr>
        <w:spacing w:before="172"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17.6</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最终结清</w:t>
      </w:r>
    </w:p>
    <w:p w14:paraId="22847EBA">
      <w:pPr>
        <w:spacing w:before="281" w:line="228"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17.6.1</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最终结清申请单</w:t>
      </w:r>
    </w:p>
    <w:p w14:paraId="50D172CA">
      <w:pPr>
        <w:spacing w:before="231" w:line="282" w:lineRule="auto"/>
        <w:ind w:left="27" w:right="22"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工程质量保修责任终止证书签发后，</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承包人应按监理人批准的格</w:t>
      </w:r>
      <w:r>
        <w:rPr>
          <w:rFonts w:ascii="宋体" w:hAnsi="宋体" w:eastAsia="宋体" w:cs="宋体"/>
          <w:color w:val="auto"/>
          <w:spacing w:val="6"/>
          <w:sz w:val="19"/>
          <w:szCs w:val="19"/>
          <w:highlight w:val="none"/>
        </w:rPr>
        <w:t>式提交最终结清申请</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单。提交最终结清申请单的份数在专用合同条款中约定。</w:t>
      </w:r>
    </w:p>
    <w:p w14:paraId="0C57F2A7">
      <w:pPr>
        <w:spacing w:before="111" w:line="283" w:lineRule="auto"/>
        <w:ind w:left="49" w:right="43" w:hanging="23"/>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发包人对最终结清申请单内容有异议的，有权要求承包人进行修正和提供补充资料，</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由承包人向监理人提交修正后的最终结清申请单。</w:t>
      </w:r>
    </w:p>
    <w:p w14:paraId="1FA11211">
      <w:pPr>
        <w:spacing w:before="154" w:line="228" w:lineRule="auto"/>
        <w:ind w:left="47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17.6.2</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最终结清证书和支付时间</w:t>
      </w:r>
    </w:p>
    <w:p w14:paraId="2D94FB47">
      <w:pPr>
        <w:spacing w:before="231" w:line="314" w:lineRule="auto"/>
        <w:ind w:left="25" w:right="1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监理人收到承包人提交的最终结清申请单后的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天内，提出发包人应支付给承包人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的价款送发包人审核并抄送承包人。发包人应在收到后</w:t>
      </w:r>
      <w:r>
        <w:rPr>
          <w:rFonts w:ascii="宋体" w:hAnsi="宋体" w:eastAsia="宋体" w:cs="宋体"/>
          <w:color w:val="auto"/>
          <w:spacing w:val="1"/>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天内审核完毕，由监理人向承包人出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具经发包人签认的最终结清证书。监理人未在约定时间内核查，</w:t>
      </w:r>
      <w:r>
        <w:rPr>
          <w:rFonts w:ascii="宋体" w:hAnsi="宋体" w:eastAsia="宋体" w:cs="宋体"/>
          <w:color w:val="auto"/>
          <w:spacing w:val="-27"/>
          <w:sz w:val="19"/>
          <w:szCs w:val="19"/>
          <w:highlight w:val="none"/>
        </w:rPr>
        <w:t xml:space="preserve"> </w:t>
      </w:r>
      <w:r>
        <w:rPr>
          <w:rFonts w:ascii="宋体" w:hAnsi="宋体" w:eastAsia="宋体" w:cs="宋体"/>
          <w:color w:val="auto"/>
          <w:spacing w:val="8"/>
          <w:sz w:val="19"/>
          <w:szCs w:val="19"/>
          <w:highlight w:val="none"/>
        </w:rPr>
        <w:t>又未提出具体意见的，视为承</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包人提交的最终结清申请已经监理人核查同意；发包人未在约</w:t>
      </w:r>
      <w:r>
        <w:rPr>
          <w:rFonts w:ascii="宋体" w:hAnsi="宋体" w:eastAsia="宋体" w:cs="宋体"/>
          <w:color w:val="auto"/>
          <w:spacing w:val="9"/>
          <w:sz w:val="19"/>
          <w:szCs w:val="19"/>
          <w:highlight w:val="none"/>
        </w:rPr>
        <w:t>定时间内审核又未提出具体意见</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的，监理人提出应支付给承包人的价款视为已经发包人同意。</w:t>
      </w:r>
    </w:p>
    <w:p w14:paraId="1D99AC32">
      <w:pPr>
        <w:spacing w:before="115" w:line="282" w:lineRule="auto"/>
        <w:ind w:left="27" w:right="96"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发包人应在监理人出具最终结清证书后的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天内，将应支付款支付给承包人。发包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人不按期支付的，按第 17.3.3</w:t>
      </w:r>
      <w:r>
        <w:rPr>
          <w:rFonts w:ascii="宋体" w:hAnsi="宋体" w:eastAsia="宋体" w:cs="宋体"/>
          <w:color w:val="auto"/>
          <w:spacing w:val="50"/>
          <w:sz w:val="19"/>
          <w:szCs w:val="19"/>
          <w:highlight w:val="none"/>
        </w:rPr>
        <w:t xml:space="preserve"> </w:t>
      </w:r>
      <w:r>
        <w:rPr>
          <w:rFonts w:ascii="宋体" w:hAnsi="宋体" w:eastAsia="宋体" w:cs="宋体"/>
          <w:color w:val="auto"/>
          <w:spacing w:val="5"/>
          <w:sz w:val="19"/>
          <w:szCs w:val="19"/>
          <w:highlight w:val="none"/>
        </w:rPr>
        <w:t>(2)</w:t>
      </w:r>
      <w:r>
        <w:rPr>
          <w:rFonts w:ascii="宋体" w:hAnsi="宋体" w:eastAsia="宋体" w:cs="宋体"/>
          <w:color w:val="auto"/>
          <w:spacing w:val="-48"/>
          <w:sz w:val="19"/>
          <w:szCs w:val="19"/>
          <w:highlight w:val="none"/>
        </w:rPr>
        <w:t xml:space="preserve"> </w:t>
      </w:r>
      <w:r>
        <w:rPr>
          <w:rFonts w:ascii="宋体" w:hAnsi="宋体" w:eastAsia="宋体" w:cs="宋体"/>
          <w:color w:val="auto"/>
          <w:spacing w:val="5"/>
          <w:sz w:val="19"/>
          <w:szCs w:val="19"/>
          <w:highlight w:val="none"/>
        </w:rPr>
        <w:t>目的约定</w:t>
      </w:r>
      <w:r>
        <w:rPr>
          <w:rFonts w:ascii="宋体" w:hAnsi="宋体" w:eastAsia="宋体" w:cs="宋体"/>
          <w:color w:val="auto"/>
          <w:spacing w:val="4"/>
          <w:sz w:val="19"/>
          <w:szCs w:val="19"/>
          <w:highlight w:val="none"/>
        </w:rPr>
        <w:t>，将逾期付款违约金支付给承包人。</w:t>
      </w:r>
    </w:p>
    <w:p w14:paraId="4F2007D0">
      <w:pPr>
        <w:spacing w:before="11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承包人对发包人签认的最终结清证书有异议的，</w:t>
      </w:r>
      <w:r>
        <w:rPr>
          <w:rFonts w:ascii="宋体" w:hAnsi="宋体" w:eastAsia="宋体" w:cs="宋体"/>
          <w:color w:val="auto"/>
          <w:spacing w:val="5"/>
          <w:sz w:val="19"/>
          <w:szCs w:val="19"/>
          <w:highlight w:val="none"/>
        </w:rPr>
        <w:t>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条的约定办理。</w:t>
      </w:r>
    </w:p>
    <w:p w14:paraId="5758E0B9">
      <w:pPr>
        <w:spacing w:before="11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(4)              </w:t>
      </w:r>
      <w:r>
        <w:rPr>
          <w:rFonts w:ascii="宋体" w:hAnsi="宋体" w:eastAsia="宋体" w:cs="宋体"/>
          <w:color w:val="auto"/>
          <w:spacing w:val="3"/>
          <w:sz w:val="19"/>
          <w:szCs w:val="19"/>
          <w:highlight w:val="none"/>
        </w:rPr>
        <w:t>最终结清付款涉及</w:t>
      </w:r>
      <w:r>
        <w:rPr>
          <w:rFonts w:ascii="宋体" w:hAnsi="宋体" w:eastAsia="宋体" w:cs="宋体"/>
          <w:color w:val="auto"/>
          <w:spacing w:val="2"/>
          <w:sz w:val="19"/>
          <w:szCs w:val="19"/>
          <w:highlight w:val="none"/>
        </w:rPr>
        <w:t>政府投资资金的，</w:t>
      </w:r>
      <w:r>
        <w:rPr>
          <w:rFonts w:ascii="宋体" w:hAnsi="宋体" w:eastAsia="宋体" w:cs="宋体"/>
          <w:color w:val="auto"/>
          <w:spacing w:val="-44"/>
          <w:sz w:val="19"/>
          <w:szCs w:val="19"/>
          <w:highlight w:val="none"/>
        </w:rPr>
        <w:t xml:space="preserve"> </w:t>
      </w:r>
      <w:r>
        <w:rPr>
          <w:rFonts w:ascii="宋体" w:hAnsi="宋体" w:eastAsia="宋体" w:cs="宋体"/>
          <w:color w:val="auto"/>
          <w:spacing w:val="2"/>
          <w:sz w:val="19"/>
          <w:szCs w:val="19"/>
          <w:highlight w:val="none"/>
        </w:rPr>
        <w:t>按第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2"/>
          <w:sz w:val="19"/>
          <w:szCs w:val="19"/>
          <w:highlight w:val="none"/>
        </w:rPr>
        <w:t>17.3.3</w:t>
      </w:r>
      <w:r>
        <w:rPr>
          <w:rFonts w:ascii="宋体" w:hAnsi="宋体" w:eastAsia="宋体" w:cs="宋体"/>
          <w:color w:val="auto"/>
          <w:spacing w:val="47"/>
          <w:sz w:val="19"/>
          <w:szCs w:val="19"/>
          <w:highlight w:val="none"/>
        </w:rPr>
        <w:t xml:space="preserve"> </w:t>
      </w:r>
      <w:r>
        <w:rPr>
          <w:rFonts w:ascii="宋体" w:hAnsi="宋体" w:eastAsia="宋体" w:cs="宋体"/>
          <w:color w:val="auto"/>
          <w:spacing w:val="2"/>
          <w:sz w:val="19"/>
          <w:szCs w:val="19"/>
          <w:highlight w:val="none"/>
        </w:rPr>
        <w:t>(4)</w:t>
      </w:r>
      <w:r>
        <w:rPr>
          <w:rFonts w:ascii="宋体" w:hAnsi="宋体" w:eastAsia="宋体" w:cs="宋体"/>
          <w:color w:val="auto"/>
          <w:spacing w:val="-48"/>
          <w:sz w:val="19"/>
          <w:szCs w:val="19"/>
          <w:highlight w:val="none"/>
        </w:rPr>
        <w:t xml:space="preserve"> </w:t>
      </w:r>
      <w:r>
        <w:rPr>
          <w:rFonts w:ascii="宋体" w:hAnsi="宋体" w:eastAsia="宋体" w:cs="宋体"/>
          <w:color w:val="auto"/>
          <w:spacing w:val="2"/>
          <w:sz w:val="19"/>
          <w:szCs w:val="19"/>
          <w:highlight w:val="none"/>
        </w:rPr>
        <w:t>目的约定办理。</w:t>
      </w:r>
    </w:p>
    <w:p w14:paraId="2A076947">
      <w:pPr>
        <w:spacing w:before="169"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17.7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竣工财务决算</w:t>
      </w:r>
    </w:p>
    <w:p w14:paraId="19D77FAF">
      <w:pPr>
        <w:spacing w:line="297" w:lineRule="auto"/>
        <w:rPr>
          <w:rFonts w:ascii="Arial"/>
          <w:color w:val="auto"/>
          <w:sz w:val="21"/>
          <w:highlight w:val="none"/>
        </w:rPr>
      </w:pPr>
    </w:p>
    <w:p w14:paraId="4139454C">
      <w:pPr>
        <w:spacing w:before="62" w:line="318" w:lineRule="auto"/>
        <w:ind w:left="31" w:right="18" w:firstLine="416"/>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发包人负责编制本工程项目竣工财务决算，承包人</w:t>
      </w:r>
      <w:r>
        <w:rPr>
          <w:rFonts w:ascii="宋体" w:hAnsi="宋体" w:eastAsia="宋体" w:cs="宋体"/>
          <w:color w:val="auto"/>
          <w:spacing w:val="11"/>
          <w:sz w:val="19"/>
          <w:szCs w:val="19"/>
          <w:highlight w:val="none"/>
        </w:rPr>
        <w:t>应按专用合同条款的约定提供竣工财务</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决算编制所需的相关材料。</w:t>
      </w:r>
    </w:p>
    <w:p w14:paraId="7A7B32EC">
      <w:pPr>
        <w:spacing w:before="129"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17.8</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竣工审计</w:t>
      </w:r>
    </w:p>
    <w:p w14:paraId="32E9069F">
      <w:pPr>
        <w:spacing w:line="303" w:lineRule="auto"/>
        <w:rPr>
          <w:rFonts w:ascii="Arial"/>
          <w:color w:val="auto"/>
          <w:sz w:val="21"/>
          <w:highlight w:val="none"/>
        </w:rPr>
      </w:pPr>
    </w:p>
    <w:p w14:paraId="3265AF03">
      <w:pPr>
        <w:spacing w:before="63"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发包人负责完成本工程竣工审计手续，承包人应完成相关配合工作。</w:t>
      </w:r>
    </w:p>
    <w:p w14:paraId="72C22E69">
      <w:pPr>
        <w:spacing w:line="228" w:lineRule="auto"/>
        <w:rPr>
          <w:rFonts w:ascii="宋体" w:hAnsi="宋体" w:eastAsia="宋体" w:cs="宋体"/>
          <w:color w:val="auto"/>
          <w:sz w:val="19"/>
          <w:szCs w:val="19"/>
          <w:highlight w:val="none"/>
        </w:rPr>
        <w:sectPr>
          <w:footerReference r:id="rId101" w:type="default"/>
          <w:pgSz w:w="11900" w:h="16832"/>
          <w:pgMar w:top="1430" w:right="1784" w:bottom="1188" w:left="1784" w:header="0" w:footer="980" w:gutter="0"/>
          <w:pgNumType w:fmt="decimal"/>
          <w:cols w:space="720" w:num="1"/>
        </w:sectPr>
      </w:pPr>
    </w:p>
    <w:p w14:paraId="2A80E67B">
      <w:pPr>
        <w:spacing w:before="63"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18.</w:t>
      </w:r>
      <w:r>
        <w:rPr>
          <w:rFonts w:ascii="宋体" w:hAnsi="宋体" w:eastAsia="宋体" w:cs="宋体"/>
          <w:b/>
          <w:bCs/>
          <w:color w:val="auto"/>
          <w:spacing w:val="3"/>
          <w:sz w:val="31"/>
          <w:szCs w:val="31"/>
          <w:highlight w:val="none"/>
        </w:rPr>
        <w:t>竣工验收（验收）</w:t>
      </w:r>
    </w:p>
    <w:p w14:paraId="2F99214C">
      <w:pPr>
        <w:spacing w:line="249" w:lineRule="auto"/>
        <w:rPr>
          <w:rFonts w:ascii="Arial"/>
          <w:color w:val="auto"/>
          <w:sz w:val="21"/>
          <w:highlight w:val="none"/>
        </w:rPr>
      </w:pPr>
    </w:p>
    <w:p w14:paraId="259FCD2F">
      <w:pPr>
        <w:spacing w:line="250" w:lineRule="auto"/>
        <w:rPr>
          <w:rFonts w:ascii="Arial"/>
          <w:color w:val="auto"/>
          <w:sz w:val="21"/>
          <w:highlight w:val="none"/>
        </w:rPr>
      </w:pPr>
    </w:p>
    <w:p w14:paraId="7E6155E4">
      <w:pPr>
        <w:spacing w:before="91"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18.1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验收工作分类</w:t>
      </w:r>
    </w:p>
    <w:p w14:paraId="2720DA65">
      <w:pPr>
        <w:spacing w:line="304" w:lineRule="auto"/>
        <w:rPr>
          <w:rFonts w:ascii="Arial"/>
          <w:color w:val="auto"/>
          <w:sz w:val="21"/>
          <w:highlight w:val="none"/>
        </w:rPr>
      </w:pPr>
    </w:p>
    <w:p w14:paraId="1F12783D">
      <w:pPr>
        <w:spacing w:before="62" w:line="337" w:lineRule="auto"/>
        <w:ind w:left="26" w:right="19" w:firstLine="439"/>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本工程验收工作按主持单位分为法人验收和政府验收。法人验收和政府验收的类别在专用</w:t>
      </w:r>
      <w:r>
        <w:rPr>
          <w:rFonts w:ascii="宋体" w:hAnsi="宋体" w:eastAsia="宋体" w:cs="宋体"/>
          <w:color w:val="auto"/>
          <w:spacing w:val="4"/>
          <w:sz w:val="19"/>
          <w:szCs w:val="19"/>
          <w:highlight w:val="none"/>
        </w:rPr>
        <w:t xml:space="preserve"> </w:t>
      </w:r>
      <w:r>
        <w:rPr>
          <w:rFonts w:ascii="宋体" w:hAnsi="宋体" w:eastAsia="宋体" w:cs="宋体"/>
          <w:color w:val="auto"/>
          <w:spacing w:val="12"/>
          <w:sz w:val="19"/>
          <w:szCs w:val="19"/>
          <w:highlight w:val="none"/>
        </w:rPr>
        <w:t>合同条款中约定。除专用合同条款另有约定外，法人验收由发包人主持。承包人</w:t>
      </w:r>
      <w:r>
        <w:rPr>
          <w:rFonts w:ascii="宋体" w:hAnsi="宋体" w:eastAsia="宋体" w:cs="宋体"/>
          <w:color w:val="auto"/>
          <w:spacing w:val="11"/>
          <w:sz w:val="19"/>
          <w:szCs w:val="19"/>
          <w:highlight w:val="none"/>
        </w:rPr>
        <w:t>应完成法人验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收和政府验收的配合工作，所需费用应含在已标价工程量清单中。</w:t>
      </w:r>
    </w:p>
    <w:p w14:paraId="2AB48DE1">
      <w:pPr>
        <w:spacing w:before="117"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18.2</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7"/>
          <w:sz w:val="28"/>
          <w:szCs w:val="28"/>
          <w:highlight w:val="none"/>
        </w:rPr>
        <w:t>分部工程验收</w:t>
      </w:r>
    </w:p>
    <w:p w14:paraId="12954E05">
      <w:pPr>
        <w:spacing w:line="309" w:lineRule="auto"/>
        <w:rPr>
          <w:rFonts w:ascii="Arial"/>
          <w:color w:val="auto"/>
          <w:sz w:val="21"/>
          <w:highlight w:val="none"/>
        </w:rPr>
      </w:pPr>
    </w:p>
    <w:p w14:paraId="79267CE2">
      <w:pPr>
        <w:spacing w:before="62" w:line="341" w:lineRule="auto"/>
        <w:ind w:left="24" w:right="21"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18.2.1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分部工程具备验收条件时，承包人应向发包人提交验收申请报告，发包人应在收到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验收申请报告之日起</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10</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个工作日内决定是否同</w:t>
      </w:r>
      <w:r>
        <w:rPr>
          <w:rFonts w:ascii="宋体" w:hAnsi="宋体" w:eastAsia="宋体" w:cs="宋体"/>
          <w:color w:val="auto"/>
          <w:spacing w:val="6"/>
          <w:sz w:val="19"/>
          <w:szCs w:val="19"/>
          <w:highlight w:val="none"/>
        </w:rPr>
        <w:t>意进行验收。</w:t>
      </w:r>
    </w:p>
    <w:p w14:paraId="1662E017">
      <w:pPr>
        <w:spacing w:before="32" w:line="342" w:lineRule="auto"/>
        <w:ind w:left="24" w:right="21" w:firstLine="45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18.2.2</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除专用合同条款另有约定外，</w:t>
      </w:r>
      <w:r>
        <w:rPr>
          <w:rFonts w:ascii="宋体" w:hAnsi="宋体" w:eastAsia="宋体" w:cs="宋体"/>
          <w:color w:val="auto"/>
          <w:spacing w:val="-45"/>
          <w:sz w:val="19"/>
          <w:szCs w:val="19"/>
          <w:highlight w:val="none"/>
        </w:rPr>
        <w:t xml:space="preserve"> </w:t>
      </w:r>
      <w:r>
        <w:rPr>
          <w:rFonts w:ascii="宋体" w:hAnsi="宋体" w:eastAsia="宋体" w:cs="宋体"/>
          <w:color w:val="auto"/>
          <w:spacing w:val="6"/>
          <w:sz w:val="19"/>
          <w:szCs w:val="19"/>
          <w:highlight w:val="none"/>
        </w:rPr>
        <w:t>监理人主持分部工程验收，</w:t>
      </w:r>
      <w:r>
        <w:rPr>
          <w:rFonts w:ascii="宋体" w:hAnsi="宋体" w:eastAsia="宋体" w:cs="宋体"/>
          <w:color w:val="auto"/>
          <w:spacing w:val="-46"/>
          <w:sz w:val="19"/>
          <w:szCs w:val="19"/>
          <w:highlight w:val="none"/>
        </w:rPr>
        <w:t xml:space="preserve"> </w:t>
      </w:r>
      <w:r>
        <w:rPr>
          <w:rFonts w:ascii="宋体" w:hAnsi="宋体" w:eastAsia="宋体" w:cs="宋体"/>
          <w:color w:val="auto"/>
          <w:spacing w:val="5"/>
          <w:sz w:val="19"/>
          <w:szCs w:val="19"/>
          <w:highlight w:val="none"/>
        </w:rPr>
        <w:t>承包人应派符合条件的代</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表参加验收工作组。</w:t>
      </w:r>
    </w:p>
    <w:p w14:paraId="63A6E06B">
      <w:pPr>
        <w:spacing w:before="35" w:line="342" w:lineRule="auto"/>
        <w:ind w:left="27" w:right="20"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18.2.3</w:t>
      </w:r>
      <w:r>
        <w:rPr>
          <w:rFonts w:ascii="宋体" w:hAnsi="宋体" w:eastAsia="宋体" w:cs="宋体"/>
          <w:color w:val="auto"/>
          <w:spacing w:val="-13"/>
          <w:sz w:val="19"/>
          <w:szCs w:val="19"/>
          <w:highlight w:val="none"/>
        </w:rPr>
        <w:t xml:space="preserve"> </w:t>
      </w:r>
      <w:r>
        <w:rPr>
          <w:rFonts w:ascii="宋体" w:hAnsi="宋体" w:eastAsia="宋体" w:cs="宋体"/>
          <w:color w:val="auto"/>
          <w:spacing w:val="8"/>
          <w:sz w:val="19"/>
          <w:szCs w:val="19"/>
          <w:highlight w:val="none"/>
        </w:rPr>
        <w:t>分部工程验收通过后，发包人向承包人发送分部工程验收鉴定书。承包人应及时完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成分部工程验收鉴定书载明应由承包人处理的遗留问题。</w:t>
      </w:r>
    </w:p>
    <w:p w14:paraId="1B9883DA">
      <w:pPr>
        <w:spacing w:before="110"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18.3</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单位工程验收</w:t>
      </w:r>
    </w:p>
    <w:p w14:paraId="2FABB0A1">
      <w:pPr>
        <w:spacing w:line="308" w:lineRule="auto"/>
        <w:rPr>
          <w:rFonts w:ascii="Arial"/>
          <w:color w:val="auto"/>
          <w:sz w:val="21"/>
          <w:highlight w:val="none"/>
        </w:rPr>
      </w:pPr>
    </w:p>
    <w:p w14:paraId="5838D0B4">
      <w:pPr>
        <w:spacing w:before="63" w:line="339" w:lineRule="auto"/>
        <w:ind w:left="24" w:right="21"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18.3.1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单位工程具备验收条件时，承包人应向发包人提交验收申请报告，发包人应在收到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验收申请报告之日起</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10</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个工作日内决定是否同</w:t>
      </w:r>
      <w:r>
        <w:rPr>
          <w:rFonts w:ascii="宋体" w:hAnsi="宋体" w:eastAsia="宋体" w:cs="宋体"/>
          <w:color w:val="auto"/>
          <w:spacing w:val="6"/>
          <w:sz w:val="19"/>
          <w:szCs w:val="19"/>
          <w:highlight w:val="none"/>
        </w:rPr>
        <w:t>意进行验收。</w:t>
      </w:r>
    </w:p>
    <w:p w14:paraId="2006BFDC">
      <w:pPr>
        <w:spacing w:before="32" w:line="228" w:lineRule="auto"/>
        <w:ind w:left="47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18.3.2</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发包人主持单位工程验收，承包人应派符合条件的代表参加</w:t>
      </w:r>
      <w:r>
        <w:rPr>
          <w:rFonts w:ascii="宋体" w:hAnsi="宋体" w:eastAsia="宋体" w:cs="宋体"/>
          <w:color w:val="auto"/>
          <w:spacing w:val="7"/>
          <w:sz w:val="19"/>
          <w:szCs w:val="19"/>
          <w:highlight w:val="none"/>
        </w:rPr>
        <w:t>验收工作组。</w:t>
      </w:r>
    </w:p>
    <w:p w14:paraId="59121F46">
      <w:pPr>
        <w:spacing w:before="130" w:line="337" w:lineRule="auto"/>
        <w:ind w:left="27" w:right="21"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18.3.3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单位工程验收通过后，发包人向承包人发送单位工程验收鉴定书。承包人应及时完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成单位工程验收鉴定书载明应由承包人处理的遗留问题。</w:t>
      </w:r>
    </w:p>
    <w:p w14:paraId="3E5673E3">
      <w:pPr>
        <w:spacing w:before="43"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18.3.4</w:t>
      </w:r>
      <w:r>
        <w:rPr>
          <w:rFonts w:ascii="宋体" w:hAnsi="宋体" w:eastAsia="宋体" w:cs="宋体"/>
          <w:color w:val="auto"/>
          <w:spacing w:val="-12"/>
          <w:sz w:val="19"/>
          <w:szCs w:val="19"/>
          <w:highlight w:val="none"/>
        </w:rPr>
        <w:t xml:space="preserve"> </w:t>
      </w:r>
      <w:r>
        <w:rPr>
          <w:rFonts w:ascii="宋体" w:hAnsi="宋体" w:eastAsia="宋体" w:cs="宋体"/>
          <w:color w:val="auto"/>
          <w:spacing w:val="6"/>
          <w:sz w:val="19"/>
          <w:szCs w:val="19"/>
          <w:highlight w:val="none"/>
        </w:rPr>
        <w:t>需提前投入使用的单位工程在专用合同条款中明确。</w:t>
      </w:r>
    </w:p>
    <w:p w14:paraId="4D43C2AB">
      <w:pPr>
        <w:spacing w:before="197"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18.4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合同工程完工验收</w:t>
      </w:r>
    </w:p>
    <w:p w14:paraId="0E18D7D4">
      <w:pPr>
        <w:spacing w:line="303" w:lineRule="auto"/>
        <w:rPr>
          <w:rFonts w:ascii="Arial"/>
          <w:color w:val="auto"/>
          <w:sz w:val="21"/>
          <w:highlight w:val="none"/>
        </w:rPr>
      </w:pPr>
    </w:p>
    <w:p w14:paraId="5A3831E8">
      <w:pPr>
        <w:spacing w:before="62" w:line="335" w:lineRule="auto"/>
        <w:ind w:left="24" w:right="21"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18.4.1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合同工程具备验收条件时，承包人应向发包人提交验收申请报告，发包人应在收到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验收申请报告之日起</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20</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个工作日内决定是否同意进行验收。</w:t>
      </w:r>
    </w:p>
    <w:p w14:paraId="222A5C30">
      <w:pPr>
        <w:spacing w:before="32"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18.4.2</w:t>
      </w:r>
      <w:r>
        <w:rPr>
          <w:rFonts w:ascii="宋体" w:hAnsi="宋体" w:eastAsia="宋体" w:cs="宋体"/>
          <w:color w:val="auto"/>
          <w:spacing w:val="-25"/>
          <w:sz w:val="19"/>
          <w:szCs w:val="19"/>
          <w:highlight w:val="none"/>
        </w:rPr>
        <w:t xml:space="preserve"> </w:t>
      </w:r>
      <w:r>
        <w:rPr>
          <w:rFonts w:ascii="宋体" w:hAnsi="宋体" w:eastAsia="宋体" w:cs="宋体"/>
          <w:color w:val="auto"/>
          <w:spacing w:val="7"/>
          <w:sz w:val="19"/>
          <w:szCs w:val="19"/>
          <w:highlight w:val="none"/>
        </w:rPr>
        <w:t>发包人主持合同工程完工验收，承包人应派项目经理参加验收工作组。</w:t>
      </w:r>
    </w:p>
    <w:p w14:paraId="1BDA352C">
      <w:pPr>
        <w:spacing w:before="124" w:line="335" w:lineRule="auto"/>
        <w:ind w:left="25" w:right="21"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18.4.3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合同工程完工验收通过后，发包人向承包人发送合同工程完工验收鉴定书。承包人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应及时完成合同工程完工验收鉴定书载明应由承包人处理的遗留问题。</w:t>
      </w:r>
    </w:p>
    <w:p w14:paraId="425DFEC6">
      <w:pPr>
        <w:spacing w:before="32" w:line="343" w:lineRule="auto"/>
        <w:ind w:left="24" w:right="17" w:firstLine="45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18.4.4</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合同工程完工验收通过后，发包</w:t>
      </w:r>
      <w:r>
        <w:rPr>
          <w:rFonts w:ascii="宋体" w:hAnsi="宋体" w:eastAsia="宋体" w:cs="宋体"/>
          <w:color w:val="auto"/>
          <w:spacing w:val="5"/>
          <w:sz w:val="19"/>
          <w:szCs w:val="19"/>
          <w:highlight w:val="none"/>
        </w:rPr>
        <w:t>人与承包人应在</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30</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个工作日内组织专人负责工程交</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接，双方交接负责人应在交接记录上签字。承包人</w:t>
      </w:r>
      <w:r>
        <w:rPr>
          <w:rFonts w:ascii="宋体" w:hAnsi="宋体" w:eastAsia="宋体" w:cs="宋体"/>
          <w:color w:val="auto"/>
          <w:spacing w:val="9"/>
          <w:sz w:val="19"/>
          <w:szCs w:val="19"/>
          <w:highlight w:val="none"/>
        </w:rPr>
        <w:t>应按验收鉴定书约定的时间及时 移交工程及</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其档案资料。工程移交时，承包人应向发包人递交</w:t>
      </w:r>
      <w:r>
        <w:rPr>
          <w:rFonts w:ascii="宋体" w:hAnsi="宋体" w:eastAsia="宋体" w:cs="宋体"/>
          <w:color w:val="auto"/>
          <w:spacing w:val="9"/>
          <w:sz w:val="19"/>
          <w:szCs w:val="19"/>
          <w:highlight w:val="none"/>
        </w:rPr>
        <w:t>工程质量保修书。在承包人 递交了工程质量</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保修书、完成施工场地清理以及提交有关资料后</w:t>
      </w:r>
      <w:r>
        <w:rPr>
          <w:rFonts w:ascii="宋体" w:hAnsi="宋体" w:eastAsia="宋体" w:cs="宋体"/>
          <w:color w:val="auto"/>
          <w:spacing w:val="7"/>
          <w:sz w:val="19"/>
          <w:szCs w:val="19"/>
          <w:highlight w:val="none"/>
        </w:rPr>
        <w:t>，</w:t>
      </w:r>
      <w:r>
        <w:rPr>
          <w:rFonts w:ascii="宋体" w:hAnsi="宋体" w:eastAsia="宋体" w:cs="宋体"/>
          <w:color w:val="auto"/>
          <w:spacing w:val="-52"/>
          <w:sz w:val="19"/>
          <w:szCs w:val="19"/>
          <w:highlight w:val="none"/>
        </w:rPr>
        <w:t xml:space="preserve"> </w:t>
      </w:r>
      <w:r>
        <w:rPr>
          <w:rFonts w:ascii="宋体" w:hAnsi="宋体" w:eastAsia="宋体" w:cs="宋体"/>
          <w:color w:val="auto"/>
          <w:spacing w:val="7"/>
          <w:sz w:val="19"/>
          <w:szCs w:val="19"/>
          <w:highlight w:val="none"/>
        </w:rPr>
        <w:t>发包人应 30 个工作日内</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向承包人颁发合同</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工程完工证书。</w:t>
      </w:r>
    </w:p>
    <w:p w14:paraId="28338CAD">
      <w:pPr>
        <w:spacing w:line="343" w:lineRule="auto"/>
        <w:rPr>
          <w:rFonts w:ascii="宋体" w:hAnsi="宋体" w:eastAsia="宋体" w:cs="宋体"/>
          <w:color w:val="auto"/>
          <w:sz w:val="19"/>
          <w:szCs w:val="19"/>
          <w:highlight w:val="none"/>
        </w:rPr>
        <w:sectPr>
          <w:footerReference r:id="rId102" w:type="default"/>
          <w:pgSz w:w="11900" w:h="16832"/>
          <w:pgMar w:top="1423" w:right="1784" w:bottom="1188" w:left="1784" w:header="0" w:footer="980" w:gutter="0"/>
          <w:pgNumType w:fmt="decimal"/>
          <w:cols w:space="720" w:num="1"/>
        </w:sectPr>
      </w:pPr>
    </w:p>
    <w:p w14:paraId="56AB37A5">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18.5</w:t>
      </w:r>
      <w:r>
        <w:rPr>
          <w:rFonts w:ascii="宋体" w:hAnsi="宋体" w:eastAsia="宋体" w:cs="宋体"/>
          <w:color w:val="auto"/>
          <w:spacing w:val="-41"/>
          <w:sz w:val="28"/>
          <w:szCs w:val="28"/>
          <w:highlight w:val="none"/>
        </w:rPr>
        <w:t xml:space="preserve"> </w:t>
      </w:r>
      <w:r>
        <w:rPr>
          <w:rFonts w:ascii="宋体" w:hAnsi="宋体" w:eastAsia="宋体" w:cs="宋体"/>
          <w:b/>
          <w:bCs/>
          <w:color w:val="auto"/>
          <w:spacing w:val="-9"/>
          <w:sz w:val="28"/>
          <w:szCs w:val="28"/>
          <w:highlight w:val="none"/>
        </w:rPr>
        <w:t>阶段验收</w:t>
      </w:r>
    </w:p>
    <w:p w14:paraId="6D25B589">
      <w:pPr>
        <w:spacing w:line="312" w:lineRule="auto"/>
        <w:rPr>
          <w:rFonts w:ascii="Arial"/>
          <w:color w:val="auto"/>
          <w:sz w:val="21"/>
          <w:highlight w:val="none"/>
        </w:rPr>
      </w:pPr>
    </w:p>
    <w:p w14:paraId="7D16FF15">
      <w:pPr>
        <w:spacing w:before="62" w:line="352" w:lineRule="auto"/>
        <w:ind w:left="24" w:right="67" w:firstLine="442"/>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18.5.1</w:t>
      </w:r>
      <w:r>
        <w:rPr>
          <w:rFonts w:ascii="宋体" w:hAnsi="宋体" w:eastAsia="宋体" w:cs="宋体"/>
          <w:color w:val="auto"/>
          <w:spacing w:val="-2"/>
          <w:sz w:val="19"/>
          <w:szCs w:val="19"/>
          <w:highlight w:val="none"/>
        </w:rPr>
        <w:t xml:space="preserve"> </w:t>
      </w:r>
      <w:r>
        <w:rPr>
          <w:rFonts w:ascii="宋体" w:hAnsi="宋体" w:eastAsia="宋体" w:cs="宋体"/>
          <w:color w:val="auto"/>
          <w:spacing w:val="8"/>
          <w:sz w:val="19"/>
          <w:szCs w:val="19"/>
          <w:highlight w:val="none"/>
        </w:rPr>
        <w:t>工程建设具备阶段验收条件时，发包人负责提出阶段验收申请报告。承包人应派代</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表参加阶段验收，并作为被验收单位在验收鉴定书上签字。阶段验收的具体类别在</w:t>
      </w:r>
      <w:r>
        <w:rPr>
          <w:rFonts w:ascii="宋体" w:hAnsi="宋体" w:eastAsia="宋体" w:cs="宋体"/>
          <w:color w:val="auto"/>
          <w:spacing w:val="11"/>
          <w:sz w:val="19"/>
          <w:szCs w:val="19"/>
          <w:highlight w:val="none"/>
        </w:rPr>
        <w:t>专用合同条</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款中约定。</w:t>
      </w:r>
    </w:p>
    <w:p w14:paraId="1BE7C896">
      <w:pPr>
        <w:spacing w:before="17"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18.5. 2</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承包人应及时完成阶段验收鉴定书载明应由承包人处理的遗留问题。</w:t>
      </w:r>
    </w:p>
    <w:p w14:paraId="21C48991">
      <w:pPr>
        <w:spacing w:before="187"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18.6</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专项验收</w:t>
      </w:r>
    </w:p>
    <w:p w14:paraId="1C994C76">
      <w:pPr>
        <w:spacing w:line="298" w:lineRule="auto"/>
        <w:rPr>
          <w:rFonts w:ascii="Arial"/>
          <w:color w:val="auto"/>
          <w:sz w:val="21"/>
          <w:highlight w:val="none"/>
        </w:rPr>
      </w:pPr>
    </w:p>
    <w:p w14:paraId="3B722539">
      <w:pPr>
        <w:spacing w:before="62" w:line="329" w:lineRule="auto"/>
        <w:ind w:left="26" w:firstLine="453"/>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18.6.1</w:t>
      </w:r>
      <w:r>
        <w:rPr>
          <w:rFonts w:ascii="宋体" w:hAnsi="宋体" w:eastAsia="宋体" w:cs="宋体"/>
          <w:color w:val="auto"/>
          <w:spacing w:val="-16"/>
          <w:sz w:val="19"/>
          <w:szCs w:val="19"/>
          <w:highlight w:val="none"/>
        </w:rPr>
        <w:t xml:space="preserve"> </w:t>
      </w:r>
      <w:r>
        <w:rPr>
          <w:rFonts w:ascii="宋体" w:hAnsi="宋体" w:eastAsia="宋体" w:cs="宋体"/>
          <w:color w:val="auto"/>
          <w:spacing w:val="5"/>
          <w:sz w:val="19"/>
          <w:szCs w:val="19"/>
          <w:highlight w:val="none"/>
        </w:rPr>
        <w:t>发包人负责提出专项验收申请报告。承包人应按专项验收的相关规定参加专项验收。</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专项验收的具体类别在专用合同条款中约定。</w:t>
      </w:r>
    </w:p>
    <w:p w14:paraId="76B22C92">
      <w:pPr>
        <w:spacing w:before="32" w:line="228" w:lineRule="auto"/>
        <w:ind w:left="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18. 6. 2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承包应及时完成专项验收成果性文件载明应由承</w:t>
      </w:r>
      <w:r>
        <w:rPr>
          <w:rFonts w:ascii="宋体" w:hAnsi="宋体" w:eastAsia="宋体" w:cs="宋体"/>
          <w:color w:val="auto"/>
          <w:spacing w:val="7"/>
          <w:sz w:val="19"/>
          <w:szCs w:val="19"/>
          <w:highlight w:val="none"/>
        </w:rPr>
        <w:t>包人处理的遗留问题。</w:t>
      </w:r>
    </w:p>
    <w:p w14:paraId="221CE6B5">
      <w:pPr>
        <w:spacing w:before="185"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18.7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竣工验收</w:t>
      </w:r>
    </w:p>
    <w:p w14:paraId="42C6CA1A">
      <w:pPr>
        <w:spacing w:line="301" w:lineRule="auto"/>
        <w:rPr>
          <w:rFonts w:ascii="Arial"/>
          <w:color w:val="auto"/>
          <w:sz w:val="21"/>
          <w:highlight w:val="none"/>
        </w:rPr>
      </w:pPr>
    </w:p>
    <w:p w14:paraId="7D480FE8">
      <w:pPr>
        <w:spacing w:before="62" w:line="332" w:lineRule="auto"/>
        <w:ind w:left="25" w:right="67" w:firstLine="45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18.7.1 申请竣工验收前，</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发包人组织竣工验收自查，承包人应派项目经理或技术负责人参</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加。</w:t>
      </w:r>
    </w:p>
    <w:p w14:paraId="0F0FD71C">
      <w:pPr>
        <w:spacing w:before="32" w:line="335" w:lineRule="auto"/>
        <w:ind w:left="24" w:right="67"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18.7.2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竣工验收分为竣工技术预验收和竣工验收两个阶段，发包人应通知承包人派法定代</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表人或项目经理参加技术预验收和竣工验收。</w:t>
      </w:r>
    </w:p>
    <w:p w14:paraId="39A8C1E5">
      <w:pPr>
        <w:spacing w:before="32" w:line="336" w:lineRule="auto"/>
        <w:ind w:left="26" w:right="66"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18.7.3</w:t>
      </w:r>
      <w:r>
        <w:rPr>
          <w:rFonts w:ascii="宋体" w:hAnsi="宋体" w:eastAsia="宋体" w:cs="宋体"/>
          <w:color w:val="auto"/>
          <w:spacing w:val="-13"/>
          <w:sz w:val="19"/>
          <w:szCs w:val="19"/>
          <w:highlight w:val="none"/>
        </w:rPr>
        <w:t xml:space="preserve"> </w:t>
      </w:r>
      <w:r>
        <w:rPr>
          <w:rFonts w:ascii="宋体" w:hAnsi="宋体" w:eastAsia="宋体" w:cs="宋体"/>
          <w:color w:val="auto"/>
          <w:spacing w:val="8"/>
          <w:sz w:val="19"/>
          <w:szCs w:val="19"/>
          <w:highlight w:val="none"/>
        </w:rPr>
        <w:t>专用合同条款约定工程需要进行技术鉴定的，承包人应提交有关资料并完成配合工</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作。</w:t>
      </w:r>
    </w:p>
    <w:p w14:paraId="3256D12D">
      <w:pPr>
        <w:spacing w:before="30" w:line="337" w:lineRule="auto"/>
        <w:ind w:left="28" w:right="67" w:firstLine="45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18.7.4</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竣工验收需要进行质量检测的，所需费用由发包人承担，</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但因承包人原因造成质量</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不合格的除外。</w:t>
      </w:r>
    </w:p>
    <w:p w14:paraId="6DAEF856">
      <w:pPr>
        <w:spacing w:before="25" w:line="328" w:lineRule="auto"/>
        <w:ind w:left="32" w:right="67" w:firstLine="44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18.7.5</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工程质量保修期满以及竣工验收遗留问题和尾工处理完成并通过验收后，发包人负</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责将处理情况和验收成果报送竣工验收主持单位，</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申请领取工程竣工证书，并发送承包人。</w:t>
      </w:r>
    </w:p>
    <w:p w14:paraId="60A9344E">
      <w:pPr>
        <w:spacing w:before="100"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18.8</w:t>
      </w:r>
      <w:r>
        <w:rPr>
          <w:rFonts w:ascii="宋体" w:hAnsi="宋体" w:eastAsia="宋体" w:cs="宋体"/>
          <w:color w:val="auto"/>
          <w:spacing w:val="-56"/>
          <w:sz w:val="28"/>
          <w:szCs w:val="28"/>
          <w:highlight w:val="none"/>
        </w:rPr>
        <w:t xml:space="preserve"> </w:t>
      </w:r>
      <w:r>
        <w:rPr>
          <w:rFonts w:ascii="宋体" w:hAnsi="宋体" w:eastAsia="宋体" w:cs="宋体"/>
          <w:b/>
          <w:bCs/>
          <w:color w:val="auto"/>
          <w:spacing w:val="-7"/>
          <w:sz w:val="28"/>
          <w:szCs w:val="28"/>
          <w:highlight w:val="none"/>
        </w:rPr>
        <w:t>施工期运行</w:t>
      </w:r>
    </w:p>
    <w:p w14:paraId="0D5913EE">
      <w:pPr>
        <w:spacing w:line="297" w:lineRule="auto"/>
        <w:rPr>
          <w:rFonts w:ascii="Arial"/>
          <w:color w:val="auto"/>
          <w:sz w:val="21"/>
          <w:highlight w:val="none"/>
        </w:rPr>
      </w:pPr>
    </w:p>
    <w:p w14:paraId="5E15F0B4">
      <w:pPr>
        <w:spacing w:before="62" w:line="329" w:lineRule="auto"/>
        <w:ind w:left="24" w:right="12" w:firstLine="454"/>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18.8.1</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施工期运行是指合同工程尚未全部完工，其中某单位工程或部分工程已完工, 需要</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投入施工期运行的，经发包人按第</w:t>
      </w:r>
      <w:r>
        <w:rPr>
          <w:rFonts w:ascii="宋体" w:hAnsi="宋体" w:eastAsia="宋体" w:cs="宋体"/>
          <w:color w:val="auto"/>
          <w:spacing w:val="-16"/>
          <w:sz w:val="19"/>
          <w:szCs w:val="19"/>
          <w:highlight w:val="none"/>
        </w:rPr>
        <w:t xml:space="preserve"> </w:t>
      </w:r>
      <w:r>
        <w:rPr>
          <w:rFonts w:ascii="宋体" w:hAnsi="宋体" w:eastAsia="宋体" w:cs="宋体"/>
          <w:color w:val="auto"/>
          <w:spacing w:val="6"/>
          <w:sz w:val="19"/>
          <w:szCs w:val="19"/>
          <w:highlight w:val="none"/>
        </w:rPr>
        <w:t>18. 2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款或第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6"/>
          <w:sz w:val="19"/>
          <w:szCs w:val="19"/>
          <w:highlight w:val="none"/>
        </w:rPr>
        <w:t>18. 3</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款的约定验收合格，证明能确保安全后，</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才能在施工期投入运行。需要在施工期运行的单位工程或部分工程在专用</w:t>
      </w:r>
      <w:r>
        <w:rPr>
          <w:rFonts w:ascii="宋体" w:hAnsi="宋体" w:eastAsia="宋体" w:cs="宋体"/>
          <w:color w:val="auto"/>
          <w:spacing w:val="8"/>
          <w:sz w:val="19"/>
          <w:szCs w:val="19"/>
          <w:highlight w:val="none"/>
        </w:rPr>
        <w:t>合同条款中约定。</w:t>
      </w:r>
    </w:p>
    <w:p w14:paraId="42132393">
      <w:pPr>
        <w:spacing w:before="52" w:line="344" w:lineRule="auto"/>
        <w:ind w:left="30" w:right="61" w:firstLine="44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18.8.2</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在施工期运行中发现工程或工程设备损</w:t>
      </w:r>
      <w:r>
        <w:rPr>
          <w:rFonts w:ascii="宋体" w:hAnsi="宋体" w:eastAsia="宋体" w:cs="宋体"/>
          <w:color w:val="auto"/>
          <w:spacing w:val="5"/>
          <w:sz w:val="19"/>
          <w:szCs w:val="19"/>
          <w:highlight w:val="none"/>
        </w:rPr>
        <w:t>坏或存在缺陷的，</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由承包人按第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19.</w:t>
      </w:r>
      <w:r>
        <w:rPr>
          <w:rFonts w:ascii="宋体" w:hAnsi="宋体" w:eastAsia="宋体" w:cs="宋体"/>
          <w:color w:val="auto"/>
          <w:spacing w:val="-28"/>
          <w:sz w:val="19"/>
          <w:szCs w:val="19"/>
          <w:highlight w:val="none"/>
        </w:rPr>
        <w:t xml:space="preserve"> </w:t>
      </w:r>
      <w:r>
        <w:rPr>
          <w:rFonts w:ascii="宋体" w:hAnsi="宋体" w:eastAsia="宋体" w:cs="宋体"/>
          <w:color w:val="auto"/>
          <w:spacing w:val="5"/>
          <w:sz w:val="19"/>
          <w:szCs w:val="19"/>
          <w:highlight w:val="none"/>
        </w:rPr>
        <w:t>2 款约</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定进行修复。</w:t>
      </w:r>
    </w:p>
    <w:p w14:paraId="3100E444">
      <w:pPr>
        <w:spacing w:before="85" w:line="221"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18.9</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8"/>
          <w:sz w:val="28"/>
          <w:szCs w:val="28"/>
          <w:highlight w:val="none"/>
        </w:rPr>
        <w:t>试运行</w:t>
      </w:r>
    </w:p>
    <w:p w14:paraId="575E1C89">
      <w:pPr>
        <w:spacing w:line="293" w:lineRule="auto"/>
        <w:rPr>
          <w:rFonts w:ascii="Arial"/>
          <w:color w:val="auto"/>
          <w:sz w:val="21"/>
          <w:highlight w:val="none"/>
        </w:rPr>
      </w:pPr>
    </w:p>
    <w:p w14:paraId="64DFB77F">
      <w:pPr>
        <w:spacing w:before="63" w:line="325" w:lineRule="auto"/>
        <w:ind w:left="25" w:right="63"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18.9.1</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承包人应按规定进行工程及工程设备试运</w:t>
      </w:r>
      <w:r>
        <w:rPr>
          <w:rFonts w:ascii="宋体" w:hAnsi="宋体" w:eastAsia="宋体" w:cs="宋体"/>
          <w:color w:val="auto"/>
          <w:spacing w:val="6"/>
          <w:sz w:val="19"/>
          <w:szCs w:val="19"/>
          <w:highlight w:val="none"/>
        </w:rPr>
        <w:t>行, 负责提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供试运行所需的人员、器材和必要的条件，</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并承担全部试运行费用。</w:t>
      </w:r>
    </w:p>
    <w:p w14:paraId="5818B779">
      <w:pPr>
        <w:spacing w:before="49" w:line="352" w:lineRule="auto"/>
        <w:ind w:left="25" w:right="61" w:firstLine="44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18.9.2 由于承包人的原因导致试运行失败的，承包人应采取措施</w:t>
      </w:r>
      <w:r>
        <w:rPr>
          <w:rFonts w:ascii="宋体" w:hAnsi="宋体" w:eastAsia="宋体" w:cs="宋体"/>
          <w:color w:val="auto"/>
          <w:spacing w:val="7"/>
          <w:sz w:val="19"/>
          <w:szCs w:val="19"/>
          <w:highlight w:val="none"/>
        </w:rPr>
        <w:t>保证试运行合格, 并承担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相应费用。由于发包人的原因导致试运行失败的，承包人应当采取措施保证试运行合格，发包</w:t>
      </w:r>
      <w:r>
        <w:rPr>
          <w:rFonts w:ascii="宋体" w:hAnsi="宋体" w:eastAsia="宋体" w:cs="宋体"/>
          <w:color w:val="auto"/>
          <w:spacing w:val="3"/>
          <w:sz w:val="19"/>
          <w:szCs w:val="19"/>
          <w:highlight w:val="none"/>
        </w:rPr>
        <w:t xml:space="preserve"> </w:t>
      </w:r>
      <w:r>
        <w:rPr>
          <w:rFonts w:ascii="宋体" w:hAnsi="宋体" w:eastAsia="宋体" w:cs="宋体"/>
          <w:color w:val="auto"/>
          <w:spacing w:val="9"/>
          <w:sz w:val="19"/>
          <w:szCs w:val="19"/>
          <w:highlight w:val="none"/>
        </w:rPr>
        <w:t>人应承担由此产生的费用，并支付承包人合理利润。</w:t>
      </w:r>
    </w:p>
    <w:p w14:paraId="3A5C1806">
      <w:pPr>
        <w:spacing w:line="352" w:lineRule="auto"/>
        <w:rPr>
          <w:rFonts w:ascii="宋体" w:hAnsi="宋体" w:eastAsia="宋体" w:cs="宋体"/>
          <w:color w:val="auto"/>
          <w:sz w:val="19"/>
          <w:szCs w:val="19"/>
          <w:highlight w:val="none"/>
        </w:rPr>
        <w:sectPr>
          <w:footerReference r:id="rId103" w:type="default"/>
          <w:pgSz w:w="11900" w:h="16832"/>
          <w:pgMar w:top="1423" w:right="1739" w:bottom="1188" w:left="1784" w:header="0" w:footer="980" w:gutter="0"/>
          <w:pgNumType w:fmt="decimal"/>
          <w:cols w:space="720" w:num="1"/>
        </w:sectPr>
      </w:pPr>
    </w:p>
    <w:p w14:paraId="2D6FCA78">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18.10</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6"/>
          <w:sz w:val="28"/>
          <w:szCs w:val="28"/>
          <w:highlight w:val="none"/>
        </w:rPr>
        <w:t>竣工（完工）清场</w:t>
      </w:r>
    </w:p>
    <w:p w14:paraId="43C98043">
      <w:pPr>
        <w:spacing w:line="298" w:lineRule="auto"/>
        <w:rPr>
          <w:rFonts w:ascii="Arial"/>
          <w:color w:val="auto"/>
          <w:sz w:val="21"/>
          <w:highlight w:val="none"/>
        </w:rPr>
      </w:pPr>
    </w:p>
    <w:p w14:paraId="79A61D3E">
      <w:pPr>
        <w:spacing w:before="62" w:line="331" w:lineRule="auto"/>
        <w:ind w:left="44" w:right="10" w:firstLine="43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18.10.1</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工程项目竣工（完工）清场的工作范围和内容在技术标准和要</w:t>
      </w:r>
      <w:r>
        <w:rPr>
          <w:rFonts w:ascii="宋体" w:hAnsi="宋体" w:eastAsia="宋体" w:cs="宋体"/>
          <w:color w:val="auto"/>
          <w:spacing w:val="7"/>
          <w:sz w:val="19"/>
          <w:szCs w:val="19"/>
          <w:highlight w:val="none"/>
        </w:rPr>
        <w:t>求（合同技术条款）</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中约定。</w:t>
      </w:r>
    </w:p>
    <w:p w14:paraId="54E33417">
      <w:pPr>
        <w:spacing w:before="34" w:line="337" w:lineRule="auto"/>
        <w:ind w:left="24" w:right="88" w:firstLine="45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18.10.2</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承包未按监理人的要求恢复临时占地，或者场地清理未达到合同约定的，发包人有</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权委托其它人恢复或清理，所发生的金额从拟支付给承包人</w:t>
      </w:r>
      <w:r>
        <w:rPr>
          <w:rFonts w:ascii="宋体" w:hAnsi="宋体" w:eastAsia="宋体" w:cs="宋体"/>
          <w:color w:val="auto"/>
          <w:spacing w:val="8"/>
          <w:sz w:val="19"/>
          <w:szCs w:val="19"/>
          <w:highlight w:val="none"/>
        </w:rPr>
        <w:t>的款项中扣除。</w:t>
      </w:r>
    </w:p>
    <w:p w14:paraId="6B650451">
      <w:pPr>
        <w:spacing w:before="193" w:line="221"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18.11</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施工队伍的撤离</w:t>
      </w:r>
    </w:p>
    <w:p w14:paraId="7DB0EB87">
      <w:pPr>
        <w:spacing w:line="297" w:lineRule="auto"/>
        <w:rPr>
          <w:rFonts w:ascii="Arial"/>
          <w:color w:val="auto"/>
          <w:sz w:val="21"/>
          <w:highlight w:val="none"/>
        </w:rPr>
      </w:pPr>
    </w:p>
    <w:p w14:paraId="71CCFA09">
      <w:pPr>
        <w:spacing w:before="62" w:line="338" w:lineRule="auto"/>
        <w:ind w:left="26" w:firstLine="419"/>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合同工程完工证书颁发后的</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56</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天内，除了经监理人同意需在缺陷责任期（工程质量保修期）</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内继续工作和使用的人员、施工设备和临时工程外，其余的人员、施工设备和临时工程均应撤</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离施工场地或拆除。除合同另有约定外，缺陷责任期（工程质量保修期）满</w:t>
      </w:r>
      <w:r>
        <w:rPr>
          <w:rFonts w:ascii="宋体" w:hAnsi="宋体" w:eastAsia="宋体" w:cs="宋体"/>
          <w:color w:val="auto"/>
          <w:spacing w:val="11"/>
          <w:sz w:val="19"/>
          <w:szCs w:val="19"/>
          <w:highlight w:val="none"/>
        </w:rPr>
        <w:t>时, 承包人的人员</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和施工设备应全部撤离施工场地。</w:t>
      </w:r>
    </w:p>
    <w:p w14:paraId="517851F5">
      <w:pPr>
        <w:spacing w:before="265"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19.</w:t>
      </w:r>
      <w:r>
        <w:rPr>
          <w:rFonts w:ascii="宋体" w:hAnsi="宋体" w:eastAsia="宋体" w:cs="宋体"/>
          <w:b/>
          <w:bCs/>
          <w:color w:val="auto"/>
          <w:spacing w:val="4"/>
          <w:sz w:val="31"/>
          <w:szCs w:val="31"/>
          <w:highlight w:val="none"/>
        </w:rPr>
        <w:t>缺陷责任与保修责任</w:t>
      </w:r>
    </w:p>
    <w:p w14:paraId="0FC1CA55">
      <w:pPr>
        <w:spacing w:line="249" w:lineRule="auto"/>
        <w:rPr>
          <w:rFonts w:ascii="Arial"/>
          <w:color w:val="auto"/>
          <w:sz w:val="21"/>
          <w:highlight w:val="none"/>
        </w:rPr>
      </w:pPr>
    </w:p>
    <w:p w14:paraId="21E8BE8D">
      <w:pPr>
        <w:spacing w:line="250" w:lineRule="auto"/>
        <w:rPr>
          <w:rFonts w:ascii="Arial"/>
          <w:color w:val="auto"/>
          <w:sz w:val="21"/>
          <w:highlight w:val="none"/>
        </w:rPr>
      </w:pPr>
    </w:p>
    <w:p w14:paraId="5E8461E7">
      <w:pPr>
        <w:spacing w:before="92" w:line="220" w:lineRule="auto"/>
        <w:ind w:left="49"/>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19.1</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4"/>
          <w:sz w:val="28"/>
          <w:szCs w:val="28"/>
          <w:highlight w:val="none"/>
        </w:rPr>
        <w:t>缺陷责任期（工程质量保修期）的起算时间</w:t>
      </w:r>
    </w:p>
    <w:p w14:paraId="025FD761">
      <w:pPr>
        <w:spacing w:line="299" w:lineRule="auto"/>
        <w:rPr>
          <w:rFonts w:ascii="Arial"/>
          <w:color w:val="auto"/>
          <w:sz w:val="21"/>
          <w:highlight w:val="none"/>
        </w:rPr>
      </w:pPr>
    </w:p>
    <w:p w14:paraId="6A0F7F2A">
      <w:pPr>
        <w:spacing w:before="62" w:line="338" w:lineRule="auto"/>
        <w:ind w:left="24" w:right="80" w:firstLine="451"/>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 xml:space="preserve">除专用合同条款另有约定外，缺陷责任期（工程质量保修期）从工程通过合同工程完 工验 </w:t>
      </w:r>
      <w:r>
        <w:rPr>
          <w:rFonts w:ascii="宋体" w:hAnsi="宋体" w:eastAsia="宋体" w:cs="宋体"/>
          <w:color w:val="auto"/>
          <w:spacing w:val="11"/>
          <w:sz w:val="19"/>
          <w:szCs w:val="19"/>
          <w:highlight w:val="none"/>
        </w:rPr>
        <w:t>收后开始计算。在合同工程完工验收前，</w:t>
      </w:r>
      <w:r>
        <w:rPr>
          <w:rFonts w:ascii="宋体" w:hAnsi="宋体" w:eastAsia="宋体" w:cs="宋体"/>
          <w:color w:val="auto"/>
          <w:spacing w:val="-52"/>
          <w:sz w:val="19"/>
          <w:szCs w:val="19"/>
          <w:highlight w:val="none"/>
        </w:rPr>
        <w:t xml:space="preserve"> </w:t>
      </w:r>
      <w:r>
        <w:rPr>
          <w:rFonts w:ascii="宋体" w:hAnsi="宋体" w:eastAsia="宋体" w:cs="宋体"/>
          <w:color w:val="auto"/>
          <w:spacing w:val="11"/>
          <w:sz w:val="19"/>
          <w:szCs w:val="19"/>
          <w:highlight w:val="none"/>
        </w:rPr>
        <w:t>已经发包人提前验收的单位工程或部</w:t>
      </w:r>
      <w:r>
        <w:rPr>
          <w:rFonts w:ascii="宋体" w:hAnsi="宋体" w:eastAsia="宋体" w:cs="宋体"/>
          <w:color w:val="auto"/>
          <w:spacing w:val="10"/>
          <w:sz w:val="19"/>
          <w:szCs w:val="19"/>
          <w:highlight w:val="none"/>
        </w:rPr>
        <w:t>分工程, 若未投</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入使用，其缺陷责任期（工程质量保修期）亦从工程通过合同工程完工验收后开始</w:t>
      </w:r>
      <w:r>
        <w:rPr>
          <w:rFonts w:ascii="宋体" w:hAnsi="宋体" w:eastAsia="宋体" w:cs="宋体"/>
          <w:color w:val="auto"/>
          <w:spacing w:val="11"/>
          <w:sz w:val="19"/>
          <w:szCs w:val="19"/>
          <w:highlight w:val="none"/>
        </w:rPr>
        <w:t>计算；若已</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投入使用，其缺陷责任期（工程质量保修期）从通过单位工程或部分工程投入使用验收后开始</w:t>
      </w:r>
      <w:r>
        <w:rPr>
          <w:rFonts w:ascii="宋体" w:hAnsi="宋体" w:eastAsia="宋体" w:cs="宋体"/>
          <w:color w:val="auto"/>
          <w:spacing w:val="2"/>
          <w:sz w:val="19"/>
          <w:szCs w:val="19"/>
          <w:highlight w:val="none"/>
        </w:rPr>
        <w:t xml:space="preserve"> </w:t>
      </w:r>
      <w:r>
        <w:rPr>
          <w:rFonts w:ascii="宋体" w:hAnsi="宋体" w:eastAsia="宋体" w:cs="宋体"/>
          <w:color w:val="auto"/>
          <w:spacing w:val="8"/>
          <w:sz w:val="19"/>
          <w:szCs w:val="19"/>
          <w:highlight w:val="none"/>
        </w:rPr>
        <w:t>计算。缺陷责任期（工程质量保修期）的期限在专用合同条款中约定。</w:t>
      </w:r>
    </w:p>
    <w:p w14:paraId="2B9D88A6">
      <w:pPr>
        <w:spacing w:before="118"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19.2</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7"/>
          <w:sz w:val="28"/>
          <w:szCs w:val="28"/>
          <w:highlight w:val="none"/>
        </w:rPr>
        <w:t>缺陷责任</w:t>
      </w:r>
    </w:p>
    <w:p w14:paraId="24681914">
      <w:pPr>
        <w:spacing w:before="282" w:line="228" w:lineRule="auto"/>
        <w:ind w:left="47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19.2.</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承包人应在缺陷责任期内对已交付使用的工程承担缺陷责任。</w:t>
      </w:r>
    </w:p>
    <w:p w14:paraId="4848EA4C">
      <w:pPr>
        <w:spacing w:before="265" w:line="341" w:lineRule="auto"/>
        <w:ind w:left="31" w:right="86" w:firstLine="448"/>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19.2.2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缺陷责任期内，发包人对已接收使用的工程负责日常维护工作。发包人在使用过程</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中，发现已接收的工程存在新的缺陷或已修复的缺陷部位或部件又遭</w:t>
      </w:r>
      <w:r>
        <w:rPr>
          <w:rFonts w:ascii="宋体" w:hAnsi="宋体" w:eastAsia="宋体" w:cs="宋体"/>
          <w:color w:val="auto"/>
          <w:spacing w:val="11"/>
          <w:sz w:val="19"/>
          <w:szCs w:val="19"/>
          <w:highlight w:val="none"/>
        </w:rPr>
        <w:t>损坏的，承包人应负责修</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复，直至检验合格为止。</w:t>
      </w:r>
    </w:p>
    <w:p w14:paraId="3741A544">
      <w:pPr>
        <w:spacing w:before="30" w:line="338" w:lineRule="auto"/>
        <w:ind w:left="25" w:right="34" w:firstLine="453"/>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19.2.3</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监理人和承包人应共同查清缺陷和（或）损坏的原因。经查明属承包人原因造成的，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应由承包人承担修复和查验的费用。经查验属发包人原因造成的，发包人应承担修复和查验的</w:t>
      </w:r>
      <w:r>
        <w:rPr>
          <w:rFonts w:ascii="宋体" w:hAnsi="宋体" w:eastAsia="宋体" w:cs="宋体"/>
          <w:color w:val="auto"/>
          <w:spacing w:val="1"/>
          <w:sz w:val="19"/>
          <w:szCs w:val="19"/>
          <w:highlight w:val="none"/>
        </w:rPr>
        <w:t xml:space="preserve"> </w:t>
      </w:r>
      <w:r>
        <w:rPr>
          <w:rFonts w:ascii="宋体" w:hAnsi="宋体" w:eastAsia="宋体" w:cs="宋体"/>
          <w:color w:val="auto"/>
          <w:spacing w:val="7"/>
          <w:sz w:val="19"/>
          <w:szCs w:val="19"/>
          <w:highlight w:val="none"/>
        </w:rPr>
        <w:t>费用，并支付承包人合理利润。</w:t>
      </w:r>
    </w:p>
    <w:p w14:paraId="5E755CE2">
      <w:pPr>
        <w:spacing w:before="33" w:line="330" w:lineRule="auto"/>
        <w:ind w:left="36" w:right="80" w:firstLine="44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19.2.4</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承包人不能在合理时间内修复缺陷的，发包人可自行修复或委托其他人修复, 所需</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费用和利润的承担，按第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19. 2. 3</w:t>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项约定办理。</w:t>
      </w:r>
    </w:p>
    <w:p w14:paraId="2C36E847">
      <w:pPr>
        <w:spacing w:before="119"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19.3</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缺陷责任期的延长</w:t>
      </w:r>
    </w:p>
    <w:p w14:paraId="5F562CD0">
      <w:pPr>
        <w:spacing w:line="288" w:lineRule="auto"/>
        <w:rPr>
          <w:rFonts w:ascii="Arial"/>
          <w:color w:val="auto"/>
          <w:sz w:val="21"/>
          <w:highlight w:val="none"/>
        </w:rPr>
      </w:pPr>
    </w:p>
    <w:p w14:paraId="4B4178EA">
      <w:pPr>
        <w:spacing w:before="63" w:line="324" w:lineRule="auto"/>
        <w:ind w:left="26" w:right="84" w:firstLine="462"/>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由于承包人原因造成某项缺陷或损坏使某项</w:t>
      </w:r>
      <w:r>
        <w:rPr>
          <w:rFonts w:ascii="宋体" w:hAnsi="宋体" w:eastAsia="宋体" w:cs="宋体"/>
          <w:color w:val="auto"/>
          <w:spacing w:val="10"/>
          <w:sz w:val="19"/>
          <w:szCs w:val="19"/>
          <w:highlight w:val="none"/>
        </w:rPr>
        <w:t>工程或工程设备不能按原定目标使用而需要再</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次检查、检验和修复的，发包人有权要求承包人相应延长缺陷责任期，但缺陷责</w:t>
      </w:r>
      <w:r>
        <w:rPr>
          <w:rFonts w:ascii="宋体" w:hAnsi="宋体" w:eastAsia="宋体" w:cs="宋体"/>
          <w:color w:val="auto"/>
          <w:spacing w:val="11"/>
          <w:sz w:val="19"/>
          <w:szCs w:val="19"/>
          <w:highlight w:val="none"/>
        </w:rPr>
        <w:t>任期最长不超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过</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年。</w:t>
      </w:r>
    </w:p>
    <w:p w14:paraId="5230EAF5">
      <w:pPr>
        <w:spacing w:line="324" w:lineRule="auto"/>
        <w:rPr>
          <w:rFonts w:ascii="宋体" w:hAnsi="宋体" w:eastAsia="宋体" w:cs="宋体"/>
          <w:color w:val="auto"/>
          <w:sz w:val="19"/>
          <w:szCs w:val="19"/>
          <w:highlight w:val="none"/>
        </w:rPr>
        <w:sectPr>
          <w:footerReference r:id="rId104" w:type="default"/>
          <w:pgSz w:w="11900" w:h="16832"/>
          <w:pgMar w:top="1423" w:right="1719" w:bottom="1188" w:left="1784" w:header="0" w:footer="980" w:gutter="0"/>
          <w:pgNumType w:fmt="decimal"/>
          <w:cols w:space="720" w:num="1"/>
        </w:sectPr>
      </w:pPr>
    </w:p>
    <w:p w14:paraId="4E37ECDF">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19.4</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进一步试验和试运行</w:t>
      </w:r>
    </w:p>
    <w:p w14:paraId="5F7D353E">
      <w:pPr>
        <w:spacing w:line="303" w:lineRule="auto"/>
        <w:rPr>
          <w:rFonts w:ascii="Arial"/>
          <w:color w:val="auto"/>
          <w:sz w:val="21"/>
          <w:highlight w:val="none"/>
        </w:rPr>
      </w:pPr>
    </w:p>
    <w:p w14:paraId="35256549">
      <w:pPr>
        <w:spacing w:before="61" w:line="333" w:lineRule="auto"/>
        <w:ind w:left="26" w:right="64" w:firstLine="437"/>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任何一项缺陷或损坏修复后，经检查证明其影响了工程或工程设备的使用性能，承包人应</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重新进行合同约定的试验和试运行，</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试验和试运行的全部费用应由责任</w:t>
      </w:r>
      <w:r>
        <w:rPr>
          <w:rFonts w:ascii="宋体" w:hAnsi="宋体" w:eastAsia="宋体" w:cs="宋体"/>
          <w:color w:val="auto"/>
          <w:spacing w:val="7"/>
          <w:sz w:val="19"/>
          <w:szCs w:val="19"/>
          <w:highlight w:val="none"/>
        </w:rPr>
        <w:t>方承担。</w:t>
      </w:r>
    </w:p>
    <w:p w14:paraId="35848941">
      <w:pPr>
        <w:spacing w:before="118"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19.5</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承包人的进入权</w:t>
      </w:r>
    </w:p>
    <w:p w14:paraId="2731E8D6">
      <w:pPr>
        <w:spacing w:line="303" w:lineRule="auto"/>
        <w:rPr>
          <w:rFonts w:ascii="Arial"/>
          <w:color w:val="auto"/>
          <w:sz w:val="21"/>
          <w:highlight w:val="none"/>
        </w:rPr>
      </w:pPr>
    </w:p>
    <w:p w14:paraId="0303E9C7">
      <w:pPr>
        <w:spacing w:before="62" w:line="338" w:lineRule="auto"/>
        <w:ind w:left="26" w:right="64" w:firstLine="438"/>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缺陷责任期内承包人为缺陷修复工作需要，有权进入工程现场，但应遵守发包人的保安和</w:t>
      </w:r>
      <w:r>
        <w:rPr>
          <w:rFonts w:ascii="宋体" w:hAnsi="宋体" w:eastAsia="宋体" w:cs="宋体"/>
          <w:color w:val="auto"/>
          <w:spacing w:val="5"/>
          <w:sz w:val="19"/>
          <w:szCs w:val="19"/>
          <w:highlight w:val="none"/>
        </w:rPr>
        <w:t xml:space="preserve"> 保密规定。</w:t>
      </w:r>
    </w:p>
    <w:p w14:paraId="448B1239">
      <w:pPr>
        <w:spacing w:before="113" w:line="219" w:lineRule="auto"/>
        <w:ind w:left="49"/>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19.6</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4"/>
          <w:sz w:val="28"/>
          <w:szCs w:val="28"/>
          <w:highlight w:val="none"/>
        </w:rPr>
        <w:t>缺陷责任期终止证书（工程质量保修责</w:t>
      </w:r>
      <w:r>
        <w:rPr>
          <w:rFonts w:ascii="宋体" w:hAnsi="宋体" w:eastAsia="宋体" w:cs="宋体"/>
          <w:b/>
          <w:bCs/>
          <w:color w:val="auto"/>
          <w:spacing w:val="-5"/>
          <w:sz w:val="28"/>
          <w:szCs w:val="28"/>
          <w:highlight w:val="none"/>
        </w:rPr>
        <w:t>任终止证书）</w:t>
      </w:r>
    </w:p>
    <w:p w14:paraId="34F62CD0">
      <w:pPr>
        <w:spacing w:line="305" w:lineRule="auto"/>
        <w:rPr>
          <w:rFonts w:ascii="Arial"/>
          <w:color w:val="auto"/>
          <w:sz w:val="21"/>
          <w:highlight w:val="none"/>
        </w:rPr>
      </w:pPr>
    </w:p>
    <w:p w14:paraId="187CD8C4">
      <w:pPr>
        <w:spacing w:before="63" w:line="337" w:lineRule="auto"/>
        <w:ind w:left="26" w:right="64" w:firstLine="43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合同工程完工验收后，发包人与承包人应办理工程交接手续，承包人应向发包人递交工程</w:t>
      </w:r>
      <w:r>
        <w:rPr>
          <w:rFonts w:ascii="宋体" w:hAnsi="宋体" w:eastAsia="宋体" w:cs="宋体"/>
          <w:color w:val="auto"/>
          <w:spacing w:val="4"/>
          <w:sz w:val="19"/>
          <w:szCs w:val="19"/>
          <w:highlight w:val="none"/>
        </w:rPr>
        <w:t xml:space="preserve"> </w:t>
      </w:r>
      <w:r>
        <w:rPr>
          <w:rFonts w:ascii="宋体" w:hAnsi="宋体" w:eastAsia="宋体" w:cs="宋体"/>
          <w:color w:val="auto"/>
          <w:spacing w:val="3"/>
          <w:sz w:val="19"/>
          <w:szCs w:val="19"/>
          <w:highlight w:val="none"/>
        </w:rPr>
        <w:t>质量保修书。</w:t>
      </w:r>
    </w:p>
    <w:p w14:paraId="0ED1A86F">
      <w:pPr>
        <w:spacing w:before="30" w:line="335" w:lineRule="auto"/>
        <w:ind w:left="32" w:firstLine="43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缺陷责任期（工程质量保修期）满后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30</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个工作日内，发包人应向承</w:t>
      </w:r>
      <w:r>
        <w:rPr>
          <w:rFonts w:ascii="宋体" w:hAnsi="宋体" w:eastAsia="宋体" w:cs="宋体"/>
          <w:color w:val="auto"/>
          <w:spacing w:val="7"/>
          <w:sz w:val="19"/>
          <w:szCs w:val="19"/>
          <w:highlight w:val="none"/>
        </w:rPr>
        <w:t>包人颁发工程质量保修</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责任终止证书，</w:t>
      </w:r>
      <w:r>
        <w:rPr>
          <w:rFonts w:ascii="宋体" w:hAnsi="宋体" w:eastAsia="宋体" w:cs="宋体"/>
          <w:color w:val="auto"/>
          <w:spacing w:val="-55"/>
          <w:sz w:val="19"/>
          <w:szCs w:val="19"/>
          <w:highlight w:val="none"/>
        </w:rPr>
        <w:t xml:space="preserve"> </w:t>
      </w:r>
      <w:r>
        <w:rPr>
          <w:rFonts w:ascii="宋体" w:hAnsi="宋体" w:eastAsia="宋体" w:cs="宋体"/>
          <w:color w:val="auto"/>
          <w:spacing w:val="8"/>
          <w:sz w:val="19"/>
          <w:szCs w:val="19"/>
          <w:highlight w:val="none"/>
        </w:rPr>
        <w:t>并退还剩余的质量保证金，但保修责任范围</w:t>
      </w:r>
      <w:r>
        <w:rPr>
          <w:rFonts w:ascii="宋体" w:hAnsi="宋体" w:eastAsia="宋体" w:cs="宋体"/>
          <w:color w:val="auto"/>
          <w:spacing w:val="7"/>
          <w:sz w:val="19"/>
          <w:szCs w:val="19"/>
          <w:highlight w:val="none"/>
        </w:rPr>
        <w:t>内的质量缺陷未处理完成的应除外。</w:t>
      </w:r>
    </w:p>
    <w:p w14:paraId="1FF69346">
      <w:pPr>
        <w:spacing w:before="115"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19.7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保修责任</w:t>
      </w:r>
    </w:p>
    <w:p w14:paraId="24698F24">
      <w:pPr>
        <w:spacing w:line="295" w:lineRule="auto"/>
        <w:rPr>
          <w:rFonts w:ascii="Arial"/>
          <w:color w:val="auto"/>
          <w:sz w:val="21"/>
          <w:highlight w:val="none"/>
        </w:rPr>
      </w:pPr>
    </w:p>
    <w:p w14:paraId="38E0D257">
      <w:pPr>
        <w:spacing w:before="62" w:line="327" w:lineRule="auto"/>
        <w:ind w:left="26" w:right="15" w:firstLine="439"/>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合同当事人根据有关法律规定，在专用合同条款中约定工程质量保修范围、期限和责任。</w:t>
      </w:r>
      <w:r>
        <w:rPr>
          <w:rFonts w:ascii="宋体" w:hAnsi="宋体" w:eastAsia="宋体" w:cs="宋体"/>
          <w:color w:val="auto"/>
          <w:spacing w:val="4"/>
          <w:sz w:val="19"/>
          <w:szCs w:val="19"/>
          <w:highlight w:val="none"/>
        </w:rPr>
        <w:t xml:space="preserve">  </w:t>
      </w:r>
      <w:r>
        <w:rPr>
          <w:rFonts w:ascii="宋体" w:hAnsi="宋体" w:eastAsia="宋体" w:cs="宋体"/>
          <w:color w:val="auto"/>
          <w:spacing w:val="7"/>
          <w:sz w:val="19"/>
          <w:szCs w:val="19"/>
          <w:highlight w:val="none"/>
        </w:rPr>
        <w:t>保修期自实际完工验收日期起计算。在全部工程竣工验收前，</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已经发包人提前验收的单位工程，</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其保修期的起算日期相应提前。</w:t>
      </w:r>
    </w:p>
    <w:p w14:paraId="63E50482">
      <w:pPr>
        <w:spacing w:before="233" w:line="226" w:lineRule="auto"/>
        <w:ind w:left="34"/>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20.</w:t>
      </w:r>
      <w:r>
        <w:rPr>
          <w:rFonts w:ascii="宋体" w:hAnsi="宋体" w:eastAsia="宋体" w:cs="宋体"/>
          <w:b/>
          <w:bCs/>
          <w:color w:val="auto"/>
          <w:spacing w:val="2"/>
          <w:sz w:val="31"/>
          <w:szCs w:val="31"/>
          <w:highlight w:val="none"/>
        </w:rPr>
        <w:t>保险</w:t>
      </w:r>
    </w:p>
    <w:p w14:paraId="11815D99">
      <w:pPr>
        <w:spacing w:line="248" w:lineRule="auto"/>
        <w:rPr>
          <w:rFonts w:ascii="Arial"/>
          <w:color w:val="auto"/>
          <w:sz w:val="21"/>
          <w:highlight w:val="none"/>
        </w:rPr>
      </w:pPr>
    </w:p>
    <w:p w14:paraId="012D2148">
      <w:pPr>
        <w:spacing w:line="249" w:lineRule="auto"/>
        <w:rPr>
          <w:rFonts w:ascii="Arial"/>
          <w:color w:val="auto"/>
          <w:sz w:val="21"/>
          <w:highlight w:val="none"/>
        </w:rPr>
      </w:pPr>
    </w:p>
    <w:p w14:paraId="765F96D8">
      <w:pPr>
        <w:spacing w:before="92" w:line="221"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20.1</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6"/>
          <w:sz w:val="28"/>
          <w:szCs w:val="28"/>
          <w:highlight w:val="none"/>
        </w:rPr>
        <w:t>工程保险</w:t>
      </w:r>
    </w:p>
    <w:p w14:paraId="75F7CD10">
      <w:pPr>
        <w:spacing w:line="291" w:lineRule="auto"/>
        <w:rPr>
          <w:rFonts w:ascii="Arial"/>
          <w:color w:val="auto"/>
          <w:sz w:val="21"/>
          <w:highlight w:val="none"/>
        </w:rPr>
      </w:pPr>
    </w:p>
    <w:p w14:paraId="61FE2837">
      <w:pPr>
        <w:spacing w:before="62" w:line="328" w:lineRule="auto"/>
        <w:ind w:left="27" w:right="60" w:firstLine="449"/>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除专用合同条款另有约定外，承包人应以发包人和承包人的共同名义向双</w:t>
      </w:r>
      <w:r>
        <w:rPr>
          <w:rFonts w:ascii="宋体" w:hAnsi="宋体" w:eastAsia="宋体" w:cs="宋体"/>
          <w:color w:val="auto"/>
          <w:spacing w:val="10"/>
          <w:sz w:val="19"/>
          <w:szCs w:val="19"/>
          <w:highlight w:val="none"/>
        </w:rPr>
        <w:t>方同意的保险人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投保建筑工程一切险、安装工程一切险。其具体的投保内容、保险金额、保险费率、</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保险期限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等有关内容在专用合同条款中约定。</w:t>
      </w:r>
    </w:p>
    <w:p w14:paraId="2701FADB">
      <w:pPr>
        <w:spacing w:before="86"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20.2</w:t>
      </w:r>
      <w:r>
        <w:rPr>
          <w:rFonts w:ascii="宋体" w:hAnsi="宋体" w:eastAsia="宋体" w:cs="宋体"/>
          <w:color w:val="auto"/>
          <w:spacing w:val="-45"/>
          <w:sz w:val="28"/>
          <w:szCs w:val="28"/>
          <w:highlight w:val="none"/>
        </w:rPr>
        <w:t xml:space="preserve"> </w:t>
      </w:r>
      <w:r>
        <w:rPr>
          <w:rFonts w:ascii="宋体" w:hAnsi="宋体" w:eastAsia="宋体" w:cs="宋体"/>
          <w:b/>
          <w:bCs/>
          <w:color w:val="auto"/>
          <w:spacing w:val="-5"/>
          <w:sz w:val="28"/>
          <w:szCs w:val="28"/>
          <w:highlight w:val="none"/>
        </w:rPr>
        <w:t>人员工伤事故的保险</w:t>
      </w:r>
    </w:p>
    <w:p w14:paraId="3E5E1331">
      <w:pPr>
        <w:spacing w:line="302" w:lineRule="auto"/>
        <w:rPr>
          <w:rFonts w:ascii="Arial"/>
          <w:color w:val="auto"/>
          <w:sz w:val="21"/>
          <w:highlight w:val="none"/>
        </w:rPr>
      </w:pPr>
    </w:p>
    <w:p w14:paraId="471E840E">
      <w:pPr>
        <w:spacing w:before="62" w:line="228" w:lineRule="auto"/>
        <w:ind w:left="46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20.2.</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承包人员工伤事故的保险</w:t>
      </w:r>
    </w:p>
    <w:p w14:paraId="14852A8C">
      <w:pPr>
        <w:spacing w:before="117" w:line="328" w:lineRule="auto"/>
        <w:ind w:left="36" w:right="65" w:firstLine="42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承包人应依照有关法律规定参加工伤保险，为其履行合同所雇佣的全部人员，缴纳工 伤保</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险费，并要求其分包人也进行此项保险。</w:t>
      </w:r>
    </w:p>
    <w:p w14:paraId="79956F37">
      <w:pPr>
        <w:spacing w:before="36"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20. 2. 2</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发包人员工伤事故的保险</w:t>
      </w:r>
    </w:p>
    <w:p w14:paraId="64E9710C">
      <w:pPr>
        <w:spacing w:before="122" w:line="333" w:lineRule="auto"/>
        <w:ind w:left="36" w:right="64" w:firstLine="431"/>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发包人应依照有关法律规定参加工伤保险，为其现场机构雇佣的全部人员，缴纳工伤保险</w:t>
      </w:r>
      <w:r>
        <w:rPr>
          <w:rFonts w:ascii="宋体" w:hAnsi="宋体" w:eastAsia="宋体" w:cs="宋体"/>
          <w:color w:val="auto"/>
          <w:spacing w:val="1"/>
          <w:sz w:val="19"/>
          <w:szCs w:val="19"/>
          <w:highlight w:val="none"/>
        </w:rPr>
        <w:t xml:space="preserve"> </w:t>
      </w:r>
      <w:r>
        <w:rPr>
          <w:rFonts w:ascii="宋体" w:hAnsi="宋体" w:eastAsia="宋体" w:cs="宋体"/>
          <w:color w:val="auto"/>
          <w:spacing w:val="8"/>
          <w:sz w:val="19"/>
          <w:szCs w:val="19"/>
          <w:highlight w:val="none"/>
        </w:rPr>
        <w:t>费，并要求其监理人也进行此项保险。</w:t>
      </w:r>
    </w:p>
    <w:p w14:paraId="3DF9B8B1">
      <w:pPr>
        <w:spacing w:before="74"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20.3</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5"/>
          <w:sz w:val="28"/>
          <w:szCs w:val="28"/>
          <w:highlight w:val="none"/>
        </w:rPr>
        <w:t>人身意外伤害险</w:t>
      </w:r>
    </w:p>
    <w:p w14:paraId="1A3A41DC">
      <w:pPr>
        <w:spacing w:line="306" w:lineRule="auto"/>
        <w:rPr>
          <w:rFonts w:ascii="Arial"/>
          <w:color w:val="auto"/>
          <w:sz w:val="21"/>
          <w:highlight w:val="none"/>
        </w:rPr>
      </w:pPr>
    </w:p>
    <w:p w14:paraId="3CE25CBC">
      <w:pPr>
        <w:spacing w:before="61" w:line="228" w:lineRule="auto"/>
        <w:ind w:left="46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20.3.1</w:t>
      </w:r>
      <w:r>
        <w:rPr>
          <w:rFonts w:ascii="宋体" w:hAnsi="宋体" w:eastAsia="宋体" w:cs="宋体"/>
          <w:color w:val="auto"/>
          <w:spacing w:val="-11"/>
          <w:sz w:val="19"/>
          <w:szCs w:val="19"/>
          <w:highlight w:val="none"/>
        </w:rPr>
        <w:t xml:space="preserve"> </w:t>
      </w:r>
      <w:r>
        <w:rPr>
          <w:rFonts w:ascii="宋体" w:hAnsi="宋体" w:eastAsia="宋体" w:cs="宋体"/>
          <w:color w:val="auto"/>
          <w:spacing w:val="7"/>
          <w:sz w:val="19"/>
          <w:szCs w:val="19"/>
          <w:highlight w:val="none"/>
        </w:rPr>
        <w:t>发包人应在整个施工期间为其现场机构雇用的全部人员，</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投保人身意外伤害险，缴</w:t>
      </w:r>
    </w:p>
    <w:p w14:paraId="5D2598A5">
      <w:pPr>
        <w:spacing w:line="228" w:lineRule="auto"/>
        <w:rPr>
          <w:rFonts w:ascii="宋体" w:hAnsi="宋体" w:eastAsia="宋体" w:cs="宋体"/>
          <w:color w:val="auto"/>
          <w:sz w:val="19"/>
          <w:szCs w:val="19"/>
          <w:highlight w:val="none"/>
        </w:rPr>
        <w:sectPr>
          <w:footerReference r:id="rId105" w:type="default"/>
          <w:pgSz w:w="11900" w:h="16832"/>
          <w:pgMar w:top="1423" w:right="1739" w:bottom="1188" w:left="1784" w:header="0" w:footer="980" w:gutter="0"/>
          <w:pgNumType w:fmt="decimal"/>
          <w:cols w:space="720" w:num="1"/>
        </w:sectPr>
      </w:pPr>
    </w:p>
    <w:p w14:paraId="04A1B8E2">
      <w:pPr>
        <w:spacing w:before="127" w:line="228" w:lineRule="auto"/>
        <w:ind w:left="2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纳保险费，并要求其监理人也进行此项保险。</w:t>
      </w:r>
    </w:p>
    <w:p w14:paraId="393523A2">
      <w:pPr>
        <w:spacing w:before="132" w:line="342" w:lineRule="auto"/>
        <w:ind w:left="27" w:right="70" w:firstLine="43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20.3.2</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承包人应在整个施工期间为其</w:t>
      </w:r>
      <w:r>
        <w:rPr>
          <w:rFonts w:ascii="宋体" w:hAnsi="宋体" w:eastAsia="宋体" w:cs="宋体"/>
          <w:color w:val="auto"/>
          <w:spacing w:val="7"/>
          <w:sz w:val="19"/>
          <w:szCs w:val="19"/>
          <w:highlight w:val="none"/>
        </w:rPr>
        <w:t>现场机构雇用的全部人员，</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投保人身意外伤害险，缴</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纳保险费，并要求其分包人也进行此项保险。</w:t>
      </w:r>
    </w:p>
    <w:p w14:paraId="6A50BC8A">
      <w:pPr>
        <w:spacing w:before="68"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5"/>
          <w:sz w:val="28"/>
          <w:szCs w:val="28"/>
          <w:highlight w:val="none"/>
        </w:rPr>
        <w:t>第三者责任险</w:t>
      </w:r>
    </w:p>
    <w:p w14:paraId="4D978839">
      <w:pPr>
        <w:spacing w:line="302" w:lineRule="auto"/>
        <w:rPr>
          <w:rFonts w:ascii="Arial"/>
          <w:color w:val="auto"/>
          <w:sz w:val="21"/>
          <w:highlight w:val="none"/>
        </w:rPr>
      </w:pPr>
    </w:p>
    <w:p w14:paraId="2E75ADDB">
      <w:pPr>
        <w:spacing w:before="62" w:line="308" w:lineRule="auto"/>
        <w:ind w:left="26" w:right="72" w:firstLine="44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20.</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4.1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第三者责任系指在保险期内，对因工程意外事故造成的、依法应由被保险人负责的</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工地上及毗邻地区的第三者人身伤亡、疾病或财产损失（本工程除外</w:t>
      </w:r>
      <w:r>
        <w:rPr>
          <w:rFonts w:ascii="宋体" w:hAnsi="宋体" w:eastAsia="宋体" w:cs="宋体"/>
          <w:color w:val="auto"/>
          <w:spacing w:val="-11"/>
          <w:sz w:val="19"/>
          <w:szCs w:val="19"/>
          <w:highlight w:val="none"/>
        </w:rPr>
        <w:t>）</w:t>
      </w:r>
      <w:r>
        <w:rPr>
          <w:rFonts w:ascii="宋体" w:hAnsi="宋体" w:eastAsia="宋体" w:cs="宋体"/>
          <w:color w:val="auto"/>
          <w:spacing w:val="-55"/>
          <w:sz w:val="19"/>
          <w:szCs w:val="19"/>
          <w:highlight w:val="none"/>
        </w:rPr>
        <w:t xml:space="preserve"> </w:t>
      </w:r>
      <w:r>
        <w:rPr>
          <w:rFonts w:ascii="宋体" w:hAnsi="宋体" w:eastAsia="宋体" w:cs="宋体"/>
          <w:color w:val="auto"/>
          <w:spacing w:val="-11"/>
          <w:sz w:val="19"/>
          <w:szCs w:val="19"/>
          <w:highlight w:val="none"/>
        </w:rPr>
        <w:t>，</w:t>
      </w:r>
      <w:r>
        <w:rPr>
          <w:rFonts w:ascii="宋体" w:hAnsi="宋体" w:eastAsia="宋体" w:cs="宋体"/>
          <w:color w:val="auto"/>
          <w:spacing w:val="-56"/>
          <w:sz w:val="19"/>
          <w:szCs w:val="19"/>
          <w:highlight w:val="none"/>
        </w:rPr>
        <w:t xml:space="preserve"> </w:t>
      </w:r>
      <w:r>
        <w:rPr>
          <w:rFonts w:ascii="宋体" w:hAnsi="宋体" w:eastAsia="宋体" w:cs="宋体"/>
          <w:color w:val="auto"/>
          <w:spacing w:val="11"/>
          <w:sz w:val="19"/>
          <w:szCs w:val="19"/>
          <w:highlight w:val="none"/>
        </w:rPr>
        <w:t>以及被保险人因此而</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支付的诉讼费用和事先经保险人书面同意支付的其他费用等赔偿责任。</w:t>
      </w:r>
    </w:p>
    <w:p w14:paraId="4C6AD1BE">
      <w:pPr>
        <w:spacing w:before="127" w:line="228" w:lineRule="auto"/>
        <w:ind w:left="467"/>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20. 4.2 在缺陷责任期终止证书颁发前，承包人应以承包人和发包人的共同名义，</w:t>
      </w:r>
      <w:r>
        <w:rPr>
          <w:rFonts w:ascii="宋体" w:hAnsi="宋体" w:eastAsia="宋体" w:cs="宋体"/>
          <w:color w:val="auto"/>
          <w:spacing w:val="9"/>
          <w:sz w:val="19"/>
          <w:szCs w:val="19"/>
          <w:highlight w:val="none"/>
        </w:rPr>
        <w:t>投保第</w:t>
      </w:r>
    </w:p>
    <w:p w14:paraId="60EB2DD2">
      <w:pPr>
        <w:spacing w:before="126" w:line="228" w:lineRule="auto"/>
        <w:ind w:left="2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20. 4.1</w:t>
      </w:r>
      <w:r>
        <w:rPr>
          <w:rFonts w:ascii="宋体" w:hAnsi="宋体" w:eastAsia="宋体" w:cs="宋体"/>
          <w:color w:val="auto"/>
          <w:spacing w:val="-19"/>
          <w:sz w:val="19"/>
          <w:szCs w:val="19"/>
          <w:highlight w:val="none"/>
        </w:rPr>
        <w:t xml:space="preserve"> </w:t>
      </w:r>
      <w:r>
        <w:rPr>
          <w:rFonts w:ascii="宋体" w:hAnsi="宋体" w:eastAsia="宋体" w:cs="宋体"/>
          <w:color w:val="auto"/>
          <w:spacing w:val="8"/>
          <w:sz w:val="19"/>
          <w:szCs w:val="19"/>
          <w:highlight w:val="none"/>
        </w:rPr>
        <w:t>项约定的第三者责任险，其保险费率、保险金额等有关内容在专用合同条款中约定。</w:t>
      </w:r>
    </w:p>
    <w:p w14:paraId="4E9BDE92">
      <w:pPr>
        <w:spacing w:before="170" w:line="221"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20.5</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5"/>
          <w:sz w:val="28"/>
          <w:szCs w:val="28"/>
          <w:highlight w:val="none"/>
        </w:rPr>
        <w:t>其他保险</w:t>
      </w:r>
    </w:p>
    <w:p w14:paraId="6816B71D">
      <w:pPr>
        <w:spacing w:line="293" w:lineRule="auto"/>
        <w:rPr>
          <w:rFonts w:ascii="Arial"/>
          <w:color w:val="auto"/>
          <w:sz w:val="21"/>
          <w:highlight w:val="none"/>
        </w:rPr>
      </w:pPr>
    </w:p>
    <w:p w14:paraId="618554DE">
      <w:pPr>
        <w:spacing w:before="61" w:line="228" w:lineRule="auto"/>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除专用合同条款另有约定外，承包人应为其施</w:t>
      </w:r>
      <w:r>
        <w:rPr>
          <w:rFonts w:ascii="宋体" w:hAnsi="宋体" w:eastAsia="宋体" w:cs="宋体"/>
          <w:color w:val="auto"/>
          <w:spacing w:val="7"/>
          <w:sz w:val="19"/>
          <w:szCs w:val="19"/>
          <w:highlight w:val="none"/>
        </w:rPr>
        <w:t>工设备、进场的材料和工程设备等办理保险。</w:t>
      </w:r>
    </w:p>
    <w:p w14:paraId="4C3CEADB">
      <w:pPr>
        <w:spacing w:before="168" w:line="221"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20.6</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对各项保险的一般要求</w:t>
      </w:r>
    </w:p>
    <w:p w14:paraId="6D7A136B">
      <w:pPr>
        <w:spacing w:line="298" w:lineRule="auto"/>
        <w:rPr>
          <w:rFonts w:ascii="Arial"/>
          <w:color w:val="auto"/>
          <w:sz w:val="21"/>
          <w:highlight w:val="none"/>
        </w:rPr>
      </w:pPr>
    </w:p>
    <w:p w14:paraId="0A91FA4B">
      <w:pPr>
        <w:spacing w:before="63" w:line="228" w:lineRule="auto"/>
        <w:ind w:left="467"/>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20. 6.</w:t>
      </w:r>
      <w:r>
        <w:rPr>
          <w:rFonts w:ascii="宋体" w:hAnsi="宋体" w:eastAsia="宋体" w:cs="宋体"/>
          <w:color w:val="auto"/>
          <w:spacing w:val="35"/>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2"/>
          <w:sz w:val="19"/>
          <w:szCs w:val="19"/>
          <w:highlight w:val="none"/>
        </w:rPr>
        <w:t>保险凭证</w:t>
      </w:r>
    </w:p>
    <w:p w14:paraId="63D41699">
      <w:pPr>
        <w:spacing w:before="113" w:line="323" w:lineRule="auto"/>
        <w:ind w:left="26" w:right="117" w:firstLine="438"/>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承包人应在专用合同条款约定的期限内向发包人提交各项保险生效的证据和保</w:t>
      </w:r>
      <w:r>
        <w:rPr>
          <w:rFonts w:ascii="宋体" w:hAnsi="宋体" w:eastAsia="宋体" w:cs="宋体"/>
          <w:color w:val="auto"/>
          <w:spacing w:val="9"/>
          <w:sz w:val="19"/>
          <w:szCs w:val="19"/>
          <w:highlight w:val="none"/>
        </w:rPr>
        <w:t>险单副本，</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保险单必须与专用合同条款约定的条件保持一致。</w:t>
      </w:r>
    </w:p>
    <w:p w14:paraId="01D3B7C4">
      <w:pPr>
        <w:spacing w:before="39"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20.6.2</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保险合同条款的变动</w:t>
      </w:r>
    </w:p>
    <w:p w14:paraId="342EDAA2">
      <w:pPr>
        <w:spacing w:before="112" w:line="326" w:lineRule="auto"/>
        <w:ind w:left="26" w:right="68" w:firstLine="438"/>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承包人需要变动保险合同条款时，应事先征得发包人同意，并通知监理人。保险人作出变</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动的，承包人应在收到保险人通知后立即通知发包人和监理人。</w:t>
      </w:r>
    </w:p>
    <w:p w14:paraId="636F90F9">
      <w:pPr>
        <w:spacing w:before="74" w:line="228" w:lineRule="auto"/>
        <w:ind w:left="467"/>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20. 6.</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color w:val="auto"/>
          <w:spacing w:val="3"/>
          <w:sz w:val="19"/>
          <w:szCs w:val="19"/>
          <w:highlight w:val="none"/>
        </w:rPr>
        <w:t>持续保险</w:t>
      </w:r>
    </w:p>
    <w:p w14:paraId="65B09C35">
      <w:pPr>
        <w:spacing w:before="235" w:line="328" w:lineRule="auto"/>
        <w:ind w:left="45" w:right="68" w:firstLine="41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承包人应与保险人保持联系，使保险人能够随时了解工程实施中的变动，并确保按保险合</w:t>
      </w:r>
      <w:r>
        <w:rPr>
          <w:rFonts w:ascii="宋体" w:hAnsi="宋体" w:eastAsia="宋体" w:cs="宋体"/>
          <w:color w:val="auto"/>
          <w:spacing w:val="5"/>
          <w:sz w:val="19"/>
          <w:szCs w:val="19"/>
          <w:highlight w:val="none"/>
        </w:rPr>
        <w:t xml:space="preserve"> </w:t>
      </w:r>
      <w:r>
        <w:rPr>
          <w:rFonts w:ascii="宋体" w:hAnsi="宋体" w:eastAsia="宋体" w:cs="宋体"/>
          <w:color w:val="auto"/>
          <w:spacing w:val="3"/>
          <w:sz w:val="19"/>
          <w:szCs w:val="19"/>
          <w:highlight w:val="none"/>
        </w:rPr>
        <w:t>同条款要求持续保险。</w:t>
      </w:r>
    </w:p>
    <w:p w14:paraId="63BD38BD">
      <w:pPr>
        <w:spacing w:before="31" w:line="229"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20.6.4</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保险金不足的补偿</w:t>
      </w:r>
    </w:p>
    <w:p w14:paraId="45D7C25E">
      <w:pPr>
        <w:spacing w:before="119" w:line="331" w:lineRule="auto"/>
        <w:ind w:left="26" w:right="66" w:firstLine="43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保险金不足以补偿损失时，应由承包人和发包人各自负责补偿的范</w:t>
      </w:r>
      <w:r>
        <w:rPr>
          <w:rFonts w:ascii="宋体" w:hAnsi="宋体" w:eastAsia="宋体" w:cs="宋体"/>
          <w:color w:val="auto"/>
          <w:spacing w:val="7"/>
          <w:sz w:val="19"/>
          <w:szCs w:val="19"/>
          <w:highlight w:val="none"/>
        </w:rPr>
        <w:t>围和金额在专用合</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同条</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款中约定。</w:t>
      </w:r>
    </w:p>
    <w:p w14:paraId="16EE6AA7">
      <w:pPr>
        <w:spacing w:before="69" w:line="228" w:lineRule="auto"/>
        <w:ind w:left="46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20. 6.</w:t>
      </w:r>
      <w:r>
        <w:rPr>
          <w:rFonts w:ascii="宋体" w:hAnsi="宋体" w:eastAsia="宋体" w:cs="宋体"/>
          <w:color w:val="auto"/>
          <w:spacing w:val="25"/>
          <w:sz w:val="19"/>
          <w:szCs w:val="19"/>
          <w:highlight w:val="none"/>
        </w:rPr>
        <w:t xml:space="preserve"> </w:t>
      </w:r>
      <w:r>
        <w:rPr>
          <w:rFonts w:ascii="宋体" w:hAnsi="宋体" w:eastAsia="宋体" w:cs="宋体"/>
          <w:color w:val="auto"/>
          <w:spacing w:val="5"/>
          <w:sz w:val="19"/>
          <w:szCs w:val="19"/>
          <w:highlight w:val="none"/>
        </w:rPr>
        <w:t>5</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未按约定投保的补救</w:t>
      </w:r>
    </w:p>
    <w:p w14:paraId="7D93F39A">
      <w:pPr>
        <w:spacing w:before="232" w:line="286" w:lineRule="auto"/>
        <w:ind w:left="30" w:right="110" w:hanging="4"/>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由于负有投保义务的一方当事人未按合同约定办理保险，或未能使保险持续有效的，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另一方当事人可代为办理，所需费用由对方当事人</w:t>
      </w:r>
      <w:r>
        <w:rPr>
          <w:rFonts w:ascii="宋体" w:hAnsi="宋体" w:eastAsia="宋体" w:cs="宋体"/>
          <w:color w:val="auto"/>
          <w:spacing w:val="8"/>
          <w:sz w:val="19"/>
          <w:szCs w:val="19"/>
          <w:highlight w:val="none"/>
        </w:rPr>
        <w:t>承担。</w:t>
      </w:r>
    </w:p>
    <w:p w14:paraId="5D5D4B38">
      <w:pPr>
        <w:spacing w:before="114" w:line="286" w:lineRule="auto"/>
        <w:ind w:left="36" w:right="70" w:hanging="10"/>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由于负有投保义务的一方当事人未按合同约定办理</w:t>
      </w:r>
      <w:r>
        <w:rPr>
          <w:rFonts w:ascii="宋体" w:hAnsi="宋体" w:eastAsia="宋体" w:cs="宋体"/>
          <w:color w:val="auto"/>
          <w:spacing w:val="6"/>
          <w:sz w:val="19"/>
          <w:szCs w:val="19"/>
          <w:highlight w:val="none"/>
        </w:rPr>
        <w:t>某项保险，导致受益人未能得到保</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险人的赔偿，原应从该项保险得到的保险金应</w:t>
      </w:r>
      <w:r>
        <w:rPr>
          <w:rFonts w:ascii="宋体" w:hAnsi="宋体" w:eastAsia="宋体" w:cs="宋体"/>
          <w:color w:val="auto"/>
          <w:spacing w:val="8"/>
          <w:sz w:val="19"/>
          <w:szCs w:val="19"/>
          <w:highlight w:val="none"/>
        </w:rPr>
        <w:t>由负有投保义务的一方当事人支付。</w:t>
      </w:r>
    </w:p>
    <w:p w14:paraId="72AAB461">
      <w:pPr>
        <w:spacing w:before="121" w:line="227" w:lineRule="auto"/>
        <w:ind w:left="44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20.6.6</w:t>
      </w:r>
      <w:r>
        <w:rPr>
          <w:rFonts w:ascii="宋体" w:hAnsi="宋体" w:eastAsia="宋体" w:cs="宋体"/>
          <w:color w:val="auto"/>
          <w:spacing w:val="-37"/>
          <w:sz w:val="19"/>
          <w:szCs w:val="19"/>
          <w:highlight w:val="none"/>
        </w:rPr>
        <w:t xml:space="preserve"> </w:t>
      </w:r>
      <w:r>
        <w:rPr>
          <w:rFonts w:ascii="宋体" w:hAnsi="宋体" w:eastAsia="宋体" w:cs="宋体"/>
          <w:color w:val="auto"/>
          <w:spacing w:val="5"/>
          <w:sz w:val="19"/>
          <w:szCs w:val="19"/>
          <w:highlight w:val="none"/>
        </w:rPr>
        <w:t>报告义务</w:t>
      </w:r>
    </w:p>
    <w:p w14:paraId="2AD3261D">
      <w:pPr>
        <w:spacing w:before="119" w:line="227" w:lineRule="auto"/>
        <w:ind w:left="45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当保险事故发生时，投保人应按照保险单规定的条件和期限及时向保险人报</w:t>
      </w:r>
      <w:r>
        <w:rPr>
          <w:rFonts w:ascii="宋体" w:hAnsi="宋体" w:eastAsia="宋体" w:cs="宋体"/>
          <w:color w:val="auto"/>
          <w:spacing w:val="8"/>
          <w:sz w:val="19"/>
          <w:szCs w:val="19"/>
          <w:highlight w:val="none"/>
        </w:rPr>
        <w:t>告。</w:t>
      </w:r>
    </w:p>
    <w:p w14:paraId="26125B90">
      <w:pPr>
        <w:spacing w:before="166"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5"/>
          <w:sz w:val="28"/>
          <w:szCs w:val="28"/>
          <w:highlight w:val="none"/>
        </w:rPr>
        <w:t>风险责任的转移</w:t>
      </w:r>
    </w:p>
    <w:p w14:paraId="7790BC0A">
      <w:pPr>
        <w:spacing w:line="299" w:lineRule="auto"/>
        <w:rPr>
          <w:rFonts w:ascii="Arial"/>
          <w:color w:val="auto"/>
          <w:sz w:val="21"/>
          <w:highlight w:val="none"/>
        </w:rPr>
      </w:pPr>
    </w:p>
    <w:p w14:paraId="43416DD0">
      <w:pPr>
        <w:spacing w:before="63" w:line="328" w:lineRule="auto"/>
        <w:ind w:left="42" w:right="66" w:firstLine="425"/>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工程通过合同工程完工验收并移交给发包人后，原由承包人应承担的风险责任，以及保险</w:t>
      </w:r>
      <w:r>
        <w:rPr>
          <w:rFonts w:ascii="宋体" w:hAnsi="宋体" w:eastAsia="宋体" w:cs="宋体"/>
          <w:color w:val="auto"/>
          <w:spacing w:val="2"/>
          <w:sz w:val="19"/>
          <w:szCs w:val="19"/>
          <w:highlight w:val="none"/>
        </w:rPr>
        <w:t xml:space="preserve"> </w:t>
      </w:r>
      <w:r>
        <w:rPr>
          <w:rFonts w:ascii="宋体" w:hAnsi="宋体" w:eastAsia="宋体" w:cs="宋体"/>
          <w:color w:val="auto"/>
          <w:spacing w:val="9"/>
          <w:sz w:val="19"/>
          <w:szCs w:val="19"/>
          <w:highlight w:val="none"/>
        </w:rPr>
        <w:t>的责任、权利和义务同时转移给发包人，但承包人在缺陷责任期(工程质量保修期) 前</w:t>
      </w:r>
      <w:r>
        <w:rPr>
          <w:rFonts w:ascii="宋体" w:hAnsi="宋体" w:eastAsia="宋体" w:cs="宋体"/>
          <w:color w:val="auto"/>
          <w:spacing w:val="8"/>
          <w:sz w:val="19"/>
          <w:szCs w:val="19"/>
          <w:highlight w:val="none"/>
        </w:rPr>
        <w:t>造成损失</w:t>
      </w:r>
    </w:p>
    <w:p w14:paraId="62ADE804">
      <w:pPr>
        <w:spacing w:line="328" w:lineRule="auto"/>
        <w:rPr>
          <w:rFonts w:ascii="宋体" w:hAnsi="宋体" w:eastAsia="宋体" w:cs="宋体"/>
          <w:color w:val="auto"/>
          <w:sz w:val="19"/>
          <w:szCs w:val="19"/>
          <w:highlight w:val="none"/>
        </w:rPr>
        <w:sectPr>
          <w:footerReference r:id="rId106" w:type="default"/>
          <w:pgSz w:w="11900" w:h="16832"/>
          <w:pgMar w:top="1430" w:right="1736" w:bottom="1188" w:left="1784" w:header="0" w:footer="980" w:gutter="0"/>
          <w:pgNumType w:fmt="decimal"/>
          <w:cols w:space="720" w:num="1"/>
        </w:sectPr>
      </w:pPr>
    </w:p>
    <w:p w14:paraId="1961C8D8">
      <w:pPr>
        <w:spacing w:before="122" w:line="228" w:lineRule="auto"/>
        <w:ind w:left="2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和损坏情形除外。</w:t>
      </w:r>
    </w:p>
    <w:p w14:paraId="19C98EF9">
      <w:pPr>
        <w:spacing w:before="312"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21.</w:t>
      </w:r>
      <w:r>
        <w:rPr>
          <w:rFonts w:ascii="宋体" w:hAnsi="宋体" w:eastAsia="宋体" w:cs="宋体"/>
          <w:b/>
          <w:bCs/>
          <w:color w:val="auto"/>
          <w:spacing w:val="4"/>
          <w:sz w:val="31"/>
          <w:szCs w:val="31"/>
          <w:highlight w:val="none"/>
        </w:rPr>
        <w:t>不可抗力</w:t>
      </w:r>
    </w:p>
    <w:p w14:paraId="01B03E0F">
      <w:pPr>
        <w:spacing w:line="249" w:lineRule="auto"/>
        <w:rPr>
          <w:rFonts w:ascii="Arial"/>
          <w:color w:val="auto"/>
          <w:sz w:val="21"/>
          <w:highlight w:val="none"/>
        </w:rPr>
      </w:pPr>
    </w:p>
    <w:p w14:paraId="201507DC">
      <w:pPr>
        <w:spacing w:line="250" w:lineRule="auto"/>
        <w:rPr>
          <w:rFonts w:ascii="Arial"/>
          <w:color w:val="auto"/>
          <w:sz w:val="21"/>
          <w:highlight w:val="none"/>
        </w:rPr>
      </w:pPr>
    </w:p>
    <w:p w14:paraId="3391518E">
      <w:pPr>
        <w:spacing w:before="91"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21.1</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5"/>
          <w:sz w:val="28"/>
          <w:szCs w:val="28"/>
          <w:highlight w:val="none"/>
        </w:rPr>
        <w:t>不可抗力的确认</w:t>
      </w:r>
    </w:p>
    <w:p w14:paraId="1A965612">
      <w:pPr>
        <w:spacing w:line="301" w:lineRule="auto"/>
        <w:rPr>
          <w:rFonts w:ascii="Arial"/>
          <w:color w:val="auto"/>
          <w:sz w:val="21"/>
          <w:highlight w:val="none"/>
        </w:rPr>
      </w:pPr>
    </w:p>
    <w:p w14:paraId="45866474">
      <w:pPr>
        <w:spacing w:before="62" w:line="333" w:lineRule="auto"/>
        <w:ind w:left="28" w:right="15" w:firstLine="438"/>
        <w:jc w:val="both"/>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21.1.1</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不可抗力是指承包人和发包人在订立合同时</w:t>
      </w:r>
      <w:r>
        <w:rPr>
          <w:rFonts w:ascii="宋体" w:hAnsi="宋体" w:eastAsia="宋体" w:cs="宋体"/>
          <w:color w:val="auto"/>
          <w:spacing w:val="8"/>
          <w:sz w:val="19"/>
          <w:szCs w:val="19"/>
          <w:highlight w:val="none"/>
        </w:rPr>
        <w:t>不可预见，在工程施工过程中不可避免</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发生并不能克服的自然灾害和社会性突发事件</w:t>
      </w:r>
      <w:r>
        <w:rPr>
          <w:rFonts w:ascii="宋体" w:hAnsi="宋体" w:eastAsia="宋体" w:cs="宋体"/>
          <w:color w:val="auto"/>
          <w:spacing w:val="9"/>
          <w:sz w:val="19"/>
          <w:szCs w:val="19"/>
          <w:highlight w:val="none"/>
        </w:rPr>
        <w:t>，如地震、海啸、瘟疫、水灾、骚乱、 暴动、战</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争和专用合同条款约定的其他情形。</w:t>
      </w:r>
    </w:p>
    <w:p w14:paraId="59137E98">
      <w:pPr>
        <w:spacing w:before="30" w:line="333" w:lineRule="auto"/>
        <w:ind w:left="27" w:right="15" w:firstLine="439"/>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21.1.2</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不可抗力发生后，</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发包人和承包人应及时认真统计所造成的损失，收</w:t>
      </w:r>
      <w:r>
        <w:rPr>
          <w:rFonts w:ascii="宋体" w:hAnsi="宋体" w:eastAsia="宋体" w:cs="宋体"/>
          <w:color w:val="auto"/>
          <w:spacing w:val="6"/>
          <w:sz w:val="19"/>
          <w:szCs w:val="19"/>
          <w:highlight w:val="none"/>
        </w:rPr>
        <w:t>集不可抗力造</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成损失的证据。合同双方对是否属于不可抗力或其损失的</w:t>
      </w:r>
      <w:r>
        <w:rPr>
          <w:rFonts w:ascii="宋体" w:hAnsi="宋体" w:eastAsia="宋体" w:cs="宋体"/>
          <w:color w:val="auto"/>
          <w:spacing w:val="8"/>
          <w:sz w:val="19"/>
          <w:szCs w:val="19"/>
          <w:highlight w:val="none"/>
        </w:rPr>
        <w:t>意见不一致的，由监理人按第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商定或确定。发生争议时，按第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条的约</w:t>
      </w:r>
      <w:r>
        <w:rPr>
          <w:rFonts w:ascii="宋体" w:hAnsi="宋体" w:eastAsia="宋体" w:cs="宋体"/>
          <w:color w:val="auto"/>
          <w:spacing w:val="6"/>
          <w:sz w:val="19"/>
          <w:szCs w:val="19"/>
          <w:highlight w:val="none"/>
        </w:rPr>
        <w:t>定办理。</w:t>
      </w:r>
    </w:p>
    <w:p w14:paraId="2F0CE0BF">
      <w:pPr>
        <w:spacing w:before="78"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21.2</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5"/>
          <w:sz w:val="28"/>
          <w:szCs w:val="28"/>
          <w:highlight w:val="none"/>
        </w:rPr>
        <w:t>不可抗力的通知</w:t>
      </w:r>
    </w:p>
    <w:p w14:paraId="6FC43870">
      <w:pPr>
        <w:spacing w:line="304" w:lineRule="auto"/>
        <w:rPr>
          <w:rFonts w:ascii="Arial"/>
          <w:color w:val="auto"/>
          <w:sz w:val="21"/>
          <w:highlight w:val="none"/>
        </w:rPr>
      </w:pPr>
    </w:p>
    <w:p w14:paraId="08D201A0">
      <w:pPr>
        <w:spacing w:before="62" w:line="332" w:lineRule="auto"/>
        <w:ind w:left="45" w:right="21" w:firstLine="42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21.2.1</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合同一方当事人遇到不可抗力事件，</w:t>
      </w:r>
      <w:r>
        <w:rPr>
          <w:rFonts w:ascii="宋体" w:hAnsi="宋体" w:eastAsia="宋体" w:cs="宋体"/>
          <w:color w:val="auto"/>
          <w:spacing w:val="-55"/>
          <w:sz w:val="19"/>
          <w:szCs w:val="19"/>
          <w:highlight w:val="none"/>
        </w:rPr>
        <w:t xml:space="preserve"> </w:t>
      </w:r>
      <w:r>
        <w:rPr>
          <w:rFonts w:ascii="宋体" w:hAnsi="宋体" w:eastAsia="宋体" w:cs="宋体"/>
          <w:color w:val="auto"/>
          <w:spacing w:val="8"/>
          <w:sz w:val="19"/>
          <w:szCs w:val="19"/>
          <w:highlight w:val="none"/>
        </w:rPr>
        <w:t>使其履行合同义</w:t>
      </w:r>
      <w:r>
        <w:rPr>
          <w:rFonts w:ascii="宋体" w:hAnsi="宋体" w:eastAsia="宋体" w:cs="宋体"/>
          <w:color w:val="auto"/>
          <w:spacing w:val="7"/>
          <w:sz w:val="19"/>
          <w:szCs w:val="19"/>
          <w:highlight w:val="none"/>
        </w:rPr>
        <w:t>务受到阻碍时，应立即通知合</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同另一方当事人和监理人，书面说明不可抗力和受阻碍的详细情况，并提供必要的证明。</w:t>
      </w:r>
    </w:p>
    <w:p w14:paraId="7E80DAE4">
      <w:pPr>
        <w:spacing w:before="34" w:line="342" w:lineRule="auto"/>
        <w:ind w:left="24" w:right="18" w:firstLine="442"/>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21.2.2</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如不可抗力持续发生，合同一方当事人应及</w:t>
      </w:r>
      <w:r>
        <w:rPr>
          <w:rFonts w:ascii="宋体" w:hAnsi="宋体" w:eastAsia="宋体" w:cs="宋体"/>
          <w:color w:val="auto"/>
          <w:spacing w:val="8"/>
          <w:sz w:val="19"/>
          <w:szCs w:val="19"/>
          <w:highlight w:val="none"/>
        </w:rPr>
        <w:t>时向合同另一方当事人和监理人提交中</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间报告，说明不可抗力和履行合同受阻的情况，并于不可抗力事件结束</w:t>
      </w:r>
      <w:r>
        <w:rPr>
          <w:rFonts w:ascii="宋体" w:hAnsi="宋体" w:eastAsia="宋体" w:cs="宋体"/>
          <w:color w:val="auto"/>
          <w:spacing w:val="8"/>
          <w:sz w:val="19"/>
          <w:szCs w:val="19"/>
          <w:highlight w:val="none"/>
        </w:rPr>
        <w:t>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天内提交最终报告</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及有关资料。</w:t>
      </w:r>
    </w:p>
    <w:p w14:paraId="797342DD">
      <w:pPr>
        <w:spacing w:before="192" w:line="220"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21.3</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不可抗力后果及其处理</w:t>
      </w:r>
    </w:p>
    <w:p w14:paraId="4C286A5D">
      <w:pPr>
        <w:spacing w:line="304" w:lineRule="auto"/>
        <w:rPr>
          <w:rFonts w:ascii="Arial"/>
          <w:color w:val="auto"/>
          <w:sz w:val="21"/>
          <w:highlight w:val="none"/>
        </w:rPr>
      </w:pPr>
    </w:p>
    <w:p w14:paraId="7A06AA06">
      <w:pPr>
        <w:spacing w:before="62"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21.3.1</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不可抗力造成损害的责任</w:t>
      </w:r>
    </w:p>
    <w:p w14:paraId="4B8313A9">
      <w:pPr>
        <w:spacing w:before="117" w:line="326" w:lineRule="auto"/>
        <w:ind w:left="26" w:right="15" w:firstLine="45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除专用合同条款另有约定外，不可抗力导致的人员伤亡、财产损失、费用增加和(或) 工期</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延误等后果，由合同双方按以下原则承担：</w:t>
      </w:r>
    </w:p>
    <w:p w14:paraId="69DCE4F1">
      <w:pPr>
        <w:spacing w:before="29" w:line="284" w:lineRule="auto"/>
        <w:ind w:left="25" w:right="2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永久工程，包括已运至施工场地的材料和工程设备的损害，</w:t>
      </w:r>
      <w:r>
        <w:rPr>
          <w:rFonts w:ascii="宋体" w:hAnsi="宋体" w:eastAsia="宋体" w:cs="宋体"/>
          <w:color w:val="auto"/>
          <w:spacing w:val="-49"/>
          <w:sz w:val="19"/>
          <w:szCs w:val="19"/>
          <w:highlight w:val="none"/>
        </w:rPr>
        <w:t xml:space="preserve"> </w:t>
      </w:r>
      <w:r>
        <w:rPr>
          <w:rFonts w:ascii="宋体" w:hAnsi="宋体" w:eastAsia="宋体" w:cs="宋体"/>
          <w:color w:val="auto"/>
          <w:spacing w:val="7"/>
          <w:sz w:val="19"/>
          <w:szCs w:val="19"/>
          <w:highlight w:val="none"/>
        </w:rPr>
        <w:t>以及因工程</w:t>
      </w:r>
      <w:r>
        <w:rPr>
          <w:rFonts w:ascii="宋体" w:hAnsi="宋体" w:eastAsia="宋体" w:cs="宋体"/>
          <w:color w:val="auto"/>
          <w:spacing w:val="6"/>
          <w:sz w:val="19"/>
          <w:szCs w:val="19"/>
          <w:highlight w:val="none"/>
        </w:rPr>
        <w:t>损害造成的第</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三者人员伤亡和财产损失由发包人承担；</w:t>
      </w:r>
    </w:p>
    <w:p w14:paraId="69F1808B">
      <w:pPr>
        <w:spacing w:before="113"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(2)              </w:t>
      </w:r>
      <w:r>
        <w:rPr>
          <w:rFonts w:ascii="宋体" w:hAnsi="宋体" w:eastAsia="宋体" w:cs="宋体"/>
          <w:color w:val="auto"/>
          <w:spacing w:val="4"/>
          <w:sz w:val="19"/>
          <w:szCs w:val="19"/>
          <w:highlight w:val="none"/>
        </w:rPr>
        <w:t>承包人设备的损坏由承包人承担；</w:t>
      </w:r>
    </w:p>
    <w:p w14:paraId="046F295B">
      <w:pPr>
        <w:spacing w:before="1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发包人和承包人各自承担其人员伤亡和其他财产损失及其相关费用；</w:t>
      </w:r>
    </w:p>
    <w:p w14:paraId="1990CA63">
      <w:pPr>
        <w:spacing w:before="134" w:line="290" w:lineRule="auto"/>
        <w:ind w:left="24" w:right="19"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承包人的停工损失由承包人承担，但停工期间应监理人要求</w:t>
      </w:r>
      <w:r>
        <w:rPr>
          <w:rFonts w:ascii="宋体" w:hAnsi="宋体" w:eastAsia="宋体" w:cs="宋体"/>
          <w:color w:val="auto"/>
          <w:spacing w:val="7"/>
          <w:sz w:val="19"/>
          <w:szCs w:val="19"/>
          <w:highlight w:val="none"/>
        </w:rPr>
        <w:t>照管工程和清理、修复工</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程的金额由发包人承担；</w:t>
      </w:r>
    </w:p>
    <w:p w14:paraId="08730E19">
      <w:pPr>
        <w:spacing w:before="127" w:line="290" w:lineRule="auto"/>
        <w:ind w:left="27" w:right="20"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(5)              </w:t>
      </w:r>
      <w:r>
        <w:rPr>
          <w:rFonts w:ascii="宋体" w:hAnsi="宋体" w:eastAsia="宋体" w:cs="宋体"/>
          <w:color w:val="auto"/>
          <w:spacing w:val="7"/>
          <w:sz w:val="19"/>
          <w:szCs w:val="19"/>
          <w:highlight w:val="none"/>
        </w:rPr>
        <w:t>不能按期竣工的，应合理延长工期，承包人不需支付</w:t>
      </w:r>
      <w:r>
        <w:rPr>
          <w:rFonts w:ascii="宋体" w:hAnsi="宋体" w:eastAsia="宋体" w:cs="宋体"/>
          <w:color w:val="auto"/>
          <w:spacing w:val="6"/>
          <w:sz w:val="19"/>
          <w:szCs w:val="19"/>
          <w:highlight w:val="none"/>
        </w:rPr>
        <w:t>逾期竣工违约金。发包人要求赶</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工的，承包人应采取赶工措施，赶工费用由发包人承担。</w:t>
      </w:r>
    </w:p>
    <w:p w14:paraId="559D4269">
      <w:pPr>
        <w:spacing w:before="128" w:line="228" w:lineRule="auto"/>
        <w:ind w:left="46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21.3.2</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延迟履行期间发生的不可抗力</w:t>
      </w:r>
    </w:p>
    <w:p w14:paraId="4161CF1F">
      <w:pPr>
        <w:spacing w:before="126" w:line="337" w:lineRule="auto"/>
        <w:ind w:left="466" w:right="1111" w:hanging="1"/>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合同一方当事人延迟履行，在延迟履行期间</w:t>
      </w:r>
      <w:r>
        <w:rPr>
          <w:rFonts w:ascii="宋体" w:hAnsi="宋体" w:eastAsia="宋体" w:cs="宋体"/>
          <w:color w:val="auto"/>
          <w:spacing w:val="8"/>
          <w:sz w:val="19"/>
          <w:szCs w:val="19"/>
          <w:highlight w:val="none"/>
        </w:rPr>
        <w:t>发生不可抗力的，不免除其责任。</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21.3.3</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避免和减少不可抗力损失</w:t>
      </w:r>
    </w:p>
    <w:p w14:paraId="327B42CF">
      <w:pPr>
        <w:spacing w:before="26" w:line="335" w:lineRule="auto"/>
        <w:ind w:left="26" w:right="20" w:firstLine="44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不可抗力发生后，发包人和承包人均应采取措施尽量避免和减少损失的扩大，任何一 方没</w:t>
      </w:r>
      <w:r>
        <w:rPr>
          <w:rFonts w:ascii="宋体" w:hAnsi="宋体" w:eastAsia="宋体" w:cs="宋体"/>
          <w:color w:val="auto"/>
          <w:spacing w:val="15"/>
          <w:sz w:val="19"/>
          <w:szCs w:val="19"/>
          <w:highlight w:val="none"/>
        </w:rPr>
        <w:t xml:space="preserve"> </w:t>
      </w:r>
      <w:r>
        <w:rPr>
          <w:rFonts w:ascii="宋体" w:hAnsi="宋体" w:eastAsia="宋体" w:cs="宋体"/>
          <w:color w:val="auto"/>
          <w:spacing w:val="8"/>
          <w:sz w:val="19"/>
          <w:szCs w:val="19"/>
          <w:highlight w:val="none"/>
        </w:rPr>
        <w:t>有采取有效措施导致损失扩大的，应对扩大的损失承担责任。</w:t>
      </w:r>
    </w:p>
    <w:p w14:paraId="636B57F5">
      <w:pPr>
        <w:spacing w:before="29" w:line="228" w:lineRule="auto"/>
        <w:ind w:left="46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21.3.4</w:t>
      </w:r>
      <w:r>
        <w:rPr>
          <w:rFonts w:ascii="宋体" w:hAnsi="宋体" w:eastAsia="宋体" w:cs="宋体"/>
          <w:color w:val="auto"/>
          <w:spacing w:val="-14"/>
          <w:sz w:val="19"/>
          <w:szCs w:val="19"/>
          <w:highlight w:val="none"/>
        </w:rPr>
        <w:t xml:space="preserve"> </w:t>
      </w:r>
      <w:r>
        <w:rPr>
          <w:rFonts w:ascii="宋体" w:hAnsi="宋体" w:eastAsia="宋体" w:cs="宋体"/>
          <w:color w:val="auto"/>
          <w:spacing w:val="5"/>
          <w:sz w:val="19"/>
          <w:szCs w:val="19"/>
          <w:highlight w:val="none"/>
        </w:rPr>
        <w:t>因不可抗力解除合同</w:t>
      </w:r>
    </w:p>
    <w:p w14:paraId="4E60E5E1">
      <w:pPr>
        <w:spacing w:line="228" w:lineRule="auto"/>
        <w:rPr>
          <w:rFonts w:ascii="宋体" w:hAnsi="宋体" w:eastAsia="宋体" w:cs="宋体"/>
          <w:color w:val="auto"/>
          <w:sz w:val="19"/>
          <w:szCs w:val="19"/>
          <w:highlight w:val="none"/>
        </w:rPr>
        <w:sectPr>
          <w:footerReference r:id="rId107" w:type="default"/>
          <w:pgSz w:w="11900" w:h="16832"/>
          <w:pgMar w:top="1430" w:right="1784" w:bottom="1188" w:left="1784" w:header="0" w:footer="980" w:gutter="0"/>
          <w:pgNumType w:fmt="decimal"/>
          <w:cols w:space="720" w:num="1"/>
        </w:sectPr>
      </w:pPr>
    </w:p>
    <w:p w14:paraId="731A5309">
      <w:pPr>
        <w:spacing w:before="114" w:line="334" w:lineRule="auto"/>
        <w:ind w:left="25" w:right="25" w:firstLine="439"/>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合同一方当事人因不可抗力不能履行合同的，应当及时通知对方解除合同。</w:t>
      </w:r>
      <w:r>
        <w:rPr>
          <w:rFonts w:ascii="宋体" w:hAnsi="宋体" w:eastAsia="宋体" w:cs="宋体"/>
          <w:color w:val="auto"/>
          <w:spacing w:val="9"/>
          <w:sz w:val="19"/>
          <w:szCs w:val="19"/>
          <w:highlight w:val="none"/>
        </w:rPr>
        <w:t>合同解除后，</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承包人应按照第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8"/>
          <w:sz w:val="19"/>
          <w:szCs w:val="19"/>
          <w:highlight w:val="none"/>
        </w:rPr>
        <w:t>22.2.5</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项约定撤离施工场地。已经订货的材料、设备由订货方负责退货或解除</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订货合同，不能退还的货款和因退货、解除订货合同发生的费用，</w:t>
      </w:r>
      <w:r>
        <w:rPr>
          <w:rFonts w:ascii="宋体" w:hAnsi="宋体" w:eastAsia="宋体" w:cs="宋体"/>
          <w:color w:val="auto"/>
          <w:spacing w:val="-42"/>
          <w:sz w:val="19"/>
          <w:szCs w:val="19"/>
          <w:highlight w:val="none"/>
        </w:rPr>
        <w:t xml:space="preserve"> </w:t>
      </w:r>
      <w:r>
        <w:rPr>
          <w:rFonts w:ascii="宋体" w:hAnsi="宋体" w:eastAsia="宋体" w:cs="宋体"/>
          <w:color w:val="auto"/>
          <w:spacing w:val="10"/>
          <w:sz w:val="19"/>
          <w:szCs w:val="19"/>
          <w:highlight w:val="none"/>
        </w:rPr>
        <w:t>由发包人承担,</w:t>
      </w:r>
      <w:r>
        <w:rPr>
          <w:rFonts w:ascii="宋体" w:hAnsi="宋体" w:eastAsia="宋体" w:cs="宋体"/>
          <w:color w:val="auto"/>
          <w:spacing w:val="33"/>
          <w:sz w:val="19"/>
          <w:szCs w:val="19"/>
          <w:highlight w:val="none"/>
        </w:rPr>
        <w:t xml:space="preserve"> </w:t>
      </w:r>
      <w:r>
        <w:rPr>
          <w:rFonts w:ascii="宋体" w:hAnsi="宋体" w:eastAsia="宋体" w:cs="宋体"/>
          <w:color w:val="auto"/>
          <w:spacing w:val="10"/>
          <w:sz w:val="19"/>
          <w:szCs w:val="19"/>
          <w:highlight w:val="none"/>
        </w:rPr>
        <w:t>因未及时退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货造成的损失由责任方承担。合同解除后的付款，</w:t>
      </w:r>
      <w:r>
        <w:rPr>
          <w:rFonts w:ascii="宋体" w:hAnsi="宋体" w:eastAsia="宋体" w:cs="宋体"/>
          <w:color w:val="auto"/>
          <w:spacing w:val="-53"/>
          <w:sz w:val="19"/>
          <w:szCs w:val="19"/>
          <w:highlight w:val="none"/>
        </w:rPr>
        <w:t xml:space="preserve"> </w:t>
      </w:r>
      <w:r>
        <w:rPr>
          <w:rFonts w:ascii="宋体" w:hAnsi="宋体" w:eastAsia="宋体" w:cs="宋体"/>
          <w:color w:val="auto"/>
          <w:spacing w:val="7"/>
          <w:sz w:val="19"/>
          <w:szCs w:val="19"/>
          <w:highlight w:val="none"/>
        </w:rPr>
        <w:t>参照第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22. 2.4</w:t>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项约定，由监理人</w:t>
      </w:r>
      <w:r>
        <w:rPr>
          <w:rFonts w:ascii="宋体" w:hAnsi="宋体" w:eastAsia="宋体" w:cs="宋体"/>
          <w:color w:val="auto"/>
          <w:spacing w:val="6"/>
          <w:sz w:val="19"/>
          <w:szCs w:val="19"/>
          <w:highlight w:val="none"/>
        </w:rPr>
        <w:t>按第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款商定或确定。</w:t>
      </w:r>
    </w:p>
    <w:p w14:paraId="5533E486">
      <w:pPr>
        <w:spacing w:before="249" w:line="230" w:lineRule="auto"/>
        <w:ind w:left="34"/>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22.</w:t>
      </w:r>
      <w:r>
        <w:rPr>
          <w:rFonts w:ascii="宋体" w:hAnsi="宋体" w:eastAsia="宋体" w:cs="宋体"/>
          <w:b/>
          <w:bCs/>
          <w:color w:val="auto"/>
          <w:spacing w:val="2"/>
          <w:sz w:val="31"/>
          <w:szCs w:val="31"/>
          <w:highlight w:val="none"/>
        </w:rPr>
        <w:t>违约</w:t>
      </w:r>
    </w:p>
    <w:p w14:paraId="681788D7">
      <w:pPr>
        <w:spacing w:line="245" w:lineRule="auto"/>
        <w:rPr>
          <w:rFonts w:ascii="Arial"/>
          <w:color w:val="auto"/>
          <w:sz w:val="21"/>
          <w:highlight w:val="none"/>
        </w:rPr>
      </w:pPr>
    </w:p>
    <w:p w14:paraId="0909FAE7">
      <w:pPr>
        <w:spacing w:line="246" w:lineRule="auto"/>
        <w:rPr>
          <w:rFonts w:ascii="Arial"/>
          <w:color w:val="auto"/>
          <w:sz w:val="21"/>
          <w:highlight w:val="none"/>
        </w:rPr>
      </w:pPr>
    </w:p>
    <w:p w14:paraId="23312D31">
      <w:pPr>
        <w:spacing w:before="91"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22.1</w:t>
      </w:r>
      <w:r>
        <w:rPr>
          <w:rFonts w:ascii="宋体" w:hAnsi="宋体" w:eastAsia="宋体" w:cs="宋体"/>
          <w:color w:val="auto"/>
          <w:spacing w:val="-56"/>
          <w:sz w:val="28"/>
          <w:szCs w:val="28"/>
          <w:highlight w:val="none"/>
        </w:rPr>
        <w:t xml:space="preserve"> </w:t>
      </w:r>
      <w:r>
        <w:rPr>
          <w:rFonts w:ascii="宋体" w:hAnsi="宋体" w:eastAsia="宋体" w:cs="宋体"/>
          <w:b/>
          <w:bCs/>
          <w:color w:val="auto"/>
          <w:spacing w:val="-5"/>
          <w:sz w:val="28"/>
          <w:szCs w:val="28"/>
          <w:highlight w:val="none"/>
        </w:rPr>
        <w:t>承包人违约</w:t>
      </w:r>
    </w:p>
    <w:p w14:paraId="340E980C">
      <w:pPr>
        <w:spacing w:before="279" w:line="228" w:lineRule="auto"/>
        <w:ind w:left="44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22.1.1</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承包人违约的情形</w:t>
      </w:r>
    </w:p>
    <w:p w14:paraId="64B04472">
      <w:pPr>
        <w:spacing w:before="264"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在履行合同过程中发生的下列情况属承包人违约：</w:t>
      </w:r>
    </w:p>
    <w:p w14:paraId="41FF2A6A">
      <w:pPr>
        <w:spacing w:before="143" w:line="298" w:lineRule="auto"/>
        <w:ind w:left="27" w:right="104" w:hanging="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承包人违反第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6"/>
          <w:sz w:val="19"/>
          <w:szCs w:val="19"/>
          <w:highlight w:val="none"/>
        </w:rPr>
        <w:t>1.8</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款或第</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4. 3</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款的约定，私自将合同的</w:t>
      </w:r>
      <w:r>
        <w:rPr>
          <w:rFonts w:ascii="宋体" w:hAnsi="宋体" w:eastAsia="宋体" w:cs="宋体"/>
          <w:color w:val="auto"/>
          <w:spacing w:val="5"/>
          <w:sz w:val="19"/>
          <w:szCs w:val="19"/>
          <w:highlight w:val="none"/>
        </w:rPr>
        <w:t>全部或部分权利转让给其他</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人，或私自将合同的全部或部分义务转移给其他</w:t>
      </w:r>
      <w:r>
        <w:rPr>
          <w:rFonts w:ascii="宋体" w:hAnsi="宋体" w:eastAsia="宋体" w:cs="宋体"/>
          <w:color w:val="auto"/>
          <w:spacing w:val="8"/>
          <w:sz w:val="19"/>
          <w:szCs w:val="19"/>
          <w:highlight w:val="none"/>
        </w:rPr>
        <w:t>人；</w:t>
      </w:r>
    </w:p>
    <w:p w14:paraId="790B0299">
      <w:pPr>
        <w:spacing w:before="142" w:line="298" w:lineRule="auto"/>
        <w:ind w:left="24" w:right="29"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承包人违反第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5. 3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w:t>
      </w:r>
      <w:r>
        <w:rPr>
          <w:rFonts w:ascii="宋体" w:hAnsi="宋体" w:eastAsia="宋体" w:cs="宋体"/>
          <w:color w:val="auto"/>
          <w:spacing w:val="5"/>
          <w:sz w:val="19"/>
          <w:szCs w:val="19"/>
          <w:highlight w:val="none"/>
        </w:rPr>
        <w:t>或第</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6. 4</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款的约定，未经监理人批准，私自将已按合同约定进</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入施工场地的施工设备、临时设施或材料撤离施工场地；</w:t>
      </w:r>
    </w:p>
    <w:p w14:paraId="60AE7492">
      <w:pPr>
        <w:spacing w:before="143" w:line="298" w:lineRule="auto"/>
        <w:ind w:left="27" w:right="102"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承包人违反第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5. 4</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款的约</w:t>
      </w:r>
      <w:r>
        <w:rPr>
          <w:rFonts w:ascii="宋体" w:hAnsi="宋体" w:eastAsia="宋体" w:cs="宋体"/>
          <w:color w:val="auto"/>
          <w:spacing w:val="6"/>
          <w:sz w:val="19"/>
          <w:szCs w:val="19"/>
          <w:highlight w:val="none"/>
        </w:rPr>
        <w:t>定使用了不合格材料或工程设备，工程质量达不到标准要</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求，又拒绝清除不合格工程；</w:t>
      </w:r>
    </w:p>
    <w:p w14:paraId="152B646D">
      <w:pPr>
        <w:spacing w:before="13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承包人未能按合同进度计划及时完成合同约定的工作，</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已造成或预期造成工期延误；</w:t>
      </w:r>
    </w:p>
    <w:p w14:paraId="02A828ED">
      <w:pPr>
        <w:spacing w:before="132" w:line="310" w:lineRule="auto"/>
        <w:ind w:left="25" w:right="29"/>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(5)             </w:t>
      </w:r>
      <w:r>
        <w:rPr>
          <w:rFonts w:ascii="宋体" w:hAnsi="宋体" w:eastAsia="宋体" w:cs="宋体"/>
          <w:color w:val="auto"/>
          <w:spacing w:val="8"/>
          <w:sz w:val="19"/>
          <w:szCs w:val="19"/>
          <w:highlight w:val="none"/>
        </w:rPr>
        <w:t>承包人在缺陷责任期(工程质量保修期)内</w:t>
      </w:r>
      <w:r>
        <w:rPr>
          <w:rFonts w:ascii="宋体" w:hAnsi="宋体" w:eastAsia="宋体" w:cs="宋体"/>
          <w:color w:val="auto"/>
          <w:spacing w:val="7"/>
          <w:sz w:val="19"/>
          <w:szCs w:val="19"/>
          <w:highlight w:val="none"/>
        </w:rPr>
        <w:t>，未能对合同工程完工验收鉴定书中所列的</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缺陷清单的内容或缺陷责任期(工程质量保修期</w:t>
      </w:r>
      <w:r>
        <w:rPr>
          <w:rFonts w:ascii="宋体" w:hAnsi="宋体" w:eastAsia="宋体" w:cs="宋体"/>
          <w:color w:val="auto"/>
          <w:spacing w:val="9"/>
          <w:sz w:val="19"/>
          <w:szCs w:val="19"/>
          <w:highlight w:val="none"/>
        </w:rPr>
        <w:t>)内发生的缺陷进行修复，而又拒绝按监理人指</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示再进行修补；</w:t>
      </w:r>
    </w:p>
    <w:p w14:paraId="428EC5FE">
      <w:pPr>
        <w:spacing w:before="11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承包人无法继续履行或明确表示不履行或实质上已停止履行合同；</w:t>
      </w:r>
    </w:p>
    <w:p w14:paraId="0D4310D0">
      <w:pPr>
        <w:spacing w:before="122" w:line="283" w:lineRule="auto"/>
        <w:ind w:left="447" w:right="3656" w:hanging="42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(7)             </w:t>
      </w:r>
      <w:r>
        <w:rPr>
          <w:rFonts w:ascii="宋体" w:hAnsi="宋体" w:eastAsia="宋体" w:cs="宋体"/>
          <w:color w:val="auto"/>
          <w:spacing w:val="6"/>
          <w:sz w:val="19"/>
          <w:szCs w:val="19"/>
          <w:highlight w:val="none"/>
        </w:rPr>
        <w:t>承包人不按合同约定履行义务的其</w:t>
      </w:r>
      <w:r>
        <w:rPr>
          <w:rFonts w:ascii="宋体" w:hAnsi="宋体" w:eastAsia="宋体" w:cs="宋体"/>
          <w:color w:val="auto"/>
          <w:spacing w:val="5"/>
          <w:sz w:val="19"/>
          <w:szCs w:val="19"/>
          <w:highlight w:val="none"/>
        </w:rPr>
        <w:t>他情况。</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22.1.2</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对承包人违约的处理</w:t>
      </w:r>
    </w:p>
    <w:p w14:paraId="06DC52BB">
      <w:pPr>
        <w:spacing w:before="114" w:line="284" w:lineRule="auto"/>
        <w:ind w:left="30" w:hanging="4"/>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(1)              </w:t>
      </w:r>
      <w:r>
        <w:rPr>
          <w:rFonts w:ascii="宋体" w:hAnsi="宋体" w:eastAsia="宋体" w:cs="宋体"/>
          <w:color w:val="auto"/>
          <w:spacing w:val="4"/>
          <w:sz w:val="19"/>
          <w:szCs w:val="19"/>
          <w:highlight w:val="none"/>
        </w:rPr>
        <w:t>承包人发生第</w:t>
      </w:r>
      <w:r>
        <w:rPr>
          <w:rFonts w:ascii="宋体" w:hAnsi="宋体" w:eastAsia="宋体" w:cs="宋体"/>
          <w:color w:val="auto"/>
          <w:spacing w:val="-27"/>
          <w:sz w:val="19"/>
          <w:szCs w:val="19"/>
          <w:highlight w:val="none"/>
        </w:rPr>
        <w:t xml:space="preserve"> </w:t>
      </w:r>
      <w:r>
        <w:rPr>
          <w:rFonts w:ascii="宋体" w:hAnsi="宋体" w:eastAsia="宋体" w:cs="宋体"/>
          <w:color w:val="auto"/>
          <w:spacing w:val="4"/>
          <w:sz w:val="19"/>
          <w:szCs w:val="19"/>
          <w:highlight w:val="none"/>
        </w:rPr>
        <w:t>22.1.1</w:t>
      </w:r>
      <w:r>
        <w:rPr>
          <w:rFonts w:ascii="宋体" w:hAnsi="宋体" w:eastAsia="宋体" w:cs="宋体"/>
          <w:color w:val="auto"/>
          <w:spacing w:val="48"/>
          <w:sz w:val="19"/>
          <w:szCs w:val="19"/>
          <w:highlight w:val="none"/>
        </w:rPr>
        <w:t xml:space="preserve"> </w:t>
      </w:r>
      <w:r>
        <w:rPr>
          <w:rFonts w:ascii="宋体" w:hAnsi="宋体" w:eastAsia="宋体" w:cs="宋体"/>
          <w:color w:val="auto"/>
          <w:spacing w:val="4"/>
          <w:sz w:val="19"/>
          <w:szCs w:val="19"/>
          <w:highlight w:val="none"/>
        </w:rPr>
        <w:t>(6)</w:t>
      </w:r>
      <w:r>
        <w:rPr>
          <w:rFonts w:ascii="宋体" w:hAnsi="宋体" w:eastAsia="宋体" w:cs="宋体"/>
          <w:color w:val="auto"/>
          <w:spacing w:val="-48"/>
          <w:sz w:val="19"/>
          <w:szCs w:val="19"/>
          <w:highlight w:val="none"/>
        </w:rPr>
        <w:t xml:space="preserve"> </w:t>
      </w:r>
      <w:r>
        <w:rPr>
          <w:rFonts w:ascii="宋体" w:hAnsi="宋体" w:eastAsia="宋体" w:cs="宋体"/>
          <w:color w:val="auto"/>
          <w:spacing w:val="4"/>
          <w:sz w:val="19"/>
          <w:szCs w:val="19"/>
          <w:highlight w:val="none"/>
        </w:rPr>
        <w:t>目约定的违约情况时，发包人可通知承包人立即解除合同，</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并按有关法律处理。</w:t>
      </w:r>
    </w:p>
    <w:p w14:paraId="45A872A5">
      <w:pPr>
        <w:spacing w:before="113" w:line="303" w:lineRule="auto"/>
        <w:ind w:left="26" w:right="25"/>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(2)              </w:t>
      </w:r>
      <w:r>
        <w:rPr>
          <w:rFonts w:ascii="宋体" w:hAnsi="宋体" w:eastAsia="宋体" w:cs="宋体"/>
          <w:color w:val="auto"/>
          <w:spacing w:val="4"/>
          <w:sz w:val="19"/>
          <w:szCs w:val="19"/>
          <w:highlight w:val="none"/>
        </w:rPr>
        <w:t>承包人发生除第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4"/>
          <w:sz w:val="19"/>
          <w:szCs w:val="19"/>
          <w:highlight w:val="none"/>
        </w:rPr>
        <w:t>22. 1. 1 (6)</w:t>
      </w:r>
      <w:r>
        <w:rPr>
          <w:rFonts w:ascii="宋体" w:hAnsi="宋体" w:eastAsia="宋体" w:cs="宋体"/>
          <w:color w:val="auto"/>
          <w:spacing w:val="-47"/>
          <w:sz w:val="19"/>
          <w:szCs w:val="19"/>
          <w:highlight w:val="none"/>
        </w:rPr>
        <w:t xml:space="preserve"> </w:t>
      </w:r>
      <w:r>
        <w:rPr>
          <w:rFonts w:ascii="宋体" w:hAnsi="宋体" w:eastAsia="宋体" w:cs="宋体"/>
          <w:color w:val="auto"/>
          <w:spacing w:val="4"/>
          <w:sz w:val="19"/>
          <w:szCs w:val="19"/>
          <w:highlight w:val="none"/>
        </w:rPr>
        <w:t>目约定以外的其他违约情况时，监理人可向承包人发出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整改通知，要求其在指定的期限内改正。承包人应承担其违约所引起的费用增加和</w:t>
      </w:r>
      <w:r>
        <w:rPr>
          <w:rFonts w:ascii="宋体" w:hAnsi="宋体" w:eastAsia="宋体" w:cs="宋体"/>
          <w:color w:val="auto"/>
          <w:spacing w:val="65"/>
          <w:sz w:val="19"/>
          <w:szCs w:val="19"/>
          <w:highlight w:val="none"/>
        </w:rPr>
        <w:t xml:space="preserve"> </w:t>
      </w:r>
      <w:r>
        <w:rPr>
          <w:rFonts w:ascii="宋体" w:hAnsi="宋体" w:eastAsia="宋体" w:cs="宋体"/>
          <w:color w:val="auto"/>
          <w:spacing w:val="8"/>
          <w:sz w:val="19"/>
          <w:szCs w:val="19"/>
          <w:highlight w:val="none"/>
        </w:rPr>
        <w:t>(或)工期延</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误。</w:t>
      </w:r>
    </w:p>
    <w:p w14:paraId="36B0866E">
      <w:pPr>
        <w:spacing w:before="111" w:line="285" w:lineRule="auto"/>
        <w:ind w:left="28" w:right="31" w:hanging="2"/>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经检查证明承包人已采取了有效措施纠正违约行为</w:t>
      </w:r>
      <w:r>
        <w:rPr>
          <w:rFonts w:ascii="宋体" w:hAnsi="宋体" w:eastAsia="宋体" w:cs="宋体"/>
          <w:color w:val="auto"/>
          <w:spacing w:val="6"/>
          <w:sz w:val="19"/>
          <w:szCs w:val="19"/>
          <w:highlight w:val="none"/>
        </w:rPr>
        <w:t>，具备复工条件的，可由监理人签</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发复工通知复工。</w:t>
      </w:r>
    </w:p>
    <w:p w14:paraId="60B82FCF">
      <w:pPr>
        <w:spacing w:before="112"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22.1.3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承包人违约解除合同</w:t>
      </w:r>
    </w:p>
    <w:p w14:paraId="45D778CE">
      <w:pPr>
        <w:spacing w:before="117" w:line="333" w:lineRule="auto"/>
        <w:ind w:left="25" w:right="26" w:firstLine="43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监理人发出整改通知</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天后，承包人仍不纠正违约行为</w:t>
      </w:r>
      <w:r>
        <w:rPr>
          <w:rFonts w:ascii="宋体" w:hAnsi="宋体" w:eastAsia="宋体" w:cs="宋体"/>
          <w:color w:val="auto"/>
          <w:spacing w:val="7"/>
          <w:sz w:val="19"/>
          <w:szCs w:val="19"/>
          <w:highlight w:val="none"/>
        </w:rPr>
        <w:t>的，发包人可向承包人发出解除合</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同通知。合同解除后，发包人可派员进驻施工场地，另行组织人员或委托其他承包</w:t>
      </w:r>
      <w:r>
        <w:rPr>
          <w:rFonts w:ascii="宋体" w:hAnsi="宋体" w:eastAsia="宋体" w:cs="宋体"/>
          <w:color w:val="auto"/>
          <w:spacing w:val="11"/>
          <w:sz w:val="19"/>
          <w:szCs w:val="19"/>
          <w:highlight w:val="none"/>
        </w:rPr>
        <w:t>人施工。发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包人因继续完成该工程的需要，有权扣留使用承包人在现场的材料、设备和临时设</w:t>
      </w:r>
      <w:r>
        <w:rPr>
          <w:rFonts w:ascii="宋体" w:hAnsi="宋体" w:eastAsia="宋体" w:cs="宋体"/>
          <w:color w:val="auto"/>
          <w:spacing w:val="11"/>
          <w:sz w:val="19"/>
          <w:szCs w:val="19"/>
          <w:highlight w:val="none"/>
        </w:rPr>
        <w:t>施。但发包</w:t>
      </w:r>
      <w:r>
        <w:rPr>
          <w:rFonts w:ascii="宋体" w:hAnsi="宋体" w:eastAsia="宋体" w:cs="宋体"/>
          <w:color w:val="auto"/>
          <w:sz w:val="19"/>
          <w:szCs w:val="19"/>
          <w:highlight w:val="none"/>
        </w:rPr>
        <w:t xml:space="preserve"> </w:t>
      </w:r>
      <w:r>
        <w:rPr>
          <w:rFonts w:ascii="宋体" w:hAnsi="宋体" w:eastAsia="宋体" w:cs="宋体"/>
          <w:color w:val="auto"/>
          <w:spacing w:val="14"/>
          <w:sz w:val="19"/>
          <w:szCs w:val="19"/>
          <w:highlight w:val="none"/>
        </w:rPr>
        <w:t>人的这一行动不免除承包人应承担的违约责任，也不影响发包人根据合</w:t>
      </w:r>
      <w:r>
        <w:rPr>
          <w:rFonts w:ascii="宋体" w:hAnsi="宋体" w:eastAsia="宋体" w:cs="宋体"/>
          <w:color w:val="auto"/>
          <w:spacing w:val="13"/>
          <w:sz w:val="19"/>
          <w:szCs w:val="19"/>
          <w:highlight w:val="none"/>
        </w:rPr>
        <w:t>同约</w:t>
      </w:r>
      <w:r>
        <w:rPr>
          <w:rFonts w:ascii="宋体" w:hAnsi="宋体" w:eastAsia="宋体" w:cs="宋体"/>
          <w:color w:val="auto"/>
          <w:spacing w:val="39"/>
          <w:sz w:val="19"/>
          <w:szCs w:val="19"/>
          <w:highlight w:val="none"/>
        </w:rPr>
        <w:t xml:space="preserve"> </w:t>
      </w:r>
      <w:r>
        <w:rPr>
          <w:rFonts w:ascii="宋体" w:hAnsi="宋体" w:eastAsia="宋体" w:cs="宋体"/>
          <w:color w:val="auto"/>
          <w:spacing w:val="13"/>
          <w:sz w:val="19"/>
          <w:szCs w:val="19"/>
          <w:highlight w:val="none"/>
        </w:rPr>
        <w:t>定享有的索赔权</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利。</w:t>
      </w:r>
    </w:p>
    <w:p w14:paraId="4A7A4D01">
      <w:pPr>
        <w:spacing w:line="333" w:lineRule="auto"/>
        <w:rPr>
          <w:rFonts w:ascii="宋体" w:hAnsi="宋体" w:eastAsia="宋体" w:cs="宋体"/>
          <w:color w:val="auto"/>
          <w:sz w:val="19"/>
          <w:szCs w:val="19"/>
          <w:highlight w:val="none"/>
        </w:rPr>
        <w:sectPr>
          <w:footerReference r:id="rId108" w:type="default"/>
          <w:pgSz w:w="11900" w:h="16832"/>
          <w:pgMar w:top="1430" w:right="1775" w:bottom="1188" w:left="1784" w:header="0" w:footer="980" w:gutter="0"/>
          <w:pgNumType w:fmt="decimal"/>
          <w:cols w:space="720" w:num="1"/>
        </w:sectPr>
      </w:pPr>
    </w:p>
    <w:p w14:paraId="00D2495F">
      <w:pPr>
        <w:spacing w:before="126" w:line="227" w:lineRule="auto"/>
        <w:ind w:left="46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22.1.4</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合同解除后的估价、付款和结清</w:t>
      </w:r>
    </w:p>
    <w:p w14:paraId="057D447D">
      <w:pPr>
        <w:spacing w:before="125" w:line="290" w:lineRule="auto"/>
        <w:ind w:left="27" w:right="94"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合同解除后，监理人按第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款商定或确定承包人实际完成工作的价值，以及承包</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人已提供的材料、施工设备、工程设备和临时工程等的价值。</w:t>
      </w:r>
    </w:p>
    <w:p w14:paraId="3E9E4E60">
      <w:pPr>
        <w:spacing w:before="126" w:line="290" w:lineRule="auto"/>
        <w:ind w:left="25" w:right="17"/>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合同解除后，发包人应暂停对承包人的一切付</w:t>
      </w:r>
      <w:r>
        <w:rPr>
          <w:rFonts w:ascii="宋体" w:hAnsi="宋体" w:eastAsia="宋体" w:cs="宋体"/>
          <w:color w:val="auto"/>
          <w:spacing w:val="6"/>
          <w:sz w:val="19"/>
          <w:szCs w:val="19"/>
          <w:highlight w:val="none"/>
        </w:rPr>
        <w:t>款，查清各项付款和已扣款金额, 包括</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承包人应支付的违约金。</w:t>
      </w:r>
    </w:p>
    <w:p w14:paraId="5CDD8149">
      <w:pPr>
        <w:spacing w:before="134" w:line="297" w:lineRule="auto"/>
        <w:ind w:left="41" w:right="19" w:hanging="15"/>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合同解除</w:t>
      </w:r>
      <w:r>
        <w:rPr>
          <w:rFonts w:ascii="宋体" w:hAnsi="宋体" w:eastAsia="宋体" w:cs="宋体"/>
          <w:color w:val="auto"/>
          <w:spacing w:val="7"/>
          <w:sz w:val="19"/>
          <w:szCs w:val="19"/>
          <w:highlight w:val="none"/>
        </w:rPr>
        <w:t>后，发包人应按第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23.</w:t>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4</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款的约定向承包人索赔由于解除合同给发包人造成</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的损失。</w:t>
      </w:r>
    </w:p>
    <w:p w14:paraId="5131AB82">
      <w:pPr>
        <w:spacing w:before="12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(4)             </w:t>
      </w:r>
      <w:r>
        <w:rPr>
          <w:rFonts w:ascii="宋体" w:hAnsi="宋体" w:eastAsia="宋体" w:cs="宋体"/>
          <w:color w:val="auto"/>
          <w:spacing w:val="7"/>
          <w:sz w:val="19"/>
          <w:szCs w:val="19"/>
          <w:highlight w:val="none"/>
        </w:rPr>
        <w:t>合同双方确认上述往来款项后，出具最终结清付款证书，结清全部合同款项。</w:t>
      </w:r>
    </w:p>
    <w:p w14:paraId="1517BEBD">
      <w:pPr>
        <w:spacing w:before="132" w:line="289" w:lineRule="auto"/>
        <w:ind w:left="29" w:right="90" w:hanging="3"/>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(5)              </w:t>
      </w:r>
      <w:r>
        <w:rPr>
          <w:rFonts w:ascii="宋体" w:hAnsi="宋体" w:eastAsia="宋体" w:cs="宋体"/>
          <w:color w:val="auto"/>
          <w:spacing w:val="7"/>
          <w:sz w:val="19"/>
          <w:szCs w:val="19"/>
          <w:highlight w:val="none"/>
        </w:rPr>
        <w:t>发包人和承包</w:t>
      </w:r>
      <w:r>
        <w:rPr>
          <w:rFonts w:ascii="宋体" w:hAnsi="宋体" w:eastAsia="宋体" w:cs="宋体"/>
          <w:color w:val="auto"/>
          <w:spacing w:val="6"/>
          <w:sz w:val="19"/>
          <w:szCs w:val="19"/>
          <w:highlight w:val="none"/>
        </w:rPr>
        <w:t>人未能就解除合同后的结清达成一致而形成争议的，按第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条的约定</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办理。</w:t>
      </w:r>
    </w:p>
    <w:p w14:paraId="482FA8DA">
      <w:pPr>
        <w:spacing w:before="159" w:line="229" w:lineRule="auto"/>
        <w:ind w:left="46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22.1.5</w:t>
      </w:r>
      <w:r>
        <w:rPr>
          <w:rFonts w:ascii="宋体" w:hAnsi="宋体" w:eastAsia="宋体" w:cs="宋体"/>
          <w:color w:val="auto"/>
          <w:spacing w:val="-24"/>
          <w:sz w:val="19"/>
          <w:szCs w:val="19"/>
          <w:highlight w:val="none"/>
        </w:rPr>
        <w:t xml:space="preserve"> </w:t>
      </w:r>
      <w:r>
        <w:rPr>
          <w:rFonts w:ascii="宋体" w:hAnsi="宋体" w:eastAsia="宋体" w:cs="宋体"/>
          <w:color w:val="auto"/>
          <w:spacing w:val="5"/>
          <w:sz w:val="19"/>
          <w:szCs w:val="19"/>
          <w:highlight w:val="none"/>
        </w:rPr>
        <w:t>协议利益的转让</w:t>
      </w:r>
    </w:p>
    <w:p w14:paraId="135A2ADB">
      <w:pPr>
        <w:spacing w:before="233" w:line="325" w:lineRule="auto"/>
        <w:ind w:left="28" w:right="19"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因承包人违约解除合同的，</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发包人有权要求承包</w:t>
      </w:r>
      <w:r>
        <w:rPr>
          <w:rFonts w:ascii="宋体" w:hAnsi="宋体" w:eastAsia="宋体" w:cs="宋体"/>
          <w:color w:val="auto"/>
          <w:spacing w:val="7"/>
          <w:sz w:val="19"/>
          <w:szCs w:val="19"/>
          <w:highlight w:val="none"/>
        </w:rPr>
        <w:t>人将其为实施合同而签订的材料和设备的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订货协议或任何服务协议利益转让给发包人，并在解除合同后的</w:t>
      </w:r>
      <w:r>
        <w:rPr>
          <w:rFonts w:ascii="宋体" w:hAnsi="宋体" w:eastAsia="宋体" w:cs="宋体"/>
          <w:color w:val="auto"/>
          <w:spacing w:val="-20"/>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天内，</w:t>
      </w:r>
      <w:r>
        <w:rPr>
          <w:rFonts w:ascii="宋体" w:hAnsi="宋体" w:eastAsia="宋体" w:cs="宋体"/>
          <w:color w:val="auto"/>
          <w:spacing w:val="7"/>
          <w:sz w:val="19"/>
          <w:szCs w:val="19"/>
          <w:highlight w:val="none"/>
        </w:rPr>
        <w:t>依法办理转让手续。</w:t>
      </w:r>
    </w:p>
    <w:p w14:paraId="3722F15C">
      <w:pPr>
        <w:spacing w:before="31" w:line="228" w:lineRule="auto"/>
        <w:ind w:left="46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22.1.6</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紧急情况下无能力或不愿进行抢救</w:t>
      </w:r>
    </w:p>
    <w:p w14:paraId="69FD567F">
      <w:pPr>
        <w:spacing w:before="117" w:line="331" w:lineRule="auto"/>
        <w:ind w:left="25" w:right="25" w:firstLine="438"/>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在工程实施期间或缺陷责任期内发生危及工程安全的事件，监理人通知承包人</w:t>
      </w:r>
      <w:r>
        <w:rPr>
          <w:rFonts w:ascii="宋体" w:hAnsi="宋体" w:eastAsia="宋体" w:cs="宋体"/>
          <w:color w:val="auto"/>
          <w:spacing w:val="9"/>
          <w:sz w:val="19"/>
          <w:szCs w:val="19"/>
          <w:highlight w:val="none"/>
        </w:rPr>
        <w:t>进行抢救，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承包人声明无能力或不愿立即执行的，发包人有权雇佣其他人员进行抢救。此类抢</w:t>
      </w:r>
      <w:r>
        <w:rPr>
          <w:rFonts w:ascii="宋体" w:hAnsi="宋体" w:eastAsia="宋体" w:cs="宋体"/>
          <w:color w:val="auto"/>
          <w:spacing w:val="11"/>
          <w:sz w:val="19"/>
          <w:szCs w:val="19"/>
          <w:highlight w:val="none"/>
        </w:rPr>
        <w:t>救按合同约</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定属于承包人义务的，</w:t>
      </w:r>
      <w:r>
        <w:rPr>
          <w:rFonts w:ascii="宋体" w:hAnsi="宋体" w:eastAsia="宋体" w:cs="宋体"/>
          <w:color w:val="auto"/>
          <w:spacing w:val="-21"/>
          <w:sz w:val="19"/>
          <w:szCs w:val="19"/>
          <w:highlight w:val="none"/>
        </w:rPr>
        <w:t xml:space="preserve"> </w:t>
      </w:r>
      <w:r>
        <w:rPr>
          <w:rFonts w:ascii="宋体" w:hAnsi="宋体" w:eastAsia="宋体" w:cs="宋体"/>
          <w:color w:val="auto"/>
          <w:spacing w:val="6"/>
          <w:sz w:val="19"/>
          <w:szCs w:val="19"/>
          <w:highlight w:val="none"/>
        </w:rPr>
        <w:t>由此发生的金额和(或)工期延误由承包人承担。</w:t>
      </w:r>
    </w:p>
    <w:p w14:paraId="50C0DB53">
      <w:pPr>
        <w:spacing w:before="80" w:line="221"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22.2</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5"/>
          <w:sz w:val="28"/>
          <w:szCs w:val="28"/>
          <w:highlight w:val="none"/>
        </w:rPr>
        <w:t>发包人违约</w:t>
      </w:r>
    </w:p>
    <w:p w14:paraId="41DE5B97">
      <w:pPr>
        <w:spacing w:line="295" w:lineRule="auto"/>
        <w:rPr>
          <w:rFonts w:ascii="Arial"/>
          <w:color w:val="auto"/>
          <w:sz w:val="21"/>
          <w:highlight w:val="none"/>
        </w:rPr>
      </w:pPr>
    </w:p>
    <w:p w14:paraId="23AD869E">
      <w:pPr>
        <w:spacing w:before="63" w:line="229" w:lineRule="auto"/>
        <w:ind w:left="44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22.2.1</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发包人违约的情形</w:t>
      </w:r>
    </w:p>
    <w:p w14:paraId="5A81EF84">
      <w:pPr>
        <w:spacing w:before="115" w:line="229"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在履行合同过程中发生的下列情形，</w:t>
      </w:r>
      <w:r>
        <w:rPr>
          <w:rFonts w:ascii="宋体" w:hAnsi="宋体" w:eastAsia="宋体" w:cs="宋体"/>
          <w:color w:val="auto"/>
          <w:spacing w:val="-45"/>
          <w:sz w:val="19"/>
          <w:szCs w:val="19"/>
          <w:highlight w:val="none"/>
        </w:rPr>
        <w:t xml:space="preserve"> </w:t>
      </w:r>
      <w:r>
        <w:rPr>
          <w:rFonts w:ascii="宋体" w:hAnsi="宋体" w:eastAsia="宋体" w:cs="宋体"/>
          <w:color w:val="auto"/>
          <w:spacing w:val="7"/>
          <w:sz w:val="19"/>
          <w:szCs w:val="19"/>
          <w:highlight w:val="none"/>
        </w:rPr>
        <w:t>属发包</w:t>
      </w:r>
      <w:r>
        <w:rPr>
          <w:rFonts w:ascii="宋体" w:hAnsi="宋体" w:eastAsia="宋体" w:cs="宋体"/>
          <w:color w:val="auto"/>
          <w:spacing w:val="6"/>
          <w:sz w:val="19"/>
          <w:szCs w:val="19"/>
          <w:highlight w:val="none"/>
        </w:rPr>
        <w:t>人违约：</w:t>
      </w:r>
    </w:p>
    <w:p w14:paraId="09868E34">
      <w:pPr>
        <w:spacing w:before="113" w:line="284" w:lineRule="auto"/>
        <w:ind w:left="30" w:right="145" w:hanging="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(1)</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8"/>
          <w:sz w:val="19"/>
          <w:szCs w:val="19"/>
          <w:highlight w:val="none"/>
        </w:rPr>
        <w:t>发包人未能按合同约定支付预付款或合同价款，或拖延、拒绝批准付款</w:t>
      </w:r>
      <w:r>
        <w:rPr>
          <w:rFonts w:ascii="宋体" w:hAnsi="宋体" w:eastAsia="宋体" w:cs="宋体"/>
          <w:color w:val="auto"/>
          <w:spacing w:val="7"/>
          <w:sz w:val="19"/>
          <w:szCs w:val="19"/>
          <w:highlight w:val="none"/>
        </w:rPr>
        <w:t>申请和支付凭证，</w:t>
      </w:r>
      <w:r>
        <w:rPr>
          <w:rFonts w:ascii="宋体" w:hAnsi="宋体" w:eastAsia="宋体" w:cs="宋体"/>
          <w:color w:val="auto"/>
          <w:spacing w:val="3"/>
          <w:sz w:val="19"/>
          <w:szCs w:val="19"/>
          <w:highlight w:val="none"/>
        </w:rPr>
        <w:t xml:space="preserve"> </w:t>
      </w:r>
      <w:r>
        <w:rPr>
          <w:rFonts w:ascii="宋体" w:hAnsi="宋体" w:eastAsia="宋体" w:cs="宋体"/>
          <w:color w:val="auto"/>
          <w:spacing w:val="6"/>
          <w:sz w:val="19"/>
          <w:szCs w:val="19"/>
          <w:highlight w:val="none"/>
        </w:rPr>
        <w:t>导致付款延误的；</w:t>
      </w:r>
    </w:p>
    <w:p w14:paraId="4F44AFEA">
      <w:pPr>
        <w:spacing w:before="12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发包人原因造成停工的；</w:t>
      </w:r>
    </w:p>
    <w:p w14:paraId="5266E6EE">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监理人无正当理由没有在约定期限内发出复工指示，导致承包人无</w:t>
      </w:r>
      <w:r>
        <w:rPr>
          <w:rFonts w:ascii="宋体" w:hAnsi="宋体" w:eastAsia="宋体" w:cs="宋体"/>
          <w:color w:val="auto"/>
          <w:spacing w:val="6"/>
          <w:sz w:val="19"/>
          <w:szCs w:val="19"/>
          <w:highlight w:val="none"/>
        </w:rPr>
        <w:t>法复工的；</w:t>
      </w:r>
    </w:p>
    <w:p w14:paraId="54B472E7">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(4)             </w:t>
      </w:r>
      <w:r>
        <w:rPr>
          <w:rFonts w:ascii="宋体" w:hAnsi="宋体" w:eastAsia="宋体" w:cs="宋体"/>
          <w:color w:val="auto"/>
          <w:spacing w:val="7"/>
          <w:sz w:val="19"/>
          <w:szCs w:val="19"/>
          <w:highlight w:val="none"/>
        </w:rPr>
        <w:t>发包人无法继续履行或明确表示不履行或实质上</w:t>
      </w:r>
      <w:r>
        <w:rPr>
          <w:rFonts w:ascii="宋体" w:hAnsi="宋体" w:eastAsia="宋体" w:cs="宋体"/>
          <w:color w:val="auto"/>
          <w:spacing w:val="6"/>
          <w:sz w:val="19"/>
          <w:szCs w:val="19"/>
          <w:highlight w:val="none"/>
        </w:rPr>
        <w:t>已停止履行合同的；</w:t>
      </w:r>
    </w:p>
    <w:p w14:paraId="0FACD0EF">
      <w:pPr>
        <w:spacing w:before="134" w:line="289" w:lineRule="auto"/>
        <w:ind w:left="447" w:right="4246" w:hanging="42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(5)</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发包人不履行合同约定其他义务的。</w:t>
      </w:r>
      <w:r>
        <w:rPr>
          <w:rFonts w:ascii="宋体" w:hAnsi="宋体" w:eastAsia="宋体" w:cs="宋体"/>
          <w:color w:val="auto"/>
          <w:spacing w:val="1"/>
          <w:sz w:val="19"/>
          <w:szCs w:val="19"/>
          <w:highlight w:val="none"/>
        </w:rPr>
        <w:t xml:space="preserve"> </w:t>
      </w:r>
      <w:r>
        <w:rPr>
          <w:rFonts w:ascii="宋体" w:hAnsi="宋体" w:eastAsia="宋体" w:cs="宋体"/>
          <w:color w:val="auto"/>
          <w:spacing w:val="6"/>
          <w:sz w:val="19"/>
          <w:szCs w:val="19"/>
          <w:highlight w:val="none"/>
        </w:rPr>
        <w:t>22.2.2</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承包人有权暂停施工</w:t>
      </w:r>
    </w:p>
    <w:p w14:paraId="293EE52B">
      <w:pPr>
        <w:spacing w:before="127" w:line="345" w:lineRule="auto"/>
        <w:ind w:left="27" w:right="17" w:firstLine="440"/>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发包人发生除第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5"/>
          <w:sz w:val="19"/>
          <w:szCs w:val="19"/>
          <w:highlight w:val="none"/>
        </w:rPr>
        <w:t>22.2.1</w:t>
      </w:r>
      <w:r>
        <w:rPr>
          <w:rFonts w:ascii="宋体" w:hAnsi="宋体" w:eastAsia="宋体" w:cs="宋体"/>
          <w:color w:val="auto"/>
          <w:spacing w:val="48"/>
          <w:sz w:val="19"/>
          <w:szCs w:val="19"/>
          <w:highlight w:val="none"/>
        </w:rPr>
        <w:t xml:space="preserve"> </w:t>
      </w:r>
      <w:r>
        <w:rPr>
          <w:rFonts w:ascii="宋体" w:hAnsi="宋体" w:eastAsia="宋体" w:cs="宋体"/>
          <w:color w:val="auto"/>
          <w:spacing w:val="5"/>
          <w:sz w:val="19"/>
          <w:szCs w:val="19"/>
          <w:highlight w:val="none"/>
        </w:rPr>
        <w:t>(4)</w:t>
      </w:r>
      <w:r>
        <w:rPr>
          <w:rFonts w:ascii="宋体" w:hAnsi="宋体" w:eastAsia="宋体" w:cs="宋体"/>
          <w:color w:val="auto"/>
          <w:spacing w:val="-50"/>
          <w:sz w:val="19"/>
          <w:szCs w:val="19"/>
          <w:highlight w:val="none"/>
        </w:rPr>
        <w:t xml:space="preserve"> </w:t>
      </w:r>
      <w:r>
        <w:rPr>
          <w:rFonts w:ascii="宋体" w:hAnsi="宋体" w:eastAsia="宋体" w:cs="宋体"/>
          <w:color w:val="auto"/>
          <w:spacing w:val="5"/>
          <w:sz w:val="19"/>
          <w:szCs w:val="19"/>
          <w:highlight w:val="none"/>
        </w:rPr>
        <w:t>目以外的违约情况时，</w:t>
      </w:r>
      <w:r>
        <w:rPr>
          <w:rFonts w:ascii="宋体" w:hAnsi="宋体" w:eastAsia="宋体" w:cs="宋体"/>
          <w:color w:val="auto"/>
          <w:spacing w:val="-56"/>
          <w:sz w:val="19"/>
          <w:szCs w:val="19"/>
          <w:highlight w:val="none"/>
        </w:rPr>
        <w:t xml:space="preserve"> </w:t>
      </w:r>
      <w:r>
        <w:rPr>
          <w:rFonts w:ascii="宋体" w:hAnsi="宋体" w:eastAsia="宋体" w:cs="宋体"/>
          <w:color w:val="auto"/>
          <w:spacing w:val="5"/>
          <w:sz w:val="19"/>
          <w:szCs w:val="19"/>
          <w:highlight w:val="none"/>
        </w:rPr>
        <w:t>承包人可向发包人发出通知，要求发包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人采取有效措施纠正违约行为。发包人收到承包人通知后的 28 天内仍不履行合同义 务，承包</w:t>
      </w:r>
      <w:r>
        <w:rPr>
          <w:rFonts w:ascii="宋体" w:hAnsi="宋体" w:eastAsia="宋体" w:cs="宋体"/>
          <w:color w:val="auto"/>
          <w:spacing w:val="2"/>
          <w:sz w:val="19"/>
          <w:szCs w:val="19"/>
          <w:highlight w:val="none"/>
        </w:rPr>
        <w:t xml:space="preserve"> </w:t>
      </w:r>
      <w:r>
        <w:rPr>
          <w:rFonts w:ascii="宋体" w:hAnsi="宋体" w:eastAsia="宋体" w:cs="宋体"/>
          <w:color w:val="auto"/>
          <w:spacing w:val="12"/>
          <w:sz w:val="19"/>
          <w:szCs w:val="19"/>
          <w:highlight w:val="none"/>
        </w:rPr>
        <w:t>人有权暂停施工，并通知监理人，发包人应承担由此增加的费用和(或</w:t>
      </w:r>
      <w:r>
        <w:rPr>
          <w:rFonts w:ascii="宋体" w:hAnsi="宋体" w:eastAsia="宋体" w:cs="宋体"/>
          <w:color w:val="auto"/>
          <w:spacing w:val="11"/>
          <w:sz w:val="19"/>
          <w:szCs w:val="19"/>
          <w:highlight w:val="none"/>
        </w:rPr>
        <w:t>)工期延误，并支付承包</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人合理利润。</w:t>
      </w:r>
    </w:p>
    <w:p w14:paraId="6D1EA9F9">
      <w:pPr>
        <w:spacing w:before="35"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22.2.3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发包人违约解除合同</w:t>
      </w:r>
    </w:p>
    <w:p w14:paraId="52FB29DE">
      <w:pPr>
        <w:spacing w:before="1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(1)              </w:t>
      </w:r>
      <w:r>
        <w:rPr>
          <w:rFonts w:ascii="宋体" w:hAnsi="宋体" w:eastAsia="宋体" w:cs="宋体"/>
          <w:color w:val="auto"/>
          <w:spacing w:val="3"/>
          <w:sz w:val="19"/>
          <w:szCs w:val="19"/>
          <w:highlight w:val="none"/>
        </w:rPr>
        <w:t>发生第</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22.2.1</w:t>
      </w:r>
      <w:r>
        <w:rPr>
          <w:rFonts w:ascii="宋体" w:hAnsi="宋体" w:eastAsia="宋体" w:cs="宋体"/>
          <w:color w:val="auto"/>
          <w:spacing w:val="47"/>
          <w:sz w:val="19"/>
          <w:szCs w:val="19"/>
          <w:highlight w:val="none"/>
        </w:rPr>
        <w:t xml:space="preserve"> </w:t>
      </w:r>
      <w:r>
        <w:rPr>
          <w:rFonts w:ascii="宋体" w:hAnsi="宋体" w:eastAsia="宋体" w:cs="宋体"/>
          <w:color w:val="auto"/>
          <w:spacing w:val="3"/>
          <w:sz w:val="19"/>
          <w:szCs w:val="19"/>
          <w:highlight w:val="none"/>
        </w:rPr>
        <w:t>(4)</w:t>
      </w:r>
      <w:r>
        <w:rPr>
          <w:rFonts w:ascii="宋体" w:hAnsi="宋体" w:eastAsia="宋体" w:cs="宋体"/>
          <w:color w:val="auto"/>
          <w:spacing w:val="-48"/>
          <w:sz w:val="19"/>
          <w:szCs w:val="19"/>
          <w:highlight w:val="none"/>
        </w:rPr>
        <w:t xml:space="preserve"> </w:t>
      </w:r>
      <w:r>
        <w:rPr>
          <w:rFonts w:ascii="宋体" w:hAnsi="宋体" w:eastAsia="宋体" w:cs="宋体"/>
          <w:color w:val="auto"/>
          <w:spacing w:val="3"/>
          <w:sz w:val="19"/>
          <w:szCs w:val="19"/>
          <w:highlight w:val="none"/>
        </w:rPr>
        <w:t>目的违约情况时，</w:t>
      </w:r>
      <w:r>
        <w:rPr>
          <w:rFonts w:ascii="宋体" w:hAnsi="宋体" w:eastAsia="宋体" w:cs="宋体"/>
          <w:color w:val="auto"/>
          <w:spacing w:val="-21"/>
          <w:sz w:val="19"/>
          <w:szCs w:val="19"/>
          <w:highlight w:val="none"/>
        </w:rPr>
        <w:t xml:space="preserve"> </w:t>
      </w:r>
      <w:r>
        <w:rPr>
          <w:rFonts w:ascii="宋体" w:hAnsi="宋体" w:eastAsia="宋体" w:cs="宋体"/>
          <w:color w:val="auto"/>
          <w:spacing w:val="3"/>
          <w:sz w:val="19"/>
          <w:szCs w:val="19"/>
          <w:highlight w:val="none"/>
        </w:rPr>
        <w:t>承包人可书面通知发包人解</w:t>
      </w:r>
      <w:r>
        <w:rPr>
          <w:rFonts w:ascii="宋体" w:hAnsi="宋体" w:eastAsia="宋体" w:cs="宋体"/>
          <w:color w:val="auto"/>
          <w:spacing w:val="2"/>
          <w:sz w:val="19"/>
          <w:szCs w:val="19"/>
          <w:highlight w:val="none"/>
        </w:rPr>
        <w:t>除合同。</w:t>
      </w:r>
    </w:p>
    <w:p w14:paraId="7A8CAC61">
      <w:pPr>
        <w:spacing w:before="139" w:line="314" w:lineRule="auto"/>
        <w:ind w:left="25" w:right="19"/>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承包人按</w:t>
      </w:r>
      <w:r>
        <w:rPr>
          <w:rFonts w:ascii="宋体" w:hAnsi="宋体" w:eastAsia="宋体" w:cs="宋体"/>
          <w:color w:val="auto"/>
          <w:spacing w:val="-16"/>
          <w:sz w:val="19"/>
          <w:szCs w:val="19"/>
          <w:highlight w:val="none"/>
        </w:rPr>
        <w:t xml:space="preserve"> </w:t>
      </w:r>
      <w:r>
        <w:rPr>
          <w:rFonts w:ascii="宋体" w:hAnsi="宋体" w:eastAsia="宋体" w:cs="宋体"/>
          <w:color w:val="auto"/>
          <w:spacing w:val="5"/>
          <w:sz w:val="19"/>
          <w:szCs w:val="19"/>
          <w:highlight w:val="none"/>
        </w:rPr>
        <w:t>22. 2. 2</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项暂停施工</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天后，发包人仍不纠正违约行为的，承包人可向发</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包人发出解除合同通知。但承包人的这一行动不免除发包</w:t>
      </w:r>
      <w:r>
        <w:rPr>
          <w:rFonts w:ascii="宋体" w:hAnsi="宋体" w:eastAsia="宋体" w:cs="宋体"/>
          <w:color w:val="auto"/>
          <w:spacing w:val="8"/>
          <w:sz w:val="19"/>
          <w:szCs w:val="19"/>
          <w:highlight w:val="none"/>
        </w:rPr>
        <w:t>人承担的违约责任，</w:t>
      </w:r>
      <w:r>
        <w:rPr>
          <w:rFonts w:ascii="宋体" w:hAnsi="宋体" w:eastAsia="宋体" w:cs="宋体"/>
          <w:color w:val="auto"/>
          <w:spacing w:val="-52"/>
          <w:sz w:val="19"/>
          <w:szCs w:val="19"/>
          <w:highlight w:val="none"/>
        </w:rPr>
        <w:t xml:space="preserve"> </w:t>
      </w:r>
      <w:r>
        <w:rPr>
          <w:rFonts w:ascii="宋体" w:hAnsi="宋体" w:eastAsia="宋体" w:cs="宋体"/>
          <w:color w:val="auto"/>
          <w:spacing w:val="8"/>
          <w:sz w:val="19"/>
          <w:szCs w:val="19"/>
          <w:highlight w:val="none"/>
        </w:rPr>
        <w:t>也不影响承包人</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根据合同约定享有的索赔权利。</w:t>
      </w:r>
    </w:p>
    <w:p w14:paraId="79045E08">
      <w:pPr>
        <w:spacing w:before="137"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22.2.4</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解除合同后的付款</w:t>
      </w:r>
    </w:p>
    <w:p w14:paraId="75D180BF">
      <w:pPr>
        <w:spacing w:line="228" w:lineRule="auto"/>
        <w:rPr>
          <w:rFonts w:ascii="宋体" w:hAnsi="宋体" w:eastAsia="宋体" w:cs="宋体"/>
          <w:color w:val="auto"/>
          <w:sz w:val="19"/>
          <w:szCs w:val="19"/>
          <w:highlight w:val="none"/>
        </w:rPr>
        <w:sectPr>
          <w:footerReference r:id="rId109" w:type="default"/>
          <w:pgSz w:w="11900" w:h="16832"/>
          <w:pgMar w:top="1430" w:right="1784" w:bottom="1188" w:left="1784" w:header="0" w:footer="980" w:gutter="0"/>
          <w:pgNumType w:fmt="decimal"/>
          <w:cols w:space="720" w:num="1"/>
        </w:sectPr>
      </w:pPr>
    </w:p>
    <w:p w14:paraId="44425A40">
      <w:pPr>
        <w:spacing w:before="136" w:line="349" w:lineRule="auto"/>
        <w:ind w:left="25" w:right="51" w:firstLine="45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因发包人违约解除合同的，发包人应在解除合同后</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天内向承包人支付下列金额，承包人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应在此期限内及时向发包人提交要求支付下列金额的有关资料和凭证：</w:t>
      </w:r>
    </w:p>
    <w:p w14:paraId="4D57D544">
      <w:pPr>
        <w:spacing w:before="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(1)</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合同解除日以前所完成工作的价款；</w:t>
      </w:r>
    </w:p>
    <w:p w14:paraId="42DA3A7E">
      <w:pPr>
        <w:spacing w:before="139" w:line="292" w:lineRule="auto"/>
        <w:ind w:left="27" w:right="54"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承包人为该工程施工订购并已付款的材料、工程</w:t>
      </w:r>
      <w:r>
        <w:rPr>
          <w:rFonts w:ascii="宋体" w:hAnsi="宋体" w:eastAsia="宋体" w:cs="宋体"/>
          <w:color w:val="auto"/>
          <w:spacing w:val="7"/>
          <w:sz w:val="19"/>
          <w:szCs w:val="19"/>
          <w:highlight w:val="none"/>
        </w:rPr>
        <w:t>设备和其他物品的金额。发包人付还</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后，该材料、工程设备和其他物品归发包人所有；</w:t>
      </w:r>
    </w:p>
    <w:p w14:paraId="4F83288B">
      <w:pPr>
        <w:spacing w:before="1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承包人为完成工程所发生的，而发包人未支付的金额；</w:t>
      </w:r>
    </w:p>
    <w:p w14:paraId="7C95F5C0">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承包人撤离施工场地以及遣散承包人人员的</w:t>
      </w:r>
      <w:r>
        <w:rPr>
          <w:rFonts w:ascii="宋体" w:hAnsi="宋体" w:eastAsia="宋体" w:cs="宋体"/>
          <w:color w:val="auto"/>
          <w:spacing w:val="5"/>
          <w:sz w:val="19"/>
          <w:szCs w:val="19"/>
          <w:highlight w:val="none"/>
        </w:rPr>
        <w:t>金额；</w:t>
      </w:r>
    </w:p>
    <w:p w14:paraId="15B6F280">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(5)              </w:t>
      </w:r>
      <w:r>
        <w:rPr>
          <w:rFonts w:ascii="宋体" w:hAnsi="宋体" w:eastAsia="宋体" w:cs="宋体"/>
          <w:color w:val="auto"/>
          <w:spacing w:val="3"/>
          <w:sz w:val="19"/>
          <w:szCs w:val="19"/>
          <w:highlight w:val="none"/>
        </w:rPr>
        <w:t>由于解除合同应赔偿的承包人损失；</w:t>
      </w:r>
    </w:p>
    <w:p w14:paraId="3D57B963">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按合同约定在合同解除日前应支付给承包人的其他金额。</w:t>
      </w:r>
    </w:p>
    <w:p w14:paraId="5A9DE5D0">
      <w:pPr>
        <w:spacing w:before="129" w:line="333" w:lineRule="auto"/>
        <w:ind w:left="25" w:right="49" w:firstLine="442"/>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发包人应按本项约定支付上述金额并退还质量保证金和履约担保，但有权要求承包人支付</w:t>
      </w:r>
      <w:r>
        <w:rPr>
          <w:rFonts w:ascii="宋体" w:hAnsi="宋体" w:eastAsia="宋体" w:cs="宋体"/>
          <w:color w:val="auto"/>
          <w:spacing w:val="1"/>
          <w:sz w:val="19"/>
          <w:szCs w:val="19"/>
          <w:highlight w:val="none"/>
        </w:rPr>
        <w:t xml:space="preserve"> </w:t>
      </w:r>
      <w:r>
        <w:rPr>
          <w:rFonts w:ascii="宋体" w:hAnsi="宋体" w:eastAsia="宋体" w:cs="宋体"/>
          <w:color w:val="auto"/>
          <w:spacing w:val="8"/>
          <w:sz w:val="19"/>
          <w:szCs w:val="19"/>
          <w:highlight w:val="none"/>
        </w:rPr>
        <w:t>应偿还给发包人的各项金额。</w:t>
      </w:r>
    </w:p>
    <w:p w14:paraId="18C30F19">
      <w:pPr>
        <w:spacing w:before="33"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22.2.5</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解除合同后的承包人撤离</w:t>
      </w:r>
    </w:p>
    <w:p w14:paraId="6BFBBBEF">
      <w:pPr>
        <w:spacing w:before="111" w:line="323" w:lineRule="auto"/>
        <w:ind w:left="29" w:right="47" w:firstLine="45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因发包人违约而解除合同后，承包人应妥善做好已竣工工程和已</w:t>
      </w:r>
      <w:r>
        <w:rPr>
          <w:rFonts w:ascii="宋体" w:hAnsi="宋体" w:eastAsia="宋体" w:cs="宋体"/>
          <w:color w:val="auto"/>
          <w:spacing w:val="10"/>
          <w:sz w:val="19"/>
          <w:szCs w:val="19"/>
          <w:highlight w:val="none"/>
        </w:rPr>
        <w:t>购材料、设备的保护和移</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交工作，按发包人要求将承包人设备和人员撤出施工场地。承包人撤出施工场地应</w:t>
      </w:r>
      <w:r>
        <w:rPr>
          <w:rFonts w:ascii="宋体" w:hAnsi="宋体" w:eastAsia="宋体" w:cs="宋体"/>
          <w:color w:val="auto"/>
          <w:spacing w:val="3"/>
          <w:sz w:val="19"/>
          <w:szCs w:val="19"/>
          <w:highlight w:val="none"/>
        </w:rPr>
        <w:t>遵 守第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18.</w:t>
      </w:r>
      <w:r>
        <w:rPr>
          <w:rFonts w:ascii="宋体" w:hAnsi="宋体" w:eastAsia="宋体" w:cs="宋体"/>
          <w:color w:val="auto"/>
          <w:spacing w:val="-31"/>
          <w:sz w:val="19"/>
          <w:szCs w:val="19"/>
          <w:highlight w:val="none"/>
        </w:rPr>
        <w:t xml:space="preserve"> </w:t>
      </w:r>
      <w:r>
        <w:rPr>
          <w:rFonts w:ascii="宋体" w:hAnsi="宋体" w:eastAsia="宋体" w:cs="宋体"/>
          <w:color w:val="auto"/>
          <w:spacing w:val="3"/>
          <w:sz w:val="19"/>
          <w:szCs w:val="19"/>
          <w:highlight w:val="none"/>
        </w:rPr>
        <w:t>7.</w:t>
      </w:r>
    </w:p>
    <w:p w14:paraId="78F41730">
      <w:pPr>
        <w:spacing w:before="30" w:line="228" w:lineRule="auto"/>
        <w:ind w:left="4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项的约定，</w:t>
      </w:r>
      <w:r>
        <w:rPr>
          <w:rFonts w:ascii="宋体" w:hAnsi="宋体" w:eastAsia="宋体" w:cs="宋体"/>
          <w:color w:val="auto"/>
          <w:spacing w:val="-47"/>
          <w:sz w:val="19"/>
          <w:szCs w:val="19"/>
          <w:highlight w:val="none"/>
        </w:rPr>
        <w:t xml:space="preserve"> </w:t>
      </w:r>
      <w:r>
        <w:rPr>
          <w:rFonts w:ascii="宋体" w:hAnsi="宋体" w:eastAsia="宋体" w:cs="宋体"/>
          <w:color w:val="auto"/>
          <w:spacing w:val="5"/>
          <w:sz w:val="19"/>
          <w:szCs w:val="19"/>
          <w:highlight w:val="none"/>
        </w:rPr>
        <w:t>发包人应为承包人撤出提供必要条件。</w:t>
      </w:r>
    </w:p>
    <w:p w14:paraId="434D4860">
      <w:pPr>
        <w:spacing w:before="229"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22.3</w:t>
      </w:r>
      <w:r>
        <w:rPr>
          <w:rFonts w:ascii="宋体" w:hAnsi="宋体" w:eastAsia="宋体" w:cs="宋体"/>
          <w:color w:val="auto"/>
          <w:spacing w:val="-48"/>
          <w:sz w:val="28"/>
          <w:szCs w:val="28"/>
          <w:highlight w:val="none"/>
        </w:rPr>
        <w:t xml:space="preserve"> </w:t>
      </w:r>
      <w:r>
        <w:rPr>
          <w:rFonts w:ascii="宋体" w:hAnsi="宋体" w:eastAsia="宋体" w:cs="宋体"/>
          <w:b/>
          <w:bCs/>
          <w:color w:val="auto"/>
          <w:spacing w:val="-5"/>
          <w:sz w:val="28"/>
          <w:szCs w:val="28"/>
          <w:highlight w:val="none"/>
        </w:rPr>
        <w:t>第三人造成的违约</w:t>
      </w:r>
    </w:p>
    <w:p w14:paraId="4EB7B78E">
      <w:pPr>
        <w:spacing w:line="294" w:lineRule="auto"/>
        <w:rPr>
          <w:rFonts w:ascii="Arial"/>
          <w:color w:val="auto"/>
          <w:sz w:val="21"/>
          <w:highlight w:val="none"/>
        </w:rPr>
      </w:pPr>
    </w:p>
    <w:p w14:paraId="276517CF">
      <w:pPr>
        <w:spacing w:before="62" w:line="328" w:lineRule="auto"/>
        <w:ind w:left="32" w:right="49" w:firstLine="431"/>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在履行合同过程中， 一方当事人因第三人</w:t>
      </w:r>
      <w:r>
        <w:rPr>
          <w:rFonts w:ascii="宋体" w:hAnsi="宋体" w:eastAsia="宋体" w:cs="宋体"/>
          <w:color w:val="auto"/>
          <w:spacing w:val="8"/>
          <w:sz w:val="19"/>
          <w:szCs w:val="19"/>
          <w:highlight w:val="none"/>
        </w:rPr>
        <w:t>的原因造成违约的，应当向对方当事人承担违约</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责任。一方当事人和第三人之间的纠纷，依照法律规定或者按照约定解决。</w:t>
      </w:r>
    </w:p>
    <w:p w14:paraId="4B5F9926">
      <w:pPr>
        <w:spacing w:before="225"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23.</w:t>
      </w:r>
      <w:r>
        <w:rPr>
          <w:rFonts w:ascii="宋体" w:hAnsi="宋体" w:eastAsia="宋体" w:cs="宋体"/>
          <w:b/>
          <w:bCs/>
          <w:color w:val="auto"/>
          <w:spacing w:val="2"/>
          <w:sz w:val="31"/>
          <w:szCs w:val="31"/>
          <w:highlight w:val="none"/>
        </w:rPr>
        <w:t>索赔</w:t>
      </w:r>
    </w:p>
    <w:p w14:paraId="21765026">
      <w:pPr>
        <w:spacing w:line="249" w:lineRule="auto"/>
        <w:rPr>
          <w:rFonts w:ascii="Arial"/>
          <w:color w:val="auto"/>
          <w:sz w:val="21"/>
          <w:highlight w:val="none"/>
        </w:rPr>
      </w:pPr>
    </w:p>
    <w:p w14:paraId="7AF3988B">
      <w:pPr>
        <w:spacing w:line="250" w:lineRule="auto"/>
        <w:rPr>
          <w:rFonts w:ascii="Arial"/>
          <w:color w:val="auto"/>
          <w:sz w:val="21"/>
          <w:highlight w:val="none"/>
        </w:rPr>
      </w:pPr>
    </w:p>
    <w:p w14:paraId="4E6CD653">
      <w:pPr>
        <w:spacing w:before="92"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23.1</w:t>
      </w:r>
      <w:r>
        <w:rPr>
          <w:rFonts w:ascii="宋体" w:hAnsi="宋体" w:eastAsia="宋体" w:cs="宋体"/>
          <w:color w:val="auto"/>
          <w:spacing w:val="-48"/>
          <w:sz w:val="28"/>
          <w:szCs w:val="28"/>
          <w:highlight w:val="none"/>
        </w:rPr>
        <w:t xml:space="preserve"> </w:t>
      </w:r>
      <w:r>
        <w:rPr>
          <w:rFonts w:ascii="宋体" w:hAnsi="宋体" w:eastAsia="宋体" w:cs="宋体"/>
          <w:b/>
          <w:bCs/>
          <w:color w:val="auto"/>
          <w:spacing w:val="-5"/>
          <w:sz w:val="28"/>
          <w:szCs w:val="28"/>
          <w:highlight w:val="none"/>
        </w:rPr>
        <w:t>承包人索赔的提出</w:t>
      </w:r>
    </w:p>
    <w:p w14:paraId="6E186F19">
      <w:pPr>
        <w:spacing w:line="306" w:lineRule="auto"/>
        <w:rPr>
          <w:rFonts w:ascii="Arial"/>
          <w:color w:val="auto"/>
          <w:sz w:val="21"/>
          <w:highlight w:val="none"/>
        </w:rPr>
      </w:pPr>
    </w:p>
    <w:p w14:paraId="521F86C6">
      <w:pPr>
        <w:spacing w:before="62" w:line="335" w:lineRule="auto"/>
        <w:ind w:left="26" w:right="46" w:firstLine="41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根据合同约定，承包人认为有权得到追加付款和(或)延长工期的，应按以下程序向发包人</w:t>
      </w:r>
      <w:r>
        <w:rPr>
          <w:rFonts w:ascii="宋体" w:hAnsi="宋体" w:eastAsia="宋体" w:cs="宋体"/>
          <w:color w:val="auto"/>
          <w:spacing w:val="16"/>
          <w:sz w:val="19"/>
          <w:szCs w:val="19"/>
          <w:highlight w:val="none"/>
        </w:rPr>
        <w:t xml:space="preserve"> </w:t>
      </w:r>
      <w:r>
        <w:rPr>
          <w:rFonts w:ascii="宋体" w:hAnsi="宋体" w:eastAsia="宋体" w:cs="宋体"/>
          <w:color w:val="auto"/>
          <w:spacing w:val="5"/>
          <w:sz w:val="19"/>
          <w:szCs w:val="19"/>
          <w:highlight w:val="none"/>
        </w:rPr>
        <w:t>提出索赔：</w:t>
      </w:r>
    </w:p>
    <w:p w14:paraId="762D63EC">
      <w:pPr>
        <w:spacing w:before="33" w:line="311"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承包人应在知道或应当知道索赔事件发生后</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天内，向监理人递交索赔意向通知书，</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并说明发生索赔事件的事由。承包人未在前述</w:t>
      </w:r>
      <w:r>
        <w:rPr>
          <w:rFonts w:ascii="宋体" w:hAnsi="宋体" w:eastAsia="宋体" w:cs="宋体"/>
          <w:color w:val="auto"/>
          <w:spacing w:val="-33"/>
          <w:sz w:val="19"/>
          <w:szCs w:val="19"/>
          <w:highlight w:val="none"/>
        </w:rPr>
        <w:t xml:space="preserve"> </w:t>
      </w:r>
      <w:r>
        <w:rPr>
          <w:rFonts w:ascii="宋体" w:hAnsi="宋体" w:eastAsia="宋体" w:cs="宋体"/>
          <w:color w:val="auto"/>
          <w:spacing w:val="9"/>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天内发出索赔意向</w:t>
      </w:r>
      <w:r>
        <w:rPr>
          <w:rFonts w:ascii="宋体" w:hAnsi="宋体" w:eastAsia="宋体" w:cs="宋体"/>
          <w:color w:val="auto"/>
          <w:spacing w:val="8"/>
          <w:sz w:val="19"/>
          <w:szCs w:val="19"/>
          <w:highlight w:val="none"/>
        </w:rPr>
        <w:t>通知书的，丧失要求追加付</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款和(或)延长工期的权利；</w:t>
      </w:r>
    </w:p>
    <w:p w14:paraId="16959111">
      <w:pPr>
        <w:spacing w:before="123" w:line="305" w:lineRule="auto"/>
        <w:ind w:left="25" w:right="48"/>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承包人应在发出索赔意向通知</w:t>
      </w:r>
      <w:r>
        <w:rPr>
          <w:rFonts w:ascii="宋体" w:hAnsi="宋体" w:eastAsia="宋体" w:cs="宋体"/>
          <w:color w:val="auto"/>
          <w:spacing w:val="7"/>
          <w:sz w:val="19"/>
          <w:szCs w:val="19"/>
          <w:highlight w:val="none"/>
        </w:rPr>
        <w:t>书后</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天内，向监理人正式递交索赔通知书。索赔通</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知书应详细说明索赔理由以及要求追加的付款金额和(或)延长的工期，并附必要的记 录和证明</w:t>
      </w:r>
      <w:r>
        <w:rPr>
          <w:rFonts w:ascii="宋体" w:hAnsi="宋体" w:eastAsia="宋体" w:cs="宋体"/>
          <w:color w:val="auto"/>
          <w:spacing w:val="12"/>
          <w:sz w:val="19"/>
          <w:szCs w:val="19"/>
          <w:highlight w:val="none"/>
        </w:rPr>
        <w:t xml:space="preserve"> </w:t>
      </w:r>
      <w:r>
        <w:rPr>
          <w:rFonts w:ascii="宋体" w:hAnsi="宋体" w:eastAsia="宋体" w:cs="宋体"/>
          <w:color w:val="auto"/>
          <w:spacing w:val="-7"/>
          <w:sz w:val="19"/>
          <w:szCs w:val="19"/>
          <w:highlight w:val="none"/>
        </w:rPr>
        <w:t>材料；</w:t>
      </w:r>
    </w:p>
    <w:p w14:paraId="30D05A90">
      <w:pPr>
        <w:spacing w:before="118" w:line="287" w:lineRule="auto"/>
        <w:ind w:left="27" w:right="51"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索赔事件具有连续影响的，承包人应按合理时间间隔继</w:t>
      </w:r>
      <w:r>
        <w:rPr>
          <w:rFonts w:ascii="宋体" w:hAnsi="宋体" w:eastAsia="宋体" w:cs="宋体"/>
          <w:color w:val="auto"/>
          <w:spacing w:val="7"/>
          <w:sz w:val="19"/>
          <w:szCs w:val="19"/>
          <w:highlight w:val="none"/>
        </w:rPr>
        <w:t>续递交延续索赔通知，说明连</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续影响的实际情况和记录，列出累计的追加付款金额和(或)工期延长天数；</w:t>
      </w:r>
    </w:p>
    <w:p w14:paraId="65386EEC">
      <w:pPr>
        <w:spacing w:before="128" w:line="292" w:lineRule="auto"/>
        <w:ind w:left="28" w:right="124" w:hanging="2"/>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在索赔事件影响结束后的</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天内，承包人应向监理人递交</w:t>
      </w:r>
      <w:r>
        <w:rPr>
          <w:rFonts w:ascii="宋体" w:hAnsi="宋体" w:eastAsia="宋体" w:cs="宋体"/>
          <w:color w:val="auto"/>
          <w:spacing w:val="5"/>
          <w:sz w:val="19"/>
          <w:szCs w:val="19"/>
          <w:highlight w:val="none"/>
        </w:rPr>
        <w:t>最终索赔通知书，</w:t>
      </w:r>
      <w:r>
        <w:rPr>
          <w:rFonts w:ascii="宋体" w:hAnsi="宋体" w:eastAsia="宋体" w:cs="宋体"/>
          <w:color w:val="auto"/>
          <w:spacing w:val="-53"/>
          <w:sz w:val="19"/>
          <w:szCs w:val="19"/>
          <w:highlight w:val="none"/>
        </w:rPr>
        <w:t xml:space="preserve"> </w:t>
      </w:r>
      <w:r>
        <w:rPr>
          <w:rFonts w:ascii="宋体" w:hAnsi="宋体" w:eastAsia="宋体" w:cs="宋体"/>
          <w:color w:val="auto"/>
          <w:spacing w:val="5"/>
          <w:sz w:val="19"/>
          <w:szCs w:val="19"/>
          <w:highlight w:val="none"/>
        </w:rPr>
        <w:t>说明最</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终要求索赔的追加付款金额和延长的工期，</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并附必要的记录和</w:t>
      </w:r>
      <w:r>
        <w:rPr>
          <w:rFonts w:ascii="宋体" w:hAnsi="宋体" w:eastAsia="宋体" w:cs="宋体"/>
          <w:color w:val="auto"/>
          <w:spacing w:val="7"/>
          <w:sz w:val="19"/>
          <w:szCs w:val="19"/>
          <w:highlight w:val="none"/>
        </w:rPr>
        <w:t>证明材料。</w:t>
      </w:r>
    </w:p>
    <w:p w14:paraId="4AAF9FAC">
      <w:pPr>
        <w:spacing w:line="292" w:lineRule="auto"/>
        <w:rPr>
          <w:rFonts w:ascii="宋体" w:hAnsi="宋体" w:eastAsia="宋体" w:cs="宋体"/>
          <w:color w:val="auto"/>
          <w:sz w:val="19"/>
          <w:szCs w:val="19"/>
          <w:highlight w:val="none"/>
        </w:rPr>
        <w:sectPr>
          <w:footerReference r:id="rId110" w:type="default"/>
          <w:pgSz w:w="11900" w:h="16832"/>
          <w:pgMar w:top="1430" w:right="1754" w:bottom="1188" w:left="1784" w:header="0" w:footer="980" w:gutter="0"/>
          <w:pgNumType w:fmt="decimal"/>
          <w:cols w:space="720" w:num="1"/>
        </w:sectPr>
      </w:pPr>
    </w:p>
    <w:p w14:paraId="3BD03B71">
      <w:pPr>
        <w:spacing w:before="56" w:line="220"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23.2</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4"/>
          <w:sz w:val="28"/>
          <w:szCs w:val="28"/>
          <w:highlight w:val="none"/>
        </w:rPr>
        <w:t>承包人索赔处理程序</w:t>
      </w:r>
    </w:p>
    <w:p w14:paraId="624DFFE1">
      <w:pPr>
        <w:spacing w:line="291" w:lineRule="auto"/>
        <w:rPr>
          <w:rFonts w:ascii="Arial"/>
          <w:color w:val="auto"/>
          <w:sz w:val="21"/>
          <w:highlight w:val="none"/>
        </w:rPr>
      </w:pPr>
    </w:p>
    <w:p w14:paraId="5CEBF4A9">
      <w:pPr>
        <w:spacing w:before="62" w:line="283" w:lineRule="auto"/>
        <w:ind w:left="41" w:right="68" w:hanging="15"/>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监理人收到承包人提交的索赔通知书后，应及时审查</w:t>
      </w:r>
      <w:r>
        <w:rPr>
          <w:rFonts w:ascii="宋体" w:hAnsi="宋体" w:eastAsia="宋体" w:cs="宋体"/>
          <w:color w:val="auto"/>
          <w:spacing w:val="6"/>
          <w:sz w:val="19"/>
          <w:szCs w:val="19"/>
          <w:highlight w:val="none"/>
        </w:rPr>
        <w:t>索赔通知书的内容、查验承包人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的记录和证明材料，必要时监理人可要求承包人提交</w:t>
      </w:r>
      <w:r>
        <w:rPr>
          <w:rFonts w:ascii="宋体" w:hAnsi="宋体" w:eastAsia="宋体" w:cs="宋体"/>
          <w:color w:val="auto"/>
          <w:spacing w:val="8"/>
          <w:sz w:val="19"/>
          <w:szCs w:val="19"/>
          <w:highlight w:val="none"/>
        </w:rPr>
        <w:t>全部原始记录副本。</w:t>
      </w:r>
    </w:p>
    <w:p w14:paraId="13CF4DE6">
      <w:pPr>
        <w:spacing w:before="125" w:line="290" w:lineRule="auto"/>
        <w:ind w:left="25" w:right="143"/>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监理人应按第</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款商定或确定追加的付款和(或)延长的工期，并在收到上述索赔</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通知书或有关索赔的进一步证明材料后的</w:t>
      </w:r>
      <w:r>
        <w:rPr>
          <w:rFonts w:ascii="宋体" w:hAnsi="宋体" w:eastAsia="宋体" w:cs="宋体"/>
          <w:color w:val="auto"/>
          <w:spacing w:val="-36"/>
          <w:sz w:val="19"/>
          <w:szCs w:val="19"/>
          <w:highlight w:val="none"/>
        </w:rPr>
        <w:t xml:space="preserve"> </w:t>
      </w:r>
      <w:r>
        <w:rPr>
          <w:rFonts w:ascii="宋体" w:hAnsi="宋体" w:eastAsia="宋体" w:cs="宋体"/>
          <w:color w:val="auto"/>
          <w:spacing w:val="8"/>
          <w:sz w:val="19"/>
          <w:szCs w:val="19"/>
          <w:highlight w:val="none"/>
        </w:rPr>
        <w:t>42</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天内，将索赔处理结果答复承包人。</w:t>
      </w:r>
    </w:p>
    <w:p w14:paraId="2D9E05EE">
      <w:pPr>
        <w:spacing w:before="126" w:line="290" w:lineRule="auto"/>
        <w:ind w:left="25"/>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承包人接受索赔处理结果的，</w:t>
      </w:r>
      <w:r>
        <w:rPr>
          <w:rFonts w:ascii="宋体" w:hAnsi="宋体" w:eastAsia="宋体" w:cs="宋体"/>
          <w:color w:val="auto"/>
          <w:spacing w:val="5"/>
          <w:sz w:val="19"/>
          <w:szCs w:val="19"/>
          <w:highlight w:val="none"/>
        </w:rPr>
        <w:t>发包人应在作出索赔处理结果答复后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天内完成赔付。</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承包人不接受索赔处理结果的，按第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条的</w:t>
      </w:r>
      <w:r>
        <w:rPr>
          <w:rFonts w:ascii="宋体" w:hAnsi="宋体" w:eastAsia="宋体" w:cs="宋体"/>
          <w:color w:val="auto"/>
          <w:spacing w:val="7"/>
          <w:sz w:val="19"/>
          <w:szCs w:val="19"/>
          <w:highlight w:val="none"/>
        </w:rPr>
        <w:t>约定办理。</w:t>
      </w:r>
    </w:p>
    <w:p w14:paraId="6875750A">
      <w:pPr>
        <w:spacing w:before="167" w:line="220"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23.3</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承包人提出索赔的期限</w:t>
      </w:r>
    </w:p>
    <w:p w14:paraId="02BE3E83">
      <w:pPr>
        <w:spacing w:line="304" w:lineRule="auto"/>
        <w:rPr>
          <w:rFonts w:ascii="Arial"/>
          <w:color w:val="auto"/>
          <w:sz w:val="21"/>
          <w:highlight w:val="none"/>
        </w:rPr>
      </w:pPr>
    </w:p>
    <w:p w14:paraId="4A70D551">
      <w:pPr>
        <w:spacing w:before="62" w:line="228" w:lineRule="auto"/>
        <w:ind w:left="22"/>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22.            </w:t>
      </w:r>
      <w:r>
        <w:rPr>
          <w:rFonts w:ascii="宋体" w:hAnsi="宋体" w:eastAsia="宋体" w:cs="宋体"/>
          <w:color w:val="auto"/>
          <w:spacing w:val="6"/>
          <w:sz w:val="19"/>
          <w:szCs w:val="19"/>
          <w:highlight w:val="none"/>
        </w:rPr>
        <w:t>3. 1</w:t>
      </w:r>
      <w:r>
        <w:rPr>
          <w:rFonts w:ascii="宋体" w:hAnsi="宋体" w:eastAsia="宋体" w:cs="宋体"/>
          <w:color w:val="auto"/>
          <w:spacing w:val="-22"/>
          <w:sz w:val="19"/>
          <w:szCs w:val="19"/>
          <w:highlight w:val="none"/>
        </w:rPr>
        <w:t xml:space="preserve"> </w:t>
      </w:r>
      <w:r>
        <w:rPr>
          <w:rFonts w:ascii="宋体" w:hAnsi="宋体" w:eastAsia="宋体" w:cs="宋体"/>
          <w:color w:val="auto"/>
          <w:spacing w:val="6"/>
          <w:sz w:val="19"/>
          <w:szCs w:val="19"/>
          <w:highlight w:val="none"/>
        </w:rPr>
        <w:t>承包人按第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6"/>
          <w:sz w:val="19"/>
          <w:szCs w:val="19"/>
          <w:highlight w:val="none"/>
        </w:rPr>
        <w:t>17. 5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款的约定接受了完工付款证书后，应被认为已无权再提出在合</w:t>
      </w:r>
    </w:p>
    <w:p w14:paraId="5205EA64">
      <w:pPr>
        <w:spacing w:before="127" w:line="228" w:lineRule="auto"/>
        <w:ind w:left="45"/>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同工程完工证书颁发前所发生的任何索赔。</w:t>
      </w:r>
    </w:p>
    <w:p w14:paraId="56044A21">
      <w:pPr>
        <w:spacing w:before="139" w:line="346" w:lineRule="auto"/>
        <w:ind w:left="29" w:right="67" w:firstLine="43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23.3.2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8"/>
          <w:sz w:val="19"/>
          <w:szCs w:val="19"/>
          <w:highlight w:val="none"/>
        </w:rPr>
        <w:t>17. 6</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款的约定提交的</w:t>
      </w:r>
      <w:r>
        <w:rPr>
          <w:rFonts w:ascii="宋体" w:hAnsi="宋体" w:eastAsia="宋体" w:cs="宋体"/>
          <w:color w:val="auto"/>
          <w:spacing w:val="7"/>
          <w:sz w:val="19"/>
          <w:szCs w:val="19"/>
          <w:highlight w:val="none"/>
        </w:rPr>
        <w:t>最终结清申请单中，只限于提出合同工程完工证</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书颁发后发生的索赔。提出索赔的期限自接受最终结清证书时终止。</w:t>
      </w:r>
    </w:p>
    <w:p w14:paraId="00A22FDA">
      <w:pPr>
        <w:spacing w:before="64"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23.4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5"/>
          <w:sz w:val="28"/>
          <w:szCs w:val="28"/>
          <w:highlight w:val="none"/>
        </w:rPr>
        <w:t>发包人的索赔</w:t>
      </w:r>
    </w:p>
    <w:p w14:paraId="3FA555AD">
      <w:pPr>
        <w:spacing w:line="309" w:lineRule="auto"/>
        <w:rPr>
          <w:rFonts w:ascii="Arial"/>
          <w:color w:val="auto"/>
          <w:sz w:val="21"/>
          <w:highlight w:val="none"/>
        </w:rPr>
      </w:pPr>
    </w:p>
    <w:p w14:paraId="7C7EA905">
      <w:pPr>
        <w:spacing w:before="62" w:line="347" w:lineRule="auto"/>
        <w:ind w:left="27" w:right="64" w:firstLine="439"/>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23.4.1</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发生索赔事件后，</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监理人应及时书面通知承包人，详细说明发包人</w:t>
      </w:r>
      <w:r>
        <w:rPr>
          <w:rFonts w:ascii="宋体" w:hAnsi="宋体" w:eastAsia="宋体" w:cs="宋体"/>
          <w:color w:val="auto"/>
          <w:spacing w:val="6"/>
          <w:sz w:val="19"/>
          <w:szCs w:val="19"/>
          <w:highlight w:val="none"/>
        </w:rPr>
        <w:t>有权得到的索赔</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金额和(或)延长缺陷责任期的细节和依据。发包人提出索赔的期限和要求与第</w:t>
      </w:r>
      <w:r>
        <w:rPr>
          <w:rFonts w:ascii="宋体" w:hAnsi="宋体" w:eastAsia="宋体" w:cs="宋体"/>
          <w:color w:val="auto"/>
          <w:spacing w:val="-15"/>
          <w:sz w:val="19"/>
          <w:szCs w:val="19"/>
          <w:highlight w:val="none"/>
        </w:rPr>
        <w:t xml:space="preserve"> </w:t>
      </w:r>
      <w:r>
        <w:rPr>
          <w:rFonts w:ascii="宋体" w:hAnsi="宋体" w:eastAsia="宋体" w:cs="宋体"/>
          <w:color w:val="auto"/>
          <w:spacing w:val="8"/>
          <w:sz w:val="19"/>
          <w:szCs w:val="19"/>
          <w:highlight w:val="none"/>
        </w:rPr>
        <w:t>23.3</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款的约定相</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同，延长缺陷责任期的通知应在缺陷责任期届满前发出。</w:t>
      </w:r>
    </w:p>
    <w:p w14:paraId="2BCCD0A7">
      <w:pPr>
        <w:spacing w:before="30" w:line="347" w:lineRule="auto"/>
        <w:ind w:left="26" w:right="63" w:firstLine="440"/>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23.4.2</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监理人按第</w:t>
      </w:r>
      <w:r>
        <w:rPr>
          <w:rFonts w:ascii="宋体" w:hAnsi="宋体" w:eastAsia="宋体" w:cs="宋体"/>
          <w:color w:val="auto"/>
          <w:spacing w:val="-49"/>
          <w:sz w:val="19"/>
          <w:szCs w:val="19"/>
          <w:highlight w:val="none"/>
        </w:rPr>
        <w:t xml:space="preserve"> </w:t>
      </w:r>
      <w:r>
        <w:rPr>
          <w:rFonts w:ascii="宋体" w:hAnsi="宋体" w:eastAsia="宋体" w:cs="宋体"/>
          <w:color w:val="auto"/>
          <w:spacing w:val="8"/>
          <w:sz w:val="19"/>
          <w:szCs w:val="19"/>
          <w:highlight w:val="none"/>
        </w:rPr>
        <w:t>3.</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5</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款商定或确定发包人</w:t>
      </w:r>
      <w:r>
        <w:rPr>
          <w:rFonts w:ascii="宋体" w:hAnsi="宋体" w:eastAsia="宋体" w:cs="宋体"/>
          <w:color w:val="auto"/>
          <w:spacing w:val="7"/>
          <w:sz w:val="19"/>
          <w:szCs w:val="19"/>
          <w:highlight w:val="none"/>
        </w:rPr>
        <w:t>从承包人处得到赔付的金额和(或)缺陷责任期</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的延长期。承包人应付给发包人的金额可从拟支付给承包人的合同价款中扣</w:t>
      </w:r>
      <w:r>
        <w:rPr>
          <w:rFonts w:ascii="宋体" w:hAnsi="宋体" w:eastAsia="宋体" w:cs="宋体"/>
          <w:color w:val="auto"/>
          <w:spacing w:val="11"/>
          <w:sz w:val="19"/>
          <w:szCs w:val="19"/>
          <w:highlight w:val="none"/>
        </w:rPr>
        <w:t>除, 或由承包人以</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其他方式支付给发包人。</w:t>
      </w:r>
    </w:p>
    <w:p w14:paraId="772EE1DC">
      <w:pPr>
        <w:spacing w:before="21" w:line="336" w:lineRule="auto"/>
        <w:ind w:left="26" w:right="64" w:firstLine="44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23. 4. 3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承包人对监理人按第</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23.4.</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项发出的索赔书面通知内容持异议时，</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应在收到书</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面通知后的 14 天内，将持有异议的书面报告及其证明材料提交监理人。监理人应在收到 承包</w:t>
      </w:r>
      <w:r>
        <w:rPr>
          <w:rFonts w:ascii="宋体" w:hAnsi="宋体" w:eastAsia="宋体" w:cs="宋体"/>
          <w:color w:val="auto"/>
          <w:spacing w:val="2"/>
          <w:sz w:val="19"/>
          <w:szCs w:val="19"/>
          <w:highlight w:val="none"/>
        </w:rPr>
        <w:t xml:space="preserve"> </w:t>
      </w:r>
      <w:r>
        <w:rPr>
          <w:rFonts w:ascii="宋体" w:hAnsi="宋体" w:eastAsia="宋体" w:cs="宋体"/>
          <w:color w:val="auto"/>
          <w:spacing w:val="7"/>
          <w:sz w:val="19"/>
          <w:szCs w:val="19"/>
          <w:highlight w:val="none"/>
        </w:rPr>
        <w:t>人书面报告后的</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天内，将异议的处理意见通知承包人，</w:t>
      </w:r>
      <w:r>
        <w:rPr>
          <w:rFonts w:ascii="宋体" w:hAnsi="宋体" w:eastAsia="宋体" w:cs="宋体"/>
          <w:color w:val="auto"/>
          <w:spacing w:val="6"/>
          <w:sz w:val="19"/>
          <w:szCs w:val="19"/>
          <w:highlight w:val="none"/>
        </w:rPr>
        <w:t>并按第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23.4.2</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项的约定执 行赔付。</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若承包人不接受监理人的索赔处理意见，可按本合同第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8"/>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条的规定办理。</w:t>
      </w:r>
    </w:p>
    <w:p w14:paraId="59E3B590">
      <w:pPr>
        <w:spacing w:before="228"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24.</w:t>
      </w:r>
      <w:r>
        <w:rPr>
          <w:rFonts w:ascii="宋体" w:hAnsi="宋体" w:eastAsia="宋体" w:cs="宋体"/>
          <w:b/>
          <w:bCs/>
          <w:color w:val="auto"/>
          <w:spacing w:val="4"/>
          <w:sz w:val="31"/>
          <w:szCs w:val="31"/>
          <w:highlight w:val="none"/>
        </w:rPr>
        <w:t>争议的解决</w:t>
      </w:r>
    </w:p>
    <w:p w14:paraId="2E3AC7D4">
      <w:pPr>
        <w:spacing w:line="249" w:lineRule="auto"/>
        <w:rPr>
          <w:rFonts w:ascii="Arial"/>
          <w:color w:val="auto"/>
          <w:sz w:val="21"/>
          <w:highlight w:val="none"/>
        </w:rPr>
      </w:pPr>
    </w:p>
    <w:p w14:paraId="22A43CFF">
      <w:pPr>
        <w:spacing w:line="250" w:lineRule="auto"/>
        <w:rPr>
          <w:rFonts w:ascii="Arial"/>
          <w:color w:val="auto"/>
          <w:sz w:val="21"/>
          <w:highlight w:val="none"/>
        </w:rPr>
      </w:pPr>
    </w:p>
    <w:p w14:paraId="6A527DC6">
      <w:pPr>
        <w:spacing w:before="91"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24.1</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5"/>
          <w:sz w:val="28"/>
          <w:szCs w:val="28"/>
          <w:highlight w:val="none"/>
        </w:rPr>
        <w:t>争议的解决方式</w:t>
      </w:r>
    </w:p>
    <w:p w14:paraId="018E8B00">
      <w:pPr>
        <w:spacing w:before="199" w:line="343" w:lineRule="auto"/>
        <w:ind w:left="26" w:right="72" w:firstLine="422"/>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发包人和承包人在履行合同中发生争议的，可以友好协商解决</w:t>
      </w:r>
      <w:r>
        <w:rPr>
          <w:rFonts w:ascii="宋体" w:hAnsi="宋体" w:eastAsia="宋体" w:cs="宋体"/>
          <w:color w:val="auto"/>
          <w:spacing w:val="10"/>
          <w:sz w:val="19"/>
          <w:szCs w:val="19"/>
          <w:highlight w:val="none"/>
        </w:rPr>
        <w:t>或者提请争议评审组评审。</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合同当事人友好协商解决不成、不愿提请争议评审或者不接受争议评审组意见的</w:t>
      </w:r>
      <w:r>
        <w:rPr>
          <w:rFonts w:ascii="宋体" w:hAnsi="宋体" w:eastAsia="宋体" w:cs="宋体"/>
          <w:color w:val="auto"/>
          <w:spacing w:val="11"/>
          <w:sz w:val="19"/>
          <w:szCs w:val="19"/>
          <w:highlight w:val="none"/>
        </w:rPr>
        <w:t>，可在专用合</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同条款中约定下列一种方式解决。</w:t>
      </w:r>
    </w:p>
    <w:p w14:paraId="7A939A7B">
      <w:pPr>
        <w:spacing w:before="2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(1)              </w:t>
      </w:r>
      <w:r>
        <w:rPr>
          <w:rFonts w:ascii="宋体" w:hAnsi="宋体" w:eastAsia="宋体" w:cs="宋体"/>
          <w:color w:val="auto"/>
          <w:spacing w:val="3"/>
          <w:sz w:val="19"/>
          <w:szCs w:val="19"/>
          <w:highlight w:val="none"/>
        </w:rPr>
        <w:t>向约定的仲裁委员会申请仲裁；</w:t>
      </w:r>
    </w:p>
    <w:p w14:paraId="686FB14B">
      <w:pPr>
        <w:spacing w:before="18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(2)              </w:t>
      </w:r>
      <w:r>
        <w:rPr>
          <w:rFonts w:ascii="宋体" w:hAnsi="宋体" w:eastAsia="宋体" w:cs="宋体"/>
          <w:color w:val="auto"/>
          <w:spacing w:val="4"/>
          <w:sz w:val="19"/>
          <w:szCs w:val="19"/>
          <w:highlight w:val="none"/>
        </w:rPr>
        <w:t>向有管辖权</w:t>
      </w:r>
      <w:r>
        <w:rPr>
          <w:rFonts w:ascii="宋体" w:hAnsi="宋体" w:eastAsia="宋体" w:cs="宋体"/>
          <w:color w:val="auto"/>
          <w:spacing w:val="3"/>
          <w:sz w:val="19"/>
          <w:szCs w:val="19"/>
          <w:highlight w:val="none"/>
        </w:rPr>
        <w:t>的人民法院提起诉讼。</w:t>
      </w:r>
    </w:p>
    <w:p w14:paraId="095377B0">
      <w:pPr>
        <w:spacing w:line="222" w:lineRule="auto"/>
        <w:rPr>
          <w:rFonts w:ascii="宋体" w:hAnsi="宋体" w:eastAsia="宋体" w:cs="宋体"/>
          <w:color w:val="auto"/>
          <w:sz w:val="19"/>
          <w:szCs w:val="19"/>
          <w:highlight w:val="none"/>
        </w:rPr>
        <w:sectPr>
          <w:footerReference r:id="rId111" w:type="default"/>
          <w:pgSz w:w="11900" w:h="16832"/>
          <w:pgMar w:top="1423" w:right="1738" w:bottom="1188" w:left="1784" w:header="0" w:footer="980" w:gutter="0"/>
          <w:pgNumType w:fmt="decimal"/>
          <w:cols w:space="720" w:num="1"/>
        </w:sectPr>
      </w:pPr>
    </w:p>
    <w:p w14:paraId="0E9FD79B">
      <w:pPr>
        <w:spacing w:before="56"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24.2</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5"/>
          <w:sz w:val="28"/>
          <w:szCs w:val="28"/>
          <w:highlight w:val="none"/>
        </w:rPr>
        <w:t>友好解决</w:t>
      </w:r>
    </w:p>
    <w:p w14:paraId="7DAE5EFA">
      <w:pPr>
        <w:spacing w:line="295" w:lineRule="auto"/>
        <w:rPr>
          <w:rFonts w:ascii="Arial"/>
          <w:color w:val="auto"/>
          <w:sz w:val="21"/>
          <w:highlight w:val="none"/>
        </w:rPr>
      </w:pPr>
    </w:p>
    <w:p w14:paraId="377ABBC7">
      <w:pPr>
        <w:spacing w:before="61" w:line="323" w:lineRule="auto"/>
        <w:ind w:left="27" w:right="64" w:firstLine="436"/>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在提请争议评审、仲裁或者诉讼前，以及在争议评审、仲裁或诉讼过程中，发包人和承包</w:t>
      </w:r>
      <w:r>
        <w:rPr>
          <w:rFonts w:ascii="宋体" w:hAnsi="宋体" w:eastAsia="宋体" w:cs="宋体"/>
          <w:color w:val="auto"/>
          <w:spacing w:val="5"/>
          <w:sz w:val="19"/>
          <w:szCs w:val="19"/>
          <w:highlight w:val="none"/>
        </w:rPr>
        <w:t xml:space="preserve"> </w:t>
      </w:r>
      <w:r>
        <w:rPr>
          <w:rFonts w:ascii="宋体" w:hAnsi="宋体" w:eastAsia="宋体" w:cs="宋体"/>
          <w:color w:val="auto"/>
          <w:spacing w:val="7"/>
          <w:sz w:val="19"/>
          <w:szCs w:val="19"/>
          <w:highlight w:val="none"/>
        </w:rPr>
        <w:t>人均可共同努力友好协商解决争议。</w:t>
      </w:r>
    </w:p>
    <w:p w14:paraId="1421A6CC">
      <w:pPr>
        <w:spacing w:before="99" w:line="220"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24.3</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6"/>
          <w:sz w:val="28"/>
          <w:szCs w:val="28"/>
          <w:highlight w:val="none"/>
        </w:rPr>
        <w:t>争议评审</w:t>
      </w:r>
    </w:p>
    <w:p w14:paraId="0C0D08F3">
      <w:pPr>
        <w:spacing w:line="317" w:lineRule="auto"/>
        <w:rPr>
          <w:rFonts w:ascii="Arial"/>
          <w:color w:val="auto"/>
          <w:sz w:val="21"/>
          <w:highlight w:val="none"/>
        </w:rPr>
      </w:pPr>
    </w:p>
    <w:p w14:paraId="21C71C39">
      <w:pPr>
        <w:spacing w:before="62" w:line="354" w:lineRule="auto"/>
        <w:ind w:left="25" w:right="63" w:firstLine="441"/>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24.3.1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采用争议评审的，发包人和承包人应在开工日后</w:t>
      </w:r>
      <w:r>
        <w:rPr>
          <w:rFonts w:ascii="宋体" w:hAnsi="宋体" w:eastAsia="宋体" w:cs="宋体"/>
          <w:color w:val="auto"/>
          <w:spacing w:val="5"/>
          <w:sz w:val="19"/>
          <w:szCs w:val="19"/>
          <w:highlight w:val="none"/>
        </w:rPr>
        <w:t>的</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天内或在争议发生后, 协商成</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立争议评审组。争议评审组由有合同管理和工程实践经验的专家组成。</w:t>
      </w:r>
    </w:p>
    <w:p w14:paraId="71006589">
      <w:pPr>
        <w:spacing w:before="15" w:line="333" w:lineRule="auto"/>
        <w:ind w:left="41" w:firstLine="42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24.3.2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合同双方的争议，</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应首先由申请人向争议评审组提交一份详细的评审</w:t>
      </w:r>
      <w:r>
        <w:rPr>
          <w:rFonts w:ascii="宋体" w:hAnsi="宋体" w:eastAsia="宋体" w:cs="宋体"/>
          <w:color w:val="auto"/>
          <w:spacing w:val="6"/>
          <w:sz w:val="19"/>
          <w:szCs w:val="19"/>
          <w:highlight w:val="none"/>
        </w:rPr>
        <w:t>申请报告，并</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附必要的文件、图纸和证明材料，</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申请人还应将上述报告的副本同时提交给被申请人和监</w:t>
      </w:r>
      <w:r>
        <w:rPr>
          <w:rFonts w:ascii="宋体" w:hAnsi="宋体" w:eastAsia="宋体" w:cs="宋体"/>
          <w:color w:val="auto"/>
          <w:spacing w:val="6"/>
          <w:sz w:val="19"/>
          <w:szCs w:val="19"/>
          <w:highlight w:val="none"/>
        </w:rPr>
        <w:t>理人。</w:t>
      </w:r>
    </w:p>
    <w:p w14:paraId="60DB92B4">
      <w:pPr>
        <w:spacing w:before="47" w:line="351" w:lineRule="auto"/>
        <w:ind w:left="24" w:right="64" w:firstLine="44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24.3.3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被申请人在收到申请人评审申请报告副本后的</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w:t>
      </w:r>
      <w:r>
        <w:rPr>
          <w:rFonts w:ascii="宋体" w:hAnsi="宋体" w:eastAsia="宋体" w:cs="宋体"/>
          <w:color w:val="auto"/>
          <w:spacing w:val="5"/>
          <w:sz w:val="19"/>
          <w:szCs w:val="19"/>
          <w:highlight w:val="none"/>
        </w:rPr>
        <w:t>，向争议评审组提交一份答辩</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报告，并附证明材料。被申请人应将答辩报告的副本同时提交给申请人和监</w:t>
      </w:r>
      <w:r>
        <w:rPr>
          <w:rFonts w:ascii="宋体" w:hAnsi="宋体" w:eastAsia="宋体" w:cs="宋体"/>
          <w:color w:val="auto"/>
          <w:spacing w:val="8"/>
          <w:sz w:val="19"/>
          <w:szCs w:val="19"/>
          <w:highlight w:val="none"/>
        </w:rPr>
        <w:t>理人。</w:t>
      </w:r>
    </w:p>
    <w:p w14:paraId="457E985A">
      <w:pPr>
        <w:spacing w:before="23" w:line="344" w:lineRule="auto"/>
        <w:ind w:left="25" w:right="63" w:firstLine="441"/>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24.3.4</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除专用合同条款另有约定外，</w:t>
      </w:r>
      <w:r>
        <w:rPr>
          <w:rFonts w:ascii="宋体" w:hAnsi="宋体" w:eastAsia="宋体" w:cs="宋体"/>
          <w:color w:val="auto"/>
          <w:spacing w:val="-42"/>
          <w:sz w:val="19"/>
          <w:szCs w:val="19"/>
          <w:highlight w:val="none"/>
        </w:rPr>
        <w:t xml:space="preserve"> </w:t>
      </w:r>
      <w:r>
        <w:rPr>
          <w:rFonts w:ascii="宋体" w:hAnsi="宋体" w:eastAsia="宋体" w:cs="宋体"/>
          <w:color w:val="auto"/>
          <w:spacing w:val="6"/>
          <w:sz w:val="19"/>
          <w:szCs w:val="19"/>
          <w:highlight w:val="none"/>
        </w:rPr>
        <w:t>争议</w:t>
      </w:r>
      <w:r>
        <w:rPr>
          <w:rFonts w:ascii="宋体" w:hAnsi="宋体" w:eastAsia="宋体" w:cs="宋体"/>
          <w:color w:val="auto"/>
          <w:spacing w:val="5"/>
          <w:sz w:val="19"/>
          <w:szCs w:val="19"/>
          <w:highlight w:val="none"/>
        </w:rPr>
        <w:t>评审组在收到合同双方报告后的</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邀请</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双方代表和有关人员举行调查会，</w:t>
      </w:r>
      <w:r>
        <w:rPr>
          <w:rFonts w:ascii="宋体" w:hAnsi="宋体" w:eastAsia="宋体" w:cs="宋体"/>
          <w:color w:val="auto"/>
          <w:spacing w:val="-53"/>
          <w:sz w:val="19"/>
          <w:szCs w:val="19"/>
          <w:highlight w:val="none"/>
        </w:rPr>
        <w:t xml:space="preserve"> </w:t>
      </w:r>
      <w:r>
        <w:rPr>
          <w:rFonts w:ascii="宋体" w:hAnsi="宋体" w:eastAsia="宋体" w:cs="宋体"/>
          <w:color w:val="auto"/>
          <w:spacing w:val="11"/>
          <w:sz w:val="19"/>
          <w:szCs w:val="19"/>
          <w:highlight w:val="none"/>
        </w:rPr>
        <w:t>向双方调查争议细节；必要时争议评审组可要求</w:t>
      </w:r>
      <w:r>
        <w:rPr>
          <w:rFonts w:ascii="宋体" w:hAnsi="宋体" w:eastAsia="宋体" w:cs="宋体"/>
          <w:color w:val="auto"/>
          <w:spacing w:val="10"/>
          <w:sz w:val="19"/>
          <w:szCs w:val="19"/>
          <w:highlight w:val="none"/>
        </w:rPr>
        <w:t>双方进一步</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提供补充材料。</w:t>
      </w:r>
    </w:p>
    <w:p w14:paraId="2616AAD2">
      <w:pPr>
        <w:spacing w:before="28" w:line="345" w:lineRule="auto"/>
        <w:ind w:left="28" w:right="64" w:firstLine="43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24.3. 5</w:t>
      </w:r>
      <w:r>
        <w:rPr>
          <w:rFonts w:ascii="宋体" w:hAnsi="宋体" w:eastAsia="宋体" w:cs="宋体"/>
          <w:color w:val="auto"/>
          <w:spacing w:val="-8"/>
          <w:sz w:val="19"/>
          <w:szCs w:val="19"/>
          <w:highlight w:val="none"/>
        </w:rPr>
        <w:t xml:space="preserve"> </w:t>
      </w:r>
      <w:r>
        <w:rPr>
          <w:rFonts w:ascii="宋体" w:hAnsi="宋体" w:eastAsia="宋体" w:cs="宋体"/>
          <w:color w:val="auto"/>
          <w:spacing w:val="7"/>
          <w:sz w:val="19"/>
          <w:szCs w:val="19"/>
          <w:highlight w:val="none"/>
        </w:rPr>
        <w:t>除专用合同条款另有约定外，在调查会结束后的</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天内，争议评审组应在不受任</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何干扰的情况下进行独立、公正的评审，作</w:t>
      </w:r>
      <w:r>
        <w:rPr>
          <w:rFonts w:ascii="宋体" w:hAnsi="宋体" w:eastAsia="宋体" w:cs="宋体"/>
          <w:color w:val="auto"/>
          <w:spacing w:val="11"/>
          <w:sz w:val="19"/>
          <w:szCs w:val="19"/>
          <w:highlight w:val="none"/>
        </w:rPr>
        <w:t>出书面评审意见，并说明理由。在争议评审期间，</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争议双方暂按总监理工程师的确定执行。</w:t>
      </w:r>
    </w:p>
    <w:p w14:paraId="43917044">
      <w:pPr>
        <w:spacing w:before="30" w:line="340" w:lineRule="auto"/>
        <w:ind w:left="26" w:right="66" w:firstLine="440"/>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24.3.6</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发包人和承包人接受评审意见的，由监理人</w:t>
      </w:r>
      <w:r>
        <w:rPr>
          <w:rFonts w:ascii="宋体" w:hAnsi="宋体" w:eastAsia="宋体" w:cs="宋体"/>
          <w:color w:val="auto"/>
          <w:spacing w:val="8"/>
          <w:sz w:val="19"/>
          <w:szCs w:val="19"/>
          <w:highlight w:val="none"/>
        </w:rPr>
        <w:t>根据评审意见拟定执行协议，经争议双</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方签字后作为合同的补充文件，并遵照执行。</w:t>
      </w:r>
    </w:p>
    <w:p w14:paraId="103F5607">
      <w:pPr>
        <w:spacing w:before="25" w:line="339" w:lineRule="auto"/>
        <w:ind w:left="27" w:right="66" w:firstLine="439"/>
        <w:jc w:val="both"/>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24.3.7</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发包人或承包人不接受评审意见，并要求提</w:t>
      </w:r>
      <w:r>
        <w:rPr>
          <w:rFonts w:ascii="宋体" w:hAnsi="宋体" w:eastAsia="宋体" w:cs="宋体"/>
          <w:color w:val="auto"/>
          <w:spacing w:val="8"/>
          <w:sz w:val="19"/>
          <w:szCs w:val="19"/>
          <w:highlight w:val="none"/>
        </w:rPr>
        <w:t>交仲裁或提起诉讼的，应在收到评审意</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见后的</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天内将仲裁或起诉意向书面通知另一方，并抄送监理人，但在仲裁或诉讼结束前应暂</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按总监理工程师的确定执行。</w:t>
      </w:r>
    </w:p>
    <w:p w14:paraId="1A4F4357">
      <w:pPr>
        <w:spacing w:before="96" w:line="220"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24.4</w:t>
      </w:r>
      <w:r>
        <w:rPr>
          <w:rFonts w:ascii="宋体" w:hAnsi="宋体" w:eastAsia="宋体" w:cs="宋体"/>
          <w:color w:val="auto"/>
          <w:spacing w:val="-56"/>
          <w:sz w:val="28"/>
          <w:szCs w:val="28"/>
          <w:highlight w:val="none"/>
        </w:rPr>
        <w:t xml:space="preserve"> </w:t>
      </w:r>
      <w:r>
        <w:rPr>
          <w:rFonts w:ascii="宋体" w:hAnsi="宋体" w:eastAsia="宋体" w:cs="宋体"/>
          <w:b/>
          <w:bCs/>
          <w:color w:val="auto"/>
          <w:spacing w:val="-6"/>
          <w:sz w:val="28"/>
          <w:szCs w:val="28"/>
          <w:highlight w:val="none"/>
        </w:rPr>
        <w:t>仲裁</w:t>
      </w:r>
    </w:p>
    <w:p w14:paraId="6F1DB9D8">
      <w:pPr>
        <w:spacing w:before="279" w:line="228" w:lineRule="auto"/>
        <w:ind w:left="44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24.4.1</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若合同双方商定直接向仲裁机构申请仲裁，</w:t>
      </w:r>
      <w:r>
        <w:rPr>
          <w:rFonts w:ascii="宋体" w:hAnsi="宋体" w:eastAsia="宋体" w:cs="宋体"/>
          <w:color w:val="auto"/>
          <w:spacing w:val="-56"/>
          <w:sz w:val="19"/>
          <w:szCs w:val="19"/>
          <w:highlight w:val="none"/>
        </w:rPr>
        <w:t xml:space="preserve"> </w:t>
      </w:r>
      <w:r>
        <w:rPr>
          <w:rFonts w:ascii="宋体" w:hAnsi="宋体" w:eastAsia="宋体" w:cs="宋体"/>
          <w:color w:val="auto"/>
          <w:spacing w:val="7"/>
          <w:sz w:val="19"/>
          <w:szCs w:val="19"/>
          <w:highlight w:val="none"/>
        </w:rPr>
        <w:t>应签订仲裁协议并约定仲裁机构。</w:t>
      </w:r>
    </w:p>
    <w:p w14:paraId="4C3323ED">
      <w:pPr>
        <w:spacing w:before="274" w:line="345" w:lineRule="auto"/>
        <w:ind w:left="38" w:right="66" w:firstLine="42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24.4.2</w:t>
      </w:r>
      <w:r>
        <w:rPr>
          <w:rFonts w:ascii="宋体" w:hAnsi="宋体" w:eastAsia="宋体" w:cs="宋体"/>
          <w:color w:val="auto"/>
          <w:spacing w:val="-29"/>
          <w:sz w:val="19"/>
          <w:szCs w:val="19"/>
          <w:highlight w:val="none"/>
        </w:rPr>
        <w:t xml:space="preserve"> </w:t>
      </w:r>
      <w:r>
        <w:rPr>
          <w:rFonts w:ascii="宋体" w:hAnsi="宋体" w:eastAsia="宋体" w:cs="宋体"/>
          <w:color w:val="auto"/>
          <w:spacing w:val="9"/>
          <w:sz w:val="19"/>
          <w:szCs w:val="19"/>
          <w:highlight w:val="none"/>
        </w:rPr>
        <w:t>若合同双方未能达成仲裁协议，则本合同的仲裁</w:t>
      </w:r>
      <w:r>
        <w:rPr>
          <w:rFonts w:ascii="宋体" w:hAnsi="宋体" w:eastAsia="宋体" w:cs="宋体"/>
          <w:color w:val="auto"/>
          <w:spacing w:val="8"/>
          <w:sz w:val="19"/>
          <w:szCs w:val="19"/>
          <w:highlight w:val="none"/>
        </w:rPr>
        <w:t>条款无效，任一方均有权向人民法</w:t>
      </w:r>
      <w:r>
        <w:rPr>
          <w:rFonts w:ascii="宋体" w:hAnsi="宋体" w:eastAsia="宋体" w:cs="宋体"/>
          <w:color w:val="auto"/>
          <w:sz w:val="19"/>
          <w:szCs w:val="19"/>
          <w:highlight w:val="none"/>
        </w:rPr>
        <w:t xml:space="preserve"> </w:t>
      </w:r>
      <w:r>
        <w:rPr>
          <w:rFonts w:ascii="宋体" w:hAnsi="宋体" w:eastAsia="宋体" w:cs="宋体"/>
          <w:color w:val="auto"/>
          <w:spacing w:val="1"/>
          <w:sz w:val="19"/>
          <w:szCs w:val="19"/>
          <w:highlight w:val="none"/>
        </w:rPr>
        <w:t>院提起诉讼。</w:t>
      </w:r>
    </w:p>
    <w:p w14:paraId="6B770C7B">
      <w:pPr>
        <w:spacing w:line="345" w:lineRule="auto"/>
        <w:rPr>
          <w:rFonts w:ascii="宋体" w:hAnsi="宋体" w:eastAsia="宋体" w:cs="宋体"/>
          <w:color w:val="auto"/>
          <w:sz w:val="19"/>
          <w:szCs w:val="19"/>
          <w:highlight w:val="none"/>
        </w:rPr>
        <w:sectPr>
          <w:footerReference r:id="rId112" w:type="default"/>
          <w:pgSz w:w="11900" w:h="16832"/>
          <w:pgMar w:top="1423" w:right="1739" w:bottom="1188" w:left="1784" w:header="0" w:footer="980" w:gutter="0"/>
          <w:pgNumType w:fmt="decimal"/>
          <w:cols w:space="720" w:num="1"/>
        </w:sectPr>
      </w:pPr>
    </w:p>
    <w:p w14:paraId="6C43654F">
      <w:pPr>
        <w:spacing w:before="177" w:line="225" w:lineRule="auto"/>
        <w:ind w:left="30"/>
        <w:jc w:val="center"/>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第二节专用合同条款</w:t>
      </w:r>
    </w:p>
    <w:p w14:paraId="7E7355B3">
      <w:pPr>
        <w:spacing w:line="248" w:lineRule="auto"/>
        <w:jc w:val="center"/>
        <w:rPr>
          <w:rFonts w:ascii="Arial"/>
          <w:color w:val="auto"/>
          <w:sz w:val="21"/>
          <w:highlight w:val="none"/>
        </w:rPr>
      </w:pPr>
    </w:p>
    <w:p w14:paraId="6B5AC1D1">
      <w:pPr>
        <w:spacing w:line="249" w:lineRule="auto"/>
        <w:jc w:val="center"/>
        <w:rPr>
          <w:rFonts w:ascii="Arial"/>
          <w:color w:val="auto"/>
          <w:sz w:val="21"/>
          <w:highlight w:val="none"/>
        </w:rPr>
      </w:pPr>
    </w:p>
    <w:p w14:paraId="4143B7A9">
      <w:pPr>
        <w:spacing w:before="100"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1.</w:t>
      </w:r>
      <w:r>
        <w:rPr>
          <w:rFonts w:ascii="Cambria" w:hAnsi="Cambria" w:eastAsia="Cambria" w:cs="Cambria"/>
          <w:b/>
          <w:bCs/>
          <w:color w:val="auto"/>
          <w:spacing w:val="22"/>
          <w:sz w:val="31"/>
          <w:szCs w:val="31"/>
          <w:highlight w:val="none"/>
        </w:rPr>
        <w:t xml:space="preserve">  </w:t>
      </w:r>
      <w:r>
        <w:rPr>
          <w:rFonts w:ascii="宋体" w:hAnsi="宋体" w:eastAsia="宋体" w:cs="宋体"/>
          <w:b/>
          <w:bCs/>
          <w:color w:val="auto"/>
          <w:spacing w:val="-1"/>
          <w:sz w:val="31"/>
          <w:szCs w:val="31"/>
          <w:highlight w:val="none"/>
        </w:rPr>
        <w:t>一般约定</w:t>
      </w:r>
    </w:p>
    <w:p w14:paraId="144A4070">
      <w:pPr>
        <w:spacing w:line="259" w:lineRule="auto"/>
        <w:rPr>
          <w:rFonts w:ascii="Arial"/>
          <w:color w:val="auto"/>
          <w:sz w:val="21"/>
          <w:highlight w:val="none"/>
        </w:rPr>
      </w:pPr>
    </w:p>
    <w:p w14:paraId="7F22AD6F">
      <w:pPr>
        <w:spacing w:line="259" w:lineRule="auto"/>
        <w:rPr>
          <w:rFonts w:ascii="Arial"/>
          <w:color w:val="auto"/>
          <w:sz w:val="21"/>
          <w:highlight w:val="none"/>
        </w:rPr>
      </w:pPr>
    </w:p>
    <w:p w14:paraId="42F4E97E">
      <w:pPr>
        <w:spacing w:before="62" w:line="229" w:lineRule="auto"/>
        <w:ind w:left="40"/>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1.1</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1"/>
          <w:sz w:val="19"/>
          <w:szCs w:val="19"/>
          <w:highlight w:val="none"/>
        </w:rPr>
        <w:t>词语定义</w:t>
      </w:r>
    </w:p>
    <w:p w14:paraId="4BEA7D27">
      <w:pPr>
        <w:spacing w:before="143" w:line="229"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1.1.2</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合同当事人和人员</w:t>
      </w:r>
    </w:p>
    <w:p w14:paraId="088F4FED">
      <w:pPr>
        <w:spacing w:before="143" w:line="229" w:lineRule="auto"/>
        <w:ind w:left="479"/>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17"/>
          <w:sz w:val="19"/>
          <w:szCs w:val="19"/>
          <w:highlight w:val="none"/>
        </w:rPr>
        <w:t xml:space="preserve"> </w:t>
      </w:r>
      <w:r>
        <w:rPr>
          <w:rFonts w:ascii="宋体" w:hAnsi="宋体" w:eastAsia="宋体" w:cs="宋体"/>
          <w:color w:val="auto"/>
          <w:spacing w:val="-3"/>
          <w:sz w:val="19"/>
          <w:szCs w:val="19"/>
          <w:highlight w:val="none"/>
        </w:rPr>
        <w:t>2.</w:t>
      </w:r>
      <w:r>
        <w:rPr>
          <w:rFonts w:ascii="宋体" w:hAnsi="宋体" w:eastAsia="宋体" w:cs="宋体"/>
          <w:color w:val="auto"/>
          <w:spacing w:val="18"/>
          <w:sz w:val="19"/>
          <w:szCs w:val="19"/>
          <w:highlight w:val="none"/>
        </w:rPr>
        <w:t xml:space="preserve"> </w:t>
      </w:r>
      <w:r>
        <w:rPr>
          <w:rFonts w:ascii="宋体" w:hAnsi="宋体" w:eastAsia="宋体" w:cs="宋体"/>
          <w:color w:val="auto"/>
          <w:spacing w:val="-3"/>
          <w:sz w:val="19"/>
          <w:szCs w:val="19"/>
          <w:highlight w:val="none"/>
        </w:rPr>
        <w:t>2</w:t>
      </w:r>
      <w:r>
        <w:rPr>
          <w:rFonts w:ascii="宋体" w:hAnsi="宋体" w:eastAsia="宋体" w:cs="宋体"/>
          <w:color w:val="auto"/>
          <w:spacing w:val="16"/>
          <w:sz w:val="19"/>
          <w:szCs w:val="19"/>
          <w:highlight w:val="none"/>
        </w:rPr>
        <w:t xml:space="preserve"> </w:t>
      </w:r>
      <w:r>
        <w:rPr>
          <w:rFonts w:ascii="宋体" w:hAnsi="宋体" w:eastAsia="宋体" w:cs="宋体"/>
          <w:color w:val="auto"/>
          <w:spacing w:val="-3"/>
          <w:sz w:val="19"/>
          <w:szCs w:val="19"/>
          <w:highlight w:val="none"/>
        </w:rPr>
        <w:t>发包人：</w:t>
      </w:r>
      <w:r>
        <w:rPr>
          <w:rFonts w:ascii="宋体" w:hAnsi="宋体" w:eastAsia="宋体" w:cs="宋体"/>
          <w:color w:val="auto"/>
          <w:spacing w:val="-69"/>
          <w:sz w:val="19"/>
          <w:szCs w:val="19"/>
          <w:highlight w:val="none"/>
        </w:rPr>
        <w:t xml:space="preserve">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3"/>
          <w:sz w:val="19"/>
          <w:szCs w:val="19"/>
          <w:highlight w:val="none"/>
        </w:rPr>
        <w:t>。</w:t>
      </w:r>
    </w:p>
    <w:p w14:paraId="23657EB1">
      <w:pPr>
        <w:spacing w:before="125" w:line="228" w:lineRule="auto"/>
        <w:ind w:left="47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17"/>
          <w:sz w:val="19"/>
          <w:szCs w:val="19"/>
          <w:highlight w:val="none"/>
        </w:rPr>
        <w:t xml:space="preserve"> </w:t>
      </w:r>
      <w:r>
        <w:rPr>
          <w:rFonts w:ascii="宋体" w:hAnsi="宋体" w:eastAsia="宋体" w:cs="宋体"/>
          <w:color w:val="auto"/>
          <w:spacing w:val="-2"/>
          <w:sz w:val="19"/>
          <w:szCs w:val="19"/>
          <w:highlight w:val="none"/>
        </w:rPr>
        <w:t>2.</w:t>
      </w:r>
      <w:r>
        <w:rPr>
          <w:rFonts w:ascii="宋体" w:hAnsi="宋体" w:eastAsia="宋体" w:cs="宋体"/>
          <w:color w:val="auto"/>
          <w:spacing w:val="19"/>
          <w:sz w:val="19"/>
          <w:szCs w:val="19"/>
          <w:highlight w:val="none"/>
        </w:rPr>
        <w:t xml:space="preserve"> </w:t>
      </w:r>
      <w:r>
        <w:rPr>
          <w:rFonts w:ascii="宋体" w:hAnsi="宋体" w:eastAsia="宋体" w:cs="宋体"/>
          <w:color w:val="auto"/>
          <w:spacing w:val="-2"/>
          <w:sz w:val="19"/>
          <w:szCs w:val="19"/>
          <w:highlight w:val="none"/>
        </w:rPr>
        <w:t>3 承包人：</w:t>
      </w:r>
      <w:r>
        <w:rPr>
          <w:rFonts w:ascii="宋体" w:hAnsi="宋体" w:eastAsia="宋体" w:cs="宋体"/>
          <w:color w:val="auto"/>
          <w:spacing w:val="-63"/>
          <w:sz w:val="19"/>
          <w:szCs w:val="19"/>
          <w:highlight w:val="none"/>
        </w:rPr>
        <w:t xml:space="preserve"> </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2"/>
          <w:sz w:val="19"/>
          <w:szCs w:val="19"/>
          <w:highlight w:val="none"/>
        </w:rPr>
        <w:t>。</w:t>
      </w:r>
    </w:p>
    <w:p w14:paraId="1D31A2AA">
      <w:pPr>
        <w:spacing w:before="125"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1. 2. 5</w:t>
      </w:r>
      <w:r>
        <w:rPr>
          <w:rFonts w:ascii="宋体" w:hAnsi="宋体" w:eastAsia="宋体" w:cs="宋体"/>
          <w:color w:val="auto"/>
          <w:spacing w:val="14"/>
          <w:sz w:val="19"/>
          <w:szCs w:val="19"/>
          <w:highlight w:val="none"/>
        </w:rPr>
        <w:t xml:space="preserve"> </w:t>
      </w:r>
      <w:r>
        <w:rPr>
          <w:rFonts w:ascii="宋体" w:hAnsi="宋体" w:eastAsia="宋体" w:cs="宋体"/>
          <w:color w:val="auto"/>
          <w:spacing w:val="5"/>
          <w:sz w:val="19"/>
          <w:szCs w:val="19"/>
          <w:highlight w:val="none"/>
        </w:rPr>
        <w:t>分包人:</w:t>
      </w:r>
      <w:r>
        <w:rPr>
          <w:rFonts w:hint="eastAsia" w:ascii="宋体" w:hAnsi="宋体" w:eastAsia="宋体" w:cs="宋体"/>
          <w:color w:val="auto"/>
          <w:spacing w:val="5"/>
          <w:sz w:val="19"/>
          <w:szCs w:val="19"/>
          <w:highlight w:val="none"/>
          <w:u w:val="single" w:color="auto"/>
          <w:lang w:val="en-US" w:eastAsia="zh-CN"/>
        </w:rPr>
        <w:t xml:space="preserve">       </w:t>
      </w:r>
      <w:r>
        <w:rPr>
          <w:rFonts w:ascii="宋体" w:hAnsi="宋体" w:eastAsia="宋体" w:cs="宋体"/>
          <w:color w:val="auto"/>
          <w:spacing w:val="5"/>
          <w:sz w:val="19"/>
          <w:szCs w:val="19"/>
          <w:highlight w:val="none"/>
        </w:rPr>
        <w:t>。</w:t>
      </w:r>
    </w:p>
    <w:p w14:paraId="2B395170">
      <w:pPr>
        <w:spacing w:before="126" w:line="288" w:lineRule="auto"/>
        <w:ind w:left="479" w:right="4081"/>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w:t>
      </w:r>
      <w:r>
        <w:rPr>
          <w:rFonts w:ascii="宋体" w:hAnsi="宋体" w:eastAsia="宋体" w:cs="宋体"/>
          <w:color w:val="auto"/>
          <w:spacing w:val="39"/>
          <w:sz w:val="19"/>
          <w:szCs w:val="19"/>
          <w:highlight w:val="none"/>
        </w:rPr>
        <w:t xml:space="preserve"> </w:t>
      </w:r>
      <w:r>
        <w:rPr>
          <w:rFonts w:ascii="宋体" w:hAnsi="宋体" w:eastAsia="宋体" w:cs="宋体"/>
          <w:color w:val="auto"/>
          <w:spacing w:val="-4"/>
          <w:sz w:val="19"/>
          <w:szCs w:val="19"/>
          <w:highlight w:val="none"/>
        </w:rPr>
        <w:t>1.2.6</w:t>
      </w:r>
      <w:r>
        <w:rPr>
          <w:rFonts w:ascii="宋体" w:hAnsi="宋体" w:eastAsia="宋体" w:cs="宋体"/>
          <w:color w:val="auto"/>
          <w:spacing w:val="17"/>
          <w:sz w:val="19"/>
          <w:szCs w:val="19"/>
          <w:highlight w:val="none"/>
        </w:rPr>
        <w:t xml:space="preserve"> </w:t>
      </w:r>
      <w:r>
        <w:rPr>
          <w:rFonts w:ascii="宋体" w:hAnsi="宋体" w:eastAsia="宋体" w:cs="宋体"/>
          <w:color w:val="auto"/>
          <w:spacing w:val="-4"/>
          <w:sz w:val="19"/>
          <w:szCs w:val="19"/>
          <w:highlight w:val="none"/>
        </w:rPr>
        <w:t>监理人：</w:t>
      </w:r>
      <w:r>
        <w:rPr>
          <w:rFonts w:ascii="宋体" w:hAnsi="宋体" w:eastAsia="宋体" w:cs="宋体"/>
          <w:color w:val="auto"/>
          <w:spacing w:val="-67"/>
          <w:sz w:val="19"/>
          <w:szCs w:val="19"/>
          <w:highlight w:val="none"/>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4"/>
          <w:sz w:val="19"/>
          <w:szCs w:val="19"/>
          <w:highlight w:val="none"/>
        </w:rPr>
        <w:t>。</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1.1.4</w:t>
      </w:r>
      <w:r>
        <w:rPr>
          <w:rFonts w:ascii="宋体" w:hAnsi="宋体" w:eastAsia="宋体" w:cs="宋体"/>
          <w:color w:val="auto"/>
          <w:spacing w:val="55"/>
          <w:sz w:val="19"/>
          <w:szCs w:val="19"/>
          <w:highlight w:val="none"/>
        </w:rPr>
        <w:t xml:space="preserve"> </w:t>
      </w:r>
      <w:r>
        <w:rPr>
          <w:rFonts w:ascii="宋体" w:hAnsi="宋体" w:eastAsia="宋体" w:cs="宋体"/>
          <w:color w:val="auto"/>
          <w:spacing w:val="-2"/>
          <w:sz w:val="19"/>
          <w:szCs w:val="19"/>
          <w:highlight w:val="none"/>
        </w:rPr>
        <w:t>日期：</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2"/>
          <w:sz w:val="19"/>
          <w:szCs w:val="19"/>
          <w:highlight w:val="none"/>
        </w:rPr>
        <w:t>。</w:t>
      </w:r>
    </w:p>
    <w:p w14:paraId="0EFAEE5D">
      <w:pPr>
        <w:spacing w:before="127" w:line="303" w:lineRule="auto"/>
        <w:ind w:left="27" w:right="24"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1. 1.4. 5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缺陷责任期(工程质量保修期):</w:t>
      </w:r>
      <w:r>
        <w:rPr>
          <w:rFonts w:ascii="宋体" w:hAnsi="宋体" w:eastAsia="宋体" w:cs="宋体"/>
          <w:color w:val="auto"/>
          <w:spacing w:val="8"/>
          <w:sz w:val="19"/>
          <w:szCs w:val="19"/>
          <w:highlight w:val="none"/>
          <w:u w:val="single" w:color="auto"/>
        </w:rPr>
        <w:t>双方约定本项目的质量保修期为</w:t>
      </w:r>
      <w:r>
        <w:rPr>
          <w:rFonts w:ascii="宋体" w:hAnsi="宋体" w:eastAsia="宋体" w:cs="宋体"/>
          <w:color w:val="auto"/>
          <w:spacing w:val="7"/>
          <w:sz w:val="19"/>
          <w:szCs w:val="19"/>
          <w:highlight w:val="none"/>
          <w:u w:val="single" w:color="auto"/>
        </w:rPr>
        <w:t>竣工验收日</w:t>
      </w:r>
      <w:r>
        <w:rPr>
          <w:rFonts w:hint="eastAsia" w:ascii="宋体" w:hAnsi="宋体" w:eastAsia="宋体" w:cs="宋体"/>
          <w:color w:val="auto"/>
          <w:spacing w:val="7"/>
          <w:sz w:val="19"/>
          <w:szCs w:val="19"/>
          <w:highlight w:val="none"/>
          <w:u w:val="single" w:color="auto"/>
          <w:lang w:eastAsia="zh-CN"/>
        </w:rPr>
        <w:t>起</w:t>
      </w:r>
      <w:r>
        <w:rPr>
          <w:rFonts w:ascii="宋体" w:hAnsi="宋体" w:eastAsia="宋体" w:cs="宋体"/>
          <w:color w:val="auto"/>
          <w:spacing w:val="7"/>
          <w:sz w:val="19"/>
          <w:szCs w:val="19"/>
          <w:highlight w:val="none"/>
          <w:u w:val="single" w:color="auto"/>
        </w:rPr>
        <w:t>至通过竣工验收后一年</w:t>
      </w:r>
      <w:r>
        <w:rPr>
          <w:rFonts w:ascii="宋体" w:hAnsi="宋体" w:eastAsia="宋体" w:cs="宋体"/>
          <w:color w:val="auto"/>
          <w:spacing w:val="7"/>
          <w:sz w:val="19"/>
          <w:szCs w:val="19"/>
          <w:highlight w:val="none"/>
        </w:rPr>
        <w:t>。</w:t>
      </w:r>
    </w:p>
    <w:p w14:paraId="06CCC37C">
      <w:pPr>
        <w:spacing w:line="330" w:lineRule="auto"/>
        <w:rPr>
          <w:rFonts w:ascii="Arial"/>
          <w:color w:val="auto"/>
          <w:sz w:val="21"/>
          <w:highlight w:val="none"/>
        </w:rPr>
      </w:pPr>
    </w:p>
    <w:p w14:paraId="5AD87A37">
      <w:pPr>
        <w:spacing w:before="62" w:line="228" w:lineRule="auto"/>
        <w:ind w:left="40"/>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1.4</w:t>
      </w:r>
      <w:r>
        <w:rPr>
          <w:rFonts w:ascii="宋体" w:hAnsi="宋体" w:eastAsia="宋体" w:cs="宋体"/>
          <w:color w:val="auto"/>
          <w:spacing w:val="-27"/>
          <w:sz w:val="19"/>
          <w:szCs w:val="19"/>
          <w:highlight w:val="none"/>
        </w:rPr>
        <w:t xml:space="preserve"> </w:t>
      </w:r>
      <w:r>
        <w:rPr>
          <w:rFonts w:ascii="宋体" w:hAnsi="宋体" w:eastAsia="宋体" w:cs="宋体"/>
          <w:b/>
          <w:bCs/>
          <w:color w:val="auto"/>
          <w:spacing w:val="4"/>
          <w:sz w:val="19"/>
          <w:szCs w:val="19"/>
          <w:highlight w:val="none"/>
        </w:rPr>
        <w:t>合同文件的优先顺序</w:t>
      </w:r>
    </w:p>
    <w:p w14:paraId="28B073CB">
      <w:pPr>
        <w:spacing w:before="144" w:line="228" w:lineRule="auto"/>
        <w:ind w:left="46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进入合同的各项文件及其优先顺序如下：</w:t>
      </w:r>
    </w:p>
    <w:p w14:paraId="4B7859D6">
      <w:pPr>
        <w:spacing w:before="14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合同协议书(包括补充协议、合</w:t>
      </w:r>
      <w:r>
        <w:rPr>
          <w:rFonts w:ascii="宋体" w:hAnsi="宋体" w:eastAsia="宋体" w:cs="宋体"/>
          <w:color w:val="auto"/>
          <w:spacing w:val="5"/>
          <w:sz w:val="19"/>
          <w:szCs w:val="19"/>
          <w:highlight w:val="none"/>
        </w:rPr>
        <w:t>同谈判备忘录)；</w:t>
      </w:r>
    </w:p>
    <w:p w14:paraId="5CDC246A">
      <w:pPr>
        <w:spacing w:before="1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(2)</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1"/>
          <w:sz w:val="19"/>
          <w:szCs w:val="19"/>
          <w:highlight w:val="none"/>
        </w:rPr>
        <w:t>成交通知书；</w:t>
      </w:r>
    </w:p>
    <w:p w14:paraId="0F6063D1">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(3)              </w:t>
      </w:r>
      <w:r>
        <w:rPr>
          <w:rFonts w:ascii="宋体" w:hAnsi="宋体" w:eastAsia="宋体" w:cs="宋体"/>
          <w:color w:val="auto"/>
          <w:spacing w:val="3"/>
          <w:sz w:val="19"/>
          <w:szCs w:val="19"/>
          <w:highlight w:val="none"/>
        </w:rPr>
        <w:t>磋商函及磋商函附录；</w:t>
      </w:r>
    </w:p>
    <w:p w14:paraId="6261B715">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专用合同</w:t>
      </w:r>
      <w:r>
        <w:rPr>
          <w:rFonts w:ascii="宋体" w:hAnsi="宋体" w:eastAsia="宋体" w:cs="宋体"/>
          <w:color w:val="auto"/>
          <w:spacing w:val="4"/>
          <w:sz w:val="19"/>
          <w:szCs w:val="19"/>
          <w:highlight w:val="none"/>
        </w:rPr>
        <w:t>条款(含附加条款)；</w:t>
      </w:r>
    </w:p>
    <w:p w14:paraId="525A9AAF">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(5)</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1"/>
          <w:sz w:val="19"/>
          <w:szCs w:val="19"/>
          <w:highlight w:val="none"/>
        </w:rPr>
        <w:t>通用合同条款；</w:t>
      </w:r>
    </w:p>
    <w:p w14:paraId="4ABD9ABF">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(6)              </w:t>
      </w:r>
      <w:r>
        <w:rPr>
          <w:rFonts w:ascii="宋体" w:hAnsi="宋体" w:eastAsia="宋体" w:cs="宋体"/>
          <w:color w:val="auto"/>
          <w:spacing w:val="5"/>
          <w:sz w:val="19"/>
          <w:szCs w:val="19"/>
          <w:highlight w:val="none"/>
        </w:rPr>
        <w:t>技术标准和要求(合同技术条款)；</w:t>
      </w:r>
    </w:p>
    <w:p w14:paraId="2650F85F">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(7)</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5"/>
          <w:sz w:val="19"/>
          <w:szCs w:val="19"/>
          <w:highlight w:val="none"/>
        </w:rPr>
        <w:t>图纸；</w:t>
      </w:r>
    </w:p>
    <w:p w14:paraId="611B30A2">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(8)</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2"/>
          <w:sz w:val="19"/>
          <w:szCs w:val="19"/>
          <w:highlight w:val="none"/>
        </w:rPr>
        <w:t>已标价工程量清单；</w:t>
      </w:r>
    </w:p>
    <w:p w14:paraId="10739D24">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(9)              </w:t>
      </w:r>
      <w:r>
        <w:rPr>
          <w:rFonts w:ascii="宋体" w:hAnsi="宋体" w:eastAsia="宋体" w:cs="宋体"/>
          <w:color w:val="auto"/>
          <w:spacing w:val="3"/>
          <w:sz w:val="19"/>
          <w:szCs w:val="19"/>
          <w:highlight w:val="none"/>
        </w:rPr>
        <w:t>响应文件其他内容；</w:t>
      </w:r>
    </w:p>
    <w:p w14:paraId="58F3A378">
      <w:pPr>
        <w:spacing w:before="13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(10)</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3"/>
          <w:sz w:val="19"/>
          <w:szCs w:val="19"/>
          <w:highlight w:val="none"/>
        </w:rPr>
        <w:t>其他合同文件。</w:t>
      </w:r>
    </w:p>
    <w:p w14:paraId="35067118">
      <w:pPr>
        <w:spacing w:before="270" w:line="231" w:lineRule="auto"/>
        <w:ind w:left="40"/>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1.7</w:t>
      </w:r>
      <w:r>
        <w:rPr>
          <w:rFonts w:ascii="宋体" w:hAnsi="宋体" w:eastAsia="宋体" w:cs="宋体"/>
          <w:color w:val="auto"/>
          <w:spacing w:val="-30"/>
          <w:sz w:val="19"/>
          <w:szCs w:val="19"/>
          <w:highlight w:val="none"/>
        </w:rPr>
        <w:t xml:space="preserve"> </w:t>
      </w:r>
      <w:r>
        <w:rPr>
          <w:rFonts w:ascii="宋体" w:hAnsi="宋体" w:eastAsia="宋体" w:cs="宋体"/>
          <w:b/>
          <w:bCs/>
          <w:color w:val="auto"/>
          <w:spacing w:val="-2"/>
          <w:sz w:val="19"/>
          <w:szCs w:val="19"/>
          <w:highlight w:val="none"/>
        </w:rPr>
        <w:t>联络</w:t>
      </w:r>
    </w:p>
    <w:p w14:paraId="75F68F38">
      <w:pPr>
        <w:spacing w:before="127" w:line="356" w:lineRule="auto"/>
        <w:ind w:left="26" w:right="102" w:firstLine="47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1.7.2</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来往函件均应按技术标准和要求(合同技术条款)约定的期限送</w:t>
      </w:r>
      <w:r>
        <w:rPr>
          <w:rFonts w:ascii="宋体" w:hAnsi="宋体" w:eastAsia="宋体" w:cs="宋体"/>
          <w:color w:val="auto"/>
          <w:spacing w:val="7"/>
          <w:sz w:val="19"/>
          <w:szCs w:val="19"/>
          <w:highlight w:val="none"/>
          <w:u w:val="single" w:color="auto"/>
        </w:rPr>
        <w:t>发包人，</w:t>
      </w:r>
      <w:r>
        <w:rPr>
          <w:rFonts w:ascii="宋体" w:hAnsi="宋体" w:eastAsia="宋体" w:cs="宋体"/>
          <w:color w:val="auto"/>
          <w:spacing w:val="-53"/>
          <w:sz w:val="19"/>
          <w:szCs w:val="19"/>
          <w:highlight w:val="none"/>
          <w:u w:val="single" w:color="auto"/>
        </w:rPr>
        <w:t xml:space="preserve"> </w:t>
      </w:r>
      <w:r>
        <w:rPr>
          <w:rFonts w:ascii="宋体" w:hAnsi="宋体" w:eastAsia="宋体" w:cs="宋体"/>
          <w:color w:val="auto"/>
          <w:spacing w:val="7"/>
          <w:sz w:val="19"/>
          <w:szCs w:val="19"/>
          <w:highlight w:val="none"/>
          <w:u w:val="single" w:color="auto"/>
        </w:rPr>
        <w:t>最迟不得超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u w:val="single" w:color="auto"/>
        </w:rPr>
        <w:t>过文件确定后的第</w:t>
      </w:r>
      <w:r>
        <w:rPr>
          <w:rFonts w:ascii="宋体" w:hAnsi="宋体" w:eastAsia="宋体" w:cs="宋体"/>
          <w:color w:val="auto"/>
          <w:spacing w:val="-29"/>
          <w:sz w:val="19"/>
          <w:szCs w:val="19"/>
          <w:highlight w:val="none"/>
          <w:u w:val="single" w:color="auto"/>
        </w:rPr>
        <w:t xml:space="preserve"> </w:t>
      </w:r>
      <w:r>
        <w:rPr>
          <w:rFonts w:ascii="宋体" w:hAnsi="宋体" w:eastAsia="宋体" w:cs="宋体"/>
          <w:color w:val="auto"/>
          <w:spacing w:val="5"/>
          <w:sz w:val="19"/>
          <w:szCs w:val="19"/>
          <w:highlight w:val="none"/>
          <w:u w:val="single" w:color="auto"/>
        </w:rPr>
        <w:t>3</w:t>
      </w:r>
      <w:r>
        <w:rPr>
          <w:rFonts w:ascii="宋体" w:hAnsi="宋体" w:eastAsia="宋体" w:cs="宋体"/>
          <w:color w:val="auto"/>
          <w:spacing w:val="-31"/>
          <w:sz w:val="19"/>
          <w:szCs w:val="19"/>
          <w:highlight w:val="none"/>
          <w:u w:val="single" w:color="auto"/>
        </w:rPr>
        <w:t xml:space="preserve"> </w:t>
      </w:r>
      <w:r>
        <w:rPr>
          <w:rFonts w:ascii="宋体" w:hAnsi="宋体" w:eastAsia="宋体" w:cs="宋体"/>
          <w:color w:val="auto"/>
          <w:spacing w:val="5"/>
          <w:sz w:val="19"/>
          <w:szCs w:val="19"/>
          <w:highlight w:val="none"/>
          <w:u w:val="single" w:color="auto"/>
        </w:rPr>
        <w:t>天</w:t>
      </w:r>
      <w:r>
        <w:rPr>
          <w:rFonts w:ascii="宋体" w:hAnsi="宋体" w:eastAsia="宋体" w:cs="宋体"/>
          <w:color w:val="auto"/>
          <w:spacing w:val="5"/>
          <w:sz w:val="19"/>
          <w:szCs w:val="19"/>
          <w:highlight w:val="none"/>
        </w:rPr>
        <w:t>。</w:t>
      </w:r>
    </w:p>
    <w:p w14:paraId="3221706C">
      <w:pPr>
        <w:spacing w:before="204"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2.</w:t>
      </w:r>
      <w:r>
        <w:rPr>
          <w:rFonts w:ascii="Cambria" w:hAnsi="Cambria" w:eastAsia="Cambria" w:cs="Cambria"/>
          <w:b/>
          <w:bCs/>
          <w:color w:val="auto"/>
          <w:spacing w:val="23"/>
          <w:sz w:val="31"/>
          <w:szCs w:val="31"/>
          <w:highlight w:val="none"/>
        </w:rPr>
        <w:t xml:space="preserve">  </w:t>
      </w:r>
      <w:r>
        <w:rPr>
          <w:rFonts w:ascii="宋体" w:hAnsi="宋体" w:eastAsia="宋体" w:cs="宋体"/>
          <w:b/>
          <w:bCs/>
          <w:color w:val="auto"/>
          <w:spacing w:val="1"/>
          <w:sz w:val="31"/>
          <w:szCs w:val="31"/>
          <w:highlight w:val="none"/>
        </w:rPr>
        <w:t>发包人义务</w:t>
      </w:r>
    </w:p>
    <w:p w14:paraId="6EE1390C">
      <w:pPr>
        <w:spacing w:line="259" w:lineRule="auto"/>
        <w:rPr>
          <w:rFonts w:ascii="Arial"/>
          <w:color w:val="auto"/>
          <w:sz w:val="21"/>
          <w:highlight w:val="none"/>
        </w:rPr>
      </w:pPr>
    </w:p>
    <w:p w14:paraId="18B7820E">
      <w:pPr>
        <w:spacing w:line="260" w:lineRule="auto"/>
        <w:rPr>
          <w:rFonts w:ascii="Arial"/>
          <w:color w:val="auto"/>
          <w:sz w:val="21"/>
          <w:highlight w:val="none"/>
        </w:rPr>
      </w:pPr>
    </w:p>
    <w:p w14:paraId="358A9C47">
      <w:pPr>
        <w:spacing w:before="62" w:line="228" w:lineRule="auto"/>
        <w:ind w:left="28"/>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2.</w:t>
      </w:r>
      <w:r>
        <w:rPr>
          <w:rFonts w:ascii="宋体" w:hAnsi="宋体" w:eastAsia="宋体" w:cs="宋体"/>
          <w:color w:val="auto"/>
          <w:spacing w:val="19"/>
          <w:sz w:val="19"/>
          <w:szCs w:val="19"/>
          <w:highlight w:val="none"/>
        </w:rPr>
        <w:t xml:space="preserve"> </w:t>
      </w:r>
      <w:r>
        <w:rPr>
          <w:rFonts w:ascii="宋体" w:hAnsi="宋体" w:eastAsia="宋体" w:cs="宋体"/>
          <w:b/>
          <w:bCs/>
          <w:color w:val="auto"/>
          <w:spacing w:val="3"/>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3"/>
          <w:sz w:val="19"/>
          <w:szCs w:val="19"/>
          <w:highlight w:val="none"/>
        </w:rPr>
        <w:t>提供施工场地</w:t>
      </w:r>
    </w:p>
    <w:p w14:paraId="21DF9B28">
      <w:pPr>
        <w:spacing w:before="265"/>
        <w:ind w:left="28" w:right="103" w:firstLine="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2.3.2</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发包人提供的施工场地范围为：</w:t>
      </w:r>
      <w:r>
        <w:rPr>
          <w:rFonts w:ascii="宋体" w:hAnsi="宋体" w:eastAsia="宋体" w:cs="宋体"/>
          <w:color w:val="auto"/>
          <w:spacing w:val="-54"/>
          <w:sz w:val="19"/>
          <w:szCs w:val="19"/>
          <w:highlight w:val="none"/>
        </w:rPr>
        <w:t xml:space="preserve"> </w:t>
      </w:r>
      <w:r>
        <w:rPr>
          <w:rFonts w:ascii="宋体" w:hAnsi="宋体" w:eastAsia="宋体" w:cs="宋体"/>
          <w:color w:val="auto"/>
          <w:spacing w:val="8"/>
          <w:sz w:val="19"/>
          <w:szCs w:val="19"/>
          <w:highlight w:val="none"/>
          <w:u w:val="single" w:color="auto"/>
        </w:rPr>
        <w:t>向承包人提供施工用地</w:t>
      </w:r>
      <w:r>
        <w:rPr>
          <w:rFonts w:ascii="宋体" w:hAnsi="宋体" w:eastAsia="宋体" w:cs="宋体"/>
          <w:color w:val="auto"/>
          <w:spacing w:val="7"/>
          <w:sz w:val="19"/>
          <w:szCs w:val="19"/>
          <w:highlight w:val="none"/>
          <w:u w:val="single" w:color="auto"/>
        </w:rPr>
        <w:t>。提供的用地范围和期限到</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u w:val="single" w:color="auto"/>
        </w:rPr>
        <w:t>工程完工</w:t>
      </w:r>
      <w:r>
        <w:rPr>
          <w:rFonts w:ascii="宋体" w:hAnsi="宋体" w:eastAsia="宋体" w:cs="宋体"/>
          <w:color w:val="auto"/>
          <w:spacing w:val="5"/>
          <w:sz w:val="19"/>
          <w:szCs w:val="19"/>
          <w:highlight w:val="none"/>
        </w:rPr>
        <w:t>。</w:t>
      </w:r>
    </w:p>
    <w:p w14:paraId="25618BAE">
      <w:pPr>
        <w:spacing w:before="159" w:line="228" w:lineRule="auto"/>
        <w:ind w:left="48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2.3.3</w:t>
      </w:r>
      <w:r>
        <w:rPr>
          <w:rFonts w:ascii="宋体" w:hAnsi="宋体" w:eastAsia="宋体" w:cs="宋体"/>
          <w:color w:val="auto"/>
          <w:spacing w:val="-24"/>
          <w:sz w:val="19"/>
          <w:szCs w:val="19"/>
          <w:highlight w:val="none"/>
        </w:rPr>
        <w:t xml:space="preserve"> </w:t>
      </w:r>
      <w:r>
        <w:rPr>
          <w:rFonts w:ascii="宋体" w:hAnsi="宋体" w:eastAsia="宋体" w:cs="宋体"/>
          <w:color w:val="auto"/>
          <w:spacing w:val="5"/>
          <w:sz w:val="19"/>
          <w:szCs w:val="19"/>
          <w:highlight w:val="none"/>
        </w:rPr>
        <w:t>承包人自行勘察的施工场地范围为：</w:t>
      </w:r>
    </w:p>
    <w:p w14:paraId="7EA09F92">
      <w:pPr>
        <w:spacing w:line="228" w:lineRule="auto"/>
        <w:rPr>
          <w:rFonts w:ascii="宋体" w:hAnsi="宋体" w:eastAsia="宋体" w:cs="宋体"/>
          <w:color w:val="auto"/>
          <w:sz w:val="19"/>
          <w:szCs w:val="19"/>
          <w:highlight w:val="none"/>
        </w:rPr>
        <w:sectPr>
          <w:footerReference r:id="rId113" w:type="default"/>
          <w:pgSz w:w="11900" w:h="16832"/>
          <w:pgMar w:top="1430" w:right="1784" w:bottom="1022" w:left="1784" w:header="0" w:footer="815" w:gutter="0"/>
          <w:pgNumType w:fmt="decimal"/>
          <w:cols w:space="720" w:num="1"/>
        </w:sectPr>
      </w:pPr>
    </w:p>
    <w:p w14:paraId="1276FB07">
      <w:pPr>
        <w:spacing w:before="213" w:line="228" w:lineRule="auto"/>
        <w:ind w:left="45"/>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2.8</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2"/>
          <w:sz w:val="19"/>
          <w:szCs w:val="19"/>
          <w:highlight w:val="none"/>
        </w:rPr>
        <w:t>其它义务</w:t>
      </w:r>
    </w:p>
    <w:p w14:paraId="38DC6A7D">
      <w:pPr>
        <w:spacing w:before="232" w:line="380" w:lineRule="auto"/>
        <w:ind w:left="25" w:right="15" w:firstLine="9"/>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（一）根据广西壮族自治区劳动和社会保障厅、自治区水利厅二。。七年二月二十七日联合颁发</w:t>
      </w:r>
      <w:r>
        <w:rPr>
          <w:rFonts w:ascii="宋体" w:hAnsi="宋体" w:eastAsia="宋体" w:cs="宋体"/>
          <w:color w:val="auto"/>
          <w:spacing w:val="2"/>
          <w:sz w:val="19"/>
          <w:szCs w:val="19"/>
          <w:highlight w:val="none"/>
        </w:rPr>
        <w:t xml:space="preserve"> </w:t>
      </w:r>
      <w:r>
        <w:rPr>
          <w:rFonts w:ascii="宋体" w:hAnsi="宋体" w:eastAsia="宋体" w:cs="宋体"/>
          <w:color w:val="auto"/>
          <w:spacing w:val="9"/>
          <w:sz w:val="19"/>
          <w:szCs w:val="19"/>
          <w:highlight w:val="none"/>
        </w:rPr>
        <w:t>的桂劳社发[2007]38 号文《关于关于建立水</w:t>
      </w:r>
      <w:r>
        <w:rPr>
          <w:rFonts w:ascii="宋体" w:hAnsi="宋体" w:eastAsia="宋体" w:cs="宋体"/>
          <w:color w:val="auto"/>
          <w:spacing w:val="8"/>
          <w:sz w:val="19"/>
          <w:szCs w:val="19"/>
          <w:highlight w:val="none"/>
        </w:rPr>
        <w:t>利水电工程项目农民工工资保证金制度的通知》精</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神，发包人在办理工程项目开工手续前必须向主管该工程项目招投标的水利部门的同级劳动保</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障部门履行以下义务：</w:t>
      </w:r>
    </w:p>
    <w:p w14:paraId="6DA4362F">
      <w:pPr>
        <w:spacing w:before="80" w:line="338" w:lineRule="auto"/>
        <w:ind w:left="27" w:right="26" w:firstLine="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（1）督促承包人按以下标准在劳动保障部门指定的账户足额存入农民工工资保证金：工程项目</w:t>
      </w:r>
      <w:r>
        <w:rPr>
          <w:rFonts w:ascii="宋体" w:hAnsi="宋体" w:eastAsia="宋体" w:cs="宋体"/>
          <w:color w:val="auto"/>
          <w:spacing w:val="3"/>
          <w:sz w:val="19"/>
          <w:szCs w:val="19"/>
          <w:highlight w:val="none"/>
        </w:rPr>
        <w:t xml:space="preserve"> </w:t>
      </w:r>
      <w:r>
        <w:rPr>
          <w:rFonts w:ascii="宋体" w:hAnsi="宋体" w:eastAsia="宋体" w:cs="宋体"/>
          <w:color w:val="auto"/>
          <w:spacing w:val="2"/>
          <w:sz w:val="19"/>
          <w:szCs w:val="19"/>
          <w:highlight w:val="none"/>
        </w:rPr>
        <w:t>成交价(合同价)1000 万元(含</w:t>
      </w:r>
      <w:r>
        <w:rPr>
          <w:rFonts w:ascii="宋体" w:hAnsi="宋体" w:eastAsia="宋体" w:cs="宋体"/>
          <w:color w:val="auto"/>
          <w:spacing w:val="36"/>
          <w:w w:val="101"/>
          <w:sz w:val="19"/>
          <w:szCs w:val="19"/>
          <w:highlight w:val="none"/>
        </w:rPr>
        <w:t xml:space="preserve"> </w:t>
      </w:r>
      <w:r>
        <w:rPr>
          <w:rFonts w:ascii="宋体" w:hAnsi="宋体" w:eastAsia="宋体" w:cs="宋体"/>
          <w:color w:val="auto"/>
          <w:spacing w:val="2"/>
          <w:sz w:val="19"/>
          <w:szCs w:val="19"/>
          <w:highlight w:val="none"/>
        </w:rPr>
        <w:t>1000 万元)以下的，按 2％计算；超过</w:t>
      </w:r>
      <w:r>
        <w:rPr>
          <w:rFonts w:ascii="宋体" w:hAnsi="宋体" w:eastAsia="宋体" w:cs="宋体"/>
          <w:color w:val="auto"/>
          <w:spacing w:val="29"/>
          <w:sz w:val="19"/>
          <w:szCs w:val="19"/>
          <w:highlight w:val="none"/>
        </w:rPr>
        <w:t xml:space="preserve"> </w:t>
      </w:r>
      <w:r>
        <w:rPr>
          <w:rFonts w:ascii="宋体" w:hAnsi="宋体" w:eastAsia="宋体" w:cs="宋体"/>
          <w:color w:val="auto"/>
          <w:spacing w:val="2"/>
          <w:sz w:val="19"/>
          <w:szCs w:val="19"/>
          <w:highlight w:val="none"/>
        </w:rPr>
        <w:t>1000 万元部分，按</w:t>
      </w:r>
      <w:r>
        <w:rPr>
          <w:rFonts w:ascii="宋体" w:hAnsi="宋体" w:eastAsia="宋体" w:cs="宋体"/>
          <w:color w:val="auto"/>
          <w:spacing w:val="29"/>
          <w:sz w:val="19"/>
          <w:szCs w:val="19"/>
          <w:highlight w:val="none"/>
        </w:rPr>
        <w:t xml:space="preserve"> </w:t>
      </w:r>
      <w:r>
        <w:rPr>
          <w:rFonts w:ascii="宋体" w:hAnsi="宋体" w:eastAsia="宋体" w:cs="宋体"/>
          <w:color w:val="auto"/>
          <w:spacing w:val="2"/>
          <w:sz w:val="19"/>
          <w:szCs w:val="19"/>
          <w:highlight w:val="none"/>
        </w:rPr>
        <w:t>1％计</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算。</w:t>
      </w:r>
    </w:p>
    <w:p w14:paraId="0BDFA6B5">
      <w:pPr>
        <w:spacing w:before="201" w:line="309" w:lineRule="auto"/>
        <w:ind w:left="28" w:right="21" w:firstLine="7"/>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（2）承诺一旦其出现拖欠工程款导致施工单位无法按时足额支付农民工工资时，可由劳动保障</w:t>
      </w:r>
      <w:r>
        <w:rPr>
          <w:rFonts w:ascii="宋体" w:hAnsi="宋体" w:eastAsia="宋体" w:cs="宋体"/>
          <w:color w:val="auto"/>
          <w:spacing w:val="7"/>
          <w:sz w:val="19"/>
          <w:szCs w:val="19"/>
          <w:highlight w:val="none"/>
        </w:rPr>
        <w:t xml:space="preserve"> 部门从农民工工资应急周转金中先予垫支。</w:t>
      </w:r>
    </w:p>
    <w:p w14:paraId="4B04A7DD">
      <w:pPr>
        <w:spacing w:before="286" w:line="228" w:lineRule="auto"/>
        <w:ind w:left="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(二)其他未尽事宜待签订施工合同时双方再</w:t>
      </w:r>
      <w:r>
        <w:rPr>
          <w:rFonts w:ascii="宋体" w:hAnsi="宋体" w:eastAsia="宋体" w:cs="宋体"/>
          <w:color w:val="auto"/>
          <w:spacing w:val="7"/>
          <w:sz w:val="19"/>
          <w:szCs w:val="19"/>
          <w:highlight w:val="none"/>
        </w:rPr>
        <w:t>协商。</w:t>
      </w:r>
    </w:p>
    <w:p w14:paraId="4A5D8298">
      <w:pPr>
        <w:spacing w:before="336" w:line="228" w:lineRule="auto"/>
        <w:ind w:left="37"/>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3.</w:t>
      </w:r>
      <w:r>
        <w:rPr>
          <w:rFonts w:ascii="Cambria" w:hAnsi="Cambria" w:eastAsia="Cambria" w:cs="Cambria"/>
          <w:b/>
          <w:bCs/>
          <w:color w:val="auto"/>
          <w:spacing w:val="19"/>
          <w:w w:val="101"/>
          <w:sz w:val="31"/>
          <w:szCs w:val="31"/>
          <w:highlight w:val="none"/>
        </w:rPr>
        <w:t xml:space="preserve">  </w:t>
      </w:r>
      <w:r>
        <w:rPr>
          <w:rFonts w:ascii="宋体" w:hAnsi="宋体" w:eastAsia="宋体" w:cs="宋体"/>
          <w:b/>
          <w:bCs/>
          <w:color w:val="auto"/>
          <w:spacing w:val="-1"/>
          <w:sz w:val="31"/>
          <w:szCs w:val="31"/>
          <w:highlight w:val="none"/>
        </w:rPr>
        <w:t>监理人</w:t>
      </w:r>
    </w:p>
    <w:p w14:paraId="7A97E352">
      <w:pPr>
        <w:spacing w:line="324" w:lineRule="auto"/>
        <w:rPr>
          <w:rFonts w:ascii="Arial"/>
          <w:color w:val="auto"/>
          <w:sz w:val="21"/>
          <w:highlight w:val="none"/>
        </w:rPr>
      </w:pPr>
    </w:p>
    <w:p w14:paraId="2C7D0BF5">
      <w:pPr>
        <w:spacing w:line="325" w:lineRule="auto"/>
        <w:rPr>
          <w:rFonts w:ascii="Arial"/>
          <w:color w:val="auto"/>
          <w:sz w:val="21"/>
          <w:highlight w:val="none"/>
        </w:rPr>
      </w:pPr>
    </w:p>
    <w:p w14:paraId="5437F917">
      <w:pPr>
        <w:spacing w:before="62" w:line="228" w:lineRule="auto"/>
        <w:ind w:left="29"/>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3.1</w:t>
      </w:r>
      <w:r>
        <w:rPr>
          <w:rFonts w:ascii="宋体" w:hAnsi="宋体" w:eastAsia="宋体" w:cs="宋体"/>
          <w:color w:val="auto"/>
          <w:spacing w:val="-28"/>
          <w:sz w:val="19"/>
          <w:szCs w:val="19"/>
          <w:highlight w:val="none"/>
        </w:rPr>
        <w:t xml:space="preserve"> </w:t>
      </w:r>
      <w:r>
        <w:rPr>
          <w:rFonts w:ascii="宋体" w:hAnsi="宋体" w:eastAsia="宋体" w:cs="宋体"/>
          <w:b/>
          <w:bCs/>
          <w:color w:val="auto"/>
          <w:spacing w:val="5"/>
          <w:sz w:val="19"/>
          <w:szCs w:val="19"/>
          <w:highlight w:val="none"/>
        </w:rPr>
        <w:t>监理人的职责和权力</w:t>
      </w:r>
    </w:p>
    <w:p w14:paraId="37A83967">
      <w:pPr>
        <w:spacing w:line="250" w:lineRule="auto"/>
        <w:rPr>
          <w:rFonts w:ascii="Arial"/>
          <w:color w:val="auto"/>
          <w:sz w:val="21"/>
          <w:highlight w:val="none"/>
        </w:rPr>
      </w:pPr>
    </w:p>
    <w:p w14:paraId="63CD7EE9">
      <w:pPr>
        <w:spacing w:before="63" w:line="228" w:lineRule="auto"/>
        <w:ind w:right="17"/>
        <w:jc w:val="right"/>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3.1.1</w:t>
      </w:r>
      <w:r>
        <w:rPr>
          <w:rFonts w:ascii="宋体" w:hAnsi="宋体" w:eastAsia="宋体" w:cs="宋体"/>
          <w:color w:val="auto"/>
          <w:spacing w:val="-30"/>
          <w:sz w:val="19"/>
          <w:szCs w:val="19"/>
          <w:highlight w:val="none"/>
        </w:rPr>
        <w:t xml:space="preserve"> </w:t>
      </w:r>
      <w:r>
        <w:rPr>
          <w:rFonts w:ascii="宋体" w:hAnsi="宋体" w:eastAsia="宋体" w:cs="宋体"/>
          <w:color w:val="auto"/>
          <w:spacing w:val="9"/>
          <w:sz w:val="19"/>
          <w:szCs w:val="19"/>
          <w:highlight w:val="none"/>
        </w:rPr>
        <w:t>监理人须根据发包人事先批准的权力范围行使权力，发包</w:t>
      </w:r>
      <w:r>
        <w:rPr>
          <w:rFonts w:ascii="宋体" w:hAnsi="宋体" w:eastAsia="宋体" w:cs="宋体"/>
          <w:color w:val="auto"/>
          <w:spacing w:val="8"/>
          <w:sz w:val="19"/>
          <w:szCs w:val="19"/>
          <w:highlight w:val="none"/>
        </w:rPr>
        <w:t>人批准的权力范围： 按本</w:t>
      </w:r>
    </w:p>
    <w:p w14:paraId="3C63950C">
      <w:pPr>
        <w:spacing w:before="116" w:line="229" w:lineRule="auto"/>
        <w:ind w:left="2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工程委托监理合同。</w:t>
      </w:r>
    </w:p>
    <w:p w14:paraId="3E7C31CF">
      <w:pPr>
        <w:spacing w:before="335" w:line="225" w:lineRule="auto"/>
        <w:ind w:left="25"/>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4.</w:t>
      </w:r>
      <w:r>
        <w:rPr>
          <w:rFonts w:ascii="Cambria" w:hAnsi="Cambria" w:eastAsia="Cambria" w:cs="Cambria"/>
          <w:b/>
          <w:bCs/>
          <w:color w:val="auto"/>
          <w:spacing w:val="20"/>
          <w:sz w:val="31"/>
          <w:szCs w:val="31"/>
          <w:highlight w:val="none"/>
        </w:rPr>
        <w:t xml:space="preserve">  </w:t>
      </w:r>
      <w:r>
        <w:rPr>
          <w:rFonts w:ascii="宋体" w:hAnsi="宋体" w:eastAsia="宋体" w:cs="宋体"/>
          <w:b/>
          <w:bCs/>
          <w:color w:val="auto"/>
          <w:spacing w:val="1"/>
          <w:sz w:val="31"/>
          <w:szCs w:val="31"/>
          <w:highlight w:val="none"/>
        </w:rPr>
        <w:t>承包人</w:t>
      </w:r>
    </w:p>
    <w:p w14:paraId="1811BA3A">
      <w:pPr>
        <w:spacing w:line="326" w:lineRule="auto"/>
        <w:rPr>
          <w:rFonts w:ascii="Arial"/>
          <w:color w:val="auto"/>
          <w:sz w:val="21"/>
          <w:highlight w:val="none"/>
        </w:rPr>
      </w:pPr>
    </w:p>
    <w:p w14:paraId="068E7631">
      <w:pPr>
        <w:spacing w:line="327" w:lineRule="auto"/>
        <w:rPr>
          <w:rFonts w:ascii="Arial"/>
          <w:color w:val="auto"/>
          <w:sz w:val="21"/>
          <w:highlight w:val="none"/>
        </w:rPr>
      </w:pPr>
    </w:p>
    <w:p w14:paraId="243A3DC0">
      <w:pPr>
        <w:spacing w:before="63" w:line="228" w:lineRule="auto"/>
        <w:ind w:left="24"/>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4.1</w:t>
      </w:r>
      <w:r>
        <w:rPr>
          <w:rFonts w:ascii="宋体" w:hAnsi="宋体" w:eastAsia="宋体" w:cs="宋体"/>
          <w:color w:val="auto"/>
          <w:spacing w:val="-28"/>
          <w:sz w:val="19"/>
          <w:szCs w:val="19"/>
          <w:highlight w:val="none"/>
        </w:rPr>
        <w:t xml:space="preserve"> </w:t>
      </w:r>
      <w:r>
        <w:rPr>
          <w:rFonts w:ascii="宋体" w:hAnsi="宋体" w:eastAsia="宋体" w:cs="宋体"/>
          <w:b/>
          <w:bCs/>
          <w:color w:val="auto"/>
          <w:spacing w:val="5"/>
          <w:sz w:val="19"/>
          <w:szCs w:val="19"/>
          <w:highlight w:val="none"/>
        </w:rPr>
        <w:t>承包人的一般义务</w:t>
      </w:r>
    </w:p>
    <w:p w14:paraId="6F5CC135">
      <w:pPr>
        <w:spacing w:before="233" w:line="228" w:lineRule="auto"/>
        <w:ind w:left="444"/>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4.1.</w:t>
      </w:r>
      <w:r>
        <w:rPr>
          <w:rFonts w:ascii="宋体" w:hAnsi="宋体" w:eastAsia="宋体" w:cs="宋体"/>
          <w:color w:val="auto"/>
          <w:spacing w:val="27"/>
          <w:sz w:val="19"/>
          <w:szCs w:val="19"/>
          <w:highlight w:val="none"/>
        </w:rPr>
        <w:t xml:space="preserve"> </w:t>
      </w:r>
      <w:r>
        <w:rPr>
          <w:rFonts w:ascii="宋体" w:hAnsi="宋体" w:eastAsia="宋体" w:cs="宋体"/>
          <w:color w:val="auto"/>
          <w:spacing w:val="3"/>
          <w:sz w:val="19"/>
          <w:szCs w:val="19"/>
          <w:highlight w:val="none"/>
        </w:rPr>
        <w:t>10</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其他义务</w:t>
      </w:r>
    </w:p>
    <w:p w14:paraId="2AE9F6D7">
      <w:pPr>
        <w:spacing w:before="253" w:line="228" w:lineRule="auto"/>
        <w:ind w:left="60"/>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(一)</w:t>
      </w:r>
      <w:r>
        <w:rPr>
          <w:rFonts w:ascii="宋体" w:hAnsi="宋体" w:eastAsia="宋体" w:cs="宋体"/>
          <w:color w:val="auto"/>
          <w:spacing w:val="13"/>
          <w:sz w:val="19"/>
          <w:szCs w:val="19"/>
          <w:highlight w:val="none"/>
        </w:rPr>
        <w:t xml:space="preserve">  </w:t>
      </w:r>
      <w:r>
        <w:rPr>
          <w:rFonts w:ascii="宋体" w:hAnsi="宋体" w:eastAsia="宋体" w:cs="宋体"/>
          <w:color w:val="auto"/>
          <w:spacing w:val="-1"/>
          <w:sz w:val="19"/>
          <w:szCs w:val="19"/>
          <w:highlight w:val="none"/>
        </w:rPr>
        <w:t>办理有关保险。</w:t>
      </w:r>
    </w:p>
    <w:p w14:paraId="79B6E204">
      <w:pPr>
        <w:spacing w:before="123" w:line="342" w:lineRule="auto"/>
        <w:ind w:left="25" w:right="16" w:firstLine="440"/>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按照《建筑法》规定，必须在工程开工前，为参加本合同工程现场施工的所有作业人员及</w:t>
      </w:r>
      <w:r>
        <w:rPr>
          <w:rFonts w:ascii="宋体" w:hAnsi="宋体" w:eastAsia="宋体" w:cs="宋体"/>
          <w:color w:val="auto"/>
          <w:spacing w:val="3"/>
          <w:sz w:val="19"/>
          <w:szCs w:val="19"/>
          <w:highlight w:val="none"/>
        </w:rPr>
        <w:t xml:space="preserve"> </w:t>
      </w:r>
      <w:r>
        <w:rPr>
          <w:rFonts w:ascii="宋体" w:hAnsi="宋体" w:eastAsia="宋体" w:cs="宋体"/>
          <w:color w:val="auto"/>
          <w:spacing w:val="11"/>
          <w:sz w:val="19"/>
          <w:szCs w:val="19"/>
          <w:highlight w:val="none"/>
        </w:rPr>
        <w:t>管理人员，包括参加工程建设的管理人员、监理人员</w:t>
      </w:r>
      <w:r>
        <w:rPr>
          <w:rFonts w:ascii="宋体" w:hAnsi="宋体" w:eastAsia="宋体" w:cs="宋体"/>
          <w:color w:val="auto"/>
          <w:spacing w:val="10"/>
          <w:sz w:val="19"/>
          <w:szCs w:val="19"/>
          <w:highlight w:val="none"/>
        </w:rPr>
        <w:t>、施工人员</w:t>
      </w:r>
      <w:r>
        <w:rPr>
          <w:rFonts w:ascii="宋体" w:hAnsi="宋体" w:eastAsia="宋体" w:cs="宋体"/>
          <w:color w:val="auto"/>
          <w:spacing w:val="-43"/>
          <w:sz w:val="19"/>
          <w:szCs w:val="19"/>
          <w:highlight w:val="none"/>
        </w:rPr>
        <w:t xml:space="preserve"> </w:t>
      </w:r>
      <w:r>
        <w:rPr>
          <w:rFonts w:ascii="宋体" w:hAnsi="宋体" w:eastAsia="宋体" w:cs="宋体"/>
          <w:color w:val="auto"/>
          <w:spacing w:val="10"/>
          <w:sz w:val="19"/>
          <w:szCs w:val="19"/>
          <w:highlight w:val="none"/>
        </w:rPr>
        <w:t>(含民工)办理工伤保险，并缴</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纳工伤保险费。保险期限自投保之日</w:t>
      </w:r>
      <w:r>
        <w:rPr>
          <w:rFonts w:ascii="宋体" w:hAnsi="宋体" w:eastAsia="宋体" w:cs="宋体"/>
          <w:color w:val="auto"/>
          <w:spacing w:val="-30"/>
          <w:sz w:val="19"/>
          <w:szCs w:val="19"/>
          <w:highlight w:val="none"/>
        </w:rPr>
        <w:t xml:space="preserve"> </w:t>
      </w:r>
      <w:r>
        <w:rPr>
          <w:rFonts w:ascii="宋体" w:hAnsi="宋体" w:eastAsia="宋体" w:cs="宋体"/>
          <w:color w:val="auto"/>
          <w:spacing w:val="10"/>
          <w:sz w:val="19"/>
          <w:szCs w:val="19"/>
          <w:highlight w:val="none"/>
        </w:rPr>
        <w:t>(工程开工之日)起至工程竣工验收时止, 时间上涵盖施工</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全过程的任一时段。</w:t>
      </w:r>
    </w:p>
    <w:p w14:paraId="55DD58CF">
      <w:pPr>
        <w:spacing w:before="30" w:line="228" w:lineRule="auto"/>
        <w:ind w:left="466"/>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按照《建筑法》规定，</w:t>
      </w:r>
      <w:r>
        <w:rPr>
          <w:rFonts w:ascii="宋体" w:hAnsi="宋体" w:eastAsia="宋体" w:cs="宋体"/>
          <w:color w:val="auto"/>
          <w:spacing w:val="74"/>
          <w:sz w:val="19"/>
          <w:szCs w:val="19"/>
          <w:highlight w:val="none"/>
        </w:rPr>
        <w:t xml:space="preserve"> </w:t>
      </w:r>
      <w:r>
        <w:rPr>
          <w:rFonts w:ascii="宋体" w:hAnsi="宋体" w:eastAsia="宋体" w:cs="宋体"/>
          <w:color w:val="auto"/>
          <w:spacing w:val="3"/>
          <w:sz w:val="19"/>
          <w:szCs w:val="19"/>
          <w:highlight w:val="none"/>
        </w:rPr>
        <w:t>鼓励为从事危险作业的职工办理意外伤害保险。</w:t>
      </w:r>
    </w:p>
    <w:p w14:paraId="0507FF12">
      <w:pPr>
        <w:spacing w:before="125" w:line="333" w:lineRule="auto"/>
        <w:ind w:left="28" w:right="86" w:firstLine="31"/>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(二)  执行广西壮族自治区解决企业拖欠工资问题联席会</w:t>
      </w:r>
      <w:r>
        <w:rPr>
          <w:rFonts w:ascii="宋体" w:hAnsi="宋体" w:eastAsia="宋体" w:cs="宋体"/>
          <w:color w:val="auto"/>
          <w:spacing w:val="8"/>
          <w:sz w:val="19"/>
          <w:szCs w:val="19"/>
          <w:highlight w:val="none"/>
        </w:rPr>
        <w:t>议关于保障农民工工资支付的有</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关规定，确保农民工工资无拖欠。</w:t>
      </w:r>
    </w:p>
    <w:p w14:paraId="61E6122B">
      <w:pPr>
        <w:spacing w:before="32" w:line="333" w:lineRule="auto"/>
        <w:ind w:left="25" w:right="29" w:firstLine="44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依法与招用的农民工签订并履行劳动合同，建立职工名册，及时办理劳动</w:t>
      </w:r>
      <w:r>
        <w:rPr>
          <w:rFonts w:ascii="宋体" w:hAnsi="宋体" w:eastAsia="宋体" w:cs="宋体"/>
          <w:color w:val="auto"/>
          <w:spacing w:val="10"/>
          <w:sz w:val="19"/>
          <w:szCs w:val="19"/>
          <w:highlight w:val="none"/>
        </w:rPr>
        <w:t>用工备案。实行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农民工工资专用账户管理、银行代发农民工工资制度和农民工工资保证金制度。</w:t>
      </w:r>
    </w:p>
    <w:p w14:paraId="065037D4">
      <w:pPr>
        <w:spacing w:before="33" w:line="228" w:lineRule="auto"/>
        <w:ind w:left="6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(三)</w:t>
      </w:r>
      <w:r>
        <w:rPr>
          <w:rFonts w:ascii="宋体" w:hAnsi="宋体" w:eastAsia="宋体" w:cs="宋体"/>
          <w:color w:val="auto"/>
          <w:spacing w:val="13"/>
          <w:sz w:val="19"/>
          <w:szCs w:val="19"/>
          <w:highlight w:val="none"/>
        </w:rPr>
        <w:t xml:space="preserve">      </w:t>
      </w:r>
      <w:r>
        <w:rPr>
          <w:rFonts w:ascii="宋体" w:hAnsi="宋体" w:eastAsia="宋体" w:cs="宋体"/>
          <w:color w:val="auto"/>
          <w:spacing w:val="4"/>
          <w:sz w:val="19"/>
          <w:szCs w:val="19"/>
          <w:highlight w:val="none"/>
        </w:rPr>
        <w:t>工程施工的义务和责任</w:t>
      </w:r>
    </w:p>
    <w:p w14:paraId="68AC9138">
      <w:pPr>
        <w:spacing w:line="228" w:lineRule="auto"/>
        <w:rPr>
          <w:rFonts w:ascii="宋体" w:hAnsi="宋体" w:eastAsia="宋体" w:cs="宋体"/>
          <w:color w:val="auto"/>
          <w:sz w:val="19"/>
          <w:szCs w:val="19"/>
          <w:highlight w:val="none"/>
        </w:rPr>
        <w:sectPr>
          <w:headerReference r:id="rId114" w:type="default"/>
          <w:footerReference r:id="rId115" w:type="default"/>
          <w:pgSz w:w="11900" w:h="16832"/>
          <w:pgMar w:top="1814" w:right="1784" w:bottom="1022" w:left="1784" w:header="1805" w:footer="815" w:gutter="0"/>
          <w:pgNumType w:fmt="decimal"/>
          <w:cols w:space="720" w:num="1"/>
        </w:sectPr>
      </w:pPr>
    </w:p>
    <w:p w14:paraId="085420D4">
      <w:pPr>
        <w:spacing w:line="271" w:lineRule="auto"/>
        <w:rPr>
          <w:rFonts w:ascii="Arial"/>
          <w:color w:val="auto"/>
          <w:sz w:val="21"/>
          <w:highlight w:val="none"/>
        </w:rPr>
      </w:pPr>
    </w:p>
    <w:p w14:paraId="13D6C570">
      <w:pPr>
        <w:spacing w:line="271" w:lineRule="auto"/>
        <w:rPr>
          <w:rFonts w:ascii="Arial"/>
          <w:color w:val="auto"/>
          <w:sz w:val="21"/>
          <w:highlight w:val="none"/>
        </w:rPr>
      </w:pPr>
    </w:p>
    <w:p w14:paraId="2EB10942">
      <w:pPr>
        <w:spacing w:line="271" w:lineRule="auto"/>
        <w:rPr>
          <w:rFonts w:ascii="Arial"/>
          <w:color w:val="auto"/>
          <w:sz w:val="21"/>
          <w:highlight w:val="none"/>
        </w:rPr>
      </w:pPr>
    </w:p>
    <w:p w14:paraId="14208BF7">
      <w:pPr>
        <w:spacing w:line="272" w:lineRule="auto"/>
        <w:rPr>
          <w:rFonts w:ascii="Arial"/>
          <w:color w:val="auto"/>
          <w:sz w:val="21"/>
          <w:highlight w:val="none"/>
        </w:rPr>
      </w:pPr>
    </w:p>
    <w:p w14:paraId="75212F06">
      <w:pPr>
        <w:spacing w:before="61" w:line="309" w:lineRule="auto"/>
        <w:ind w:left="24" w:right="18"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承包人应负责施工场地内部的水、电等施工管、线路的铺、</w:t>
      </w:r>
      <w:r>
        <w:rPr>
          <w:rFonts w:ascii="宋体" w:hAnsi="宋体" w:eastAsia="宋体" w:cs="宋体"/>
          <w:color w:val="auto"/>
          <w:spacing w:val="7"/>
          <w:sz w:val="19"/>
          <w:szCs w:val="19"/>
          <w:highlight w:val="none"/>
        </w:rPr>
        <w:t>架设及其费用，并按供电</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部门规定向供电部门(或发包人)交纳水、电费。发包人提供的接电点在签订合同时明确。另外，</w:t>
      </w:r>
      <w:r>
        <w:rPr>
          <w:rFonts w:ascii="宋体" w:hAnsi="宋体" w:eastAsia="宋体" w:cs="宋体"/>
          <w:color w:val="auto"/>
          <w:spacing w:val="10"/>
          <w:sz w:val="19"/>
          <w:szCs w:val="19"/>
          <w:highlight w:val="none"/>
        </w:rPr>
        <w:t xml:space="preserve"> </w:t>
      </w:r>
      <w:r>
        <w:rPr>
          <w:rFonts w:ascii="宋体" w:hAnsi="宋体" w:eastAsia="宋体" w:cs="宋体"/>
          <w:color w:val="auto"/>
          <w:spacing w:val="7"/>
          <w:sz w:val="19"/>
          <w:szCs w:val="19"/>
          <w:highlight w:val="none"/>
        </w:rPr>
        <w:t>施工通讯及设施由承包人负责并承担费用。</w:t>
      </w:r>
    </w:p>
    <w:p w14:paraId="488284C7">
      <w:pPr>
        <w:spacing w:before="124" w:line="288" w:lineRule="auto"/>
        <w:ind w:left="26" w:right="67"/>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除民房外，承包人应按监理人的指示负责拆除、清理已征用土地上的杂物、灌木</w:t>
      </w:r>
      <w:r>
        <w:rPr>
          <w:rFonts w:ascii="宋体" w:hAnsi="宋体" w:eastAsia="宋体" w:cs="宋体"/>
          <w:color w:val="auto"/>
          <w:spacing w:val="4"/>
          <w:sz w:val="19"/>
          <w:szCs w:val="19"/>
          <w:highlight w:val="none"/>
        </w:rPr>
        <w:t>、 树</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木、树根、杂草等。</w:t>
      </w:r>
    </w:p>
    <w:p w14:paraId="3294CAC6">
      <w:pPr>
        <w:spacing w:before="124" w:line="288" w:lineRule="auto"/>
        <w:ind w:left="24" w:right="1"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承包人应充分理解有一些设施(如施工道路、桥梁)可能会有其它人和单位使</w:t>
      </w:r>
      <w:r>
        <w:rPr>
          <w:rFonts w:ascii="宋体" w:hAnsi="宋体" w:eastAsia="宋体" w:cs="宋体"/>
          <w:color w:val="auto"/>
          <w:spacing w:val="7"/>
          <w:sz w:val="19"/>
          <w:szCs w:val="19"/>
          <w:highlight w:val="none"/>
        </w:rPr>
        <w:t>用通行，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在使用过程中发生干扰时，应立即通知监理人并服从监理人的决定，且须积极去</w:t>
      </w:r>
      <w:r>
        <w:rPr>
          <w:rFonts w:ascii="宋体" w:hAnsi="宋体" w:eastAsia="宋体" w:cs="宋体"/>
          <w:color w:val="auto"/>
          <w:spacing w:val="8"/>
          <w:sz w:val="19"/>
          <w:szCs w:val="19"/>
          <w:highlight w:val="none"/>
        </w:rPr>
        <w:t>解决干扰问题。</w:t>
      </w:r>
    </w:p>
    <w:p w14:paraId="13859AF1">
      <w:pPr>
        <w:spacing w:before="125" w:line="289" w:lineRule="auto"/>
        <w:ind w:left="25" w:right="70"/>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承包人应为监理人、发包人现场代表对施工现场的检查</w:t>
      </w:r>
      <w:r>
        <w:rPr>
          <w:rFonts w:ascii="宋体" w:hAnsi="宋体" w:eastAsia="宋体" w:cs="宋体"/>
          <w:color w:val="auto"/>
          <w:spacing w:val="7"/>
          <w:sz w:val="19"/>
          <w:szCs w:val="19"/>
          <w:highlight w:val="none"/>
        </w:rPr>
        <w:t>监督提供必要的配合，并对这</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种配合对施工的影响应有充分的考虑。</w:t>
      </w:r>
    </w:p>
    <w:p w14:paraId="6643052E">
      <w:pPr>
        <w:spacing w:before="124" w:line="222" w:lineRule="auto"/>
        <w:jc w:val="both"/>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(5)   </w:t>
      </w:r>
      <w:r>
        <w:rPr>
          <w:rFonts w:ascii="宋体" w:hAnsi="宋体" w:eastAsia="宋体" w:cs="宋体"/>
          <w:color w:val="auto"/>
          <w:spacing w:val="7"/>
          <w:sz w:val="19"/>
          <w:szCs w:val="19"/>
          <w:highlight w:val="none"/>
        </w:rPr>
        <w:t>工程竣工后，承包人应按监理人的指示清理施工现场直至监理人、发包人满意 为止。</w:t>
      </w:r>
    </w:p>
    <w:p w14:paraId="0DB06D0D">
      <w:pPr>
        <w:spacing w:before="132" w:line="291" w:lineRule="auto"/>
        <w:ind w:left="26" w:right="144"/>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对上述(1) ~</w:t>
      </w:r>
      <w:r>
        <w:rPr>
          <w:rFonts w:ascii="宋体" w:hAnsi="宋体" w:eastAsia="宋体" w:cs="宋体"/>
          <w:color w:val="auto"/>
          <w:spacing w:val="50"/>
          <w:sz w:val="19"/>
          <w:szCs w:val="19"/>
          <w:highlight w:val="none"/>
        </w:rPr>
        <w:t xml:space="preserve"> </w:t>
      </w:r>
      <w:r>
        <w:rPr>
          <w:rFonts w:ascii="宋体" w:hAnsi="宋体" w:eastAsia="宋体" w:cs="宋体"/>
          <w:color w:val="auto"/>
          <w:spacing w:val="7"/>
          <w:sz w:val="19"/>
          <w:szCs w:val="19"/>
          <w:highlight w:val="none"/>
        </w:rPr>
        <w:t>(5)项工作，费用已包括在有关单价和总价中，发</w:t>
      </w:r>
      <w:r>
        <w:rPr>
          <w:rFonts w:ascii="宋体" w:hAnsi="宋体" w:eastAsia="宋体" w:cs="宋体"/>
          <w:color w:val="auto"/>
          <w:spacing w:val="6"/>
          <w:sz w:val="19"/>
          <w:szCs w:val="19"/>
          <w:highlight w:val="none"/>
        </w:rPr>
        <w:t>包人不再另行支付由</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此所发生的一切费用。</w:t>
      </w:r>
    </w:p>
    <w:p w14:paraId="6E4FF3A7">
      <w:pPr>
        <w:spacing w:before="124" w:line="312" w:lineRule="auto"/>
        <w:ind w:left="24" w:right="73"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(7)  </w:t>
      </w:r>
      <w:r>
        <w:rPr>
          <w:rFonts w:ascii="宋体" w:hAnsi="宋体" w:eastAsia="宋体" w:cs="宋体"/>
          <w:color w:val="auto"/>
          <w:spacing w:val="7"/>
          <w:sz w:val="19"/>
          <w:szCs w:val="19"/>
          <w:highlight w:val="none"/>
        </w:rPr>
        <w:t>经过公路、城市道路的施工车辆，必须按交警</w:t>
      </w:r>
      <w:r>
        <w:rPr>
          <w:rFonts w:ascii="宋体" w:hAnsi="宋体" w:eastAsia="宋体" w:cs="宋体"/>
          <w:color w:val="auto"/>
          <w:spacing w:val="6"/>
          <w:sz w:val="19"/>
          <w:szCs w:val="19"/>
          <w:highlight w:val="none"/>
        </w:rPr>
        <w:t>、城管、环保、环卫等部门规定执行。</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施工车辆的营运手续办理、清洗等一切费用由承包人承担。由于</w:t>
      </w:r>
      <w:r>
        <w:rPr>
          <w:rFonts w:ascii="宋体" w:hAnsi="宋体" w:eastAsia="宋体" w:cs="宋体"/>
          <w:color w:val="auto"/>
          <w:spacing w:val="9"/>
          <w:sz w:val="19"/>
          <w:szCs w:val="19"/>
          <w:highlight w:val="none"/>
        </w:rPr>
        <w:t>车辆超载、带泥或洒漏造成的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道路损坏、环境污染等，其责任和费用均由承包人承担。</w:t>
      </w:r>
    </w:p>
    <w:p w14:paraId="31E83AD4">
      <w:pPr>
        <w:spacing w:before="202" w:line="289" w:lineRule="auto"/>
        <w:ind w:left="26" w:right="68"/>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(8)  </w:t>
      </w:r>
      <w:r>
        <w:rPr>
          <w:rFonts w:ascii="宋体" w:hAnsi="宋体" w:eastAsia="宋体" w:cs="宋体"/>
          <w:color w:val="auto"/>
          <w:spacing w:val="7"/>
          <w:sz w:val="19"/>
          <w:szCs w:val="19"/>
          <w:highlight w:val="none"/>
        </w:rPr>
        <w:t>承包人必须文明、安全施工，在施工期间发生的一切人员</w:t>
      </w:r>
      <w:r>
        <w:rPr>
          <w:rFonts w:ascii="宋体" w:hAnsi="宋体" w:eastAsia="宋体" w:cs="宋体"/>
          <w:color w:val="auto"/>
          <w:spacing w:val="6"/>
          <w:sz w:val="19"/>
          <w:szCs w:val="19"/>
          <w:highlight w:val="none"/>
        </w:rPr>
        <w:t>伤亡和财产损失等责任事故</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和所发生的一切费用概由承包人承担。</w:t>
      </w:r>
    </w:p>
    <w:p w14:paraId="0915A300">
      <w:pPr>
        <w:spacing w:before="122" w:line="222" w:lineRule="auto"/>
        <w:jc w:val="both"/>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(9)  </w:t>
      </w:r>
      <w:r>
        <w:rPr>
          <w:rFonts w:ascii="宋体" w:hAnsi="宋体" w:eastAsia="宋体" w:cs="宋体"/>
          <w:color w:val="auto"/>
          <w:spacing w:val="5"/>
          <w:sz w:val="19"/>
          <w:szCs w:val="19"/>
          <w:highlight w:val="none"/>
        </w:rPr>
        <w:t>按照发包</w:t>
      </w:r>
      <w:r>
        <w:rPr>
          <w:rFonts w:ascii="宋体" w:hAnsi="宋体" w:eastAsia="宋体" w:cs="宋体"/>
          <w:color w:val="auto"/>
          <w:spacing w:val="4"/>
          <w:sz w:val="19"/>
          <w:szCs w:val="19"/>
          <w:highlight w:val="none"/>
        </w:rPr>
        <w:t>人的要求做好安全文明宣传、监督检查宣传等工作，相关费用由承包人承担。</w:t>
      </w:r>
    </w:p>
    <w:p w14:paraId="75015A1E">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(10)  </w:t>
      </w:r>
      <w:r>
        <w:rPr>
          <w:rFonts w:ascii="宋体" w:hAnsi="宋体" w:eastAsia="宋体" w:cs="宋体"/>
          <w:color w:val="auto"/>
          <w:spacing w:val="6"/>
          <w:sz w:val="19"/>
          <w:szCs w:val="19"/>
          <w:highlight w:val="none"/>
        </w:rPr>
        <w:t>承包人应按约定时间和要求，完成以下</w:t>
      </w:r>
      <w:r>
        <w:rPr>
          <w:rFonts w:ascii="宋体" w:hAnsi="宋体" w:eastAsia="宋体" w:cs="宋体"/>
          <w:color w:val="auto"/>
          <w:spacing w:val="5"/>
          <w:sz w:val="19"/>
          <w:szCs w:val="19"/>
          <w:highlight w:val="none"/>
        </w:rPr>
        <w:t>工作：</w:t>
      </w:r>
    </w:p>
    <w:p w14:paraId="4D2DDDD4">
      <w:pPr>
        <w:spacing w:before="132" w:line="226" w:lineRule="auto"/>
        <w:ind w:left="2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①</w:t>
      </w:r>
      <w:r>
        <w:rPr>
          <w:rFonts w:ascii="宋体" w:hAnsi="宋体" w:eastAsia="宋体" w:cs="宋体"/>
          <w:color w:val="auto"/>
          <w:spacing w:val="16"/>
          <w:sz w:val="19"/>
          <w:szCs w:val="19"/>
          <w:highlight w:val="none"/>
        </w:rPr>
        <w:t xml:space="preserve"> </w:t>
      </w:r>
      <w:r>
        <w:rPr>
          <w:rFonts w:ascii="宋体" w:hAnsi="宋体" w:eastAsia="宋体" w:cs="宋体"/>
          <w:color w:val="auto"/>
          <w:spacing w:val="7"/>
          <w:sz w:val="19"/>
          <w:szCs w:val="19"/>
          <w:highlight w:val="none"/>
        </w:rPr>
        <w:t>按时提交施工组织设计、单位工程的施工方案。</w:t>
      </w:r>
    </w:p>
    <w:p w14:paraId="5D40ADC2">
      <w:pPr>
        <w:spacing w:before="125" w:line="226" w:lineRule="auto"/>
        <w:ind w:left="2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②</w:t>
      </w:r>
      <w:r>
        <w:rPr>
          <w:rFonts w:ascii="宋体" w:hAnsi="宋体" w:eastAsia="宋体" w:cs="宋体"/>
          <w:color w:val="auto"/>
          <w:spacing w:val="15"/>
          <w:sz w:val="19"/>
          <w:szCs w:val="19"/>
          <w:highlight w:val="none"/>
        </w:rPr>
        <w:t xml:space="preserve"> </w:t>
      </w:r>
      <w:r>
        <w:rPr>
          <w:rFonts w:ascii="宋体" w:hAnsi="宋体" w:eastAsia="宋体" w:cs="宋体"/>
          <w:color w:val="auto"/>
          <w:spacing w:val="5"/>
          <w:sz w:val="19"/>
          <w:szCs w:val="19"/>
          <w:highlight w:val="none"/>
        </w:rPr>
        <w:t>每月</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25 日向监理人提交当月工程进度报表及下月进度计划。</w:t>
      </w:r>
    </w:p>
    <w:p w14:paraId="0E5E7445">
      <w:pPr>
        <w:spacing w:before="127" w:line="226" w:lineRule="auto"/>
        <w:ind w:left="2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③</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承包人自行负责施工安全保卫工作及夜间施工照明。</w:t>
      </w:r>
    </w:p>
    <w:p w14:paraId="00842A3A">
      <w:pPr>
        <w:spacing w:before="125" w:line="289" w:lineRule="auto"/>
        <w:ind w:left="24" w:right="16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④ 需承包人办理的有关施工场地交通、环卫和施工噪音降尘管理等手续：</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遵守有关部门</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对施工现场交通、环卫和施工噪音降尘管理规定，</w:t>
      </w:r>
      <w:r>
        <w:rPr>
          <w:rFonts w:ascii="宋体" w:hAnsi="宋体" w:eastAsia="宋体" w:cs="宋体"/>
          <w:color w:val="auto"/>
          <w:spacing w:val="-52"/>
          <w:sz w:val="19"/>
          <w:szCs w:val="19"/>
          <w:highlight w:val="none"/>
        </w:rPr>
        <w:t xml:space="preserve"> </w:t>
      </w:r>
      <w:r>
        <w:rPr>
          <w:rFonts w:ascii="宋体" w:hAnsi="宋体" w:eastAsia="宋体" w:cs="宋体"/>
          <w:color w:val="auto"/>
          <w:spacing w:val="8"/>
          <w:sz w:val="19"/>
          <w:szCs w:val="19"/>
          <w:highlight w:val="none"/>
        </w:rPr>
        <w:t>如有发</w:t>
      </w:r>
      <w:r>
        <w:rPr>
          <w:rFonts w:ascii="宋体" w:hAnsi="宋体" w:eastAsia="宋体" w:cs="宋体"/>
          <w:color w:val="auto"/>
          <w:spacing w:val="7"/>
          <w:sz w:val="19"/>
          <w:szCs w:val="19"/>
          <w:highlight w:val="none"/>
        </w:rPr>
        <w:t>生，费用由承包人承担。</w:t>
      </w:r>
    </w:p>
    <w:p w14:paraId="2A57A878">
      <w:pPr>
        <w:spacing w:before="125" w:line="288" w:lineRule="auto"/>
        <w:ind w:left="26" w:right="145" w:hanging="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⑤ 已完工程成品保护的特殊要求及费用承担：</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已完工工程未交付发包人之前，承包人按</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协议条款约定负责已完成工程的成品保护工作，保护期间发生损坏，承</w:t>
      </w:r>
      <w:r>
        <w:rPr>
          <w:rFonts w:ascii="宋体" w:hAnsi="宋体" w:eastAsia="宋体" w:cs="宋体"/>
          <w:color w:val="auto"/>
          <w:spacing w:val="8"/>
          <w:sz w:val="19"/>
          <w:szCs w:val="19"/>
          <w:highlight w:val="none"/>
        </w:rPr>
        <w:t>包人自费予以修复。</w:t>
      </w:r>
    </w:p>
    <w:p w14:paraId="26A6AC2F">
      <w:pPr>
        <w:spacing w:before="125" w:line="288" w:lineRule="auto"/>
        <w:ind w:left="27" w:right="67" w:hanging="3"/>
        <w:rPr>
          <w:rFonts w:ascii="宋体" w:hAnsi="宋体" w:eastAsia="宋体" w:cs="宋体"/>
          <w:color w:val="auto"/>
          <w:spacing w:val="7"/>
          <w:sz w:val="19"/>
          <w:szCs w:val="19"/>
          <w:highlight w:val="none"/>
        </w:rPr>
      </w:pPr>
      <w:r>
        <w:rPr>
          <w:rFonts w:ascii="宋体" w:hAnsi="宋体" w:eastAsia="宋体" w:cs="宋体"/>
          <w:color w:val="auto"/>
          <w:spacing w:val="9"/>
          <w:sz w:val="19"/>
          <w:szCs w:val="19"/>
          <w:highlight w:val="none"/>
        </w:rPr>
        <w:t>⑥ 承包人有义务对施工场地周围管线(含地上及地下)和邻</w:t>
      </w:r>
      <w:r>
        <w:rPr>
          <w:rFonts w:ascii="宋体" w:hAnsi="宋体" w:eastAsia="宋体" w:cs="宋体"/>
          <w:color w:val="auto"/>
          <w:spacing w:val="8"/>
          <w:sz w:val="19"/>
          <w:szCs w:val="19"/>
          <w:highlight w:val="none"/>
        </w:rPr>
        <w:t>近建筑物、构筑物(含文物保护</w:t>
      </w:r>
      <w:r>
        <w:rPr>
          <w:rFonts w:ascii="宋体" w:hAnsi="宋体" w:eastAsia="宋体" w:cs="宋体"/>
          <w:color w:val="auto"/>
          <w:spacing w:val="7"/>
          <w:sz w:val="19"/>
          <w:szCs w:val="19"/>
          <w:highlight w:val="none"/>
        </w:rPr>
        <w:t>建筑)、古树名木等进行探明并负责保护。</w:t>
      </w:r>
    </w:p>
    <w:p w14:paraId="417D79B7">
      <w:pPr>
        <w:spacing w:before="125" w:line="288" w:lineRule="auto"/>
        <w:ind w:left="27" w:right="67" w:hanging="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⑦ 施工场地清洁卫生的要求：按城建卫生有关规定执行，</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由承包人负责，费用由承包人</w:t>
      </w:r>
      <w:r>
        <w:rPr>
          <w:rFonts w:ascii="宋体" w:hAnsi="宋体" w:eastAsia="宋体" w:cs="宋体"/>
          <w:color w:val="auto"/>
          <w:spacing w:val="-4"/>
          <w:sz w:val="19"/>
          <w:szCs w:val="19"/>
          <w:highlight w:val="none"/>
        </w:rPr>
        <w:t>承担。</w:t>
      </w:r>
    </w:p>
    <w:p w14:paraId="4D7DC984">
      <w:pPr>
        <w:spacing w:before="125" w:line="226" w:lineRule="auto"/>
        <w:ind w:left="24"/>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⑧ 承包人承担施工场地、水电及运输通道的修建和维护、清场等费用。</w:t>
      </w:r>
    </w:p>
    <w:p w14:paraId="3AAAE87D">
      <w:pPr>
        <w:spacing w:before="16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(11)     </w:t>
      </w:r>
      <w:r>
        <w:rPr>
          <w:rFonts w:ascii="宋体" w:hAnsi="宋体" w:eastAsia="宋体" w:cs="宋体"/>
          <w:color w:val="auto"/>
          <w:spacing w:val="4"/>
          <w:sz w:val="19"/>
          <w:szCs w:val="19"/>
          <w:highlight w:val="none"/>
        </w:rPr>
        <w:t>双方约定承包人应做的其他工作：</w:t>
      </w:r>
    </w:p>
    <w:p w14:paraId="4BB898F4">
      <w:pPr>
        <w:spacing w:before="257" w:line="309" w:lineRule="auto"/>
        <w:ind w:left="24" w:right="160"/>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① 凡属于需要承包人交付给其他</w:t>
      </w:r>
      <w:r>
        <w:rPr>
          <w:rFonts w:ascii="宋体" w:hAnsi="宋体" w:eastAsia="宋体" w:cs="宋体"/>
          <w:color w:val="auto"/>
          <w:spacing w:val="9"/>
          <w:sz w:val="19"/>
          <w:szCs w:val="19"/>
          <w:highlight w:val="none"/>
        </w:rPr>
        <w:t>承包人的工作面以及与其他承包人交叉作业的工作面,</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承包人必须服从监理人的决定，按规定的完工日期完</w:t>
      </w:r>
      <w:r>
        <w:rPr>
          <w:rFonts w:ascii="宋体" w:hAnsi="宋体" w:eastAsia="宋体" w:cs="宋体"/>
          <w:color w:val="auto"/>
          <w:spacing w:val="9"/>
          <w:sz w:val="19"/>
          <w:szCs w:val="19"/>
          <w:highlight w:val="none"/>
        </w:rPr>
        <w:t>成并将清理好的工作面移交给发包人, 并</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取得监理人的同意。</w:t>
      </w:r>
    </w:p>
    <w:p w14:paraId="5AFC35DF">
      <w:pPr>
        <w:spacing w:before="62" w:line="227" w:lineRule="auto"/>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② 工程完工后，承包人应按监理人的指示清理施工现场。并在工程完工后</w:t>
      </w:r>
      <w:r>
        <w:rPr>
          <w:rFonts w:ascii="宋体" w:hAnsi="宋体" w:eastAsia="宋体" w:cs="宋体"/>
          <w:color w:val="auto"/>
          <w:spacing w:val="-32"/>
          <w:sz w:val="19"/>
          <w:szCs w:val="19"/>
          <w:highlight w:val="none"/>
        </w:rPr>
        <w:t xml:space="preserve"> </w:t>
      </w:r>
      <w:r>
        <w:rPr>
          <w:rFonts w:ascii="宋体" w:hAnsi="宋体" w:eastAsia="宋体" w:cs="宋体"/>
          <w:color w:val="auto"/>
          <w:spacing w:val="9"/>
          <w:sz w:val="19"/>
          <w:szCs w:val="19"/>
          <w:highlight w:val="none"/>
        </w:rPr>
        <w:t>6</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个月内完成</w:t>
      </w:r>
      <w:r>
        <w:rPr>
          <w:rFonts w:ascii="宋体" w:hAnsi="宋体" w:eastAsia="宋体" w:cs="宋体"/>
          <w:color w:val="auto"/>
          <w:spacing w:val="10"/>
          <w:sz w:val="19"/>
          <w:szCs w:val="19"/>
          <w:highlight w:val="none"/>
        </w:rPr>
        <w:t>并提交工程竣工资料和工程结算资料。承包人逾期提</w:t>
      </w:r>
      <w:r>
        <w:rPr>
          <w:rFonts w:ascii="宋体" w:hAnsi="宋体" w:eastAsia="宋体" w:cs="宋体"/>
          <w:color w:val="auto"/>
          <w:spacing w:val="9"/>
          <w:sz w:val="19"/>
          <w:szCs w:val="19"/>
          <w:highlight w:val="none"/>
        </w:rPr>
        <w:t>交，发包人将对承包人的拖延行为视为违</w:t>
      </w:r>
      <w:r>
        <w:rPr>
          <w:rFonts w:ascii="宋体" w:hAnsi="宋体" w:eastAsia="宋体" w:cs="宋体"/>
          <w:color w:val="auto"/>
          <w:spacing w:val="8"/>
          <w:sz w:val="19"/>
          <w:szCs w:val="19"/>
          <w:highlight w:val="none"/>
        </w:rPr>
        <w:t>约，并按</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100</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元/天计算违约金，违约金从承包人应得的工程款中扣除，但其最终的累计总金额</w:t>
      </w:r>
      <w:r>
        <w:rPr>
          <w:rFonts w:ascii="宋体" w:hAnsi="宋体" w:eastAsia="宋体" w:cs="宋体"/>
          <w:color w:val="auto"/>
          <w:spacing w:val="7"/>
          <w:sz w:val="19"/>
          <w:szCs w:val="19"/>
          <w:highlight w:val="none"/>
        </w:rPr>
        <w:t>与各项逾期完工违约金合计不超过合同价格的</w:t>
      </w:r>
      <w:r>
        <w:rPr>
          <w:rFonts w:ascii="宋体" w:hAnsi="宋体" w:eastAsia="宋体" w:cs="宋体"/>
          <w:color w:val="auto"/>
          <w:spacing w:val="-9"/>
          <w:sz w:val="19"/>
          <w:szCs w:val="19"/>
          <w:highlight w:val="none"/>
        </w:rPr>
        <w:t xml:space="preserve"> </w:t>
      </w:r>
      <w:r>
        <w:rPr>
          <w:rFonts w:ascii="宋体" w:hAnsi="宋体" w:eastAsia="宋体" w:cs="宋体"/>
          <w:color w:val="auto"/>
          <w:spacing w:val="7"/>
          <w:sz w:val="19"/>
          <w:szCs w:val="19"/>
          <w:highlight w:val="none"/>
        </w:rPr>
        <w:t>1%。</w:t>
      </w:r>
    </w:p>
    <w:p w14:paraId="1E44421E">
      <w:pPr>
        <w:spacing w:before="124" w:line="309" w:lineRule="auto"/>
        <w:ind w:left="30" w:right="68" w:hanging="6"/>
        <w:rPr>
          <w:rFonts w:hint="eastAsia" w:ascii="宋体" w:hAnsi="宋体" w:eastAsia="宋体" w:cs="宋体"/>
          <w:color w:val="auto"/>
          <w:sz w:val="19"/>
          <w:szCs w:val="19"/>
          <w:highlight w:val="none"/>
          <w:lang w:eastAsia="zh-CN"/>
        </w:rPr>
        <w:sectPr>
          <w:headerReference r:id="rId116" w:type="default"/>
          <w:footerReference r:id="rId117" w:type="default"/>
          <w:pgSz w:w="11900" w:h="16832"/>
          <w:pgMar w:top="400" w:right="1735" w:bottom="1022" w:left="1784" w:header="0" w:footer="815" w:gutter="0"/>
          <w:pgNumType w:fmt="decimal"/>
          <w:cols w:space="720" w:num="1"/>
        </w:sectPr>
      </w:pPr>
    </w:p>
    <w:p w14:paraId="6758D805">
      <w:pPr>
        <w:spacing w:before="16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(12)    </w:t>
      </w:r>
      <w:r>
        <w:rPr>
          <w:rFonts w:ascii="宋体" w:hAnsi="宋体" w:eastAsia="宋体" w:cs="宋体"/>
          <w:color w:val="auto"/>
          <w:spacing w:val="6"/>
          <w:sz w:val="19"/>
          <w:szCs w:val="19"/>
          <w:highlight w:val="none"/>
        </w:rPr>
        <w:t>其他未尽事宜待签订施工合同时</w:t>
      </w:r>
      <w:r>
        <w:rPr>
          <w:rFonts w:ascii="宋体" w:hAnsi="宋体" w:eastAsia="宋体" w:cs="宋体"/>
          <w:color w:val="auto"/>
          <w:spacing w:val="5"/>
          <w:sz w:val="19"/>
          <w:szCs w:val="19"/>
          <w:highlight w:val="none"/>
        </w:rPr>
        <w:t>双方再协商。</w:t>
      </w:r>
    </w:p>
    <w:p w14:paraId="7F074A46">
      <w:pPr>
        <w:spacing w:before="258" w:line="228" w:lineRule="auto"/>
        <w:ind w:left="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(四) 鼓励承包人根据工程建设实际，吸纳建档立卡贫困劳动力参加工程建设。</w:t>
      </w:r>
    </w:p>
    <w:p w14:paraId="3D347D13">
      <w:pPr>
        <w:spacing w:before="124" w:line="288" w:lineRule="auto"/>
        <w:ind w:left="25" w:right="108" w:firstLine="35"/>
        <w:rPr>
          <w:rFonts w:ascii="宋体" w:hAnsi="宋体" w:eastAsia="宋体" w:cs="宋体"/>
          <w:color w:val="auto"/>
          <w:spacing w:val="8"/>
          <w:sz w:val="19"/>
          <w:szCs w:val="19"/>
          <w:highlight w:val="none"/>
        </w:rPr>
      </w:pPr>
      <w:r>
        <w:rPr>
          <w:rFonts w:ascii="宋体" w:hAnsi="宋体" w:eastAsia="宋体" w:cs="宋体"/>
          <w:color w:val="auto"/>
          <w:spacing w:val="8"/>
          <w:sz w:val="19"/>
          <w:szCs w:val="19"/>
          <w:highlight w:val="none"/>
        </w:rPr>
        <w:t>(五) 执行自治区关于松材线虫病防控工作的有关规定，</w:t>
      </w:r>
      <w:r>
        <w:rPr>
          <w:rFonts w:ascii="宋体" w:hAnsi="宋体" w:eastAsia="宋体" w:cs="宋体"/>
          <w:color w:val="auto"/>
          <w:spacing w:val="-53"/>
          <w:sz w:val="19"/>
          <w:szCs w:val="19"/>
          <w:highlight w:val="none"/>
        </w:rPr>
        <w:t xml:space="preserve"> </w:t>
      </w:r>
      <w:r>
        <w:rPr>
          <w:rFonts w:ascii="宋体" w:hAnsi="宋体" w:eastAsia="宋体" w:cs="宋体"/>
          <w:color w:val="auto"/>
          <w:spacing w:val="8"/>
          <w:sz w:val="19"/>
          <w:szCs w:val="19"/>
          <w:highlight w:val="none"/>
        </w:rPr>
        <w:t>工程</w:t>
      </w:r>
      <w:r>
        <w:rPr>
          <w:rFonts w:ascii="宋体" w:hAnsi="宋体" w:eastAsia="宋体" w:cs="宋体"/>
          <w:color w:val="auto"/>
          <w:spacing w:val="7"/>
          <w:sz w:val="19"/>
          <w:szCs w:val="19"/>
          <w:highlight w:val="none"/>
        </w:rPr>
        <w:t>建设采用的模板、支撑及脚</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手架以钢模板、钢支撑为主，木质模板及仿材尽</w:t>
      </w:r>
      <w:r>
        <w:rPr>
          <w:rFonts w:ascii="宋体" w:hAnsi="宋体" w:eastAsia="宋体" w:cs="宋体"/>
          <w:color w:val="auto"/>
          <w:spacing w:val="8"/>
          <w:sz w:val="19"/>
          <w:szCs w:val="19"/>
          <w:highlight w:val="none"/>
        </w:rPr>
        <w:t>量就地采购，避免长途转运。</w:t>
      </w:r>
    </w:p>
    <w:p w14:paraId="3F6F17E5">
      <w:pPr>
        <w:spacing w:before="62" w:line="228" w:lineRule="auto"/>
        <w:ind w:left="24"/>
        <w:rPr>
          <w:rFonts w:ascii="宋体" w:hAnsi="宋体" w:eastAsia="宋体" w:cs="宋体"/>
          <w:b/>
          <w:bCs/>
          <w:color w:val="auto"/>
          <w:spacing w:val="6"/>
          <w:sz w:val="19"/>
          <w:szCs w:val="19"/>
          <w:highlight w:val="none"/>
        </w:rPr>
      </w:pPr>
      <w:r>
        <w:rPr>
          <w:rFonts w:ascii="宋体" w:hAnsi="宋体" w:eastAsia="宋体" w:cs="宋体"/>
          <w:b/>
          <w:bCs/>
          <w:color w:val="auto"/>
          <w:spacing w:val="6"/>
          <w:sz w:val="19"/>
          <w:szCs w:val="19"/>
          <w:highlight w:val="none"/>
        </w:rPr>
        <w:t>4.2 履约担保</w:t>
      </w:r>
    </w:p>
    <w:p w14:paraId="1D726C83">
      <w:pPr>
        <w:spacing w:before="62" w:line="228" w:lineRule="auto"/>
        <w:ind w:left="24"/>
        <w:rPr>
          <w:rFonts w:hint="default" w:ascii="宋体" w:hAnsi="宋体" w:eastAsia="宋体" w:cs="宋体"/>
          <w:b/>
          <w:bCs/>
          <w:color w:val="auto"/>
          <w:spacing w:val="6"/>
          <w:sz w:val="19"/>
          <w:szCs w:val="19"/>
          <w:highlight w:val="none"/>
          <w:lang w:val="en-US" w:eastAsia="zh-CN"/>
        </w:rPr>
      </w:pPr>
      <w:r>
        <w:rPr>
          <w:rFonts w:hint="eastAsia" w:ascii="宋体" w:hAnsi="宋体" w:eastAsia="宋体" w:cs="宋体"/>
          <w:b/>
          <w:bCs/>
          <w:color w:val="auto"/>
          <w:spacing w:val="6"/>
          <w:sz w:val="19"/>
          <w:szCs w:val="19"/>
          <w:highlight w:val="none"/>
          <w:lang w:val="en-US" w:eastAsia="zh-CN"/>
        </w:rPr>
        <w:t xml:space="preserve">  </w:t>
      </w:r>
      <w:r>
        <w:rPr>
          <w:rFonts w:hint="eastAsia" w:ascii="宋体" w:hAnsi="宋体" w:eastAsia="宋体" w:cs="宋体"/>
          <w:b w:val="0"/>
          <w:bCs w:val="0"/>
          <w:color w:val="auto"/>
          <w:spacing w:val="6"/>
          <w:sz w:val="19"/>
          <w:szCs w:val="19"/>
          <w:highlight w:val="none"/>
          <w:lang w:val="en-US" w:eastAsia="zh-CN"/>
        </w:rPr>
        <w:t xml:space="preserve"> 本工程不收取履约担保。</w:t>
      </w:r>
    </w:p>
    <w:p w14:paraId="35D18E04">
      <w:pPr>
        <w:spacing w:before="296" w:line="229" w:lineRule="auto"/>
        <w:ind w:left="24"/>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4.3</w:t>
      </w:r>
      <w:r>
        <w:rPr>
          <w:rFonts w:ascii="宋体" w:hAnsi="宋体" w:eastAsia="宋体" w:cs="宋体"/>
          <w:color w:val="auto"/>
          <w:spacing w:val="-30"/>
          <w:sz w:val="19"/>
          <w:szCs w:val="19"/>
          <w:highlight w:val="none"/>
        </w:rPr>
        <w:t xml:space="preserve"> </w:t>
      </w:r>
      <w:r>
        <w:rPr>
          <w:rFonts w:ascii="宋体" w:hAnsi="宋体" w:eastAsia="宋体" w:cs="宋体"/>
          <w:b/>
          <w:bCs/>
          <w:color w:val="auto"/>
          <w:spacing w:val="1"/>
          <w:sz w:val="19"/>
          <w:szCs w:val="19"/>
          <w:highlight w:val="none"/>
        </w:rPr>
        <w:t>分包</w:t>
      </w:r>
    </w:p>
    <w:p w14:paraId="7A2DB47A">
      <w:pPr>
        <w:spacing w:before="232"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4. 3. 2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允许承包人分包的工程项目、工作内容与分包金额限额为：</w:t>
      </w:r>
    </w:p>
    <w:p w14:paraId="7225FFDD">
      <w:pPr>
        <w:spacing w:before="25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(1)    </w:t>
      </w:r>
      <w:r>
        <w:rPr>
          <w:rFonts w:ascii="宋体" w:hAnsi="宋体" w:eastAsia="宋体" w:cs="宋体"/>
          <w:color w:val="auto"/>
          <w:spacing w:val="3"/>
          <w:sz w:val="19"/>
          <w:szCs w:val="19"/>
          <w:highlight w:val="none"/>
        </w:rPr>
        <w:t>工程项目：</w:t>
      </w:r>
      <w:r>
        <w:rPr>
          <w:rFonts w:ascii="宋体" w:hAnsi="宋体" w:eastAsia="宋体" w:cs="宋体"/>
          <w:color w:val="auto"/>
          <w:spacing w:val="3"/>
          <w:sz w:val="19"/>
          <w:szCs w:val="19"/>
          <w:highlight w:val="none"/>
          <w:u w:val="single" w:color="auto"/>
        </w:rPr>
        <w:t>/</w:t>
      </w:r>
      <w:r>
        <w:rPr>
          <w:rFonts w:ascii="宋体" w:hAnsi="宋体" w:eastAsia="宋体" w:cs="宋体"/>
          <w:color w:val="auto"/>
          <w:spacing w:val="3"/>
          <w:sz w:val="19"/>
          <w:szCs w:val="19"/>
          <w:highlight w:val="none"/>
        </w:rPr>
        <w:t>。</w:t>
      </w:r>
    </w:p>
    <w:p w14:paraId="209E13CC">
      <w:pPr>
        <w:spacing w:before="133"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(2)     </w:t>
      </w:r>
      <w:r>
        <w:rPr>
          <w:rFonts w:ascii="宋体" w:hAnsi="宋体" w:eastAsia="宋体" w:cs="宋体"/>
          <w:color w:val="auto"/>
          <w:spacing w:val="3"/>
          <w:sz w:val="19"/>
          <w:szCs w:val="19"/>
          <w:highlight w:val="none"/>
        </w:rPr>
        <w:t>工作内容：</w:t>
      </w:r>
      <w:r>
        <w:rPr>
          <w:rFonts w:ascii="宋体" w:hAnsi="宋体" w:eastAsia="宋体" w:cs="宋体"/>
          <w:color w:val="auto"/>
          <w:spacing w:val="3"/>
          <w:sz w:val="19"/>
          <w:szCs w:val="19"/>
          <w:highlight w:val="none"/>
          <w:u w:val="single" w:color="auto"/>
        </w:rPr>
        <w:t>/</w:t>
      </w:r>
      <w:r>
        <w:rPr>
          <w:rFonts w:ascii="宋体" w:hAnsi="宋体" w:eastAsia="宋体" w:cs="宋体"/>
          <w:color w:val="auto"/>
          <w:spacing w:val="3"/>
          <w:sz w:val="19"/>
          <w:szCs w:val="19"/>
          <w:highlight w:val="none"/>
        </w:rPr>
        <w:t>。</w:t>
      </w:r>
    </w:p>
    <w:p w14:paraId="7B42E2FD">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(3)    </w:t>
      </w:r>
      <w:r>
        <w:rPr>
          <w:rFonts w:ascii="宋体" w:hAnsi="宋体" w:eastAsia="宋体" w:cs="宋体"/>
          <w:color w:val="auto"/>
          <w:spacing w:val="4"/>
          <w:sz w:val="19"/>
          <w:szCs w:val="19"/>
          <w:highlight w:val="none"/>
        </w:rPr>
        <w:t>分包金额限</w:t>
      </w:r>
      <w:r>
        <w:rPr>
          <w:rFonts w:ascii="宋体" w:hAnsi="宋体" w:eastAsia="宋体" w:cs="宋体"/>
          <w:color w:val="auto"/>
          <w:spacing w:val="3"/>
          <w:sz w:val="19"/>
          <w:szCs w:val="19"/>
          <w:highlight w:val="none"/>
        </w:rPr>
        <w:t>额：</w:t>
      </w:r>
      <w:r>
        <w:rPr>
          <w:rFonts w:ascii="宋体" w:hAnsi="宋体" w:eastAsia="宋体" w:cs="宋体"/>
          <w:color w:val="auto"/>
          <w:spacing w:val="3"/>
          <w:sz w:val="19"/>
          <w:szCs w:val="19"/>
          <w:highlight w:val="none"/>
          <w:u w:val="single" w:color="auto"/>
        </w:rPr>
        <w:t>/</w:t>
      </w:r>
      <w:r>
        <w:rPr>
          <w:rFonts w:ascii="宋体" w:hAnsi="宋体" w:eastAsia="宋体" w:cs="宋体"/>
          <w:color w:val="auto"/>
          <w:spacing w:val="3"/>
          <w:sz w:val="19"/>
          <w:szCs w:val="19"/>
          <w:highlight w:val="none"/>
        </w:rPr>
        <w:t>。</w:t>
      </w:r>
    </w:p>
    <w:p w14:paraId="71E15956">
      <w:pPr>
        <w:spacing w:before="167" w:line="228" w:lineRule="auto"/>
        <w:ind w:left="44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4. 3.</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10 分包人项目管理机构的设立：</w:t>
      </w:r>
      <w:r>
        <w:rPr>
          <w:rFonts w:ascii="宋体" w:hAnsi="宋体" w:eastAsia="宋体" w:cs="宋体"/>
          <w:color w:val="auto"/>
          <w:spacing w:val="6"/>
          <w:sz w:val="19"/>
          <w:szCs w:val="19"/>
          <w:highlight w:val="none"/>
          <w:u w:val="single" w:color="auto"/>
        </w:rPr>
        <w:t>/</w:t>
      </w:r>
      <w:r>
        <w:rPr>
          <w:rFonts w:ascii="宋体" w:hAnsi="宋体" w:eastAsia="宋体" w:cs="宋体"/>
          <w:color w:val="auto"/>
          <w:spacing w:val="6"/>
          <w:sz w:val="19"/>
          <w:szCs w:val="19"/>
          <w:highlight w:val="none"/>
        </w:rPr>
        <w:t>。</w:t>
      </w:r>
    </w:p>
    <w:p w14:paraId="3F25AEAD">
      <w:pPr>
        <w:rPr>
          <w:rFonts w:ascii="Arial"/>
          <w:color w:val="auto"/>
          <w:sz w:val="21"/>
          <w:highlight w:val="none"/>
        </w:rPr>
      </w:pPr>
    </w:p>
    <w:p w14:paraId="6993BCF0">
      <w:pPr>
        <w:spacing w:before="62" w:line="228" w:lineRule="auto"/>
        <w:ind w:left="24"/>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4.7</w:t>
      </w:r>
      <w:r>
        <w:rPr>
          <w:rFonts w:ascii="宋体" w:hAnsi="宋体" w:eastAsia="宋体" w:cs="宋体"/>
          <w:color w:val="auto"/>
          <w:spacing w:val="-21"/>
          <w:sz w:val="19"/>
          <w:szCs w:val="19"/>
          <w:highlight w:val="none"/>
        </w:rPr>
        <w:t xml:space="preserve"> </w:t>
      </w:r>
      <w:r>
        <w:rPr>
          <w:rFonts w:ascii="宋体" w:hAnsi="宋体" w:eastAsia="宋体" w:cs="宋体"/>
          <w:b/>
          <w:bCs/>
          <w:color w:val="auto"/>
          <w:spacing w:val="6"/>
          <w:sz w:val="19"/>
          <w:szCs w:val="19"/>
          <w:highlight w:val="none"/>
        </w:rPr>
        <w:t>撤换承包人项目经理和其他人员</w:t>
      </w:r>
    </w:p>
    <w:p w14:paraId="7CDCF35F">
      <w:pPr>
        <w:spacing w:before="232" w:line="310" w:lineRule="auto"/>
        <w:ind w:left="29" w:firstLine="41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4. 7.</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承包人根据响应文件的承诺，投入本项目的项目经理、技术负责人、质量管理员、</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安全管理员等主要管理人员成交后不得更换(除因故去世、调离本单位外)。</w:t>
      </w:r>
    </w:p>
    <w:p w14:paraId="4FA61646">
      <w:pPr>
        <w:spacing w:before="255" w:line="336" w:lineRule="auto"/>
        <w:ind w:left="28" w:right="40" w:firstLine="435"/>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4.7.2</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项目经理每月在工地时间少于</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u w:val="single" w:color="auto"/>
        </w:rPr>
        <w:t>20</w:t>
      </w:r>
      <w:r>
        <w:rPr>
          <w:rFonts w:ascii="宋体" w:hAnsi="宋体" w:eastAsia="宋体" w:cs="宋体"/>
          <w:color w:val="auto"/>
          <w:spacing w:val="-43"/>
          <w:sz w:val="19"/>
          <w:szCs w:val="19"/>
          <w:highlight w:val="none"/>
          <w:u w:val="single" w:color="auto"/>
        </w:rPr>
        <w:t xml:space="preserve"> </w:t>
      </w:r>
      <w:r>
        <w:rPr>
          <w:rFonts w:ascii="宋体" w:hAnsi="宋体" w:eastAsia="宋体" w:cs="宋体"/>
          <w:color w:val="auto"/>
          <w:spacing w:val="-53"/>
          <w:sz w:val="19"/>
          <w:szCs w:val="19"/>
          <w:highlight w:val="none"/>
        </w:rPr>
        <w:t xml:space="preserve"> </w:t>
      </w:r>
      <w:r>
        <w:rPr>
          <w:rFonts w:ascii="宋体" w:hAnsi="宋体" w:eastAsia="宋体" w:cs="宋体"/>
          <w:color w:val="auto"/>
          <w:spacing w:val="7"/>
          <w:sz w:val="19"/>
          <w:szCs w:val="19"/>
          <w:highlight w:val="none"/>
        </w:rPr>
        <w:t>日，</w:t>
      </w:r>
      <w:r>
        <w:rPr>
          <w:rFonts w:ascii="宋体" w:hAnsi="宋体" w:eastAsia="宋体" w:cs="宋体"/>
          <w:color w:val="auto"/>
          <w:spacing w:val="6"/>
          <w:sz w:val="19"/>
          <w:szCs w:val="19"/>
          <w:highlight w:val="none"/>
        </w:rPr>
        <w:t>且未经采购人同意的，按未履职处理，</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由有关</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行政监督部门处理后报请自治区有关行政监督部门将结果记入市场主体信用</w:t>
      </w:r>
      <w:r>
        <w:rPr>
          <w:rFonts w:ascii="宋体" w:hAnsi="宋体" w:eastAsia="宋体" w:cs="宋体"/>
          <w:color w:val="auto"/>
          <w:spacing w:val="11"/>
          <w:sz w:val="19"/>
          <w:szCs w:val="19"/>
          <w:highlight w:val="none"/>
        </w:rPr>
        <w:t>档案，公布不良行</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为记录。</w:t>
      </w:r>
    </w:p>
    <w:p w14:paraId="0299FA59">
      <w:pPr>
        <w:spacing w:before="222" w:line="228" w:lineRule="auto"/>
        <w:ind w:left="24"/>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4.11</w:t>
      </w:r>
      <w:r>
        <w:rPr>
          <w:rFonts w:ascii="宋体" w:hAnsi="宋体" w:eastAsia="宋体" w:cs="宋体"/>
          <w:color w:val="auto"/>
          <w:spacing w:val="-26"/>
          <w:sz w:val="19"/>
          <w:szCs w:val="19"/>
          <w:highlight w:val="none"/>
        </w:rPr>
        <w:t xml:space="preserve"> </w:t>
      </w:r>
      <w:r>
        <w:rPr>
          <w:rFonts w:ascii="宋体" w:hAnsi="宋体" w:eastAsia="宋体" w:cs="宋体"/>
          <w:b/>
          <w:bCs/>
          <w:color w:val="auto"/>
          <w:spacing w:val="4"/>
          <w:sz w:val="19"/>
          <w:szCs w:val="19"/>
          <w:highlight w:val="none"/>
        </w:rPr>
        <w:t>不利物质条件</w:t>
      </w:r>
    </w:p>
    <w:p w14:paraId="224DD691">
      <w:pPr>
        <w:spacing w:before="233" w:line="228" w:lineRule="auto"/>
        <w:ind w:left="44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4.11.1</w:t>
      </w:r>
      <w:r>
        <w:rPr>
          <w:rFonts w:ascii="宋体" w:hAnsi="宋体" w:eastAsia="宋体" w:cs="宋体"/>
          <w:color w:val="auto"/>
          <w:spacing w:val="-25"/>
          <w:sz w:val="19"/>
          <w:szCs w:val="19"/>
          <w:highlight w:val="none"/>
        </w:rPr>
        <w:t xml:space="preserve"> </w:t>
      </w:r>
      <w:r>
        <w:rPr>
          <w:rFonts w:ascii="宋体" w:hAnsi="宋体" w:eastAsia="宋体" w:cs="宋体"/>
          <w:color w:val="auto"/>
          <w:spacing w:val="6"/>
          <w:sz w:val="19"/>
          <w:szCs w:val="19"/>
          <w:highlight w:val="none"/>
        </w:rPr>
        <w:t>不利物质条件的范围：</w:t>
      </w:r>
      <w:r>
        <w:rPr>
          <w:rFonts w:ascii="宋体" w:hAnsi="宋体" w:eastAsia="宋体" w:cs="宋体"/>
          <w:color w:val="auto"/>
          <w:spacing w:val="6"/>
          <w:sz w:val="19"/>
          <w:szCs w:val="19"/>
          <w:highlight w:val="none"/>
          <w:u w:val="single" w:color="auto"/>
        </w:rPr>
        <w:t>按通用条款，</w:t>
      </w:r>
      <w:r>
        <w:rPr>
          <w:rFonts w:ascii="宋体" w:hAnsi="宋体" w:eastAsia="宋体" w:cs="宋体"/>
          <w:color w:val="auto"/>
          <w:spacing w:val="-53"/>
          <w:sz w:val="19"/>
          <w:szCs w:val="19"/>
          <w:highlight w:val="none"/>
          <w:u w:val="single" w:color="auto"/>
        </w:rPr>
        <w:t xml:space="preserve"> </w:t>
      </w:r>
      <w:r>
        <w:rPr>
          <w:rFonts w:ascii="宋体" w:hAnsi="宋体" w:eastAsia="宋体" w:cs="宋体"/>
          <w:color w:val="auto"/>
          <w:spacing w:val="6"/>
          <w:sz w:val="19"/>
          <w:szCs w:val="19"/>
          <w:highlight w:val="none"/>
          <w:u w:val="single" w:color="auto"/>
        </w:rPr>
        <w:t>无特殊约定</w:t>
      </w:r>
      <w:r>
        <w:rPr>
          <w:rFonts w:ascii="宋体" w:hAnsi="宋体" w:eastAsia="宋体" w:cs="宋体"/>
          <w:color w:val="auto"/>
          <w:spacing w:val="6"/>
          <w:sz w:val="19"/>
          <w:szCs w:val="19"/>
          <w:highlight w:val="none"/>
        </w:rPr>
        <w:t>。</w:t>
      </w:r>
    </w:p>
    <w:p w14:paraId="7251E3E0">
      <w:pPr>
        <w:spacing w:line="263" w:lineRule="auto"/>
        <w:rPr>
          <w:rFonts w:ascii="Arial"/>
          <w:color w:val="auto"/>
          <w:sz w:val="21"/>
          <w:highlight w:val="none"/>
        </w:rPr>
      </w:pPr>
    </w:p>
    <w:p w14:paraId="19B76552">
      <w:pPr>
        <w:spacing w:before="101" w:line="224"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5.</w:t>
      </w:r>
      <w:r>
        <w:rPr>
          <w:rFonts w:ascii="Cambria" w:hAnsi="Cambria" w:eastAsia="Cambria" w:cs="Cambria"/>
          <w:b/>
          <w:bCs/>
          <w:color w:val="auto"/>
          <w:spacing w:val="20"/>
          <w:w w:val="101"/>
          <w:sz w:val="31"/>
          <w:szCs w:val="31"/>
          <w:highlight w:val="none"/>
        </w:rPr>
        <w:t xml:space="preserve">  </w:t>
      </w:r>
      <w:r>
        <w:rPr>
          <w:rFonts w:ascii="宋体" w:hAnsi="宋体" w:eastAsia="宋体" w:cs="宋体"/>
          <w:b/>
          <w:bCs/>
          <w:color w:val="auto"/>
          <w:spacing w:val="2"/>
          <w:sz w:val="31"/>
          <w:szCs w:val="31"/>
          <w:highlight w:val="none"/>
        </w:rPr>
        <w:t>材料和工程设备</w:t>
      </w:r>
    </w:p>
    <w:p w14:paraId="5CEC32C9">
      <w:pPr>
        <w:spacing w:line="327" w:lineRule="auto"/>
        <w:rPr>
          <w:rFonts w:ascii="Arial"/>
          <w:color w:val="auto"/>
          <w:sz w:val="21"/>
          <w:highlight w:val="none"/>
        </w:rPr>
      </w:pPr>
    </w:p>
    <w:p w14:paraId="425820E3">
      <w:pPr>
        <w:spacing w:line="327" w:lineRule="auto"/>
        <w:rPr>
          <w:rFonts w:ascii="Arial"/>
          <w:color w:val="auto"/>
          <w:sz w:val="21"/>
          <w:highlight w:val="none"/>
        </w:rPr>
      </w:pPr>
    </w:p>
    <w:p w14:paraId="778FA8BB">
      <w:pPr>
        <w:spacing w:before="62" w:line="228" w:lineRule="auto"/>
        <w:ind w:left="29"/>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5.2</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6"/>
          <w:sz w:val="19"/>
          <w:szCs w:val="19"/>
          <w:highlight w:val="none"/>
        </w:rPr>
        <w:t>发包人提供的材料和工程设备</w:t>
      </w:r>
    </w:p>
    <w:p w14:paraId="72523662">
      <w:pPr>
        <w:spacing w:before="234" w:line="228" w:lineRule="auto"/>
        <w:ind w:left="44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5.2. 1</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发包人与承包人签订的施工合同中约定是否提供材料和工程设备。</w:t>
      </w:r>
    </w:p>
    <w:p w14:paraId="1719B5D9">
      <w:pPr>
        <w:spacing w:before="300" w:line="225" w:lineRule="auto"/>
        <w:ind w:left="35"/>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6.</w:t>
      </w:r>
      <w:r>
        <w:rPr>
          <w:rFonts w:ascii="Cambria" w:hAnsi="Cambria" w:eastAsia="Cambria" w:cs="Cambria"/>
          <w:b/>
          <w:bCs/>
          <w:color w:val="auto"/>
          <w:spacing w:val="19"/>
          <w:w w:val="101"/>
          <w:sz w:val="31"/>
          <w:szCs w:val="31"/>
          <w:highlight w:val="none"/>
        </w:rPr>
        <w:t xml:space="preserve">  </w:t>
      </w:r>
      <w:r>
        <w:rPr>
          <w:rFonts w:ascii="宋体" w:hAnsi="宋体" w:eastAsia="宋体" w:cs="宋体"/>
          <w:b/>
          <w:bCs/>
          <w:color w:val="auto"/>
          <w:spacing w:val="4"/>
          <w:sz w:val="31"/>
          <w:szCs w:val="31"/>
          <w:highlight w:val="none"/>
        </w:rPr>
        <w:t>施工设备和临时设施</w:t>
      </w:r>
    </w:p>
    <w:p w14:paraId="7EACFB79">
      <w:pPr>
        <w:spacing w:line="327" w:lineRule="auto"/>
        <w:rPr>
          <w:rFonts w:ascii="Arial"/>
          <w:color w:val="auto"/>
          <w:sz w:val="21"/>
          <w:highlight w:val="none"/>
        </w:rPr>
      </w:pPr>
    </w:p>
    <w:p w14:paraId="3B998850">
      <w:pPr>
        <w:spacing w:line="328" w:lineRule="auto"/>
        <w:rPr>
          <w:rFonts w:ascii="Arial"/>
          <w:color w:val="auto"/>
          <w:sz w:val="21"/>
          <w:highlight w:val="none"/>
        </w:rPr>
      </w:pPr>
    </w:p>
    <w:p w14:paraId="5B1C574E">
      <w:pPr>
        <w:spacing w:before="62" w:line="228" w:lineRule="auto"/>
        <w:ind w:left="27"/>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6.1</w:t>
      </w:r>
      <w:r>
        <w:rPr>
          <w:rFonts w:ascii="宋体" w:hAnsi="宋体" w:eastAsia="宋体" w:cs="宋体"/>
          <w:color w:val="auto"/>
          <w:spacing w:val="-22"/>
          <w:sz w:val="19"/>
          <w:szCs w:val="19"/>
          <w:highlight w:val="none"/>
        </w:rPr>
        <w:t xml:space="preserve"> </w:t>
      </w:r>
      <w:r>
        <w:rPr>
          <w:rFonts w:ascii="宋体" w:hAnsi="宋体" w:eastAsia="宋体" w:cs="宋体"/>
          <w:b/>
          <w:bCs/>
          <w:color w:val="auto"/>
          <w:spacing w:val="6"/>
          <w:sz w:val="19"/>
          <w:szCs w:val="19"/>
          <w:highlight w:val="none"/>
        </w:rPr>
        <w:t>承包人提供的施工设备和临时设施</w:t>
      </w:r>
    </w:p>
    <w:p w14:paraId="6B5FB8CF">
      <w:pPr>
        <w:spacing w:line="260" w:lineRule="auto"/>
        <w:rPr>
          <w:rFonts w:ascii="Arial"/>
          <w:color w:val="auto"/>
          <w:sz w:val="21"/>
          <w:highlight w:val="none"/>
        </w:rPr>
      </w:pPr>
    </w:p>
    <w:p w14:paraId="63072619">
      <w:pPr>
        <w:spacing w:before="63" w:line="340" w:lineRule="auto"/>
        <w:ind w:left="28" w:right="40" w:firstLine="43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6.1.2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承包人自行承担修建临时设施的费用，需要临时占地的，</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由承包人办理相关申 请手</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续，发包人予以协助，</w:t>
      </w:r>
      <w:r>
        <w:rPr>
          <w:rFonts w:ascii="宋体" w:hAnsi="宋体" w:eastAsia="宋体" w:cs="宋体"/>
          <w:color w:val="auto"/>
          <w:spacing w:val="-42"/>
          <w:sz w:val="19"/>
          <w:szCs w:val="19"/>
          <w:highlight w:val="none"/>
        </w:rPr>
        <w:t xml:space="preserve"> </w:t>
      </w:r>
      <w:r>
        <w:rPr>
          <w:rFonts w:ascii="宋体" w:hAnsi="宋体" w:eastAsia="宋体" w:cs="宋体"/>
          <w:color w:val="auto"/>
          <w:spacing w:val="6"/>
          <w:sz w:val="19"/>
          <w:szCs w:val="19"/>
          <w:highlight w:val="none"/>
        </w:rPr>
        <w:t>发生的相关费用由承包人承担。</w:t>
      </w:r>
    </w:p>
    <w:p w14:paraId="04D51550">
      <w:pPr>
        <w:spacing w:before="213" w:line="228" w:lineRule="auto"/>
        <w:ind w:left="27"/>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6.2</w:t>
      </w:r>
      <w:r>
        <w:rPr>
          <w:rFonts w:ascii="宋体" w:hAnsi="宋体" w:eastAsia="宋体" w:cs="宋体"/>
          <w:color w:val="auto"/>
          <w:spacing w:val="-22"/>
          <w:sz w:val="19"/>
          <w:szCs w:val="19"/>
          <w:highlight w:val="none"/>
        </w:rPr>
        <w:t xml:space="preserve"> </w:t>
      </w:r>
      <w:r>
        <w:rPr>
          <w:rFonts w:ascii="宋体" w:hAnsi="宋体" w:eastAsia="宋体" w:cs="宋体"/>
          <w:b/>
          <w:bCs/>
          <w:color w:val="auto"/>
          <w:spacing w:val="6"/>
          <w:sz w:val="19"/>
          <w:szCs w:val="19"/>
          <w:highlight w:val="none"/>
        </w:rPr>
        <w:t>发包人提供的施工设备和临时设施</w:t>
      </w:r>
    </w:p>
    <w:p w14:paraId="724B1F18">
      <w:pPr>
        <w:spacing w:before="234" w:line="222" w:lineRule="auto"/>
        <w:ind w:left="26"/>
        <w:rPr>
          <w:rFonts w:ascii="Arial"/>
          <w:color w:val="auto"/>
          <w:sz w:val="21"/>
          <w:highlight w:val="none"/>
        </w:rPr>
      </w:pPr>
      <w:r>
        <w:rPr>
          <w:rFonts w:ascii="Times New Roman" w:hAnsi="Times New Roman" w:eastAsia="Times New Roman" w:cs="Times New Roman"/>
          <w:color w:val="auto"/>
          <w:spacing w:val="6"/>
          <w:sz w:val="19"/>
          <w:szCs w:val="19"/>
          <w:highlight w:val="none"/>
        </w:rPr>
        <w:t>(1)</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6"/>
          <w:sz w:val="19"/>
          <w:szCs w:val="19"/>
          <w:highlight w:val="none"/>
        </w:rPr>
        <w:t>发包人提供的的施工设备</w:t>
      </w:r>
      <w:r>
        <w:rPr>
          <w:rFonts w:ascii="宋体" w:hAnsi="宋体" w:eastAsia="宋体" w:cs="宋体"/>
          <w:color w:val="auto"/>
          <w:spacing w:val="6"/>
          <w:sz w:val="19"/>
          <w:szCs w:val="19"/>
          <w:highlight w:val="none"/>
          <w:u w:val="single" w:color="auto"/>
        </w:rPr>
        <w:t>：/</w:t>
      </w:r>
      <w:r>
        <w:rPr>
          <w:rFonts w:ascii="宋体" w:hAnsi="宋体" w:eastAsia="宋体" w:cs="宋体"/>
          <w:color w:val="auto"/>
          <w:spacing w:val="6"/>
          <w:sz w:val="19"/>
          <w:szCs w:val="19"/>
          <w:highlight w:val="none"/>
        </w:rPr>
        <w:t>。</w:t>
      </w:r>
    </w:p>
    <w:p w14:paraId="722F622E">
      <w:pPr>
        <w:spacing w:before="6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 xml:space="preserve">发包人提供的临时设施： </w:t>
      </w:r>
      <w:r>
        <w:rPr>
          <w:rFonts w:ascii="宋体" w:hAnsi="宋体" w:eastAsia="宋体" w:cs="宋体"/>
          <w:color w:val="auto"/>
          <w:spacing w:val="-85"/>
          <w:sz w:val="19"/>
          <w:szCs w:val="19"/>
          <w:highlight w:val="none"/>
          <w:u w:val="single" w:color="auto"/>
        </w:rPr>
        <w:t xml:space="preserve"> </w:t>
      </w:r>
      <w:r>
        <w:rPr>
          <w:rFonts w:ascii="宋体" w:hAnsi="宋体" w:eastAsia="宋体" w:cs="宋体"/>
          <w:color w:val="auto"/>
          <w:spacing w:val="6"/>
          <w:sz w:val="19"/>
          <w:szCs w:val="19"/>
          <w:highlight w:val="none"/>
          <w:u w:val="single" w:color="auto"/>
        </w:rPr>
        <w:t>/</w:t>
      </w:r>
      <w:r>
        <w:rPr>
          <w:rFonts w:ascii="宋体" w:hAnsi="宋体" w:eastAsia="宋体" w:cs="宋体"/>
          <w:color w:val="auto"/>
          <w:spacing w:val="6"/>
          <w:sz w:val="19"/>
          <w:szCs w:val="19"/>
          <w:highlight w:val="none"/>
        </w:rPr>
        <w:t>。</w:t>
      </w:r>
    </w:p>
    <w:p w14:paraId="2E70384C">
      <w:pPr>
        <w:spacing w:before="306" w:line="225" w:lineRule="auto"/>
        <w:ind w:left="37"/>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7.</w:t>
      </w:r>
      <w:r>
        <w:rPr>
          <w:rFonts w:ascii="Cambria" w:hAnsi="Cambria" w:eastAsia="Cambria" w:cs="Cambria"/>
          <w:b/>
          <w:bCs/>
          <w:color w:val="auto"/>
          <w:spacing w:val="24"/>
          <w:sz w:val="31"/>
          <w:szCs w:val="31"/>
          <w:highlight w:val="none"/>
        </w:rPr>
        <w:t xml:space="preserve">  </w:t>
      </w:r>
      <w:r>
        <w:rPr>
          <w:rFonts w:ascii="宋体" w:hAnsi="宋体" w:eastAsia="宋体" w:cs="宋体"/>
          <w:b/>
          <w:bCs/>
          <w:color w:val="auto"/>
          <w:spacing w:val="-1"/>
          <w:sz w:val="31"/>
          <w:szCs w:val="31"/>
          <w:highlight w:val="none"/>
        </w:rPr>
        <w:t>交通运输</w:t>
      </w:r>
    </w:p>
    <w:p w14:paraId="13CB2D63">
      <w:pPr>
        <w:spacing w:line="326" w:lineRule="auto"/>
        <w:rPr>
          <w:rFonts w:ascii="Arial"/>
          <w:color w:val="auto"/>
          <w:sz w:val="21"/>
          <w:highlight w:val="none"/>
        </w:rPr>
      </w:pPr>
    </w:p>
    <w:p w14:paraId="34E40039">
      <w:pPr>
        <w:spacing w:line="327" w:lineRule="auto"/>
        <w:rPr>
          <w:rFonts w:ascii="Arial"/>
          <w:color w:val="auto"/>
          <w:sz w:val="21"/>
          <w:highlight w:val="none"/>
        </w:rPr>
      </w:pPr>
    </w:p>
    <w:p w14:paraId="5DEE748B">
      <w:pPr>
        <w:spacing w:before="62" w:line="228" w:lineRule="auto"/>
        <w:ind w:left="30"/>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7.1</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5"/>
          <w:sz w:val="19"/>
          <w:szCs w:val="19"/>
          <w:highlight w:val="none"/>
        </w:rPr>
        <w:t>道路通行权和场外设施</w:t>
      </w:r>
    </w:p>
    <w:p w14:paraId="4467E5E3">
      <w:pPr>
        <w:spacing w:before="235" w:line="228" w:lineRule="auto"/>
        <w:ind w:left="444"/>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道路通行权和场外设施的约定：</w:t>
      </w:r>
      <w:r>
        <w:rPr>
          <w:rFonts w:ascii="宋体" w:hAnsi="宋体" w:eastAsia="宋体" w:cs="宋体"/>
          <w:color w:val="auto"/>
          <w:spacing w:val="9"/>
          <w:sz w:val="19"/>
          <w:szCs w:val="19"/>
          <w:highlight w:val="none"/>
          <w:u w:val="single" w:color="auto"/>
        </w:rPr>
        <w:t>按通用合同条款</w:t>
      </w:r>
      <w:r>
        <w:rPr>
          <w:rFonts w:ascii="宋体" w:hAnsi="宋体" w:eastAsia="宋体" w:cs="宋体"/>
          <w:color w:val="auto"/>
          <w:spacing w:val="9"/>
          <w:sz w:val="19"/>
          <w:szCs w:val="19"/>
          <w:highlight w:val="none"/>
        </w:rPr>
        <w:t>。</w:t>
      </w:r>
    </w:p>
    <w:p w14:paraId="06EA6817">
      <w:pPr>
        <w:spacing w:before="295" w:line="226" w:lineRule="auto"/>
        <w:ind w:left="33"/>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8.</w:t>
      </w:r>
      <w:r>
        <w:rPr>
          <w:rFonts w:ascii="Cambria" w:hAnsi="Cambria" w:eastAsia="Cambria" w:cs="Cambria"/>
          <w:b/>
          <w:bCs/>
          <w:color w:val="auto"/>
          <w:spacing w:val="20"/>
          <w:w w:val="101"/>
          <w:sz w:val="31"/>
          <w:szCs w:val="31"/>
          <w:highlight w:val="none"/>
        </w:rPr>
        <w:t xml:space="preserve">  </w:t>
      </w:r>
      <w:r>
        <w:rPr>
          <w:rFonts w:ascii="宋体" w:hAnsi="宋体" w:eastAsia="宋体" w:cs="宋体"/>
          <w:b/>
          <w:bCs/>
          <w:color w:val="auto"/>
          <w:spacing w:val="1"/>
          <w:sz w:val="31"/>
          <w:szCs w:val="31"/>
          <w:highlight w:val="none"/>
        </w:rPr>
        <w:t>测量放线</w:t>
      </w:r>
    </w:p>
    <w:p w14:paraId="677B62FC">
      <w:pPr>
        <w:spacing w:line="326" w:lineRule="auto"/>
        <w:rPr>
          <w:rFonts w:ascii="Arial"/>
          <w:color w:val="auto"/>
          <w:sz w:val="21"/>
          <w:highlight w:val="none"/>
        </w:rPr>
      </w:pPr>
    </w:p>
    <w:p w14:paraId="46DFC908">
      <w:pPr>
        <w:spacing w:line="326" w:lineRule="auto"/>
        <w:rPr>
          <w:rFonts w:ascii="Arial"/>
          <w:color w:val="auto"/>
          <w:sz w:val="21"/>
          <w:highlight w:val="none"/>
        </w:rPr>
      </w:pPr>
    </w:p>
    <w:p w14:paraId="36E72CAE">
      <w:pPr>
        <w:spacing w:before="62" w:line="229" w:lineRule="auto"/>
        <w:ind w:left="26"/>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8.1</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4"/>
          <w:sz w:val="19"/>
          <w:szCs w:val="19"/>
          <w:highlight w:val="none"/>
        </w:rPr>
        <w:t>施工控制网</w:t>
      </w:r>
    </w:p>
    <w:p w14:paraId="663100F0">
      <w:pPr>
        <w:spacing w:before="233" w:line="228" w:lineRule="auto"/>
        <w:ind w:left="44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8.1.</w:t>
      </w:r>
      <w:r>
        <w:rPr>
          <w:rFonts w:ascii="宋体" w:hAnsi="宋体" w:eastAsia="宋体" w:cs="宋体"/>
          <w:color w:val="auto"/>
          <w:spacing w:val="-6"/>
          <w:sz w:val="19"/>
          <w:szCs w:val="19"/>
          <w:highlight w:val="none"/>
        </w:rPr>
        <w:t xml:space="preserve"> </w:t>
      </w:r>
      <w:r>
        <w:rPr>
          <w:rFonts w:ascii="宋体" w:hAnsi="宋体" w:eastAsia="宋体" w:cs="宋体"/>
          <w:color w:val="auto"/>
          <w:spacing w:val="5"/>
          <w:sz w:val="19"/>
          <w:szCs w:val="19"/>
          <w:highlight w:val="none"/>
        </w:rPr>
        <w:t>1 施工控制网的约定：</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u w:val="single" w:color="auto"/>
        </w:rPr>
        <w:t>由承包人负责测量并承担其费用</w:t>
      </w:r>
      <w:r>
        <w:rPr>
          <w:rFonts w:ascii="宋体" w:hAnsi="宋体" w:eastAsia="宋体" w:cs="宋体"/>
          <w:color w:val="auto"/>
          <w:spacing w:val="5"/>
          <w:sz w:val="19"/>
          <w:szCs w:val="19"/>
          <w:highlight w:val="none"/>
        </w:rPr>
        <w:t>。</w:t>
      </w:r>
    </w:p>
    <w:p w14:paraId="0F3A9797">
      <w:pPr>
        <w:spacing w:line="340" w:lineRule="auto"/>
        <w:rPr>
          <w:rFonts w:ascii="Arial"/>
          <w:color w:val="auto"/>
          <w:sz w:val="21"/>
          <w:highlight w:val="none"/>
        </w:rPr>
      </w:pPr>
    </w:p>
    <w:p w14:paraId="3806D316">
      <w:pPr>
        <w:spacing w:before="102" w:line="226" w:lineRule="auto"/>
        <w:ind w:left="32"/>
        <w:rPr>
          <w:rFonts w:ascii="宋体" w:hAnsi="宋体" w:eastAsia="宋体" w:cs="宋体"/>
          <w:color w:val="auto"/>
          <w:sz w:val="31"/>
          <w:szCs w:val="31"/>
          <w:highlight w:val="none"/>
        </w:rPr>
      </w:pPr>
      <w:r>
        <w:rPr>
          <w:rFonts w:ascii="Cambria" w:hAnsi="Cambria" w:eastAsia="Cambria" w:cs="Cambria"/>
          <w:b/>
          <w:bCs/>
          <w:color w:val="auto"/>
          <w:spacing w:val="7"/>
          <w:sz w:val="31"/>
          <w:szCs w:val="31"/>
          <w:highlight w:val="none"/>
        </w:rPr>
        <w:t xml:space="preserve">9.  </w:t>
      </w:r>
      <w:r>
        <w:rPr>
          <w:rFonts w:ascii="宋体" w:hAnsi="宋体" w:eastAsia="宋体" w:cs="宋体"/>
          <w:b/>
          <w:bCs/>
          <w:color w:val="auto"/>
          <w:spacing w:val="7"/>
          <w:sz w:val="31"/>
          <w:szCs w:val="31"/>
          <w:highlight w:val="none"/>
        </w:rPr>
        <w:t>施工安全、治安保卫和环境保护</w:t>
      </w:r>
    </w:p>
    <w:p w14:paraId="53F96B44">
      <w:pPr>
        <w:spacing w:line="326" w:lineRule="auto"/>
        <w:rPr>
          <w:rFonts w:ascii="Arial"/>
          <w:color w:val="auto"/>
          <w:sz w:val="21"/>
          <w:highlight w:val="none"/>
        </w:rPr>
      </w:pPr>
    </w:p>
    <w:p w14:paraId="578AAE3E">
      <w:pPr>
        <w:spacing w:line="326" w:lineRule="auto"/>
        <w:rPr>
          <w:rFonts w:ascii="Arial"/>
          <w:color w:val="auto"/>
          <w:sz w:val="21"/>
          <w:highlight w:val="none"/>
        </w:rPr>
      </w:pPr>
    </w:p>
    <w:p w14:paraId="12B19BC1">
      <w:pPr>
        <w:spacing w:before="62" w:line="228" w:lineRule="auto"/>
        <w:ind w:left="26"/>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9.2</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6"/>
          <w:sz w:val="19"/>
          <w:szCs w:val="19"/>
          <w:highlight w:val="none"/>
        </w:rPr>
        <w:t>承包人的施工安全责任</w:t>
      </w:r>
    </w:p>
    <w:p w14:paraId="2A39C76F">
      <w:pPr>
        <w:spacing w:before="231" w:line="228" w:lineRule="auto"/>
        <w:ind w:left="446"/>
        <w:rPr>
          <w:rFonts w:hint="eastAsia" w:ascii="宋体" w:hAnsi="宋体" w:eastAsia="宋体" w:cs="宋体"/>
          <w:color w:val="auto"/>
          <w:spacing w:val="7"/>
          <w:sz w:val="19"/>
          <w:szCs w:val="19"/>
          <w:highlight w:val="none"/>
        </w:rPr>
      </w:pPr>
      <w:r>
        <w:rPr>
          <w:rFonts w:ascii="宋体" w:hAnsi="宋体" w:eastAsia="宋体" w:cs="宋体"/>
          <w:color w:val="auto"/>
          <w:spacing w:val="7"/>
          <w:sz w:val="19"/>
          <w:szCs w:val="19"/>
          <w:highlight w:val="none"/>
        </w:rPr>
        <w:t>9.2. 8</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安全</w:t>
      </w:r>
      <w:r>
        <w:rPr>
          <w:rFonts w:hint="eastAsia" w:ascii="宋体" w:hAnsi="宋体" w:eastAsia="宋体" w:cs="宋体"/>
          <w:color w:val="auto"/>
          <w:spacing w:val="7"/>
          <w:sz w:val="19"/>
          <w:szCs w:val="19"/>
          <w:highlight w:val="none"/>
          <w:lang w:eastAsia="zh-CN"/>
        </w:rPr>
        <w:t>文明</w:t>
      </w:r>
      <w:r>
        <w:rPr>
          <w:rFonts w:ascii="宋体" w:hAnsi="宋体" w:eastAsia="宋体" w:cs="宋体"/>
          <w:color w:val="auto"/>
          <w:spacing w:val="7"/>
          <w:sz w:val="19"/>
          <w:szCs w:val="19"/>
          <w:highlight w:val="none"/>
        </w:rPr>
        <w:t>施工措施所需费用在竞标时不得做竞争调整。</w:t>
      </w:r>
      <w:r>
        <w:rPr>
          <w:rFonts w:hint="eastAsia" w:ascii="宋体" w:hAnsi="宋体" w:eastAsia="宋体" w:cs="宋体"/>
          <w:color w:val="auto"/>
          <w:spacing w:val="7"/>
          <w:sz w:val="19"/>
          <w:szCs w:val="19"/>
          <w:highlight w:val="none"/>
        </w:rPr>
        <w:t>安全文明施工措施费承包人应当按照直接费的2.5%提取，专门用于改善安全生产条件，改进文明施工环境、保障施工安全。并于月末按工程进度计算提取安全文明施工措施费，安全文明施工措施费在成本中据实列支。工程竣工决算后结余的安全文明施工措施费，应当退回发包人。</w:t>
      </w:r>
    </w:p>
    <w:p w14:paraId="6B5F7A9F">
      <w:pPr>
        <w:spacing w:before="262" w:line="335" w:lineRule="auto"/>
        <w:ind w:left="27" w:right="18" w:firstLine="43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12</w:t>
      </w:r>
      <w:r>
        <w:rPr>
          <w:rFonts w:ascii="宋体" w:hAnsi="宋体" w:eastAsia="宋体" w:cs="宋体"/>
          <w:color w:val="auto"/>
          <w:spacing w:val="-25"/>
          <w:sz w:val="19"/>
          <w:szCs w:val="19"/>
          <w:highlight w:val="none"/>
        </w:rPr>
        <w:t xml:space="preserve"> </w:t>
      </w:r>
      <w:r>
        <w:rPr>
          <w:rFonts w:ascii="宋体" w:hAnsi="宋体" w:eastAsia="宋体" w:cs="宋体"/>
          <w:color w:val="auto"/>
          <w:spacing w:val="8"/>
          <w:sz w:val="19"/>
          <w:szCs w:val="19"/>
          <w:highlight w:val="none"/>
        </w:rPr>
        <w:t>下列工程应编制专项施工方案：</w:t>
      </w:r>
      <w:r>
        <w:rPr>
          <w:rFonts w:ascii="宋体" w:hAnsi="宋体" w:eastAsia="宋体" w:cs="宋体"/>
          <w:color w:val="auto"/>
          <w:spacing w:val="8"/>
          <w:sz w:val="19"/>
          <w:szCs w:val="19"/>
          <w:highlight w:val="none"/>
          <w:u w:val="single" w:color="auto"/>
        </w:rPr>
        <w:t>所有责任和费用由承包人承担</w:t>
      </w:r>
      <w:r>
        <w:rPr>
          <w:rFonts w:ascii="宋体" w:hAnsi="宋体" w:eastAsia="宋体" w:cs="宋体"/>
          <w:color w:val="auto"/>
          <w:spacing w:val="8"/>
          <w:sz w:val="19"/>
          <w:szCs w:val="19"/>
          <w:highlight w:val="none"/>
        </w:rPr>
        <w:t>。其中应组</w:t>
      </w:r>
      <w:r>
        <w:rPr>
          <w:rFonts w:ascii="宋体" w:hAnsi="宋体" w:eastAsia="宋体" w:cs="宋体"/>
          <w:color w:val="auto"/>
          <w:spacing w:val="7"/>
          <w:sz w:val="19"/>
          <w:szCs w:val="19"/>
          <w:highlight w:val="none"/>
        </w:rPr>
        <w:t>织专家</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论证 和审查的专项施工方案：</w:t>
      </w:r>
      <w:r>
        <w:rPr>
          <w:rFonts w:ascii="宋体" w:hAnsi="宋体" w:eastAsia="宋体" w:cs="宋体"/>
          <w:color w:val="auto"/>
          <w:spacing w:val="9"/>
          <w:sz w:val="19"/>
          <w:szCs w:val="19"/>
          <w:highlight w:val="none"/>
          <w:u w:val="single" w:color="auto"/>
        </w:rPr>
        <w:t>所有责任和费用由承包人承担</w:t>
      </w:r>
      <w:r>
        <w:rPr>
          <w:rFonts w:ascii="宋体" w:hAnsi="宋体" w:eastAsia="宋体" w:cs="宋体"/>
          <w:color w:val="auto"/>
          <w:spacing w:val="9"/>
          <w:sz w:val="19"/>
          <w:szCs w:val="19"/>
          <w:highlight w:val="none"/>
        </w:rPr>
        <w:t>。</w:t>
      </w:r>
    </w:p>
    <w:p w14:paraId="62F95843">
      <w:pPr>
        <w:spacing w:before="218" w:line="228" w:lineRule="auto"/>
        <w:ind w:left="26"/>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9.7</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3"/>
          <w:sz w:val="19"/>
          <w:szCs w:val="19"/>
          <w:highlight w:val="none"/>
        </w:rPr>
        <w:t>文明工地</w:t>
      </w:r>
    </w:p>
    <w:p w14:paraId="3B5BA272">
      <w:pPr>
        <w:spacing w:before="232" w:line="375" w:lineRule="auto"/>
        <w:ind w:left="44" w:right="31" w:firstLine="401"/>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w:t>
      </w:r>
      <w:r>
        <w:rPr>
          <w:rFonts w:ascii="宋体" w:hAnsi="宋体" w:eastAsia="宋体" w:cs="宋体"/>
          <w:color w:val="auto"/>
          <w:spacing w:val="-7"/>
          <w:sz w:val="19"/>
          <w:szCs w:val="19"/>
          <w:highlight w:val="none"/>
        </w:rPr>
        <w:t xml:space="preserve"> </w:t>
      </w:r>
      <w:r>
        <w:rPr>
          <w:rFonts w:ascii="宋体" w:hAnsi="宋体" w:eastAsia="宋体" w:cs="宋体"/>
          <w:color w:val="auto"/>
          <w:spacing w:val="6"/>
          <w:sz w:val="19"/>
          <w:szCs w:val="19"/>
          <w:highlight w:val="none"/>
        </w:rPr>
        <w:t>7. 1</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本合同文明工地的约定：</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u w:val="single" w:color="auto"/>
        </w:rPr>
        <w:t>按水利部《水利系统文明建设工地评审管理办法》创建文</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u w:val="single" w:color="auto"/>
        </w:rPr>
        <w:t>明建设工地</w:t>
      </w:r>
      <w:r>
        <w:rPr>
          <w:rFonts w:ascii="宋体" w:hAnsi="宋体" w:eastAsia="宋体" w:cs="宋体"/>
          <w:color w:val="auto"/>
          <w:spacing w:val="3"/>
          <w:sz w:val="19"/>
          <w:szCs w:val="19"/>
          <w:highlight w:val="none"/>
        </w:rPr>
        <w:t>。</w:t>
      </w:r>
    </w:p>
    <w:p w14:paraId="77E42ABB">
      <w:pPr>
        <w:spacing w:before="309"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11.</w:t>
      </w:r>
      <w:r>
        <w:rPr>
          <w:rFonts w:ascii="宋体" w:hAnsi="宋体" w:eastAsia="宋体" w:cs="宋体"/>
          <w:b/>
          <w:bCs/>
          <w:color w:val="auto"/>
          <w:spacing w:val="4"/>
          <w:sz w:val="31"/>
          <w:szCs w:val="31"/>
          <w:highlight w:val="none"/>
        </w:rPr>
        <w:t>开工和竣工（完工）</w:t>
      </w:r>
    </w:p>
    <w:p w14:paraId="2CABF040">
      <w:pPr>
        <w:spacing w:line="258" w:lineRule="auto"/>
        <w:rPr>
          <w:rFonts w:ascii="Arial"/>
          <w:color w:val="auto"/>
          <w:sz w:val="21"/>
          <w:highlight w:val="none"/>
        </w:rPr>
      </w:pPr>
    </w:p>
    <w:p w14:paraId="7792087E">
      <w:pPr>
        <w:spacing w:line="259" w:lineRule="auto"/>
        <w:rPr>
          <w:rFonts w:ascii="Arial"/>
          <w:color w:val="auto"/>
          <w:sz w:val="21"/>
          <w:highlight w:val="none"/>
        </w:rPr>
      </w:pPr>
    </w:p>
    <w:p w14:paraId="4246339B">
      <w:pPr>
        <w:spacing w:before="62" w:line="228" w:lineRule="auto"/>
        <w:ind w:left="460"/>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11.2</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4"/>
          <w:sz w:val="19"/>
          <w:szCs w:val="19"/>
          <w:highlight w:val="none"/>
        </w:rPr>
        <w:t>本工程主体工程完工时间为：</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86"/>
          <w:sz w:val="19"/>
          <w:szCs w:val="19"/>
          <w:highlight w:val="none"/>
        </w:rPr>
        <w:t xml:space="preserve"> </w:t>
      </w:r>
      <w:r>
        <w:rPr>
          <w:rFonts w:ascii="宋体" w:hAnsi="宋体" w:eastAsia="宋体" w:cs="宋体"/>
          <w:b/>
          <w:bCs/>
          <w:color w:val="auto"/>
          <w:spacing w:val="4"/>
          <w:sz w:val="19"/>
          <w:szCs w:val="19"/>
          <w:highlight w:val="none"/>
        </w:rPr>
        <w:t>年月日。</w:t>
      </w:r>
    </w:p>
    <w:p w14:paraId="4FDD8544">
      <w:pPr>
        <w:spacing w:before="126" w:line="229" w:lineRule="auto"/>
        <w:ind w:left="460"/>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11.3</w:t>
      </w:r>
      <w:r>
        <w:rPr>
          <w:rFonts w:ascii="宋体" w:hAnsi="宋体" w:eastAsia="宋体" w:cs="宋体"/>
          <w:color w:val="auto"/>
          <w:spacing w:val="-21"/>
          <w:sz w:val="19"/>
          <w:szCs w:val="19"/>
          <w:highlight w:val="none"/>
        </w:rPr>
        <w:t xml:space="preserve"> </w:t>
      </w:r>
      <w:r>
        <w:rPr>
          <w:rFonts w:ascii="宋体" w:hAnsi="宋体" w:eastAsia="宋体" w:cs="宋体"/>
          <w:b/>
          <w:bCs/>
          <w:color w:val="auto"/>
          <w:spacing w:val="3"/>
          <w:sz w:val="19"/>
          <w:szCs w:val="19"/>
          <w:highlight w:val="none"/>
        </w:rPr>
        <w:t>发包人的工期延误</w:t>
      </w:r>
    </w:p>
    <w:p w14:paraId="1BAC1264">
      <w:pPr>
        <w:spacing w:before="125" w:line="228" w:lineRule="auto"/>
        <w:ind w:left="460"/>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11.4</w:t>
      </w:r>
      <w:r>
        <w:rPr>
          <w:rFonts w:ascii="宋体" w:hAnsi="宋体" w:eastAsia="宋体" w:cs="宋体"/>
          <w:color w:val="auto"/>
          <w:spacing w:val="-27"/>
          <w:sz w:val="19"/>
          <w:szCs w:val="19"/>
          <w:highlight w:val="none"/>
        </w:rPr>
        <w:t xml:space="preserve"> </w:t>
      </w:r>
      <w:r>
        <w:rPr>
          <w:rFonts w:ascii="宋体" w:hAnsi="宋体" w:eastAsia="宋体" w:cs="宋体"/>
          <w:b/>
          <w:bCs/>
          <w:color w:val="auto"/>
          <w:spacing w:val="4"/>
          <w:sz w:val="19"/>
          <w:szCs w:val="19"/>
          <w:highlight w:val="none"/>
        </w:rPr>
        <w:t>异常恶劣的气候条件</w:t>
      </w:r>
    </w:p>
    <w:p w14:paraId="7B342BA0">
      <w:pPr>
        <w:spacing w:before="122" w:line="334" w:lineRule="auto"/>
        <w:ind w:left="26" w:right="3294" w:firstLine="43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11.4.3</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本合同工程界定异常恶劣气候条件的范围为：</w:t>
      </w:r>
      <w:r>
        <w:rPr>
          <w:rFonts w:ascii="宋体" w:hAnsi="宋体" w:eastAsia="宋体" w:cs="宋体"/>
          <w:color w:val="auto"/>
          <w:sz w:val="19"/>
          <w:szCs w:val="19"/>
          <w:highlight w:val="none"/>
        </w:rPr>
        <w:t xml:space="preserve"> </w:t>
      </w:r>
      <w:r>
        <w:rPr>
          <w:rFonts w:ascii="Times New Roman" w:hAnsi="Times New Roman" w:eastAsia="Times New Roman" w:cs="Times New Roman"/>
          <w:color w:val="auto"/>
          <w:spacing w:val="1"/>
          <w:sz w:val="19"/>
          <w:szCs w:val="19"/>
          <w:highlight w:val="none"/>
        </w:rPr>
        <w:t>(1)</w:t>
      </w:r>
      <w:r>
        <w:rPr>
          <w:rFonts w:ascii="Times New Roman" w:hAnsi="Times New Roman" w:eastAsia="Times New Roman" w:cs="Times New Roman"/>
          <w:color w:val="auto"/>
          <w:spacing w:val="3"/>
          <w:sz w:val="19"/>
          <w:szCs w:val="19"/>
          <w:highlight w:val="none"/>
        </w:rPr>
        <w:t xml:space="preserve">     </w:t>
      </w:r>
      <w:r>
        <w:rPr>
          <w:rFonts w:ascii="宋体" w:hAnsi="宋体" w:eastAsia="宋体" w:cs="宋体"/>
          <w:color w:val="auto"/>
          <w:spacing w:val="1"/>
          <w:sz w:val="19"/>
          <w:szCs w:val="19"/>
          <w:highlight w:val="none"/>
        </w:rPr>
        <w:t>日降雨量大于</w:t>
      </w:r>
      <w:r>
        <w:rPr>
          <w:rFonts w:ascii="宋体" w:hAnsi="宋体" w:eastAsia="宋体" w:cs="宋体"/>
          <w:color w:val="auto"/>
          <w:spacing w:val="-22"/>
          <w:sz w:val="19"/>
          <w:szCs w:val="19"/>
          <w:highlight w:val="none"/>
        </w:rPr>
        <w:t xml:space="preserve"> </w:t>
      </w:r>
      <w:r>
        <w:rPr>
          <w:rFonts w:ascii="宋体" w:hAnsi="宋体" w:eastAsia="宋体" w:cs="宋体"/>
          <w:color w:val="auto"/>
          <w:spacing w:val="1"/>
          <w:sz w:val="19"/>
          <w:szCs w:val="19"/>
          <w:highlight w:val="none"/>
          <w:u w:val="single" w:color="auto"/>
        </w:rPr>
        <w:t>200</w:t>
      </w:r>
      <w:r>
        <w:rPr>
          <w:rFonts w:ascii="宋体" w:hAnsi="宋体" w:eastAsia="宋体" w:cs="宋体"/>
          <w:color w:val="auto"/>
          <w:sz w:val="19"/>
          <w:szCs w:val="19"/>
          <w:highlight w:val="none"/>
        </w:rPr>
        <w:t>mm</w:t>
      </w:r>
      <w:r>
        <w:rPr>
          <w:rFonts w:ascii="宋体" w:hAnsi="宋体" w:eastAsia="宋体" w:cs="宋体"/>
          <w:color w:val="auto"/>
          <w:spacing w:val="-19"/>
          <w:sz w:val="19"/>
          <w:szCs w:val="19"/>
          <w:highlight w:val="none"/>
        </w:rPr>
        <w:t xml:space="preserve"> </w:t>
      </w:r>
      <w:r>
        <w:rPr>
          <w:rFonts w:ascii="宋体" w:hAnsi="宋体" w:eastAsia="宋体" w:cs="宋体"/>
          <w:color w:val="auto"/>
          <w:spacing w:val="1"/>
          <w:sz w:val="19"/>
          <w:szCs w:val="19"/>
          <w:highlight w:val="none"/>
        </w:rPr>
        <w:t>的雨日超过</w:t>
      </w:r>
      <w:r>
        <w:rPr>
          <w:rFonts w:ascii="宋体" w:hAnsi="宋体" w:eastAsia="宋体" w:cs="宋体"/>
          <w:color w:val="auto"/>
          <w:spacing w:val="-33"/>
          <w:sz w:val="19"/>
          <w:szCs w:val="19"/>
          <w:highlight w:val="none"/>
        </w:rPr>
        <w:t xml:space="preserve"> </w:t>
      </w:r>
      <w:r>
        <w:rPr>
          <w:rFonts w:ascii="宋体" w:hAnsi="宋体" w:eastAsia="宋体" w:cs="宋体"/>
          <w:color w:val="auto"/>
          <w:spacing w:val="1"/>
          <w:sz w:val="19"/>
          <w:szCs w:val="19"/>
          <w:highlight w:val="none"/>
          <w:u w:val="single" w:color="auto"/>
        </w:rPr>
        <w:t>3</w:t>
      </w:r>
      <w:r>
        <w:rPr>
          <w:rFonts w:ascii="宋体" w:hAnsi="宋体" w:eastAsia="宋体" w:cs="宋体"/>
          <w:color w:val="auto"/>
          <w:spacing w:val="-31"/>
          <w:sz w:val="19"/>
          <w:szCs w:val="19"/>
          <w:highlight w:val="none"/>
          <w:u w:val="single" w:color="auto"/>
        </w:rPr>
        <w:t xml:space="preserve"> </w:t>
      </w:r>
      <w:r>
        <w:rPr>
          <w:rFonts w:ascii="宋体" w:hAnsi="宋体" w:eastAsia="宋体" w:cs="宋体"/>
          <w:color w:val="auto"/>
          <w:spacing w:val="1"/>
          <w:sz w:val="19"/>
          <w:szCs w:val="19"/>
          <w:highlight w:val="none"/>
        </w:rPr>
        <w:t>天；</w:t>
      </w:r>
    </w:p>
    <w:p w14:paraId="16A4C574">
      <w:pPr>
        <w:spacing w:before="33"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 xml:space="preserve">(2)     </w:t>
      </w:r>
      <w:r>
        <w:rPr>
          <w:rFonts w:ascii="宋体" w:hAnsi="宋体" w:eastAsia="宋体" w:cs="宋体"/>
          <w:color w:val="auto"/>
          <w:spacing w:val="2"/>
          <w:sz w:val="19"/>
          <w:szCs w:val="19"/>
          <w:highlight w:val="none"/>
        </w:rPr>
        <w:t>风速大于</w:t>
      </w:r>
      <w:r>
        <w:rPr>
          <w:rFonts w:ascii="宋体" w:hAnsi="宋体" w:eastAsia="宋体" w:cs="宋体"/>
          <w:color w:val="auto"/>
          <w:spacing w:val="-44"/>
          <w:sz w:val="19"/>
          <w:szCs w:val="19"/>
          <w:highlight w:val="none"/>
        </w:rPr>
        <w:t xml:space="preserve"> </w:t>
      </w:r>
      <w:r>
        <w:rPr>
          <w:rFonts w:ascii="宋体" w:hAnsi="宋体" w:eastAsia="宋体" w:cs="宋体"/>
          <w:color w:val="auto"/>
          <w:spacing w:val="-72"/>
          <w:sz w:val="19"/>
          <w:szCs w:val="19"/>
          <w:highlight w:val="none"/>
          <w:u w:val="single" w:color="auto"/>
        </w:rPr>
        <w:t xml:space="preserve"> </w:t>
      </w:r>
      <w:r>
        <w:rPr>
          <w:rFonts w:ascii="宋体" w:hAnsi="宋体" w:eastAsia="宋体" w:cs="宋体"/>
          <w:color w:val="auto"/>
          <w:spacing w:val="2"/>
          <w:sz w:val="19"/>
          <w:szCs w:val="19"/>
          <w:highlight w:val="none"/>
          <w:u w:val="single" w:color="auto"/>
        </w:rPr>
        <w:t>10.8</w:t>
      </w:r>
      <w:r>
        <w:rPr>
          <w:rFonts w:ascii="宋体" w:hAnsi="宋体" w:eastAsia="宋体" w:cs="宋体"/>
          <w:color w:val="auto"/>
          <w:spacing w:val="2"/>
          <w:sz w:val="19"/>
          <w:szCs w:val="19"/>
          <w:highlight w:val="none"/>
        </w:rPr>
        <w:t>m/s</w:t>
      </w:r>
      <w:r>
        <w:rPr>
          <w:rFonts w:ascii="宋体" w:hAnsi="宋体" w:eastAsia="宋体" w:cs="宋体"/>
          <w:color w:val="auto"/>
          <w:spacing w:val="-20"/>
          <w:sz w:val="19"/>
          <w:szCs w:val="19"/>
          <w:highlight w:val="none"/>
        </w:rPr>
        <w:t xml:space="preserve"> </w:t>
      </w:r>
      <w:r>
        <w:rPr>
          <w:rFonts w:ascii="宋体" w:hAnsi="宋体" w:eastAsia="宋体" w:cs="宋体"/>
          <w:color w:val="auto"/>
          <w:spacing w:val="2"/>
          <w:sz w:val="19"/>
          <w:szCs w:val="19"/>
          <w:highlight w:val="none"/>
        </w:rPr>
        <w:t>的</w:t>
      </w:r>
      <w:r>
        <w:rPr>
          <w:rFonts w:ascii="宋体" w:hAnsi="宋体" w:eastAsia="宋体" w:cs="宋体"/>
          <w:color w:val="auto"/>
          <w:spacing w:val="-37"/>
          <w:sz w:val="19"/>
          <w:szCs w:val="19"/>
          <w:highlight w:val="none"/>
        </w:rPr>
        <w:t xml:space="preserve"> </w:t>
      </w:r>
      <w:r>
        <w:rPr>
          <w:rFonts w:ascii="宋体" w:hAnsi="宋体" w:eastAsia="宋体" w:cs="宋体"/>
          <w:color w:val="auto"/>
          <w:spacing w:val="2"/>
          <w:sz w:val="19"/>
          <w:szCs w:val="19"/>
          <w:highlight w:val="none"/>
          <w:u w:val="single" w:color="auto"/>
        </w:rPr>
        <w:t>6</w:t>
      </w:r>
      <w:r>
        <w:rPr>
          <w:rFonts w:ascii="宋体" w:hAnsi="宋体" w:eastAsia="宋体" w:cs="宋体"/>
          <w:color w:val="auto"/>
          <w:spacing w:val="-33"/>
          <w:sz w:val="19"/>
          <w:szCs w:val="19"/>
          <w:highlight w:val="none"/>
          <w:u w:val="single" w:color="auto"/>
        </w:rPr>
        <w:t xml:space="preserve"> </w:t>
      </w:r>
      <w:r>
        <w:rPr>
          <w:rFonts w:ascii="宋体" w:hAnsi="宋体" w:eastAsia="宋体" w:cs="宋体"/>
          <w:color w:val="auto"/>
          <w:spacing w:val="2"/>
          <w:sz w:val="19"/>
          <w:szCs w:val="19"/>
          <w:highlight w:val="none"/>
        </w:rPr>
        <w:t>级</w:t>
      </w:r>
      <w:r>
        <w:rPr>
          <w:rFonts w:ascii="宋体" w:hAnsi="宋体" w:eastAsia="宋体" w:cs="宋体"/>
          <w:color w:val="auto"/>
          <w:spacing w:val="1"/>
          <w:sz w:val="19"/>
          <w:szCs w:val="19"/>
          <w:highlight w:val="none"/>
        </w:rPr>
        <w:t>以上台风灾害；</w:t>
      </w:r>
    </w:p>
    <w:p w14:paraId="2F529D76">
      <w:pPr>
        <w:spacing w:before="132" w:line="320" w:lineRule="auto"/>
        <w:ind w:left="26" w:right="4409"/>
        <w:rPr>
          <w:rFonts w:ascii="宋体" w:hAnsi="宋体" w:eastAsia="宋体" w:cs="宋体"/>
          <w:color w:val="auto"/>
          <w:sz w:val="19"/>
          <w:szCs w:val="19"/>
          <w:highlight w:val="none"/>
        </w:rPr>
      </w:pPr>
      <w:r>
        <w:rPr>
          <w:rFonts w:ascii="Times New Roman" w:hAnsi="Times New Roman" w:eastAsia="Times New Roman" w:cs="Times New Roman"/>
          <w:color w:val="auto"/>
          <w:sz w:val="19"/>
          <w:szCs w:val="19"/>
          <w:highlight w:val="none"/>
        </w:rPr>
        <w:t>(3)</w:t>
      </w:r>
      <w:r>
        <w:rPr>
          <w:rFonts w:ascii="Times New Roman" w:hAnsi="Times New Roman" w:eastAsia="Times New Roman" w:cs="Times New Roman"/>
          <w:color w:val="auto"/>
          <w:spacing w:val="4"/>
          <w:sz w:val="19"/>
          <w:szCs w:val="19"/>
          <w:highlight w:val="none"/>
        </w:rPr>
        <w:t xml:space="preserve">     </w:t>
      </w:r>
      <w:r>
        <w:rPr>
          <w:rFonts w:ascii="宋体" w:hAnsi="宋体" w:eastAsia="宋体" w:cs="宋体"/>
          <w:color w:val="auto"/>
          <w:sz w:val="19"/>
          <w:szCs w:val="19"/>
          <w:highlight w:val="none"/>
        </w:rPr>
        <w:t>日气温超过</w:t>
      </w:r>
      <w:r>
        <w:rPr>
          <w:rFonts w:ascii="宋体" w:hAnsi="宋体" w:eastAsia="宋体" w:cs="宋体"/>
          <w:color w:val="auto"/>
          <w:spacing w:val="-26"/>
          <w:sz w:val="19"/>
          <w:szCs w:val="19"/>
          <w:highlight w:val="none"/>
        </w:rPr>
        <w:t xml:space="preserve"> </w:t>
      </w:r>
      <w:r>
        <w:rPr>
          <w:rFonts w:ascii="宋体" w:hAnsi="宋体" w:eastAsia="宋体" w:cs="宋体"/>
          <w:color w:val="auto"/>
          <w:sz w:val="19"/>
          <w:szCs w:val="19"/>
          <w:highlight w:val="none"/>
          <w:u w:val="single" w:color="auto"/>
        </w:rPr>
        <w:t>50</w:t>
      </w:r>
      <w:r>
        <w:rPr>
          <w:rFonts w:ascii="宋体" w:hAnsi="宋体" w:eastAsia="宋体" w:cs="宋体"/>
          <w:color w:val="auto"/>
          <w:sz w:val="19"/>
          <w:szCs w:val="19"/>
          <w:highlight w:val="none"/>
        </w:rPr>
        <w:t>℃的高温大于</w:t>
      </w:r>
      <w:r>
        <w:rPr>
          <w:rFonts w:ascii="宋体" w:hAnsi="宋体" w:eastAsia="宋体" w:cs="宋体"/>
          <w:color w:val="auto"/>
          <w:spacing w:val="-32"/>
          <w:sz w:val="19"/>
          <w:szCs w:val="19"/>
          <w:highlight w:val="none"/>
        </w:rPr>
        <w:t xml:space="preserve"> </w:t>
      </w:r>
      <w:r>
        <w:rPr>
          <w:rFonts w:ascii="宋体" w:hAnsi="宋体" w:eastAsia="宋体" w:cs="宋体"/>
          <w:color w:val="auto"/>
          <w:sz w:val="19"/>
          <w:szCs w:val="19"/>
          <w:highlight w:val="none"/>
          <w:u w:val="single" w:color="auto"/>
        </w:rPr>
        <w:t>3</w:t>
      </w:r>
      <w:r>
        <w:rPr>
          <w:rFonts w:ascii="宋体" w:hAnsi="宋体" w:eastAsia="宋体" w:cs="宋体"/>
          <w:color w:val="auto"/>
          <w:spacing w:val="-32"/>
          <w:sz w:val="19"/>
          <w:szCs w:val="19"/>
          <w:highlight w:val="none"/>
          <w:u w:val="single" w:color="auto"/>
        </w:rPr>
        <w:t xml:space="preserve"> </w:t>
      </w:r>
      <w:r>
        <w:rPr>
          <w:rFonts w:ascii="宋体" w:hAnsi="宋体" w:eastAsia="宋体" w:cs="宋体"/>
          <w:color w:val="auto"/>
          <w:sz w:val="19"/>
          <w:szCs w:val="19"/>
          <w:highlight w:val="none"/>
        </w:rPr>
        <w:t>天；</w:t>
      </w:r>
    </w:p>
    <w:p w14:paraId="159F8922">
      <w:pPr>
        <w:spacing w:before="132" w:line="320" w:lineRule="auto"/>
        <w:ind w:left="26" w:right="4409"/>
        <w:rPr>
          <w:rFonts w:ascii="宋体" w:hAnsi="宋体" w:eastAsia="宋体" w:cs="宋体"/>
          <w:color w:val="auto"/>
          <w:sz w:val="19"/>
          <w:szCs w:val="19"/>
          <w:highlight w:val="none"/>
        </w:rPr>
      </w:pPr>
      <w:r>
        <w:rPr>
          <w:rFonts w:ascii="宋体" w:hAnsi="宋体" w:eastAsia="宋体" w:cs="宋体"/>
          <w:color w:val="auto"/>
          <w:sz w:val="19"/>
          <w:szCs w:val="19"/>
          <w:highlight w:val="none"/>
        </w:rPr>
        <w:t xml:space="preserve"> </w:t>
      </w:r>
      <w:r>
        <w:rPr>
          <w:rFonts w:ascii="Times New Roman" w:hAnsi="Times New Roman" w:eastAsia="Times New Roman" w:cs="Times New Roman"/>
          <w:color w:val="auto"/>
          <w:sz w:val="19"/>
          <w:szCs w:val="19"/>
          <w:highlight w:val="none"/>
        </w:rPr>
        <w:t>(4)</w:t>
      </w:r>
      <w:r>
        <w:rPr>
          <w:rFonts w:ascii="Times New Roman" w:hAnsi="Times New Roman" w:eastAsia="Times New Roman" w:cs="Times New Roman"/>
          <w:color w:val="auto"/>
          <w:spacing w:val="4"/>
          <w:sz w:val="19"/>
          <w:szCs w:val="19"/>
          <w:highlight w:val="none"/>
        </w:rPr>
        <w:t xml:space="preserve">    </w:t>
      </w:r>
      <w:r>
        <w:rPr>
          <w:rFonts w:ascii="宋体" w:hAnsi="宋体" w:eastAsia="宋体" w:cs="宋体"/>
          <w:color w:val="auto"/>
          <w:sz w:val="19"/>
          <w:szCs w:val="19"/>
          <w:highlight w:val="none"/>
        </w:rPr>
        <w:t>日气温低于</w:t>
      </w:r>
      <w:r>
        <w:rPr>
          <w:rFonts w:ascii="宋体" w:hAnsi="宋体" w:eastAsia="宋体" w:cs="宋体"/>
          <w:color w:val="auto"/>
          <w:spacing w:val="-27"/>
          <w:sz w:val="19"/>
          <w:szCs w:val="19"/>
          <w:highlight w:val="none"/>
        </w:rPr>
        <w:t xml:space="preserve"> </w:t>
      </w:r>
      <w:r>
        <w:rPr>
          <w:rFonts w:ascii="宋体" w:hAnsi="宋体" w:eastAsia="宋体" w:cs="宋体"/>
          <w:color w:val="auto"/>
          <w:sz w:val="19"/>
          <w:szCs w:val="19"/>
          <w:highlight w:val="none"/>
          <w:u w:val="single" w:color="auto"/>
        </w:rPr>
        <w:t>5</w:t>
      </w:r>
      <w:r>
        <w:rPr>
          <w:rFonts w:ascii="宋体" w:hAnsi="宋体" w:eastAsia="宋体" w:cs="宋体"/>
          <w:color w:val="auto"/>
          <w:spacing w:val="-71"/>
          <w:sz w:val="19"/>
          <w:szCs w:val="19"/>
          <w:highlight w:val="none"/>
        </w:rPr>
        <w:t xml:space="preserve"> </w:t>
      </w:r>
      <w:r>
        <w:rPr>
          <w:rFonts w:ascii="宋体" w:hAnsi="宋体" w:eastAsia="宋体" w:cs="宋体"/>
          <w:color w:val="auto"/>
          <w:sz w:val="19"/>
          <w:szCs w:val="19"/>
          <w:highlight w:val="none"/>
        </w:rPr>
        <w:t>℃的严寒大于</w:t>
      </w:r>
      <w:r>
        <w:rPr>
          <w:rFonts w:ascii="宋体" w:hAnsi="宋体" w:eastAsia="宋体" w:cs="宋体"/>
          <w:color w:val="auto"/>
          <w:spacing w:val="-30"/>
          <w:sz w:val="19"/>
          <w:szCs w:val="19"/>
          <w:highlight w:val="none"/>
        </w:rPr>
        <w:t xml:space="preserve"> </w:t>
      </w:r>
      <w:r>
        <w:rPr>
          <w:rFonts w:ascii="宋体" w:hAnsi="宋体" w:eastAsia="宋体" w:cs="宋体"/>
          <w:color w:val="auto"/>
          <w:sz w:val="19"/>
          <w:szCs w:val="19"/>
          <w:highlight w:val="none"/>
          <w:u w:val="single" w:color="auto"/>
        </w:rPr>
        <w:t>3</w:t>
      </w:r>
      <w:r>
        <w:rPr>
          <w:rFonts w:ascii="宋体" w:hAnsi="宋体" w:eastAsia="宋体" w:cs="宋体"/>
          <w:color w:val="auto"/>
          <w:spacing w:val="-32"/>
          <w:sz w:val="19"/>
          <w:szCs w:val="19"/>
          <w:highlight w:val="none"/>
          <w:u w:val="single" w:color="auto"/>
        </w:rPr>
        <w:t xml:space="preserve"> </w:t>
      </w:r>
      <w:r>
        <w:rPr>
          <w:rFonts w:ascii="宋体" w:hAnsi="宋体" w:eastAsia="宋体" w:cs="宋体"/>
          <w:color w:val="auto"/>
          <w:sz w:val="19"/>
          <w:szCs w:val="19"/>
          <w:highlight w:val="none"/>
        </w:rPr>
        <w:t>天。</w:t>
      </w:r>
    </w:p>
    <w:p w14:paraId="45690835">
      <w:pPr>
        <w:spacing w:before="5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(5)</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造成工程损坏的冰雹和大雪灾害；</w:t>
      </w:r>
    </w:p>
    <w:p w14:paraId="13345E67">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 xml:space="preserve">(6)    </w:t>
      </w:r>
      <w:r>
        <w:rPr>
          <w:rFonts w:ascii="宋体" w:hAnsi="宋体" w:eastAsia="宋体" w:cs="宋体"/>
          <w:color w:val="auto"/>
          <w:spacing w:val="1"/>
          <w:sz w:val="19"/>
          <w:szCs w:val="19"/>
          <w:highlight w:val="none"/>
        </w:rPr>
        <w:t>6</w:t>
      </w:r>
      <w:r>
        <w:rPr>
          <w:rFonts w:ascii="宋体" w:hAnsi="宋体" w:eastAsia="宋体" w:cs="宋体"/>
          <w:color w:val="auto"/>
          <w:spacing w:val="-27"/>
          <w:sz w:val="19"/>
          <w:szCs w:val="19"/>
          <w:highlight w:val="none"/>
        </w:rPr>
        <w:t xml:space="preserve"> </w:t>
      </w:r>
      <w:r>
        <w:rPr>
          <w:rFonts w:ascii="宋体" w:hAnsi="宋体" w:eastAsia="宋体" w:cs="宋体"/>
          <w:color w:val="auto"/>
          <w:spacing w:val="1"/>
          <w:sz w:val="19"/>
          <w:szCs w:val="19"/>
          <w:highlight w:val="none"/>
        </w:rPr>
        <w:t>级以上的地震；</w:t>
      </w:r>
    </w:p>
    <w:p w14:paraId="7217F567">
      <w:pPr>
        <w:spacing w:line="250" w:lineRule="auto"/>
        <w:rPr>
          <w:rFonts w:ascii="Arial"/>
          <w:color w:val="auto"/>
          <w:sz w:val="21"/>
          <w:highlight w:val="none"/>
        </w:rPr>
      </w:pPr>
    </w:p>
    <w:p w14:paraId="1503DB20">
      <w:pPr>
        <w:spacing w:before="62" w:line="222"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(7)</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50</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年一遇及以上的洪水；</w:t>
      </w:r>
    </w:p>
    <w:p w14:paraId="51969650">
      <w:pPr>
        <w:spacing w:before="131" w:line="222"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(8)</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其他异常恶劣气候灾害。</w:t>
      </w:r>
    </w:p>
    <w:p w14:paraId="08C5D835">
      <w:pPr>
        <w:spacing w:before="189" w:line="228" w:lineRule="auto"/>
        <w:ind w:left="476"/>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11.5</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3"/>
          <w:sz w:val="19"/>
          <w:szCs w:val="19"/>
          <w:highlight w:val="none"/>
        </w:rPr>
        <w:t>承包人工期延误</w:t>
      </w:r>
    </w:p>
    <w:p w14:paraId="7321C6A0">
      <w:pPr>
        <w:spacing w:before="125" w:line="228" w:lineRule="auto"/>
        <w:ind w:left="49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(1)逾期完工违约金表(参考格式)</w:t>
      </w:r>
    </w:p>
    <w:p w14:paraId="009503AA">
      <w:pPr>
        <w:spacing w:line="96" w:lineRule="exact"/>
        <w:rPr>
          <w:color w:val="auto"/>
          <w:highlight w:val="none"/>
        </w:rPr>
      </w:pPr>
    </w:p>
    <w:tbl>
      <w:tblPr>
        <w:tblStyle w:val="16"/>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4538"/>
        <w:gridCol w:w="1693"/>
        <w:gridCol w:w="1550"/>
      </w:tblGrid>
      <w:tr w14:paraId="14FCC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77" w:type="dxa"/>
            <w:vAlign w:val="top"/>
          </w:tcPr>
          <w:p w14:paraId="0E82F531">
            <w:pPr>
              <w:pStyle w:val="17"/>
              <w:spacing w:before="141" w:line="221" w:lineRule="auto"/>
              <w:ind w:left="123"/>
              <w:rPr>
                <w:color w:val="auto"/>
                <w:sz w:val="17"/>
                <w:szCs w:val="17"/>
                <w:highlight w:val="none"/>
              </w:rPr>
            </w:pPr>
            <w:r>
              <w:rPr>
                <w:color w:val="auto"/>
                <w:spacing w:val="-2"/>
                <w:sz w:val="17"/>
                <w:szCs w:val="17"/>
                <w:highlight w:val="none"/>
              </w:rPr>
              <w:t>序号</w:t>
            </w:r>
          </w:p>
        </w:tc>
        <w:tc>
          <w:tcPr>
            <w:tcW w:w="4538" w:type="dxa"/>
            <w:vAlign w:val="top"/>
          </w:tcPr>
          <w:p w14:paraId="0E8BDBC3">
            <w:pPr>
              <w:pStyle w:val="17"/>
              <w:spacing w:before="141" w:line="220" w:lineRule="auto"/>
              <w:ind w:left="1765"/>
              <w:rPr>
                <w:color w:val="auto"/>
                <w:sz w:val="17"/>
                <w:szCs w:val="17"/>
                <w:highlight w:val="none"/>
              </w:rPr>
            </w:pPr>
            <w:r>
              <w:rPr>
                <w:color w:val="auto"/>
                <w:spacing w:val="-1"/>
                <w:sz w:val="17"/>
                <w:szCs w:val="17"/>
                <w:highlight w:val="none"/>
              </w:rPr>
              <w:t>项目及其说明</w:t>
            </w:r>
          </w:p>
        </w:tc>
        <w:tc>
          <w:tcPr>
            <w:tcW w:w="1693" w:type="dxa"/>
            <w:vAlign w:val="top"/>
          </w:tcPr>
          <w:p w14:paraId="43125242">
            <w:pPr>
              <w:pStyle w:val="17"/>
              <w:spacing w:before="141" w:line="220" w:lineRule="auto"/>
              <w:ind w:left="343"/>
              <w:rPr>
                <w:color w:val="auto"/>
                <w:sz w:val="17"/>
                <w:szCs w:val="17"/>
                <w:highlight w:val="none"/>
              </w:rPr>
            </w:pPr>
            <w:r>
              <w:rPr>
                <w:color w:val="auto"/>
                <w:spacing w:val="-1"/>
                <w:sz w:val="17"/>
                <w:szCs w:val="17"/>
                <w:highlight w:val="none"/>
              </w:rPr>
              <w:t>要求完工日期</w:t>
            </w:r>
          </w:p>
        </w:tc>
        <w:tc>
          <w:tcPr>
            <w:tcW w:w="1550" w:type="dxa"/>
            <w:vAlign w:val="top"/>
          </w:tcPr>
          <w:p w14:paraId="3C68293F">
            <w:pPr>
              <w:pStyle w:val="17"/>
              <w:spacing w:before="141" w:line="221" w:lineRule="auto"/>
              <w:ind w:left="229"/>
              <w:rPr>
                <w:color w:val="auto"/>
                <w:sz w:val="17"/>
                <w:szCs w:val="17"/>
                <w:highlight w:val="none"/>
              </w:rPr>
            </w:pPr>
            <w:r>
              <w:rPr>
                <w:color w:val="auto"/>
                <w:spacing w:val="-1"/>
                <w:sz w:val="17"/>
                <w:szCs w:val="17"/>
                <w:highlight w:val="none"/>
              </w:rPr>
              <w:t>违约金(元/天)</w:t>
            </w:r>
          </w:p>
        </w:tc>
      </w:tr>
      <w:tr w14:paraId="0F046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77" w:type="dxa"/>
            <w:vAlign w:val="top"/>
          </w:tcPr>
          <w:p w14:paraId="5757E1AD">
            <w:pPr>
              <w:rPr>
                <w:rFonts w:ascii="Arial"/>
                <w:color w:val="auto"/>
                <w:sz w:val="21"/>
                <w:highlight w:val="none"/>
              </w:rPr>
            </w:pPr>
          </w:p>
        </w:tc>
        <w:tc>
          <w:tcPr>
            <w:tcW w:w="4538" w:type="dxa"/>
            <w:vAlign w:val="top"/>
          </w:tcPr>
          <w:p w14:paraId="15C6C761">
            <w:pPr>
              <w:rPr>
                <w:rFonts w:ascii="Arial"/>
                <w:color w:val="auto"/>
                <w:sz w:val="21"/>
                <w:highlight w:val="none"/>
              </w:rPr>
            </w:pPr>
          </w:p>
        </w:tc>
        <w:tc>
          <w:tcPr>
            <w:tcW w:w="1693" w:type="dxa"/>
            <w:vAlign w:val="top"/>
          </w:tcPr>
          <w:p w14:paraId="5B20CDE3">
            <w:pPr>
              <w:rPr>
                <w:rFonts w:ascii="Arial"/>
                <w:color w:val="auto"/>
                <w:sz w:val="21"/>
                <w:highlight w:val="none"/>
              </w:rPr>
            </w:pPr>
          </w:p>
        </w:tc>
        <w:tc>
          <w:tcPr>
            <w:tcW w:w="1550" w:type="dxa"/>
            <w:vAlign w:val="top"/>
          </w:tcPr>
          <w:p w14:paraId="4AB96BAE">
            <w:pPr>
              <w:rPr>
                <w:rFonts w:ascii="Arial"/>
                <w:color w:val="auto"/>
                <w:sz w:val="21"/>
                <w:highlight w:val="none"/>
              </w:rPr>
            </w:pPr>
          </w:p>
        </w:tc>
      </w:tr>
      <w:tr w14:paraId="63596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577" w:type="dxa"/>
            <w:vAlign w:val="top"/>
          </w:tcPr>
          <w:p w14:paraId="202AC570">
            <w:pPr>
              <w:rPr>
                <w:rFonts w:ascii="Arial"/>
                <w:color w:val="auto"/>
                <w:sz w:val="21"/>
                <w:highlight w:val="none"/>
              </w:rPr>
            </w:pPr>
          </w:p>
        </w:tc>
        <w:tc>
          <w:tcPr>
            <w:tcW w:w="4538" w:type="dxa"/>
            <w:vAlign w:val="top"/>
          </w:tcPr>
          <w:p w14:paraId="57BD1618">
            <w:pPr>
              <w:rPr>
                <w:rFonts w:ascii="Arial"/>
                <w:color w:val="auto"/>
                <w:sz w:val="21"/>
                <w:highlight w:val="none"/>
              </w:rPr>
            </w:pPr>
          </w:p>
        </w:tc>
        <w:tc>
          <w:tcPr>
            <w:tcW w:w="1693" w:type="dxa"/>
            <w:vAlign w:val="top"/>
          </w:tcPr>
          <w:p w14:paraId="71AAE021">
            <w:pPr>
              <w:rPr>
                <w:rFonts w:ascii="Arial"/>
                <w:color w:val="auto"/>
                <w:sz w:val="21"/>
                <w:highlight w:val="none"/>
              </w:rPr>
            </w:pPr>
          </w:p>
        </w:tc>
        <w:tc>
          <w:tcPr>
            <w:tcW w:w="1550" w:type="dxa"/>
            <w:vAlign w:val="top"/>
          </w:tcPr>
          <w:p w14:paraId="4EE01AF3">
            <w:pPr>
              <w:rPr>
                <w:rFonts w:ascii="Arial"/>
                <w:color w:val="auto"/>
                <w:sz w:val="21"/>
                <w:highlight w:val="none"/>
              </w:rPr>
            </w:pPr>
          </w:p>
        </w:tc>
      </w:tr>
      <w:tr w14:paraId="3FC4F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77" w:type="dxa"/>
            <w:vAlign w:val="top"/>
          </w:tcPr>
          <w:p w14:paraId="576FB709">
            <w:pPr>
              <w:rPr>
                <w:rFonts w:ascii="Arial"/>
                <w:color w:val="auto"/>
                <w:sz w:val="21"/>
                <w:highlight w:val="none"/>
              </w:rPr>
            </w:pPr>
          </w:p>
        </w:tc>
        <w:tc>
          <w:tcPr>
            <w:tcW w:w="4538" w:type="dxa"/>
            <w:vAlign w:val="top"/>
          </w:tcPr>
          <w:p w14:paraId="0D34E4E2">
            <w:pPr>
              <w:rPr>
                <w:rFonts w:ascii="Arial"/>
                <w:color w:val="auto"/>
                <w:sz w:val="21"/>
                <w:highlight w:val="none"/>
              </w:rPr>
            </w:pPr>
          </w:p>
        </w:tc>
        <w:tc>
          <w:tcPr>
            <w:tcW w:w="1693" w:type="dxa"/>
            <w:vAlign w:val="top"/>
          </w:tcPr>
          <w:p w14:paraId="5D092204">
            <w:pPr>
              <w:rPr>
                <w:rFonts w:ascii="Arial"/>
                <w:color w:val="auto"/>
                <w:sz w:val="21"/>
                <w:highlight w:val="none"/>
              </w:rPr>
            </w:pPr>
          </w:p>
        </w:tc>
        <w:tc>
          <w:tcPr>
            <w:tcW w:w="1550" w:type="dxa"/>
            <w:vAlign w:val="top"/>
          </w:tcPr>
          <w:p w14:paraId="01630665">
            <w:pPr>
              <w:rPr>
                <w:rFonts w:ascii="Arial"/>
                <w:color w:val="auto"/>
                <w:sz w:val="21"/>
                <w:highlight w:val="none"/>
              </w:rPr>
            </w:pPr>
          </w:p>
        </w:tc>
      </w:tr>
      <w:tr w14:paraId="69F95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77" w:type="dxa"/>
            <w:vAlign w:val="top"/>
          </w:tcPr>
          <w:p w14:paraId="5E6EB246">
            <w:pPr>
              <w:rPr>
                <w:rFonts w:ascii="Arial"/>
                <w:color w:val="auto"/>
                <w:sz w:val="21"/>
                <w:highlight w:val="none"/>
              </w:rPr>
            </w:pPr>
          </w:p>
        </w:tc>
        <w:tc>
          <w:tcPr>
            <w:tcW w:w="4538" w:type="dxa"/>
            <w:vAlign w:val="top"/>
          </w:tcPr>
          <w:p w14:paraId="1F16B77F">
            <w:pPr>
              <w:rPr>
                <w:rFonts w:ascii="Arial"/>
                <w:color w:val="auto"/>
                <w:sz w:val="21"/>
                <w:highlight w:val="none"/>
              </w:rPr>
            </w:pPr>
          </w:p>
        </w:tc>
        <w:tc>
          <w:tcPr>
            <w:tcW w:w="1693" w:type="dxa"/>
            <w:vAlign w:val="top"/>
          </w:tcPr>
          <w:p w14:paraId="459E8B6C">
            <w:pPr>
              <w:rPr>
                <w:rFonts w:ascii="Arial"/>
                <w:color w:val="auto"/>
                <w:sz w:val="21"/>
                <w:highlight w:val="none"/>
              </w:rPr>
            </w:pPr>
          </w:p>
        </w:tc>
        <w:tc>
          <w:tcPr>
            <w:tcW w:w="1550" w:type="dxa"/>
            <w:vAlign w:val="top"/>
          </w:tcPr>
          <w:p w14:paraId="40E98DA2">
            <w:pPr>
              <w:rPr>
                <w:rFonts w:ascii="Arial"/>
                <w:color w:val="auto"/>
                <w:sz w:val="21"/>
                <w:highlight w:val="none"/>
              </w:rPr>
            </w:pPr>
          </w:p>
        </w:tc>
      </w:tr>
    </w:tbl>
    <w:p w14:paraId="52D2B40B">
      <w:pPr>
        <w:spacing w:line="330" w:lineRule="auto"/>
        <w:rPr>
          <w:rFonts w:ascii="Arial"/>
          <w:color w:val="auto"/>
          <w:sz w:val="21"/>
          <w:highlight w:val="none"/>
        </w:rPr>
      </w:pPr>
    </w:p>
    <w:p w14:paraId="4CF1D9DD">
      <w:pPr>
        <w:spacing w:before="65" w:line="220" w:lineRule="auto"/>
        <w:jc w:val="right"/>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承包人如未能按上表各节点要求的完工日期前完工，逾期完工违约金按</w:t>
      </w:r>
      <w:r>
        <w:rPr>
          <w:rFonts w:ascii="宋体" w:hAnsi="宋体" w:eastAsia="宋体" w:cs="宋体"/>
          <w:color w:val="auto"/>
          <w:spacing w:val="-43"/>
          <w:sz w:val="19"/>
          <w:szCs w:val="19"/>
          <w:highlight w:val="none"/>
        </w:rPr>
        <w:t xml:space="preserve"> </w:t>
      </w:r>
      <w:r>
        <w:rPr>
          <w:rFonts w:ascii="宋体" w:hAnsi="宋体" w:eastAsia="宋体" w:cs="宋体"/>
          <w:color w:val="auto"/>
          <w:spacing w:val="-73"/>
          <w:sz w:val="19"/>
          <w:szCs w:val="19"/>
          <w:highlight w:val="none"/>
          <w:u w:val="single" w:color="auto"/>
        </w:rPr>
        <w:t xml:space="preserve"> </w:t>
      </w:r>
      <w:r>
        <w:rPr>
          <w:rFonts w:ascii="宋体" w:hAnsi="宋体" w:eastAsia="宋体" w:cs="宋体"/>
          <w:color w:val="auto"/>
          <w:spacing w:val="5"/>
          <w:sz w:val="19"/>
          <w:szCs w:val="19"/>
          <w:highlight w:val="none"/>
          <w:u w:val="single" w:color="auto"/>
        </w:rPr>
        <w:t>100</w:t>
      </w:r>
      <w:r>
        <w:rPr>
          <w:rFonts w:ascii="宋体" w:hAnsi="宋体" w:eastAsia="宋体" w:cs="宋体"/>
          <w:color w:val="auto"/>
          <w:spacing w:val="-34"/>
          <w:sz w:val="19"/>
          <w:szCs w:val="19"/>
          <w:highlight w:val="none"/>
          <w:u w:val="single" w:color="auto"/>
        </w:rPr>
        <w:t xml:space="preserve"> </w:t>
      </w:r>
      <w:r>
        <w:rPr>
          <w:rFonts w:ascii="宋体" w:hAnsi="宋体" w:eastAsia="宋体" w:cs="宋体"/>
          <w:color w:val="auto"/>
          <w:spacing w:val="5"/>
          <w:sz w:val="19"/>
          <w:szCs w:val="19"/>
          <w:highlight w:val="none"/>
        </w:rPr>
        <w:t xml:space="preserve">元/ </w:t>
      </w:r>
      <w:r>
        <w:rPr>
          <w:rFonts w:ascii="宋体" w:hAnsi="宋体" w:eastAsia="宋体" w:cs="宋体"/>
          <w:color w:val="auto"/>
          <w:spacing w:val="4"/>
          <w:sz w:val="19"/>
          <w:szCs w:val="19"/>
          <w:highlight w:val="none"/>
        </w:rPr>
        <w:t>天</w:t>
      </w:r>
      <w:r>
        <w:rPr>
          <w:rFonts w:ascii="宋体" w:hAnsi="宋体" w:eastAsia="宋体" w:cs="宋体"/>
          <w:color w:val="auto"/>
          <w:spacing w:val="-38"/>
          <w:sz w:val="19"/>
          <w:szCs w:val="19"/>
          <w:highlight w:val="none"/>
        </w:rPr>
        <w:t xml:space="preserve"> </w:t>
      </w:r>
      <w:r>
        <w:rPr>
          <w:rFonts w:ascii="宋体" w:hAnsi="宋体" w:eastAsia="宋体" w:cs="宋体"/>
          <w:i/>
          <w:iCs/>
          <w:color w:val="auto"/>
          <w:spacing w:val="4"/>
          <w:sz w:val="20"/>
          <w:szCs w:val="20"/>
          <w:highlight w:val="none"/>
        </w:rPr>
        <w:t>”</w:t>
      </w:r>
      <w:r>
        <w:rPr>
          <w:rFonts w:ascii="宋体" w:hAnsi="宋体" w:eastAsia="宋体" w:cs="宋体"/>
          <w:color w:val="auto"/>
          <w:spacing w:val="4"/>
          <w:sz w:val="19"/>
          <w:szCs w:val="19"/>
          <w:highlight w:val="none"/>
        </w:rPr>
        <w:t>计算。</w:t>
      </w:r>
    </w:p>
    <w:p w14:paraId="587D0E8A">
      <w:pPr>
        <w:spacing w:before="119" w:line="339" w:lineRule="auto"/>
        <w:ind w:left="41" w:right="68" w:firstLine="40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全部逾期完工违约金的总限额不超过合同总价的</w:t>
      </w:r>
      <w:r>
        <w:rPr>
          <w:rFonts w:ascii="宋体" w:hAnsi="宋体" w:eastAsia="宋体" w:cs="宋体"/>
          <w:color w:val="auto"/>
          <w:spacing w:val="36"/>
          <w:sz w:val="19"/>
          <w:szCs w:val="19"/>
          <w:highlight w:val="none"/>
        </w:rPr>
        <w:t xml:space="preserve"> </w:t>
      </w:r>
      <w:r>
        <w:rPr>
          <w:rFonts w:ascii="宋体" w:hAnsi="宋体" w:eastAsia="宋体" w:cs="宋体"/>
          <w:color w:val="auto"/>
          <w:spacing w:val="11"/>
          <w:sz w:val="19"/>
          <w:szCs w:val="19"/>
          <w:highlight w:val="none"/>
          <w:u w:val="single" w:color="auto"/>
        </w:rPr>
        <w:t>1</w:t>
      </w:r>
      <w:r>
        <w:rPr>
          <w:rFonts w:ascii="宋体" w:hAnsi="宋体" w:eastAsia="宋体" w:cs="宋体"/>
          <w:color w:val="auto"/>
          <w:spacing w:val="11"/>
          <w:sz w:val="19"/>
          <w:szCs w:val="19"/>
          <w:highlight w:val="none"/>
        </w:rPr>
        <w:t>%,发包人可从应向承包人支付</w:t>
      </w:r>
      <w:r>
        <w:rPr>
          <w:rFonts w:ascii="宋体" w:hAnsi="宋体" w:eastAsia="宋体" w:cs="宋体"/>
          <w:color w:val="auto"/>
          <w:spacing w:val="10"/>
          <w:sz w:val="19"/>
          <w:szCs w:val="19"/>
          <w:highlight w:val="none"/>
        </w:rPr>
        <w:t>的任何金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额中扣除此项违约金或以其他方式收回此款，此违约金的支付并不能解除承包人应</w:t>
      </w:r>
      <w:r>
        <w:rPr>
          <w:rFonts w:ascii="宋体" w:hAnsi="宋体" w:eastAsia="宋体" w:cs="宋体"/>
          <w:color w:val="auto"/>
          <w:spacing w:val="11"/>
          <w:sz w:val="19"/>
          <w:szCs w:val="19"/>
          <w:highlight w:val="none"/>
        </w:rPr>
        <w:t>完成工程的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责任或合同规定的其他责任。</w:t>
      </w:r>
    </w:p>
    <w:p w14:paraId="05B272C6">
      <w:pPr>
        <w:spacing w:before="104" w:line="229" w:lineRule="auto"/>
        <w:ind w:left="476"/>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11.6</w:t>
      </w:r>
      <w:r>
        <w:rPr>
          <w:rFonts w:ascii="宋体" w:hAnsi="宋体" w:eastAsia="宋体" w:cs="宋体"/>
          <w:color w:val="auto"/>
          <w:spacing w:val="-26"/>
          <w:sz w:val="19"/>
          <w:szCs w:val="19"/>
          <w:highlight w:val="none"/>
        </w:rPr>
        <w:t xml:space="preserve"> </w:t>
      </w:r>
      <w:r>
        <w:rPr>
          <w:rFonts w:ascii="宋体" w:hAnsi="宋体" w:eastAsia="宋体" w:cs="宋体"/>
          <w:b/>
          <w:bCs/>
          <w:color w:val="auto"/>
          <w:spacing w:val="1"/>
          <w:sz w:val="19"/>
          <w:szCs w:val="19"/>
          <w:highlight w:val="none"/>
        </w:rPr>
        <w:t>工期提前</w:t>
      </w:r>
    </w:p>
    <w:p w14:paraId="0ECF9306">
      <w:pPr>
        <w:spacing w:before="214" w:line="335" w:lineRule="auto"/>
        <w:ind w:left="42" w:right="71" w:firstLine="42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工期提前的资金约定：</w:t>
      </w:r>
      <w:r>
        <w:rPr>
          <w:rFonts w:ascii="宋体" w:hAnsi="宋体" w:eastAsia="宋体" w:cs="宋体"/>
          <w:color w:val="auto"/>
          <w:spacing w:val="11"/>
          <w:sz w:val="19"/>
          <w:szCs w:val="19"/>
          <w:highlight w:val="none"/>
          <w:u w:val="single" w:color="auto"/>
        </w:rPr>
        <w:t>在保证工程质量的前提下，发包人鼓励承包人提前完工，但本工程</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u w:val="single" w:color="auto"/>
        </w:rPr>
        <w:t>无提前完工奖金</w:t>
      </w:r>
      <w:r>
        <w:rPr>
          <w:rFonts w:ascii="宋体" w:hAnsi="宋体" w:eastAsia="宋体" w:cs="宋体"/>
          <w:color w:val="auto"/>
          <w:spacing w:val="7"/>
          <w:sz w:val="19"/>
          <w:szCs w:val="19"/>
          <w:highlight w:val="none"/>
        </w:rPr>
        <w:t>。</w:t>
      </w:r>
    </w:p>
    <w:p w14:paraId="42D44C32">
      <w:pPr>
        <w:spacing w:before="219" w:line="226" w:lineRule="auto"/>
        <w:ind w:left="58"/>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12.</w:t>
      </w:r>
      <w:r>
        <w:rPr>
          <w:rFonts w:ascii="宋体" w:hAnsi="宋体" w:eastAsia="宋体" w:cs="宋体"/>
          <w:b/>
          <w:bCs/>
          <w:color w:val="auto"/>
          <w:spacing w:val="2"/>
          <w:sz w:val="31"/>
          <w:szCs w:val="31"/>
          <w:highlight w:val="none"/>
        </w:rPr>
        <w:t>暂停施工</w:t>
      </w:r>
    </w:p>
    <w:p w14:paraId="033E50CE">
      <w:pPr>
        <w:spacing w:line="258" w:lineRule="auto"/>
        <w:rPr>
          <w:rFonts w:ascii="Arial"/>
          <w:color w:val="auto"/>
          <w:sz w:val="21"/>
          <w:highlight w:val="none"/>
        </w:rPr>
      </w:pPr>
    </w:p>
    <w:p w14:paraId="0DE819A3">
      <w:pPr>
        <w:spacing w:line="258" w:lineRule="auto"/>
        <w:rPr>
          <w:rFonts w:ascii="Arial"/>
          <w:color w:val="auto"/>
          <w:sz w:val="21"/>
          <w:highlight w:val="none"/>
        </w:rPr>
      </w:pPr>
    </w:p>
    <w:p w14:paraId="3D9B0F5F">
      <w:pPr>
        <w:spacing w:before="62" w:line="228" w:lineRule="auto"/>
        <w:ind w:left="495"/>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12.1</w:t>
      </w:r>
      <w:r>
        <w:rPr>
          <w:rFonts w:ascii="宋体" w:hAnsi="宋体" w:eastAsia="宋体" w:cs="宋体"/>
          <w:color w:val="auto"/>
          <w:spacing w:val="-24"/>
          <w:sz w:val="19"/>
          <w:szCs w:val="19"/>
          <w:highlight w:val="none"/>
        </w:rPr>
        <w:t xml:space="preserve"> </w:t>
      </w:r>
      <w:r>
        <w:rPr>
          <w:rFonts w:ascii="宋体" w:hAnsi="宋体" w:eastAsia="宋体" w:cs="宋体"/>
          <w:b/>
          <w:bCs/>
          <w:color w:val="auto"/>
          <w:spacing w:val="4"/>
          <w:sz w:val="19"/>
          <w:szCs w:val="19"/>
          <w:highlight w:val="none"/>
        </w:rPr>
        <w:t>承包人暂停施工的责任</w:t>
      </w:r>
    </w:p>
    <w:p w14:paraId="42EDE0A7">
      <w:pPr>
        <w:spacing w:before="212" w:line="228" w:lineRule="auto"/>
        <w:ind w:left="480"/>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承包人承担暂停施工责任的其它情形：</w:t>
      </w:r>
      <w:r>
        <w:rPr>
          <w:rFonts w:ascii="宋体" w:hAnsi="宋体" w:eastAsia="宋体" w:cs="宋体"/>
          <w:color w:val="auto"/>
          <w:spacing w:val="9"/>
          <w:sz w:val="19"/>
          <w:szCs w:val="19"/>
          <w:highlight w:val="none"/>
          <w:u w:val="single" w:color="auto"/>
        </w:rPr>
        <w:t>工程质量不合格及承包人原因造成的其他情形</w:t>
      </w:r>
      <w:r>
        <w:rPr>
          <w:rFonts w:ascii="宋体" w:hAnsi="宋体" w:eastAsia="宋体" w:cs="宋体"/>
          <w:color w:val="auto"/>
          <w:spacing w:val="9"/>
          <w:sz w:val="19"/>
          <w:szCs w:val="19"/>
          <w:highlight w:val="none"/>
        </w:rPr>
        <w:t>。</w:t>
      </w:r>
    </w:p>
    <w:p w14:paraId="43A5960E">
      <w:pPr>
        <w:spacing w:before="212" w:line="228" w:lineRule="auto"/>
        <w:ind w:left="495"/>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12.2</w:t>
      </w:r>
      <w:r>
        <w:rPr>
          <w:rFonts w:ascii="宋体" w:hAnsi="宋体" w:eastAsia="宋体" w:cs="宋体"/>
          <w:color w:val="auto"/>
          <w:spacing w:val="-24"/>
          <w:sz w:val="19"/>
          <w:szCs w:val="19"/>
          <w:highlight w:val="none"/>
        </w:rPr>
        <w:t xml:space="preserve"> </w:t>
      </w:r>
      <w:r>
        <w:rPr>
          <w:rFonts w:ascii="宋体" w:hAnsi="宋体" w:eastAsia="宋体" w:cs="宋体"/>
          <w:b/>
          <w:bCs/>
          <w:color w:val="auto"/>
          <w:spacing w:val="4"/>
          <w:sz w:val="19"/>
          <w:szCs w:val="19"/>
          <w:highlight w:val="none"/>
        </w:rPr>
        <w:t>发包人暂停施工的责任</w:t>
      </w:r>
    </w:p>
    <w:p w14:paraId="6D551832">
      <w:pPr>
        <w:spacing w:before="213" w:line="443" w:lineRule="auto"/>
        <w:ind w:left="41" w:right="74" w:firstLine="403"/>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发包人承担暂停施工责任的其它情形：</w:t>
      </w:r>
      <w:r>
        <w:rPr>
          <w:rFonts w:ascii="宋体" w:hAnsi="宋体" w:eastAsia="宋体" w:cs="宋体"/>
          <w:color w:val="auto"/>
          <w:spacing w:val="-51"/>
          <w:sz w:val="19"/>
          <w:szCs w:val="19"/>
          <w:highlight w:val="none"/>
        </w:rPr>
        <w:t xml:space="preserve"> </w:t>
      </w:r>
      <w:r>
        <w:rPr>
          <w:rFonts w:ascii="宋体" w:hAnsi="宋体" w:eastAsia="宋体" w:cs="宋体"/>
          <w:color w:val="auto"/>
          <w:spacing w:val="11"/>
          <w:sz w:val="19"/>
          <w:szCs w:val="19"/>
          <w:highlight w:val="none"/>
          <w:u w:val="single" w:color="auto"/>
        </w:rPr>
        <w:t>因异常恶劣气候及发包人、</w:t>
      </w:r>
      <w:r>
        <w:rPr>
          <w:rFonts w:ascii="宋体" w:hAnsi="宋体" w:eastAsia="宋体" w:cs="宋体"/>
          <w:color w:val="auto"/>
          <w:spacing w:val="10"/>
          <w:sz w:val="19"/>
          <w:szCs w:val="19"/>
          <w:highlight w:val="none"/>
          <w:u w:val="single" w:color="auto"/>
        </w:rPr>
        <w:t>监理人、承包人三方一</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u w:val="single" w:color="auto"/>
        </w:rPr>
        <w:t>致认可的因素影响延误工期，工期顺延，但不另行增加费用</w:t>
      </w:r>
      <w:r>
        <w:rPr>
          <w:rFonts w:ascii="宋体" w:hAnsi="宋体" w:eastAsia="宋体" w:cs="宋体"/>
          <w:color w:val="auto"/>
          <w:spacing w:val="9"/>
          <w:sz w:val="19"/>
          <w:szCs w:val="19"/>
          <w:highlight w:val="none"/>
        </w:rPr>
        <w:t>。</w:t>
      </w:r>
    </w:p>
    <w:p w14:paraId="6661362D">
      <w:pPr>
        <w:spacing w:before="306" w:line="226" w:lineRule="auto"/>
        <w:ind w:left="497"/>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13.</w:t>
      </w:r>
      <w:r>
        <w:rPr>
          <w:rFonts w:ascii="宋体" w:hAnsi="宋体" w:eastAsia="宋体" w:cs="宋体"/>
          <w:b/>
          <w:bCs/>
          <w:color w:val="auto"/>
          <w:spacing w:val="2"/>
          <w:sz w:val="31"/>
          <w:szCs w:val="31"/>
          <w:highlight w:val="none"/>
        </w:rPr>
        <w:t>工程质量</w:t>
      </w:r>
    </w:p>
    <w:p w14:paraId="0A19DB03">
      <w:pPr>
        <w:spacing w:line="258" w:lineRule="auto"/>
        <w:rPr>
          <w:rFonts w:ascii="Arial"/>
          <w:color w:val="auto"/>
          <w:sz w:val="21"/>
          <w:highlight w:val="none"/>
        </w:rPr>
      </w:pPr>
    </w:p>
    <w:p w14:paraId="49C661A6">
      <w:pPr>
        <w:spacing w:line="258" w:lineRule="auto"/>
        <w:rPr>
          <w:rFonts w:ascii="Arial"/>
          <w:color w:val="auto"/>
          <w:sz w:val="21"/>
          <w:highlight w:val="none"/>
        </w:rPr>
      </w:pPr>
    </w:p>
    <w:p w14:paraId="074EEF0A">
      <w:pPr>
        <w:spacing w:before="62" w:line="229" w:lineRule="auto"/>
        <w:ind w:left="495"/>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13.7</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2"/>
          <w:sz w:val="19"/>
          <w:szCs w:val="19"/>
          <w:highlight w:val="none"/>
        </w:rPr>
        <w:t>质量评定</w:t>
      </w:r>
    </w:p>
    <w:p w14:paraId="05FFBA9A">
      <w:pPr>
        <w:spacing w:line="244" w:lineRule="auto"/>
        <w:rPr>
          <w:rFonts w:ascii="Arial"/>
          <w:color w:val="auto"/>
          <w:sz w:val="21"/>
          <w:highlight w:val="none"/>
        </w:rPr>
      </w:pPr>
    </w:p>
    <w:p w14:paraId="6BC4422C">
      <w:pPr>
        <w:spacing w:before="62" w:line="360" w:lineRule="auto"/>
        <w:ind w:left="44" w:right="2" w:firstLine="45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13.7.4</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重要隐蔽单元工程和关键部位</w:t>
      </w:r>
      <w:r>
        <w:rPr>
          <w:rFonts w:ascii="宋体" w:hAnsi="宋体" w:eastAsia="宋体" w:cs="宋体"/>
          <w:color w:val="auto"/>
          <w:spacing w:val="5"/>
          <w:sz w:val="19"/>
          <w:szCs w:val="19"/>
          <w:highlight w:val="none"/>
        </w:rPr>
        <w:t>单元工程质量评定的约定：</w:t>
      </w:r>
      <w:r>
        <w:rPr>
          <w:rFonts w:ascii="宋体" w:hAnsi="宋体" w:eastAsia="宋体" w:cs="宋体"/>
          <w:color w:val="auto"/>
          <w:spacing w:val="5"/>
          <w:sz w:val="19"/>
          <w:szCs w:val="19"/>
          <w:highlight w:val="none"/>
          <w:u w:val="single" w:color="auto"/>
        </w:rPr>
        <w:t>需发包人、承包人、监理、</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u w:val="single" w:color="auto"/>
        </w:rPr>
        <w:t>设计和相关主管部门共同评定</w:t>
      </w:r>
      <w:r>
        <w:rPr>
          <w:rFonts w:ascii="宋体" w:hAnsi="宋体" w:eastAsia="宋体" w:cs="宋体"/>
          <w:color w:val="auto"/>
          <w:spacing w:val="8"/>
          <w:sz w:val="19"/>
          <w:szCs w:val="19"/>
          <w:highlight w:val="none"/>
        </w:rPr>
        <w:t>。</w:t>
      </w:r>
    </w:p>
    <w:p w14:paraId="4F512598">
      <w:pPr>
        <w:spacing w:before="62" w:line="360" w:lineRule="auto"/>
        <w:ind w:left="3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13.7.7 工程合格标准为：</w:t>
      </w:r>
      <w:r>
        <w:rPr>
          <w:rFonts w:ascii="宋体" w:hAnsi="宋体" w:eastAsia="宋体" w:cs="宋体"/>
          <w:color w:val="auto"/>
          <w:spacing w:val="7"/>
          <w:sz w:val="19"/>
          <w:szCs w:val="19"/>
          <w:highlight w:val="none"/>
          <w:u w:val="single" w:color="auto"/>
        </w:rPr>
        <w:t>执行《水利水电工程工程验收规程》（</w:t>
      </w:r>
      <w:r>
        <w:rPr>
          <w:rFonts w:ascii="宋体" w:hAnsi="宋体" w:eastAsia="宋体" w:cs="宋体"/>
          <w:color w:val="auto"/>
          <w:sz w:val="19"/>
          <w:szCs w:val="19"/>
          <w:highlight w:val="none"/>
          <w:u w:val="single" w:color="auto"/>
        </w:rPr>
        <w:t>SL</w:t>
      </w:r>
      <w:r>
        <w:rPr>
          <w:rFonts w:ascii="宋体" w:hAnsi="宋体" w:eastAsia="宋体" w:cs="宋体"/>
          <w:color w:val="auto"/>
          <w:spacing w:val="7"/>
          <w:sz w:val="19"/>
          <w:szCs w:val="19"/>
          <w:highlight w:val="none"/>
          <w:u w:val="single" w:color="auto"/>
        </w:rPr>
        <w:t>223-2008）、执行《水</w:t>
      </w:r>
      <w:r>
        <w:rPr>
          <w:rFonts w:ascii="宋体" w:hAnsi="宋体" w:eastAsia="宋体" w:cs="宋体"/>
          <w:color w:val="auto"/>
          <w:spacing w:val="3"/>
          <w:sz w:val="19"/>
          <w:szCs w:val="19"/>
          <w:highlight w:val="none"/>
        </w:rPr>
        <w:t xml:space="preserve"> </w:t>
      </w:r>
      <w:r>
        <w:rPr>
          <w:rFonts w:ascii="宋体" w:hAnsi="宋体" w:eastAsia="宋体" w:cs="宋体"/>
          <w:color w:val="auto"/>
          <w:spacing w:val="8"/>
          <w:sz w:val="19"/>
          <w:szCs w:val="19"/>
          <w:highlight w:val="none"/>
          <w:u w:val="single" w:color="auto"/>
        </w:rPr>
        <w:t>利水电工程施工质量检验与评定规程》（</w:t>
      </w:r>
      <w:r>
        <w:rPr>
          <w:rFonts w:ascii="宋体" w:hAnsi="宋体" w:eastAsia="宋体" w:cs="宋体"/>
          <w:color w:val="auto"/>
          <w:sz w:val="19"/>
          <w:szCs w:val="19"/>
          <w:highlight w:val="none"/>
          <w:u w:val="single" w:color="auto"/>
        </w:rPr>
        <w:t>SL</w:t>
      </w:r>
      <w:r>
        <w:rPr>
          <w:rFonts w:ascii="宋体" w:hAnsi="宋体" w:eastAsia="宋体" w:cs="宋体"/>
          <w:color w:val="auto"/>
          <w:spacing w:val="8"/>
          <w:sz w:val="19"/>
          <w:szCs w:val="19"/>
          <w:highlight w:val="none"/>
          <w:u w:val="single" w:color="auto"/>
        </w:rPr>
        <w:t>176-2007</w:t>
      </w:r>
      <w:r>
        <w:rPr>
          <w:rFonts w:ascii="宋体" w:hAnsi="宋体" w:eastAsia="宋体" w:cs="宋体"/>
          <w:color w:val="auto"/>
          <w:spacing w:val="11"/>
          <w:sz w:val="19"/>
          <w:szCs w:val="19"/>
          <w:highlight w:val="none"/>
          <w:u w:val="single" w:color="auto"/>
        </w:rPr>
        <w:t>），</w:t>
      </w:r>
      <w:r>
        <w:rPr>
          <w:rFonts w:ascii="宋体" w:hAnsi="宋体" w:eastAsia="宋体" w:cs="宋体"/>
          <w:color w:val="auto"/>
          <w:spacing w:val="8"/>
          <w:sz w:val="19"/>
          <w:szCs w:val="19"/>
          <w:highlight w:val="none"/>
          <w:u w:val="single" w:color="auto"/>
        </w:rPr>
        <w:t>施工质量达</w:t>
      </w:r>
      <w:r>
        <w:rPr>
          <w:rFonts w:ascii="宋体" w:hAnsi="宋体" w:eastAsia="宋体" w:cs="宋体"/>
          <w:color w:val="auto"/>
          <w:spacing w:val="7"/>
          <w:sz w:val="19"/>
          <w:szCs w:val="19"/>
          <w:highlight w:val="none"/>
          <w:u w:val="single" w:color="auto"/>
        </w:rPr>
        <w:t>到合格等级</w:t>
      </w:r>
      <w:r>
        <w:rPr>
          <w:rFonts w:ascii="宋体" w:hAnsi="宋体" w:eastAsia="宋体" w:cs="宋体"/>
          <w:color w:val="auto"/>
          <w:spacing w:val="7"/>
          <w:sz w:val="19"/>
          <w:szCs w:val="19"/>
          <w:highlight w:val="none"/>
        </w:rPr>
        <w:t>；优良标准为：</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u w:val="single" w:color="auto"/>
        </w:rPr>
        <w:t>执行《水利水电工程工程验收规程》（</w:t>
      </w:r>
      <w:r>
        <w:rPr>
          <w:rFonts w:ascii="宋体" w:hAnsi="宋体" w:eastAsia="宋体" w:cs="宋体"/>
          <w:color w:val="auto"/>
          <w:sz w:val="19"/>
          <w:szCs w:val="19"/>
          <w:highlight w:val="none"/>
          <w:u w:val="single" w:color="auto"/>
        </w:rPr>
        <w:t>SL</w:t>
      </w:r>
      <w:r>
        <w:rPr>
          <w:rFonts w:ascii="宋体" w:hAnsi="宋体" w:eastAsia="宋体" w:cs="宋体"/>
          <w:color w:val="auto"/>
          <w:spacing w:val="11"/>
          <w:sz w:val="19"/>
          <w:szCs w:val="19"/>
          <w:highlight w:val="none"/>
          <w:u w:val="single" w:color="auto"/>
        </w:rPr>
        <w:t>223-2008）、执行《水利水电工程施工质量检验与评</w:t>
      </w:r>
      <w:r>
        <w:rPr>
          <w:rFonts w:ascii="宋体" w:hAnsi="宋体" w:eastAsia="宋体" w:cs="宋体"/>
          <w:color w:val="auto"/>
          <w:spacing w:val="8"/>
          <w:sz w:val="19"/>
          <w:szCs w:val="19"/>
          <w:highlight w:val="none"/>
          <w:u w:val="single" w:color="auto"/>
        </w:rPr>
        <w:t>定规程》（</w:t>
      </w:r>
      <w:r>
        <w:rPr>
          <w:rFonts w:ascii="宋体" w:hAnsi="宋体" w:eastAsia="宋体" w:cs="宋体"/>
          <w:color w:val="auto"/>
          <w:sz w:val="19"/>
          <w:szCs w:val="19"/>
          <w:highlight w:val="none"/>
          <w:u w:val="single" w:color="auto"/>
        </w:rPr>
        <w:t>SL</w:t>
      </w:r>
      <w:r>
        <w:rPr>
          <w:rFonts w:ascii="宋体" w:hAnsi="宋体" w:eastAsia="宋体" w:cs="宋体"/>
          <w:color w:val="auto"/>
          <w:spacing w:val="8"/>
          <w:sz w:val="19"/>
          <w:szCs w:val="19"/>
          <w:highlight w:val="none"/>
          <w:u w:val="single" w:color="auto"/>
        </w:rPr>
        <w:t>176-2007），施工质量达到</w:t>
      </w:r>
      <w:r>
        <w:rPr>
          <w:rFonts w:ascii="宋体" w:hAnsi="宋体" w:eastAsia="宋体" w:cs="宋体"/>
          <w:color w:val="auto"/>
          <w:spacing w:val="7"/>
          <w:sz w:val="19"/>
          <w:szCs w:val="19"/>
          <w:highlight w:val="none"/>
          <w:u w:val="single" w:color="auto"/>
        </w:rPr>
        <w:t>优良等级</w:t>
      </w:r>
      <w:r>
        <w:rPr>
          <w:rFonts w:ascii="宋体" w:hAnsi="宋体" w:eastAsia="宋体" w:cs="宋体"/>
          <w:color w:val="auto"/>
          <w:spacing w:val="-92"/>
          <w:sz w:val="19"/>
          <w:szCs w:val="19"/>
          <w:highlight w:val="none"/>
          <w:u w:val="single" w:color="auto"/>
        </w:rPr>
        <w:t xml:space="preserve"> </w:t>
      </w:r>
      <w:r>
        <w:rPr>
          <w:rFonts w:ascii="宋体" w:hAnsi="宋体" w:eastAsia="宋体" w:cs="宋体"/>
          <w:color w:val="auto"/>
          <w:spacing w:val="-68"/>
          <w:sz w:val="19"/>
          <w:szCs w:val="19"/>
          <w:highlight w:val="none"/>
        </w:rPr>
        <w:t xml:space="preserve"> </w:t>
      </w:r>
      <w:r>
        <w:rPr>
          <w:rFonts w:ascii="宋体" w:hAnsi="宋体" w:eastAsia="宋体" w:cs="宋体"/>
          <w:color w:val="auto"/>
          <w:spacing w:val="7"/>
          <w:sz w:val="19"/>
          <w:szCs w:val="19"/>
          <w:highlight w:val="none"/>
        </w:rPr>
        <w:t>。达到优良的奖金为：</w:t>
      </w:r>
      <w:r>
        <w:rPr>
          <w:rFonts w:ascii="宋体" w:hAnsi="宋体" w:eastAsia="宋体" w:cs="宋体"/>
          <w:color w:val="auto"/>
          <w:spacing w:val="7"/>
          <w:sz w:val="19"/>
          <w:szCs w:val="19"/>
          <w:highlight w:val="none"/>
          <w:u w:val="single" w:color="auto"/>
        </w:rPr>
        <w:t>/</w:t>
      </w:r>
      <w:r>
        <w:rPr>
          <w:rFonts w:ascii="宋体" w:hAnsi="宋体" w:eastAsia="宋体" w:cs="宋体"/>
          <w:color w:val="auto"/>
          <w:spacing w:val="7"/>
          <w:sz w:val="19"/>
          <w:szCs w:val="19"/>
          <w:highlight w:val="none"/>
        </w:rPr>
        <w:t>。</w:t>
      </w:r>
    </w:p>
    <w:p w14:paraId="31FA6E25">
      <w:pPr>
        <w:spacing w:before="30" w:line="352" w:lineRule="auto"/>
        <w:ind w:left="41" w:right="16" w:firstLine="453"/>
        <w:jc w:val="both"/>
        <w:rPr>
          <w:rFonts w:ascii="宋体" w:hAnsi="宋体" w:eastAsia="宋体" w:cs="宋体"/>
          <w:color w:val="auto"/>
          <w:sz w:val="19"/>
          <w:szCs w:val="19"/>
          <w:highlight w:val="none"/>
        </w:rPr>
      </w:pPr>
    </w:p>
    <w:p w14:paraId="3820118D">
      <w:pPr>
        <w:spacing w:line="352" w:lineRule="auto"/>
        <w:rPr>
          <w:rFonts w:ascii="宋体" w:hAnsi="宋体" w:eastAsia="宋体" w:cs="宋体"/>
          <w:color w:val="auto"/>
          <w:sz w:val="19"/>
          <w:szCs w:val="19"/>
          <w:highlight w:val="none"/>
        </w:rPr>
        <w:sectPr>
          <w:footerReference r:id="rId118" w:type="default"/>
          <w:pgSz w:w="11900" w:h="16832"/>
          <w:pgMar w:top="400" w:right="1735" w:bottom="1022" w:left="1769" w:header="0" w:footer="815" w:gutter="0"/>
          <w:pgNumType w:fmt="decimal"/>
          <w:cols w:space="720" w:num="1"/>
        </w:sectPr>
      </w:pPr>
    </w:p>
    <w:p w14:paraId="3F6327CE">
      <w:pPr>
        <w:spacing w:line="275" w:lineRule="auto"/>
        <w:rPr>
          <w:rFonts w:ascii="Arial"/>
          <w:color w:val="auto"/>
          <w:sz w:val="21"/>
          <w:highlight w:val="none"/>
        </w:rPr>
      </w:pPr>
    </w:p>
    <w:p w14:paraId="788229B7">
      <w:pPr>
        <w:spacing w:before="278" w:line="229"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13.8</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质量事故处理</w:t>
      </w:r>
    </w:p>
    <w:p w14:paraId="6E037706">
      <w:pPr>
        <w:rPr>
          <w:rFonts w:ascii="Arial"/>
          <w:color w:val="auto"/>
          <w:sz w:val="21"/>
          <w:highlight w:val="none"/>
        </w:rPr>
      </w:pPr>
    </w:p>
    <w:p w14:paraId="3378DCB7">
      <w:pPr>
        <w:spacing w:before="62" w:line="340" w:lineRule="auto"/>
        <w:ind w:left="34" w:right="20" w:firstLine="44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13.8.4</w:t>
      </w:r>
      <w:r>
        <w:rPr>
          <w:rFonts w:ascii="宋体" w:hAnsi="宋体" w:eastAsia="宋体" w:cs="宋体"/>
          <w:color w:val="auto"/>
          <w:spacing w:val="-27"/>
          <w:sz w:val="19"/>
          <w:szCs w:val="19"/>
          <w:highlight w:val="none"/>
        </w:rPr>
        <w:t xml:space="preserve"> </w:t>
      </w:r>
      <w:r>
        <w:rPr>
          <w:rFonts w:ascii="宋体" w:hAnsi="宋体" w:eastAsia="宋体" w:cs="宋体"/>
          <w:color w:val="auto"/>
          <w:spacing w:val="7"/>
          <w:sz w:val="19"/>
          <w:szCs w:val="19"/>
          <w:highlight w:val="none"/>
        </w:rPr>
        <w:t>工程竣工验收时，</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u w:val="single" w:color="auto"/>
        </w:rPr>
        <w:t>监理单位</w:t>
      </w:r>
      <w:r>
        <w:rPr>
          <w:rFonts w:ascii="宋体" w:hAnsi="宋体" w:eastAsia="宋体" w:cs="宋体"/>
          <w:color w:val="auto"/>
          <w:spacing w:val="7"/>
          <w:sz w:val="19"/>
          <w:szCs w:val="19"/>
          <w:highlight w:val="none"/>
        </w:rPr>
        <w:t>向竣工验收</w:t>
      </w:r>
      <w:r>
        <w:rPr>
          <w:rFonts w:ascii="宋体" w:hAnsi="宋体" w:eastAsia="宋体" w:cs="宋体"/>
          <w:color w:val="auto"/>
          <w:spacing w:val="6"/>
          <w:sz w:val="19"/>
          <w:szCs w:val="19"/>
          <w:highlight w:val="none"/>
        </w:rPr>
        <w:t>委员会汇报并提交历次质量缺陷处理的备案</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资料。</w:t>
      </w:r>
    </w:p>
    <w:p w14:paraId="5D38B5C4">
      <w:pPr>
        <w:spacing w:before="214"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14 .</w:t>
      </w:r>
      <w:r>
        <w:rPr>
          <w:rFonts w:ascii="宋体" w:hAnsi="宋体" w:eastAsia="宋体" w:cs="宋体"/>
          <w:b/>
          <w:bCs/>
          <w:color w:val="auto"/>
          <w:spacing w:val="3"/>
          <w:sz w:val="31"/>
          <w:szCs w:val="31"/>
          <w:highlight w:val="none"/>
        </w:rPr>
        <w:t>试验和检验</w:t>
      </w:r>
    </w:p>
    <w:p w14:paraId="11526370">
      <w:pPr>
        <w:spacing w:line="259" w:lineRule="auto"/>
        <w:rPr>
          <w:rFonts w:ascii="Arial"/>
          <w:color w:val="auto"/>
          <w:sz w:val="21"/>
          <w:highlight w:val="none"/>
        </w:rPr>
      </w:pPr>
    </w:p>
    <w:p w14:paraId="349C70C4">
      <w:pPr>
        <w:spacing w:line="260" w:lineRule="auto"/>
        <w:rPr>
          <w:rFonts w:ascii="Arial"/>
          <w:color w:val="auto"/>
          <w:sz w:val="21"/>
          <w:highlight w:val="none"/>
        </w:rPr>
      </w:pPr>
    </w:p>
    <w:p w14:paraId="1EE62346">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14.1</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6"/>
          <w:sz w:val="19"/>
          <w:szCs w:val="19"/>
          <w:highlight w:val="none"/>
        </w:rPr>
        <w:t>材料、工程设备和工程的试验和检验</w:t>
      </w:r>
    </w:p>
    <w:p w14:paraId="46C7EE10">
      <w:pPr>
        <w:spacing w:line="247" w:lineRule="auto"/>
        <w:rPr>
          <w:rFonts w:ascii="Arial"/>
          <w:color w:val="auto"/>
          <w:sz w:val="21"/>
          <w:highlight w:val="none"/>
        </w:rPr>
      </w:pPr>
    </w:p>
    <w:p w14:paraId="2F88E5F5">
      <w:pPr>
        <w:spacing w:before="62" w:line="347" w:lineRule="auto"/>
        <w:ind w:left="26" w:right="15"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14.1.5</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水工金属结构、启闭机及机电产品进场后的交货检</w:t>
      </w:r>
      <w:r>
        <w:rPr>
          <w:rFonts w:ascii="宋体" w:hAnsi="宋体" w:eastAsia="宋体" w:cs="宋体"/>
          <w:color w:val="auto"/>
          <w:spacing w:val="6"/>
          <w:sz w:val="19"/>
          <w:szCs w:val="19"/>
          <w:highlight w:val="none"/>
        </w:rPr>
        <w:t>查和验收中，</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承包人负责</w:t>
      </w:r>
      <w:r>
        <w:rPr>
          <w:rFonts w:ascii="宋体" w:hAnsi="宋体" w:eastAsia="宋体" w:cs="宋体"/>
          <w:color w:val="auto"/>
          <w:spacing w:val="6"/>
          <w:sz w:val="19"/>
          <w:szCs w:val="19"/>
          <w:highlight w:val="none"/>
          <w:u w:val="single" w:color="auto"/>
        </w:rPr>
        <w:t>检验、</w:t>
      </w:r>
      <w:r>
        <w:rPr>
          <w:rFonts w:ascii="宋体" w:hAnsi="宋体" w:eastAsia="宋体" w:cs="宋体"/>
          <w:color w:val="auto"/>
          <w:spacing w:val="-59"/>
          <w:sz w:val="19"/>
          <w:szCs w:val="19"/>
          <w:highlight w:val="none"/>
          <w:u w:val="single" w:color="auto"/>
        </w:rPr>
        <w:t xml:space="preserve"> </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u w:val="single" w:color="auto"/>
        </w:rPr>
        <w:t>保管及发生的一切费用</w:t>
      </w:r>
      <w:r>
        <w:rPr>
          <w:rFonts w:ascii="宋体" w:hAnsi="宋体" w:eastAsia="宋体" w:cs="宋体"/>
          <w:color w:val="auto"/>
          <w:spacing w:val="7"/>
          <w:sz w:val="19"/>
          <w:szCs w:val="19"/>
          <w:highlight w:val="none"/>
        </w:rPr>
        <w:t>。</w:t>
      </w:r>
    </w:p>
    <w:p w14:paraId="7EE6BA6F">
      <w:pPr>
        <w:spacing w:before="23" w:line="337" w:lineRule="auto"/>
        <w:ind w:left="24" w:right="19"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14.1.6</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本工程实行见证取样的试块、试件及有关材料：</w:t>
      </w:r>
      <w:r>
        <w:rPr>
          <w:rFonts w:ascii="宋体" w:hAnsi="宋体" w:eastAsia="宋体" w:cs="宋体"/>
          <w:color w:val="auto"/>
          <w:spacing w:val="8"/>
          <w:sz w:val="19"/>
          <w:szCs w:val="19"/>
          <w:highlight w:val="none"/>
          <w:u w:val="single" w:color="auto"/>
        </w:rPr>
        <w:t>原材料及中间产品、所有试块、试</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u w:val="single" w:color="auto"/>
        </w:rPr>
        <w:t>件及有关材料</w:t>
      </w:r>
      <w:r>
        <w:rPr>
          <w:rFonts w:ascii="宋体" w:hAnsi="宋体" w:eastAsia="宋体" w:cs="宋体"/>
          <w:color w:val="auto"/>
          <w:spacing w:val="7"/>
          <w:sz w:val="19"/>
          <w:szCs w:val="19"/>
          <w:highlight w:val="none"/>
        </w:rPr>
        <w:t>。</w:t>
      </w:r>
    </w:p>
    <w:p w14:paraId="52FEC4C6">
      <w:pPr>
        <w:spacing w:before="222" w:line="226" w:lineRule="auto"/>
        <w:ind w:left="42"/>
        <w:rPr>
          <w:rFonts w:ascii="宋体" w:hAnsi="宋体" w:eastAsia="宋体" w:cs="宋体"/>
          <w:color w:val="auto"/>
          <w:sz w:val="31"/>
          <w:szCs w:val="31"/>
          <w:highlight w:val="none"/>
        </w:rPr>
      </w:pPr>
      <w:r>
        <w:rPr>
          <w:rFonts w:ascii="Cambria" w:hAnsi="Cambria" w:eastAsia="Cambria" w:cs="Cambria"/>
          <w:b/>
          <w:bCs/>
          <w:color w:val="auto"/>
          <w:sz w:val="31"/>
          <w:szCs w:val="31"/>
          <w:highlight w:val="none"/>
        </w:rPr>
        <w:t>15.</w:t>
      </w:r>
      <w:r>
        <w:rPr>
          <w:rFonts w:ascii="宋体" w:hAnsi="宋体" w:eastAsia="宋体" w:cs="宋体"/>
          <w:b/>
          <w:bCs/>
          <w:color w:val="auto"/>
          <w:sz w:val="31"/>
          <w:szCs w:val="31"/>
          <w:highlight w:val="none"/>
        </w:rPr>
        <w:t>变更</w:t>
      </w:r>
    </w:p>
    <w:p w14:paraId="320F84B4">
      <w:pPr>
        <w:spacing w:line="257" w:lineRule="auto"/>
        <w:rPr>
          <w:rFonts w:ascii="Arial"/>
          <w:color w:val="auto"/>
          <w:sz w:val="21"/>
          <w:highlight w:val="none"/>
        </w:rPr>
      </w:pPr>
    </w:p>
    <w:p w14:paraId="1EEE7228">
      <w:pPr>
        <w:spacing w:line="258" w:lineRule="auto"/>
        <w:rPr>
          <w:rFonts w:ascii="Arial"/>
          <w:color w:val="auto"/>
          <w:sz w:val="21"/>
          <w:highlight w:val="none"/>
        </w:rPr>
      </w:pPr>
    </w:p>
    <w:p w14:paraId="3B801A9E">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15.1</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4"/>
          <w:sz w:val="19"/>
          <w:szCs w:val="19"/>
          <w:highlight w:val="none"/>
        </w:rPr>
        <w:t>变更的范围和内容</w:t>
      </w:r>
    </w:p>
    <w:p w14:paraId="7DFFFF03">
      <w:pPr>
        <w:keepNext w:val="0"/>
        <w:keepLines w:val="0"/>
        <w:pageBreakBefore w:val="0"/>
        <w:widowControl/>
        <w:suppressLineNumbers w:val="0"/>
        <w:kinsoku/>
        <w:overflowPunct/>
        <w:topLinePunct w:val="0"/>
        <w:autoSpaceDE/>
        <w:autoSpaceDN/>
        <w:bidi w:val="0"/>
        <w:adjustRightInd/>
        <w:snapToGrid/>
        <w:spacing w:line="400" w:lineRule="exact"/>
        <w:ind w:firstLine="381" w:firstLineChars="200"/>
        <w:jc w:val="left"/>
        <w:textAlignment w:val="auto"/>
        <w:rPr>
          <w:rFonts w:hint="eastAsia" w:ascii="宋体" w:hAnsi="宋体" w:eastAsia="宋体" w:cs="宋体"/>
          <w:b/>
          <w:bCs/>
          <w:color w:val="auto"/>
          <w:kern w:val="0"/>
          <w:sz w:val="19"/>
          <w:szCs w:val="19"/>
          <w:highlight w:val="none"/>
          <w:lang w:val="en-US" w:eastAsia="en-US" w:bidi="ar"/>
        </w:rPr>
      </w:pPr>
      <w:bookmarkStart w:id="21" w:name="OLE_LINK1"/>
      <w:r>
        <w:rPr>
          <w:rFonts w:hint="eastAsia" w:ascii="宋体" w:hAnsi="宋体" w:eastAsia="宋体" w:cs="宋体"/>
          <w:b/>
          <w:bCs/>
          <w:color w:val="auto"/>
          <w:kern w:val="0"/>
          <w:sz w:val="19"/>
          <w:szCs w:val="19"/>
          <w:highlight w:val="none"/>
          <w:lang w:val="en-US" w:eastAsia="en-US" w:bidi="ar"/>
        </w:rPr>
        <w:t>在工程施工过程中，如发生工程变更要遵循以下原则：</w:t>
      </w:r>
    </w:p>
    <w:p w14:paraId="1AA0B7B8">
      <w:pPr>
        <w:keepNext w:val="0"/>
        <w:keepLines w:val="0"/>
        <w:pageBreakBefore w:val="0"/>
        <w:widowControl/>
        <w:suppressLineNumbers w:val="0"/>
        <w:kinsoku/>
        <w:overflowPunct/>
        <w:topLinePunct w:val="0"/>
        <w:autoSpaceDE/>
        <w:autoSpaceDN/>
        <w:bidi w:val="0"/>
        <w:adjustRightInd/>
        <w:snapToGrid/>
        <w:spacing w:line="400" w:lineRule="exact"/>
        <w:ind w:firstLine="381" w:firstLineChars="200"/>
        <w:jc w:val="left"/>
        <w:textAlignment w:val="auto"/>
        <w:rPr>
          <w:rFonts w:hint="eastAsia" w:ascii="宋体" w:hAnsi="宋体" w:eastAsia="宋体" w:cs="宋体"/>
          <w:b/>
          <w:bCs/>
          <w:color w:val="auto"/>
          <w:kern w:val="0"/>
          <w:sz w:val="19"/>
          <w:szCs w:val="19"/>
          <w:highlight w:val="none"/>
          <w:lang w:val="en-US" w:eastAsia="en-US" w:bidi="ar"/>
        </w:rPr>
      </w:pPr>
      <w:r>
        <w:rPr>
          <w:rFonts w:hint="eastAsia" w:ascii="宋体" w:hAnsi="宋体" w:eastAsia="宋体" w:cs="宋体"/>
          <w:b/>
          <w:bCs/>
          <w:color w:val="auto"/>
          <w:kern w:val="0"/>
          <w:sz w:val="19"/>
          <w:szCs w:val="19"/>
          <w:highlight w:val="none"/>
          <w:lang w:val="en-US" w:eastAsia="en-US" w:bidi="ar"/>
        </w:rPr>
        <w:t>①单项工程变更增减投资在 5 万元以内的，需经承包人、监理、发包人三方签证，并向县政府备案工程项目及其工程量后才能施工；②单项工程变更增减投资在 5 万元及以上并在50 万元以内的，需经县项目变更与调整领导小组见证，并批准同意的工程项目及其工程量后才能施工。③若承包人未经变更手续擅自变更工程，一切后果由承包人承担。本合同工程不因增加或减少合同工程量而调整合同单价。</w:t>
      </w:r>
    </w:p>
    <w:bookmarkEnd w:id="21"/>
    <w:p w14:paraId="788AAD4F">
      <w:pPr>
        <w:spacing w:line="227"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15.4</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3"/>
          <w:sz w:val="19"/>
          <w:szCs w:val="19"/>
          <w:highlight w:val="none"/>
        </w:rPr>
        <w:t>变更的估价原则</w:t>
      </w:r>
    </w:p>
    <w:p w14:paraId="72F93265">
      <w:pPr>
        <w:spacing w:before="299" w:line="336" w:lineRule="auto"/>
        <w:ind w:left="42" w:right="18" w:firstLine="437"/>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15.4.3 已标价工程量清单中无适用或类似子目的单价，按照以下原则确定</w:t>
      </w:r>
      <w:r>
        <w:rPr>
          <w:rFonts w:ascii="宋体" w:hAnsi="宋体" w:eastAsia="宋体" w:cs="宋体"/>
          <w:color w:val="auto"/>
          <w:spacing w:val="6"/>
          <w:sz w:val="19"/>
          <w:szCs w:val="19"/>
          <w:highlight w:val="none"/>
        </w:rPr>
        <w:t>：</w:t>
      </w:r>
      <w:r>
        <w:rPr>
          <w:rFonts w:ascii="宋体" w:hAnsi="宋体" w:eastAsia="宋体" w:cs="宋体"/>
          <w:color w:val="auto"/>
          <w:spacing w:val="-64"/>
          <w:sz w:val="19"/>
          <w:szCs w:val="19"/>
          <w:highlight w:val="none"/>
        </w:rPr>
        <w:t xml:space="preserve"> </w:t>
      </w:r>
      <w:r>
        <w:rPr>
          <w:rFonts w:ascii="宋体" w:hAnsi="宋体" w:eastAsia="宋体" w:cs="宋体"/>
          <w:color w:val="auto"/>
          <w:spacing w:val="6"/>
          <w:sz w:val="19"/>
          <w:szCs w:val="19"/>
          <w:highlight w:val="none"/>
        </w:rPr>
        <w:t>①有定额可套</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的，套用编制控制价所选定额计算，</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并乘以成交价下浮系数(成交价下浮系数为成交价</w:t>
      </w:r>
      <w:r>
        <w:rPr>
          <w:rFonts w:ascii="宋体" w:hAnsi="宋体" w:eastAsia="宋体" w:cs="宋体"/>
          <w:color w:val="auto"/>
          <w:spacing w:val="7"/>
          <w:sz w:val="19"/>
          <w:szCs w:val="19"/>
          <w:highlight w:val="none"/>
        </w:rPr>
        <w:t>与控制价</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的比值)，其中材料价格有信息价的按当地同期信息价，无信息的由发包人、承包人、监理人市</w:t>
      </w:r>
    </w:p>
    <w:p w14:paraId="321A547A">
      <w:pPr>
        <w:spacing w:before="31" w:line="226" w:lineRule="auto"/>
        <w:ind w:left="2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场询价确定。</w:t>
      </w:r>
      <w:r>
        <w:rPr>
          <w:rFonts w:ascii="宋体" w:hAnsi="宋体" w:eastAsia="宋体" w:cs="宋体"/>
          <w:color w:val="auto"/>
          <w:spacing w:val="-69"/>
          <w:sz w:val="19"/>
          <w:szCs w:val="19"/>
          <w:highlight w:val="none"/>
        </w:rPr>
        <w:t xml:space="preserve"> </w:t>
      </w:r>
      <w:r>
        <w:rPr>
          <w:rFonts w:ascii="宋体" w:hAnsi="宋体" w:eastAsia="宋体" w:cs="宋体"/>
          <w:color w:val="auto"/>
          <w:spacing w:val="8"/>
          <w:sz w:val="19"/>
          <w:szCs w:val="19"/>
          <w:highlight w:val="none"/>
        </w:rPr>
        <w:t>②无定额可套的，由发包人、承包人、监理人市场询价确定。</w:t>
      </w:r>
    </w:p>
    <w:p w14:paraId="451BE43F">
      <w:pPr>
        <w:spacing w:before="37" w:line="228" w:lineRule="auto"/>
        <w:ind w:left="479"/>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15.5</w:t>
      </w:r>
      <w:r>
        <w:rPr>
          <w:rFonts w:ascii="宋体" w:hAnsi="宋体" w:eastAsia="宋体" w:cs="宋体"/>
          <w:color w:val="auto"/>
          <w:spacing w:val="-27"/>
          <w:sz w:val="19"/>
          <w:szCs w:val="19"/>
          <w:highlight w:val="none"/>
        </w:rPr>
        <w:t xml:space="preserve"> </w:t>
      </w:r>
      <w:r>
        <w:rPr>
          <w:rFonts w:ascii="宋体" w:hAnsi="宋体" w:eastAsia="宋体" w:cs="宋体"/>
          <w:b/>
          <w:bCs/>
          <w:color w:val="auto"/>
          <w:spacing w:val="4"/>
          <w:sz w:val="19"/>
          <w:szCs w:val="19"/>
          <w:highlight w:val="none"/>
        </w:rPr>
        <w:t>承包人的合理化建议</w:t>
      </w:r>
    </w:p>
    <w:p w14:paraId="0DB4745F">
      <w:pPr>
        <w:rPr>
          <w:rFonts w:ascii="Arial"/>
          <w:color w:val="auto"/>
          <w:sz w:val="21"/>
          <w:highlight w:val="none"/>
        </w:rPr>
      </w:pPr>
    </w:p>
    <w:p w14:paraId="42DC9CC2">
      <w:pPr>
        <w:spacing w:before="62"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15.5. 2</w:t>
      </w:r>
      <w:r>
        <w:rPr>
          <w:rFonts w:ascii="宋体" w:hAnsi="宋体" w:eastAsia="宋体" w:cs="宋体"/>
          <w:color w:val="auto"/>
          <w:spacing w:val="-20"/>
          <w:sz w:val="19"/>
          <w:szCs w:val="19"/>
          <w:highlight w:val="none"/>
        </w:rPr>
        <w:t xml:space="preserve"> </w:t>
      </w:r>
      <w:r>
        <w:rPr>
          <w:rFonts w:ascii="宋体" w:hAnsi="宋体" w:eastAsia="宋体" w:cs="宋体"/>
          <w:color w:val="auto"/>
          <w:spacing w:val="5"/>
          <w:sz w:val="19"/>
          <w:szCs w:val="19"/>
          <w:highlight w:val="none"/>
        </w:rPr>
        <w:t>承包人实现合理化建议的奖励金额为：</w:t>
      </w:r>
      <w:r>
        <w:rPr>
          <w:rFonts w:ascii="宋体" w:hAnsi="宋体" w:eastAsia="宋体" w:cs="宋体"/>
          <w:color w:val="auto"/>
          <w:spacing w:val="28"/>
          <w:sz w:val="19"/>
          <w:szCs w:val="19"/>
          <w:highlight w:val="none"/>
        </w:rPr>
        <w:t xml:space="preserve"> </w:t>
      </w:r>
      <w:r>
        <w:rPr>
          <w:rFonts w:ascii="宋体" w:hAnsi="宋体" w:eastAsia="宋体" w:cs="宋体"/>
          <w:color w:val="auto"/>
          <w:spacing w:val="-88"/>
          <w:sz w:val="19"/>
          <w:szCs w:val="19"/>
          <w:highlight w:val="none"/>
          <w:u w:val="single" w:color="auto"/>
        </w:rPr>
        <w:t xml:space="preserve"> </w:t>
      </w:r>
      <w:r>
        <w:rPr>
          <w:rFonts w:ascii="宋体" w:hAnsi="宋体" w:eastAsia="宋体" w:cs="宋体"/>
          <w:color w:val="auto"/>
          <w:spacing w:val="5"/>
          <w:sz w:val="19"/>
          <w:szCs w:val="19"/>
          <w:highlight w:val="none"/>
          <w:u w:val="single" w:color="auto"/>
        </w:rPr>
        <w:t>/</w:t>
      </w:r>
      <w:r>
        <w:rPr>
          <w:rFonts w:ascii="宋体" w:hAnsi="宋体" w:eastAsia="宋体" w:cs="宋体"/>
          <w:color w:val="auto"/>
          <w:spacing w:val="5"/>
          <w:sz w:val="19"/>
          <w:szCs w:val="19"/>
          <w:highlight w:val="none"/>
        </w:rPr>
        <w:t>。</w:t>
      </w:r>
    </w:p>
    <w:p w14:paraId="7E7FD476">
      <w:pPr>
        <w:spacing w:before="316" w:line="224" w:lineRule="auto"/>
        <w:ind w:left="42"/>
        <w:rPr>
          <w:rFonts w:ascii="宋体" w:hAnsi="宋体" w:eastAsia="宋体" w:cs="宋体"/>
          <w:color w:val="auto"/>
          <w:sz w:val="31"/>
          <w:szCs w:val="31"/>
          <w:highlight w:val="none"/>
        </w:rPr>
      </w:pPr>
      <w:r>
        <w:rPr>
          <w:rFonts w:ascii="Cambria" w:hAnsi="Cambria" w:eastAsia="Cambria" w:cs="Cambria"/>
          <w:b/>
          <w:bCs/>
          <w:color w:val="auto"/>
          <w:sz w:val="31"/>
          <w:szCs w:val="31"/>
          <w:highlight w:val="none"/>
        </w:rPr>
        <w:t>16</w:t>
      </w:r>
      <w:r>
        <w:rPr>
          <w:rFonts w:ascii="Cambria" w:hAnsi="Cambria" w:eastAsia="Cambria" w:cs="Cambria"/>
          <w:b/>
          <w:bCs/>
          <w:color w:val="auto"/>
          <w:spacing w:val="21"/>
          <w:sz w:val="31"/>
          <w:szCs w:val="31"/>
          <w:highlight w:val="none"/>
        </w:rPr>
        <w:t xml:space="preserve"> </w:t>
      </w:r>
      <w:r>
        <w:rPr>
          <w:rFonts w:ascii="Cambria" w:hAnsi="Cambria" w:eastAsia="Cambria" w:cs="Cambria"/>
          <w:b/>
          <w:bCs/>
          <w:color w:val="auto"/>
          <w:sz w:val="31"/>
          <w:szCs w:val="31"/>
          <w:highlight w:val="none"/>
        </w:rPr>
        <w:t>.</w:t>
      </w:r>
      <w:r>
        <w:rPr>
          <w:rFonts w:ascii="宋体" w:hAnsi="宋体" w:eastAsia="宋体" w:cs="宋体"/>
          <w:b/>
          <w:bCs/>
          <w:color w:val="auto"/>
          <w:sz w:val="31"/>
          <w:szCs w:val="31"/>
          <w:highlight w:val="none"/>
        </w:rPr>
        <w:t>价格调整</w:t>
      </w:r>
    </w:p>
    <w:p w14:paraId="46A39DB4">
      <w:pPr>
        <w:spacing w:line="259" w:lineRule="auto"/>
        <w:rPr>
          <w:rFonts w:ascii="Arial"/>
          <w:color w:val="auto"/>
          <w:sz w:val="21"/>
          <w:highlight w:val="none"/>
        </w:rPr>
      </w:pPr>
    </w:p>
    <w:p w14:paraId="5885BCB4">
      <w:pPr>
        <w:spacing w:line="260" w:lineRule="auto"/>
        <w:rPr>
          <w:rFonts w:ascii="Arial"/>
          <w:color w:val="auto"/>
          <w:sz w:val="21"/>
          <w:highlight w:val="none"/>
        </w:rPr>
      </w:pPr>
    </w:p>
    <w:p w14:paraId="498F9ECC">
      <w:pPr>
        <w:spacing w:before="62" w:line="227" w:lineRule="auto"/>
        <w:ind w:left="479"/>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16.1</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5"/>
          <w:sz w:val="19"/>
          <w:szCs w:val="19"/>
          <w:highlight w:val="none"/>
        </w:rPr>
        <w:t>物价波动引起的价格调整</w:t>
      </w:r>
    </w:p>
    <w:p w14:paraId="1D601543">
      <w:pPr>
        <w:spacing w:before="304" w:line="196" w:lineRule="auto"/>
        <w:ind w:left="454"/>
        <w:rPr>
          <w:rFonts w:ascii="宋体" w:hAnsi="宋体" w:eastAsia="宋体" w:cs="宋体"/>
          <w:color w:val="auto"/>
          <w:sz w:val="19"/>
          <w:szCs w:val="19"/>
          <w:highlight w:val="none"/>
        </w:rPr>
      </w:pPr>
      <w:r>
        <w:rPr>
          <w:rFonts w:ascii="微软雅黑" w:hAnsi="微软雅黑" w:eastAsia="微软雅黑" w:cs="微软雅黑"/>
          <w:color w:val="auto"/>
          <w:spacing w:val="8"/>
          <w:sz w:val="19"/>
          <w:szCs w:val="19"/>
          <w:highlight w:val="none"/>
        </w:rPr>
        <w:t>口</w:t>
      </w:r>
      <w:r>
        <w:rPr>
          <w:rFonts w:ascii="宋体" w:hAnsi="宋体" w:eastAsia="宋体" w:cs="宋体"/>
          <w:color w:val="auto"/>
          <w:spacing w:val="8"/>
          <w:sz w:val="19"/>
          <w:szCs w:val="19"/>
          <w:highlight w:val="none"/>
        </w:rPr>
        <w:t>本项目不因为物价波动原因引起合同价格变动</w:t>
      </w:r>
      <w:r>
        <w:rPr>
          <w:rFonts w:ascii="宋体" w:hAnsi="宋体" w:eastAsia="宋体" w:cs="宋体"/>
          <w:color w:val="auto"/>
          <w:spacing w:val="7"/>
          <w:sz w:val="19"/>
          <w:szCs w:val="19"/>
          <w:highlight w:val="none"/>
        </w:rPr>
        <w:t>而调整。</w:t>
      </w:r>
    </w:p>
    <w:p w14:paraId="5B0B7745">
      <w:pPr>
        <w:spacing w:before="99" w:line="227" w:lineRule="auto"/>
        <w:ind w:left="466"/>
        <w:rPr>
          <w:rFonts w:ascii="宋体" w:hAnsi="宋体" w:eastAsia="宋体" w:cs="宋体"/>
          <w:color w:val="auto"/>
          <w:sz w:val="19"/>
          <w:szCs w:val="19"/>
          <w:highlight w:val="none"/>
        </w:rPr>
      </w:pPr>
      <w:r>
        <w:rPr>
          <w:rFonts w:hint="eastAsia" w:ascii="宋体" w:hAnsi="宋体" w:eastAsia="宋体" w:cs="宋体"/>
          <w:color w:val="auto"/>
          <w:spacing w:val="7"/>
          <w:sz w:val="19"/>
          <w:szCs w:val="19"/>
          <w:highlight w:val="none"/>
          <w:lang w:eastAsia="zh-CN"/>
        </w:rPr>
        <w:t>☑</w:t>
      </w:r>
      <w:r>
        <w:rPr>
          <w:rFonts w:ascii="宋体" w:hAnsi="宋体" w:eastAsia="宋体" w:cs="宋体"/>
          <w:color w:val="auto"/>
          <w:spacing w:val="7"/>
          <w:sz w:val="19"/>
          <w:szCs w:val="19"/>
          <w:highlight w:val="none"/>
        </w:rPr>
        <w:t>本项目由于物价波动原因引起合同价格变动时，</w:t>
      </w:r>
      <w:r>
        <w:rPr>
          <w:rFonts w:ascii="宋体" w:hAnsi="宋体" w:eastAsia="宋体" w:cs="宋体"/>
          <w:color w:val="auto"/>
          <w:spacing w:val="-48"/>
          <w:sz w:val="19"/>
          <w:szCs w:val="19"/>
          <w:highlight w:val="none"/>
        </w:rPr>
        <w:t xml:space="preserve"> </w:t>
      </w:r>
      <w:r>
        <w:rPr>
          <w:rFonts w:ascii="宋体" w:hAnsi="宋体" w:eastAsia="宋体" w:cs="宋体"/>
          <w:color w:val="auto"/>
          <w:spacing w:val="7"/>
          <w:sz w:val="19"/>
          <w:szCs w:val="19"/>
          <w:highlight w:val="none"/>
        </w:rPr>
        <w:t>对其价格按下列方式进行调整。</w:t>
      </w:r>
    </w:p>
    <w:p w14:paraId="5DF2CA82">
      <w:pPr>
        <w:spacing w:before="128" w:line="335" w:lineRule="auto"/>
        <w:ind w:left="24" w:right="96" w:firstLine="419"/>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在本合同工程实施过程中，如因市场物价波动及法律政策变</w:t>
      </w:r>
      <w:r>
        <w:rPr>
          <w:rFonts w:ascii="宋体" w:hAnsi="宋体" w:eastAsia="宋体" w:cs="宋体"/>
          <w:color w:val="auto"/>
          <w:spacing w:val="9"/>
          <w:sz w:val="19"/>
          <w:szCs w:val="19"/>
          <w:highlight w:val="none"/>
        </w:rPr>
        <w:t>化而引起主要材料价格变动幅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度超过规定值时，应予以调整材料补差来结算工程价款，材料补差按以下规定调整：</w:t>
      </w:r>
    </w:p>
    <w:p w14:paraId="429A019C">
      <w:pPr>
        <w:spacing w:before="31" w:line="230" w:lineRule="auto"/>
        <w:ind w:left="460"/>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16.1.1</w:t>
      </w:r>
      <w:r>
        <w:rPr>
          <w:rFonts w:ascii="宋体" w:hAnsi="宋体" w:eastAsia="宋体" w:cs="宋体"/>
          <w:color w:val="auto"/>
          <w:spacing w:val="-27"/>
          <w:sz w:val="19"/>
          <w:szCs w:val="19"/>
          <w:highlight w:val="none"/>
        </w:rPr>
        <w:t xml:space="preserve"> </w:t>
      </w:r>
      <w:r>
        <w:rPr>
          <w:rFonts w:ascii="宋体" w:hAnsi="宋体" w:eastAsia="宋体" w:cs="宋体"/>
          <w:color w:val="auto"/>
          <w:spacing w:val="-1"/>
          <w:sz w:val="19"/>
          <w:szCs w:val="19"/>
          <w:highlight w:val="none"/>
        </w:rPr>
        <w:t>调整方式：</w:t>
      </w:r>
    </w:p>
    <w:p w14:paraId="20BE0744">
      <w:pPr>
        <w:spacing w:before="62" w:line="231" w:lineRule="auto"/>
        <w:ind w:left="2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(1)主要材料价格变化幅度超过±5％时，</w:t>
      </w:r>
      <w:r>
        <w:rPr>
          <w:rFonts w:ascii="宋体" w:hAnsi="宋体" w:eastAsia="宋体" w:cs="宋体"/>
          <w:color w:val="auto"/>
          <w:spacing w:val="7"/>
          <w:sz w:val="19"/>
          <w:szCs w:val="19"/>
          <w:highlight w:val="none"/>
        </w:rPr>
        <w:t>超过±5％的部分调整材料价差，并计列相应的税</w:t>
      </w:r>
      <w:r>
        <w:rPr>
          <w:rFonts w:ascii="宋体" w:hAnsi="宋体" w:eastAsia="宋体" w:cs="宋体"/>
          <w:color w:val="auto"/>
          <w:spacing w:val="-11"/>
          <w:sz w:val="19"/>
          <w:szCs w:val="19"/>
          <w:highlight w:val="none"/>
        </w:rPr>
        <w:t>金；</w:t>
      </w:r>
    </w:p>
    <w:p w14:paraId="248184F1">
      <w:pPr>
        <w:spacing w:before="123" w:line="288" w:lineRule="auto"/>
        <w:ind w:left="24" w:right="28" w:firstLine="45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(2)主要补差材料名称：仅对在市场上购买的商品混凝土</w:t>
      </w:r>
      <w:r>
        <w:rPr>
          <w:rFonts w:ascii="宋体" w:hAnsi="宋体" w:eastAsia="宋体" w:cs="宋体"/>
          <w:color w:val="auto"/>
          <w:spacing w:val="7"/>
          <w:sz w:val="19"/>
          <w:szCs w:val="19"/>
          <w:highlight w:val="none"/>
        </w:rPr>
        <w:t>、水泥、钢材（含钢制品）、砂、</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碎石、块石、砂砾石、炸药、雷管进行补差，其它材料价格</w:t>
      </w:r>
      <w:r>
        <w:rPr>
          <w:rFonts w:ascii="宋体" w:hAnsi="宋体" w:eastAsia="宋体" w:cs="宋体"/>
          <w:color w:val="auto"/>
          <w:spacing w:val="8"/>
          <w:sz w:val="19"/>
          <w:szCs w:val="19"/>
          <w:highlight w:val="none"/>
        </w:rPr>
        <w:t>一律不予调整。</w:t>
      </w:r>
    </w:p>
    <w:p w14:paraId="30A2AB58">
      <w:pPr>
        <w:spacing w:before="127" w:line="288" w:lineRule="auto"/>
        <w:ind w:left="24" w:right="21" w:firstLine="45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(3)基准期主要补差材料价格：</w:t>
      </w:r>
      <w:r>
        <w:rPr>
          <w:rFonts w:ascii="宋体" w:hAnsi="宋体" w:eastAsia="宋体" w:cs="宋体"/>
          <w:color w:val="auto"/>
          <w:spacing w:val="-51"/>
          <w:sz w:val="19"/>
          <w:szCs w:val="19"/>
          <w:highlight w:val="none"/>
        </w:rPr>
        <w:t xml:space="preserve"> </w:t>
      </w:r>
      <w:r>
        <w:rPr>
          <w:rFonts w:ascii="宋体" w:hAnsi="宋体" w:eastAsia="宋体" w:cs="宋体"/>
          <w:color w:val="auto"/>
          <w:spacing w:val="7"/>
          <w:sz w:val="19"/>
          <w:szCs w:val="19"/>
          <w:highlight w:val="none"/>
        </w:rPr>
        <w:t>以预审审核时采用的《玉林市建设工</w:t>
      </w:r>
      <w:r>
        <w:rPr>
          <w:rFonts w:ascii="宋体" w:hAnsi="宋体" w:eastAsia="宋体" w:cs="宋体"/>
          <w:color w:val="auto"/>
          <w:spacing w:val="6"/>
          <w:sz w:val="19"/>
          <w:szCs w:val="19"/>
          <w:highlight w:val="none"/>
        </w:rPr>
        <w:t>程造价信息》（工程所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在地）中发布的主要材料市场价为基准；</w:t>
      </w:r>
    </w:p>
    <w:p w14:paraId="6371F207">
      <w:pPr>
        <w:spacing w:before="127" w:line="288" w:lineRule="auto"/>
        <w:ind w:left="24" w:right="34" w:firstLine="45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(4)施工期结算期主要材料价格：施工期结算</w:t>
      </w:r>
      <w:r>
        <w:rPr>
          <w:rFonts w:ascii="宋体" w:hAnsi="宋体" w:eastAsia="宋体" w:cs="宋体"/>
          <w:color w:val="auto"/>
          <w:spacing w:val="7"/>
          <w:sz w:val="19"/>
          <w:szCs w:val="19"/>
          <w:highlight w:val="none"/>
        </w:rPr>
        <w:t>月度出版的《玉林市建设工程造价信息》（工</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程所在地）中发布的主要补差材料信息价格；</w:t>
      </w:r>
    </w:p>
    <w:p w14:paraId="23FD4BF5">
      <w:pPr>
        <w:spacing w:before="125" w:line="289" w:lineRule="auto"/>
        <w:ind w:left="447" w:right="28" w:firstLine="3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(5)主要材料补差款按季度结算，在下一季度的第一个月</w:t>
      </w:r>
      <w:r>
        <w:rPr>
          <w:rFonts w:ascii="宋体" w:hAnsi="宋体" w:eastAsia="宋体" w:cs="宋体"/>
          <w:color w:val="auto"/>
          <w:spacing w:val="7"/>
          <w:sz w:val="19"/>
          <w:szCs w:val="19"/>
          <w:highlight w:val="none"/>
        </w:rPr>
        <w:t>结算上一季度的主要材料补差款。</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主要材料补差按以下公式进行补差：</w:t>
      </w:r>
    </w:p>
    <w:p w14:paraId="21CFAA8A">
      <w:pPr>
        <w:spacing w:before="126" w:line="335" w:lineRule="auto"/>
        <w:ind w:left="446" w:right="4807" w:firstLine="5"/>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△A=Q*[A-A 0 *(1±5%)]*（1+P%）</w:t>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其中：</w:t>
      </w:r>
    </w:p>
    <w:p w14:paraId="7A74AF1F">
      <w:pPr>
        <w:spacing w:before="30" w:line="228" w:lineRule="auto"/>
        <w:ind w:left="451"/>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△A——主要材料补差款；</w:t>
      </w:r>
    </w:p>
    <w:p w14:paraId="20AF8259">
      <w:pPr>
        <w:spacing w:before="126" w:line="334" w:lineRule="auto"/>
        <w:ind w:left="439" w:right="3846" w:firstLine="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Q——结算期完成工程量统计的主要材料用量；</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A——结算期主要材料价格；</w:t>
      </w:r>
    </w:p>
    <w:p w14:paraId="6B6BF8C9">
      <w:pPr>
        <w:spacing w:before="32" w:line="335" w:lineRule="auto"/>
        <w:ind w:left="441" w:right="4746" w:hanging="2"/>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A 0 ——基准期主要补差材料价格；</w:t>
      </w:r>
      <w:r>
        <w:rPr>
          <w:rFonts w:ascii="宋体" w:hAnsi="宋体" w:eastAsia="宋体" w:cs="宋体"/>
          <w:color w:val="auto"/>
          <w:spacing w:val="12"/>
          <w:sz w:val="19"/>
          <w:szCs w:val="19"/>
          <w:highlight w:val="none"/>
        </w:rPr>
        <w:t xml:space="preserve"> </w:t>
      </w:r>
      <w:r>
        <w:rPr>
          <w:rFonts w:ascii="宋体" w:hAnsi="宋体" w:eastAsia="宋体" w:cs="宋体"/>
          <w:color w:val="auto"/>
          <w:spacing w:val="5"/>
          <w:sz w:val="19"/>
          <w:szCs w:val="19"/>
          <w:highlight w:val="none"/>
        </w:rPr>
        <w:t>P——增值税率。</w:t>
      </w:r>
    </w:p>
    <w:p w14:paraId="67553D89">
      <w:pPr>
        <w:spacing w:before="31"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16.1.2</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支付方式</w:t>
      </w:r>
    </w:p>
    <w:p w14:paraId="1F7B3A1A">
      <w:pPr>
        <w:spacing w:before="124" w:line="340" w:lineRule="auto"/>
        <w:ind w:left="24" w:right="18" w:firstLine="45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(1)计算季度最后一期的《玉林市建设工程造价信息》（工程所在地）主要</w:t>
      </w:r>
      <w:r>
        <w:rPr>
          <w:rFonts w:ascii="宋体" w:hAnsi="宋体" w:eastAsia="宋体" w:cs="宋体"/>
          <w:color w:val="auto"/>
          <w:spacing w:val="7"/>
          <w:sz w:val="19"/>
          <w:szCs w:val="19"/>
          <w:highlight w:val="none"/>
        </w:rPr>
        <w:t>补差材料信息价</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格高于基准期主要补差材料价格</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5%的，承包人提出书面报告，</w:t>
      </w:r>
      <w:r>
        <w:rPr>
          <w:rFonts w:ascii="宋体" w:hAnsi="宋体" w:eastAsia="宋体" w:cs="宋体"/>
          <w:color w:val="auto"/>
          <w:spacing w:val="7"/>
          <w:sz w:val="19"/>
          <w:szCs w:val="19"/>
          <w:highlight w:val="none"/>
        </w:rPr>
        <w:t>由发包人在 7 个工作日内确认后</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对超过部分以价格之差予以价差调整。承包人应当</w:t>
      </w:r>
      <w:r>
        <w:rPr>
          <w:rFonts w:ascii="宋体" w:hAnsi="宋体" w:eastAsia="宋体" w:cs="宋体"/>
          <w:color w:val="auto"/>
          <w:spacing w:val="8"/>
          <w:sz w:val="19"/>
          <w:szCs w:val="19"/>
          <w:highlight w:val="none"/>
        </w:rPr>
        <w:t>在以上情况发生后</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14 天内，将调整原因、</w:t>
      </w:r>
    </w:p>
    <w:p w14:paraId="23F6B99D">
      <w:pPr>
        <w:spacing w:before="31" w:line="335" w:lineRule="auto"/>
        <w:ind w:left="27" w:right="114"/>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金额以书面形式通知监理工程师，</w:t>
      </w:r>
      <w:r>
        <w:rPr>
          <w:rFonts w:ascii="宋体" w:hAnsi="宋体" w:eastAsia="宋体" w:cs="宋体"/>
          <w:color w:val="auto"/>
          <w:spacing w:val="-55"/>
          <w:sz w:val="19"/>
          <w:szCs w:val="19"/>
          <w:highlight w:val="none"/>
        </w:rPr>
        <w:t xml:space="preserve"> </w:t>
      </w:r>
      <w:r>
        <w:rPr>
          <w:rFonts w:ascii="宋体" w:hAnsi="宋体" w:eastAsia="宋体" w:cs="宋体"/>
          <w:color w:val="auto"/>
          <w:spacing w:val="9"/>
          <w:sz w:val="19"/>
          <w:szCs w:val="19"/>
          <w:highlight w:val="none"/>
        </w:rPr>
        <w:t>监理工程师确认调整金额后作</w:t>
      </w:r>
      <w:r>
        <w:rPr>
          <w:rFonts w:ascii="宋体" w:hAnsi="宋体" w:eastAsia="宋体" w:cs="宋体"/>
          <w:color w:val="auto"/>
          <w:spacing w:val="8"/>
          <w:sz w:val="19"/>
          <w:szCs w:val="19"/>
          <w:highlight w:val="none"/>
        </w:rPr>
        <w:t>为追加合同价款，经发包人认</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可后与工程款同期支付。</w:t>
      </w:r>
    </w:p>
    <w:p w14:paraId="50F521CF">
      <w:pPr>
        <w:spacing w:before="31" w:line="342" w:lineRule="auto"/>
        <w:ind w:left="25" w:right="21" w:firstLine="454"/>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(2)计算季度最后一期的《玉林市建设工程造价信息》（工程所在地）主要</w:t>
      </w:r>
      <w:r>
        <w:rPr>
          <w:rFonts w:ascii="宋体" w:hAnsi="宋体" w:eastAsia="宋体" w:cs="宋体"/>
          <w:color w:val="auto"/>
          <w:spacing w:val="7"/>
          <w:sz w:val="19"/>
          <w:szCs w:val="19"/>
          <w:highlight w:val="none"/>
        </w:rPr>
        <w:t>补差材料信息价</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格低于基准期主要补差材料价格</w:t>
      </w:r>
      <w:r>
        <w:rPr>
          <w:rFonts w:ascii="宋体" w:hAnsi="宋体" w:eastAsia="宋体" w:cs="宋体"/>
          <w:color w:val="auto"/>
          <w:spacing w:val="-25"/>
          <w:sz w:val="19"/>
          <w:szCs w:val="19"/>
          <w:highlight w:val="none"/>
        </w:rPr>
        <w:t xml:space="preserve"> </w:t>
      </w:r>
      <w:r>
        <w:rPr>
          <w:rFonts w:ascii="宋体" w:hAnsi="宋体" w:eastAsia="宋体" w:cs="宋体"/>
          <w:color w:val="auto"/>
          <w:spacing w:val="9"/>
          <w:sz w:val="19"/>
          <w:szCs w:val="19"/>
          <w:highlight w:val="none"/>
        </w:rPr>
        <w:t>5%的，发包人在当期合同款中对超过部分予以价差调整并扣除</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相关款项。材料补差不以承包人做出的工地价为依据，也不考</w:t>
      </w:r>
      <w:r>
        <w:rPr>
          <w:rFonts w:ascii="宋体" w:hAnsi="宋体" w:eastAsia="宋体" w:cs="宋体"/>
          <w:color w:val="auto"/>
          <w:spacing w:val="9"/>
          <w:sz w:val="19"/>
          <w:szCs w:val="19"/>
          <w:highlight w:val="none"/>
        </w:rPr>
        <w:t>虑对运杂费、采保费和保险费进</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行补差。材料价差调整只计税金，不计取其它任何费用。</w:t>
      </w:r>
    </w:p>
    <w:p w14:paraId="0F64BF5F">
      <w:pPr>
        <w:spacing w:before="32" w:line="335" w:lineRule="auto"/>
        <w:ind w:left="26" w:right="96" w:firstLine="419"/>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承包人未在约定的工期内（因不可抗力、异常恶劣的气候</w:t>
      </w:r>
      <w:r>
        <w:rPr>
          <w:rFonts w:ascii="宋体" w:hAnsi="宋体" w:eastAsia="宋体" w:cs="宋体"/>
          <w:color w:val="auto"/>
          <w:spacing w:val="9"/>
          <w:sz w:val="19"/>
          <w:szCs w:val="19"/>
          <w:highlight w:val="none"/>
        </w:rPr>
        <w:t>条件、发包人原因等造成的工期</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延误计算在内）</w:t>
      </w:r>
      <w:r>
        <w:rPr>
          <w:rFonts w:ascii="宋体" w:hAnsi="宋体" w:eastAsia="宋体" w:cs="宋体"/>
          <w:color w:val="auto"/>
          <w:spacing w:val="-53"/>
          <w:sz w:val="19"/>
          <w:szCs w:val="19"/>
          <w:highlight w:val="none"/>
        </w:rPr>
        <w:t xml:space="preserve"> </w:t>
      </w:r>
      <w:r>
        <w:rPr>
          <w:rFonts w:ascii="宋体" w:hAnsi="宋体" w:eastAsia="宋体" w:cs="宋体"/>
          <w:color w:val="auto"/>
          <w:spacing w:val="7"/>
          <w:sz w:val="19"/>
          <w:szCs w:val="19"/>
          <w:highlight w:val="none"/>
        </w:rPr>
        <w:t>完工，</w:t>
      </w:r>
      <w:r>
        <w:rPr>
          <w:rFonts w:ascii="宋体" w:hAnsi="宋体" w:eastAsia="宋体" w:cs="宋体"/>
          <w:color w:val="auto"/>
          <w:spacing w:val="-51"/>
          <w:sz w:val="19"/>
          <w:szCs w:val="19"/>
          <w:highlight w:val="none"/>
        </w:rPr>
        <w:t xml:space="preserve"> </w:t>
      </w:r>
      <w:r>
        <w:rPr>
          <w:rFonts w:ascii="宋体" w:hAnsi="宋体" w:eastAsia="宋体" w:cs="宋体"/>
          <w:color w:val="auto"/>
          <w:spacing w:val="7"/>
          <w:sz w:val="19"/>
          <w:szCs w:val="19"/>
          <w:highlight w:val="none"/>
        </w:rPr>
        <w:t>因延误工期而遇上价格上涨的，则价格上</w:t>
      </w:r>
      <w:r>
        <w:rPr>
          <w:rFonts w:ascii="宋体" w:hAnsi="宋体" w:eastAsia="宋体" w:cs="宋体"/>
          <w:color w:val="auto"/>
          <w:spacing w:val="6"/>
          <w:sz w:val="19"/>
          <w:szCs w:val="19"/>
          <w:highlight w:val="none"/>
        </w:rPr>
        <w:t>涨金额由承包人自行承担。</w:t>
      </w:r>
    </w:p>
    <w:p w14:paraId="25AEF6D4">
      <w:pPr>
        <w:spacing w:before="221"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17.</w:t>
      </w:r>
      <w:r>
        <w:rPr>
          <w:rFonts w:ascii="Cambria" w:hAnsi="Cambria" w:eastAsia="Cambria" w:cs="Cambria"/>
          <w:b/>
          <w:bCs/>
          <w:color w:val="auto"/>
          <w:spacing w:val="18"/>
          <w:sz w:val="31"/>
          <w:szCs w:val="31"/>
          <w:highlight w:val="none"/>
        </w:rPr>
        <w:t xml:space="preserve">  </w:t>
      </w:r>
      <w:r>
        <w:rPr>
          <w:rFonts w:ascii="宋体" w:hAnsi="宋体" w:eastAsia="宋体" w:cs="宋体"/>
          <w:b/>
          <w:bCs/>
          <w:color w:val="auto"/>
          <w:spacing w:val="2"/>
          <w:sz w:val="31"/>
          <w:szCs w:val="31"/>
          <w:highlight w:val="none"/>
        </w:rPr>
        <w:t>计量与支付</w:t>
      </w:r>
    </w:p>
    <w:p w14:paraId="427573FF">
      <w:pPr>
        <w:spacing w:line="258" w:lineRule="auto"/>
        <w:rPr>
          <w:rFonts w:ascii="Arial"/>
          <w:color w:val="auto"/>
          <w:sz w:val="21"/>
          <w:highlight w:val="none"/>
        </w:rPr>
      </w:pPr>
    </w:p>
    <w:p w14:paraId="5EA59845">
      <w:pPr>
        <w:spacing w:line="259" w:lineRule="auto"/>
        <w:rPr>
          <w:rFonts w:ascii="Arial"/>
          <w:color w:val="auto"/>
          <w:sz w:val="21"/>
          <w:highlight w:val="none"/>
        </w:rPr>
      </w:pPr>
    </w:p>
    <w:p w14:paraId="12884C73">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z w:val="19"/>
          <w:szCs w:val="19"/>
          <w:highlight w:val="none"/>
        </w:rPr>
        <w:t>17.2</w:t>
      </w:r>
      <w:r>
        <w:rPr>
          <w:rFonts w:ascii="宋体" w:hAnsi="宋体" w:eastAsia="宋体" w:cs="宋体"/>
          <w:color w:val="auto"/>
          <w:spacing w:val="-27"/>
          <w:sz w:val="19"/>
          <w:szCs w:val="19"/>
          <w:highlight w:val="none"/>
        </w:rPr>
        <w:t xml:space="preserve"> </w:t>
      </w:r>
      <w:r>
        <w:rPr>
          <w:rFonts w:ascii="宋体" w:hAnsi="宋体" w:eastAsia="宋体" w:cs="宋体"/>
          <w:b/>
          <w:bCs/>
          <w:color w:val="auto"/>
          <w:sz w:val="19"/>
          <w:szCs w:val="19"/>
          <w:highlight w:val="none"/>
        </w:rPr>
        <w:t>预付款</w:t>
      </w:r>
    </w:p>
    <w:p w14:paraId="322EA59D">
      <w:pPr>
        <w:spacing w:before="214" w:line="228"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17.2.1</w:t>
      </w:r>
      <w:r>
        <w:rPr>
          <w:rFonts w:ascii="宋体" w:hAnsi="宋体" w:eastAsia="宋体" w:cs="宋体"/>
          <w:color w:val="auto"/>
          <w:spacing w:val="-27"/>
          <w:sz w:val="19"/>
          <w:szCs w:val="19"/>
          <w:highlight w:val="none"/>
        </w:rPr>
        <w:t xml:space="preserve"> </w:t>
      </w:r>
      <w:r>
        <w:rPr>
          <w:rFonts w:ascii="宋体" w:hAnsi="宋体" w:eastAsia="宋体" w:cs="宋体"/>
          <w:color w:val="auto"/>
          <w:spacing w:val="2"/>
          <w:sz w:val="19"/>
          <w:szCs w:val="19"/>
          <w:highlight w:val="none"/>
        </w:rPr>
        <w:t>预付款</w:t>
      </w:r>
    </w:p>
    <w:p w14:paraId="335DFCFF">
      <w:pPr>
        <w:spacing w:before="229" w:line="228" w:lineRule="auto"/>
        <w:ind w:left="43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（1）工程预付款的总金额：</w:t>
      </w:r>
      <w:r>
        <w:rPr>
          <w:rFonts w:ascii="宋体" w:hAnsi="宋体" w:eastAsia="宋体" w:cs="宋体"/>
          <w:color w:val="auto"/>
          <w:spacing w:val="7"/>
          <w:sz w:val="19"/>
          <w:szCs w:val="19"/>
          <w:highlight w:val="none"/>
          <w:u w:val="single" w:color="auto"/>
        </w:rPr>
        <w:t xml:space="preserve">   合同金额的</w:t>
      </w:r>
      <w:r>
        <w:rPr>
          <w:rFonts w:ascii="宋体" w:hAnsi="宋体" w:eastAsia="宋体" w:cs="宋体"/>
          <w:color w:val="auto"/>
          <w:spacing w:val="-33"/>
          <w:sz w:val="19"/>
          <w:szCs w:val="19"/>
          <w:highlight w:val="none"/>
          <w:u w:val="single" w:color="auto"/>
        </w:rPr>
        <w:t xml:space="preserve"> </w:t>
      </w:r>
      <w:r>
        <w:rPr>
          <w:rFonts w:ascii="宋体" w:hAnsi="宋体" w:eastAsia="宋体" w:cs="宋体"/>
          <w:color w:val="auto"/>
          <w:spacing w:val="7"/>
          <w:sz w:val="19"/>
          <w:szCs w:val="19"/>
          <w:highlight w:val="none"/>
          <w:u w:val="single" w:color="auto"/>
        </w:rPr>
        <w:t>30</w:t>
      </w:r>
      <w:r>
        <w:rPr>
          <w:rFonts w:ascii="宋体" w:hAnsi="宋体" w:eastAsia="宋体" w:cs="宋体"/>
          <w:color w:val="auto"/>
          <w:spacing w:val="6"/>
          <w:sz w:val="19"/>
          <w:szCs w:val="19"/>
          <w:highlight w:val="none"/>
          <w:u w:val="single" w:color="auto"/>
        </w:rPr>
        <w:t>%</w:t>
      </w:r>
      <w:r>
        <w:rPr>
          <w:rFonts w:ascii="宋体" w:hAnsi="宋体" w:eastAsia="宋体" w:cs="宋体"/>
          <w:color w:val="auto"/>
          <w:spacing w:val="13"/>
          <w:sz w:val="19"/>
          <w:szCs w:val="19"/>
          <w:highlight w:val="none"/>
          <w:u w:val="single" w:color="auto"/>
        </w:rPr>
        <w:t xml:space="preserve">    </w:t>
      </w:r>
      <w:r>
        <w:rPr>
          <w:rFonts w:ascii="宋体" w:hAnsi="宋体" w:eastAsia="宋体" w:cs="宋体"/>
          <w:color w:val="auto"/>
          <w:spacing w:val="6"/>
          <w:sz w:val="19"/>
          <w:szCs w:val="19"/>
          <w:highlight w:val="none"/>
          <w:u w:val="single" w:color="auto"/>
        </w:rPr>
        <w:t>。</w:t>
      </w:r>
    </w:p>
    <w:p w14:paraId="25183FC0">
      <w:pPr>
        <w:spacing w:before="117" w:line="306" w:lineRule="auto"/>
        <w:ind w:left="459" w:right="2226" w:hanging="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（1）工程材料预付款的额度和预付办法约定为：</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u w:val="single" w:color="auto"/>
        </w:rPr>
        <w:t>双方另行协商</w:t>
      </w:r>
      <w:r>
        <w:rPr>
          <w:rFonts w:ascii="宋体" w:hAnsi="宋体" w:eastAsia="宋体" w:cs="宋体"/>
          <w:color w:val="auto"/>
          <w:spacing w:val="6"/>
          <w:sz w:val="19"/>
          <w:szCs w:val="19"/>
          <w:highlight w:val="none"/>
        </w:rPr>
        <w:t>。</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17.2.2</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预付款保函(担保)</w:t>
      </w:r>
    </w:p>
    <w:p w14:paraId="73B5BFF7">
      <w:pPr>
        <w:spacing w:before="249" w:line="228" w:lineRule="auto"/>
        <w:ind w:left="48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(2)工程材料预付款的担保约定为：</w:t>
      </w:r>
      <w:r>
        <w:rPr>
          <w:rFonts w:ascii="宋体" w:hAnsi="宋体" w:eastAsia="宋体" w:cs="宋体"/>
          <w:color w:val="auto"/>
          <w:spacing w:val="-47"/>
          <w:sz w:val="19"/>
          <w:szCs w:val="19"/>
          <w:highlight w:val="none"/>
        </w:rPr>
        <w:t xml:space="preserve">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4"/>
          <w:sz w:val="19"/>
          <w:szCs w:val="19"/>
          <w:highlight w:val="none"/>
        </w:rPr>
        <w:t>。</w:t>
      </w:r>
    </w:p>
    <w:p w14:paraId="3B99341D">
      <w:pPr>
        <w:spacing w:line="228" w:lineRule="auto"/>
        <w:rPr>
          <w:rFonts w:ascii="宋体" w:hAnsi="宋体" w:eastAsia="宋体" w:cs="宋体"/>
          <w:color w:val="auto"/>
          <w:sz w:val="19"/>
          <w:szCs w:val="19"/>
          <w:highlight w:val="none"/>
        </w:rPr>
      </w:pPr>
    </w:p>
    <w:p w14:paraId="0BCB5C31">
      <w:pPr>
        <w:spacing w:line="251" w:lineRule="auto"/>
        <w:rPr>
          <w:rFonts w:ascii="Arial"/>
          <w:color w:val="auto"/>
          <w:sz w:val="21"/>
          <w:highlight w:val="none"/>
        </w:rPr>
      </w:pPr>
    </w:p>
    <w:p w14:paraId="3830AB41">
      <w:pPr>
        <w:spacing w:before="62"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17.2.3</w:t>
      </w:r>
      <w:r>
        <w:rPr>
          <w:rFonts w:ascii="宋体" w:hAnsi="宋体" w:eastAsia="宋体" w:cs="宋体"/>
          <w:color w:val="auto"/>
          <w:spacing w:val="-26"/>
          <w:sz w:val="19"/>
          <w:szCs w:val="19"/>
          <w:highlight w:val="none"/>
        </w:rPr>
        <w:t xml:space="preserve"> </w:t>
      </w:r>
      <w:r>
        <w:rPr>
          <w:rFonts w:ascii="宋体" w:hAnsi="宋体" w:eastAsia="宋体" w:cs="宋体"/>
          <w:color w:val="auto"/>
          <w:spacing w:val="5"/>
          <w:sz w:val="19"/>
          <w:szCs w:val="19"/>
          <w:highlight w:val="none"/>
        </w:rPr>
        <w:t>预付款的扣回与还清</w:t>
      </w:r>
    </w:p>
    <w:p w14:paraId="2A06B1A4">
      <w:pPr>
        <w:spacing w:before="250" w:line="327" w:lineRule="auto"/>
        <w:ind w:left="25" w:right="19" w:firstLine="44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工程预付款在合同累计完成金额达到签约合同价格的</w:t>
      </w:r>
      <w:r>
        <w:rPr>
          <w:rFonts w:hint="eastAsia" w:ascii="宋体" w:hAnsi="宋体" w:eastAsia="宋体" w:cs="宋体"/>
          <w:color w:val="auto"/>
          <w:spacing w:val="7"/>
          <w:sz w:val="19"/>
          <w:szCs w:val="19"/>
          <w:highlight w:val="none"/>
          <w:u w:val="single"/>
          <w:lang w:val="en-US" w:eastAsia="zh-CN"/>
        </w:rPr>
        <w:t>3</w:t>
      </w:r>
      <w:r>
        <w:rPr>
          <w:rFonts w:ascii="宋体" w:hAnsi="宋体" w:eastAsia="宋体" w:cs="宋体"/>
          <w:color w:val="auto"/>
          <w:spacing w:val="7"/>
          <w:sz w:val="19"/>
          <w:szCs w:val="19"/>
          <w:highlight w:val="none"/>
          <w:u w:val="single"/>
        </w:rPr>
        <w:t>0%</w:t>
      </w:r>
      <w:r>
        <w:rPr>
          <w:rFonts w:ascii="宋体" w:hAnsi="宋体" w:eastAsia="宋体" w:cs="宋体"/>
          <w:color w:val="auto"/>
          <w:spacing w:val="7"/>
          <w:sz w:val="19"/>
          <w:szCs w:val="19"/>
          <w:highlight w:val="none"/>
        </w:rPr>
        <w:t>时</w:t>
      </w:r>
      <w:r>
        <w:rPr>
          <w:rFonts w:ascii="宋体" w:hAnsi="宋体" w:eastAsia="宋体" w:cs="宋体"/>
          <w:color w:val="auto"/>
          <w:spacing w:val="6"/>
          <w:sz w:val="19"/>
          <w:szCs w:val="19"/>
          <w:highlight w:val="none"/>
        </w:rPr>
        <w:t>开始扣款，直至合同累计完成金</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额达到签约合同价的</w:t>
      </w:r>
      <w:r>
        <w:rPr>
          <w:rFonts w:hint="eastAsia" w:ascii="宋体" w:hAnsi="宋体" w:eastAsia="宋体" w:cs="宋体"/>
          <w:color w:val="auto"/>
          <w:spacing w:val="7"/>
          <w:sz w:val="19"/>
          <w:szCs w:val="19"/>
          <w:highlight w:val="none"/>
          <w:u w:val="single"/>
          <w:lang w:val="en-US" w:eastAsia="zh-CN"/>
        </w:rPr>
        <w:t>90</w:t>
      </w:r>
      <w:r>
        <w:rPr>
          <w:rFonts w:ascii="宋体" w:hAnsi="宋体" w:eastAsia="宋体" w:cs="宋体"/>
          <w:color w:val="auto"/>
          <w:spacing w:val="7"/>
          <w:sz w:val="19"/>
          <w:szCs w:val="19"/>
          <w:highlight w:val="none"/>
          <w:u w:val="single"/>
        </w:rPr>
        <w:t>%</w:t>
      </w:r>
      <w:r>
        <w:rPr>
          <w:rFonts w:ascii="宋体" w:hAnsi="宋体" w:eastAsia="宋体" w:cs="宋体"/>
          <w:color w:val="auto"/>
          <w:spacing w:val="7"/>
          <w:sz w:val="19"/>
          <w:szCs w:val="19"/>
          <w:highlight w:val="none"/>
        </w:rPr>
        <w:t>时全部扣清。</w:t>
      </w:r>
    </w:p>
    <w:p w14:paraId="40D11A31">
      <w:pPr>
        <w:spacing w:before="144" w:line="520" w:lineRule="exact"/>
        <w:ind w:left="1319"/>
        <w:rPr>
          <w:color w:val="auto"/>
          <w:highlight w:val="none"/>
        </w:rPr>
      </w:pPr>
      <w:r>
        <w:rPr>
          <w:color w:val="auto"/>
          <w:position w:val="-10"/>
          <w:highlight w:val="none"/>
        </w:rPr>
        <w:drawing>
          <wp:inline distT="0" distB="0" distL="0" distR="0">
            <wp:extent cx="1551940" cy="329565"/>
            <wp:effectExtent l="0" t="0" r="10160" b="1333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6"/>
                    <a:stretch>
                      <a:fillRect/>
                    </a:stretch>
                  </pic:blipFill>
                  <pic:spPr>
                    <a:xfrm>
                      <a:off x="0" y="0"/>
                      <a:ext cx="1552370" cy="330188"/>
                    </a:xfrm>
                    <a:prstGeom prst="rect">
                      <a:avLst/>
                    </a:prstGeom>
                  </pic:spPr>
                </pic:pic>
              </a:graphicData>
            </a:graphic>
          </wp:inline>
        </w:drawing>
      </w:r>
    </w:p>
    <w:p w14:paraId="5D142FD5">
      <w:pPr>
        <w:spacing w:line="351" w:lineRule="auto"/>
        <w:rPr>
          <w:rFonts w:ascii="Arial"/>
          <w:color w:val="auto"/>
          <w:sz w:val="21"/>
          <w:highlight w:val="none"/>
        </w:rPr>
      </w:pPr>
    </w:p>
    <w:p w14:paraId="6F200B36">
      <w:pPr>
        <w:spacing w:before="62" w:line="326" w:lineRule="auto"/>
        <w:ind w:left="439" w:right="3846" w:firstLine="1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式中：R——每次进度付款中累计扣回的金额；</w:t>
      </w:r>
      <w:r>
        <w:rPr>
          <w:rFonts w:ascii="宋体" w:hAnsi="宋体" w:eastAsia="宋体" w:cs="宋体"/>
          <w:color w:val="auto"/>
          <w:spacing w:val="10"/>
          <w:sz w:val="19"/>
          <w:szCs w:val="19"/>
          <w:highlight w:val="none"/>
        </w:rPr>
        <w:t xml:space="preserve"> </w:t>
      </w:r>
      <w:r>
        <w:rPr>
          <w:rFonts w:ascii="宋体" w:hAnsi="宋体" w:eastAsia="宋体" w:cs="宋体"/>
          <w:color w:val="auto"/>
          <w:spacing w:val="5"/>
          <w:sz w:val="19"/>
          <w:szCs w:val="19"/>
          <w:highlight w:val="none"/>
        </w:rPr>
        <w:t>A——工程预付款总金额；</w:t>
      </w:r>
    </w:p>
    <w:p w14:paraId="55524783">
      <w:pPr>
        <w:spacing w:before="30" w:line="227"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S——签约合同价格；</w:t>
      </w:r>
    </w:p>
    <w:p w14:paraId="160834B4">
      <w:pPr>
        <w:spacing w:before="115" w:line="228" w:lineRule="auto"/>
        <w:ind w:left="44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C——合同累计完成金额；</w:t>
      </w:r>
    </w:p>
    <w:p w14:paraId="6B56D301">
      <w:pPr>
        <w:spacing w:before="115" w:line="333" w:lineRule="auto"/>
        <w:ind w:left="442" w:right="232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F</w:t>
      </w:r>
      <w:r>
        <w:rPr>
          <w:rFonts w:ascii="宋体" w:hAnsi="宋体" w:eastAsia="宋体" w:cs="宋体"/>
          <w:color w:val="auto"/>
          <w:spacing w:val="7"/>
          <w:sz w:val="10"/>
          <w:szCs w:val="10"/>
          <w:highlight w:val="none"/>
        </w:rPr>
        <w:t>1</w:t>
      </w:r>
      <w:r>
        <w:rPr>
          <w:rFonts w:ascii="宋体" w:hAnsi="宋体" w:eastAsia="宋体" w:cs="宋体"/>
          <w:color w:val="auto"/>
          <w:spacing w:val="7"/>
          <w:sz w:val="19"/>
          <w:szCs w:val="19"/>
          <w:highlight w:val="none"/>
        </w:rPr>
        <w:t>——开始扣款时合同累计完成金额达到签约合同价格的比例；</w:t>
      </w:r>
      <w:r>
        <w:rPr>
          <w:rFonts w:ascii="宋体" w:hAnsi="宋体" w:eastAsia="宋体" w:cs="宋体"/>
          <w:color w:val="auto"/>
          <w:spacing w:val="10"/>
          <w:sz w:val="19"/>
          <w:szCs w:val="19"/>
          <w:highlight w:val="none"/>
        </w:rPr>
        <w:t xml:space="preserve"> </w:t>
      </w:r>
      <w:r>
        <w:rPr>
          <w:rFonts w:ascii="宋体" w:hAnsi="宋体" w:eastAsia="宋体" w:cs="宋体"/>
          <w:color w:val="auto"/>
          <w:spacing w:val="8"/>
          <w:sz w:val="19"/>
          <w:szCs w:val="19"/>
          <w:highlight w:val="none"/>
        </w:rPr>
        <w:t>F</w:t>
      </w:r>
      <w:r>
        <w:rPr>
          <w:rFonts w:ascii="宋体" w:hAnsi="宋体" w:eastAsia="宋体" w:cs="宋体"/>
          <w:color w:val="auto"/>
          <w:spacing w:val="8"/>
          <w:sz w:val="10"/>
          <w:szCs w:val="10"/>
          <w:highlight w:val="none"/>
        </w:rPr>
        <w:t>2</w:t>
      </w:r>
      <w:r>
        <w:rPr>
          <w:rFonts w:ascii="宋体" w:hAnsi="宋体" w:eastAsia="宋体" w:cs="宋体"/>
          <w:color w:val="auto"/>
          <w:spacing w:val="8"/>
          <w:sz w:val="19"/>
          <w:szCs w:val="19"/>
          <w:highlight w:val="none"/>
        </w:rPr>
        <w:t>——全部扣清时合同累计完成金额达到签约合同价格的比</w:t>
      </w:r>
      <w:r>
        <w:rPr>
          <w:rFonts w:ascii="宋体" w:hAnsi="宋体" w:eastAsia="宋体" w:cs="宋体"/>
          <w:color w:val="auto"/>
          <w:spacing w:val="7"/>
          <w:sz w:val="19"/>
          <w:szCs w:val="19"/>
          <w:highlight w:val="none"/>
        </w:rPr>
        <w:t>例。</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上述合同累计完成金额均指价格调整前未扣质量保证金的金额。</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工程材料预付款的扣回与还清约定为：</w:t>
      </w:r>
      <w:r>
        <w:rPr>
          <w:rFonts w:ascii="宋体" w:hAnsi="宋体" w:eastAsia="宋体" w:cs="宋体"/>
          <w:color w:val="auto"/>
          <w:spacing w:val="8"/>
          <w:sz w:val="19"/>
          <w:szCs w:val="19"/>
          <w:highlight w:val="none"/>
          <w:u w:val="single" w:color="auto"/>
        </w:rPr>
        <w:t>/</w:t>
      </w:r>
      <w:r>
        <w:rPr>
          <w:rFonts w:ascii="宋体" w:hAnsi="宋体" w:eastAsia="宋体" w:cs="宋体"/>
          <w:color w:val="auto"/>
          <w:spacing w:val="8"/>
          <w:sz w:val="19"/>
          <w:szCs w:val="19"/>
          <w:highlight w:val="none"/>
        </w:rPr>
        <w:t>。</w:t>
      </w:r>
    </w:p>
    <w:p w14:paraId="6B3F3047">
      <w:pPr>
        <w:spacing w:before="149" w:line="325" w:lineRule="auto"/>
        <w:ind w:left="24" w:right="96"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备注：发包人支付的预付款及工程进度款应为本工程的专款专用资金，</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不得转移或用于其</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他工程。发包人提出的承包人须与发包人、本</w:t>
      </w:r>
      <w:r>
        <w:rPr>
          <w:rFonts w:ascii="宋体" w:hAnsi="宋体" w:eastAsia="宋体" w:cs="宋体"/>
          <w:color w:val="auto"/>
          <w:spacing w:val="8"/>
          <w:sz w:val="19"/>
          <w:szCs w:val="19"/>
          <w:highlight w:val="none"/>
        </w:rPr>
        <w:t>工程开户银行共同签订《工程资金监管协议》，</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接受发包人和银行对资金监管的要求，承包人须无条件配合。发包人有权</w:t>
      </w:r>
      <w:r>
        <w:rPr>
          <w:rFonts w:ascii="宋体" w:hAnsi="宋体" w:eastAsia="宋体" w:cs="宋体"/>
          <w:color w:val="auto"/>
          <w:spacing w:val="9"/>
          <w:sz w:val="19"/>
          <w:szCs w:val="19"/>
          <w:highlight w:val="none"/>
        </w:rPr>
        <w:t>不定期对承包人工程</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资金使用情况进行检查，发现问题及时责令承包人限期改正，否</w:t>
      </w:r>
      <w:r>
        <w:rPr>
          <w:rFonts w:ascii="宋体" w:hAnsi="宋体" w:eastAsia="宋体" w:cs="宋体"/>
          <w:color w:val="auto"/>
          <w:spacing w:val="9"/>
          <w:sz w:val="19"/>
          <w:szCs w:val="19"/>
          <w:highlight w:val="none"/>
        </w:rPr>
        <w:t>则，将终止月支付，直至承包</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人改正为止。</w:t>
      </w:r>
    </w:p>
    <w:p w14:paraId="14528721">
      <w:pPr>
        <w:spacing w:before="1"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17.3</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工程进度付款</w:t>
      </w:r>
    </w:p>
    <w:p w14:paraId="5F8790CD">
      <w:pPr>
        <w:spacing w:before="214"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17.3.2</w:t>
      </w:r>
      <w:r>
        <w:rPr>
          <w:rFonts w:ascii="宋体" w:hAnsi="宋体" w:eastAsia="宋体" w:cs="宋体"/>
          <w:color w:val="auto"/>
          <w:spacing w:val="-37"/>
          <w:sz w:val="19"/>
          <w:szCs w:val="19"/>
          <w:highlight w:val="none"/>
        </w:rPr>
        <w:t xml:space="preserve"> </w:t>
      </w:r>
      <w:r>
        <w:rPr>
          <w:rFonts w:ascii="宋体" w:hAnsi="宋体" w:eastAsia="宋体" w:cs="宋体"/>
          <w:color w:val="auto"/>
          <w:spacing w:val="5"/>
          <w:sz w:val="19"/>
          <w:szCs w:val="19"/>
          <w:highlight w:val="none"/>
        </w:rPr>
        <w:t>进度付款申请单</w:t>
      </w:r>
    </w:p>
    <w:p w14:paraId="26673F72">
      <w:pPr>
        <w:spacing w:before="221" w:line="311" w:lineRule="auto"/>
        <w:ind w:left="460" w:right="166" w:firstLine="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承包人提交进度付款申请单的份数：</w:t>
      </w:r>
      <w:r>
        <w:rPr>
          <w:rFonts w:ascii="宋体" w:hAnsi="宋体" w:eastAsia="宋体" w:cs="宋体"/>
          <w:color w:val="auto"/>
          <w:spacing w:val="-52"/>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2"/>
          <w:sz w:val="19"/>
          <w:szCs w:val="19"/>
          <w:highlight w:val="none"/>
          <w:u w:val="single" w:color="auto"/>
        </w:rPr>
        <w:t xml:space="preserve">   </w:t>
      </w:r>
      <w:r>
        <w:rPr>
          <w:rFonts w:hint="eastAsia" w:ascii="宋体" w:hAnsi="宋体" w:eastAsia="宋体" w:cs="宋体"/>
          <w:color w:val="auto"/>
          <w:spacing w:val="2"/>
          <w:sz w:val="19"/>
          <w:szCs w:val="19"/>
          <w:highlight w:val="none"/>
          <w:u w:val="single" w:color="auto"/>
          <w:lang w:val="en-US" w:eastAsia="zh-CN"/>
        </w:rPr>
        <w:t>5</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83"/>
          <w:sz w:val="19"/>
          <w:szCs w:val="19"/>
          <w:highlight w:val="none"/>
        </w:rPr>
        <w:t xml:space="preserve"> </w:t>
      </w:r>
      <w:r>
        <w:rPr>
          <w:rFonts w:ascii="宋体" w:hAnsi="宋体" w:eastAsia="宋体" w:cs="宋体"/>
          <w:color w:val="auto"/>
          <w:spacing w:val="7"/>
          <w:sz w:val="19"/>
          <w:szCs w:val="19"/>
          <w:highlight w:val="none"/>
        </w:rPr>
        <w:t>在签订</w:t>
      </w:r>
      <w:r>
        <w:rPr>
          <w:rFonts w:ascii="宋体" w:hAnsi="宋体" w:eastAsia="宋体" w:cs="宋体"/>
          <w:color w:val="auto"/>
          <w:spacing w:val="6"/>
          <w:sz w:val="19"/>
          <w:szCs w:val="19"/>
          <w:highlight w:val="none"/>
        </w:rPr>
        <w:t>施工承包合同时约定</w:t>
      </w:r>
      <w:r>
        <w:rPr>
          <w:rFonts w:ascii="宋体" w:hAnsi="宋体" w:eastAsia="宋体" w:cs="宋体"/>
          <w:color w:val="auto"/>
          <w:spacing w:val="-91"/>
          <w:sz w:val="19"/>
          <w:szCs w:val="19"/>
          <w:highlight w:val="none"/>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r>
        <w:rPr>
          <w:rFonts w:hint="eastAsia" w:ascii="宋体" w:hAnsi="宋体" w:eastAsia="宋体" w:cs="宋体"/>
          <w:color w:val="auto"/>
          <w:spacing w:val="1"/>
          <w:sz w:val="19"/>
          <w:szCs w:val="19"/>
          <w:highlight w:val="none"/>
          <w:u w:val="single" w:color="auto"/>
          <w:lang w:val="en-US" w:eastAsia="zh-CN"/>
        </w:rPr>
        <w:t>5</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6"/>
          <w:sz w:val="19"/>
          <w:szCs w:val="19"/>
          <w:highlight w:val="none"/>
        </w:rPr>
        <w:t>。</w:t>
      </w:r>
      <w:r>
        <w:rPr>
          <w:rFonts w:ascii="宋体" w:hAnsi="宋体" w:eastAsia="宋体" w:cs="宋体"/>
          <w:color w:val="auto"/>
          <w:spacing w:val="4"/>
          <w:sz w:val="19"/>
          <w:szCs w:val="19"/>
          <w:highlight w:val="none"/>
        </w:rPr>
        <w:t xml:space="preserve"> </w:t>
      </w:r>
    </w:p>
    <w:p w14:paraId="1BAD4B21">
      <w:pPr>
        <w:spacing w:before="221" w:line="311" w:lineRule="auto"/>
        <w:ind w:left="460" w:right="166" w:firstLine="4"/>
        <w:rPr>
          <w:rFonts w:ascii="宋体" w:hAnsi="宋体" w:eastAsia="宋体" w:cs="宋体"/>
          <w:color w:val="auto"/>
          <w:spacing w:val="6"/>
          <w:sz w:val="19"/>
          <w:szCs w:val="19"/>
          <w:highlight w:val="none"/>
        </w:rPr>
      </w:pPr>
      <w:r>
        <w:rPr>
          <w:rFonts w:ascii="宋体" w:hAnsi="宋体" w:eastAsia="宋体" w:cs="宋体"/>
          <w:color w:val="auto"/>
          <w:spacing w:val="6"/>
          <w:sz w:val="19"/>
          <w:szCs w:val="19"/>
          <w:highlight w:val="none"/>
        </w:rPr>
        <w:t>17.3.5 工程进度付款的支付比例</w:t>
      </w:r>
    </w:p>
    <w:p w14:paraId="20C2E694">
      <w:pPr>
        <w:spacing w:before="50" w:line="333" w:lineRule="auto"/>
        <w:ind w:left="26" w:right="18" w:firstLine="473"/>
        <w:rPr>
          <w:rFonts w:hint="eastAsia" w:ascii="宋体" w:hAnsi="宋体" w:eastAsia="宋体" w:cs="宋体"/>
          <w:color w:val="auto"/>
          <w:spacing w:val="11"/>
          <w:sz w:val="19"/>
          <w:szCs w:val="19"/>
          <w:highlight w:val="none"/>
          <w:lang w:val="en-US" w:eastAsia="zh-CN"/>
        </w:rPr>
      </w:pPr>
      <w:r>
        <w:rPr>
          <w:rFonts w:hint="eastAsia" w:ascii="宋体" w:hAnsi="宋体" w:eastAsia="宋体" w:cs="宋体"/>
          <w:color w:val="auto"/>
          <w:spacing w:val="11"/>
          <w:sz w:val="19"/>
          <w:szCs w:val="19"/>
          <w:highlight w:val="none"/>
          <w:lang w:val="en-US" w:eastAsia="zh-CN"/>
        </w:rPr>
        <w:t>合同内每个付款周期按实际完成工程量的</w:t>
      </w:r>
      <w:r>
        <w:rPr>
          <w:rFonts w:hint="eastAsia" w:ascii="宋体" w:hAnsi="宋体" w:eastAsia="宋体" w:cs="宋体"/>
          <w:color w:val="auto"/>
          <w:spacing w:val="11"/>
          <w:sz w:val="19"/>
          <w:szCs w:val="19"/>
          <w:highlight w:val="none"/>
          <w:lang w:val="en-US" w:eastAsia="zh-CN"/>
        </w:rPr>
        <w:t>90%</w:t>
      </w:r>
      <w:r>
        <w:rPr>
          <w:rFonts w:hint="eastAsia" w:ascii="宋体" w:hAnsi="宋体" w:eastAsia="宋体" w:cs="宋体"/>
          <w:color w:val="auto"/>
          <w:spacing w:val="11"/>
          <w:sz w:val="19"/>
          <w:szCs w:val="19"/>
          <w:highlight w:val="none"/>
          <w:lang w:val="en-US" w:eastAsia="zh-CN"/>
        </w:rPr>
        <w:t>支付工程进度款（其中拔付工程款中工人工资所占比例为30%，工人工资须拨付至农民工工资专户）， 在工程完工验收合格，结算经审计确认后支付至工程审计结算价的 97%。待本项目质量保修期满且工程无缺陷的，支付剩余 3%的质量保证金（无息）。</w:t>
      </w:r>
    </w:p>
    <w:p w14:paraId="6B7641E0">
      <w:pPr>
        <w:spacing w:before="50" w:line="333" w:lineRule="auto"/>
        <w:ind w:left="26" w:right="18" w:firstLine="473"/>
        <w:rPr>
          <w:rFonts w:ascii="宋体" w:hAnsi="宋体" w:eastAsia="宋体" w:cs="宋体"/>
          <w:b/>
          <w:bCs/>
          <w:color w:val="auto"/>
          <w:spacing w:val="11"/>
          <w:sz w:val="19"/>
          <w:szCs w:val="19"/>
          <w:highlight w:val="none"/>
        </w:rPr>
      </w:pPr>
      <w:r>
        <w:rPr>
          <w:rFonts w:ascii="宋体" w:hAnsi="宋体" w:eastAsia="宋体" w:cs="宋体"/>
          <w:b/>
          <w:bCs/>
          <w:color w:val="auto"/>
          <w:spacing w:val="11"/>
          <w:sz w:val="19"/>
          <w:szCs w:val="19"/>
          <w:highlight w:val="none"/>
        </w:rPr>
        <w:t>17.4 质量保证金</w:t>
      </w:r>
    </w:p>
    <w:p w14:paraId="577E9E77">
      <w:pPr>
        <w:spacing w:before="297" w:line="227" w:lineRule="auto"/>
        <w:ind w:left="479"/>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"17.4.1.1" </w:instrText>
      </w:r>
      <w:r>
        <w:rPr>
          <w:color w:val="auto"/>
          <w:highlight w:val="none"/>
        </w:rPr>
        <w:fldChar w:fldCharType="separate"/>
      </w:r>
      <w:r>
        <w:rPr>
          <w:rFonts w:ascii="宋体" w:hAnsi="宋体" w:eastAsia="宋体" w:cs="宋体"/>
          <w:color w:val="auto"/>
          <w:spacing w:val="7"/>
          <w:sz w:val="19"/>
          <w:szCs w:val="19"/>
          <w:highlight w:val="none"/>
        </w:rPr>
        <w:t>17.4.1.1</w:t>
      </w:r>
      <w:r>
        <w:rPr>
          <w:rFonts w:ascii="宋体" w:hAnsi="宋体" w:eastAsia="宋体" w:cs="宋体"/>
          <w:color w:val="auto"/>
          <w:spacing w:val="7"/>
          <w:sz w:val="19"/>
          <w:szCs w:val="19"/>
          <w:highlight w:val="none"/>
        </w:rPr>
        <w:fldChar w:fldCharType="end"/>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工程完工验收后，一次性扣留的质量保证金总额为工程价款结算总额的</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3%。</w:t>
      </w:r>
    </w:p>
    <w:p w14:paraId="61BEEBAC">
      <w:pPr>
        <w:spacing w:before="124" w:line="338" w:lineRule="auto"/>
        <w:ind w:left="27" w:right="21" w:firstLine="452"/>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"17.4.1.3" </w:instrText>
      </w:r>
      <w:r>
        <w:rPr>
          <w:color w:val="auto"/>
          <w:highlight w:val="none"/>
        </w:rPr>
        <w:fldChar w:fldCharType="separate"/>
      </w:r>
      <w:r>
        <w:rPr>
          <w:rFonts w:ascii="宋体" w:hAnsi="宋体" w:eastAsia="宋体" w:cs="宋体"/>
          <w:color w:val="auto"/>
          <w:spacing w:val="8"/>
          <w:sz w:val="19"/>
          <w:szCs w:val="19"/>
          <w:highlight w:val="none"/>
        </w:rPr>
        <w:t>17.4.1.3</w:t>
      </w:r>
      <w:r>
        <w:rPr>
          <w:rFonts w:ascii="宋体" w:hAnsi="宋体" w:eastAsia="宋体" w:cs="宋体"/>
          <w:color w:val="auto"/>
          <w:spacing w:val="8"/>
          <w:sz w:val="19"/>
          <w:szCs w:val="19"/>
          <w:highlight w:val="none"/>
        </w:rPr>
        <w:fldChar w:fldCharType="end"/>
      </w:r>
      <w:r>
        <w:rPr>
          <w:rFonts w:ascii="宋体" w:hAnsi="宋体" w:eastAsia="宋体" w:cs="宋体"/>
          <w:color w:val="auto"/>
          <w:spacing w:val="-22"/>
          <w:sz w:val="19"/>
          <w:szCs w:val="19"/>
          <w:highlight w:val="none"/>
        </w:rPr>
        <w:t xml:space="preserve"> </w:t>
      </w:r>
      <w:r>
        <w:rPr>
          <w:rFonts w:ascii="宋体" w:hAnsi="宋体" w:eastAsia="宋体" w:cs="宋体"/>
          <w:color w:val="auto"/>
          <w:spacing w:val="8"/>
          <w:sz w:val="19"/>
          <w:szCs w:val="19"/>
          <w:highlight w:val="none"/>
        </w:rPr>
        <w:t>在工程项目完工前，已经缴纳履约保证金的，发包人不得同时扣留工程质量保证</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金。</w:t>
      </w:r>
    </w:p>
    <w:p w14:paraId="1EC1B4FB">
      <w:pPr>
        <w:spacing w:before="176" w:line="228" w:lineRule="auto"/>
        <w:ind w:left="479"/>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17.5</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4"/>
          <w:sz w:val="19"/>
          <w:szCs w:val="19"/>
          <w:highlight w:val="none"/>
        </w:rPr>
        <w:t>竣工（完工）结算</w:t>
      </w:r>
    </w:p>
    <w:p w14:paraId="0A9A1813">
      <w:pPr>
        <w:spacing w:before="214"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17.5.1</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竣工（完工）付款申请单</w:t>
      </w:r>
    </w:p>
    <w:p w14:paraId="37040C1C">
      <w:pPr>
        <w:spacing w:line="228" w:lineRule="auto"/>
        <w:rPr>
          <w:rFonts w:ascii="宋体" w:hAnsi="宋体" w:eastAsia="宋体" w:cs="宋体"/>
          <w:color w:val="auto"/>
          <w:sz w:val="19"/>
          <w:szCs w:val="19"/>
          <w:highlight w:val="none"/>
        </w:rPr>
      </w:pPr>
    </w:p>
    <w:p w14:paraId="17AD61BE">
      <w:pPr>
        <w:spacing w:before="62" w:line="228" w:lineRule="auto"/>
        <w:ind w:left="455"/>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rPr>
        <w:t>承包人应提交竣工付款申请单份数：</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在签订施工承包合同时明确。</w:t>
      </w:r>
    </w:p>
    <w:p w14:paraId="50CA3A08">
      <w:pPr>
        <w:spacing w:before="154" w:line="228" w:lineRule="auto"/>
        <w:ind w:left="47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17.5.3</w:t>
      </w:r>
      <w:r>
        <w:rPr>
          <w:rFonts w:ascii="宋体" w:hAnsi="宋体" w:eastAsia="宋体" w:cs="宋体"/>
          <w:color w:val="auto"/>
          <w:spacing w:val="-9"/>
          <w:sz w:val="19"/>
          <w:szCs w:val="19"/>
          <w:highlight w:val="none"/>
        </w:rPr>
        <w:t xml:space="preserve"> </w:t>
      </w:r>
      <w:r>
        <w:rPr>
          <w:rFonts w:ascii="宋体" w:hAnsi="宋体" w:eastAsia="宋体" w:cs="宋体"/>
          <w:color w:val="auto"/>
          <w:spacing w:val="7"/>
          <w:sz w:val="19"/>
          <w:szCs w:val="19"/>
          <w:highlight w:val="none"/>
        </w:rPr>
        <w:t>除按通用合同条款所说的内容外，增加以下内容：最终结算以财政评审结果为准。</w:t>
      </w:r>
    </w:p>
    <w:p w14:paraId="1CCD4B7C">
      <w:pPr>
        <w:spacing w:before="154" w:line="228" w:lineRule="auto"/>
        <w:ind w:left="479"/>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17.6</w:t>
      </w:r>
      <w:r>
        <w:rPr>
          <w:rFonts w:ascii="宋体" w:hAnsi="宋体" w:eastAsia="宋体" w:cs="宋体"/>
          <w:color w:val="auto"/>
          <w:spacing w:val="-26"/>
          <w:sz w:val="19"/>
          <w:szCs w:val="19"/>
          <w:highlight w:val="none"/>
        </w:rPr>
        <w:t xml:space="preserve"> </w:t>
      </w:r>
      <w:r>
        <w:rPr>
          <w:rFonts w:ascii="宋体" w:hAnsi="宋体" w:eastAsia="宋体" w:cs="宋体"/>
          <w:b/>
          <w:bCs/>
          <w:color w:val="auto"/>
          <w:spacing w:val="1"/>
          <w:sz w:val="19"/>
          <w:szCs w:val="19"/>
          <w:highlight w:val="none"/>
        </w:rPr>
        <w:t>最终结清</w:t>
      </w:r>
    </w:p>
    <w:p w14:paraId="728CB04E">
      <w:pPr>
        <w:spacing w:before="154" w:line="228" w:lineRule="auto"/>
        <w:ind w:left="46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17.6.1</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最终结清申请单</w:t>
      </w:r>
    </w:p>
    <w:p w14:paraId="6117DEE6">
      <w:pPr>
        <w:spacing w:before="154" w:line="228" w:lineRule="auto"/>
        <w:ind w:left="455"/>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w:t>
      </w:r>
      <w:r>
        <w:rPr>
          <w:rFonts w:ascii="宋体" w:hAnsi="宋体" w:eastAsia="宋体" w:cs="宋体"/>
          <w:color w:val="auto"/>
          <w:spacing w:val="-57"/>
          <w:sz w:val="19"/>
          <w:szCs w:val="19"/>
          <w:highlight w:val="none"/>
        </w:rPr>
        <w:t xml:space="preserve"> </w:t>
      </w:r>
      <w:r>
        <w:rPr>
          <w:rFonts w:ascii="宋体" w:hAnsi="宋体" w:eastAsia="宋体" w:cs="宋体"/>
          <w:color w:val="auto"/>
          <w:spacing w:val="4"/>
          <w:sz w:val="19"/>
          <w:szCs w:val="19"/>
          <w:highlight w:val="none"/>
        </w:rPr>
        <w:t>承包人应提交最终结清申请单份数：</w:t>
      </w:r>
      <w:r>
        <w:rPr>
          <w:rFonts w:ascii="宋体" w:hAnsi="宋体" w:eastAsia="宋体" w:cs="宋体"/>
          <w:color w:val="auto"/>
          <w:spacing w:val="-61"/>
          <w:sz w:val="19"/>
          <w:szCs w:val="19"/>
          <w:highlight w:val="none"/>
        </w:rPr>
        <w:t xml:space="preserve">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3"/>
          <w:sz w:val="19"/>
          <w:szCs w:val="19"/>
          <w:highlight w:val="none"/>
          <w:u w:val="single" w:color="auto"/>
        </w:rPr>
        <w:t xml:space="preserve">       </w:t>
      </w:r>
      <w:r>
        <w:rPr>
          <w:rFonts w:ascii="宋体" w:hAnsi="宋体" w:eastAsia="宋体" w:cs="宋体"/>
          <w:color w:val="auto"/>
          <w:spacing w:val="3"/>
          <w:sz w:val="19"/>
          <w:szCs w:val="19"/>
          <w:highlight w:val="none"/>
        </w:rPr>
        <w:t>。</w:t>
      </w:r>
    </w:p>
    <w:p w14:paraId="5D1ADB24">
      <w:pPr>
        <w:spacing w:before="156"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17.7</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竣工财务决算</w:t>
      </w:r>
    </w:p>
    <w:p w14:paraId="7A9C8122">
      <w:pPr>
        <w:spacing w:before="244" w:line="228" w:lineRule="auto"/>
        <w:ind w:left="44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承包人应为竣工财务决算编制提供的资料：</w:t>
      </w:r>
      <w:r>
        <w:rPr>
          <w:rFonts w:ascii="宋体" w:hAnsi="宋体" w:eastAsia="宋体" w:cs="宋体"/>
          <w:color w:val="auto"/>
          <w:spacing w:val="-54"/>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7"/>
          <w:sz w:val="19"/>
          <w:szCs w:val="19"/>
          <w:highlight w:val="none"/>
        </w:rPr>
        <w:t>。</w:t>
      </w:r>
    </w:p>
    <w:p w14:paraId="4A9A84C3">
      <w:pPr>
        <w:spacing w:before="317"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18.</w:t>
      </w:r>
      <w:r>
        <w:rPr>
          <w:rFonts w:ascii="Cambria" w:hAnsi="Cambria" w:eastAsia="Cambria" w:cs="Cambria"/>
          <w:b/>
          <w:bCs/>
          <w:color w:val="auto"/>
          <w:spacing w:val="20"/>
          <w:sz w:val="31"/>
          <w:szCs w:val="31"/>
          <w:highlight w:val="none"/>
        </w:rPr>
        <w:t xml:space="preserve">  </w:t>
      </w:r>
      <w:r>
        <w:rPr>
          <w:rFonts w:ascii="宋体" w:hAnsi="宋体" w:eastAsia="宋体" w:cs="宋体"/>
          <w:b/>
          <w:bCs/>
          <w:color w:val="auto"/>
          <w:spacing w:val="2"/>
          <w:sz w:val="31"/>
          <w:szCs w:val="31"/>
          <w:highlight w:val="none"/>
        </w:rPr>
        <w:t>竣工验收（验收）</w:t>
      </w:r>
    </w:p>
    <w:p w14:paraId="369899AC">
      <w:pPr>
        <w:spacing w:line="259" w:lineRule="auto"/>
        <w:rPr>
          <w:rFonts w:ascii="Arial"/>
          <w:color w:val="auto"/>
          <w:sz w:val="21"/>
          <w:highlight w:val="none"/>
        </w:rPr>
      </w:pPr>
    </w:p>
    <w:p w14:paraId="11D13B12">
      <w:pPr>
        <w:spacing w:line="259" w:lineRule="auto"/>
        <w:rPr>
          <w:rFonts w:ascii="Arial"/>
          <w:color w:val="auto"/>
          <w:sz w:val="21"/>
          <w:highlight w:val="none"/>
        </w:rPr>
      </w:pPr>
    </w:p>
    <w:p w14:paraId="458B1DB0">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18.1</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验收工作分类</w:t>
      </w:r>
    </w:p>
    <w:p w14:paraId="2E172420">
      <w:pPr>
        <w:spacing w:before="214" w:line="363" w:lineRule="auto"/>
        <w:ind w:left="26" w:right="21" w:firstLine="43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根据《水利工程建设项目验收管理规定》（水利</w:t>
      </w:r>
      <w:r>
        <w:rPr>
          <w:rFonts w:ascii="宋体" w:hAnsi="宋体" w:eastAsia="宋体" w:cs="宋体"/>
          <w:color w:val="auto"/>
          <w:spacing w:val="7"/>
          <w:sz w:val="19"/>
          <w:szCs w:val="19"/>
          <w:highlight w:val="none"/>
        </w:rPr>
        <w:t>部令第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30</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号）和《水利水电建设工程验收</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规程》</w:t>
      </w:r>
      <w:r>
        <w:rPr>
          <w:rFonts w:ascii="宋体" w:hAnsi="宋体" w:eastAsia="宋体" w:cs="宋体"/>
          <w:color w:val="auto"/>
          <w:spacing w:val="-66"/>
          <w:sz w:val="19"/>
          <w:szCs w:val="19"/>
          <w:highlight w:val="none"/>
        </w:rPr>
        <w:t xml:space="preserve"> </w:t>
      </w:r>
      <w:r>
        <w:rPr>
          <w:rFonts w:ascii="宋体" w:hAnsi="宋体" w:eastAsia="宋体" w:cs="宋体"/>
          <w:color w:val="auto"/>
          <w:spacing w:val="3"/>
          <w:sz w:val="19"/>
          <w:szCs w:val="19"/>
          <w:highlight w:val="none"/>
        </w:rPr>
        <w:t>（</w:t>
      </w:r>
      <w:r>
        <w:rPr>
          <w:rFonts w:ascii="宋体" w:hAnsi="宋体" w:eastAsia="宋体" w:cs="宋体"/>
          <w:color w:val="auto"/>
          <w:sz w:val="19"/>
          <w:szCs w:val="19"/>
          <w:highlight w:val="none"/>
        </w:rPr>
        <w:t>SL</w:t>
      </w:r>
      <w:r>
        <w:rPr>
          <w:rFonts w:ascii="宋体" w:hAnsi="宋体" w:eastAsia="宋体" w:cs="宋体"/>
          <w:color w:val="auto"/>
          <w:spacing w:val="3"/>
          <w:sz w:val="19"/>
          <w:szCs w:val="19"/>
          <w:highlight w:val="none"/>
        </w:rPr>
        <w:t>223）2008）</w:t>
      </w:r>
      <w:r>
        <w:rPr>
          <w:rFonts w:ascii="宋体" w:hAnsi="宋体" w:eastAsia="宋体" w:cs="宋体"/>
          <w:color w:val="auto"/>
          <w:spacing w:val="-48"/>
          <w:sz w:val="19"/>
          <w:szCs w:val="19"/>
          <w:highlight w:val="none"/>
        </w:rPr>
        <w:t xml:space="preserve"> </w:t>
      </w:r>
      <w:r>
        <w:rPr>
          <w:rFonts w:ascii="宋体" w:hAnsi="宋体" w:eastAsia="宋体" w:cs="宋体"/>
          <w:color w:val="auto"/>
          <w:spacing w:val="3"/>
          <w:sz w:val="19"/>
          <w:szCs w:val="19"/>
          <w:highlight w:val="none"/>
        </w:rPr>
        <w:t>的相关规定执行。</w:t>
      </w:r>
    </w:p>
    <w:p w14:paraId="34BC7C65">
      <w:pPr>
        <w:spacing w:before="31"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18.2</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分部工程验收</w:t>
      </w:r>
    </w:p>
    <w:p w14:paraId="5702BC95">
      <w:pPr>
        <w:spacing w:before="153" w:line="363" w:lineRule="auto"/>
        <w:ind w:left="32" w:right="24" w:firstLine="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18.2.2</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本工程由发包人主持的分部工程验收为：</w:t>
      </w:r>
      <w:r>
        <w:rPr>
          <w:rFonts w:ascii="宋体" w:hAnsi="宋体" w:eastAsia="宋体" w:cs="宋体"/>
          <w:color w:val="auto"/>
          <w:spacing w:val="-40"/>
          <w:sz w:val="19"/>
          <w:szCs w:val="19"/>
          <w:highlight w:val="none"/>
        </w:rPr>
        <w:t xml:space="preserve"> </w:t>
      </w:r>
      <w:r>
        <w:rPr>
          <w:rFonts w:ascii="宋体" w:hAnsi="宋体" w:eastAsia="宋体" w:cs="宋体"/>
          <w:color w:val="auto"/>
          <w:spacing w:val="7"/>
          <w:sz w:val="19"/>
          <w:szCs w:val="19"/>
          <w:highlight w:val="none"/>
          <w:u w:val="single" w:color="auto"/>
        </w:rPr>
        <w:t>由发包人或委托监理人对分部工程主持验</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u w:val="single" w:color="auto"/>
        </w:rPr>
        <w:t>收</w:t>
      </w:r>
      <w:r>
        <w:rPr>
          <w:rFonts w:ascii="宋体" w:hAnsi="宋体" w:eastAsia="宋体" w:cs="宋体"/>
          <w:color w:val="auto"/>
          <w:spacing w:val="-3"/>
          <w:sz w:val="19"/>
          <w:szCs w:val="19"/>
          <w:highlight w:val="none"/>
        </w:rPr>
        <w:t>。</w:t>
      </w:r>
    </w:p>
    <w:p w14:paraId="45ED8368">
      <w:pPr>
        <w:spacing w:before="31"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18.3</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单位工程验收</w:t>
      </w:r>
    </w:p>
    <w:p w14:paraId="75AA57A2">
      <w:pPr>
        <w:spacing w:before="157"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18.3.4</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提前投入使用的单位工程包括：</w:t>
      </w:r>
      <w:r>
        <w:rPr>
          <w:rFonts w:ascii="宋体" w:hAnsi="宋体" w:eastAsia="宋体" w:cs="宋体"/>
          <w:color w:val="auto"/>
          <w:spacing w:val="3"/>
          <w:sz w:val="19"/>
          <w:szCs w:val="19"/>
          <w:highlight w:val="none"/>
          <w:u w:val="single" w:color="auto"/>
        </w:rPr>
        <w:t xml:space="preserve">                      </w:t>
      </w:r>
      <w:r>
        <w:rPr>
          <w:rFonts w:ascii="宋体" w:hAnsi="宋体" w:eastAsia="宋体" w:cs="宋体"/>
          <w:color w:val="auto"/>
          <w:spacing w:val="6"/>
          <w:sz w:val="19"/>
          <w:szCs w:val="19"/>
          <w:highlight w:val="none"/>
        </w:rPr>
        <w:t>。</w:t>
      </w:r>
    </w:p>
    <w:p w14:paraId="0353757F">
      <w:pPr>
        <w:spacing w:before="154" w:line="228" w:lineRule="auto"/>
        <w:ind w:left="479"/>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18.5</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1"/>
          <w:sz w:val="19"/>
          <w:szCs w:val="19"/>
          <w:highlight w:val="none"/>
        </w:rPr>
        <w:t>阶段验收</w:t>
      </w:r>
    </w:p>
    <w:p w14:paraId="15A833F2">
      <w:pPr>
        <w:spacing w:before="154"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18.5.1</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 xml:space="preserve">本合同工程阶段验收类别包括：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4"/>
          <w:sz w:val="19"/>
          <w:szCs w:val="19"/>
          <w:highlight w:val="none"/>
        </w:rPr>
        <w:t>。</w:t>
      </w:r>
    </w:p>
    <w:p w14:paraId="21203545">
      <w:pPr>
        <w:spacing w:before="155" w:line="228" w:lineRule="auto"/>
        <w:ind w:left="479"/>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18.6</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2"/>
          <w:sz w:val="19"/>
          <w:szCs w:val="19"/>
          <w:highlight w:val="none"/>
        </w:rPr>
        <w:t>专项验收</w:t>
      </w:r>
    </w:p>
    <w:p w14:paraId="4C15B8A6">
      <w:pPr>
        <w:spacing w:before="153"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18.6.2</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本合同工程专项验收类别包括：</w:t>
      </w:r>
      <w:r>
        <w:rPr>
          <w:rFonts w:ascii="宋体" w:hAnsi="宋体" w:eastAsia="宋体" w:cs="宋体"/>
          <w:color w:val="auto"/>
          <w:spacing w:val="3"/>
          <w:sz w:val="19"/>
          <w:szCs w:val="19"/>
          <w:highlight w:val="none"/>
          <w:u w:val="single" w:color="auto"/>
        </w:rPr>
        <w:t xml:space="preserve">                      </w:t>
      </w:r>
      <w:r>
        <w:rPr>
          <w:rFonts w:ascii="宋体" w:hAnsi="宋体" w:eastAsia="宋体" w:cs="宋体"/>
          <w:color w:val="auto"/>
          <w:spacing w:val="6"/>
          <w:sz w:val="19"/>
          <w:szCs w:val="19"/>
          <w:highlight w:val="none"/>
        </w:rPr>
        <w:t>。</w:t>
      </w:r>
    </w:p>
    <w:p w14:paraId="08B37233">
      <w:pPr>
        <w:spacing w:before="155" w:line="229" w:lineRule="auto"/>
        <w:ind w:left="479"/>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18.8</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2"/>
          <w:sz w:val="19"/>
          <w:szCs w:val="19"/>
          <w:highlight w:val="none"/>
        </w:rPr>
        <w:t>施工期运行</w:t>
      </w:r>
    </w:p>
    <w:p w14:paraId="3CB502C4">
      <w:pPr>
        <w:spacing w:before="153" w:line="229"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18.8.1</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需要在施工期运行的单位工程或工程设备为：</w:t>
      </w:r>
      <w:r>
        <w:rPr>
          <w:rFonts w:ascii="宋体" w:hAnsi="宋体" w:eastAsia="宋体" w:cs="宋体"/>
          <w:color w:val="auto"/>
          <w:spacing w:val="7"/>
          <w:sz w:val="19"/>
          <w:szCs w:val="19"/>
          <w:highlight w:val="none"/>
          <w:u w:val="single" w:color="auto"/>
        </w:rPr>
        <w:t xml:space="preserve">  </w:t>
      </w:r>
      <w:r>
        <w:rPr>
          <w:rFonts w:ascii="宋体" w:hAnsi="宋体" w:eastAsia="宋体" w:cs="宋体"/>
          <w:color w:val="auto"/>
          <w:spacing w:val="6"/>
          <w:sz w:val="19"/>
          <w:szCs w:val="19"/>
          <w:highlight w:val="none"/>
          <w:u w:val="single" w:color="auto"/>
        </w:rPr>
        <w:t xml:space="preserve">                    </w:t>
      </w:r>
      <w:r>
        <w:rPr>
          <w:rFonts w:ascii="宋体" w:hAnsi="宋体" w:eastAsia="宋体" w:cs="宋体"/>
          <w:color w:val="auto"/>
          <w:spacing w:val="6"/>
          <w:sz w:val="19"/>
          <w:szCs w:val="19"/>
          <w:highlight w:val="none"/>
        </w:rPr>
        <w:t>。</w:t>
      </w:r>
    </w:p>
    <w:p w14:paraId="6C46E59F">
      <w:pPr>
        <w:spacing w:before="153" w:line="229" w:lineRule="auto"/>
        <w:ind w:left="479"/>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18.9</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1"/>
          <w:sz w:val="19"/>
          <w:szCs w:val="19"/>
          <w:highlight w:val="none"/>
        </w:rPr>
        <w:t>试运行</w:t>
      </w:r>
    </w:p>
    <w:p w14:paraId="26394699">
      <w:pPr>
        <w:spacing w:before="154" w:line="228" w:lineRule="auto"/>
        <w:ind w:left="46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18. 9.1</w:t>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试运行的组织：</w:t>
      </w:r>
      <w:r>
        <w:rPr>
          <w:rFonts w:ascii="宋体" w:hAnsi="宋体" w:eastAsia="宋体" w:cs="宋体"/>
          <w:color w:val="auto"/>
          <w:spacing w:val="-27"/>
          <w:sz w:val="19"/>
          <w:szCs w:val="19"/>
          <w:highlight w:val="none"/>
        </w:rPr>
        <w:t xml:space="preserve"> </w:t>
      </w:r>
      <w:r>
        <w:rPr>
          <w:rFonts w:ascii="宋体" w:hAnsi="宋体" w:eastAsia="宋体" w:cs="宋体"/>
          <w:color w:val="auto"/>
          <w:spacing w:val="4"/>
          <w:sz w:val="19"/>
          <w:szCs w:val="19"/>
          <w:highlight w:val="none"/>
          <w:u w:val="single" w:color="auto"/>
        </w:rPr>
        <w:t>发包人组织</w:t>
      </w:r>
      <w:r>
        <w:rPr>
          <w:rFonts w:ascii="宋体" w:hAnsi="宋体" w:eastAsia="宋体" w:cs="宋体"/>
          <w:color w:val="auto"/>
          <w:spacing w:val="4"/>
          <w:sz w:val="19"/>
          <w:szCs w:val="19"/>
          <w:highlight w:val="none"/>
        </w:rPr>
        <w:t>；费用承担：</w:t>
      </w:r>
      <w:r>
        <w:rPr>
          <w:rFonts w:ascii="宋体" w:hAnsi="宋体" w:eastAsia="宋体" w:cs="宋体"/>
          <w:color w:val="auto"/>
          <w:spacing w:val="-54"/>
          <w:sz w:val="19"/>
          <w:szCs w:val="19"/>
          <w:highlight w:val="none"/>
        </w:rPr>
        <w:t xml:space="preserve"> </w:t>
      </w:r>
      <w:r>
        <w:rPr>
          <w:rFonts w:ascii="宋体" w:hAnsi="宋体" w:eastAsia="宋体" w:cs="宋体"/>
          <w:color w:val="auto"/>
          <w:spacing w:val="4"/>
          <w:sz w:val="19"/>
          <w:szCs w:val="19"/>
          <w:highlight w:val="none"/>
          <w:u w:val="single" w:color="auto"/>
        </w:rPr>
        <w:t>承包</w:t>
      </w:r>
      <w:r>
        <w:rPr>
          <w:rFonts w:ascii="宋体" w:hAnsi="宋体" w:eastAsia="宋体" w:cs="宋体"/>
          <w:color w:val="auto"/>
          <w:spacing w:val="3"/>
          <w:sz w:val="19"/>
          <w:szCs w:val="19"/>
          <w:highlight w:val="none"/>
          <w:u w:val="single" w:color="auto"/>
        </w:rPr>
        <w:t>人承担</w:t>
      </w:r>
      <w:r>
        <w:rPr>
          <w:rFonts w:ascii="宋体" w:hAnsi="宋体" w:eastAsia="宋体" w:cs="宋体"/>
          <w:color w:val="auto"/>
          <w:spacing w:val="3"/>
          <w:sz w:val="19"/>
          <w:szCs w:val="19"/>
          <w:highlight w:val="none"/>
        </w:rPr>
        <w:t>。</w:t>
      </w:r>
    </w:p>
    <w:p w14:paraId="0FDE0A89">
      <w:pPr>
        <w:spacing w:line="329" w:lineRule="auto"/>
        <w:rPr>
          <w:rFonts w:ascii="Arial"/>
          <w:color w:val="auto"/>
          <w:sz w:val="21"/>
          <w:highlight w:val="none"/>
        </w:rPr>
      </w:pPr>
    </w:p>
    <w:p w14:paraId="70093520">
      <w:pPr>
        <w:spacing w:before="101"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19.</w:t>
      </w:r>
      <w:r>
        <w:rPr>
          <w:rFonts w:ascii="Cambria" w:hAnsi="Cambria" w:eastAsia="Cambria" w:cs="Cambria"/>
          <w:b/>
          <w:bCs/>
          <w:color w:val="auto"/>
          <w:spacing w:val="23"/>
          <w:sz w:val="31"/>
          <w:szCs w:val="31"/>
          <w:highlight w:val="none"/>
        </w:rPr>
        <w:t xml:space="preserve">  </w:t>
      </w:r>
      <w:r>
        <w:rPr>
          <w:rFonts w:ascii="宋体" w:hAnsi="宋体" w:eastAsia="宋体" w:cs="宋体"/>
          <w:b/>
          <w:bCs/>
          <w:color w:val="auto"/>
          <w:spacing w:val="3"/>
          <w:sz w:val="31"/>
          <w:szCs w:val="31"/>
          <w:highlight w:val="none"/>
        </w:rPr>
        <w:t>缺陷责任与保修责任</w:t>
      </w:r>
    </w:p>
    <w:p w14:paraId="7C5B3120">
      <w:pPr>
        <w:spacing w:line="258" w:lineRule="auto"/>
        <w:rPr>
          <w:rFonts w:ascii="Arial"/>
          <w:color w:val="auto"/>
          <w:sz w:val="21"/>
          <w:highlight w:val="none"/>
        </w:rPr>
      </w:pPr>
    </w:p>
    <w:p w14:paraId="00E0C8A3">
      <w:pPr>
        <w:spacing w:line="259" w:lineRule="auto"/>
        <w:rPr>
          <w:rFonts w:ascii="Arial"/>
          <w:color w:val="auto"/>
          <w:sz w:val="21"/>
          <w:highlight w:val="none"/>
        </w:rPr>
      </w:pPr>
    </w:p>
    <w:p w14:paraId="7865F60A">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19.1</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4"/>
          <w:sz w:val="19"/>
          <w:szCs w:val="19"/>
          <w:highlight w:val="none"/>
        </w:rPr>
        <w:t>缺陷责任期（工程质量保修期）</w:t>
      </w:r>
      <w:r>
        <w:rPr>
          <w:rFonts w:ascii="宋体" w:hAnsi="宋体" w:eastAsia="宋体" w:cs="宋体"/>
          <w:color w:val="auto"/>
          <w:spacing w:val="-48"/>
          <w:sz w:val="19"/>
          <w:szCs w:val="19"/>
          <w:highlight w:val="none"/>
        </w:rPr>
        <w:t xml:space="preserve"> </w:t>
      </w:r>
      <w:r>
        <w:rPr>
          <w:rFonts w:ascii="宋体" w:hAnsi="宋体" w:eastAsia="宋体" w:cs="宋体"/>
          <w:b/>
          <w:bCs/>
          <w:color w:val="auto"/>
          <w:spacing w:val="4"/>
          <w:sz w:val="19"/>
          <w:szCs w:val="19"/>
          <w:highlight w:val="none"/>
        </w:rPr>
        <w:t>的起算时间</w:t>
      </w:r>
    </w:p>
    <w:p w14:paraId="2906671D">
      <w:pPr>
        <w:pStyle w:val="6"/>
        <w:spacing w:line="500" w:lineRule="exact"/>
        <w:ind w:firstLine="400" w:firstLineChars="200"/>
        <w:rPr>
          <w:rFonts w:hint="eastAsia" w:ascii="宋体" w:hAnsi="宋体" w:eastAsia="宋体" w:cs="宋体"/>
          <w:color w:val="auto"/>
          <w:sz w:val="21"/>
          <w:szCs w:val="21"/>
          <w:highlight w:val="none"/>
        </w:rPr>
      </w:pPr>
      <w:r>
        <w:rPr>
          <w:rFonts w:ascii="宋体" w:hAnsi="宋体" w:eastAsia="宋体" w:cs="宋体"/>
          <w:color w:val="auto"/>
          <w:spacing w:val="5"/>
          <w:sz w:val="19"/>
          <w:szCs w:val="19"/>
          <w:highlight w:val="none"/>
        </w:rPr>
        <w:t>本工程缺陷责任期（工程质量保修）</w:t>
      </w:r>
      <w:r>
        <w:rPr>
          <w:rFonts w:hint="eastAsia" w:ascii="宋体" w:hAnsi="宋体" w:eastAsia="宋体" w:cs="宋体"/>
          <w:color w:val="auto"/>
          <w:spacing w:val="5"/>
          <w:sz w:val="19"/>
          <w:szCs w:val="19"/>
          <w:highlight w:val="none"/>
        </w:rPr>
        <w:t>从</w:t>
      </w:r>
      <w:r>
        <w:rPr>
          <w:rFonts w:hint="eastAsia" w:ascii="宋体" w:hAnsi="宋体" w:eastAsia="宋体" w:cs="宋体"/>
          <w:color w:val="auto"/>
          <w:spacing w:val="5"/>
          <w:sz w:val="19"/>
          <w:szCs w:val="19"/>
          <w:highlight w:val="none"/>
          <w:u w:val="single"/>
        </w:rPr>
        <w:t>工程</w:t>
      </w:r>
      <w:r>
        <w:rPr>
          <w:rFonts w:hint="eastAsia" w:ascii="宋体" w:hAnsi="宋体" w:eastAsia="宋体" w:cs="宋体"/>
          <w:color w:val="auto"/>
          <w:spacing w:val="5"/>
          <w:sz w:val="19"/>
          <w:szCs w:val="19"/>
          <w:highlight w:val="none"/>
          <w:u w:val="single"/>
          <w:lang w:val="en-US" w:eastAsia="zh-CN"/>
        </w:rPr>
        <w:t>竣工</w:t>
      </w:r>
      <w:r>
        <w:rPr>
          <w:rFonts w:hint="eastAsia" w:ascii="宋体" w:hAnsi="宋体" w:eastAsia="宋体" w:cs="宋体"/>
          <w:color w:val="auto"/>
          <w:spacing w:val="5"/>
          <w:sz w:val="19"/>
          <w:szCs w:val="19"/>
          <w:highlight w:val="none"/>
          <w:u w:val="single"/>
        </w:rPr>
        <w:t>验收之日</w:t>
      </w:r>
      <w:r>
        <w:rPr>
          <w:rFonts w:hint="eastAsia" w:ascii="宋体" w:hAnsi="宋体" w:eastAsia="宋体" w:cs="宋体"/>
          <w:color w:val="auto"/>
          <w:spacing w:val="5"/>
          <w:sz w:val="19"/>
          <w:szCs w:val="19"/>
          <w:highlight w:val="none"/>
        </w:rPr>
        <w:t>算起，期限为：</w:t>
      </w:r>
      <w:r>
        <w:rPr>
          <w:rFonts w:hint="eastAsia" w:ascii="宋体" w:hAnsi="宋体" w:eastAsia="宋体" w:cs="宋体"/>
          <w:color w:val="auto"/>
          <w:spacing w:val="5"/>
          <w:sz w:val="19"/>
          <w:szCs w:val="19"/>
          <w:highlight w:val="none"/>
          <w:u w:val="single"/>
        </w:rPr>
        <w:t xml:space="preserve"> 壹 </w:t>
      </w:r>
      <w:r>
        <w:rPr>
          <w:rFonts w:hint="eastAsia" w:ascii="宋体" w:hAnsi="宋体" w:eastAsia="宋体" w:cs="宋体"/>
          <w:color w:val="auto"/>
          <w:spacing w:val="5"/>
          <w:sz w:val="19"/>
          <w:szCs w:val="19"/>
          <w:highlight w:val="none"/>
        </w:rPr>
        <w:t>年。</w:t>
      </w:r>
    </w:p>
    <w:p w14:paraId="739F2804">
      <w:pPr>
        <w:pStyle w:val="6"/>
        <w:rPr>
          <w:color w:val="auto"/>
          <w:highlight w:val="none"/>
        </w:rPr>
      </w:pPr>
    </w:p>
    <w:p w14:paraId="3028679E">
      <w:pPr>
        <w:spacing w:before="101" w:line="226" w:lineRule="auto"/>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20.</w:t>
      </w:r>
      <w:r>
        <w:rPr>
          <w:rFonts w:ascii="Cambria" w:hAnsi="Cambria" w:eastAsia="Cambria" w:cs="Cambria"/>
          <w:b/>
          <w:bCs/>
          <w:color w:val="auto"/>
          <w:spacing w:val="20"/>
          <w:sz w:val="31"/>
          <w:szCs w:val="31"/>
          <w:highlight w:val="none"/>
        </w:rPr>
        <w:t xml:space="preserve">  </w:t>
      </w:r>
      <w:r>
        <w:rPr>
          <w:rFonts w:ascii="宋体" w:hAnsi="宋体" w:eastAsia="宋体" w:cs="宋体"/>
          <w:b/>
          <w:bCs/>
          <w:color w:val="auto"/>
          <w:spacing w:val="-1"/>
          <w:sz w:val="31"/>
          <w:szCs w:val="31"/>
          <w:highlight w:val="none"/>
        </w:rPr>
        <w:t>保险</w:t>
      </w:r>
    </w:p>
    <w:p w14:paraId="5903AC7C">
      <w:pPr>
        <w:spacing w:line="258" w:lineRule="auto"/>
        <w:rPr>
          <w:rFonts w:ascii="Arial"/>
          <w:color w:val="auto"/>
          <w:sz w:val="21"/>
          <w:highlight w:val="none"/>
        </w:rPr>
      </w:pPr>
    </w:p>
    <w:p w14:paraId="536505F0">
      <w:pPr>
        <w:spacing w:line="258" w:lineRule="auto"/>
        <w:rPr>
          <w:rFonts w:ascii="Arial"/>
          <w:color w:val="auto"/>
          <w:sz w:val="21"/>
          <w:highlight w:val="none"/>
        </w:rPr>
      </w:pPr>
    </w:p>
    <w:p w14:paraId="1E7FB514">
      <w:pPr>
        <w:spacing w:before="61" w:line="229" w:lineRule="auto"/>
        <w:ind w:left="467"/>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20.1</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3"/>
          <w:sz w:val="19"/>
          <w:szCs w:val="19"/>
          <w:highlight w:val="none"/>
        </w:rPr>
        <w:t>工程保险</w:t>
      </w:r>
    </w:p>
    <w:p w14:paraId="66E6FBFA">
      <w:pPr>
        <w:tabs>
          <w:tab w:val="left" w:pos="550"/>
        </w:tabs>
        <w:spacing w:before="288" w:line="333" w:lineRule="auto"/>
        <w:ind w:left="437" w:right="18" w:firstLine="29"/>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建筑工程一切险和（或）</w:t>
      </w:r>
      <w:r>
        <w:rPr>
          <w:rFonts w:ascii="宋体" w:hAnsi="宋体" w:eastAsia="宋体" w:cs="宋体"/>
          <w:color w:val="auto"/>
          <w:spacing w:val="-40"/>
          <w:sz w:val="19"/>
          <w:szCs w:val="19"/>
          <w:highlight w:val="none"/>
        </w:rPr>
        <w:t xml:space="preserve"> </w:t>
      </w:r>
      <w:r>
        <w:rPr>
          <w:rFonts w:ascii="宋体" w:hAnsi="宋体" w:eastAsia="宋体" w:cs="宋体"/>
          <w:color w:val="auto"/>
          <w:spacing w:val="7"/>
          <w:sz w:val="19"/>
          <w:szCs w:val="19"/>
          <w:highlight w:val="none"/>
        </w:rPr>
        <w:t>安装工程一切险投保人：</w:t>
      </w:r>
      <w:r>
        <w:rPr>
          <w:rFonts w:ascii="宋体" w:hAnsi="宋体" w:eastAsia="宋体" w:cs="宋体"/>
          <w:color w:val="auto"/>
          <w:spacing w:val="7"/>
          <w:sz w:val="19"/>
          <w:szCs w:val="19"/>
          <w:highlight w:val="none"/>
          <w:u w:val="single" w:color="auto"/>
        </w:rPr>
        <w:t>承包人</w:t>
      </w:r>
      <w:r>
        <w:rPr>
          <w:rFonts w:ascii="宋体" w:hAnsi="宋体" w:eastAsia="宋体" w:cs="宋体"/>
          <w:color w:val="auto"/>
          <w:spacing w:val="7"/>
          <w:sz w:val="19"/>
          <w:szCs w:val="19"/>
          <w:highlight w:val="none"/>
        </w:rPr>
        <w:t>； 投保内容：</w:t>
      </w:r>
      <w:r>
        <w:rPr>
          <w:rFonts w:ascii="宋体" w:hAnsi="宋体" w:eastAsia="宋体" w:cs="宋体"/>
          <w:color w:val="auto"/>
          <w:spacing w:val="7"/>
          <w:sz w:val="19"/>
          <w:szCs w:val="19"/>
          <w:highlight w:val="none"/>
          <w:u w:val="single" w:color="auto"/>
        </w:rPr>
        <w:t>为参加本合同工程</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u w:val="single" w:color="auto"/>
        </w:rPr>
        <w:t>现场施工所有作业人员及管理人员，包括参加工程建设的管理人员、监理人</w:t>
      </w:r>
      <w:r>
        <w:rPr>
          <w:rFonts w:ascii="宋体" w:hAnsi="宋体" w:eastAsia="宋体" w:cs="宋体"/>
          <w:color w:val="auto"/>
          <w:spacing w:val="11"/>
          <w:sz w:val="19"/>
          <w:szCs w:val="19"/>
          <w:highlight w:val="none"/>
          <w:u w:val="single" w:color="auto"/>
        </w:rPr>
        <w:t>员、施工人员</w:t>
      </w:r>
      <w:r>
        <w:rPr>
          <w:rFonts w:ascii="宋体" w:hAnsi="宋体" w:eastAsia="宋体" w:cs="宋体"/>
          <w:color w:val="auto"/>
          <w:sz w:val="19"/>
          <w:szCs w:val="19"/>
          <w:highlight w:val="none"/>
        </w:rPr>
        <w:t xml:space="preserve"> </w:t>
      </w:r>
      <w:r>
        <w:rPr>
          <w:rFonts w:ascii="宋体" w:hAnsi="宋体" w:eastAsia="宋体" w:cs="宋体"/>
          <w:color w:val="auto"/>
          <w:sz w:val="19"/>
          <w:szCs w:val="19"/>
          <w:highlight w:val="none"/>
          <w:u w:val="single" w:color="auto"/>
        </w:rPr>
        <w:tab/>
      </w:r>
      <w:r>
        <w:rPr>
          <w:rFonts w:ascii="宋体" w:hAnsi="宋体" w:eastAsia="宋体" w:cs="宋体"/>
          <w:color w:val="auto"/>
          <w:spacing w:val="9"/>
          <w:sz w:val="19"/>
          <w:szCs w:val="19"/>
          <w:highlight w:val="none"/>
          <w:u w:val="single" w:color="auto"/>
        </w:rPr>
        <w:t>（含民工）办理建筑意外伤害保险，支付保险费（意外伤害保险费为成交的工程量清单总</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u w:val="single" w:color="auto"/>
        </w:rPr>
        <w:t>价的</w:t>
      </w:r>
      <w:r>
        <w:rPr>
          <w:rFonts w:ascii="宋体" w:hAnsi="宋体" w:eastAsia="宋体" w:cs="宋体"/>
          <w:color w:val="auto"/>
          <w:spacing w:val="12"/>
          <w:sz w:val="19"/>
          <w:szCs w:val="19"/>
          <w:highlight w:val="none"/>
          <w:u w:val="single" w:color="auto"/>
        </w:rPr>
        <w:t xml:space="preserve">    </w:t>
      </w:r>
      <w:r>
        <w:rPr>
          <w:rFonts w:ascii="宋体" w:hAnsi="宋体" w:eastAsia="宋体" w:cs="宋体"/>
          <w:color w:val="auto"/>
          <w:spacing w:val="4"/>
          <w:sz w:val="19"/>
          <w:szCs w:val="19"/>
          <w:highlight w:val="none"/>
          <w:u w:val="single" w:color="auto"/>
        </w:rPr>
        <w:t>，由承包人承担</w:t>
      </w:r>
      <w:r>
        <w:rPr>
          <w:rFonts w:ascii="宋体" w:hAnsi="宋体" w:eastAsia="宋体" w:cs="宋体"/>
          <w:color w:val="auto"/>
          <w:spacing w:val="18"/>
          <w:sz w:val="19"/>
          <w:szCs w:val="19"/>
          <w:highlight w:val="none"/>
          <w:u w:val="single" w:color="auto"/>
        </w:rPr>
        <w:t>）</w:t>
      </w:r>
      <w:r>
        <w:rPr>
          <w:rFonts w:ascii="宋体" w:hAnsi="宋体" w:eastAsia="宋体" w:cs="宋体"/>
          <w:color w:val="auto"/>
          <w:spacing w:val="18"/>
          <w:sz w:val="19"/>
          <w:szCs w:val="19"/>
          <w:highlight w:val="none"/>
        </w:rPr>
        <w:t>；</w:t>
      </w:r>
    </w:p>
    <w:p w14:paraId="51F14872">
      <w:pPr>
        <w:spacing w:before="150" w:line="333" w:lineRule="auto"/>
        <w:ind w:left="447" w:right="18" w:firstLine="18"/>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保险金额、保险费率和保险期限:</w:t>
      </w:r>
      <w:r>
        <w:rPr>
          <w:rFonts w:ascii="宋体" w:hAnsi="宋体" w:eastAsia="宋体" w:cs="宋体"/>
          <w:color w:val="auto"/>
          <w:spacing w:val="8"/>
          <w:sz w:val="19"/>
          <w:szCs w:val="19"/>
          <w:highlight w:val="none"/>
          <w:u w:val="single" w:color="auto"/>
        </w:rPr>
        <w:t>建筑意外伤害保险金额为人民币  万元，其中意外伤害保</w:t>
      </w:r>
      <w:r>
        <w:rPr>
          <w:rFonts w:ascii="宋体" w:hAnsi="宋体" w:eastAsia="宋体" w:cs="宋体"/>
          <w:color w:val="auto"/>
          <w:spacing w:val="9"/>
          <w:sz w:val="19"/>
          <w:szCs w:val="19"/>
          <w:highlight w:val="none"/>
        </w:rPr>
        <w:t xml:space="preserve"> </w:t>
      </w:r>
      <w:r>
        <w:rPr>
          <w:rFonts w:ascii="宋体" w:hAnsi="宋体" w:eastAsia="宋体" w:cs="宋体"/>
          <w:color w:val="auto"/>
          <w:spacing w:val="8"/>
          <w:sz w:val="19"/>
          <w:szCs w:val="19"/>
          <w:highlight w:val="none"/>
          <w:u w:val="single" w:color="auto"/>
        </w:rPr>
        <w:t>险金额  万元，意外伤害医疗保险金额   万元。承包人办理投保手续后，应将投保有关信</w:t>
      </w:r>
      <w:r>
        <w:rPr>
          <w:rFonts w:ascii="宋体" w:hAnsi="宋体" w:eastAsia="宋体" w:cs="宋体"/>
          <w:color w:val="auto"/>
          <w:spacing w:val="18"/>
          <w:sz w:val="19"/>
          <w:szCs w:val="19"/>
          <w:highlight w:val="none"/>
        </w:rPr>
        <w:t xml:space="preserve"> </w:t>
      </w:r>
      <w:r>
        <w:rPr>
          <w:rFonts w:ascii="宋体" w:hAnsi="宋体" w:eastAsia="宋体" w:cs="宋体"/>
          <w:color w:val="auto"/>
          <w:spacing w:val="12"/>
          <w:sz w:val="19"/>
          <w:szCs w:val="19"/>
          <w:highlight w:val="none"/>
          <w:u w:val="single" w:color="auto"/>
        </w:rPr>
        <w:t>息以布告形式张贴于施工现场，告之被保险人。保险</w:t>
      </w:r>
      <w:r>
        <w:rPr>
          <w:rFonts w:ascii="宋体" w:hAnsi="宋体" w:eastAsia="宋体" w:cs="宋体"/>
          <w:color w:val="auto"/>
          <w:spacing w:val="11"/>
          <w:sz w:val="19"/>
          <w:szCs w:val="19"/>
          <w:highlight w:val="none"/>
          <w:u w:val="single" w:color="auto"/>
        </w:rPr>
        <w:t>期限自投保之日（工程开工之日）起</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u w:val="single" w:color="auto"/>
        </w:rPr>
        <w:t>至工程竣工（或投入使用）验收时止，时间上涵盖施工全过程的任一时段</w:t>
      </w:r>
      <w:r>
        <w:rPr>
          <w:rFonts w:ascii="宋体" w:hAnsi="宋体" w:eastAsia="宋体" w:cs="宋体"/>
          <w:color w:val="auto"/>
          <w:spacing w:val="9"/>
          <w:sz w:val="19"/>
          <w:szCs w:val="19"/>
          <w:highlight w:val="none"/>
        </w:rPr>
        <w:t>。</w:t>
      </w:r>
    </w:p>
    <w:p w14:paraId="4515190E">
      <w:pPr>
        <w:spacing w:before="71" w:line="228" w:lineRule="auto"/>
        <w:ind w:left="467"/>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20.4</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4"/>
          <w:sz w:val="19"/>
          <w:szCs w:val="19"/>
          <w:highlight w:val="none"/>
        </w:rPr>
        <w:t>第三者责任险</w:t>
      </w:r>
    </w:p>
    <w:p w14:paraId="31542595">
      <w:pPr>
        <w:spacing w:before="301" w:line="228" w:lineRule="auto"/>
        <w:ind w:right="15"/>
        <w:jc w:val="right"/>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20.4.2 第三者责任险保险费率：</w:t>
      </w:r>
      <w:r>
        <w:rPr>
          <w:rFonts w:ascii="宋体" w:hAnsi="宋体" w:eastAsia="宋体" w:cs="宋体"/>
          <w:color w:val="auto"/>
          <w:spacing w:val="-28"/>
          <w:sz w:val="19"/>
          <w:szCs w:val="19"/>
          <w:highlight w:val="none"/>
        </w:rPr>
        <w:t xml:space="preserve"> </w:t>
      </w:r>
      <w:r>
        <w:rPr>
          <w:rFonts w:ascii="宋体" w:hAnsi="宋体" w:eastAsia="宋体" w:cs="宋体"/>
          <w:color w:val="auto"/>
          <w:spacing w:val="4"/>
          <w:sz w:val="19"/>
          <w:szCs w:val="19"/>
          <w:highlight w:val="none"/>
          <w:u w:val="single" w:color="auto"/>
        </w:rPr>
        <w:t>由承包人自行投保</w:t>
      </w:r>
      <w:r>
        <w:rPr>
          <w:rFonts w:ascii="宋体" w:hAnsi="宋体" w:eastAsia="宋体" w:cs="宋体"/>
          <w:color w:val="auto"/>
          <w:spacing w:val="4"/>
          <w:sz w:val="19"/>
          <w:szCs w:val="19"/>
          <w:highlight w:val="none"/>
        </w:rPr>
        <w:t xml:space="preserve">； 第三者责任险保险金额：  </w:t>
      </w:r>
      <w:r>
        <w:rPr>
          <w:rFonts w:ascii="宋体" w:hAnsi="宋体" w:eastAsia="宋体" w:cs="宋体"/>
          <w:color w:val="auto"/>
          <w:spacing w:val="4"/>
          <w:sz w:val="19"/>
          <w:szCs w:val="19"/>
          <w:highlight w:val="none"/>
          <w:u w:val="single" w:color="auto"/>
        </w:rPr>
        <w:t>由承</w:t>
      </w:r>
      <w:r>
        <w:rPr>
          <w:rFonts w:ascii="宋体" w:hAnsi="宋体" w:eastAsia="宋体" w:cs="宋体"/>
          <w:color w:val="auto"/>
          <w:spacing w:val="3"/>
          <w:sz w:val="19"/>
          <w:szCs w:val="19"/>
          <w:highlight w:val="none"/>
          <w:u w:val="single" w:color="auto"/>
        </w:rPr>
        <w:t>包人</w:t>
      </w:r>
    </w:p>
    <w:p w14:paraId="162F9544">
      <w:pPr>
        <w:spacing w:before="127" w:line="229" w:lineRule="auto"/>
        <w:ind w:left="478"/>
        <w:rPr>
          <w:rFonts w:ascii="宋体" w:hAnsi="宋体" w:eastAsia="宋体" w:cs="宋体"/>
          <w:color w:val="auto"/>
          <w:spacing w:val="-1"/>
          <w:sz w:val="19"/>
          <w:szCs w:val="19"/>
          <w:highlight w:val="none"/>
        </w:rPr>
      </w:pPr>
      <w:r>
        <w:rPr>
          <w:rFonts w:ascii="宋体" w:hAnsi="宋体" w:eastAsia="宋体" w:cs="宋体"/>
          <w:color w:val="auto"/>
          <w:spacing w:val="-1"/>
          <w:sz w:val="19"/>
          <w:szCs w:val="19"/>
          <w:highlight w:val="none"/>
          <w:u w:val="single" w:color="auto"/>
        </w:rPr>
        <w:t>自行确定</w:t>
      </w:r>
      <w:r>
        <w:rPr>
          <w:rFonts w:ascii="宋体" w:hAnsi="宋体" w:eastAsia="宋体" w:cs="宋体"/>
          <w:color w:val="auto"/>
          <w:spacing w:val="-1"/>
          <w:sz w:val="19"/>
          <w:szCs w:val="19"/>
          <w:highlight w:val="none"/>
        </w:rPr>
        <w:t>。</w:t>
      </w:r>
    </w:p>
    <w:p w14:paraId="3528A177">
      <w:pPr>
        <w:spacing w:before="156" w:line="229" w:lineRule="auto"/>
        <w:ind w:left="467"/>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20.5</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3"/>
          <w:sz w:val="19"/>
          <w:szCs w:val="19"/>
          <w:highlight w:val="none"/>
        </w:rPr>
        <w:t>其他保险</w:t>
      </w:r>
    </w:p>
    <w:p w14:paraId="3BACDD52">
      <w:pPr>
        <w:spacing w:before="289" w:line="322" w:lineRule="auto"/>
        <w:ind w:left="448" w:right="18" w:firstLine="26"/>
        <w:rPr>
          <w:rFonts w:ascii="宋体" w:hAnsi="宋体" w:eastAsia="宋体" w:cs="宋体"/>
          <w:color w:val="auto"/>
          <w:spacing w:val="4"/>
          <w:sz w:val="19"/>
          <w:szCs w:val="19"/>
          <w:highlight w:val="none"/>
        </w:rPr>
      </w:pPr>
      <w:r>
        <w:rPr>
          <w:rFonts w:ascii="宋体" w:hAnsi="宋体" w:eastAsia="宋体" w:cs="宋体"/>
          <w:color w:val="auto"/>
          <w:spacing w:val="6"/>
          <w:sz w:val="19"/>
          <w:szCs w:val="19"/>
          <w:highlight w:val="none"/>
        </w:rPr>
        <w:t>需要投保的其他内容：</w:t>
      </w:r>
      <w:r>
        <w:rPr>
          <w:rFonts w:ascii="宋体" w:hAnsi="宋体" w:eastAsia="宋体" w:cs="宋体"/>
          <w:color w:val="auto"/>
          <w:spacing w:val="46"/>
          <w:sz w:val="19"/>
          <w:szCs w:val="19"/>
          <w:highlight w:val="none"/>
        </w:rPr>
        <w:t xml:space="preserve"> </w:t>
      </w:r>
      <w:r>
        <w:rPr>
          <w:rFonts w:hint="eastAsia" w:ascii="宋体" w:hAnsi="宋体" w:eastAsia="宋体" w:cs="宋体"/>
          <w:color w:val="auto"/>
          <w:spacing w:val="46"/>
          <w:sz w:val="19"/>
          <w:szCs w:val="19"/>
          <w:highlight w:val="none"/>
          <w:u w:val="single" w:color="auto"/>
          <w:lang w:eastAsia="zh-CN"/>
        </w:rPr>
        <w:t>安全生产责任险等</w:t>
      </w:r>
      <w:r>
        <w:rPr>
          <w:rFonts w:ascii="宋体" w:hAnsi="宋体" w:eastAsia="宋体" w:cs="宋体"/>
          <w:color w:val="auto"/>
          <w:spacing w:val="6"/>
          <w:sz w:val="19"/>
          <w:szCs w:val="19"/>
          <w:highlight w:val="none"/>
          <w:u w:val="single" w:color="auto"/>
        </w:rPr>
        <w:t>由承包人自行投保</w:t>
      </w:r>
      <w:r>
        <w:rPr>
          <w:rFonts w:ascii="宋体" w:hAnsi="宋体" w:eastAsia="宋体" w:cs="宋体"/>
          <w:color w:val="auto"/>
          <w:spacing w:val="6"/>
          <w:sz w:val="19"/>
          <w:szCs w:val="19"/>
          <w:highlight w:val="none"/>
        </w:rPr>
        <w:t>；保险金额、保险费率和保险期限：</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u w:val="single" w:color="auto"/>
        </w:rPr>
        <w:t>由承包人自</w:t>
      </w:r>
      <w:r>
        <w:rPr>
          <w:rFonts w:ascii="宋体" w:hAnsi="宋体" w:eastAsia="宋体" w:cs="宋体"/>
          <w:color w:val="auto"/>
          <w:spacing w:val="4"/>
          <w:sz w:val="19"/>
          <w:szCs w:val="19"/>
          <w:highlight w:val="none"/>
          <w:u w:val="single" w:color="auto"/>
        </w:rPr>
        <w:t>行确定</w:t>
      </w:r>
      <w:r>
        <w:rPr>
          <w:rFonts w:ascii="宋体" w:hAnsi="宋体" w:eastAsia="宋体" w:cs="宋体"/>
          <w:color w:val="auto"/>
          <w:spacing w:val="4"/>
          <w:sz w:val="19"/>
          <w:szCs w:val="19"/>
          <w:highlight w:val="none"/>
        </w:rPr>
        <w:t>；</w:t>
      </w:r>
    </w:p>
    <w:p w14:paraId="19ED0316">
      <w:pPr>
        <w:spacing w:before="289" w:line="326" w:lineRule="auto"/>
        <w:ind w:left="28" w:right="15" w:firstLine="438"/>
        <w:jc w:val="both"/>
        <w:rPr>
          <w:rFonts w:ascii="宋体" w:hAnsi="宋体" w:eastAsia="宋体" w:cs="宋体"/>
          <w:color w:val="auto"/>
          <w:spacing w:val="4"/>
          <w:sz w:val="19"/>
          <w:szCs w:val="19"/>
          <w:highlight w:val="none"/>
        </w:rPr>
      </w:pPr>
      <w:r>
        <w:rPr>
          <w:rFonts w:hint="eastAsia" w:ascii="宋体" w:hAnsi="宋体" w:eastAsia="宋体" w:cs="宋体"/>
          <w:color w:val="auto"/>
          <w:spacing w:val="9"/>
          <w:sz w:val="19"/>
          <w:szCs w:val="19"/>
          <w:highlight w:val="none"/>
          <w:lang w:val="en-US" w:eastAsia="en-US"/>
        </w:rPr>
        <w:t>20.</w:t>
      </w:r>
      <w:r>
        <w:rPr>
          <w:rFonts w:hint="eastAsia" w:ascii="宋体" w:hAnsi="宋体" w:eastAsia="宋体" w:cs="宋体"/>
          <w:color w:val="auto"/>
          <w:spacing w:val="9"/>
          <w:sz w:val="19"/>
          <w:szCs w:val="19"/>
          <w:highlight w:val="none"/>
          <w:lang w:val="en-US" w:eastAsia="zh-CN"/>
        </w:rPr>
        <w:t>5.1</w:t>
      </w:r>
      <w:r>
        <w:rPr>
          <w:rFonts w:hint="eastAsia" w:ascii="宋体" w:hAnsi="宋体" w:eastAsia="宋体" w:cs="宋体"/>
          <w:color w:val="auto"/>
          <w:spacing w:val="9"/>
          <w:sz w:val="19"/>
          <w:szCs w:val="19"/>
          <w:highlight w:val="none"/>
          <w:lang w:val="en-US" w:eastAsia="en-US"/>
        </w:rPr>
        <w:t>安全生产责任险。按照《水利部印发关于推进水利工程建设安全生产责任保险工作的指导意见》（水监督〔2023〕347号）规定，由承包人投保安全生产责任保险，安全生产责任险在安全文明措施费列支，保险金额、保险费率和保险期限按照水利行业相关规范及标准执行</w:t>
      </w:r>
    </w:p>
    <w:p w14:paraId="20745E76">
      <w:pPr>
        <w:spacing w:before="73" w:line="229" w:lineRule="auto"/>
        <w:ind w:left="467"/>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20.6</w:t>
      </w:r>
      <w:r>
        <w:rPr>
          <w:rFonts w:ascii="宋体" w:hAnsi="宋体" w:eastAsia="宋体" w:cs="宋体"/>
          <w:color w:val="auto"/>
          <w:spacing w:val="-26"/>
          <w:sz w:val="19"/>
          <w:szCs w:val="19"/>
          <w:highlight w:val="none"/>
        </w:rPr>
        <w:t xml:space="preserve"> </w:t>
      </w:r>
      <w:r>
        <w:rPr>
          <w:rFonts w:ascii="宋体" w:hAnsi="宋体" w:eastAsia="宋体" w:cs="宋体"/>
          <w:b/>
          <w:bCs/>
          <w:color w:val="auto"/>
          <w:spacing w:val="5"/>
          <w:sz w:val="19"/>
          <w:szCs w:val="19"/>
          <w:highlight w:val="none"/>
        </w:rPr>
        <w:t>对各项保险的一般要求</w:t>
      </w:r>
    </w:p>
    <w:p w14:paraId="3044FA02">
      <w:pPr>
        <w:spacing w:before="290" w:line="228" w:lineRule="auto"/>
        <w:ind w:left="44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20. 6.1</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保险凭证</w:t>
      </w:r>
    </w:p>
    <w:p w14:paraId="699FAE3F">
      <w:pPr>
        <w:spacing w:before="113" w:line="228" w:lineRule="auto"/>
        <w:ind w:right="18"/>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承包人提交保险凭证的期限：</w:t>
      </w:r>
      <w:r>
        <w:rPr>
          <w:rFonts w:ascii="宋体" w:hAnsi="宋体" w:eastAsia="宋体" w:cs="宋体"/>
          <w:color w:val="auto"/>
          <w:spacing w:val="8"/>
          <w:sz w:val="19"/>
          <w:szCs w:val="19"/>
          <w:highlight w:val="none"/>
          <w:u w:val="single" w:color="auto"/>
        </w:rPr>
        <w:t>签订合同之日起十</w:t>
      </w:r>
      <w:r>
        <w:rPr>
          <w:rFonts w:ascii="宋体" w:hAnsi="宋体" w:eastAsia="宋体" w:cs="宋体"/>
          <w:color w:val="auto"/>
          <w:spacing w:val="7"/>
          <w:sz w:val="19"/>
          <w:szCs w:val="19"/>
          <w:highlight w:val="none"/>
          <w:u w:val="single" w:color="auto"/>
        </w:rPr>
        <w:t>五个工作日</w:t>
      </w:r>
      <w:r>
        <w:rPr>
          <w:rFonts w:ascii="宋体" w:hAnsi="宋体" w:eastAsia="宋体" w:cs="宋体"/>
          <w:color w:val="auto"/>
          <w:spacing w:val="7"/>
          <w:sz w:val="19"/>
          <w:szCs w:val="19"/>
          <w:highlight w:val="none"/>
        </w:rPr>
        <w:t>； 保险条件：</w:t>
      </w:r>
      <w:r>
        <w:rPr>
          <w:rFonts w:ascii="宋体" w:hAnsi="宋体" w:eastAsia="宋体" w:cs="宋体"/>
          <w:color w:val="auto"/>
          <w:spacing w:val="-56"/>
          <w:sz w:val="19"/>
          <w:szCs w:val="19"/>
          <w:highlight w:val="none"/>
        </w:rPr>
        <w:t xml:space="preserve"> </w:t>
      </w:r>
      <w:r>
        <w:rPr>
          <w:rFonts w:ascii="宋体" w:hAnsi="宋体" w:eastAsia="宋体" w:cs="宋体"/>
          <w:color w:val="auto"/>
          <w:spacing w:val="7"/>
          <w:sz w:val="19"/>
          <w:szCs w:val="19"/>
          <w:highlight w:val="none"/>
          <w:u w:val="single" w:color="auto"/>
        </w:rPr>
        <w:t>由承包人自行确</w:t>
      </w:r>
    </w:p>
    <w:p w14:paraId="3E48D687">
      <w:pPr>
        <w:spacing w:before="111" w:line="229" w:lineRule="auto"/>
        <w:ind w:left="45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u w:val="single" w:color="auto"/>
        </w:rPr>
        <w:t>定</w:t>
      </w:r>
      <w:r>
        <w:rPr>
          <w:rFonts w:ascii="宋体" w:hAnsi="宋体" w:eastAsia="宋体" w:cs="宋体"/>
          <w:color w:val="auto"/>
          <w:spacing w:val="-2"/>
          <w:sz w:val="19"/>
          <w:szCs w:val="19"/>
          <w:highlight w:val="none"/>
        </w:rPr>
        <w:t>。</w:t>
      </w:r>
    </w:p>
    <w:p w14:paraId="2960627A">
      <w:pPr>
        <w:spacing w:before="110" w:line="229" w:lineRule="auto"/>
        <w:ind w:left="44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20. 6.4</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保险金不足的补偿</w:t>
      </w:r>
    </w:p>
    <w:p w14:paraId="71DE9F0A">
      <w:pPr>
        <w:spacing w:before="113" w:line="228" w:lineRule="auto"/>
        <w:ind w:right="20"/>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承包人负责补偿的范围与金额：</w:t>
      </w:r>
      <w:r>
        <w:rPr>
          <w:rFonts w:ascii="宋体" w:hAnsi="宋体" w:eastAsia="宋体" w:cs="宋体"/>
          <w:color w:val="auto"/>
          <w:spacing w:val="8"/>
          <w:sz w:val="19"/>
          <w:szCs w:val="19"/>
          <w:highlight w:val="none"/>
          <w:u w:val="single" w:color="auto"/>
        </w:rPr>
        <w:t>保险金额不足的补偿由承包人负责</w:t>
      </w:r>
      <w:r>
        <w:rPr>
          <w:rFonts w:ascii="宋体" w:hAnsi="宋体" w:eastAsia="宋体" w:cs="宋体"/>
          <w:color w:val="auto"/>
          <w:spacing w:val="8"/>
          <w:sz w:val="19"/>
          <w:szCs w:val="19"/>
          <w:highlight w:val="none"/>
        </w:rPr>
        <w:t>； 发包人负责补偿的范</w:t>
      </w:r>
    </w:p>
    <w:p w14:paraId="4858F952">
      <w:pPr>
        <w:spacing w:before="115" w:line="228" w:lineRule="auto"/>
        <w:ind w:left="46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围与金额：</w:t>
      </w:r>
      <w:r>
        <w:rPr>
          <w:rFonts w:ascii="宋体" w:hAnsi="宋体" w:eastAsia="宋体" w:cs="宋体"/>
          <w:color w:val="auto"/>
          <w:spacing w:val="-39"/>
          <w:sz w:val="19"/>
          <w:szCs w:val="19"/>
          <w:highlight w:val="none"/>
        </w:rPr>
        <w:t xml:space="preserve"> </w:t>
      </w:r>
      <w:r>
        <w:rPr>
          <w:rFonts w:ascii="宋体" w:hAnsi="宋体" w:eastAsia="宋体" w:cs="宋体"/>
          <w:color w:val="auto"/>
          <w:spacing w:val="6"/>
          <w:sz w:val="19"/>
          <w:szCs w:val="19"/>
          <w:highlight w:val="none"/>
          <w:u w:val="single" w:color="auto"/>
        </w:rPr>
        <w:t>由于本工程一切保险均有承包人负责投保</w:t>
      </w:r>
      <w:r>
        <w:rPr>
          <w:rFonts w:ascii="宋体" w:hAnsi="宋体" w:eastAsia="宋体" w:cs="宋体"/>
          <w:color w:val="auto"/>
          <w:spacing w:val="6"/>
          <w:sz w:val="19"/>
          <w:szCs w:val="19"/>
          <w:highlight w:val="none"/>
        </w:rPr>
        <w:t>。</w:t>
      </w:r>
    </w:p>
    <w:p w14:paraId="1B6F238C">
      <w:pPr>
        <w:spacing w:before="316"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21.</w:t>
      </w:r>
      <w:r>
        <w:rPr>
          <w:rFonts w:ascii="Cambria" w:hAnsi="Cambria" w:eastAsia="Cambria" w:cs="Cambria"/>
          <w:b/>
          <w:bCs/>
          <w:color w:val="auto"/>
          <w:spacing w:val="22"/>
          <w:sz w:val="31"/>
          <w:szCs w:val="31"/>
          <w:highlight w:val="none"/>
        </w:rPr>
        <w:t xml:space="preserve">  </w:t>
      </w:r>
      <w:r>
        <w:rPr>
          <w:rFonts w:ascii="宋体" w:hAnsi="宋体" w:eastAsia="宋体" w:cs="宋体"/>
          <w:b/>
          <w:bCs/>
          <w:color w:val="auto"/>
          <w:spacing w:val="1"/>
          <w:sz w:val="31"/>
          <w:szCs w:val="31"/>
          <w:highlight w:val="none"/>
        </w:rPr>
        <w:t>不可抗力</w:t>
      </w:r>
    </w:p>
    <w:p w14:paraId="7DBD5253">
      <w:pPr>
        <w:spacing w:line="258" w:lineRule="auto"/>
        <w:rPr>
          <w:rFonts w:ascii="Arial"/>
          <w:color w:val="auto"/>
          <w:sz w:val="21"/>
          <w:highlight w:val="none"/>
        </w:rPr>
      </w:pPr>
    </w:p>
    <w:p w14:paraId="7C662ED1">
      <w:pPr>
        <w:spacing w:line="259" w:lineRule="auto"/>
        <w:rPr>
          <w:rFonts w:ascii="Arial"/>
          <w:color w:val="auto"/>
          <w:sz w:val="21"/>
          <w:highlight w:val="none"/>
        </w:rPr>
      </w:pPr>
    </w:p>
    <w:p w14:paraId="770DF19E">
      <w:pPr>
        <w:spacing w:before="62" w:line="228" w:lineRule="auto"/>
        <w:ind w:left="467"/>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21.1</w:t>
      </w:r>
      <w:r>
        <w:rPr>
          <w:rFonts w:ascii="宋体" w:hAnsi="宋体" w:eastAsia="宋体" w:cs="宋体"/>
          <w:color w:val="auto"/>
          <w:spacing w:val="-23"/>
          <w:sz w:val="19"/>
          <w:szCs w:val="19"/>
          <w:highlight w:val="none"/>
        </w:rPr>
        <w:t xml:space="preserve"> </w:t>
      </w:r>
      <w:r>
        <w:rPr>
          <w:rFonts w:ascii="宋体" w:hAnsi="宋体" w:eastAsia="宋体" w:cs="宋体"/>
          <w:b/>
          <w:bCs/>
          <w:color w:val="auto"/>
          <w:spacing w:val="4"/>
          <w:sz w:val="19"/>
          <w:szCs w:val="19"/>
          <w:highlight w:val="none"/>
        </w:rPr>
        <w:t>不可抗力的确认</w:t>
      </w:r>
    </w:p>
    <w:p w14:paraId="1E04A1F1">
      <w:pPr>
        <w:spacing w:before="289" w:line="326" w:lineRule="auto"/>
        <w:ind w:left="28" w:right="15" w:firstLine="438"/>
        <w:jc w:val="both"/>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21.1.1</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不可抗力是指承包人和发包人在订立合同时</w:t>
      </w:r>
      <w:r>
        <w:rPr>
          <w:rFonts w:ascii="宋体" w:hAnsi="宋体" w:eastAsia="宋体" w:cs="宋体"/>
          <w:color w:val="auto"/>
          <w:spacing w:val="8"/>
          <w:sz w:val="19"/>
          <w:szCs w:val="19"/>
          <w:highlight w:val="none"/>
        </w:rPr>
        <w:t>不可预见，在工程施工过程中不可避免</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发生并不能克服的自然灾害和社会性突发事件</w:t>
      </w:r>
      <w:r>
        <w:rPr>
          <w:rFonts w:ascii="宋体" w:hAnsi="宋体" w:eastAsia="宋体" w:cs="宋体"/>
          <w:color w:val="auto"/>
          <w:spacing w:val="9"/>
          <w:sz w:val="19"/>
          <w:szCs w:val="19"/>
          <w:highlight w:val="none"/>
        </w:rPr>
        <w:t>，如地震、海啸、瘟疫、水灾、骚乱、 暴动、战</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争和本合同专用合同条款第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11. 4</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款的约定。</w:t>
      </w:r>
    </w:p>
    <w:p w14:paraId="23DFBDA7">
      <w:pPr>
        <w:spacing w:before="231"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24.</w:t>
      </w:r>
      <w:r>
        <w:rPr>
          <w:rFonts w:ascii="宋体" w:hAnsi="宋体" w:eastAsia="宋体" w:cs="宋体"/>
          <w:b/>
          <w:bCs/>
          <w:color w:val="auto"/>
          <w:spacing w:val="4"/>
          <w:sz w:val="31"/>
          <w:szCs w:val="31"/>
          <w:highlight w:val="none"/>
        </w:rPr>
        <w:t>争议的解决</w:t>
      </w:r>
    </w:p>
    <w:p w14:paraId="4B77C684">
      <w:pPr>
        <w:spacing w:line="258" w:lineRule="auto"/>
        <w:rPr>
          <w:rFonts w:ascii="Arial"/>
          <w:color w:val="auto"/>
          <w:sz w:val="21"/>
          <w:highlight w:val="none"/>
        </w:rPr>
      </w:pPr>
    </w:p>
    <w:p w14:paraId="08BFABEB">
      <w:pPr>
        <w:spacing w:line="259" w:lineRule="auto"/>
        <w:rPr>
          <w:rFonts w:ascii="Arial"/>
          <w:color w:val="auto"/>
          <w:sz w:val="21"/>
          <w:highlight w:val="none"/>
        </w:rPr>
      </w:pPr>
    </w:p>
    <w:p w14:paraId="59F2C979">
      <w:pPr>
        <w:spacing w:before="63" w:line="228" w:lineRule="auto"/>
        <w:ind w:left="467"/>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24.1</w:t>
      </w:r>
      <w:r>
        <w:rPr>
          <w:rFonts w:ascii="宋体" w:hAnsi="宋体" w:eastAsia="宋体" w:cs="宋体"/>
          <w:color w:val="auto"/>
          <w:spacing w:val="-23"/>
          <w:sz w:val="19"/>
          <w:szCs w:val="19"/>
          <w:highlight w:val="none"/>
        </w:rPr>
        <w:t xml:space="preserve"> </w:t>
      </w:r>
      <w:r>
        <w:rPr>
          <w:rFonts w:ascii="宋体" w:hAnsi="宋体" w:eastAsia="宋体" w:cs="宋体"/>
          <w:b/>
          <w:bCs/>
          <w:color w:val="auto"/>
          <w:spacing w:val="4"/>
          <w:sz w:val="19"/>
          <w:szCs w:val="19"/>
          <w:highlight w:val="none"/>
        </w:rPr>
        <w:t>争议的解决方式</w:t>
      </w:r>
    </w:p>
    <w:p w14:paraId="785AB48E">
      <w:pPr>
        <w:spacing w:line="228" w:lineRule="auto"/>
        <w:rPr>
          <w:rFonts w:ascii="宋体" w:hAnsi="宋体" w:eastAsia="宋体" w:cs="宋体"/>
          <w:color w:val="auto"/>
          <w:sz w:val="19"/>
          <w:szCs w:val="19"/>
          <w:highlight w:val="none"/>
        </w:rPr>
      </w:pPr>
    </w:p>
    <w:p w14:paraId="2E72DCF3">
      <w:pPr>
        <w:spacing w:before="62" w:line="336" w:lineRule="auto"/>
        <w:ind w:left="24" w:right="64" w:firstLine="441"/>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合同当事人友好协商解决不成、不愿提请争议评审或不接受争议评审组意见的，约定的合</w:t>
      </w:r>
      <w:r>
        <w:rPr>
          <w:rFonts w:ascii="宋体" w:hAnsi="宋体" w:eastAsia="宋体" w:cs="宋体"/>
          <w:color w:val="auto"/>
          <w:spacing w:val="4"/>
          <w:sz w:val="19"/>
          <w:szCs w:val="19"/>
          <w:highlight w:val="none"/>
        </w:rPr>
        <w:t xml:space="preserve"> </w:t>
      </w:r>
      <w:r>
        <w:rPr>
          <w:rFonts w:ascii="宋体" w:hAnsi="宋体" w:eastAsia="宋体" w:cs="宋体"/>
          <w:color w:val="auto"/>
          <w:spacing w:val="11"/>
          <w:sz w:val="19"/>
          <w:szCs w:val="19"/>
          <w:highlight w:val="none"/>
        </w:rPr>
        <w:t>同争议解决方式：</w:t>
      </w:r>
      <w:r>
        <w:rPr>
          <w:rFonts w:ascii="宋体" w:hAnsi="宋体" w:eastAsia="宋体" w:cs="宋体"/>
          <w:color w:val="auto"/>
          <w:spacing w:val="-49"/>
          <w:sz w:val="19"/>
          <w:szCs w:val="19"/>
          <w:highlight w:val="none"/>
        </w:rPr>
        <w:t xml:space="preserve"> </w:t>
      </w:r>
      <w:r>
        <w:rPr>
          <w:rFonts w:ascii="宋体" w:hAnsi="宋体" w:eastAsia="宋体" w:cs="宋体"/>
          <w:color w:val="auto"/>
          <w:spacing w:val="11"/>
          <w:sz w:val="19"/>
          <w:szCs w:val="19"/>
          <w:highlight w:val="none"/>
          <w:u w:val="single" w:color="auto"/>
        </w:rPr>
        <w:t>向当地建设行政主管部门申请调解；调解失败可向建设项目</w:t>
      </w:r>
      <w:r>
        <w:rPr>
          <w:rFonts w:ascii="宋体" w:hAnsi="宋体" w:eastAsia="宋体" w:cs="宋体"/>
          <w:color w:val="auto"/>
          <w:spacing w:val="10"/>
          <w:sz w:val="19"/>
          <w:szCs w:val="19"/>
          <w:highlight w:val="none"/>
          <w:u w:val="single" w:color="auto"/>
        </w:rPr>
        <w:t>当地人民法院申</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u w:val="single" w:color="auto"/>
        </w:rPr>
        <w:t>请起诉</w:t>
      </w:r>
      <w:r>
        <w:rPr>
          <w:rFonts w:ascii="宋体" w:hAnsi="宋体" w:eastAsia="宋体" w:cs="宋体"/>
          <w:color w:val="auto"/>
          <w:spacing w:val="5"/>
          <w:sz w:val="19"/>
          <w:szCs w:val="19"/>
          <w:highlight w:val="none"/>
        </w:rPr>
        <w:t>。</w:t>
      </w:r>
    </w:p>
    <w:p w14:paraId="4A7BFB73">
      <w:pPr>
        <w:spacing w:before="224" w:line="224"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25.</w:t>
      </w:r>
      <w:r>
        <w:rPr>
          <w:rFonts w:ascii="宋体" w:hAnsi="宋体" w:eastAsia="宋体" w:cs="宋体"/>
          <w:b/>
          <w:bCs/>
          <w:color w:val="auto"/>
          <w:spacing w:val="4"/>
          <w:sz w:val="31"/>
          <w:szCs w:val="31"/>
          <w:highlight w:val="none"/>
        </w:rPr>
        <w:t>附加条款</w:t>
      </w:r>
    </w:p>
    <w:p w14:paraId="12457A54">
      <w:pPr>
        <w:spacing w:line="259" w:lineRule="auto"/>
        <w:rPr>
          <w:rFonts w:ascii="Arial"/>
          <w:color w:val="auto"/>
          <w:sz w:val="21"/>
          <w:highlight w:val="none"/>
        </w:rPr>
      </w:pPr>
    </w:p>
    <w:p w14:paraId="19349164">
      <w:pPr>
        <w:spacing w:line="259" w:lineRule="auto"/>
        <w:rPr>
          <w:rFonts w:ascii="Arial"/>
          <w:color w:val="auto"/>
          <w:sz w:val="21"/>
          <w:highlight w:val="none"/>
        </w:rPr>
      </w:pPr>
    </w:p>
    <w:p w14:paraId="0845CAAB">
      <w:pPr>
        <w:spacing w:before="62" w:line="228" w:lineRule="auto"/>
        <w:ind w:left="467"/>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25.1</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5"/>
          <w:sz w:val="19"/>
          <w:szCs w:val="19"/>
          <w:highlight w:val="none"/>
        </w:rPr>
        <w:t>对承包人的要求</w:t>
      </w:r>
    </w:p>
    <w:p w14:paraId="74C917BA">
      <w:pPr>
        <w:spacing w:before="290" w:line="320" w:lineRule="auto"/>
        <w:ind w:left="25" w:right="66" w:firstLine="15"/>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因承包人的原因造成施</w:t>
      </w:r>
      <w:r>
        <w:rPr>
          <w:rFonts w:ascii="宋体" w:hAnsi="宋体" w:eastAsia="宋体" w:cs="宋体"/>
          <w:color w:val="auto"/>
          <w:spacing w:val="7"/>
          <w:sz w:val="19"/>
          <w:szCs w:val="19"/>
          <w:highlight w:val="none"/>
        </w:rPr>
        <w:t>工进度计划滞后，承包人均应按发包人和监理人的指示，采取有</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效措施赶上进度。若施工进度仍然满足不了发包人的要求，视</w:t>
      </w:r>
      <w:r>
        <w:rPr>
          <w:rFonts w:ascii="宋体" w:hAnsi="宋体" w:eastAsia="宋体" w:cs="宋体"/>
          <w:color w:val="auto"/>
          <w:spacing w:val="9"/>
          <w:sz w:val="19"/>
          <w:szCs w:val="19"/>
          <w:highlight w:val="none"/>
        </w:rPr>
        <w:t>为承包人已经构成违约，发包人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可通知承包人解除合同。发包人可在发出通知</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5</w:t>
      </w:r>
      <w:r>
        <w:rPr>
          <w:rFonts w:ascii="宋体" w:hAnsi="宋体" w:eastAsia="宋体" w:cs="宋体"/>
          <w:color w:val="auto"/>
          <w:spacing w:val="-32"/>
          <w:sz w:val="19"/>
          <w:szCs w:val="19"/>
          <w:highlight w:val="none"/>
        </w:rPr>
        <w:t xml:space="preserve"> </w:t>
      </w:r>
      <w:r>
        <w:rPr>
          <w:rFonts w:ascii="宋体" w:hAnsi="宋体" w:eastAsia="宋体" w:cs="宋体"/>
          <w:color w:val="auto"/>
          <w:spacing w:val="9"/>
          <w:sz w:val="19"/>
          <w:szCs w:val="19"/>
          <w:highlight w:val="none"/>
        </w:rPr>
        <w:t>天后派员进驻工地直接监</w:t>
      </w:r>
      <w:r>
        <w:rPr>
          <w:rFonts w:ascii="宋体" w:hAnsi="宋体" w:eastAsia="宋体" w:cs="宋体"/>
          <w:color w:val="auto"/>
          <w:spacing w:val="8"/>
          <w:sz w:val="19"/>
          <w:szCs w:val="19"/>
          <w:highlight w:val="none"/>
        </w:rPr>
        <w:t>管工程, 使用承包人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设备、</w:t>
      </w:r>
      <w:r>
        <w:rPr>
          <w:rFonts w:ascii="宋体" w:hAnsi="宋体" w:eastAsia="宋体" w:cs="宋体"/>
          <w:color w:val="auto"/>
          <w:spacing w:val="-57"/>
          <w:sz w:val="19"/>
          <w:szCs w:val="19"/>
          <w:highlight w:val="none"/>
        </w:rPr>
        <w:t xml:space="preserve"> </w:t>
      </w:r>
      <w:r>
        <w:rPr>
          <w:rFonts w:ascii="宋体" w:hAnsi="宋体" w:eastAsia="宋体" w:cs="宋体"/>
          <w:color w:val="auto"/>
          <w:spacing w:val="8"/>
          <w:sz w:val="19"/>
          <w:szCs w:val="19"/>
          <w:highlight w:val="none"/>
        </w:rPr>
        <w:t>临时工程和材料，另行组织人员或委托其他承包</w:t>
      </w:r>
      <w:r>
        <w:rPr>
          <w:rFonts w:ascii="宋体" w:hAnsi="宋体" w:eastAsia="宋体" w:cs="宋体"/>
          <w:color w:val="auto"/>
          <w:spacing w:val="7"/>
          <w:sz w:val="19"/>
          <w:szCs w:val="19"/>
          <w:highlight w:val="none"/>
        </w:rPr>
        <w:t>人施工，</w:t>
      </w:r>
      <w:r>
        <w:rPr>
          <w:rFonts w:ascii="宋体" w:hAnsi="宋体" w:eastAsia="宋体" w:cs="宋体"/>
          <w:color w:val="auto"/>
          <w:spacing w:val="-48"/>
          <w:sz w:val="19"/>
          <w:szCs w:val="19"/>
          <w:highlight w:val="none"/>
        </w:rPr>
        <w:t xml:space="preserve"> </w:t>
      </w:r>
      <w:r>
        <w:rPr>
          <w:rFonts w:ascii="宋体" w:hAnsi="宋体" w:eastAsia="宋体" w:cs="宋体"/>
          <w:color w:val="auto"/>
          <w:spacing w:val="7"/>
          <w:sz w:val="19"/>
          <w:szCs w:val="19"/>
          <w:highlight w:val="none"/>
        </w:rPr>
        <w:t>但发包人的这一行为不免除承</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包人按合同规定应负的责任。</w:t>
      </w:r>
    </w:p>
    <w:p w14:paraId="7B8366D0">
      <w:pPr>
        <w:spacing w:before="114" w:line="305" w:lineRule="auto"/>
        <w:ind w:left="25" w:right="64" w:hanging="3"/>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遵守国务院《建设工程质量管理条例》，根据水利部、自治区和水利厅的</w:t>
      </w:r>
      <w:r>
        <w:rPr>
          <w:rFonts w:ascii="宋体" w:hAnsi="宋体" w:eastAsia="宋体" w:cs="宋体"/>
          <w:color w:val="auto"/>
          <w:spacing w:val="7"/>
          <w:sz w:val="19"/>
          <w:szCs w:val="19"/>
          <w:highlight w:val="none"/>
        </w:rPr>
        <w:t>有关质量管理</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规定，建立健全质量管理机构，结合工程实际制定完善的可操</w:t>
      </w:r>
      <w:r>
        <w:rPr>
          <w:rFonts w:ascii="宋体" w:hAnsi="宋体" w:eastAsia="宋体" w:cs="宋体"/>
          <w:color w:val="auto"/>
          <w:spacing w:val="9"/>
          <w:sz w:val="19"/>
          <w:szCs w:val="19"/>
          <w:highlight w:val="none"/>
        </w:rPr>
        <w:t>作性强的质量管理制度，施工质</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量等级达到合同约定等级。</w:t>
      </w:r>
    </w:p>
    <w:p w14:paraId="760C84DF">
      <w:pPr>
        <w:spacing w:before="114" w:line="305" w:lineRule="auto"/>
        <w:ind w:left="27" w:right="66"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按国家《中华人民共和国生产安全法》、《建设工程安全</w:t>
      </w:r>
      <w:r>
        <w:rPr>
          <w:rFonts w:ascii="宋体" w:hAnsi="宋体" w:eastAsia="宋体" w:cs="宋体"/>
          <w:color w:val="auto"/>
          <w:spacing w:val="7"/>
          <w:sz w:val="19"/>
          <w:szCs w:val="19"/>
          <w:highlight w:val="none"/>
        </w:rPr>
        <w:t>生产管理条例》、自治区安全</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生产法规和水利水电工程施工安全操作规程</w:t>
      </w:r>
      <w:r>
        <w:rPr>
          <w:rFonts w:ascii="宋体" w:hAnsi="宋体" w:eastAsia="宋体" w:cs="宋体"/>
          <w:color w:val="auto"/>
          <w:spacing w:val="8"/>
          <w:sz w:val="19"/>
          <w:szCs w:val="19"/>
          <w:highlight w:val="none"/>
        </w:rPr>
        <w:t>的规定建立健全安全管理机构和安全管理制度，</w:t>
      </w:r>
      <w:r>
        <w:rPr>
          <w:rFonts w:ascii="宋体" w:hAnsi="宋体" w:eastAsia="宋体" w:cs="宋体"/>
          <w:color w:val="auto"/>
          <w:spacing w:val="-47"/>
          <w:sz w:val="19"/>
          <w:szCs w:val="19"/>
          <w:highlight w:val="none"/>
        </w:rPr>
        <w:t xml:space="preserve"> </w:t>
      </w:r>
      <w:r>
        <w:rPr>
          <w:rFonts w:ascii="宋体" w:hAnsi="宋体" w:eastAsia="宋体" w:cs="宋体"/>
          <w:color w:val="auto"/>
          <w:spacing w:val="8"/>
          <w:sz w:val="19"/>
          <w:szCs w:val="19"/>
          <w:highlight w:val="none"/>
        </w:rPr>
        <w:t>采</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取安全施工保障措施保障工程施工安全。</w:t>
      </w:r>
    </w:p>
    <w:p w14:paraId="07B42DC4">
      <w:pPr>
        <w:spacing w:before="116" w:line="286" w:lineRule="auto"/>
        <w:ind w:left="29" w:right="252" w:hanging="8"/>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按有关施工规程规范及本竞争性磋商文件技术条款进行组织施工并实施施工过程和移</w:t>
      </w:r>
      <w:r>
        <w:rPr>
          <w:rFonts w:ascii="宋体" w:hAnsi="宋体" w:eastAsia="宋体" w:cs="宋体"/>
          <w:color w:val="auto"/>
          <w:spacing w:val="4"/>
          <w:sz w:val="19"/>
          <w:szCs w:val="19"/>
          <w:highlight w:val="none"/>
        </w:rPr>
        <w:t xml:space="preserve"> </w:t>
      </w:r>
      <w:r>
        <w:rPr>
          <w:rFonts w:ascii="宋体" w:hAnsi="宋体" w:eastAsia="宋体" w:cs="宋体"/>
          <w:color w:val="auto"/>
          <w:spacing w:val="5"/>
          <w:sz w:val="19"/>
          <w:szCs w:val="19"/>
          <w:highlight w:val="none"/>
        </w:rPr>
        <w:t>交前工程保护措施。</w:t>
      </w:r>
    </w:p>
    <w:p w14:paraId="78F88356">
      <w:pPr>
        <w:spacing w:before="116" w:line="286" w:lineRule="auto"/>
        <w:ind w:left="26" w:right="6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5.    </w:t>
      </w:r>
      <w:r>
        <w:rPr>
          <w:rFonts w:ascii="宋体" w:hAnsi="宋体" w:eastAsia="宋体" w:cs="宋体"/>
          <w:color w:val="auto"/>
          <w:spacing w:val="8"/>
          <w:sz w:val="19"/>
          <w:szCs w:val="19"/>
          <w:highlight w:val="none"/>
        </w:rPr>
        <w:t>承包人违约有以下情况之一者，发包人有权采取合同规定的</w:t>
      </w:r>
      <w:r>
        <w:rPr>
          <w:rFonts w:ascii="宋体" w:hAnsi="宋体" w:eastAsia="宋体" w:cs="宋体"/>
          <w:color w:val="auto"/>
          <w:spacing w:val="7"/>
          <w:sz w:val="19"/>
          <w:szCs w:val="19"/>
          <w:highlight w:val="none"/>
        </w:rPr>
        <w:t>以下措施处理，并视情节轻</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重处予违约金。</w:t>
      </w:r>
    </w:p>
    <w:p w14:paraId="1600B625">
      <w:pPr>
        <w:spacing w:before="115" w:line="286" w:lineRule="auto"/>
        <w:ind w:left="27" w:right="8" w:hanging="1"/>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(1)    </w:t>
      </w:r>
      <w:r>
        <w:rPr>
          <w:rFonts w:ascii="宋体" w:hAnsi="宋体" w:eastAsia="宋体" w:cs="宋体"/>
          <w:color w:val="auto"/>
          <w:spacing w:val="4"/>
          <w:sz w:val="19"/>
          <w:szCs w:val="19"/>
          <w:highlight w:val="none"/>
        </w:rPr>
        <w:t>未经发包人批准，施工期内承包人调走主要施工技术人员</w:t>
      </w:r>
      <w:r>
        <w:rPr>
          <w:rFonts w:ascii="宋体" w:hAnsi="宋体" w:eastAsia="宋体" w:cs="宋体"/>
          <w:color w:val="auto"/>
          <w:spacing w:val="-36"/>
          <w:sz w:val="19"/>
          <w:szCs w:val="19"/>
          <w:highlight w:val="none"/>
        </w:rPr>
        <w:t xml:space="preserve"> </w:t>
      </w:r>
      <w:r>
        <w:rPr>
          <w:rFonts w:ascii="宋体" w:hAnsi="宋体" w:eastAsia="宋体" w:cs="宋体"/>
          <w:color w:val="auto"/>
          <w:spacing w:val="4"/>
          <w:sz w:val="19"/>
          <w:szCs w:val="19"/>
          <w:highlight w:val="none"/>
        </w:rPr>
        <w:t>(包括建造师、专业工程师)，</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经发现不及时调回的，</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违约金额为履约保证金金额的</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5% ~20%</w:t>
      </w:r>
      <w:r>
        <w:rPr>
          <w:rFonts w:ascii="宋体" w:hAnsi="宋体" w:eastAsia="宋体" w:cs="宋体"/>
          <w:color w:val="auto"/>
          <w:spacing w:val="51"/>
          <w:sz w:val="19"/>
          <w:szCs w:val="19"/>
          <w:highlight w:val="none"/>
        </w:rPr>
        <w:t xml:space="preserve"> </w:t>
      </w:r>
      <w:r>
        <w:rPr>
          <w:rFonts w:ascii="宋体" w:hAnsi="宋体" w:eastAsia="宋体" w:cs="宋体"/>
          <w:color w:val="auto"/>
          <w:spacing w:val="6"/>
          <w:sz w:val="19"/>
          <w:szCs w:val="19"/>
          <w:highlight w:val="none"/>
        </w:rPr>
        <w:t>(视情节</w:t>
      </w:r>
      <w:r>
        <w:rPr>
          <w:rFonts w:ascii="宋体" w:hAnsi="宋体" w:eastAsia="宋体" w:cs="宋体"/>
          <w:color w:val="auto"/>
          <w:spacing w:val="5"/>
          <w:sz w:val="19"/>
          <w:szCs w:val="19"/>
          <w:highlight w:val="none"/>
        </w:rPr>
        <w:t>严重而 定)。</w:t>
      </w:r>
    </w:p>
    <w:p w14:paraId="1958AC17">
      <w:pPr>
        <w:spacing w:before="114" w:line="286" w:lineRule="auto"/>
        <w:ind w:left="27" w:right="79"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未经发包人批准，施工期内</w:t>
      </w:r>
      <w:r>
        <w:rPr>
          <w:rFonts w:ascii="宋体" w:hAnsi="宋体" w:eastAsia="宋体" w:cs="宋体"/>
          <w:color w:val="auto"/>
          <w:spacing w:val="7"/>
          <w:sz w:val="19"/>
          <w:szCs w:val="19"/>
          <w:highlight w:val="none"/>
        </w:rPr>
        <w:t>自行调走主要施工机械，经发现不及时调回的，违约金额</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为履约保证金金额的</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5% ~ 20%</w:t>
      </w:r>
      <w:r>
        <w:rPr>
          <w:rFonts w:ascii="宋体" w:hAnsi="宋体" w:eastAsia="宋体" w:cs="宋体"/>
          <w:color w:val="auto"/>
          <w:spacing w:val="51"/>
          <w:sz w:val="19"/>
          <w:szCs w:val="19"/>
          <w:highlight w:val="none"/>
        </w:rPr>
        <w:t xml:space="preserve"> </w:t>
      </w:r>
      <w:r>
        <w:rPr>
          <w:rFonts w:ascii="宋体" w:hAnsi="宋体" w:eastAsia="宋体" w:cs="宋体"/>
          <w:color w:val="auto"/>
          <w:spacing w:val="5"/>
          <w:sz w:val="19"/>
          <w:szCs w:val="19"/>
          <w:highlight w:val="none"/>
        </w:rPr>
        <w:t>(视情节严重而定)。</w:t>
      </w:r>
    </w:p>
    <w:p w14:paraId="48D99F4C">
      <w:pPr>
        <w:spacing w:before="117" w:line="285" w:lineRule="auto"/>
        <w:ind w:left="25" w:right="63"/>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所有以上违约金额均在承包人的履约保证金(包括银行利息)及计</w:t>
      </w:r>
      <w:r>
        <w:rPr>
          <w:rFonts w:ascii="宋体" w:hAnsi="宋体" w:eastAsia="宋体" w:cs="宋体"/>
          <w:color w:val="auto"/>
          <w:spacing w:val="5"/>
          <w:sz w:val="19"/>
          <w:szCs w:val="19"/>
          <w:highlight w:val="none"/>
        </w:rPr>
        <w:t>量支付款内扣 除，承</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包人履约保证金被扣除后，</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由发包人从最后一次计量支付时扣相应金额补足履约保证金。</w:t>
      </w:r>
    </w:p>
    <w:p w14:paraId="57F28495">
      <w:pPr>
        <w:spacing w:before="118" w:line="313" w:lineRule="auto"/>
        <w:ind w:left="25"/>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承包人的人员机械进场必须按照合同书</w:t>
      </w:r>
      <w:r>
        <w:rPr>
          <w:rFonts w:ascii="宋体" w:hAnsi="宋体" w:eastAsia="宋体" w:cs="宋体"/>
          <w:color w:val="auto"/>
          <w:spacing w:val="7"/>
          <w:sz w:val="19"/>
          <w:szCs w:val="19"/>
          <w:highlight w:val="none"/>
        </w:rPr>
        <w:t>或根据工程实际调整经监理人和发包人确认的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人员和机械进场时间表进场，承包人不得拖延、调换或减少。主要机械</w:t>
      </w:r>
      <w:r>
        <w:rPr>
          <w:rFonts w:ascii="宋体" w:hAnsi="宋体" w:eastAsia="宋体" w:cs="宋体"/>
          <w:color w:val="auto"/>
          <w:spacing w:val="8"/>
          <w:sz w:val="19"/>
          <w:szCs w:val="19"/>
          <w:highlight w:val="none"/>
        </w:rPr>
        <w:t>的数量、型号和劳动力、</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材料的投入，应与合同相符，若发包人或建设主管部门认为合同规定的进场机 械、材料和劳动</w:t>
      </w:r>
      <w:r>
        <w:rPr>
          <w:rFonts w:ascii="宋体" w:hAnsi="宋体" w:eastAsia="宋体" w:cs="宋体"/>
          <w:color w:val="auto"/>
          <w:spacing w:val="18"/>
          <w:sz w:val="19"/>
          <w:szCs w:val="19"/>
          <w:highlight w:val="none"/>
        </w:rPr>
        <w:t xml:space="preserve"> </w:t>
      </w:r>
      <w:r>
        <w:rPr>
          <w:rFonts w:ascii="宋体" w:hAnsi="宋体" w:eastAsia="宋体" w:cs="宋体"/>
          <w:color w:val="auto"/>
          <w:spacing w:val="9"/>
          <w:sz w:val="19"/>
          <w:szCs w:val="19"/>
          <w:highlight w:val="none"/>
        </w:rPr>
        <w:t>力不能满足施工进度要求，有权指令承包人增加机械、材料和劳动力投入, 承包人不得拒绝。</w:t>
      </w:r>
    </w:p>
    <w:p w14:paraId="32659DA2">
      <w:pPr>
        <w:spacing w:before="121" w:line="284" w:lineRule="auto"/>
        <w:ind w:left="25" w:right="63"/>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(5)      </w:t>
      </w:r>
      <w:r>
        <w:rPr>
          <w:rFonts w:ascii="宋体" w:hAnsi="宋体" w:eastAsia="宋体" w:cs="宋体"/>
          <w:color w:val="auto"/>
          <w:spacing w:val="5"/>
          <w:sz w:val="19"/>
          <w:szCs w:val="19"/>
          <w:highlight w:val="none"/>
        </w:rPr>
        <w:t>合同签订之日起</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15</w:t>
      </w:r>
      <w:r>
        <w:rPr>
          <w:rFonts w:ascii="宋体" w:hAnsi="宋体" w:eastAsia="宋体" w:cs="宋体"/>
          <w:color w:val="auto"/>
          <w:spacing w:val="4"/>
          <w:sz w:val="19"/>
          <w:szCs w:val="19"/>
          <w:highlight w:val="none"/>
        </w:rPr>
        <w:t xml:space="preserve"> 日内，承包人无法按合同规定进场全部人员和机械时，作为承包人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违约，发包人可解除合同，没收其全部履约保</w:t>
      </w:r>
      <w:r>
        <w:rPr>
          <w:rFonts w:ascii="宋体" w:hAnsi="宋体" w:eastAsia="宋体" w:cs="宋体"/>
          <w:color w:val="auto"/>
          <w:spacing w:val="8"/>
          <w:sz w:val="19"/>
          <w:szCs w:val="19"/>
          <w:highlight w:val="none"/>
        </w:rPr>
        <w:t>证金，另行发包工程。</w:t>
      </w:r>
    </w:p>
    <w:p w14:paraId="224E7EB6">
      <w:pPr>
        <w:spacing w:before="119" w:line="304" w:lineRule="auto"/>
        <w:ind w:left="28" w:right="60" w:hanging="2"/>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(6)    </w:t>
      </w:r>
      <w:r>
        <w:rPr>
          <w:rFonts w:ascii="宋体" w:hAnsi="宋体" w:eastAsia="宋体" w:cs="宋体"/>
          <w:color w:val="auto"/>
          <w:spacing w:val="6"/>
          <w:sz w:val="19"/>
          <w:szCs w:val="19"/>
          <w:highlight w:val="none"/>
        </w:rPr>
        <w:t xml:space="preserve">合同履行过程中，承包人未按规定要求落实安全生产措施费用专款专用，挪用、 </w:t>
      </w:r>
      <w:r>
        <w:rPr>
          <w:rFonts w:ascii="宋体" w:hAnsi="宋体" w:eastAsia="宋体" w:cs="宋体"/>
          <w:color w:val="auto"/>
          <w:spacing w:val="5"/>
          <w:sz w:val="19"/>
          <w:szCs w:val="19"/>
          <w:highlight w:val="none"/>
        </w:rPr>
        <w:t>扣减</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安全生产措施费用，且不服从发包人或监理人的安全生产管理，</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发包人有权对违反安 全生产相</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关规定的行为处以罚款直至终止合同。</w:t>
      </w:r>
    </w:p>
    <w:p w14:paraId="601946C1">
      <w:pPr>
        <w:spacing w:before="117" w:line="228" w:lineRule="auto"/>
        <w:ind w:left="26"/>
        <w:rPr>
          <w:rFonts w:ascii="宋体" w:hAnsi="宋体" w:eastAsia="宋体" w:cs="宋体"/>
          <w:color w:val="auto"/>
          <w:spacing w:val="6"/>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承包人生活设施</w:t>
      </w:r>
      <w:r>
        <w:rPr>
          <w:rFonts w:ascii="宋体" w:hAnsi="宋体" w:eastAsia="宋体" w:cs="宋体"/>
          <w:color w:val="auto"/>
          <w:spacing w:val="6"/>
          <w:sz w:val="19"/>
          <w:szCs w:val="19"/>
          <w:highlight w:val="none"/>
        </w:rPr>
        <w:t>及施工场地，应自费配备消防设备，防止火灾发生。</w:t>
      </w:r>
    </w:p>
    <w:p w14:paraId="52793B03">
      <w:pPr>
        <w:pStyle w:val="6"/>
        <w:rPr>
          <w:rFonts w:ascii="宋体" w:hAnsi="宋体" w:eastAsia="宋体" w:cs="宋体"/>
          <w:color w:val="auto"/>
          <w:spacing w:val="6"/>
          <w:sz w:val="19"/>
          <w:szCs w:val="19"/>
          <w:highlight w:val="none"/>
        </w:rPr>
      </w:pPr>
    </w:p>
    <w:p w14:paraId="6FD9826E">
      <w:pPr>
        <w:spacing w:before="61" w:line="228" w:lineRule="auto"/>
        <w:ind w:left="25" w:firstLine="408" w:firstLineChars="200"/>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7.     </w:t>
      </w:r>
      <w:r>
        <w:rPr>
          <w:rFonts w:ascii="宋体" w:hAnsi="宋体" w:eastAsia="宋体" w:cs="宋体"/>
          <w:color w:val="auto"/>
          <w:spacing w:val="7"/>
          <w:sz w:val="19"/>
          <w:szCs w:val="19"/>
          <w:highlight w:val="none"/>
        </w:rPr>
        <w:t>承包人使用的劳动力均应进行</w:t>
      </w:r>
      <w:r>
        <w:rPr>
          <w:rFonts w:ascii="宋体" w:hAnsi="宋体" w:eastAsia="宋体" w:cs="宋体"/>
          <w:color w:val="auto"/>
          <w:spacing w:val="6"/>
          <w:sz w:val="19"/>
          <w:szCs w:val="19"/>
          <w:highlight w:val="none"/>
        </w:rPr>
        <w:t>保险，</w:t>
      </w:r>
      <w:r>
        <w:rPr>
          <w:rFonts w:ascii="宋体" w:hAnsi="宋体" w:eastAsia="宋体" w:cs="宋体"/>
          <w:color w:val="auto"/>
          <w:spacing w:val="-40"/>
          <w:sz w:val="19"/>
          <w:szCs w:val="19"/>
          <w:highlight w:val="none"/>
        </w:rPr>
        <w:t xml:space="preserve"> </w:t>
      </w:r>
      <w:r>
        <w:rPr>
          <w:rFonts w:ascii="宋体" w:hAnsi="宋体" w:eastAsia="宋体" w:cs="宋体"/>
          <w:color w:val="auto"/>
          <w:spacing w:val="6"/>
          <w:sz w:val="19"/>
          <w:szCs w:val="19"/>
          <w:highlight w:val="none"/>
        </w:rPr>
        <w:t>否则不准安排工作，禁止使用童工。</w:t>
      </w:r>
    </w:p>
    <w:p w14:paraId="0BA75E59">
      <w:pPr>
        <w:spacing w:before="119" w:line="303" w:lineRule="auto"/>
        <w:ind w:left="24" w:right="77" w:firstLine="42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8. 凡竞争性磋商文件的合同条件、技术规</w:t>
      </w:r>
      <w:r>
        <w:rPr>
          <w:rFonts w:ascii="宋体" w:hAnsi="宋体" w:eastAsia="宋体" w:cs="宋体"/>
          <w:color w:val="auto"/>
          <w:spacing w:val="8"/>
          <w:sz w:val="19"/>
          <w:szCs w:val="19"/>
          <w:highlight w:val="none"/>
        </w:rPr>
        <w:t>范、设计图纸没有明显提及或明显遗漏或明显错</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误的，应以国内现行规范解释为依据，或以国内惯例解释处理。承包人发现后应及时向监理工</w:t>
      </w:r>
      <w:r>
        <w:rPr>
          <w:rFonts w:ascii="宋体" w:hAnsi="宋体" w:eastAsia="宋体" w:cs="宋体"/>
          <w:color w:val="auto"/>
          <w:spacing w:val="2"/>
          <w:sz w:val="19"/>
          <w:szCs w:val="19"/>
          <w:highlight w:val="none"/>
        </w:rPr>
        <w:t xml:space="preserve"> </w:t>
      </w:r>
      <w:r>
        <w:rPr>
          <w:rFonts w:ascii="宋体" w:hAnsi="宋体" w:eastAsia="宋体" w:cs="宋体"/>
          <w:color w:val="auto"/>
          <w:spacing w:val="9"/>
          <w:sz w:val="19"/>
          <w:szCs w:val="19"/>
          <w:highlight w:val="none"/>
        </w:rPr>
        <w:t>程师报告，防止造成损失，并不利用以上文件的含糊、遗漏、错误或缺点索取利益。</w:t>
      </w:r>
    </w:p>
    <w:p w14:paraId="5E8A6999">
      <w:pPr>
        <w:spacing w:before="123" w:line="315" w:lineRule="auto"/>
        <w:ind w:left="24" w:right="76" w:firstLine="40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承包人未能按时完成当月合同进度计划 70% 工程量的，发包人有权自行组织施工，</w:t>
      </w:r>
      <w:r>
        <w:rPr>
          <w:rFonts w:ascii="宋体" w:hAnsi="宋体" w:eastAsia="宋体" w:cs="宋体"/>
          <w:color w:val="auto"/>
          <w:spacing w:val="77"/>
          <w:sz w:val="19"/>
          <w:szCs w:val="19"/>
          <w:highlight w:val="none"/>
        </w:rPr>
        <w:t xml:space="preserve"> </w:t>
      </w:r>
      <w:r>
        <w:rPr>
          <w:rFonts w:ascii="宋体" w:hAnsi="宋体" w:eastAsia="宋体" w:cs="宋体"/>
          <w:color w:val="auto"/>
          <w:spacing w:val="7"/>
          <w:sz w:val="19"/>
          <w:szCs w:val="19"/>
          <w:highlight w:val="none"/>
        </w:rPr>
        <w:t>以</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不超过竞标报价的</w:t>
      </w:r>
      <w:r>
        <w:rPr>
          <w:rFonts w:ascii="宋体" w:hAnsi="宋体" w:eastAsia="宋体" w:cs="宋体"/>
          <w:color w:val="auto"/>
          <w:spacing w:val="-33"/>
          <w:sz w:val="19"/>
          <w:szCs w:val="19"/>
          <w:highlight w:val="none"/>
        </w:rPr>
        <w:t xml:space="preserve"> </w:t>
      </w:r>
      <w:r>
        <w:rPr>
          <w:rFonts w:ascii="宋体" w:hAnsi="宋体" w:eastAsia="宋体" w:cs="宋体"/>
          <w:color w:val="auto"/>
          <w:spacing w:val="9"/>
          <w:sz w:val="19"/>
          <w:szCs w:val="19"/>
          <w:highlight w:val="none"/>
        </w:rPr>
        <w:t>2</w:t>
      </w:r>
      <w:r>
        <w:rPr>
          <w:rFonts w:ascii="宋体" w:hAnsi="宋体" w:eastAsia="宋体" w:cs="宋体"/>
          <w:color w:val="auto"/>
          <w:spacing w:val="-36"/>
          <w:sz w:val="19"/>
          <w:szCs w:val="19"/>
          <w:highlight w:val="none"/>
        </w:rPr>
        <w:t xml:space="preserve"> </w:t>
      </w:r>
      <w:r>
        <w:rPr>
          <w:rFonts w:ascii="宋体" w:hAnsi="宋体" w:eastAsia="宋体" w:cs="宋体"/>
          <w:color w:val="auto"/>
          <w:spacing w:val="9"/>
          <w:sz w:val="19"/>
          <w:szCs w:val="19"/>
          <w:highlight w:val="none"/>
        </w:rPr>
        <w:t>倍单价扣减承包人的进度款，支付自行组织施工完成的工程款。也</w:t>
      </w:r>
      <w:r>
        <w:rPr>
          <w:rFonts w:ascii="宋体" w:hAnsi="宋体" w:eastAsia="宋体" w:cs="宋体"/>
          <w:color w:val="auto"/>
          <w:spacing w:val="8"/>
          <w:sz w:val="19"/>
          <w:szCs w:val="19"/>
          <w:highlight w:val="none"/>
        </w:rPr>
        <w:t xml:space="preserve"> 有权终</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止本合同并清退承包人，承包人须在 10 天内离场，</w:t>
      </w:r>
      <w:r>
        <w:rPr>
          <w:rFonts w:ascii="宋体" w:hAnsi="宋体" w:eastAsia="宋体" w:cs="宋体"/>
          <w:color w:val="auto"/>
          <w:spacing w:val="-47"/>
          <w:sz w:val="19"/>
          <w:szCs w:val="19"/>
          <w:highlight w:val="none"/>
        </w:rPr>
        <w:t xml:space="preserve"> </w:t>
      </w:r>
      <w:r>
        <w:rPr>
          <w:rFonts w:ascii="宋体" w:hAnsi="宋体" w:eastAsia="宋体" w:cs="宋体"/>
          <w:color w:val="auto"/>
          <w:spacing w:val="8"/>
          <w:sz w:val="19"/>
          <w:szCs w:val="19"/>
          <w:highlight w:val="none"/>
        </w:rPr>
        <w:t>否则发包人将强行撤出所有施工 设备，所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造成的全部损失由承包人承担。</w:t>
      </w:r>
    </w:p>
    <w:p w14:paraId="2DC2DB93">
      <w:pPr>
        <w:spacing w:before="38" w:line="329" w:lineRule="auto"/>
        <w:ind w:left="26" w:right="74" w:firstLine="414"/>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10. 有关主管部门及发包人检查发现问题时，承包人应按要求整</w:t>
      </w:r>
      <w:r>
        <w:rPr>
          <w:rFonts w:ascii="宋体" w:hAnsi="宋体" w:eastAsia="宋体" w:cs="宋体"/>
          <w:color w:val="auto"/>
          <w:spacing w:val="8"/>
          <w:sz w:val="19"/>
          <w:szCs w:val="19"/>
          <w:highlight w:val="none"/>
        </w:rPr>
        <w:t>改。在规定时间内不进 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整改或整改无效的，发包人有权终止本施工合同并清退承包人。承包人须在 10 天内离 场，否</w:t>
      </w:r>
      <w:r>
        <w:rPr>
          <w:rFonts w:ascii="宋体" w:hAnsi="宋体" w:eastAsia="宋体" w:cs="宋体"/>
          <w:color w:val="auto"/>
          <w:spacing w:val="2"/>
          <w:sz w:val="19"/>
          <w:szCs w:val="19"/>
          <w:highlight w:val="none"/>
        </w:rPr>
        <w:t xml:space="preserve"> </w:t>
      </w:r>
      <w:r>
        <w:rPr>
          <w:rFonts w:ascii="宋体" w:hAnsi="宋体" w:eastAsia="宋体" w:cs="宋体"/>
          <w:color w:val="auto"/>
          <w:spacing w:val="7"/>
          <w:sz w:val="19"/>
          <w:szCs w:val="19"/>
          <w:highlight w:val="none"/>
        </w:rPr>
        <w:t>则发包人将强行撤出所有施工设备，</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所造成的全部损失由承包人</w:t>
      </w:r>
      <w:r>
        <w:rPr>
          <w:rFonts w:ascii="宋体" w:hAnsi="宋体" w:eastAsia="宋体" w:cs="宋体"/>
          <w:color w:val="auto"/>
          <w:spacing w:val="6"/>
          <w:sz w:val="19"/>
          <w:szCs w:val="19"/>
          <w:highlight w:val="none"/>
        </w:rPr>
        <w:t>承担。</w:t>
      </w:r>
    </w:p>
    <w:p w14:paraId="10F19400">
      <w:pPr>
        <w:spacing w:before="192" w:line="191" w:lineRule="auto"/>
        <w:ind w:left="30"/>
        <w:rPr>
          <w:rFonts w:ascii="宋体" w:hAnsi="宋体" w:eastAsia="宋体" w:cs="宋体"/>
          <w:color w:val="auto"/>
          <w:sz w:val="19"/>
          <w:szCs w:val="19"/>
          <w:highlight w:val="none"/>
        </w:rPr>
      </w:pPr>
      <w:r>
        <w:rPr>
          <w:rFonts w:ascii="宋体" w:hAnsi="宋体" w:eastAsia="宋体" w:cs="宋体"/>
          <w:b/>
          <w:bCs/>
          <w:color w:val="auto"/>
          <w:spacing w:val="6"/>
          <w:sz w:val="24"/>
          <w:szCs w:val="24"/>
          <w:highlight w:val="none"/>
        </w:rPr>
        <w:t>25.2</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19"/>
          <w:szCs w:val="19"/>
          <w:highlight w:val="none"/>
        </w:rPr>
        <w:t>发包人所有付款（含预付款）</w:t>
      </w:r>
      <w:r>
        <w:rPr>
          <w:rFonts w:ascii="宋体" w:hAnsi="宋体" w:eastAsia="宋体" w:cs="宋体"/>
          <w:color w:val="auto"/>
          <w:spacing w:val="-45"/>
          <w:sz w:val="19"/>
          <w:szCs w:val="19"/>
          <w:highlight w:val="none"/>
        </w:rPr>
        <w:t xml:space="preserve"> </w:t>
      </w:r>
      <w:r>
        <w:rPr>
          <w:rFonts w:ascii="宋体" w:hAnsi="宋体" w:eastAsia="宋体" w:cs="宋体"/>
          <w:color w:val="auto"/>
          <w:spacing w:val="6"/>
          <w:sz w:val="19"/>
          <w:szCs w:val="19"/>
          <w:highlight w:val="none"/>
        </w:rPr>
        <w:t>均转入如下承包人单位基本账户</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（签订施工</w:t>
      </w:r>
      <w:r>
        <w:rPr>
          <w:rFonts w:ascii="宋体" w:hAnsi="宋体" w:eastAsia="宋体" w:cs="宋体"/>
          <w:color w:val="auto"/>
          <w:spacing w:val="5"/>
          <w:sz w:val="19"/>
          <w:szCs w:val="19"/>
          <w:highlight w:val="none"/>
        </w:rPr>
        <w:t>合同时标</w:t>
      </w:r>
    </w:p>
    <w:p w14:paraId="70F13381">
      <w:pPr>
        <w:spacing w:before="179" w:line="363" w:lineRule="auto"/>
        <w:ind w:left="28" w:firstLine="1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明</w:t>
      </w:r>
      <w:r>
        <w:rPr>
          <w:rFonts w:ascii="宋体" w:hAnsi="宋体" w:eastAsia="宋体" w:cs="宋体"/>
          <w:color w:val="auto"/>
          <w:spacing w:val="2"/>
          <w:sz w:val="19"/>
          <w:szCs w:val="19"/>
          <w:highlight w:val="none"/>
        </w:rPr>
        <w:t>），</w:t>
      </w:r>
      <w:r>
        <w:rPr>
          <w:rFonts w:ascii="宋体" w:hAnsi="宋体" w:eastAsia="宋体" w:cs="宋体"/>
          <w:color w:val="auto"/>
          <w:spacing w:val="9"/>
          <w:sz w:val="19"/>
          <w:szCs w:val="19"/>
          <w:highlight w:val="none"/>
        </w:rPr>
        <w:t>承包人单位基本账户发生改变时，承包人应书面通知（法定代表人签字并加盖单位公</w:t>
      </w:r>
      <w:r>
        <w:rPr>
          <w:rFonts w:ascii="宋体" w:hAnsi="宋体" w:eastAsia="宋体" w:cs="宋体"/>
          <w:color w:val="auto"/>
          <w:spacing w:val="8"/>
          <w:sz w:val="19"/>
          <w:szCs w:val="19"/>
          <w:highlight w:val="none"/>
        </w:rPr>
        <w:t>章）</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发包人。</w:t>
      </w:r>
    </w:p>
    <w:p w14:paraId="387C0BB5">
      <w:pPr>
        <w:spacing w:before="68" w:line="192" w:lineRule="auto"/>
        <w:ind w:left="30"/>
        <w:rPr>
          <w:color w:val="auto"/>
          <w:highlight w:val="none"/>
        </w:rPr>
        <w:sectPr>
          <w:footerReference r:id="rId119" w:type="default"/>
          <w:pgSz w:w="11900" w:h="16832"/>
          <w:pgMar w:top="400" w:right="1784" w:bottom="1022" w:left="1784" w:header="0" w:footer="815" w:gutter="0"/>
          <w:pgNumType w:fmt="decimal"/>
          <w:cols w:space="720" w:num="1"/>
        </w:sectPr>
      </w:pPr>
      <w:r>
        <w:rPr>
          <w:rFonts w:ascii="宋体" w:hAnsi="宋体" w:eastAsia="宋体" w:cs="宋体"/>
          <w:b/>
          <w:bCs/>
          <w:color w:val="auto"/>
          <w:spacing w:val="7"/>
          <w:sz w:val="24"/>
          <w:szCs w:val="24"/>
          <w:highlight w:val="none"/>
        </w:rPr>
        <w:t>25.3</w:t>
      </w:r>
      <w:r>
        <w:rPr>
          <w:rFonts w:ascii="宋体" w:hAnsi="宋体" w:eastAsia="宋体" w:cs="宋体"/>
          <w:color w:val="auto"/>
          <w:spacing w:val="-44"/>
          <w:sz w:val="24"/>
          <w:szCs w:val="24"/>
          <w:highlight w:val="none"/>
        </w:rPr>
        <w:t xml:space="preserve"> </w:t>
      </w:r>
      <w:r>
        <w:rPr>
          <w:rFonts w:ascii="宋体" w:hAnsi="宋体" w:eastAsia="宋体" w:cs="宋体"/>
          <w:color w:val="auto"/>
          <w:spacing w:val="7"/>
          <w:sz w:val="19"/>
          <w:szCs w:val="19"/>
          <w:highlight w:val="none"/>
        </w:rPr>
        <w:t>专用合同条款中未尽事宜，在签订施工合同时双方再商定。</w:t>
      </w:r>
    </w:p>
    <w:p w14:paraId="10CAA145">
      <w:pPr>
        <w:spacing w:before="100" w:line="224" w:lineRule="auto"/>
        <w:rPr>
          <w:rFonts w:ascii="宋体" w:hAnsi="宋体" w:eastAsia="宋体" w:cs="宋体"/>
          <w:b/>
          <w:bCs/>
          <w:color w:val="auto"/>
          <w:spacing w:val="6"/>
          <w:sz w:val="31"/>
          <w:szCs w:val="31"/>
          <w:highlight w:val="none"/>
        </w:rPr>
      </w:pPr>
    </w:p>
    <w:p w14:paraId="3FFB79A8">
      <w:pPr>
        <w:spacing w:before="100" w:line="224" w:lineRule="auto"/>
        <w:jc w:val="center"/>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第三节合同附件格式</w:t>
      </w:r>
    </w:p>
    <w:p w14:paraId="27045DD6">
      <w:pPr>
        <w:spacing w:line="224" w:lineRule="auto"/>
        <w:jc w:val="center"/>
        <w:rPr>
          <w:rFonts w:ascii="宋体" w:hAnsi="宋体" w:eastAsia="宋体" w:cs="宋体"/>
          <w:color w:val="auto"/>
          <w:sz w:val="31"/>
          <w:szCs w:val="31"/>
          <w:highlight w:val="none"/>
        </w:rPr>
      </w:pPr>
    </w:p>
    <w:p w14:paraId="3A465D25">
      <w:pPr>
        <w:spacing w:before="100" w:line="224" w:lineRule="auto"/>
        <w:ind w:left="55"/>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附件一：合同协议书</w:t>
      </w:r>
    </w:p>
    <w:p w14:paraId="4A6991B7">
      <w:pPr>
        <w:spacing w:line="253" w:lineRule="auto"/>
        <w:rPr>
          <w:rFonts w:ascii="Arial"/>
          <w:color w:val="auto"/>
          <w:sz w:val="21"/>
          <w:highlight w:val="none"/>
        </w:rPr>
      </w:pPr>
    </w:p>
    <w:p w14:paraId="6CE8C50D">
      <w:pPr>
        <w:spacing w:line="254" w:lineRule="auto"/>
        <w:rPr>
          <w:rFonts w:ascii="Arial"/>
          <w:color w:val="auto"/>
          <w:sz w:val="21"/>
          <w:highlight w:val="none"/>
        </w:rPr>
      </w:pPr>
    </w:p>
    <w:p w14:paraId="14E99FC4">
      <w:pPr>
        <w:spacing w:before="78" w:line="219" w:lineRule="auto"/>
        <w:ind w:left="3573"/>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合同协议书</w:t>
      </w:r>
    </w:p>
    <w:p w14:paraId="316160BC">
      <w:pPr>
        <w:spacing w:line="289" w:lineRule="auto"/>
        <w:rPr>
          <w:rFonts w:ascii="Arial"/>
          <w:color w:val="auto"/>
          <w:sz w:val="21"/>
          <w:highlight w:val="none"/>
        </w:rPr>
      </w:pPr>
    </w:p>
    <w:p w14:paraId="397CC78B">
      <w:pPr>
        <w:spacing w:line="290" w:lineRule="auto"/>
        <w:rPr>
          <w:rFonts w:ascii="Arial"/>
          <w:color w:val="auto"/>
          <w:sz w:val="21"/>
          <w:highlight w:val="none"/>
        </w:rPr>
      </w:pPr>
    </w:p>
    <w:p w14:paraId="4E301627">
      <w:pPr>
        <w:spacing w:before="62" w:line="245" w:lineRule="auto"/>
        <w:ind w:left="28" w:right="28" w:firstLine="427"/>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（发包人名称，</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以下简称“发包人</w:t>
      </w:r>
      <w:r>
        <w:rPr>
          <w:rFonts w:ascii="宋体" w:hAnsi="宋体" w:eastAsia="宋体" w:cs="宋体"/>
          <w:color w:val="auto"/>
          <w:spacing w:val="-69"/>
          <w:sz w:val="19"/>
          <w:szCs w:val="19"/>
          <w:highlight w:val="none"/>
        </w:rPr>
        <w:t xml:space="preserve"> </w:t>
      </w:r>
      <w:r>
        <w:rPr>
          <w:rFonts w:ascii="宋体" w:hAnsi="宋体" w:eastAsia="宋体" w:cs="宋体"/>
          <w:color w:val="auto"/>
          <w:spacing w:val="6"/>
          <w:sz w:val="19"/>
          <w:szCs w:val="19"/>
          <w:highlight w:val="none"/>
        </w:rPr>
        <w:t>”）为实施   （项目名称</w:t>
      </w:r>
      <w:r>
        <w:rPr>
          <w:rFonts w:ascii="宋体" w:hAnsi="宋体" w:eastAsia="宋体" w:cs="宋体"/>
          <w:color w:val="auto"/>
          <w:spacing w:val="11"/>
          <w:sz w:val="19"/>
          <w:szCs w:val="19"/>
          <w:highlight w:val="none"/>
        </w:rPr>
        <w:t>），</w:t>
      </w:r>
      <w:r>
        <w:rPr>
          <w:rFonts w:ascii="宋体" w:hAnsi="宋体" w:eastAsia="宋体" w:cs="宋体"/>
          <w:color w:val="auto"/>
          <w:spacing w:val="6"/>
          <w:sz w:val="19"/>
          <w:szCs w:val="19"/>
          <w:highlight w:val="none"/>
        </w:rPr>
        <w:t>已接受</w:t>
      </w:r>
      <w:r>
        <w:rPr>
          <w:rFonts w:ascii="宋体" w:hAnsi="宋体" w:eastAsia="宋体" w:cs="宋体"/>
          <w:color w:val="auto"/>
          <w:spacing w:val="-91"/>
          <w:sz w:val="19"/>
          <w:szCs w:val="19"/>
          <w:highlight w:val="none"/>
        </w:rPr>
        <w:t xml:space="preserve"> </w:t>
      </w:r>
      <w:r>
        <w:rPr>
          <w:rFonts w:ascii="宋体" w:hAnsi="宋体" w:eastAsia="宋体" w:cs="宋体"/>
          <w:color w:val="auto"/>
          <w:spacing w:val="10"/>
          <w:sz w:val="19"/>
          <w:szCs w:val="19"/>
          <w:highlight w:val="none"/>
          <w:u w:val="single" w:color="auto"/>
        </w:rPr>
        <w:t xml:space="preserve">    </w:t>
      </w:r>
      <w:r>
        <w:rPr>
          <w:rFonts w:ascii="宋体" w:hAnsi="宋体" w:eastAsia="宋体" w:cs="宋体"/>
          <w:color w:val="auto"/>
          <w:spacing w:val="6"/>
          <w:sz w:val="19"/>
          <w:szCs w:val="19"/>
          <w:highlight w:val="none"/>
        </w:rPr>
        <w:t xml:space="preserve">  （承包人</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名称，以下简称“承包人</w:t>
      </w:r>
      <w:r>
        <w:rPr>
          <w:rFonts w:ascii="宋体" w:hAnsi="宋体" w:eastAsia="宋体" w:cs="宋体"/>
          <w:color w:val="auto"/>
          <w:spacing w:val="-67"/>
          <w:sz w:val="19"/>
          <w:szCs w:val="19"/>
          <w:highlight w:val="none"/>
        </w:rPr>
        <w:t xml:space="preserve"> </w:t>
      </w:r>
      <w:r>
        <w:rPr>
          <w:rFonts w:ascii="宋体" w:hAnsi="宋体" w:eastAsia="宋体" w:cs="宋体"/>
          <w:color w:val="auto"/>
          <w:spacing w:val="6"/>
          <w:sz w:val="19"/>
          <w:szCs w:val="19"/>
          <w:highlight w:val="none"/>
        </w:rPr>
        <w:t>”）对该项目</w:t>
      </w:r>
      <w:r>
        <w:rPr>
          <w:rFonts w:ascii="宋体" w:hAnsi="宋体" w:eastAsia="宋体" w:cs="宋体"/>
          <w:color w:val="auto"/>
          <w:spacing w:val="-92"/>
          <w:sz w:val="19"/>
          <w:szCs w:val="19"/>
          <w:highlight w:val="none"/>
        </w:rPr>
        <w:t xml:space="preserve"> </w:t>
      </w:r>
      <w:r>
        <w:rPr>
          <w:rFonts w:ascii="宋体" w:hAnsi="宋体" w:eastAsia="宋体" w:cs="宋体"/>
          <w:color w:val="auto"/>
          <w:spacing w:val="31"/>
          <w:sz w:val="19"/>
          <w:szCs w:val="19"/>
          <w:highlight w:val="none"/>
          <w:u w:val="single" w:color="auto"/>
        </w:rPr>
        <w:t xml:space="preserve">   </w:t>
      </w:r>
      <w:r>
        <w:rPr>
          <w:rFonts w:ascii="宋体" w:hAnsi="宋体" w:eastAsia="宋体" w:cs="宋体"/>
          <w:color w:val="auto"/>
          <w:spacing w:val="6"/>
          <w:sz w:val="19"/>
          <w:szCs w:val="19"/>
          <w:highlight w:val="none"/>
        </w:rPr>
        <w:t>（项目名称</w:t>
      </w:r>
      <w:r>
        <w:rPr>
          <w:rFonts w:ascii="宋体" w:hAnsi="宋体" w:eastAsia="宋体" w:cs="宋体"/>
          <w:color w:val="auto"/>
          <w:spacing w:val="2"/>
          <w:sz w:val="19"/>
          <w:szCs w:val="19"/>
          <w:highlight w:val="none"/>
        </w:rPr>
        <w:t>）</w:t>
      </w:r>
      <w:r>
        <w:rPr>
          <w:rFonts w:ascii="宋体" w:hAnsi="宋体" w:eastAsia="宋体" w:cs="宋体"/>
          <w:color w:val="auto"/>
          <w:spacing w:val="18"/>
          <w:sz w:val="19"/>
          <w:szCs w:val="19"/>
          <w:highlight w:val="none"/>
        </w:rPr>
        <w:t xml:space="preserve">  </w:t>
      </w:r>
      <w:r>
        <w:rPr>
          <w:rFonts w:ascii="宋体" w:hAnsi="宋体" w:eastAsia="宋体" w:cs="宋体"/>
          <w:color w:val="auto"/>
          <w:spacing w:val="2"/>
          <w:sz w:val="19"/>
          <w:szCs w:val="19"/>
          <w:highlight w:val="none"/>
        </w:rPr>
        <w:t>（</w:t>
      </w:r>
      <w:r>
        <w:rPr>
          <w:rFonts w:ascii="宋体" w:hAnsi="宋体" w:eastAsia="宋体" w:cs="宋体"/>
          <w:color w:val="auto"/>
          <w:spacing w:val="6"/>
          <w:sz w:val="19"/>
          <w:szCs w:val="19"/>
          <w:highlight w:val="none"/>
        </w:rPr>
        <w:t>标段名称）的竞标，并确定其为成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交人。发包人和承包人共同达成如下协议。</w:t>
      </w:r>
    </w:p>
    <w:p w14:paraId="1B43C826">
      <w:pPr>
        <w:spacing w:before="103" w:line="228"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本协议书与下列文件一起构成合同文件：</w:t>
      </w:r>
    </w:p>
    <w:p w14:paraId="06A45B43">
      <w:pPr>
        <w:spacing w:before="116" w:line="228" w:lineRule="auto"/>
        <w:ind w:left="455"/>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    成交通知书；</w:t>
      </w:r>
    </w:p>
    <w:p w14:paraId="1E04324E">
      <w:pPr>
        <w:spacing w:before="118" w:line="228" w:lineRule="auto"/>
        <w:ind w:left="455"/>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（2）</w:t>
      </w:r>
      <w:r>
        <w:rPr>
          <w:rFonts w:ascii="宋体" w:hAnsi="宋体" w:eastAsia="宋体" w:cs="宋体"/>
          <w:color w:val="auto"/>
          <w:spacing w:val="29"/>
          <w:sz w:val="19"/>
          <w:szCs w:val="19"/>
          <w:highlight w:val="none"/>
        </w:rPr>
        <w:t xml:space="preserve">   </w:t>
      </w:r>
      <w:r>
        <w:rPr>
          <w:rFonts w:ascii="宋体" w:hAnsi="宋体" w:eastAsia="宋体" w:cs="宋体"/>
          <w:color w:val="auto"/>
          <w:spacing w:val="2"/>
          <w:sz w:val="19"/>
          <w:szCs w:val="19"/>
          <w:highlight w:val="none"/>
        </w:rPr>
        <w:t>磋商函及磋商函附录；</w:t>
      </w:r>
    </w:p>
    <w:p w14:paraId="5C548C6B">
      <w:pPr>
        <w:spacing w:before="118" w:line="228" w:lineRule="auto"/>
        <w:ind w:left="455"/>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专用合同条款（含附加条款</w:t>
      </w:r>
      <w:r>
        <w:rPr>
          <w:rFonts w:ascii="宋体" w:hAnsi="宋体" w:eastAsia="宋体" w:cs="宋体"/>
          <w:color w:val="auto"/>
          <w:spacing w:val="-8"/>
          <w:sz w:val="19"/>
          <w:szCs w:val="19"/>
          <w:highlight w:val="none"/>
        </w:rPr>
        <w:t>）；</w:t>
      </w:r>
    </w:p>
    <w:p w14:paraId="364054A6">
      <w:pPr>
        <w:spacing w:before="117" w:line="228" w:lineRule="auto"/>
        <w:ind w:left="455"/>
        <w:rPr>
          <w:rFonts w:ascii="宋体" w:hAnsi="宋体" w:eastAsia="宋体" w:cs="宋体"/>
          <w:color w:val="auto"/>
          <w:sz w:val="19"/>
          <w:szCs w:val="19"/>
          <w:highlight w:val="none"/>
        </w:rPr>
      </w:pPr>
      <w:r>
        <w:rPr>
          <w:rFonts w:ascii="宋体" w:hAnsi="宋体" w:eastAsia="宋体" w:cs="宋体"/>
          <w:color w:val="auto"/>
          <w:sz w:val="19"/>
          <w:szCs w:val="19"/>
          <w:highlight w:val="none"/>
        </w:rPr>
        <w:t>（4）</w:t>
      </w:r>
      <w:r>
        <w:rPr>
          <w:rFonts w:ascii="宋体" w:hAnsi="宋体" w:eastAsia="宋体" w:cs="宋体"/>
          <w:color w:val="auto"/>
          <w:spacing w:val="27"/>
          <w:sz w:val="19"/>
          <w:szCs w:val="19"/>
          <w:highlight w:val="none"/>
        </w:rPr>
        <w:t xml:space="preserve">   </w:t>
      </w:r>
      <w:r>
        <w:rPr>
          <w:rFonts w:ascii="宋体" w:hAnsi="宋体" w:eastAsia="宋体" w:cs="宋体"/>
          <w:color w:val="auto"/>
          <w:sz w:val="19"/>
          <w:szCs w:val="19"/>
          <w:highlight w:val="none"/>
        </w:rPr>
        <w:t>通用合同条款；</w:t>
      </w:r>
    </w:p>
    <w:p w14:paraId="17ABD147">
      <w:pPr>
        <w:spacing w:before="118" w:line="228" w:lineRule="auto"/>
        <w:ind w:left="455"/>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（5）</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技术标准和要求（合同技术条款</w:t>
      </w:r>
      <w:r>
        <w:rPr>
          <w:rFonts w:ascii="宋体" w:hAnsi="宋体" w:eastAsia="宋体" w:cs="宋体"/>
          <w:color w:val="auto"/>
          <w:spacing w:val="-2"/>
          <w:sz w:val="19"/>
          <w:szCs w:val="19"/>
          <w:highlight w:val="none"/>
        </w:rPr>
        <w:t>）；</w:t>
      </w:r>
    </w:p>
    <w:p w14:paraId="553F5A77">
      <w:pPr>
        <w:spacing w:before="118" w:line="230" w:lineRule="auto"/>
        <w:ind w:left="45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（6）</w:t>
      </w:r>
      <w:r>
        <w:rPr>
          <w:rFonts w:ascii="宋体" w:hAnsi="宋体" w:eastAsia="宋体" w:cs="宋体"/>
          <w:color w:val="auto"/>
          <w:spacing w:val="3"/>
          <w:sz w:val="19"/>
          <w:szCs w:val="19"/>
          <w:highlight w:val="none"/>
        </w:rPr>
        <w:t xml:space="preserve">    </w:t>
      </w:r>
      <w:r>
        <w:rPr>
          <w:rFonts w:ascii="宋体" w:hAnsi="宋体" w:eastAsia="宋体" w:cs="宋体"/>
          <w:color w:val="auto"/>
          <w:spacing w:val="-9"/>
          <w:sz w:val="19"/>
          <w:szCs w:val="19"/>
          <w:highlight w:val="none"/>
        </w:rPr>
        <w:t>图纸；</w:t>
      </w:r>
    </w:p>
    <w:p w14:paraId="7C29F11D">
      <w:pPr>
        <w:spacing w:before="113" w:line="227" w:lineRule="auto"/>
        <w:ind w:left="455"/>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（7）    已标价工程量清单；</w:t>
      </w:r>
    </w:p>
    <w:p w14:paraId="123FE8BF">
      <w:pPr>
        <w:spacing w:before="120" w:line="228" w:lineRule="auto"/>
        <w:ind w:left="455"/>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（8）</w:t>
      </w:r>
      <w:r>
        <w:rPr>
          <w:rFonts w:ascii="宋体" w:hAnsi="宋体" w:eastAsia="宋体" w:cs="宋体"/>
          <w:color w:val="auto"/>
          <w:spacing w:val="28"/>
          <w:sz w:val="19"/>
          <w:szCs w:val="19"/>
          <w:highlight w:val="none"/>
        </w:rPr>
        <w:t xml:space="preserve">   </w:t>
      </w:r>
      <w:r>
        <w:rPr>
          <w:rFonts w:ascii="宋体" w:hAnsi="宋体" w:eastAsia="宋体" w:cs="宋体"/>
          <w:color w:val="auto"/>
          <w:spacing w:val="1"/>
          <w:sz w:val="19"/>
          <w:szCs w:val="19"/>
          <w:highlight w:val="none"/>
        </w:rPr>
        <w:t>其他合同文件。</w:t>
      </w:r>
    </w:p>
    <w:p w14:paraId="25425E59">
      <w:pPr>
        <w:spacing w:before="118" w:line="228" w:lineRule="auto"/>
        <w:ind w:left="22"/>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上述文件互相补充和解释，如有不明确或不一致之处，</w:t>
      </w:r>
      <w:r>
        <w:rPr>
          <w:rFonts w:ascii="宋体" w:hAnsi="宋体" w:eastAsia="宋体" w:cs="宋体"/>
          <w:color w:val="auto"/>
          <w:spacing w:val="-42"/>
          <w:sz w:val="19"/>
          <w:szCs w:val="19"/>
          <w:highlight w:val="none"/>
        </w:rPr>
        <w:t xml:space="preserve"> </w:t>
      </w:r>
      <w:r>
        <w:rPr>
          <w:rFonts w:ascii="宋体" w:hAnsi="宋体" w:eastAsia="宋体" w:cs="宋体"/>
          <w:color w:val="auto"/>
          <w:spacing w:val="7"/>
          <w:sz w:val="19"/>
          <w:szCs w:val="19"/>
          <w:highlight w:val="none"/>
        </w:rPr>
        <w:t>以合同</w:t>
      </w:r>
      <w:r>
        <w:rPr>
          <w:rFonts w:ascii="宋体" w:hAnsi="宋体" w:eastAsia="宋体" w:cs="宋体"/>
          <w:color w:val="auto"/>
          <w:spacing w:val="6"/>
          <w:sz w:val="19"/>
          <w:szCs w:val="19"/>
          <w:highlight w:val="none"/>
        </w:rPr>
        <w:t>约定次序在先者为准。</w:t>
      </w:r>
    </w:p>
    <w:p w14:paraId="3F9ABECC">
      <w:pPr>
        <w:spacing w:before="116" w:line="227" w:lineRule="auto"/>
        <w:ind w:left="26"/>
        <w:rPr>
          <w:rFonts w:ascii="宋体" w:hAnsi="宋体" w:eastAsia="宋体" w:cs="宋体"/>
          <w:color w:val="auto"/>
          <w:sz w:val="10"/>
          <w:szCs w:val="10"/>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签约合同价：人民币（大写）</w:t>
      </w:r>
      <w:r>
        <w:rPr>
          <w:rFonts w:ascii="宋体" w:hAnsi="宋体" w:eastAsia="宋体" w:cs="宋体"/>
          <w:color w:val="auto"/>
          <w:spacing w:val="8"/>
          <w:sz w:val="19"/>
          <w:szCs w:val="19"/>
          <w:highlight w:val="none"/>
          <w:u w:val="single" w:color="auto"/>
        </w:rPr>
        <w:t xml:space="preserve">  </w:t>
      </w:r>
      <w:r>
        <w:rPr>
          <w:rFonts w:ascii="宋体" w:hAnsi="宋体" w:eastAsia="宋体" w:cs="宋体"/>
          <w:color w:val="auto"/>
          <w:spacing w:val="7"/>
          <w:sz w:val="19"/>
          <w:szCs w:val="19"/>
          <w:highlight w:val="none"/>
          <w:u w:val="single" w:color="auto"/>
        </w:rPr>
        <w:t xml:space="preserve">       </w:t>
      </w:r>
      <w:r>
        <w:rPr>
          <w:rFonts w:ascii="宋体" w:hAnsi="宋体" w:eastAsia="宋体" w:cs="宋体"/>
          <w:color w:val="auto"/>
          <w:spacing w:val="-85"/>
          <w:sz w:val="19"/>
          <w:szCs w:val="19"/>
          <w:highlight w:val="none"/>
        </w:rPr>
        <w:t xml:space="preserve"> </w:t>
      </w:r>
      <w:r>
        <w:rPr>
          <w:rFonts w:ascii="宋体" w:hAnsi="宋体" w:eastAsia="宋体" w:cs="宋体"/>
          <w:color w:val="auto"/>
          <w:spacing w:val="7"/>
          <w:sz w:val="19"/>
          <w:szCs w:val="19"/>
          <w:highlight w:val="none"/>
        </w:rPr>
        <w:t>元(¥</w:t>
      </w:r>
      <w:r>
        <w:rPr>
          <w:rFonts w:ascii="宋体" w:hAnsi="宋体" w:eastAsia="宋体" w:cs="宋体"/>
          <w:color w:val="auto"/>
          <w:spacing w:val="-94"/>
          <w:sz w:val="19"/>
          <w:szCs w:val="19"/>
          <w:highlight w:val="none"/>
        </w:rPr>
        <w:t xml:space="preserve">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63"/>
          <w:sz w:val="19"/>
          <w:szCs w:val="19"/>
          <w:highlight w:val="none"/>
        </w:rPr>
        <w:t xml:space="preserve"> </w:t>
      </w:r>
      <w:r>
        <w:rPr>
          <w:rFonts w:ascii="宋体" w:hAnsi="宋体" w:eastAsia="宋体" w:cs="宋体"/>
          <w:color w:val="auto"/>
          <w:spacing w:val="7"/>
          <w:sz w:val="19"/>
          <w:szCs w:val="19"/>
          <w:highlight w:val="none"/>
        </w:rPr>
        <w:t>)</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0"/>
          <w:szCs w:val="10"/>
          <w:highlight w:val="none"/>
        </w:rPr>
        <w:t>o</w:t>
      </w:r>
    </w:p>
    <w:p w14:paraId="3F08403D">
      <w:pPr>
        <w:spacing w:before="119" w:line="222" w:lineRule="auto"/>
        <w:ind w:left="21"/>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承包方式：</w:t>
      </w:r>
      <w:r>
        <w:rPr>
          <w:rFonts w:ascii="宋体" w:hAnsi="宋体" w:eastAsia="宋体" w:cs="宋体"/>
          <w:color w:val="auto"/>
          <w:spacing w:val="11"/>
          <w:sz w:val="19"/>
          <w:szCs w:val="19"/>
          <w:highlight w:val="none"/>
          <w:u w:val="single" w:color="auto"/>
        </w:rPr>
        <w:t xml:space="preserve">    </w:t>
      </w:r>
      <w:r>
        <w:rPr>
          <w:rFonts w:ascii="宋体" w:hAnsi="宋体" w:eastAsia="宋体" w:cs="宋体"/>
          <w:color w:val="auto"/>
          <w:spacing w:val="5"/>
          <w:sz w:val="19"/>
          <w:szCs w:val="19"/>
          <w:highlight w:val="none"/>
          <w:u w:val="single" w:color="auto"/>
        </w:rPr>
        <w:t>综合单价______</w:t>
      </w:r>
    </w:p>
    <w:p w14:paraId="1E2CA121">
      <w:pPr>
        <w:spacing w:before="125" w:line="228" w:lineRule="auto"/>
        <w:ind w:left="27"/>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5.</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6"/>
          <w:sz w:val="19"/>
          <w:szCs w:val="19"/>
          <w:highlight w:val="none"/>
        </w:rPr>
        <w:t>承包人项目经理：</w:t>
      </w:r>
      <w:r>
        <w:rPr>
          <w:rFonts w:ascii="宋体" w:hAnsi="宋体" w:eastAsia="宋体" w:cs="宋体"/>
          <w:color w:val="auto"/>
          <w:spacing w:val="3"/>
          <w:sz w:val="19"/>
          <w:szCs w:val="19"/>
          <w:highlight w:val="none"/>
          <w:u w:val="single" w:color="auto"/>
        </w:rPr>
        <w:t xml:space="preserve">                   </w:t>
      </w:r>
      <w:r>
        <w:rPr>
          <w:rFonts w:ascii="宋体" w:hAnsi="宋体" w:eastAsia="宋体" w:cs="宋体"/>
          <w:color w:val="auto"/>
          <w:spacing w:val="6"/>
          <w:sz w:val="19"/>
          <w:szCs w:val="19"/>
          <w:highlight w:val="none"/>
        </w:rPr>
        <w:t>。</w:t>
      </w:r>
    </w:p>
    <w:p w14:paraId="53743102">
      <w:pPr>
        <w:spacing w:before="116" w:line="228"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6.</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3"/>
          <w:sz w:val="19"/>
          <w:szCs w:val="19"/>
          <w:highlight w:val="none"/>
        </w:rPr>
        <w:t>工程质量符合</w:t>
      </w:r>
      <w:r>
        <w:rPr>
          <w:rFonts w:ascii="宋体" w:hAnsi="宋体" w:eastAsia="宋体" w:cs="宋体"/>
          <w:color w:val="auto"/>
          <w:spacing w:val="-84"/>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83"/>
          <w:sz w:val="19"/>
          <w:szCs w:val="19"/>
          <w:highlight w:val="none"/>
        </w:rPr>
        <w:t xml:space="preserve"> </w:t>
      </w:r>
      <w:r>
        <w:rPr>
          <w:rFonts w:ascii="宋体" w:hAnsi="宋体" w:eastAsia="宋体" w:cs="宋体"/>
          <w:color w:val="auto"/>
          <w:spacing w:val="3"/>
          <w:sz w:val="19"/>
          <w:szCs w:val="19"/>
          <w:highlight w:val="none"/>
        </w:rPr>
        <w:t>标准。</w:t>
      </w:r>
    </w:p>
    <w:p w14:paraId="3F7AADAF">
      <w:pPr>
        <w:spacing w:before="118" w:line="228" w:lineRule="auto"/>
        <w:ind w:left="25"/>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7.            </w:t>
      </w:r>
      <w:r>
        <w:rPr>
          <w:rFonts w:ascii="宋体" w:hAnsi="宋体" w:eastAsia="宋体" w:cs="宋体"/>
          <w:color w:val="auto"/>
          <w:spacing w:val="7"/>
          <w:sz w:val="19"/>
          <w:szCs w:val="19"/>
          <w:highlight w:val="none"/>
        </w:rPr>
        <w:t>承包人承诺按合同约定承担工程的实施</w:t>
      </w:r>
      <w:r>
        <w:rPr>
          <w:rFonts w:ascii="宋体" w:hAnsi="宋体" w:eastAsia="宋体" w:cs="宋体"/>
          <w:color w:val="auto"/>
          <w:spacing w:val="6"/>
          <w:sz w:val="19"/>
          <w:szCs w:val="19"/>
          <w:highlight w:val="none"/>
        </w:rPr>
        <w:t>、完成及缺陷修复。</w:t>
      </w:r>
    </w:p>
    <w:p w14:paraId="49A8CF3F">
      <w:pPr>
        <w:spacing w:before="117" w:line="227" w:lineRule="auto"/>
        <w:ind w:left="30"/>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8.            </w:t>
      </w:r>
      <w:r>
        <w:rPr>
          <w:rFonts w:ascii="宋体" w:hAnsi="宋体" w:eastAsia="宋体" w:cs="宋体"/>
          <w:color w:val="auto"/>
          <w:spacing w:val="7"/>
          <w:sz w:val="19"/>
          <w:szCs w:val="19"/>
          <w:highlight w:val="none"/>
        </w:rPr>
        <w:t>发包人承诺按合同约定的条件、时间和方式向承包人支付合同价</w:t>
      </w:r>
      <w:r>
        <w:rPr>
          <w:rFonts w:ascii="宋体" w:hAnsi="宋体" w:eastAsia="宋体" w:cs="宋体"/>
          <w:color w:val="auto"/>
          <w:spacing w:val="6"/>
          <w:sz w:val="19"/>
          <w:szCs w:val="19"/>
          <w:highlight w:val="none"/>
        </w:rPr>
        <w:t>款。</w:t>
      </w:r>
    </w:p>
    <w:p w14:paraId="09270C51">
      <w:pPr>
        <w:spacing w:before="118" w:line="228" w:lineRule="auto"/>
        <w:ind w:left="25"/>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9.            </w:t>
      </w:r>
      <w:r>
        <w:rPr>
          <w:rFonts w:ascii="宋体" w:hAnsi="宋体" w:eastAsia="宋体" w:cs="宋体"/>
          <w:color w:val="auto"/>
          <w:spacing w:val="6"/>
          <w:sz w:val="19"/>
          <w:szCs w:val="19"/>
          <w:highlight w:val="none"/>
        </w:rPr>
        <w:t>承包人承诺执行监理人开工通知，计划工期为</w:t>
      </w:r>
      <w:r>
        <w:rPr>
          <w:rFonts w:ascii="宋体" w:hAnsi="宋体" w:eastAsia="宋体" w:cs="宋体"/>
          <w:color w:val="auto"/>
          <w:spacing w:val="-81"/>
          <w:sz w:val="19"/>
          <w:szCs w:val="19"/>
          <w:highlight w:val="none"/>
        </w:rPr>
        <w:t xml:space="preserve"> </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81"/>
          <w:sz w:val="19"/>
          <w:szCs w:val="19"/>
          <w:highlight w:val="none"/>
        </w:rPr>
        <w:t xml:space="preserve"> </w:t>
      </w:r>
      <w:r>
        <w:rPr>
          <w:rFonts w:ascii="宋体" w:hAnsi="宋体" w:eastAsia="宋体" w:cs="宋体"/>
          <w:color w:val="auto"/>
          <w:spacing w:val="6"/>
          <w:sz w:val="19"/>
          <w:szCs w:val="19"/>
          <w:highlight w:val="none"/>
        </w:rPr>
        <w:t>天。</w:t>
      </w:r>
    </w:p>
    <w:p w14:paraId="2832DCA5">
      <w:pPr>
        <w:spacing w:before="117" w:line="228"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10.          </w:t>
      </w:r>
      <w:r>
        <w:rPr>
          <w:rFonts w:ascii="宋体" w:hAnsi="宋体" w:eastAsia="宋体" w:cs="宋体"/>
          <w:color w:val="auto"/>
          <w:spacing w:val="6"/>
          <w:sz w:val="19"/>
          <w:szCs w:val="19"/>
          <w:highlight w:val="none"/>
        </w:rPr>
        <w:t>本协议书一式</w:t>
      </w:r>
      <w:r>
        <w:rPr>
          <w:rFonts w:ascii="宋体" w:hAnsi="宋体" w:eastAsia="宋体" w:cs="宋体"/>
          <w:color w:val="auto"/>
          <w:spacing w:val="-92"/>
          <w:sz w:val="19"/>
          <w:szCs w:val="19"/>
          <w:highlight w:val="none"/>
        </w:rPr>
        <w:t xml:space="preserve"> </w:t>
      </w:r>
      <w:r>
        <w:rPr>
          <w:rFonts w:ascii="宋体" w:hAnsi="宋体" w:eastAsia="宋体" w:cs="宋体"/>
          <w:color w:val="auto"/>
          <w:spacing w:val="8"/>
          <w:sz w:val="19"/>
          <w:szCs w:val="19"/>
          <w:highlight w:val="none"/>
          <w:u w:val="single" w:color="auto"/>
        </w:rPr>
        <w:t xml:space="preserve">        </w:t>
      </w:r>
      <w:r>
        <w:rPr>
          <w:rFonts w:ascii="宋体" w:hAnsi="宋体" w:eastAsia="宋体" w:cs="宋体"/>
          <w:color w:val="auto"/>
          <w:spacing w:val="-86"/>
          <w:sz w:val="19"/>
          <w:szCs w:val="19"/>
          <w:highlight w:val="none"/>
        </w:rPr>
        <w:t xml:space="preserve"> </w:t>
      </w:r>
      <w:r>
        <w:rPr>
          <w:rFonts w:ascii="宋体" w:hAnsi="宋体" w:eastAsia="宋体" w:cs="宋体"/>
          <w:color w:val="auto"/>
          <w:spacing w:val="6"/>
          <w:sz w:val="19"/>
          <w:szCs w:val="19"/>
          <w:highlight w:val="none"/>
        </w:rPr>
        <w:t>份，合</w:t>
      </w:r>
      <w:r>
        <w:rPr>
          <w:rFonts w:ascii="宋体" w:hAnsi="宋体" w:eastAsia="宋体" w:cs="宋体"/>
          <w:color w:val="auto"/>
          <w:spacing w:val="5"/>
          <w:sz w:val="19"/>
          <w:szCs w:val="19"/>
          <w:highlight w:val="none"/>
        </w:rPr>
        <w:t>同双方各执一份。</w:t>
      </w:r>
    </w:p>
    <w:p w14:paraId="594321A2">
      <w:pPr>
        <w:spacing w:before="121" w:line="228"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11.            </w:t>
      </w:r>
      <w:r>
        <w:rPr>
          <w:rFonts w:ascii="宋体" w:hAnsi="宋体" w:eastAsia="宋体" w:cs="宋体"/>
          <w:color w:val="auto"/>
          <w:spacing w:val="5"/>
          <w:sz w:val="19"/>
          <w:szCs w:val="19"/>
          <w:highlight w:val="none"/>
        </w:rPr>
        <w:t>合同未尽事宜，</w:t>
      </w:r>
      <w:r>
        <w:rPr>
          <w:rFonts w:ascii="宋体" w:hAnsi="宋体" w:eastAsia="宋体" w:cs="宋体"/>
          <w:color w:val="auto"/>
          <w:spacing w:val="-45"/>
          <w:sz w:val="19"/>
          <w:szCs w:val="19"/>
          <w:highlight w:val="none"/>
        </w:rPr>
        <w:t xml:space="preserve"> </w:t>
      </w:r>
      <w:r>
        <w:rPr>
          <w:rFonts w:ascii="宋体" w:hAnsi="宋体" w:eastAsia="宋体" w:cs="宋体"/>
          <w:color w:val="auto"/>
          <w:spacing w:val="5"/>
          <w:sz w:val="19"/>
          <w:szCs w:val="19"/>
          <w:highlight w:val="none"/>
        </w:rPr>
        <w:t>双方另行签订补充协议。补充协议是合同的组成部分。</w:t>
      </w:r>
    </w:p>
    <w:p w14:paraId="40F9B9AC">
      <w:pPr>
        <w:spacing w:line="260" w:lineRule="auto"/>
        <w:rPr>
          <w:rFonts w:ascii="Arial"/>
          <w:color w:val="auto"/>
          <w:sz w:val="21"/>
          <w:highlight w:val="none"/>
        </w:rPr>
      </w:pPr>
    </w:p>
    <w:p w14:paraId="63A351A8">
      <w:pPr>
        <w:spacing w:line="260" w:lineRule="auto"/>
        <w:rPr>
          <w:rFonts w:ascii="Arial"/>
          <w:color w:val="auto"/>
          <w:sz w:val="21"/>
          <w:highlight w:val="none"/>
        </w:rPr>
      </w:pPr>
    </w:p>
    <w:p w14:paraId="3DAC0BB9">
      <w:pPr>
        <w:spacing w:line="260" w:lineRule="auto"/>
        <w:rPr>
          <w:rFonts w:ascii="Arial"/>
          <w:color w:val="auto"/>
          <w:sz w:val="21"/>
          <w:highlight w:val="none"/>
        </w:rPr>
      </w:pPr>
    </w:p>
    <w:p w14:paraId="4261BAEF">
      <w:pPr>
        <w:spacing w:line="261" w:lineRule="auto"/>
        <w:rPr>
          <w:rFonts w:ascii="Arial"/>
          <w:color w:val="auto"/>
          <w:sz w:val="21"/>
          <w:highlight w:val="none"/>
        </w:rPr>
      </w:pPr>
    </w:p>
    <w:p w14:paraId="3ECD0A1F">
      <w:pPr>
        <w:spacing w:before="62" w:line="228" w:lineRule="auto"/>
        <w:ind w:left="28"/>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发包人</w:t>
      </w:r>
      <w:r>
        <w:rPr>
          <w:rFonts w:ascii="宋体" w:hAnsi="宋体" w:eastAsia="宋体" w:cs="宋体"/>
          <w:color w:val="auto"/>
          <w:spacing w:val="1"/>
          <w:sz w:val="19"/>
          <w:szCs w:val="19"/>
          <w:highlight w:val="none"/>
        </w:rPr>
        <w:t>：</w:t>
      </w:r>
      <w:r>
        <w:rPr>
          <w:rFonts w:ascii="宋体" w:hAnsi="宋体" w:eastAsia="宋体" w:cs="宋体"/>
          <w:color w:val="auto"/>
          <w:spacing w:val="-65"/>
          <w:sz w:val="19"/>
          <w:szCs w:val="19"/>
          <w:highlight w:val="none"/>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45"/>
          <w:sz w:val="19"/>
          <w:szCs w:val="19"/>
          <w:highlight w:val="none"/>
        </w:rPr>
        <w:t xml:space="preserve"> </w:t>
      </w:r>
      <w:r>
        <w:rPr>
          <w:rFonts w:ascii="宋体" w:hAnsi="宋体" w:eastAsia="宋体" w:cs="宋体"/>
          <w:color w:val="auto"/>
          <w:spacing w:val="1"/>
          <w:sz w:val="19"/>
          <w:szCs w:val="19"/>
          <w:highlight w:val="none"/>
        </w:rPr>
        <w:t>（</w:t>
      </w:r>
      <w:r>
        <w:rPr>
          <w:rFonts w:ascii="宋体" w:hAnsi="宋体" w:eastAsia="宋体" w:cs="宋体"/>
          <w:color w:val="auto"/>
          <w:spacing w:val="-1"/>
          <w:sz w:val="19"/>
          <w:szCs w:val="19"/>
          <w:highlight w:val="none"/>
        </w:rPr>
        <w:t>盖单位公章）</w:t>
      </w:r>
      <w:r>
        <w:rPr>
          <w:rFonts w:ascii="宋体" w:hAnsi="宋体" w:eastAsia="宋体" w:cs="宋体"/>
          <w:color w:val="auto"/>
          <w:spacing w:val="47"/>
          <w:sz w:val="19"/>
          <w:szCs w:val="19"/>
          <w:highlight w:val="none"/>
        </w:rPr>
        <w:t xml:space="preserve"> </w:t>
      </w:r>
      <w:r>
        <w:rPr>
          <w:rFonts w:ascii="宋体" w:hAnsi="宋体" w:eastAsia="宋体" w:cs="宋体"/>
          <w:color w:val="auto"/>
          <w:spacing w:val="-1"/>
          <w:sz w:val="19"/>
          <w:szCs w:val="19"/>
          <w:highlight w:val="none"/>
        </w:rPr>
        <w:t>承包人</w:t>
      </w:r>
      <w:r>
        <w:rPr>
          <w:rFonts w:ascii="宋体" w:hAnsi="宋体" w:eastAsia="宋体" w:cs="宋体"/>
          <w:color w:val="auto"/>
          <w:spacing w:val="1"/>
          <w:sz w:val="19"/>
          <w:szCs w:val="19"/>
          <w:highlight w:val="none"/>
        </w:rPr>
        <w:t>：</w:t>
      </w:r>
      <w:r>
        <w:rPr>
          <w:rFonts w:ascii="宋体" w:hAnsi="宋体" w:eastAsia="宋体" w:cs="宋体"/>
          <w:color w:val="auto"/>
          <w:spacing w:val="29"/>
          <w:sz w:val="19"/>
          <w:szCs w:val="19"/>
          <w:highlight w:val="none"/>
        </w:rPr>
        <w:t xml:space="preserve">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95"/>
          <w:sz w:val="19"/>
          <w:szCs w:val="19"/>
          <w:highlight w:val="none"/>
        </w:rPr>
        <w:t xml:space="preserve"> </w:t>
      </w:r>
      <w:r>
        <w:rPr>
          <w:rFonts w:ascii="宋体" w:hAnsi="宋体" w:eastAsia="宋体" w:cs="宋体"/>
          <w:color w:val="auto"/>
          <w:spacing w:val="1"/>
          <w:sz w:val="19"/>
          <w:szCs w:val="19"/>
          <w:highlight w:val="none"/>
        </w:rPr>
        <w:t>（</w:t>
      </w:r>
      <w:r>
        <w:rPr>
          <w:rFonts w:ascii="宋体" w:hAnsi="宋体" w:eastAsia="宋体" w:cs="宋体"/>
          <w:color w:val="auto"/>
          <w:spacing w:val="-1"/>
          <w:sz w:val="19"/>
          <w:szCs w:val="19"/>
          <w:highlight w:val="none"/>
        </w:rPr>
        <w:t>盖 单</w:t>
      </w:r>
      <w:r>
        <w:rPr>
          <w:rFonts w:ascii="宋体" w:hAnsi="宋体" w:eastAsia="宋体" w:cs="宋体"/>
          <w:color w:val="auto"/>
          <w:spacing w:val="-20"/>
          <w:sz w:val="19"/>
          <w:szCs w:val="19"/>
          <w:highlight w:val="none"/>
        </w:rPr>
        <w:t xml:space="preserve"> </w:t>
      </w:r>
      <w:r>
        <w:rPr>
          <w:rFonts w:ascii="宋体" w:hAnsi="宋体" w:eastAsia="宋体" w:cs="宋体"/>
          <w:color w:val="auto"/>
          <w:spacing w:val="-1"/>
          <w:sz w:val="19"/>
          <w:szCs w:val="19"/>
          <w:highlight w:val="none"/>
        </w:rPr>
        <w:t>位 公</w:t>
      </w:r>
    </w:p>
    <w:p w14:paraId="2550A593">
      <w:pPr>
        <w:spacing w:before="121" w:line="228" w:lineRule="auto"/>
        <w:ind w:left="3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章） 法定代表人(或项目负责人)</w:t>
      </w:r>
      <w:r>
        <w:rPr>
          <w:rFonts w:ascii="宋体" w:hAnsi="宋体" w:eastAsia="宋体" w:cs="宋体"/>
          <w:color w:val="auto"/>
          <w:spacing w:val="10"/>
          <w:sz w:val="19"/>
          <w:szCs w:val="19"/>
          <w:highlight w:val="none"/>
        </w:rPr>
        <w:t>：</w:t>
      </w:r>
      <w:r>
        <w:rPr>
          <w:rFonts w:ascii="宋体" w:hAnsi="宋体" w:eastAsia="宋体" w:cs="宋体"/>
          <w:color w:val="auto"/>
          <w:spacing w:val="-64"/>
          <w:sz w:val="19"/>
          <w:szCs w:val="19"/>
          <w:highlight w:val="none"/>
          <w:u w:val="single" w:color="auto"/>
        </w:rPr>
        <w:t xml:space="preserve"> </w:t>
      </w:r>
      <w:r>
        <w:rPr>
          <w:rFonts w:ascii="宋体" w:hAnsi="宋体" w:eastAsia="宋体" w:cs="宋体"/>
          <w:color w:val="auto"/>
          <w:spacing w:val="11"/>
          <w:sz w:val="19"/>
          <w:szCs w:val="19"/>
          <w:highlight w:val="none"/>
        </w:rPr>
        <w:t xml:space="preserve"> </w:t>
      </w:r>
      <w:r>
        <w:rPr>
          <w:rFonts w:ascii="宋体" w:hAnsi="宋体" w:eastAsia="宋体" w:cs="宋体"/>
          <w:color w:val="auto"/>
          <w:spacing w:val="10"/>
          <w:sz w:val="19"/>
          <w:szCs w:val="19"/>
          <w:highlight w:val="none"/>
        </w:rPr>
        <w:t>（</w:t>
      </w:r>
      <w:r>
        <w:rPr>
          <w:rFonts w:ascii="宋体" w:hAnsi="宋体" w:eastAsia="宋体" w:cs="宋体"/>
          <w:color w:val="auto"/>
          <w:spacing w:val="7"/>
          <w:sz w:val="19"/>
          <w:szCs w:val="19"/>
          <w:highlight w:val="none"/>
        </w:rPr>
        <w:t>签字）</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法定代表人(或其委托代理人)</w:t>
      </w:r>
      <w:r>
        <w:rPr>
          <w:rFonts w:ascii="宋体" w:hAnsi="宋体" w:eastAsia="宋体" w:cs="宋体"/>
          <w:color w:val="auto"/>
          <w:spacing w:val="10"/>
          <w:sz w:val="19"/>
          <w:szCs w:val="19"/>
          <w:highlight w:val="none"/>
        </w:rPr>
        <w:t>：</w:t>
      </w:r>
      <w:r>
        <w:rPr>
          <w:rFonts w:ascii="宋体" w:hAnsi="宋体" w:eastAsia="宋体" w:cs="宋体"/>
          <w:color w:val="auto"/>
          <w:spacing w:val="9"/>
          <w:sz w:val="19"/>
          <w:szCs w:val="19"/>
          <w:highlight w:val="none"/>
          <w:u w:val="single" w:color="auto"/>
        </w:rPr>
        <w:t xml:space="preserve">  </w:t>
      </w:r>
      <w:r>
        <w:rPr>
          <w:rFonts w:ascii="宋体" w:hAnsi="宋体" w:eastAsia="宋体" w:cs="宋体"/>
          <w:color w:val="auto"/>
          <w:spacing w:val="10"/>
          <w:sz w:val="19"/>
          <w:szCs w:val="19"/>
          <w:highlight w:val="none"/>
        </w:rPr>
        <w:t>（</w:t>
      </w:r>
      <w:r>
        <w:rPr>
          <w:rFonts w:ascii="宋体" w:hAnsi="宋体" w:eastAsia="宋体" w:cs="宋体"/>
          <w:color w:val="auto"/>
          <w:spacing w:val="7"/>
          <w:sz w:val="19"/>
          <w:szCs w:val="19"/>
          <w:highlight w:val="none"/>
        </w:rPr>
        <w:t>签字）</w:t>
      </w:r>
    </w:p>
    <w:p w14:paraId="2709D868">
      <w:pPr>
        <w:tabs>
          <w:tab w:val="left" w:pos="1608"/>
        </w:tabs>
        <w:spacing w:before="121" w:line="228" w:lineRule="auto"/>
        <w:ind w:left="418"/>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86"/>
          <w:sz w:val="19"/>
          <w:szCs w:val="19"/>
          <w:highlight w:val="none"/>
        </w:rPr>
        <w:t xml:space="preserve"> </w:t>
      </w:r>
      <w:r>
        <w:rPr>
          <w:rFonts w:ascii="宋体" w:hAnsi="宋体" w:eastAsia="宋体" w:cs="宋体"/>
          <w:color w:val="auto"/>
          <w:spacing w:val="-1"/>
          <w:sz w:val="19"/>
          <w:szCs w:val="19"/>
          <w:highlight w:val="none"/>
        </w:rPr>
        <w:t>年</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83"/>
          <w:sz w:val="19"/>
          <w:szCs w:val="19"/>
          <w:highlight w:val="none"/>
        </w:rPr>
        <w:t xml:space="preserve"> </w:t>
      </w:r>
      <w:r>
        <w:rPr>
          <w:rFonts w:ascii="宋体" w:hAnsi="宋体" w:eastAsia="宋体" w:cs="宋体"/>
          <w:color w:val="auto"/>
          <w:spacing w:val="-1"/>
          <w:sz w:val="19"/>
          <w:szCs w:val="19"/>
          <w:highlight w:val="none"/>
        </w:rPr>
        <w:t>月</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52"/>
          <w:sz w:val="19"/>
          <w:szCs w:val="19"/>
          <w:highlight w:val="none"/>
        </w:rPr>
        <w:t xml:space="preserve"> </w:t>
      </w:r>
      <w:r>
        <w:rPr>
          <w:rFonts w:ascii="宋体" w:hAnsi="宋体" w:eastAsia="宋体" w:cs="宋体"/>
          <w:color w:val="auto"/>
          <w:spacing w:val="-1"/>
          <w:sz w:val="19"/>
          <w:szCs w:val="19"/>
          <w:highlight w:val="none"/>
        </w:rPr>
        <w:t>日</w:t>
      </w:r>
      <w:r>
        <w:rPr>
          <w:rFonts w:ascii="宋体" w:hAnsi="宋体" w:eastAsia="宋体" w:cs="宋体"/>
          <w:color w:val="auto"/>
          <w:spacing w:val="3"/>
          <w:sz w:val="19"/>
          <w:szCs w:val="19"/>
          <w:highlight w:val="none"/>
        </w:rPr>
        <w:t xml:space="preserve">            </w:t>
      </w:r>
      <w:r>
        <w:rPr>
          <w:rFonts w:ascii="宋体" w:hAnsi="宋体" w:eastAsia="宋体" w:cs="宋体"/>
          <w:color w:val="auto"/>
          <w:spacing w:val="9"/>
          <w:sz w:val="19"/>
          <w:szCs w:val="19"/>
          <w:highlight w:val="none"/>
          <w:u w:val="single" w:color="auto"/>
        </w:rPr>
        <w:t xml:space="preserve">         </w:t>
      </w:r>
      <w:r>
        <w:rPr>
          <w:rFonts w:ascii="宋体" w:hAnsi="宋体" w:eastAsia="宋体" w:cs="宋体"/>
          <w:color w:val="auto"/>
          <w:spacing w:val="-83"/>
          <w:sz w:val="19"/>
          <w:szCs w:val="19"/>
          <w:highlight w:val="none"/>
        </w:rPr>
        <w:t xml:space="preserve"> </w:t>
      </w:r>
      <w:r>
        <w:rPr>
          <w:rFonts w:ascii="宋体" w:hAnsi="宋体" w:eastAsia="宋体" w:cs="宋体"/>
          <w:color w:val="auto"/>
          <w:spacing w:val="-1"/>
          <w:sz w:val="19"/>
          <w:szCs w:val="19"/>
          <w:highlight w:val="none"/>
        </w:rPr>
        <w:t>年月日</w:t>
      </w:r>
    </w:p>
    <w:p w14:paraId="3B1B64EE">
      <w:pPr>
        <w:spacing w:line="228" w:lineRule="auto"/>
        <w:rPr>
          <w:rFonts w:ascii="宋体" w:hAnsi="宋体" w:eastAsia="宋体" w:cs="宋体"/>
          <w:color w:val="auto"/>
          <w:sz w:val="19"/>
          <w:szCs w:val="19"/>
          <w:highlight w:val="none"/>
        </w:rPr>
        <w:sectPr>
          <w:footerReference r:id="rId120" w:type="default"/>
          <w:pgSz w:w="11900" w:h="16832"/>
          <w:pgMar w:top="400" w:right="1784" w:bottom="1128" w:left="1784" w:header="0" w:footer="920" w:gutter="0"/>
          <w:pgNumType w:fmt="decimal"/>
          <w:cols w:space="720" w:num="1"/>
        </w:sectPr>
      </w:pPr>
    </w:p>
    <w:p w14:paraId="67116E5C">
      <w:pPr>
        <w:spacing w:line="271" w:lineRule="auto"/>
        <w:rPr>
          <w:rFonts w:ascii="Arial"/>
          <w:color w:val="auto"/>
          <w:sz w:val="21"/>
          <w:highlight w:val="none"/>
        </w:rPr>
      </w:pPr>
    </w:p>
    <w:p w14:paraId="263ADCC1">
      <w:pPr>
        <w:spacing w:line="271" w:lineRule="auto"/>
        <w:rPr>
          <w:rFonts w:ascii="Arial"/>
          <w:color w:val="auto"/>
          <w:sz w:val="21"/>
          <w:highlight w:val="none"/>
        </w:rPr>
      </w:pPr>
    </w:p>
    <w:p w14:paraId="274A6CC5">
      <w:pPr>
        <w:spacing w:line="272" w:lineRule="auto"/>
        <w:rPr>
          <w:rFonts w:ascii="Arial"/>
          <w:color w:val="auto"/>
          <w:sz w:val="21"/>
          <w:highlight w:val="none"/>
        </w:rPr>
      </w:pPr>
    </w:p>
    <w:p w14:paraId="7169A5B0">
      <w:pPr>
        <w:spacing w:line="272" w:lineRule="auto"/>
        <w:rPr>
          <w:rFonts w:ascii="Arial"/>
          <w:color w:val="auto"/>
          <w:sz w:val="21"/>
          <w:highlight w:val="none"/>
        </w:rPr>
      </w:pPr>
    </w:p>
    <w:p w14:paraId="2C25D363">
      <w:pPr>
        <w:spacing w:line="272" w:lineRule="auto"/>
        <w:rPr>
          <w:rFonts w:ascii="Arial"/>
          <w:color w:val="auto"/>
          <w:sz w:val="21"/>
          <w:highlight w:val="none"/>
        </w:rPr>
      </w:pPr>
    </w:p>
    <w:p w14:paraId="1E56BB2E">
      <w:pPr>
        <w:spacing w:before="101" w:line="224" w:lineRule="auto"/>
        <w:ind w:left="49"/>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附件二：履约保函</w:t>
      </w:r>
    </w:p>
    <w:p w14:paraId="30A5269F">
      <w:pPr>
        <w:spacing w:line="247" w:lineRule="auto"/>
        <w:rPr>
          <w:rFonts w:ascii="Arial"/>
          <w:color w:val="auto"/>
          <w:sz w:val="21"/>
          <w:highlight w:val="none"/>
        </w:rPr>
      </w:pPr>
    </w:p>
    <w:p w14:paraId="25CC1180">
      <w:pPr>
        <w:spacing w:line="248" w:lineRule="auto"/>
        <w:rPr>
          <w:rFonts w:ascii="Arial"/>
          <w:color w:val="auto"/>
          <w:sz w:val="21"/>
          <w:highlight w:val="none"/>
        </w:rPr>
      </w:pPr>
    </w:p>
    <w:p w14:paraId="55160FC5">
      <w:pPr>
        <w:spacing w:before="101" w:line="226" w:lineRule="auto"/>
        <w:ind w:left="3723"/>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履约保函</w:t>
      </w:r>
    </w:p>
    <w:p w14:paraId="2D5DFE5E">
      <w:pPr>
        <w:spacing w:line="330" w:lineRule="auto"/>
        <w:rPr>
          <w:rFonts w:ascii="Arial"/>
          <w:color w:val="auto"/>
          <w:sz w:val="21"/>
          <w:highlight w:val="none"/>
        </w:rPr>
      </w:pPr>
    </w:p>
    <w:p w14:paraId="76586CD0">
      <w:pPr>
        <w:spacing w:line="331" w:lineRule="auto"/>
        <w:rPr>
          <w:rFonts w:ascii="Arial"/>
          <w:color w:val="auto"/>
          <w:sz w:val="21"/>
          <w:highlight w:val="none"/>
        </w:rPr>
      </w:pPr>
    </w:p>
    <w:p w14:paraId="53018034">
      <w:pPr>
        <w:tabs>
          <w:tab w:val="left" w:pos="1881"/>
        </w:tabs>
        <w:spacing w:before="62" w:line="229" w:lineRule="auto"/>
        <w:ind w:left="12"/>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67"/>
          <w:sz w:val="19"/>
          <w:szCs w:val="19"/>
          <w:highlight w:val="none"/>
        </w:rPr>
        <w:t xml:space="preserve"> </w:t>
      </w:r>
      <w:r>
        <w:rPr>
          <w:rFonts w:ascii="宋体" w:hAnsi="宋体" w:eastAsia="宋体" w:cs="宋体"/>
          <w:color w:val="auto"/>
          <w:sz w:val="19"/>
          <w:szCs w:val="19"/>
          <w:highlight w:val="none"/>
        </w:rPr>
        <w:t>（发包人名称）</w:t>
      </w:r>
      <w:r>
        <w:rPr>
          <w:rFonts w:ascii="宋体" w:hAnsi="宋体" w:eastAsia="宋体" w:cs="宋体"/>
          <w:color w:val="auto"/>
          <w:spacing w:val="-54"/>
          <w:sz w:val="19"/>
          <w:szCs w:val="19"/>
          <w:highlight w:val="none"/>
        </w:rPr>
        <w:t xml:space="preserve"> </w:t>
      </w:r>
      <w:r>
        <w:rPr>
          <w:rFonts w:ascii="宋体" w:hAnsi="宋体" w:eastAsia="宋体" w:cs="宋体"/>
          <w:color w:val="auto"/>
          <w:sz w:val="19"/>
          <w:szCs w:val="19"/>
          <w:highlight w:val="none"/>
        </w:rPr>
        <w:t>：</w:t>
      </w:r>
    </w:p>
    <w:p w14:paraId="00BE300D">
      <w:pPr>
        <w:spacing w:line="392" w:lineRule="auto"/>
        <w:rPr>
          <w:rFonts w:ascii="Arial"/>
          <w:color w:val="auto"/>
          <w:sz w:val="21"/>
          <w:highlight w:val="none"/>
        </w:rPr>
      </w:pPr>
    </w:p>
    <w:p w14:paraId="310AF32C">
      <w:pPr>
        <w:spacing w:before="62" w:line="332" w:lineRule="auto"/>
        <w:ind w:left="19" w:right="67" w:firstLine="423"/>
        <w:jc w:val="both"/>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鉴于</w:t>
      </w:r>
      <w:r>
        <w:rPr>
          <w:rFonts w:ascii="Arial" w:hAnsi="Arial" w:eastAsia="Arial" w:cs="Arial"/>
          <w:color w:val="auto"/>
          <w:spacing w:val="2"/>
          <w:position w:val="-3"/>
          <w:sz w:val="10"/>
          <w:szCs w:val="10"/>
          <w:highlight w:val="none"/>
        </w:rPr>
        <w:t xml:space="preserve">- </w:t>
      </w:r>
      <w:r>
        <w:rPr>
          <w:rFonts w:ascii="宋体" w:hAnsi="宋体" w:eastAsia="宋体" w:cs="宋体"/>
          <w:color w:val="auto"/>
          <w:spacing w:val="2"/>
          <w:sz w:val="19"/>
          <w:szCs w:val="19"/>
          <w:highlight w:val="none"/>
        </w:rPr>
        <w:t>（发包人名称，</w:t>
      </w:r>
      <w:r>
        <w:rPr>
          <w:rFonts w:ascii="宋体" w:hAnsi="宋体" w:eastAsia="宋体" w:cs="宋体"/>
          <w:color w:val="auto"/>
          <w:spacing w:val="-24"/>
          <w:sz w:val="19"/>
          <w:szCs w:val="19"/>
          <w:highlight w:val="none"/>
        </w:rPr>
        <w:t xml:space="preserve"> </w:t>
      </w:r>
      <w:r>
        <w:rPr>
          <w:rFonts w:ascii="宋体" w:hAnsi="宋体" w:eastAsia="宋体" w:cs="宋体"/>
          <w:color w:val="auto"/>
          <w:spacing w:val="2"/>
          <w:sz w:val="19"/>
          <w:szCs w:val="19"/>
          <w:highlight w:val="none"/>
        </w:rPr>
        <w:t>以下简称“发包人</w:t>
      </w:r>
      <w:r>
        <w:rPr>
          <w:rFonts w:ascii="宋体" w:hAnsi="宋体" w:eastAsia="宋体" w:cs="宋体"/>
          <w:color w:val="auto"/>
          <w:spacing w:val="-69"/>
          <w:sz w:val="19"/>
          <w:szCs w:val="19"/>
          <w:highlight w:val="none"/>
        </w:rPr>
        <w:t xml:space="preserve"> </w:t>
      </w:r>
      <w:r>
        <w:rPr>
          <w:rFonts w:ascii="宋体" w:hAnsi="宋体" w:eastAsia="宋体" w:cs="宋体"/>
          <w:color w:val="auto"/>
          <w:spacing w:val="2"/>
          <w:sz w:val="19"/>
          <w:szCs w:val="19"/>
          <w:highlight w:val="none"/>
        </w:rPr>
        <w:t xml:space="preserve">”）接受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66"/>
          <w:sz w:val="19"/>
          <w:szCs w:val="19"/>
          <w:highlight w:val="none"/>
        </w:rPr>
        <w:t xml:space="preserve"> </w:t>
      </w:r>
      <w:r>
        <w:rPr>
          <w:rFonts w:ascii="宋体" w:hAnsi="宋体" w:eastAsia="宋体" w:cs="宋体"/>
          <w:color w:val="auto"/>
          <w:spacing w:val="2"/>
          <w:sz w:val="19"/>
          <w:szCs w:val="19"/>
          <w:highlight w:val="none"/>
        </w:rPr>
        <w:t>（承</w:t>
      </w:r>
      <w:r>
        <w:rPr>
          <w:rFonts w:ascii="宋体" w:hAnsi="宋体" w:eastAsia="宋体" w:cs="宋体"/>
          <w:color w:val="auto"/>
          <w:spacing w:val="1"/>
          <w:sz w:val="19"/>
          <w:szCs w:val="19"/>
          <w:highlight w:val="none"/>
        </w:rPr>
        <w:t>包人名称，</w:t>
      </w:r>
      <w:r>
        <w:rPr>
          <w:rFonts w:ascii="宋体" w:hAnsi="宋体" w:eastAsia="宋体" w:cs="宋体"/>
          <w:color w:val="auto"/>
          <w:spacing w:val="-34"/>
          <w:sz w:val="19"/>
          <w:szCs w:val="19"/>
          <w:highlight w:val="none"/>
        </w:rPr>
        <w:t xml:space="preserve"> </w:t>
      </w:r>
      <w:r>
        <w:rPr>
          <w:rFonts w:ascii="宋体" w:hAnsi="宋体" w:eastAsia="宋体" w:cs="宋体"/>
          <w:color w:val="auto"/>
          <w:spacing w:val="1"/>
          <w:sz w:val="19"/>
          <w:szCs w:val="19"/>
          <w:highlight w:val="none"/>
        </w:rPr>
        <w:t>以下</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称“承包人</w:t>
      </w:r>
      <w:r>
        <w:rPr>
          <w:rFonts w:ascii="宋体" w:hAnsi="宋体" w:eastAsia="宋体" w:cs="宋体"/>
          <w:color w:val="auto"/>
          <w:spacing w:val="-69"/>
          <w:sz w:val="19"/>
          <w:szCs w:val="19"/>
          <w:highlight w:val="none"/>
        </w:rPr>
        <w:t xml:space="preserve"> </w:t>
      </w:r>
      <w:r>
        <w:rPr>
          <w:rFonts w:ascii="宋体" w:hAnsi="宋体" w:eastAsia="宋体" w:cs="宋体"/>
          <w:color w:val="auto"/>
          <w:spacing w:val="5"/>
          <w:sz w:val="19"/>
          <w:szCs w:val="19"/>
          <w:highlight w:val="none"/>
        </w:rPr>
        <w:t xml:space="preserve">”）于年月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52"/>
          <w:sz w:val="19"/>
          <w:szCs w:val="19"/>
          <w:highlight w:val="none"/>
        </w:rPr>
        <w:t xml:space="preserve"> </w:t>
      </w:r>
      <w:r>
        <w:rPr>
          <w:rFonts w:ascii="宋体" w:hAnsi="宋体" w:eastAsia="宋体" w:cs="宋体"/>
          <w:color w:val="auto"/>
          <w:spacing w:val="5"/>
          <w:sz w:val="19"/>
          <w:szCs w:val="19"/>
          <w:highlight w:val="none"/>
        </w:rPr>
        <w:t>日递交的（项目名称</w:t>
      </w:r>
      <w:r>
        <w:rPr>
          <w:rFonts w:ascii="宋体" w:hAnsi="宋体" w:eastAsia="宋体" w:cs="宋体"/>
          <w:color w:val="auto"/>
          <w:sz w:val="19"/>
          <w:szCs w:val="19"/>
          <w:highlight w:val="none"/>
        </w:rPr>
        <w:t>）</w:t>
      </w:r>
      <w:r>
        <w:rPr>
          <w:rFonts w:ascii="宋体" w:hAnsi="宋体" w:eastAsia="宋体" w:cs="宋体"/>
          <w:color w:val="auto"/>
          <w:spacing w:val="-69"/>
          <w:sz w:val="19"/>
          <w:szCs w:val="19"/>
          <w:highlight w:val="none"/>
        </w:rPr>
        <w:t xml:space="preserve"> </w:t>
      </w:r>
      <w:r>
        <w:rPr>
          <w:rFonts w:ascii="宋体" w:hAnsi="宋体" w:eastAsia="宋体" w:cs="宋体"/>
          <w:color w:val="auto"/>
          <w:sz w:val="19"/>
          <w:szCs w:val="19"/>
          <w:highlight w:val="none"/>
        </w:rPr>
        <w:t>（</w:t>
      </w:r>
      <w:r>
        <w:rPr>
          <w:rFonts w:ascii="宋体" w:hAnsi="宋体" w:eastAsia="宋体" w:cs="宋体"/>
          <w:color w:val="auto"/>
          <w:spacing w:val="5"/>
          <w:sz w:val="19"/>
          <w:szCs w:val="19"/>
          <w:highlight w:val="none"/>
        </w:rPr>
        <w:t>标</w:t>
      </w:r>
      <w:r>
        <w:rPr>
          <w:rFonts w:ascii="宋体" w:hAnsi="宋体" w:eastAsia="宋体" w:cs="宋体"/>
          <w:color w:val="auto"/>
          <w:spacing w:val="4"/>
          <w:sz w:val="19"/>
          <w:szCs w:val="19"/>
          <w:highlight w:val="none"/>
        </w:rPr>
        <w:t>段名称）</w:t>
      </w:r>
      <w:r>
        <w:rPr>
          <w:rFonts w:ascii="宋体" w:hAnsi="宋体" w:eastAsia="宋体" w:cs="宋体"/>
          <w:color w:val="auto"/>
          <w:spacing w:val="-27"/>
          <w:sz w:val="19"/>
          <w:szCs w:val="19"/>
          <w:highlight w:val="none"/>
        </w:rPr>
        <w:t xml:space="preserve"> </w:t>
      </w:r>
      <w:r>
        <w:rPr>
          <w:rFonts w:ascii="宋体" w:hAnsi="宋体" w:eastAsia="宋体" w:cs="宋体"/>
          <w:color w:val="auto"/>
          <w:spacing w:val="4"/>
          <w:sz w:val="19"/>
          <w:szCs w:val="19"/>
          <w:highlight w:val="none"/>
        </w:rPr>
        <w:t>的响应文件。我方愿意</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无条件地、不可撤销地就承包人履行与你方订立的合同，向</w:t>
      </w:r>
      <w:r>
        <w:rPr>
          <w:rFonts w:ascii="宋体" w:hAnsi="宋体" w:eastAsia="宋体" w:cs="宋体"/>
          <w:color w:val="auto"/>
          <w:spacing w:val="8"/>
          <w:sz w:val="19"/>
          <w:szCs w:val="19"/>
          <w:highlight w:val="none"/>
        </w:rPr>
        <w:t>你方提供担保。</w:t>
      </w:r>
    </w:p>
    <w:p w14:paraId="35C6D3A5">
      <w:pPr>
        <w:spacing w:before="37" w:line="228" w:lineRule="auto"/>
        <w:ind w:left="35"/>
        <w:rPr>
          <w:rFonts w:ascii="宋体" w:hAnsi="宋体" w:eastAsia="宋体" w:cs="宋体"/>
          <w:color w:val="auto"/>
          <w:sz w:val="10"/>
          <w:szCs w:val="10"/>
          <w:highlight w:val="none"/>
        </w:rPr>
      </w:pPr>
      <w:r>
        <w:rPr>
          <w:rFonts w:ascii="Times New Roman" w:hAnsi="Times New Roman" w:eastAsia="Times New Roman" w:cs="Times New Roman"/>
          <w:color w:val="auto"/>
          <w:spacing w:val="9"/>
          <w:sz w:val="19"/>
          <w:szCs w:val="19"/>
          <w:highlight w:val="none"/>
        </w:rPr>
        <w:t>1.</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9"/>
          <w:sz w:val="19"/>
          <w:szCs w:val="19"/>
          <w:highlight w:val="none"/>
        </w:rPr>
        <w:t>担保金额人民币（大写）</w:t>
      </w:r>
      <w:r>
        <w:rPr>
          <w:rFonts w:ascii="宋体" w:hAnsi="宋体" w:eastAsia="宋体" w:cs="宋体"/>
          <w:color w:val="auto"/>
          <w:spacing w:val="-62"/>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78"/>
          <w:sz w:val="19"/>
          <w:szCs w:val="19"/>
          <w:highlight w:val="none"/>
        </w:rPr>
        <w:t xml:space="preserve"> </w:t>
      </w:r>
      <w:r>
        <w:rPr>
          <w:rFonts w:ascii="宋体" w:hAnsi="宋体" w:eastAsia="宋体" w:cs="宋体"/>
          <w:color w:val="auto"/>
          <w:spacing w:val="9"/>
          <w:sz w:val="19"/>
          <w:szCs w:val="19"/>
          <w:highlight w:val="none"/>
        </w:rPr>
        <w:t>元(¥</w:t>
      </w:r>
      <w:r>
        <w:rPr>
          <w:rFonts w:ascii="宋体" w:hAnsi="宋体" w:eastAsia="宋体" w:cs="宋体"/>
          <w:color w:val="auto"/>
          <w:spacing w:val="-94"/>
          <w:sz w:val="19"/>
          <w:szCs w:val="19"/>
          <w:highlight w:val="none"/>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78"/>
          <w:sz w:val="19"/>
          <w:szCs w:val="19"/>
          <w:highlight w:val="none"/>
        </w:rPr>
        <w:t xml:space="preserve"> </w:t>
      </w:r>
      <w:r>
        <w:rPr>
          <w:rFonts w:ascii="宋体" w:hAnsi="宋体" w:eastAsia="宋体" w:cs="宋体"/>
          <w:color w:val="auto"/>
          <w:spacing w:val="9"/>
          <w:sz w:val="19"/>
          <w:szCs w:val="19"/>
          <w:highlight w:val="none"/>
        </w:rPr>
        <w:t>元）</w:t>
      </w:r>
      <w:r>
        <w:rPr>
          <w:rFonts w:ascii="宋体" w:hAnsi="宋体" w:eastAsia="宋体" w:cs="宋体"/>
          <w:color w:val="auto"/>
          <w:spacing w:val="9"/>
          <w:sz w:val="10"/>
          <w:szCs w:val="10"/>
          <w:highlight w:val="none"/>
        </w:rPr>
        <w:t>o</w:t>
      </w:r>
    </w:p>
    <w:p w14:paraId="14BB3822">
      <w:pPr>
        <w:spacing w:before="120" w:line="228" w:lineRule="auto"/>
        <w:ind w:left="1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担保有效期自发包人与承包人签订的合同生效之日起至发包人签发工程完工证书之日止。</w:t>
      </w:r>
    </w:p>
    <w:p w14:paraId="27FF472A">
      <w:pPr>
        <w:spacing w:before="119" w:line="286" w:lineRule="auto"/>
        <w:ind w:left="42" w:right="71" w:hanging="22"/>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在本担保有效期内，因承包人违反合同约定的义务给你方造成经济损失时，我方在收到你方</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以书面形式提出的在担保金额内的赔偿要求后，无条件地在</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天内予以支付。</w:t>
      </w:r>
    </w:p>
    <w:p w14:paraId="60C9AE0A">
      <w:pPr>
        <w:spacing w:before="118" w:line="228" w:lineRule="auto"/>
        <w:jc w:val="right"/>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发包人和承包人按《通用合同条款》第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5"/>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条变更合同时，我方承担本担保规定的义务不变。</w:t>
      </w:r>
    </w:p>
    <w:p w14:paraId="0388CCB9">
      <w:pPr>
        <w:spacing w:line="316" w:lineRule="auto"/>
        <w:rPr>
          <w:rFonts w:ascii="Arial"/>
          <w:color w:val="auto"/>
          <w:sz w:val="21"/>
          <w:highlight w:val="none"/>
        </w:rPr>
      </w:pPr>
    </w:p>
    <w:p w14:paraId="251BCA24">
      <w:pPr>
        <w:spacing w:before="62"/>
        <w:ind w:left="5497" w:right="82" w:firstLine="69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担  保</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人</w:t>
      </w:r>
      <w:r>
        <w:rPr>
          <w:rFonts w:ascii="宋体" w:hAnsi="宋体" w:eastAsia="宋体" w:cs="宋体"/>
          <w:color w:val="auto"/>
          <w:spacing w:val="11"/>
          <w:sz w:val="19"/>
          <w:szCs w:val="19"/>
          <w:highlight w:val="none"/>
        </w:rPr>
        <w:t>：（</w:t>
      </w:r>
      <w:r>
        <w:rPr>
          <w:rFonts w:ascii="宋体" w:hAnsi="宋体" w:eastAsia="宋体" w:cs="宋体"/>
          <w:color w:val="auto"/>
          <w:spacing w:val="5"/>
          <w:sz w:val="19"/>
          <w:szCs w:val="19"/>
          <w:highlight w:val="none"/>
        </w:rPr>
        <w:t>盖单位公章）</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定代表人(或委托代理人)</w:t>
      </w:r>
      <w:r>
        <w:rPr>
          <w:rFonts w:ascii="宋体" w:hAnsi="宋体" w:eastAsia="宋体" w:cs="宋体"/>
          <w:color w:val="auto"/>
          <w:spacing w:val="2"/>
          <w:sz w:val="19"/>
          <w:szCs w:val="19"/>
          <w:highlight w:val="none"/>
        </w:rPr>
        <w:t>：</w:t>
      </w:r>
      <w:r>
        <w:rPr>
          <w:rFonts w:ascii="宋体" w:hAnsi="宋体" w:eastAsia="宋体" w:cs="宋体"/>
          <w:color w:val="auto"/>
          <w:spacing w:val="-64"/>
          <w:sz w:val="19"/>
          <w:szCs w:val="19"/>
          <w:highlight w:val="none"/>
        </w:rPr>
        <w:t xml:space="preserve"> </w:t>
      </w:r>
      <w:r>
        <w:rPr>
          <w:rFonts w:ascii="宋体" w:hAnsi="宋体" w:eastAsia="宋体" w:cs="宋体"/>
          <w:color w:val="auto"/>
          <w:spacing w:val="2"/>
          <w:sz w:val="19"/>
          <w:szCs w:val="19"/>
          <w:highlight w:val="none"/>
        </w:rPr>
        <w:t>（</w:t>
      </w:r>
      <w:r>
        <w:rPr>
          <w:rFonts w:ascii="宋体" w:hAnsi="宋体" w:eastAsia="宋体" w:cs="宋体"/>
          <w:color w:val="auto"/>
          <w:spacing w:val="6"/>
          <w:sz w:val="19"/>
          <w:szCs w:val="19"/>
          <w:highlight w:val="none"/>
        </w:rPr>
        <w:t>签字）</w:t>
      </w:r>
    </w:p>
    <w:p w14:paraId="7475270E">
      <w:pPr>
        <w:spacing w:before="25" w:line="238" w:lineRule="auto"/>
        <w:ind w:left="4492"/>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地</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址：</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p>
    <w:p w14:paraId="134137CB">
      <w:pPr>
        <w:spacing w:before="15" w:line="228" w:lineRule="auto"/>
        <w:ind w:left="4047"/>
        <w:rPr>
          <w:rFonts w:ascii="宋体" w:hAnsi="宋体" w:eastAsia="宋体" w:cs="宋体"/>
          <w:color w:val="auto"/>
          <w:sz w:val="19"/>
          <w:szCs w:val="19"/>
          <w:highlight w:val="none"/>
        </w:rPr>
      </w:pPr>
      <w:r>
        <w:rPr>
          <w:rFonts w:ascii="宋体" w:hAnsi="宋体" w:eastAsia="宋体" w:cs="宋体"/>
          <w:color w:val="auto"/>
          <w:sz w:val="19"/>
          <w:szCs w:val="19"/>
          <w:highlight w:val="none"/>
        </w:rPr>
        <w:t>邮政编码：</w:t>
      </w:r>
      <w:r>
        <w:rPr>
          <w:rFonts w:ascii="宋体" w:hAnsi="宋体" w:eastAsia="宋体" w:cs="宋体"/>
          <w:color w:val="auto"/>
          <w:spacing w:val="-69"/>
          <w:sz w:val="19"/>
          <w:szCs w:val="19"/>
          <w:highlight w:val="none"/>
        </w:rPr>
        <w:t xml:space="preserve"> </w:t>
      </w:r>
      <w:r>
        <w:rPr>
          <w:rFonts w:ascii="宋体" w:hAnsi="宋体" w:eastAsia="宋体" w:cs="宋体"/>
          <w:color w:val="auto"/>
          <w:sz w:val="19"/>
          <w:szCs w:val="19"/>
          <w:highlight w:val="none"/>
          <w:u w:val="single" w:color="auto"/>
        </w:rPr>
        <w:t xml:space="preserve">                                       </w:t>
      </w:r>
    </w:p>
    <w:p w14:paraId="41487AD8">
      <w:pPr>
        <w:spacing w:before="23" w:line="231" w:lineRule="auto"/>
        <w:ind w:left="367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电</w:t>
      </w:r>
      <w:r>
        <w:rPr>
          <w:rFonts w:ascii="宋体" w:hAnsi="宋体" w:eastAsia="宋体" w:cs="宋体"/>
          <w:color w:val="auto"/>
          <w:spacing w:val="6"/>
          <w:sz w:val="19"/>
          <w:szCs w:val="19"/>
          <w:highlight w:val="none"/>
        </w:rPr>
        <w:t xml:space="preserve">        </w:t>
      </w:r>
      <w:r>
        <w:rPr>
          <w:rFonts w:ascii="宋体" w:hAnsi="宋体" w:eastAsia="宋体" w:cs="宋体"/>
          <w:color w:val="auto"/>
          <w:spacing w:val="-5"/>
          <w:sz w:val="19"/>
          <w:szCs w:val="19"/>
          <w:highlight w:val="none"/>
        </w:rPr>
        <w:t>话：</w:t>
      </w:r>
      <w:r>
        <w:rPr>
          <w:rFonts w:ascii="宋体" w:hAnsi="宋体" w:eastAsia="宋体" w:cs="宋体"/>
          <w:color w:val="auto"/>
          <w:sz w:val="19"/>
          <w:szCs w:val="19"/>
          <w:highlight w:val="none"/>
          <w:u w:val="single" w:color="auto"/>
        </w:rPr>
        <w:t xml:space="preserve">                                       </w:t>
      </w:r>
    </w:p>
    <w:p w14:paraId="58B2D98F">
      <w:pPr>
        <w:spacing w:before="22" w:line="228" w:lineRule="auto"/>
        <w:ind w:left="3611"/>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传</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真：</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p>
    <w:p w14:paraId="69EFAE89">
      <w:pPr>
        <w:tabs>
          <w:tab w:val="left" w:pos="7864"/>
        </w:tabs>
        <w:spacing w:before="25" w:line="242" w:lineRule="auto"/>
        <w:ind w:left="19" w:right="64" w:firstLine="7424"/>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87"/>
          <w:sz w:val="19"/>
          <w:szCs w:val="19"/>
          <w:highlight w:val="none"/>
        </w:rPr>
        <w:t xml:space="preserve"> </w:t>
      </w:r>
      <w:r>
        <w:rPr>
          <w:rFonts w:ascii="宋体" w:hAnsi="宋体" w:eastAsia="宋体" w:cs="宋体"/>
          <w:color w:val="auto"/>
          <w:spacing w:val="2"/>
          <w:sz w:val="19"/>
          <w:szCs w:val="19"/>
          <w:highlight w:val="none"/>
        </w:rPr>
        <w:t>年</w:t>
      </w:r>
      <w:r>
        <w:rPr>
          <w:rFonts w:ascii="宋体" w:hAnsi="宋体" w:eastAsia="宋体" w:cs="宋体"/>
          <w:color w:val="auto"/>
          <w:spacing w:val="15"/>
          <w:sz w:val="19"/>
          <w:szCs w:val="19"/>
          <w:highlight w:val="none"/>
          <w:u w:val="single" w:color="auto"/>
        </w:rPr>
        <w:t xml:space="preserve">  </w:t>
      </w:r>
      <w:r>
        <w:rPr>
          <w:rFonts w:ascii="宋体" w:hAnsi="宋体" w:eastAsia="宋体" w:cs="宋体"/>
          <w:color w:val="auto"/>
          <w:spacing w:val="-82"/>
          <w:sz w:val="19"/>
          <w:szCs w:val="19"/>
          <w:highlight w:val="none"/>
        </w:rPr>
        <w:t xml:space="preserve"> </w:t>
      </w:r>
      <w:r>
        <w:rPr>
          <w:rFonts w:ascii="宋体" w:hAnsi="宋体" w:eastAsia="宋体" w:cs="宋体"/>
          <w:color w:val="auto"/>
          <w:spacing w:val="2"/>
          <w:sz w:val="19"/>
          <w:szCs w:val="19"/>
          <w:highlight w:val="none"/>
        </w:rPr>
        <w:t>月日</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注：</w:t>
      </w:r>
    </w:p>
    <w:p w14:paraId="36AC117B">
      <w:pPr>
        <w:spacing w:before="101" w:line="228" w:lineRule="auto"/>
        <w:ind w:left="35"/>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1.</w:t>
      </w:r>
      <w:r>
        <w:rPr>
          <w:rFonts w:ascii="Times New Roman" w:hAnsi="Times New Roman" w:eastAsia="Times New Roman" w:cs="Times New Roman"/>
          <w:color w:val="auto"/>
          <w:spacing w:val="3"/>
          <w:sz w:val="19"/>
          <w:szCs w:val="19"/>
          <w:highlight w:val="none"/>
        </w:rPr>
        <w:t xml:space="preserve">            </w:t>
      </w:r>
      <w:r>
        <w:rPr>
          <w:rFonts w:ascii="宋体" w:hAnsi="宋体" w:eastAsia="宋体" w:cs="宋体"/>
          <w:color w:val="auto"/>
          <w:spacing w:val="6"/>
          <w:sz w:val="19"/>
          <w:szCs w:val="19"/>
          <w:highlight w:val="none"/>
        </w:rPr>
        <w:t>担保人必须是供应商单位基本账户的开户银行。</w:t>
      </w:r>
    </w:p>
    <w:p w14:paraId="2FD100DF">
      <w:pPr>
        <w:spacing w:before="121" w:line="228" w:lineRule="auto"/>
        <w:ind w:left="1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委托代理人应附授权委托书。</w:t>
      </w:r>
    </w:p>
    <w:p w14:paraId="1D2FE1DC">
      <w:pPr>
        <w:spacing w:line="228" w:lineRule="auto"/>
        <w:rPr>
          <w:rFonts w:ascii="宋体" w:hAnsi="宋体" w:eastAsia="宋体" w:cs="宋体"/>
          <w:color w:val="auto"/>
          <w:sz w:val="19"/>
          <w:szCs w:val="19"/>
          <w:highlight w:val="none"/>
        </w:rPr>
        <w:sectPr>
          <w:footerReference r:id="rId121" w:type="default"/>
          <w:pgSz w:w="11907" w:h="16841"/>
          <w:pgMar w:top="400" w:right="1373" w:bottom="1189" w:left="1785" w:header="0" w:footer="952" w:gutter="0"/>
          <w:pgNumType w:fmt="decimal"/>
          <w:cols w:space="720" w:num="1"/>
        </w:sectPr>
      </w:pPr>
    </w:p>
    <w:p w14:paraId="18C229A4">
      <w:pPr>
        <w:spacing w:before="101" w:line="224" w:lineRule="auto"/>
        <w:ind w:left="49"/>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附件三：预付款担保函</w:t>
      </w:r>
    </w:p>
    <w:p w14:paraId="351E9E49">
      <w:pPr>
        <w:spacing w:line="248" w:lineRule="auto"/>
        <w:rPr>
          <w:rFonts w:ascii="Arial"/>
          <w:color w:val="auto"/>
          <w:sz w:val="21"/>
          <w:highlight w:val="none"/>
        </w:rPr>
      </w:pPr>
    </w:p>
    <w:p w14:paraId="60D731CB">
      <w:pPr>
        <w:spacing w:line="248" w:lineRule="auto"/>
        <w:rPr>
          <w:rFonts w:ascii="Arial"/>
          <w:color w:val="auto"/>
          <w:sz w:val="21"/>
          <w:highlight w:val="none"/>
        </w:rPr>
      </w:pPr>
    </w:p>
    <w:p w14:paraId="7CABC1DC">
      <w:pPr>
        <w:spacing w:before="101" w:line="225" w:lineRule="auto"/>
        <w:ind w:left="3399"/>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预付款担保函</w:t>
      </w:r>
    </w:p>
    <w:p w14:paraId="6B88A95C">
      <w:pPr>
        <w:spacing w:line="269" w:lineRule="auto"/>
        <w:rPr>
          <w:rFonts w:ascii="Arial"/>
          <w:color w:val="auto"/>
          <w:sz w:val="21"/>
          <w:highlight w:val="none"/>
        </w:rPr>
      </w:pPr>
    </w:p>
    <w:p w14:paraId="5C238AD4">
      <w:pPr>
        <w:tabs>
          <w:tab w:val="left" w:pos="1881"/>
        </w:tabs>
        <w:spacing w:before="61" w:line="229" w:lineRule="auto"/>
        <w:ind w:left="12"/>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67"/>
          <w:sz w:val="19"/>
          <w:szCs w:val="19"/>
          <w:highlight w:val="none"/>
        </w:rPr>
        <w:t xml:space="preserve"> </w:t>
      </w:r>
      <w:r>
        <w:rPr>
          <w:rFonts w:ascii="宋体" w:hAnsi="宋体" w:eastAsia="宋体" w:cs="宋体"/>
          <w:color w:val="auto"/>
          <w:sz w:val="19"/>
          <w:szCs w:val="19"/>
          <w:highlight w:val="none"/>
        </w:rPr>
        <w:t>（发包人名称）</w:t>
      </w:r>
      <w:r>
        <w:rPr>
          <w:rFonts w:ascii="宋体" w:hAnsi="宋体" w:eastAsia="宋体" w:cs="宋体"/>
          <w:color w:val="auto"/>
          <w:spacing w:val="-19"/>
          <w:sz w:val="19"/>
          <w:szCs w:val="19"/>
          <w:highlight w:val="none"/>
        </w:rPr>
        <w:t xml:space="preserve"> </w:t>
      </w:r>
      <w:r>
        <w:rPr>
          <w:rFonts w:ascii="宋体" w:hAnsi="宋体" w:eastAsia="宋体" w:cs="宋体"/>
          <w:color w:val="auto"/>
          <w:sz w:val="19"/>
          <w:szCs w:val="19"/>
          <w:highlight w:val="none"/>
        </w:rPr>
        <w:t>:</w:t>
      </w:r>
    </w:p>
    <w:p w14:paraId="4C572557">
      <w:pPr>
        <w:spacing w:line="380" w:lineRule="auto"/>
        <w:rPr>
          <w:rFonts w:ascii="Arial"/>
          <w:color w:val="auto"/>
          <w:sz w:val="21"/>
          <w:highlight w:val="none"/>
        </w:rPr>
      </w:pPr>
    </w:p>
    <w:p w14:paraId="2FDAF839">
      <w:pPr>
        <w:spacing w:before="62" w:line="338" w:lineRule="auto"/>
        <w:ind w:left="10" w:right="6" w:firstLine="429"/>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根据</w:t>
      </w:r>
      <w:r>
        <w:rPr>
          <w:rFonts w:ascii="宋体" w:hAnsi="宋体" w:eastAsia="宋体" w:cs="宋体"/>
          <w:color w:val="auto"/>
          <w:spacing w:val="-84"/>
          <w:sz w:val="19"/>
          <w:szCs w:val="19"/>
          <w:highlight w:val="none"/>
        </w:rPr>
        <w:t xml:space="preserve"> </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62"/>
          <w:sz w:val="19"/>
          <w:szCs w:val="19"/>
          <w:highlight w:val="none"/>
        </w:rPr>
        <w:t xml:space="preserve"> </w:t>
      </w:r>
      <w:r>
        <w:rPr>
          <w:rFonts w:ascii="宋体" w:hAnsi="宋体" w:eastAsia="宋体" w:cs="宋体"/>
          <w:color w:val="auto"/>
          <w:spacing w:val="6"/>
          <w:sz w:val="19"/>
          <w:szCs w:val="19"/>
          <w:highlight w:val="none"/>
        </w:rPr>
        <w:t>（承包人名称，</w:t>
      </w:r>
      <w:r>
        <w:rPr>
          <w:rFonts w:ascii="宋体" w:hAnsi="宋体" w:eastAsia="宋体" w:cs="宋体"/>
          <w:color w:val="auto"/>
          <w:spacing w:val="-24"/>
          <w:sz w:val="19"/>
          <w:szCs w:val="19"/>
          <w:highlight w:val="none"/>
        </w:rPr>
        <w:t xml:space="preserve"> </w:t>
      </w:r>
      <w:r>
        <w:rPr>
          <w:rFonts w:ascii="宋体" w:hAnsi="宋体" w:eastAsia="宋体" w:cs="宋体"/>
          <w:color w:val="auto"/>
          <w:spacing w:val="6"/>
          <w:sz w:val="19"/>
          <w:szCs w:val="19"/>
          <w:highlight w:val="none"/>
        </w:rPr>
        <w:t>以下称“承包人</w:t>
      </w:r>
      <w:r>
        <w:rPr>
          <w:rFonts w:ascii="宋体" w:hAnsi="宋体" w:eastAsia="宋体" w:cs="宋体"/>
          <w:color w:val="auto"/>
          <w:spacing w:val="-68"/>
          <w:sz w:val="19"/>
          <w:szCs w:val="19"/>
          <w:highlight w:val="none"/>
        </w:rPr>
        <w:t xml:space="preserve"> </w:t>
      </w:r>
      <w:r>
        <w:rPr>
          <w:rFonts w:ascii="宋体" w:hAnsi="宋体" w:eastAsia="宋体" w:cs="宋体"/>
          <w:color w:val="auto"/>
          <w:spacing w:val="6"/>
          <w:sz w:val="19"/>
          <w:szCs w:val="19"/>
          <w:highlight w:val="none"/>
        </w:rPr>
        <w:t>”）与</w:t>
      </w:r>
      <w:r>
        <w:rPr>
          <w:rFonts w:ascii="宋体" w:hAnsi="宋体" w:eastAsia="宋体" w:cs="宋体"/>
          <w:color w:val="auto"/>
          <w:spacing w:val="-77"/>
          <w:sz w:val="19"/>
          <w:szCs w:val="19"/>
          <w:highlight w:val="none"/>
        </w:rPr>
        <w:t xml:space="preserve"> </w:t>
      </w:r>
      <w:r>
        <w:rPr>
          <w:rFonts w:ascii="宋体" w:hAnsi="宋体" w:eastAsia="宋体" w:cs="宋体"/>
          <w:color w:val="auto"/>
          <w:spacing w:val="6"/>
          <w:sz w:val="19"/>
          <w:szCs w:val="19"/>
          <w:highlight w:val="none"/>
          <w:u w:val="single" w:color="auto"/>
        </w:rPr>
        <w:t xml:space="preserve">         </w:t>
      </w:r>
      <w:r>
        <w:rPr>
          <w:rFonts w:ascii="宋体" w:hAnsi="宋体" w:eastAsia="宋体" w:cs="宋体"/>
          <w:color w:val="auto"/>
          <w:spacing w:val="6"/>
          <w:sz w:val="19"/>
          <w:szCs w:val="19"/>
          <w:highlight w:val="none"/>
        </w:rPr>
        <w:t xml:space="preserve">  （发包人名称，以下简</w:t>
      </w:r>
      <w:r>
        <w:rPr>
          <w:rFonts w:ascii="宋体" w:hAnsi="宋体" w:eastAsia="宋体" w:cs="宋体"/>
          <w:color w:val="auto"/>
          <w:spacing w:val="-54"/>
          <w:sz w:val="19"/>
          <w:szCs w:val="19"/>
          <w:highlight w:val="none"/>
        </w:rPr>
        <w:t xml:space="preserve"> </w:t>
      </w:r>
      <w:r>
        <w:rPr>
          <w:rFonts w:ascii="宋体" w:hAnsi="宋体" w:eastAsia="宋体" w:cs="宋体"/>
          <w:color w:val="auto"/>
          <w:spacing w:val="6"/>
          <w:sz w:val="19"/>
          <w:szCs w:val="19"/>
          <w:highlight w:val="none"/>
        </w:rPr>
        <w:t>称</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“发包人</w:t>
      </w:r>
      <w:r>
        <w:rPr>
          <w:rFonts w:ascii="宋体" w:hAnsi="宋体" w:eastAsia="宋体" w:cs="宋体"/>
          <w:color w:val="auto"/>
          <w:spacing w:val="-66"/>
          <w:sz w:val="19"/>
          <w:szCs w:val="19"/>
          <w:highlight w:val="none"/>
        </w:rPr>
        <w:t xml:space="preserve"> </w:t>
      </w:r>
      <w:r>
        <w:rPr>
          <w:rFonts w:ascii="宋体" w:hAnsi="宋体" w:eastAsia="宋体" w:cs="宋体"/>
          <w:color w:val="auto"/>
          <w:spacing w:val="4"/>
          <w:sz w:val="19"/>
          <w:szCs w:val="19"/>
          <w:highlight w:val="none"/>
        </w:rPr>
        <w:t>”）于</w:t>
      </w:r>
      <w:r>
        <w:rPr>
          <w:rFonts w:ascii="宋体" w:hAnsi="宋体" w:eastAsia="宋体" w:cs="宋体"/>
          <w:color w:val="auto"/>
          <w:spacing w:val="-81"/>
          <w:sz w:val="19"/>
          <w:szCs w:val="19"/>
          <w:highlight w:val="none"/>
        </w:rPr>
        <w:t xml:space="preserve"> </w:t>
      </w:r>
      <w:r>
        <w:rPr>
          <w:rFonts w:ascii="宋体" w:hAnsi="宋体" w:eastAsia="宋体" w:cs="宋体"/>
          <w:color w:val="auto"/>
          <w:spacing w:val="22"/>
          <w:sz w:val="19"/>
          <w:szCs w:val="19"/>
          <w:highlight w:val="none"/>
          <w:u w:val="single" w:color="auto"/>
        </w:rPr>
        <w:t xml:space="preserve">    </w:t>
      </w:r>
      <w:r>
        <w:rPr>
          <w:rFonts w:ascii="宋体" w:hAnsi="宋体" w:eastAsia="宋体" w:cs="宋体"/>
          <w:color w:val="auto"/>
          <w:spacing w:val="-83"/>
          <w:sz w:val="19"/>
          <w:szCs w:val="19"/>
          <w:highlight w:val="none"/>
        </w:rPr>
        <w:t xml:space="preserve"> </w:t>
      </w:r>
      <w:r>
        <w:rPr>
          <w:rFonts w:ascii="宋体" w:hAnsi="宋体" w:eastAsia="宋体" w:cs="宋体"/>
          <w:color w:val="auto"/>
          <w:spacing w:val="4"/>
          <w:sz w:val="19"/>
          <w:szCs w:val="19"/>
          <w:highlight w:val="none"/>
        </w:rPr>
        <w:t>年</w:t>
      </w:r>
      <w:r>
        <w:rPr>
          <w:rFonts w:ascii="宋体" w:hAnsi="宋体" w:eastAsia="宋体" w:cs="宋体"/>
          <w:color w:val="auto"/>
          <w:spacing w:val="-95"/>
          <w:sz w:val="19"/>
          <w:szCs w:val="19"/>
          <w:highlight w:val="none"/>
        </w:rPr>
        <w:t xml:space="preserve"> </w:t>
      </w:r>
      <w:r>
        <w:rPr>
          <w:rFonts w:ascii="宋体" w:hAnsi="宋体" w:eastAsia="宋体" w:cs="宋体"/>
          <w:color w:val="auto"/>
          <w:spacing w:val="11"/>
          <w:sz w:val="19"/>
          <w:szCs w:val="19"/>
          <w:highlight w:val="none"/>
          <w:u w:val="single" w:color="auto"/>
        </w:rPr>
        <w:t xml:space="preserve">      </w:t>
      </w:r>
      <w:r>
        <w:rPr>
          <w:rFonts w:ascii="宋体" w:hAnsi="宋体" w:eastAsia="宋体" w:cs="宋体"/>
          <w:color w:val="auto"/>
          <w:spacing w:val="-80"/>
          <w:sz w:val="19"/>
          <w:szCs w:val="19"/>
          <w:highlight w:val="none"/>
        </w:rPr>
        <w:t xml:space="preserve"> </w:t>
      </w:r>
      <w:r>
        <w:rPr>
          <w:rFonts w:ascii="宋体" w:hAnsi="宋体" w:eastAsia="宋体" w:cs="宋体"/>
          <w:color w:val="auto"/>
          <w:spacing w:val="4"/>
          <w:sz w:val="19"/>
          <w:szCs w:val="19"/>
          <w:highlight w:val="none"/>
        </w:rPr>
        <w:t xml:space="preserve">月日签订的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4"/>
          <w:sz w:val="19"/>
          <w:szCs w:val="19"/>
          <w:highlight w:val="none"/>
        </w:rPr>
        <w:t>（项目名称</w:t>
      </w:r>
      <w:r>
        <w:rPr>
          <w:rFonts w:ascii="宋体" w:hAnsi="宋体" w:eastAsia="宋体" w:cs="宋体"/>
          <w:color w:val="auto"/>
          <w:spacing w:val="1"/>
          <w:sz w:val="19"/>
          <w:szCs w:val="19"/>
          <w:highlight w:val="none"/>
        </w:rPr>
        <w:t>）</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u w:val="single" w:color="auto"/>
        </w:rPr>
        <w:t xml:space="preserve">           </w:t>
      </w:r>
      <w:r>
        <w:rPr>
          <w:rFonts w:ascii="宋体" w:hAnsi="宋体" w:eastAsia="宋体" w:cs="宋体"/>
          <w:color w:val="auto"/>
          <w:spacing w:val="1"/>
          <w:sz w:val="19"/>
          <w:szCs w:val="19"/>
          <w:highlight w:val="none"/>
        </w:rPr>
        <w:t>（</w:t>
      </w:r>
      <w:r>
        <w:rPr>
          <w:rFonts w:ascii="宋体" w:hAnsi="宋体" w:eastAsia="宋体" w:cs="宋体"/>
          <w:color w:val="auto"/>
          <w:spacing w:val="4"/>
          <w:sz w:val="19"/>
          <w:szCs w:val="19"/>
          <w:highlight w:val="none"/>
        </w:rPr>
        <w:t>标段名称）合</w:t>
      </w:r>
      <w:r>
        <w:rPr>
          <w:rFonts w:ascii="宋体" w:hAnsi="宋体" w:eastAsia="宋体" w:cs="宋体"/>
          <w:color w:val="auto"/>
          <w:spacing w:val="8"/>
          <w:sz w:val="19"/>
          <w:szCs w:val="19"/>
          <w:highlight w:val="none"/>
        </w:rPr>
        <w:t xml:space="preserve"> </w:t>
      </w:r>
      <w:r>
        <w:rPr>
          <w:rFonts w:ascii="宋体" w:hAnsi="宋体" w:eastAsia="宋体" w:cs="宋体"/>
          <w:color w:val="auto"/>
          <w:spacing w:val="7"/>
          <w:sz w:val="19"/>
          <w:szCs w:val="19"/>
          <w:highlight w:val="none"/>
        </w:rPr>
        <w:t>同协议书，</w:t>
      </w:r>
      <w:r>
        <w:rPr>
          <w:rFonts w:ascii="宋体" w:hAnsi="宋体" w:eastAsia="宋体" w:cs="宋体"/>
          <w:color w:val="auto"/>
          <w:spacing w:val="-51"/>
          <w:sz w:val="19"/>
          <w:szCs w:val="19"/>
          <w:highlight w:val="none"/>
        </w:rPr>
        <w:t xml:space="preserve"> </w:t>
      </w:r>
      <w:r>
        <w:rPr>
          <w:rFonts w:ascii="宋体" w:hAnsi="宋体" w:eastAsia="宋体" w:cs="宋体"/>
          <w:color w:val="auto"/>
          <w:spacing w:val="7"/>
          <w:sz w:val="19"/>
          <w:szCs w:val="19"/>
          <w:highlight w:val="none"/>
        </w:rPr>
        <w:t>承包人 按约定的金额向发包人提交一份预付款担保，</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即有权得到发</w:t>
      </w:r>
      <w:r>
        <w:rPr>
          <w:rFonts w:ascii="宋体" w:hAnsi="宋体" w:eastAsia="宋体" w:cs="宋体"/>
          <w:color w:val="auto"/>
          <w:spacing w:val="6"/>
          <w:sz w:val="19"/>
          <w:szCs w:val="19"/>
          <w:highlight w:val="none"/>
        </w:rPr>
        <w:t>包人支付相等金额的</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预付款。</w:t>
      </w:r>
      <w:r>
        <w:rPr>
          <w:rFonts w:ascii="宋体" w:hAnsi="宋体" w:eastAsia="宋体" w:cs="宋体"/>
          <w:color w:val="auto"/>
          <w:spacing w:val="53"/>
          <w:sz w:val="19"/>
          <w:szCs w:val="19"/>
          <w:highlight w:val="none"/>
        </w:rPr>
        <w:t xml:space="preserve"> </w:t>
      </w:r>
      <w:r>
        <w:rPr>
          <w:rFonts w:ascii="宋体" w:hAnsi="宋体" w:eastAsia="宋体" w:cs="宋体"/>
          <w:color w:val="auto"/>
          <w:spacing w:val="7"/>
          <w:sz w:val="19"/>
          <w:szCs w:val="19"/>
          <w:highlight w:val="none"/>
        </w:rPr>
        <w:t>我方愿意就你方提供给承包人的预</w:t>
      </w:r>
      <w:r>
        <w:rPr>
          <w:rFonts w:ascii="宋体" w:hAnsi="宋体" w:eastAsia="宋体" w:cs="宋体"/>
          <w:color w:val="auto"/>
          <w:spacing w:val="6"/>
          <w:sz w:val="19"/>
          <w:szCs w:val="19"/>
          <w:highlight w:val="none"/>
        </w:rPr>
        <w:t>付款提供担保。</w:t>
      </w:r>
    </w:p>
    <w:p w14:paraId="7A40571E">
      <w:pPr>
        <w:spacing w:before="69" w:line="228" w:lineRule="auto"/>
        <w:ind w:left="35"/>
        <w:rPr>
          <w:rFonts w:ascii="宋体" w:hAnsi="宋体" w:eastAsia="宋体" w:cs="宋体"/>
          <w:color w:val="auto"/>
          <w:sz w:val="10"/>
          <w:szCs w:val="10"/>
          <w:highlight w:val="none"/>
        </w:rPr>
      </w:pPr>
      <w:r>
        <w:rPr>
          <w:rFonts w:ascii="Times New Roman" w:hAnsi="Times New Roman" w:eastAsia="Times New Roman" w:cs="Times New Roman"/>
          <w:color w:val="auto"/>
          <w:spacing w:val="7"/>
          <w:sz w:val="19"/>
          <w:szCs w:val="19"/>
          <w:highlight w:val="none"/>
        </w:rPr>
        <w:t>1.</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7"/>
          <w:sz w:val="19"/>
          <w:szCs w:val="19"/>
          <w:highlight w:val="none"/>
        </w:rPr>
        <w:t>担保金额人民币（大写）</w:t>
      </w:r>
      <w:r>
        <w:rPr>
          <w:rFonts w:ascii="宋体" w:hAnsi="宋体" w:eastAsia="宋体" w:cs="宋体"/>
          <w:color w:val="auto"/>
          <w:spacing w:val="-64"/>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67"/>
          <w:sz w:val="19"/>
          <w:szCs w:val="19"/>
          <w:highlight w:val="none"/>
        </w:rPr>
        <w:t xml:space="preserve"> </w:t>
      </w:r>
      <w:r>
        <w:rPr>
          <w:rFonts w:ascii="宋体" w:hAnsi="宋体" w:eastAsia="宋体" w:cs="宋体"/>
          <w:color w:val="auto"/>
          <w:spacing w:val="7"/>
          <w:sz w:val="19"/>
          <w:szCs w:val="19"/>
          <w:highlight w:val="none"/>
        </w:rPr>
        <w:t>元(¥</w:t>
      </w:r>
      <w:r>
        <w:rPr>
          <w:rFonts w:ascii="宋体" w:hAnsi="宋体" w:eastAsia="宋体" w:cs="宋体"/>
          <w:color w:val="auto"/>
          <w:spacing w:val="-94"/>
          <w:sz w:val="19"/>
          <w:szCs w:val="19"/>
          <w:highlight w:val="none"/>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58"/>
          <w:sz w:val="19"/>
          <w:szCs w:val="19"/>
          <w:highlight w:val="none"/>
        </w:rPr>
        <w:t xml:space="preserve"> </w:t>
      </w:r>
      <w:r>
        <w:rPr>
          <w:rFonts w:ascii="宋体" w:hAnsi="宋体" w:eastAsia="宋体" w:cs="宋体"/>
          <w:color w:val="auto"/>
          <w:spacing w:val="7"/>
          <w:sz w:val="19"/>
          <w:szCs w:val="19"/>
          <w:highlight w:val="none"/>
        </w:rPr>
        <w:t xml:space="preserve">) </w:t>
      </w:r>
      <w:r>
        <w:rPr>
          <w:rFonts w:ascii="宋体" w:hAnsi="宋体" w:eastAsia="宋体" w:cs="宋体"/>
          <w:color w:val="auto"/>
          <w:spacing w:val="7"/>
          <w:sz w:val="10"/>
          <w:szCs w:val="10"/>
          <w:highlight w:val="none"/>
        </w:rPr>
        <w:t>o</w:t>
      </w:r>
    </w:p>
    <w:p w14:paraId="3C94FFDF">
      <w:pPr>
        <w:spacing w:before="250" w:line="293" w:lineRule="auto"/>
        <w:ind w:left="20" w:right="150" w:hanging="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担保有效期自预付款支付给承包人起生效，</w:t>
      </w:r>
      <w:r>
        <w:rPr>
          <w:rFonts w:ascii="宋体" w:hAnsi="宋体" w:eastAsia="宋体" w:cs="宋体"/>
          <w:color w:val="auto"/>
          <w:spacing w:val="-53"/>
          <w:sz w:val="19"/>
          <w:szCs w:val="19"/>
          <w:highlight w:val="none"/>
        </w:rPr>
        <w:t xml:space="preserve"> </w:t>
      </w:r>
      <w:r>
        <w:rPr>
          <w:rFonts w:ascii="宋体" w:hAnsi="宋体" w:eastAsia="宋体" w:cs="宋体"/>
          <w:color w:val="auto"/>
          <w:spacing w:val="8"/>
          <w:sz w:val="19"/>
          <w:szCs w:val="19"/>
          <w:highlight w:val="none"/>
        </w:rPr>
        <w:t>至发包人</w:t>
      </w:r>
      <w:r>
        <w:rPr>
          <w:rFonts w:ascii="宋体" w:hAnsi="宋体" w:eastAsia="宋体" w:cs="宋体"/>
          <w:color w:val="auto"/>
          <w:spacing w:val="7"/>
          <w:sz w:val="19"/>
          <w:szCs w:val="19"/>
          <w:highlight w:val="none"/>
        </w:rPr>
        <w:t>签发的进度付款证书说明已完全扣清</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止。</w:t>
      </w:r>
    </w:p>
    <w:p w14:paraId="53C7CA6C">
      <w:pPr>
        <w:spacing w:before="104" w:line="316" w:lineRule="auto"/>
        <w:ind w:left="19" w:right="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在本担保有效期内，</w:t>
      </w:r>
      <w:r>
        <w:rPr>
          <w:rFonts w:ascii="宋体" w:hAnsi="宋体" w:eastAsia="宋体" w:cs="宋体"/>
          <w:color w:val="auto"/>
          <w:spacing w:val="7"/>
          <w:sz w:val="19"/>
          <w:szCs w:val="19"/>
          <w:highlight w:val="none"/>
        </w:rPr>
        <w:t>因承包人违反合同约定的义务而要求收回预付款时，我方在收到你方的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书面通知后，无条件地在</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9"/>
          <w:sz w:val="19"/>
          <w:szCs w:val="19"/>
          <w:highlight w:val="none"/>
        </w:rPr>
        <w:t>天内予以支付。但本担保的担保金额，在任何时候不应超过预付</w:t>
      </w:r>
      <w:r>
        <w:rPr>
          <w:rFonts w:ascii="宋体" w:hAnsi="宋体" w:eastAsia="宋体" w:cs="宋体"/>
          <w:color w:val="auto"/>
          <w:spacing w:val="8"/>
          <w:sz w:val="19"/>
          <w:szCs w:val="19"/>
          <w:highlight w:val="none"/>
        </w:rPr>
        <w:t>款金额</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减去发包人按合同约定在向承包人签发的进度付款证书中已扣回的金额。发包人和承包人按《通用</w:t>
      </w:r>
      <w:r>
        <w:rPr>
          <w:rFonts w:ascii="宋体" w:hAnsi="宋体" w:eastAsia="宋体" w:cs="宋体"/>
          <w:color w:val="auto"/>
          <w:spacing w:val="2"/>
          <w:sz w:val="19"/>
          <w:szCs w:val="19"/>
          <w:highlight w:val="none"/>
        </w:rPr>
        <w:t xml:space="preserve">  </w:t>
      </w:r>
      <w:r>
        <w:rPr>
          <w:rFonts w:ascii="宋体" w:hAnsi="宋体" w:eastAsia="宋体" w:cs="宋体"/>
          <w:color w:val="auto"/>
          <w:spacing w:val="7"/>
          <w:sz w:val="19"/>
          <w:szCs w:val="19"/>
          <w:highlight w:val="none"/>
        </w:rPr>
        <w:t>合同条款》第 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条变更合同时，我方承担本担保规定</w:t>
      </w:r>
      <w:r>
        <w:rPr>
          <w:rFonts w:ascii="宋体" w:hAnsi="宋体" w:eastAsia="宋体" w:cs="宋体"/>
          <w:color w:val="auto"/>
          <w:spacing w:val="6"/>
          <w:sz w:val="19"/>
          <w:szCs w:val="19"/>
          <w:highlight w:val="none"/>
        </w:rPr>
        <w:t>的 义务不变。</w:t>
      </w:r>
    </w:p>
    <w:p w14:paraId="2CC72164">
      <w:pPr>
        <w:spacing w:line="331" w:lineRule="auto"/>
        <w:rPr>
          <w:rFonts w:ascii="Arial"/>
          <w:color w:val="auto"/>
          <w:sz w:val="21"/>
          <w:highlight w:val="none"/>
        </w:rPr>
      </w:pPr>
    </w:p>
    <w:p w14:paraId="57D0BA7F">
      <w:pPr>
        <w:spacing w:before="62"/>
        <w:ind w:left="5497" w:right="17" w:firstLine="696"/>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担  保</w:t>
      </w:r>
      <w:r>
        <w:rPr>
          <w:rFonts w:ascii="宋体" w:hAnsi="宋体" w:eastAsia="宋体" w:cs="宋体"/>
          <w:color w:val="auto"/>
          <w:spacing w:val="16"/>
          <w:sz w:val="19"/>
          <w:szCs w:val="19"/>
          <w:highlight w:val="none"/>
        </w:rPr>
        <w:t xml:space="preserve"> </w:t>
      </w:r>
      <w:r>
        <w:rPr>
          <w:rFonts w:ascii="宋体" w:hAnsi="宋体" w:eastAsia="宋体" w:cs="宋体"/>
          <w:color w:val="auto"/>
          <w:spacing w:val="6"/>
          <w:sz w:val="19"/>
          <w:szCs w:val="19"/>
          <w:highlight w:val="none"/>
        </w:rPr>
        <w:t>人</w:t>
      </w:r>
      <w:r>
        <w:rPr>
          <w:rFonts w:ascii="宋体" w:hAnsi="宋体" w:eastAsia="宋体" w:cs="宋体"/>
          <w:color w:val="auto"/>
          <w:spacing w:val="7"/>
          <w:sz w:val="19"/>
          <w:szCs w:val="19"/>
          <w:highlight w:val="none"/>
        </w:rPr>
        <w:t>：（</w:t>
      </w:r>
      <w:r>
        <w:rPr>
          <w:rFonts w:ascii="宋体" w:hAnsi="宋体" w:eastAsia="宋体" w:cs="宋体"/>
          <w:color w:val="auto"/>
          <w:spacing w:val="6"/>
          <w:sz w:val="19"/>
          <w:szCs w:val="19"/>
          <w:highlight w:val="none"/>
        </w:rPr>
        <w:t>盖单位公章）</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定代表人(或委托代理人)</w:t>
      </w:r>
      <w:r>
        <w:rPr>
          <w:rFonts w:ascii="宋体" w:hAnsi="宋体" w:eastAsia="宋体" w:cs="宋体"/>
          <w:color w:val="auto"/>
          <w:spacing w:val="2"/>
          <w:sz w:val="19"/>
          <w:szCs w:val="19"/>
          <w:highlight w:val="none"/>
        </w:rPr>
        <w:t>：</w:t>
      </w:r>
      <w:r>
        <w:rPr>
          <w:rFonts w:ascii="宋体" w:hAnsi="宋体" w:eastAsia="宋体" w:cs="宋体"/>
          <w:color w:val="auto"/>
          <w:spacing w:val="-64"/>
          <w:sz w:val="19"/>
          <w:szCs w:val="19"/>
          <w:highlight w:val="none"/>
        </w:rPr>
        <w:t xml:space="preserve"> </w:t>
      </w:r>
      <w:r>
        <w:rPr>
          <w:rFonts w:ascii="宋体" w:hAnsi="宋体" w:eastAsia="宋体" w:cs="宋体"/>
          <w:color w:val="auto"/>
          <w:spacing w:val="2"/>
          <w:sz w:val="19"/>
          <w:szCs w:val="19"/>
          <w:highlight w:val="none"/>
        </w:rPr>
        <w:t>（</w:t>
      </w:r>
      <w:r>
        <w:rPr>
          <w:rFonts w:ascii="宋体" w:hAnsi="宋体" w:eastAsia="宋体" w:cs="宋体"/>
          <w:color w:val="auto"/>
          <w:spacing w:val="6"/>
          <w:sz w:val="19"/>
          <w:szCs w:val="19"/>
          <w:highlight w:val="none"/>
        </w:rPr>
        <w:t>签字）</w:t>
      </w:r>
    </w:p>
    <w:p w14:paraId="2CE8D6F7">
      <w:pPr>
        <w:spacing w:before="24" w:line="238" w:lineRule="auto"/>
        <w:ind w:left="4492"/>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地</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址：</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p>
    <w:p w14:paraId="2C7F825E">
      <w:pPr>
        <w:spacing w:before="15" w:line="228" w:lineRule="auto"/>
        <w:ind w:left="4047"/>
        <w:rPr>
          <w:rFonts w:ascii="宋体" w:hAnsi="宋体" w:eastAsia="宋体" w:cs="宋体"/>
          <w:color w:val="auto"/>
          <w:sz w:val="19"/>
          <w:szCs w:val="19"/>
          <w:highlight w:val="none"/>
        </w:rPr>
      </w:pPr>
      <w:r>
        <w:rPr>
          <w:rFonts w:ascii="宋体" w:hAnsi="宋体" w:eastAsia="宋体" w:cs="宋体"/>
          <w:color w:val="auto"/>
          <w:sz w:val="19"/>
          <w:szCs w:val="19"/>
          <w:highlight w:val="none"/>
        </w:rPr>
        <w:t>邮政编码：</w:t>
      </w:r>
      <w:r>
        <w:rPr>
          <w:rFonts w:ascii="宋体" w:hAnsi="宋体" w:eastAsia="宋体" w:cs="宋体"/>
          <w:color w:val="auto"/>
          <w:spacing w:val="-69"/>
          <w:sz w:val="19"/>
          <w:szCs w:val="19"/>
          <w:highlight w:val="none"/>
        </w:rPr>
        <w:t xml:space="preserve"> </w:t>
      </w:r>
      <w:r>
        <w:rPr>
          <w:rFonts w:ascii="宋体" w:hAnsi="宋体" w:eastAsia="宋体" w:cs="宋体"/>
          <w:color w:val="auto"/>
          <w:sz w:val="19"/>
          <w:szCs w:val="19"/>
          <w:highlight w:val="none"/>
          <w:u w:val="single" w:color="auto"/>
        </w:rPr>
        <w:t xml:space="preserve">                                       </w:t>
      </w:r>
    </w:p>
    <w:p w14:paraId="54F52E6B">
      <w:pPr>
        <w:spacing w:before="24" w:line="231" w:lineRule="auto"/>
        <w:ind w:left="367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电</w:t>
      </w:r>
      <w:r>
        <w:rPr>
          <w:rFonts w:ascii="宋体" w:hAnsi="宋体" w:eastAsia="宋体" w:cs="宋体"/>
          <w:color w:val="auto"/>
          <w:spacing w:val="6"/>
          <w:sz w:val="19"/>
          <w:szCs w:val="19"/>
          <w:highlight w:val="none"/>
        </w:rPr>
        <w:t xml:space="preserve">        </w:t>
      </w:r>
      <w:r>
        <w:rPr>
          <w:rFonts w:ascii="宋体" w:hAnsi="宋体" w:eastAsia="宋体" w:cs="宋体"/>
          <w:color w:val="auto"/>
          <w:spacing w:val="-5"/>
          <w:sz w:val="19"/>
          <w:szCs w:val="19"/>
          <w:highlight w:val="none"/>
        </w:rPr>
        <w:t>话：</w:t>
      </w:r>
      <w:r>
        <w:rPr>
          <w:rFonts w:ascii="宋体" w:hAnsi="宋体" w:eastAsia="宋体" w:cs="宋体"/>
          <w:color w:val="auto"/>
          <w:sz w:val="19"/>
          <w:szCs w:val="19"/>
          <w:highlight w:val="none"/>
          <w:u w:val="single" w:color="auto"/>
        </w:rPr>
        <w:t xml:space="preserve">                                       </w:t>
      </w:r>
    </w:p>
    <w:p w14:paraId="7DF779FC">
      <w:pPr>
        <w:spacing w:before="21" w:line="228" w:lineRule="auto"/>
        <w:ind w:left="3611"/>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传</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真：</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p>
    <w:p w14:paraId="0C71CD19">
      <w:pPr>
        <w:tabs>
          <w:tab w:val="left" w:pos="7864"/>
        </w:tabs>
        <w:spacing w:before="25" w:line="321" w:lineRule="auto"/>
        <w:ind w:left="19" w:right="2" w:firstLine="7424"/>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87"/>
          <w:sz w:val="19"/>
          <w:szCs w:val="19"/>
          <w:highlight w:val="none"/>
        </w:rPr>
        <w:t xml:space="preserve"> </w:t>
      </w:r>
      <w:r>
        <w:rPr>
          <w:rFonts w:ascii="宋体" w:hAnsi="宋体" w:eastAsia="宋体" w:cs="宋体"/>
          <w:color w:val="auto"/>
          <w:spacing w:val="2"/>
          <w:sz w:val="19"/>
          <w:szCs w:val="19"/>
          <w:highlight w:val="none"/>
        </w:rPr>
        <w:t>年</w:t>
      </w:r>
      <w:r>
        <w:rPr>
          <w:rFonts w:ascii="宋体" w:hAnsi="宋体" w:eastAsia="宋体" w:cs="宋体"/>
          <w:color w:val="auto"/>
          <w:spacing w:val="15"/>
          <w:sz w:val="19"/>
          <w:szCs w:val="19"/>
          <w:highlight w:val="none"/>
          <w:u w:val="single" w:color="auto"/>
        </w:rPr>
        <w:t xml:space="preserve">  </w:t>
      </w:r>
      <w:r>
        <w:rPr>
          <w:rFonts w:ascii="宋体" w:hAnsi="宋体" w:eastAsia="宋体" w:cs="宋体"/>
          <w:color w:val="auto"/>
          <w:spacing w:val="-82"/>
          <w:sz w:val="19"/>
          <w:szCs w:val="19"/>
          <w:highlight w:val="none"/>
        </w:rPr>
        <w:t xml:space="preserve"> </w:t>
      </w:r>
      <w:r>
        <w:rPr>
          <w:rFonts w:ascii="宋体" w:hAnsi="宋体" w:eastAsia="宋体" w:cs="宋体"/>
          <w:color w:val="auto"/>
          <w:spacing w:val="2"/>
          <w:sz w:val="19"/>
          <w:szCs w:val="19"/>
          <w:highlight w:val="none"/>
        </w:rPr>
        <w:t>月日</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注：</w:t>
      </w:r>
    </w:p>
    <w:p w14:paraId="7B7A33C7">
      <w:pPr>
        <w:spacing w:before="294" w:line="228" w:lineRule="auto"/>
        <w:ind w:left="35"/>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担保人必须是供应商单位基本账户的开户银行。</w:t>
      </w:r>
    </w:p>
    <w:p w14:paraId="7F17C7D3">
      <w:pPr>
        <w:spacing w:before="169" w:line="228" w:lineRule="auto"/>
        <w:ind w:left="16"/>
        <w:rPr>
          <w:rFonts w:ascii="宋体" w:hAnsi="宋体" w:eastAsia="宋体" w:cs="宋体"/>
          <w:color w:val="auto"/>
          <w:spacing w:val="6"/>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委托代理人应附授权委托书</w:t>
      </w:r>
    </w:p>
    <w:p w14:paraId="71E38C78">
      <w:pPr>
        <w:spacing w:before="169" w:line="228" w:lineRule="auto"/>
        <w:ind w:left="16"/>
        <w:rPr>
          <w:rFonts w:ascii="宋体" w:hAnsi="宋体" w:eastAsia="宋体" w:cs="宋体"/>
          <w:color w:val="auto"/>
          <w:spacing w:val="6"/>
          <w:sz w:val="19"/>
          <w:szCs w:val="19"/>
          <w:highlight w:val="none"/>
        </w:rPr>
      </w:pPr>
    </w:p>
    <w:p w14:paraId="79AD9459">
      <w:pPr>
        <w:spacing w:before="169" w:line="228" w:lineRule="auto"/>
        <w:ind w:left="16"/>
        <w:rPr>
          <w:rFonts w:ascii="宋体" w:hAnsi="宋体" w:eastAsia="宋体" w:cs="宋体"/>
          <w:color w:val="auto"/>
          <w:spacing w:val="6"/>
          <w:sz w:val="19"/>
          <w:szCs w:val="19"/>
          <w:highlight w:val="none"/>
        </w:rPr>
      </w:pPr>
    </w:p>
    <w:p w14:paraId="2DC284C7">
      <w:pPr>
        <w:spacing w:before="169" w:line="228" w:lineRule="auto"/>
        <w:ind w:left="16"/>
        <w:rPr>
          <w:rFonts w:ascii="宋体" w:hAnsi="宋体" w:eastAsia="宋体" w:cs="宋体"/>
          <w:color w:val="auto"/>
          <w:spacing w:val="6"/>
          <w:sz w:val="19"/>
          <w:szCs w:val="19"/>
          <w:highlight w:val="none"/>
        </w:rPr>
      </w:pPr>
    </w:p>
    <w:p w14:paraId="01B642DE">
      <w:pPr>
        <w:spacing w:before="169" w:line="228" w:lineRule="auto"/>
        <w:ind w:left="16"/>
        <w:rPr>
          <w:rFonts w:ascii="宋体" w:hAnsi="宋体" w:eastAsia="宋体" w:cs="宋体"/>
          <w:color w:val="auto"/>
          <w:spacing w:val="6"/>
          <w:sz w:val="19"/>
          <w:szCs w:val="19"/>
          <w:highlight w:val="none"/>
        </w:rPr>
      </w:pPr>
    </w:p>
    <w:p w14:paraId="0039A493">
      <w:pPr>
        <w:spacing w:before="169" w:line="228" w:lineRule="auto"/>
        <w:ind w:left="16"/>
        <w:rPr>
          <w:rFonts w:ascii="宋体" w:hAnsi="宋体" w:eastAsia="宋体" w:cs="宋体"/>
          <w:color w:val="auto"/>
          <w:spacing w:val="6"/>
          <w:sz w:val="19"/>
          <w:szCs w:val="19"/>
          <w:highlight w:val="none"/>
        </w:rPr>
      </w:pPr>
    </w:p>
    <w:p w14:paraId="0E5E977E">
      <w:pPr>
        <w:spacing w:before="169" w:line="228" w:lineRule="auto"/>
        <w:ind w:left="16"/>
        <w:rPr>
          <w:rFonts w:ascii="宋体" w:hAnsi="宋体" w:eastAsia="宋体" w:cs="宋体"/>
          <w:color w:val="auto"/>
          <w:spacing w:val="6"/>
          <w:sz w:val="19"/>
          <w:szCs w:val="19"/>
          <w:highlight w:val="none"/>
        </w:rPr>
      </w:pPr>
    </w:p>
    <w:p w14:paraId="68D2B4D7">
      <w:pPr>
        <w:spacing w:before="169" w:line="228" w:lineRule="auto"/>
        <w:ind w:left="16"/>
        <w:rPr>
          <w:rFonts w:ascii="宋体" w:hAnsi="宋体" w:eastAsia="宋体" w:cs="宋体"/>
          <w:color w:val="auto"/>
          <w:spacing w:val="6"/>
          <w:sz w:val="19"/>
          <w:szCs w:val="19"/>
          <w:highlight w:val="none"/>
        </w:rPr>
      </w:pPr>
    </w:p>
    <w:p w14:paraId="653FFA38">
      <w:pPr>
        <w:spacing w:before="169" w:line="228" w:lineRule="auto"/>
        <w:ind w:left="16"/>
        <w:rPr>
          <w:rFonts w:ascii="宋体" w:hAnsi="宋体" w:eastAsia="宋体" w:cs="宋体"/>
          <w:color w:val="auto"/>
          <w:spacing w:val="6"/>
          <w:sz w:val="19"/>
          <w:szCs w:val="19"/>
          <w:highlight w:val="none"/>
        </w:rPr>
      </w:pPr>
    </w:p>
    <w:p w14:paraId="3AF2811C">
      <w:pPr>
        <w:spacing w:before="169" w:line="228" w:lineRule="auto"/>
        <w:ind w:left="16"/>
        <w:rPr>
          <w:rFonts w:ascii="宋体" w:hAnsi="宋体" w:eastAsia="宋体" w:cs="宋体"/>
          <w:color w:val="auto"/>
          <w:spacing w:val="6"/>
          <w:sz w:val="19"/>
          <w:szCs w:val="19"/>
          <w:highlight w:val="none"/>
        </w:rPr>
      </w:pPr>
    </w:p>
    <w:p w14:paraId="16799BEE">
      <w:pPr>
        <w:spacing w:before="169" w:line="228" w:lineRule="auto"/>
        <w:ind w:left="16"/>
        <w:rPr>
          <w:rFonts w:ascii="宋体" w:hAnsi="宋体" w:eastAsia="宋体" w:cs="宋体"/>
          <w:color w:val="auto"/>
          <w:spacing w:val="6"/>
          <w:sz w:val="19"/>
          <w:szCs w:val="19"/>
          <w:highlight w:val="none"/>
        </w:rPr>
      </w:pPr>
    </w:p>
    <w:p w14:paraId="36F98033">
      <w:pPr>
        <w:spacing w:after="156" w:afterLines="50" w:line="390" w:lineRule="exact"/>
        <w:rPr>
          <w:rFonts w:hint="eastAsia" w:ascii="宋体" w:hAnsi="宋体" w:eastAsia="宋体" w:cs="宋体"/>
          <w:bCs/>
          <w:color w:val="auto"/>
          <w:sz w:val="24"/>
          <w:szCs w:val="24"/>
          <w:highlight w:val="none"/>
        </w:rPr>
      </w:pPr>
    </w:p>
    <w:p w14:paraId="7EC0E171">
      <w:pPr>
        <w:spacing w:after="156" w:afterLines="50" w:line="390" w:lineRule="exact"/>
        <w:rPr>
          <w:rFonts w:hint="eastAsia" w:ascii="宋体" w:hAnsi="宋体" w:eastAsia="宋体" w:cs="宋体"/>
          <w:bCs/>
          <w:color w:val="auto"/>
          <w:sz w:val="24"/>
          <w:szCs w:val="24"/>
          <w:highlight w:val="none"/>
        </w:rPr>
      </w:pPr>
    </w:p>
    <w:p w14:paraId="104B9A42">
      <w:pPr>
        <w:spacing w:after="156" w:afterLines="50" w:line="39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附件1：</w:t>
      </w:r>
    </w:p>
    <w:p w14:paraId="6D84D626">
      <w:pPr>
        <w:spacing w:after="156" w:afterLines="50" w:line="39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工程质量保修书</w:t>
      </w:r>
    </w:p>
    <w:p w14:paraId="3B364070">
      <w:pPr>
        <w:pStyle w:val="6"/>
        <w:spacing w:line="500" w:lineRule="exact"/>
        <w:ind w:firstLine="403" w:firstLineChars="192"/>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发包人(全称)：</w:t>
      </w:r>
      <w:r>
        <w:rPr>
          <w:rFonts w:hint="eastAsia" w:hAnsi="宋体" w:eastAsia="宋体" w:cs="宋体"/>
          <w:color w:val="auto"/>
          <w:sz w:val="21"/>
          <w:szCs w:val="21"/>
          <w:highlight w:val="none"/>
          <w:u w:val="single"/>
          <w:lang w:eastAsia="zh-CN"/>
        </w:rPr>
        <w:t>玉林市玉州区农村水利工作站</w:t>
      </w:r>
      <w:r>
        <w:rPr>
          <w:rFonts w:hint="eastAsia" w:ascii="宋体" w:hAnsi="宋体" w:eastAsia="宋体" w:cs="宋体"/>
          <w:color w:val="auto"/>
          <w:sz w:val="21"/>
          <w:szCs w:val="21"/>
          <w:highlight w:val="none"/>
          <w:u w:val="single"/>
        </w:rPr>
        <w:t xml:space="preserve">        </w:t>
      </w:r>
    </w:p>
    <w:p w14:paraId="4CE9C7F6">
      <w:pPr>
        <w:pStyle w:val="6"/>
        <w:spacing w:line="500" w:lineRule="exact"/>
        <w:ind w:firstLine="403" w:firstLineChars="192"/>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承包人(全称)：</w:t>
      </w:r>
      <w:r>
        <w:rPr>
          <w:rFonts w:hint="eastAsia"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hAnsi="宋体" w:eastAsia="宋体" w:cs="宋体"/>
          <w:color w:val="auto"/>
          <w:sz w:val="21"/>
          <w:szCs w:val="21"/>
          <w:highlight w:val="none"/>
          <w:u w:val="single"/>
          <w:lang w:val="en-US" w:eastAsia="zh-CN"/>
        </w:rPr>
        <w:t xml:space="preserve">                        </w:t>
      </w:r>
    </w:p>
    <w:p w14:paraId="29AEB9B9">
      <w:pPr>
        <w:pStyle w:val="6"/>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为保证</w:t>
      </w:r>
      <w:r>
        <w:rPr>
          <w:rFonts w:hint="eastAsia"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在合理使用期限内正常使用，发包人承包人协商一致签订工程质量保修书。承包人在质量保修期内按照有关管理规定及双方约定承担工程质量保修责任。</w:t>
      </w:r>
    </w:p>
    <w:p w14:paraId="456F1F81">
      <w:pPr>
        <w:pStyle w:val="6"/>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一、工程质量保修范围和内容</w:t>
      </w:r>
    </w:p>
    <w:p w14:paraId="3B9DAE10">
      <w:pPr>
        <w:pStyle w:val="6"/>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质量保修范围包括工程量清单中的项目，以及双方约定的其它项目。具体质量保修内容双方约定如下：</w:t>
      </w:r>
      <w:r>
        <w:rPr>
          <w:rFonts w:hint="eastAsia" w:ascii="宋体" w:hAnsi="宋体" w:eastAsia="宋体" w:cs="宋体"/>
          <w:color w:val="auto"/>
          <w:sz w:val="21"/>
          <w:szCs w:val="21"/>
          <w:highlight w:val="none"/>
          <w:u w:val="single"/>
        </w:rPr>
        <w:t>承包人承包范围内的工程内容</w:t>
      </w:r>
      <w:r>
        <w:rPr>
          <w:rFonts w:hint="eastAsia" w:ascii="宋体" w:hAnsi="宋体" w:eastAsia="宋体" w:cs="宋体"/>
          <w:color w:val="auto"/>
          <w:sz w:val="21"/>
          <w:szCs w:val="21"/>
          <w:highlight w:val="none"/>
        </w:rPr>
        <w:t>。</w:t>
      </w:r>
    </w:p>
    <w:p w14:paraId="2B3F9133">
      <w:pPr>
        <w:pStyle w:val="6"/>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二、质量保修期</w:t>
      </w:r>
    </w:p>
    <w:p w14:paraId="2ABEA01E">
      <w:pPr>
        <w:pStyle w:val="6"/>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质量保修期从</w:t>
      </w:r>
      <w:r>
        <w:rPr>
          <w:rFonts w:hint="eastAsia" w:ascii="宋体" w:hAnsi="宋体" w:eastAsia="宋体" w:cs="宋体"/>
          <w:color w:val="auto"/>
          <w:sz w:val="21"/>
          <w:szCs w:val="21"/>
          <w:highlight w:val="none"/>
          <w:u w:val="single"/>
        </w:rPr>
        <w:t>工程</w:t>
      </w:r>
      <w:r>
        <w:rPr>
          <w:rFonts w:hint="eastAsia" w:ascii="宋体" w:hAnsi="宋体" w:eastAsia="宋体" w:cs="宋体"/>
          <w:color w:val="auto"/>
          <w:sz w:val="21"/>
          <w:szCs w:val="21"/>
          <w:highlight w:val="none"/>
          <w:u w:val="single"/>
          <w:lang w:val="en-US" w:eastAsia="zh-CN"/>
        </w:rPr>
        <w:t>竣工</w:t>
      </w:r>
      <w:r>
        <w:rPr>
          <w:rFonts w:hint="eastAsia" w:ascii="宋体" w:hAnsi="宋体" w:eastAsia="宋体" w:cs="宋体"/>
          <w:color w:val="auto"/>
          <w:sz w:val="21"/>
          <w:szCs w:val="21"/>
          <w:highlight w:val="none"/>
          <w:u w:val="single"/>
        </w:rPr>
        <w:t>验收之日</w:t>
      </w:r>
      <w:r>
        <w:rPr>
          <w:rFonts w:hint="eastAsia" w:ascii="宋体" w:hAnsi="宋体" w:eastAsia="宋体" w:cs="宋体"/>
          <w:color w:val="auto"/>
          <w:sz w:val="21"/>
          <w:szCs w:val="21"/>
          <w:highlight w:val="none"/>
        </w:rPr>
        <w:t>算起，期限为：</w:t>
      </w:r>
      <w:r>
        <w:rPr>
          <w:rFonts w:hint="eastAsia" w:ascii="宋体" w:hAnsi="宋体" w:eastAsia="宋体" w:cs="宋体"/>
          <w:color w:val="auto"/>
          <w:sz w:val="21"/>
          <w:szCs w:val="21"/>
          <w:highlight w:val="none"/>
          <w:u w:val="single"/>
        </w:rPr>
        <w:t xml:space="preserve"> 壹 </w:t>
      </w:r>
      <w:r>
        <w:rPr>
          <w:rFonts w:hint="eastAsia" w:ascii="宋体" w:hAnsi="宋体" w:eastAsia="宋体" w:cs="宋体"/>
          <w:color w:val="auto"/>
          <w:sz w:val="21"/>
          <w:szCs w:val="21"/>
          <w:highlight w:val="none"/>
        </w:rPr>
        <w:t>年。</w:t>
      </w:r>
    </w:p>
    <w:p w14:paraId="36EC7538">
      <w:pPr>
        <w:pStyle w:val="6"/>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三、质量保修责任</w:t>
      </w:r>
    </w:p>
    <w:p w14:paraId="27749278">
      <w:pPr>
        <w:pStyle w:val="6"/>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1、属于保修范围和内容的项目，承包人应在接到修理通知之日后7天内派人修理。承包人不在约定期限内派人修理，发包人可委托其他人员修理，修理费从保修金内扣除。</w:t>
      </w:r>
    </w:p>
    <w:p w14:paraId="30919827">
      <w:pPr>
        <w:pStyle w:val="6"/>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2、发生须紧急抢修事故，承包人应在接到事故通知后，应立即到达事故现场抢修。非承包人施工质量引起的事故，抢修费用由发包人承担。</w:t>
      </w:r>
    </w:p>
    <w:p w14:paraId="3A467A77">
      <w:pPr>
        <w:pStyle w:val="6"/>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于涉及结构安全的质量问题，应当按照《水利水电工程质量保修办法》的规定，立即向当地建设行政主管部门报告，采取安全防范措施；由原设计单位或者具有相应资质等级的设计单位提出保修方案，承包人实施保修。</w:t>
      </w:r>
    </w:p>
    <w:p w14:paraId="12274998">
      <w:pPr>
        <w:pStyle w:val="6"/>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4．质量保修完成后，由发包人组织验收。</w:t>
      </w:r>
    </w:p>
    <w:p w14:paraId="6E2C71A0">
      <w:pPr>
        <w:pStyle w:val="6"/>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四、保修费用</w:t>
      </w:r>
    </w:p>
    <w:p w14:paraId="41FA2365">
      <w:pPr>
        <w:pStyle w:val="6"/>
        <w:spacing w:line="500" w:lineRule="exact"/>
        <w:ind w:firstLine="5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保修费用由造成质量缺陷的责任方承担：</w:t>
      </w:r>
      <w:r>
        <w:rPr>
          <w:rFonts w:hint="eastAsia" w:ascii="宋体" w:hAnsi="宋体" w:eastAsia="宋体" w:cs="宋体"/>
          <w:color w:val="auto"/>
          <w:sz w:val="21"/>
          <w:szCs w:val="21"/>
          <w:highlight w:val="none"/>
          <w:u w:val="single"/>
        </w:rPr>
        <w:t>本工程约定的工程质量保修金为财政部门或审计部门确认的结算总价的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%；保修费用由造成质量缺陷的责任方承担</w:t>
      </w:r>
      <w:r>
        <w:rPr>
          <w:rFonts w:hint="eastAsia" w:ascii="宋体" w:hAnsi="宋体" w:eastAsia="宋体" w:cs="宋体"/>
          <w:color w:val="auto"/>
          <w:sz w:val="21"/>
          <w:szCs w:val="21"/>
          <w:highlight w:val="none"/>
        </w:rPr>
        <w:t>。</w:t>
      </w:r>
    </w:p>
    <w:p w14:paraId="4B118044">
      <w:pPr>
        <w:pStyle w:val="6"/>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质量保修金的返还：</w:t>
      </w:r>
      <w:r>
        <w:rPr>
          <w:rFonts w:hint="eastAsia" w:ascii="宋体" w:hAnsi="宋体" w:eastAsia="宋体" w:cs="宋体"/>
          <w:color w:val="auto"/>
          <w:sz w:val="21"/>
          <w:szCs w:val="21"/>
          <w:highlight w:val="none"/>
          <w:u w:val="single"/>
        </w:rPr>
        <w:t>发包人在质量保修期满后14天内，将剩余保修金（不计利息）返还承包人</w:t>
      </w:r>
      <w:r>
        <w:rPr>
          <w:rFonts w:hint="eastAsia" w:ascii="宋体" w:hAnsi="宋体" w:eastAsia="宋体" w:cs="宋体"/>
          <w:color w:val="auto"/>
          <w:sz w:val="21"/>
          <w:szCs w:val="21"/>
          <w:highlight w:val="none"/>
        </w:rPr>
        <w:t>。</w:t>
      </w:r>
    </w:p>
    <w:p w14:paraId="6A0D49C2">
      <w:pPr>
        <w:pStyle w:val="6"/>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五、其他</w:t>
      </w:r>
    </w:p>
    <w:p w14:paraId="0CBA2451">
      <w:pPr>
        <w:pStyle w:val="6"/>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双方约定的其他工程质量保修事项：</w:t>
      </w:r>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p>
    <w:p w14:paraId="15730643">
      <w:pPr>
        <w:pStyle w:val="6"/>
        <w:spacing w:line="500" w:lineRule="exact"/>
        <w:ind w:firstLine="422" w:firstLineChars="200"/>
        <w:rPr>
          <w:rFonts w:hint="eastAsia" w:ascii="宋体" w:hAnsi="宋体" w:eastAsia="宋体" w:cs="宋体"/>
          <w:b/>
          <w:color w:val="auto"/>
          <w:sz w:val="21"/>
          <w:szCs w:val="21"/>
          <w:highlight w:val="none"/>
        </w:rPr>
      </w:pPr>
    </w:p>
    <w:p w14:paraId="4325E5A6">
      <w:pPr>
        <w:pStyle w:val="6"/>
        <w:spacing w:line="500" w:lineRule="exact"/>
        <w:ind w:firstLine="422" w:firstLineChars="200"/>
        <w:rPr>
          <w:rFonts w:hint="eastAsia" w:ascii="宋体" w:hAnsi="宋体" w:eastAsia="宋体" w:cs="宋体"/>
          <w:b/>
          <w:color w:val="auto"/>
          <w:sz w:val="21"/>
          <w:szCs w:val="21"/>
          <w:highlight w:val="none"/>
        </w:rPr>
      </w:pPr>
    </w:p>
    <w:p w14:paraId="59334A02">
      <w:pPr>
        <w:pStyle w:val="6"/>
        <w:spacing w:line="500" w:lineRule="exact"/>
        <w:ind w:firstLine="422" w:firstLineChars="200"/>
        <w:rPr>
          <w:rFonts w:hint="eastAsia" w:ascii="宋体" w:hAnsi="宋体" w:eastAsia="宋体" w:cs="宋体"/>
          <w:b/>
          <w:color w:val="auto"/>
          <w:sz w:val="21"/>
          <w:szCs w:val="21"/>
          <w:highlight w:val="none"/>
        </w:rPr>
      </w:pPr>
    </w:p>
    <w:p w14:paraId="3FDC9D7D">
      <w:pPr>
        <w:pStyle w:val="6"/>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本工程质量保修书由施工合同发包人承包人双方共同签署，作为施工合同附件，其有效期限至保修期满。</w:t>
      </w:r>
    </w:p>
    <w:p w14:paraId="48FD1DF7">
      <w:pPr>
        <w:pStyle w:val="6"/>
        <w:tabs>
          <w:tab w:val="left" w:pos="4500"/>
        </w:tabs>
        <w:spacing w:line="500" w:lineRule="exact"/>
        <w:ind w:firstLine="840" w:firstLineChars="400"/>
        <w:rPr>
          <w:rFonts w:hint="eastAsia" w:ascii="宋体" w:hAnsi="宋体" w:eastAsia="宋体" w:cs="宋体"/>
          <w:color w:val="auto"/>
          <w:sz w:val="21"/>
          <w:szCs w:val="21"/>
          <w:highlight w:val="none"/>
        </w:rPr>
      </w:pPr>
    </w:p>
    <w:p w14:paraId="2EF6DEA6">
      <w:pPr>
        <w:pStyle w:val="6"/>
        <w:tabs>
          <w:tab w:val="left" w:pos="4500"/>
        </w:tabs>
        <w:spacing w:line="500" w:lineRule="exact"/>
        <w:ind w:firstLine="840" w:firstLineChars="400"/>
        <w:rPr>
          <w:rFonts w:hint="eastAsia" w:ascii="宋体" w:hAnsi="宋体" w:eastAsia="宋体" w:cs="宋体"/>
          <w:color w:val="auto"/>
          <w:sz w:val="21"/>
          <w:szCs w:val="21"/>
          <w:highlight w:val="none"/>
        </w:rPr>
      </w:pPr>
    </w:p>
    <w:p w14:paraId="6A944B55">
      <w:pPr>
        <w:pStyle w:val="6"/>
        <w:tabs>
          <w:tab w:val="left" w:pos="4500"/>
        </w:tabs>
        <w:spacing w:line="500" w:lineRule="exact"/>
        <w:ind w:firstLine="840" w:firstLineChars="400"/>
        <w:rPr>
          <w:rFonts w:hint="eastAsia" w:ascii="宋体" w:hAnsi="宋体" w:eastAsia="宋体" w:cs="宋体"/>
          <w:color w:val="auto"/>
          <w:sz w:val="21"/>
          <w:szCs w:val="21"/>
          <w:highlight w:val="none"/>
        </w:rPr>
      </w:pPr>
    </w:p>
    <w:p w14:paraId="373358CA">
      <w:pPr>
        <w:pStyle w:val="6"/>
        <w:spacing w:line="500" w:lineRule="exact"/>
        <w:ind w:firstLine="420" w:firstLineChars="200"/>
        <w:rPr>
          <w:rFonts w:hint="eastAsia" w:ascii="宋体" w:hAnsi="宋体" w:eastAsia="宋体" w:cs="宋体"/>
          <w:color w:val="auto"/>
          <w:sz w:val="21"/>
          <w:szCs w:val="21"/>
          <w:highlight w:val="none"/>
        </w:rPr>
      </w:pPr>
    </w:p>
    <w:p w14:paraId="03EB5E15">
      <w:pPr>
        <w:spacing w:line="500" w:lineRule="exact"/>
        <w:jc w:val="left"/>
        <w:rPr>
          <w:rFonts w:hint="default" w:ascii="宋体" w:hAnsi="宋体" w:eastAsia="宋体" w:cs="宋体"/>
          <w:b/>
          <w:color w:val="auto"/>
          <w:sz w:val="21"/>
          <w:szCs w:val="21"/>
          <w:highlight w:val="none"/>
          <w:u w:val="single"/>
          <w:lang w:val="en-US" w:eastAsia="zh-CN"/>
        </w:rPr>
      </w:pPr>
      <w:r>
        <w:rPr>
          <w:rFonts w:hint="eastAsia" w:ascii="宋体" w:hAnsi="宋体" w:eastAsia="宋体" w:cs="宋体"/>
          <w:color w:val="auto"/>
          <w:sz w:val="21"/>
          <w:szCs w:val="21"/>
          <w:highlight w:val="none"/>
        </w:rPr>
        <w:t>发包人:</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u w:val="single"/>
          <w:lang w:eastAsia="zh-CN"/>
        </w:rPr>
        <w:t>玉林市玉州区农村水利工作站</w:t>
      </w:r>
      <w:r>
        <w:rPr>
          <w:rFonts w:hint="eastAsia" w:ascii="宋体" w:hAnsi="宋体" w:eastAsia="宋体" w:cs="宋体"/>
          <w:b/>
          <w:color w:val="auto"/>
          <w:sz w:val="21"/>
          <w:szCs w:val="21"/>
          <w:highlight w:val="none"/>
        </w:rPr>
        <w:t xml:space="preserve">       </w:t>
      </w:r>
      <w:r>
        <w:rPr>
          <w:rFonts w:hint="eastAsia" w:ascii="宋体" w:hAnsi="宋体" w:cs="宋体"/>
          <w:b/>
          <w:color w:val="auto"/>
          <w:sz w:val="21"/>
          <w:szCs w:val="21"/>
          <w:highlight w:val="none"/>
          <w:lang w:val="en-US" w:eastAsia="zh-CN"/>
        </w:rPr>
        <w:t xml:space="preserve">     </w:t>
      </w:r>
      <w:r>
        <w:rPr>
          <w:rFonts w:hint="eastAsia" w:ascii="宋体" w:hAnsi="宋体" w:eastAsia="宋体" w:cs="宋体"/>
          <w:color w:val="auto"/>
          <w:sz w:val="21"/>
          <w:szCs w:val="21"/>
          <w:highlight w:val="none"/>
        </w:rPr>
        <w:t>承包人：</w:t>
      </w:r>
      <w:r>
        <w:rPr>
          <w:rFonts w:hint="eastAsia" w:ascii="宋体" w:hAnsi="宋体" w:eastAsia="宋体" w:cs="宋体"/>
          <w:color w:val="auto"/>
          <w:sz w:val="21"/>
          <w:szCs w:val="21"/>
          <w:highlight w:val="none"/>
          <w:u w:val="single"/>
          <w:lang w:val="en-US" w:eastAsia="zh-CN"/>
        </w:rPr>
        <w:t xml:space="preserve">                       </w:t>
      </w:r>
    </w:p>
    <w:p w14:paraId="160ABC69">
      <w:pPr>
        <w:spacing w:line="520" w:lineRule="exact"/>
        <w:ind w:firstLine="1155" w:firstLineChars="5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(盖单位章)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(盖单位章)</w:t>
      </w:r>
    </w:p>
    <w:p w14:paraId="1982074D">
      <w:pPr>
        <w:pStyle w:val="6"/>
        <w:spacing w:line="500" w:lineRule="exact"/>
        <w:rPr>
          <w:rFonts w:hint="eastAsia" w:ascii="宋体" w:hAnsi="宋体" w:eastAsia="宋体" w:cs="宋体"/>
          <w:color w:val="auto"/>
          <w:sz w:val="21"/>
          <w:szCs w:val="21"/>
          <w:highlight w:val="none"/>
        </w:rPr>
      </w:pPr>
    </w:p>
    <w:p w14:paraId="6F31F960">
      <w:pPr>
        <w:pStyle w:val="6"/>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法定代表人或：</w:t>
      </w:r>
      <w:r>
        <w:rPr>
          <w:rFonts w:hint="eastAsia" w:ascii="宋体" w:hAnsi="宋体" w:eastAsia="宋体" w:cs="宋体"/>
          <w:color w:val="auto"/>
          <w:sz w:val="21"/>
          <w:szCs w:val="21"/>
          <w:highlight w:val="none"/>
          <w:u w:val="single"/>
        </w:rPr>
        <w:t xml:space="preserve">                </w:t>
      </w:r>
    </w:p>
    <w:p w14:paraId="7B228AAD">
      <w:pPr>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(或委托代理人)：</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(或委托代理人)：</w:t>
      </w:r>
      <w:r>
        <w:rPr>
          <w:rFonts w:hint="eastAsia" w:ascii="宋体" w:hAnsi="宋体" w:eastAsia="宋体" w:cs="宋体"/>
          <w:color w:val="auto"/>
          <w:sz w:val="21"/>
          <w:szCs w:val="21"/>
          <w:highlight w:val="none"/>
          <w:u w:val="single" w:color="auto"/>
        </w:rPr>
        <w:t xml:space="preserve">              </w:t>
      </w:r>
    </w:p>
    <w:p w14:paraId="5C458E62">
      <w:pPr>
        <w:spacing w:line="500" w:lineRule="exact"/>
        <w:rPr>
          <w:rFonts w:hint="eastAsia" w:ascii="宋体" w:hAnsi="宋体" w:eastAsia="宋体" w:cs="宋体"/>
          <w:color w:val="auto"/>
          <w:sz w:val="21"/>
          <w:szCs w:val="21"/>
          <w:highlight w:val="none"/>
        </w:rPr>
      </w:pPr>
    </w:p>
    <w:p w14:paraId="51986B9F">
      <w:pPr>
        <w:spacing w:line="500" w:lineRule="exac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签订日期：202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w:t>
      </w:r>
    </w:p>
    <w:p w14:paraId="15690704">
      <w:pPr>
        <w:spacing w:line="500" w:lineRule="exact"/>
        <w:rPr>
          <w:rFonts w:hint="eastAsia" w:ascii="宋体" w:hAnsi="宋体" w:eastAsia="宋体" w:cs="宋体"/>
          <w:b/>
          <w:bCs/>
          <w:color w:val="auto"/>
          <w:sz w:val="28"/>
          <w:szCs w:val="28"/>
          <w:highlight w:val="none"/>
        </w:rPr>
      </w:pPr>
    </w:p>
    <w:p w14:paraId="3809DCF9">
      <w:pPr>
        <w:spacing w:before="169" w:line="228" w:lineRule="auto"/>
        <w:ind w:left="16"/>
        <w:rPr>
          <w:rFonts w:ascii="宋体" w:hAnsi="宋体" w:eastAsia="宋体" w:cs="宋体"/>
          <w:color w:val="auto"/>
          <w:spacing w:val="6"/>
          <w:sz w:val="19"/>
          <w:szCs w:val="19"/>
          <w:highlight w:val="none"/>
        </w:rPr>
      </w:pPr>
    </w:p>
    <w:sectPr>
      <w:footerReference r:id="rId122" w:type="default"/>
      <w:pgSz w:w="11907" w:h="16841"/>
      <w:pgMar w:top="400" w:right="1435" w:bottom="1189" w:left="1785" w:header="0" w:footer="95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A00002EF" w:usb1="4000004B" w:usb2="00000000" w:usb3="00000000" w:csb0="200000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9D9B5">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4ADBE">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2EF4ADBE">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4DC66">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AC297">
                          <w:pPr>
                            <w:pStyle w:val="8"/>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FAAC297">
                    <w:pPr>
                      <w:pStyle w:val="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152A5">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52962">
                          <w:pPr>
                            <w:pStyle w:val="8"/>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42B52962">
                    <w:pPr>
                      <w:pStyle w:val="8"/>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F164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5DF75">
                          <w:pPr>
                            <w:pStyle w:val="8"/>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2E05DF75">
                    <w:pPr>
                      <w:pStyle w:val="8"/>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AA0C7">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2AE776">
                          <w:pPr>
                            <w:pStyle w:val="8"/>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5A2AE776">
                    <w:pPr>
                      <w:pStyle w:val="8"/>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52526">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690AD">
                          <w:pPr>
                            <w:pStyle w:val="8"/>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5AC690AD">
                    <w:pPr>
                      <w:pStyle w:val="8"/>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F1791">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1B536">
                          <w:pPr>
                            <w:pStyle w:val="8"/>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34C1B536">
                    <w:pPr>
                      <w:pStyle w:val="8"/>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59CF1">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FF4B4">
                          <w:pPr>
                            <w:pStyle w:val="8"/>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618FF4B4">
                    <w:pPr>
                      <w:pStyle w:val="8"/>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67DD5">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7DB3E">
                          <w:pPr>
                            <w:pStyle w:val="8"/>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2827DB3E">
                    <w:pPr>
                      <w:pStyle w:val="8"/>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B9180">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CCE04A">
                          <w:pPr>
                            <w:pStyle w:val="8"/>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71CCE04A">
                    <w:pPr>
                      <w:pStyle w:val="8"/>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BC646">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21857">
                          <w:pPr>
                            <w:pStyle w:val="8"/>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04121857">
                    <w:pPr>
                      <w:pStyle w:val="8"/>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5C45A">
    <w:pPr>
      <w:spacing w:line="173" w:lineRule="auto"/>
      <w:ind w:left="4031"/>
      <w:rPr>
        <w:rFonts w:ascii="宋体" w:hAnsi="宋体" w:eastAsia="宋体" w:cs="宋体"/>
        <w:sz w:val="21"/>
        <w:szCs w:val="21"/>
      </w:rPr>
    </w:pPr>
    <w:r>
      <w:rPr>
        <w:sz w:val="21"/>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B997A3">
                          <w:pPr>
                            <w:pStyle w:val="8"/>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5BB997A3">
                    <w:pPr>
                      <w:pStyle w:val="8"/>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75AB9">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43A67">
                          <w:pPr>
                            <w:pStyle w:val="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C943A67">
                    <w:pPr>
                      <w:pStyle w:val="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24575">
    <w:pPr>
      <w:spacing w:line="173" w:lineRule="auto"/>
      <w:ind w:left="4031"/>
      <w:rPr>
        <w:rFonts w:ascii="宋体" w:hAnsi="宋体" w:eastAsia="宋体" w:cs="宋体"/>
        <w:sz w:val="21"/>
        <w:szCs w:val="21"/>
      </w:rPr>
    </w:pPr>
    <w:r>
      <w:rPr>
        <w:sz w:val="21"/>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6395D">
                          <w:pPr>
                            <w:pStyle w:val="8"/>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6DC6395D">
                    <w:pPr>
                      <w:pStyle w:val="8"/>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EF46D">
    <w:pPr>
      <w:spacing w:line="173" w:lineRule="auto"/>
      <w:ind w:left="4031"/>
      <w:rPr>
        <w:rFonts w:ascii="宋体" w:hAnsi="宋体" w:eastAsia="宋体" w:cs="宋体"/>
        <w:sz w:val="21"/>
        <w:szCs w:val="21"/>
      </w:rPr>
    </w:pPr>
    <w:r>
      <w:rPr>
        <w:sz w:val="21"/>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9DC2D">
                          <w:pPr>
                            <w:pStyle w:val="8"/>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1BA9DC2D">
                    <w:pPr>
                      <w:pStyle w:val="8"/>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16697">
    <w:pPr>
      <w:spacing w:line="173" w:lineRule="auto"/>
      <w:ind w:left="4047"/>
      <w:rPr>
        <w:rFonts w:ascii="宋体" w:hAnsi="宋体" w:eastAsia="宋体" w:cs="宋体"/>
        <w:sz w:val="21"/>
        <w:szCs w:val="21"/>
      </w:rPr>
    </w:pPr>
    <w:r>
      <w:rPr>
        <w:sz w:val="21"/>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F9830">
                          <w:pPr>
                            <w:pStyle w:val="8"/>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26CF9830">
                    <w:pPr>
                      <w:pStyle w:val="8"/>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F7396">
    <w:pPr>
      <w:spacing w:line="173" w:lineRule="auto"/>
      <w:ind w:left="4031"/>
      <w:rPr>
        <w:rFonts w:ascii="宋体" w:hAnsi="宋体" w:eastAsia="宋体" w:cs="宋体"/>
        <w:sz w:val="21"/>
        <w:szCs w:val="21"/>
      </w:rPr>
    </w:pPr>
    <w:r>
      <w:rPr>
        <w:sz w:val="21"/>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8035F">
                          <w:pPr>
                            <w:pStyle w:val="8"/>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4178035F">
                    <w:pPr>
                      <w:pStyle w:val="8"/>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51A75">
    <w:pPr>
      <w:spacing w:line="173" w:lineRule="auto"/>
      <w:ind w:left="3985"/>
      <w:rPr>
        <w:rFonts w:ascii="宋体" w:hAnsi="宋体" w:eastAsia="宋体" w:cs="宋体"/>
        <w:sz w:val="21"/>
        <w:szCs w:val="21"/>
      </w:rPr>
    </w:pPr>
    <w:r>
      <w:rPr>
        <w:sz w:val="21"/>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4F3B7">
                          <w:pPr>
                            <w:pStyle w:val="8"/>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0DF4F3B7">
                    <w:pPr>
                      <w:pStyle w:val="8"/>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6335B">
    <w:pPr>
      <w:spacing w:line="174" w:lineRule="auto"/>
      <w:ind w:left="4191"/>
      <w:rPr>
        <w:rFonts w:ascii="宋体" w:hAnsi="宋体" w:eastAsia="宋体" w:cs="宋体"/>
        <w:sz w:val="24"/>
        <w:szCs w:val="24"/>
      </w:rPr>
    </w:pPr>
    <w:r>
      <w:rPr>
        <w:sz w:val="24"/>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C3691">
                          <w:pPr>
                            <w:pStyle w:val="8"/>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7C8C3691">
                    <w:pPr>
                      <w:pStyle w:val="8"/>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4FF8E">
    <w:pPr>
      <w:spacing w:line="174" w:lineRule="auto"/>
      <w:ind w:left="4191"/>
      <w:rPr>
        <w:rFonts w:ascii="宋体" w:hAnsi="宋体" w:eastAsia="宋体" w:cs="宋体"/>
        <w:sz w:val="24"/>
        <w:szCs w:val="24"/>
      </w:rPr>
    </w:pPr>
    <w:r>
      <w:rPr>
        <w:sz w:val="24"/>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1DDAF">
                          <w:pPr>
                            <w:pStyle w:val="8"/>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31C1DDAF">
                    <w:pPr>
                      <w:pStyle w:val="8"/>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2ECEF">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87361">
                          <w:pPr>
                            <w:pStyle w:val="8"/>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8487361">
                    <w:pPr>
                      <w:pStyle w:val="8"/>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9D663">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61169">
                          <w:pPr>
                            <w:pStyle w:val="8"/>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E061169">
                    <w:pPr>
                      <w:pStyle w:val="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A559F">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16E1A">
                          <w:pPr>
                            <w:pStyle w:val="8"/>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A816E1A">
                    <w:pPr>
                      <w:pStyle w:val="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647DF">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CB4AA">
                          <w:pPr>
                            <w:pStyle w:val="8"/>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CBCB4AA">
                    <w:pPr>
                      <w:pStyle w:val="8"/>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34D6D">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3E2EC">
                          <w:pPr>
                            <w:pStyle w:val="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FA3E2EC">
                    <w:pPr>
                      <w:pStyle w:val="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D251D">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30ABE">
                          <w:pPr>
                            <w:pStyle w:val="8"/>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C030ABE">
                    <w:pPr>
                      <w:pStyle w:val="8"/>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B6A1D">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D03CD">
                          <w:pPr>
                            <w:pStyle w:val="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C7D03CD">
                    <w:pPr>
                      <w:pStyle w:val="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39E6B">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98E62">
                          <w:pPr>
                            <w:pStyle w:val="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DD98E62">
                    <w:pPr>
                      <w:pStyle w:val="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1F359">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E87D1">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1E87D1">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E7053">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03F8A">
                          <w:pPr>
                            <w:pStyle w:val="8"/>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4303F8A">
                    <w:pPr>
                      <w:pStyle w:val="8"/>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9C210">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E2E1D">
                          <w:pPr>
                            <w:pStyle w:val="8"/>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FAE2E1D">
                    <w:pPr>
                      <w:pStyle w:val="8"/>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56EF3">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6DC22">
                          <w:pPr>
                            <w:pStyle w:val="8"/>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CC6DC22">
                    <w:pPr>
                      <w:pStyle w:val="8"/>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67DCC">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D4861">
                          <w:pPr>
                            <w:pStyle w:val="8"/>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70D4861">
                    <w:pPr>
                      <w:pStyle w:val="8"/>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9D375">
    <w:pPr>
      <w:spacing w:line="174"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60DFF">
                          <w:pPr>
                            <w:pStyle w:val="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F160DFF">
                    <w:pPr>
                      <w:pStyle w:val="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3363A">
    <w:pPr>
      <w:spacing w:line="174"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F02EF">
                          <w:pPr>
                            <w:pStyle w:val="8"/>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54CF02EF">
                    <w:pPr>
                      <w:pStyle w:val="8"/>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735C6">
    <w:pPr>
      <w:spacing w:line="174"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FAD50">
                          <w:pPr>
                            <w:pStyle w:val="8"/>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076FAD50">
                    <w:pPr>
                      <w:pStyle w:val="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CC9A5">
    <w:pPr>
      <w:spacing w:line="174" w:lineRule="auto"/>
      <w:ind w:left="44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64F4E">
                          <w:pPr>
                            <w:pStyle w:val="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D364F4E">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31E43">
    <w:pPr>
      <w:spacing w:line="174" w:lineRule="auto"/>
      <w:ind w:left="44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F9856">
                          <w:pPr>
                            <w:pStyle w:val="8"/>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E9F9856">
                    <w:pPr>
                      <w:pStyle w:val="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E1A44">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p>
  <w:p w14:paraId="5A0EF708">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p>
  <w:p w14:paraId="10DF0B05">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r>
      <w:rPr>
        <w:sz w:val="2"/>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35C45">
                          <w:pPr>
                            <w:pStyle w:val="8"/>
                            <w:tabs>
                              <w:tab w:val="center" w:pos="4153"/>
                              <w:tab w:val="right"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PPmg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Dz5oNAIAAGUEAAAOAAAAAAAAAAEAIAAAAB8BAABkcnMvZTJvRG9jLnhtbFBL&#10;BQYAAAAABgAGAFkBAADFBQAAAAA=&#10;">
              <v:fill on="f" focussize="0,0"/>
              <v:stroke on="f" weight="0.5pt"/>
              <v:imagedata o:title=""/>
              <o:lock v:ext="edit" aspectratio="f"/>
              <v:textbox inset="0mm,0mm,0mm,0mm" style="mso-fit-shape-to-text:t;">
                <w:txbxContent>
                  <w:p w14:paraId="40F35C45">
                    <w:pPr>
                      <w:pStyle w:val="8"/>
                      <w:tabs>
                        <w:tab w:val="center" w:pos="4153"/>
                        <w:tab w:val="right" w:pos="8306"/>
                      </w:tabs>
                    </w:pPr>
                    <w:r>
                      <w:fldChar w:fldCharType="begin"/>
                    </w:r>
                    <w:r>
                      <w:instrText xml:space="preserve"> PAGE  \* MERGEFORMAT </w:instrText>
                    </w:r>
                    <w:r>
                      <w:fldChar w:fldCharType="separate"/>
                    </w:r>
                    <w:r>
                      <w:t>1</w:t>
                    </w:r>
                    <w:r>
                      <w:fldChar w:fldCharType="end"/>
                    </w:r>
                  </w:p>
                </w:txbxContent>
              </v:textbox>
            </v:shape>
          </w:pict>
        </mc:Fallback>
      </mc:AlternateContent>
    </w:r>
  </w:p>
  <w:p w14:paraId="4D396750">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p>
  <w:p w14:paraId="7F6E9D1B">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95806">
    <w:pPr>
      <w:spacing w:line="174" w:lineRule="auto"/>
      <w:ind w:left="44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FE1E9">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47FE1E9">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F478E">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68CD1">
                          <w:pPr>
                            <w:pStyle w:val="8"/>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0968CD1">
                    <w:pPr>
                      <w:pStyle w:val="8"/>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CC5A4">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33D0A">
                          <w:pPr>
                            <w:pStyle w:val="8"/>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3833D0A">
                    <w:pPr>
                      <w:pStyle w:val="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058B5">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249CB">
                          <w:pPr>
                            <w:pStyle w:val="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7DD249CB">
                    <w:pPr>
                      <w:pStyle w:val="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09298">
    <w:pPr>
      <w:spacing w:line="174" w:lineRule="auto"/>
      <w:ind w:left="499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24578">
                          <w:pPr>
                            <w:pStyle w:val="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71E24578">
                    <w:pPr>
                      <w:pStyle w:val="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681AE">
    <w:pPr>
      <w:spacing w:line="174" w:lineRule="auto"/>
      <w:ind w:left="47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D0C79">
                          <w:pPr>
                            <w:pStyle w:val="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5F3D0C79">
                    <w:pPr>
                      <w:pStyle w:val="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328BA">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BE2E2">
                          <w:pPr>
                            <w:pStyle w:val="8"/>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1F3BE2E2">
                    <w:pPr>
                      <w:pStyle w:val="8"/>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2A426">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5E458">
                          <w:pPr>
                            <w:pStyle w:val="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755E458">
                    <w:pPr>
                      <w:pStyle w:val="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0AFE">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3329D">
                          <w:pPr>
                            <w:pStyle w:val="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5173329D">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38C52">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0DE64">
                          <w:pPr>
                            <w:pStyle w:val="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270DE64">
                    <w:pPr>
                      <w:pStyle w:val="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7701D">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227C1">
                          <w:pPr>
                            <w:pStyle w:val="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C3227C1">
                    <w:pPr>
                      <w:pStyle w:val="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3E707">
    <w:pPr>
      <w:spacing w:line="171"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9333A">
                          <w:pPr>
                            <w:pStyle w:val="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819333A">
                    <w:pPr>
                      <w:pStyle w:val="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D6E94">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3FF3F">
                          <w:pPr>
                            <w:pStyle w:val="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6D3FF3F">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33BB1">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C64A1">
                          <w:pPr>
                            <w:pStyle w:val="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31C64A1">
                    <w:pPr>
                      <w:pStyle w:val="8"/>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2EA6F">
    <w:pPr>
      <w:spacing w:line="171" w:lineRule="auto"/>
      <w:ind w:left="47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0941F">
                          <w:pPr>
                            <w:pStyle w:val="8"/>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9A0941F">
                    <w:pPr>
                      <w:pStyle w:val="8"/>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67CD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39CEA">
                          <w:pPr>
                            <w:pStyle w:val="8"/>
                            <w:tabs>
                              <w:tab w:val="center" w:pos="4153"/>
                              <w:tab w:val="right" w:pos="8306"/>
                            </w:tabs>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Ztn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tm2ejUCAABlBAAADgAAAAAAAAABACAAAAAfAQAAZHJzL2Uyb0RvYy54bWxQ&#10;SwUGAAAAAAYABgBZAQAAxgUAAAAA&#10;">
              <v:fill on="f" focussize="0,0"/>
              <v:stroke on="f" weight="0.5pt"/>
              <v:imagedata o:title=""/>
              <o:lock v:ext="edit" aspectratio="f"/>
              <v:textbox inset="0mm,0mm,0mm,0mm" style="mso-fit-shape-to-text:t;">
                <w:txbxContent>
                  <w:p w14:paraId="35B39CEA">
                    <w:pPr>
                      <w:pStyle w:val="8"/>
                      <w:tabs>
                        <w:tab w:val="center" w:pos="4153"/>
                        <w:tab w:val="right" w:pos="8306"/>
                      </w:tabs>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7C21D">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3D5AD">
                          <w:pPr>
                            <w:pStyle w:val="8"/>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6953D5AD">
                    <w:pPr>
                      <w:pStyle w:val="8"/>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BD2FF">
    <w:pPr>
      <w:spacing w:line="171"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5EF59">
                          <w:pPr>
                            <w:pStyle w:val="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D45EF59">
                    <w:pPr>
                      <w:pStyle w:val="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D9B3C">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D9EBA">
                          <w:pPr>
                            <w:pStyle w:val="8"/>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DED9EBA">
                    <w:pPr>
                      <w:pStyle w:val="8"/>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88D59">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D40B5">
                          <w:pPr>
                            <w:pStyle w:val="8"/>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552D40B5">
                    <w:pPr>
                      <w:pStyle w:val="8"/>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42F9F">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7E32B">
                          <w:pPr>
                            <w:pStyle w:val="8"/>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5637E32B">
                    <w:pPr>
                      <w:pStyle w:val="8"/>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956BB">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B68FF">
                          <w:pPr>
                            <w:pStyle w:val="8"/>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390B68FF">
                    <w:pPr>
                      <w:pStyle w:val="8"/>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04877">
    <w:pPr>
      <w:spacing w:line="174" w:lineRule="auto"/>
      <w:ind w:left="44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C55D4">
                          <w:pPr>
                            <w:pStyle w:val="8"/>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19C55D4">
                    <w:pPr>
                      <w:pStyle w:val="8"/>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B8CC">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2462F">
                          <w:pPr>
                            <w:pStyle w:val="8"/>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6102462F">
                    <w:pPr>
                      <w:pStyle w:val="8"/>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DF954">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D3485">
                          <w:pPr>
                            <w:pStyle w:val="8"/>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473D3485">
                    <w:pPr>
                      <w:pStyle w:val="8"/>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DF4D1">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13AC5">
                          <w:pPr>
                            <w:pStyle w:val="8"/>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13F13AC5">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CD99E">
    <w:pPr>
      <w:spacing w:line="174" w:lineRule="auto"/>
      <w:ind w:left="410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91ABB">
                          <w:pPr>
                            <w:pStyle w:val="8"/>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78691ABB">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C2F5B">
    <w:pPr>
      <w:spacing w:line="174" w:lineRule="auto"/>
      <w:ind w:left="41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F7C39">
                          <w:pPr>
                            <w:pStyle w:val="8"/>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375F7C39">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4B5BC">
    <w:pPr>
      <w:spacing w:line="174" w:lineRule="auto"/>
      <w:ind w:left="41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D3136">
                          <w:pPr>
                            <w:pStyle w:val="8"/>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092D3136">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EA02">
    <w:pPr>
      <w:spacing w:line="174" w:lineRule="auto"/>
      <w:ind w:left="41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3CAF8">
                          <w:pPr>
                            <w:pStyle w:val="8"/>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3F63CAF8">
                    <w:pPr>
                      <w:pStyle w:val="8"/>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5CBA9">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BAEC13">
                          <w:pPr>
                            <w:pStyle w:val="8"/>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01BAEC13">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3ADD0">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97CE5">
                          <w:pPr>
                            <w:pStyle w:val="8"/>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3F197CE5">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5399A">
    <w:pPr>
      <w:spacing w:line="173" w:lineRule="auto"/>
      <w:ind w:left="3869"/>
      <w:rPr>
        <w:rFonts w:ascii="宋体" w:hAnsi="宋体" w:eastAsia="宋体" w:cs="宋体"/>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554E0">
                          <w:pPr>
                            <w:pStyle w:val="8"/>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3BA554E0">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73B4D">
    <w:pPr>
      <w:spacing w:line="174" w:lineRule="auto"/>
      <w:ind w:left="44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6EFBB">
                          <w:pPr>
                            <w:pStyle w:val="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FE6EFBB">
                    <w:pPr>
                      <w:pStyle w:val="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6FFB6">
    <w:pPr>
      <w:spacing w:line="173" w:lineRule="auto"/>
      <w:ind w:left="4351"/>
      <w:rPr>
        <w:rFonts w:ascii="宋体" w:hAnsi="宋体" w:eastAsia="宋体" w:cs="宋体"/>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3F749">
                          <w:pPr>
                            <w:pStyle w:val="8"/>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5B13F749">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E9CEF">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37311">
                          <w:pPr>
                            <w:pStyle w:val="8"/>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47537311">
                    <w:pPr>
                      <w:pStyle w:val="8"/>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86AB">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DC7262">
                          <w:pPr>
                            <w:pStyle w:val="8"/>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7CDC7262">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68FB1">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F9435">
                          <w:pPr>
                            <w:pStyle w:val="8"/>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7A6F9435">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2EA8D">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E24F7">
                          <w:pPr>
                            <w:pStyle w:val="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217E24F7">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A24E9">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0F113">
                          <w:pPr>
                            <w:pStyle w:val="8"/>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44B0F113">
                    <w:pPr>
                      <w:pStyle w:val="8"/>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8653B">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155E4">
                          <w:pPr>
                            <w:pStyle w:val="8"/>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56D155E4">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58F07">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BDD08">
                          <w:pPr>
                            <w:pStyle w:val="8"/>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517BDD08">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0DD78">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3857C">
                          <w:pPr>
                            <w:pStyle w:val="8"/>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7DD3857C">
                    <w:pPr>
                      <w:pStyle w:val="8"/>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C1B58">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084A6">
                          <w:pPr>
                            <w:pStyle w:val="8"/>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1C0084A6">
                    <w:pPr>
                      <w:pStyle w:val="8"/>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3E79C">
    <w:pPr>
      <w:spacing w:line="174" w:lineRule="auto"/>
      <w:ind w:left="409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B7E87">
                          <w:pPr>
                            <w:pStyle w:val="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E9B7E87">
                    <w:pPr>
                      <w:pStyle w:val="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D2A99">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23198">
                          <w:pPr>
                            <w:pStyle w:val="8"/>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30B23198">
                    <w:pPr>
                      <w:pStyle w:val="8"/>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3A76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0B050">
                          <w:pPr>
                            <w:pStyle w:val="8"/>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5000B050">
                    <w:pPr>
                      <w:pStyle w:val="8"/>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037AA">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F9B66">
                          <w:pPr>
                            <w:pStyle w:val="8"/>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51AF9B66">
                    <w:pPr>
                      <w:pStyle w:val="8"/>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89E19">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CAD02">
                          <w:pPr>
                            <w:pStyle w:val="8"/>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45CCAD02">
                    <w:pPr>
                      <w:pStyle w:val="8"/>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F146A">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AEF88">
                          <w:pPr>
                            <w:pStyle w:val="8"/>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6B8AEF88">
                    <w:pPr>
                      <w:pStyle w:val="8"/>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7F9B5">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DD560">
                          <w:pPr>
                            <w:pStyle w:val="8"/>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555DD560">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9BC9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BE13CA">
                          <w:pPr>
                            <w:pStyle w:val="8"/>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1BBE13CA">
                    <w:pPr>
                      <w:pStyle w:val="8"/>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4AEF6">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12F9F">
                          <w:pPr>
                            <w:pStyle w:val="8"/>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4A312F9F">
                    <w:pPr>
                      <w:pStyle w:val="8"/>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9846A">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CD44D">
                          <w:pPr>
                            <w:pStyle w:val="8"/>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774CD44D">
                    <w:pPr>
                      <w:pStyle w:val="8"/>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E651">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D8832">
                          <w:pPr>
                            <w:pStyle w:val="8"/>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3D3D8832">
                    <w:pPr>
                      <w:pStyle w:val="8"/>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C5B0C">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2F635">
                          <w:pPr>
                            <w:pStyle w:val="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8A2F635">
                    <w:pPr>
                      <w:pStyle w:val="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5CFC5">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ADD9A">
                          <w:pPr>
                            <w:pStyle w:val="8"/>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1A2ADD9A">
                    <w:pPr>
                      <w:pStyle w:val="8"/>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F76A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12F3F">
                          <w:pPr>
                            <w:pStyle w:val="8"/>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32612F3F">
                    <w:pPr>
                      <w:pStyle w:val="8"/>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286B0">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0BDE2">
                          <w:pPr>
                            <w:pStyle w:val="8"/>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31D0BDE2">
                    <w:pPr>
                      <w:pStyle w:val="8"/>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5311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D999F">
                          <w:pPr>
                            <w:pStyle w:val="8"/>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4D2D999F">
                    <w:pPr>
                      <w:pStyle w:val="8"/>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515DA">
    <w:pPr>
      <w:spacing w:line="173" w:lineRule="auto"/>
      <w:ind w:left="3883"/>
      <w:rPr>
        <w:rFonts w:ascii="宋体" w:hAnsi="宋体" w:eastAsia="宋体" w:cs="宋体"/>
        <w:sz w:val="21"/>
        <w:szCs w:val="21"/>
      </w:rPr>
    </w:pPr>
    <w:r>
      <w:rPr>
        <w:sz w:val="21"/>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4D255">
                          <w:pPr>
                            <w:pStyle w:val="8"/>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76A4D255">
                    <w:pPr>
                      <w:pStyle w:val="8"/>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85A9">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17AA6">
                          <w:pPr>
                            <w:pStyle w:val="8"/>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36417AA6">
                    <w:pPr>
                      <w:pStyle w:val="8"/>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5B79E">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B746F">
                          <w:pPr>
                            <w:pStyle w:val="8"/>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44AB746F">
                    <w:pPr>
                      <w:pStyle w:val="8"/>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6BBE6">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45E29">
                          <w:pPr>
                            <w:pStyle w:val="8"/>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59E45E29">
                    <w:pPr>
                      <w:pStyle w:val="8"/>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0B25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B5B0F">
                          <w:pPr>
                            <w:pStyle w:val="8"/>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260B5B0F">
                    <w:pPr>
                      <w:pStyle w:val="8"/>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F5EC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383CF">
                          <w:pPr>
                            <w:pStyle w:val="8"/>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662383CF">
                    <w:pPr>
                      <w:pStyle w:val="8"/>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E66C2">
    <w:pPr>
      <w:spacing w:line="174" w:lineRule="auto"/>
      <w:ind w:left="409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A7AA53">
                          <w:pPr>
                            <w:pStyle w:val="8"/>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7A7AA53">
                    <w:pPr>
                      <w:pStyle w:val="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0ECAA">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0598D">
                          <w:pPr>
                            <w:pStyle w:val="8"/>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7AF0598D">
                    <w:pPr>
                      <w:pStyle w:val="8"/>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2A67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0C811">
                          <w:pPr>
                            <w:pStyle w:val="8"/>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3510C811">
                    <w:pPr>
                      <w:pStyle w:val="8"/>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51D3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EC294">
                          <w:pPr>
                            <w:pStyle w:val="8"/>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459EC294">
                    <w:pPr>
                      <w:pStyle w:val="8"/>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C0593">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D8BD8">
                          <w:pPr>
                            <w:pStyle w:val="8"/>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255D8BD8">
                    <w:pPr>
                      <w:pStyle w:val="8"/>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35740">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67305">
                          <w:pPr>
                            <w:pStyle w:val="8"/>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32367305">
                    <w:pPr>
                      <w:pStyle w:val="8"/>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938E9">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B9250">
                          <w:pPr>
                            <w:pStyle w:val="8"/>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47BB9250">
                    <w:pPr>
                      <w:pStyle w:val="8"/>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55748">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63FA">
                          <w:pPr>
                            <w:pStyle w:val="8"/>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126163FA">
                    <w:pPr>
                      <w:pStyle w:val="8"/>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69C13">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EA13C">
                          <w:pPr>
                            <w:pStyle w:val="8"/>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105EA13C">
                    <w:pPr>
                      <w:pStyle w:val="8"/>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A593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CAEAF">
                          <w:pPr>
                            <w:pStyle w:val="8"/>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545CAEAF">
                    <w:pPr>
                      <w:pStyle w:val="8"/>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CB1E1">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39BD0">
                          <w:pPr>
                            <w:pStyle w:val="8"/>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06C39BD0">
                    <w:pPr>
                      <w:pStyle w:val="8"/>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39065">
    <w:pPr>
      <w:spacing w:line="100" w:lineRule="auto"/>
      <w:rPr>
        <w:rFonts w:ascii="Arial"/>
        <w:sz w:val="2"/>
      </w:rPr>
    </w:pPr>
    <w:r>
      <w:pict>
        <v:shape id="_x0000_s2049" o:spid="_x0000_s2049" style="position:absolute;left:0pt;margin-left:90.1pt;margin-top:90.25pt;height:0.5pt;width:411.45pt;mso-position-horizontal-relative:page;mso-position-vertical-relative:page;z-index:251660288;mso-width-relative:page;mso-height-relative:page;" fillcolor="#000000" filled="t" stroked="f" coordsize="8229,10" o:allowincell="f" path="m0,9l8228,9,8228,0,0,0,0,9xe">
          <v:path/>
          <v:fill on="t" focussize="0,0"/>
          <v:stroke on="f"/>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1B38B">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CF6EDA"/>
    <w:multiLevelType w:val="singleLevel"/>
    <w:tmpl w:val="C5CF6EDA"/>
    <w:lvl w:ilvl="0" w:tentative="0">
      <w:start w:val="2"/>
      <w:numFmt w:val="chineseCounting"/>
      <w:suff w:val="nothing"/>
      <w:lvlText w:val="%1、"/>
      <w:lvlJc w:val="left"/>
      <w:rPr>
        <w:rFonts w:hint="eastAsia"/>
      </w:rPr>
    </w:lvl>
  </w:abstractNum>
  <w:abstractNum w:abstractNumId="1">
    <w:nsid w:val="3977C0F4"/>
    <w:multiLevelType w:val="singleLevel"/>
    <w:tmpl w:val="3977C0F4"/>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dit="forms" w:formatting="1" w:enforcement="1" w:cryptProviderType="rsaFull" w:cryptAlgorithmClass="hash" w:cryptAlgorithmType="typeAny" w:cryptAlgorithmSid="4" w:cryptSpinCount="0" w:hash="vzHWXZGbYE+b4ama0d0aydhTGEI=" w:salt="sagGHLabz00oWdE33vRFYw=="/>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1F4D0A"/>
    <w:rsid w:val="00F431B9"/>
    <w:rsid w:val="01141165"/>
    <w:rsid w:val="01287E75"/>
    <w:rsid w:val="014C6B51"/>
    <w:rsid w:val="01916C5A"/>
    <w:rsid w:val="01C42B8B"/>
    <w:rsid w:val="022D66A7"/>
    <w:rsid w:val="02483253"/>
    <w:rsid w:val="02664739"/>
    <w:rsid w:val="028247F4"/>
    <w:rsid w:val="028B3CA0"/>
    <w:rsid w:val="02954528"/>
    <w:rsid w:val="032338E1"/>
    <w:rsid w:val="03443858"/>
    <w:rsid w:val="039C1491"/>
    <w:rsid w:val="03A76AB8"/>
    <w:rsid w:val="03AD717B"/>
    <w:rsid w:val="03B238F2"/>
    <w:rsid w:val="03BE614D"/>
    <w:rsid w:val="03DA220E"/>
    <w:rsid w:val="03EF1BF3"/>
    <w:rsid w:val="041A29A1"/>
    <w:rsid w:val="04C3537C"/>
    <w:rsid w:val="04CA2E9A"/>
    <w:rsid w:val="04DA4474"/>
    <w:rsid w:val="04FA0515"/>
    <w:rsid w:val="05027B01"/>
    <w:rsid w:val="060C2D53"/>
    <w:rsid w:val="06695AAF"/>
    <w:rsid w:val="0698721F"/>
    <w:rsid w:val="0700028A"/>
    <w:rsid w:val="07506C6F"/>
    <w:rsid w:val="07BC2556"/>
    <w:rsid w:val="080F2F3C"/>
    <w:rsid w:val="087758E4"/>
    <w:rsid w:val="087C6FA5"/>
    <w:rsid w:val="08AE4F2A"/>
    <w:rsid w:val="08B553DA"/>
    <w:rsid w:val="08D631A4"/>
    <w:rsid w:val="08F024B8"/>
    <w:rsid w:val="09657EEF"/>
    <w:rsid w:val="096915D0"/>
    <w:rsid w:val="09A92667"/>
    <w:rsid w:val="09BE25B6"/>
    <w:rsid w:val="09D749CF"/>
    <w:rsid w:val="0A014251"/>
    <w:rsid w:val="0A217411"/>
    <w:rsid w:val="0A7113D6"/>
    <w:rsid w:val="0A8F5522"/>
    <w:rsid w:val="0AE55920"/>
    <w:rsid w:val="0AEB54EA"/>
    <w:rsid w:val="0B5331D2"/>
    <w:rsid w:val="0B8C2720"/>
    <w:rsid w:val="0B9A4667"/>
    <w:rsid w:val="0BA26A80"/>
    <w:rsid w:val="0BF00A21"/>
    <w:rsid w:val="0C4E342F"/>
    <w:rsid w:val="0C56455F"/>
    <w:rsid w:val="0CC41D6A"/>
    <w:rsid w:val="0CE23F47"/>
    <w:rsid w:val="0D1F524B"/>
    <w:rsid w:val="0D906017"/>
    <w:rsid w:val="0DA03BB0"/>
    <w:rsid w:val="0DDE11F1"/>
    <w:rsid w:val="0DE545B5"/>
    <w:rsid w:val="0E2D5254"/>
    <w:rsid w:val="0E451EA1"/>
    <w:rsid w:val="0EC0292C"/>
    <w:rsid w:val="0ED818B2"/>
    <w:rsid w:val="0EE33CAC"/>
    <w:rsid w:val="0EFD716B"/>
    <w:rsid w:val="0F310394"/>
    <w:rsid w:val="0F81030D"/>
    <w:rsid w:val="0FB051D8"/>
    <w:rsid w:val="10044A9B"/>
    <w:rsid w:val="10421490"/>
    <w:rsid w:val="11077678"/>
    <w:rsid w:val="114D7DA7"/>
    <w:rsid w:val="121F796A"/>
    <w:rsid w:val="12B8756E"/>
    <w:rsid w:val="12B942F3"/>
    <w:rsid w:val="12F62DC0"/>
    <w:rsid w:val="13200DA8"/>
    <w:rsid w:val="13294F44"/>
    <w:rsid w:val="13422349"/>
    <w:rsid w:val="13AA52C0"/>
    <w:rsid w:val="13CA16CE"/>
    <w:rsid w:val="13D33102"/>
    <w:rsid w:val="141839BA"/>
    <w:rsid w:val="143A550E"/>
    <w:rsid w:val="14CD142E"/>
    <w:rsid w:val="152F63E2"/>
    <w:rsid w:val="155D713F"/>
    <w:rsid w:val="157D01C2"/>
    <w:rsid w:val="15FD7C9B"/>
    <w:rsid w:val="16AB3022"/>
    <w:rsid w:val="170A4A16"/>
    <w:rsid w:val="1776002C"/>
    <w:rsid w:val="17DE1F0A"/>
    <w:rsid w:val="17FD3529"/>
    <w:rsid w:val="18075128"/>
    <w:rsid w:val="18155A97"/>
    <w:rsid w:val="18510A99"/>
    <w:rsid w:val="18B54B84"/>
    <w:rsid w:val="18D623D6"/>
    <w:rsid w:val="18E35B95"/>
    <w:rsid w:val="19244066"/>
    <w:rsid w:val="192E7CCB"/>
    <w:rsid w:val="198B0CFD"/>
    <w:rsid w:val="1A880D79"/>
    <w:rsid w:val="1B2B55D1"/>
    <w:rsid w:val="1B3C5CF6"/>
    <w:rsid w:val="1B972C67"/>
    <w:rsid w:val="1D610D09"/>
    <w:rsid w:val="1DF60D84"/>
    <w:rsid w:val="1EA35351"/>
    <w:rsid w:val="1ED16490"/>
    <w:rsid w:val="1ED74BE8"/>
    <w:rsid w:val="1F376CCF"/>
    <w:rsid w:val="1F86727A"/>
    <w:rsid w:val="1FFA0C3E"/>
    <w:rsid w:val="203F1570"/>
    <w:rsid w:val="205904EB"/>
    <w:rsid w:val="206B47A9"/>
    <w:rsid w:val="20C271DD"/>
    <w:rsid w:val="20CA072E"/>
    <w:rsid w:val="20F4571D"/>
    <w:rsid w:val="213114BA"/>
    <w:rsid w:val="2151171B"/>
    <w:rsid w:val="21BC3427"/>
    <w:rsid w:val="21DE15EF"/>
    <w:rsid w:val="223E777F"/>
    <w:rsid w:val="22760B92"/>
    <w:rsid w:val="22936057"/>
    <w:rsid w:val="23CF0963"/>
    <w:rsid w:val="240457BD"/>
    <w:rsid w:val="243E38B6"/>
    <w:rsid w:val="24534C43"/>
    <w:rsid w:val="245E07C6"/>
    <w:rsid w:val="24850DF5"/>
    <w:rsid w:val="24994137"/>
    <w:rsid w:val="24C22608"/>
    <w:rsid w:val="24FF6206"/>
    <w:rsid w:val="25327D57"/>
    <w:rsid w:val="2533755C"/>
    <w:rsid w:val="2566249D"/>
    <w:rsid w:val="2582004E"/>
    <w:rsid w:val="25A663F8"/>
    <w:rsid w:val="265F50D6"/>
    <w:rsid w:val="26F92A28"/>
    <w:rsid w:val="27AF7A25"/>
    <w:rsid w:val="27C272BD"/>
    <w:rsid w:val="27DE4667"/>
    <w:rsid w:val="28D01566"/>
    <w:rsid w:val="28FA4916"/>
    <w:rsid w:val="293F6976"/>
    <w:rsid w:val="2947141D"/>
    <w:rsid w:val="29591B52"/>
    <w:rsid w:val="29997709"/>
    <w:rsid w:val="299B5845"/>
    <w:rsid w:val="2A4915D0"/>
    <w:rsid w:val="2A9C5BA4"/>
    <w:rsid w:val="2AB67BC0"/>
    <w:rsid w:val="2AD111FF"/>
    <w:rsid w:val="2BAA0672"/>
    <w:rsid w:val="2C3E3247"/>
    <w:rsid w:val="2C3F712F"/>
    <w:rsid w:val="2CB5119F"/>
    <w:rsid w:val="2CC71223"/>
    <w:rsid w:val="2CDD63ED"/>
    <w:rsid w:val="2D1F12BC"/>
    <w:rsid w:val="2D214C54"/>
    <w:rsid w:val="2DD815E9"/>
    <w:rsid w:val="2DD85145"/>
    <w:rsid w:val="2DF87595"/>
    <w:rsid w:val="2F713AA3"/>
    <w:rsid w:val="2F967065"/>
    <w:rsid w:val="2FDB474A"/>
    <w:rsid w:val="2FF67B04"/>
    <w:rsid w:val="30C418AA"/>
    <w:rsid w:val="323A3297"/>
    <w:rsid w:val="324421BF"/>
    <w:rsid w:val="32642098"/>
    <w:rsid w:val="32673C7A"/>
    <w:rsid w:val="327B5DE7"/>
    <w:rsid w:val="328A42A5"/>
    <w:rsid w:val="32E427DE"/>
    <w:rsid w:val="3313490C"/>
    <w:rsid w:val="332B5D17"/>
    <w:rsid w:val="332E5BDE"/>
    <w:rsid w:val="33AD1C72"/>
    <w:rsid w:val="34663AA5"/>
    <w:rsid w:val="34AA5361"/>
    <w:rsid w:val="34C957E7"/>
    <w:rsid w:val="35AE126A"/>
    <w:rsid w:val="36666714"/>
    <w:rsid w:val="366B615C"/>
    <w:rsid w:val="37BE1588"/>
    <w:rsid w:val="37EB3CC7"/>
    <w:rsid w:val="37FA1204"/>
    <w:rsid w:val="38206C2F"/>
    <w:rsid w:val="382A0D6E"/>
    <w:rsid w:val="3862667F"/>
    <w:rsid w:val="388109FB"/>
    <w:rsid w:val="38E366CF"/>
    <w:rsid w:val="39166FB8"/>
    <w:rsid w:val="39736B31"/>
    <w:rsid w:val="398F7860"/>
    <w:rsid w:val="3A8C3B2E"/>
    <w:rsid w:val="3AB318F1"/>
    <w:rsid w:val="3B497682"/>
    <w:rsid w:val="3CC1422D"/>
    <w:rsid w:val="3D0C0967"/>
    <w:rsid w:val="3E8A1E51"/>
    <w:rsid w:val="3EAD58D5"/>
    <w:rsid w:val="3F425A69"/>
    <w:rsid w:val="3F961308"/>
    <w:rsid w:val="403A1C8F"/>
    <w:rsid w:val="40664781"/>
    <w:rsid w:val="40706AF9"/>
    <w:rsid w:val="4085718A"/>
    <w:rsid w:val="40F21390"/>
    <w:rsid w:val="413B3EB7"/>
    <w:rsid w:val="414A0622"/>
    <w:rsid w:val="41601281"/>
    <w:rsid w:val="41C645C6"/>
    <w:rsid w:val="422B5210"/>
    <w:rsid w:val="42786A9F"/>
    <w:rsid w:val="42A96584"/>
    <w:rsid w:val="42D57A4D"/>
    <w:rsid w:val="42E243E9"/>
    <w:rsid w:val="431C14C4"/>
    <w:rsid w:val="437A1FF5"/>
    <w:rsid w:val="438D690B"/>
    <w:rsid w:val="43A63197"/>
    <w:rsid w:val="44064C80"/>
    <w:rsid w:val="44094359"/>
    <w:rsid w:val="450C741B"/>
    <w:rsid w:val="454B2248"/>
    <w:rsid w:val="45634193"/>
    <w:rsid w:val="45693181"/>
    <w:rsid w:val="45C26290"/>
    <w:rsid w:val="45C974B4"/>
    <w:rsid w:val="45CA6377"/>
    <w:rsid w:val="45CC6CD9"/>
    <w:rsid w:val="462D713C"/>
    <w:rsid w:val="476E1671"/>
    <w:rsid w:val="47CC58C3"/>
    <w:rsid w:val="47FD078E"/>
    <w:rsid w:val="48036E0A"/>
    <w:rsid w:val="48420BDC"/>
    <w:rsid w:val="484A61BF"/>
    <w:rsid w:val="48524506"/>
    <w:rsid w:val="4871646A"/>
    <w:rsid w:val="493274C3"/>
    <w:rsid w:val="49DA528B"/>
    <w:rsid w:val="4A697623"/>
    <w:rsid w:val="4AEE78FE"/>
    <w:rsid w:val="4BCE14DD"/>
    <w:rsid w:val="4BE05E72"/>
    <w:rsid w:val="4BEB02E1"/>
    <w:rsid w:val="4C3E24B6"/>
    <w:rsid w:val="4C4023DB"/>
    <w:rsid w:val="4C4208EE"/>
    <w:rsid w:val="4C5145E8"/>
    <w:rsid w:val="4C72630D"/>
    <w:rsid w:val="4D275349"/>
    <w:rsid w:val="4D553878"/>
    <w:rsid w:val="4D752563"/>
    <w:rsid w:val="4D8207D1"/>
    <w:rsid w:val="4DB56DF9"/>
    <w:rsid w:val="4DD454D1"/>
    <w:rsid w:val="4DF92CF4"/>
    <w:rsid w:val="4E222FDC"/>
    <w:rsid w:val="4F0A0A7E"/>
    <w:rsid w:val="4F2846B4"/>
    <w:rsid w:val="4FE44462"/>
    <w:rsid w:val="4FFC0D0F"/>
    <w:rsid w:val="502246FD"/>
    <w:rsid w:val="502B287F"/>
    <w:rsid w:val="507D3E97"/>
    <w:rsid w:val="507D6642"/>
    <w:rsid w:val="508C2093"/>
    <w:rsid w:val="50C90228"/>
    <w:rsid w:val="516923D4"/>
    <w:rsid w:val="51D435BC"/>
    <w:rsid w:val="530879CB"/>
    <w:rsid w:val="535B6508"/>
    <w:rsid w:val="53682217"/>
    <w:rsid w:val="53882A1B"/>
    <w:rsid w:val="53B01CF2"/>
    <w:rsid w:val="53B2326A"/>
    <w:rsid w:val="53C733E2"/>
    <w:rsid w:val="54073CF5"/>
    <w:rsid w:val="546450D5"/>
    <w:rsid w:val="547A66A6"/>
    <w:rsid w:val="548D4512"/>
    <w:rsid w:val="54E51D72"/>
    <w:rsid w:val="55B8083D"/>
    <w:rsid w:val="5600510A"/>
    <w:rsid w:val="56177552"/>
    <w:rsid w:val="562C39D0"/>
    <w:rsid w:val="56335624"/>
    <w:rsid w:val="56DA600B"/>
    <w:rsid w:val="56E2109B"/>
    <w:rsid w:val="570D302A"/>
    <w:rsid w:val="571F7091"/>
    <w:rsid w:val="572D17AE"/>
    <w:rsid w:val="57340D8E"/>
    <w:rsid w:val="575A3DD1"/>
    <w:rsid w:val="57812091"/>
    <w:rsid w:val="57914287"/>
    <w:rsid w:val="57B34E87"/>
    <w:rsid w:val="57D90B8E"/>
    <w:rsid w:val="5867225C"/>
    <w:rsid w:val="58E511CB"/>
    <w:rsid w:val="591C731D"/>
    <w:rsid w:val="5966544B"/>
    <w:rsid w:val="59A75706"/>
    <w:rsid w:val="59BB3CE7"/>
    <w:rsid w:val="5B5B0FE0"/>
    <w:rsid w:val="5B955B74"/>
    <w:rsid w:val="5D2E44D2"/>
    <w:rsid w:val="5E914D18"/>
    <w:rsid w:val="5E9B53AC"/>
    <w:rsid w:val="5EC6240B"/>
    <w:rsid w:val="5EFE5C05"/>
    <w:rsid w:val="5F204545"/>
    <w:rsid w:val="5F4A0AB9"/>
    <w:rsid w:val="5FFD1E31"/>
    <w:rsid w:val="604279B4"/>
    <w:rsid w:val="60F76FF8"/>
    <w:rsid w:val="615F3904"/>
    <w:rsid w:val="61A60756"/>
    <w:rsid w:val="62125BED"/>
    <w:rsid w:val="63220635"/>
    <w:rsid w:val="637F41CC"/>
    <w:rsid w:val="63CD51F0"/>
    <w:rsid w:val="63E34D63"/>
    <w:rsid w:val="648B0FD2"/>
    <w:rsid w:val="649305A2"/>
    <w:rsid w:val="64CF659A"/>
    <w:rsid w:val="64FD4BAB"/>
    <w:rsid w:val="650C48DD"/>
    <w:rsid w:val="651848BA"/>
    <w:rsid w:val="65663921"/>
    <w:rsid w:val="65876E75"/>
    <w:rsid w:val="65953BCE"/>
    <w:rsid w:val="6599190F"/>
    <w:rsid w:val="65B00D5D"/>
    <w:rsid w:val="665A551B"/>
    <w:rsid w:val="66A03D4A"/>
    <w:rsid w:val="66B94F27"/>
    <w:rsid w:val="66E005EB"/>
    <w:rsid w:val="67157893"/>
    <w:rsid w:val="67566AFF"/>
    <w:rsid w:val="67770271"/>
    <w:rsid w:val="678061B5"/>
    <w:rsid w:val="678E6299"/>
    <w:rsid w:val="67D57A24"/>
    <w:rsid w:val="684F6E51"/>
    <w:rsid w:val="68A27348"/>
    <w:rsid w:val="691B1DAE"/>
    <w:rsid w:val="6985204A"/>
    <w:rsid w:val="69866BC5"/>
    <w:rsid w:val="69885EE6"/>
    <w:rsid w:val="6A0665BA"/>
    <w:rsid w:val="6A1F3F5B"/>
    <w:rsid w:val="6A30700E"/>
    <w:rsid w:val="6A527A52"/>
    <w:rsid w:val="6A5F4BF7"/>
    <w:rsid w:val="6A8A41D9"/>
    <w:rsid w:val="6AAB2B20"/>
    <w:rsid w:val="6AD61D4A"/>
    <w:rsid w:val="6ADF1E1F"/>
    <w:rsid w:val="6B5136E7"/>
    <w:rsid w:val="6C2063E9"/>
    <w:rsid w:val="6C7643B3"/>
    <w:rsid w:val="6D0A4613"/>
    <w:rsid w:val="6D506C41"/>
    <w:rsid w:val="6D8E3C14"/>
    <w:rsid w:val="6DA95E85"/>
    <w:rsid w:val="6DC20859"/>
    <w:rsid w:val="6DF81286"/>
    <w:rsid w:val="6E153270"/>
    <w:rsid w:val="6E1E7093"/>
    <w:rsid w:val="6E2E7E8E"/>
    <w:rsid w:val="6EB05EBC"/>
    <w:rsid w:val="6F0E1CFE"/>
    <w:rsid w:val="6F12155D"/>
    <w:rsid w:val="6F405354"/>
    <w:rsid w:val="708741CD"/>
    <w:rsid w:val="70E70ADA"/>
    <w:rsid w:val="71494FDF"/>
    <w:rsid w:val="71744751"/>
    <w:rsid w:val="71D90093"/>
    <w:rsid w:val="72430F2A"/>
    <w:rsid w:val="724834E8"/>
    <w:rsid w:val="725231E8"/>
    <w:rsid w:val="72AA7EE7"/>
    <w:rsid w:val="72AB713A"/>
    <w:rsid w:val="72E17BC5"/>
    <w:rsid w:val="73397787"/>
    <w:rsid w:val="73431820"/>
    <w:rsid w:val="73C86E74"/>
    <w:rsid w:val="73CC709C"/>
    <w:rsid w:val="74007519"/>
    <w:rsid w:val="7424513C"/>
    <w:rsid w:val="748E78D8"/>
    <w:rsid w:val="74FD0597"/>
    <w:rsid w:val="757E1548"/>
    <w:rsid w:val="75B526F6"/>
    <w:rsid w:val="76885478"/>
    <w:rsid w:val="76DB492B"/>
    <w:rsid w:val="76FE0FDF"/>
    <w:rsid w:val="77444479"/>
    <w:rsid w:val="774825F6"/>
    <w:rsid w:val="77721AB3"/>
    <w:rsid w:val="77B63CFE"/>
    <w:rsid w:val="77BC650A"/>
    <w:rsid w:val="783562BD"/>
    <w:rsid w:val="78670B6C"/>
    <w:rsid w:val="78F06585"/>
    <w:rsid w:val="793F382A"/>
    <w:rsid w:val="795804B5"/>
    <w:rsid w:val="7A471E72"/>
    <w:rsid w:val="7A5866FB"/>
    <w:rsid w:val="7A82009A"/>
    <w:rsid w:val="7B964470"/>
    <w:rsid w:val="7BF546E1"/>
    <w:rsid w:val="7C152E9F"/>
    <w:rsid w:val="7CA57EB5"/>
    <w:rsid w:val="7CF16265"/>
    <w:rsid w:val="7D35728A"/>
    <w:rsid w:val="7D4274B2"/>
    <w:rsid w:val="7D912C27"/>
    <w:rsid w:val="7E3F60E7"/>
    <w:rsid w:val="7E6B34F5"/>
    <w:rsid w:val="7EAD4DFF"/>
    <w:rsid w:val="7EE13986"/>
    <w:rsid w:val="7F0005FE"/>
    <w:rsid w:val="7F1122C3"/>
    <w:rsid w:val="7F17496E"/>
    <w:rsid w:val="7F9A1143"/>
    <w:rsid w:val="7FCF13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4"/>
    <w:basedOn w:val="1"/>
    <w:next w:val="1"/>
    <w:qFormat/>
    <w:uiPriority w:val="99"/>
    <w:pPr>
      <w:keepNext/>
      <w:keepLines/>
      <w:spacing w:line="360" w:lineRule="auto"/>
      <w:outlineLvl w:val="3"/>
    </w:pPr>
    <w:rPr>
      <w:rFonts w:ascii="Arial" w:hAnsi="Arial"/>
      <w:b/>
      <w:bCs/>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next w:val="1"/>
    <w:qFormat/>
    <w:uiPriority w:val="0"/>
    <w:pPr>
      <w:wordWrap w:val="0"/>
      <w:ind w:left="3400"/>
      <w:jc w:val="both"/>
    </w:pPr>
    <w:rPr>
      <w:rFonts w:ascii="Times New Roman" w:hAnsi="Times New Roman" w:eastAsia="宋体" w:cs="Times New Roman"/>
      <w:sz w:val="21"/>
      <w:lang w:val="en-US" w:eastAsia="zh-CN" w:bidi="ar-SA"/>
    </w:rPr>
  </w:style>
  <w:style w:type="paragraph" w:styleId="4">
    <w:name w:val="Body Text 3"/>
    <w:basedOn w:val="1"/>
    <w:next w:val="3"/>
    <w:qFormat/>
    <w:uiPriority w:val="0"/>
    <w:pPr>
      <w:widowControl w:val="0"/>
      <w:autoSpaceDE/>
      <w:autoSpaceDN/>
      <w:spacing w:before="0" w:after="0" w:line="500" w:lineRule="exact"/>
      <w:ind w:left="0" w:firstLine="0"/>
      <w:jc w:val="both"/>
    </w:pPr>
    <w:rPr>
      <w:rFonts w:ascii="宋体" w:eastAsia="仿宋_GB2312"/>
      <w:sz w:val="28"/>
    </w:rPr>
  </w:style>
  <w:style w:type="paragraph" w:styleId="5">
    <w:name w:val="Body Text"/>
    <w:basedOn w:val="1"/>
    <w:semiHidden/>
    <w:qFormat/>
    <w:uiPriority w:val="0"/>
    <w:rPr>
      <w:rFonts w:ascii="仿宋" w:hAnsi="仿宋" w:eastAsia="仿宋" w:cs="仿宋"/>
      <w:sz w:val="30"/>
      <w:szCs w:val="30"/>
      <w:lang w:val="en-US" w:eastAsia="en-US" w:bidi="ar-SA"/>
    </w:rPr>
  </w:style>
  <w:style w:type="paragraph" w:styleId="6">
    <w:name w:val="Plain Text"/>
    <w:basedOn w:val="1"/>
    <w:next w:val="1"/>
    <w:qFormat/>
    <w:uiPriority w:val="0"/>
    <w:rPr>
      <w:rFonts w:ascii="宋体" w:hAnsi="Courier New"/>
      <w:kern w:val="2"/>
    </w:rPr>
  </w:style>
  <w:style w:type="paragraph" w:styleId="7">
    <w:name w:val="Body Text Indent 2"/>
    <w:basedOn w:val="1"/>
    <w:qFormat/>
    <w:uiPriority w:val="99"/>
    <w:pPr>
      <w:ind w:firstLine="630"/>
    </w:pPr>
    <w:rPr>
      <w:kern w:val="0"/>
      <w:sz w:val="32"/>
      <w:szCs w:val="20"/>
    </w:rPr>
  </w:style>
  <w:style w:type="paragraph" w:styleId="8">
    <w:name w:val="footer"/>
    <w:basedOn w:val="1"/>
    <w:qFormat/>
    <w:uiPriority w:val="0"/>
    <w:rPr>
      <w:rFonts w:ascii="宋体"/>
      <w:sz w:val="18"/>
    </w:rPr>
  </w:style>
  <w:style w:type="paragraph" w:styleId="9">
    <w:name w:val="header"/>
    <w:basedOn w:val="1"/>
    <w:next w:val="1"/>
    <w:qFormat/>
    <w:uiPriority w:val="0"/>
    <w:pPr>
      <w:jc w:val="center"/>
    </w:pPr>
    <w:rPr>
      <w:rFonts w:ascii="宋体"/>
      <w:sz w:val="18"/>
    </w:rPr>
  </w:style>
  <w:style w:type="paragraph" w:styleId="10">
    <w:name w:val="toc 1"/>
    <w:basedOn w:val="1"/>
    <w:next w:val="1"/>
    <w:qFormat/>
    <w:uiPriority w:val="0"/>
  </w:style>
  <w:style w:type="paragraph" w:styleId="11">
    <w:name w:val="Subtitle"/>
    <w:basedOn w:val="1"/>
    <w:next w:val="1"/>
    <w:qFormat/>
    <w:uiPriority w:val="0"/>
    <w:pPr>
      <w:widowControl w:val="0"/>
      <w:autoSpaceDE/>
      <w:autoSpaceDN/>
      <w:spacing w:before="240" w:after="60" w:line="312" w:lineRule="auto"/>
      <w:ind w:left="0" w:firstLine="0"/>
      <w:jc w:val="center"/>
      <w:outlineLvl w:val="1"/>
    </w:pPr>
    <w:rPr>
      <w:rFonts w:ascii="Cambria" w:eastAsia="宋体"/>
      <w:b/>
      <w:sz w:val="32"/>
    </w:rPr>
  </w:style>
  <w:style w:type="paragraph" w:styleId="12">
    <w:name w:val="Normal (Web)"/>
    <w:basedOn w:val="1"/>
    <w:next w:val="4"/>
    <w:qFormat/>
    <w:uiPriority w:val="0"/>
    <w:pPr>
      <w:widowControl/>
      <w:autoSpaceDE/>
      <w:autoSpaceDN/>
      <w:spacing w:before="280" w:after="280" w:line="240" w:lineRule="auto"/>
      <w:ind w:left="0" w:firstLine="0"/>
    </w:pPr>
    <w:rPr>
      <w:rFonts w:ascii="宋体" w:eastAsia="宋体"/>
      <w:sz w:val="24"/>
    </w:rPr>
  </w:style>
  <w:style w:type="character" w:styleId="15">
    <w:name w:val="page number"/>
    <w:basedOn w:val="14"/>
    <w:qFormat/>
    <w:uiPriority w:val="0"/>
    <w:rPr>
      <w:sz w:val="20"/>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Table Text"/>
    <w:basedOn w:val="1"/>
    <w:semiHidden/>
    <w:qFormat/>
    <w:uiPriority w:val="0"/>
    <w:rPr>
      <w:rFonts w:ascii="宋体" w:hAnsi="宋体" w:eastAsia="宋体" w:cs="宋体"/>
      <w:sz w:val="21"/>
      <w:szCs w:val="21"/>
      <w:lang w:val="en-US" w:eastAsia="en-US" w:bidi="ar-SA"/>
    </w:rPr>
  </w:style>
  <w:style w:type="paragraph" w:customStyle="1" w:styleId="18">
    <w:name w:val="Normal_1"/>
    <w:qFormat/>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3.png"/><Relationship Id="rId125" Type="http://schemas.openxmlformats.org/officeDocument/2006/relationships/image" Target="media/image2.png"/><Relationship Id="rId124" Type="http://schemas.openxmlformats.org/officeDocument/2006/relationships/image" Target="media/image1.png"/><Relationship Id="rId123" Type="http://schemas.openxmlformats.org/officeDocument/2006/relationships/theme" Target="theme/theme1.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8.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header" Target="header2.xml"/><Relationship Id="rId115" Type="http://schemas.openxmlformats.org/officeDocument/2006/relationships/footer" Target="footer110.xml"/><Relationship Id="rId114" Type="http://schemas.openxmlformats.org/officeDocument/2006/relationships/header" Target="header1.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60"/>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133</Pages>
  <Words>12209</Words>
  <Characters>13210</Characters>
  <TotalTime>36</TotalTime>
  <ScaleCrop>false</ScaleCrop>
  <LinksUpToDate>false</LinksUpToDate>
  <CharactersWithSpaces>13926</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2024-09-11T09:33:00Z</dcterms:created>
  <dc:creator>唐冰</dc:creator>
  <cp:lastModifiedBy>惠岚</cp:lastModifiedBy>
  <cp:lastPrinted>2025-09-12T09:58:00Z</cp:lastPrinted>
  <dcterms:modified xsi:type="dcterms:W3CDTF">2026-06-04T02:19:05Z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2025-04-24T11:12:12Z</vt:filetime>
  </property>
  <property fmtid="{D5CDD505-2E9C-101B-9397-08002B2CF9AE}" pid="4" name="KSOTemplateDocerSaveRecord">
    <vt:lpwstr>eyJoZGlkIjoiMmY4MmFjZmQyNWU1YWE4MWMwN2FkOGZjYmM2YWMyZmMiLCJ1c2VySWQiOiI5ODU4MzE2MjMifQ==</vt:lpwstr>
  </property>
  <property fmtid="{D5CDD505-2E9C-101B-9397-08002B2CF9AE}" pid="5" name="KSOProductBuildVer">
    <vt:lpwstr>2052-12.1.0.26375</vt:lpwstr>
  </property>
  <property fmtid="{D5CDD505-2E9C-101B-9397-08002B2CF9AE}" pid="6" name="ICV">
    <vt:lpwstr>712AFD85D999456082D19A4958F71DB4_13</vt:lpwstr>
  </property>
</Properties>
</file>